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71F3E" w14:textId="77777777" w:rsidR="00F051D7" w:rsidRPr="000B12FB" w:rsidRDefault="00F051D7" w:rsidP="00F051D7">
      <w:pPr>
        <w:pStyle w:val="cn"/>
        <w:spacing w:line="276" w:lineRule="auto"/>
        <w:rPr>
          <w:lang w:val="ru-MD"/>
        </w:rPr>
      </w:pPr>
      <w:bookmarkStart w:id="0" w:name="_GoBack"/>
      <w:bookmarkEnd w:id="0"/>
      <w:r w:rsidRPr="000B12FB">
        <w:rPr>
          <w:noProof/>
          <w:sz w:val="26"/>
          <w:szCs w:val="26"/>
        </w:rPr>
        <w:drawing>
          <wp:inline distT="0" distB="0" distL="0" distR="0" wp14:anchorId="0F961B13" wp14:editId="0C996D84">
            <wp:extent cx="6324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p>
    <w:p w14:paraId="6276638A" w14:textId="77777777" w:rsidR="00F051D7" w:rsidRPr="000B12FB" w:rsidRDefault="00F051D7" w:rsidP="00F051D7">
      <w:pPr>
        <w:spacing w:after="0" w:line="276" w:lineRule="auto"/>
        <w:jc w:val="center"/>
        <w:rPr>
          <w:rFonts w:ascii="Times New Roman" w:eastAsia="Times New Roman" w:hAnsi="Times New Roman"/>
          <w:b/>
          <w:bCs/>
          <w:sz w:val="16"/>
          <w:szCs w:val="16"/>
          <w:lang w:val="ru-MD"/>
        </w:rPr>
      </w:pPr>
    </w:p>
    <w:p w14:paraId="6CC4C1D5" w14:textId="15FFC4B5" w:rsidR="005B4FFB" w:rsidRPr="000B12FB" w:rsidRDefault="005B4FFB" w:rsidP="005B4FFB">
      <w:pPr>
        <w:spacing w:after="0" w:line="276" w:lineRule="auto"/>
        <w:jc w:val="right"/>
        <w:rPr>
          <w:rFonts w:ascii="Calibri Light" w:eastAsia="Times New Roman" w:hAnsi="Calibri Light" w:cs="Calibri Light"/>
          <w:b/>
          <w:bCs/>
          <w:sz w:val="24"/>
          <w:szCs w:val="24"/>
          <w:u w:val="single"/>
          <w:lang w:val="ru-MD"/>
        </w:rPr>
      </w:pPr>
      <w:r w:rsidRPr="000B12FB">
        <w:rPr>
          <w:rFonts w:ascii="Calibri Light" w:eastAsia="Times New Roman" w:hAnsi="Calibri Light" w:cs="Calibri Light"/>
          <w:b/>
          <w:bCs/>
          <w:sz w:val="24"/>
          <w:szCs w:val="24"/>
          <w:u w:val="single"/>
          <w:lang w:val="ru-MD"/>
        </w:rPr>
        <w:t>ПЕРЕВОД</w:t>
      </w:r>
    </w:p>
    <w:p w14:paraId="72D5930D" w14:textId="5EC5AD05" w:rsidR="00F051D7" w:rsidRPr="000B12FB" w:rsidRDefault="005B4FFB" w:rsidP="00F051D7">
      <w:pPr>
        <w:spacing w:after="0" w:line="276" w:lineRule="auto"/>
        <w:jc w:val="center"/>
        <w:rPr>
          <w:rFonts w:ascii="Calibri Light" w:eastAsia="Times New Roman" w:hAnsi="Calibri Light" w:cs="Calibri Light"/>
          <w:bCs/>
          <w:sz w:val="24"/>
          <w:szCs w:val="24"/>
          <w:lang w:val="ru-MD"/>
        </w:rPr>
      </w:pPr>
      <w:r w:rsidRPr="000B12FB">
        <w:rPr>
          <w:rFonts w:ascii="Calibri Light" w:eastAsia="Times New Roman" w:hAnsi="Calibri Light" w:cs="Calibri Light"/>
          <w:bCs/>
          <w:sz w:val="24"/>
          <w:szCs w:val="24"/>
          <w:lang w:val="ru-MD"/>
        </w:rPr>
        <w:t>СЧЕТНАЯ ПАЛАТА РЕСПУБЛИКИ МОЛДОВА</w:t>
      </w:r>
    </w:p>
    <w:p w14:paraId="06774579" w14:textId="77777777" w:rsidR="00F051D7" w:rsidRPr="000B12FB" w:rsidRDefault="00F051D7" w:rsidP="00F051D7">
      <w:pPr>
        <w:spacing w:after="0" w:line="276" w:lineRule="auto"/>
        <w:jc w:val="center"/>
        <w:rPr>
          <w:rFonts w:ascii="Calibri Light" w:eastAsia="Times New Roman" w:hAnsi="Calibri Light" w:cs="Calibri Light"/>
          <w:bCs/>
          <w:sz w:val="28"/>
          <w:szCs w:val="28"/>
          <w:lang w:val="ru-MD"/>
        </w:rPr>
      </w:pPr>
    </w:p>
    <w:p w14:paraId="28B0EE3A" w14:textId="5639E881" w:rsidR="00F051D7" w:rsidRPr="000B12FB" w:rsidRDefault="005B4FFB" w:rsidP="00F051D7">
      <w:pPr>
        <w:spacing w:after="0" w:line="276" w:lineRule="auto"/>
        <w:jc w:val="center"/>
        <w:rPr>
          <w:rFonts w:ascii="Calibri Light" w:eastAsia="Times New Roman" w:hAnsi="Calibri Light" w:cs="Calibri Light"/>
          <w:b/>
          <w:bCs/>
          <w:sz w:val="24"/>
          <w:szCs w:val="24"/>
          <w:lang w:val="ru-MD"/>
        </w:rPr>
      </w:pPr>
      <w:bookmarkStart w:id="1" w:name="_Toc450123757"/>
      <w:r w:rsidRPr="000B12FB">
        <w:rPr>
          <w:rFonts w:ascii="Calibri Light" w:eastAsia="Times New Roman" w:hAnsi="Calibri Light" w:cs="Calibri Light"/>
          <w:b/>
          <w:bCs/>
          <w:sz w:val="24"/>
          <w:szCs w:val="24"/>
          <w:lang w:val="ru-MD"/>
        </w:rPr>
        <w:t>П О С Т А Н О В Л Е Н И Е</w:t>
      </w:r>
      <w:r w:rsidR="00F051D7" w:rsidRPr="000B12FB">
        <w:rPr>
          <w:rFonts w:ascii="Calibri Light" w:eastAsia="Times New Roman" w:hAnsi="Calibri Light" w:cs="Calibri Light"/>
          <w:b/>
          <w:bCs/>
          <w:sz w:val="24"/>
          <w:szCs w:val="24"/>
          <w:lang w:val="ru-MD"/>
        </w:rPr>
        <w:t xml:space="preserve"> </w:t>
      </w:r>
      <w:r w:rsidRPr="000B12FB">
        <w:rPr>
          <w:rFonts w:ascii="Calibri Light" w:eastAsia="Times New Roman" w:hAnsi="Calibri Light" w:cs="Calibri Light"/>
          <w:b/>
          <w:bCs/>
          <w:sz w:val="24"/>
          <w:szCs w:val="24"/>
          <w:lang w:val="ru-MD"/>
        </w:rPr>
        <w:t>№</w:t>
      </w:r>
      <w:bookmarkEnd w:id="1"/>
      <w:r w:rsidR="00990519" w:rsidRPr="000B12FB">
        <w:rPr>
          <w:rFonts w:ascii="Calibri Light" w:eastAsia="Times New Roman" w:hAnsi="Calibri Light" w:cs="Calibri Light"/>
          <w:b/>
          <w:bCs/>
          <w:sz w:val="24"/>
          <w:szCs w:val="24"/>
          <w:lang w:val="ru-MD"/>
        </w:rPr>
        <w:t>48</w:t>
      </w:r>
    </w:p>
    <w:p w14:paraId="26AFF48C" w14:textId="76F26218" w:rsidR="00F051D7" w:rsidRPr="000B12FB" w:rsidRDefault="005B4FFB" w:rsidP="005A4568">
      <w:pPr>
        <w:spacing w:after="120" w:line="276" w:lineRule="auto"/>
        <w:jc w:val="center"/>
        <w:rPr>
          <w:rFonts w:ascii="Calibri Light" w:eastAsia="Times New Roman" w:hAnsi="Calibri Light" w:cs="Calibri Light"/>
          <w:b/>
          <w:bCs/>
          <w:sz w:val="24"/>
          <w:szCs w:val="24"/>
          <w:lang w:val="ru-MD"/>
        </w:rPr>
      </w:pPr>
      <w:r w:rsidRPr="000B12FB">
        <w:rPr>
          <w:rFonts w:ascii="Calibri Light" w:eastAsia="Times New Roman" w:hAnsi="Calibri Light" w:cs="Calibri Light"/>
          <w:b/>
          <w:bCs/>
          <w:sz w:val="24"/>
          <w:szCs w:val="24"/>
          <w:lang w:val="ru-MD"/>
        </w:rPr>
        <w:t>от</w:t>
      </w:r>
      <w:r w:rsidR="00F051D7" w:rsidRPr="000B12FB">
        <w:rPr>
          <w:rFonts w:ascii="Calibri Light" w:eastAsia="Times New Roman" w:hAnsi="Calibri Light" w:cs="Calibri Light"/>
          <w:b/>
          <w:bCs/>
          <w:sz w:val="24"/>
          <w:szCs w:val="24"/>
          <w:lang w:val="ru-MD"/>
        </w:rPr>
        <w:t xml:space="preserve"> </w:t>
      </w:r>
      <w:r w:rsidR="008D3E25" w:rsidRPr="000B12FB">
        <w:rPr>
          <w:rFonts w:ascii="Calibri Light" w:eastAsia="Times New Roman" w:hAnsi="Calibri Light" w:cs="Calibri Light"/>
          <w:b/>
          <w:bCs/>
          <w:sz w:val="24"/>
          <w:szCs w:val="24"/>
          <w:lang w:val="ru-MD"/>
        </w:rPr>
        <w:t xml:space="preserve">02 </w:t>
      </w:r>
      <w:r w:rsidRPr="000B12FB">
        <w:rPr>
          <w:rFonts w:ascii="Calibri Light" w:eastAsia="Times New Roman" w:hAnsi="Calibri Light" w:cs="Calibri Light"/>
          <w:b/>
          <w:bCs/>
          <w:sz w:val="24"/>
          <w:szCs w:val="24"/>
          <w:lang w:val="ru-MD"/>
        </w:rPr>
        <w:t>сентября</w:t>
      </w:r>
      <w:r w:rsidR="00F051D7" w:rsidRPr="000B12FB">
        <w:rPr>
          <w:rFonts w:ascii="Calibri Light" w:eastAsia="Times New Roman" w:hAnsi="Calibri Light" w:cs="Calibri Light"/>
          <w:b/>
          <w:bCs/>
          <w:sz w:val="24"/>
          <w:szCs w:val="24"/>
          <w:lang w:val="ru-MD"/>
        </w:rPr>
        <w:t xml:space="preserve"> 2022</w:t>
      </w:r>
      <w:r w:rsidRPr="000B12FB">
        <w:rPr>
          <w:rFonts w:ascii="Calibri Light" w:eastAsia="Times New Roman" w:hAnsi="Calibri Light" w:cs="Calibri Light"/>
          <w:b/>
          <w:bCs/>
          <w:sz w:val="24"/>
          <w:szCs w:val="24"/>
          <w:lang w:val="ru-MD"/>
        </w:rPr>
        <w:t xml:space="preserve"> года</w:t>
      </w:r>
    </w:p>
    <w:p w14:paraId="6476228B" w14:textId="021C8A0D" w:rsidR="005B4FFB" w:rsidRPr="000B12FB" w:rsidRDefault="005B4FFB" w:rsidP="005B4FFB">
      <w:pPr>
        <w:spacing w:after="0" w:line="276" w:lineRule="auto"/>
        <w:jc w:val="center"/>
        <w:rPr>
          <w:rFonts w:ascii="Calibri Light" w:eastAsia="Times New Roman" w:hAnsi="Calibri Light" w:cs="Calibri Light"/>
          <w:b/>
          <w:bCs/>
          <w:sz w:val="24"/>
          <w:szCs w:val="24"/>
          <w:lang w:val="ru-MD" w:eastAsia="ru-RU"/>
        </w:rPr>
      </w:pPr>
      <w:r w:rsidRPr="000B12FB">
        <w:rPr>
          <w:rFonts w:ascii="Calibri Light" w:eastAsia="Times New Roman" w:hAnsi="Calibri Light" w:cs="Calibri Light"/>
          <w:b/>
          <w:bCs/>
          <w:sz w:val="24"/>
          <w:szCs w:val="24"/>
          <w:lang w:val="ru-MD" w:eastAsia="ru-RU"/>
        </w:rPr>
        <w:t xml:space="preserve">по Отчету аудита соответствия администрирования публичных доходов </w:t>
      </w:r>
    </w:p>
    <w:p w14:paraId="4E2608DB" w14:textId="4212E6CB" w:rsidR="00F051D7" w:rsidRPr="000B12FB" w:rsidRDefault="005B4FFB" w:rsidP="005B4FFB">
      <w:pPr>
        <w:spacing w:after="0" w:line="276" w:lineRule="auto"/>
        <w:jc w:val="center"/>
        <w:rPr>
          <w:rFonts w:asciiTheme="majorHAnsi" w:eastAsia="Times New Roman" w:hAnsiTheme="majorHAnsi" w:cstheme="majorHAnsi"/>
          <w:sz w:val="18"/>
          <w:szCs w:val="16"/>
          <w:lang w:val="ru-MD"/>
        </w:rPr>
      </w:pPr>
      <w:r w:rsidRPr="000B12FB">
        <w:rPr>
          <w:rFonts w:ascii="Calibri Light" w:eastAsia="Times New Roman" w:hAnsi="Calibri Light" w:cs="Calibri Light"/>
          <w:b/>
          <w:bCs/>
          <w:sz w:val="24"/>
          <w:szCs w:val="24"/>
          <w:lang w:val="ru-MD" w:eastAsia="ru-RU"/>
        </w:rPr>
        <w:t xml:space="preserve">Таможенной службой, за 2020-2021 годы </w:t>
      </w:r>
    </w:p>
    <w:p w14:paraId="242E96B2" w14:textId="67F72338" w:rsidR="00F051D7" w:rsidRPr="000B12FB" w:rsidRDefault="00A53339" w:rsidP="00F051D7">
      <w:pPr>
        <w:spacing w:after="120" w:line="257" w:lineRule="auto"/>
        <w:ind w:firstLine="706"/>
        <w:jc w:val="both"/>
        <w:rPr>
          <w:rFonts w:asciiTheme="majorHAnsi" w:hAnsiTheme="majorHAnsi" w:cstheme="majorHAnsi"/>
          <w:sz w:val="24"/>
          <w:szCs w:val="24"/>
          <w:lang w:val="ru-MD"/>
        </w:rPr>
      </w:pPr>
      <w:r w:rsidRPr="000B12FB">
        <w:rPr>
          <w:rFonts w:asciiTheme="majorHAnsi" w:hAnsiTheme="majorHAnsi" w:cstheme="majorHAnsi"/>
          <w:sz w:val="24"/>
          <w:szCs w:val="24"/>
          <w:lang w:val="ru-MD"/>
        </w:rPr>
        <w:t>Счетная палата в присутствии г-жи Лидии Абабий, заместителя директора Таможенной службы; г-на Юрия Степанюка, начальника Управления таможенных доходов Таможенной службы; г-жи Корины Алекса, заместителя начальника Управления налоговой и таможенной политики Министерства финансов; г-жи Кристины Чебан, начальника Управления международного экономического сотрудничества Министерства экономики; г-жи Олеси Лунгу, начальника Управления по учету и отчетности государственной помощи Совета по конкуренции, а также других должностных лиц, в рамках виде</w:t>
      </w:r>
      <w:r w:rsidR="002A596C" w:rsidRPr="000B12FB">
        <w:rPr>
          <w:rFonts w:asciiTheme="majorHAnsi" w:hAnsiTheme="majorHAnsi" w:cstheme="majorHAnsi"/>
          <w:sz w:val="24"/>
          <w:szCs w:val="24"/>
          <w:lang w:val="ru-MD"/>
        </w:rPr>
        <w:t>о</w:t>
      </w:r>
      <w:r w:rsidRPr="000B12FB">
        <w:rPr>
          <w:rFonts w:asciiTheme="majorHAnsi" w:hAnsiTheme="majorHAnsi" w:cstheme="majorHAnsi"/>
          <w:sz w:val="24"/>
          <w:szCs w:val="24"/>
          <w:lang w:val="ru-MD"/>
        </w:rPr>
        <w:t>заседания, руководствуясь ст.3 (1) и ст.5 (1) а) Закона об организации и функционировании Счетной палаты Республики Молдова</w:t>
      </w:r>
      <w:r w:rsidRPr="000B12FB">
        <w:rPr>
          <w:rFonts w:asciiTheme="majorHAnsi" w:hAnsiTheme="majorHAnsi" w:cstheme="majorHAnsi"/>
          <w:sz w:val="24"/>
          <w:szCs w:val="24"/>
          <w:vertAlign w:val="superscript"/>
          <w:lang w:val="ru-MD"/>
        </w:rPr>
        <w:footnoteReference w:id="1"/>
      </w:r>
      <w:r w:rsidRPr="000B12FB">
        <w:rPr>
          <w:rFonts w:asciiTheme="majorHAnsi" w:hAnsiTheme="majorHAnsi" w:cstheme="majorHAnsi"/>
          <w:sz w:val="24"/>
          <w:szCs w:val="24"/>
          <w:lang w:val="ru-MD"/>
        </w:rPr>
        <w:t>, рассмотрела Отчет аудита соответствия администрирования публичных доходов Таможенной службой, за 2020-2021 годы</w:t>
      </w:r>
      <w:r w:rsidR="00F051D7" w:rsidRPr="000B12FB">
        <w:rPr>
          <w:rFonts w:asciiTheme="majorHAnsi" w:hAnsiTheme="majorHAnsi" w:cstheme="majorHAnsi"/>
          <w:sz w:val="24"/>
          <w:szCs w:val="24"/>
          <w:lang w:val="ru-MD"/>
        </w:rPr>
        <w:t>.</w:t>
      </w:r>
    </w:p>
    <w:p w14:paraId="2A57FC0A" w14:textId="30CA778A" w:rsidR="00F051D7" w:rsidRPr="000B12FB" w:rsidRDefault="00A53339" w:rsidP="005A4568">
      <w:pPr>
        <w:spacing w:after="120" w:line="257" w:lineRule="auto"/>
        <w:ind w:firstLine="709"/>
        <w:jc w:val="both"/>
        <w:rPr>
          <w:rFonts w:asciiTheme="majorHAnsi" w:eastAsia="Times New Roman" w:hAnsiTheme="majorHAnsi" w:cstheme="majorHAnsi"/>
          <w:sz w:val="24"/>
          <w:szCs w:val="24"/>
          <w:lang w:val="ru-MD"/>
        </w:rPr>
      </w:pPr>
      <w:r w:rsidRPr="000B12FB">
        <w:rPr>
          <w:rFonts w:asciiTheme="majorHAnsi" w:eastAsia="Times New Roman" w:hAnsiTheme="majorHAnsi" w:cstheme="majorHAnsi"/>
          <w:sz w:val="24"/>
          <w:szCs w:val="24"/>
          <w:lang w:val="ru-MD"/>
        </w:rPr>
        <w:t>Миссия внешнего публичного аудита была проведена в соответствии с Программой аудиторской деятельности Счетной палаты на 2020 год</w:t>
      </w:r>
      <w:r w:rsidRPr="000B12FB">
        <w:rPr>
          <w:rFonts w:asciiTheme="majorHAnsi" w:eastAsiaTheme="minorEastAsia" w:hAnsiTheme="majorHAnsi" w:cstheme="majorHAnsi"/>
          <w:sz w:val="24"/>
          <w:szCs w:val="24"/>
          <w:vertAlign w:val="superscript"/>
          <w:lang w:val="ru-MD" w:bidi="en-US"/>
        </w:rPr>
        <w:footnoteReference w:id="2"/>
      </w:r>
      <w:r w:rsidRPr="000B12FB">
        <w:rPr>
          <w:rFonts w:asciiTheme="majorHAnsi" w:eastAsia="Times New Roman" w:hAnsiTheme="majorHAnsi" w:cstheme="majorHAnsi"/>
          <w:sz w:val="24"/>
          <w:szCs w:val="24"/>
          <w:lang w:val="ru-MD"/>
        </w:rPr>
        <w:t xml:space="preserve">, с целью оценки соответствия администрирования публичных доходов Таможенной службой,  </w:t>
      </w:r>
      <w:r w:rsidRPr="000B12FB">
        <w:rPr>
          <w:rFonts w:asciiTheme="majorHAnsi" w:hAnsiTheme="majorHAnsi" w:cstheme="majorHAnsi"/>
          <w:sz w:val="24"/>
          <w:szCs w:val="24"/>
          <w:lang w:val="ru-MD"/>
        </w:rPr>
        <w:t>за 2020-2021 годы</w:t>
      </w:r>
      <w:r w:rsidR="00F051D7" w:rsidRPr="000B12FB">
        <w:rPr>
          <w:rFonts w:asciiTheme="majorHAnsi" w:hAnsiTheme="majorHAnsi" w:cstheme="majorHAnsi"/>
          <w:sz w:val="24"/>
          <w:szCs w:val="24"/>
          <w:lang w:val="ru-MD"/>
        </w:rPr>
        <w:t>.</w:t>
      </w:r>
    </w:p>
    <w:p w14:paraId="0C6CC927" w14:textId="61FF94F4" w:rsidR="00F051D7" w:rsidRPr="000B12FB" w:rsidRDefault="00A53339" w:rsidP="005A4568">
      <w:pPr>
        <w:spacing w:after="120" w:line="276" w:lineRule="auto"/>
        <w:ind w:firstLine="709"/>
        <w:jc w:val="both"/>
        <w:rPr>
          <w:rFonts w:ascii="Calibri Light" w:eastAsia="Times New Roman" w:hAnsi="Calibri Light" w:cs="Calibri Light"/>
          <w:sz w:val="24"/>
          <w:szCs w:val="24"/>
          <w:lang w:val="ru-MD"/>
        </w:rPr>
      </w:pPr>
      <w:r w:rsidRPr="000B12FB">
        <w:rPr>
          <w:rFonts w:ascii="Calibri Light" w:eastAsia="Times New Roman" w:hAnsi="Calibri Light" w:cs="Calibri Light"/>
          <w:sz w:val="24"/>
          <w:szCs w:val="24"/>
          <w:lang w:val="ru-MD"/>
        </w:rPr>
        <w:t xml:space="preserve">Внешний публичный аудит был проведен в соответствии с Международными стандартами Высших органов аудита, применяемыми Счетной палатой, в частности </w:t>
      </w:r>
      <w:r w:rsidR="00F051D7" w:rsidRPr="000B12FB">
        <w:rPr>
          <w:rFonts w:ascii="Calibri Light" w:eastAsia="Times New Roman" w:hAnsi="Calibri Light" w:cs="Calibri Light"/>
          <w:sz w:val="24"/>
          <w:szCs w:val="24"/>
          <w:lang w:val="ru-MD"/>
        </w:rPr>
        <w:t xml:space="preserve">ISSAI 100, ISSAI 400 </w:t>
      </w:r>
      <w:r w:rsidR="00CC03EF" w:rsidRPr="000B12FB">
        <w:rPr>
          <w:rFonts w:ascii="Calibri Light" w:eastAsia="Times New Roman" w:hAnsi="Calibri Light" w:cs="Calibri Light"/>
          <w:sz w:val="24"/>
          <w:szCs w:val="24"/>
          <w:lang w:val="ru-MD"/>
        </w:rPr>
        <w:t>и</w:t>
      </w:r>
      <w:r w:rsidR="00F051D7" w:rsidRPr="000B12FB">
        <w:rPr>
          <w:rFonts w:ascii="Calibri Light" w:eastAsia="Times New Roman" w:hAnsi="Calibri Light" w:cs="Calibri Light"/>
          <w:sz w:val="24"/>
          <w:szCs w:val="24"/>
          <w:lang w:val="ru-MD"/>
        </w:rPr>
        <w:t xml:space="preserve"> ISSAI 4000</w:t>
      </w:r>
      <w:r w:rsidRPr="000B12FB">
        <w:rPr>
          <w:rFonts w:ascii="Calibri Light" w:eastAsia="Times New Roman" w:hAnsi="Calibri Light" w:cs="Calibri Light"/>
          <w:sz w:val="24"/>
          <w:szCs w:val="24"/>
          <w:vertAlign w:val="superscript"/>
          <w:lang w:val="ru-MD"/>
        </w:rPr>
        <w:footnoteReference w:id="3"/>
      </w:r>
      <w:r w:rsidR="00F051D7" w:rsidRPr="000B12FB">
        <w:rPr>
          <w:rFonts w:ascii="Calibri Light" w:eastAsia="Times New Roman" w:hAnsi="Calibri Light" w:cs="Calibri Light"/>
          <w:sz w:val="24"/>
          <w:szCs w:val="24"/>
          <w:lang w:val="ru-MD"/>
        </w:rPr>
        <w:t xml:space="preserve">. </w:t>
      </w:r>
    </w:p>
    <w:p w14:paraId="09CD31CA" w14:textId="77777777" w:rsidR="00FE218F" w:rsidRPr="000B12FB" w:rsidRDefault="00FE218F" w:rsidP="00FE218F">
      <w:pPr>
        <w:spacing w:after="0" w:line="276" w:lineRule="auto"/>
        <w:ind w:firstLine="709"/>
        <w:jc w:val="both"/>
        <w:rPr>
          <w:rFonts w:ascii="Calibri Light" w:eastAsia="Times New Roman" w:hAnsi="Calibri Light"/>
          <w:sz w:val="24"/>
          <w:szCs w:val="24"/>
          <w:lang w:val="ru-MD"/>
        </w:rPr>
      </w:pPr>
      <w:r w:rsidRPr="000B12FB">
        <w:rPr>
          <w:rFonts w:ascii="Calibri Light" w:eastAsia="Times New Roman" w:hAnsi="Calibri Light"/>
          <w:sz w:val="24"/>
          <w:szCs w:val="24"/>
          <w:lang w:val="ru-MD"/>
        </w:rPr>
        <w:t xml:space="preserve">Рассмотрев Отчет аудита, Счетная палата </w:t>
      </w:r>
    </w:p>
    <w:p w14:paraId="17A0D252" w14:textId="18A34FF4" w:rsidR="00F051D7" w:rsidRPr="000B12FB" w:rsidRDefault="00FE218F" w:rsidP="00F051D7">
      <w:pPr>
        <w:tabs>
          <w:tab w:val="left" w:pos="5310"/>
        </w:tabs>
        <w:spacing w:after="120" w:line="276" w:lineRule="auto"/>
        <w:jc w:val="center"/>
        <w:rPr>
          <w:rFonts w:ascii="Calibri Light" w:eastAsia="Times New Roman" w:hAnsi="Calibri Light" w:cs="Calibri Light"/>
          <w:b/>
          <w:bCs/>
          <w:sz w:val="24"/>
          <w:szCs w:val="24"/>
          <w:lang w:val="ru-MD"/>
        </w:rPr>
      </w:pPr>
      <w:r w:rsidRPr="000B12FB">
        <w:rPr>
          <w:rFonts w:ascii="Calibri Light" w:eastAsia="Times New Roman" w:hAnsi="Calibri Light"/>
          <w:b/>
          <w:sz w:val="24"/>
          <w:szCs w:val="24"/>
          <w:lang w:val="ru-MD"/>
        </w:rPr>
        <w:t>УСТАНОВИЛА</w:t>
      </w:r>
      <w:r w:rsidR="00F051D7" w:rsidRPr="000B12FB">
        <w:rPr>
          <w:rFonts w:ascii="Calibri Light" w:eastAsia="Times New Roman" w:hAnsi="Calibri Light" w:cs="Calibri Light"/>
          <w:b/>
          <w:bCs/>
          <w:sz w:val="24"/>
          <w:szCs w:val="24"/>
          <w:lang w:val="ru-MD"/>
        </w:rPr>
        <w:t>:</w:t>
      </w:r>
    </w:p>
    <w:p w14:paraId="5B9E18A4" w14:textId="44C784FB" w:rsidR="00B0528F" w:rsidRPr="000B12FB" w:rsidRDefault="00FE218F" w:rsidP="005A4568">
      <w:pPr>
        <w:spacing w:after="0"/>
        <w:ind w:firstLine="720"/>
        <w:jc w:val="both"/>
        <w:rPr>
          <w:rFonts w:asciiTheme="majorHAnsi" w:hAnsiTheme="majorHAnsi"/>
          <w:sz w:val="24"/>
          <w:szCs w:val="24"/>
          <w:lang w:val="ru-MD"/>
        </w:rPr>
      </w:pPr>
      <w:r w:rsidRPr="000B12FB">
        <w:rPr>
          <w:rFonts w:asciiTheme="majorHAnsi" w:hAnsiTheme="majorHAnsi"/>
          <w:sz w:val="24"/>
          <w:szCs w:val="24"/>
          <w:lang w:val="ru-MD"/>
        </w:rPr>
        <w:t>Таможенная служба является подведомственным Министерству финансов административным органом, реализующим таможенную политику государства путем единообразного и беспристрастного применения таможенного законодательства в целях обеспечения экономической безопасности государства</w:t>
      </w:r>
      <w:r w:rsidR="00CA53ED" w:rsidRPr="000B12FB">
        <w:rPr>
          <w:rFonts w:asciiTheme="majorHAnsi" w:hAnsiTheme="majorHAnsi"/>
          <w:sz w:val="24"/>
          <w:szCs w:val="24"/>
          <w:lang w:val="ru-MD"/>
        </w:rPr>
        <w:t>,</w:t>
      </w:r>
      <w:r w:rsidRPr="000B12FB">
        <w:rPr>
          <w:rFonts w:asciiTheme="majorHAnsi" w:hAnsiTheme="majorHAnsi"/>
          <w:sz w:val="24"/>
          <w:szCs w:val="24"/>
          <w:lang w:val="ru-MD"/>
        </w:rPr>
        <w:t xml:space="preserve"> в пределах своей компетенции</w:t>
      </w:r>
      <w:r w:rsidR="00CA53ED" w:rsidRPr="000B12FB">
        <w:rPr>
          <w:rFonts w:asciiTheme="majorHAnsi" w:hAnsiTheme="majorHAnsi"/>
          <w:sz w:val="24"/>
          <w:szCs w:val="24"/>
          <w:lang w:val="ru-MD"/>
        </w:rPr>
        <w:t xml:space="preserve">, взимания таможенных платежей на импорт и экспорт, </w:t>
      </w:r>
      <w:r w:rsidR="00913834" w:rsidRPr="000B12FB">
        <w:rPr>
          <w:rFonts w:asciiTheme="majorHAnsi" w:hAnsiTheme="majorHAnsi"/>
          <w:sz w:val="24"/>
          <w:szCs w:val="24"/>
          <w:lang w:val="ru-MD"/>
        </w:rPr>
        <w:t>с целью накопления доходов в государственный бюджет, принятия меры по борьбе с нарушениями таможенных правил и другими правонарушениями в области таможенной деятельности и содействия торговле.</w:t>
      </w:r>
      <w:r w:rsidR="00CA53ED" w:rsidRPr="000B12FB">
        <w:rPr>
          <w:rFonts w:asciiTheme="majorHAnsi" w:hAnsiTheme="majorHAnsi"/>
          <w:sz w:val="24"/>
          <w:szCs w:val="24"/>
          <w:lang w:val="ru-MD"/>
        </w:rPr>
        <w:t xml:space="preserve"> </w:t>
      </w:r>
      <w:r w:rsidRPr="000B12FB">
        <w:rPr>
          <w:rFonts w:asciiTheme="majorHAnsi" w:hAnsiTheme="majorHAnsi"/>
          <w:sz w:val="24"/>
          <w:szCs w:val="24"/>
          <w:lang w:val="ru-MD"/>
        </w:rPr>
        <w:lastRenderedPageBreak/>
        <w:t>Таможенная служба пользуется административной автономией и автономией в принятии решений с соблюдением положений действующего законодательства</w:t>
      </w:r>
      <w:r w:rsidR="00913834" w:rsidRPr="000B12FB">
        <w:rPr>
          <w:rFonts w:asciiTheme="majorHAnsi" w:hAnsiTheme="majorHAnsi"/>
          <w:sz w:val="24"/>
          <w:szCs w:val="24"/>
          <w:lang w:val="ru-MD"/>
        </w:rPr>
        <w:t>.</w:t>
      </w:r>
      <w:r w:rsidR="00625C6A" w:rsidRPr="000B12FB">
        <w:rPr>
          <w:rFonts w:asciiTheme="majorHAnsi" w:hAnsiTheme="majorHAnsi"/>
          <w:sz w:val="24"/>
          <w:szCs w:val="24"/>
          <w:lang w:val="ru-MD"/>
        </w:rPr>
        <w:t xml:space="preserve"> </w:t>
      </w:r>
    </w:p>
    <w:p w14:paraId="56F60EBC" w14:textId="77777777" w:rsidR="00A857D9" w:rsidRPr="000B12FB" w:rsidRDefault="00A857D9" w:rsidP="005A4568">
      <w:pPr>
        <w:spacing w:after="0"/>
        <w:ind w:firstLine="720"/>
        <w:jc w:val="both"/>
        <w:rPr>
          <w:rFonts w:asciiTheme="majorHAnsi" w:hAnsiTheme="majorHAnsi"/>
          <w:sz w:val="24"/>
          <w:szCs w:val="24"/>
          <w:lang w:val="ru-MD"/>
        </w:rPr>
      </w:pPr>
    </w:p>
    <w:p w14:paraId="0E5260C2" w14:textId="1EEA72AE" w:rsidR="00B0528F" w:rsidRPr="000B12FB" w:rsidRDefault="00913834" w:rsidP="005A4568">
      <w:pPr>
        <w:spacing w:after="0"/>
        <w:ind w:firstLine="720"/>
        <w:jc w:val="both"/>
        <w:rPr>
          <w:rFonts w:asciiTheme="majorHAnsi" w:hAnsiTheme="majorHAnsi" w:cstheme="majorHAnsi"/>
          <w:sz w:val="24"/>
          <w:szCs w:val="24"/>
          <w:lang w:val="ru-MD"/>
        </w:rPr>
      </w:pPr>
      <w:r w:rsidRPr="000B12FB">
        <w:rPr>
          <w:rFonts w:asciiTheme="majorHAnsi" w:hAnsiTheme="majorHAnsi" w:cstheme="majorHAnsi"/>
          <w:sz w:val="24"/>
          <w:szCs w:val="24"/>
          <w:lang w:val="ru-MD"/>
        </w:rPr>
        <w:t>В период 2020-2021 годов Таможенная служба обладала частично функцион</w:t>
      </w:r>
      <w:r w:rsidR="001142DC" w:rsidRPr="000B12FB">
        <w:rPr>
          <w:rFonts w:asciiTheme="majorHAnsi" w:hAnsiTheme="majorHAnsi" w:cstheme="majorHAnsi"/>
          <w:sz w:val="24"/>
          <w:szCs w:val="24"/>
          <w:lang w:val="ru-MD"/>
        </w:rPr>
        <w:t>ально</w:t>
      </w:r>
      <w:r w:rsidRPr="000B12FB">
        <w:rPr>
          <w:rFonts w:asciiTheme="majorHAnsi" w:hAnsiTheme="majorHAnsi" w:cstheme="majorHAnsi"/>
          <w:sz w:val="24"/>
          <w:szCs w:val="24"/>
          <w:lang w:val="ru-MD"/>
        </w:rPr>
        <w:t>й систем</w:t>
      </w:r>
      <w:r w:rsidR="001142DC" w:rsidRPr="000B12FB">
        <w:rPr>
          <w:rFonts w:asciiTheme="majorHAnsi" w:hAnsiTheme="majorHAnsi" w:cstheme="majorHAnsi"/>
          <w:sz w:val="24"/>
          <w:szCs w:val="24"/>
          <w:lang w:val="ru-MD"/>
        </w:rPr>
        <w:t>ой</w:t>
      </w:r>
      <w:r w:rsidRPr="000B12FB">
        <w:rPr>
          <w:rFonts w:asciiTheme="majorHAnsi" w:hAnsiTheme="majorHAnsi" w:cstheme="majorHAnsi"/>
          <w:sz w:val="24"/>
          <w:szCs w:val="24"/>
          <w:lang w:val="ru-MD"/>
        </w:rPr>
        <w:t xml:space="preserve"> с точки зрения соответствия администр</w:t>
      </w:r>
      <w:r w:rsidR="001142DC" w:rsidRPr="000B12FB">
        <w:rPr>
          <w:rFonts w:asciiTheme="majorHAnsi" w:hAnsiTheme="majorHAnsi" w:cstheme="majorHAnsi"/>
          <w:sz w:val="24"/>
          <w:szCs w:val="24"/>
          <w:lang w:val="ru-MD"/>
        </w:rPr>
        <w:t>ирования</w:t>
      </w:r>
      <w:r w:rsidRPr="000B12FB">
        <w:rPr>
          <w:rFonts w:asciiTheme="majorHAnsi" w:hAnsiTheme="majorHAnsi" w:cstheme="majorHAnsi"/>
          <w:sz w:val="24"/>
          <w:szCs w:val="24"/>
          <w:lang w:val="ru-MD"/>
        </w:rPr>
        <w:t xml:space="preserve"> </w:t>
      </w:r>
      <w:r w:rsidR="001142DC" w:rsidRPr="000B12FB">
        <w:rPr>
          <w:rFonts w:asciiTheme="majorHAnsi" w:hAnsiTheme="majorHAnsi" w:cstheme="majorHAnsi"/>
          <w:sz w:val="24"/>
          <w:szCs w:val="24"/>
          <w:lang w:val="ru-MD"/>
        </w:rPr>
        <w:t>публич</w:t>
      </w:r>
      <w:r w:rsidRPr="000B12FB">
        <w:rPr>
          <w:rFonts w:asciiTheme="majorHAnsi" w:hAnsiTheme="majorHAnsi" w:cstheme="majorHAnsi"/>
          <w:sz w:val="24"/>
          <w:szCs w:val="24"/>
          <w:lang w:val="ru-MD"/>
        </w:rPr>
        <w:t xml:space="preserve">ных таможенных доходов. Исходя из того, что таможенное администрирование </w:t>
      </w:r>
      <w:r w:rsidR="001142DC" w:rsidRPr="000B12FB">
        <w:rPr>
          <w:rFonts w:asciiTheme="majorHAnsi" w:hAnsiTheme="majorHAnsi" w:cstheme="majorHAnsi"/>
          <w:sz w:val="24"/>
          <w:szCs w:val="24"/>
          <w:lang w:val="ru-MD"/>
        </w:rPr>
        <w:t>за</w:t>
      </w:r>
      <w:r w:rsidRPr="000B12FB">
        <w:rPr>
          <w:rFonts w:asciiTheme="majorHAnsi" w:hAnsiTheme="majorHAnsi" w:cstheme="majorHAnsi"/>
          <w:sz w:val="24"/>
          <w:szCs w:val="24"/>
          <w:lang w:val="ru-MD"/>
        </w:rPr>
        <w:t xml:space="preserve"> </w:t>
      </w:r>
      <w:r w:rsidR="001142DC" w:rsidRPr="000B12FB">
        <w:rPr>
          <w:rFonts w:asciiTheme="majorHAnsi" w:hAnsiTheme="majorHAnsi" w:cstheme="majorHAnsi"/>
          <w:sz w:val="24"/>
          <w:szCs w:val="24"/>
          <w:lang w:val="ru-MD"/>
        </w:rPr>
        <w:t>аудируем</w:t>
      </w:r>
      <w:r w:rsidRPr="000B12FB">
        <w:rPr>
          <w:rFonts w:asciiTheme="majorHAnsi" w:hAnsiTheme="majorHAnsi" w:cstheme="majorHAnsi"/>
          <w:sz w:val="24"/>
          <w:szCs w:val="24"/>
          <w:lang w:val="ru-MD"/>
        </w:rPr>
        <w:t xml:space="preserve">ый период </w:t>
      </w:r>
      <w:r w:rsidR="001142DC" w:rsidRPr="000B12FB">
        <w:rPr>
          <w:rFonts w:asciiTheme="majorHAnsi" w:hAnsiTheme="majorHAnsi" w:cstheme="majorHAnsi"/>
          <w:sz w:val="24"/>
          <w:szCs w:val="24"/>
          <w:lang w:val="ru-MD"/>
        </w:rPr>
        <w:t>осуществлялось</w:t>
      </w:r>
      <w:r w:rsidRPr="000B12FB">
        <w:rPr>
          <w:rFonts w:asciiTheme="majorHAnsi" w:hAnsiTheme="majorHAnsi" w:cstheme="majorHAnsi"/>
          <w:sz w:val="24"/>
          <w:szCs w:val="24"/>
          <w:lang w:val="ru-MD"/>
        </w:rPr>
        <w:t xml:space="preserve"> в сложной ситуации, вызванной пандемией COVID-19, </w:t>
      </w:r>
      <w:r w:rsidR="001142DC" w:rsidRPr="000B12FB">
        <w:rPr>
          <w:rFonts w:asciiTheme="majorHAnsi" w:hAnsiTheme="majorHAnsi" w:cstheme="majorHAnsi"/>
          <w:sz w:val="24"/>
          <w:szCs w:val="24"/>
          <w:lang w:val="ru-MD"/>
        </w:rPr>
        <w:t>отмеча</w:t>
      </w:r>
      <w:r w:rsidRPr="000B12FB">
        <w:rPr>
          <w:rFonts w:asciiTheme="majorHAnsi" w:hAnsiTheme="majorHAnsi" w:cstheme="majorHAnsi"/>
          <w:sz w:val="24"/>
          <w:szCs w:val="24"/>
          <w:lang w:val="ru-MD"/>
        </w:rPr>
        <w:t>ется, что таможенн</w:t>
      </w:r>
      <w:r w:rsidR="001142DC" w:rsidRPr="000B12FB">
        <w:rPr>
          <w:rFonts w:asciiTheme="majorHAnsi" w:hAnsiTheme="majorHAnsi" w:cstheme="majorHAnsi"/>
          <w:sz w:val="24"/>
          <w:szCs w:val="24"/>
          <w:lang w:val="ru-MD"/>
        </w:rPr>
        <w:t>ый орган приложил все</w:t>
      </w:r>
      <w:r w:rsidRPr="000B12FB">
        <w:rPr>
          <w:rFonts w:asciiTheme="majorHAnsi" w:hAnsiTheme="majorHAnsi" w:cstheme="majorHAnsi"/>
          <w:sz w:val="24"/>
          <w:szCs w:val="24"/>
          <w:lang w:val="ru-MD"/>
        </w:rPr>
        <w:t xml:space="preserve"> </w:t>
      </w:r>
      <w:r w:rsidR="001142DC" w:rsidRPr="000B12FB">
        <w:rPr>
          <w:rFonts w:asciiTheme="majorHAnsi" w:hAnsiTheme="majorHAnsi" w:cstheme="majorHAnsi"/>
          <w:sz w:val="24"/>
          <w:szCs w:val="24"/>
          <w:lang w:val="ru-MD"/>
        </w:rPr>
        <w:t>усилия для</w:t>
      </w:r>
      <w:r w:rsidRPr="000B12FB">
        <w:rPr>
          <w:rFonts w:asciiTheme="majorHAnsi" w:hAnsiTheme="majorHAnsi" w:cstheme="majorHAnsi"/>
          <w:sz w:val="24"/>
          <w:szCs w:val="24"/>
          <w:lang w:val="ru-MD"/>
        </w:rPr>
        <w:t xml:space="preserve"> реализации задачи по сбору доходов в государственный бюджет</w:t>
      </w:r>
      <w:r w:rsidR="00B0528F" w:rsidRPr="000B12FB">
        <w:rPr>
          <w:rFonts w:asciiTheme="majorHAnsi" w:hAnsiTheme="majorHAnsi" w:cstheme="majorHAnsi"/>
          <w:sz w:val="24"/>
          <w:szCs w:val="24"/>
          <w:lang w:val="ru-MD"/>
        </w:rPr>
        <w:t>.</w:t>
      </w:r>
    </w:p>
    <w:p w14:paraId="0FB15402" w14:textId="2C8D66BC" w:rsidR="00734F12" w:rsidRPr="000B12FB" w:rsidRDefault="001142DC" w:rsidP="005A4568">
      <w:pPr>
        <w:spacing w:after="0"/>
        <w:ind w:firstLine="720"/>
        <w:jc w:val="both"/>
        <w:rPr>
          <w:rFonts w:asciiTheme="majorHAnsi" w:hAnsiTheme="majorHAnsi" w:cstheme="majorHAnsi"/>
          <w:sz w:val="24"/>
          <w:szCs w:val="24"/>
          <w:lang w:val="ru-MD"/>
        </w:rPr>
      </w:pPr>
      <w:r w:rsidRPr="000B12FB">
        <w:rPr>
          <w:rFonts w:asciiTheme="majorHAnsi" w:hAnsiTheme="majorHAnsi" w:cstheme="majorHAnsi"/>
          <w:sz w:val="24"/>
          <w:szCs w:val="24"/>
          <w:lang w:val="ru-MD"/>
        </w:rPr>
        <w:t>Одновременно, аудитом установлены некоторые недостатки и проблемы, связанные с администрированием публичных доходов, а именно</w:t>
      </w:r>
      <w:r w:rsidR="00C9139A" w:rsidRPr="000B12FB">
        <w:rPr>
          <w:rFonts w:asciiTheme="majorHAnsi" w:hAnsiTheme="majorHAnsi" w:cstheme="majorHAnsi"/>
          <w:sz w:val="24"/>
          <w:szCs w:val="24"/>
          <w:lang w:val="ru-MD"/>
        </w:rPr>
        <w:t>:</w:t>
      </w:r>
    </w:p>
    <w:p w14:paraId="52331D03" w14:textId="1603CCA3" w:rsidR="00065D60" w:rsidRPr="000B12FB" w:rsidRDefault="006C1E84" w:rsidP="006C1E84">
      <w:pPr>
        <w:pStyle w:val="ListParagraph"/>
        <w:numPr>
          <w:ilvl w:val="0"/>
          <w:numId w:val="5"/>
        </w:numPr>
        <w:shd w:val="clear" w:color="auto" w:fill="FFFFFF"/>
        <w:spacing w:after="0"/>
        <w:ind w:left="0" w:firstLine="360"/>
        <w:jc w:val="both"/>
        <w:rPr>
          <w:rFonts w:asciiTheme="majorHAnsi" w:hAnsiTheme="majorHAnsi" w:cstheme="majorHAnsi"/>
          <w:sz w:val="24"/>
          <w:szCs w:val="24"/>
          <w:lang w:val="ru-MD"/>
        </w:rPr>
      </w:pPr>
      <w:r w:rsidRPr="000B12FB">
        <w:rPr>
          <w:rFonts w:asciiTheme="majorHAnsi" w:hAnsiTheme="majorHAnsi" w:cstheme="majorHAnsi"/>
          <w:iCs/>
          <w:sz w:val="24"/>
          <w:szCs w:val="24"/>
          <w:lang w:val="ru-MD"/>
        </w:rPr>
        <w:t xml:space="preserve">обладая полномочиями по </w:t>
      </w:r>
      <w:r w:rsidR="00E82A96" w:rsidRPr="000B12FB">
        <w:rPr>
          <w:rFonts w:asciiTheme="majorHAnsi" w:hAnsiTheme="majorHAnsi" w:cstheme="majorHAnsi"/>
          <w:sz w:val="24"/>
          <w:szCs w:val="24"/>
          <w:lang w:val="ru-MD"/>
        </w:rPr>
        <w:t>администрировани</w:t>
      </w:r>
      <w:r w:rsidRPr="000B12FB">
        <w:rPr>
          <w:rFonts w:asciiTheme="majorHAnsi" w:hAnsiTheme="majorHAnsi" w:cstheme="majorHAnsi"/>
          <w:iCs/>
          <w:sz w:val="24"/>
          <w:szCs w:val="24"/>
          <w:lang w:val="ru-MD"/>
        </w:rPr>
        <w:t>ю доход</w:t>
      </w:r>
      <w:r w:rsidR="00E82A96" w:rsidRPr="000B12FB">
        <w:rPr>
          <w:rFonts w:asciiTheme="majorHAnsi" w:hAnsiTheme="majorHAnsi" w:cstheme="majorHAnsi"/>
          <w:iCs/>
          <w:sz w:val="24"/>
          <w:szCs w:val="24"/>
          <w:lang w:val="ru-MD"/>
        </w:rPr>
        <w:t>ов</w:t>
      </w:r>
      <w:r w:rsidRPr="000B12FB">
        <w:rPr>
          <w:rFonts w:asciiTheme="majorHAnsi" w:hAnsiTheme="majorHAnsi" w:cstheme="majorHAnsi"/>
          <w:iCs/>
          <w:sz w:val="24"/>
          <w:szCs w:val="24"/>
          <w:lang w:val="ru-MD"/>
        </w:rPr>
        <w:t xml:space="preserve">, </w:t>
      </w:r>
      <w:r w:rsidR="00E82A96" w:rsidRPr="000B12FB">
        <w:rPr>
          <w:rFonts w:asciiTheme="majorHAnsi" w:hAnsiTheme="majorHAnsi" w:cstheme="majorHAnsi"/>
          <w:iCs/>
          <w:sz w:val="24"/>
          <w:szCs w:val="24"/>
          <w:lang w:val="ru-MD"/>
        </w:rPr>
        <w:t>Т</w:t>
      </w:r>
      <w:r w:rsidRPr="000B12FB">
        <w:rPr>
          <w:rFonts w:asciiTheme="majorHAnsi" w:hAnsiTheme="majorHAnsi" w:cstheme="majorHAnsi"/>
          <w:iCs/>
          <w:sz w:val="24"/>
          <w:szCs w:val="24"/>
          <w:lang w:val="ru-MD"/>
        </w:rPr>
        <w:t>аможенная служба собрала в 2021 году в государственный бюджет 28.553 7 млн.</w:t>
      </w:r>
      <w:r w:rsidR="00E82A96" w:rsidRPr="000B12FB">
        <w:rPr>
          <w:rFonts w:asciiTheme="majorHAnsi" w:hAnsiTheme="majorHAnsi" w:cstheme="majorHAnsi"/>
          <w:iCs/>
          <w:sz w:val="24"/>
          <w:szCs w:val="24"/>
          <w:lang w:val="ru-MD"/>
        </w:rPr>
        <w:t xml:space="preserve"> </w:t>
      </w:r>
      <w:r w:rsidRPr="000B12FB">
        <w:rPr>
          <w:rFonts w:asciiTheme="majorHAnsi" w:hAnsiTheme="majorHAnsi" w:cstheme="majorHAnsi"/>
          <w:iCs/>
          <w:sz w:val="24"/>
          <w:szCs w:val="24"/>
          <w:lang w:val="ru-MD"/>
        </w:rPr>
        <w:t>ле</w:t>
      </w:r>
      <w:r w:rsidR="00E82A96" w:rsidRPr="000B12FB">
        <w:rPr>
          <w:rFonts w:asciiTheme="majorHAnsi" w:hAnsiTheme="majorHAnsi" w:cstheme="majorHAnsi"/>
          <w:iCs/>
          <w:sz w:val="24"/>
          <w:szCs w:val="24"/>
          <w:lang w:val="ru-MD"/>
        </w:rPr>
        <w:t>ев</w:t>
      </w:r>
      <w:r w:rsidRPr="000B12FB">
        <w:rPr>
          <w:rFonts w:asciiTheme="majorHAnsi" w:hAnsiTheme="majorHAnsi" w:cstheme="majorHAnsi"/>
          <w:iCs/>
          <w:sz w:val="24"/>
          <w:szCs w:val="24"/>
          <w:lang w:val="ru-MD"/>
        </w:rPr>
        <w:t>, что составляет 62,2% от общ</w:t>
      </w:r>
      <w:r w:rsidR="00E82A96" w:rsidRPr="000B12FB">
        <w:rPr>
          <w:rFonts w:asciiTheme="majorHAnsi" w:hAnsiTheme="majorHAnsi" w:cstheme="majorHAnsi"/>
          <w:iCs/>
          <w:sz w:val="24"/>
          <w:szCs w:val="24"/>
          <w:lang w:val="ru-MD"/>
        </w:rPr>
        <w:t>их</w:t>
      </w:r>
      <w:r w:rsidRPr="000B12FB">
        <w:rPr>
          <w:rFonts w:asciiTheme="majorHAnsi" w:hAnsiTheme="majorHAnsi" w:cstheme="majorHAnsi"/>
          <w:iCs/>
          <w:sz w:val="24"/>
          <w:szCs w:val="24"/>
          <w:lang w:val="ru-MD"/>
        </w:rPr>
        <w:t xml:space="preserve"> доход</w:t>
      </w:r>
      <w:r w:rsidR="00E82A96" w:rsidRPr="000B12FB">
        <w:rPr>
          <w:rFonts w:asciiTheme="majorHAnsi" w:hAnsiTheme="majorHAnsi" w:cstheme="majorHAnsi"/>
          <w:iCs/>
          <w:sz w:val="24"/>
          <w:szCs w:val="24"/>
          <w:lang w:val="ru-MD"/>
        </w:rPr>
        <w:t>ов</w:t>
      </w:r>
      <w:r w:rsidRPr="000B12FB">
        <w:rPr>
          <w:rFonts w:asciiTheme="majorHAnsi" w:hAnsiTheme="majorHAnsi" w:cstheme="majorHAnsi"/>
          <w:iCs/>
          <w:sz w:val="24"/>
          <w:szCs w:val="24"/>
          <w:lang w:val="ru-MD"/>
        </w:rPr>
        <w:t xml:space="preserve"> государственного бюджета</w:t>
      </w:r>
      <w:r w:rsidR="00E82A96" w:rsidRPr="000B12FB">
        <w:rPr>
          <w:rFonts w:asciiTheme="majorHAnsi" w:hAnsiTheme="majorHAnsi" w:cstheme="majorHAnsi"/>
          <w:iCs/>
          <w:sz w:val="24"/>
          <w:szCs w:val="24"/>
          <w:lang w:val="ru-MD"/>
        </w:rPr>
        <w:t>,</w:t>
      </w:r>
      <w:r w:rsidRPr="000B12FB">
        <w:rPr>
          <w:rFonts w:asciiTheme="majorHAnsi" w:hAnsiTheme="majorHAnsi" w:cstheme="majorHAnsi"/>
          <w:iCs/>
          <w:sz w:val="24"/>
          <w:szCs w:val="24"/>
          <w:lang w:val="ru-MD"/>
        </w:rPr>
        <w:t xml:space="preserve"> и 14,0% (205,4 млрд. леев) от </w:t>
      </w:r>
      <w:r w:rsidR="00E82A96" w:rsidRPr="000B12FB">
        <w:rPr>
          <w:rFonts w:asciiTheme="majorHAnsi" w:hAnsiTheme="majorHAnsi" w:cstheme="majorHAnsi"/>
          <w:iCs/>
          <w:sz w:val="24"/>
          <w:szCs w:val="24"/>
          <w:lang w:val="ru-MD"/>
        </w:rPr>
        <w:t>В</w:t>
      </w:r>
      <w:r w:rsidRPr="000B12FB">
        <w:rPr>
          <w:rFonts w:asciiTheme="majorHAnsi" w:hAnsiTheme="majorHAnsi" w:cstheme="majorHAnsi"/>
          <w:iCs/>
          <w:sz w:val="24"/>
          <w:szCs w:val="24"/>
          <w:lang w:val="ru-MD"/>
        </w:rPr>
        <w:t>алового внутреннего продукта</w:t>
      </w:r>
      <w:r w:rsidR="00065D60" w:rsidRPr="000B12FB">
        <w:rPr>
          <w:rFonts w:asciiTheme="majorHAnsi" w:hAnsiTheme="majorHAnsi" w:cstheme="majorHAnsi"/>
          <w:iCs/>
          <w:sz w:val="24"/>
          <w:szCs w:val="24"/>
          <w:lang w:val="ru-MD"/>
        </w:rPr>
        <w:t>;</w:t>
      </w:r>
    </w:p>
    <w:p w14:paraId="6C5AE860" w14:textId="284D2926" w:rsidR="00972F1D" w:rsidRPr="000B12FB" w:rsidRDefault="00E82A96" w:rsidP="00E82A96">
      <w:pPr>
        <w:pStyle w:val="ListParagraph"/>
        <w:numPr>
          <w:ilvl w:val="0"/>
          <w:numId w:val="5"/>
        </w:numPr>
        <w:shd w:val="clear" w:color="auto" w:fill="FFFFFF"/>
        <w:spacing w:after="0"/>
        <w:ind w:left="0" w:firstLine="360"/>
        <w:jc w:val="both"/>
        <w:rPr>
          <w:rFonts w:asciiTheme="majorHAnsi" w:hAnsiTheme="majorHAnsi" w:cstheme="majorHAnsi"/>
          <w:sz w:val="24"/>
          <w:szCs w:val="24"/>
          <w:lang w:val="ru-MD"/>
        </w:rPr>
      </w:pPr>
      <w:r w:rsidRPr="000B12FB">
        <w:rPr>
          <w:rFonts w:asciiTheme="majorHAnsi" w:hAnsiTheme="majorHAnsi" w:cstheme="majorHAnsi"/>
          <w:sz w:val="24"/>
          <w:szCs w:val="24"/>
          <w:lang w:val="ru-MD"/>
        </w:rPr>
        <w:t>хотя запланированные в 2020 году таможенные доходы были исполнены, в эволюции, по сравнению с аналогичным периодом прошлого года, они сократились на 369,8 млн. леев (1,6%), а в 2021 году, по сравнению с предыдущим годом, они увеличились на 6 026,9 млн. леев, или на 26,8% от утвержденного контрольного показателя, что свидетельствует о необходимости улучшения планирования публичных доходов</w:t>
      </w:r>
      <w:r w:rsidR="00972F1D" w:rsidRPr="000B12FB">
        <w:rPr>
          <w:rFonts w:asciiTheme="majorHAnsi" w:hAnsiTheme="majorHAnsi" w:cstheme="majorHAnsi"/>
          <w:sz w:val="24"/>
          <w:szCs w:val="24"/>
          <w:lang w:val="ru-MD"/>
        </w:rPr>
        <w:t>;</w:t>
      </w:r>
    </w:p>
    <w:p w14:paraId="2E0662FD" w14:textId="6CBA60E7" w:rsidR="00E16D56" w:rsidRPr="000B12FB" w:rsidRDefault="00733403" w:rsidP="00733403">
      <w:pPr>
        <w:pStyle w:val="ListParagraph"/>
        <w:numPr>
          <w:ilvl w:val="0"/>
          <w:numId w:val="5"/>
        </w:numPr>
        <w:shd w:val="clear" w:color="auto" w:fill="FFFFFF"/>
        <w:spacing w:after="0"/>
        <w:ind w:left="0" w:firstLine="360"/>
        <w:jc w:val="both"/>
        <w:rPr>
          <w:rFonts w:asciiTheme="majorHAnsi" w:hAnsiTheme="majorHAnsi" w:cstheme="majorHAnsi"/>
          <w:sz w:val="24"/>
          <w:szCs w:val="24"/>
          <w:lang w:val="ru-MD"/>
        </w:rPr>
      </w:pPr>
      <w:r w:rsidRPr="000B12FB">
        <w:rPr>
          <w:rFonts w:asciiTheme="majorHAnsi" w:hAnsiTheme="majorHAnsi" w:cstheme="majorHAnsi"/>
          <w:bCs/>
          <w:sz w:val="24"/>
          <w:szCs w:val="24"/>
          <w:lang w:val="ru-MD"/>
        </w:rPr>
        <w:t>отсутствие методологических норм учета и отчетности о фактически рассчитанных доходах от импортно-экспортных платежей, в том числе Требований при составлении Пояснительной записки к отчету об исполнении части доходов, администрируемой Таможенной службой, обусловливает определенные несоответствия в отчетности по фактически начисленным доходам, поскольку отчетность по государственному бюджету осуществляется по кассовому методу. Обмен информацией между Таможенной службой и Министерством финансов осуществлялся на основании Регламента, утвержденного в 2005 году, который методологически и по времени устарел, и который, соответственно, претерпел изменения в аспекте структуры некоторых документов, однако первоначально утвержденный приказ не был изменен в установленном порядке</w:t>
      </w:r>
      <w:r w:rsidR="00E16D56" w:rsidRPr="000B12FB">
        <w:rPr>
          <w:rFonts w:asciiTheme="majorHAnsi" w:hAnsiTheme="majorHAnsi" w:cstheme="majorHAnsi"/>
          <w:bCs/>
          <w:sz w:val="24"/>
          <w:szCs w:val="24"/>
          <w:lang w:val="ru-MD"/>
        </w:rPr>
        <w:t>;</w:t>
      </w:r>
    </w:p>
    <w:p w14:paraId="420A0266" w14:textId="1D796AB4" w:rsidR="00734F12" w:rsidRPr="000B12FB" w:rsidRDefault="00EF0141" w:rsidP="00EF0141">
      <w:pPr>
        <w:pStyle w:val="ListParagraph"/>
        <w:numPr>
          <w:ilvl w:val="0"/>
          <w:numId w:val="5"/>
        </w:numPr>
        <w:shd w:val="clear" w:color="auto" w:fill="FFFFFF"/>
        <w:spacing w:after="0"/>
        <w:ind w:left="0" w:firstLine="360"/>
        <w:jc w:val="both"/>
        <w:rPr>
          <w:rFonts w:asciiTheme="majorHAnsi" w:hAnsiTheme="majorHAnsi" w:cstheme="majorHAnsi"/>
          <w:sz w:val="24"/>
          <w:szCs w:val="24"/>
          <w:lang w:val="ru-MD"/>
        </w:rPr>
      </w:pPr>
      <w:r w:rsidRPr="000B12FB">
        <w:rPr>
          <w:rFonts w:asciiTheme="majorHAnsi" w:hAnsiTheme="majorHAnsi" w:cstheme="majorHAnsi"/>
          <w:sz w:val="24"/>
          <w:szCs w:val="24"/>
          <w:lang w:val="ru-MD"/>
        </w:rPr>
        <w:t xml:space="preserve">высокий уровень задолженности налогоплательщиков перед государственным бюджетом, которая на 31.12.2021 составляла </w:t>
      </w:r>
      <w:r w:rsidRPr="00C62D64">
        <w:rPr>
          <w:rFonts w:asciiTheme="majorHAnsi" w:hAnsiTheme="majorHAnsi" w:cstheme="majorHAnsi"/>
          <w:sz w:val="24"/>
          <w:szCs w:val="24"/>
          <w:lang w:val="ru-MD"/>
        </w:rPr>
        <w:t>34</w:t>
      </w:r>
      <w:r w:rsidR="00ED2B63" w:rsidRPr="00C62D64">
        <w:rPr>
          <w:rFonts w:asciiTheme="majorHAnsi" w:hAnsiTheme="majorHAnsi" w:cstheme="majorHAnsi"/>
          <w:sz w:val="24"/>
          <w:szCs w:val="24"/>
          <w:lang w:val="ru-MD"/>
        </w:rPr>
        <w:t>4</w:t>
      </w:r>
      <w:r w:rsidRPr="00C62D64">
        <w:rPr>
          <w:rFonts w:asciiTheme="majorHAnsi" w:hAnsiTheme="majorHAnsi" w:cstheme="majorHAnsi"/>
          <w:sz w:val="24"/>
          <w:szCs w:val="24"/>
          <w:lang w:val="ru-MD"/>
        </w:rPr>
        <w:t>,0</w:t>
      </w:r>
      <w:r w:rsidRPr="000B12FB">
        <w:rPr>
          <w:rFonts w:asciiTheme="majorHAnsi" w:hAnsiTheme="majorHAnsi" w:cstheme="majorHAnsi"/>
          <w:sz w:val="24"/>
          <w:szCs w:val="24"/>
          <w:lang w:val="ru-MD"/>
        </w:rPr>
        <w:t xml:space="preserve"> млн. леев, а также сохранение некоторых долгов с истекшим сроком исковой давности, в размере 105,7 млн. леев, образованны</w:t>
      </w:r>
      <w:r w:rsidR="00E044AF" w:rsidRPr="00C62D64">
        <w:rPr>
          <w:rFonts w:asciiTheme="majorHAnsi" w:hAnsiTheme="majorHAnsi" w:cstheme="majorHAnsi"/>
          <w:sz w:val="24"/>
          <w:szCs w:val="24"/>
          <w:lang w:val="ru-MD"/>
        </w:rPr>
        <w:t>х</w:t>
      </w:r>
      <w:r w:rsidRPr="000B12FB">
        <w:rPr>
          <w:rFonts w:asciiTheme="majorHAnsi" w:hAnsiTheme="majorHAnsi" w:cstheme="majorHAnsi"/>
          <w:sz w:val="24"/>
          <w:szCs w:val="24"/>
          <w:lang w:val="ru-MD"/>
        </w:rPr>
        <w:t xml:space="preserve"> в 1995-2014 годах, указывают на наличие резервов по платежной дисциплине в аспекте накопления задолженностей</w:t>
      </w:r>
      <w:r w:rsidR="00734F12" w:rsidRPr="000B12FB">
        <w:rPr>
          <w:rFonts w:asciiTheme="majorHAnsi" w:eastAsia="Times New Roman" w:hAnsiTheme="majorHAnsi" w:cstheme="majorHAnsi"/>
          <w:sz w:val="24"/>
          <w:szCs w:val="24"/>
          <w:lang w:val="ru-MD" w:eastAsia="ru-RU"/>
        </w:rPr>
        <w:t>;</w:t>
      </w:r>
    </w:p>
    <w:p w14:paraId="3A4FBA11" w14:textId="775DFEA2" w:rsidR="00C22802" w:rsidRPr="000B12FB" w:rsidRDefault="005B03C1" w:rsidP="005B03C1">
      <w:pPr>
        <w:pStyle w:val="ListParagraph"/>
        <w:numPr>
          <w:ilvl w:val="0"/>
          <w:numId w:val="5"/>
        </w:numPr>
        <w:shd w:val="clear" w:color="auto" w:fill="FFFFFF"/>
        <w:spacing w:after="0"/>
        <w:ind w:left="0" w:firstLine="360"/>
        <w:jc w:val="both"/>
        <w:rPr>
          <w:rFonts w:asciiTheme="majorHAnsi" w:hAnsiTheme="majorHAnsi" w:cstheme="majorHAnsi"/>
          <w:sz w:val="24"/>
          <w:szCs w:val="24"/>
          <w:lang w:val="ru-MD"/>
        </w:rPr>
      </w:pPr>
      <w:r w:rsidRPr="000B12FB">
        <w:rPr>
          <w:rFonts w:asciiTheme="majorHAnsi" w:hAnsiTheme="majorHAnsi" w:cstheme="majorHAnsi"/>
          <w:color w:val="000000"/>
          <w:sz w:val="24"/>
          <w:szCs w:val="24"/>
          <w:lang w:val="ru-MD"/>
        </w:rPr>
        <w:t>необеспечение полного и своевременного поступления таможенных обязательств в государственный бюджет привело в 2020-2021 годах к погашению</w:t>
      </w:r>
      <w:r w:rsidR="00BF0CC1" w:rsidRPr="00C62D64">
        <w:rPr>
          <w:rFonts w:asciiTheme="majorHAnsi" w:hAnsiTheme="majorHAnsi" w:cstheme="majorHAnsi"/>
          <w:color w:val="000000"/>
          <w:sz w:val="24"/>
          <w:szCs w:val="24"/>
          <w:lang w:val="ru-MD"/>
        </w:rPr>
        <w:t>,</w:t>
      </w:r>
      <w:r w:rsidRPr="000B12FB">
        <w:rPr>
          <w:rFonts w:asciiTheme="majorHAnsi" w:hAnsiTheme="majorHAnsi" w:cstheme="majorHAnsi"/>
          <w:color w:val="000000"/>
          <w:sz w:val="24"/>
          <w:szCs w:val="24"/>
          <w:lang w:val="ru-MD"/>
        </w:rPr>
        <w:t xml:space="preserve"> путем аннулирования и </w:t>
      </w:r>
      <w:r w:rsidR="00D43ABB" w:rsidRPr="000B12FB">
        <w:rPr>
          <w:rFonts w:asciiTheme="majorHAnsi" w:hAnsiTheme="majorHAnsi" w:cstheme="majorHAnsi"/>
          <w:color w:val="000000"/>
          <w:sz w:val="24"/>
          <w:szCs w:val="24"/>
          <w:lang w:val="ru-MD"/>
        </w:rPr>
        <w:t xml:space="preserve">в связи с </w:t>
      </w:r>
      <w:r w:rsidRPr="000B12FB">
        <w:rPr>
          <w:rFonts w:asciiTheme="majorHAnsi" w:hAnsiTheme="majorHAnsi" w:cstheme="majorHAnsi"/>
          <w:color w:val="000000"/>
          <w:sz w:val="24"/>
          <w:szCs w:val="24"/>
          <w:lang w:val="ru-MD"/>
        </w:rPr>
        <w:t>истечени</w:t>
      </w:r>
      <w:r w:rsidR="00D43ABB" w:rsidRPr="000B12FB">
        <w:rPr>
          <w:rFonts w:asciiTheme="majorHAnsi" w:hAnsiTheme="majorHAnsi" w:cstheme="majorHAnsi"/>
          <w:color w:val="000000"/>
          <w:sz w:val="24"/>
          <w:szCs w:val="24"/>
          <w:lang w:val="ru-MD"/>
        </w:rPr>
        <w:t>ем</w:t>
      </w:r>
      <w:r w:rsidRPr="000B12FB">
        <w:rPr>
          <w:rFonts w:asciiTheme="majorHAnsi" w:hAnsiTheme="majorHAnsi" w:cstheme="majorHAnsi"/>
          <w:color w:val="000000"/>
          <w:sz w:val="24"/>
          <w:szCs w:val="24"/>
          <w:lang w:val="ru-MD"/>
        </w:rPr>
        <w:t xml:space="preserve"> срока давности</w:t>
      </w:r>
      <w:r w:rsidR="00D43ABB" w:rsidRPr="000B12FB">
        <w:rPr>
          <w:rFonts w:asciiTheme="majorHAnsi" w:hAnsiTheme="majorHAnsi" w:cstheme="majorHAnsi"/>
          <w:color w:val="000000"/>
          <w:sz w:val="24"/>
          <w:szCs w:val="24"/>
          <w:lang w:val="ru-MD"/>
        </w:rPr>
        <w:t>,</w:t>
      </w:r>
      <w:r w:rsidRPr="000B12FB">
        <w:rPr>
          <w:rFonts w:asciiTheme="majorHAnsi" w:hAnsiTheme="majorHAnsi" w:cstheme="majorHAnsi"/>
          <w:color w:val="000000"/>
          <w:sz w:val="24"/>
          <w:szCs w:val="24"/>
          <w:lang w:val="ru-MD"/>
        </w:rPr>
        <w:t xml:space="preserve"> </w:t>
      </w:r>
      <w:r w:rsidR="00D43ABB" w:rsidRPr="000B12FB">
        <w:rPr>
          <w:rFonts w:asciiTheme="majorHAnsi" w:hAnsiTheme="majorHAnsi" w:cstheme="majorHAnsi"/>
          <w:color w:val="000000"/>
          <w:sz w:val="24"/>
          <w:szCs w:val="24"/>
          <w:lang w:val="ru-MD"/>
        </w:rPr>
        <w:t xml:space="preserve">таможенного обязательства </w:t>
      </w:r>
      <w:r w:rsidRPr="000B12FB">
        <w:rPr>
          <w:rFonts w:asciiTheme="majorHAnsi" w:hAnsiTheme="majorHAnsi" w:cstheme="majorHAnsi"/>
          <w:color w:val="000000"/>
          <w:sz w:val="24"/>
          <w:szCs w:val="24"/>
          <w:lang w:val="ru-MD"/>
        </w:rPr>
        <w:t>на общую сумму 172,5 млн.</w:t>
      </w:r>
      <w:r w:rsidR="00D43ABB" w:rsidRPr="000B12FB">
        <w:rPr>
          <w:rFonts w:asciiTheme="majorHAnsi" w:hAnsiTheme="majorHAnsi" w:cstheme="majorHAnsi"/>
          <w:color w:val="000000"/>
          <w:sz w:val="24"/>
          <w:szCs w:val="24"/>
          <w:lang w:val="ru-MD"/>
        </w:rPr>
        <w:t xml:space="preserve"> </w:t>
      </w:r>
      <w:r w:rsidRPr="000B12FB">
        <w:rPr>
          <w:rFonts w:asciiTheme="majorHAnsi" w:hAnsiTheme="majorHAnsi" w:cstheme="majorHAnsi"/>
          <w:color w:val="000000"/>
          <w:sz w:val="24"/>
          <w:szCs w:val="24"/>
          <w:lang w:val="ru-MD"/>
        </w:rPr>
        <w:t>ле</w:t>
      </w:r>
      <w:r w:rsidR="00D43ABB" w:rsidRPr="000B12FB">
        <w:rPr>
          <w:rFonts w:asciiTheme="majorHAnsi" w:hAnsiTheme="majorHAnsi" w:cstheme="majorHAnsi"/>
          <w:color w:val="000000"/>
          <w:sz w:val="24"/>
          <w:szCs w:val="24"/>
          <w:lang w:val="ru-MD"/>
        </w:rPr>
        <w:t>ев</w:t>
      </w:r>
      <w:r w:rsidRPr="000B12FB">
        <w:rPr>
          <w:rFonts w:asciiTheme="majorHAnsi" w:hAnsiTheme="majorHAnsi" w:cstheme="majorHAnsi"/>
          <w:color w:val="000000"/>
          <w:sz w:val="24"/>
          <w:szCs w:val="24"/>
          <w:lang w:val="ru-MD"/>
        </w:rPr>
        <w:t>, в том числе 103,7 млн.</w:t>
      </w:r>
      <w:r w:rsidR="00D43ABB" w:rsidRPr="000B12FB">
        <w:rPr>
          <w:rFonts w:asciiTheme="majorHAnsi" w:hAnsiTheme="majorHAnsi" w:cstheme="majorHAnsi"/>
          <w:color w:val="000000"/>
          <w:sz w:val="24"/>
          <w:szCs w:val="24"/>
          <w:lang w:val="ru-MD"/>
        </w:rPr>
        <w:t xml:space="preserve"> </w:t>
      </w:r>
      <w:r w:rsidRPr="000B12FB">
        <w:rPr>
          <w:rFonts w:asciiTheme="majorHAnsi" w:hAnsiTheme="majorHAnsi" w:cstheme="majorHAnsi"/>
          <w:color w:val="000000"/>
          <w:sz w:val="24"/>
          <w:szCs w:val="24"/>
          <w:lang w:val="ru-MD"/>
        </w:rPr>
        <w:t>ле</w:t>
      </w:r>
      <w:r w:rsidR="00D43ABB" w:rsidRPr="000B12FB">
        <w:rPr>
          <w:rFonts w:asciiTheme="majorHAnsi" w:hAnsiTheme="majorHAnsi" w:cstheme="majorHAnsi"/>
          <w:color w:val="000000"/>
          <w:sz w:val="24"/>
          <w:szCs w:val="24"/>
          <w:lang w:val="ru-MD"/>
        </w:rPr>
        <w:t>ев</w:t>
      </w:r>
      <w:r w:rsidRPr="000B12FB">
        <w:rPr>
          <w:rFonts w:asciiTheme="majorHAnsi" w:hAnsiTheme="majorHAnsi" w:cstheme="majorHAnsi"/>
          <w:color w:val="000000"/>
          <w:sz w:val="24"/>
          <w:szCs w:val="24"/>
          <w:lang w:val="ru-MD"/>
        </w:rPr>
        <w:t>, или 22,6% от общей задолженности (457,1 млн.</w:t>
      </w:r>
      <w:r w:rsidR="00D43ABB" w:rsidRPr="000B12FB">
        <w:rPr>
          <w:rFonts w:asciiTheme="majorHAnsi" w:hAnsiTheme="majorHAnsi" w:cstheme="majorHAnsi"/>
          <w:color w:val="000000"/>
          <w:sz w:val="24"/>
          <w:szCs w:val="24"/>
          <w:lang w:val="ru-MD"/>
        </w:rPr>
        <w:t xml:space="preserve"> </w:t>
      </w:r>
      <w:r w:rsidRPr="000B12FB">
        <w:rPr>
          <w:rFonts w:asciiTheme="majorHAnsi" w:hAnsiTheme="majorHAnsi" w:cstheme="majorHAnsi"/>
          <w:color w:val="000000"/>
          <w:sz w:val="24"/>
          <w:szCs w:val="24"/>
          <w:lang w:val="ru-MD"/>
        </w:rPr>
        <w:t>ле</w:t>
      </w:r>
      <w:r w:rsidR="00D43ABB" w:rsidRPr="000B12FB">
        <w:rPr>
          <w:rFonts w:asciiTheme="majorHAnsi" w:hAnsiTheme="majorHAnsi" w:cstheme="majorHAnsi"/>
          <w:color w:val="000000"/>
          <w:sz w:val="24"/>
          <w:szCs w:val="24"/>
          <w:lang w:val="ru-MD"/>
        </w:rPr>
        <w:t>ев</w:t>
      </w:r>
      <w:r w:rsidRPr="000B12FB">
        <w:rPr>
          <w:rFonts w:asciiTheme="majorHAnsi" w:hAnsiTheme="majorHAnsi" w:cstheme="majorHAnsi"/>
          <w:color w:val="000000"/>
          <w:sz w:val="24"/>
          <w:szCs w:val="24"/>
          <w:lang w:val="ru-MD"/>
        </w:rPr>
        <w:t>)</w:t>
      </w:r>
      <w:r w:rsidR="00D43ABB" w:rsidRPr="000B12FB">
        <w:rPr>
          <w:rFonts w:asciiTheme="majorHAnsi" w:hAnsiTheme="majorHAnsi" w:cstheme="majorHAnsi"/>
          <w:color w:val="000000"/>
          <w:sz w:val="24"/>
          <w:szCs w:val="24"/>
          <w:lang w:val="ru-MD"/>
        </w:rPr>
        <w:t xml:space="preserve">, отраженной </w:t>
      </w:r>
      <w:r w:rsidRPr="000B12FB">
        <w:rPr>
          <w:rFonts w:asciiTheme="majorHAnsi" w:hAnsiTheme="majorHAnsi" w:cstheme="majorHAnsi"/>
          <w:color w:val="000000"/>
          <w:sz w:val="24"/>
          <w:szCs w:val="24"/>
          <w:lang w:val="ru-MD"/>
        </w:rPr>
        <w:t>Таможенной служб</w:t>
      </w:r>
      <w:r w:rsidR="00D43ABB" w:rsidRPr="000B12FB">
        <w:rPr>
          <w:rFonts w:asciiTheme="majorHAnsi" w:hAnsiTheme="majorHAnsi" w:cstheme="majorHAnsi"/>
          <w:color w:val="000000"/>
          <w:sz w:val="24"/>
          <w:szCs w:val="24"/>
          <w:lang w:val="ru-MD"/>
        </w:rPr>
        <w:t>ой</w:t>
      </w:r>
      <w:r w:rsidRPr="000B12FB">
        <w:rPr>
          <w:rFonts w:asciiTheme="majorHAnsi" w:hAnsiTheme="majorHAnsi" w:cstheme="majorHAnsi"/>
          <w:color w:val="000000"/>
          <w:sz w:val="24"/>
          <w:szCs w:val="24"/>
          <w:lang w:val="ru-MD"/>
        </w:rPr>
        <w:t xml:space="preserve"> </w:t>
      </w:r>
      <w:r w:rsidR="00D43ABB" w:rsidRPr="000B12FB">
        <w:rPr>
          <w:rFonts w:asciiTheme="majorHAnsi" w:hAnsiTheme="majorHAnsi" w:cstheme="majorHAnsi"/>
          <w:color w:val="000000"/>
          <w:sz w:val="24"/>
          <w:szCs w:val="24"/>
          <w:lang w:val="ru-MD"/>
        </w:rPr>
        <w:t xml:space="preserve">в отчетности по состоянию </w:t>
      </w:r>
      <w:r w:rsidRPr="000B12FB">
        <w:rPr>
          <w:rFonts w:asciiTheme="majorHAnsi" w:hAnsiTheme="majorHAnsi" w:cstheme="majorHAnsi"/>
          <w:color w:val="000000"/>
          <w:sz w:val="24"/>
          <w:szCs w:val="24"/>
          <w:lang w:val="ru-MD"/>
        </w:rPr>
        <w:t>на 01.01.2020, и 68,8 млн.</w:t>
      </w:r>
      <w:r w:rsidR="00D43ABB" w:rsidRPr="000B12FB">
        <w:rPr>
          <w:rFonts w:asciiTheme="majorHAnsi" w:hAnsiTheme="majorHAnsi" w:cstheme="majorHAnsi"/>
          <w:color w:val="000000"/>
          <w:sz w:val="24"/>
          <w:szCs w:val="24"/>
          <w:lang w:val="ru-MD"/>
        </w:rPr>
        <w:t xml:space="preserve"> </w:t>
      </w:r>
      <w:r w:rsidRPr="000B12FB">
        <w:rPr>
          <w:rFonts w:asciiTheme="majorHAnsi" w:hAnsiTheme="majorHAnsi" w:cstheme="majorHAnsi"/>
          <w:color w:val="000000"/>
          <w:sz w:val="24"/>
          <w:szCs w:val="24"/>
          <w:lang w:val="ru-MD"/>
        </w:rPr>
        <w:t>ле</w:t>
      </w:r>
      <w:r w:rsidR="00D43ABB" w:rsidRPr="000B12FB">
        <w:rPr>
          <w:rFonts w:asciiTheme="majorHAnsi" w:hAnsiTheme="majorHAnsi" w:cstheme="majorHAnsi"/>
          <w:color w:val="000000"/>
          <w:sz w:val="24"/>
          <w:szCs w:val="24"/>
          <w:lang w:val="ru-MD"/>
        </w:rPr>
        <w:t>ев</w:t>
      </w:r>
      <w:r w:rsidRPr="000B12FB">
        <w:rPr>
          <w:rFonts w:asciiTheme="majorHAnsi" w:hAnsiTheme="majorHAnsi" w:cstheme="majorHAnsi"/>
          <w:color w:val="000000"/>
          <w:sz w:val="24"/>
          <w:szCs w:val="24"/>
          <w:lang w:val="ru-MD"/>
        </w:rPr>
        <w:t>, или 17,2% от общей задолженности (399,2 млн.</w:t>
      </w:r>
      <w:r w:rsidR="00D43ABB" w:rsidRPr="000B12FB">
        <w:rPr>
          <w:rFonts w:asciiTheme="majorHAnsi" w:hAnsiTheme="majorHAnsi" w:cstheme="majorHAnsi"/>
          <w:color w:val="000000"/>
          <w:sz w:val="24"/>
          <w:szCs w:val="24"/>
          <w:lang w:val="ru-MD"/>
        </w:rPr>
        <w:t xml:space="preserve"> </w:t>
      </w:r>
      <w:r w:rsidRPr="000B12FB">
        <w:rPr>
          <w:rFonts w:asciiTheme="majorHAnsi" w:hAnsiTheme="majorHAnsi" w:cstheme="majorHAnsi"/>
          <w:color w:val="000000"/>
          <w:sz w:val="24"/>
          <w:szCs w:val="24"/>
          <w:lang w:val="ru-MD"/>
        </w:rPr>
        <w:t>ле</w:t>
      </w:r>
      <w:r w:rsidR="00D43ABB" w:rsidRPr="000B12FB">
        <w:rPr>
          <w:rFonts w:asciiTheme="majorHAnsi" w:hAnsiTheme="majorHAnsi" w:cstheme="majorHAnsi"/>
          <w:color w:val="000000"/>
          <w:sz w:val="24"/>
          <w:szCs w:val="24"/>
          <w:lang w:val="ru-MD"/>
        </w:rPr>
        <w:t>ев</w:t>
      </w:r>
      <w:r w:rsidRPr="000B12FB">
        <w:rPr>
          <w:rFonts w:asciiTheme="majorHAnsi" w:hAnsiTheme="majorHAnsi" w:cstheme="majorHAnsi"/>
          <w:color w:val="000000"/>
          <w:sz w:val="24"/>
          <w:szCs w:val="24"/>
          <w:lang w:val="ru-MD"/>
        </w:rPr>
        <w:t xml:space="preserve">) </w:t>
      </w:r>
      <w:r w:rsidR="00CF159D" w:rsidRPr="000B12FB">
        <w:rPr>
          <w:rFonts w:asciiTheme="majorHAnsi" w:hAnsiTheme="majorHAnsi" w:cstheme="majorHAnsi"/>
          <w:color w:val="000000"/>
          <w:sz w:val="24"/>
          <w:szCs w:val="24"/>
          <w:lang w:val="ru-MD"/>
        </w:rPr>
        <w:t xml:space="preserve">отраженной </w:t>
      </w:r>
      <w:r w:rsidRPr="000B12FB">
        <w:rPr>
          <w:rFonts w:asciiTheme="majorHAnsi" w:hAnsiTheme="majorHAnsi" w:cstheme="majorHAnsi"/>
          <w:color w:val="000000"/>
          <w:sz w:val="24"/>
          <w:szCs w:val="24"/>
          <w:lang w:val="ru-MD"/>
        </w:rPr>
        <w:t>по состоянию на 01.01.2021</w:t>
      </w:r>
      <w:r w:rsidR="00C22802" w:rsidRPr="000B12FB">
        <w:rPr>
          <w:rFonts w:asciiTheme="majorHAnsi" w:hAnsiTheme="majorHAnsi" w:cstheme="majorHAnsi"/>
          <w:sz w:val="24"/>
          <w:szCs w:val="24"/>
          <w:lang w:val="ru-MD"/>
        </w:rPr>
        <w:t>;</w:t>
      </w:r>
    </w:p>
    <w:p w14:paraId="5CF14D0D" w14:textId="57FF7812" w:rsidR="00D23484" w:rsidRPr="000B12FB" w:rsidRDefault="00BD5C18" w:rsidP="00D23484">
      <w:pPr>
        <w:pStyle w:val="ListParagraph"/>
        <w:numPr>
          <w:ilvl w:val="0"/>
          <w:numId w:val="5"/>
        </w:numPr>
        <w:shd w:val="clear" w:color="auto" w:fill="FFFFFF"/>
        <w:spacing w:after="0"/>
        <w:ind w:left="0" w:firstLine="360"/>
        <w:jc w:val="both"/>
        <w:rPr>
          <w:rFonts w:asciiTheme="majorHAnsi" w:hAnsiTheme="majorHAnsi" w:cstheme="majorHAnsi"/>
          <w:sz w:val="24"/>
          <w:szCs w:val="24"/>
          <w:lang w:val="ru-MD"/>
        </w:rPr>
      </w:pPr>
      <w:r w:rsidRPr="000B12FB">
        <w:rPr>
          <w:rFonts w:asciiTheme="majorHAnsi" w:eastAsia="Calibri" w:hAnsiTheme="majorHAnsi" w:cstheme="majorHAnsi"/>
          <w:sz w:val="24"/>
          <w:szCs w:val="24"/>
          <w:lang w:val="ru-MD"/>
        </w:rPr>
        <w:t>нефункциональность одного модуля информационной системы</w:t>
      </w:r>
      <w:r w:rsidR="00734F12" w:rsidRPr="000B12FB">
        <w:rPr>
          <w:rFonts w:asciiTheme="majorHAnsi" w:eastAsia="Calibri" w:hAnsiTheme="majorHAnsi" w:cstheme="majorHAnsi"/>
          <w:sz w:val="24"/>
          <w:szCs w:val="24"/>
          <w:lang w:val="ru-MD"/>
        </w:rPr>
        <w:t xml:space="preserve"> </w:t>
      </w:r>
      <w:r w:rsidRPr="000B12FB">
        <w:rPr>
          <w:rFonts w:asciiTheme="majorHAnsi" w:eastAsia="Calibri" w:hAnsiTheme="majorHAnsi" w:cstheme="majorHAnsi"/>
          <w:sz w:val="24"/>
          <w:szCs w:val="24"/>
          <w:lang w:val="ru-MD"/>
        </w:rPr>
        <w:t xml:space="preserve">Таможенной службы, что обусловило неначисление пеней к основным платежам таможенных плательщиков, а также ошибочную отчетность задолженности на </w:t>
      </w:r>
      <w:r w:rsidR="00734F12" w:rsidRPr="000B12FB">
        <w:rPr>
          <w:rFonts w:asciiTheme="majorHAnsi" w:eastAsia="Calibri" w:hAnsiTheme="majorHAnsi" w:cstheme="majorHAnsi"/>
          <w:sz w:val="24"/>
          <w:szCs w:val="24"/>
          <w:lang w:val="ru-MD"/>
        </w:rPr>
        <w:t xml:space="preserve">47,7 </w:t>
      </w:r>
      <w:r w:rsidRPr="000B12FB">
        <w:rPr>
          <w:rFonts w:asciiTheme="majorHAnsi" w:eastAsia="Calibri" w:hAnsiTheme="majorHAnsi" w:cstheme="majorHAnsi"/>
          <w:sz w:val="24"/>
          <w:szCs w:val="24"/>
          <w:lang w:val="ru-MD"/>
        </w:rPr>
        <w:t>млн. леев</w:t>
      </w:r>
      <w:r w:rsidR="00734F12" w:rsidRPr="000B12FB">
        <w:rPr>
          <w:rFonts w:asciiTheme="majorHAnsi" w:hAnsiTheme="majorHAnsi" w:cstheme="majorHAnsi"/>
          <w:sz w:val="24"/>
          <w:szCs w:val="24"/>
          <w:lang w:val="ru-MD"/>
        </w:rPr>
        <w:t>;</w:t>
      </w:r>
    </w:p>
    <w:p w14:paraId="3025D825" w14:textId="4D426FB1" w:rsidR="00D57186" w:rsidRPr="000B12FB" w:rsidRDefault="00BD5C18" w:rsidP="00BD5C18">
      <w:pPr>
        <w:pStyle w:val="ListParagraph"/>
        <w:numPr>
          <w:ilvl w:val="0"/>
          <w:numId w:val="5"/>
        </w:numPr>
        <w:shd w:val="clear" w:color="auto" w:fill="FFFFFF"/>
        <w:tabs>
          <w:tab w:val="left" w:pos="360"/>
        </w:tabs>
        <w:spacing w:after="0"/>
        <w:ind w:left="0" w:firstLine="360"/>
        <w:jc w:val="both"/>
        <w:rPr>
          <w:rFonts w:asciiTheme="majorHAnsi" w:hAnsiTheme="majorHAnsi" w:cstheme="majorHAnsi"/>
          <w:sz w:val="24"/>
          <w:szCs w:val="24"/>
          <w:lang w:val="ru-MD"/>
        </w:rPr>
      </w:pPr>
      <w:r w:rsidRPr="000B12FB">
        <w:rPr>
          <w:rFonts w:asciiTheme="majorHAnsi" w:hAnsiTheme="majorHAnsi" w:cstheme="majorHAnsi"/>
          <w:sz w:val="24"/>
          <w:szCs w:val="24"/>
          <w:lang w:val="ru-MD"/>
        </w:rPr>
        <w:lastRenderedPageBreak/>
        <w:t xml:space="preserve">расхождения по поступившим доходам на начало и на конец отчетного периода за 2021 год, в сумме 3,7 млн. леев и, соответственно, 5,9 млн. леев, между данными из </w:t>
      </w:r>
      <w:r w:rsidRPr="000B12FB">
        <w:rPr>
          <w:rFonts w:asciiTheme="majorHAnsi" w:eastAsia="Times New Roman" w:hAnsiTheme="majorHAnsi" w:cstheme="majorHAnsi"/>
          <w:sz w:val="24"/>
          <w:szCs w:val="24"/>
          <w:lang w:val="ru-MD"/>
        </w:rPr>
        <w:t>„</w:t>
      </w:r>
      <w:r w:rsidRPr="000B12FB">
        <w:rPr>
          <w:rFonts w:asciiTheme="majorHAnsi" w:hAnsiTheme="majorHAnsi" w:cstheme="majorHAnsi"/>
          <w:sz w:val="24"/>
          <w:szCs w:val="24"/>
          <w:lang w:val="ru-MD"/>
        </w:rPr>
        <w:t xml:space="preserve">Информации </w:t>
      </w:r>
      <w:r w:rsidRPr="00C62D64">
        <w:rPr>
          <w:rFonts w:asciiTheme="majorHAnsi" w:hAnsiTheme="majorHAnsi" w:cstheme="majorHAnsi"/>
          <w:sz w:val="24"/>
          <w:szCs w:val="24"/>
          <w:lang w:val="ru-MD"/>
        </w:rPr>
        <w:t>о</w:t>
      </w:r>
      <w:r w:rsidRPr="000B12FB">
        <w:rPr>
          <w:rFonts w:asciiTheme="majorHAnsi" w:hAnsiTheme="majorHAnsi" w:cstheme="majorHAnsi"/>
          <w:sz w:val="24"/>
          <w:szCs w:val="24"/>
          <w:lang w:val="ru-MD"/>
        </w:rPr>
        <w:t xml:space="preserve"> расшифровке </w:t>
      </w:r>
      <w:r w:rsidR="0004573F" w:rsidRPr="000B12FB">
        <w:rPr>
          <w:rFonts w:asciiTheme="majorHAnsi" w:hAnsiTheme="majorHAnsi" w:cstheme="majorHAnsi"/>
          <w:sz w:val="24"/>
          <w:szCs w:val="24"/>
          <w:lang w:val="ru-MD"/>
        </w:rPr>
        <w:t xml:space="preserve">уплаченных авансом </w:t>
      </w:r>
      <w:r w:rsidRPr="000B12FB">
        <w:rPr>
          <w:rFonts w:asciiTheme="majorHAnsi" w:hAnsiTheme="majorHAnsi" w:cstheme="majorHAnsi"/>
          <w:sz w:val="24"/>
          <w:szCs w:val="24"/>
          <w:lang w:val="ru-MD"/>
        </w:rPr>
        <w:t xml:space="preserve">сумм импортных/экспортных </w:t>
      </w:r>
      <w:r w:rsidR="006F2A28" w:rsidRPr="000B12FB">
        <w:rPr>
          <w:rFonts w:asciiTheme="majorHAnsi" w:hAnsiTheme="majorHAnsi" w:cstheme="majorHAnsi"/>
          <w:sz w:val="24"/>
          <w:szCs w:val="24"/>
          <w:lang w:val="ru-MD"/>
        </w:rPr>
        <w:t>платежей”</w:t>
      </w:r>
      <w:r w:rsidRPr="000B12FB">
        <w:rPr>
          <w:rFonts w:asciiTheme="majorHAnsi" w:hAnsiTheme="majorHAnsi" w:cstheme="majorHAnsi"/>
          <w:sz w:val="24"/>
          <w:szCs w:val="24"/>
          <w:lang w:val="ru-MD"/>
        </w:rPr>
        <w:t xml:space="preserve">, представленной Министерству финансов, и данными </w:t>
      </w:r>
      <w:r w:rsidR="0004573F" w:rsidRPr="000B12FB">
        <w:rPr>
          <w:rFonts w:asciiTheme="majorHAnsi" w:hAnsiTheme="majorHAnsi" w:cstheme="majorHAnsi"/>
          <w:sz w:val="24"/>
          <w:szCs w:val="24"/>
          <w:lang w:val="ru-MD"/>
        </w:rPr>
        <w:t>из ИС „Economist” Т</w:t>
      </w:r>
      <w:r w:rsidRPr="000B12FB">
        <w:rPr>
          <w:rFonts w:asciiTheme="majorHAnsi" w:hAnsiTheme="majorHAnsi" w:cstheme="majorHAnsi"/>
          <w:sz w:val="24"/>
          <w:szCs w:val="24"/>
          <w:lang w:val="ru-MD"/>
        </w:rPr>
        <w:t>аможенной службы</w:t>
      </w:r>
      <w:r w:rsidR="00D57186" w:rsidRPr="000B12FB">
        <w:rPr>
          <w:rFonts w:asciiTheme="majorHAnsi" w:hAnsiTheme="majorHAnsi" w:cstheme="majorHAnsi"/>
          <w:sz w:val="24"/>
          <w:szCs w:val="24"/>
          <w:lang w:val="ru-MD"/>
        </w:rPr>
        <w:t>;</w:t>
      </w:r>
    </w:p>
    <w:p w14:paraId="36E1D6EA" w14:textId="4E8E2911" w:rsidR="005A3E41" w:rsidRPr="000B12FB" w:rsidRDefault="0004573F" w:rsidP="0004573F">
      <w:pPr>
        <w:pStyle w:val="ListParagraph"/>
        <w:numPr>
          <w:ilvl w:val="0"/>
          <w:numId w:val="5"/>
        </w:numPr>
        <w:shd w:val="clear" w:color="auto" w:fill="FFFFFF"/>
        <w:spacing w:after="0"/>
        <w:ind w:left="0" w:firstLine="360"/>
        <w:jc w:val="both"/>
        <w:rPr>
          <w:rFonts w:asciiTheme="majorHAnsi" w:hAnsiTheme="majorHAnsi" w:cstheme="majorHAnsi"/>
          <w:sz w:val="24"/>
          <w:szCs w:val="24"/>
          <w:lang w:val="ru-MD"/>
        </w:rPr>
      </w:pPr>
      <w:r w:rsidRPr="000B12FB">
        <w:rPr>
          <w:rFonts w:asciiTheme="majorHAnsi" w:eastAsia="Times New Roman" w:hAnsiTheme="majorHAnsi" w:cstheme="majorHAnsi"/>
          <w:color w:val="000000"/>
          <w:sz w:val="24"/>
          <w:szCs w:val="24"/>
          <w:lang w:val="ru-MD" w:eastAsia="ru-RU"/>
        </w:rPr>
        <w:t>несоблюдение процедуры последовательного применения методов определения таможенной стоимости товаров, предусмотренной нормативной базой, в случае 13,9 тыс. таможенных деклараций, поданных экономическими операторами, по которым таможенная стоимость определялась путем применения „резервного</w:t>
      </w:r>
      <w:r w:rsidRPr="000B12FB">
        <w:rPr>
          <w:rFonts w:asciiTheme="majorHAnsi" w:hAnsiTheme="majorHAnsi" w:cstheme="majorHAnsi"/>
          <w:sz w:val="24"/>
          <w:szCs w:val="24"/>
          <w:lang w:val="ru-MD"/>
        </w:rPr>
        <w:t xml:space="preserve">” </w:t>
      </w:r>
      <w:r w:rsidRPr="000B12FB">
        <w:rPr>
          <w:rFonts w:asciiTheme="majorHAnsi" w:eastAsia="Times New Roman" w:hAnsiTheme="majorHAnsi" w:cstheme="majorHAnsi"/>
          <w:color w:val="000000"/>
          <w:sz w:val="24"/>
          <w:szCs w:val="24"/>
          <w:lang w:val="ru-MD" w:eastAsia="ru-RU"/>
        </w:rPr>
        <w:t>метода №6,</w:t>
      </w:r>
      <w:r w:rsidR="00B10B9C">
        <w:rPr>
          <w:rFonts w:asciiTheme="majorHAnsi" w:eastAsia="Times New Roman" w:hAnsiTheme="majorHAnsi" w:cstheme="majorHAnsi"/>
          <w:color w:val="000000"/>
          <w:sz w:val="24"/>
          <w:szCs w:val="24"/>
          <w:lang w:val="ru-MD" w:eastAsia="ru-RU"/>
        </w:rPr>
        <w:t xml:space="preserve"> </w:t>
      </w:r>
      <w:r w:rsidRPr="000B12FB">
        <w:rPr>
          <w:rFonts w:asciiTheme="majorHAnsi" w:eastAsia="Times New Roman" w:hAnsiTheme="majorHAnsi" w:cstheme="majorHAnsi"/>
          <w:color w:val="000000"/>
          <w:sz w:val="24"/>
          <w:szCs w:val="24"/>
          <w:lang w:val="ru-MD" w:eastAsia="ru-RU"/>
        </w:rPr>
        <w:t xml:space="preserve">с потенциальным риском недооценки </w:t>
      </w:r>
      <w:r w:rsidR="007E15AF" w:rsidRPr="000B12FB">
        <w:rPr>
          <w:rFonts w:asciiTheme="majorHAnsi" w:eastAsia="Times New Roman" w:hAnsiTheme="majorHAnsi" w:cstheme="majorHAnsi"/>
          <w:color w:val="000000"/>
          <w:sz w:val="24"/>
          <w:szCs w:val="24"/>
          <w:lang w:val="ru-MD" w:eastAsia="ru-RU"/>
        </w:rPr>
        <w:t>стоимости</w:t>
      </w:r>
      <w:r w:rsidRPr="000B12FB">
        <w:rPr>
          <w:rFonts w:asciiTheme="majorHAnsi" w:eastAsia="Times New Roman" w:hAnsiTheme="majorHAnsi" w:cstheme="majorHAnsi"/>
          <w:color w:val="000000"/>
          <w:sz w:val="24"/>
          <w:szCs w:val="24"/>
          <w:lang w:val="ru-MD" w:eastAsia="ru-RU"/>
        </w:rPr>
        <w:t xml:space="preserve"> импортируем</w:t>
      </w:r>
      <w:r w:rsidR="007E15AF" w:rsidRPr="000B12FB">
        <w:rPr>
          <w:rFonts w:asciiTheme="majorHAnsi" w:eastAsia="Times New Roman" w:hAnsiTheme="majorHAnsi" w:cstheme="majorHAnsi"/>
          <w:color w:val="000000"/>
          <w:sz w:val="24"/>
          <w:szCs w:val="24"/>
          <w:lang w:val="ru-MD" w:eastAsia="ru-RU"/>
        </w:rPr>
        <w:t>ого</w:t>
      </w:r>
      <w:r w:rsidRPr="000B12FB">
        <w:rPr>
          <w:rFonts w:asciiTheme="majorHAnsi" w:eastAsia="Times New Roman" w:hAnsiTheme="majorHAnsi" w:cstheme="majorHAnsi"/>
          <w:color w:val="000000"/>
          <w:sz w:val="24"/>
          <w:szCs w:val="24"/>
          <w:lang w:val="ru-MD" w:eastAsia="ru-RU"/>
        </w:rPr>
        <w:t xml:space="preserve"> товар</w:t>
      </w:r>
      <w:r w:rsidR="007E15AF" w:rsidRPr="000B12FB">
        <w:rPr>
          <w:rFonts w:asciiTheme="majorHAnsi" w:eastAsia="Times New Roman" w:hAnsiTheme="majorHAnsi" w:cstheme="majorHAnsi"/>
          <w:color w:val="000000"/>
          <w:sz w:val="24"/>
          <w:szCs w:val="24"/>
          <w:lang w:val="ru-MD" w:eastAsia="ru-RU"/>
        </w:rPr>
        <w:t>а</w:t>
      </w:r>
      <w:r w:rsidRPr="000B12FB">
        <w:rPr>
          <w:rFonts w:asciiTheme="majorHAnsi" w:eastAsia="Times New Roman" w:hAnsiTheme="majorHAnsi" w:cstheme="majorHAnsi"/>
          <w:color w:val="000000"/>
          <w:sz w:val="24"/>
          <w:szCs w:val="24"/>
          <w:lang w:val="ru-MD" w:eastAsia="ru-RU"/>
        </w:rPr>
        <w:t xml:space="preserve"> </w:t>
      </w:r>
      <w:r w:rsidR="007E15AF" w:rsidRPr="000B12FB">
        <w:rPr>
          <w:rFonts w:asciiTheme="majorHAnsi" w:eastAsia="Times New Roman" w:hAnsiTheme="majorHAnsi" w:cstheme="majorHAnsi"/>
          <w:color w:val="000000"/>
          <w:sz w:val="24"/>
          <w:szCs w:val="24"/>
          <w:lang w:val="ru-MD" w:eastAsia="ru-RU"/>
        </w:rPr>
        <w:t>по</w:t>
      </w:r>
      <w:r w:rsidRPr="000B12FB">
        <w:rPr>
          <w:rFonts w:asciiTheme="majorHAnsi" w:eastAsia="Times New Roman" w:hAnsiTheme="majorHAnsi" w:cstheme="majorHAnsi"/>
          <w:color w:val="000000"/>
          <w:sz w:val="24"/>
          <w:szCs w:val="24"/>
          <w:lang w:val="ru-MD" w:eastAsia="ru-RU"/>
        </w:rPr>
        <w:t xml:space="preserve"> зеленом</w:t>
      </w:r>
      <w:r w:rsidR="007E15AF" w:rsidRPr="000B12FB">
        <w:rPr>
          <w:rFonts w:asciiTheme="majorHAnsi" w:eastAsia="Times New Roman" w:hAnsiTheme="majorHAnsi" w:cstheme="majorHAnsi"/>
          <w:color w:val="000000"/>
          <w:sz w:val="24"/>
          <w:szCs w:val="24"/>
          <w:lang w:val="ru-MD" w:eastAsia="ru-RU"/>
        </w:rPr>
        <w:t>у</w:t>
      </w:r>
      <w:r w:rsidRPr="000B12FB">
        <w:rPr>
          <w:rFonts w:asciiTheme="majorHAnsi" w:eastAsia="Times New Roman" w:hAnsiTheme="majorHAnsi" w:cstheme="majorHAnsi"/>
          <w:color w:val="000000"/>
          <w:sz w:val="24"/>
          <w:szCs w:val="24"/>
          <w:lang w:val="ru-MD" w:eastAsia="ru-RU"/>
        </w:rPr>
        <w:t xml:space="preserve"> </w:t>
      </w:r>
      <w:r w:rsidR="007E15AF" w:rsidRPr="000B12FB">
        <w:rPr>
          <w:rFonts w:asciiTheme="majorHAnsi" w:eastAsia="Times New Roman" w:hAnsiTheme="majorHAnsi" w:cstheme="majorHAnsi"/>
          <w:color w:val="000000"/>
          <w:sz w:val="24"/>
          <w:szCs w:val="24"/>
          <w:lang w:val="ru-MD" w:eastAsia="ru-RU"/>
        </w:rPr>
        <w:t>коридору</w:t>
      </w:r>
      <w:r w:rsidRPr="000B12FB">
        <w:rPr>
          <w:rFonts w:asciiTheme="majorHAnsi" w:eastAsia="Times New Roman" w:hAnsiTheme="majorHAnsi" w:cstheme="majorHAnsi"/>
          <w:color w:val="000000"/>
          <w:sz w:val="24"/>
          <w:szCs w:val="24"/>
          <w:lang w:val="ru-MD" w:eastAsia="ru-RU"/>
        </w:rPr>
        <w:t xml:space="preserve"> таможенного оформления</w:t>
      </w:r>
      <w:r w:rsidR="00D2120F" w:rsidRPr="000B12FB">
        <w:rPr>
          <w:rFonts w:asciiTheme="majorHAnsi" w:eastAsia="Times New Roman" w:hAnsiTheme="majorHAnsi" w:cstheme="majorHAnsi"/>
          <w:color w:val="000000"/>
          <w:sz w:val="24"/>
          <w:szCs w:val="24"/>
          <w:lang w:val="ru-MD" w:eastAsia="ru-RU"/>
        </w:rPr>
        <w:t>;</w:t>
      </w:r>
    </w:p>
    <w:p w14:paraId="35DAA7E0" w14:textId="3EA9CB48" w:rsidR="00C01A1A" w:rsidRPr="000B12FB" w:rsidRDefault="009B721F" w:rsidP="00016E50">
      <w:pPr>
        <w:pStyle w:val="ListParagraph"/>
        <w:numPr>
          <w:ilvl w:val="0"/>
          <w:numId w:val="5"/>
        </w:numPr>
        <w:shd w:val="clear" w:color="auto" w:fill="FFFFFF"/>
        <w:spacing w:after="0"/>
        <w:ind w:left="0" w:firstLine="360"/>
        <w:jc w:val="both"/>
        <w:rPr>
          <w:rFonts w:asciiTheme="majorHAnsi" w:hAnsiTheme="majorHAnsi" w:cstheme="majorHAnsi"/>
          <w:sz w:val="24"/>
          <w:szCs w:val="24"/>
          <w:lang w:val="ru-MD"/>
        </w:rPr>
      </w:pPr>
      <w:r w:rsidRPr="000B12FB">
        <w:rPr>
          <w:rFonts w:asciiTheme="majorHAnsi" w:hAnsiTheme="majorHAnsi" w:cstheme="majorHAnsi"/>
          <w:sz w:val="24"/>
          <w:szCs w:val="24"/>
          <w:lang w:val="ru-MD"/>
        </w:rPr>
        <w:t>отсутствие прозрачности некоторых сделок с нефтепродуктами (406,6 млн. леев), задекларированная таможенная стоимость товара варьирует в зависимости от страны сделки, в том числе через юрисдикции, не применяю</w:t>
      </w:r>
      <w:r w:rsidR="00016E50" w:rsidRPr="000B12FB">
        <w:rPr>
          <w:rFonts w:asciiTheme="majorHAnsi" w:hAnsiTheme="majorHAnsi" w:cstheme="majorHAnsi"/>
          <w:sz w:val="24"/>
          <w:szCs w:val="24"/>
          <w:lang w:val="ru-MD"/>
        </w:rPr>
        <w:t>щие</w:t>
      </w:r>
      <w:r w:rsidRPr="000B12FB">
        <w:rPr>
          <w:rFonts w:asciiTheme="majorHAnsi" w:hAnsiTheme="majorHAnsi" w:cstheme="majorHAnsi"/>
          <w:sz w:val="24"/>
          <w:szCs w:val="24"/>
          <w:lang w:val="ru-MD"/>
        </w:rPr>
        <w:t xml:space="preserve"> стандарты прозрачности, </w:t>
      </w:r>
      <w:r w:rsidR="00016E50" w:rsidRPr="000B12FB">
        <w:rPr>
          <w:rFonts w:asciiTheme="majorHAnsi" w:hAnsiTheme="majorHAnsi" w:cstheme="majorHAnsi"/>
          <w:sz w:val="24"/>
          <w:szCs w:val="24"/>
          <w:lang w:val="ru-MD"/>
        </w:rPr>
        <w:t>с вероятностью недополучения доходов в размере 46,4 млн</w:t>
      </w:r>
      <w:r w:rsidR="00B10B9C">
        <w:rPr>
          <w:rFonts w:asciiTheme="majorHAnsi" w:hAnsiTheme="majorHAnsi" w:cstheme="majorHAnsi"/>
          <w:sz w:val="24"/>
          <w:szCs w:val="24"/>
          <w:lang w:val="ru-MD"/>
        </w:rPr>
        <w:t>.</w:t>
      </w:r>
      <w:r w:rsidR="00016E50" w:rsidRPr="000B12FB">
        <w:rPr>
          <w:rFonts w:asciiTheme="majorHAnsi" w:hAnsiTheme="majorHAnsi" w:cstheme="majorHAnsi"/>
          <w:sz w:val="24"/>
          <w:szCs w:val="24"/>
          <w:lang w:val="ru-MD"/>
        </w:rPr>
        <w:t xml:space="preserve"> леев, в качестве импортных платежей по разнице в цене, импорт в основном осуществлялся тремя экономическими агентами-резидентами</w:t>
      </w:r>
      <w:r w:rsidR="003F72A5" w:rsidRPr="000B12FB">
        <w:rPr>
          <w:rFonts w:asciiTheme="majorHAnsi" w:hAnsiTheme="majorHAnsi" w:cstheme="majorHAnsi"/>
          <w:sz w:val="24"/>
          <w:szCs w:val="24"/>
          <w:lang w:val="ru-MD"/>
        </w:rPr>
        <w:t>;</w:t>
      </w:r>
    </w:p>
    <w:p w14:paraId="488944F9" w14:textId="4BF4B44C" w:rsidR="00450A52" w:rsidRPr="000B12FB" w:rsidRDefault="00016E50" w:rsidP="00016E50">
      <w:pPr>
        <w:pStyle w:val="ListParagraph"/>
        <w:numPr>
          <w:ilvl w:val="0"/>
          <w:numId w:val="5"/>
        </w:numPr>
        <w:shd w:val="clear" w:color="auto" w:fill="FFFFFF"/>
        <w:spacing w:after="0"/>
        <w:ind w:left="0" w:firstLine="360"/>
        <w:jc w:val="both"/>
        <w:rPr>
          <w:rFonts w:ascii="Calibri Light" w:hAnsi="Calibri Light" w:cs="Calibri Light"/>
          <w:sz w:val="24"/>
          <w:szCs w:val="24"/>
          <w:lang w:val="ru-MD"/>
        </w:rPr>
      </w:pPr>
      <w:r w:rsidRPr="000B12FB">
        <w:rPr>
          <w:rFonts w:asciiTheme="majorHAnsi" w:hAnsiTheme="majorHAnsi" w:cstheme="majorHAnsi"/>
          <w:sz w:val="24"/>
          <w:szCs w:val="24"/>
          <w:lang w:val="ru-MD"/>
        </w:rPr>
        <w:t xml:space="preserve">допущение непрозрачных сделок с автомобилями класса люкс на сумму 692,6 млн. леев, в том числе 100,9 млн. леев для которых страной сделки были Объединенные Арабские Эмираты, юрисдикция, не применяющая международные стандарты прозрачности, лекарственными средствами, импортируемыми из Италии и экспортируемые в Россию, на сумму 837,0 млн. леев, странами сделки были Мальта и Объединенные Арабские Эмираты, а также с другими товарами, осуществляемых через таможенные режимы/назначения: таможенный склад и свободная экономическая зона, </w:t>
      </w:r>
      <w:r w:rsidR="00E724BA" w:rsidRPr="000B12FB">
        <w:rPr>
          <w:rFonts w:asciiTheme="majorHAnsi" w:hAnsiTheme="majorHAnsi" w:cstheme="majorHAnsi"/>
          <w:sz w:val="24"/>
          <w:szCs w:val="24"/>
          <w:lang w:val="ru-MD"/>
        </w:rPr>
        <w:t xml:space="preserve">и </w:t>
      </w:r>
      <w:r w:rsidRPr="000B12FB">
        <w:rPr>
          <w:rFonts w:asciiTheme="majorHAnsi" w:hAnsiTheme="majorHAnsi" w:cstheme="majorHAnsi"/>
          <w:sz w:val="24"/>
          <w:szCs w:val="24"/>
          <w:lang w:val="ru-MD"/>
        </w:rPr>
        <w:t>впоследствии реэкспортированные, освобожденные от уплаты импортных п</w:t>
      </w:r>
      <w:r w:rsidR="00E724BA" w:rsidRPr="000B12FB">
        <w:rPr>
          <w:rFonts w:asciiTheme="majorHAnsi" w:hAnsiTheme="majorHAnsi" w:cstheme="majorHAnsi"/>
          <w:sz w:val="24"/>
          <w:szCs w:val="24"/>
          <w:lang w:val="ru-MD"/>
        </w:rPr>
        <w:t>ошлин</w:t>
      </w:r>
      <w:r w:rsidR="00450A52" w:rsidRPr="000B12FB">
        <w:rPr>
          <w:rFonts w:asciiTheme="majorHAnsi" w:hAnsiTheme="majorHAnsi" w:cstheme="majorHAnsi"/>
          <w:sz w:val="24"/>
          <w:szCs w:val="24"/>
          <w:lang w:val="ru-MD"/>
        </w:rPr>
        <w:t>;</w:t>
      </w:r>
    </w:p>
    <w:p w14:paraId="10E049B4" w14:textId="67ED4D75" w:rsidR="003F72A5" w:rsidRPr="000B12FB" w:rsidRDefault="00E724BA" w:rsidP="00E724BA">
      <w:pPr>
        <w:pStyle w:val="ListParagraph"/>
        <w:numPr>
          <w:ilvl w:val="0"/>
          <w:numId w:val="5"/>
        </w:numPr>
        <w:shd w:val="clear" w:color="auto" w:fill="FFFFFF"/>
        <w:spacing w:after="0"/>
        <w:ind w:left="0" w:firstLine="360"/>
        <w:jc w:val="both"/>
        <w:rPr>
          <w:rFonts w:ascii="Calibri Light" w:hAnsi="Calibri Light" w:cs="Calibri Light"/>
          <w:sz w:val="24"/>
          <w:szCs w:val="24"/>
          <w:lang w:val="ru-MD"/>
        </w:rPr>
      </w:pPr>
      <w:r w:rsidRPr="000B12FB">
        <w:rPr>
          <w:rFonts w:ascii="Calibri Light" w:hAnsi="Calibri Light" w:cs="Calibri Light"/>
          <w:sz w:val="24"/>
          <w:szCs w:val="24"/>
          <w:lang w:val="ru-MD"/>
        </w:rPr>
        <w:t>необеспечение полной реализации Национального плана действий по внедрению Соглашения об ассоциации Республика Молдова-Европейский Союз, в частности, главы „Таможенный режим и содействие торговле”, и протокола о внесении поправок в Марракешское Соглашение об учреждении Всемирной торговой организации, что затягивает принятие единой документации по импортным, экспортным и транзитным операциям и т. д.</w:t>
      </w:r>
    </w:p>
    <w:p w14:paraId="07782CC6" w14:textId="756B78AF" w:rsidR="00D56267" w:rsidRPr="000B12FB" w:rsidRDefault="00E724BA" w:rsidP="00D56267">
      <w:pPr>
        <w:shd w:val="clear" w:color="auto" w:fill="FFFFFF"/>
        <w:spacing w:after="0" w:line="276" w:lineRule="auto"/>
        <w:ind w:firstLine="709"/>
        <w:jc w:val="both"/>
        <w:rPr>
          <w:rFonts w:asciiTheme="majorHAnsi" w:hAnsiTheme="majorHAnsi" w:cstheme="majorHAnsi"/>
          <w:sz w:val="24"/>
          <w:szCs w:val="24"/>
          <w:lang w:val="ru-MD"/>
        </w:rPr>
      </w:pPr>
      <w:r w:rsidRPr="000B12FB">
        <w:rPr>
          <w:rFonts w:asciiTheme="majorHAnsi" w:hAnsiTheme="majorHAnsi" w:cstheme="majorHAnsi"/>
          <w:sz w:val="24"/>
          <w:szCs w:val="24"/>
          <w:lang w:val="ru-MD"/>
        </w:rPr>
        <w:t xml:space="preserve">Выявленные недостатки проистекают из отсутствия эффективной деятельности по внутреннему управленческому контролю в рамках Таможенной службы, непринятия действий по улучшению нормативной базы, в этом отношении необходимы оперативные меры и действия со стороны Таможенной службы и Министерства финансов, направленные на обеспечение эффективности процессов, связанных с администрированием публичных доходов, отмеченных в Отчете аудита, в частности, процесса </w:t>
      </w:r>
      <w:r w:rsidR="006A1C94" w:rsidRPr="000B12FB">
        <w:rPr>
          <w:rFonts w:asciiTheme="majorHAnsi" w:hAnsiTheme="majorHAnsi" w:cstheme="majorHAnsi"/>
          <w:sz w:val="24"/>
          <w:szCs w:val="24"/>
          <w:lang w:val="ru-MD"/>
        </w:rPr>
        <w:t xml:space="preserve">по </w:t>
      </w:r>
      <w:r w:rsidRPr="000B12FB">
        <w:rPr>
          <w:rFonts w:asciiTheme="majorHAnsi" w:hAnsiTheme="majorHAnsi" w:cstheme="majorHAnsi"/>
          <w:sz w:val="24"/>
          <w:szCs w:val="24"/>
          <w:lang w:val="ru-MD"/>
        </w:rPr>
        <w:t>в</w:t>
      </w:r>
      <w:r w:rsidR="006A1C94" w:rsidRPr="000B12FB">
        <w:rPr>
          <w:rFonts w:asciiTheme="majorHAnsi" w:hAnsiTheme="majorHAnsi" w:cstheme="majorHAnsi"/>
          <w:sz w:val="24"/>
          <w:szCs w:val="24"/>
          <w:lang w:val="ru-MD"/>
        </w:rPr>
        <w:t>з</w:t>
      </w:r>
      <w:r w:rsidR="000309EF" w:rsidRPr="00C62D64">
        <w:rPr>
          <w:rFonts w:asciiTheme="majorHAnsi" w:hAnsiTheme="majorHAnsi" w:cstheme="majorHAnsi"/>
          <w:sz w:val="24"/>
          <w:szCs w:val="24"/>
          <w:lang w:val="ru-MD"/>
        </w:rPr>
        <w:t>ыск</w:t>
      </w:r>
      <w:r w:rsidR="006A1C94" w:rsidRPr="000B12FB">
        <w:rPr>
          <w:rFonts w:asciiTheme="majorHAnsi" w:hAnsiTheme="majorHAnsi" w:cstheme="majorHAnsi"/>
          <w:sz w:val="24"/>
          <w:szCs w:val="24"/>
          <w:lang w:val="ru-MD"/>
        </w:rPr>
        <w:t>а</w:t>
      </w:r>
      <w:r w:rsidRPr="000B12FB">
        <w:rPr>
          <w:rFonts w:asciiTheme="majorHAnsi" w:hAnsiTheme="majorHAnsi" w:cstheme="majorHAnsi"/>
          <w:sz w:val="24"/>
          <w:szCs w:val="24"/>
          <w:lang w:val="ru-MD"/>
        </w:rPr>
        <w:t>ни</w:t>
      </w:r>
      <w:r w:rsidR="006A1C94" w:rsidRPr="000B12FB">
        <w:rPr>
          <w:rFonts w:asciiTheme="majorHAnsi" w:hAnsiTheme="majorHAnsi" w:cstheme="majorHAnsi"/>
          <w:sz w:val="24"/>
          <w:szCs w:val="24"/>
          <w:lang w:val="ru-MD"/>
        </w:rPr>
        <w:t>ю</w:t>
      </w:r>
      <w:r w:rsidRPr="000B12FB">
        <w:rPr>
          <w:rFonts w:asciiTheme="majorHAnsi" w:hAnsiTheme="majorHAnsi" w:cstheme="majorHAnsi"/>
          <w:sz w:val="24"/>
          <w:szCs w:val="24"/>
          <w:lang w:val="ru-MD"/>
        </w:rPr>
        <w:t xml:space="preserve"> </w:t>
      </w:r>
      <w:r w:rsidR="006A1C94" w:rsidRPr="000B12FB">
        <w:rPr>
          <w:rFonts w:asciiTheme="majorHAnsi" w:hAnsiTheme="majorHAnsi" w:cstheme="majorHAnsi"/>
          <w:sz w:val="24"/>
          <w:szCs w:val="24"/>
          <w:lang w:val="ru-MD"/>
        </w:rPr>
        <w:t>задолженностей.</w:t>
      </w:r>
    </w:p>
    <w:p w14:paraId="285A6C1E" w14:textId="024800D6" w:rsidR="00932309" w:rsidRPr="000B12FB" w:rsidRDefault="006A1C94" w:rsidP="00D56267">
      <w:pPr>
        <w:shd w:val="clear" w:color="auto" w:fill="FFFFFF"/>
        <w:spacing w:after="0" w:line="276" w:lineRule="auto"/>
        <w:ind w:firstLine="709"/>
        <w:jc w:val="both"/>
        <w:rPr>
          <w:rFonts w:asciiTheme="majorHAnsi" w:hAnsiTheme="majorHAnsi" w:cstheme="majorHAnsi"/>
          <w:sz w:val="24"/>
          <w:szCs w:val="24"/>
          <w:lang w:val="ru-MD"/>
        </w:rPr>
      </w:pPr>
      <w:r w:rsidRPr="000B12FB">
        <w:rPr>
          <w:rFonts w:asciiTheme="majorHAnsi" w:hAnsiTheme="majorHAnsi" w:cstheme="majorHAnsi"/>
          <w:sz w:val="24"/>
          <w:szCs w:val="24"/>
          <w:lang w:val="ru-MD"/>
        </w:rPr>
        <w:t xml:space="preserve">Исходя из вышеизложенного, на основании ст.14 (2), ст.15 d) и ст.37 (2) Закона №260 от 07.12.2017, Счетная палата   </w:t>
      </w:r>
    </w:p>
    <w:p w14:paraId="2FF2799D" w14:textId="7AD6F5F3" w:rsidR="00932309" w:rsidRPr="000B12FB" w:rsidRDefault="006A1C94" w:rsidP="00932309">
      <w:pPr>
        <w:pStyle w:val="cp"/>
        <w:spacing w:after="120" w:line="276" w:lineRule="auto"/>
        <w:rPr>
          <w:rFonts w:asciiTheme="majorHAnsi" w:hAnsiTheme="majorHAnsi" w:cstheme="majorHAnsi"/>
          <w:lang w:val="ru-MD"/>
        </w:rPr>
      </w:pPr>
      <w:r w:rsidRPr="000B12FB">
        <w:rPr>
          <w:rFonts w:asciiTheme="majorHAnsi" w:hAnsiTheme="majorHAnsi" w:cstheme="majorHAnsi"/>
          <w:lang w:val="ru-MD"/>
        </w:rPr>
        <w:t>ПОСТАНОВЛЯЕТ</w:t>
      </w:r>
      <w:r w:rsidR="00932309" w:rsidRPr="000B12FB">
        <w:rPr>
          <w:rFonts w:asciiTheme="majorHAnsi" w:hAnsiTheme="majorHAnsi" w:cstheme="majorHAnsi"/>
          <w:lang w:val="ru-MD"/>
        </w:rPr>
        <w:t>:</w:t>
      </w:r>
      <w:r w:rsidR="00932309" w:rsidRPr="000B12FB">
        <w:rPr>
          <w:rFonts w:asciiTheme="majorHAnsi" w:hAnsiTheme="majorHAnsi" w:cstheme="majorHAnsi"/>
          <w:lang w:val="ru-MD"/>
        </w:rPr>
        <w:tab/>
      </w:r>
    </w:p>
    <w:p w14:paraId="04305727" w14:textId="03BB0DDB" w:rsidR="00932309" w:rsidRPr="000B12FB" w:rsidRDefault="00932309" w:rsidP="00932309">
      <w:pPr>
        <w:pStyle w:val="NormalWeb"/>
        <w:spacing w:after="0" w:line="276" w:lineRule="auto"/>
        <w:ind w:left="0" w:firstLine="709"/>
        <w:jc w:val="both"/>
        <w:rPr>
          <w:rFonts w:asciiTheme="majorHAnsi" w:hAnsiTheme="majorHAnsi" w:cstheme="majorHAnsi"/>
          <w:lang w:val="ru-MD"/>
        </w:rPr>
      </w:pPr>
      <w:r w:rsidRPr="000B12FB">
        <w:rPr>
          <w:rFonts w:asciiTheme="majorHAnsi" w:hAnsiTheme="majorHAnsi" w:cstheme="majorHAnsi"/>
          <w:b/>
          <w:bCs/>
          <w:lang w:val="ru-MD"/>
        </w:rPr>
        <w:t>1.</w:t>
      </w:r>
      <w:r w:rsidRPr="000B12FB">
        <w:rPr>
          <w:rFonts w:asciiTheme="majorHAnsi" w:hAnsiTheme="majorHAnsi" w:cstheme="majorHAnsi"/>
          <w:lang w:val="ru-MD"/>
        </w:rPr>
        <w:t xml:space="preserve"> </w:t>
      </w:r>
      <w:r w:rsidR="00282D2F" w:rsidRPr="000B12FB">
        <w:rPr>
          <w:rFonts w:asciiTheme="majorHAnsi" w:hAnsiTheme="majorHAnsi" w:cstheme="majorHAnsi"/>
          <w:lang w:val="ru-MD"/>
        </w:rPr>
        <w:t>Утвердить Отчет аудита соответствия администрирования публичных доходов Таможенной службой, за 2020-2021 годы</w:t>
      </w:r>
      <w:r w:rsidR="00140964" w:rsidRPr="000B12FB">
        <w:rPr>
          <w:rFonts w:asciiTheme="majorHAnsi" w:hAnsiTheme="majorHAnsi" w:cstheme="majorHAnsi"/>
          <w:lang w:val="ru-MD"/>
        </w:rPr>
        <w:t>,</w:t>
      </w:r>
      <w:r w:rsidR="00282D2F" w:rsidRPr="000B12FB">
        <w:rPr>
          <w:rFonts w:asciiTheme="majorHAnsi" w:hAnsiTheme="majorHAnsi" w:cstheme="majorHAnsi"/>
          <w:lang w:val="ru-MD"/>
        </w:rPr>
        <w:t xml:space="preserve"> приложенный к настоящему Постановлению.</w:t>
      </w:r>
    </w:p>
    <w:p w14:paraId="4D8C21D9" w14:textId="30434EC7" w:rsidR="00932309" w:rsidRPr="000B12FB" w:rsidRDefault="00932309" w:rsidP="00932309">
      <w:pPr>
        <w:pStyle w:val="NormalWeb"/>
        <w:spacing w:after="0" w:line="276" w:lineRule="auto"/>
        <w:ind w:left="0" w:firstLine="709"/>
        <w:jc w:val="both"/>
        <w:rPr>
          <w:rFonts w:asciiTheme="majorHAnsi" w:hAnsiTheme="majorHAnsi" w:cstheme="majorHAnsi"/>
          <w:lang w:val="ru-MD"/>
        </w:rPr>
      </w:pPr>
      <w:r w:rsidRPr="000B12FB">
        <w:rPr>
          <w:rFonts w:asciiTheme="majorHAnsi" w:hAnsiTheme="majorHAnsi" w:cstheme="majorHAnsi"/>
          <w:b/>
          <w:bCs/>
          <w:lang w:val="ru-MD"/>
        </w:rPr>
        <w:t>2.</w:t>
      </w:r>
      <w:r w:rsidRPr="000B12FB">
        <w:rPr>
          <w:rFonts w:asciiTheme="majorHAnsi" w:hAnsiTheme="majorHAnsi" w:cstheme="majorHAnsi"/>
          <w:lang w:val="ru-MD"/>
        </w:rPr>
        <w:t xml:space="preserve"> </w:t>
      </w:r>
      <w:r w:rsidR="00282D2F" w:rsidRPr="000B12FB">
        <w:rPr>
          <w:rFonts w:asciiTheme="majorHAnsi" w:hAnsiTheme="majorHAnsi" w:cstheme="majorHAnsi"/>
          <w:lang w:val="ru-MD"/>
        </w:rPr>
        <w:t>Настоящее Постановление</w:t>
      </w:r>
      <w:r w:rsidR="00282D2F" w:rsidRPr="000B12FB">
        <w:rPr>
          <w:rFonts w:asciiTheme="majorHAnsi" w:hAnsiTheme="majorHAnsi" w:cstheme="majorHAnsi"/>
          <w:bCs/>
          <w:lang w:val="ru-MD"/>
        </w:rPr>
        <w:t xml:space="preserve"> и </w:t>
      </w:r>
      <w:r w:rsidR="00282D2F" w:rsidRPr="000B12FB">
        <w:rPr>
          <w:rFonts w:asciiTheme="majorHAnsi" w:hAnsiTheme="majorHAnsi" w:cstheme="majorHAnsi"/>
          <w:lang w:val="ru-MD"/>
        </w:rPr>
        <w:t>Отчет аудита направить</w:t>
      </w:r>
      <w:r w:rsidRPr="000B12FB">
        <w:rPr>
          <w:rFonts w:asciiTheme="majorHAnsi" w:hAnsiTheme="majorHAnsi" w:cstheme="majorHAnsi"/>
          <w:lang w:val="ru-MD"/>
        </w:rPr>
        <w:t>:</w:t>
      </w:r>
    </w:p>
    <w:p w14:paraId="13FB61E5" w14:textId="290403CF" w:rsidR="00932309" w:rsidRPr="000B12FB" w:rsidRDefault="00932309" w:rsidP="00932309">
      <w:pPr>
        <w:spacing w:after="0" w:line="276" w:lineRule="auto"/>
        <w:ind w:firstLine="709"/>
        <w:jc w:val="both"/>
        <w:rPr>
          <w:rFonts w:asciiTheme="majorHAnsi" w:eastAsia="Times New Roman" w:hAnsiTheme="majorHAnsi" w:cstheme="majorHAnsi"/>
          <w:sz w:val="24"/>
          <w:szCs w:val="24"/>
          <w:lang w:val="ru-MD" w:eastAsia="ru-RU"/>
        </w:rPr>
      </w:pPr>
      <w:r w:rsidRPr="000B12FB">
        <w:rPr>
          <w:rFonts w:asciiTheme="majorHAnsi" w:hAnsiTheme="majorHAnsi" w:cstheme="majorHAnsi"/>
          <w:b/>
          <w:sz w:val="24"/>
          <w:szCs w:val="24"/>
          <w:lang w:val="ru-MD"/>
        </w:rPr>
        <w:lastRenderedPageBreak/>
        <w:t xml:space="preserve">2.1. </w:t>
      </w:r>
      <w:r w:rsidR="007D103D" w:rsidRPr="000B12FB">
        <w:rPr>
          <w:rFonts w:asciiTheme="majorHAnsi" w:hAnsiTheme="majorHAnsi" w:cstheme="majorHAnsi"/>
          <w:b/>
          <w:sz w:val="24"/>
          <w:szCs w:val="24"/>
          <w:lang w:val="ru-MD"/>
        </w:rPr>
        <w:t xml:space="preserve">Парламенту Республики Молдова </w:t>
      </w:r>
      <w:r w:rsidR="007D103D" w:rsidRPr="000B12FB">
        <w:rPr>
          <w:rFonts w:asciiTheme="majorHAnsi" w:hAnsiTheme="majorHAnsi" w:cstheme="majorHAnsi"/>
          <w:sz w:val="24"/>
          <w:szCs w:val="24"/>
          <w:lang w:val="ru-MD"/>
        </w:rPr>
        <w:t>для информирования и рассмотрения, в случае необходимости, в рамках парламентской комиссии по контролю за публичными финансами</w:t>
      </w:r>
      <w:r w:rsidRPr="000B12FB">
        <w:rPr>
          <w:rFonts w:asciiTheme="majorHAnsi" w:hAnsiTheme="majorHAnsi" w:cstheme="majorHAnsi"/>
          <w:bCs/>
          <w:lang w:val="ru-MD"/>
        </w:rPr>
        <w:t>;</w:t>
      </w:r>
    </w:p>
    <w:p w14:paraId="2DE73C6C" w14:textId="0C864CAF" w:rsidR="00932309" w:rsidRPr="000B12FB" w:rsidRDefault="00932309" w:rsidP="00932309">
      <w:pPr>
        <w:spacing w:after="0" w:line="276" w:lineRule="auto"/>
        <w:ind w:firstLine="709"/>
        <w:contextualSpacing/>
        <w:jc w:val="both"/>
        <w:rPr>
          <w:rFonts w:asciiTheme="majorHAnsi" w:eastAsia="Times New Roman" w:hAnsiTheme="majorHAnsi" w:cstheme="majorHAnsi"/>
          <w:sz w:val="24"/>
          <w:szCs w:val="24"/>
          <w:lang w:val="ru-MD"/>
        </w:rPr>
      </w:pPr>
      <w:r w:rsidRPr="000B12FB">
        <w:rPr>
          <w:rFonts w:asciiTheme="majorHAnsi" w:eastAsia="Times New Roman" w:hAnsiTheme="majorHAnsi" w:cstheme="majorHAnsi"/>
          <w:b/>
          <w:sz w:val="24"/>
          <w:szCs w:val="24"/>
          <w:lang w:val="ru-MD"/>
        </w:rPr>
        <w:t xml:space="preserve">2.2. </w:t>
      </w:r>
      <w:r w:rsidR="007D103D" w:rsidRPr="000B12FB">
        <w:rPr>
          <w:rFonts w:asciiTheme="majorHAnsi" w:eastAsia="Times New Roman" w:hAnsiTheme="majorHAnsi" w:cstheme="majorHAnsi"/>
          <w:b/>
          <w:bCs/>
          <w:sz w:val="24"/>
          <w:szCs w:val="24"/>
          <w:lang w:val="ru-MD"/>
        </w:rPr>
        <w:t xml:space="preserve">Президенту Республики Молдова </w:t>
      </w:r>
      <w:r w:rsidR="007D103D" w:rsidRPr="00134C24">
        <w:rPr>
          <w:rFonts w:asciiTheme="majorHAnsi" w:eastAsia="Times New Roman" w:hAnsiTheme="majorHAnsi" w:cstheme="majorHAnsi"/>
          <w:bCs/>
          <w:sz w:val="24"/>
          <w:szCs w:val="24"/>
          <w:lang w:val="ru-MD"/>
        </w:rPr>
        <w:t>для информирования</w:t>
      </w:r>
      <w:r w:rsidRPr="000B12FB">
        <w:rPr>
          <w:rFonts w:asciiTheme="majorHAnsi" w:eastAsia="Times New Roman" w:hAnsiTheme="majorHAnsi" w:cstheme="majorHAnsi"/>
          <w:sz w:val="24"/>
          <w:szCs w:val="24"/>
          <w:lang w:val="ru-MD"/>
        </w:rPr>
        <w:t>;</w:t>
      </w:r>
    </w:p>
    <w:p w14:paraId="1B05D7D9" w14:textId="04F545EC" w:rsidR="00932309" w:rsidRPr="000B12FB" w:rsidRDefault="00932309" w:rsidP="00932309">
      <w:pPr>
        <w:spacing w:after="0" w:line="276" w:lineRule="auto"/>
        <w:ind w:firstLine="709"/>
        <w:jc w:val="both"/>
        <w:rPr>
          <w:rFonts w:asciiTheme="majorHAnsi" w:hAnsiTheme="majorHAnsi" w:cstheme="majorHAnsi"/>
          <w:sz w:val="24"/>
          <w:szCs w:val="24"/>
          <w:lang w:val="ru-MD"/>
        </w:rPr>
      </w:pPr>
      <w:r w:rsidRPr="000B12FB">
        <w:rPr>
          <w:rFonts w:asciiTheme="majorHAnsi" w:hAnsiTheme="majorHAnsi" w:cstheme="majorHAnsi"/>
          <w:b/>
          <w:sz w:val="24"/>
          <w:szCs w:val="24"/>
          <w:lang w:val="ru-MD"/>
        </w:rPr>
        <w:t>2.3.</w:t>
      </w:r>
      <w:r w:rsidR="007D103D" w:rsidRPr="000B12FB">
        <w:rPr>
          <w:rFonts w:asciiTheme="majorHAnsi" w:hAnsiTheme="majorHAnsi" w:cstheme="majorHAnsi"/>
          <w:b/>
          <w:sz w:val="24"/>
          <w:szCs w:val="24"/>
          <w:lang w:val="ru-MD"/>
        </w:rPr>
        <w:t xml:space="preserve"> </w:t>
      </w:r>
      <w:r w:rsidR="007D103D" w:rsidRPr="000B12FB">
        <w:rPr>
          <w:rFonts w:asciiTheme="majorHAnsi" w:hAnsiTheme="majorHAnsi" w:cstheme="majorHAnsi"/>
          <w:b/>
          <w:bCs/>
          <w:sz w:val="24"/>
          <w:szCs w:val="24"/>
          <w:lang w:val="ru-MD"/>
        </w:rPr>
        <w:t>Правительству Республики Молдова</w:t>
      </w:r>
      <w:r w:rsidR="007D103D" w:rsidRPr="000B12FB">
        <w:rPr>
          <w:rFonts w:asciiTheme="majorHAnsi" w:hAnsiTheme="majorHAnsi" w:cstheme="majorHAnsi"/>
          <w:bCs/>
          <w:sz w:val="24"/>
          <w:szCs w:val="24"/>
          <w:lang w:val="ru-MD"/>
        </w:rPr>
        <w:t xml:space="preserve"> для информирования и принятия мер по мониторингу обеспечения внедрения рекомендаций аудита</w:t>
      </w:r>
      <w:r w:rsidRPr="000B12FB">
        <w:rPr>
          <w:rFonts w:asciiTheme="majorHAnsi" w:hAnsiTheme="majorHAnsi" w:cstheme="majorHAnsi"/>
          <w:sz w:val="24"/>
          <w:szCs w:val="24"/>
          <w:lang w:val="ru-MD"/>
        </w:rPr>
        <w:t>;</w:t>
      </w:r>
    </w:p>
    <w:p w14:paraId="27F721C8" w14:textId="766101DB" w:rsidR="00B1342D" w:rsidRPr="000B12FB" w:rsidRDefault="00B1342D" w:rsidP="00B1342D">
      <w:pPr>
        <w:spacing w:after="0" w:line="276" w:lineRule="auto"/>
        <w:ind w:firstLine="709"/>
        <w:jc w:val="both"/>
        <w:rPr>
          <w:rFonts w:asciiTheme="majorHAnsi" w:hAnsiTheme="majorHAnsi" w:cstheme="majorHAnsi"/>
          <w:sz w:val="24"/>
          <w:szCs w:val="24"/>
          <w:lang w:val="ru-MD"/>
        </w:rPr>
      </w:pPr>
      <w:r w:rsidRPr="000B12FB">
        <w:rPr>
          <w:rFonts w:asciiTheme="majorHAnsi" w:hAnsiTheme="majorHAnsi" w:cstheme="majorHAnsi"/>
          <w:b/>
          <w:sz w:val="24"/>
          <w:szCs w:val="24"/>
          <w:lang w:val="ru-MD"/>
        </w:rPr>
        <w:t xml:space="preserve">2.4. </w:t>
      </w:r>
      <w:r w:rsidR="00412001" w:rsidRPr="000B12FB">
        <w:rPr>
          <w:rFonts w:asciiTheme="majorHAnsi" w:hAnsiTheme="majorHAnsi" w:cstheme="majorHAnsi"/>
          <w:b/>
          <w:sz w:val="24"/>
          <w:szCs w:val="24"/>
          <w:lang w:val="ru-MD"/>
        </w:rPr>
        <w:t>Министерству экономики</w:t>
      </w:r>
      <w:r w:rsidR="00412001" w:rsidRPr="000B12FB">
        <w:rPr>
          <w:rFonts w:asciiTheme="majorHAnsi" w:hAnsiTheme="majorHAnsi" w:cstheme="majorHAnsi"/>
          <w:sz w:val="24"/>
          <w:szCs w:val="24"/>
          <w:lang w:val="ru-MD"/>
        </w:rPr>
        <w:t xml:space="preserve"> для рассмотрения, и рекомендовать, с учетом полномочий по продвижению экономической политики государства, изучить непрозрачные операции с автомобилями класса люкс, лекарств</w:t>
      </w:r>
      <w:r w:rsidR="00765DA9" w:rsidRPr="000B12FB">
        <w:rPr>
          <w:rFonts w:asciiTheme="majorHAnsi" w:hAnsiTheme="majorHAnsi" w:cstheme="majorHAnsi"/>
          <w:sz w:val="24"/>
          <w:szCs w:val="24"/>
          <w:lang w:val="ru-MD"/>
        </w:rPr>
        <w:t>енными препаратами</w:t>
      </w:r>
      <w:r w:rsidR="00412001" w:rsidRPr="000B12FB">
        <w:rPr>
          <w:rFonts w:asciiTheme="majorHAnsi" w:hAnsiTheme="majorHAnsi" w:cstheme="majorHAnsi"/>
          <w:sz w:val="24"/>
          <w:szCs w:val="24"/>
          <w:lang w:val="ru-MD"/>
        </w:rPr>
        <w:t xml:space="preserve"> и другими товарами, осуществляемые через таможенные режимы/назначения таможенного склада и свободной экономической зоны</w:t>
      </w:r>
      <w:r w:rsidR="00765DA9" w:rsidRPr="000B12FB">
        <w:rPr>
          <w:rFonts w:asciiTheme="majorHAnsi" w:hAnsiTheme="majorHAnsi" w:cstheme="majorHAnsi"/>
          <w:sz w:val="24"/>
          <w:szCs w:val="24"/>
          <w:lang w:val="ru-MD"/>
        </w:rPr>
        <w:t>,</w:t>
      </w:r>
      <w:r w:rsidR="00412001" w:rsidRPr="000B12FB">
        <w:rPr>
          <w:rFonts w:asciiTheme="majorHAnsi" w:hAnsiTheme="majorHAnsi" w:cstheme="majorHAnsi"/>
          <w:sz w:val="24"/>
          <w:szCs w:val="24"/>
          <w:lang w:val="ru-MD"/>
        </w:rPr>
        <w:t xml:space="preserve"> с последующим реэкспортом, освобожденными или частично освобожденными от уплаты </w:t>
      </w:r>
      <w:r w:rsidR="00765DA9" w:rsidRPr="000B12FB">
        <w:rPr>
          <w:rFonts w:asciiTheme="majorHAnsi" w:hAnsiTheme="majorHAnsi" w:cstheme="majorHAnsi"/>
          <w:sz w:val="24"/>
          <w:szCs w:val="24"/>
          <w:lang w:val="ru-MD"/>
        </w:rPr>
        <w:t>импорт</w:t>
      </w:r>
      <w:r w:rsidR="00412001" w:rsidRPr="000B12FB">
        <w:rPr>
          <w:rFonts w:asciiTheme="majorHAnsi" w:hAnsiTheme="majorHAnsi" w:cstheme="majorHAnsi"/>
          <w:sz w:val="24"/>
          <w:szCs w:val="24"/>
          <w:lang w:val="ru-MD"/>
        </w:rPr>
        <w:t>ных пошлин, и принимать меры в отношении них, в том числе путем приостановления или отзыва разрешений на осуществление деятельности в свободной экономической зоне</w:t>
      </w:r>
      <w:r w:rsidR="00765DA9" w:rsidRPr="000B12FB">
        <w:rPr>
          <w:rFonts w:asciiTheme="majorHAnsi" w:hAnsiTheme="majorHAnsi" w:cstheme="majorHAnsi"/>
          <w:sz w:val="24"/>
          <w:szCs w:val="24"/>
          <w:lang w:val="ru-MD"/>
        </w:rPr>
        <w:t>,</w:t>
      </w:r>
      <w:r w:rsidR="00412001" w:rsidRPr="000B12FB">
        <w:rPr>
          <w:rFonts w:asciiTheme="majorHAnsi" w:hAnsiTheme="majorHAnsi" w:cstheme="majorHAnsi"/>
          <w:sz w:val="24"/>
          <w:szCs w:val="24"/>
          <w:lang w:val="ru-MD"/>
        </w:rPr>
        <w:t xml:space="preserve"> или внесени</w:t>
      </w:r>
      <w:r w:rsidR="00765DA9" w:rsidRPr="000B12FB">
        <w:rPr>
          <w:rFonts w:asciiTheme="majorHAnsi" w:hAnsiTheme="majorHAnsi" w:cstheme="majorHAnsi"/>
          <w:sz w:val="24"/>
          <w:szCs w:val="24"/>
          <w:lang w:val="ru-MD"/>
        </w:rPr>
        <w:t>я</w:t>
      </w:r>
      <w:r w:rsidR="00412001" w:rsidRPr="000B12FB">
        <w:rPr>
          <w:rFonts w:asciiTheme="majorHAnsi" w:hAnsiTheme="majorHAnsi" w:cstheme="majorHAnsi"/>
          <w:sz w:val="24"/>
          <w:szCs w:val="24"/>
          <w:lang w:val="ru-MD"/>
        </w:rPr>
        <w:t xml:space="preserve"> поправок, в зависимости от обстоятельств, в действующее законодательство</w:t>
      </w:r>
      <w:r w:rsidRPr="000B12FB">
        <w:rPr>
          <w:rFonts w:asciiTheme="majorHAnsi" w:hAnsiTheme="majorHAnsi" w:cstheme="majorHAnsi"/>
          <w:sz w:val="24"/>
          <w:szCs w:val="24"/>
          <w:lang w:val="ru-MD"/>
        </w:rPr>
        <w:t xml:space="preserve">; </w:t>
      </w:r>
    </w:p>
    <w:p w14:paraId="25CBD748" w14:textId="69AE0BD6" w:rsidR="00765DA9" w:rsidRPr="000B12FB" w:rsidRDefault="00932309" w:rsidP="00932309">
      <w:pPr>
        <w:spacing w:after="0" w:line="276" w:lineRule="auto"/>
        <w:ind w:firstLine="709"/>
        <w:jc w:val="both"/>
        <w:rPr>
          <w:rFonts w:asciiTheme="majorHAnsi" w:hAnsiTheme="majorHAnsi" w:cstheme="majorHAnsi"/>
          <w:sz w:val="24"/>
          <w:szCs w:val="24"/>
          <w:lang w:val="ru-MD"/>
        </w:rPr>
      </w:pPr>
      <w:r w:rsidRPr="000B12FB">
        <w:rPr>
          <w:rFonts w:asciiTheme="majorHAnsi" w:hAnsiTheme="majorHAnsi" w:cstheme="majorHAnsi"/>
          <w:b/>
          <w:sz w:val="24"/>
          <w:szCs w:val="24"/>
          <w:lang w:val="ru-MD"/>
        </w:rPr>
        <w:t>2.</w:t>
      </w:r>
      <w:r w:rsidR="00B1342D" w:rsidRPr="000B12FB">
        <w:rPr>
          <w:rFonts w:asciiTheme="majorHAnsi" w:hAnsiTheme="majorHAnsi" w:cstheme="majorHAnsi"/>
          <w:b/>
          <w:sz w:val="24"/>
          <w:szCs w:val="24"/>
          <w:lang w:val="ru-MD"/>
        </w:rPr>
        <w:t>5</w:t>
      </w:r>
      <w:r w:rsidRPr="000B12FB">
        <w:rPr>
          <w:rFonts w:asciiTheme="majorHAnsi" w:hAnsiTheme="majorHAnsi" w:cstheme="majorHAnsi"/>
          <w:b/>
          <w:sz w:val="24"/>
          <w:szCs w:val="24"/>
          <w:lang w:val="ru-MD"/>
        </w:rPr>
        <w:t xml:space="preserve">. </w:t>
      </w:r>
      <w:r w:rsidR="00765DA9" w:rsidRPr="000B12FB">
        <w:rPr>
          <w:rFonts w:asciiTheme="majorHAnsi" w:hAnsiTheme="majorHAnsi" w:cstheme="majorHAnsi"/>
          <w:b/>
          <w:sz w:val="24"/>
          <w:szCs w:val="24"/>
          <w:lang w:val="ru-MD"/>
        </w:rPr>
        <w:t xml:space="preserve">Министерству финансов </w:t>
      </w:r>
      <w:r w:rsidR="00765DA9" w:rsidRPr="000B12FB">
        <w:rPr>
          <w:rFonts w:asciiTheme="majorHAnsi" w:hAnsiTheme="majorHAnsi" w:cstheme="majorHAnsi"/>
          <w:sz w:val="24"/>
          <w:szCs w:val="24"/>
          <w:lang w:val="ru-MD"/>
        </w:rPr>
        <w:t>для принятия к сведению, и рекомендовать,</w:t>
      </w:r>
      <w:r w:rsidR="00E83C10" w:rsidRPr="000B12FB">
        <w:rPr>
          <w:rFonts w:asciiTheme="majorHAnsi" w:hAnsiTheme="majorHAnsi" w:cstheme="majorHAnsi"/>
          <w:sz w:val="24"/>
          <w:szCs w:val="24"/>
          <w:lang w:val="ru-MD"/>
        </w:rPr>
        <w:t xml:space="preserve"> </w:t>
      </w:r>
      <w:r w:rsidR="00765DA9" w:rsidRPr="000B12FB">
        <w:rPr>
          <w:rFonts w:asciiTheme="majorHAnsi" w:hAnsiTheme="majorHAnsi" w:cstheme="majorHAnsi"/>
          <w:sz w:val="24"/>
          <w:szCs w:val="24"/>
          <w:lang w:val="ru-MD"/>
        </w:rPr>
        <w:t xml:space="preserve">в соответствии с возложенными на него полномочиями, </w:t>
      </w:r>
      <w:r w:rsidR="005161D9">
        <w:rPr>
          <w:rFonts w:asciiTheme="majorHAnsi" w:hAnsiTheme="majorHAnsi" w:cstheme="majorHAnsi"/>
          <w:sz w:val="24"/>
          <w:szCs w:val="24"/>
          <w:lang w:val="ru-MD"/>
        </w:rPr>
        <w:t xml:space="preserve">оказать </w:t>
      </w:r>
      <w:r w:rsidR="00765DA9" w:rsidRPr="000B12FB">
        <w:rPr>
          <w:rFonts w:asciiTheme="majorHAnsi" w:hAnsiTheme="majorHAnsi" w:cstheme="majorHAnsi"/>
          <w:sz w:val="24"/>
          <w:szCs w:val="24"/>
          <w:lang w:val="ru-MD"/>
        </w:rPr>
        <w:t>содейств</w:t>
      </w:r>
      <w:r w:rsidR="005161D9">
        <w:rPr>
          <w:rFonts w:asciiTheme="majorHAnsi" w:hAnsiTheme="majorHAnsi" w:cstheme="majorHAnsi"/>
          <w:sz w:val="24"/>
          <w:szCs w:val="24"/>
          <w:lang w:val="ru-MD"/>
        </w:rPr>
        <w:t>ие</w:t>
      </w:r>
      <w:r w:rsidR="002F5CC5">
        <w:rPr>
          <w:rFonts w:asciiTheme="majorHAnsi" w:hAnsiTheme="majorHAnsi" w:cstheme="majorHAnsi"/>
          <w:sz w:val="24"/>
          <w:szCs w:val="24"/>
          <w:lang w:val="ru-MD"/>
        </w:rPr>
        <w:t>,</w:t>
      </w:r>
      <w:r w:rsidR="005161D9">
        <w:rPr>
          <w:rFonts w:asciiTheme="majorHAnsi" w:hAnsiTheme="majorHAnsi" w:cstheme="majorHAnsi"/>
          <w:sz w:val="24"/>
          <w:szCs w:val="24"/>
          <w:lang w:val="ru-MD"/>
        </w:rPr>
        <w:t xml:space="preserve"> для</w:t>
      </w:r>
      <w:r w:rsidR="00765DA9" w:rsidRPr="000B12FB">
        <w:rPr>
          <w:rFonts w:asciiTheme="majorHAnsi" w:hAnsiTheme="majorHAnsi" w:cstheme="majorHAnsi"/>
          <w:sz w:val="24"/>
          <w:szCs w:val="24"/>
          <w:lang w:val="ru-MD"/>
        </w:rPr>
        <w:t>:</w:t>
      </w:r>
    </w:p>
    <w:p w14:paraId="24122DC0" w14:textId="0BD800BC" w:rsidR="00927423" w:rsidRPr="000B12FB" w:rsidRDefault="00992A52" w:rsidP="00932309">
      <w:pPr>
        <w:spacing w:after="0" w:line="276" w:lineRule="auto"/>
        <w:ind w:firstLine="709"/>
        <w:jc w:val="both"/>
        <w:rPr>
          <w:rFonts w:ascii="Calibri Light" w:hAnsi="Calibri Light" w:cs="Calibri Light"/>
          <w:sz w:val="24"/>
          <w:szCs w:val="24"/>
          <w:lang w:val="ru-MD"/>
        </w:rPr>
      </w:pPr>
      <w:r w:rsidRPr="000B12FB">
        <w:rPr>
          <w:rFonts w:asciiTheme="majorHAnsi" w:hAnsiTheme="majorHAnsi" w:cstheme="majorHAnsi"/>
          <w:b/>
          <w:sz w:val="24"/>
          <w:szCs w:val="24"/>
          <w:lang w:val="ru-MD"/>
        </w:rPr>
        <w:t>2.</w:t>
      </w:r>
      <w:r w:rsidR="00B1342D" w:rsidRPr="000B12FB">
        <w:rPr>
          <w:rFonts w:asciiTheme="majorHAnsi" w:hAnsiTheme="majorHAnsi" w:cstheme="majorHAnsi"/>
          <w:b/>
          <w:sz w:val="24"/>
          <w:szCs w:val="24"/>
          <w:lang w:val="ru-MD"/>
        </w:rPr>
        <w:t>5</w:t>
      </w:r>
      <w:r w:rsidRPr="000B12FB">
        <w:rPr>
          <w:rFonts w:asciiTheme="majorHAnsi" w:hAnsiTheme="majorHAnsi" w:cstheme="majorHAnsi"/>
          <w:b/>
          <w:sz w:val="24"/>
          <w:szCs w:val="24"/>
          <w:lang w:val="ru-MD"/>
        </w:rPr>
        <w:t>.1</w:t>
      </w:r>
      <w:r w:rsidR="00AD112B" w:rsidRPr="000B12FB">
        <w:rPr>
          <w:rFonts w:ascii="Calibri Light" w:hAnsi="Calibri Light" w:cs="Calibri Light"/>
          <w:sz w:val="24"/>
          <w:szCs w:val="24"/>
          <w:lang w:val="ru-MD"/>
        </w:rPr>
        <w:t xml:space="preserve"> </w:t>
      </w:r>
      <w:r w:rsidR="00765DA9" w:rsidRPr="000B12FB">
        <w:rPr>
          <w:rFonts w:asciiTheme="majorHAnsi" w:hAnsiTheme="majorHAnsi" w:cstheme="majorHAnsi"/>
          <w:sz w:val="24"/>
          <w:szCs w:val="24"/>
          <w:lang w:val="ru-MD"/>
        </w:rPr>
        <w:t xml:space="preserve">реализации мер Национального плана действий по внедрению Соглашения об ассоциации Республика Молдова - Европейский Союз, предусмотренных в главе </w:t>
      </w:r>
      <w:r w:rsidR="00765DA9" w:rsidRPr="000B12FB">
        <w:rPr>
          <w:rFonts w:ascii="Calibri Light" w:hAnsi="Calibri Light" w:cs="Calibri Light"/>
          <w:sz w:val="24"/>
          <w:szCs w:val="24"/>
          <w:lang w:val="ru-MD"/>
        </w:rPr>
        <w:t>„Т</w:t>
      </w:r>
      <w:r w:rsidR="00765DA9" w:rsidRPr="000B12FB">
        <w:rPr>
          <w:rFonts w:asciiTheme="majorHAnsi" w:hAnsiTheme="majorHAnsi" w:cstheme="majorHAnsi"/>
          <w:sz w:val="24"/>
          <w:szCs w:val="24"/>
          <w:lang w:val="ru-MD"/>
        </w:rPr>
        <w:t>аможенный режим и содействие торговле</w:t>
      </w:r>
      <w:r w:rsidR="00765DA9" w:rsidRPr="000B12FB">
        <w:rPr>
          <w:rFonts w:ascii="Calibri Light" w:hAnsi="Calibri Light" w:cs="Calibri Light"/>
          <w:sz w:val="24"/>
          <w:szCs w:val="24"/>
          <w:lang w:val="ru-MD"/>
        </w:rPr>
        <w:t>”</w:t>
      </w:r>
      <w:r w:rsidR="00765DA9" w:rsidRPr="000B12FB">
        <w:rPr>
          <w:rFonts w:asciiTheme="majorHAnsi" w:hAnsiTheme="majorHAnsi" w:cstheme="majorHAnsi"/>
          <w:sz w:val="24"/>
          <w:szCs w:val="24"/>
          <w:lang w:val="ru-MD"/>
        </w:rPr>
        <w:t xml:space="preserve">, а также протокола о внесении поправок в Марракешское Соглашение об учреждении Всемирной торговой организации, в частности, о принятии единой документации по импортным, экспортным и транзитным операциям, </w:t>
      </w:r>
      <w:r w:rsidR="00E4536C" w:rsidRPr="000B12FB">
        <w:rPr>
          <w:rFonts w:asciiTheme="majorHAnsi" w:hAnsiTheme="majorHAnsi" w:cstheme="majorHAnsi"/>
          <w:sz w:val="24"/>
          <w:szCs w:val="24"/>
          <w:lang w:val="ru-MD"/>
        </w:rPr>
        <w:t>призва</w:t>
      </w:r>
      <w:r w:rsidR="00765DA9" w:rsidRPr="000B12FB">
        <w:rPr>
          <w:rFonts w:asciiTheme="majorHAnsi" w:hAnsiTheme="majorHAnsi" w:cstheme="majorHAnsi"/>
          <w:sz w:val="24"/>
          <w:szCs w:val="24"/>
          <w:lang w:val="ru-MD"/>
        </w:rPr>
        <w:t>нн</w:t>
      </w:r>
      <w:r w:rsidR="00E4536C" w:rsidRPr="000B12FB">
        <w:rPr>
          <w:rFonts w:asciiTheme="majorHAnsi" w:hAnsiTheme="majorHAnsi" w:cstheme="majorHAnsi"/>
          <w:sz w:val="24"/>
          <w:szCs w:val="24"/>
          <w:lang w:val="ru-MD"/>
        </w:rPr>
        <w:t>ых</w:t>
      </w:r>
      <w:r w:rsidR="00765DA9" w:rsidRPr="000B12FB">
        <w:rPr>
          <w:rFonts w:asciiTheme="majorHAnsi" w:hAnsiTheme="majorHAnsi" w:cstheme="majorHAnsi"/>
          <w:sz w:val="24"/>
          <w:szCs w:val="24"/>
          <w:lang w:val="ru-MD"/>
        </w:rPr>
        <w:t xml:space="preserve"> </w:t>
      </w:r>
      <w:r w:rsidR="00E4536C" w:rsidRPr="000B12FB">
        <w:rPr>
          <w:rFonts w:asciiTheme="majorHAnsi" w:hAnsiTheme="majorHAnsi" w:cstheme="majorHAnsi"/>
          <w:sz w:val="24"/>
          <w:szCs w:val="24"/>
          <w:lang w:val="ru-MD"/>
        </w:rPr>
        <w:t>содействовать</w:t>
      </w:r>
      <w:r w:rsidR="00765DA9" w:rsidRPr="000B12FB">
        <w:rPr>
          <w:rFonts w:asciiTheme="majorHAnsi" w:hAnsiTheme="majorHAnsi" w:cstheme="majorHAnsi"/>
          <w:sz w:val="24"/>
          <w:szCs w:val="24"/>
          <w:lang w:val="ru-MD"/>
        </w:rPr>
        <w:t xml:space="preserve"> </w:t>
      </w:r>
      <w:r w:rsidR="00E4536C" w:rsidRPr="000B12FB">
        <w:rPr>
          <w:rFonts w:asciiTheme="majorHAnsi" w:hAnsiTheme="majorHAnsi" w:cstheme="majorHAnsi"/>
          <w:sz w:val="24"/>
          <w:szCs w:val="24"/>
          <w:lang w:val="ru-MD"/>
        </w:rPr>
        <w:t>упрощ</w:t>
      </w:r>
      <w:r w:rsidR="00765DA9" w:rsidRPr="000B12FB">
        <w:rPr>
          <w:rFonts w:asciiTheme="majorHAnsi" w:hAnsiTheme="majorHAnsi" w:cstheme="majorHAnsi"/>
          <w:sz w:val="24"/>
          <w:szCs w:val="24"/>
          <w:lang w:val="ru-MD"/>
        </w:rPr>
        <w:t>ени</w:t>
      </w:r>
      <w:r w:rsidR="00E4536C" w:rsidRPr="000B12FB">
        <w:rPr>
          <w:rFonts w:asciiTheme="majorHAnsi" w:hAnsiTheme="majorHAnsi" w:cstheme="majorHAnsi"/>
          <w:sz w:val="24"/>
          <w:szCs w:val="24"/>
          <w:lang w:val="ru-MD"/>
        </w:rPr>
        <w:t>ю</w:t>
      </w:r>
      <w:r w:rsidR="00765DA9" w:rsidRPr="000B12FB">
        <w:rPr>
          <w:rFonts w:asciiTheme="majorHAnsi" w:hAnsiTheme="majorHAnsi" w:cstheme="majorHAnsi"/>
          <w:sz w:val="24"/>
          <w:szCs w:val="24"/>
          <w:lang w:val="ru-MD"/>
        </w:rPr>
        <w:t xml:space="preserve"> торговли</w:t>
      </w:r>
      <w:r w:rsidR="00C15F86" w:rsidRPr="000B12FB">
        <w:rPr>
          <w:rFonts w:ascii="Calibri Light" w:hAnsi="Calibri Light" w:cs="Calibri Light"/>
          <w:sz w:val="24"/>
          <w:szCs w:val="24"/>
          <w:lang w:val="ru-MD"/>
        </w:rPr>
        <w:t>;</w:t>
      </w:r>
    </w:p>
    <w:p w14:paraId="6871D479" w14:textId="392645FA" w:rsidR="00C15F86" w:rsidRPr="000B12FB" w:rsidRDefault="00992A52" w:rsidP="00C15F86">
      <w:pPr>
        <w:spacing w:after="0" w:line="276" w:lineRule="auto"/>
        <w:ind w:firstLine="709"/>
        <w:jc w:val="both"/>
        <w:rPr>
          <w:rFonts w:asciiTheme="majorHAnsi" w:hAnsiTheme="majorHAnsi" w:cstheme="majorHAnsi"/>
          <w:sz w:val="24"/>
          <w:szCs w:val="24"/>
          <w:lang w:val="ru-MD"/>
        </w:rPr>
      </w:pPr>
      <w:r w:rsidRPr="000B12FB">
        <w:rPr>
          <w:rFonts w:ascii="Calibri Light" w:hAnsi="Calibri Light" w:cs="Calibri Light"/>
          <w:b/>
          <w:sz w:val="24"/>
          <w:szCs w:val="24"/>
          <w:lang w:val="ru-MD"/>
        </w:rPr>
        <w:t>2.</w:t>
      </w:r>
      <w:r w:rsidR="00B1342D" w:rsidRPr="000B12FB">
        <w:rPr>
          <w:rFonts w:ascii="Calibri Light" w:hAnsi="Calibri Light" w:cs="Calibri Light"/>
          <w:b/>
          <w:sz w:val="24"/>
          <w:szCs w:val="24"/>
          <w:lang w:val="ru-MD"/>
        </w:rPr>
        <w:t>5</w:t>
      </w:r>
      <w:r w:rsidRPr="000B12FB">
        <w:rPr>
          <w:rFonts w:ascii="Calibri Light" w:hAnsi="Calibri Light" w:cs="Calibri Light"/>
          <w:b/>
          <w:sz w:val="24"/>
          <w:szCs w:val="24"/>
          <w:lang w:val="ru-MD"/>
        </w:rPr>
        <w:t>.2.</w:t>
      </w:r>
      <w:r w:rsidR="00C15F86" w:rsidRPr="000B12FB">
        <w:rPr>
          <w:rFonts w:ascii="Calibri Light" w:hAnsi="Calibri Light" w:cs="Calibri Light"/>
          <w:b/>
          <w:sz w:val="24"/>
          <w:szCs w:val="24"/>
          <w:lang w:val="ru-MD"/>
        </w:rPr>
        <w:t xml:space="preserve"> </w:t>
      </w:r>
      <w:r w:rsidR="00E4536C" w:rsidRPr="000B12FB">
        <w:rPr>
          <w:rFonts w:ascii="Calibri Light" w:hAnsi="Calibri Light" w:cs="Calibri Light"/>
          <w:sz w:val="24"/>
          <w:szCs w:val="24"/>
          <w:lang w:val="ru-MD"/>
        </w:rPr>
        <w:t>утверждени</w:t>
      </w:r>
      <w:r w:rsidR="005161D9">
        <w:rPr>
          <w:rFonts w:ascii="Calibri Light" w:hAnsi="Calibri Light" w:cs="Calibri Light"/>
          <w:sz w:val="24"/>
          <w:szCs w:val="24"/>
          <w:lang w:val="ru-MD"/>
        </w:rPr>
        <w:t>я</w:t>
      </w:r>
      <w:r w:rsidR="00E4536C" w:rsidRPr="000B12FB">
        <w:rPr>
          <w:rFonts w:ascii="Calibri Light" w:hAnsi="Calibri Light" w:cs="Calibri Light"/>
          <w:sz w:val="24"/>
          <w:szCs w:val="24"/>
          <w:lang w:val="ru-MD"/>
        </w:rPr>
        <w:t xml:space="preserve"> методологических норм учета и отчетности о доходах, рассчитанных и полученных от импортно-экспортных платежей, в том числе Требований при составлении Пояснительной записки к отчету об исполнении части доходов, администрируемых Таможенной службой, </w:t>
      </w:r>
      <w:r w:rsidR="00DF4264" w:rsidRPr="000B12FB">
        <w:rPr>
          <w:rFonts w:ascii="Calibri Light" w:hAnsi="Calibri Light" w:cs="Calibri Light"/>
          <w:sz w:val="24"/>
          <w:szCs w:val="24"/>
          <w:lang w:val="ru-MD"/>
        </w:rPr>
        <w:t xml:space="preserve">в </w:t>
      </w:r>
      <w:r w:rsidR="00E4536C" w:rsidRPr="000B12FB">
        <w:rPr>
          <w:rFonts w:ascii="Calibri Light" w:hAnsi="Calibri Light" w:cs="Calibri Light"/>
          <w:sz w:val="24"/>
          <w:szCs w:val="24"/>
          <w:lang w:val="ru-MD"/>
        </w:rPr>
        <w:t>национальн</w:t>
      </w:r>
      <w:r w:rsidR="00DF4264" w:rsidRPr="000B12FB">
        <w:rPr>
          <w:rFonts w:ascii="Calibri Light" w:hAnsi="Calibri Light" w:cs="Calibri Light"/>
          <w:sz w:val="24"/>
          <w:szCs w:val="24"/>
          <w:lang w:val="ru-MD"/>
        </w:rPr>
        <w:t>ом</w:t>
      </w:r>
      <w:r w:rsidR="00E4536C" w:rsidRPr="000B12FB">
        <w:rPr>
          <w:rFonts w:ascii="Calibri Light" w:hAnsi="Calibri Light" w:cs="Calibri Light"/>
          <w:sz w:val="24"/>
          <w:szCs w:val="24"/>
          <w:lang w:val="ru-MD"/>
        </w:rPr>
        <w:t xml:space="preserve"> публичн</w:t>
      </w:r>
      <w:r w:rsidR="00DF4264" w:rsidRPr="000B12FB">
        <w:rPr>
          <w:rFonts w:ascii="Calibri Light" w:hAnsi="Calibri Light" w:cs="Calibri Light"/>
          <w:sz w:val="24"/>
          <w:szCs w:val="24"/>
          <w:lang w:val="ru-MD"/>
        </w:rPr>
        <w:t>ом</w:t>
      </w:r>
      <w:r w:rsidR="00E4536C" w:rsidRPr="000B12FB">
        <w:rPr>
          <w:rFonts w:ascii="Calibri Light" w:hAnsi="Calibri Light" w:cs="Calibri Light"/>
          <w:sz w:val="24"/>
          <w:szCs w:val="24"/>
          <w:lang w:val="ru-MD"/>
        </w:rPr>
        <w:t xml:space="preserve"> бюджет</w:t>
      </w:r>
      <w:r w:rsidR="00DF4264" w:rsidRPr="000B12FB">
        <w:rPr>
          <w:rFonts w:ascii="Calibri Light" w:hAnsi="Calibri Light" w:cs="Calibri Light"/>
          <w:sz w:val="24"/>
          <w:szCs w:val="24"/>
          <w:lang w:val="ru-MD"/>
        </w:rPr>
        <w:t>е</w:t>
      </w:r>
      <w:r w:rsidR="00E4536C" w:rsidRPr="000B12FB">
        <w:rPr>
          <w:rFonts w:ascii="Calibri Light" w:hAnsi="Calibri Light" w:cs="Calibri Light"/>
          <w:sz w:val="24"/>
          <w:szCs w:val="24"/>
          <w:lang w:val="ru-MD"/>
        </w:rPr>
        <w:t>, в соответствии с положениями нормативной базы</w:t>
      </w:r>
      <w:r w:rsidR="00C15F86" w:rsidRPr="000B12FB">
        <w:rPr>
          <w:rFonts w:asciiTheme="majorHAnsi" w:hAnsiTheme="majorHAnsi" w:cstheme="majorHAnsi"/>
          <w:sz w:val="24"/>
          <w:szCs w:val="24"/>
          <w:lang w:val="ru-MD"/>
        </w:rPr>
        <w:t>;</w:t>
      </w:r>
    </w:p>
    <w:p w14:paraId="71F108DC" w14:textId="4BED075C" w:rsidR="008D5F86" w:rsidRPr="000B12FB" w:rsidRDefault="00C15F86" w:rsidP="008D5F86">
      <w:pPr>
        <w:spacing w:after="0" w:line="276" w:lineRule="auto"/>
        <w:ind w:firstLine="709"/>
        <w:jc w:val="both"/>
        <w:rPr>
          <w:rFonts w:asciiTheme="majorHAnsi" w:hAnsiTheme="majorHAnsi" w:cstheme="majorHAnsi"/>
          <w:sz w:val="24"/>
          <w:szCs w:val="24"/>
          <w:lang w:val="ru-MD"/>
        </w:rPr>
      </w:pPr>
      <w:r w:rsidRPr="000B12FB">
        <w:rPr>
          <w:rFonts w:ascii="Calibri Light" w:hAnsi="Calibri Light" w:cs="Calibri Light"/>
          <w:b/>
          <w:sz w:val="24"/>
          <w:szCs w:val="24"/>
          <w:lang w:val="ru-MD"/>
        </w:rPr>
        <w:t>2.</w:t>
      </w:r>
      <w:r w:rsidR="00B1342D" w:rsidRPr="000B12FB">
        <w:rPr>
          <w:rFonts w:ascii="Calibri Light" w:hAnsi="Calibri Light" w:cs="Calibri Light"/>
          <w:b/>
          <w:sz w:val="24"/>
          <w:szCs w:val="24"/>
          <w:lang w:val="ru-MD"/>
        </w:rPr>
        <w:t>5</w:t>
      </w:r>
      <w:r w:rsidRPr="000B12FB">
        <w:rPr>
          <w:rFonts w:ascii="Calibri Light" w:hAnsi="Calibri Light" w:cs="Calibri Light"/>
          <w:b/>
          <w:sz w:val="24"/>
          <w:szCs w:val="24"/>
          <w:lang w:val="ru-MD"/>
        </w:rPr>
        <w:t>.3.</w:t>
      </w:r>
      <w:r w:rsidR="008D5F86" w:rsidRPr="000B12FB">
        <w:rPr>
          <w:rFonts w:ascii="Calibri Light" w:hAnsi="Calibri Light" w:cs="Calibri Light"/>
          <w:b/>
          <w:sz w:val="24"/>
          <w:szCs w:val="24"/>
          <w:lang w:val="ru-MD"/>
        </w:rPr>
        <w:t xml:space="preserve"> </w:t>
      </w:r>
      <w:r w:rsidR="00DF4264" w:rsidRPr="000B12FB">
        <w:rPr>
          <w:rFonts w:ascii="Calibri Light" w:hAnsi="Calibri Light" w:cs="Calibri Light"/>
          <w:sz w:val="24"/>
          <w:szCs w:val="24"/>
          <w:lang w:val="ru-MD"/>
        </w:rPr>
        <w:t>обеспечени</w:t>
      </w:r>
      <w:r w:rsidR="005161D9">
        <w:rPr>
          <w:rFonts w:ascii="Calibri Light" w:hAnsi="Calibri Light" w:cs="Calibri Light"/>
          <w:sz w:val="24"/>
          <w:szCs w:val="24"/>
          <w:lang w:val="ru-MD"/>
        </w:rPr>
        <w:t>я</w:t>
      </w:r>
      <w:r w:rsidR="00DF4264" w:rsidRPr="000B12FB">
        <w:rPr>
          <w:rFonts w:ascii="Calibri Light" w:hAnsi="Calibri Light" w:cs="Calibri Light"/>
          <w:sz w:val="24"/>
          <w:szCs w:val="24"/>
          <w:lang w:val="ru-MD"/>
        </w:rPr>
        <w:t xml:space="preserve"> оформления Ордеров на перечисление для исправления операций, связанных с импортно-экспортными платежами предыдущего финансового года, до утверждения Отчета об исполнении бюджетов </w:t>
      </w:r>
      <w:r w:rsidR="00EA1836" w:rsidRPr="000B12FB">
        <w:rPr>
          <w:rFonts w:ascii="Calibri Light" w:hAnsi="Calibri Light" w:cs="Calibri Light"/>
          <w:sz w:val="24"/>
          <w:szCs w:val="24"/>
          <w:lang w:val="ru-MD"/>
        </w:rPr>
        <w:t xml:space="preserve">в </w:t>
      </w:r>
      <w:r w:rsidR="00DF4264" w:rsidRPr="000B12FB">
        <w:rPr>
          <w:rFonts w:ascii="Calibri Light" w:hAnsi="Calibri Light" w:cs="Calibri Light"/>
          <w:sz w:val="24"/>
          <w:szCs w:val="24"/>
          <w:lang w:val="ru-MD"/>
        </w:rPr>
        <w:t>состав</w:t>
      </w:r>
      <w:r w:rsidR="00EA1836" w:rsidRPr="000B12FB">
        <w:rPr>
          <w:rFonts w:ascii="Calibri Light" w:hAnsi="Calibri Light" w:cs="Calibri Light"/>
          <w:sz w:val="24"/>
          <w:szCs w:val="24"/>
          <w:lang w:val="ru-MD"/>
        </w:rPr>
        <w:t>е</w:t>
      </w:r>
      <w:r w:rsidR="00DF4264" w:rsidRPr="000B12FB">
        <w:rPr>
          <w:rFonts w:ascii="Calibri Light" w:hAnsi="Calibri Light" w:cs="Calibri Light"/>
          <w:sz w:val="24"/>
          <w:szCs w:val="24"/>
          <w:lang w:val="ru-MD"/>
        </w:rPr>
        <w:t xml:space="preserve"> национального публичного бюджета</w:t>
      </w:r>
      <w:r w:rsidR="00B91260" w:rsidRPr="000B12FB">
        <w:rPr>
          <w:rFonts w:asciiTheme="majorHAnsi" w:hAnsiTheme="majorHAnsi" w:cstheme="majorHAnsi"/>
          <w:color w:val="000000" w:themeColor="text1"/>
          <w:sz w:val="24"/>
          <w:szCs w:val="24"/>
          <w:lang w:val="ru-MD"/>
        </w:rPr>
        <w:t>;</w:t>
      </w:r>
    </w:p>
    <w:p w14:paraId="46EDD722" w14:textId="1CF9106A" w:rsidR="00932309" w:rsidRPr="000B12FB" w:rsidRDefault="00932309" w:rsidP="00932309">
      <w:pPr>
        <w:spacing w:after="0" w:line="276" w:lineRule="auto"/>
        <w:ind w:firstLine="709"/>
        <w:jc w:val="both"/>
        <w:rPr>
          <w:rFonts w:asciiTheme="majorHAnsi" w:hAnsiTheme="majorHAnsi" w:cstheme="majorHAnsi"/>
          <w:sz w:val="24"/>
          <w:szCs w:val="24"/>
          <w:lang w:val="ru-MD"/>
        </w:rPr>
      </w:pPr>
      <w:r w:rsidRPr="000B12FB">
        <w:rPr>
          <w:rFonts w:asciiTheme="majorHAnsi" w:hAnsiTheme="majorHAnsi" w:cstheme="majorHAnsi"/>
          <w:b/>
          <w:sz w:val="24"/>
          <w:szCs w:val="24"/>
          <w:lang w:val="ru-MD"/>
        </w:rPr>
        <w:t>2.</w:t>
      </w:r>
      <w:r w:rsidR="00B1342D" w:rsidRPr="000B12FB">
        <w:rPr>
          <w:rFonts w:asciiTheme="majorHAnsi" w:hAnsiTheme="majorHAnsi" w:cstheme="majorHAnsi"/>
          <w:b/>
          <w:sz w:val="24"/>
          <w:szCs w:val="24"/>
          <w:lang w:val="ru-MD"/>
        </w:rPr>
        <w:t>6</w:t>
      </w:r>
      <w:r w:rsidRPr="000B12FB">
        <w:rPr>
          <w:rFonts w:asciiTheme="majorHAnsi" w:hAnsiTheme="majorHAnsi" w:cstheme="majorHAnsi"/>
          <w:b/>
          <w:sz w:val="24"/>
          <w:szCs w:val="24"/>
          <w:lang w:val="ru-MD"/>
        </w:rPr>
        <w:t xml:space="preserve"> </w:t>
      </w:r>
      <w:r w:rsidR="00EA1836" w:rsidRPr="000B12FB">
        <w:rPr>
          <w:rFonts w:asciiTheme="majorHAnsi" w:hAnsiTheme="majorHAnsi" w:cstheme="majorHAnsi"/>
          <w:b/>
          <w:sz w:val="24"/>
          <w:szCs w:val="24"/>
          <w:lang w:val="ru-MD"/>
        </w:rPr>
        <w:t xml:space="preserve">Таможенной службе </w:t>
      </w:r>
      <w:r w:rsidR="00EA1836" w:rsidRPr="000B12FB">
        <w:rPr>
          <w:rFonts w:asciiTheme="majorHAnsi" w:hAnsiTheme="majorHAnsi" w:cstheme="majorHAnsi"/>
          <w:sz w:val="24"/>
          <w:szCs w:val="24"/>
          <w:lang w:val="ru-MD"/>
        </w:rPr>
        <w:t>для принятия к сведению, и рекомендовать рассмотреть результаты аудита, согласно компетенциям, с утверждением плана мер по устранению выявленных ситуаций и внедрению рекомендаций, представленных в Отчете аудита</w:t>
      </w:r>
      <w:r w:rsidR="00B91260" w:rsidRPr="000B12FB">
        <w:rPr>
          <w:rFonts w:asciiTheme="majorHAnsi" w:hAnsiTheme="majorHAnsi" w:cstheme="majorHAnsi"/>
          <w:sz w:val="24"/>
          <w:szCs w:val="24"/>
          <w:lang w:val="ru-MD"/>
        </w:rPr>
        <w:t>;</w:t>
      </w:r>
    </w:p>
    <w:p w14:paraId="2D630CE4" w14:textId="1F9B9F54" w:rsidR="00F05C30" w:rsidRPr="000B12FB" w:rsidRDefault="00B91260" w:rsidP="00F05C30">
      <w:pPr>
        <w:spacing w:after="0" w:line="276" w:lineRule="auto"/>
        <w:ind w:firstLine="709"/>
        <w:jc w:val="both"/>
        <w:rPr>
          <w:rFonts w:asciiTheme="majorHAnsi" w:hAnsiTheme="majorHAnsi" w:cstheme="majorHAnsi"/>
          <w:sz w:val="24"/>
          <w:szCs w:val="24"/>
          <w:lang w:val="ru-MD"/>
        </w:rPr>
      </w:pPr>
      <w:r w:rsidRPr="000B12FB">
        <w:rPr>
          <w:rFonts w:asciiTheme="majorHAnsi" w:hAnsiTheme="majorHAnsi" w:cstheme="majorHAnsi"/>
          <w:b/>
          <w:sz w:val="24"/>
          <w:szCs w:val="24"/>
          <w:lang w:val="ru-MD"/>
        </w:rPr>
        <w:t>2.</w:t>
      </w:r>
      <w:r w:rsidR="00B1342D" w:rsidRPr="000B12FB">
        <w:rPr>
          <w:rFonts w:asciiTheme="majorHAnsi" w:hAnsiTheme="majorHAnsi" w:cstheme="majorHAnsi"/>
          <w:b/>
          <w:sz w:val="24"/>
          <w:szCs w:val="24"/>
          <w:lang w:val="ru-MD"/>
        </w:rPr>
        <w:t>7</w:t>
      </w:r>
      <w:r w:rsidRPr="000B12FB">
        <w:rPr>
          <w:rFonts w:asciiTheme="majorHAnsi" w:hAnsiTheme="majorHAnsi" w:cstheme="majorHAnsi"/>
          <w:b/>
          <w:sz w:val="24"/>
          <w:szCs w:val="24"/>
          <w:lang w:val="ru-MD"/>
        </w:rPr>
        <w:t>.</w:t>
      </w:r>
      <w:r w:rsidR="00F05C30" w:rsidRPr="000B12FB">
        <w:rPr>
          <w:rFonts w:asciiTheme="majorHAnsi" w:hAnsiTheme="majorHAnsi" w:cstheme="majorHAnsi"/>
          <w:b/>
          <w:sz w:val="24"/>
          <w:szCs w:val="24"/>
          <w:lang w:val="ru-MD"/>
        </w:rPr>
        <w:t xml:space="preserve"> </w:t>
      </w:r>
      <w:r w:rsidR="00EA1836" w:rsidRPr="000B12FB">
        <w:rPr>
          <w:rFonts w:asciiTheme="majorHAnsi" w:hAnsiTheme="majorHAnsi" w:cstheme="majorHAnsi"/>
          <w:b/>
          <w:sz w:val="24"/>
          <w:szCs w:val="24"/>
          <w:lang w:val="ru-MD"/>
        </w:rPr>
        <w:t xml:space="preserve">Генеральной прокуратуре и Службе по предупреждению и борьбе с отмыванием денег </w:t>
      </w:r>
      <w:r w:rsidR="00EA1836" w:rsidRPr="000B12FB">
        <w:rPr>
          <w:rFonts w:asciiTheme="majorHAnsi" w:hAnsiTheme="majorHAnsi" w:cstheme="majorHAnsi"/>
          <w:sz w:val="24"/>
          <w:szCs w:val="24"/>
          <w:lang w:val="ru-MD"/>
        </w:rPr>
        <w:t>для рассмотрения и принятия мер, согласно компетенциям, в отношении ситуаций, изложенных в Отчете аудита</w:t>
      </w:r>
      <w:r w:rsidR="00F05C30" w:rsidRPr="000B12FB">
        <w:rPr>
          <w:rFonts w:asciiTheme="majorHAnsi" w:hAnsiTheme="majorHAnsi" w:cstheme="majorHAnsi"/>
          <w:sz w:val="24"/>
          <w:szCs w:val="24"/>
          <w:lang w:val="ru-MD"/>
        </w:rPr>
        <w:t>.</w:t>
      </w:r>
    </w:p>
    <w:p w14:paraId="4BF262FD" w14:textId="5F13FF84" w:rsidR="00932309" w:rsidRPr="000B12FB" w:rsidRDefault="00B0528F" w:rsidP="00932309">
      <w:pPr>
        <w:pStyle w:val="NormalWeb"/>
        <w:spacing w:after="0" w:line="276" w:lineRule="auto"/>
        <w:ind w:left="0" w:firstLine="709"/>
        <w:jc w:val="both"/>
        <w:rPr>
          <w:rFonts w:asciiTheme="majorHAnsi" w:hAnsiTheme="majorHAnsi" w:cstheme="majorHAnsi"/>
          <w:lang w:val="ru-MD"/>
        </w:rPr>
      </w:pPr>
      <w:r w:rsidRPr="000B12FB">
        <w:rPr>
          <w:rFonts w:asciiTheme="majorHAnsi" w:hAnsiTheme="majorHAnsi" w:cstheme="majorHAnsi"/>
          <w:b/>
          <w:lang w:val="ru-MD"/>
        </w:rPr>
        <w:t>3</w:t>
      </w:r>
      <w:r w:rsidR="00932309" w:rsidRPr="000B12FB">
        <w:rPr>
          <w:rFonts w:asciiTheme="majorHAnsi" w:hAnsiTheme="majorHAnsi" w:cstheme="majorHAnsi"/>
          <w:b/>
          <w:lang w:val="ru-MD"/>
        </w:rPr>
        <w:t xml:space="preserve">. </w:t>
      </w:r>
      <w:r w:rsidR="00784596" w:rsidRPr="000B12FB">
        <w:rPr>
          <w:rFonts w:asciiTheme="majorHAnsi" w:hAnsiTheme="majorHAnsi" w:cstheme="majorHAnsi"/>
          <w:lang w:val="ru-MD"/>
        </w:rPr>
        <w:t xml:space="preserve">Настоящим Постановлением исключить из режима мониторинга Постановление Счетной палаты №42 от 26 августа 2020 года по Отчету аудита соответствия администрирования доходов государственного бюджета Таможенной службой за 2019 год, с учетом реализации на уровне 64,7% рекомендаций, выдвинутых в рамках предыдущей </w:t>
      </w:r>
      <w:r w:rsidR="00784596" w:rsidRPr="000B12FB">
        <w:rPr>
          <w:rFonts w:asciiTheme="majorHAnsi" w:hAnsiTheme="majorHAnsi" w:cstheme="majorHAnsi"/>
          <w:lang w:val="ru-MD"/>
        </w:rPr>
        <w:lastRenderedPageBreak/>
        <w:t>аудиторской миссии, и повторного изложения невыполненных рекомендаций в рамках настоящей аудиторской миссии</w:t>
      </w:r>
      <w:r w:rsidR="00C50368" w:rsidRPr="000B12FB">
        <w:rPr>
          <w:rFonts w:asciiTheme="majorHAnsi" w:hAnsiTheme="majorHAnsi" w:cstheme="majorHAnsi"/>
          <w:lang w:val="ru-MD"/>
        </w:rPr>
        <w:t>.</w:t>
      </w:r>
    </w:p>
    <w:p w14:paraId="2CCC6DC9" w14:textId="1BB4C14F" w:rsidR="00932309" w:rsidRPr="000B12FB" w:rsidRDefault="00B0528F" w:rsidP="00932309">
      <w:pPr>
        <w:pStyle w:val="NormalWeb"/>
        <w:spacing w:after="0" w:line="276" w:lineRule="auto"/>
        <w:ind w:left="0" w:firstLine="709"/>
        <w:jc w:val="both"/>
        <w:rPr>
          <w:rFonts w:asciiTheme="majorHAnsi" w:hAnsiTheme="majorHAnsi" w:cstheme="majorHAnsi"/>
          <w:lang w:val="ru-MD"/>
        </w:rPr>
      </w:pPr>
      <w:r w:rsidRPr="000B12FB">
        <w:rPr>
          <w:rFonts w:asciiTheme="majorHAnsi" w:hAnsiTheme="majorHAnsi" w:cstheme="majorHAnsi"/>
          <w:b/>
          <w:lang w:val="ru-MD"/>
        </w:rPr>
        <w:t>4</w:t>
      </w:r>
      <w:r w:rsidR="00932309" w:rsidRPr="000B12FB">
        <w:rPr>
          <w:rFonts w:asciiTheme="majorHAnsi" w:hAnsiTheme="majorHAnsi" w:cstheme="majorHAnsi"/>
          <w:lang w:val="ru-MD"/>
        </w:rPr>
        <w:t xml:space="preserve">. </w:t>
      </w:r>
      <w:r w:rsidR="0054595D" w:rsidRPr="000B12FB">
        <w:rPr>
          <w:rFonts w:asciiTheme="majorHAnsi" w:hAnsiTheme="majorHAnsi" w:cstheme="majorHAnsi"/>
          <w:bCs/>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932309" w:rsidRPr="000B12FB">
        <w:rPr>
          <w:rFonts w:asciiTheme="majorHAnsi" w:hAnsiTheme="majorHAnsi" w:cstheme="majorHAnsi"/>
          <w:lang w:val="ru-MD"/>
        </w:rPr>
        <w:t xml:space="preserve">. </w:t>
      </w:r>
    </w:p>
    <w:p w14:paraId="399C84BF" w14:textId="526EBF52" w:rsidR="00932309" w:rsidRPr="000B12FB" w:rsidRDefault="00B0528F" w:rsidP="00932309">
      <w:pPr>
        <w:pStyle w:val="NormalWeb"/>
        <w:spacing w:after="0" w:line="276" w:lineRule="auto"/>
        <w:ind w:left="0" w:firstLine="709"/>
        <w:jc w:val="both"/>
        <w:rPr>
          <w:rFonts w:asciiTheme="majorHAnsi" w:hAnsiTheme="majorHAnsi" w:cstheme="majorHAnsi"/>
          <w:lang w:val="ru-MD"/>
        </w:rPr>
      </w:pPr>
      <w:r w:rsidRPr="000B12FB">
        <w:rPr>
          <w:rFonts w:asciiTheme="majorHAnsi" w:hAnsiTheme="majorHAnsi" w:cstheme="majorHAnsi"/>
          <w:b/>
          <w:lang w:val="ru-MD"/>
        </w:rPr>
        <w:t>5</w:t>
      </w:r>
      <w:r w:rsidR="00932309" w:rsidRPr="000B12FB">
        <w:rPr>
          <w:rFonts w:asciiTheme="majorHAnsi" w:hAnsiTheme="majorHAnsi" w:cstheme="majorHAnsi"/>
          <w:lang w:val="ru-MD"/>
        </w:rPr>
        <w:t xml:space="preserve">. </w:t>
      </w:r>
      <w:r w:rsidR="0054595D" w:rsidRPr="000B12FB">
        <w:rPr>
          <w:rFonts w:asciiTheme="majorHAnsi" w:hAnsiTheme="majorHAnsi" w:cstheme="majorHAnsi"/>
          <w:lang w:val="ru-MD"/>
        </w:rPr>
        <w:t xml:space="preserve">О принятых мерах по выполнению подпунктов </w:t>
      </w:r>
      <w:r w:rsidR="0054595D" w:rsidRPr="000B12FB">
        <w:rPr>
          <w:rFonts w:asciiTheme="majorHAnsi" w:hAnsiTheme="majorHAnsi" w:cstheme="majorHAnsi"/>
          <w:b/>
          <w:noProof/>
          <w:lang w:val="ru-MD"/>
        </w:rPr>
        <w:t>2.5.-2.6.</w:t>
      </w:r>
      <w:r w:rsidR="0054595D" w:rsidRPr="000B12FB">
        <w:rPr>
          <w:rFonts w:asciiTheme="majorHAnsi" w:hAnsiTheme="majorHAnsi" w:cstheme="majorHAnsi"/>
          <w:noProof/>
          <w:lang w:val="ru-MD"/>
        </w:rPr>
        <w:t xml:space="preserve"> </w:t>
      </w:r>
      <w:r w:rsidR="0054595D" w:rsidRPr="000B12FB">
        <w:rPr>
          <w:rFonts w:asciiTheme="majorHAnsi" w:hAnsiTheme="majorHAnsi" w:cstheme="majorHAnsi"/>
          <w:lang w:val="ru-MD"/>
        </w:rPr>
        <w:t>настоящего Постановления проинформировать Счетную палату в течение 7 месяцев со дня опубликования Постановления в Официальном мониторе Республики Молдова</w:t>
      </w:r>
      <w:r w:rsidR="00932309" w:rsidRPr="000B12FB">
        <w:rPr>
          <w:rFonts w:asciiTheme="majorHAnsi" w:hAnsiTheme="majorHAnsi" w:cstheme="majorHAnsi"/>
          <w:noProof/>
          <w:lang w:val="ru-MD"/>
        </w:rPr>
        <w:t>.</w:t>
      </w:r>
    </w:p>
    <w:p w14:paraId="449D6D3A" w14:textId="00AF2641" w:rsidR="00932309" w:rsidRPr="003E660F" w:rsidRDefault="00B0528F" w:rsidP="00B15CC4">
      <w:pPr>
        <w:spacing w:after="0" w:line="276" w:lineRule="auto"/>
        <w:ind w:firstLine="709"/>
        <w:jc w:val="both"/>
        <w:rPr>
          <w:rFonts w:asciiTheme="majorHAnsi" w:hAnsiTheme="majorHAnsi" w:cstheme="majorHAnsi"/>
          <w:sz w:val="24"/>
          <w:szCs w:val="24"/>
          <w:lang w:val="ru-RU"/>
        </w:rPr>
      </w:pPr>
      <w:r w:rsidRPr="000B12FB">
        <w:rPr>
          <w:rFonts w:asciiTheme="majorHAnsi" w:hAnsiTheme="majorHAnsi" w:cstheme="majorHAnsi"/>
          <w:b/>
          <w:sz w:val="24"/>
          <w:szCs w:val="24"/>
          <w:lang w:val="ru-MD"/>
        </w:rPr>
        <w:t>6</w:t>
      </w:r>
      <w:r w:rsidR="00932309" w:rsidRPr="000B12FB">
        <w:rPr>
          <w:rFonts w:asciiTheme="majorHAnsi" w:hAnsiTheme="majorHAnsi" w:cstheme="majorHAnsi"/>
          <w:b/>
          <w:sz w:val="24"/>
          <w:szCs w:val="24"/>
          <w:lang w:val="ru-MD"/>
        </w:rPr>
        <w:t>.</w:t>
      </w:r>
      <w:r w:rsidR="00932309" w:rsidRPr="000B12FB">
        <w:rPr>
          <w:rFonts w:asciiTheme="majorHAnsi" w:hAnsiTheme="majorHAnsi" w:cstheme="majorHAnsi"/>
          <w:sz w:val="24"/>
          <w:szCs w:val="24"/>
          <w:lang w:val="ru-MD"/>
        </w:rPr>
        <w:t xml:space="preserve">  </w:t>
      </w:r>
      <w:r w:rsidR="00140964" w:rsidRPr="000B12FB">
        <w:rPr>
          <w:rFonts w:asciiTheme="majorHAnsi" w:hAnsiTheme="majorHAnsi" w:cstheme="majorHAnsi"/>
          <w:sz w:val="24"/>
          <w:szCs w:val="24"/>
          <w:lang w:val="ru-MD"/>
        </w:rPr>
        <w:t xml:space="preserve">Постановление и Отчет аудита соответствия администрирования публичных доходов Таможенной службой, за 2020-2021 годы </w:t>
      </w:r>
      <w:r w:rsidR="00140964" w:rsidRPr="000B12FB">
        <w:rPr>
          <w:rFonts w:asciiTheme="majorHAnsi" w:hAnsiTheme="majorHAnsi" w:cstheme="majorHAnsi"/>
          <w:bCs/>
          <w:sz w:val="24"/>
          <w:szCs w:val="24"/>
          <w:lang w:val="ru-MD"/>
        </w:rPr>
        <w:t>опубликовать</w:t>
      </w:r>
      <w:r w:rsidR="00140964" w:rsidRPr="000B12FB">
        <w:rPr>
          <w:rFonts w:asciiTheme="majorHAnsi" w:hAnsiTheme="majorHAnsi" w:cstheme="majorHAnsi"/>
          <w:sz w:val="24"/>
          <w:szCs w:val="24"/>
          <w:lang w:val="ru-MD"/>
        </w:rPr>
        <w:t xml:space="preserve"> на официальном сайте Счетной палаты </w:t>
      </w:r>
      <w:r w:rsidR="00932309" w:rsidRPr="000B12FB">
        <w:rPr>
          <w:rFonts w:asciiTheme="majorHAnsi" w:hAnsiTheme="majorHAnsi" w:cstheme="majorHAnsi"/>
          <w:sz w:val="24"/>
          <w:szCs w:val="24"/>
          <w:lang w:val="ru-MD"/>
        </w:rPr>
        <w:t>(</w:t>
      </w:r>
      <w:hyperlink r:id="rId8" w:history="1">
        <w:r w:rsidR="00932309" w:rsidRPr="000B12FB">
          <w:rPr>
            <w:rStyle w:val="Hyperlink"/>
            <w:rFonts w:asciiTheme="majorHAnsi" w:hAnsiTheme="majorHAnsi" w:cstheme="majorHAnsi"/>
            <w:sz w:val="24"/>
            <w:szCs w:val="24"/>
            <w:lang w:val="ru-MD"/>
          </w:rPr>
          <w:t>https://www.ccrm.md/ro/decisions</w:t>
        </w:r>
      </w:hyperlink>
      <w:r w:rsidR="00932309" w:rsidRPr="000B12FB">
        <w:rPr>
          <w:rFonts w:asciiTheme="majorHAnsi" w:hAnsiTheme="majorHAnsi" w:cstheme="majorHAnsi"/>
          <w:sz w:val="24"/>
          <w:szCs w:val="24"/>
          <w:lang w:val="ru-MD"/>
        </w:rPr>
        <w:t>).</w:t>
      </w:r>
      <w:r w:rsidR="003E660F" w:rsidRPr="003E660F">
        <w:rPr>
          <w:rFonts w:asciiTheme="majorHAnsi" w:hAnsiTheme="majorHAnsi" w:cstheme="majorHAnsi"/>
          <w:sz w:val="24"/>
          <w:szCs w:val="24"/>
          <w:lang w:val="ru-RU"/>
        </w:rPr>
        <w:t xml:space="preserve"> </w:t>
      </w:r>
    </w:p>
    <w:p w14:paraId="66741BBD" w14:textId="77777777" w:rsidR="00932309" w:rsidRPr="000B12FB" w:rsidRDefault="00932309" w:rsidP="00932309">
      <w:pPr>
        <w:spacing w:after="0" w:line="276" w:lineRule="auto"/>
        <w:rPr>
          <w:rFonts w:asciiTheme="majorHAnsi" w:eastAsia="Times New Roman" w:hAnsiTheme="majorHAnsi" w:cstheme="majorHAnsi"/>
          <w:b/>
          <w:sz w:val="28"/>
          <w:szCs w:val="28"/>
          <w:lang w:val="ru-MD"/>
        </w:rPr>
      </w:pPr>
    </w:p>
    <w:p w14:paraId="42B2888E" w14:textId="77777777" w:rsidR="004A7E61" w:rsidRPr="000B12FB" w:rsidRDefault="004A7E61" w:rsidP="00932309">
      <w:pPr>
        <w:spacing w:after="0" w:line="276" w:lineRule="auto"/>
        <w:ind w:left="7200"/>
        <w:jc w:val="right"/>
        <w:rPr>
          <w:rFonts w:ascii="Calibri Light" w:eastAsia="Times New Roman" w:hAnsi="Calibri Light" w:cs="Calibri Light"/>
          <w:b/>
          <w:sz w:val="24"/>
          <w:szCs w:val="28"/>
          <w:lang w:val="ru-MD"/>
        </w:rPr>
      </w:pPr>
    </w:p>
    <w:p w14:paraId="02E45724" w14:textId="77777777" w:rsidR="00140964" w:rsidRPr="000B12FB" w:rsidRDefault="00140964" w:rsidP="00140964">
      <w:pPr>
        <w:spacing w:after="0" w:line="276" w:lineRule="auto"/>
        <w:ind w:left="7200"/>
        <w:jc w:val="right"/>
        <w:rPr>
          <w:rFonts w:ascii="Calibri Light" w:eastAsia="Times New Roman" w:hAnsi="Calibri Light" w:cs="Calibri Light"/>
          <w:b/>
          <w:sz w:val="24"/>
          <w:szCs w:val="28"/>
          <w:lang w:val="ru-MD"/>
        </w:rPr>
      </w:pPr>
      <w:r w:rsidRPr="000B12FB">
        <w:rPr>
          <w:rFonts w:ascii="Calibri Light" w:eastAsia="Times New Roman" w:hAnsi="Calibri Light" w:cs="Calibri Light"/>
          <w:b/>
          <w:sz w:val="24"/>
          <w:szCs w:val="28"/>
          <w:lang w:val="ru-MD"/>
        </w:rPr>
        <w:t>Мариан ЛУПУ,</w:t>
      </w:r>
    </w:p>
    <w:p w14:paraId="6963ADBB" w14:textId="0CEFB01C" w:rsidR="00932309" w:rsidRPr="000B12FB" w:rsidRDefault="00140964" w:rsidP="00140964">
      <w:pPr>
        <w:spacing w:after="0" w:line="276" w:lineRule="auto"/>
        <w:ind w:left="7200"/>
        <w:jc w:val="right"/>
        <w:rPr>
          <w:rFonts w:ascii="Calibri Light" w:eastAsia="Times New Roman" w:hAnsi="Calibri Light" w:cs="Calibri Light"/>
          <w:b/>
          <w:sz w:val="24"/>
          <w:szCs w:val="28"/>
          <w:lang w:val="ru-MD"/>
        </w:rPr>
      </w:pPr>
      <w:r w:rsidRPr="000B12FB">
        <w:rPr>
          <w:rFonts w:ascii="Calibri Light" w:eastAsia="Times New Roman" w:hAnsi="Calibri Light" w:cs="Calibri Light"/>
          <w:b/>
          <w:sz w:val="24"/>
          <w:szCs w:val="28"/>
          <w:lang w:val="ru-MD"/>
        </w:rPr>
        <w:t>Председатель</w:t>
      </w:r>
    </w:p>
    <w:sectPr w:rsidR="00932309" w:rsidRPr="000B12FB" w:rsidSect="00A857D9">
      <w:footerReference w:type="default" r:id="rId9"/>
      <w:pgSz w:w="11907" w:h="16839" w:code="9"/>
      <w:pgMar w:top="1418"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101A8" w14:textId="77777777" w:rsidR="00F06C98" w:rsidRDefault="00F06C98" w:rsidP="00F051D7">
      <w:pPr>
        <w:spacing w:after="0" w:line="240" w:lineRule="auto"/>
      </w:pPr>
      <w:r>
        <w:separator/>
      </w:r>
    </w:p>
  </w:endnote>
  <w:endnote w:type="continuationSeparator" w:id="0">
    <w:p w14:paraId="4D27210F" w14:textId="77777777" w:rsidR="00F06C98" w:rsidRDefault="00F06C98" w:rsidP="00F0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680078"/>
      <w:docPartObj>
        <w:docPartGallery w:val="Page Numbers (Bottom of Page)"/>
        <w:docPartUnique/>
      </w:docPartObj>
    </w:sdtPr>
    <w:sdtEndPr>
      <w:rPr>
        <w:noProof/>
      </w:rPr>
    </w:sdtEndPr>
    <w:sdtContent>
      <w:p w14:paraId="6F6BDCCA" w14:textId="488D6B88" w:rsidR="00C3661C" w:rsidRDefault="00C3661C">
        <w:pPr>
          <w:pStyle w:val="Footer"/>
          <w:jc w:val="right"/>
        </w:pPr>
        <w:r>
          <w:fldChar w:fldCharType="begin"/>
        </w:r>
        <w:r>
          <w:instrText xml:space="preserve"> PAGE   \* MERGEFORMAT </w:instrText>
        </w:r>
        <w:r>
          <w:fldChar w:fldCharType="separate"/>
        </w:r>
        <w:r w:rsidR="00E35C9F">
          <w:rPr>
            <w:noProof/>
          </w:rPr>
          <w:t>1</w:t>
        </w:r>
        <w:r>
          <w:rPr>
            <w:noProof/>
          </w:rPr>
          <w:fldChar w:fldCharType="end"/>
        </w:r>
      </w:p>
    </w:sdtContent>
  </w:sdt>
  <w:p w14:paraId="00B853DA" w14:textId="77777777" w:rsidR="00C3661C" w:rsidRDefault="00C3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B4953" w14:textId="77777777" w:rsidR="00F06C98" w:rsidRDefault="00F06C98" w:rsidP="00F051D7">
      <w:pPr>
        <w:spacing w:after="0" w:line="240" w:lineRule="auto"/>
      </w:pPr>
      <w:r>
        <w:separator/>
      </w:r>
    </w:p>
  </w:footnote>
  <w:footnote w:type="continuationSeparator" w:id="0">
    <w:p w14:paraId="119AB0B5" w14:textId="77777777" w:rsidR="00F06C98" w:rsidRDefault="00F06C98" w:rsidP="00F051D7">
      <w:pPr>
        <w:spacing w:after="0" w:line="240" w:lineRule="auto"/>
      </w:pPr>
      <w:r>
        <w:continuationSeparator/>
      </w:r>
    </w:p>
  </w:footnote>
  <w:footnote w:id="1">
    <w:p w14:paraId="2FE4816B" w14:textId="50761683" w:rsidR="00A53339" w:rsidRPr="00CC03EF" w:rsidRDefault="00A53339" w:rsidP="00A53339">
      <w:pPr>
        <w:pStyle w:val="FootnoteText"/>
        <w:jc w:val="both"/>
        <w:rPr>
          <w:rFonts w:asciiTheme="majorHAnsi" w:hAnsiTheme="majorHAnsi" w:cstheme="majorHAnsi"/>
          <w:sz w:val="20"/>
          <w:szCs w:val="20"/>
          <w:lang w:val="ru-MD"/>
        </w:rPr>
      </w:pPr>
      <w:r w:rsidRPr="00CC03EF">
        <w:rPr>
          <w:rStyle w:val="FootnoteReference"/>
          <w:rFonts w:asciiTheme="majorHAnsi" w:hAnsiTheme="majorHAnsi" w:cstheme="majorHAnsi"/>
          <w:sz w:val="20"/>
          <w:szCs w:val="20"/>
          <w:lang w:val="ru-MD"/>
        </w:rPr>
        <w:footnoteRef/>
      </w:r>
      <w:r w:rsidRPr="00CC03EF">
        <w:rPr>
          <w:rFonts w:asciiTheme="majorHAnsi" w:hAnsiTheme="majorHAnsi" w:cstheme="majorHAnsi"/>
          <w:sz w:val="20"/>
          <w:szCs w:val="20"/>
          <w:lang w:val="ru-MD"/>
        </w:rPr>
        <w:t xml:space="preserve"> Закон об организации и функционировании Счетной палаты Республики Молдова №260 от 07.12.2017 (далее – Закон №260 от 07.12.2017.</w:t>
      </w:r>
    </w:p>
  </w:footnote>
  <w:footnote w:id="2">
    <w:p w14:paraId="66E3A431" w14:textId="1DD7D50C" w:rsidR="00A53339" w:rsidRPr="00CC03EF" w:rsidRDefault="00A53339" w:rsidP="00A53339">
      <w:pPr>
        <w:pStyle w:val="FootnoteText"/>
        <w:jc w:val="both"/>
        <w:rPr>
          <w:rFonts w:asciiTheme="majorHAnsi" w:hAnsiTheme="majorHAnsi" w:cstheme="majorHAnsi"/>
          <w:sz w:val="20"/>
          <w:szCs w:val="20"/>
          <w:lang w:val="ro-MD"/>
        </w:rPr>
      </w:pPr>
      <w:r w:rsidRPr="00CC03EF">
        <w:rPr>
          <w:rStyle w:val="FootnoteReference"/>
          <w:rFonts w:asciiTheme="majorHAnsi" w:hAnsiTheme="majorHAnsi" w:cstheme="majorHAnsi"/>
          <w:sz w:val="20"/>
          <w:szCs w:val="20"/>
          <w:lang w:val="ro-MD"/>
        </w:rPr>
        <w:footnoteRef/>
      </w:r>
      <w:r w:rsidRPr="00CC03EF">
        <w:rPr>
          <w:rFonts w:asciiTheme="majorHAnsi" w:hAnsiTheme="majorHAnsi" w:cstheme="majorHAnsi"/>
          <w:sz w:val="20"/>
          <w:szCs w:val="20"/>
          <w:lang w:val="ro-MD"/>
        </w:rPr>
        <w:t xml:space="preserve"> </w:t>
      </w:r>
      <w:r w:rsidR="00CC03EF" w:rsidRPr="00CC03EF">
        <w:rPr>
          <w:rFonts w:asciiTheme="majorHAnsi" w:hAnsiTheme="majorHAnsi" w:cstheme="majorHAnsi"/>
          <w:sz w:val="20"/>
          <w:szCs w:val="20"/>
          <w:lang w:val="ru-MD"/>
        </w:rPr>
        <w:t>Программа аудиторской деятельности Счетной палаты на 2022 год, утвержденная Постановлением Счетной палаты №75 от</w:t>
      </w:r>
      <w:r w:rsidR="00CC03EF" w:rsidRPr="00CC03EF">
        <w:rPr>
          <w:rFonts w:asciiTheme="majorHAnsi" w:hAnsiTheme="majorHAnsi" w:cstheme="majorHAnsi"/>
          <w:sz w:val="20"/>
          <w:szCs w:val="20"/>
          <w:lang w:val="ro-MD"/>
        </w:rPr>
        <w:t xml:space="preserve"> </w:t>
      </w:r>
      <w:r w:rsidRPr="00CC03EF">
        <w:rPr>
          <w:rFonts w:asciiTheme="majorHAnsi" w:hAnsiTheme="majorHAnsi" w:cstheme="majorHAnsi"/>
          <w:sz w:val="20"/>
          <w:szCs w:val="20"/>
          <w:lang w:val="ro-MD"/>
        </w:rPr>
        <w:t>28.12.2021.</w:t>
      </w:r>
    </w:p>
  </w:footnote>
  <w:footnote w:id="3">
    <w:p w14:paraId="540A524B" w14:textId="459F6E8A" w:rsidR="00A53339" w:rsidRPr="00CC03EF" w:rsidRDefault="00A53339" w:rsidP="00A53339">
      <w:pPr>
        <w:spacing w:after="0" w:line="240" w:lineRule="auto"/>
        <w:jc w:val="both"/>
        <w:rPr>
          <w:rFonts w:asciiTheme="majorHAnsi" w:eastAsia="Times New Roman" w:hAnsiTheme="majorHAnsi" w:cstheme="majorHAnsi"/>
          <w:sz w:val="20"/>
          <w:szCs w:val="20"/>
          <w:lang w:val="ro-MD"/>
        </w:rPr>
      </w:pPr>
      <w:r w:rsidRPr="00CC03EF">
        <w:rPr>
          <w:rStyle w:val="FootnoteReference"/>
          <w:rFonts w:asciiTheme="majorHAnsi" w:hAnsiTheme="majorHAnsi" w:cstheme="majorHAnsi"/>
          <w:sz w:val="20"/>
          <w:szCs w:val="20"/>
          <w:lang w:val="ru-MD"/>
        </w:rPr>
        <w:footnoteRef/>
      </w:r>
      <w:r w:rsidRPr="00CC03EF">
        <w:rPr>
          <w:rFonts w:asciiTheme="majorHAnsi" w:hAnsiTheme="majorHAnsi" w:cstheme="majorHAnsi"/>
          <w:sz w:val="20"/>
          <w:szCs w:val="20"/>
          <w:lang w:val="ru-MD"/>
        </w:rPr>
        <w:t xml:space="preserve"> </w:t>
      </w:r>
      <w:r w:rsidRPr="00CC03EF">
        <w:rPr>
          <w:rFonts w:asciiTheme="majorHAnsi" w:eastAsia="Times New Roman" w:hAnsiTheme="majorHAnsi" w:cstheme="majorHAnsi"/>
          <w:sz w:val="20"/>
          <w:szCs w:val="20"/>
          <w:lang w:val="ru-MD"/>
        </w:rPr>
        <w:t>Постановление Счетной палаты №2 от 24.01.2020 „О Системе профессиональных деклараций INTOSAI</w:t>
      </w:r>
      <w:r w:rsidRPr="00CC03EF">
        <w:rPr>
          <w:rFonts w:asciiTheme="majorHAnsi" w:eastAsia="Times New Roman" w:hAnsiTheme="majorHAnsi" w:cstheme="majorHAnsi"/>
          <w:sz w:val="20"/>
          <w:szCs w:val="20"/>
          <w:lang w:val="ro-RO"/>
        </w:rPr>
        <w:t>”</w:t>
      </w:r>
      <w:r w:rsidRPr="00CC03EF">
        <w:rPr>
          <w:rFonts w:asciiTheme="majorHAnsi" w:eastAsia="Times New Roman" w:hAnsiTheme="majorHAnsi" w:cstheme="majorHAnsi"/>
          <w:sz w:val="20"/>
          <w:szCs w:val="20"/>
          <w:lang w:val="ro-M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387"/>
    <w:multiLevelType w:val="hybridMultilevel"/>
    <w:tmpl w:val="C3007E44"/>
    <w:lvl w:ilvl="0" w:tplc="67828350">
      <w:start w:val="2"/>
      <w:numFmt w:val="bullet"/>
      <w:lvlText w:val="-"/>
      <w:lvlJc w:val="left"/>
      <w:pPr>
        <w:ind w:left="1065" w:hanging="360"/>
      </w:pPr>
      <w:rPr>
        <w:rFonts w:ascii="Calibri Light" w:eastAsia="Times New Roman" w:hAnsi="Calibri Light" w:cs="Calibri Light" w:hint="default"/>
        <w:color w:val="auto"/>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97046A1"/>
    <w:multiLevelType w:val="hybridMultilevel"/>
    <w:tmpl w:val="84B227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C87F7F"/>
    <w:multiLevelType w:val="hybridMultilevel"/>
    <w:tmpl w:val="8C2ACD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B64AB"/>
    <w:multiLevelType w:val="hybridMultilevel"/>
    <w:tmpl w:val="546E8718"/>
    <w:lvl w:ilvl="0" w:tplc="14A42B7E">
      <w:start w:val="1"/>
      <w:numFmt w:val="lowerRoman"/>
      <w:lvlText w:val="(%1)"/>
      <w:lvlJc w:val="left"/>
      <w:pPr>
        <w:ind w:left="720" w:hanging="360"/>
      </w:pPr>
      <w:rPr>
        <w:rFonts w:hint="default"/>
        <w:b/>
        <w:i/>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96CEF"/>
    <w:multiLevelType w:val="hybridMultilevel"/>
    <w:tmpl w:val="F7840756"/>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35CE4"/>
    <w:multiLevelType w:val="hybridMultilevel"/>
    <w:tmpl w:val="E1646FE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93"/>
    <w:rsid w:val="00003D9E"/>
    <w:rsid w:val="00016E50"/>
    <w:rsid w:val="00021641"/>
    <w:rsid w:val="00025436"/>
    <w:rsid w:val="000309EF"/>
    <w:rsid w:val="00036818"/>
    <w:rsid w:val="00036C53"/>
    <w:rsid w:val="00042475"/>
    <w:rsid w:val="0004573F"/>
    <w:rsid w:val="00051140"/>
    <w:rsid w:val="00051DA7"/>
    <w:rsid w:val="00064F2D"/>
    <w:rsid w:val="00065D60"/>
    <w:rsid w:val="0007356D"/>
    <w:rsid w:val="00077228"/>
    <w:rsid w:val="00096277"/>
    <w:rsid w:val="00096F87"/>
    <w:rsid w:val="000A33AD"/>
    <w:rsid w:val="000A4048"/>
    <w:rsid w:val="000B12FB"/>
    <w:rsid w:val="000B5544"/>
    <w:rsid w:val="000C5D92"/>
    <w:rsid w:val="000D6F9D"/>
    <w:rsid w:val="00103D7A"/>
    <w:rsid w:val="00106ACC"/>
    <w:rsid w:val="001142DC"/>
    <w:rsid w:val="00122B79"/>
    <w:rsid w:val="00127E2E"/>
    <w:rsid w:val="00134C24"/>
    <w:rsid w:val="0013762B"/>
    <w:rsid w:val="00137D32"/>
    <w:rsid w:val="00140964"/>
    <w:rsid w:val="0014356C"/>
    <w:rsid w:val="00146B68"/>
    <w:rsid w:val="0015353A"/>
    <w:rsid w:val="0016556A"/>
    <w:rsid w:val="00180BE5"/>
    <w:rsid w:val="00186157"/>
    <w:rsid w:val="001B58B3"/>
    <w:rsid w:val="001C3130"/>
    <w:rsid w:val="001C712C"/>
    <w:rsid w:val="001D5EE2"/>
    <w:rsid w:val="001D78A0"/>
    <w:rsid w:val="001E319E"/>
    <w:rsid w:val="001F4747"/>
    <w:rsid w:val="001F54D1"/>
    <w:rsid w:val="00222860"/>
    <w:rsid w:val="002352C8"/>
    <w:rsid w:val="00236D2D"/>
    <w:rsid w:val="00266F34"/>
    <w:rsid w:val="00271C86"/>
    <w:rsid w:val="002764A9"/>
    <w:rsid w:val="00277F85"/>
    <w:rsid w:val="00282D2F"/>
    <w:rsid w:val="002922F6"/>
    <w:rsid w:val="002934F8"/>
    <w:rsid w:val="00294567"/>
    <w:rsid w:val="002A596C"/>
    <w:rsid w:val="002D40B5"/>
    <w:rsid w:val="002D79F9"/>
    <w:rsid w:val="002D7E25"/>
    <w:rsid w:val="002E73CD"/>
    <w:rsid w:val="002F3D15"/>
    <w:rsid w:val="002F5CC5"/>
    <w:rsid w:val="00311202"/>
    <w:rsid w:val="00312E2F"/>
    <w:rsid w:val="0032066D"/>
    <w:rsid w:val="003249A2"/>
    <w:rsid w:val="003263DA"/>
    <w:rsid w:val="003279D3"/>
    <w:rsid w:val="00346CD0"/>
    <w:rsid w:val="00352BBF"/>
    <w:rsid w:val="0036029E"/>
    <w:rsid w:val="003603C7"/>
    <w:rsid w:val="00361AF8"/>
    <w:rsid w:val="00380166"/>
    <w:rsid w:val="003941FA"/>
    <w:rsid w:val="003A1976"/>
    <w:rsid w:val="003C099A"/>
    <w:rsid w:val="003C0BED"/>
    <w:rsid w:val="003E096A"/>
    <w:rsid w:val="003E3C0A"/>
    <w:rsid w:val="003E660F"/>
    <w:rsid w:val="003F72A5"/>
    <w:rsid w:val="00401251"/>
    <w:rsid w:val="00404E09"/>
    <w:rsid w:val="00412001"/>
    <w:rsid w:val="004271BA"/>
    <w:rsid w:val="00435453"/>
    <w:rsid w:val="00450A52"/>
    <w:rsid w:val="0048106C"/>
    <w:rsid w:val="0048393B"/>
    <w:rsid w:val="00493686"/>
    <w:rsid w:val="004A7E61"/>
    <w:rsid w:val="004C2F9E"/>
    <w:rsid w:val="004D2672"/>
    <w:rsid w:val="004D4103"/>
    <w:rsid w:val="004D78A2"/>
    <w:rsid w:val="004F2637"/>
    <w:rsid w:val="00512AE5"/>
    <w:rsid w:val="005161D9"/>
    <w:rsid w:val="00520B0F"/>
    <w:rsid w:val="0054595D"/>
    <w:rsid w:val="00554086"/>
    <w:rsid w:val="005844D4"/>
    <w:rsid w:val="0058574A"/>
    <w:rsid w:val="005A3E41"/>
    <w:rsid w:val="005A4568"/>
    <w:rsid w:val="005B03C1"/>
    <w:rsid w:val="005B4FFB"/>
    <w:rsid w:val="005F051C"/>
    <w:rsid w:val="00611A34"/>
    <w:rsid w:val="00625C6A"/>
    <w:rsid w:val="00626C68"/>
    <w:rsid w:val="00642614"/>
    <w:rsid w:val="00653E08"/>
    <w:rsid w:val="006A1C94"/>
    <w:rsid w:val="006A23F3"/>
    <w:rsid w:val="006C1E84"/>
    <w:rsid w:val="006E02DD"/>
    <w:rsid w:val="006E1BFD"/>
    <w:rsid w:val="006E1C58"/>
    <w:rsid w:val="006F2A28"/>
    <w:rsid w:val="006F59C6"/>
    <w:rsid w:val="00717696"/>
    <w:rsid w:val="00721220"/>
    <w:rsid w:val="007212E7"/>
    <w:rsid w:val="00725C00"/>
    <w:rsid w:val="00730D94"/>
    <w:rsid w:val="0073204C"/>
    <w:rsid w:val="00733403"/>
    <w:rsid w:val="00734F12"/>
    <w:rsid w:val="00765DA9"/>
    <w:rsid w:val="00766FA6"/>
    <w:rsid w:val="00784596"/>
    <w:rsid w:val="00793CBB"/>
    <w:rsid w:val="007B2DA2"/>
    <w:rsid w:val="007D103D"/>
    <w:rsid w:val="007E15AF"/>
    <w:rsid w:val="007E4E9C"/>
    <w:rsid w:val="007E564A"/>
    <w:rsid w:val="007F4905"/>
    <w:rsid w:val="00814D1F"/>
    <w:rsid w:val="00820DA7"/>
    <w:rsid w:val="00825CD9"/>
    <w:rsid w:val="00832A62"/>
    <w:rsid w:val="008358AE"/>
    <w:rsid w:val="008440D3"/>
    <w:rsid w:val="00847323"/>
    <w:rsid w:val="008A2189"/>
    <w:rsid w:val="008A39B0"/>
    <w:rsid w:val="008D3E25"/>
    <w:rsid w:val="008D5F86"/>
    <w:rsid w:val="008D6408"/>
    <w:rsid w:val="008F0F95"/>
    <w:rsid w:val="008F3630"/>
    <w:rsid w:val="008F4169"/>
    <w:rsid w:val="008F6CA1"/>
    <w:rsid w:val="00913834"/>
    <w:rsid w:val="00916392"/>
    <w:rsid w:val="00917CF4"/>
    <w:rsid w:val="00927423"/>
    <w:rsid w:val="00932309"/>
    <w:rsid w:val="00932F57"/>
    <w:rsid w:val="00940EFC"/>
    <w:rsid w:val="0095160B"/>
    <w:rsid w:val="009527DE"/>
    <w:rsid w:val="00972F1D"/>
    <w:rsid w:val="00983093"/>
    <w:rsid w:val="00983D0F"/>
    <w:rsid w:val="00990519"/>
    <w:rsid w:val="00992A52"/>
    <w:rsid w:val="009A4BB2"/>
    <w:rsid w:val="009A50B2"/>
    <w:rsid w:val="009B06EF"/>
    <w:rsid w:val="009B1E58"/>
    <w:rsid w:val="009B721F"/>
    <w:rsid w:val="009C3E7E"/>
    <w:rsid w:val="009C3F10"/>
    <w:rsid w:val="009D0D63"/>
    <w:rsid w:val="009E4F58"/>
    <w:rsid w:val="009F2373"/>
    <w:rsid w:val="00A054EC"/>
    <w:rsid w:val="00A21FB0"/>
    <w:rsid w:val="00A35564"/>
    <w:rsid w:val="00A53339"/>
    <w:rsid w:val="00A71486"/>
    <w:rsid w:val="00A71B0A"/>
    <w:rsid w:val="00A7429C"/>
    <w:rsid w:val="00A76313"/>
    <w:rsid w:val="00A857D9"/>
    <w:rsid w:val="00A85B32"/>
    <w:rsid w:val="00A85B73"/>
    <w:rsid w:val="00A9099F"/>
    <w:rsid w:val="00A939D4"/>
    <w:rsid w:val="00AA5570"/>
    <w:rsid w:val="00AB23A4"/>
    <w:rsid w:val="00AD112B"/>
    <w:rsid w:val="00B04C16"/>
    <w:rsid w:val="00B0528F"/>
    <w:rsid w:val="00B10B9C"/>
    <w:rsid w:val="00B11498"/>
    <w:rsid w:val="00B12444"/>
    <w:rsid w:val="00B1342D"/>
    <w:rsid w:val="00B15CC4"/>
    <w:rsid w:val="00B17D4F"/>
    <w:rsid w:val="00B27029"/>
    <w:rsid w:val="00B35655"/>
    <w:rsid w:val="00B549CE"/>
    <w:rsid w:val="00B63691"/>
    <w:rsid w:val="00B828AE"/>
    <w:rsid w:val="00B863D4"/>
    <w:rsid w:val="00B8708D"/>
    <w:rsid w:val="00B91260"/>
    <w:rsid w:val="00BA0502"/>
    <w:rsid w:val="00BA0BCA"/>
    <w:rsid w:val="00BC1E88"/>
    <w:rsid w:val="00BD2A27"/>
    <w:rsid w:val="00BD5C18"/>
    <w:rsid w:val="00BF0CC1"/>
    <w:rsid w:val="00BF45A4"/>
    <w:rsid w:val="00C013ED"/>
    <w:rsid w:val="00C01A1A"/>
    <w:rsid w:val="00C15F86"/>
    <w:rsid w:val="00C20FF3"/>
    <w:rsid w:val="00C22802"/>
    <w:rsid w:val="00C24D10"/>
    <w:rsid w:val="00C336EB"/>
    <w:rsid w:val="00C3661C"/>
    <w:rsid w:val="00C4552E"/>
    <w:rsid w:val="00C467E3"/>
    <w:rsid w:val="00C50368"/>
    <w:rsid w:val="00C62D64"/>
    <w:rsid w:val="00C649F7"/>
    <w:rsid w:val="00C74D9E"/>
    <w:rsid w:val="00C9139A"/>
    <w:rsid w:val="00C92604"/>
    <w:rsid w:val="00C95747"/>
    <w:rsid w:val="00CA53ED"/>
    <w:rsid w:val="00CB0A46"/>
    <w:rsid w:val="00CB121E"/>
    <w:rsid w:val="00CB359C"/>
    <w:rsid w:val="00CB44BE"/>
    <w:rsid w:val="00CC03EF"/>
    <w:rsid w:val="00CC5259"/>
    <w:rsid w:val="00CD1427"/>
    <w:rsid w:val="00CD7262"/>
    <w:rsid w:val="00CE06AE"/>
    <w:rsid w:val="00CE5C85"/>
    <w:rsid w:val="00CF0841"/>
    <w:rsid w:val="00CF159D"/>
    <w:rsid w:val="00D2120F"/>
    <w:rsid w:val="00D23484"/>
    <w:rsid w:val="00D234FD"/>
    <w:rsid w:val="00D33F0A"/>
    <w:rsid w:val="00D43ABB"/>
    <w:rsid w:val="00D549B4"/>
    <w:rsid w:val="00D56267"/>
    <w:rsid w:val="00D57186"/>
    <w:rsid w:val="00D61CB4"/>
    <w:rsid w:val="00D733F2"/>
    <w:rsid w:val="00D81CB6"/>
    <w:rsid w:val="00D8307A"/>
    <w:rsid w:val="00D84925"/>
    <w:rsid w:val="00D92386"/>
    <w:rsid w:val="00D93D17"/>
    <w:rsid w:val="00D943E2"/>
    <w:rsid w:val="00DA5AE5"/>
    <w:rsid w:val="00DB3C1F"/>
    <w:rsid w:val="00DD1626"/>
    <w:rsid w:val="00DD6374"/>
    <w:rsid w:val="00DF2514"/>
    <w:rsid w:val="00DF4264"/>
    <w:rsid w:val="00E044AF"/>
    <w:rsid w:val="00E16D56"/>
    <w:rsid w:val="00E23081"/>
    <w:rsid w:val="00E247E0"/>
    <w:rsid w:val="00E27202"/>
    <w:rsid w:val="00E35C9F"/>
    <w:rsid w:val="00E40CC1"/>
    <w:rsid w:val="00E41B4B"/>
    <w:rsid w:val="00E4536C"/>
    <w:rsid w:val="00E66BD7"/>
    <w:rsid w:val="00E724BA"/>
    <w:rsid w:val="00E81F5A"/>
    <w:rsid w:val="00E82A96"/>
    <w:rsid w:val="00E83C10"/>
    <w:rsid w:val="00E937C5"/>
    <w:rsid w:val="00EA1836"/>
    <w:rsid w:val="00EB28E7"/>
    <w:rsid w:val="00EC6660"/>
    <w:rsid w:val="00ED2B63"/>
    <w:rsid w:val="00EE54ED"/>
    <w:rsid w:val="00EE6E26"/>
    <w:rsid w:val="00EF0141"/>
    <w:rsid w:val="00EF5218"/>
    <w:rsid w:val="00EF65D2"/>
    <w:rsid w:val="00F051D7"/>
    <w:rsid w:val="00F05C30"/>
    <w:rsid w:val="00F06837"/>
    <w:rsid w:val="00F06C98"/>
    <w:rsid w:val="00F13210"/>
    <w:rsid w:val="00F14737"/>
    <w:rsid w:val="00F17023"/>
    <w:rsid w:val="00F61D84"/>
    <w:rsid w:val="00F70AC1"/>
    <w:rsid w:val="00F9104B"/>
    <w:rsid w:val="00F91EB7"/>
    <w:rsid w:val="00FB2A11"/>
    <w:rsid w:val="00FB48C2"/>
    <w:rsid w:val="00FD0420"/>
    <w:rsid w:val="00FE218F"/>
    <w:rsid w:val="00FF518E"/>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E4C2"/>
  <w15:chartTrackingRefBased/>
  <w15:docId w15:val="{8987CB29-EC1E-4A3B-8EC4-E7F4EF35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D7"/>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link w:val="FootnoteText"/>
    <w:uiPriority w:val="99"/>
    <w:locked/>
    <w:rsid w:val="00F051D7"/>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F051D7"/>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F051D7"/>
    <w:rPr>
      <w:rFonts w:ascii="Calibri" w:eastAsia="Calibri" w:hAnsi="Calibri" w:cs="Times New Roman"/>
      <w:sz w:val="20"/>
      <w:szCs w:val="20"/>
    </w:rPr>
  </w:style>
  <w:style w:type="paragraph" w:customStyle="1" w:styleId="cn">
    <w:name w:val="cn"/>
    <w:basedOn w:val="Normal"/>
    <w:uiPriority w:val="99"/>
    <w:qFormat/>
    <w:rsid w:val="00F051D7"/>
    <w:pPr>
      <w:spacing w:after="0" w:line="240" w:lineRule="auto"/>
      <w:jc w:val="center"/>
    </w:pPr>
    <w:rPr>
      <w:rFonts w:ascii="Times New Roman" w:eastAsia="Times New Roman" w:hAnsi="Times New Roman"/>
      <w:sz w:val="24"/>
      <w:szCs w:val="24"/>
    </w:rPr>
  </w:style>
  <w:style w:type="character" w:styleId="FootnoteReference">
    <w:name w:val="footnote reference"/>
    <w:aliases w:val="fr,number,SUPERS,ftref,Times 10 Point,Exposant 3 Point,Footnote symbol,Footnote reference number,EN Footnote Reference,note TESI,16 Point,Superscript 6 Point,BVI fnr,FOOTNOTES Char1,fn Char1,single space Char1,ft Char1,Ref,Char Char1"/>
    <w:link w:val="FNRefeCharChar"/>
    <w:uiPriority w:val="99"/>
    <w:unhideWhenUsed/>
    <w:qFormat/>
    <w:rsid w:val="00F051D7"/>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F051D7"/>
    <w:pPr>
      <w:spacing w:line="240" w:lineRule="exact"/>
    </w:pPr>
    <w:rPr>
      <w:rFonts w:asciiTheme="minorHAnsi" w:eastAsiaTheme="minorHAnsi" w:hAnsiTheme="minorHAnsi" w:cstheme="minorBidi"/>
      <w:vertAlign w:val="superscript"/>
    </w:rPr>
  </w:style>
  <w:style w:type="paragraph" w:styleId="ListParagraph">
    <w:name w:val="List Paragraph"/>
    <w:aliases w:val="strikethrough,List Paragraph 1,Scriptoria bullet points,standaard met opsomming,Абзац списка1,Bullets,References,Liste 1,List Paragraph nowy,Numbered List Paragraph,List Paragraph (numbered (a)),Medium Grid 1 - Accent 21,Dot pt"/>
    <w:basedOn w:val="Normal"/>
    <w:link w:val="ListParagraphChar"/>
    <w:uiPriority w:val="34"/>
    <w:qFormat/>
    <w:rsid w:val="00C9139A"/>
    <w:pPr>
      <w:spacing w:line="259" w:lineRule="auto"/>
      <w:ind w:left="720"/>
      <w:contextualSpacing/>
    </w:pPr>
    <w:rPr>
      <w:rFonts w:asciiTheme="minorHAnsi" w:eastAsiaTheme="minorHAnsi" w:hAnsiTheme="minorHAnsi" w:cstheme="minorBidi"/>
    </w:rPr>
  </w:style>
  <w:style w:type="character" w:customStyle="1" w:styleId="ListParagraphChar">
    <w:name w:val="List Paragraph Char"/>
    <w:aliases w:val="strikethrough Char,List Paragraph 1 Char,Scriptoria bullet points Char,standaard met opsomming Char,Абзац списка1 Char,Bullets Char,References Char,Liste 1 Char,List Paragraph nowy Char,Numbered List Paragraph Char,Dot pt Char"/>
    <w:link w:val="ListParagraph"/>
    <w:uiPriority w:val="34"/>
    <w:locked/>
    <w:rsid w:val="00C9139A"/>
  </w:style>
  <w:style w:type="character" w:styleId="Hyperlink">
    <w:name w:val="Hyperlink"/>
    <w:uiPriority w:val="99"/>
    <w:semiHidden/>
    <w:unhideWhenUsed/>
    <w:rsid w:val="00932309"/>
    <w:rPr>
      <w:color w:val="0563C1"/>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932309"/>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932309"/>
    <w:pPr>
      <w:ind w:left="720"/>
      <w:contextualSpacing/>
    </w:pPr>
    <w:rPr>
      <w:rFonts w:ascii="Times New Roman" w:eastAsia="Times New Roman" w:hAnsi="Times New Roman"/>
      <w:sz w:val="24"/>
      <w:szCs w:val="24"/>
    </w:rPr>
  </w:style>
  <w:style w:type="paragraph" w:customStyle="1" w:styleId="cp">
    <w:name w:val="cp"/>
    <w:basedOn w:val="Normal"/>
    <w:uiPriority w:val="99"/>
    <w:qFormat/>
    <w:rsid w:val="00932309"/>
    <w:pPr>
      <w:spacing w:after="0" w:line="240" w:lineRule="auto"/>
      <w:jc w:val="center"/>
    </w:pPr>
    <w:rPr>
      <w:rFonts w:ascii="Times New Roman" w:eastAsia="Times New Roman" w:hAnsi="Times New Roman"/>
      <w:b/>
      <w:bCs/>
      <w:sz w:val="24"/>
      <w:szCs w:val="24"/>
    </w:rPr>
  </w:style>
  <w:style w:type="character" w:styleId="Emphasis">
    <w:name w:val="Emphasis"/>
    <w:basedOn w:val="DefaultParagraphFont"/>
    <w:uiPriority w:val="20"/>
    <w:qFormat/>
    <w:rsid w:val="00CB0A46"/>
    <w:rPr>
      <w:i/>
      <w:iCs/>
    </w:rPr>
  </w:style>
  <w:style w:type="character" w:customStyle="1" w:styleId="ms-rtefontface-3">
    <w:name w:val="ms-rtefontface-3"/>
    <w:basedOn w:val="DefaultParagraphFont"/>
    <w:rsid w:val="00CB0A46"/>
  </w:style>
  <w:style w:type="paragraph" w:styleId="BalloonText">
    <w:name w:val="Balloon Text"/>
    <w:basedOn w:val="Normal"/>
    <w:link w:val="BalloonTextChar"/>
    <w:uiPriority w:val="99"/>
    <w:semiHidden/>
    <w:unhideWhenUsed/>
    <w:rsid w:val="009B0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6E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E1BFD"/>
    <w:rPr>
      <w:sz w:val="16"/>
      <w:szCs w:val="16"/>
    </w:rPr>
  </w:style>
  <w:style w:type="paragraph" w:styleId="CommentText">
    <w:name w:val="annotation text"/>
    <w:basedOn w:val="Normal"/>
    <w:link w:val="CommentTextChar"/>
    <w:uiPriority w:val="99"/>
    <w:semiHidden/>
    <w:unhideWhenUsed/>
    <w:rsid w:val="006E1BFD"/>
    <w:pPr>
      <w:spacing w:line="240" w:lineRule="auto"/>
    </w:pPr>
    <w:rPr>
      <w:sz w:val="20"/>
      <w:szCs w:val="20"/>
    </w:rPr>
  </w:style>
  <w:style w:type="character" w:customStyle="1" w:styleId="CommentTextChar">
    <w:name w:val="Comment Text Char"/>
    <w:basedOn w:val="DefaultParagraphFont"/>
    <w:link w:val="CommentText"/>
    <w:uiPriority w:val="99"/>
    <w:semiHidden/>
    <w:rsid w:val="006E1BF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BFD"/>
    <w:rPr>
      <w:b/>
      <w:bCs/>
    </w:rPr>
  </w:style>
  <w:style w:type="character" w:customStyle="1" w:styleId="CommentSubjectChar">
    <w:name w:val="Comment Subject Char"/>
    <w:basedOn w:val="CommentTextChar"/>
    <w:link w:val="CommentSubject"/>
    <w:uiPriority w:val="99"/>
    <w:semiHidden/>
    <w:rsid w:val="006E1BFD"/>
    <w:rPr>
      <w:rFonts w:ascii="Calibri" w:eastAsia="Calibri" w:hAnsi="Calibri" w:cs="Times New Roman"/>
      <w:b/>
      <w:bCs/>
      <w:sz w:val="20"/>
      <w:szCs w:val="20"/>
    </w:rPr>
  </w:style>
  <w:style w:type="paragraph" w:styleId="Header">
    <w:name w:val="header"/>
    <w:basedOn w:val="Normal"/>
    <w:link w:val="HeaderChar"/>
    <w:uiPriority w:val="99"/>
    <w:unhideWhenUsed/>
    <w:rsid w:val="00C3661C"/>
    <w:pPr>
      <w:tabs>
        <w:tab w:val="center" w:pos="4844"/>
        <w:tab w:val="right" w:pos="9689"/>
      </w:tabs>
      <w:spacing w:after="0" w:line="240" w:lineRule="auto"/>
    </w:pPr>
  </w:style>
  <w:style w:type="character" w:customStyle="1" w:styleId="HeaderChar">
    <w:name w:val="Header Char"/>
    <w:basedOn w:val="DefaultParagraphFont"/>
    <w:link w:val="Header"/>
    <w:uiPriority w:val="99"/>
    <w:rsid w:val="00C3661C"/>
    <w:rPr>
      <w:rFonts w:ascii="Calibri" w:eastAsia="Calibri" w:hAnsi="Calibri" w:cs="Times New Roman"/>
    </w:rPr>
  </w:style>
  <w:style w:type="paragraph" w:styleId="Footer">
    <w:name w:val="footer"/>
    <w:basedOn w:val="Normal"/>
    <w:link w:val="FooterChar"/>
    <w:uiPriority w:val="99"/>
    <w:unhideWhenUsed/>
    <w:rsid w:val="00C3661C"/>
    <w:pPr>
      <w:tabs>
        <w:tab w:val="center" w:pos="4844"/>
        <w:tab w:val="right" w:pos="9689"/>
      </w:tabs>
      <w:spacing w:after="0" w:line="240" w:lineRule="auto"/>
    </w:pPr>
  </w:style>
  <w:style w:type="character" w:customStyle="1" w:styleId="FooterChar">
    <w:name w:val="Footer Char"/>
    <w:basedOn w:val="DefaultParagraphFont"/>
    <w:link w:val="Footer"/>
    <w:uiPriority w:val="99"/>
    <w:rsid w:val="00C3661C"/>
    <w:rPr>
      <w:rFonts w:ascii="Calibri" w:eastAsia="Calibri" w:hAnsi="Calibri" w:cs="Times New Roman"/>
    </w:rPr>
  </w:style>
  <w:style w:type="character" w:styleId="Strong">
    <w:name w:val="Strong"/>
    <w:basedOn w:val="DefaultParagraphFont"/>
    <w:uiPriority w:val="22"/>
    <w:qFormat/>
    <w:rsid w:val="009C3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10417</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Paiu Eugenia</cp:lastModifiedBy>
  <cp:revision>2</cp:revision>
  <cp:lastPrinted>2022-09-16T10:52:00Z</cp:lastPrinted>
  <dcterms:created xsi:type="dcterms:W3CDTF">2022-09-22T14:20:00Z</dcterms:created>
  <dcterms:modified xsi:type="dcterms:W3CDTF">2022-09-22T14:20:00Z</dcterms:modified>
</cp:coreProperties>
</file>