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31" w:rsidRPr="00F64A56" w:rsidRDefault="00C65631" w:rsidP="008A4055">
      <w:pPr>
        <w:spacing w:after="0" w:line="276" w:lineRule="auto"/>
        <w:jc w:val="right"/>
        <w:rPr>
          <w:rFonts w:asciiTheme="majorHAnsi" w:eastAsia="Times New Roman" w:hAnsiTheme="majorHAnsi" w:cstheme="majorHAnsi"/>
          <w:i/>
          <w:noProof/>
          <w:sz w:val="24"/>
          <w:szCs w:val="24"/>
          <w:lang w:val="ro-RO"/>
        </w:rPr>
      </w:pPr>
      <w:bookmarkStart w:id="0" w:name="_GoBack"/>
      <w:bookmarkEnd w:id="0"/>
      <w:r w:rsidRPr="00F64A56">
        <w:rPr>
          <w:rFonts w:asciiTheme="majorHAnsi" w:eastAsia="Times New Roman" w:hAnsiTheme="majorHAnsi" w:cstheme="majorHAnsi"/>
          <w:bCs/>
          <w:i/>
          <w:noProof/>
          <w:sz w:val="24"/>
          <w:szCs w:val="24"/>
          <w:lang w:val="ro-RO"/>
        </w:rPr>
        <w:t>A</w:t>
      </w:r>
      <w:r w:rsidRPr="00F64A56">
        <w:rPr>
          <w:rFonts w:asciiTheme="majorHAnsi" w:eastAsia="Times New Roman" w:hAnsiTheme="majorHAnsi" w:cstheme="majorHAnsi"/>
          <w:i/>
          <w:noProof/>
          <w:sz w:val="24"/>
          <w:szCs w:val="24"/>
          <w:lang w:val="ro-RO"/>
        </w:rPr>
        <w:t xml:space="preserve">nexă </w:t>
      </w:r>
    </w:p>
    <w:p w:rsidR="00C65631" w:rsidRPr="00F64A56" w:rsidRDefault="00C65631" w:rsidP="008A4055">
      <w:pPr>
        <w:spacing w:after="0" w:line="276" w:lineRule="auto"/>
        <w:jc w:val="right"/>
        <w:rPr>
          <w:rFonts w:asciiTheme="majorHAnsi" w:eastAsia="Times New Roman" w:hAnsiTheme="majorHAnsi" w:cstheme="majorHAnsi"/>
          <w:noProof/>
          <w:sz w:val="24"/>
          <w:szCs w:val="24"/>
          <w:lang w:val="ro-RO"/>
        </w:rPr>
      </w:pPr>
      <w:r w:rsidRPr="00F64A56">
        <w:rPr>
          <w:rFonts w:asciiTheme="majorHAnsi" w:eastAsia="Times New Roman" w:hAnsiTheme="majorHAnsi" w:cstheme="majorHAnsi"/>
          <w:noProof/>
          <w:sz w:val="24"/>
          <w:szCs w:val="24"/>
          <w:lang w:val="ro-RO"/>
        </w:rPr>
        <w:t xml:space="preserve">la Hotărârea Curții de Conturi </w:t>
      </w:r>
    </w:p>
    <w:p w:rsidR="00C65631" w:rsidRPr="00F64A56" w:rsidRDefault="00F01371" w:rsidP="008A4055">
      <w:pPr>
        <w:spacing w:after="0" w:line="276" w:lineRule="auto"/>
        <w:jc w:val="right"/>
        <w:rPr>
          <w:rFonts w:asciiTheme="majorHAnsi" w:eastAsia="Times New Roman" w:hAnsiTheme="majorHAnsi" w:cstheme="majorHAnsi"/>
          <w:noProof/>
          <w:sz w:val="24"/>
          <w:szCs w:val="24"/>
          <w:lang w:val="ro-RO"/>
        </w:rPr>
      </w:pPr>
      <w:r w:rsidRPr="00F64A56">
        <w:rPr>
          <w:rFonts w:asciiTheme="majorHAnsi" w:eastAsia="Times New Roman" w:hAnsiTheme="majorHAnsi" w:cstheme="majorHAnsi"/>
          <w:noProof/>
          <w:sz w:val="24"/>
          <w:szCs w:val="24"/>
          <w:lang w:val="ro-RO"/>
        </w:rPr>
        <w:t>nr</w:t>
      </w:r>
      <w:r w:rsidR="005F227A" w:rsidRPr="00F64A56">
        <w:rPr>
          <w:rFonts w:asciiTheme="majorHAnsi" w:eastAsia="Times New Roman" w:hAnsiTheme="majorHAnsi" w:cstheme="majorHAnsi"/>
          <w:noProof/>
          <w:sz w:val="24"/>
          <w:szCs w:val="24"/>
          <w:lang w:val="ro-RO"/>
        </w:rPr>
        <w:t>.</w:t>
      </w:r>
      <w:r w:rsidR="005F227A">
        <w:rPr>
          <w:rFonts w:asciiTheme="majorHAnsi" w:eastAsia="Times New Roman" w:hAnsiTheme="majorHAnsi" w:cstheme="majorHAnsi"/>
          <w:noProof/>
          <w:sz w:val="24"/>
          <w:szCs w:val="24"/>
          <w:lang w:val="ro-RO"/>
        </w:rPr>
        <w:t xml:space="preserve">11 </w:t>
      </w:r>
      <w:r w:rsidR="00E32EFB" w:rsidRPr="00F64A56">
        <w:rPr>
          <w:rFonts w:asciiTheme="majorHAnsi" w:eastAsia="Times New Roman" w:hAnsiTheme="majorHAnsi" w:cstheme="majorHAnsi"/>
          <w:noProof/>
          <w:sz w:val="24"/>
          <w:szCs w:val="24"/>
          <w:lang w:val="ro-RO"/>
        </w:rPr>
        <w:t xml:space="preserve">din </w:t>
      </w:r>
      <w:r w:rsidR="00064C0D" w:rsidRPr="00F64A56">
        <w:rPr>
          <w:rFonts w:asciiTheme="majorHAnsi" w:eastAsia="Times New Roman" w:hAnsiTheme="majorHAnsi" w:cstheme="majorHAnsi"/>
          <w:noProof/>
          <w:sz w:val="24"/>
          <w:szCs w:val="24"/>
          <w:lang w:val="ro-RO"/>
        </w:rPr>
        <w:t>31</w:t>
      </w:r>
      <w:r w:rsidR="00E32EFB" w:rsidRPr="00F64A56">
        <w:rPr>
          <w:rFonts w:asciiTheme="majorHAnsi" w:eastAsia="Times New Roman" w:hAnsiTheme="majorHAnsi" w:cstheme="majorHAnsi"/>
          <w:noProof/>
          <w:sz w:val="24"/>
          <w:szCs w:val="24"/>
          <w:lang w:val="ro-RO"/>
        </w:rPr>
        <w:t>.03.2022</w:t>
      </w:r>
    </w:p>
    <w:p w:rsidR="00C65631" w:rsidRPr="00F64A56" w:rsidRDefault="00C65631" w:rsidP="008A4055">
      <w:pPr>
        <w:spacing w:after="0" w:line="276" w:lineRule="auto"/>
        <w:jc w:val="right"/>
        <w:rPr>
          <w:rFonts w:asciiTheme="majorHAnsi" w:eastAsia="Calibri" w:hAnsiTheme="majorHAnsi" w:cstheme="majorHAnsi"/>
          <w:i/>
          <w:noProof/>
          <w:sz w:val="24"/>
          <w:szCs w:val="24"/>
          <w:lang w:val="ro-RO"/>
        </w:rPr>
      </w:pPr>
    </w:p>
    <w:p w:rsidR="00C65631" w:rsidRPr="00F64A56" w:rsidRDefault="00C65631" w:rsidP="008A4055">
      <w:pPr>
        <w:spacing w:after="0" w:line="276" w:lineRule="auto"/>
        <w:jc w:val="center"/>
        <w:rPr>
          <w:rFonts w:asciiTheme="majorHAnsi" w:eastAsia="Calibri" w:hAnsiTheme="majorHAnsi" w:cstheme="majorHAnsi"/>
          <w:i/>
          <w:noProof/>
          <w:sz w:val="24"/>
          <w:szCs w:val="24"/>
          <w:lang w:val="ro-RO"/>
        </w:rPr>
      </w:pPr>
    </w:p>
    <w:p w:rsidR="00C65631" w:rsidRPr="00F64A56" w:rsidRDefault="00C65631" w:rsidP="008A4055">
      <w:pPr>
        <w:spacing w:after="0" w:line="276" w:lineRule="auto"/>
        <w:jc w:val="center"/>
        <w:rPr>
          <w:rFonts w:asciiTheme="majorHAnsi" w:eastAsia="Calibri" w:hAnsiTheme="majorHAnsi" w:cstheme="majorHAnsi"/>
          <w:i/>
          <w:noProof/>
          <w:sz w:val="24"/>
          <w:szCs w:val="24"/>
          <w:lang w:val="ro-RO"/>
        </w:rPr>
      </w:pPr>
    </w:p>
    <w:p w:rsidR="00C65631" w:rsidRPr="00F64A56" w:rsidRDefault="00C65631" w:rsidP="008A4055">
      <w:pPr>
        <w:spacing w:after="0" w:line="276" w:lineRule="auto"/>
        <w:jc w:val="center"/>
        <w:rPr>
          <w:rFonts w:asciiTheme="majorHAnsi" w:eastAsia="Calibri" w:hAnsiTheme="majorHAnsi" w:cstheme="majorHAnsi"/>
          <w:i/>
          <w:noProof/>
          <w:sz w:val="24"/>
          <w:szCs w:val="24"/>
          <w:lang w:val="ro-RO"/>
        </w:rPr>
      </w:pPr>
    </w:p>
    <w:p w:rsidR="00C65631" w:rsidRPr="00F64A56" w:rsidRDefault="00C65631" w:rsidP="008A4055">
      <w:pPr>
        <w:spacing w:after="0" w:line="276" w:lineRule="auto"/>
        <w:jc w:val="center"/>
        <w:rPr>
          <w:rFonts w:asciiTheme="majorHAnsi" w:eastAsia="Calibri" w:hAnsiTheme="majorHAnsi" w:cstheme="majorHAnsi"/>
          <w:i/>
          <w:noProof/>
          <w:sz w:val="24"/>
          <w:szCs w:val="24"/>
          <w:lang w:val="ro-RO"/>
        </w:rPr>
      </w:pPr>
    </w:p>
    <w:p w:rsidR="00C65631" w:rsidRPr="00F64A56" w:rsidRDefault="00C65631" w:rsidP="008A4055">
      <w:pPr>
        <w:spacing w:after="0" w:line="276" w:lineRule="auto"/>
        <w:jc w:val="center"/>
        <w:rPr>
          <w:rFonts w:asciiTheme="majorHAnsi" w:eastAsia="Calibri" w:hAnsiTheme="majorHAnsi" w:cstheme="majorHAnsi"/>
          <w:i/>
          <w:noProof/>
          <w:sz w:val="24"/>
          <w:szCs w:val="24"/>
          <w:lang w:val="ro-RO"/>
        </w:rPr>
      </w:pPr>
    </w:p>
    <w:p w:rsidR="00C65631" w:rsidRPr="00F64A56" w:rsidRDefault="00C65631" w:rsidP="008A4055">
      <w:pPr>
        <w:spacing w:after="0" w:line="276" w:lineRule="auto"/>
        <w:rPr>
          <w:rFonts w:asciiTheme="majorHAnsi" w:eastAsia="Calibri" w:hAnsiTheme="majorHAnsi" w:cstheme="majorHAnsi"/>
          <w:i/>
          <w:noProof/>
          <w:sz w:val="24"/>
          <w:szCs w:val="24"/>
          <w:lang w:val="ro-RO"/>
        </w:rPr>
      </w:pPr>
    </w:p>
    <w:p w:rsidR="008A4055" w:rsidRPr="00F64A56" w:rsidRDefault="004F704E" w:rsidP="004F704E">
      <w:pPr>
        <w:spacing w:after="0" w:line="276" w:lineRule="auto"/>
        <w:jc w:val="center"/>
        <w:rPr>
          <w:rFonts w:asciiTheme="majorHAnsi" w:eastAsia="Calibri" w:hAnsiTheme="majorHAnsi" w:cstheme="majorHAnsi"/>
          <w:i/>
          <w:noProof/>
          <w:sz w:val="24"/>
          <w:szCs w:val="24"/>
          <w:lang w:val="ro-RO"/>
        </w:rPr>
      </w:pPr>
      <w:r w:rsidRPr="00F64A56">
        <w:rPr>
          <w:rFonts w:asciiTheme="majorHAnsi" w:eastAsia="Calibri" w:hAnsiTheme="majorHAnsi" w:cstheme="majorHAnsi"/>
          <w:i/>
          <w:noProof/>
          <w:sz w:val="24"/>
          <w:szCs w:val="24"/>
        </w:rPr>
        <w:drawing>
          <wp:inline distT="0" distB="0" distL="0" distR="0" wp14:anchorId="58D0C1B6" wp14:editId="5BA44B1E">
            <wp:extent cx="963295" cy="963295"/>
            <wp:effectExtent l="0" t="0" r="825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inline>
        </w:drawing>
      </w:r>
    </w:p>
    <w:p w:rsidR="008A4055" w:rsidRPr="00F64A56" w:rsidRDefault="008A4055" w:rsidP="004F704E">
      <w:pPr>
        <w:spacing w:after="0" w:line="276" w:lineRule="auto"/>
        <w:jc w:val="center"/>
        <w:rPr>
          <w:rFonts w:asciiTheme="majorHAnsi" w:eastAsia="Calibri" w:hAnsiTheme="majorHAnsi" w:cstheme="majorHAnsi"/>
          <w:b/>
          <w:noProof/>
          <w:sz w:val="24"/>
          <w:szCs w:val="24"/>
          <w:lang w:val="ro-RO"/>
        </w:rPr>
      </w:pPr>
    </w:p>
    <w:p w:rsidR="00C65631" w:rsidRPr="00F64A56" w:rsidRDefault="00C65631" w:rsidP="008A4055">
      <w:pPr>
        <w:spacing w:after="0" w:line="276" w:lineRule="auto"/>
        <w:jc w:val="center"/>
        <w:rPr>
          <w:rFonts w:asciiTheme="majorHAnsi" w:eastAsia="Calibri" w:hAnsiTheme="majorHAnsi" w:cstheme="majorHAnsi"/>
          <w:b/>
          <w:noProof/>
          <w:sz w:val="32"/>
          <w:szCs w:val="32"/>
          <w:lang w:val="ro-RO"/>
        </w:rPr>
      </w:pPr>
      <w:r w:rsidRPr="00F64A56">
        <w:rPr>
          <w:rFonts w:asciiTheme="majorHAnsi" w:eastAsia="Calibri" w:hAnsiTheme="majorHAnsi" w:cstheme="majorHAnsi"/>
          <w:b/>
          <w:noProof/>
          <w:sz w:val="32"/>
          <w:szCs w:val="32"/>
          <w:lang w:val="ro-RO"/>
        </w:rPr>
        <w:t>CURTEA DE CONTURI A REPUBLICII MOLDOVA</w:t>
      </w:r>
    </w:p>
    <w:p w:rsidR="00C65631" w:rsidRPr="00F64A56" w:rsidRDefault="00C65631" w:rsidP="008A4055">
      <w:pPr>
        <w:spacing w:after="0" w:line="276" w:lineRule="auto"/>
        <w:rPr>
          <w:rFonts w:asciiTheme="majorHAnsi" w:eastAsia="Calibri" w:hAnsiTheme="majorHAnsi" w:cstheme="majorHAnsi"/>
          <w:noProof/>
          <w:sz w:val="24"/>
          <w:szCs w:val="24"/>
          <w:lang w:val="ro-RO"/>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350"/>
      </w:tblGrid>
      <w:tr w:rsidR="00C65631" w:rsidRPr="00F64A56" w:rsidTr="000E4C55">
        <w:trPr>
          <w:trHeight w:val="396"/>
          <w:jc w:val="center"/>
        </w:trPr>
        <w:tc>
          <w:tcPr>
            <w:tcW w:w="9350" w:type="dxa"/>
          </w:tcPr>
          <w:p w:rsidR="00D16E46" w:rsidRPr="00F64A56" w:rsidRDefault="00D16E46" w:rsidP="00D16E46">
            <w:pPr>
              <w:tabs>
                <w:tab w:val="left" w:pos="720"/>
              </w:tabs>
              <w:spacing w:after="0" w:line="276" w:lineRule="auto"/>
              <w:jc w:val="center"/>
              <w:rPr>
                <w:rFonts w:asciiTheme="majorHAnsi" w:eastAsia="Calibri" w:hAnsiTheme="majorHAnsi" w:cstheme="majorHAnsi"/>
                <w:b/>
                <w:bCs/>
                <w:iCs/>
                <w:noProof/>
                <w:sz w:val="20"/>
                <w:szCs w:val="20"/>
                <w:lang w:val="ro-RO"/>
              </w:rPr>
            </w:pPr>
            <w:r w:rsidRPr="00F64A56">
              <w:rPr>
                <w:rFonts w:asciiTheme="majorHAnsi" w:eastAsia="Calibri" w:hAnsiTheme="majorHAnsi" w:cstheme="majorHAnsi"/>
                <w:b/>
                <w:bCs/>
                <w:iCs/>
                <w:noProof/>
                <w:sz w:val="20"/>
                <w:szCs w:val="20"/>
                <w:lang w:val="ro-RO"/>
              </w:rPr>
              <w:t xml:space="preserve">MD-2001, mun. Chișinău, bd. Ștefan cel Mare și Sfânt nr.69, tel. (+373 22) 26 60 02, </w:t>
            </w:r>
          </w:p>
          <w:p w:rsidR="00C65631" w:rsidRPr="00F64A56" w:rsidRDefault="00D16E46" w:rsidP="00D16E46">
            <w:pPr>
              <w:tabs>
                <w:tab w:val="left" w:pos="720"/>
              </w:tabs>
              <w:spacing w:after="0" w:line="276" w:lineRule="auto"/>
              <w:jc w:val="center"/>
              <w:rPr>
                <w:rFonts w:asciiTheme="majorHAnsi" w:eastAsia="Calibri" w:hAnsiTheme="majorHAnsi" w:cstheme="majorHAnsi"/>
                <w:noProof/>
                <w:color w:val="1F4E79"/>
                <w:sz w:val="20"/>
                <w:szCs w:val="20"/>
                <w:lang w:val="ro-RO"/>
              </w:rPr>
            </w:pPr>
            <w:r w:rsidRPr="00F64A56">
              <w:rPr>
                <w:rFonts w:asciiTheme="majorHAnsi" w:eastAsia="Calibri" w:hAnsiTheme="majorHAnsi" w:cstheme="majorHAnsi"/>
                <w:b/>
                <w:bCs/>
                <w:iCs/>
                <w:noProof/>
                <w:sz w:val="20"/>
                <w:szCs w:val="20"/>
                <w:lang w:val="ro-RO"/>
              </w:rPr>
              <w:t xml:space="preserve">fax: (+373 22) 26 61 00, web: </w:t>
            </w:r>
            <w:hyperlink r:id="rId9" w:history="1">
              <w:r w:rsidRPr="00F64A56">
                <w:rPr>
                  <w:rStyle w:val="Hyperlink"/>
                  <w:rFonts w:asciiTheme="majorHAnsi" w:eastAsia="Calibri" w:hAnsiTheme="majorHAnsi" w:cstheme="majorHAnsi"/>
                  <w:b/>
                  <w:bCs/>
                  <w:iCs/>
                  <w:noProof/>
                  <w:sz w:val="20"/>
                  <w:szCs w:val="20"/>
                  <w:lang w:val="ro-RO"/>
                </w:rPr>
                <w:t>www.ccrm.md</w:t>
              </w:r>
            </w:hyperlink>
            <w:r w:rsidRPr="00F64A56">
              <w:rPr>
                <w:rFonts w:asciiTheme="majorHAnsi" w:eastAsia="Calibri" w:hAnsiTheme="majorHAnsi" w:cstheme="majorHAnsi"/>
                <w:b/>
                <w:bCs/>
                <w:iCs/>
                <w:noProof/>
                <w:sz w:val="20"/>
                <w:szCs w:val="20"/>
                <w:lang w:val="ro-RO"/>
              </w:rPr>
              <w:t xml:space="preserve">, e-mail: </w:t>
            </w:r>
            <w:hyperlink r:id="rId10" w:history="1">
              <w:r w:rsidRPr="00F64A56">
                <w:rPr>
                  <w:rStyle w:val="Hyperlink"/>
                  <w:rFonts w:asciiTheme="majorHAnsi" w:eastAsia="Calibri" w:hAnsiTheme="majorHAnsi" w:cstheme="majorHAnsi"/>
                  <w:b/>
                  <w:bCs/>
                  <w:iCs/>
                  <w:noProof/>
                  <w:sz w:val="20"/>
                  <w:szCs w:val="20"/>
                  <w:lang w:val="ro-RO"/>
                </w:rPr>
                <w:t>ccrm@ccrm.md</w:t>
              </w:r>
            </w:hyperlink>
          </w:p>
        </w:tc>
      </w:tr>
    </w:tbl>
    <w:p w:rsidR="00C65631" w:rsidRPr="00F64A56" w:rsidRDefault="00C65631" w:rsidP="008A4055">
      <w:pPr>
        <w:spacing w:after="0" w:line="276" w:lineRule="auto"/>
        <w:jc w:val="center"/>
        <w:rPr>
          <w:rFonts w:asciiTheme="majorHAnsi" w:eastAsia="Times New Roman" w:hAnsiTheme="majorHAnsi" w:cstheme="majorHAnsi"/>
          <w:noProof/>
          <w:sz w:val="24"/>
          <w:szCs w:val="24"/>
          <w:lang w:val="ro-RO"/>
        </w:rPr>
      </w:pPr>
    </w:p>
    <w:p w:rsidR="008A4055" w:rsidRPr="00F64A56" w:rsidRDefault="008A4055" w:rsidP="008A4055">
      <w:pPr>
        <w:spacing w:after="0" w:line="276" w:lineRule="auto"/>
        <w:jc w:val="center"/>
        <w:rPr>
          <w:rFonts w:asciiTheme="majorHAnsi" w:eastAsia="Times New Roman" w:hAnsiTheme="majorHAnsi" w:cstheme="majorHAnsi"/>
          <w:b/>
          <w:bCs/>
          <w:noProof/>
          <w:sz w:val="24"/>
          <w:szCs w:val="24"/>
          <w:lang w:val="ro-RO"/>
        </w:rPr>
      </w:pPr>
    </w:p>
    <w:p w:rsidR="00C65631" w:rsidRPr="00F64A56" w:rsidRDefault="00C65631" w:rsidP="008A4055">
      <w:pPr>
        <w:spacing w:after="0" w:line="276" w:lineRule="auto"/>
        <w:jc w:val="center"/>
        <w:rPr>
          <w:rFonts w:asciiTheme="majorHAnsi" w:eastAsia="Times New Roman" w:hAnsiTheme="majorHAnsi" w:cstheme="majorHAnsi"/>
          <w:b/>
          <w:bCs/>
          <w:noProof/>
          <w:sz w:val="24"/>
          <w:szCs w:val="24"/>
          <w:lang w:val="ro-RO"/>
        </w:rPr>
      </w:pPr>
    </w:p>
    <w:p w:rsidR="008A4055" w:rsidRPr="00F64A56" w:rsidRDefault="008A4055" w:rsidP="008A4055">
      <w:pPr>
        <w:spacing w:after="0" w:line="276" w:lineRule="auto"/>
        <w:jc w:val="center"/>
        <w:rPr>
          <w:rFonts w:asciiTheme="majorHAnsi" w:eastAsia="Times New Roman" w:hAnsiTheme="majorHAnsi" w:cstheme="majorHAnsi"/>
          <w:b/>
          <w:bCs/>
          <w:noProof/>
          <w:sz w:val="24"/>
          <w:szCs w:val="24"/>
          <w:lang w:val="ro-RO"/>
        </w:rPr>
      </w:pPr>
    </w:p>
    <w:p w:rsidR="001415B1" w:rsidRPr="00F64A56" w:rsidRDefault="001415B1" w:rsidP="008A4055">
      <w:pPr>
        <w:spacing w:after="0" w:line="276" w:lineRule="auto"/>
        <w:jc w:val="center"/>
        <w:rPr>
          <w:rFonts w:asciiTheme="majorHAnsi" w:eastAsia="Times New Roman" w:hAnsiTheme="majorHAnsi" w:cstheme="majorHAnsi"/>
          <w:b/>
          <w:bCs/>
          <w:noProof/>
          <w:sz w:val="24"/>
          <w:szCs w:val="24"/>
          <w:lang w:val="ro-RO"/>
        </w:rPr>
      </w:pPr>
    </w:p>
    <w:p w:rsidR="00C65631" w:rsidRPr="00F64A56" w:rsidRDefault="00C65631" w:rsidP="008A4055">
      <w:pPr>
        <w:spacing w:after="0" w:line="276" w:lineRule="auto"/>
        <w:jc w:val="center"/>
        <w:rPr>
          <w:rFonts w:asciiTheme="majorHAnsi" w:eastAsia="Times New Roman" w:hAnsiTheme="majorHAnsi" w:cstheme="majorHAnsi"/>
          <w:b/>
          <w:bCs/>
          <w:noProof/>
          <w:sz w:val="32"/>
          <w:szCs w:val="32"/>
          <w:lang w:val="ro-RO"/>
        </w:rPr>
      </w:pPr>
      <w:r w:rsidRPr="00F64A56">
        <w:rPr>
          <w:rFonts w:asciiTheme="majorHAnsi" w:eastAsia="Times New Roman" w:hAnsiTheme="majorHAnsi" w:cstheme="majorHAnsi"/>
          <w:b/>
          <w:bCs/>
          <w:noProof/>
          <w:sz w:val="32"/>
          <w:szCs w:val="32"/>
          <w:lang w:val="ro-RO"/>
        </w:rPr>
        <w:t>RAPORTUL</w:t>
      </w:r>
    </w:p>
    <w:p w:rsidR="005751AD" w:rsidRPr="00F64A56" w:rsidRDefault="00213D74" w:rsidP="001F30E0">
      <w:pPr>
        <w:spacing w:after="0" w:line="276" w:lineRule="auto"/>
        <w:jc w:val="center"/>
        <w:rPr>
          <w:rFonts w:asciiTheme="majorHAnsi" w:eastAsia="Calibri" w:hAnsiTheme="majorHAnsi" w:cstheme="majorHAnsi"/>
          <w:sz w:val="28"/>
          <w:szCs w:val="28"/>
          <w:lang w:val="ro-RO"/>
        </w:rPr>
      </w:pPr>
      <w:r w:rsidRPr="00F64A56">
        <w:rPr>
          <w:rFonts w:asciiTheme="majorHAnsi" w:eastAsia="Calibri" w:hAnsiTheme="majorHAnsi" w:cstheme="majorHAnsi"/>
          <w:b/>
          <w:noProof/>
          <w:sz w:val="28"/>
          <w:szCs w:val="28"/>
          <w:lang w:val="ro-RO"/>
        </w:rPr>
        <w:t xml:space="preserve">auditului </w:t>
      </w:r>
      <w:r w:rsidR="001B6EB9" w:rsidRPr="00F64A56">
        <w:rPr>
          <w:rFonts w:asciiTheme="majorHAnsi" w:eastAsia="Calibri" w:hAnsiTheme="majorHAnsi" w:cstheme="majorHAnsi"/>
          <w:b/>
          <w:noProof/>
          <w:sz w:val="28"/>
          <w:szCs w:val="28"/>
          <w:lang w:val="ro-RO"/>
        </w:rPr>
        <w:t xml:space="preserve">asupra </w:t>
      </w:r>
      <w:r w:rsidRPr="00F64A56">
        <w:rPr>
          <w:rFonts w:asciiTheme="majorHAnsi" w:eastAsia="Calibri" w:hAnsiTheme="majorHAnsi" w:cstheme="majorHAnsi"/>
          <w:b/>
          <w:noProof/>
          <w:sz w:val="28"/>
          <w:szCs w:val="28"/>
          <w:lang w:val="ro-RO"/>
        </w:rPr>
        <w:t xml:space="preserve">rapoartelor </w:t>
      </w:r>
      <w:r w:rsidR="00C65631" w:rsidRPr="00F64A56">
        <w:rPr>
          <w:rFonts w:asciiTheme="majorHAnsi" w:eastAsia="Calibri" w:hAnsiTheme="majorHAnsi" w:cstheme="majorHAnsi"/>
          <w:b/>
          <w:noProof/>
          <w:sz w:val="28"/>
          <w:szCs w:val="28"/>
          <w:lang w:val="ro-RO"/>
        </w:rPr>
        <w:t xml:space="preserve">financiare </w:t>
      </w:r>
      <w:r w:rsidR="001F30E0" w:rsidRPr="00F64A56">
        <w:rPr>
          <w:rFonts w:asciiTheme="majorHAnsi" w:eastAsia="Calibri" w:hAnsiTheme="majorHAnsi" w:cstheme="majorHAnsi"/>
          <w:b/>
          <w:noProof/>
          <w:sz w:val="28"/>
          <w:szCs w:val="28"/>
          <w:lang w:val="ro-RO"/>
        </w:rPr>
        <w:t>ale unității administrativ</w:t>
      </w:r>
      <w:r w:rsidR="0063622F" w:rsidRPr="00F64A56">
        <w:rPr>
          <w:rFonts w:asciiTheme="majorHAnsi" w:eastAsia="Calibri" w:hAnsiTheme="majorHAnsi" w:cstheme="majorHAnsi"/>
          <w:b/>
          <w:noProof/>
          <w:sz w:val="28"/>
          <w:szCs w:val="28"/>
          <w:lang w:val="ro-RO"/>
        </w:rPr>
        <w:t>-</w:t>
      </w:r>
      <w:r w:rsidR="00E32EFB" w:rsidRPr="00F64A56">
        <w:rPr>
          <w:rFonts w:asciiTheme="majorHAnsi" w:eastAsia="Calibri" w:hAnsiTheme="majorHAnsi" w:cstheme="majorHAnsi"/>
          <w:b/>
          <w:noProof/>
          <w:sz w:val="28"/>
          <w:szCs w:val="28"/>
          <w:lang w:val="ro-RO"/>
        </w:rPr>
        <w:t>teritoriale mun</w:t>
      </w:r>
      <w:r w:rsidR="001F30E0" w:rsidRPr="00F64A56">
        <w:rPr>
          <w:rFonts w:asciiTheme="majorHAnsi" w:eastAsia="Calibri" w:hAnsiTheme="majorHAnsi" w:cstheme="majorHAnsi"/>
          <w:b/>
          <w:noProof/>
          <w:sz w:val="28"/>
          <w:szCs w:val="28"/>
          <w:lang w:val="ro-RO"/>
        </w:rPr>
        <w:t>.</w:t>
      </w:r>
      <w:r w:rsidR="00D70DA5" w:rsidRPr="00F64A56">
        <w:rPr>
          <w:rFonts w:asciiTheme="majorHAnsi" w:eastAsia="Calibri" w:hAnsiTheme="majorHAnsi" w:cstheme="majorHAnsi"/>
          <w:b/>
          <w:noProof/>
          <w:sz w:val="28"/>
          <w:szCs w:val="28"/>
          <w:lang w:val="ro-RO"/>
        </w:rPr>
        <w:t xml:space="preserve"> </w:t>
      </w:r>
      <w:r w:rsidR="00E32EFB" w:rsidRPr="00F64A56">
        <w:rPr>
          <w:rFonts w:asciiTheme="majorHAnsi" w:eastAsia="Calibri" w:hAnsiTheme="majorHAnsi" w:cstheme="majorHAnsi"/>
          <w:b/>
          <w:noProof/>
          <w:sz w:val="28"/>
          <w:szCs w:val="28"/>
          <w:lang w:val="ro-RO"/>
        </w:rPr>
        <w:t>B</w:t>
      </w:r>
      <w:r w:rsidR="00E32EFB" w:rsidRPr="00F64A56">
        <w:rPr>
          <w:rFonts w:asciiTheme="majorHAnsi" w:eastAsia="Calibri" w:hAnsiTheme="majorHAnsi" w:cstheme="majorHAnsi"/>
          <w:b/>
          <w:noProof/>
          <w:sz w:val="28"/>
          <w:szCs w:val="28"/>
          <w:lang w:val="ro-MD"/>
        </w:rPr>
        <w:t>ălți</w:t>
      </w:r>
      <w:r w:rsidR="00E32EFB" w:rsidRPr="00F64A56">
        <w:rPr>
          <w:rFonts w:asciiTheme="majorHAnsi" w:eastAsia="Calibri" w:hAnsiTheme="majorHAnsi" w:cstheme="majorHAnsi"/>
          <w:b/>
          <w:noProof/>
          <w:sz w:val="28"/>
          <w:szCs w:val="28"/>
          <w:lang w:val="ro-RO"/>
        </w:rPr>
        <w:t xml:space="preserve"> încheiate la 31</w:t>
      </w:r>
      <w:r w:rsidR="00F43F28">
        <w:rPr>
          <w:rFonts w:asciiTheme="majorHAnsi" w:eastAsia="Calibri" w:hAnsiTheme="majorHAnsi" w:cstheme="majorHAnsi"/>
          <w:b/>
          <w:noProof/>
          <w:sz w:val="28"/>
          <w:szCs w:val="28"/>
          <w:lang w:val="ro-RO"/>
        </w:rPr>
        <w:t xml:space="preserve"> decembrie </w:t>
      </w:r>
      <w:r w:rsidR="00E32EFB" w:rsidRPr="00F64A56">
        <w:rPr>
          <w:rFonts w:asciiTheme="majorHAnsi" w:eastAsia="Calibri" w:hAnsiTheme="majorHAnsi" w:cstheme="majorHAnsi"/>
          <w:b/>
          <w:noProof/>
          <w:sz w:val="28"/>
          <w:szCs w:val="28"/>
          <w:lang w:val="ro-RO"/>
        </w:rPr>
        <w:t>2020</w:t>
      </w:r>
    </w:p>
    <w:p w:rsidR="005751AD" w:rsidRPr="00F64A56" w:rsidRDefault="005751AD" w:rsidP="005751AD">
      <w:pPr>
        <w:rPr>
          <w:rFonts w:asciiTheme="majorHAnsi" w:eastAsia="Calibri" w:hAnsiTheme="majorHAnsi" w:cstheme="majorHAnsi"/>
          <w:sz w:val="28"/>
          <w:szCs w:val="28"/>
          <w:lang w:val="ro-RO"/>
        </w:rPr>
      </w:pPr>
    </w:p>
    <w:p w:rsidR="005751AD" w:rsidRPr="00F64A56" w:rsidRDefault="005751AD" w:rsidP="005751AD">
      <w:pPr>
        <w:rPr>
          <w:rFonts w:asciiTheme="majorHAnsi" w:eastAsia="Calibri" w:hAnsiTheme="majorHAnsi" w:cstheme="majorHAnsi"/>
          <w:sz w:val="28"/>
          <w:szCs w:val="28"/>
          <w:lang w:val="ro-RO"/>
        </w:rPr>
      </w:pPr>
    </w:p>
    <w:p w:rsidR="005751AD" w:rsidRPr="00F64A56" w:rsidRDefault="005751AD" w:rsidP="005751AD">
      <w:pPr>
        <w:rPr>
          <w:rFonts w:asciiTheme="majorHAnsi" w:eastAsia="Calibri" w:hAnsiTheme="majorHAnsi" w:cstheme="majorHAnsi"/>
          <w:sz w:val="28"/>
          <w:szCs w:val="28"/>
          <w:lang w:val="ro-RO"/>
        </w:rPr>
      </w:pPr>
    </w:p>
    <w:p w:rsidR="005751AD" w:rsidRPr="00F64A56" w:rsidRDefault="005751AD" w:rsidP="005751AD">
      <w:pPr>
        <w:rPr>
          <w:rFonts w:asciiTheme="majorHAnsi" w:eastAsia="Calibri" w:hAnsiTheme="majorHAnsi" w:cstheme="majorHAnsi"/>
          <w:sz w:val="28"/>
          <w:szCs w:val="28"/>
          <w:lang w:val="ro-RO"/>
        </w:rPr>
      </w:pPr>
    </w:p>
    <w:p w:rsidR="005751AD" w:rsidRPr="00F64A56" w:rsidRDefault="005751AD" w:rsidP="005751AD">
      <w:pPr>
        <w:rPr>
          <w:rFonts w:asciiTheme="majorHAnsi" w:eastAsia="Calibri" w:hAnsiTheme="majorHAnsi" w:cstheme="majorHAnsi"/>
          <w:sz w:val="28"/>
          <w:szCs w:val="28"/>
          <w:lang w:val="ro-RO"/>
        </w:rPr>
      </w:pPr>
    </w:p>
    <w:p w:rsidR="005751AD" w:rsidRPr="00F64A56" w:rsidRDefault="005751AD" w:rsidP="005751AD">
      <w:pPr>
        <w:rPr>
          <w:rFonts w:asciiTheme="majorHAnsi" w:eastAsia="Calibri" w:hAnsiTheme="majorHAnsi" w:cstheme="majorHAnsi"/>
          <w:sz w:val="28"/>
          <w:szCs w:val="28"/>
          <w:lang w:val="ro-RO"/>
        </w:rPr>
      </w:pPr>
    </w:p>
    <w:p w:rsidR="005751AD" w:rsidRPr="00F64A56" w:rsidRDefault="005751AD" w:rsidP="005751AD">
      <w:pPr>
        <w:rPr>
          <w:rFonts w:asciiTheme="majorHAnsi" w:eastAsia="Calibri" w:hAnsiTheme="majorHAnsi" w:cstheme="majorHAnsi"/>
          <w:sz w:val="28"/>
          <w:szCs w:val="28"/>
          <w:lang w:val="ro-RO"/>
        </w:rPr>
      </w:pPr>
    </w:p>
    <w:p w:rsidR="00C65631" w:rsidRPr="00F64A56" w:rsidRDefault="00C65631" w:rsidP="005751AD">
      <w:pPr>
        <w:rPr>
          <w:rFonts w:asciiTheme="majorHAnsi" w:eastAsia="Calibri" w:hAnsiTheme="majorHAnsi" w:cstheme="majorHAnsi"/>
          <w:sz w:val="28"/>
          <w:szCs w:val="28"/>
          <w:lang w:val="ro-RO"/>
        </w:rPr>
        <w:sectPr w:rsidR="00C65631" w:rsidRPr="00F64A56" w:rsidSect="008363E2">
          <w:footerReference w:type="default" r:id="rId11"/>
          <w:pgSz w:w="11906" w:h="16838" w:code="9"/>
          <w:pgMar w:top="709" w:right="849" w:bottom="851" w:left="1134" w:header="720" w:footer="720" w:gutter="0"/>
          <w:cols w:space="708"/>
          <w:noEndnote/>
          <w:docGrid w:linePitch="326"/>
        </w:sectPr>
      </w:pPr>
    </w:p>
    <w:p w:rsidR="00081026" w:rsidRPr="00F64A56" w:rsidRDefault="00081026" w:rsidP="0025375F">
      <w:pPr>
        <w:pStyle w:val="ListParagraph"/>
        <w:numPr>
          <w:ilvl w:val="0"/>
          <w:numId w:val="13"/>
        </w:numPr>
        <w:tabs>
          <w:tab w:val="left" w:pos="0"/>
          <w:tab w:val="left" w:pos="284"/>
        </w:tabs>
        <w:spacing w:before="120" w:after="0" w:line="276" w:lineRule="auto"/>
        <w:ind w:left="0" w:firstLine="0"/>
        <w:jc w:val="center"/>
        <w:outlineLvl w:val="0"/>
        <w:rPr>
          <w:rFonts w:asciiTheme="majorHAnsi" w:eastAsia="Calibri" w:hAnsiTheme="majorHAnsi" w:cstheme="majorHAnsi"/>
          <w:b/>
          <w:sz w:val="28"/>
          <w:szCs w:val="28"/>
          <w:lang w:val="ro-RO"/>
        </w:rPr>
      </w:pPr>
      <w:bookmarkStart w:id="1" w:name="_Toc529533665"/>
      <w:r w:rsidRPr="00F64A56">
        <w:rPr>
          <w:rFonts w:asciiTheme="majorHAnsi" w:eastAsia="Calibri" w:hAnsiTheme="majorHAnsi" w:cstheme="majorHAnsi"/>
          <w:b/>
          <w:sz w:val="28"/>
          <w:szCs w:val="28"/>
          <w:lang w:val="ro-RO"/>
        </w:rPr>
        <w:lastRenderedPageBreak/>
        <w:t xml:space="preserve">OPINIE </w:t>
      </w:r>
      <w:bookmarkEnd w:id="1"/>
      <w:r w:rsidR="00D947CE" w:rsidRPr="00F64A56">
        <w:rPr>
          <w:rFonts w:asciiTheme="majorHAnsi" w:eastAsia="Calibri" w:hAnsiTheme="majorHAnsi" w:cstheme="majorHAnsi"/>
          <w:b/>
          <w:sz w:val="28"/>
          <w:szCs w:val="28"/>
          <w:lang w:val="ro-RO"/>
        </w:rPr>
        <w:t>CU REZERVE</w:t>
      </w:r>
    </w:p>
    <w:p w:rsidR="00B761A3" w:rsidRPr="00F64A56" w:rsidRDefault="00081026" w:rsidP="00060DE1">
      <w:pPr>
        <w:tabs>
          <w:tab w:val="left" w:pos="709"/>
        </w:tabs>
        <w:spacing w:after="0" w:line="276" w:lineRule="auto"/>
        <w:ind w:firstLine="709"/>
        <w:jc w:val="both"/>
        <w:rPr>
          <w:rFonts w:asciiTheme="majorHAnsi" w:eastAsia="Times New Roman" w:hAnsiTheme="majorHAnsi" w:cstheme="majorHAnsi"/>
          <w:sz w:val="24"/>
          <w:szCs w:val="24"/>
          <w:lang w:val="ro-MD"/>
        </w:rPr>
      </w:pPr>
      <w:r w:rsidRPr="00F64A56">
        <w:rPr>
          <w:rFonts w:asciiTheme="majorHAnsi" w:eastAsia="Times New Roman" w:hAnsiTheme="majorHAnsi" w:cstheme="majorHAnsi"/>
          <w:sz w:val="24"/>
          <w:szCs w:val="24"/>
          <w:lang w:val="ro-RO"/>
        </w:rPr>
        <w:t xml:space="preserve">Am auditat </w:t>
      </w:r>
      <w:r w:rsidR="00B02012" w:rsidRPr="00F64A56">
        <w:rPr>
          <w:rFonts w:asciiTheme="majorHAnsi" w:eastAsia="Times New Roman" w:hAnsiTheme="majorHAnsi" w:cstheme="majorHAnsi"/>
          <w:sz w:val="24"/>
          <w:szCs w:val="24"/>
          <w:lang w:val="ro-RO"/>
        </w:rPr>
        <w:t>rapoartele</w:t>
      </w:r>
      <w:r w:rsidRPr="00F64A56">
        <w:rPr>
          <w:rFonts w:asciiTheme="majorHAnsi" w:eastAsia="Times New Roman" w:hAnsiTheme="majorHAnsi" w:cstheme="majorHAnsi"/>
          <w:sz w:val="24"/>
          <w:szCs w:val="24"/>
          <w:lang w:val="ro-RO"/>
        </w:rPr>
        <w:t xml:space="preserve"> financiare</w:t>
      </w:r>
      <w:r w:rsidR="00B02012" w:rsidRPr="00F64A56">
        <w:rPr>
          <w:rFonts w:asciiTheme="majorHAnsi" w:eastAsia="Times New Roman" w:hAnsiTheme="majorHAnsi" w:cstheme="majorHAnsi"/>
          <w:sz w:val="24"/>
          <w:szCs w:val="24"/>
          <w:vertAlign w:val="superscript"/>
          <w:lang w:val="ro-RO"/>
        </w:rPr>
        <w:footnoteReference w:id="1"/>
      </w:r>
      <w:r w:rsidRPr="00F64A56">
        <w:rPr>
          <w:rFonts w:asciiTheme="majorHAnsi" w:eastAsia="Times New Roman" w:hAnsiTheme="majorHAnsi" w:cstheme="majorHAnsi"/>
          <w:sz w:val="24"/>
          <w:szCs w:val="24"/>
          <w:lang w:val="ro-RO"/>
        </w:rPr>
        <w:t xml:space="preserve"> ale </w:t>
      </w:r>
      <w:r w:rsidR="00186939" w:rsidRPr="00F64A56">
        <w:rPr>
          <w:rFonts w:asciiTheme="majorHAnsi" w:eastAsia="Times New Roman" w:hAnsiTheme="majorHAnsi" w:cstheme="majorHAnsi"/>
          <w:sz w:val="24"/>
          <w:szCs w:val="24"/>
          <w:lang w:val="ro-RO"/>
        </w:rPr>
        <w:t>UAT mun</w:t>
      </w:r>
      <w:r w:rsidR="00AB3567" w:rsidRPr="00F64A56">
        <w:rPr>
          <w:rFonts w:asciiTheme="majorHAnsi" w:eastAsia="Times New Roman" w:hAnsiTheme="majorHAnsi" w:cstheme="majorHAnsi"/>
          <w:sz w:val="24"/>
          <w:szCs w:val="24"/>
          <w:lang w:val="ro-RO"/>
        </w:rPr>
        <w:t>.</w:t>
      </w:r>
      <w:r w:rsidR="00186939" w:rsidRPr="00F64A56">
        <w:rPr>
          <w:rFonts w:asciiTheme="majorHAnsi" w:eastAsia="Times New Roman" w:hAnsiTheme="majorHAnsi" w:cstheme="majorHAnsi"/>
          <w:sz w:val="24"/>
          <w:szCs w:val="24"/>
          <w:lang w:val="ro-RO"/>
        </w:rPr>
        <w:t xml:space="preserve"> Bălți</w:t>
      </w:r>
      <w:r w:rsidR="001A2400" w:rsidRPr="00F64A56">
        <w:rPr>
          <w:rStyle w:val="FootnoteReference"/>
          <w:rFonts w:asciiTheme="majorHAnsi" w:eastAsia="Times New Roman" w:hAnsiTheme="majorHAnsi" w:cstheme="majorHAnsi"/>
          <w:sz w:val="24"/>
          <w:szCs w:val="24"/>
          <w:lang w:val="ro-MD"/>
        </w:rPr>
        <w:footnoteReference w:id="2"/>
      </w:r>
      <w:r w:rsidRPr="00F64A56">
        <w:rPr>
          <w:rFonts w:asciiTheme="majorHAnsi" w:eastAsia="Times New Roman" w:hAnsiTheme="majorHAnsi" w:cstheme="majorHAnsi"/>
          <w:sz w:val="24"/>
          <w:szCs w:val="24"/>
          <w:lang w:val="ro-RO"/>
        </w:rPr>
        <w:t xml:space="preserve"> </w:t>
      </w:r>
      <w:r w:rsidR="00AB3567" w:rsidRPr="00F64A56">
        <w:rPr>
          <w:rFonts w:asciiTheme="majorHAnsi" w:eastAsia="Times New Roman" w:hAnsiTheme="majorHAnsi" w:cstheme="majorHAnsi"/>
          <w:sz w:val="24"/>
          <w:szCs w:val="24"/>
          <w:lang w:val="ro-MD"/>
        </w:rPr>
        <w:t xml:space="preserve">pentru exercițiul </w:t>
      </w:r>
      <w:r w:rsidR="00D947CE" w:rsidRPr="00F64A56">
        <w:rPr>
          <w:rFonts w:asciiTheme="majorHAnsi" w:eastAsia="Times New Roman" w:hAnsiTheme="majorHAnsi" w:cstheme="majorHAnsi"/>
          <w:sz w:val="24"/>
          <w:szCs w:val="24"/>
          <w:lang w:val="ro-MD"/>
        </w:rPr>
        <w:t xml:space="preserve">bugetar </w:t>
      </w:r>
      <w:r w:rsidR="00186939" w:rsidRPr="00F64A56">
        <w:rPr>
          <w:rFonts w:asciiTheme="majorHAnsi" w:eastAsia="Times New Roman" w:hAnsiTheme="majorHAnsi" w:cstheme="majorHAnsi"/>
          <w:sz w:val="24"/>
          <w:szCs w:val="24"/>
          <w:lang w:val="ro-MD"/>
        </w:rPr>
        <w:t>încheiat la 31 decembrie 2020</w:t>
      </w:r>
      <w:r w:rsidR="00AB3567" w:rsidRPr="00F64A56">
        <w:rPr>
          <w:rFonts w:asciiTheme="majorHAnsi" w:eastAsia="Times New Roman" w:hAnsiTheme="majorHAnsi" w:cstheme="majorHAnsi"/>
          <w:sz w:val="24"/>
          <w:szCs w:val="24"/>
          <w:lang w:val="ro-MD"/>
        </w:rPr>
        <w:t>, c</w:t>
      </w:r>
      <w:r w:rsidR="003356FA" w:rsidRPr="00F64A56">
        <w:rPr>
          <w:rFonts w:asciiTheme="majorHAnsi" w:eastAsia="Times New Roman" w:hAnsiTheme="majorHAnsi" w:cstheme="majorHAnsi"/>
          <w:sz w:val="24"/>
          <w:szCs w:val="24"/>
          <w:lang w:val="ro-MD"/>
        </w:rPr>
        <w:t>ar</w:t>
      </w:r>
      <w:r w:rsidR="00AB3567" w:rsidRPr="00F64A56">
        <w:rPr>
          <w:rFonts w:asciiTheme="majorHAnsi" w:eastAsia="Times New Roman" w:hAnsiTheme="majorHAnsi" w:cstheme="majorHAnsi"/>
          <w:sz w:val="24"/>
          <w:szCs w:val="24"/>
          <w:lang w:val="ro-MD"/>
        </w:rPr>
        <w:t xml:space="preserve">e cuprind Bilanțul contabil, Raportul privind veniturile și cheltuielile, Raportul privind fluxul mijloacelor bănești, Raportul privind executarea bugetului, Raportul narativ privind executarea bugetului, inclusiv un sumar al politicilor contabile semnificative. </w:t>
      </w:r>
    </w:p>
    <w:p w:rsidR="00081026" w:rsidRPr="00F64A56" w:rsidRDefault="00433E6E">
      <w:pPr>
        <w:tabs>
          <w:tab w:val="left" w:pos="709"/>
        </w:tabs>
        <w:spacing w:after="0" w:line="276" w:lineRule="auto"/>
        <w:ind w:firstLine="709"/>
        <w:jc w:val="both"/>
        <w:rPr>
          <w:rFonts w:asciiTheme="majorHAnsi" w:eastAsia="Times New Roman" w:hAnsiTheme="majorHAnsi" w:cstheme="majorHAnsi"/>
          <w:sz w:val="24"/>
          <w:szCs w:val="24"/>
          <w:lang w:val="ro-RO"/>
        </w:rPr>
      </w:pPr>
      <w:r w:rsidRPr="00F64A56">
        <w:rPr>
          <w:rFonts w:asciiTheme="majorHAnsi" w:eastAsia="Times New Roman" w:hAnsiTheme="majorHAnsi" w:cstheme="majorHAnsi"/>
          <w:sz w:val="24"/>
          <w:szCs w:val="24"/>
          <w:lang w:val="ro-MD"/>
        </w:rPr>
        <w:t xml:space="preserve">În opinia noastră, </w:t>
      </w:r>
      <w:r w:rsidR="00D947CE" w:rsidRPr="00F64A56">
        <w:rPr>
          <w:rFonts w:asciiTheme="majorHAnsi" w:eastAsia="Times New Roman" w:hAnsiTheme="majorHAnsi" w:cstheme="majorHAnsi"/>
          <w:sz w:val="24"/>
          <w:szCs w:val="24"/>
          <w:lang w:val="ro-RO"/>
        </w:rPr>
        <w:t>cu excepția efectelor unor aspecte descrise în secțiunea „Baza pentru opinia cu rezerve”</w:t>
      </w:r>
      <w:r w:rsidR="00F43F28">
        <w:rPr>
          <w:rFonts w:asciiTheme="majorHAnsi" w:eastAsia="Times New Roman" w:hAnsiTheme="majorHAnsi" w:cstheme="majorHAnsi"/>
          <w:sz w:val="24"/>
          <w:szCs w:val="24"/>
          <w:lang w:val="ro-RO"/>
        </w:rPr>
        <w:t>,</w:t>
      </w:r>
      <w:r w:rsidRPr="00F64A56">
        <w:rPr>
          <w:rFonts w:asciiTheme="majorHAnsi" w:eastAsia="Times New Roman" w:hAnsiTheme="majorHAnsi" w:cstheme="majorHAnsi"/>
          <w:sz w:val="24"/>
          <w:szCs w:val="24"/>
          <w:lang w:val="ro-MD"/>
        </w:rPr>
        <w:t xml:space="preserve"> </w:t>
      </w:r>
      <w:r w:rsidR="00D947CE" w:rsidRPr="00F64A56">
        <w:rPr>
          <w:rFonts w:asciiTheme="majorHAnsi" w:eastAsia="Times New Roman" w:hAnsiTheme="majorHAnsi" w:cstheme="majorHAnsi"/>
          <w:sz w:val="24"/>
          <w:szCs w:val="24"/>
          <w:lang w:val="ro-RO"/>
        </w:rPr>
        <w:t>rapoartele financiare</w:t>
      </w:r>
      <w:r w:rsidR="00F43F28">
        <w:rPr>
          <w:rFonts w:asciiTheme="majorHAnsi" w:eastAsia="Times New Roman" w:hAnsiTheme="majorHAnsi" w:cstheme="majorHAnsi"/>
          <w:sz w:val="24"/>
          <w:szCs w:val="24"/>
          <w:lang w:val="ro-RO"/>
        </w:rPr>
        <w:t xml:space="preserve"> oferă</w:t>
      </w:r>
      <w:r w:rsidR="00D947CE" w:rsidRPr="00F64A56">
        <w:rPr>
          <w:rFonts w:asciiTheme="majorHAnsi" w:eastAsia="Times New Roman" w:hAnsiTheme="majorHAnsi" w:cstheme="majorHAnsi"/>
          <w:sz w:val="24"/>
          <w:szCs w:val="24"/>
          <w:lang w:val="ro-RO"/>
        </w:rPr>
        <w:t xml:space="preserve">, sub toate aspectele semnificative, </w:t>
      </w:r>
      <w:r w:rsidR="00D947CE" w:rsidRPr="00F64A56">
        <w:rPr>
          <w:rFonts w:asciiTheme="majorHAnsi" w:eastAsia="Times New Roman" w:hAnsiTheme="majorHAnsi" w:cstheme="majorHAnsi"/>
          <w:i/>
          <w:sz w:val="24"/>
          <w:szCs w:val="24"/>
          <w:lang w:val="ro-RO"/>
        </w:rPr>
        <w:t>o imagine corectă și fidelă</w:t>
      </w:r>
      <w:r w:rsidR="00D947CE" w:rsidRPr="00F64A56">
        <w:rPr>
          <w:rFonts w:asciiTheme="majorHAnsi" w:eastAsia="Times New Roman" w:hAnsiTheme="majorHAnsi" w:cstheme="majorHAnsi"/>
          <w:sz w:val="24"/>
          <w:szCs w:val="24"/>
          <w:lang w:val="ro-RO"/>
        </w:rPr>
        <w:t xml:space="preserve"> în conformitate cu cadrul de raportare financiară aplicabil</w:t>
      </w:r>
      <w:r w:rsidR="00AB3567" w:rsidRPr="00F64A56">
        <w:rPr>
          <w:rFonts w:asciiTheme="majorHAnsi" w:eastAsia="Times New Roman" w:hAnsiTheme="majorHAnsi" w:cstheme="majorHAnsi"/>
          <w:sz w:val="24"/>
          <w:szCs w:val="24"/>
          <w:vertAlign w:val="superscript"/>
          <w:lang w:val="ro-MD"/>
        </w:rPr>
        <w:footnoteReference w:id="3"/>
      </w:r>
      <w:r w:rsidR="00A8226C" w:rsidRPr="00F64A56">
        <w:rPr>
          <w:rFonts w:asciiTheme="majorHAnsi" w:eastAsia="Times New Roman" w:hAnsiTheme="majorHAnsi" w:cstheme="majorHAnsi"/>
          <w:sz w:val="24"/>
          <w:szCs w:val="24"/>
          <w:lang w:val="ro-MD"/>
        </w:rPr>
        <w:t>.</w:t>
      </w:r>
    </w:p>
    <w:p w:rsidR="00AA35B7" w:rsidRPr="00F64A56" w:rsidRDefault="00AA35B7" w:rsidP="006A3792">
      <w:pPr>
        <w:keepNext/>
        <w:keepLines/>
        <w:numPr>
          <w:ilvl w:val="0"/>
          <w:numId w:val="3"/>
        </w:numPr>
        <w:tabs>
          <w:tab w:val="left" w:pos="0"/>
          <w:tab w:val="left" w:pos="284"/>
        </w:tabs>
        <w:spacing w:before="120" w:after="0" w:line="276" w:lineRule="auto"/>
        <w:ind w:left="0" w:firstLine="0"/>
        <w:jc w:val="center"/>
        <w:outlineLvl w:val="0"/>
        <w:rPr>
          <w:rFonts w:asciiTheme="majorHAnsi" w:eastAsia="Times New Roman" w:hAnsiTheme="majorHAnsi" w:cstheme="majorHAnsi"/>
          <w:b/>
          <w:sz w:val="28"/>
          <w:szCs w:val="28"/>
          <w:lang w:val="ro-RO"/>
        </w:rPr>
      </w:pPr>
      <w:bookmarkStart w:id="2" w:name="_Toc529533666"/>
      <w:r w:rsidRPr="00F64A56">
        <w:rPr>
          <w:rFonts w:asciiTheme="majorHAnsi" w:eastAsia="Times New Roman" w:hAnsiTheme="majorHAnsi" w:cstheme="majorHAnsi"/>
          <w:b/>
          <w:sz w:val="28"/>
          <w:szCs w:val="28"/>
          <w:lang w:val="ro-RO"/>
        </w:rPr>
        <w:t xml:space="preserve">BAZA PENTRU OPINIA </w:t>
      </w:r>
      <w:bookmarkEnd w:id="2"/>
      <w:r w:rsidRPr="00F64A56">
        <w:rPr>
          <w:rFonts w:asciiTheme="majorHAnsi" w:eastAsia="Times New Roman" w:hAnsiTheme="majorHAnsi" w:cstheme="majorHAnsi"/>
          <w:b/>
          <w:sz w:val="28"/>
          <w:szCs w:val="28"/>
          <w:lang w:val="ro-RO"/>
        </w:rPr>
        <w:t>CU REZERVE</w:t>
      </w:r>
    </w:p>
    <w:p w:rsidR="00AA35B7" w:rsidRPr="00F64A56" w:rsidRDefault="00AA35B7" w:rsidP="006A3792">
      <w:pPr>
        <w:widowControl w:val="0"/>
        <w:numPr>
          <w:ilvl w:val="1"/>
          <w:numId w:val="20"/>
        </w:numPr>
        <w:shd w:val="clear" w:color="auto" w:fill="FFFFFF"/>
        <w:tabs>
          <w:tab w:val="left" w:pos="0"/>
          <w:tab w:val="left" w:pos="1134"/>
        </w:tabs>
        <w:spacing w:after="0" w:line="276" w:lineRule="auto"/>
        <w:ind w:left="0" w:firstLine="709"/>
        <w:jc w:val="both"/>
        <w:rPr>
          <w:rFonts w:asciiTheme="majorHAnsi" w:eastAsia="Times New Roman" w:hAnsiTheme="majorHAnsi" w:cstheme="majorHAnsi"/>
          <w:sz w:val="24"/>
          <w:szCs w:val="24"/>
          <w:lang w:val="ro-MD"/>
        </w:rPr>
      </w:pPr>
      <w:r w:rsidRPr="00F64A56">
        <w:rPr>
          <w:rFonts w:asciiTheme="majorHAnsi" w:eastAsia="Times New Roman" w:hAnsiTheme="majorHAnsi" w:cstheme="majorHAnsi"/>
          <w:sz w:val="24"/>
          <w:szCs w:val="24"/>
          <w:lang w:val="ro-MD"/>
        </w:rPr>
        <w:t>Autoritatea publică locală din mun. Bălți (APL mun. Bălți), prin aplicarea eronată a prevederilor normative</w:t>
      </w:r>
      <w:r w:rsidRPr="00F64A56">
        <w:rPr>
          <w:rFonts w:asciiTheme="majorHAnsi" w:eastAsia="Times New Roman" w:hAnsiTheme="majorHAnsi" w:cstheme="majorHAnsi"/>
          <w:sz w:val="24"/>
          <w:szCs w:val="24"/>
          <w:vertAlign w:val="superscript"/>
          <w:lang w:val="ro-MD"/>
        </w:rPr>
        <w:footnoteReference w:id="4"/>
      </w:r>
      <w:r w:rsidRPr="00F64A56">
        <w:rPr>
          <w:rFonts w:asciiTheme="majorHAnsi" w:eastAsia="Times New Roman" w:hAnsiTheme="majorHAnsi" w:cstheme="majorHAnsi"/>
          <w:sz w:val="24"/>
          <w:szCs w:val="24"/>
          <w:lang w:val="ro-MD"/>
        </w:rPr>
        <w:t xml:space="preserve">, a admis transmiterea neoportună în gestiunea întreprinderilor municipale a unor bunuri materiale </w:t>
      </w:r>
      <w:r w:rsidR="00213D1D">
        <w:rPr>
          <w:rFonts w:asciiTheme="majorHAnsi" w:eastAsia="Times New Roman" w:hAnsiTheme="majorHAnsi" w:cstheme="majorHAnsi"/>
          <w:sz w:val="24"/>
          <w:szCs w:val="24"/>
          <w:lang w:val="ro-MD"/>
        </w:rPr>
        <w:t xml:space="preserve">a căror </w:t>
      </w:r>
      <w:r w:rsidRPr="00F64A56">
        <w:rPr>
          <w:rFonts w:asciiTheme="majorHAnsi" w:eastAsia="Times New Roman" w:hAnsiTheme="majorHAnsi" w:cstheme="majorHAnsi"/>
          <w:sz w:val="24"/>
          <w:szCs w:val="24"/>
          <w:lang w:val="ro-MD"/>
        </w:rPr>
        <w:t>posesi</w:t>
      </w:r>
      <w:r w:rsidR="00213D1D">
        <w:rPr>
          <w:rFonts w:asciiTheme="majorHAnsi" w:eastAsia="Times New Roman" w:hAnsiTheme="majorHAnsi" w:cstheme="majorHAnsi"/>
          <w:sz w:val="24"/>
          <w:szCs w:val="24"/>
          <w:lang w:val="ro-MD"/>
        </w:rPr>
        <w:t>e</w:t>
      </w:r>
      <w:r w:rsidRPr="00F64A56">
        <w:rPr>
          <w:rFonts w:asciiTheme="majorHAnsi" w:eastAsia="Times New Roman" w:hAnsiTheme="majorHAnsi" w:cstheme="majorHAnsi"/>
          <w:sz w:val="24"/>
          <w:szCs w:val="24"/>
          <w:lang w:val="ro-MD"/>
        </w:rPr>
        <w:t xml:space="preserve"> nu creează efect investițional</w:t>
      </w:r>
      <w:r w:rsidRPr="00F64A56">
        <w:rPr>
          <w:rFonts w:asciiTheme="majorHAnsi" w:eastAsia="Times New Roman" w:hAnsiTheme="majorHAnsi" w:cstheme="majorHAnsi"/>
          <w:sz w:val="24"/>
          <w:szCs w:val="24"/>
          <w:lang w:val="ro-RO"/>
        </w:rPr>
        <w:t xml:space="preserve"> și generator de venituri din activitatea de producție și care nu pot fi recunoscute ca imobilizări corporale de către întreprinderi</w:t>
      </w:r>
      <w:r w:rsidRPr="00F64A56">
        <w:rPr>
          <w:rFonts w:asciiTheme="majorHAnsi" w:eastAsia="Times New Roman" w:hAnsiTheme="majorHAnsi" w:cstheme="majorHAnsi"/>
          <w:sz w:val="24"/>
          <w:szCs w:val="24"/>
          <w:vertAlign w:val="superscript"/>
          <w:lang w:val="ro-RO"/>
        </w:rPr>
        <w:footnoteReference w:id="5"/>
      </w:r>
      <w:r w:rsidRPr="00F64A56">
        <w:rPr>
          <w:rFonts w:asciiTheme="majorHAnsi" w:eastAsia="Times New Roman" w:hAnsiTheme="majorHAnsi" w:cstheme="majorHAnsi"/>
          <w:sz w:val="24"/>
          <w:szCs w:val="24"/>
          <w:lang w:val="ro-RO"/>
        </w:rPr>
        <w:t>.</w:t>
      </w:r>
      <w:r w:rsidRPr="00F64A56">
        <w:rPr>
          <w:rFonts w:asciiTheme="majorHAnsi" w:eastAsia="Times New Roman" w:hAnsiTheme="majorHAnsi" w:cstheme="majorHAnsi"/>
          <w:sz w:val="24"/>
          <w:szCs w:val="24"/>
          <w:lang w:val="ro-MD"/>
        </w:rPr>
        <w:t xml:space="preserve"> Această deficiență a dus la majorarea nejustificată a formelor de participare în capital în interiorul țării, raportate la </w:t>
      </w:r>
      <w:r w:rsidRPr="00F64A56">
        <w:rPr>
          <w:rFonts w:asciiTheme="majorHAnsi" w:eastAsia="Times New Roman" w:hAnsiTheme="majorHAnsi" w:cstheme="majorHAnsi"/>
          <w:bCs/>
          <w:sz w:val="24"/>
          <w:szCs w:val="24"/>
          <w:lang w:val="ro-RO"/>
        </w:rPr>
        <w:t xml:space="preserve">contul 415 „Acțiuni și alte forme de participare în capital în interiorul țării”, cu suma totală de </w:t>
      </w:r>
      <w:r w:rsidRPr="00F64A56">
        <w:rPr>
          <w:rFonts w:asciiTheme="majorHAnsi" w:eastAsia="Times New Roman" w:hAnsiTheme="majorHAnsi" w:cstheme="majorHAnsi"/>
          <w:b/>
          <w:bCs/>
          <w:sz w:val="24"/>
          <w:szCs w:val="24"/>
          <w:lang w:val="ro-RO"/>
        </w:rPr>
        <w:t>511</w:t>
      </w:r>
      <w:r w:rsidR="00B92FAF">
        <w:rPr>
          <w:rFonts w:asciiTheme="majorHAnsi" w:eastAsia="Times New Roman" w:hAnsiTheme="majorHAnsi" w:cstheme="majorHAnsi"/>
          <w:b/>
          <w:bCs/>
          <w:sz w:val="24"/>
          <w:szCs w:val="24"/>
          <w:lang w:val="ro-RO"/>
        </w:rPr>
        <w:t>.</w:t>
      </w:r>
      <w:r w:rsidRPr="00F64A56">
        <w:rPr>
          <w:rFonts w:asciiTheme="majorHAnsi" w:eastAsia="Times New Roman" w:hAnsiTheme="majorHAnsi" w:cstheme="majorHAnsi"/>
          <w:b/>
          <w:bCs/>
          <w:sz w:val="24"/>
          <w:szCs w:val="24"/>
          <w:lang w:val="ro-RO"/>
        </w:rPr>
        <w:t>357</w:t>
      </w:r>
      <w:r w:rsidR="00D41F0C" w:rsidRPr="00F64A56">
        <w:rPr>
          <w:rFonts w:asciiTheme="majorHAnsi" w:eastAsia="Times New Roman" w:hAnsiTheme="majorHAnsi" w:cstheme="majorHAnsi"/>
          <w:b/>
          <w:bCs/>
          <w:sz w:val="24"/>
          <w:szCs w:val="24"/>
          <w:lang w:val="ro-RO"/>
        </w:rPr>
        <w:t>,5 mii</w:t>
      </w:r>
      <w:r w:rsidRPr="00F64A56">
        <w:rPr>
          <w:rFonts w:asciiTheme="majorHAnsi" w:eastAsia="Times New Roman" w:hAnsiTheme="majorHAnsi" w:cstheme="majorHAnsi"/>
          <w:b/>
          <w:bCs/>
          <w:sz w:val="24"/>
          <w:szCs w:val="24"/>
          <w:lang w:val="ro-RO"/>
        </w:rPr>
        <w:t xml:space="preserve"> lei</w:t>
      </w:r>
      <w:r w:rsidR="00B92FAF">
        <w:rPr>
          <w:rFonts w:asciiTheme="majorHAnsi" w:eastAsia="Times New Roman" w:hAnsiTheme="majorHAnsi" w:cstheme="majorHAnsi"/>
          <w:b/>
          <w:bCs/>
          <w:sz w:val="24"/>
          <w:szCs w:val="24"/>
          <w:lang w:val="ro-RO"/>
        </w:rPr>
        <w:t>,</w:t>
      </w:r>
      <w:r w:rsidRPr="00F64A56">
        <w:rPr>
          <w:rFonts w:asciiTheme="majorHAnsi" w:eastAsia="Calibri" w:hAnsiTheme="majorHAnsi" w:cstheme="majorHAnsi"/>
          <w:sz w:val="24"/>
          <w:szCs w:val="24"/>
          <w:lang w:val="ro-MD"/>
        </w:rPr>
        <w:t xml:space="preserve"> și </w:t>
      </w:r>
      <w:r w:rsidRPr="00F64A56">
        <w:rPr>
          <w:rFonts w:asciiTheme="majorHAnsi" w:eastAsia="Times New Roman" w:hAnsiTheme="majorHAnsi" w:cstheme="majorHAnsi"/>
          <w:bCs/>
          <w:sz w:val="24"/>
          <w:szCs w:val="24"/>
          <w:lang w:val="ro-MD"/>
        </w:rPr>
        <w:t xml:space="preserve">la subevaluarea valorii conturilor bilanțiere 311 „Clădiri” </w:t>
      </w:r>
      <w:r w:rsidR="00B92FAF" w:rsidRPr="00F64A56">
        <w:rPr>
          <w:rFonts w:asciiTheme="majorHAnsi" w:eastAsia="Times New Roman" w:hAnsiTheme="majorHAnsi" w:cstheme="majorHAnsi"/>
          <w:bCs/>
          <w:sz w:val="24"/>
          <w:szCs w:val="24"/>
          <w:lang w:val="ro-MD"/>
        </w:rPr>
        <w:t>–</w:t>
      </w:r>
      <w:r w:rsidRPr="00F64A56">
        <w:rPr>
          <w:rFonts w:asciiTheme="majorHAnsi" w:eastAsia="Times New Roman" w:hAnsiTheme="majorHAnsi" w:cstheme="majorHAnsi"/>
          <w:bCs/>
          <w:sz w:val="24"/>
          <w:szCs w:val="24"/>
          <w:lang w:val="ro-MD"/>
        </w:rPr>
        <w:t xml:space="preserve"> cu </w:t>
      </w:r>
      <w:r w:rsidRPr="00F64A56">
        <w:rPr>
          <w:rFonts w:asciiTheme="majorHAnsi" w:eastAsia="Times New Roman" w:hAnsiTheme="majorHAnsi" w:cstheme="majorHAnsi"/>
          <w:bCs/>
          <w:sz w:val="24"/>
          <w:szCs w:val="24"/>
          <w:lang w:val="ro-RO"/>
        </w:rPr>
        <w:t>151</w:t>
      </w:r>
      <w:r w:rsidR="00B92FAF">
        <w:rPr>
          <w:rFonts w:asciiTheme="majorHAnsi" w:eastAsia="Times New Roman" w:hAnsiTheme="majorHAnsi" w:cstheme="majorHAnsi"/>
          <w:bCs/>
          <w:sz w:val="24"/>
          <w:szCs w:val="24"/>
          <w:lang w:val="ro-RO"/>
        </w:rPr>
        <w:t>.</w:t>
      </w:r>
      <w:r w:rsidRPr="00F64A56">
        <w:rPr>
          <w:rFonts w:asciiTheme="majorHAnsi" w:eastAsia="Times New Roman" w:hAnsiTheme="majorHAnsi" w:cstheme="majorHAnsi"/>
          <w:bCs/>
          <w:sz w:val="24"/>
          <w:szCs w:val="24"/>
          <w:lang w:val="ro-RO"/>
        </w:rPr>
        <w:t>735</w:t>
      </w:r>
      <w:r w:rsidR="00D41F0C" w:rsidRPr="00F64A56">
        <w:rPr>
          <w:rFonts w:asciiTheme="majorHAnsi" w:eastAsia="Times New Roman" w:hAnsiTheme="majorHAnsi" w:cstheme="majorHAnsi"/>
          <w:bCs/>
          <w:sz w:val="24"/>
          <w:szCs w:val="24"/>
          <w:lang w:val="ro-RO"/>
        </w:rPr>
        <w:t>,9 mii</w:t>
      </w:r>
      <w:r w:rsidRPr="00F64A56">
        <w:rPr>
          <w:rFonts w:asciiTheme="majorHAnsi" w:eastAsia="Times New Roman" w:hAnsiTheme="majorHAnsi" w:cstheme="majorHAnsi"/>
          <w:bCs/>
          <w:sz w:val="24"/>
          <w:szCs w:val="24"/>
          <w:lang w:val="ro-RO"/>
        </w:rPr>
        <w:t xml:space="preserve"> lei</w:t>
      </w:r>
      <w:r w:rsidRPr="00F64A56">
        <w:rPr>
          <w:rFonts w:asciiTheme="majorHAnsi" w:eastAsia="Times New Roman" w:hAnsiTheme="majorHAnsi" w:cstheme="majorHAnsi"/>
          <w:bCs/>
          <w:sz w:val="24"/>
          <w:szCs w:val="24"/>
          <w:vertAlign w:val="superscript"/>
          <w:lang w:val="ro-RO"/>
        </w:rPr>
        <w:footnoteReference w:id="6"/>
      </w:r>
      <w:r w:rsidRPr="00F64A56">
        <w:rPr>
          <w:rFonts w:asciiTheme="majorHAnsi" w:eastAsia="Times New Roman" w:hAnsiTheme="majorHAnsi" w:cstheme="majorHAnsi"/>
          <w:bCs/>
          <w:sz w:val="24"/>
          <w:szCs w:val="24"/>
          <w:lang w:val="ro-MD"/>
        </w:rPr>
        <w:t xml:space="preserve">, 312 „Construcții speciale” – cu </w:t>
      </w:r>
      <w:r w:rsidRPr="00F64A56">
        <w:rPr>
          <w:rFonts w:asciiTheme="majorHAnsi" w:eastAsia="Times New Roman" w:hAnsiTheme="majorHAnsi" w:cstheme="majorHAnsi"/>
          <w:bCs/>
          <w:sz w:val="24"/>
          <w:szCs w:val="24"/>
          <w:lang w:val="ro-RO"/>
        </w:rPr>
        <w:t>157</w:t>
      </w:r>
      <w:r w:rsidR="00B92FAF">
        <w:rPr>
          <w:rFonts w:asciiTheme="majorHAnsi" w:eastAsia="Times New Roman" w:hAnsiTheme="majorHAnsi" w:cstheme="majorHAnsi"/>
          <w:bCs/>
          <w:sz w:val="24"/>
          <w:szCs w:val="24"/>
          <w:lang w:val="ro-RO"/>
        </w:rPr>
        <w:t>.</w:t>
      </w:r>
      <w:r w:rsidRPr="00F64A56">
        <w:rPr>
          <w:rFonts w:asciiTheme="majorHAnsi" w:eastAsia="Times New Roman" w:hAnsiTheme="majorHAnsi" w:cstheme="majorHAnsi"/>
          <w:bCs/>
          <w:sz w:val="24"/>
          <w:szCs w:val="24"/>
          <w:lang w:val="ro-RO"/>
        </w:rPr>
        <w:t>462</w:t>
      </w:r>
      <w:r w:rsidR="00D41F0C" w:rsidRPr="00F64A56">
        <w:rPr>
          <w:rFonts w:asciiTheme="majorHAnsi" w:eastAsia="Times New Roman" w:hAnsiTheme="majorHAnsi" w:cstheme="majorHAnsi"/>
          <w:bCs/>
          <w:sz w:val="24"/>
          <w:szCs w:val="24"/>
          <w:lang w:val="ro-RO"/>
        </w:rPr>
        <w:t>,8</w:t>
      </w:r>
      <w:r w:rsidRPr="00F64A56">
        <w:rPr>
          <w:rFonts w:asciiTheme="majorHAnsi" w:eastAsia="Times New Roman" w:hAnsiTheme="majorHAnsi" w:cstheme="majorHAnsi"/>
          <w:bCs/>
          <w:sz w:val="24"/>
          <w:szCs w:val="24"/>
          <w:lang w:val="ro-RO"/>
        </w:rPr>
        <w:t xml:space="preserve"> </w:t>
      </w:r>
      <w:r w:rsidR="00D41F0C" w:rsidRPr="00F64A56">
        <w:rPr>
          <w:rFonts w:asciiTheme="majorHAnsi" w:eastAsia="Times New Roman" w:hAnsiTheme="majorHAnsi" w:cstheme="majorHAnsi"/>
          <w:bCs/>
          <w:sz w:val="24"/>
          <w:szCs w:val="24"/>
          <w:lang w:val="ro-RO"/>
        </w:rPr>
        <w:t xml:space="preserve">mii </w:t>
      </w:r>
      <w:r w:rsidRPr="00F64A56">
        <w:rPr>
          <w:rFonts w:asciiTheme="majorHAnsi" w:eastAsia="Times New Roman" w:hAnsiTheme="majorHAnsi" w:cstheme="majorHAnsi"/>
          <w:bCs/>
          <w:sz w:val="24"/>
          <w:szCs w:val="24"/>
          <w:lang w:val="ro-RO"/>
        </w:rPr>
        <w:t>lei</w:t>
      </w:r>
      <w:r w:rsidRPr="00F64A56">
        <w:rPr>
          <w:rFonts w:asciiTheme="majorHAnsi" w:eastAsia="Times New Roman" w:hAnsiTheme="majorHAnsi" w:cstheme="majorHAnsi"/>
          <w:bCs/>
          <w:sz w:val="24"/>
          <w:szCs w:val="24"/>
          <w:vertAlign w:val="superscript"/>
          <w:lang w:val="ro-RO"/>
        </w:rPr>
        <w:footnoteReference w:id="7"/>
      </w:r>
      <w:r w:rsidRPr="00F64A56">
        <w:rPr>
          <w:rFonts w:asciiTheme="majorHAnsi" w:eastAsia="Times New Roman" w:hAnsiTheme="majorHAnsi" w:cstheme="majorHAnsi"/>
          <w:bCs/>
          <w:sz w:val="24"/>
          <w:szCs w:val="24"/>
          <w:lang w:val="ro-MD"/>
        </w:rPr>
        <w:t xml:space="preserve">, 313 „Instalații de transmisie” – cu </w:t>
      </w:r>
      <w:r w:rsidRPr="00F64A56">
        <w:rPr>
          <w:rFonts w:asciiTheme="majorHAnsi" w:eastAsia="Times New Roman" w:hAnsiTheme="majorHAnsi" w:cstheme="majorHAnsi"/>
          <w:bCs/>
          <w:sz w:val="24"/>
          <w:szCs w:val="24"/>
          <w:lang w:val="ro-RO"/>
        </w:rPr>
        <w:t>102</w:t>
      </w:r>
      <w:r w:rsidR="00B92FAF">
        <w:rPr>
          <w:rFonts w:asciiTheme="majorHAnsi" w:eastAsia="Times New Roman" w:hAnsiTheme="majorHAnsi" w:cstheme="majorHAnsi"/>
          <w:bCs/>
          <w:sz w:val="24"/>
          <w:szCs w:val="24"/>
          <w:lang w:val="ro-RO"/>
        </w:rPr>
        <w:t>.</w:t>
      </w:r>
      <w:r w:rsidRPr="00F64A56">
        <w:rPr>
          <w:rFonts w:asciiTheme="majorHAnsi" w:eastAsia="Times New Roman" w:hAnsiTheme="majorHAnsi" w:cstheme="majorHAnsi"/>
          <w:bCs/>
          <w:sz w:val="24"/>
          <w:szCs w:val="24"/>
          <w:lang w:val="ro-RO"/>
        </w:rPr>
        <w:t>917</w:t>
      </w:r>
      <w:r w:rsidR="00D41F0C" w:rsidRPr="00F64A56">
        <w:rPr>
          <w:rFonts w:asciiTheme="majorHAnsi" w:eastAsia="Times New Roman" w:hAnsiTheme="majorHAnsi" w:cstheme="majorHAnsi"/>
          <w:bCs/>
          <w:sz w:val="24"/>
          <w:szCs w:val="24"/>
          <w:lang w:val="ro-RO"/>
        </w:rPr>
        <w:t>,7 mii</w:t>
      </w:r>
      <w:r w:rsidRPr="00F64A56">
        <w:rPr>
          <w:rFonts w:asciiTheme="majorHAnsi" w:eastAsia="Times New Roman" w:hAnsiTheme="majorHAnsi" w:cstheme="majorHAnsi"/>
          <w:bCs/>
          <w:sz w:val="24"/>
          <w:szCs w:val="24"/>
          <w:lang w:val="ro-RO"/>
        </w:rPr>
        <w:t xml:space="preserve"> lei</w:t>
      </w:r>
      <w:r w:rsidRPr="00F64A56">
        <w:rPr>
          <w:rFonts w:asciiTheme="majorHAnsi" w:eastAsia="Times New Roman" w:hAnsiTheme="majorHAnsi" w:cstheme="majorHAnsi"/>
          <w:bCs/>
          <w:sz w:val="24"/>
          <w:szCs w:val="24"/>
          <w:vertAlign w:val="superscript"/>
          <w:lang w:val="ro-RO"/>
        </w:rPr>
        <w:footnoteReference w:id="8"/>
      </w:r>
      <w:r w:rsidRPr="00F64A56">
        <w:rPr>
          <w:rFonts w:asciiTheme="majorHAnsi" w:eastAsia="Times New Roman" w:hAnsiTheme="majorHAnsi" w:cstheme="majorHAnsi"/>
          <w:bCs/>
          <w:sz w:val="24"/>
          <w:szCs w:val="24"/>
          <w:lang w:val="ro-MD"/>
        </w:rPr>
        <w:t xml:space="preserve">, </w:t>
      </w:r>
      <w:r w:rsidRPr="00F64A56">
        <w:rPr>
          <w:rFonts w:asciiTheme="majorHAnsi" w:eastAsia="Times New Roman" w:hAnsiTheme="majorHAnsi" w:cstheme="majorHAnsi"/>
          <w:bCs/>
          <w:sz w:val="24"/>
          <w:szCs w:val="24"/>
          <w:lang w:val="ro-RO"/>
        </w:rPr>
        <w:t xml:space="preserve">314 „Mașini și utilaje” </w:t>
      </w:r>
      <w:r w:rsidR="00B92FAF" w:rsidRPr="00F64A56">
        <w:rPr>
          <w:rFonts w:asciiTheme="majorHAnsi" w:eastAsia="Times New Roman" w:hAnsiTheme="majorHAnsi" w:cstheme="majorHAnsi"/>
          <w:bCs/>
          <w:sz w:val="24"/>
          <w:szCs w:val="24"/>
          <w:lang w:val="ro-MD"/>
        </w:rPr>
        <w:t>–</w:t>
      </w:r>
      <w:r w:rsidRPr="00F64A56">
        <w:rPr>
          <w:rFonts w:asciiTheme="majorHAnsi" w:eastAsia="Times New Roman" w:hAnsiTheme="majorHAnsi" w:cstheme="majorHAnsi"/>
          <w:bCs/>
          <w:sz w:val="24"/>
          <w:szCs w:val="24"/>
          <w:lang w:val="ro-RO"/>
        </w:rPr>
        <w:t xml:space="preserve"> cu 14</w:t>
      </w:r>
      <w:r w:rsidR="00B92FAF">
        <w:rPr>
          <w:rFonts w:asciiTheme="majorHAnsi" w:eastAsia="Times New Roman" w:hAnsiTheme="majorHAnsi" w:cstheme="majorHAnsi"/>
          <w:bCs/>
          <w:sz w:val="24"/>
          <w:szCs w:val="24"/>
          <w:lang w:val="ro-RO"/>
        </w:rPr>
        <w:t>.</w:t>
      </w:r>
      <w:r w:rsidRPr="00F64A56">
        <w:rPr>
          <w:rFonts w:asciiTheme="majorHAnsi" w:eastAsia="Times New Roman" w:hAnsiTheme="majorHAnsi" w:cstheme="majorHAnsi"/>
          <w:bCs/>
          <w:sz w:val="24"/>
          <w:szCs w:val="24"/>
          <w:lang w:val="ro-RO"/>
        </w:rPr>
        <w:t>208</w:t>
      </w:r>
      <w:r w:rsidR="00D41F0C" w:rsidRPr="00F64A56">
        <w:rPr>
          <w:rFonts w:asciiTheme="majorHAnsi" w:eastAsia="Times New Roman" w:hAnsiTheme="majorHAnsi" w:cstheme="majorHAnsi"/>
          <w:bCs/>
          <w:sz w:val="24"/>
          <w:szCs w:val="24"/>
          <w:lang w:val="ro-RO"/>
        </w:rPr>
        <w:t>,5 mii</w:t>
      </w:r>
      <w:r w:rsidRPr="00F64A56">
        <w:rPr>
          <w:rFonts w:asciiTheme="majorHAnsi" w:eastAsia="Times New Roman" w:hAnsiTheme="majorHAnsi" w:cstheme="majorHAnsi"/>
          <w:bCs/>
          <w:sz w:val="24"/>
          <w:szCs w:val="24"/>
          <w:lang w:val="ro-RO"/>
        </w:rPr>
        <w:t xml:space="preserve"> lei</w:t>
      </w:r>
      <w:r w:rsidRPr="00F64A56">
        <w:rPr>
          <w:rFonts w:asciiTheme="majorHAnsi" w:eastAsia="Times New Roman" w:hAnsiTheme="majorHAnsi" w:cstheme="majorHAnsi"/>
          <w:bCs/>
          <w:sz w:val="24"/>
          <w:szCs w:val="24"/>
          <w:vertAlign w:val="superscript"/>
          <w:lang w:val="ro-RO"/>
        </w:rPr>
        <w:footnoteReference w:id="9"/>
      </w:r>
      <w:r w:rsidRPr="00F64A56">
        <w:rPr>
          <w:rFonts w:asciiTheme="majorHAnsi" w:eastAsia="Times New Roman" w:hAnsiTheme="majorHAnsi" w:cstheme="majorHAnsi"/>
          <w:bCs/>
          <w:sz w:val="24"/>
          <w:szCs w:val="24"/>
          <w:lang w:val="ro-RO"/>
        </w:rPr>
        <w:t xml:space="preserve">, </w:t>
      </w:r>
      <w:r w:rsidRPr="00F64A56">
        <w:rPr>
          <w:rFonts w:asciiTheme="majorHAnsi" w:eastAsia="Times New Roman" w:hAnsiTheme="majorHAnsi" w:cstheme="majorHAnsi"/>
          <w:bCs/>
          <w:sz w:val="24"/>
          <w:szCs w:val="24"/>
          <w:lang w:val="ro-MD"/>
        </w:rPr>
        <w:t xml:space="preserve">318 „Alte mijloace fixe” – cu </w:t>
      </w:r>
      <w:r w:rsidRPr="00F64A56">
        <w:rPr>
          <w:rFonts w:asciiTheme="majorHAnsi" w:eastAsia="Times New Roman" w:hAnsiTheme="majorHAnsi" w:cstheme="majorHAnsi"/>
          <w:bCs/>
          <w:sz w:val="24"/>
          <w:szCs w:val="24"/>
          <w:lang w:val="ro-RO"/>
        </w:rPr>
        <w:t>28</w:t>
      </w:r>
      <w:r w:rsidR="00B92FAF">
        <w:rPr>
          <w:rFonts w:asciiTheme="majorHAnsi" w:eastAsia="Times New Roman" w:hAnsiTheme="majorHAnsi" w:cstheme="majorHAnsi"/>
          <w:bCs/>
          <w:sz w:val="24"/>
          <w:szCs w:val="24"/>
          <w:lang w:val="ro-RO"/>
        </w:rPr>
        <w:t>.</w:t>
      </w:r>
      <w:r w:rsidRPr="00F64A56">
        <w:rPr>
          <w:rFonts w:asciiTheme="majorHAnsi" w:eastAsia="Times New Roman" w:hAnsiTheme="majorHAnsi" w:cstheme="majorHAnsi"/>
          <w:bCs/>
          <w:sz w:val="24"/>
          <w:szCs w:val="24"/>
          <w:lang w:val="ro-RO"/>
        </w:rPr>
        <w:t>885</w:t>
      </w:r>
      <w:r w:rsidR="00D41F0C" w:rsidRPr="00F64A56">
        <w:rPr>
          <w:rFonts w:asciiTheme="majorHAnsi" w:eastAsia="Times New Roman" w:hAnsiTheme="majorHAnsi" w:cstheme="majorHAnsi"/>
          <w:bCs/>
          <w:sz w:val="24"/>
          <w:szCs w:val="24"/>
          <w:lang w:val="ro-RO"/>
        </w:rPr>
        <w:t>,5 mii</w:t>
      </w:r>
      <w:r w:rsidRPr="00F64A56">
        <w:rPr>
          <w:rFonts w:asciiTheme="majorHAnsi" w:eastAsia="Times New Roman" w:hAnsiTheme="majorHAnsi" w:cstheme="majorHAnsi"/>
          <w:bCs/>
          <w:sz w:val="24"/>
          <w:szCs w:val="24"/>
          <w:lang w:val="ro-RO"/>
        </w:rPr>
        <w:t xml:space="preserve"> lei</w:t>
      </w:r>
      <w:r w:rsidRPr="00F64A56">
        <w:rPr>
          <w:rFonts w:asciiTheme="majorHAnsi" w:eastAsia="Times New Roman" w:hAnsiTheme="majorHAnsi" w:cstheme="majorHAnsi"/>
          <w:bCs/>
          <w:sz w:val="24"/>
          <w:szCs w:val="24"/>
          <w:vertAlign w:val="superscript"/>
          <w:lang w:val="ro-RO"/>
        </w:rPr>
        <w:footnoteReference w:id="10"/>
      </w:r>
      <w:r w:rsidRPr="00F64A56">
        <w:rPr>
          <w:rFonts w:asciiTheme="majorHAnsi" w:eastAsia="Times New Roman" w:hAnsiTheme="majorHAnsi" w:cstheme="majorHAnsi"/>
          <w:bCs/>
          <w:sz w:val="24"/>
          <w:szCs w:val="24"/>
          <w:lang w:val="ro-RO"/>
        </w:rPr>
        <w:t xml:space="preserve"> și contului extrabilanțier 822 „Alte conturi extra bilanțiere” </w:t>
      </w:r>
      <w:r w:rsidR="00B92FAF" w:rsidRPr="00F64A56">
        <w:rPr>
          <w:rFonts w:asciiTheme="majorHAnsi" w:eastAsia="Times New Roman" w:hAnsiTheme="majorHAnsi" w:cstheme="majorHAnsi"/>
          <w:bCs/>
          <w:sz w:val="24"/>
          <w:szCs w:val="24"/>
          <w:lang w:val="ro-MD"/>
        </w:rPr>
        <w:t>–</w:t>
      </w:r>
      <w:r w:rsidRPr="00F64A56">
        <w:rPr>
          <w:rFonts w:asciiTheme="majorHAnsi" w:eastAsia="Times New Roman" w:hAnsiTheme="majorHAnsi" w:cstheme="majorHAnsi"/>
          <w:bCs/>
          <w:sz w:val="24"/>
          <w:szCs w:val="24"/>
          <w:lang w:val="ro-RO"/>
        </w:rPr>
        <w:t xml:space="preserve"> cu 56</w:t>
      </w:r>
      <w:r w:rsidR="00B92FAF">
        <w:rPr>
          <w:rFonts w:asciiTheme="majorHAnsi" w:eastAsia="Times New Roman" w:hAnsiTheme="majorHAnsi" w:cstheme="majorHAnsi"/>
          <w:bCs/>
          <w:sz w:val="24"/>
          <w:szCs w:val="24"/>
          <w:lang w:val="ro-RO"/>
        </w:rPr>
        <w:t>.</w:t>
      </w:r>
      <w:r w:rsidRPr="00F64A56">
        <w:rPr>
          <w:rFonts w:asciiTheme="majorHAnsi" w:eastAsia="Times New Roman" w:hAnsiTheme="majorHAnsi" w:cstheme="majorHAnsi"/>
          <w:bCs/>
          <w:sz w:val="24"/>
          <w:szCs w:val="24"/>
          <w:lang w:val="ro-RO"/>
        </w:rPr>
        <w:t>147</w:t>
      </w:r>
      <w:r w:rsidR="00D41F0C" w:rsidRPr="00F64A56">
        <w:rPr>
          <w:rFonts w:asciiTheme="majorHAnsi" w:eastAsia="Times New Roman" w:hAnsiTheme="majorHAnsi" w:cstheme="majorHAnsi"/>
          <w:bCs/>
          <w:sz w:val="24"/>
          <w:szCs w:val="24"/>
          <w:lang w:val="ro-RO"/>
        </w:rPr>
        <w:t>,1 mii</w:t>
      </w:r>
      <w:r w:rsidRPr="00F64A56">
        <w:rPr>
          <w:rFonts w:asciiTheme="majorHAnsi" w:eastAsia="Times New Roman" w:hAnsiTheme="majorHAnsi" w:cstheme="majorHAnsi"/>
          <w:bCs/>
          <w:sz w:val="24"/>
          <w:szCs w:val="24"/>
          <w:lang w:val="ro-RO"/>
        </w:rPr>
        <w:t xml:space="preserve"> lei</w:t>
      </w:r>
      <w:r w:rsidRPr="00F64A56">
        <w:rPr>
          <w:rFonts w:asciiTheme="majorHAnsi" w:eastAsia="Times New Roman" w:hAnsiTheme="majorHAnsi" w:cstheme="majorHAnsi"/>
          <w:bCs/>
          <w:sz w:val="24"/>
          <w:szCs w:val="24"/>
          <w:vertAlign w:val="superscript"/>
          <w:lang w:val="ro-RO"/>
        </w:rPr>
        <w:footnoteReference w:id="11"/>
      </w:r>
      <w:r w:rsidR="00B92FAF">
        <w:rPr>
          <w:rFonts w:asciiTheme="majorHAnsi" w:eastAsia="Times New Roman" w:hAnsiTheme="majorHAnsi" w:cstheme="majorHAnsi"/>
          <w:bCs/>
          <w:sz w:val="24"/>
          <w:szCs w:val="24"/>
          <w:lang w:val="ro-RO"/>
        </w:rPr>
        <w:t>.</w:t>
      </w:r>
      <w:r w:rsidRPr="00F64A56">
        <w:rPr>
          <w:rFonts w:asciiTheme="majorHAnsi" w:eastAsia="Times New Roman" w:hAnsiTheme="majorHAnsi" w:cstheme="majorHAnsi"/>
          <w:bCs/>
          <w:sz w:val="24"/>
          <w:szCs w:val="24"/>
          <w:lang w:val="ro-RO"/>
        </w:rPr>
        <w:t xml:space="preserve"> </w:t>
      </w:r>
    </w:p>
    <w:p w:rsidR="00AA35B7" w:rsidRPr="00F64A56" w:rsidRDefault="00AA35B7" w:rsidP="00AA35B7">
      <w:pPr>
        <w:widowControl w:val="0"/>
        <w:numPr>
          <w:ilvl w:val="1"/>
          <w:numId w:val="20"/>
        </w:numPr>
        <w:shd w:val="clear" w:color="auto" w:fill="FFFFFF"/>
        <w:tabs>
          <w:tab w:val="left" w:pos="0"/>
          <w:tab w:val="left" w:pos="1134"/>
        </w:tabs>
        <w:spacing w:after="0" w:line="276" w:lineRule="auto"/>
        <w:ind w:left="0" w:firstLine="709"/>
        <w:jc w:val="both"/>
        <w:rPr>
          <w:rFonts w:asciiTheme="majorHAnsi" w:eastAsia="Times New Roman" w:hAnsiTheme="majorHAnsi" w:cstheme="majorHAnsi"/>
          <w:sz w:val="24"/>
          <w:szCs w:val="24"/>
          <w:lang w:val="ro-MD"/>
        </w:rPr>
      </w:pPr>
      <w:r w:rsidRPr="00F64A56">
        <w:rPr>
          <w:rFonts w:asciiTheme="majorHAnsi" w:eastAsia="Times New Roman" w:hAnsiTheme="majorHAnsi" w:cstheme="majorHAnsi"/>
          <w:bCs/>
          <w:sz w:val="24"/>
          <w:szCs w:val="24"/>
          <w:lang w:val="ro-RO"/>
        </w:rPr>
        <w:t>Valoarea contului  311 „Clădiri”</w:t>
      </w:r>
      <w:r w:rsidR="00B65583" w:rsidRPr="00B65583">
        <w:rPr>
          <w:rFonts w:asciiTheme="majorHAnsi" w:eastAsia="Times New Roman" w:hAnsiTheme="majorHAnsi" w:cstheme="majorHAnsi"/>
          <w:bCs/>
          <w:sz w:val="24"/>
          <w:szCs w:val="24"/>
          <w:vertAlign w:val="superscript"/>
          <w:lang w:val="ro-RO"/>
        </w:rPr>
        <w:t xml:space="preserve"> </w:t>
      </w:r>
      <w:r w:rsidR="00B65583" w:rsidRPr="00F64A56">
        <w:rPr>
          <w:rFonts w:asciiTheme="majorHAnsi" w:eastAsia="Times New Roman" w:hAnsiTheme="majorHAnsi" w:cstheme="majorHAnsi"/>
          <w:bCs/>
          <w:sz w:val="24"/>
          <w:szCs w:val="24"/>
          <w:vertAlign w:val="superscript"/>
          <w:lang w:val="ro-RO"/>
        </w:rPr>
        <w:footnoteReference w:id="12"/>
      </w:r>
      <w:r w:rsidRPr="00F64A56">
        <w:rPr>
          <w:rFonts w:asciiTheme="majorHAnsi" w:eastAsia="Times New Roman" w:hAnsiTheme="majorHAnsi" w:cstheme="majorHAnsi"/>
          <w:bCs/>
          <w:sz w:val="24"/>
          <w:szCs w:val="24"/>
          <w:lang w:val="ro-RO"/>
        </w:rPr>
        <w:t xml:space="preserve"> a fost subevaluată cu suma totală de </w:t>
      </w:r>
      <w:r w:rsidR="00CA0824" w:rsidRPr="00CA0824">
        <w:rPr>
          <w:rFonts w:asciiTheme="majorHAnsi" w:eastAsia="Times New Roman" w:hAnsiTheme="majorHAnsi" w:cstheme="majorHAnsi"/>
          <w:b/>
          <w:bCs/>
          <w:sz w:val="24"/>
          <w:szCs w:val="24"/>
          <w:lang w:val="ro-RO"/>
        </w:rPr>
        <w:t>38</w:t>
      </w:r>
      <w:r w:rsidR="00CA0824">
        <w:rPr>
          <w:rFonts w:asciiTheme="majorHAnsi" w:eastAsia="Times New Roman" w:hAnsiTheme="majorHAnsi" w:cstheme="majorHAnsi"/>
          <w:b/>
          <w:bCs/>
          <w:sz w:val="24"/>
          <w:szCs w:val="24"/>
          <w:lang w:val="ro-RO"/>
        </w:rPr>
        <w:t>.</w:t>
      </w:r>
      <w:r w:rsidR="00CA0824" w:rsidRPr="00CA0824">
        <w:rPr>
          <w:rFonts w:asciiTheme="majorHAnsi" w:eastAsia="Times New Roman" w:hAnsiTheme="majorHAnsi" w:cstheme="majorHAnsi"/>
          <w:b/>
          <w:bCs/>
          <w:sz w:val="24"/>
          <w:szCs w:val="24"/>
          <w:lang w:val="ro-RO"/>
        </w:rPr>
        <w:t xml:space="preserve">728,3 </w:t>
      </w:r>
      <w:r w:rsidR="007033C5" w:rsidRPr="00F64A56">
        <w:rPr>
          <w:rFonts w:asciiTheme="majorHAnsi" w:eastAsia="Times New Roman" w:hAnsiTheme="majorHAnsi" w:cstheme="majorHAnsi"/>
          <w:b/>
          <w:bCs/>
          <w:sz w:val="24"/>
          <w:szCs w:val="24"/>
          <w:lang w:val="ro-RO"/>
        </w:rPr>
        <w:t>mii</w:t>
      </w:r>
      <w:r w:rsidRPr="00F64A56">
        <w:rPr>
          <w:rFonts w:asciiTheme="majorHAnsi" w:eastAsia="Times New Roman" w:hAnsiTheme="majorHAnsi" w:cstheme="majorHAnsi"/>
          <w:b/>
          <w:bCs/>
          <w:sz w:val="24"/>
          <w:szCs w:val="24"/>
          <w:lang w:val="ro-RO"/>
        </w:rPr>
        <w:t xml:space="preserve"> lei</w:t>
      </w:r>
      <w:r w:rsidRPr="00F64A56">
        <w:rPr>
          <w:rFonts w:asciiTheme="majorHAnsi" w:eastAsia="Times New Roman" w:hAnsiTheme="majorHAnsi" w:cstheme="majorHAnsi"/>
          <w:bCs/>
          <w:sz w:val="24"/>
          <w:szCs w:val="24"/>
          <w:lang w:val="ro-RO"/>
        </w:rPr>
        <w:t>, din cauza neaplicării conforme a regulilor de recunoaștere</w:t>
      </w:r>
      <w:r w:rsidRPr="00F64A56">
        <w:rPr>
          <w:rFonts w:asciiTheme="majorHAnsi" w:eastAsia="Times New Roman" w:hAnsiTheme="majorHAnsi" w:cstheme="majorHAnsi"/>
          <w:bCs/>
          <w:sz w:val="24"/>
          <w:szCs w:val="24"/>
          <w:vertAlign w:val="superscript"/>
          <w:lang w:val="ro-RO"/>
        </w:rPr>
        <w:footnoteReference w:id="13"/>
      </w:r>
      <w:r w:rsidRPr="00F64A56">
        <w:rPr>
          <w:rFonts w:asciiTheme="majorHAnsi" w:eastAsia="Times New Roman" w:hAnsiTheme="majorHAnsi" w:cstheme="majorHAnsi"/>
          <w:bCs/>
          <w:sz w:val="24"/>
          <w:szCs w:val="24"/>
          <w:lang w:val="ro-RO"/>
        </w:rPr>
        <w:t xml:space="preserve">  a bunurilor imobile efectiv </w:t>
      </w:r>
      <w:r w:rsidRPr="00F64A56">
        <w:rPr>
          <w:rFonts w:asciiTheme="majorHAnsi" w:eastAsia="Times New Roman" w:hAnsiTheme="majorHAnsi" w:cstheme="majorHAnsi"/>
          <w:bCs/>
          <w:sz w:val="24"/>
          <w:szCs w:val="24"/>
          <w:lang w:val="ro-RO"/>
        </w:rPr>
        <w:lastRenderedPageBreak/>
        <w:t xml:space="preserve">deținute cu valoarea de </w:t>
      </w:r>
      <w:r w:rsidR="00CA0824" w:rsidRPr="00CA0824">
        <w:rPr>
          <w:rFonts w:asciiTheme="majorHAnsi" w:eastAsia="Times New Roman" w:hAnsiTheme="majorHAnsi" w:cstheme="majorHAnsi"/>
          <w:bCs/>
          <w:sz w:val="24"/>
          <w:szCs w:val="24"/>
          <w:lang w:val="ro-MD"/>
        </w:rPr>
        <w:t>38</w:t>
      </w:r>
      <w:r w:rsidR="00CA0824">
        <w:rPr>
          <w:rFonts w:asciiTheme="majorHAnsi" w:eastAsia="Times New Roman" w:hAnsiTheme="majorHAnsi" w:cstheme="majorHAnsi"/>
          <w:bCs/>
          <w:sz w:val="24"/>
          <w:szCs w:val="24"/>
          <w:lang w:val="ro-MD"/>
        </w:rPr>
        <w:t>.</w:t>
      </w:r>
      <w:r w:rsidR="00CA0824" w:rsidRPr="00CA0824">
        <w:rPr>
          <w:rFonts w:asciiTheme="majorHAnsi" w:eastAsia="Times New Roman" w:hAnsiTheme="majorHAnsi" w:cstheme="majorHAnsi"/>
          <w:bCs/>
          <w:sz w:val="24"/>
          <w:szCs w:val="24"/>
          <w:lang w:val="ro-MD"/>
        </w:rPr>
        <w:t>618,7 mii lei</w:t>
      </w:r>
      <w:r w:rsidR="00CA0824" w:rsidRPr="00CA0824">
        <w:rPr>
          <w:rFonts w:asciiTheme="majorHAnsi" w:eastAsia="Times New Roman" w:hAnsiTheme="majorHAnsi" w:cstheme="majorHAnsi"/>
          <w:bCs/>
          <w:sz w:val="24"/>
          <w:szCs w:val="24"/>
          <w:vertAlign w:val="superscript"/>
          <w:lang w:val="ro-MD"/>
        </w:rPr>
        <w:footnoteReference w:id="14"/>
      </w:r>
      <w:r w:rsidR="00CA0824" w:rsidRPr="00CA0824">
        <w:rPr>
          <w:rFonts w:asciiTheme="majorHAnsi" w:eastAsia="Times New Roman" w:hAnsiTheme="majorHAnsi" w:cstheme="majorHAnsi"/>
          <w:bCs/>
          <w:sz w:val="24"/>
          <w:szCs w:val="24"/>
          <w:lang w:val="ro-MD"/>
        </w:rPr>
        <w:t xml:space="preserve"> </w:t>
      </w:r>
      <w:r w:rsidRPr="00F64A56">
        <w:rPr>
          <w:rFonts w:asciiTheme="majorHAnsi" w:eastAsia="Times New Roman" w:hAnsiTheme="majorHAnsi" w:cstheme="majorHAnsi"/>
          <w:bCs/>
          <w:sz w:val="24"/>
          <w:szCs w:val="24"/>
          <w:lang w:val="ro-RO"/>
        </w:rPr>
        <w:t>și a cheltuielilor pentru documentația de proiect și deviz utilizată la reparația capitală a aco</w:t>
      </w:r>
      <w:r w:rsidR="007033C5" w:rsidRPr="00F64A56">
        <w:rPr>
          <w:rFonts w:asciiTheme="majorHAnsi" w:eastAsia="Times New Roman" w:hAnsiTheme="majorHAnsi" w:cstheme="majorHAnsi"/>
          <w:bCs/>
          <w:sz w:val="24"/>
          <w:szCs w:val="24"/>
          <w:lang w:val="ro-RO"/>
        </w:rPr>
        <w:t>perișurilor în sumă de 109,6 mii</w:t>
      </w:r>
      <w:r w:rsidRPr="00F64A56">
        <w:rPr>
          <w:rFonts w:asciiTheme="majorHAnsi" w:eastAsia="Times New Roman" w:hAnsiTheme="majorHAnsi" w:cstheme="majorHAnsi"/>
          <w:bCs/>
          <w:sz w:val="24"/>
          <w:szCs w:val="24"/>
          <w:lang w:val="ro-RO"/>
        </w:rPr>
        <w:t xml:space="preserve"> lei</w:t>
      </w:r>
      <w:r w:rsidRPr="00F64A56">
        <w:rPr>
          <w:rFonts w:asciiTheme="majorHAnsi" w:eastAsia="Times New Roman" w:hAnsiTheme="majorHAnsi" w:cstheme="majorHAnsi"/>
          <w:bCs/>
          <w:sz w:val="24"/>
          <w:szCs w:val="24"/>
          <w:vertAlign w:val="superscript"/>
          <w:lang w:val="ro-RO"/>
        </w:rPr>
        <w:footnoteReference w:id="15"/>
      </w:r>
      <w:r w:rsidRPr="00F64A56">
        <w:rPr>
          <w:rFonts w:asciiTheme="majorHAnsi" w:eastAsia="Times New Roman" w:hAnsiTheme="majorHAnsi" w:cstheme="majorHAnsi"/>
          <w:bCs/>
          <w:sz w:val="24"/>
          <w:szCs w:val="24"/>
          <w:lang w:val="ro-RO"/>
        </w:rPr>
        <w:t>, raportate eronat la contul 318 „Alte mijloace fixe”</w:t>
      </w:r>
      <w:r w:rsidR="002D50F9">
        <w:rPr>
          <w:rFonts w:asciiTheme="majorHAnsi" w:eastAsia="Times New Roman" w:hAnsiTheme="majorHAnsi" w:cstheme="majorHAnsi"/>
          <w:bCs/>
          <w:sz w:val="24"/>
          <w:szCs w:val="24"/>
          <w:lang w:val="ro-RO"/>
        </w:rPr>
        <w:t>.</w:t>
      </w:r>
    </w:p>
    <w:p w:rsidR="00AA35B7" w:rsidRPr="00F64A56" w:rsidRDefault="00AA35B7" w:rsidP="00141EC7">
      <w:pPr>
        <w:widowControl w:val="0"/>
        <w:numPr>
          <w:ilvl w:val="1"/>
          <w:numId w:val="20"/>
        </w:numPr>
        <w:shd w:val="clear" w:color="auto" w:fill="FFFFFF"/>
        <w:tabs>
          <w:tab w:val="left" w:pos="0"/>
          <w:tab w:val="left" w:pos="1134"/>
        </w:tabs>
        <w:spacing w:after="0" w:line="276" w:lineRule="auto"/>
        <w:ind w:left="0" w:firstLine="709"/>
        <w:jc w:val="both"/>
        <w:rPr>
          <w:rFonts w:asciiTheme="majorHAnsi" w:eastAsia="Times New Roman" w:hAnsiTheme="majorHAnsi" w:cstheme="majorHAnsi"/>
          <w:sz w:val="24"/>
          <w:szCs w:val="24"/>
          <w:lang w:val="ro-MD"/>
        </w:rPr>
      </w:pPr>
      <w:r w:rsidRPr="00F64A56">
        <w:rPr>
          <w:rFonts w:asciiTheme="majorHAnsi" w:eastAsia="Times New Roman" w:hAnsiTheme="majorHAnsi" w:cstheme="majorHAnsi"/>
          <w:bCs/>
          <w:sz w:val="24"/>
          <w:szCs w:val="24"/>
          <w:lang w:val="ro-MD"/>
        </w:rPr>
        <w:t>APL mun. Bălți</w:t>
      </w:r>
      <w:r w:rsidR="00AA6246">
        <w:rPr>
          <w:rFonts w:asciiTheme="majorHAnsi" w:eastAsia="Times New Roman" w:hAnsiTheme="majorHAnsi" w:cstheme="majorHAnsi"/>
          <w:bCs/>
          <w:sz w:val="24"/>
          <w:szCs w:val="24"/>
          <w:lang w:val="ro-MD"/>
        </w:rPr>
        <w:t>,</w:t>
      </w:r>
      <w:r w:rsidRPr="00F64A56">
        <w:rPr>
          <w:rFonts w:asciiTheme="majorHAnsi" w:eastAsia="Times New Roman" w:hAnsiTheme="majorHAnsi" w:cstheme="majorHAnsi"/>
          <w:bCs/>
          <w:sz w:val="24"/>
          <w:szCs w:val="24"/>
          <w:lang w:val="ro-MD"/>
        </w:rPr>
        <w:t xml:space="preserve"> la </w:t>
      </w:r>
      <w:r w:rsidR="00432D86" w:rsidRPr="00F64A56">
        <w:rPr>
          <w:rFonts w:asciiTheme="majorHAnsi" w:eastAsia="Times New Roman" w:hAnsiTheme="majorHAnsi" w:cstheme="majorHAnsi"/>
          <w:bCs/>
          <w:sz w:val="24"/>
          <w:szCs w:val="24"/>
          <w:lang w:val="ro-MD"/>
        </w:rPr>
        <w:t>efectuarea</w:t>
      </w:r>
      <w:r w:rsidRPr="00F64A56">
        <w:rPr>
          <w:rFonts w:asciiTheme="majorHAnsi" w:eastAsia="Times New Roman" w:hAnsiTheme="majorHAnsi" w:cstheme="majorHAnsi"/>
          <w:bCs/>
          <w:sz w:val="24"/>
          <w:szCs w:val="24"/>
          <w:lang w:val="ro-MD"/>
        </w:rPr>
        <w:t xml:space="preserve"> investițiilor capitale</w:t>
      </w:r>
      <w:r w:rsidR="00AA6246">
        <w:rPr>
          <w:rFonts w:asciiTheme="majorHAnsi" w:eastAsia="Times New Roman" w:hAnsiTheme="majorHAnsi" w:cstheme="majorHAnsi"/>
          <w:bCs/>
          <w:sz w:val="24"/>
          <w:szCs w:val="24"/>
          <w:lang w:val="ro-MD"/>
        </w:rPr>
        <w:t>,</w:t>
      </w:r>
      <w:r w:rsidRPr="00F64A56">
        <w:rPr>
          <w:rFonts w:asciiTheme="majorHAnsi" w:eastAsia="Times New Roman" w:hAnsiTheme="majorHAnsi" w:cstheme="majorHAnsi"/>
          <w:bCs/>
          <w:sz w:val="24"/>
          <w:szCs w:val="24"/>
          <w:lang w:val="ro-MD"/>
        </w:rPr>
        <w:t xml:space="preserve"> nu a aplicat conform </w:t>
      </w:r>
      <w:r w:rsidR="00A03E14" w:rsidRPr="00F64A56">
        <w:rPr>
          <w:rFonts w:asciiTheme="majorHAnsi" w:eastAsia="Times New Roman" w:hAnsiTheme="majorHAnsi" w:cstheme="majorHAnsi"/>
          <w:bCs/>
          <w:sz w:val="24"/>
          <w:szCs w:val="24"/>
          <w:lang w:val="ro-MD"/>
        </w:rPr>
        <w:t xml:space="preserve">și oportun </w:t>
      </w:r>
      <w:r w:rsidRPr="00F64A56">
        <w:rPr>
          <w:rFonts w:asciiTheme="majorHAnsi" w:eastAsia="Times New Roman" w:hAnsiTheme="majorHAnsi" w:cstheme="majorHAnsi"/>
          <w:bCs/>
          <w:sz w:val="24"/>
          <w:szCs w:val="24"/>
          <w:lang w:val="ro-MD"/>
        </w:rPr>
        <w:t>prevederile normative</w:t>
      </w:r>
      <w:r w:rsidRPr="00F64A56">
        <w:rPr>
          <w:rFonts w:asciiTheme="majorHAnsi" w:eastAsia="Times New Roman" w:hAnsiTheme="majorHAnsi" w:cstheme="majorHAnsi"/>
          <w:bCs/>
          <w:sz w:val="24"/>
          <w:szCs w:val="24"/>
          <w:vertAlign w:val="superscript"/>
          <w:lang w:val="ro-MD"/>
        </w:rPr>
        <w:footnoteReference w:id="16"/>
      </w:r>
      <w:r w:rsidRPr="00F64A56">
        <w:rPr>
          <w:rFonts w:asciiTheme="majorHAnsi" w:eastAsia="Times New Roman" w:hAnsiTheme="majorHAnsi" w:cstheme="majorHAnsi"/>
          <w:bCs/>
          <w:sz w:val="24"/>
          <w:szCs w:val="24"/>
          <w:lang w:val="ro-MD"/>
        </w:rPr>
        <w:t xml:space="preserve"> și nu a asigurat capitalizarea cheltuielilor la active materiale în cazul lucrărilor executate de construcție a </w:t>
      </w:r>
      <w:r w:rsidRPr="00F64A56">
        <w:rPr>
          <w:rFonts w:asciiTheme="majorHAnsi" w:eastAsia="Times New Roman" w:hAnsiTheme="majorHAnsi" w:cstheme="majorHAnsi"/>
          <w:bCs/>
          <w:sz w:val="24"/>
          <w:szCs w:val="24"/>
          <w:lang w:val="ro-RO"/>
        </w:rPr>
        <w:t>azilului pentru animale,</w:t>
      </w:r>
      <w:r w:rsidR="00C32D47" w:rsidRPr="00F64A56">
        <w:rPr>
          <w:rFonts w:asciiTheme="majorHAnsi" w:eastAsia="Times New Roman" w:hAnsiTheme="majorHAnsi" w:cstheme="majorHAnsi"/>
          <w:bCs/>
          <w:sz w:val="24"/>
          <w:szCs w:val="24"/>
          <w:lang w:val="ro-RO"/>
        </w:rPr>
        <w:t xml:space="preserve"> care a activat în anul 2020</w:t>
      </w:r>
      <w:r w:rsidR="00C32D47" w:rsidRPr="00F64A56">
        <w:rPr>
          <w:rFonts w:asciiTheme="majorHAnsi" w:eastAsia="Times New Roman" w:hAnsiTheme="majorHAnsi" w:cstheme="majorHAnsi"/>
          <w:bCs/>
          <w:sz w:val="24"/>
          <w:szCs w:val="24"/>
          <w:vertAlign w:val="superscript"/>
          <w:lang w:val="ro-RO"/>
        </w:rPr>
        <w:footnoteReference w:id="17"/>
      </w:r>
      <w:r w:rsidR="00C32D47" w:rsidRPr="00F64A56">
        <w:rPr>
          <w:rFonts w:asciiTheme="majorHAnsi" w:eastAsia="Times New Roman" w:hAnsiTheme="majorHAnsi" w:cstheme="majorHAnsi"/>
          <w:bCs/>
          <w:sz w:val="24"/>
          <w:szCs w:val="24"/>
          <w:lang w:val="ro-RO"/>
        </w:rPr>
        <w:t>,</w:t>
      </w:r>
      <w:r w:rsidRPr="00F64A56">
        <w:rPr>
          <w:rFonts w:asciiTheme="majorHAnsi" w:eastAsia="Times New Roman" w:hAnsiTheme="majorHAnsi" w:cstheme="majorHAnsi"/>
          <w:bCs/>
          <w:iCs/>
          <w:sz w:val="24"/>
          <w:szCs w:val="24"/>
          <w:lang w:val="ro-RO"/>
        </w:rPr>
        <w:t xml:space="preserve"> fapt ce a determinat majorarea și raportarea neargumentată a activelor materiale în curs de execuție la contul 319 „Investiții capitale în active în curs de execuție” cu suma de </w:t>
      </w:r>
      <w:r w:rsidRPr="00F64A56">
        <w:rPr>
          <w:rFonts w:asciiTheme="majorHAnsi" w:eastAsia="Times New Roman" w:hAnsiTheme="majorHAnsi" w:cstheme="majorHAnsi"/>
          <w:b/>
          <w:bCs/>
          <w:iCs/>
          <w:sz w:val="24"/>
          <w:szCs w:val="24"/>
          <w:lang w:val="ro-RO"/>
        </w:rPr>
        <w:t>7</w:t>
      </w:r>
      <w:r w:rsidR="00AA6246">
        <w:rPr>
          <w:rFonts w:asciiTheme="majorHAnsi" w:eastAsia="Times New Roman" w:hAnsiTheme="majorHAnsi" w:cstheme="majorHAnsi"/>
          <w:b/>
          <w:bCs/>
          <w:iCs/>
          <w:sz w:val="24"/>
          <w:szCs w:val="24"/>
          <w:lang w:val="ro-RO"/>
        </w:rPr>
        <w:t>.</w:t>
      </w:r>
      <w:r w:rsidRPr="00F64A56">
        <w:rPr>
          <w:rFonts w:asciiTheme="majorHAnsi" w:eastAsia="Times New Roman" w:hAnsiTheme="majorHAnsi" w:cstheme="majorHAnsi"/>
          <w:b/>
          <w:bCs/>
          <w:iCs/>
          <w:sz w:val="24"/>
          <w:szCs w:val="24"/>
          <w:lang w:val="ro-RO"/>
        </w:rPr>
        <w:t>338</w:t>
      </w:r>
      <w:r w:rsidR="007033C5" w:rsidRPr="00F64A56">
        <w:rPr>
          <w:rFonts w:asciiTheme="majorHAnsi" w:eastAsia="Times New Roman" w:hAnsiTheme="majorHAnsi" w:cstheme="majorHAnsi"/>
          <w:b/>
          <w:bCs/>
          <w:iCs/>
          <w:sz w:val="24"/>
          <w:szCs w:val="24"/>
          <w:lang w:val="ro-RO"/>
        </w:rPr>
        <w:t>,6 mii</w:t>
      </w:r>
      <w:r w:rsidRPr="00F64A56">
        <w:rPr>
          <w:rFonts w:asciiTheme="majorHAnsi" w:eastAsia="Times New Roman" w:hAnsiTheme="majorHAnsi" w:cstheme="majorHAnsi"/>
          <w:b/>
          <w:bCs/>
          <w:iCs/>
          <w:sz w:val="24"/>
          <w:szCs w:val="24"/>
          <w:lang w:val="ro-RO"/>
        </w:rPr>
        <w:t xml:space="preserve"> lei</w:t>
      </w:r>
      <w:r w:rsidRPr="00F64A56">
        <w:rPr>
          <w:rFonts w:asciiTheme="majorHAnsi" w:eastAsia="Times New Roman" w:hAnsiTheme="majorHAnsi" w:cstheme="majorHAnsi"/>
          <w:bCs/>
          <w:iCs/>
          <w:sz w:val="24"/>
          <w:szCs w:val="24"/>
          <w:lang w:val="ro-RO"/>
        </w:rPr>
        <w:t xml:space="preserve"> și, respectiv, subevaluarea valorii contului 311 „Clădiri” – cu 1</w:t>
      </w:r>
      <w:r w:rsidR="00AA6246">
        <w:rPr>
          <w:rFonts w:asciiTheme="majorHAnsi" w:eastAsia="Times New Roman" w:hAnsiTheme="majorHAnsi" w:cstheme="majorHAnsi"/>
          <w:bCs/>
          <w:iCs/>
          <w:sz w:val="24"/>
          <w:szCs w:val="24"/>
          <w:lang w:val="ro-RO"/>
        </w:rPr>
        <w:t>.</w:t>
      </w:r>
      <w:r w:rsidRPr="00F64A56">
        <w:rPr>
          <w:rFonts w:asciiTheme="majorHAnsi" w:eastAsia="Times New Roman" w:hAnsiTheme="majorHAnsi" w:cstheme="majorHAnsi"/>
          <w:bCs/>
          <w:iCs/>
          <w:sz w:val="24"/>
          <w:szCs w:val="24"/>
          <w:lang w:val="ro-RO"/>
        </w:rPr>
        <w:t>982</w:t>
      </w:r>
      <w:r w:rsidR="007033C5" w:rsidRPr="00F64A56">
        <w:rPr>
          <w:rFonts w:asciiTheme="majorHAnsi" w:eastAsia="Times New Roman" w:hAnsiTheme="majorHAnsi" w:cstheme="majorHAnsi"/>
          <w:bCs/>
          <w:iCs/>
          <w:sz w:val="24"/>
          <w:szCs w:val="24"/>
          <w:lang w:val="ro-RO"/>
        </w:rPr>
        <w:t>,6 mii</w:t>
      </w:r>
      <w:r w:rsidRPr="00F64A56">
        <w:rPr>
          <w:rFonts w:asciiTheme="majorHAnsi" w:eastAsia="Times New Roman" w:hAnsiTheme="majorHAnsi" w:cstheme="majorHAnsi"/>
          <w:bCs/>
          <w:iCs/>
          <w:sz w:val="24"/>
          <w:szCs w:val="24"/>
          <w:lang w:val="ro-RO"/>
        </w:rPr>
        <w:t xml:space="preserve"> lei</w:t>
      </w:r>
      <w:r w:rsidRPr="00F64A56">
        <w:rPr>
          <w:rFonts w:asciiTheme="majorHAnsi" w:eastAsia="Times New Roman" w:hAnsiTheme="majorHAnsi" w:cstheme="majorHAnsi"/>
          <w:bCs/>
          <w:iCs/>
          <w:sz w:val="24"/>
          <w:szCs w:val="24"/>
          <w:vertAlign w:val="superscript"/>
          <w:lang w:val="ro-RO"/>
        </w:rPr>
        <w:footnoteReference w:id="18"/>
      </w:r>
      <w:r w:rsidRPr="00F64A56">
        <w:rPr>
          <w:rFonts w:asciiTheme="majorHAnsi" w:eastAsia="Times New Roman" w:hAnsiTheme="majorHAnsi" w:cstheme="majorHAnsi"/>
          <w:bCs/>
          <w:iCs/>
          <w:sz w:val="24"/>
          <w:szCs w:val="24"/>
          <w:lang w:val="ro-RO"/>
        </w:rPr>
        <w:t>, contului 312 „Construcții speciale” – cu 4</w:t>
      </w:r>
      <w:r w:rsidR="00AA6246">
        <w:rPr>
          <w:rFonts w:asciiTheme="majorHAnsi" w:eastAsia="Times New Roman" w:hAnsiTheme="majorHAnsi" w:cstheme="majorHAnsi"/>
          <w:bCs/>
          <w:iCs/>
          <w:sz w:val="24"/>
          <w:szCs w:val="24"/>
          <w:lang w:val="ro-RO"/>
        </w:rPr>
        <w:t>.</w:t>
      </w:r>
      <w:r w:rsidRPr="00F64A56">
        <w:rPr>
          <w:rFonts w:asciiTheme="majorHAnsi" w:eastAsia="Times New Roman" w:hAnsiTheme="majorHAnsi" w:cstheme="majorHAnsi"/>
          <w:bCs/>
          <w:iCs/>
          <w:sz w:val="24"/>
          <w:szCs w:val="24"/>
          <w:lang w:val="ro-RO"/>
        </w:rPr>
        <w:t>304</w:t>
      </w:r>
      <w:r w:rsidR="007033C5" w:rsidRPr="00F64A56">
        <w:rPr>
          <w:rFonts w:asciiTheme="majorHAnsi" w:eastAsia="Times New Roman" w:hAnsiTheme="majorHAnsi" w:cstheme="majorHAnsi"/>
          <w:bCs/>
          <w:iCs/>
          <w:sz w:val="24"/>
          <w:szCs w:val="24"/>
          <w:lang w:val="ro-RO"/>
        </w:rPr>
        <w:t>,5 mii</w:t>
      </w:r>
      <w:r w:rsidRPr="00F64A56">
        <w:rPr>
          <w:rFonts w:asciiTheme="majorHAnsi" w:eastAsia="Times New Roman" w:hAnsiTheme="majorHAnsi" w:cstheme="majorHAnsi"/>
          <w:bCs/>
          <w:iCs/>
          <w:sz w:val="24"/>
          <w:szCs w:val="24"/>
          <w:lang w:val="ro-RO"/>
        </w:rPr>
        <w:t xml:space="preserve"> lei</w:t>
      </w:r>
      <w:r w:rsidRPr="00F64A56">
        <w:rPr>
          <w:rFonts w:asciiTheme="majorHAnsi" w:eastAsia="Times New Roman" w:hAnsiTheme="majorHAnsi" w:cstheme="majorHAnsi"/>
          <w:bCs/>
          <w:iCs/>
          <w:sz w:val="24"/>
          <w:szCs w:val="24"/>
          <w:vertAlign w:val="superscript"/>
          <w:lang w:val="ro-RO"/>
        </w:rPr>
        <w:footnoteReference w:id="19"/>
      </w:r>
      <w:r w:rsidRPr="00F64A56">
        <w:rPr>
          <w:rFonts w:asciiTheme="majorHAnsi" w:eastAsia="Times New Roman" w:hAnsiTheme="majorHAnsi" w:cstheme="majorHAnsi"/>
          <w:bCs/>
          <w:iCs/>
          <w:sz w:val="24"/>
          <w:szCs w:val="24"/>
          <w:lang w:val="ro-RO"/>
        </w:rPr>
        <w:t>, contului 313 „Instalații de transmisie” – cu 1</w:t>
      </w:r>
      <w:r w:rsidR="00AA6246">
        <w:rPr>
          <w:rFonts w:asciiTheme="majorHAnsi" w:eastAsia="Times New Roman" w:hAnsiTheme="majorHAnsi" w:cstheme="majorHAnsi"/>
          <w:bCs/>
          <w:iCs/>
          <w:sz w:val="24"/>
          <w:szCs w:val="24"/>
          <w:lang w:val="ro-RO"/>
        </w:rPr>
        <w:t>.</w:t>
      </w:r>
      <w:r w:rsidRPr="00F64A56">
        <w:rPr>
          <w:rFonts w:asciiTheme="majorHAnsi" w:eastAsia="Times New Roman" w:hAnsiTheme="majorHAnsi" w:cstheme="majorHAnsi"/>
          <w:bCs/>
          <w:iCs/>
          <w:sz w:val="24"/>
          <w:szCs w:val="24"/>
          <w:lang w:val="ro-RO"/>
        </w:rPr>
        <w:t>051</w:t>
      </w:r>
      <w:r w:rsidR="007033C5" w:rsidRPr="00F64A56">
        <w:rPr>
          <w:rFonts w:asciiTheme="majorHAnsi" w:eastAsia="Times New Roman" w:hAnsiTheme="majorHAnsi" w:cstheme="majorHAnsi"/>
          <w:bCs/>
          <w:iCs/>
          <w:sz w:val="24"/>
          <w:szCs w:val="24"/>
          <w:lang w:val="ro-RO"/>
        </w:rPr>
        <w:t>,5</w:t>
      </w:r>
      <w:r w:rsidR="00F83645" w:rsidRPr="00F64A56">
        <w:rPr>
          <w:rFonts w:asciiTheme="majorHAnsi" w:eastAsia="Times New Roman" w:hAnsiTheme="majorHAnsi" w:cstheme="majorHAnsi"/>
          <w:bCs/>
          <w:iCs/>
          <w:sz w:val="24"/>
          <w:szCs w:val="24"/>
          <w:lang w:val="ro-RO"/>
        </w:rPr>
        <w:t xml:space="preserve"> mii</w:t>
      </w:r>
      <w:r w:rsidRPr="00F64A56">
        <w:rPr>
          <w:rFonts w:asciiTheme="majorHAnsi" w:eastAsia="Times New Roman" w:hAnsiTheme="majorHAnsi" w:cstheme="majorHAnsi"/>
          <w:bCs/>
          <w:iCs/>
          <w:sz w:val="24"/>
          <w:szCs w:val="24"/>
          <w:lang w:val="ro-RO"/>
        </w:rPr>
        <w:t xml:space="preserve"> lei</w:t>
      </w:r>
      <w:r w:rsidRPr="00F64A56">
        <w:rPr>
          <w:rFonts w:asciiTheme="majorHAnsi" w:eastAsia="Times New Roman" w:hAnsiTheme="majorHAnsi" w:cstheme="majorHAnsi"/>
          <w:bCs/>
          <w:iCs/>
          <w:sz w:val="24"/>
          <w:szCs w:val="24"/>
          <w:vertAlign w:val="superscript"/>
          <w:lang w:val="ro-RO"/>
        </w:rPr>
        <w:footnoteReference w:id="20"/>
      </w:r>
      <w:r w:rsidR="00AA6246">
        <w:rPr>
          <w:rFonts w:asciiTheme="majorHAnsi" w:eastAsia="Times New Roman" w:hAnsiTheme="majorHAnsi" w:cstheme="majorHAnsi"/>
          <w:bCs/>
          <w:iCs/>
          <w:sz w:val="24"/>
          <w:szCs w:val="24"/>
          <w:lang w:val="ro-RO"/>
        </w:rPr>
        <w:t>,</w:t>
      </w:r>
      <w:r w:rsidRPr="00F64A56">
        <w:rPr>
          <w:rFonts w:asciiTheme="majorHAnsi" w:eastAsia="Times New Roman" w:hAnsiTheme="majorHAnsi" w:cstheme="majorHAnsi"/>
          <w:bCs/>
          <w:iCs/>
          <w:sz w:val="24"/>
          <w:szCs w:val="24"/>
          <w:lang w:val="ro-RO"/>
        </w:rPr>
        <w:t xml:space="preserve"> și contului 391 „Uzura mijloacelor fixe” – cu circa 333</w:t>
      </w:r>
      <w:r w:rsidR="000F4852" w:rsidRPr="00F64A56">
        <w:rPr>
          <w:rFonts w:asciiTheme="majorHAnsi" w:eastAsia="Times New Roman" w:hAnsiTheme="majorHAnsi" w:cstheme="majorHAnsi"/>
          <w:bCs/>
          <w:iCs/>
          <w:sz w:val="24"/>
          <w:szCs w:val="24"/>
          <w:lang w:val="ro-RO"/>
        </w:rPr>
        <w:t>,3 mii</w:t>
      </w:r>
      <w:r w:rsidRPr="00F64A56">
        <w:rPr>
          <w:rFonts w:asciiTheme="majorHAnsi" w:eastAsia="Times New Roman" w:hAnsiTheme="majorHAnsi" w:cstheme="majorHAnsi"/>
          <w:bCs/>
          <w:iCs/>
          <w:sz w:val="24"/>
          <w:szCs w:val="24"/>
          <w:lang w:val="ro-RO"/>
        </w:rPr>
        <w:t xml:space="preserve"> lei</w:t>
      </w:r>
      <w:r w:rsidRPr="00F64A56">
        <w:rPr>
          <w:rFonts w:asciiTheme="majorHAnsi" w:eastAsia="Times New Roman" w:hAnsiTheme="majorHAnsi" w:cstheme="majorHAnsi"/>
          <w:bCs/>
          <w:iCs/>
          <w:sz w:val="24"/>
          <w:szCs w:val="24"/>
          <w:vertAlign w:val="superscript"/>
          <w:lang w:val="ro-RO"/>
        </w:rPr>
        <w:footnoteReference w:id="21"/>
      </w:r>
      <w:r w:rsidR="00AA6246">
        <w:rPr>
          <w:rFonts w:asciiTheme="majorHAnsi" w:eastAsia="Times New Roman" w:hAnsiTheme="majorHAnsi" w:cstheme="majorHAnsi"/>
          <w:bCs/>
          <w:iCs/>
          <w:sz w:val="24"/>
          <w:szCs w:val="24"/>
          <w:lang w:val="ro-RO"/>
        </w:rPr>
        <w:t>.</w:t>
      </w:r>
    </w:p>
    <w:p w:rsidR="00AA35B7" w:rsidRPr="00F64A56" w:rsidRDefault="00AA35B7" w:rsidP="00AA35B7">
      <w:pPr>
        <w:widowControl w:val="0"/>
        <w:numPr>
          <w:ilvl w:val="1"/>
          <w:numId w:val="20"/>
        </w:numPr>
        <w:shd w:val="clear" w:color="auto" w:fill="FFFFFF"/>
        <w:tabs>
          <w:tab w:val="left" w:pos="0"/>
          <w:tab w:val="left" w:pos="1134"/>
        </w:tabs>
        <w:spacing w:after="0" w:line="276" w:lineRule="auto"/>
        <w:ind w:left="0" w:firstLine="709"/>
        <w:jc w:val="both"/>
        <w:rPr>
          <w:rFonts w:asciiTheme="majorHAnsi" w:eastAsia="Times New Roman" w:hAnsiTheme="majorHAnsi" w:cstheme="majorHAnsi"/>
          <w:sz w:val="24"/>
          <w:szCs w:val="24"/>
          <w:lang w:val="ro-MD"/>
        </w:rPr>
      </w:pPr>
      <w:r w:rsidRPr="00F64A56">
        <w:rPr>
          <w:rFonts w:asciiTheme="majorHAnsi" w:eastAsia="Times New Roman" w:hAnsiTheme="majorHAnsi" w:cstheme="majorHAnsi"/>
          <w:sz w:val="24"/>
          <w:szCs w:val="24"/>
          <w:lang w:val="ro-RO"/>
        </w:rPr>
        <w:t>Aplicarea neuniformă a prevederilor normative</w:t>
      </w:r>
      <w:r w:rsidRPr="00F64A56">
        <w:rPr>
          <w:rFonts w:asciiTheme="majorHAnsi" w:eastAsia="Times New Roman" w:hAnsiTheme="majorHAnsi" w:cstheme="majorHAnsi"/>
          <w:sz w:val="24"/>
          <w:szCs w:val="24"/>
          <w:vertAlign w:val="superscript"/>
          <w:lang w:val="ro-RO"/>
        </w:rPr>
        <w:footnoteReference w:id="22"/>
      </w:r>
      <w:r w:rsidRPr="00F64A56">
        <w:rPr>
          <w:rFonts w:asciiTheme="majorHAnsi" w:eastAsia="Times New Roman" w:hAnsiTheme="majorHAnsi" w:cstheme="majorHAnsi"/>
          <w:sz w:val="24"/>
          <w:szCs w:val="24"/>
          <w:lang w:val="ro-RO"/>
        </w:rPr>
        <w:t xml:space="preserve"> </w:t>
      </w:r>
      <w:r w:rsidRPr="00F64A56">
        <w:rPr>
          <w:rFonts w:asciiTheme="majorHAnsi" w:eastAsia="Times New Roman" w:hAnsiTheme="majorHAnsi" w:cstheme="majorHAnsi"/>
          <w:sz w:val="24"/>
          <w:szCs w:val="24"/>
          <w:lang w:val="ro-MD"/>
        </w:rPr>
        <w:t>de către unele persoane responsabile</w:t>
      </w:r>
      <w:r w:rsidRPr="00F64A56">
        <w:rPr>
          <w:rFonts w:asciiTheme="majorHAnsi" w:eastAsia="Times New Roman" w:hAnsiTheme="majorHAnsi" w:cstheme="majorHAnsi"/>
          <w:sz w:val="24"/>
          <w:szCs w:val="24"/>
          <w:lang w:val="ro-RO"/>
        </w:rPr>
        <w:t xml:space="preserve"> din cadrul direcțiilor autonome ale primăriei, a condiționat calcularea neautentică a valorii uzurii pentru activele materiale gestionate, ceea ce a determinat subevaluarea valorii uzurii pentru unele mijloace fixe raportat</w:t>
      </w:r>
      <w:r w:rsidR="00B36129">
        <w:rPr>
          <w:rFonts w:asciiTheme="majorHAnsi" w:eastAsia="Times New Roman" w:hAnsiTheme="majorHAnsi" w:cstheme="majorHAnsi"/>
          <w:sz w:val="24"/>
          <w:szCs w:val="24"/>
          <w:lang w:val="ro-RO"/>
        </w:rPr>
        <w:t>e</w:t>
      </w:r>
      <w:r w:rsidRPr="00F64A56">
        <w:rPr>
          <w:rFonts w:asciiTheme="majorHAnsi" w:eastAsia="Times New Roman" w:hAnsiTheme="majorHAnsi" w:cstheme="majorHAnsi"/>
          <w:sz w:val="24"/>
          <w:szCs w:val="24"/>
          <w:lang w:val="ro-RO"/>
        </w:rPr>
        <w:t xml:space="preserve"> la contul 391 „Uzura mijloacelor fixe” în sumă totală de circa</w:t>
      </w:r>
      <w:r w:rsidRPr="00F64A56">
        <w:rPr>
          <w:rFonts w:asciiTheme="majorHAnsi" w:eastAsia="Times New Roman" w:hAnsiTheme="majorHAnsi" w:cstheme="majorHAnsi"/>
          <w:sz w:val="24"/>
          <w:szCs w:val="24"/>
          <w:vertAlign w:val="superscript"/>
          <w:lang w:val="ro-RO"/>
        </w:rPr>
        <w:footnoteReference w:id="23"/>
      </w:r>
      <w:r w:rsidRPr="00F64A56">
        <w:rPr>
          <w:rFonts w:asciiTheme="majorHAnsi" w:eastAsia="Times New Roman" w:hAnsiTheme="majorHAnsi" w:cstheme="majorHAnsi"/>
          <w:sz w:val="24"/>
          <w:szCs w:val="24"/>
          <w:lang w:val="ro-RO"/>
        </w:rPr>
        <w:t xml:space="preserve"> </w:t>
      </w:r>
      <w:r w:rsidRPr="00F64A56">
        <w:rPr>
          <w:rFonts w:asciiTheme="majorHAnsi" w:eastAsia="Times New Roman" w:hAnsiTheme="majorHAnsi" w:cstheme="majorHAnsi"/>
          <w:b/>
          <w:sz w:val="24"/>
          <w:szCs w:val="24"/>
          <w:lang w:val="ro-RO"/>
        </w:rPr>
        <w:t>6</w:t>
      </w:r>
      <w:r w:rsidR="00B36129">
        <w:rPr>
          <w:rFonts w:asciiTheme="majorHAnsi" w:eastAsia="Times New Roman" w:hAnsiTheme="majorHAnsi" w:cstheme="majorHAnsi"/>
          <w:b/>
          <w:sz w:val="24"/>
          <w:szCs w:val="24"/>
          <w:lang w:val="ro-RO"/>
        </w:rPr>
        <w:t>.</w:t>
      </w:r>
      <w:r w:rsidRPr="00F64A56">
        <w:rPr>
          <w:rFonts w:asciiTheme="majorHAnsi" w:eastAsia="Times New Roman" w:hAnsiTheme="majorHAnsi" w:cstheme="majorHAnsi"/>
          <w:b/>
          <w:sz w:val="24"/>
          <w:szCs w:val="24"/>
          <w:lang w:val="ro-RO"/>
        </w:rPr>
        <w:t>445</w:t>
      </w:r>
      <w:r w:rsidR="0037077B" w:rsidRPr="00F64A56">
        <w:rPr>
          <w:rFonts w:asciiTheme="majorHAnsi" w:eastAsia="Times New Roman" w:hAnsiTheme="majorHAnsi" w:cstheme="majorHAnsi"/>
          <w:b/>
          <w:sz w:val="24"/>
          <w:szCs w:val="24"/>
          <w:lang w:val="ro-RO"/>
        </w:rPr>
        <w:t>,2 mii</w:t>
      </w:r>
      <w:r w:rsidRPr="00F64A56">
        <w:rPr>
          <w:rFonts w:asciiTheme="majorHAnsi" w:eastAsia="Times New Roman" w:hAnsiTheme="majorHAnsi" w:cstheme="majorHAnsi"/>
          <w:b/>
          <w:sz w:val="24"/>
          <w:szCs w:val="24"/>
          <w:lang w:val="ro-RO"/>
        </w:rPr>
        <w:t xml:space="preserve"> lei</w:t>
      </w:r>
      <w:r w:rsidRPr="00F64A56">
        <w:rPr>
          <w:rFonts w:asciiTheme="majorHAnsi" w:eastAsia="Times New Roman" w:hAnsiTheme="majorHAnsi" w:cstheme="majorHAnsi"/>
          <w:sz w:val="24"/>
          <w:szCs w:val="24"/>
          <w:vertAlign w:val="superscript"/>
          <w:lang w:val="ro-RO"/>
        </w:rPr>
        <w:footnoteReference w:id="24"/>
      </w:r>
      <w:r w:rsidRPr="00F64A56">
        <w:rPr>
          <w:rFonts w:asciiTheme="majorHAnsi" w:eastAsia="Times New Roman" w:hAnsiTheme="majorHAnsi" w:cstheme="majorHAnsi"/>
          <w:sz w:val="24"/>
          <w:szCs w:val="24"/>
          <w:lang w:val="ro-RO"/>
        </w:rPr>
        <w:t xml:space="preserve">, totodată, cu suma dată fiind diminuată valoarea cheltuielilor la </w:t>
      </w:r>
      <w:r w:rsidRPr="00F64A56">
        <w:rPr>
          <w:rFonts w:asciiTheme="majorHAnsi" w:eastAsia="Times New Roman" w:hAnsiTheme="majorHAnsi" w:cstheme="majorHAnsi"/>
          <w:bCs/>
          <w:sz w:val="24"/>
          <w:szCs w:val="24"/>
          <w:lang w:val="ro-RO"/>
        </w:rPr>
        <w:t>contul 231 „Cheltuieli privind uzura mijloacelor fixe”</w:t>
      </w:r>
      <w:r w:rsidR="00B36129">
        <w:rPr>
          <w:rFonts w:asciiTheme="majorHAnsi" w:eastAsia="Times New Roman" w:hAnsiTheme="majorHAnsi" w:cstheme="majorHAnsi"/>
          <w:bCs/>
          <w:sz w:val="24"/>
          <w:szCs w:val="24"/>
          <w:lang w:val="ro-RO"/>
        </w:rPr>
        <w:t>.</w:t>
      </w:r>
    </w:p>
    <w:p w:rsidR="007E5D94" w:rsidRPr="00F64A56" w:rsidRDefault="00B36129" w:rsidP="006A3792">
      <w:pPr>
        <w:widowControl w:val="0"/>
        <w:numPr>
          <w:ilvl w:val="1"/>
          <w:numId w:val="20"/>
        </w:numPr>
        <w:shd w:val="clear" w:color="auto" w:fill="FFFFFF"/>
        <w:tabs>
          <w:tab w:val="left" w:pos="0"/>
          <w:tab w:val="left" w:pos="1134"/>
        </w:tabs>
        <w:spacing w:after="0" w:line="276" w:lineRule="auto"/>
        <w:ind w:left="0" w:firstLine="709"/>
        <w:jc w:val="both"/>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Ca u</w:t>
      </w:r>
      <w:r w:rsidR="00AA35B7" w:rsidRPr="00F64A56">
        <w:rPr>
          <w:rFonts w:asciiTheme="majorHAnsi" w:eastAsia="Times New Roman" w:hAnsiTheme="majorHAnsi" w:cstheme="majorHAnsi"/>
          <w:sz w:val="24"/>
          <w:szCs w:val="24"/>
          <w:lang w:val="ro-RO"/>
        </w:rPr>
        <w:t>rmare a interpret</w:t>
      </w:r>
      <w:r>
        <w:rPr>
          <w:rFonts w:asciiTheme="majorHAnsi" w:eastAsia="Times New Roman" w:hAnsiTheme="majorHAnsi" w:cstheme="majorHAnsi"/>
          <w:sz w:val="24"/>
          <w:szCs w:val="24"/>
          <w:lang w:val="ro-RO"/>
        </w:rPr>
        <w:t>ării</w:t>
      </w:r>
      <w:r w:rsidR="00AA35B7" w:rsidRPr="00F64A56">
        <w:rPr>
          <w:rFonts w:asciiTheme="majorHAnsi" w:eastAsia="Times New Roman" w:hAnsiTheme="majorHAnsi" w:cstheme="majorHAnsi"/>
          <w:sz w:val="24"/>
          <w:szCs w:val="24"/>
          <w:lang w:val="ro-RO"/>
        </w:rPr>
        <w:t xml:space="preserve"> eronat</w:t>
      </w:r>
      <w:r>
        <w:rPr>
          <w:rFonts w:asciiTheme="majorHAnsi" w:eastAsia="Times New Roman" w:hAnsiTheme="majorHAnsi" w:cstheme="majorHAnsi"/>
          <w:sz w:val="24"/>
          <w:szCs w:val="24"/>
          <w:lang w:val="ro-RO"/>
        </w:rPr>
        <w:t>e</w:t>
      </w:r>
      <w:r w:rsidR="00AA35B7" w:rsidRPr="00F64A56">
        <w:rPr>
          <w:rFonts w:asciiTheme="majorHAnsi" w:eastAsia="Times New Roman" w:hAnsiTheme="majorHAnsi" w:cstheme="majorHAnsi"/>
          <w:sz w:val="24"/>
          <w:szCs w:val="24"/>
          <w:lang w:val="ro-RO"/>
        </w:rPr>
        <w:t xml:space="preserve"> a prevederilor normative cu privire la subsidii</w:t>
      </w:r>
      <w:r w:rsidR="00AA35B7" w:rsidRPr="00F64A56">
        <w:rPr>
          <w:rFonts w:asciiTheme="majorHAnsi" w:eastAsia="Times New Roman" w:hAnsiTheme="majorHAnsi" w:cstheme="majorHAnsi"/>
          <w:sz w:val="24"/>
          <w:szCs w:val="24"/>
          <w:vertAlign w:val="superscript"/>
          <w:lang w:val="ro-RO"/>
        </w:rPr>
        <w:footnoteReference w:id="25"/>
      </w:r>
      <w:r w:rsidR="00AA35B7" w:rsidRPr="00F64A56">
        <w:rPr>
          <w:rFonts w:asciiTheme="majorHAnsi" w:eastAsia="Times New Roman" w:hAnsiTheme="majorHAnsi" w:cstheme="majorHAnsi"/>
          <w:sz w:val="24"/>
          <w:szCs w:val="24"/>
          <w:lang w:val="ro-RO"/>
        </w:rPr>
        <w:t xml:space="preserve">, APL mun. Bălți a executat cheltuieli din bugetul local care </w:t>
      </w:r>
      <w:r w:rsidR="00AA35B7" w:rsidRPr="00F64A56">
        <w:rPr>
          <w:rFonts w:asciiTheme="majorHAnsi" w:eastAsia="Times New Roman" w:hAnsiTheme="majorHAnsi" w:cstheme="majorHAnsi"/>
          <w:bCs/>
          <w:iCs/>
          <w:sz w:val="24"/>
          <w:szCs w:val="24"/>
          <w:lang w:val="ro-RO"/>
        </w:rPr>
        <w:t xml:space="preserve">nu reprezintă plăți nerambursabile achitate </w:t>
      </w:r>
      <w:r w:rsidR="00AA35B7" w:rsidRPr="00F64A56">
        <w:rPr>
          <w:rFonts w:asciiTheme="majorHAnsi" w:eastAsia="Times New Roman" w:hAnsiTheme="majorHAnsi" w:cstheme="majorHAnsi"/>
          <w:bCs/>
          <w:iCs/>
          <w:sz w:val="24"/>
          <w:szCs w:val="24"/>
          <w:lang w:val="ro-RO"/>
        </w:rPr>
        <w:lastRenderedPageBreak/>
        <w:t>întreprinderilor municipale producătoare sau prestatoare de servicii, cu scopul de a influența procesul de produc</w:t>
      </w:r>
      <w:r>
        <w:rPr>
          <w:rFonts w:asciiTheme="majorHAnsi" w:eastAsia="Times New Roman" w:hAnsiTheme="majorHAnsi" w:cstheme="majorHAnsi"/>
          <w:bCs/>
          <w:iCs/>
          <w:sz w:val="24"/>
          <w:szCs w:val="24"/>
          <w:lang w:val="ro-RO"/>
        </w:rPr>
        <w:t>ți</w:t>
      </w:r>
      <w:r w:rsidR="00AA35B7" w:rsidRPr="00F64A56">
        <w:rPr>
          <w:rFonts w:asciiTheme="majorHAnsi" w:eastAsia="Times New Roman" w:hAnsiTheme="majorHAnsi" w:cstheme="majorHAnsi"/>
          <w:bCs/>
          <w:iCs/>
          <w:sz w:val="24"/>
          <w:szCs w:val="24"/>
          <w:lang w:val="ro-RO"/>
        </w:rPr>
        <w:t>e sau prețurile de livrare, fapt ce a determinat majorarea mijloacelor circulante ale întreprinderilor fondate și raportarea incorectă a cheltuielilor cu titlu de aport financiar acordat întreprinderilor municipale</w:t>
      </w:r>
      <w:r w:rsidR="00AA35B7" w:rsidRPr="00F64A56">
        <w:rPr>
          <w:rFonts w:asciiTheme="majorHAnsi" w:eastAsia="Times New Roman" w:hAnsiTheme="majorHAnsi" w:cstheme="majorHAnsi"/>
          <w:bCs/>
          <w:iCs/>
          <w:sz w:val="24"/>
          <w:szCs w:val="24"/>
          <w:vertAlign w:val="superscript"/>
          <w:lang w:val="ro-RO"/>
        </w:rPr>
        <w:footnoteReference w:id="26"/>
      </w:r>
      <w:r w:rsidR="00AA35B7" w:rsidRPr="00F64A56">
        <w:rPr>
          <w:rFonts w:asciiTheme="majorHAnsi" w:eastAsia="Times New Roman" w:hAnsiTheme="majorHAnsi" w:cstheme="majorHAnsi"/>
          <w:bCs/>
          <w:iCs/>
          <w:sz w:val="24"/>
          <w:szCs w:val="24"/>
          <w:lang w:val="ro-RO"/>
        </w:rPr>
        <w:t xml:space="preserve"> la contul </w:t>
      </w:r>
      <w:r w:rsidR="00AA35B7" w:rsidRPr="00F64A56">
        <w:rPr>
          <w:rFonts w:asciiTheme="majorHAnsi" w:eastAsia="Times New Roman" w:hAnsiTheme="majorHAnsi" w:cstheme="majorHAnsi"/>
          <w:bCs/>
          <w:iCs/>
          <w:sz w:val="24"/>
          <w:szCs w:val="24"/>
          <w:lang w:val="ro-MD"/>
        </w:rPr>
        <w:t xml:space="preserve">251 „Subvenții acordate întreprinderilor de stat și municipale” în sumă de </w:t>
      </w:r>
      <w:r w:rsidR="00AA35B7" w:rsidRPr="00F64A56">
        <w:rPr>
          <w:rFonts w:asciiTheme="majorHAnsi" w:eastAsia="Times New Roman" w:hAnsiTheme="majorHAnsi" w:cstheme="majorHAnsi"/>
          <w:b/>
          <w:bCs/>
          <w:iCs/>
          <w:sz w:val="24"/>
          <w:szCs w:val="24"/>
          <w:lang w:val="ro-RO"/>
        </w:rPr>
        <w:t>3</w:t>
      </w:r>
      <w:r>
        <w:rPr>
          <w:rFonts w:asciiTheme="majorHAnsi" w:eastAsia="Times New Roman" w:hAnsiTheme="majorHAnsi" w:cstheme="majorHAnsi"/>
          <w:b/>
          <w:bCs/>
          <w:iCs/>
          <w:sz w:val="24"/>
          <w:szCs w:val="24"/>
          <w:lang w:val="ro-RO"/>
        </w:rPr>
        <w:t>.</w:t>
      </w:r>
      <w:r w:rsidR="00AA35B7" w:rsidRPr="00F64A56">
        <w:rPr>
          <w:rFonts w:asciiTheme="majorHAnsi" w:eastAsia="Times New Roman" w:hAnsiTheme="majorHAnsi" w:cstheme="majorHAnsi"/>
          <w:b/>
          <w:bCs/>
          <w:iCs/>
          <w:sz w:val="24"/>
          <w:szCs w:val="24"/>
          <w:lang w:val="ro-RO"/>
        </w:rPr>
        <w:t>440</w:t>
      </w:r>
      <w:r w:rsidR="000714BA" w:rsidRPr="00F64A56">
        <w:rPr>
          <w:rFonts w:asciiTheme="majorHAnsi" w:eastAsia="Times New Roman" w:hAnsiTheme="majorHAnsi" w:cstheme="majorHAnsi"/>
          <w:b/>
          <w:bCs/>
          <w:iCs/>
          <w:sz w:val="24"/>
          <w:szCs w:val="24"/>
          <w:lang w:val="ro-RO"/>
        </w:rPr>
        <w:t>,2 mii</w:t>
      </w:r>
      <w:r w:rsidR="00AA35B7" w:rsidRPr="00F64A56">
        <w:rPr>
          <w:rFonts w:asciiTheme="majorHAnsi" w:eastAsia="Times New Roman" w:hAnsiTheme="majorHAnsi" w:cstheme="majorHAnsi"/>
          <w:b/>
          <w:bCs/>
          <w:iCs/>
          <w:sz w:val="24"/>
          <w:szCs w:val="24"/>
          <w:lang w:val="ro-RO"/>
        </w:rPr>
        <w:t xml:space="preserve"> lei</w:t>
      </w:r>
      <w:r w:rsidR="00AA35B7" w:rsidRPr="00F64A56">
        <w:rPr>
          <w:rFonts w:asciiTheme="majorHAnsi" w:eastAsia="Times New Roman" w:hAnsiTheme="majorHAnsi" w:cstheme="majorHAnsi"/>
          <w:bCs/>
          <w:iCs/>
          <w:sz w:val="24"/>
          <w:szCs w:val="24"/>
          <w:lang w:val="ro-RO"/>
        </w:rPr>
        <w:t xml:space="preserve"> și subevaluarea valorii contului 415 cu aceeași sumă</w:t>
      </w:r>
      <w:r w:rsidR="00AA35B7" w:rsidRPr="00F64A56">
        <w:rPr>
          <w:rFonts w:asciiTheme="majorHAnsi" w:eastAsia="Times New Roman" w:hAnsiTheme="majorHAnsi" w:cstheme="majorHAnsi"/>
          <w:bCs/>
          <w:iCs/>
          <w:sz w:val="24"/>
          <w:szCs w:val="24"/>
          <w:vertAlign w:val="superscript"/>
          <w:lang w:val="ro-RO"/>
        </w:rPr>
        <w:footnoteReference w:id="27"/>
      </w:r>
      <w:r w:rsidR="004C2976" w:rsidRPr="00F64A56">
        <w:rPr>
          <w:rFonts w:asciiTheme="majorHAnsi" w:eastAsia="Times New Roman" w:hAnsiTheme="majorHAnsi" w:cstheme="majorHAnsi"/>
          <w:bCs/>
          <w:iCs/>
          <w:sz w:val="24"/>
          <w:szCs w:val="24"/>
          <w:lang w:val="ro-RO"/>
        </w:rPr>
        <w:t>.</w:t>
      </w:r>
    </w:p>
    <w:p w:rsidR="004C3C93" w:rsidRPr="00F64A56" w:rsidRDefault="00D13DB5">
      <w:pPr>
        <w:tabs>
          <w:tab w:val="left" w:pos="0"/>
          <w:tab w:val="left" w:pos="284"/>
        </w:tabs>
        <w:spacing w:before="120" w:after="0" w:line="276" w:lineRule="auto"/>
        <w:jc w:val="center"/>
        <w:outlineLvl w:val="0"/>
        <w:rPr>
          <w:rFonts w:asciiTheme="majorHAnsi" w:eastAsia="Times New Roman" w:hAnsiTheme="majorHAnsi" w:cstheme="majorHAnsi"/>
          <w:b/>
          <w:sz w:val="28"/>
          <w:szCs w:val="28"/>
          <w:lang w:val="ro-RO"/>
        </w:rPr>
      </w:pPr>
      <w:bookmarkStart w:id="3" w:name="_Toc529533667"/>
      <w:r w:rsidRPr="00F64A56">
        <w:rPr>
          <w:rFonts w:asciiTheme="majorHAnsi" w:eastAsia="Times New Roman" w:hAnsiTheme="majorHAnsi" w:cstheme="majorHAnsi"/>
          <w:b/>
          <w:sz w:val="28"/>
          <w:szCs w:val="28"/>
          <w:lang w:val="ro-RO"/>
        </w:rPr>
        <w:t>III.</w:t>
      </w:r>
      <w:r w:rsidR="00C67CC1" w:rsidRPr="00F64A56">
        <w:rPr>
          <w:rFonts w:asciiTheme="majorHAnsi" w:eastAsia="Times New Roman" w:hAnsiTheme="majorHAnsi" w:cstheme="majorHAnsi"/>
          <w:b/>
          <w:sz w:val="28"/>
          <w:szCs w:val="28"/>
          <w:lang w:val="ro-RO"/>
        </w:rPr>
        <w:t xml:space="preserve"> </w:t>
      </w:r>
      <w:r w:rsidR="00284145" w:rsidRPr="00F64A56">
        <w:rPr>
          <w:rFonts w:asciiTheme="majorHAnsi" w:eastAsia="Times New Roman" w:hAnsiTheme="majorHAnsi" w:cstheme="majorHAnsi"/>
          <w:b/>
          <w:sz w:val="28"/>
          <w:szCs w:val="28"/>
          <w:lang w:val="ro-RO"/>
        </w:rPr>
        <w:t>PARAGRAF DE EVIDENȚIERE A UNOR ASPECTE</w:t>
      </w:r>
    </w:p>
    <w:p w:rsidR="00284145" w:rsidRPr="00F64A56" w:rsidRDefault="0052679E">
      <w:pPr>
        <w:tabs>
          <w:tab w:val="left" w:pos="0"/>
          <w:tab w:val="left" w:pos="709"/>
        </w:tabs>
        <w:spacing w:after="0" w:line="276" w:lineRule="auto"/>
        <w:ind w:firstLine="709"/>
        <w:jc w:val="both"/>
        <w:rPr>
          <w:rFonts w:ascii="Calibri Light" w:eastAsia="Calibri" w:hAnsi="Calibri Light" w:cs="Calibri Light"/>
          <w:sz w:val="24"/>
          <w:szCs w:val="24"/>
          <w:lang w:val="ro-MD"/>
        </w:rPr>
      </w:pPr>
      <w:r w:rsidRPr="00F64A56">
        <w:rPr>
          <w:rFonts w:ascii="Calibri Light" w:eastAsia="Calibri" w:hAnsi="Calibri Light" w:cs="Calibri Light"/>
          <w:sz w:val="24"/>
          <w:szCs w:val="24"/>
          <w:lang w:val="ro-MD"/>
        </w:rPr>
        <w:t>În conte</w:t>
      </w:r>
      <w:r w:rsidR="00F37E90" w:rsidRPr="00F64A56">
        <w:rPr>
          <w:rFonts w:ascii="Calibri Light" w:eastAsia="Calibri" w:hAnsi="Calibri Light" w:cs="Calibri Light"/>
          <w:sz w:val="24"/>
          <w:szCs w:val="24"/>
          <w:lang w:val="ro-MD"/>
        </w:rPr>
        <w:t>x</w:t>
      </w:r>
      <w:r w:rsidRPr="00F64A56">
        <w:rPr>
          <w:rFonts w:ascii="Calibri Light" w:eastAsia="Calibri" w:hAnsi="Calibri Light" w:cs="Calibri Light"/>
          <w:sz w:val="24"/>
          <w:szCs w:val="24"/>
          <w:lang w:val="ro-MD"/>
        </w:rPr>
        <w:t xml:space="preserve">tul denaturărilor evidențiate în </w:t>
      </w:r>
      <w:r w:rsidR="00514CA0" w:rsidRPr="00F64A56">
        <w:rPr>
          <w:rFonts w:ascii="Calibri Light" w:eastAsia="Calibri" w:hAnsi="Calibri Light" w:cs="Calibri Light"/>
          <w:sz w:val="24"/>
          <w:szCs w:val="24"/>
          <w:lang w:val="ro-MD"/>
        </w:rPr>
        <w:t xml:space="preserve">secțiunea </w:t>
      </w:r>
      <w:r w:rsidRPr="00F64A56">
        <w:rPr>
          <w:rFonts w:ascii="Calibri Light" w:eastAsia="Calibri" w:hAnsi="Calibri Light" w:cs="Calibri Light"/>
          <w:i/>
          <w:sz w:val="24"/>
          <w:szCs w:val="24"/>
          <w:lang w:val="ro-MD"/>
        </w:rPr>
        <w:t>Baza pentru opini</w:t>
      </w:r>
      <w:r w:rsidR="00123E1B" w:rsidRPr="00F64A56">
        <w:rPr>
          <w:rFonts w:ascii="Calibri Light" w:eastAsia="Calibri" w:hAnsi="Calibri Light" w:cs="Calibri Light"/>
          <w:i/>
          <w:sz w:val="24"/>
          <w:szCs w:val="24"/>
          <w:lang w:val="ro-MD"/>
        </w:rPr>
        <w:t>a</w:t>
      </w:r>
      <w:r w:rsidRPr="00F64A56">
        <w:rPr>
          <w:rFonts w:ascii="Calibri Light" w:eastAsia="Calibri" w:hAnsi="Calibri Light" w:cs="Calibri Light"/>
          <w:i/>
          <w:sz w:val="24"/>
          <w:szCs w:val="24"/>
          <w:lang w:val="ro-MD"/>
        </w:rPr>
        <w:t xml:space="preserve"> </w:t>
      </w:r>
      <w:r w:rsidR="004F6882" w:rsidRPr="00F64A56">
        <w:rPr>
          <w:rFonts w:ascii="Calibri Light" w:eastAsia="Calibri" w:hAnsi="Calibri Light" w:cs="Calibri Light"/>
          <w:i/>
          <w:sz w:val="24"/>
          <w:szCs w:val="24"/>
          <w:lang w:val="ro-MD"/>
        </w:rPr>
        <w:t>cu rezerve</w:t>
      </w:r>
      <w:r w:rsidR="00F37E90" w:rsidRPr="00F64A56">
        <w:rPr>
          <w:rFonts w:ascii="Calibri Light" w:eastAsia="Calibri" w:hAnsi="Calibri Light" w:cs="Calibri Light"/>
          <w:sz w:val="24"/>
          <w:szCs w:val="24"/>
          <w:lang w:val="ro-MD"/>
        </w:rPr>
        <w:t>, ț</w:t>
      </w:r>
      <w:r w:rsidRPr="00F64A56">
        <w:rPr>
          <w:rFonts w:ascii="Calibri Light" w:eastAsia="Calibri" w:hAnsi="Calibri Light" w:cs="Calibri Light"/>
          <w:sz w:val="24"/>
          <w:szCs w:val="24"/>
          <w:lang w:val="ro-MD"/>
        </w:rPr>
        <w:t xml:space="preserve">inem să </w:t>
      </w:r>
      <w:r w:rsidR="00123E1B" w:rsidRPr="00F64A56">
        <w:rPr>
          <w:rFonts w:ascii="Calibri Light" w:eastAsia="Calibri" w:hAnsi="Calibri Light" w:cs="Calibri Light"/>
          <w:sz w:val="24"/>
          <w:szCs w:val="24"/>
          <w:lang w:val="ro-MD"/>
        </w:rPr>
        <w:t xml:space="preserve">atragem </w:t>
      </w:r>
      <w:r w:rsidRPr="00F64A56">
        <w:rPr>
          <w:rFonts w:ascii="Calibri Light" w:eastAsia="Calibri" w:hAnsi="Calibri Light" w:cs="Calibri Light"/>
          <w:sz w:val="24"/>
          <w:szCs w:val="24"/>
          <w:lang w:val="ro-MD"/>
        </w:rPr>
        <w:t>atenți</w:t>
      </w:r>
      <w:r w:rsidR="00123E1B" w:rsidRPr="00F64A56">
        <w:rPr>
          <w:rFonts w:ascii="Calibri Light" w:eastAsia="Calibri" w:hAnsi="Calibri Light" w:cs="Calibri Light"/>
          <w:sz w:val="24"/>
          <w:szCs w:val="24"/>
          <w:lang w:val="ro-MD"/>
        </w:rPr>
        <w:t>a</w:t>
      </w:r>
      <w:r w:rsidRPr="00F64A56">
        <w:rPr>
          <w:rFonts w:ascii="Calibri Light" w:eastAsia="Calibri" w:hAnsi="Calibri Light" w:cs="Calibri Light"/>
          <w:sz w:val="24"/>
          <w:szCs w:val="24"/>
          <w:lang w:val="ro-MD"/>
        </w:rPr>
        <w:t xml:space="preserve"> asupra</w:t>
      </w:r>
      <w:r w:rsidR="00F37E90" w:rsidRPr="00F64A56">
        <w:rPr>
          <w:rFonts w:ascii="Calibri Light" w:eastAsia="Calibri" w:hAnsi="Calibri Light" w:cs="Calibri Light"/>
          <w:sz w:val="24"/>
          <w:szCs w:val="24"/>
          <w:lang w:val="ro-MD"/>
        </w:rPr>
        <w:t xml:space="preserve"> următoarelor aspecte </w:t>
      </w:r>
      <w:r w:rsidR="0041608A" w:rsidRPr="00F64A56">
        <w:rPr>
          <w:rFonts w:ascii="Calibri Light" w:eastAsia="Calibri" w:hAnsi="Calibri Light" w:cs="Calibri Light"/>
          <w:sz w:val="24"/>
          <w:szCs w:val="24"/>
          <w:lang w:val="ro-MD"/>
        </w:rPr>
        <w:t xml:space="preserve">care au </w:t>
      </w:r>
      <w:r w:rsidR="00F37E90" w:rsidRPr="00F64A56">
        <w:rPr>
          <w:rFonts w:ascii="Calibri Light" w:eastAsia="Calibri" w:hAnsi="Calibri Light" w:cs="Calibri Light"/>
          <w:sz w:val="24"/>
          <w:szCs w:val="24"/>
          <w:lang w:val="ro-MD"/>
        </w:rPr>
        <w:t>tangen</w:t>
      </w:r>
      <w:r w:rsidR="0041608A" w:rsidRPr="00F64A56">
        <w:rPr>
          <w:rFonts w:ascii="Calibri Light" w:eastAsia="Calibri" w:hAnsi="Calibri Light" w:cs="Calibri Light"/>
          <w:sz w:val="24"/>
          <w:szCs w:val="24"/>
          <w:lang w:val="ro-MD"/>
        </w:rPr>
        <w:t>ță cu</w:t>
      </w:r>
      <w:r w:rsidR="00F37E90" w:rsidRPr="00F64A56">
        <w:rPr>
          <w:rFonts w:ascii="Calibri Light" w:eastAsia="Calibri" w:hAnsi="Calibri Light" w:cs="Calibri Light"/>
          <w:sz w:val="24"/>
          <w:szCs w:val="24"/>
          <w:lang w:val="ro-MD"/>
        </w:rPr>
        <w:t xml:space="preserve"> cel</w:t>
      </w:r>
      <w:r w:rsidR="0041608A" w:rsidRPr="00F64A56">
        <w:rPr>
          <w:rFonts w:ascii="Calibri Light" w:eastAsia="Calibri" w:hAnsi="Calibri Light" w:cs="Calibri Light"/>
          <w:sz w:val="24"/>
          <w:szCs w:val="24"/>
          <w:lang w:val="ro-MD"/>
        </w:rPr>
        <w:t>e</w:t>
      </w:r>
      <w:r w:rsidR="00F37E90" w:rsidRPr="00F64A56">
        <w:rPr>
          <w:rFonts w:ascii="Calibri Light" w:eastAsia="Calibri" w:hAnsi="Calibri Light" w:cs="Calibri Light"/>
          <w:sz w:val="24"/>
          <w:szCs w:val="24"/>
          <w:lang w:val="ro-MD"/>
        </w:rPr>
        <w:t xml:space="preserve"> constatate</w:t>
      </w:r>
      <w:r w:rsidR="00AB3C75">
        <w:rPr>
          <w:rFonts w:ascii="Calibri Light" w:eastAsia="Calibri" w:hAnsi="Calibri Light" w:cs="Calibri Light"/>
          <w:sz w:val="24"/>
          <w:szCs w:val="24"/>
          <w:lang w:val="ro-MD"/>
        </w:rPr>
        <w:t>.</w:t>
      </w:r>
    </w:p>
    <w:p w:rsidR="00C62B5B" w:rsidRPr="00F64A56" w:rsidRDefault="006E4025" w:rsidP="00361ECD">
      <w:pPr>
        <w:tabs>
          <w:tab w:val="left" w:pos="0"/>
        </w:tabs>
        <w:spacing w:after="0" w:line="276" w:lineRule="auto"/>
        <w:ind w:firstLine="709"/>
        <w:contextualSpacing/>
        <w:jc w:val="both"/>
        <w:rPr>
          <w:rFonts w:asciiTheme="majorHAnsi" w:eastAsia="Calibri" w:hAnsiTheme="majorHAnsi" w:cstheme="majorHAnsi"/>
          <w:sz w:val="24"/>
          <w:szCs w:val="24"/>
          <w:lang w:val="ro-RO"/>
        </w:rPr>
      </w:pPr>
      <w:r w:rsidRPr="00F64A56">
        <w:rPr>
          <w:rFonts w:asciiTheme="majorHAnsi" w:eastAsia="Calibri" w:hAnsiTheme="majorHAnsi" w:cstheme="majorHAnsi"/>
          <w:b/>
          <w:sz w:val="24"/>
          <w:szCs w:val="24"/>
          <w:lang w:val="ro-RO"/>
        </w:rPr>
        <w:t>3.1.</w:t>
      </w:r>
      <w:r w:rsidRPr="00F64A56">
        <w:rPr>
          <w:rFonts w:asciiTheme="majorHAnsi" w:eastAsia="Calibri" w:hAnsiTheme="majorHAnsi" w:cstheme="majorHAnsi"/>
          <w:sz w:val="24"/>
          <w:szCs w:val="24"/>
          <w:lang w:val="ro-RO"/>
        </w:rPr>
        <w:t xml:space="preserve"> </w:t>
      </w:r>
      <w:r w:rsidR="00C62B5B" w:rsidRPr="00F64A56">
        <w:rPr>
          <w:rFonts w:asciiTheme="majorHAnsi" w:eastAsia="Calibri" w:hAnsiTheme="majorHAnsi" w:cstheme="majorHAnsi"/>
          <w:sz w:val="24"/>
          <w:szCs w:val="24"/>
          <w:lang w:val="ro-RO"/>
        </w:rPr>
        <w:t xml:space="preserve">La moment nu există o reglementare privind executarea prevederilor art.11 alin.(2) din Legea </w:t>
      </w:r>
      <w:r w:rsidR="0051206A" w:rsidRPr="00F64A56">
        <w:rPr>
          <w:rFonts w:asciiTheme="majorHAnsi" w:eastAsia="Calibri" w:hAnsiTheme="majorHAnsi" w:cstheme="majorHAnsi"/>
          <w:sz w:val="24"/>
          <w:szCs w:val="24"/>
          <w:lang w:val="ro-RO"/>
        </w:rPr>
        <w:t xml:space="preserve">privind administrarea și deetatizarea proprietății publice </w:t>
      </w:r>
      <w:r w:rsidR="00C62B5B" w:rsidRPr="00F64A56">
        <w:rPr>
          <w:rFonts w:asciiTheme="majorHAnsi" w:eastAsia="Calibri" w:hAnsiTheme="majorHAnsi" w:cstheme="majorHAnsi"/>
          <w:sz w:val="24"/>
          <w:szCs w:val="24"/>
          <w:lang w:val="ro-RO"/>
        </w:rPr>
        <w:t>nr.121-XVI din 04.05.2007, prin care urmează a fi asigurată o evidență contabilă distinctă a bunurilor proprietate publică din domeniul public aflate în gestiunea entităților (instituțiilor publice și întreprinderilor) la autogestiune. Deși Planul de conturi contabile include contul 4153 „Investiții în părți legate și nelegate” pentru transmitere</w:t>
      </w:r>
      <w:r w:rsidR="00AD4C39">
        <w:rPr>
          <w:rFonts w:asciiTheme="majorHAnsi" w:eastAsia="Calibri" w:hAnsiTheme="majorHAnsi" w:cstheme="majorHAnsi"/>
          <w:sz w:val="24"/>
          <w:szCs w:val="24"/>
          <w:lang w:val="ro-RO"/>
        </w:rPr>
        <w:t>a</w:t>
      </w:r>
      <w:r w:rsidR="00C62B5B" w:rsidRPr="00F64A56">
        <w:rPr>
          <w:rFonts w:asciiTheme="majorHAnsi" w:eastAsia="Calibri" w:hAnsiTheme="majorHAnsi" w:cstheme="majorHAnsi"/>
          <w:sz w:val="24"/>
          <w:szCs w:val="24"/>
          <w:lang w:val="ro-RO"/>
        </w:rPr>
        <w:t xml:space="preserve"> în gestiune a bunurilor, acesta nu permite o evidență analitică/distinctă pentru fiecare bun transmis în gestiune, ceea ce, ulterior, practic va face imposibilă identificarea bunurilor proprietate din domeniul public gestionate de entitățile la autogestiune, inclusiv în cazul restituirii lor.</w:t>
      </w:r>
      <w:r w:rsidR="00470221" w:rsidRPr="00F64A56">
        <w:rPr>
          <w:rFonts w:asciiTheme="majorHAnsi" w:eastAsia="Calibri" w:hAnsiTheme="majorHAnsi" w:cstheme="majorHAnsi"/>
          <w:sz w:val="24"/>
          <w:szCs w:val="24"/>
          <w:lang w:val="ro-RO"/>
        </w:rPr>
        <w:t xml:space="preserve"> </w:t>
      </w:r>
    </w:p>
    <w:p w:rsidR="004F121B" w:rsidRPr="00F64A56" w:rsidRDefault="00C62B5B" w:rsidP="00361ECD">
      <w:pPr>
        <w:tabs>
          <w:tab w:val="left" w:pos="0"/>
        </w:tabs>
        <w:spacing w:after="0" w:line="276" w:lineRule="auto"/>
        <w:ind w:firstLine="709"/>
        <w:contextualSpacing/>
        <w:jc w:val="both"/>
        <w:rPr>
          <w:rFonts w:asciiTheme="majorHAnsi" w:eastAsia="Calibri" w:hAnsiTheme="majorHAnsi" w:cstheme="majorHAnsi"/>
          <w:sz w:val="24"/>
          <w:szCs w:val="24"/>
          <w:lang w:val="ro-RO"/>
        </w:rPr>
      </w:pPr>
      <w:r w:rsidRPr="00F64A56">
        <w:rPr>
          <w:rFonts w:asciiTheme="majorHAnsi" w:eastAsia="Calibri" w:hAnsiTheme="majorHAnsi" w:cstheme="majorHAnsi"/>
          <w:sz w:val="24"/>
          <w:szCs w:val="24"/>
          <w:lang w:val="ro-RO"/>
        </w:rPr>
        <w:t xml:space="preserve">Totodată, </w:t>
      </w:r>
      <w:r w:rsidR="001055CE" w:rsidRPr="00F64A56">
        <w:rPr>
          <w:rFonts w:asciiTheme="majorHAnsi" w:eastAsia="Calibri" w:hAnsiTheme="majorHAnsi" w:cstheme="majorHAnsi"/>
          <w:sz w:val="24"/>
          <w:szCs w:val="24"/>
          <w:lang w:val="ro-RO"/>
        </w:rPr>
        <w:t>UAT mun. Bălți, la înregistrarea și raportarea</w:t>
      </w:r>
      <w:r w:rsidR="00A31B1B" w:rsidRPr="00F64A56">
        <w:rPr>
          <w:rFonts w:asciiTheme="majorHAnsi" w:eastAsia="Calibri" w:hAnsiTheme="majorHAnsi" w:cstheme="majorHAnsi"/>
          <w:sz w:val="24"/>
          <w:szCs w:val="24"/>
          <w:lang w:val="ro-RO"/>
        </w:rPr>
        <w:t xml:space="preserve"> operațiunilor financiare la </w:t>
      </w:r>
      <w:r w:rsidR="001055CE" w:rsidRPr="00F64A56">
        <w:rPr>
          <w:rFonts w:asciiTheme="majorHAnsi" w:eastAsia="Calibri" w:hAnsiTheme="majorHAnsi" w:cstheme="majorHAnsi"/>
          <w:sz w:val="24"/>
          <w:szCs w:val="24"/>
          <w:lang w:val="ro-RO"/>
        </w:rPr>
        <w:t xml:space="preserve">contul de </w:t>
      </w:r>
      <w:r w:rsidR="0001411B" w:rsidRPr="00F64A56">
        <w:rPr>
          <w:rFonts w:asciiTheme="majorHAnsi" w:eastAsia="Calibri" w:hAnsiTheme="majorHAnsi" w:cstheme="majorHAnsi"/>
          <w:sz w:val="24"/>
          <w:szCs w:val="24"/>
          <w:lang w:val="ro-RO"/>
        </w:rPr>
        <w:t xml:space="preserve">evidență </w:t>
      </w:r>
      <w:r w:rsidR="00A31B1B" w:rsidRPr="00F64A56">
        <w:rPr>
          <w:rFonts w:asciiTheme="majorHAnsi" w:eastAsia="Calibri" w:hAnsiTheme="majorHAnsi" w:cstheme="majorHAnsi"/>
          <w:sz w:val="24"/>
          <w:szCs w:val="24"/>
          <w:lang w:val="ro-RO"/>
        </w:rPr>
        <w:t>4153</w:t>
      </w:r>
      <w:r w:rsidR="001055CE" w:rsidRPr="00F64A56">
        <w:rPr>
          <w:rFonts w:asciiTheme="majorHAnsi" w:eastAsia="Calibri" w:hAnsiTheme="majorHAnsi" w:cstheme="majorHAnsi"/>
          <w:sz w:val="24"/>
          <w:szCs w:val="24"/>
          <w:lang w:val="ro-RO"/>
        </w:rPr>
        <w:t xml:space="preserve"> „</w:t>
      </w:r>
      <w:r w:rsidR="0001411B" w:rsidRPr="00F64A56">
        <w:rPr>
          <w:rFonts w:asciiTheme="majorHAnsi" w:eastAsia="Calibri" w:hAnsiTheme="majorHAnsi" w:cstheme="majorHAnsi"/>
          <w:sz w:val="24"/>
          <w:szCs w:val="24"/>
          <w:lang w:val="ro-RO"/>
        </w:rPr>
        <w:t>Investiții</w:t>
      </w:r>
      <w:r w:rsidR="001055CE" w:rsidRPr="00F64A56">
        <w:rPr>
          <w:rFonts w:asciiTheme="majorHAnsi" w:eastAsia="Calibri" w:hAnsiTheme="majorHAnsi" w:cstheme="majorHAnsi"/>
          <w:sz w:val="24"/>
          <w:szCs w:val="24"/>
          <w:lang w:val="ro-RO"/>
        </w:rPr>
        <w:t xml:space="preserve"> în </w:t>
      </w:r>
      <w:r w:rsidR="0001411B" w:rsidRPr="00F64A56">
        <w:rPr>
          <w:rFonts w:asciiTheme="majorHAnsi" w:eastAsia="Calibri" w:hAnsiTheme="majorHAnsi" w:cstheme="majorHAnsi"/>
          <w:sz w:val="24"/>
          <w:szCs w:val="24"/>
          <w:lang w:val="ro-RO"/>
        </w:rPr>
        <w:t>p</w:t>
      </w:r>
      <w:r w:rsidR="00AD4C39">
        <w:rPr>
          <w:rFonts w:asciiTheme="majorHAnsi" w:eastAsia="Calibri" w:hAnsiTheme="majorHAnsi" w:cstheme="majorHAnsi"/>
          <w:sz w:val="24"/>
          <w:szCs w:val="24"/>
          <w:lang w:val="ro-RO"/>
        </w:rPr>
        <w:t>ă</w:t>
      </w:r>
      <w:r w:rsidR="0001411B" w:rsidRPr="00F64A56">
        <w:rPr>
          <w:rFonts w:asciiTheme="majorHAnsi" w:eastAsia="Calibri" w:hAnsiTheme="majorHAnsi" w:cstheme="majorHAnsi"/>
          <w:sz w:val="24"/>
          <w:szCs w:val="24"/>
          <w:lang w:val="ro-RO"/>
        </w:rPr>
        <w:t>rți</w:t>
      </w:r>
      <w:r w:rsidR="001055CE" w:rsidRPr="00F64A56">
        <w:rPr>
          <w:rFonts w:asciiTheme="majorHAnsi" w:eastAsia="Calibri" w:hAnsiTheme="majorHAnsi" w:cstheme="majorHAnsi"/>
          <w:sz w:val="24"/>
          <w:szCs w:val="24"/>
          <w:lang w:val="ro-RO"/>
        </w:rPr>
        <w:t xml:space="preserve"> legate </w:t>
      </w:r>
      <w:r w:rsidR="0001411B" w:rsidRPr="00F64A56">
        <w:rPr>
          <w:rFonts w:asciiTheme="majorHAnsi" w:eastAsia="Calibri" w:hAnsiTheme="majorHAnsi" w:cstheme="majorHAnsi"/>
          <w:sz w:val="24"/>
          <w:szCs w:val="24"/>
          <w:lang w:val="ro-RO"/>
        </w:rPr>
        <w:t>și</w:t>
      </w:r>
      <w:r w:rsidR="001055CE" w:rsidRPr="00F64A56">
        <w:rPr>
          <w:rFonts w:asciiTheme="majorHAnsi" w:eastAsia="Calibri" w:hAnsiTheme="majorHAnsi" w:cstheme="majorHAnsi"/>
          <w:sz w:val="24"/>
          <w:szCs w:val="24"/>
          <w:lang w:val="ro-RO"/>
        </w:rPr>
        <w:t xml:space="preserve"> nelegate”, care este destinat reflectării valorii bunurilor transmise în gestiune economică </w:t>
      </w:r>
      <w:r w:rsidR="00046156" w:rsidRPr="00F64A56">
        <w:rPr>
          <w:rFonts w:asciiTheme="majorHAnsi" w:eastAsia="Calibri" w:hAnsiTheme="majorHAnsi" w:cstheme="majorHAnsi"/>
          <w:sz w:val="24"/>
          <w:szCs w:val="24"/>
          <w:lang w:val="ro-RO"/>
        </w:rPr>
        <w:t>părților</w:t>
      </w:r>
      <w:r w:rsidR="001055CE" w:rsidRPr="00F64A56">
        <w:rPr>
          <w:rFonts w:asciiTheme="majorHAnsi" w:eastAsia="Calibri" w:hAnsiTheme="majorHAnsi" w:cstheme="majorHAnsi"/>
          <w:sz w:val="24"/>
          <w:szCs w:val="24"/>
          <w:lang w:val="ro-RO"/>
        </w:rPr>
        <w:t xml:space="preserve"> legate </w:t>
      </w:r>
      <w:r w:rsidR="0001411B" w:rsidRPr="00F64A56">
        <w:rPr>
          <w:rFonts w:asciiTheme="majorHAnsi" w:eastAsia="Calibri" w:hAnsiTheme="majorHAnsi" w:cstheme="majorHAnsi"/>
          <w:sz w:val="24"/>
          <w:szCs w:val="24"/>
          <w:lang w:val="ro-RO"/>
        </w:rPr>
        <w:t>și</w:t>
      </w:r>
      <w:r w:rsidR="001055CE" w:rsidRPr="00F64A56">
        <w:rPr>
          <w:rFonts w:asciiTheme="majorHAnsi" w:eastAsia="Calibri" w:hAnsiTheme="majorHAnsi" w:cstheme="majorHAnsi"/>
          <w:sz w:val="24"/>
          <w:szCs w:val="24"/>
          <w:lang w:val="ro-RO"/>
        </w:rPr>
        <w:t xml:space="preserve"> nelegate, nu asigură</w:t>
      </w:r>
      <w:r w:rsidR="0001411B" w:rsidRPr="00F64A56">
        <w:rPr>
          <w:rFonts w:asciiTheme="majorHAnsi" w:eastAsia="Calibri" w:hAnsiTheme="majorHAnsi" w:cstheme="majorHAnsi"/>
          <w:sz w:val="24"/>
          <w:szCs w:val="24"/>
          <w:lang w:val="ro-RO"/>
        </w:rPr>
        <w:t>,</w:t>
      </w:r>
      <w:r w:rsidR="001055CE" w:rsidRPr="00F64A56">
        <w:rPr>
          <w:rFonts w:asciiTheme="majorHAnsi" w:eastAsia="Calibri" w:hAnsiTheme="majorHAnsi" w:cstheme="majorHAnsi"/>
          <w:sz w:val="24"/>
          <w:szCs w:val="24"/>
          <w:lang w:val="ro-RO"/>
        </w:rPr>
        <w:t xml:space="preserve"> </w:t>
      </w:r>
      <w:r w:rsidR="0001411B" w:rsidRPr="00F64A56">
        <w:rPr>
          <w:rFonts w:asciiTheme="majorHAnsi" w:eastAsia="Calibri" w:hAnsiTheme="majorHAnsi" w:cstheme="majorHAnsi"/>
          <w:sz w:val="24"/>
          <w:szCs w:val="24"/>
          <w:lang w:val="ro-RO"/>
        </w:rPr>
        <w:t>conform prevederilor normative</w:t>
      </w:r>
      <w:r w:rsidR="0001411B" w:rsidRPr="00F64A56">
        <w:rPr>
          <w:rStyle w:val="FootnoteReference"/>
          <w:rFonts w:asciiTheme="majorHAnsi" w:eastAsia="Calibri" w:hAnsiTheme="majorHAnsi" w:cstheme="majorHAnsi"/>
          <w:sz w:val="24"/>
          <w:szCs w:val="24"/>
          <w:lang w:val="ro-RO"/>
        </w:rPr>
        <w:footnoteReference w:id="28"/>
      </w:r>
      <w:r w:rsidR="0001411B" w:rsidRPr="00F64A56">
        <w:rPr>
          <w:rFonts w:asciiTheme="majorHAnsi" w:eastAsia="Calibri" w:hAnsiTheme="majorHAnsi" w:cstheme="majorHAnsi"/>
          <w:sz w:val="24"/>
          <w:szCs w:val="24"/>
          <w:lang w:val="ro-RO"/>
        </w:rPr>
        <w:t>, ținerea evidenței</w:t>
      </w:r>
      <w:r w:rsidR="001055CE" w:rsidRPr="00F64A56">
        <w:rPr>
          <w:rFonts w:asciiTheme="majorHAnsi" w:eastAsia="Calibri" w:hAnsiTheme="majorHAnsi" w:cstheme="majorHAnsi"/>
          <w:sz w:val="24"/>
          <w:szCs w:val="24"/>
          <w:lang w:val="ro-RO"/>
        </w:rPr>
        <w:t xml:space="preserve"> </w:t>
      </w:r>
      <w:r w:rsidR="0001411B" w:rsidRPr="00F64A56">
        <w:rPr>
          <w:rFonts w:asciiTheme="majorHAnsi" w:eastAsia="Calibri" w:hAnsiTheme="majorHAnsi" w:cstheme="majorHAnsi"/>
          <w:sz w:val="24"/>
          <w:szCs w:val="24"/>
          <w:lang w:val="ro-RO"/>
        </w:rPr>
        <w:t>analitice</w:t>
      </w:r>
      <w:r w:rsidR="008536BF" w:rsidRPr="00F64A56">
        <w:rPr>
          <w:rStyle w:val="FootnoteReference"/>
          <w:rFonts w:asciiTheme="majorHAnsi" w:eastAsia="Calibri" w:hAnsiTheme="majorHAnsi" w:cstheme="majorHAnsi"/>
          <w:sz w:val="24"/>
          <w:szCs w:val="24"/>
          <w:lang w:val="ro-RO"/>
        </w:rPr>
        <w:footnoteReference w:id="29"/>
      </w:r>
      <w:r w:rsidR="0001411B" w:rsidRPr="00F64A56">
        <w:rPr>
          <w:rFonts w:asciiTheme="majorHAnsi" w:eastAsia="Calibri" w:hAnsiTheme="majorHAnsi" w:cstheme="majorHAnsi"/>
          <w:sz w:val="24"/>
          <w:szCs w:val="24"/>
          <w:lang w:val="ro-RO"/>
        </w:rPr>
        <w:t xml:space="preserve"> de către entităț</w:t>
      </w:r>
      <w:r w:rsidR="00D10AA7" w:rsidRPr="00F64A56">
        <w:rPr>
          <w:rFonts w:asciiTheme="majorHAnsi" w:eastAsia="Calibri" w:hAnsiTheme="majorHAnsi" w:cstheme="majorHAnsi"/>
          <w:sz w:val="24"/>
          <w:szCs w:val="24"/>
          <w:lang w:val="ro-RO"/>
        </w:rPr>
        <w:t>ile</w:t>
      </w:r>
      <w:r w:rsidR="001055CE" w:rsidRPr="00F64A56">
        <w:rPr>
          <w:rFonts w:asciiTheme="majorHAnsi" w:eastAsia="Calibri" w:hAnsiTheme="majorHAnsi" w:cstheme="majorHAnsi"/>
          <w:sz w:val="24"/>
          <w:szCs w:val="24"/>
          <w:lang w:val="ro-RO"/>
        </w:rPr>
        <w:t xml:space="preserve"> </w:t>
      </w:r>
      <w:r w:rsidR="0001411B" w:rsidRPr="00F64A56">
        <w:rPr>
          <w:rFonts w:asciiTheme="majorHAnsi" w:eastAsia="Calibri" w:hAnsiTheme="majorHAnsi" w:cstheme="majorHAnsi"/>
          <w:sz w:val="24"/>
          <w:szCs w:val="24"/>
          <w:lang w:val="ro-RO"/>
        </w:rPr>
        <w:t>raportoare în registrul f.nr.10</w:t>
      </w:r>
      <w:r w:rsidR="0001411B" w:rsidRPr="00F64A56">
        <w:rPr>
          <w:rStyle w:val="FootnoteReference"/>
          <w:rFonts w:asciiTheme="majorHAnsi" w:eastAsia="Calibri" w:hAnsiTheme="majorHAnsi" w:cstheme="majorHAnsi"/>
          <w:sz w:val="24"/>
          <w:szCs w:val="24"/>
          <w:lang w:val="ro-RO"/>
        </w:rPr>
        <w:footnoteReference w:id="30"/>
      </w:r>
      <w:r w:rsidR="0001411B" w:rsidRPr="00F64A56">
        <w:rPr>
          <w:rFonts w:asciiTheme="majorHAnsi" w:eastAsia="Calibri" w:hAnsiTheme="majorHAnsi" w:cstheme="majorHAnsi"/>
          <w:sz w:val="24"/>
          <w:szCs w:val="24"/>
          <w:lang w:val="ro-RO"/>
        </w:rPr>
        <w:t xml:space="preserve"> a investițiilor efectuate</w:t>
      </w:r>
      <w:r w:rsidR="00A404B3" w:rsidRPr="00F64A56">
        <w:rPr>
          <w:rFonts w:asciiTheme="majorHAnsi" w:eastAsia="Calibri" w:hAnsiTheme="majorHAnsi" w:cstheme="majorHAnsi"/>
          <w:sz w:val="24"/>
          <w:szCs w:val="24"/>
          <w:lang w:val="ro-RO"/>
        </w:rPr>
        <w:t>, după caz,</w:t>
      </w:r>
      <w:r w:rsidR="0001411B" w:rsidRPr="00F64A56">
        <w:rPr>
          <w:rFonts w:asciiTheme="majorHAnsi" w:eastAsia="Calibri" w:hAnsiTheme="majorHAnsi" w:cstheme="majorHAnsi"/>
          <w:sz w:val="24"/>
          <w:szCs w:val="24"/>
          <w:lang w:val="ro-RO"/>
        </w:rPr>
        <w:t xml:space="preserve"> </w:t>
      </w:r>
      <w:r w:rsidR="001055CE" w:rsidRPr="00F64A56">
        <w:rPr>
          <w:rFonts w:asciiTheme="majorHAnsi" w:eastAsia="Calibri" w:hAnsiTheme="majorHAnsi" w:cstheme="majorHAnsi"/>
          <w:sz w:val="24"/>
          <w:szCs w:val="24"/>
          <w:lang w:val="ro-RO"/>
        </w:rPr>
        <w:t xml:space="preserve">pe tipuri </w:t>
      </w:r>
      <w:r w:rsidR="0001411B" w:rsidRPr="00F64A56">
        <w:rPr>
          <w:rFonts w:asciiTheme="majorHAnsi" w:eastAsia="Calibri" w:hAnsiTheme="majorHAnsi" w:cstheme="majorHAnsi"/>
          <w:sz w:val="24"/>
          <w:szCs w:val="24"/>
          <w:lang w:val="ro-RO"/>
        </w:rPr>
        <w:t>și</w:t>
      </w:r>
      <w:r w:rsidR="001055CE" w:rsidRPr="00F64A56">
        <w:rPr>
          <w:rFonts w:asciiTheme="majorHAnsi" w:eastAsia="Calibri" w:hAnsiTheme="majorHAnsi" w:cstheme="majorHAnsi"/>
          <w:sz w:val="24"/>
          <w:szCs w:val="24"/>
          <w:lang w:val="ro-RO"/>
        </w:rPr>
        <w:t xml:space="preserve"> clase de </w:t>
      </w:r>
      <w:r w:rsidR="0001411B" w:rsidRPr="00F64A56">
        <w:rPr>
          <w:rFonts w:asciiTheme="majorHAnsi" w:eastAsia="Calibri" w:hAnsiTheme="majorHAnsi" w:cstheme="majorHAnsi"/>
          <w:sz w:val="24"/>
          <w:szCs w:val="24"/>
          <w:lang w:val="ro-RO"/>
        </w:rPr>
        <w:t>investiții</w:t>
      </w:r>
      <w:r w:rsidR="001055CE" w:rsidRPr="00F64A56">
        <w:rPr>
          <w:rFonts w:asciiTheme="majorHAnsi" w:eastAsia="Calibri" w:hAnsiTheme="majorHAnsi" w:cstheme="majorHAnsi"/>
          <w:sz w:val="24"/>
          <w:szCs w:val="24"/>
          <w:lang w:val="ro-RO"/>
        </w:rPr>
        <w:t xml:space="preserve">, pe </w:t>
      </w:r>
      <w:r w:rsidR="0001411B" w:rsidRPr="00F64A56">
        <w:rPr>
          <w:rFonts w:asciiTheme="majorHAnsi" w:eastAsia="Calibri" w:hAnsiTheme="majorHAnsi" w:cstheme="majorHAnsi"/>
          <w:sz w:val="24"/>
          <w:szCs w:val="24"/>
          <w:lang w:val="ro-RO"/>
        </w:rPr>
        <w:t>emitenți</w:t>
      </w:r>
      <w:r w:rsidR="001055CE" w:rsidRPr="00F64A56">
        <w:rPr>
          <w:rFonts w:asciiTheme="majorHAnsi" w:eastAsia="Calibri" w:hAnsiTheme="majorHAnsi" w:cstheme="majorHAnsi"/>
          <w:sz w:val="24"/>
          <w:szCs w:val="24"/>
          <w:lang w:val="ro-RO"/>
        </w:rPr>
        <w:t xml:space="preserve"> sau pe întreprinderi în care au fost investite mijl</w:t>
      </w:r>
      <w:r w:rsidR="0001411B" w:rsidRPr="00F64A56">
        <w:rPr>
          <w:rFonts w:asciiTheme="majorHAnsi" w:eastAsia="Calibri" w:hAnsiTheme="majorHAnsi" w:cstheme="majorHAnsi"/>
          <w:sz w:val="24"/>
          <w:szCs w:val="24"/>
          <w:lang w:val="ro-RO"/>
        </w:rPr>
        <w:t>oace, pe termenele de stingere.</w:t>
      </w:r>
      <w:r w:rsidR="00952DC2" w:rsidRPr="00F64A56">
        <w:rPr>
          <w:rFonts w:asciiTheme="majorHAnsi" w:eastAsia="Calibri" w:hAnsiTheme="majorHAnsi" w:cstheme="majorHAnsi"/>
          <w:sz w:val="24"/>
          <w:szCs w:val="24"/>
          <w:lang w:val="ro-RO"/>
        </w:rPr>
        <w:t xml:space="preserve"> </w:t>
      </w:r>
    </w:p>
    <w:p w:rsidR="00F01371" w:rsidRPr="00F64A56" w:rsidRDefault="001055CE" w:rsidP="00952DC2">
      <w:pPr>
        <w:tabs>
          <w:tab w:val="left" w:pos="0"/>
        </w:tabs>
        <w:spacing w:after="0" w:line="276" w:lineRule="auto"/>
        <w:ind w:firstLine="709"/>
        <w:contextualSpacing/>
        <w:jc w:val="both"/>
        <w:rPr>
          <w:rFonts w:asciiTheme="majorHAnsi" w:eastAsia="Calibri" w:hAnsiTheme="majorHAnsi" w:cstheme="majorHAnsi"/>
          <w:sz w:val="24"/>
          <w:szCs w:val="24"/>
        </w:rPr>
      </w:pPr>
      <w:r w:rsidRPr="00F64A56">
        <w:rPr>
          <w:rFonts w:asciiTheme="majorHAnsi" w:eastAsia="Calibri" w:hAnsiTheme="majorHAnsi" w:cstheme="majorHAnsi"/>
          <w:sz w:val="24"/>
          <w:szCs w:val="24"/>
          <w:lang w:val="ro-MD"/>
        </w:rPr>
        <w:t xml:space="preserve">Opinia </w:t>
      </w:r>
      <w:r w:rsidR="008E5B83" w:rsidRPr="00F64A56">
        <w:rPr>
          <w:rFonts w:asciiTheme="majorHAnsi" w:eastAsia="Calibri" w:hAnsiTheme="majorHAnsi" w:cstheme="majorHAnsi"/>
          <w:sz w:val="24"/>
          <w:szCs w:val="24"/>
          <w:lang w:val="ro-MD"/>
        </w:rPr>
        <w:t xml:space="preserve">de audit </w:t>
      </w:r>
      <w:r w:rsidRPr="00F64A56">
        <w:rPr>
          <w:rFonts w:asciiTheme="majorHAnsi" w:eastAsia="Calibri" w:hAnsiTheme="majorHAnsi" w:cstheme="majorHAnsi"/>
          <w:sz w:val="24"/>
          <w:szCs w:val="24"/>
          <w:lang w:val="ro-MD"/>
        </w:rPr>
        <w:t>nu este modificată din cauza acestor aspecte.</w:t>
      </w:r>
      <w:r w:rsidRPr="00F64A56">
        <w:rPr>
          <w:rFonts w:asciiTheme="majorHAnsi" w:eastAsia="Calibri" w:hAnsiTheme="majorHAnsi" w:cstheme="majorHAnsi"/>
          <w:sz w:val="24"/>
          <w:szCs w:val="24"/>
        </w:rPr>
        <w:t xml:space="preserve"> </w:t>
      </w:r>
    </w:p>
    <w:p w:rsidR="006A0180" w:rsidRPr="00F64A56" w:rsidRDefault="00D13DB5" w:rsidP="00A30795">
      <w:pPr>
        <w:keepNext/>
        <w:keepLines/>
        <w:tabs>
          <w:tab w:val="left" w:pos="0"/>
          <w:tab w:val="left" w:pos="426"/>
        </w:tabs>
        <w:spacing w:before="120" w:after="0" w:line="276" w:lineRule="auto"/>
        <w:jc w:val="center"/>
        <w:outlineLvl w:val="0"/>
        <w:rPr>
          <w:rFonts w:asciiTheme="majorHAnsi" w:eastAsia="Times New Roman" w:hAnsiTheme="majorHAnsi" w:cstheme="majorHAnsi"/>
          <w:b/>
          <w:sz w:val="28"/>
          <w:szCs w:val="28"/>
          <w:lang w:val="ro-RO"/>
        </w:rPr>
      </w:pPr>
      <w:r w:rsidRPr="00F64A56">
        <w:rPr>
          <w:rFonts w:asciiTheme="majorHAnsi" w:eastAsia="Times New Roman" w:hAnsiTheme="majorHAnsi" w:cstheme="majorHAnsi"/>
          <w:b/>
          <w:sz w:val="28"/>
          <w:szCs w:val="28"/>
          <w:lang w:val="ro-RO"/>
        </w:rPr>
        <w:t xml:space="preserve">IV. </w:t>
      </w:r>
      <w:r w:rsidR="000A275A" w:rsidRPr="00F64A56">
        <w:rPr>
          <w:rFonts w:asciiTheme="majorHAnsi" w:eastAsia="Times New Roman" w:hAnsiTheme="majorHAnsi" w:cstheme="majorHAnsi"/>
          <w:b/>
          <w:sz w:val="28"/>
          <w:szCs w:val="28"/>
          <w:lang w:val="ro-RO"/>
        </w:rPr>
        <w:t>ASPECTE</w:t>
      </w:r>
      <w:r w:rsidR="00752F16" w:rsidRPr="00F64A56">
        <w:rPr>
          <w:rFonts w:asciiTheme="majorHAnsi" w:eastAsia="Times New Roman" w:hAnsiTheme="majorHAnsi" w:cstheme="majorHAnsi"/>
          <w:b/>
          <w:sz w:val="28"/>
          <w:szCs w:val="28"/>
          <w:lang w:val="ro-RO"/>
        </w:rPr>
        <w:t>-</w:t>
      </w:r>
      <w:r w:rsidR="00ED6394" w:rsidRPr="00F64A56">
        <w:rPr>
          <w:rFonts w:asciiTheme="majorHAnsi" w:eastAsia="Times New Roman" w:hAnsiTheme="majorHAnsi" w:cstheme="majorHAnsi"/>
          <w:b/>
          <w:sz w:val="28"/>
          <w:szCs w:val="28"/>
          <w:lang w:val="ro-RO"/>
        </w:rPr>
        <w:t>CHEIE DE AUDIT</w:t>
      </w:r>
      <w:bookmarkEnd w:id="3"/>
    </w:p>
    <w:p w:rsidR="00A30795" w:rsidRDefault="00F04A0C" w:rsidP="00A30795">
      <w:pPr>
        <w:tabs>
          <w:tab w:val="left" w:pos="0"/>
        </w:tabs>
        <w:spacing w:after="0" w:line="276" w:lineRule="auto"/>
        <w:ind w:firstLine="709"/>
        <w:jc w:val="both"/>
        <w:rPr>
          <w:rFonts w:ascii="Calibri Light" w:eastAsia="Calibri" w:hAnsi="Calibri Light" w:cs="Calibri Light"/>
          <w:bCs/>
          <w:sz w:val="24"/>
          <w:szCs w:val="24"/>
          <w:lang w:val="ro-MD"/>
        </w:rPr>
      </w:pPr>
      <w:r w:rsidRPr="00F64A56">
        <w:rPr>
          <w:rFonts w:ascii="Calibri Light" w:eastAsia="Calibri" w:hAnsi="Calibri Light" w:cs="Calibri Light"/>
          <w:sz w:val="24"/>
          <w:szCs w:val="24"/>
          <w:lang w:val="ro-MD"/>
        </w:rPr>
        <w:t xml:space="preserve">Aspectele-cheie de audit sunt acele aspecte care, în baza raționamentului nostru profesional, au avut cea mai mare importanță pentru auditul rapoartelor financiare ale autorității publice locale mun. Bălți. Aceste aspecte au fost abordate în contextul auditului rapoartelor financiare în ansamblu și al formării opiniei noastre asupra lor, și nu oferim o opinie separată cu privire la ele. </w:t>
      </w:r>
      <w:r w:rsidRPr="00F64A56">
        <w:rPr>
          <w:rFonts w:ascii="Calibri Light" w:eastAsia="Calibri" w:hAnsi="Calibri Light" w:cs="Calibri Light"/>
          <w:bCs/>
          <w:sz w:val="24"/>
          <w:szCs w:val="24"/>
          <w:lang w:val="ro-MD"/>
        </w:rPr>
        <w:t xml:space="preserve">Cu excepția aspectelor descrise în </w:t>
      </w:r>
      <w:r w:rsidRPr="00F64A56">
        <w:rPr>
          <w:rFonts w:ascii="Calibri Light" w:eastAsia="Calibri" w:hAnsi="Calibri Light" w:cs="Calibri Light"/>
          <w:sz w:val="24"/>
          <w:szCs w:val="24"/>
          <w:lang w:val="ro-MD"/>
        </w:rPr>
        <w:t>secțiunea</w:t>
      </w:r>
      <w:r w:rsidRPr="00F64A56">
        <w:rPr>
          <w:rFonts w:ascii="Calibri Light" w:eastAsia="Calibri" w:hAnsi="Calibri Light" w:cs="Calibri Light"/>
          <w:bCs/>
          <w:sz w:val="24"/>
          <w:szCs w:val="24"/>
          <w:lang w:val="ro-MD"/>
        </w:rPr>
        <w:t xml:space="preserve"> </w:t>
      </w:r>
      <w:r w:rsidRPr="00F64A56">
        <w:rPr>
          <w:rFonts w:ascii="Calibri Light" w:eastAsia="Calibri" w:hAnsi="Calibri Light" w:cs="Calibri Light"/>
          <w:bCs/>
          <w:i/>
          <w:sz w:val="24"/>
          <w:szCs w:val="24"/>
          <w:lang w:val="ro-MD"/>
        </w:rPr>
        <w:t xml:space="preserve">Baza pentru opinia </w:t>
      </w:r>
      <w:r w:rsidR="00192F5D" w:rsidRPr="00F64A56">
        <w:rPr>
          <w:rFonts w:ascii="Calibri Light" w:eastAsia="Calibri" w:hAnsi="Calibri Light" w:cs="Calibri Light"/>
          <w:bCs/>
          <w:i/>
          <w:sz w:val="24"/>
          <w:szCs w:val="24"/>
          <w:lang w:val="ro-MD"/>
        </w:rPr>
        <w:t>cu rezerve</w:t>
      </w:r>
      <w:r w:rsidRPr="00F64A56">
        <w:rPr>
          <w:rFonts w:ascii="Calibri Light" w:eastAsia="Calibri" w:hAnsi="Calibri Light" w:cs="Calibri Light"/>
          <w:bCs/>
          <w:sz w:val="24"/>
          <w:szCs w:val="24"/>
          <w:lang w:val="ro-MD"/>
        </w:rPr>
        <w:t>, am determinat că nu mai există alte aspecte-cheie de audit care trebuie expuse în Raportul de audit.</w:t>
      </w:r>
    </w:p>
    <w:p w:rsidR="00AA35B7" w:rsidRPr="00F64A56" w:rsidRDefault="00AA35B7" w:rsidP="006A3792">
      <w:pPr>
        <w:numPr>
          <w:ilvl w:val="0"/>
          <w:numId w:val="21"/>
        </w:numPr>
        <w:tabs>
          <w:tab w:val="left" w:pos="0"/>
          <w:tab w:val="left" w:pos="284"/>
        </w:tabs>
        <w:spacing w:before="120" w:after="0" w:line="276" w:lineRule="auto"/>
        <w:ind w:left="0" w:firstLine="0"/>
        <w:contextualSpacing/>
        <w:jc w:val="center"/>
        <w:outlineLvl w:val="0"/>
        <w:rPr>
          <w:rFonts w:asciiTheme="majorHAnsi" w:eastAsia="Times New Roman" w:hAnsiTheme="majorHAnsi" w:cstheme="majorHAnsi"/>
          <w:b/>
          <w:sz w:val="28"/>
          <w:szCs w:val="28"/>
          <w:lang w:val="ro-MD"/>
        </w:rPr>
      </w:pPr>
      <w:r w:rsidRPr="00F64A56">
        <w:rPr>
          <w:rFonts w:asciiTheme="majorHAnsi" w:eastAsia="Times New Roman" w:hAnsiTheme="majorHAnsi" w:cstheme="majorHAnsi"/>
          <w:b/>
          <w:sz w:val="28"/>
          <w:szCs w:val="28"/>
          <w:lang w:val="ro-MD"/>
        </w:rPr>
        <w:t>ALTE INFORMAȚII</w:t>
      </w:r>
    </w:p>
    <w:p w:rsidR="00AA35B7" w:rsidRPr="00F64A56" w:rsidRDefault="00AA35B7" w:rsidP="00AA35B7">
      <w:pPr>
        <w:widowControl w:val="0"/>
        <w:numPr>
          <w:ilvl w:val="1"/>
          <w:numId w:val="21"/>
        </w:numPr>
        <w:shd w:val="clear" w:color="auto" w:fill="FFFFFF"/>
        <w:tabs>
          <w:tab w:val="left" w:pos="0"/>
          <w:tab w:val="left" w:pos="1134"/>
        </w:tabs>
        <w:spacing w:after="0" w:line="276" w:lineRule="auto"/>
        <w:ind w:left="0" w:firstLine="709"/>
        <w:jc w:val="both"/>
        <w:rPr>
          <w:rFonts w:asciiTheme="majorHAnsi" w:eastAsia="Times New Roman" w:hAnsiTheme="majorHAnsi" w:cstheme="majorHAnsi"/>
          <w:sz w:val="24"/>
          <w:szCs w:val="24"/>
          <w:lang w:val="ro-MD"/>
        </w:rPr>
      </w:pPr>
      <w:r w:rsidRPr="00F64A56">
        <w:rPr>
          <w:rFonts w:asciiTheme="majorHAnsi" w:eastAsia="Times New Roman" w:hAnsiTheme="majorHAnsi" w:cstheme="majorHAnsi"/>
          <w:sz w:val="24"/>
          <w:szCs w:val="24"/>
          <w:lang w:val="ro-RO"/>
        </w:rPr>
        <w:t>Interpretarea eronată a prevederilor normative</w:t>
      </w:r>
      <w:r w:rsidRPr="00F64A56">
        <w:rPr>
          <w:rFonts w:asciiTheme="majorHAnsi" w:eastAsia="Times New Roman" w:hAnsiTheme="majorHAnsi" w:cstheme="majorHAnsi"/>
          <w:sz w:val="24"/>
          <w:szCs w:val="24"/>
          <w:vertAlign w:val="superscript"/>
          <w:lang w:val="ro-MD"/>
        </w:rPr>
        <w:footnoteReference w:id="31"/>
      </w:r>
      <w:r w:rsidRPr="00F64A56">
        <w:rPr>
          <w:rFonts w:asciiTheme="majorHAnsi" w:eastAsia="Times New Roman" w:hAnsiTheme="majorHAnsi" w:cstheme="majorHAnsi"/>
          <w:sz w:val="24"/>
          <w:szCs w:val="24"/>
          <w:lang w:val="ro-MD"/>
        </w:rPr>
        <w:t xml:space="preserve"> a determinat clasificarea neconformă a bunurilor materiale și denaturarea valorii conturilor din subclasa 31 „Mijloace fixe” </w:t>
      </w:r>
      <w:r w:rsidRPr="00F64A56">
        <w:rPr>
          <w:rFonts w:asciiTheme="majorHAnsi" w:eastAsia="Times New Roman" w:hAnsiTheme="majorHAnsi" w:cstheme="majorHAnsi"/>
          <w:sz w:val="24"/>
          <w:szCs w:val="24"/>
          <w:lang w:val="ro-MD"/>
        </w:rPr>
        <w:lastRenderedPageBreak/>
        <w:t xml:space="preserve">cu suma totală de </w:t>
      </w:r>
      <w:r w:rsidRPr="00F64A56">
        <w:rPr>
          <w:rFonts w:asciiTheme="majorHAnsi" w:eastAsia="Times New Roman" w:hAnsiTheme="majorHAnsi" w:cstheme="majorHAnsi"/>
          <w:b/>
          <w:sz w:val="24"/>
          <w:szCs w:val="24"/>
          <w:lang w:val="ro-MD"/>
        </w:rPr>
        <w:t>3</w:t>
      </w:r>
      <w:r w:rsidR="00AD4C39">
        <w:rPr>
          <w:rFonts w:asciiTheme="majorHAnsi" w:eastAsia="Times New Roman" w:hAnsiTheme="majorHAnsi" w:cstheme="majorHAnsi"/>
          <w:b/>
          <w:sz w:val="24"/>
          <w:szCs w:val="24"/>
          <w:lang w:val="ro-MD"/>
        </w:rPr>
        <w:t>.</w:t>
      </w:r>
      <w:r w:rsidRPr="00F64A56">
        <w:rPr>
          <w:rFonts w:asciiTheme="majorHAnsi" w:eastAsia="Times New Roman" w:hAnsiTheme="majorHAnsi" w:cstheme="majorHAnsi"/>
          <w:b/>
          <w:sz w:val="24"/>
          <w:szCs w:val="24"/>
          <w:lang w:val="ro-MD"/>
        </w:rPr>
        <w:t>450</w:t>
      </w:r>
      <w:r w:rsidR="00B75A04" w:rsidRPr="00F64A56">
        <w:rPr>
          <w:rFonts w:asciiTheme="majorHAnsi" w:eastAsia="Times New Roman" w:hAnsiTheme="majorHAnsi" w:cstheme="majorHAnsi"/>
          <w:b/>
          <w:sz w:val="24"/>
          <w:szCs w:val="24"/>
          <w:lang w:val="ro-MD"/>
        </w:rPr>
        <w:t>,5 mii</w:t>
      </w:r>
      <w:r w:rsidRPr="00F64A56">
        <w:rPr>
          <w:rFonts w:asciiTheme="majorHAnsi" w:eastAsia="Times New Roman" w:hAnsiTheme="majorHAnsi" w:cstheme="majorHAnsi"/>
          <w:b/>
          <w:sz w:val="24"/>
          <w:szCs w:val="24"/>
          <w:lang w:val="ro-MD"/>
        </w:rPr>
        <w:t xml:space="preserve"> lei</w:t>
      </w:r>
      <w:r w:rsidRPr="00F64A56">
        <w:rPr>
          <w:rFonts w:asciiTheme="majorHAnsi" w:eastAsia="Times New Roman" w:hAnsiTheme="majorHAnsi" w:cstheme="majorHAnsi"/>
          <w:sz w:val="24"/>
          <w:szCs w:val="24"/>
          <w:vertAlign w:val="superscript"/>
          <w:lang w:val="ro-MD"/>
        </w:rPr>
        <w:footnoteReference w:id="32"/>
      </w:r>
      <w:r w:rsidRPr="00F64A56">
        <w:rPr>
          <w:rFonts w:asciiTheme="majorHAnsi" w:eastAsia="Times New Roman" w:hAnsiTheme="majorHAnsi" w:cstheme="majorHAnsi"/>
          <w:sz w:val="24"/>
          <w:szCs w:val="24"/>
          <w:lang w:val="ro-MD"/>
        </w:rPr>
        <w:t>.</w:t>
      </w:r>
    </w:p>
    <w:p w:rsidR="00AA35B7" w:rsidRPr="00F64A56" w:rsidRDefault="00AA35B7" w:rsidP="00AA35B7">
      <w:pPr>
        <w:widowControl w:val="0"/>
        <w:numPr>
          <w:ilvl w:val="1"/>
          <w:numId w:val="21"/>
        </w:numPr>
        <w:shd w:val="clear" w:color="auto" w:fill="FFFFFF"/>
        <w:tabs>
          <w:tab w:val="left" w:pos="0"/>
          <w:tab w:val="left" w:pos="1134"/>
        </w:tabs>
        <w:spacing w:after="0" w:line="276" w:lineRule="auto"/>
        <w:ind w:left="0" w:firstLine="709"/>
        <w:jc w:val="both"/>
        <w:rPr>
          <w:rFonts w:asciiTheme="majorHAnsi" w:eastAsia="Times New Roman" w:hAnsiTheme="majorHAnsi" w:cstheme="majorHAnsi"/>
          <w:sz w:val="24"/>
          <w:szCs w:val="24"/>
          <w:lang w:val="ro-MD"/>
        </w:rPr>
      </w:pPr>
      <w:r w:rsidRPr="00F64A56">
        <w:rPr>
          <w:rFonts w:asciiTheme="majorHAnsi" w:eastAsia="Times New Roman" w:hAnsiTheme="majorHAnsi" w:cstheme="majorHAnsi"/>
          <w:sz w:val="24"/>
          <w:szCs w:val="24"/>
          <w:lang w:val="ro-RO"/>
        </w:rPr>
        <w:t>Interpretarea eronată a prevederilor normative</w:t>
      </w:r>
      <w:r w:rsidRPr="00F64A56">
        <w:rPr>
          <w:rFonts w:asciiTheme="majorHAnsi" w:eastAsia="Times New Roman" w:hAnsiTheme="majorHAnsi" w:cstheme="majorHAnsi"/>
          <w:sz w:val="24"/>
          <w:szCs w:val="24"/>
          <w:vertAlign w:val="superscript"/>
          <w:lang w:val="ro-RO"/>
        </w:rPr>
        <w:footnoteReference w:id="33"/>
      </w:r>
      <w:r w:rsidRPr="00F64A56">
        <w:rPr>
          <w:rFonts w:asciiTheme="majorHAnsi" w:eastAsia="Times New Roman" w:hAnsiTheme="majorHAnsi" w:cstheme="majorHAnsi"/>
          <w:sz w:val="24"/>
          <w:szCs w:val="24"/>
          <w:lang w:val="ro-RO"/>
        </w:rPr>
        <w:t xml:space="preserve"> </w:t>
      </w:r>
      <w:r w:rsidRPr="00F64A56">
        <w:rPr>
          <w:rFonts w:asciiTheme="majorHAnsi" w:eastAsia="Times New Roman" w:hAnsiTheme="majorHAnsi" w:cstheme="majorHAnsi"/>
          <w:sz w:val="24"/>
          <w:szCs w:val="24"/>
          <w:lang w:val="ro-MD"/>
        </w:rPr>
        <w:t>a determinat clasificarea neconformă a bunurilor materiale și denaturarea</w:t>
      </w:r>
      <w:r w:rsidRPr="00F64A56">
        <w:rPr>
          <w:rFonts w:asciiTheme="majorHAnsi" w:eastAsia="Times New Roman" w:hAnsiTheme="majorHAnsi" w:cstheme="majorHAnsi"/>
          <w:sz w:val="24"/>
          <w:szCs w:val="24"/>
          <w:lang w:val="ro-RO"/>
        </w:rPr>
        <w:t xml:space="preserve"> valorii conturilor din subclasa 33 „Stocuri de materiale circulante”</w:t>
      </w:r>
      <w:r w:rsidR="00AD4C39">
        <w:rPr>
          <w:rFonts w:asciiTheme="majorHAnsi" w:eastAsia="Times New Roman" w:hAnsiTheme="majorHAnsi" w:cstheme="majorHAnsi"/>
          <w:sz w:val="24"/>
          <w:szCs w:val="24"/>
          <w:lang w:val="ro-RO"/>
        </w:rPr>
        <w:t>,</w:t>
      </w:r>
      <w:r w:rsidRPr="00F64A56">
        <w:rPr>
          <w:rFonts w:asciiTheme="majorHAnsi" w:eastAsia="Times New Roman" w:hAnsiTheme="majorHAnsi" w:cstheme="majorHAnsi"/>
          <w:sz w:val="24"/>
          <w:szCs w:val="24"/>
          <w:lang w:val="ro-RO"/>
        </w:rPr>
        <w:t xml:space="preserve"> cu suma totală de </w:t>
      </w:r>
      <w:r w:rsidRPr="00F64A56">
        <w:rPr>
          <w:rFonts w:asciiTheme="majorHAnsi" w:eastAsia="Times New Roman" w:hAnsiTheme="majorHAnsi" w:cstheme="majorHAnsi"/>
          <w:b/>
          <w:sz w:val="24"/>
          <w:szCs w:val="24"/>
          <w:lang w:val="ro-RO"/>
        </w:rPr>
        <w:t>2</w:t>
      </w:r>
      <w:r w:rsidR="00AD4C39">
        <w:rPr>
          <w:rFonts w:asciiTheme="majorHAnsi" w:eastAsia="Times New Roman" w:hAnsiTheme="majorHAnsi" w:cstheme="majorHAnsi"/>
          <w:b/>
          <w:sz w:val="24"/>
          <w:szCs w:val="24"/>
          <w:lang w:val="ro-RO"/>
        </w:rPr>
        <w:t>.</w:t>
      </w:r>
      <w:r w:rsidRPr="00F64A56">
        <w:rPr>
          <w:rFonts w:asciiTheme="majorHAnsi" w:eastAsia="Times New Roman" w:hAnsiTheme="majorHAnsi" w:cstheme="majorHAnsi"/>
          <w:b/>
          <w:sz w:val="24"/>
          <w:szCs w:val="24"/>
          <w:lang w:val="ro-RO"/>
        </w:rPr>
        <w:t>240</w:t>
      </w:r>
      <w:r w:rsidR="00B75A04" w:rsidRPr="00F64A56">
        <w:rPr>
          <w:rFonts w:asciiTheme="majorHAnsi" w:eastAsia="Times New Roman" w:hAnsiTheme="majorHAnsi" w:cstheme="majorHAnsi"/>
          <w:b/>
          <w:sz w:val="24"/>
          <w:szCs w:val="24"/>
          <w:lang w:val="ro-RO"/>
        </w:rPr>
        <w:t>,3 mii</w:t>
      </w:r>
      <w:r w:rsidRPr="00F64A56">
        <w:rPr>
          <w:rFonts w:asciiTheme="majorHAnsi" w:eastAsia="Times New Roman" w:hAnsiTheme="majorHAnsi" w:cstheme="majorHAnsi"/>
          <w:b/>
          <w:sz w:val="24"/>
          <w:szCs w:val="24"/>
          <w:lang w:val="ro-RO"/>
        </w:rPr>
        <w:t xml:space="preserve"> lei</w:t>
      </w:r>
      <w:r w:rsidRPr="00F64A56">
        <w:rPr>
          <w:rFonts w:asciiTheme="majorHAnsi" w:eastAsia="Times New Roman" w:hAnsiTheme="majorHAnsi" w:cstheme="majorHAnsi"/>
          <w:sz w:val="24"/>
          <w:szCs w:val="24"/>
          <w:vertAlign w:val="superscript"/>
          <w:lang w:val="ro-RO"/>
        </w:rPr>
        <w:footnoteReference w:id="34"/>
      </w:r>
      <w:r w:rsidRPr="00F64A56">
        <w:rPr>
          <w:rFonts w:asciiTheme="majorHAnsi" w:eastAsia="Times New Roman" w:hAnsiTheme="majorHAnsi" w:cstheme="majorHAnsi"/>
          <w:sz w:val="24"/>
          <w:szCs w:val="24"/>
          <w:lang w:val="ro-RO"/>
        </w:rPr>
        <w:t xml:space="preserve">. </w:t>
      </w:r>
    </w:p>
    <w:p w:rsidR="00AA35B7" w:rsidRPr="00F64A56" w:rsidRDefault="00AA35B7" w:rsidP="00AA35B7">
      <w:pPr>
        <w:widowControl w:val="0"/>
        <w:numPr>
          <w:ilvl w:val="1"/>
          <w:numId w:val="21"/>
        </w:numPr>
        <w:shd w:val="clear" w:color="auto" w:fill="FFFFFF"/>
        <w:tabs>
          <w:tab w:val="left" w:pos="0"/>
          <w:tab w:val="left" w:pos="1134"/>
        </w:tabs>
        <w:spacing w:after="0" w:line="276" w:lineRule="auto"/>
        <w:ind w:left="0" w:firstLine="709"/>
        <w:jc w:val="both"/>
        <w:rPr>
          <w:rFonts w:asciiTheme="majorHAnsi" w:eastAsia="Times New Roman" w:hAnsiTheme="majorHAnsi" w:cstheme="majorHAnsi"/>
          <w:sz w:val="24"/>
          <w:szCs w:val="24"/>
          <w:lang w:val="ro-MD"/>
        </w:rPr>
      </w:pPr>
      <w:r w:rsidRPr="00F64A56">
        <w:rPr>
          <w:rFonts w:asciiTheme="majorHAnsi" w:eastAsia="Times New Roman" w:hAnsiTheme="majorHAnsi" w:cstheme="majorHAnsi"/>
          <w:sz w:val="24"/>
          <w:szCs w:val="24"/>
          <w:lang w:val="ro-RO"/>
        </w:rPr>
        <w:t>Aplicarea eronată a prevederilor normative</w:t>
      </w:r>
      <w:r w:rsidRPr="00F64A56">
        <w:rPr>
          <w:rFonts w:asciiTheme="majorHAnsi" w:eastAsia="Times New Roman" w:hAnsiTheme="majorHAnsi" w:cstheme="majorHAnsi"/>
          <w:sz w:val="24"/>
          <w:szCs w:val="24"/>
          <w:vertAlign w:val="superscript"/>
          <w:lang w:val="ro-RO"/>
        </w:rPr>
        <w:footnoteReference w:id="35"/>
      </w:r>
      <w:r w:rsidRPr="00F64A56">
        <w:rPr>
          <w:rFonts w:asciiTheme="majorHAnsi" w:eastAsia="Times New Roman" w:hAnsiTheme="majorHAnsi" w:cstheme="majorHAnsi"/>
          <w:sz w:val="24"/>
          <w:szCs w:val="24"/>
          <w:lang w:val="ro-RO"/>
        </w:rPr>
        <w:t xml:space="preserve"> a determinat raportarea incorectă în evidență și diminuarea valorii contului 316 „Unelte și scule, inventarul de producere și gospodăresc” cu suma totală de </w:t>
      </w:r>
      <w:r w:rsidRPr="00F64A56">
        <w:rPr>
          <w:rFonts w:asciiTheme="majorHAnsi" w:eastAsia="Times New Roman" w:hAnsiTheme="majorHAnsi" w:cstheme="majorHAnsi"/>
          <w:b/>
          <w:sz w:val="24"/>
          <w:szCs w:val="24"/>
          <w:lang w:val="ro-RO"/>
        </w:rPr>
        <w:t>1</w:t>
      </w:r>
      <w:r w:rsidR="00AD4C39">
        <w:rPr>
          <w:rFonts w:asciiTheme="majorHAnsi" w:eastAsia="Times New Roman" w:hAnsiTheme="majorHAnsi" w:cstheme="majorHAnsi"/>
          <w:b/>
          <w:sz w:val="24"/>
          <w:szCs w:val="24"/>
          <w:lang w:val="ro-RO"/>
        </w:rPr>
        <w:t>.</w:t>
      </w:r>
      <w:r w:rsidRPr="00F64A56">
        <w:rPr>
          <w:rFonts w:asciiTheme="majorHAnsi" w:eastAsia="Times New Roman" w:hAnsiTheme="majorHAnsi" w:cstheme="majorHAnsi"/>
          <w:b/>
          <w:sz w:val="24"/>
          <w:szCs w:val="24"/>
          <w:lang w:val="ro-RO"/>
        </w:rPr>
        <w:t>566</w:t>
      </w:r>
      <w:r w:rsidR="00B75A04" w:rsidRPr="00F64A56">
        <w:rPr>
          <w:rFonts w:asciiTheme="majorHAnsi" w:eastAsia="Times New Roman" w:hAnsiTheme="majorHAnsi" w:cstheme="majorHAnsi"/>
          <w:b/>
          <w:sz w:val="24"/>
          <w:szCs w:val="24"/>
          <w:lang w:val="ro-RO"/>
        </w:rPr>
        <w:t>,7 mii</w:t>
      </w:r>
      <w:r w:rsidRPr="00F64A56">
        <w:rPr>
          <w:rFonts w:asciiTheme="majorHAnsi" w:eastAsia="Times New Roman" w:hAnsiTheme="majorHAnsi" w:cstheme="majorHAnsi"/>
          <w:b/>
          <w:sz w:val="24"/>
          <w:szCs w:val="24"/>
          <w:lang w:val="ro-RO"/>
        </w:rPr>
        <w:t xml:space="preserve"> lei</w:t>
      </w:r>
      <w:r w:rsidRPr="00F64A56">
        <w:rPr>
          <w:rFonts w:asciiTheme="majorHAnsi" w:eastAsia="Times New Roman" w:hAnsiTheme="majorHAnsi" w:cstheme="majorHAnsi"/>
          <w:sz w:val="24"/>
          <w:szCs w:val="24"/>
          <w:lang w:val="ro-RO"/>
        </w:rPr>
        <w:t>, totodată fiind supraevaluată valoarea stocurilor de materiale circulante la contul 332 „Piese de schimb”</w:t>
      </w:r>
      <w:r w:rsidR="00AD4C39">
        <w:rPr>
          <w:rFonts w:asciiTheme="majorHAnsi" w:eastAsia="Times New Roman" w:hAnsiTheme="majorHAnsi" w:cstheme="majorHAnsi"/>
          <w:sz w:val="24"/>
          <w:szCs w:val="24"/>
          <w:lang w:val="ro-RO"/>
        </w:rPr>
        <w:t>,</w:t>
      </w:r>
      <w:r w:rsidRPr="00F64A56">
        <w:rPr>
          <w:rFonts w:asciiTheme="majorHAnsi" w:eastAsia="Times New Roman" w:hAnsiTheme="majorHAnsi" w:cstheme="majorHAnsi"/>
          <w:sz w:val="24"/>
          <w:szCs w:val="24"/>
          <w:lang w:val="ro-RO"/>
        </w:rPr>
        <w:t xml:space="preserve"> cu suma de </w:t>
      </w:r>
      <w:r w:rsidRPr="00F64A56">
        <w:rPr>
          <w:rFonts w:asciiTheme="majorHAnsi" w:eastAsia="Times New Roman" w:hAnsiTheme="majorHAnsi" w:cstheme="majorHAnsi"/>
          <w:bCs/>
          <w:sz w:val="24"/>
          <w:szCs w:val="24"/>
          <w:lang w:val="ro-RO"/>
        </w:rPr>
        <w:t>1</w:t>
      </w:r>
      <w:r w:rsidR="00B75A04" w:rsidRPr="00F64A56">
        <w:rPr>
          <w:rFonts w:asciiTheme="majorHAnsi" w:eastAsia="Times New Roman" w:hAnsiTheme="majorHAnsi" w:cstheme="majorHAnsi"/>
          <w:bCs/>
          <w:sz w:val="24"/>
          <w:szCs w:val="24"/>
          <w:lang w:val="ro-RO"/>
        </w:rPr>
        <w:t>,1 mii</w:t>
      </w:r>
      <w:r w:rsidRPr="00F64A56">
        <w:rPr>
          <w:rFonts w:asciiTheme="majorHAnsi" w:eastAsia="Times New Roman" w:hAnsiTheme="majorHAnsi" w:cstheme="majorHAnsi"/>
          <w:bCs/>
          <w:sz w:val="24"/>
          <w:szCs w:val="24"/>
          <w:lang w:val="ro-RO"/>
        </w:rPr>
        <w:t xml:space="preserve"> lei</w:t>
      </w:r>
      <w:r w:rsidRPr="00F64A56">
        <w:rPr>
          <w:rFonts w:asciiTheme="majorHAnsi" w:eastAsia="Times New Roman" w:hAnsiTheme="majorHAnsi" w:cstheme="majorHAnsi"/>
          <w:bCs/>
          <w:sz w:val="24"/>
          <w:szCs w:val="24"/>
          <w:vertAlign w:val="superscript"/>
          <w:lang w:val="ro-RO"/>
        </w:rPr>
        <w:footnoteReference w:id="36"/>
      </w:r>
      <w:r w:rsidRPr="00F64A56">
        <w:rPr>
          <w:rFonts w:asciiTheme="majorHAnsi" w:eastAsia="Times New Roman" w:hAnsiTheme="majorHAnsi" w:cstheme="majorHAnsi"/>
          <w:sz w:val="24"/>
          <w:szCs w:val="24"/>
          <w:lang w:val="ro-RO"/>
        </w:rPr>
        <w:t xml:space="preserve">, contul 336 </w:t>
      </w:r>
      <w:r w:rsidRPr="00F64A56">
        <w:rPr>
          <w:rFonts w:asciiTheme="majorHAnsi" w:eastAsia="Times New Roman" w:hAnsiTheme="majorHAnsi" w:cstheme="majorHAnsi"/>
          <w:sz w:val="24"/>
          <w:szCs w:val="24"/>
          <w:lang w:val="ro-MD"/>
        </w:rPr>
        <w:t>„</w:t>
      </w:r>
      <w:r w:rsidRPr="00F64A56">
        <w:rPr>
          <w:rFonts w:asciiTheme="majorHAnsi" w:eastAsia="Times New Roman" w:hAnsiTheme="majorHAnsi" w:cstheme="majorHAnsi"/>
          <w:sz w:val="24"/>
          <w:szCs w:val="24"/>
          <w:lang w:val="ro-RO"/>
        </w:rPr>
        <w:t>Materiale de uz gospodăresc și rechizite de birou” - cu 1</w:t>
      </w:r>
      <w:r w:rsidR="00AD4C39">
        <w:rPr>
          <w:rFonts w:asciiTheme="majorHAnsi" w:eastAsia="Times New Roman" w:hAnsiTheme="majorHAnsi" w:cstheme="majorHAnsi"/>
          <w:sz w:val="24"/>
          <w:szCs w:val="24"/>
          <w:lang w:val="ro-RO"/>
        </w:rPr>
        <w:t>.</w:t>
      </w:r>
      <w:r w:rsidRPr="00F64A56">
        <w:rPr>
          <w:rFonts w:asciiTheme="majorHAnsi" w:eastAsia="Times New Roman" w:hAnsiTheme="majorHAnsi" w:cstheme="majorHAnsi"/>
          <w:sz w:val="24"/>
          <w:szCs w:val="24"/>
          <w:lang w:val="ro-RO"/>
        </w:rPr>
        <w:t>083</w:t>
      </w:r>
      <w:r w:rsidR="00B75A04" w:rsidRPr="00F64A56">
        <w:rPr>
          <w:rFonts w:asciiTheme="majorHAnsi" w:eastAsia="Times New Roman" w:hAnsiTheme="majorHAnsi" w:cstheme="majorHAnsi"/>
          <w:sz w:val="24"/>
          <w:szCs w:val="24"/>
          <w:lang w:val="ro-RO"/>
        </w:rPr>
        <w:t>,3 mii</w:t>
      </w:r>
      <w:r w:rsidRPr="00F64A56">
        <w:rPr>
          <w:rFonts w:asciiTheme="majorHAnsi" w:eastAsia="Times New Roman" w:hAnsiTheme="majorHAnsi" w:cstheme="majorHAnsi"/>
          <w:sz w:val="24"/>
          <w:szCs w:val="24"/>
          <w:lang w:val="ro-RO"/>
        </w:rPr>
        <w:t xml:space="preserve"> lei</w:t>
      </w:r>
      <w:r w:rsidRPr="00F64A56">
        <w:rPr>
          <w:rFonts w:asciiTheme="majorHAnsi" w:eastAsia="Times New Roman" w:hAnsiTheme="majorHAnsi" w:cstheme="majorHAnsi"/>
          <w:sz w:val="24"/>
          <w:szCs w:val="24"/>
          <w:vertAlign w:val="superscript"/>
          <w:lang w:val="ro-RO"/>
        </w:rPr>
        <w:footnoteReference w:id="37"/>
      </w:r>
      <w:r w:rsidRPr="00F64A56">
        <w:rPr>
          <w:rFonts w:asciiTheme="majorHAnsi" w:eastAsia="Times New Roman" w:hAnsiTheme="majorHAnsi" w:cstheme="majorHAnsi"/>
          <w:sz w:val="24"/>
          <w:szCs w:val="24"/>
          <w:lang w:val="ro-RO"/>
        </w:rPr>
        <w:t xml:space="preserve"> și, respectiv, contul 339</w:t>
      </w:r>
      <w:r w:rsidR="00B75A04" w:rsidRPr="00F64A56">
        <w:rPr>
          <w:rFonts w:asciiTheme="majorHAnsi" w:eastAsia="Times New Roman" w:hAnsiTheme="majorHAnsi" w:cstheme="majorHAnsi"/>
          <w:sz w:val="24"/>
          <w:szCs w:val="24"/>
          <w:lang w:val="ro-RO"/>
        </w:rPr>
        <w:t xml:space="preserve"> „Alte materiale” - cu 482,3 mii</w:t>
      </w:r>
      <w:r w:rsidRPr="00F64A56">
        <w:rPr>
          <w:rFonts w:asciiTheme="majorHAnsi" w:eastAsia="Times New Roman" w:hAnsiTheme="majorHAnsi" w:cstheme="majorHAnsi"/>
          <w:sz w:val="24"/>
          <w:szCs w:val="24"/>
          <w:lang w:val="ro-RO"/>
        </w:rPr>
        <w:t xml:space="preserve"> lei</w:t>
      </w:r>
      <w:r w:rsidRPr="00F64A56">
        <w:rPr>
          <w:rFonts w:asciiTheme="majorHAnsi" w:eastAsia="Times New Roman" w:hAnsiTheme="majorHAnsi" w:cstheme="majorHAnsi"/>
          <w:sz w:val="24"/>
          <w:szCs w:val="24"/>
          <w:vertAlign w:val="superscript"/>
          <w:lang w:val="ro-RO"/>
        </w:rPr>
        <w:footnoteReference w:id="38"/>
      </w:r>
      <w:r w:rsidRPr="00F64A56">
        <w:rPr>
          <w:rFonts w:asciiTheme="majorHAnsi" w:eastAsia="Times New Roman" w:hAnsiTheme="majorHAnsi" w:cstheme="majorHAnsi"/>
          <w:sz w:val="24"/>
          <w:szCs w:val="24"/>
          <w:lang w:val="ro-RO"/>
        </w:rPr>
        <w:t>.</w:t>
      </w:r>
    </w:p>
    <w:p w:rsidR="00EA2411" w:rsidRPr="00F64A56" w:rsidRDefault="00AA35B7" w:rsidP="00EA2411">
      <w:pPr>
        <w:widowControl w:val="0"/>
        <w:shd w:val="clear" w:color="auto" w:fill="FFFFFF"/>
        <w:tabs>
          <w:tab w:val="left" w:pos="0"/>
          <w:tab w:val="left" w:pos="709"/>
        </w:tabs>
        <w:spacing w:after="0" w:line="276" w:lineRule="auto"/>
        <w:ind w:firstLine="709"/>
        <w:jc w:val="both"/>
        <w:rPr>
          <w:rFonts w:asciiTheme="majorHAnsi" w:eastAsia="Times New Roman" w:hAnsiTheme="majorHAnsi" w:cstheme="majorHAnsi"/>
          <w:sz w:val="24"/>
          <w:szCs w:val="24"/>
          <w:lang w:val="ro-RO"/>
        </w:rPr>
      </w:pPr>
      <w:r w:rsidRPr="00F64A56">
        <w:rPr>
          <w:rFonts w:asciiTheme="majorHAnsi" w:eastAsia="Times New Roman" w:hAnsiTheme="majorHAnsi" w:cstheme="majorHAnsi"/>
          <w:sz w:val="24"/>
          <w:szCs w:val="24"/>
          <w:lang w:val="ro-RO"/>
        </w:rPr>
        <w:lastRenderedPageBreak/>
        <w:t xml:space="preserve">În același context, se atestă </w:t>
      </w:r>
      <w:r w:rsidRPr="00F64A56">
        <w:rPr>
          <w:rFonts w:asciiTheme="majorHAnsi" w:eastAsia="Times New Roman" w:hAnsiTheme="majorHAnsi" w:cstheme="majorHAnsi"/>
          <w:sz w:val="24"/>
          <w:szCs w:val="24"/>
          <w:lang w:val="ro-MD"/>
        </w:rPr>
        <w:t>majorarea</w:t>
      </w:r>
      <w:r w:rsidRPr="00F64A56">
        <w:rPr>
          <w:rFonts w:asciiTheme="majorHAnsi" w:eastAsia="Times New Roman" w:hAnsiTheme="majorHAnsi" w:cstheme="majorHAnsi"/>
          <w:sz w:val="24"/>
          <w:szCs w:val="24"/>
          <w:lang w:val="ro-RO"/>
        </w:rPr>
        <w:t xml:space="preserve"> valorii contului</w:t>
      </w:r>
      <w:r w:rsidRPr="002F288C">
        <w:rPr>
          <w:rFonts w:asciiTheme="majorHAnsi" w:eastAsia="Times New Roman" w:hAnsiTheme="majorHAnsi" w:cstheme="majorHAnsi"/>
          <w:sz w:val="24"/>
          <w:szCs w:val="24"/>
        </w:rPr>
        <w:t xml:space="preserve"> </w:t>
      </w:r>
      <w:r w:rsidRPr="00F64A56">
        <w:rPr>
          <w:rFonts w:asciiTheme="majorHAnsi" w:eastAsia="Times New Roman" w:hAnsiTheme="majorHAnsi" w:cstheme="majorHAnsi"/>
          <w:bCs/>
          <w:sz w:val="24"/>
          <w:szCs w:val="24"/>
          <w:lang w:val="ro-RO"/>
        </w:rPr>
        <w:t xml:space="preserve">316 </w:t>
      </w:r>
      <w:r w:rsidRPr="00F64A56">
        <w:rPr>
          <w:rFonts w:asciiTheme="majorHAnsi" w:eastAsia="Times New Roman" w:hAnsiTheme="majorHAnsi" w:cstheme="majorHAnsi"/>
          <w:sz w:val="24"/>
          <w:szCs w:val="24"/>
          <w:lang w:val="ro-MD"/>
        </w:rPr>
        <w:t xml:space="preserve">cu suma totală de </w:t>
      </w:r>
      <w:r w:rsidRPr="00F64A56">
        <w:rPr>
          <w:rFonts w:asciiTheme="majorHAnsi" w:eastAsia="Times New Roman" w:hAnsiTheme="majorHAnsi" w:cstheme="majorHAnsi"/>
          <w:b/>
          <w:sz w:val="24"/>
          <w:szCs w:val="24"/>
          <w:lang w:val="ro-RO"/>
        </w:rPr>
        <w:t>46</w:t>
      </w:r>
      <w:r w:rsidR="00B75A04" w:rsidRPr="00F64A56">
        <w:rPr>
          <w:rFonts w:asciiTheme="majorHAnsi" w:eastAsia="Times New Roman" w:hAnsiTheme="majorHAnsi" w:cstheme="majorHAnsi"/>
          <w:b/>
          <w:sz w:val="24"/>
          <w:szCs w:val="24"/>
          <w:lang w:val="ro-RO"/>
        </w:rPr>
        <w:t>,5 mii</w:t>
      </w:r>
      <w:r w:rsidRPr="00F64A56">
        <w:rPr>
          <w:rFonts w:asciiTheme="majorHAnsi" w:eastAsia="Times New Roman" w:hAnsiTheme="majorHAnsi" w:cstheme="majorHAnsi"/>
          <w:b/>
          <w:sz w:val="24"/>
          <w:szCs w:val="24"/>
          <w:lang w:val="ro-RO"/>
        </w:rPr>
        <w:t xml:space="preserve"> lei</w:t>
      </w:r>
      <w:r w:rsidRPr="00F64A56">
        <w:rPr>
          <w:rFonts w:asciiTheme="majorHAnsi" w:eastAsia="Times New Roman" w:hAnsiTheme="majorHAnsi" w:cstheme="majorHAnsi"/>
          <w:sz w:val="24"/>
          <w:szCs w:val="24"/>
          <w:vertAlign w:val="superscript"/>
          <w:lang w:val="ro-RO"/>
        </w:rPr>
        <w:footnoteReference w:id="39"/>
      </w:r>
      <w:r w:rsidRPr="00F64A56">
        <w:rPr>
          <w:rFonts w:asciiTheme="majorHAnsi" w:eastAsia="Times New Roman" w:hAnsiTheme="majorHAnsi" w:cstheme="majorHAnsi"/>
          <w:sz w:val="24"/>
          <w:szCs w:val="24"/>
        </w:rPr>
        <w:t xml:space="preserve">, </w:t>
      </w:r>
      <w:r w:rsidRPr="00F64A56">
        <w:rPr>
          <w:rFonts w:asciiTheme="majorHAnsi" w:eastAsia="Times New Roman" w:hAnsiTheme="majorHAnsi" w:cstheme="majorHAnsi"/>
          <w:sz w:val="24"/>
          <w:szCs w:val="24"/>
          <w:lang w:val="ro-RO"/>
        </w:rPr>
        <w:t>determinată de neraportarea corectă</w:t>
      </w:r>
      <w:r w:rsidRPr="00F64A56">
        <w:rPr>
          <w:rFonts w:asciiTheme="majorHAnsi" w:eastAsia="Times New Roman" w:hAnsiTheme="majorHAnsi" w:cstheme="majorHAnsi"/>
          <w:sz w:val="24"/>
          <w:szCs w:val="24"/>
          <w:vertAlign w:val="superscript"/>
          <w:lang w:val="ro-RO"/>
        </w:rPr>
        <w:footnoteReference w:id="40"/>
      </w:r>
      <w:r w:rsidRPr="00F64A56">
        <w:rPr>
          <w:rFonts w:asciiTheme="majorHAnsi" w:eastAsia="Times New Roman" w:hAnsiTheme="majorHAnsi" w:cstheme="majorHAnsi"/>
          <w:sz w:val="24"/>
          <w:szCs w:val="24"/>
          <w:lang w:val="ro-RO"/>
        </w:rPr>
        <w:t xml:space="preserve"> în evidență a cheltuielilor </w:t>
      </w:r>
      <w:r w:rsidR="002F0044" w:rsidRPr="00F64A56">
        <w:rPr>
          <w:rFonts w:asciiTheme="majorHAnsi" w:eastAsia="Times New Roman" w:hAnsiTheme="majorHAnsi" w:cstheme="majorHAnsi"/>
          <w:sz w:val="24"/>
          <w:szCs w:val="24"/>
          <w:lang w:val="ro-RO"/>
        </w:rPr>
        <w:t xml:space="preserve">curente </w:t>
      </w:r>
      <w:r w:rsidRPr="00F64A56">
        <w:rPr>
          <w:rFonts w:asciiTheme="majorHAnsi" w:eastAsia="Times New Roman" w:hAnsiTheme="majorHAnsi" w:cstheme="majorHAnsi"/>
          <w:sz w:val="24"/>
          <w:szCs w:val="24"/>
          <w:lang w:val="ro-RO"/>
        </w:rPr>
        <w:t>pentru procurarea și montarea unor bunuri materiale la contul de evidență 222 „Servicii”, totodată fiind supraevaluată valoarea contului 391 „Uzura mijloacelor fixe” cu suma totală de 15</w:t>
      </w:r>
      <w:r w:rsidR="00B75A04" w:rsidRPr="00F64A56">
        <w:rPr>
          <w:rFonts w:asciiTheme="majorHAnsi" w:eastAsia="Times New Roman" w:hAnsiTheme="majorHAnsi" w:cstheme="majorHAnsi"/>
          <w:sz w:val="24"/>
          <w:szCs w:val="24"/>
          <w:lang w:val="ro-RO"/>
        </w:rPr>
        <w:t>,5 mii</w:t>
      </w:r>
      <w:r w:rsidRPr="00F64A56">
        <w:rPr>
          <w:rFonts w:asciiTheme="majorHAnsi" w:eastAsia="Times New Roman" w:hAnsiTheme="majorHAnsi" w:cstheme="majorHAnsi"/>
          <w:sz w:val="24"/>
          <w:szCs w:val="24"/>
          <w:lang w:val="ro-RO"/>
        </w:rPr>
        <w:t xml:space="preserve">  lei</w:t>
      </w:r>
      <w:r w:rsidRPr="00F64A56">
        <w:rPr>
          <w:rFonts w:asciiTheme="majorHAnsi" w:eastAsia="Times New Roman" w:hAnsiTheme="majorHAnsi" w:cstheme="majorHAnsi"/>
          <w:b/>
          <w:sz w:val="24"/>
          <w:szCs w:val="24"/>
          <w:lang w:val="ro-RO"/>
        </w:rPr>
        <w:t xml:space="preserve"> </w:t>
      </w:r>
      <w:r w:rsidRPr="00F64A56">
        <w:rPr>
          <w:rFonts w:asciiTheme="majorHAnsi" w:eastAsia="Times New Roman" w:hAnsiTheme="majorHAnsi" w:cstheme="majorHAnsi"/>
          <w:sz w:val="24"/>
          <w:szCs w:val="24"/>
          <w:lang w:val="ro-RO"/>
        </w:rPr>
        <w:t>(</w:t>
      </w:r>
      <w:r w:rsidRPr="00F64A56">
        <w:rPr>
          <w:rFonts w:asciiTheme="majorHAnsi" w:eastAsia="Times New Roman" w:hAnsiTheme="majorHAnsi" w:cstheme="majorHAnsi"/>
          <w:i/>
          <w:sz w:val="24"/>
          <w:szCs w:val="24"/>
          <w:lang w:val="ro-RO"/>
        </w:rPr>
        <w:t>pentru 1 an (anul 2020) din 3 ani</w:t>
      </w:r>
      <w:r w:rsidRPr="00F64A56">
        <w:rPr>
          <w:rFonts w:asciiTheme="majorHAnsi" w:eastAsia="Times New Roman" w:hAnsiTheme="majorHAnsi" w:cstheme="majorHAnsi"/>
          <w:sz w:val="24"/>
          <w:szCs w:val="24"/>
          <w:lang w:val="ro-RO"/>
        </w:rPr>
        <w:t>).</w:t>
      </w:r>
    </w:p>
    <w:p w:rsidR="00EA2411" w:rsidRPr="00F64A56" w:rsidRDefault="00EA2411" w:rsidP="00EA2411">
      <w:pPr>
        <w:pStyle w:val="ListParagraph"/>
        <w:widowControl w:val="0"/>
        <w:numPr>
          <w:ilvl w:val="1"/>
          <w:numId w:val="21"/>
        </w:numPr>
        <w:shd w:val="clear" w:color="auto" w:fill="FFFFFF"/>
        <w:tabs>
          <w:tab w:val="left" w:pos="0"/>
          <w:tab w:val="left" w:pos="709"/>
          <w:tab w:val="left" w:pos="1134"/>
        </w:tabs>
        <w:spacing w:after="0" w:line="276" w:lineRule="auto"/>
        <w:ind w:left="0" w:firstLine="709"/>
        <w:jc w:val="both"/>
        <w:rPr>
          <w:rFonts w:asciiTheme="majorHAnsi" w:eastAsia="Times New Roman" w:hAnsiTheme="majorHAnsi" w:cstheme="majorHAnsi"/>
          <w:sz w:val="24"/>
          <w:szCs w:val="24"/>
          <w:lang w:val="ro-RO"/>
        </w:rPr>
      </w:pPr>
      <w:r w:rsidRPr="00F64A56">
        <w:rPr>
          <w:rFonts w:asciiTheme="majorHAnsi" w:eastAsia="Times New Roman" w:hAnsiTheme="majorHAnsi" w:cstheme="majorHAnsi"/>
          <w:sz w:val="24"/>
          <w:szCs w:val="24"/>
          <w:lang w:val="ro-RO"/>
        </w:rPr>
        <w:t>Interpretarea și aplicarea eronată a prevederilor normative</w:t>
      </w:r>
      <w:r w:rsidRPr="00F64A56">
        <w:rPr>
          <w:rFonts w:asciiTheme="majorHAnsi" w:hAnsiTheme="majorHAnsi" w:cstheme="majorHAnsi"/>
          <w:sz w:val="24"/>
          <w:szCs w:val="24"/>
          <w:vertAlign w:val="superscript"/>
          <w:lang w:val="ro-RO"/>
        </w:rPr>
        <w:footnoteReference w:id="41"/>
      </w:r>
      <w:r w:rsidRPr="00F64A56">
        <w:rPr>
          <w:rFonts w:asciiTheme="majorHAnsi" w:eastAsia="Times New Roman" w:hAnsiTheme="majorHAnsi" w:cstheme="majorHAnsi"/>
          <w:sz w:val="24"/>
          <w:szCs w:val="24"/>
          <w:lang w:val="ro-MD"/>
        </w:rPr>
        <w:t xml:space="preserve"> de către unele persoane responsabile</w:t>
      </w:r>
      <w:r w:rsidRPr="00F64A56">
        <w:rPr>
          <w:rFonts w:asciiTheme="majorHAnsi" w:eastAsia="Times New Roman" w:hAnsiTheme="majorHAnsi" w:cstheme="majorHAnsi"/>
          <w:sz w:val="24"/>
          <w:szCs w:val="24"/>
          <w:lang w:val="ro-RO"/>
        </w:rPr>
        <w:t xml:space="preserve"> din cadrul direcțiilor autonome ale primăriei, a condiționat recunoașterea și raportarea incorectă în evidența contabilă a unor bunuri materiale în sumă totală de </w:t>
      </w:r>
      <w:r w:rsidRPr="00F64A56">
        <w:rPr>
          <w:rFonts w:asciiTheme="majorHAnsi" w:eastAsia="Times New Roman" w:hAnsiTheme="majorHAnsi" w:cstheme="majorHAnsi"/>
          <w:b/>
          <w:sz w:val="24"/>
          <w:szCs w:val="24"/>
          <w:lang w:val="ro-RO"/>
        </w:rPr>
        <w:t>684</w:t>
      </w:r>
      <w:r w:rsidR="00E20BF8" w:rsidRPr="00F64A56">
        <w:rPr>
          <w:rFonts w:asciiTheme="majorHAnsi" w:eastAsia="Times New Roman" w:hAnsiTheme="majorHAnsi" w:cstheme="majorHAnsi"/>
          <w:b/>
          <w:sz w:val="24"/>
          <w:szCs w:val="24"/>
          <w:lang w:val="ro-RO"/>
        </w:rPr>
        <w:t>,2 mii</w:t>
      </w:r>
      <w:r w:rsidRPr="00F64A56">
        <w:rPr>
          <w:rFonts w:asciiTheme="majorHAnsi" w:eastAsia="Times New Roman" w:hAnsiTheme="majorHAnsi" w:cstheme="majorHAnsi"/>
          <w:b/>
          <w:sz w:val="24"/>
          <w:szCs w:val="24"/>
          <w:lang w:val="ro-RO"/>
        </w:rPr>
        <w:t xml:space="preserve"> lei</w:t>
      </w:r>
      <w:r w:rsidRPr="00F64A56">
        <w:rPr>
          <w:rFonts w:asciiTheme="majorHAnsi" w:eastAsia="Times New Roman" w:hAnsiTheme="majorHAnsi" w:cstheme="majorHAnsi"/>
          <w:sz w:val="24"/>
          <w:szCs w:val="24"/>
          <w:lang w:val="ro-RO"/>
        </w:rPr>
        <w:t xml:space="preserve">, </w:t>
      </w:r>
      <w:r w:rsidRPr="00F64A56">
        <w:rPr>
          <w:rFonts w:asciiTheme="majorHAnsi" w:eastAsia="Times New Roman" w:hAnsiTheme="majorHAnsi" w:cstheme="majorHAnsi"/>
          <w:sz w:val="24"/>
          <w:szCs w:val="24"/>
          <w:lang w:val="ro-MD"/>
        </w:rPr>
        <w:t xml:space="preserve">ceea ce a determinat diminuarea valorii contului </w:t>
      </w:r>
      <w:r w:rsidRPr="00F64A56">
        <w:rPr>
          <w:rFonts w:asciiTheme="majorHAnsi" w:eastAsia="Times New Roman" w:hAnsiTheme="majorHAnsi" w:cstheme="majorHAnsi"/>
          <w:sz w:val="24"/>
          <w:szCs w:val="24"/>
          <w:lang w:val="ro-RO"/>
        </w:rPr>
        <w:t xml:space="preserve">314 „Mașini și utilaje” cu </w:t>
      </w:r>
      <w:r w:rsidRPr="00F64A56">
        <w:rPr>
          <w:rFonts w:asciiTheme="majorHAnsi" w:eastAsia="Times New Roman" w:hAnsiTheme="majorHAnsi" w:cstheme="majorHAnsi"/>
          <w:b/>
          <w:sz w:val="24"/>
          <w:szCs w:val="24"/>
          <w:lang w:val="ro-RO"/>
        </w:rPr>
        <w:t>504</w:t>
      </w:r>
      <w:r w:rsidR="00E20BF8" w:rsidRPr="00F64A56">
        <w:rPr>
          <w:rFonts w:asciiTheme="majorHAnsi" w:eastAsia="Times New Roman" w:hAnsiTheme="majorHAnsi" w:cstheme="majorHAnsi"/>
          <w:b/>
          <w:sz w:val="24"/>
          <w:szCs w:val="24"/>
          <w:lang w:val="ro-RO"/>
        </w:rPr>
        <w:t>,8 mii</w:t>
      </w:r>
      <w:r w:rsidRPr="00F64A56">
        <w:rPr>
          <w:rFonts w:asciiTheme="majorHAnsi" w:eastAsia="Times New Roman" w:hAnsiTheme="majorHAnsi" w:cstheme="majorHAnsi"/>
          <w:b/>
          <w:sz w:val="24"/>
          <w:szCs w:val="24"/>
          <w:lang w:val="ro-RO"/>
        </w:rPr>
        <w:t xml:space="preserve"> lei</w:t>
      </w:r>
      <w:r w:rsidRPr="00F64A56">
        <w:rPr>
          <w:rFonts w:asciiTheme="majorHAnsi" w:eastAsia="Times New Roman" w:hAnsiTheme="majorHAnsi" w:cstheme="majorHAnsi"/>
          <w:sz w:val="24"/>
          <w:szCs w:val="24"/>
          <w:lang w:val="ro-RO"/>
        </w:rPr>
        <w:t xml:space="preserve"> și contului 318 „Alte mijloace fixe” – cu </w:t>
      </w:r>
      <w:r w:rsidRPr="00F64A56">
        <w:rPr>
          <w:rFonts w:asciiTheme="majorHAnsi" w:eastAsia="Times New Roman" w:hAnsiTheme="majorHAnsi" w:cstheme="majorHAnsi"/>
          <w:b/>
          <w:sz w:val="24"/>
          <w:szCs w:val="24"/>
          <w:lang w:val="ro-RO"/>
        </w:rPr>
        <w:t>179</w:t>
      </w:r>
      <w:r w:rsidR="00E20BF8" w:rsidRPr="00F64A56">
        <w:rPr>
          <w:rFonts w:asciiTheme="majorHAnsi" w:eastAsia="Times New Roman" w:hAnsiTheme="majorHAnsi" w:cstheme="majorHAnsi"/>
          <w:b/>
          <w:sz w:val="24"/>
          <w:szCs w:val="24"/>
          <w:lang w:val="ro-RO"/>
        </w:rPr>
        <w:t>,4 mii</w:t>
      </w:r>
      <w:r w:rsidRPr="00F64A56">
        <w:rPr>
          <w:rFonts w:asciiTheme="majorHAnsi" w:eastAsia="Times New Roman" w:hAnsiTheme="majorHAnsi" w:cstheme="majorHAnsi"/>
          <w:b/>
          <w:sz w:val="24"/>
          <w:szCs w:val="24"/>
          <w:lang w:val="ro-RO"/>
        </w:rPr>
        <w:t xml:space="preserve"> lei</w:t>
      </w:r>
      <w:r w:rsidRPr="00F64A56">
        <w:rPr>
          <w:rFonts w:asciiTheme="majorHAnsi" w:eastAsia="Times New Roman" w:hAnsiTheme="majorHAnsi" w:cstheme="majorHAnsi"/>
          <w:sz w:val="24"/>
          <w:szCs w:val="24"/>
          <w:lang w:val="ro-RO"/>
        </w:rPr>
        <w:t xml:space="preserve"> și, respectiv, supraevaluarea valorii stocurilor de materiale circulante la contul 334 „Medicamente și materiale sanitare” -</w:t>
      </w:r>
      <w:r w:rsidRPr="00F64A56">
        <w:rPr>
          <w:rFonts w:asciiTheme="majorHAnsi" w:eastAsia="Times New Roman" w:hAnsiTheme="majorHAnsi" w:cstheme="majorHAnsi"/>
          <w:sz w:val="24"/>
          <w:szCs w:val="24"/>
          <w:vertAlign w:val="superscript"/>
          <w:lang w:val="ro-RO"/>
        </w:rPr>
        <w:t xml:space="preserve"> </w:t>
      </w:r>
      <w:r w:rsidRPr="00F64A56">
        <w:rPr>
          <w:rFonts w:asciiTheme="majorHAnsi" w:eastAsia="Times New Roman" w:hAnsiTheme="majorHAnsi" w:cstheme="majorHAnsi"/>
          <w:sz w:val="24"/>
          <w:szCs w:val="24"/>
          <w:lang w:val="ro-RO"/>
        </w:rPr>
        <w:t>cu 205</w:t>
      </w:r>
      <w:r w:rsidR="00E20BF8" w:rsidRPr="00F64A56">
        <w:rPr>
          <w:rFonts w:asciiTheme="majorHAnsi" w:eastAsia="Times New Roman" w:hAnsiTheme="majorHAnsi" w:cstheme="majorHAnsi"/>
          <w:sz w:val="24"/>
          <w:szCs w:val="24"/>
          <w:lang w:val="ro-RO"/>
        </w:rPr>
        <w:t>,1 mii</w:t>
      </w:r>
      <w:r w:rsidRPr="00F64A56">
        <w:rPr>
          <w:rFonts w:asciiTheme="majorHAnsi" w:eastAsia="Times New Roman" w:hAnsiTheme="majorHAnsi" w:cstheme="majorHAnsi"/>
          <w:sz w:val="24"/>
          <w:szCs w:val="24"/>
          <w:lang w:val="ro-RO"/>
        </w:rPr>
        <w:t xml:space="preserve"> lei</w:t>
      </w:r>
      <w:r w:rsidRPr="00F64A56">
        <w:rPr>
          <w:rFonts w:asciiTheme="majorHAnsi" w:hAnsiTheme="majorHAnsi" w:cstheme="majorHAnsi"/>
          <w:sz w:val="24"/>
          <w:szCs w:val="24"/>
          <w:vertAlign w:val="superscript"/>
          <w:lang w:val="ro-RO"/>
        </w:rPr>
        <w:footnoteReference w:id="42"/>
      </w:r>
      <w:r w:rsidRPr="00F64A56">
        <w:rPr>
          <w:rFonts w:asciiTheme="majorHAnsi" w:eastAsia="Times New Roman" w:hAnsiTheme="majorHAnsi" w:cstheme="majorHAnsi"/>
          <w:sz w:val="24"/>
          <w:szCs w:val="24"/>
          <w:lang w:val="ro-RO"/>
        </w:rPr>
        <w:t>, contul 336</w:t>
      </w:r>
      <w:r w:rsidRPr="002F288C">
        <w:rPr>
          <w:rFonts w:asciiTheme="majorHAnsi" w:eastAsia="Times New Roman" w:hAnsiTheme="majorHAnsi" w:cstheme="majorHAnsi"/>
          <w:sz w:val="24"/>
          <w:szCs w:val="24"/>
        </w:rPr>
        <w:t xml:space="preserve"> </w:t>
      </w:r>
      <w:r w:rsidRPr="00F64A56">
        <w:rPr>
          <w:rFonts w:asciiTheme="majorHAnsi" w:eastAsia="Times New Roman" w:hAnsiTheme="majorHAnsi" w:cstheme="majorHAnsi"/>
          <w:sz w:val="24"/>
          <w:szCs w:val="24"/>
          <w:lang w:val="ro-MD"/>
        </w:rPr>
        <w:t>„</w:t>
      </w:r>
      <w:r w:rsidRPr="00F64A56">
        <w:rPr>
          <w:rFonts w:asciiTheme="majorHAnsi" w:eastAsia="Times New Roman" w:hAnsiTheme="majorHAnsi" w:cstheme="majorHAnsi"/>
          <w:sz w:val="24"/>
          <w:szCs w:val="24"/>
          <w:lang w:val="ro-RO"/>
        </w:rPr>
        <w:t>Materiale de uz gospodăresc și rechizite de birou” – cu 280</w:t>
      </w:r>
      <w:r w:rsidR="00E20BF8" w:rsidRPr="00F64A56">
        <w:rPr>
          <w:rFonts w:asciiTheme="majorHAnsi" w:eastAsia="Times New Roman" w:hAnsiTheme="majorHAnsi" w:cstheme="majorHAnsi"/>
          <w:sz w:val="24"/>
          <w:szCs w:val="24"/>
          <w:lang w:val="ro-RO"/>
        </w:rPr>
        <w:t>,3 mii</w:t>
      </w:r>
      <w:r w:rsidRPr="00F64A56">
        <w:rPr>
          <w:rFonts w:asciiTheme="majorHAnsi" w:eastAsia="Times New Roman" w:hAnsiTheme="majorHAnsi" w:cstheme="majorHAnsi"/>
          <w:sz w:val="24"/>
          <w:szCs w:val="24"/>
          <w:lang w:val="ro-RO"/>
        </w:rPr>
        <w:t xml:space="preserve"> lei</w:t>
      </w:r>
      <w:r w:rsidRPr="00F64A56">
        <w:rPr>
          <w:rFonts w:asciiTheme="majorHAnsi" w:hAnsiTheme="majorHAnsi" w:cstheme="majorHAnsi"/>
          <w:sz w:val="24"/>
          <w:szCs w:val="24"/>
          <w:vertAlign w:val="superscript"/>
          <w:lang w:val="ro-RO"/>
        </w:rPr>
        <w:footnoteReference w:id="43"/>
      </w:r>
      <w:r w:rsidR="007D20FA">
        <w:rPr>
          <w:rFonts w:asciiTheme="majorHAnsi" w:eastAsia="Times New Roman" w:hAnsiTheme="majorHAnsi" w:cstheme="majorHAnsi"/>
          <w:sz w:val="24"/>
          <w:szCs w:val="24"/>
          <w:lang w:val="ro-RO"/>
        </w:rPr>
        <w:t>,</w:t>
      </w:r>
      <w:r w:rsidRPr="00F64A56">
        <w:rPr>
          <w:rFonts w:asciiTheme="majorHAnsi" w:eastAsia="Times New Roman" w:hAnsiTheme="majorHAnsi" w:cstheme="majorHAnsi"/>
          <w:sz w:val="24"/>
          <w:szCs w:val="24"/>
          <w:lang w:val="ro-RO"/>
        </w:rPr>
        <w:t xml:space="preserve"> și contul 339 „Alte materiale” - cu 198</w:t>
      </w:r>
      <w:r w:rsidR="00E20BF8" w:rsidRPr="00F64A56">
        <w:rPr>
          <w:rFonts w:asciiTheme="majorHAnsi" w:eastAsia="Times New Roman" w:hAnsiTheme="majorHAnsi" w:cstheme="majorHAnsi"/>
          <w:sz w:val="24"/>
          <w:szCs w:val="24"/>
          <w:lang w:val="ro-RO"/>
        </w:rPr>
        <w:t>,8 mii</w:t>
      </w:r>
      <w:r w:rsidRPr="00F64A56">
        <w:rPr>
          <w:rFonts w:asciiTheme="majorHAnsi" w:eastAsia="Times New Roman" w:hAnsiTheme="majorHAnsi" w:cstheme="majorHAnsi"/>
          <w:sz w:val="24"/>
          <w:szCs w:val="24"/>
          <w:lang w:val="ro-RO"/>
        </w:rPr>
        <w:t xml:space="preserve"> lei</w:t>
      </w:r>
      <w:r w:rsidRPr="00F64A56">
        <w:rPr>
          <w:rFonts w:asciiTheme="majorHAnsi" w:hAnsiTheme="majorHAnsi" w:cstheme="majorHAnsi"/>
          <w:sz w:val="24"/>
          <w:szCs w:val="24"/>
          <w:vertAlign w:val="superscript"/>
          <w:lang w:val="ro-RO"/>
        </w:rPr>
        <w:footnoteReference w:id="44"/>
      </w:r>
      <w:r w:rsidR="004C2976" w:rsidRPr="00F64A56">
        <w:rPr>
          <w:rFonts w:asciiTheme="majorHAnsi" w:eastAsia="Times New Roman" w:hAnsiTheme="majorHAnsi" w:cstheme="majorHAnsi"/>
          <w:sz w:val="24"/>
          <w:szCs w:val="24"/>
          <w:lang w:val="ro-RO"/>
        </w:rPr>
        <w:t>.</w:t>
      </w:r>
    </w:p>
    <w:p w:rsidR="00AA35B7" w:rsidRPr="00F64A56" w:rsidRDefault="00AA35B7" w:rsidP="00AA35B7">
      <w:pPr>
        <w:widowControl w:val="0"/>
        <w:numPr>
          <w:ilvl w:val="1"/>
          <w:numId w:val="21"/>
        </w:numPr>
        <w:shd w:val="clear" w:color="auto" w:fill="FFFFFF"/>
        <w:tabs>
          <w:tab w:val="left" w:pos="0"/>
          <w:tab w:val="left" w:pos="1134"/>
        </w:tabs>
        <w:spacing w:after="0" w:line="276" w:lineRule="auto"/>
        <w:ind w:left="0" w:firstLine="709"/>
        <w:jc w:val="both"/>
        <w:rPr>
          <w:rFonts w:asciiTheme="majorHAnsi" w:eastAsia="Times New Roman" w:hAnsiTheme="majorHAnsi" w:cstheme="majorHAnsi"/>
          <w:sz w:val="24"/>
          <w:szCs w:val="24"/>
          <w:lang w:val="ro-MD"/>
        </w:rPr>
      </w:pPr>
      <w:r w:rsidRPr="00F64A56">
        <w:rPr>
          <w:rFonts w:asciiTheme="majorHAnsi" w:eastAsia="Times New Roman" w:hAnsiTheme="majorHAnsi" w:cstheme="majorHAnsi"/>
          <w:sz w:val="24"/>
          <w:szCs w:val="24"/>
          <w:lang w:val="ro-RO"/>
        </w:rPr>
        <w:t>Prin aplicarea eronată a prevederilor normative</w:t>
      </w:r>
      <w:r w:rsidRPr="00F64A56">
        <w:rPr>
          <w:rFonts w:asciiTheme="majorHAnsi" w:eastAsia="Times New Roman" w:hAnsiTheme="majorHAnsi" w:cstheme="majorHAnsi"/>
          <w:sz w:val="24"/>
          <w:szCs w:val="24"/>
          <w:vertAlign w:val="superscript"/>
          <w:lang w:val="ro-RO"/>
        </w:rPr>
        <w:footnoteReference w:id="45"/>
      </w:r>
      <w:r w:rsidRPr="00F64A56">
        <w:rPr>
          <w:rFonts w:asciiTheme="majorHAnsi" w:eastAsia="Times New Roman" w:hAnsiTheme="majorHAnsi" w:cstheme="majorHAnsi"/>
          <w:sz w:val="24"/>
          <w:szCs w:val="24"/>
          <w:lang w:val="ro-RO"/>
        </w:rPr>
        <w:t xml:space="preserve"> s-a admis raportarea incorectă</w:t>
      </w:r>
      <w:r w:rsidRPr="00F64A56">
        <w:rPr>
          <w:rFonts w:asciiTheme="majorHAnsi" w:eastAsia="Times New Roman" w:hAnsiTheme="majorHAnsi" w:cstheme="majorHAnsi"/>
          <w:sz w:val="24"/>
          <w:szCs w:val="24"/>
          <w:vertAlign w:val="superscript"/>
          <w:lang w:val="ro-RO"/>
        </w:rPr>
        <w:footnoteReference w:id="46"/>
      </w:r>
      <w:r w:rsidRPr="00F64A56">
        <w:rPr>
          <w:rFonts w:asciiTheme="majorHAnsi" w:eastAsia="Times New Roman" w:hAnsiTheme="majorHAnsi" w:cstheme="majorHAnsi"/>
          <w:sz w:val="24"/>
          <w:szCs w:val="24"/>
          <w:lang w:val="ro-RO"/>
        </w:rPr>
        <w:t xml:space="preserve"> în evidență a materialelor obținute de la casare</w:t>
      </w:r>
      <w:r w:rsidR="007D20FA">
        <w:rPr>
          <w:rFonts w:asciiTheme="majorHAnsi" w:eastAsia="Times New Roman" w:hAnsiTheme="majorHAnsi" w:cstheme="majorHAnsi"/>
          <w:sz w:val="24"/>
          <w:szCs w:val="24"/>
          <w:lang w:val="ro-RO"/>
        </w:rPr>
        <w:t>a</w:t>
      </w:r>
      <w:r w:rsidRPr="00F64A56">
        <w:rPr>
          <w:rFonts w:asciiTheme="majorHAnsi" w:eastAsia="Times New Roman" w:hAnsiTheme="majorHAnsi" w:cstheme="majorHAnsi"/>
          <w:sz w:val="24"/>
          <w:szCs w:val="24"/>
          <w:lang w:val="ro-RO"/>
        </w:rPr>
        <w:t>/dezasamblare</w:t>
      </w:r>
      <w:r w:rsidR="007D20FA">
        <w:rPr>
          <w:rFonts w:asciiTheme="majorHAnsi" w:eastAsia="Times New Roman" w:hAnsiTheme="majorHAnsi" w:cstheme="majorHAnsi"/>
          <w:sz w:val="24"/>
          <w:szCs w:val="24"/>
          <w:lang w:val="ro-RO"/>
        </w:rPr>
        <w:t>a</w:t>
      </w:r>
      <w:r w:rsidRPr="00F64A56">
        <w:rPr>
          <w:rFonts w:asciiTheme="majorHAnsi" w:eastAsia="Times New Roman" w:hAnsiTheme="majorHAnsi" w:cstheme="majorHAnsi"/>
          <w:sz w:val="24"/>
          <w:szCs w:val="24"/>
          <w:lang w:val="ro-RO"/>
        </w:rPr>
        <w:t xml:space="preserve"> de către unele direcții ale primăriei cu drept de gestiune și raportare financiară</w:t>
      </w:r>
      <w:r w:rsidRPr="00F64A56">
        <w:rPr>
          <w:rFonts w:asciiTheme="majorHAnsi" w:eastAsia="Times New Roman" w:hAnsiTheme="majorHAnsi" w:cstheme="majorHAnsi"/>
          <w:sz w:val="24"/>
          <w:szCs w:val="24"/>
          <w:vertAlign w:val="superscript"/>
          <w:lang w:val="ro-RO"/>
        </w:rPr>
        <w:footnoteReference w:id="47"/>
      </w:r>
      <w:r w:rsidRPr="00F64A56">
        <w:rPr>
          <w:rFonts w:asciiTheme="majorHAnsi" w:eastAsia="Times New Roman" w:hAnsiTheme="majorHAnsi" w:cstheme="majorHAnsi"/>
          <w:sz w:val="24"/>
          <w:szCs w:val="24"/>
          <w:lang w:val="ro-RO"/>
        </w:rPr>
        <w:t xml:space="preserve">, ceea ce a dus la subevaluarea valorii contului 339 „Alte materiale” cu suma totală de </w:t>
      </w:r>
      <w:r w:rsidRPr="00F64A56">
        <w:rPr>
          <w:rFonts w:asciiTheme="majorHAnsi" w:eastAsia="Times New Roman" w:hAnsiTheme="majorHAnsi" w:cstheme="majorHAnsi"/>
          <w:b/>
          <w:sz w:val="24"/>
          <w:szCs w:val="24"/>
          <w:lang w:val="ro-RO"/>
        </w:rPr>
        <w:t>496</w:t>
      </w:r>
      <w:r w:rsidR="00A51B43" w:rsidRPr="00F64A56">
        <w:rPr>
          <w:rFonts w:asciiTheme="majorHAnsi" w:eastAsia="Times New Roman" w:hAnsiTheme="majorHAnsi" w:cstheme="majorHAnsi"/>
          <w:b/>
          <w:sz w:val="24"/>
          <w:szCs w:val="24"/>
          <w:lang w:val="ro-RO"/>
        </w:rPr>
        <w:t>,3 mii</w:t>
      </w:r>
      <w:r w:rsidRPr="00F64A56">
        <w:rPr>
          <w:rFonts w:asciiTheme="majorHAnsi" w:eastAsia="Times New Roman" w:hAnsiTheme="majorHAnsi" w:cstheme="majorHAnsi"/>
          <w:b/>
          <w:sz w:val="24"/>
          <w:szCs w:val="24"/>
          <w:lang w:val="ro-RO"/>
        </w:rPr>
        <w:t xml:space="preserve"> lei</w:t>
      </w:r>
      <w:r w:rsidRPr="00F64A56">
        <w:rPr>
          <w:rFonts w:asciiTheme="majorHAnsi" w:eastAsia="Times New Roman" w:hAnsiTheme="majorHAnsi" w:cstheme="majorHAnsi"/>
          <w:sz w:val="24"/>
          <w:szCs w:val="24"/>
          <w:lang w:val="ro-RO"/>
        </w:rPr>
        <w:t xml:space="preserve"> și la denaturarea, cu aceeași sumă, a valorii contului de venituri 149 „Alte venituri și finanțări”.</w:t>
      </w:r>
    </w:p>
    <w:p w:rsidR="008B50B5" w:rsidRPr="00F64A56" w:rsidRDefault="009D023E" w:rsidP="008B50B5">
      <w:pPr>
        <w:widowControl w:val="0"/>
        <w:numPr>
          <w:ilvl w:val="1"/>
          <w:numId w:val="21"/>
        </w:numPr>
        <w:shd w:val="clear" w:color="auto" w:fill="FFFFFF"/>
        <w:tabs>
          <w:tab w:val="left" w:pos="0"/>
          <w:tab w:val="left" w:pos="1134"/>
        </w:tabs>
        <w:spacing w:after="0" w:line="276" w:lineRule="auto"/>
        <w:ind w:left="0" w:firstLine="709"/>
        <w:jc w:val="both"/>
        <w:rPr>
          <w:rFonts w:asciiTheme="majorHAnsi" w:eastAsia="Times New Roman" w:hAnsiTheme="majorHAnsi" w:cstheme="majorHAnsi"/>
          <w:sz w:val="24"/>
          <w:szCs w:val="24"/>
          <w:lang w:val="ro-MD"/>
        </w:rPr>
      </w:pPr>
      <w:r w:rsidRPr="00F64A56">
        <w:rPr>
          <w:rFonts w:asciiTheme="majorHAnsi" w:eastAsia="Times New Roman" w:hAnsiTheme="majorHAnsi" w:cstheme="majorHAnsi"/>
          <w:bCs/>
          <w:iCs/>
          <w:sz w:val="24"/>
          <w:szCs w:val="24"/>
          <w:lang w:val="ro-RO"/>
        </w:rPr>
        <w:t>Cu derogare de la prevederile normative</w:t>
      </w:r>
      <w:r w:rsidRPr="00F64A56">
        <w:rPr>
          <w:rFonts w:asciiTheme="majorHAnsi" w:eastAsia="Times New Roman" w:hAnsiTheme="majorHAnsi" w:cstheme="majorHAnsi"/>
          <w:bCs/>
          <w:iCs/>
          <w:sz w:val="24"/>
          <w:szCs w:val="24"/>
          <w:vertAlign w:val="superscript"/>
          <w:lang w:val="ro-RO"/>
        </w:rPr>
        <w:footnoteReference w:id="48"/>
      </w:r>
      <w:r w:rsidRPr="00F64A56">
        <w:rPr>
          <w:rFonts w:asciiTheme="majorHAnsi" w:eastAsia="Times New Roman" w:hAnsiTheme="majorHAnsi" w:cstheme="majorHAnsi"/>
          <w:bCs/>
          <w:iCs/>
          <w:sz w:val="24"/>
          <w:szCs w:val="24"/>
          <w:lang w:val="ro-RO"/>
        </w:rPr>
        <w:t>, serviciile pentru perfectarea dosarelor tehnice/cadastrale</w:t>
      </w:r>
      <w:r w:rsidRPr="00F64A56">
        <w:rPr>
          <w:rFonts w:asciiTheme="majorHAnsi" w:eastAsia="Times New Roman" w:hAnsiTheme="majorHAnsi" w:cstheme="majorHAnsi"/>
          <w:bCs/>
          <w:iCs/>
          <w:sz w:val="24"/>
          <w:szCs w:val="24"/>
          <w:vertAlign w:val="superscript"/>
          <w:lang w:val="ro-RO"/>
        </w:rPr>
        <w:footnoteReference w:id="49"/>
      </w:r>
      <w:r w:rsidRPr="00F64A56">
        <w:rPr>
          <w:rFonts w:asciiTheme="majorHAnsi" w:eastAsia="Times New Roman" w:hAnsiTheme="majorHAnsi" w:cstheme="majorHAnsi"/>
          <w:bCs/>
          <w:iCs/>
          <w:sz w:val="24"/>
          <w:szCs w:val="24"/>
          <w:lang w:val="ro-RO"/>
        </w:rPr>
        <w:t xml:space="preserve"> au fost recunoscute și raportate eronat ca active materiale, fapt ce a determinat subevaluarea valorii cheltuielilor curente la contul</w:t>
      </w:r>
      <w:r w:rsidRPr="00F64A56">
        <w:rPr>
          <w:rFonts w:asciiTheme="majorHAnsi" w:eastAsia="Times New Roman" w:hAnsiTheme="majorHAnsi" w:cstheme="majorHAnsi"/>
          <w:bCs/>
          <w:iCs/>
          <w:sz w:val="24"/>
          <w:szCs w:val="24"/>
        </w:rPr>
        <w:t xml:space="preserve"> </w:t>
      </w:r>
      <w:r w:rsidRPr="00F64A56">
        <w:rPr>
          <w:rFonts w:asciiTheme="majorHAnsi" w:eastAsia="Times New Roman" w:hAnsiTheme="majorHAnsi" w:cstheme="majorHAnsi"/>
          <w:bCs/>
          <w:iCs/>
          <w:sz w:val="24"/>
          <w:szCs w:val="24"/>
          <w:lang w:val="ro-RO"/>
        </w:rPr>
        <w:t xml:space="preserve">289 „Alte cheltuieli ale </w:t>
      </w:r>
      <w:r w:rsidRPr="00F64A56">
        <w:rPr>
          <w:rFonts w:asciiTheme="majorHAnsi" w:eastAsia="Times New Roman" w:hAnsiTheme="majorHAnsi" w:cstheme="majorHAnsi"/>
          <w:bCs/>
          <w:iCs/>
          <w:sz w:val="24"/>
          <w:szCs w:val="24"/>
          <w:lang w:val="ro-RO"/>
        </w:rPr>
        <w:lastRenderedPageBreak/>
        <w:t xml:space="preserve">autorităților/instituțiilor bugetare” cu suma totală de </w:t>
      </w:r>
      <w:r w:rsidRPr="00F64A56">
        <w:rPr>
          <w:rFonts w:asciiTheme="majorHAnsi" w:eastAsia="Times New Roman" w:hAnsiTheme="majorHAnsi" w:cstheme="majorHAnsi"/>
          <w:b/>
          <w:bCs/>
          <w:iCs/>
          <w:sz w:val="24"/>
          <w:szCs w:val="24"/>
          <w:lang w:val="ro-RO"/>
        </w:rPr>
        <w:t>330</w:t>
      </w:r>
      <w:r w:rsidR="00A51B43" w:rsidRPr="00F64A56">
        <w:rPr>
          <w:rFonts w:asciiTheme="majorHAnsi" w:eastAsia="Times New Roman" w:hAnsiTheme="majorHAnsi" w:cstheme="majorHAnsi"/>
          <w:b/>
          <w:bCs/>
          <w:iCs/>
          <w:sz w:val="24"/>
          <w:szCs w:val="24"/>
          <w:lang w:val="ro-RO"/>
        </w:rPr>
        <w:t>,9 mii</w:t>
      </w:r>
      <w:r w:rsidRPr="00F64A56">
        <w:rPr>
          <w:rFonts w:asciiTheme="majorHAnsi" w:eastAsia="Times New Roman" w:hAnsiTheme="majorHAnsi" w:cstheme="majorHAnsi"/>
          <w:b/>
          <w:bCs/>
          <w:iCs/>
          <w:sz w:val="24"/>
          <w:szCs w:val="24"/>
          <w:lang w:val="ro-RO"/>
        </w:rPr>
        <w:t xml:space="preserve"> lei</w:t>
      </w:r>
      <w:r w:rsidRPr="00F64A56">
        <w:rPr>
          <w:rFonts w:asciiTheme="majorHAnsi" w:eastAsia="Times New Roman" w:hAnsiTheme="majorHAnsi" w:cstheme="majorHAnsi"/>
          <w:bCs/>
          <w:iCs/>
          <w:sz w:val="24"/>
          <w:szCs w:val="24"/>
          <w:lang w:val="ro-RO"/>
        </w:rPr>
        <w:t xml:space="preserve"> și majorarea nejustificată cu aceeași sumă a valorii activelor la contul 318 „Alte mijloace fixe” (uzura nu s-a calculat)</w:t>
      </w:r>
      <w:r w:rsidR="004C2976" w:rsidRPr="00F64A56">
        <w:rPr>
          <w:rFonts w:asciiTheme="majorHAnsi" w:eastAsia="Times New Roman" w:hAnsiTheme="majorHAnsi" w:cstheme="majorHAnsi"/>
          <w:bCs/>
          <w:iCs/>
          <w:sz w:val="24"/>
          <w:szCs w:val="24"/>
          <w:lang w:val="ro-RO"/>
        </w:rPr>
        <w:t>.</w:t>
      </w:r>
    </w:p>
    <w:p w:rsidR="008B50B5" w:rsidRPr="00F64A56" w:rsidRDefault="008B50B5" w:rsidP="008B50B5">
      <w:pPr>
        <w:widowControl w:val="0"/>
        <w:numPr>
          <w:ilvl w:val="1"/>
          <w:numId w:val="21"/>
        </w:numPr>
        <w:shd w:val="clear" w:color="auto" w:fill="FFFFFF"/>
        <w:tabs>
          <w:tab w:val="left" w:pos="0"/>
          <w:tab w:val="left" w:pos="1134"/>
        </w:tabs>
        <w:spacing w:after="0" w:line="276" w:lineRule="auto"/>
        <w:ind w:left="0" w:firstLine="709"/>
        <w:jc w:val="both"/>
        <w:rPr>
          <w:rFonts w:asciiTheme="majorHAnsi" w:eastAsia="Times New Roman" w:hAnsiTheme="majorHAnsi" w:cstheme="majorHAnsi"/>
          <w:sz w:val="24"/>
          <w:szCs w:val="24"/>
          <w:lang w:val="ro-MD"/>
        </w:rPr>
      </w:pPr>
      <w:r w:rsidRPr="00F64A56">
        <w:rPr>
          <w:rFonts w:asciiTheme="majorHAnsi" w:eastAsia="Times New Roman" w:hAnsiTheme="majorHAnsi" w:cstheme="majorHAnsi"/>
          <w:sz w:val="24"/>
          <w:szCs w:val="24"/>
          <w:lang w:val="ro-RO"/>
        </w:rPr>
        <w:t>Prin aplicarea eronată a prevederilor normative</w:t>
      </w:r>
      <w:r w:rsidRPr="00F64A56">
        <w:rPr>
          <w:rFonts w:asciiTheme="majorHAnsi" w:eastAsia="Times New Roman" w:hAnsiTheme="majorHAnsi" w:cstheme="majorHAnsi"/>
          <w:bCs/>
          <w:iCs/>
          <w:sz w:val="24"/>
          <w:szCs w:val="24"/>
          <w:vertAlign w:val="superscript"/>
          <w:lang w:val="ro-MD"/>
        </w:rPr>
        <w:footnoteReference w:id="50"/>
      </w:r>
      <w:r w:rsidRPr="00F64A56">
        <w:rPr>
          <w:rFonts w:asciiTheme="majorHAnsi" w:eastAsia="Times New Roman" w:hAnsiTheme="majorHAnsi" w:cstheme="majorHAnsi"/>
          <w:sz w:val="24"/>
          <w:szCs w:val="24"/>
          <w:lang w:val="ro-RO"/>
        </w:rPr>
        <w:t xml:space="preserve">, s-a admis raportarea incorectă a unor </w:t>
      </w:r>
      <w:r w:rsidRPr="00F64A56">
        <w:rPr>
          <w:rFonts w:asciiTheme="majorHAnsi" w:eastAsia="Times New Roman" w:hAnsiTheme="majorHAnsi" w:cstheme="majorHAnsi"/>
          <w:bCs/>
          <w:iCs/>
          <w:sz w:val="24"/>
          <w:szCs w:val="24"/>
          <w:lang w:val="ro-MD"/>
        </w:rPr>
        <w:t>cheltuieli</w:t>
      </w:r>
      <w:r w:rsidRPr="00F64A56">
        <w:rPr>
          <w:rFonts w:asciiTheme="majorHAnsi" w:eastAsia="Times New Roman" w:hAnsiTheme="majorHAnsi" w:cstheme="majorHAnsi"/>
          <w:sz w:val="24"/>
          <w:szCs w:val="24"/>
          <w:lang w:val="ro-RO"/>
        </w:rPr>
        <w:t xml:space="preserve">, condiționată de necontabilizarea autentică a lucrărilor </w:t>
      </w:r>
      <w:r w:rsidRPr="00F64A56">
        <w:rPr>
          <w:rFonts w:asciiTheme="majorHAnsi" w:eastAsia="Times New Roman" w:hAnsiTheme="majorHAnsi" w:cstheme="majorHAnsi"/>
          <w:iCs/>
          <w:sz w:val="24"/>
          <w:szCs w:val="24"/>
          <w:lang w:val="ro-RO"/>
        </w:rPr>
        <w:t xml:space="preserve">de construcție/montare la sistemul de semnalizare și cazanele cu gaz la costul activelor materiale, ceea ce a determinat majorarea valorii contului 222 „Servicii” cu suma totală de </w:t>
      </w:r>
      <w:r w:rsidRPr="00F64A56">
        <w:rPr>
          <w:rFonts w:asciiTheme="majorHAnsi" w:eastAsia="Times New Roman" w:hAnsiTheme="majorHAnsi" w:cstheme="majorHAnsi"/>
          <w:b/>
          <w:iCs/>
          <w:sz w:val="24"/>
          <w:szCs w:val="24"/>
          <w:lang w:val="ro-RO"/>
        </w:rPr>
        <w:t>120</w:t>
      </w:r>
      <w:r w:rsidR="00A51B43" w:rsidRPr="00F64A56">
        <w:rPr>
          <w:rFonts w:asciiTheme="majorHAnsi" w:eastAsia="Times New Roman" w:hAnsiTheme="majorHAnsi" w:cstheme="majorHAnsi"/>
          <w:b/>
          <w:iCs/>
          <w:sz w:val="24"/>
          <w:szCs w:val="24"/>
          <w:lang w:val="ro-RO"/>
        </w:rPr>
        <w:t>,1 mii</w:t>
      </w:r>
      <w:r w:rsidRPr="00F64A56">
        <w:rPr>
          <w:rFonts w:asciiTheme="majorHAnsi" w:eastAsia="Times New Roman" w:hAnsiTheme="majorHAnsi" w:cstheme="majorHAnsi"/>
          <w:b/>
          <w:iCs/>
          <w:sz w:val="24"/>
          <w:szCs w:val="24"/>
          <w:lang w:val="ro-RO"/>
        </w:rPr>
        <w:t xml:space="preserve"> lei</w:t>
      </w:r>
      <w:r w:rsidRPr="00F64A56">
        <w:rPr>
          <w:rFonts w:asciiTheme="majorHAnsi" w:eastAsia="Times New Roman" w:hAnsiTheme="majorHAnsi" w:cstheme="majorHAnsi"/>
          <w:iCs/>
          <w:sz w:val="24"/>
          <w:szCs w:val="24"/>
          <w:lang w:val="ro-RO"/>
        </w:rPr>
        <w:t xml:space="preserve"> și, respectiv, subevaluarea valorii contului 311 „Clădiri” cu 70</w:t>
      </w:r>
      <w:r w:rsidR="00A51B43" w:rsidRPr="00F64A56">
        <w:rPr>
          <w:rFonts w:asciiTheme="majorHAnsi" w:eastAsia="Times New Roman" w:hAnsiTheme="majorHAnsi" w:cstheme="majorHAnsi"/>
          <w:iCs/>
          <w:sz w:val="24"/>
          <w:szCs w:val="24"/>
          <w:lang w:val="ro-RO"/>
        </w:rPr>
        <w:t>,1 mii</w:t>
      </w:r>
      <w:r w:rsidRPr="00F64A56">
        <w:rPr>
          <w:rFonts w:asciiTheme="majorHAnsi" w:eastAsia="Times New Roman" w:hAnsiTheme="majorHAnsi" w:cstheme="majorHAnsi"/>
          <w:iCs/>
          <w:sz w:val="24"/>
          <w:szCs w:val="24"/>
          <w:lang w:val="ro-RO"/>
        </w:rPr>
        <w:t xml:space="preserve"> lei</w:t>
      </w:r>
      <w:r w:rsidRPr="00F64A56">
        <w:rPr>
          <w:rFonts w:asciiTheme="majorHAnsi" w:eastAsia="Times New Roman" w:hAnsiTheme="majorHAnsi" w:cstheme="majorHAnsi"/>
          <w:iCs/>
          <w:sz w:val="24"/>
          <w:szCs w:val="24"/>
          <w:vertAlign w:val="superscript"/>
          <w:lang w:val="ro-RO"/>
        </w:rPr>
        <w:footnoteReference w:id="51"/>
      </w:r>
      <w:r w:rsidRPr="00F64A56">
        <w:rPr>
          <w:rFonts w:asciiTheme="majorHAnsi" w:eastAsia="Times New Roman" w:hAnsiTheme="majorHAnsi" w:cstheme="majorHAnsi"/>
          <w:iCs/>
          <w:sz w:val="24"/>
          <w:szCs w:val="24"/>
          <w:lang w:val="ro-RO"/>
        </w:rPr>
        <w:t xml:space="preserve"> și contului 314 „M</w:t>
      </w:r>
      <w:r w:rsidR="00A51B43" w:rsidRPr="00F64A56">
        <w:rPr>
          <w:rFonts w:asciiTheme="majorHAnsi" w:eastAsia="Times New Roman" w:hAnsiTheme="majorHAnsi" w:cstheme="majorHAnsi"/>
          <w:iCs/>
          <w:sz w:val="24"/>
          <w:szCs w:val="24"/>
          <w:lang w:val="ro-RO"/>
        </w:rPr>
        <w:t xml:space="preserve">așini și utilaje” – cu 50,0 mii </w:t>
      </w:r>
      <w:r w:rsidRPr="00F64A56">
        <w:rPr>
          <w:rFonts w:asciiTheme="majorHAnsi" w:eastAsia="Times New Roman" w:hAnsiTheme="majorHAnsi" w:cstheme="majorHAnsi"/>
          <w:iCs/>
          <w:sz w:val="24"/>
          <w:szCs w:val="24"/>
          <w:lang w:val="ro-RO"/>
        </w:rPr>
        <w:t>lei</w:t>
      </w:r>
      <w:r w:rsidRPr="00F64A56">
        <w:rPr>
          <w:rFonts w:asciiTheme="majorHAnsi" w:eastAsia="Times New Roman" w:hAnsiTheme="majorHAnsi" w:cstheme="majorHAnsi"/>
          <w:iCs/>
          <w:sz w:val="24"/>
          <w:szCs w:val="24"/>
          <w:vertAlign w:val="superscript"/>
          <w:lang w:val="ro-RO"/>
        </w:rPr>
        <w:footnoteReference w:id="52"/>
      </w:r>
      <w:r w:rsidRPr="00F64A56">
        <w:rPr>
          <w:rFonts w:asciiTheme="majorHAnsi" w:eastAsia="Times New Roman" w:hAnsiTheme="majorHAnsi" w:cstheme="majorHAnsi"/>
          <w:iCs/>
          <w:sz w:val="24"/>
          <w:szCs w:val="24"/>
          <w:lang w:val="ro-RO"/>
        </w:rPr>
        <w:t>.</w:t>
      </w:r>
    </w:p>
    <w:p w:rsidR="00AA35B7" w:rsidRPr="00F64A56" w:rsidRDefault="008B50B5" w:rsidP="002B1DC7">
      <w:pPr>
        <w:widowControl w:val="0"/>
        <w:shd w:val="clear" w:color="auto" w:fill="FFFFFF"/>
        <w:tabs>
          <w:tab w:val="left" w:pos="0"/>
          <w:tab w:val="left" w:pos="1134"/>
        </w:tabs>
        <w:spacing w:after="0" w:line="276" w:lineRule="auto"/>
        <w:ind w:firstLine="709"/>
        <w:jc w:val="both"/>
        <w:rPr>
          <w:rFonts w:asciiTheme="majorHAnsi" w:eastAsia="Times New Roman" w:hAnsiTheme="majorHAnsi" w:cstheme="majorHAnsi"/>
          <w:sz w:val="24"/>
          <w:szCs w:val="24"/>
          <w:lang w:val="ro-MD"/>
        </w:rPr>
      </w:pPr>
      <w:r w:rsidRPr="00F64A56">
        <w:rPr>
          <w:rFonts w:asciiTheme="majorHAnsi" w:eastAsia="Times New Roman" w:hAnsiTheme="majorHAnsi" w:cstheme="majorHAnsi"/>
          <w:sz w:val="24"/>
          <w:szCs w:val="24"/>
          <w:lang w:val="ro-RO"/>
        </w:rPr>
        <w:t xml:space="preserve">În același context, se atestă supraevaluarea valorii contului 312 „Construcții speciale” cu suma totală de </w:t>
      </w:r>
      <w:r w:rsidRPr="00F64A56">
        <w:rPr>
          <w:rFonts w:asciiTheme="majorHAnsi" w:eastAsia="Times New Roman" w:hAnsiTheme="majorHAnsi" w:cstheme="majorHAnsi"/>
          <w:b/>
          <w:sz w:val="24"/>
          <w:szCs w:val="24"/>
          <w:lang w:val="ro-RO"/>
        </w:rPr>
        <w:t>26</w:t>
      </w:r>
      <w:r w:rsidR="00A51B43" w:rsidRPr="00F64A56">
        <w:rPr>
          <w:rFonts w:asciiTheme="majorHAnsi" w:eastAsia="Times New Roman" w:hAnsiTheme="majorHAnsi" w:cstheme="majorHAnsi"/>
          <w:b/>
          <w:sz w:val="24"/>
          <w:szCs w:val="24"/>
          <w:lang w:val="ro-RO"/>
        </w:rPr>
        <w:t>,9 mii</w:t>
      </w:r>
      <w:r w:rsidRPr="00F64A56">
        <w:rPr>
          <w:rFonts w:asciiTheme="majorHAnsi" w:eastAsia="Times New Roman" w:hAnsiTheme="majorHAnsi" w:cstheme="majorHAnsi"/>
          <w:b/>
          <w:sz w:val="24"/>
          <w:szCs w:val="24"/>
          <w:lang w:val="ro-RO"/>
        </w:rPr>
        <w:t xml:space="preserve"> lei</w:t>
      </w:r>
      <w:r w:rsidRPr="00F64A56">
        <w:rPr>
          <w:rFonts w:asciiTheme="majorHAnsi" w:eastAsia="Times New Roman" w:hAnsiTheme="majorHAnsi" w:cstheme="majorHAnsi"/>
          <w:sz w:val="24"/>
          <w:szCs w:val="24"/>
          <w:vertAlign w:val="superscript"/>
          <w:lang w:val="ro-RO"/>
        </w:rPr>
        <w:footnoteReference w:id="53"/>
      </w:r>
      <w:r w:rsidRPr="00F64A56">
        <w:rPr>
          <w:rFonts w:asciiTheme="majorHAnsi" w:eastAsia="Times New Roman" w:hAnsiTheme="majorHAnsi" w:cstheme="majorHAnsi"/>
          <w:sz w:val="24"/>
          <w:szCs w:val="24"/>
          <w:lang w:val="ro-RO"/>
        </w:rPr>
        <w:t>, cauzată de aplicarea eronată a prevederilor normative</w:t>
      </w:r>
      <w:r w:rsidRPr="00F64A56">
        <w:rPr>
          <w:rFonts w:asciiTheme="majorHAnsi" w:eastAsia="Times New Roman" w:hAnsiTheme="majorHAnsi" w:cstheme="majorHAnsi"/>
          <w:sz w:val="24"/>
          <w:szCs w:val="24"/>
          <w:vertAlign w:val="superscript"/>
          <w:lang w:val="ro-RO"/>
        </w:rPr>
        <w:footnoteReference w:id="54"/>
      </w:r>
      <w:r w:rsidRPr="00F64A56">
        <w:rPr>
          <w:rFonts w:asciiTheme="majorHAnsi" w:eastAsia="Times New Roman" w:hAnsiTheme="majorHAnsi" w:cstheme="majorHAnsi"/>
          <w:sz w:val="24"/>
          <w:szCs w:val="24"/>
          <w:lang w:val="ro-RO"/>
        </w:rPr>
        <w:t>, ceea ce a determinat neraportarea în evidență a lucrărilor de aplicare a marcajului rutier (vopsea) drept cheltuieli curente la contul</w:t>
      </w:r>
      <w:r w:rsidRPr="00F64A56">
        <w:rPr>
          <w:rFonts w:asciiTheme="majorHAnsi" w:eastAsia="Times New Roman" w:hAnsiTheme="majorHAnsi" w:cstheme="majorHAnsi"/>
          <w:sz w:val="24"/>
          <w:szCs w:val="24"/>
        </w:rPr>
        <w:t xml:space="preserve"> </w:t>
      </w:r>
      <w:r w:rsidRPr="00F64A56">
        <w:rPr>
          <w:rFonts w:asciiTheme="majorHAnsi" w:eastAsia="Times New Roman" w:hAnsiTheme="majorHAnsi" w:cstheme="majorHAnsi"/>
          <w:sz w:val="24"/>
          <w:szCs w:val="24"/>
          <w:lang w:val="ro-RO"/>
        </w:rPr>
        <w:t>222 „Servicii”</w:t>
      </w:r>
      <w:r w:rsidRPr="00F64A56">
        <w:rPr>
          <w:rFonts w:asciiTheme="majorHAnsi" w:eastAsia="Times New Roman" w:hAnsiTheme="majorHAnsi" w:cstheme="majorHAnsi"/>
          <w:sz w:val="24"/>
          <w:szCs w:val="24"/>
          <w:vertAlign w:val="superscript"/>
          <w:lang w:val="ro-RO"/>
        </w:rPr>
        <w:footnoteReference w:id="55"/>
      </w:r>
      <w:r w:rsidRPr="00F64A56">
        <w:rPr>
          <w:rFonts w:asciiTheme="majorHAnsi" w:eastAsia="Times New Roman" w:hAnsiTheme="majorHAnsi" w:cstheme="majorHAnsi"/>
          <w:sz w:val="24"/>
          <w:szCs w:val="24"/>
          <w:lang w:val="ro-RO"/>
        </w:rPr>
        <w:t xml:space="preserve"> (</w:t>
      </w:r>
      <w:r w:rsidRPr="00F64A56">
        <w:rPr>
          <w:rFonts w:asciiTheme="majorHAnsi" w:eastAsia="Times New Roman" w:hAnsiTheme="majorHAnsi" w:cstheme="majorHAnsi"/>
          <w:i/>
          <w:sz w:val="24"/>
          <w:szCs w:val="24"/>
          <w:lang w:val="ro-RO"/>
        </w:rPr>
        <w:t>uzura nu s-a calculat</w:t>
      </w:r>
      <w:r w:rsidRPr="00F64A56">
        <w:rPr>
          <w:rFonts w:asciiTheme="majorHAnsi" w:eastAsia="Times New Roman" w:hAnsiTheme="majorHAnsi" w:cstheme="majorHAnsi"/>
          <w:sz w:val="24"/>
          <w:szCs w:val="24"/>
          <w:lang w:val="ro-RO"/>
        </w:rPr>
        <w:t>).</w:t>
      </w:r>
    </w:p>
    <w:p w:rsidR="004C2976" w:rsidRPr="00F64A56" w:rsidRDefault="004C2976" w:rsidP="00AA35B7">
      <w:pPr>
        <w:widowControl w:val="0"/>
        <w:numPr>
          <w:ilvl w:val="1"/>
          <w:numId w:val="21"/>
        </w:numPr>
        <w:shd w:val="clear" w:color="auto" w:fill="FFFFFF"/>
        <w:tabs>
          <w:tab w:val="left" w:pos="0"/>
          <w:tab w:val="left" w:pos="1134"/>
        </w:tabs>
        <w:spacing w:after="0" w:line="276" w:lineRule="auto"/>
        <w:ind w:left="0" w:firstLine="709"/>
        <w:jc w:val="both"/>
        <w:rPr>
          <w:rFonts w:asciiTheme="majorHAnsi" w:eastAsia="Times New Roman" w:hAnsiTheme="majorHAnsi" w:cstheme="majorHAnsi"/>
          <w:sz w:val="24"/>
          <w:szCs w:val="24"/>
          <w:lang w:val="ro-MD"/>
        </w:rPr>
      </w:pPr>
      <w:r w:rsidRPr="00F64A56">
        <w:rPr>
          <w:rFonts w:asciiTheme="majorHAnsi" w:eastAsia="Times New Roman" w:hAnsiTheme="majorHAnsi" w:cstheme="majorHAnsi"/>
          <w:sz w:val="24"/>
          <w:szCs w:val="24"/>
          <w:lang w:val="ro-MD"/>
        </w:rPr>
        <w:t xml:space="preserve">Neasigurarea unui control intern eficient din partea persoanelor responsabile care au gestionat executarea lucrărilor de reparație capitală, a condiționat achitarea unor lucrări de reparație care efectiv nu au fost executate, ceea ce a determinat diminuarea valorii contului 419 „Alte creanțe ale autorităților/instituțiilor bugetare” cu suma totală de </w:t>
      </w:r>
      <w:r w:rsidRPr="00F64A56">
        <w:rPr>
          <w:rFonts w:asciiTheme="majorHAnsi" w:eastAsia="Times New Roman" w:hAnsiTheme="majorHAnsi" w:cstheme="majorHAnsi"/>
          <w:b/>
          <w:sz w:val="24"/>
          <w:szCs w:val="24"/>
          <w:lang w:val="ro-MD"/>
        </w:rPr>
        <w:t>100</w:t>
      </w:r>
      <w:r w:rsidR="009D3BD3" w:rsidRPr="00F64A56">
        <w:rPr>
          <w:rFonts w:asciiTheme="majorHAnsi" w:eastAsia="Times New Roman" w:hAnsiTheme="majorHAnsi" w:cstheme="majorHAnsi"/>
          <w:b/>
          <w:sz w:val="24"/>
          <w:szCs w:val="24"/>
          <w:lang w:val="ro-MD"/>
        </w:rPr>
        <w:t>,7 mii</w:t>
      </w:r>
      <w:r w:rsidRPr="00F64A56">
        <w:rPr>
          <w:rFonts w:asciiTheme="majorHAnsi" w:eastAsia="Times New Roman" w:hAnsiTheme="majorHAnsi" w:cstheme="majorHAnsi"/>
          <w:b/>
          <w:sz w:val="24"/>
          <w:szCs w:val="24"/>
          <w:lang w:val="ro-MD"/>
        </w:rPr>
        <w:t xml:space="preserve"> lei</w:t>
      </w:r>
      <w:r w:rsidRPr="00F64A56">
        <w:rPr>
          <w:rFonts w:asciiTheme="majorHAnsi" w:eastAsia="Times New Roman" w:hAnsiTheme="majorHAnsi" w:cstheme="majorHAnsi"/>
          <w:sz w:val="24"/>
          <w:szCs w:val="24"/>
          <w:lang w:val="ro-MD"/>
        </w:rPr>
        <w:t xml:space="preserve">, totodată fiind supraevaluată valoarea raportată la contul </w:t>
      </w:r>
      <w:r w:rsidRPr="00F64A56">
        <w:rPr>
          <w:rFonts w:asciiTheme="majorHAnsi" w:eastAsia="Times New Roman" w:hAnsiTheme="majorHAnsi" w:cstheme="majorHAnsi"/>
          <w:bCs/>
          <w:iCs/>
          <w:sz w:val="24"/>
          <w:szCs w:val="24"/>
          <w:lang w:val="ro-RO"/>
        </w:rPr>
        <w:t xml:space="preserve">311 „Clădiri” </w:t>
      </w:r>
      <w:r w:rsidRPr="00F64A56">
        <w:rPr>
          <w:rFonts w:asciiTheme="majorHAnsi" w:eastAsia="Times New Roman" w:hAnsiTheme="majorHAnsi" w:cstheme="majorHAnsi"/>
          <w:sz w:val="24"/>
          <w:szCs w:val="24"/>
          <w:lang w:val="ro-MD"/>
        </w:rPr>
        <w:t>cu 18</w:t>
      </w:r>
      <w:r w:rsidR="009D3BD3" w:rsidRPr="00F64A56">
        <w:rPr>
          <w:rFonts w:asciiTheme="majorHAnsi" w:eastAsia="Times New Roman" w:hAnsiTheme="majorHAnsi" w:cstheme="majorHAnsi"/>
          <w:sz w:val="24"/>
          <w:szCs w:val="24"/>
          <w:lang w:val="ro-MD"/>
        </w:rPr>
        <w:t>,9 mii</w:t>
      </w:r>
      <w:r w:rsidRPr="00F64A56">
        <w:rPr>
          <w:rFonts w:asciiTheme="majorHAnsi" w:eastAsia="Times New Roman" w:hAnsiTheme="majorHAnsi" w:cstheme="majorHAnsi"/>
          <w:sz w:val="24"/>
          <w:szCs w:val="24"/>
          <w:lang w:val="ro-MD"/>
        </w:rPr>
        <w:t xml:space="preserve"> lei</w:t>
      </w:r>
      <w:r w:rsidRPr="00F64A56">
        <w:rPr>
          <w:rFonts w:asciiTheme="majorHAnsi" w:eastAsia="Times New Roman" w:hAnsiTheme="majorHAnsi" w:cstheme="majorHAnsi"/>
          <w:sz w:val="24"/>
          <w:szCs w:val="24"/>
          <w:vertAlign w:val="superscript"/>
          <w:lang w:val="ro-MD"/>
        </w:rPr>
        <w:footnoteReference w:id="56"/>
      </w:r>
      <w:r w:rsidRPr="00F64A56">
        <w:rPr>
          <w:rFonts w:asciiTheme="majorHAnsi" w:eastAsia="Times New Roman" w:hAnsiTheme="majorHAnsi" w:cstheme="majorHAnsi"/>
          <w:sz w:val="24"/>
          <w:szCs w:val="24"/>
          <w:lang w:val="ro-MD"/>
        </w:rPr>
        <w:t xml:space="preserve"> și la contul </w:t>
      </w:r>
      <w:r w:rsidRPr="00F64A56">
        <w:rPr>
          <w:rFonts w:asciiTheme="majorHAnsi" w:eastAsia="Times New Roman" w:hAnsiTheme="majorHAnsi" w:cstheme="majorHAnsi"/>
          <w:bCs/>
          <w:iCs/>
          <w:sz w:val="24"/>
          <w:szCs w:val="24"/>
          <w:lang w:val="ro-RO"/>
        </w:rPr>
        <w:t>312 „Construcții speciale”</w:t>
      </w:r>
      <w:r w:rsidRPr="00F64A56">
        <w:rPr>
          <w:rFonts w:asciiTheme="majorHAnsi" w:eastAsia="Times New Roman" w:hAnsiTheme="majorHAnsi" w:cstheme="majorHAnsi"/>
          <w:sz w:val="24"/>
          <w:szCs w:val="24"/>
          <w:lang w:val="ro-MD"/>
        </w:rPr>
        <w:t xml:space="preserve"> – </w:t>
      </w:r>
      <w:r w:rsidR="003E18C2">
        <w:rPr>
          <w:rFonts w:asciiTheme="majorHAnsi" w:eastAsia="Times New Roman" w:hAnsiTheme="majorHAnsi" w:cstheme="majorHAnsi"/>
          <w:sz w:val="24"/>
          <w:szCs w:val="24"/>
          <w:lang w:val="ro-MD"/>
        </w:rPr>
        <w:t xml:space="preserve">cu </w:t>
      </w:r>
      <w:r w:rsidRPr="00F64A56">
        <w:rPr>
          <w:rFonts w:asciiTheme="majorHAnsi" w:eastAsia="Times New Roman" w:hAnsiTheme="majorHAnsi" w:cstheme="majorHAnsi"/>
          <w:sz w:val="24"/>
          <w:szCs w:val="24"/>
          <w:lang w:val="ro-MD"/>
        </w:rPr>
        <w:t>81</w:t>
      </w:r>
      <w:r w:rsidR="009D3BD3" w:rsidRPr="00F64A56">
        <w:rPr>
          <w:rFonts w:asciiTheme="majorHAnsi" w:eastAsia="Times New Roman" w:hAnsiTheme="majorHAnsi" w:cstheme="majorHAnsi"/>
          <w:sz w:val="24"/>
          <w:szCs w:val="24"/>
          <w:lang w:val="ro-MD"/>
        </w:rPr>
        <w:t>,8 mii</w:t>
      </w:r>
      <w:r w:rsidRPr="00F64A56">
        <w:rPr>
          <w:rFonts w:asciiTheme="majorHAnsi" w:eastAsia="Times New Roman" w:hAnsiTheme="majorHAnsi" w:cstheme="majorHAnsi"/>
          <w:sz w:val="24"/>
          <w:szCs w:val="24"/>
          <w:lang w:val="ro-MD"/>
        </w:rPr>
        <w:t xml:space="preserve"> lei</w:t>
      </w:r>
      <w:r w:rsidRPr="00F64A56">
        <w:rPr>
          <w:rFonts w:asciiTheme="majorHAnsi" w:eastAsia="Times New Roman" w:hAnsiTheme="majorHAnsi" w:cstheme="majorHAnsi"/>
          <w:sz w:val="24"/>
          <w:szCs w:val="24"/>
          <w:vertAlign w:val="superscript"/>
          <w:lang w:val="ro-MD"/>
        </w:rPr>
        <w:footnoteReference w:id="57"/>
      </w:r>
      <w:r w:rsidRPr="00F64A56">
        <w:rPr>
          <w:rFonts w:asciiTheme="majorHAnsi" w:eastAsia="Times New Roman" w:hAnsiTheme="majorHAnsi" w:cstheme="majorHAnsi"/>
          <w:sz w:val="24"/>
          <w:szCs w:val="24"/>
          <w:lang w:val="ro-MD"/>
        </w:rPr>
        <w:t>.</w:t>
      </w:r>
    </w:p>
    <w:p w:rsidR="007C3995" w:rsidRPr="00F64A56" w:rsidRDefault="006A3792" w:rsidP="00AA35B7">
      <w:pPr>
        <w:widowControl w:val="0"/>
        <w:numPr>
          <w:ilvl w:val="1"/>
          <w:numId w:val="21"/>
        </w:numPr>
        <w:shd w:val="clear" w:color="auto" w:fill="FFFFFF"/>
        <w:tabs>
          <w:tab w:val="left" w:pos="0"/>
          <w:tab w:val="left" w:pos="1134"/>
        </w:tabs>
        <w:spacing w:after="0" w:line="276" w:lineRule="auto"/>
        <w:ind w:left="0" w:firstLine="709"/>
        <w:jc w:val="both"/>
        <w:rPr>
          <w:rFonts w:asciiTheme="majorHAnsi" w:eastAsia="Times New Roman" w:hAnsiTheme="majorHAnsi" w:cstheme="majorHAnsi"/>
          <w:sz w:val="24"/>
          <w:szCs w:val="24"/>
          <w:lang w:val="ro-MD"/>
        </w:rPr>
      </w:pPr>
      <w:r>
        <w:rPr>
          <w:rFonts w:asciiTheme="majorHAnsi" w:hAnsiTheme="majorHAnsi"/>
          <w:iCs/>
          <w:sz w:val="24"/>
          <w:szCs w:val="24"/>
          <w:lang w:val="ro-RO"/>
        </w:rPr>
        <w:t>APL</w:t>
      </w:r>
      <w:r w:rsidR="00AA35B7" w:rsidRPr="00F64A56">
        <w:rPr>
          <w:rFonts w:asciiTheme="majorHAnsi" w:hAnsiTheme="majorHAnsi"/>
          <w:iCs/>
          <w:sz w:val="24"/>
          <w:szCs w:val="24"/>
          <w:lang w:val="ro-RO"/>
        </w:rPr>
        <w:t xml:space="preserve"> a mun. Bălți nu a clasificat și raportat corect unele cheltuieli în sumă totală de </w:t>
      </w:r>
      <w:r w:rsidR="00AA35B7" w:rsidRPr="00F64A56">
        <w:rPr>
          <w:rFonts w:asciiTheme="majorHAnsi" w:hAnsiTheme="majorHAnsi"/>
          <w:b/>
          <w:iCs/>
          <w:sz w:val="24"/>
          <w:szCs w:val="24"/>
          <w:lang w:val="ro-RO"/>
        </w:rPr>
        <w:t>4</w:t>
      </w:r>
      <w:r w:rsidR="003E18C2">
        <w:rPr>
          <w:rFonts w:asciiTheme="majorHAnsi" w:hAnsiTheme="majorHAnsi"/>
          <w:b/>
          <w:iCs/>
          <w:sz w:val="24"/>
          <w:szCs w:val="24"/>
          <w:lang w:val="ro-RO"/>
        </w:rPr>
        <w:t>.</w:t>
      </w:r>
      <w:r w:rsidR="00AA35B7" w:rsidRPr="00F64A56">
        <w:rPr>
          <w:rFonts w:asciiTheme="majorHAnsi" w:hAnsiTheme="majorHAnsi"/>
          <w:b/>
          <w:iCs/>
          <w:sz w:val="24"/>
          <w:szCs w:val="24"/>
          <w:lang w:val="ro-RO"/>
        </w:rPr>
        <w:t>567</w:t>
      </w:r>
      <w:r w:rsidR="009D3BD3" w:rsidRPr="00F64A56">
        <w:rPr>
          <w:rFonts w:asciiTheme="majorHAnsi" w:hAnsiTheme="majorHAnsi"/>
          <w:b/>
          <w:iCs/>
          <w:sz w:val="24"/>
          <w:szCs w:val="24"/>
          <w:lang w:val="ro-RO"/>
        </w:rPr>
        <w:t>,2 mii</w:t>
      </w:r>
      <w:r w:rsidR="00AA35B7" w:rsidRPr="00F64A56">
        <w:rPr>
          <w:rFonts w:asciiTheme="majorHAnsi" w:hAnsiTheme="majorHAnsi"/>
          <w:b/>
          <w:iCs/>
          <w:sz w:val="24"/>
          <w:szCs w:val="24"/>
          <w:lang w:val="ro-RO"/>
        </w:rPr>
        <w:t xml:space="preserve"> lei</w:t>
      </w:r>
      <w:r w:rsidR="00AA35B7" w:rsidRPr="00F64A56">
        <w:rPr>
          <w:rFonts w:asciiTheme="majorHAnsi" w:hAnsiTheme="majorHAnsi"/>
          <w:iCs/>
          <w:sz w:val="24"/>
          <w:szCs w:val="24"/>
          <w:lang w:val="ro-RO"/>
        </w:rPr>
        <w:t xml:space="preserve"> ce țin de finanțarea/achitarea</w:t>
      </w:r>
      <w:r w:rsidR="00AA35B7" w:rsidRPr="00F64A56">
        <w:rPr>
          <w:rFonts w:asciiTheme="majorHAnsi" w:hAnsiTheme="majorHAnsi"/>
          <w:iCs/>
          <w:sz w:val="24"/>
          <w:szCs w:val="24"/>
          <w:lang w:val="ro-MD"/>
        </w:rPr>
        <w:t xml:space="preserve"> serviciilor și lucrărilor de ordin comunal prin intermediul întreprinderilor municipale</w:t>
      </w:r>
      <w:r w:rsidR="00AA35B7" w:rsidRPr="00F64A56">
        <w:rPr>
          <w:rFonts w:asciiTheme="majorHAnsi" w:hAnsiTheme="majorHAnsi"/>
          <w:iCs/>
          <w:sz w:val="24"/>
          <w:szCs w:val="24"/>
          <w:vertAlign w:val="superscript"/>
          <w:lang w:val="ro-MD"/>
        </w:rPr>
        <w:footnoteReference w:id="58"/>
      </w:r>
      <w:r w:rsidR="00AA35B7" w:rsidRPr="00F64A56">
        <w:rPr>
          <w:rFonts w:asciiTheme="majorHAnsi" w:hAnsiTheme="majorHAnsi"/>
          <w:iCs/>
          <w:sz w:val="24"/>
          <w:szCs w:val="24"/>
          <w:lang w:val="ro-MD"/>
        </w:rPr>
        <w:t xml:space="preserve">. </w:t>
      </w:r>
      <w:r w:rsidR="00AA35B7" w:rsidRPr="00F64A56">
        <w:rPr>
          <w:rFonts w:asciiTheme="majorHAnsi" w:hAnsiTheme="majorHAnsi"/>
          <w:iCs/>
          <w:sz w:val="24"/>
          <w:szCs w:val="24"/>
          <w:lang w:val="ro-RO"/>
        </w:rPr>
        <w:t xml:space="preserve">Aceste cheltuieli, conform prevederilor </w:t>
      </w:r>
      <w:r w:rsidR="00AA35B7" w:rsidRPr="00F64A56">
        <w:rPr>
          <w:rFonts w:asciiTheme="majorHAnsi" w:hAnsiTheme="majorHAnsi"/>
          <w:bCs/>
          <w:iCs/>
          <w:sz w:val="24"/>
          <w:szCs w:val="24"/>
          <w:lang w:val="ro-RO"/>
        </w:rPr>
        <w:t>normative</w:t>
      </w:r>
      <w:r w:rsidR="00AA35B7" w:rsidRPr="00F64A56">
        <w:rPr>
          <w:rFonts w:asciiTheme="majorHAnsi" w:hAnsiTheme="majorHAnsi"/>
          <w:bCs/>
          <w:iCs/>
          <w:sz w:val="24"/>
          <w:szCs w:val="24"/>
          <w:vertAlign w:val="superscript"/>
          <w:lang w:val="ro-RO"/>
        </w:rPr>
        <w:footnoteReference w:id="59"/>
      </w:r>
      <w:r w:rsidR="00AA35B7" w:rsidRPr="00F64A56">
        <w:rPr>
          <w:rFonts w:asciiTheme="majorHAnsi" w:hAnsiTheme="majorHAnsi"/>
          <w:bCs/>
          <w:iCs/>
          <w:sz w:val="24"/>
          <w:szCs w:val="24"/>
          <w:lang w:val="ro-RO"/>
        </w:rPr>
        <w:t>, nu puteau fi clasificate și raportate ca subvenții (contul 251) deoarece nu reprezintă plăți nerambursabile achitate întreprinderilor municipale producătoare sau prestatoare de servicii, cu scopul de a influența procesul de producere sau prețurile de livrare</w:t>
      </w:r>
      <w:r w:rsidR="00AA35B7" w:rsidRPr="00F64A56">
        <w:rPr>
          <w:rFonts w:asciiTheme="majorHAnsi" w:hAnsiTheme="majorHAnsi"/>
          <w:iCs/>
          <w:sz w:val="24"/>
          <w:szCs w:val="24"/>
        </w:rPr>
        <w:t xml:space="preserve"> (</w:t>
      </w:r>
      <w:r w:rsidR="00AA35B7" w:rsidRPr="00F64A56">
        <w:rPr>
          <w:rFonts w:asciiTheme="majorHAnsi" w:hAnsiTheme="majorHAnsi"/>
          <w:bCs/>
          <w:iCs/>
          <w:sz w:val="24"/>
          <w:szCs w:val="24"/>
          <w:lang w:val="ro-RO"/>
        </w:rPr>
        <w:t>menținerea prețurilor la un nivel mai jos față de costuri).</w:t>
      </w:r>
      <w:r w:rsidR="00AA35B7" w:rsidRPr="00F64A56">
        <w:rPr>
          <w:rFonts w:asciiTheme="majorHAnsi" w:eastAsia="Times New Roman" w:hAnsiTheme="majorHAnsi" w:cstheme="majorHAnsi"/>
          <w:sz w:val="24"/>
          <w:szCs w:val="24"/>
          <w:lang w:val="ro-MD"/>
        </w:rPr>
        <w:t xml:space="preserve"> </w:t>
      </w:r>
      <w:r w:rsidR="00AA35B7" w:rsidRPr="00F64A56">
        <w:rPr>
          <w:rFonts w:asciiTheme="majorHAnsi" w:hAnsiTheme="majorHAnsi"/>
          <w:iCs/>
          <w:sz w:val="24"/>
          <w:szCs w:val="24"/>
          <w:lang w:val="ro-RO"/>
        </w:rPr>
        <w:t xml:space="preserve">Efectiv, </w:t>
      </w:r>
      <w:r w:rsidR="00AA35B7" w:rsidRPr="00F64A56">
        <w:rPr>
          <w:rFonts w:asciiTheme="majorHAnsi" w:hAnsiTheme="majorHAnsi"/>
          <w:bCs/>
          <w:iCs/>
          <w:sz w:val="24"/>
          <w:szCs w:val="24"/>
          <w:lang w:val="ro-RO"/>
        </w:rPr>
        <w:t xml:space="preserve">aceste cheltuieli destinate pentru finanțarea activităților cu caracter general și de gospodărie comunală urmau a fi clasificate și raportate ca cheltuieli pentru servicii comunale la grupa de conturi 222 „Servicii” (subcontul 222110 „Energie electrică” </w:t>
      </w:r>
      <w:r w:rsidR="009D3BD3" w:rsidRPr="00F64A56">
        <w:rPr>
          <w:rFonts w:asciiTheme="majorHAnsi" w:hAnsiTheme="majorHAnsi"/>
          <w:bCs/>
          <w:iCs/>
          <w:sz w:val="24"/>
          <w:szCs w:val="24"/>
          <w:lang w:val="ro-RO"/>
        </w:rPr>
        <w:t>–</w:t>
      </w:r>
      <w:r w:rsidR="00AA35B7" w:rsidRPr="00F64A56">
        <w:rPr>
          <w:rFonts w:asciiTheme="majorHAnsi" w:hAnsiTheme="majorHAnsi"/>
          <w:sz w:val="24"/>
          <w:szCs w:val="24"/>
          <w:lang w:val="ro-RO"/>
        </w:rPr>
        <w:t xml:space="preserve"> 2</w:t>
      </w:r>
      <w:r w:rsidR="003E18C2">
        <w:rPr>
          <w:rFonts w:asciiTheme="majorHAnsi" w:hAnsiTheme="majorHAnsi"/>
          <w:sz w:val="24"/>
          <w:szCs w:val="24"/>
          <w:lang w:val="ro-RO"/>
        </w:rPr>
        <w:t>.</w:t>
      </w:r>
      <w:r w:rsidR="00AA35B7" w:rsidRPr="00F64A56">
        <w:rPr>
          <w:rFonts w:asciiTheme="majorHAnsi" w:hAnsiTheme="majorHAnsi"/>
          <w:sz w:val="24"/>
          <w:szCs w:val="24"/>
          <w:lang w:val="ro-RO"/>
        </w:rPr>
        <w:t>834</w:t>
      </w:r>
      <w:r w:rsidR="009D3BD3" w:rsidRPr="00F64A56">
        <w:rPr>
          <w:rFonts w:asciiTheme="majorHAnsi" w:hAnsiTheme="majorHAnsi"/>
          <w:sz w:val="24"/>
          <w:szCs w:val="24"/>
          <w:lang w:val="ro-RO"/>
        </w:rPr>
        <w:t>,7 mii</w:t>
      </w:r>
      <w:r w:rsidR="00AA35B7" w:rsidRPr="00F64A56">
        <w:rPr>
          <w:rFonts w:asciiTheme="majorHAnsi" w:hAnsiTheme="majorHAnsi"/>
          <w:sz w:val="24"/>
          <w:szCs w:val="24"/>
          <w:lang w:val="ro-RO"/>
        </w:rPr>
        <w:t xml:space="preserve"> </w:t>
      </w:r>
      <w:r w:rsidR="00AA35B7" w:rsidRPr="00F64A56">
        <w:rPr>
          <w:rFonts w:asciiTheme="majorHAnsi" w:hAnsiTheme="majorHAnsi"/>
          <w:bCs/>
          <w:iCs/>
          <w:sz w:val="24"/>
          <w:szCs w:val="24"/>
          <w:lang w:val="ro-RO"/>
        </w:rPr>
        <w:t>lei</w:t>
      </w:r>
      <w:r w:rsidR="003E18C2">
        <w:rPr>
          <w:rFonts w:asciiTheme="majorHAnsi" w:hAnsiTheme="majorHAnsi"/>
          <w:bCs/>
          <w:iCs/>
          <w:sz w:val="24"/>
          <w:szCs w:val="24"/>
          <w:lang w:val="ro-RO"/>
        </w:rPr>
        <w:t>,</w:t>
      </w:r>
      <w:r w:rsidR="00AA35B7" w:rsidRPr="00F64A56">
        <w:rPr>
          <w:rFonts w:asciiTheme="majorHAnsi" w:hAnsiTheme="majorHAnsi"/>
          <w:bCs/>
          <w:iCs/>
          <w:sz w:val="24"/>
          <w:szCs w:val="24"/>
          <w:lang w:val="ro-RO"/>
        </w:rPr>
        <w:t xml:space="preserve"> și subcontul 222990 „Servicii neatribuite altor alineate”</w:t>
      </w:r>
      <w:r w:rsidR="00AA35B7" w:rsidRPr="00F64A56">
        <w:rPr>
          <w:rFonts w:asciiTheme="majorHAnsi" w:hAnsiTheme="majorHAnsi"/>
          <w:bCs/>
          <w:iCs/>
          <w:sz w:val="24"/>
          <w:szCs w:val="24"/>
          <w:vertAlign w:val="superscript"/>
          <w:lang w:val="ro-RO"/>
        </w:rPr>
        <w:footnoteReference w:id="60"/>
      </w:r>
      <w:r w:rsidR="00AA35B7" w:rsidRPr="00F64A56">
        <w:rPr>
          <w:rFonts w:asciiTheme="majorHAnsi" w:hAnsiTheme="majorHAnsi"/>
          <w:bCs/>
          <w:iCs/>
          <w:sz w:val="24"/>
          <w:szCs w:val="24"/>
          <w:lang w:val="ro-RO"/>
        </w:rPr>
        <w:t xml:space="preserve"> </w:t>
      </w:r>
      <w:r w:rsidR="009D3BD3" w:rsidRPr="00F64A56">
        <w:rPr>
          <w:rFonts w:asciiTheme="majorHAnsi" w:hAnsiTheme="majorHAnsi"/>
          <w:bCs/>
          <w:iCs/>
          <w:sz w:val="24"/>
          <w:szCs w:val="24"/>
          <w:lang w:val="ro-RO"/>
        </w:rPr>
        <w:t>–</w:t>
      </w:r>
      <w:r w:rsidR="00AA35B7" w:rsidRPr="00F64A56">
        <w:rPr>
          <w:rFonts w:asciiTheme="majorHAnsi" w:hAnsiTheme="majorHAnsi"/>
          <w:bCs/>
          <w:iCs/>
          <w:sz w:val="24"/>
          <w:szCs w:val="24"/>
          <w:lang w:val="ro-RO"/>
        </w:rPr>
        <w:t xml:space="preserve"> 1</w:t>
      </w:r>
      <w:r w:rsidR="003E18C2">
        <w:rPr>
          <w:rFonts w:asciiTheme="majorHAnsi" w:hAnsiTheme="majorHAnsi"/>
          <w:bCs/>
          <w:iCs/>
          <w:sz w:val="24"/>
          <w:szCs w:val="24"/>
          <w:lang w:val="ro-RO"/>
        </w:rPr>
        <w:t>.</w:t>
      </w:r>
      <w:r w:rsidR="00AA35B7" w:rsidRPr="00F64A56">
        <w:rPr>
          <w:rFonts w:asciiTheme="majorHAnsi" w:hAnsiTheme="majorHAnsi"/>
          <w:bCs/>
          <w:iCs/>
          <w:sz w:val="24"/>
          <w:szCs w:val="24"/>
          <w:lang w:val="ro-RO"/>
        </w:rPr>
        <w:t>732</w:t>
      </w:r>
      <w:r w:rsidR="009D3BD3" w:rsidRPr="00F64A56">
        <w:rPr>
          <w:rFonts w:asciiTheme="majorHAnsi" w:hAnsiTheme="majorHAnsi"/>
          <w:bCs/>
          <w:iCs/>
          <w:sz w:val="24"/>
          <w:szCs w:val="24"/>
          <w:lang w:val="ro-RO"/>
        </w:rPr>
        <w:t>,5 mii</w:t>
      </w:r>
      <w:r w:rsidR="00AA35B7" w:rsidRPr="00F64A56">
        <w:rPr>
          <w:rFonts w:asciiTheme="majorHAnsi" w:hAnsiTheme="majorHAnsi"/>
          <w:bCs/>
          <w:iCs/>
          <w:sz w:val="24"/>
          <w:szCs w:val="24"/>
          <w:lang w:val="ro-RO"/>
        </w:rPr>
        <w:t xml:space="preserve"> lei)</w:t>
      </w:r>
      <w:r w:rsidR="00A83182" w:rsidRPr="00F64A56">
        <w:rPr>
          <w:rFonts w:asciiTheme="majorHAnsi" w:hAnsiTheme="majorHAnsi"/>
          <w:bCs/>
          <w:iCs/>
          <w:sz w:val="24"/>
          <w:szCs w:val="24"/>
          <w:lang w:val="ro-RO"/>
        </w:rPr>
        <w:t>.</w:t>
      </w:r>
    </w:p>
    <w:p w:rsidR="0016122F" w:rsidRPr="00F64A56" w:rsidRDefault="0016122F" w:rsidP="00613AA7">
      <w:pPr>
        <w:pStyle w:val="ListParagraph"/>
        <w:numPr>
          <w:ilvl w:val="0"/>
          <w:numId w:val="21"/>
        </w:numPr>
        <w:tabs>
          <w:tab w:val="left" w:pos="0"/>
          <w:tab w:val="left" w:pos="426"/>
        </w:tabs>
        <w:spacing w:before="120" w:after="0" w:line="276" w:lineRule="auto"/>
        <w:ind w:left="0" w:firstLine="0"/>
        <w:jc w:val="center"/>
        <w:outlineLvl w:val="0"/>
        <w:rPr>
          <w:rFonts w:asciiTheme="majorHAnsi" w:eastAsia="Times New Roman" w:hAnsiTheme="majorHAnsi" w:cstheme="majorHAnsi"/>
          <w:b/>
          <w:sz w:val="28"/>
          <w:szCs w:val="28"/>
          <w:lang w:val="ro-MD"/>
        </w:rPr>
      </w:pPr>
      <w:r w:rsidRPr="00F64A56">
        <w:rPr>
          <w:rFonts w:asciiTheme="majorHAnsi" w:eastAsia="Times New Roman" w:hAnsiTheme="majorHAnsi" w:cstheme="majorHAnsi"/>
          <w:b/>
          <w:sz w:val="28"/>
          <w:szCs w:val="28"/>
          <w:lang w:val="ro-MD"/>
        </w:rPr>
        <w:lastRenderedPageBreak/>
        <w:t>BUNA GUVERNANȚĂ</w:t>
      </w:r>
    </w:p>
    <w:p w:rsidR="00E61CC4" w:rsidRPr="00F64A56" w:rsidRDefault="007A0AF7" w:rsidP="00E61CC4">
      <w:pPr>
        <w:pStyle w:val="ListParagraph"/>
        <w:numPr>
          <w:ilvl w:val="1"/>
          <w:numId w:val="21"/>
        </w:numPr>
        <w:tabs>
          <w:tab w:val="left" w:pos="709"/>
          <w:tab w:val="left" w:pos="1134"/>
        </w:tabs>
        <w:spacing w:after="0" w:line="276" w:lineRule="auto"/>
        <w:ind w:left="0" w:firstLine="709"/>
        <w:jc w:val="both"/>
        <w:rPr>
          <w:rFonts w:asciiTheme="majorHAnsi" w:eastAsia="Times New Roman" w:hAnsiTheme="majorHAnsi" w:cstheme="majorHAnsi"/>
          <w:sz w:val="24"/>
          <w:szCs w:val="24"/>
          <w:lang w:val="ro-RO"/>
        </w:rPr>
      </w:pPr>
      <w:r w:rsidRPr="00F64A56">
        <w:rPr>
          <w:rFonts w:asciiTheme="majorHAnsi" w:eastAsia="Times New Roman" w:hAnsiTheme="majorHAnsi" w:cstheme="majorHAnsi"/>
          <w:sz w:val="24"/>
          <w:szCs w:val="24"/>
          <w:lang w:val="ro-RO"/>
        </w:rPr>
        <w:t xml:space="preserve">Evaluarea sistemului de </w:t>
      </w:r>
      <w:r w:rsidR="009928C6">
        <w:rPr>
          <w:rFonts w:asciiTheme="majorHAnsi" w:eastAsia="Times New Roman" w:hAnsiTheme="majorHAnsi" w:cstheme="majorHAnsi"/>
          <w:sz w:val="24"/>
          <w:szCs w:val="24"/>
          <w:lang w:val="ro-RO"/>
        </w:rPr>
        <w:t>c</w:t>
      </w:r>
      <w:r w:rsidR="00030E64" w:rsidRPr="00F64A56">
        <w:rPr>
          <w:rFonts w:asciiTheme="majorHAnsi" w:eastAsia="Times New Roman" w:hAnsiTheme="majorHAnsi" w:cstheme="majorHAnsi"/>
          <w:sz w:val="24"/>
          <w:szCs w:val="24"/>
          <w:lang w:val="ro-RO"/>
        </w:rPr>
        <w:t xml:space="preserve">ontrol intern managerial (CIM) </w:t>
      </w:r>
      <w:r w:rsidRPr="00F64A56">
        <w:rPr>
          <w:rFonts w:asciiTheme="majorHAnsi" w:eastAsia="Times New Roman" w:hAnsiTheme="majorHAnsi" w:cstheme="majorHAnsi"/>
          <w:sz w:val="24"/>
          <w:szCs w:val="24"/>
          <w:lang w:val="ro-RO"/>
        </w:rPr>
        <w:t>denotă faptul că în cadrul entității, în aspect general, sistemul de CIM este formalizat</w:t>
      </w:r>
      <w:r w:rsidR="00030E64" w:rsidRPr="00F64A56">
        <w:rPr>
          <w:rStyle w:val="FootnoteReference"/>
          <w:rFonts w:asciiTheme="majorHAnsi" w:eastAsia="Times New Roman" w:hAnsiTheme="majorHAnsi" w:cstheme="majorHAnsi"/>
          <w:sz w:val="24"/>
          <w:szCs w:val="24"/>
          <w:lang w:val="ro-RO"/>
        </w:rPr>
        <w:footnoteReference w:id="61"/>
      </w:r>
      <w:r w:rsidRPr="00F64A56">
        <w:rPr>
          <w:rFonts w:asciiTheme="majorHAnsi" w:eastAsia="Times New Roman" w:hAnsiTheme="majorHAnsi" w:cstheme="majorHAnsi"/>
          <w:sz w:val="24"/>
          <w:szCs w:val="24"/>
          <w:lang w:val="ro-RO"/>
        </w:rPr>
        <w:t xml:space="preserve">. </w:t>
      </w:r>
      <w:r w:rsidR="00A318E6" w:rsidRPr="00F64A56">
        <w:rPr>
          <w:rFonts w:asciiTheme="majorHAnsi" w:eastAsia="Times New Roman" w:hAnsiTheme="majorHAnsi" w:cstheme="majorHAnsi"/>
          <w:sz w:val="24"/>
          <w:szCs w:val="24"/>
          <w:lang w:val="ro-RO"/>
        </w:rPr>
        <w:t>Totodată, r</w:t>
      </w:r>
      <w:r w:rsidRPr="00F64A56">
        <w:rPr>
          <w:rFonts w:asciiTheme="majorHAnsi" w:eastAsia="Times New Roman" w:hAnsiTheme="majorHAnsi" w:cstheme="majorHAnsi"/>
          <w:sz w:val="24"/>
          <w:szCs w:val="24"/>
          <w:lang w:val="ro-RO"/>
        </w:rPr>
        <w:t>eieșind din evaluarea componentelor sistemului de CIM, se constată că nu au fost dezvoltate unele elemente ce țin de: descrierea narativă/grafică a unor procese operaționale de bază (investiții capitale, reparații capitale și curente; evidența investițiilor în instituțiile fondate; întocmirea și prezentarea rapoartelor financiare); politici interne scrise cu privire la prevenirea cazurilor de fraudă; numărul riscurilor gestionate în domeniul financiar/contabil (efectiv</w:t>
      </w:r>
      <w:r w:rsidR="007D4A1B" w:rsidRPr="00F64A56">
        <w:rPr>
          <w:rFonts w:asciiTheme="majorHAnsi" w:eastAsia="Times New Roman" w:hAnsiTheme="majorHAnsi" w:cstheme="majorHAnsi"/>
          <w:sz w:val="24"/>
          <w:szCs w:val="24"/>
          <w:lang w:val="ro-RO"/>
        </w:rPr>
        <w:t>,</w:t>
      </w:r>
      <w:r w:rsidRPr="00F64A56">
        <w:rPr>
          <w:rFonts w:asciiTheme="majorHAnsi" w:eastAsia="Times New Roman" w:hAnsiTheme="majorHAnsi" w:cstheme="majorHAnsi"/>
          <w:sz w:val="24"/>
          <w:szCs w:val="24"/>
          <w:lang w:val="ro-RO"/>
        </w:rPr>
        <w:t xml:space="preserve"> au fost identificate doar două</w:t>
      </w:r>
      <w:r w:rsidR="00731EF9" w:rsidRPr="00F64A56">
        <w:rPr>
          <w:rStyle w:val="FootnoteReference"/>
          <w:rFonts w:asciiTheme="majorHAnsi" w:eastAsia="Times New Roman" w:hAnsiTheme="majorHAnsi" w:cstheme="majorHAnsi"/>
          <w:sz w:val="24"/>
          <w:szCs w:val="24"/>
          <w:lang w:val="ro-RO"/>
        </w:rPr>
        <w:footnoteReference w:id="62"/>
      </w:r>
      <w:r w:rsidR="00A73E81" w:rsidRPr="00F64A56">
        <w:rPr>
          <w:rFonts w:asciiTheme="majorHAnsi" w:eastAsia="Times New Roman" w:hAnsiTheme="majorHAnsi" w:cstheme="majorHAnsi"/>
          <w:sz w:val="24"/>
          <w:szCs w:val="24"/>
          <w:lang w:val="ro-RO"/>
        </w:rPr>
        <w:t>), fapt ce a determinat existența</w:t>
      </w:r>
      <w:r w:rsidR="00A73E81" w:rsidRPr="00F64A56">
        <w:rPr>
          <w:rFonts w:asciiTheme="majorHAnsi" w:eastAsia="Times New Roman" w:hAnsiTheme="majorHAnsi" w:cstheme="majorHAnsi"/>
          <w:sz w:val="24"/>
          <w:szCs w:val="24"/>
          <w:lang w:val="ro-MD"/>
        </w:rPr>
        <w:t xml:space="preserve"> erorilor semnificative constatate în cadrul misiunii de audit. </w:t>
      </w:r>
      <w:r w:rsidR="00140E1F" w:rsidRPr="00F64A56">
        <w:rPr>
          <w:rFonts w:asciiTheme="majorHAnsi" w:eastAsia="Times New Roman" w:hAnsiTheme="majorHAnsi" w:cstheme="majorHAnsi"/>
          <w:sz w:val="24"/>
          <w:szCs w:val="24"/>
          <w:lang w:val="ro-RO"/>
        </w:rPr>
        <w:t>Aceste situa</w:t>
      </w:r>
      <w:r w:rsidR="00140E1F" w:rsidRPr="00F64A56">
        <w:rPr>
          <w:rFonts w:asciiTheme="majorHAnsi" w:eastAsia="Times New Roman" w:hAnsiTheme="majorHAnsi" w:cstheme="majorHAnsi"/>
          <w:sz w:val="24"/>
          <w:szCs w:val="24"/>
          <w:lang w:val="ro-MD"/>
        </w:rPr>
        <w:t>ții determină premisele</w:t>
      </w:r>
      <w:r w:rsidRPr="00F64A56">
        <w:rPr>
          <w:rFonts w:asciiTheme="majorHAnsi" w:eastAsia="Times New Roman" w:hAnsiTheme="majorHAnsi" w:cstheme="majorHAnsi"/>
          <w:sz w:val="24"/>
          <w:szCs w:val="24"/>
          <w:lang w:val="ro-RO"/>
        </w:rPr>
        <w:t xml:space="preserve"> </w:t>
      </w:r>
      <w:r w:rsidR="00140E1F" w:rsidRPr="00F64A56">
        <w:rPr>
          <w:rFonts w:asciiTheme="majorHAnsi" w:eastAsia="Times New Roman" w:hAnsiTheme="majorHAnsi" w:cstheme="majorHAnsi"/>
          <w:sz w:val="24"/>
          <w:szCs w:val="24"/>
          <w:lang w:val="ro-RO"/>
        </w:rPr>
        <w:t xml:space="preserve">după care </w:t>
      </w:r>
      <w:r w:rsidRPr="00F64A56">
        <w:rPr>
          <w:rFonts w:asciiTheme="majorHAnsi" w:eastAsia="Times New Roman" w:hAnsiTheme="majorHAnsi" w:cstheme="majorHAnsi"/>
          <w:sz w:val="24"/>
          <w:szCs w:val="24"/>
          <w:lang w:val="ro-RO"/>
        </w:rPr>
        <w:t xml:space="preserve">atribuțiile serviciului financiar nu </w:t>
      </w:r>
      <w:r w:rsidR="00140E1F" w:rsidRPr="00F64A56">
        <w:rPr>
          <w:rFonts w:asciiTheme="majorHAnsi" w:eastAsia="Times New Roman" w:hAnsiTheme="majorHAnsi" w:cstheme="majorHAnsi"/>
          <w:sz w:val="24"/>
          <w:szCs w:val="24"/>
          <w:lang w:val="ro-RO"/>
        </w:rPr>
        <w:t>se realizează</w:t>
      </w:r>
      <w:r w:rsidRPr="00F64A56">
        <w:rPr>
          <w:rFonts w:asciiTheme="majorHAnsi" w:eastAsia="Times New Roman" w:hAnsiTheme="majorHAnsi" w:cstheme="majorHAnsi"/>
          <w:sz w:val="24"/>
          <w:szCs w:val="24"/>
          <w:lang w:val="ro-RO"/>
        </w:rPr>
        <w:t xml:space="preserve"> conform unui cadru acceptabil de bună guvernare (</w:t>
      </w:r>
      <w:r w:rsidR="004F261E" w:rsidRPr="00F64A56">
        <w:rPr>
          <w:rFonts w:asciiTheme="majorHAnsi" w:eastAsia="Times New Roman" w:hAnsiTheme="majorHAnsi" w:cstheme="majorHAnsi"/>
          <w:sz w:val="24"/>
          <w:szCs w:val="24"/>
          <w:lang w:val="ro-RO"/>
        </w:rPr>
        <w:t>transparență</w:t>
      </w:r>
      <w:r w:rsidRPr="00F64A56">
        <w:rPr>
          <w:rFonts w:asciiTheme="majorHAnsi" w:eastAsia="Times New Roman" w:hAnsiTheme="majorHAnsi" w:cstheme="majorHAnsi"/>
          <w:sz w:val="24"/>
          <w:szCs w:val="24"/>
          <w:lang w:val="ro-RO"/>
        </w:rPr>
        <w:t xml:space="preserve"> </w:t>
      </w:r>
      <w:r w:rsidR="004F261E" w:rsidRPr="00F64A56">
        <w:rPr>
          <w:rFonts w:asciiTheme="majorHAnsi" w:eastAsia="Times New Roman" w:hAnsiTheme="majorHAnsi" w:cstheme="majorHAnsi"/>
          <w:sz w:val="24"/>
          <w:szCs w:val="24"/>
          <w:lang w:val="ro-RO"/>
        </w:rPr>
        <w:t>și</w:t>
      </w:r>
      <w:r w:rsidRPr="00F64A56">
        <w:rPr>
          <w:rFonts w:asciiTheme="majorHAnsi" w:eastAsia="Times New Roman" w:hAnsiTheme="majorHAnsi" w:cstheme="majorHAnsi"/>
          <w:sz w:val="24"/>
          <w:szCs w:val="24"/>
          <w:lang w:val="ro-RO"/>
        </w:rPr>
        <w:t xml:space="preserve"> răspundere; economicitate, </w:t>
      </w:r>
      <w:r w:rsidR="004F261E" w:rsidRPr="00F64A56">
        <w:rPr>
          <w:rFonts w:asciiTheme="majorHAnsi" w:eastAsia="Times New Roman" w:hAnsiTheme="majorHAnsi" w:cstheme="majorHAnsi"/>
          <w:sz w:val="24"/>
          <w:szCs w:val="24"/>
          <w:lang w:val="ro-RO"/>
        </w:rPr>
        <w:t>eficientă</w:t>
      </w:r>
      <w:r w:rsidRPr="00F64A56">
        <w:rPr>
          <w:rFonts w:asciiTheme="majorHAnsi" w:eastAsia="Times New Roman" w:hAnsiTheme="majorHAnsi" w:cstheme="majorHAnsi"/>
          <w:sz w:val="24"/>
          <w:szCs w:val="24"/>
          <w:lang w:val="ro-RO"/>
        </w:rPr>
        <w:t xml:space="preserve"> </w:t>
      </w:r>
      <w:r w:rsidR="004F261E" w:rsidRPr="00F64A56">
        <w:rPr>
          <w:rFonts w:asciiTheme="majorHAnsi" w:eastAsia="Times New Roman" w:hAnsiTheme="majorHAnsi" w:cstheme="majorHAnsi"/>
          <w:sz w:val="24"/>
          <w:szCs w:val="24"/>
          <w:lang w:val="ro-RO"/>
        </w:rPr>
        <w:t>și</w:t>
      </w:r>
      <w:r w:rsidRPr="00F64A56">
        <w:rPr>
          <w:rFonts w:asciiTheme="majorHAnsi" w:eastAsia="Times New Roman" w:hAnsiTheme="majorHAnsi" w:cstheme="majorHAnsi"/>
          <w:sz w:val="24"/>
          <w:szCs w:val="24"/>
          <w:lang w:val="ro-RO"/>
        </w:rPr>
        <w:t xml:space="preserve"> eficacitate;</w:t>
      </w:r>
      <w:r w:rsidR="00140E1F" w:rsidRPr="00F64A56">
        <w:rPr>
          <w:rFonts w:asciiTheme="majorHAnsi" w:eastAsia="Times New Roman" w:hAnsiTheme="majorHAnsi" w:cstheme="majorHAnsi"/>
          <w:sz w:val="24"/>
          <w:szCs w:val="24"/>
          <w:lang w:val="ro-RO"/>
        </w:rPr>
        <w:t xml:space="preserve"> legalitate; integritate)</w:t>
      </w:r>
      <w:r w:rsidR="009928C6">
        <w:rPr>
          <w:rFonts w:asciiTheme="majorHAnsi" w:eastAsia="Times New Roman" w:hAnsiTheme="majorHAnsi" w:cstheme="majorHAnsi"/>
          <w:sz w:val="24"/>
          <w:szCs w:val="24"/>
          <w:lang w:val="ro-RO"/>
        </w:rPr>
        <w:t>, iar</w:t>
      </w:r>
      <w:r w:rsidR="00140E1F" w:rsidRPr="00F64A56">
        <w:rPr>
          <w:rFonts w:asciiTheme="majorHAnsi" w:eastAsia="Times New Roman" w:hAnsiTheme="majorHAnsi" w:cstheme="majorHAnsi"/>
          <w:sz w:val="24"/>
          <w:szCs w:val="24"/>
          <w:lang w:val="ro-RO"/>
        </w:rPr>
        <w:t xml:space="preserve"> sistemul de CIM nu este</w:t>
      </w:r>
      <w:r w:rsidRPr="00F64A56">
        <w:rPr>
          <w:rFonts w:asciiTheme="majorHAnsi" w:eastAsia="Times New Roman" w:hAnsiTheme="majorHAnsi" w:cstheme="majorHAnsi"/>
          <w:sz w:val="24"/>
          <w:szCs w:val="24"/>
          <w:lang w:val="ro-RO"/>
        </w:rPr>
        <w:t xml:space="preserve"> eficient prin faptul că nu se va asigura corectitudinea unor date din rapoartele financiare, aferente anumitor procese operaționale, fiabilitatea și integritatea informați</w:t>
      </w:r>
      <w:r w:rsidR="004F261E" w:rsidRPr="00F64A56">
        <w:rPr>
          <w:rFonts w:asciiTheme="majorHAnsi" w:eastAsia="Times New Roman" w:hAnsiTheme="majorHAnsi" w:cstheme="majorHAnsi"/>
          <w:sz w:val="24"/>
          <w:szCs w:val="24"/>
          <w:lang w:val="ro-RO"/>
        </w:rPr>
        <w:t>ilor financiare și operaționale</w:t>
      </w:r>
      <w:r w:rsidR="00FC3420" w:rsidRPr="00F64A56">
        <w:rPr>
          <w:rFonts w:asciiTheme="majorHAnsi" w:eastAsia="Calibri" w:hAnsiTheme="majorHAnsi" w:cstheme="majorHAnsi"/>
          <w:sz w:val="24"/>
          <w:szCs w:val="24"/>
          <w:lang w:val="ro-RO"/>
        </w:rPr>
        <w:t>.</w:t>
      </w:r>
      <w:bookmarkStart w:id="4" w:name="_Toc529533670"/>
    </w:p>
    <w:p w:rsidR="00C363C2" w:rsidRPr="00F64A56" w:rsidRDefault="00C363C2" w:rsidP="00C363C2">
      <w:pPr>
        <w:pStyle w:val="ListParagraph"/>
        <w:spacing w:after="0" w:line="276" w:lineRule="auto"/>
        <w:ind w:left="0" w:firstLine="709"/>
        <w:jc w:val="both"/>
        <w:rPr>
          <w:rFonts w:asciiTheme="majorHAnsi" w:eastAsia="Times New Roman" w:hAnsiTheme="majorHAnsi" w:cstheme="majorHAnsi"/>
          <w:sz w:val="24"/>
          <w:szCs w:val="24"/>
          <w:lang w:val="ro-RO"/>
        </w:rPr>
      </w:pPr>
      <w:r w:rsidRPr="00F64A56">
        <w:rPr>
          <w:rFonts w:asciiTheme="majorHAnsi" w:eastAsia="Times New Roman" w:hAnsiTheme="majorHAnsi" w:cstheme="majorHAnsi"/>
          <w:sz w:val="24"/>
          <w:szCs w:val="24"/>
          <w:lang w:val="ro-RO"/>
        </w:rPr>
        <w:t>Activitatea de audit intern este dezvoltată instituțional și funcțional</w:t>
      </w:r>
      <w:r w:rsidRPr="00F64A56">
        <w:rPr>
          <w:rStyle w:val="FootnoteReference"/>
          <w:rFonts w:asciiTheme="majorHAnsi" w:eastAsia="Times New Roman" w:hAnsiTheme="majorHAnsi" w:cstheme="majorHAnsi"/>
          <w:sz w:val="24"/>
          <w:szCs w:val="24"/>
          <w:lang w:val="ro-RO"/>
        </w:rPr>
        <w:footnoteReference w:id="63"/>
      </w:r>
      <w:r w:rsidRPr="00F64A56">
        <w:rPr>
          <w:rFonts w:asciiTheme="majorHAnsi" w:eastAsia="Times New Roman" w:hAnsiTheme="majorHAnsi" w:cstheme="majorHAnsi"/>
          <w:sz w:val="24"/>
          <w:szCs w:val="24"/>
          <w:lang w:val="ro-RO"/>
        </w:rPr>
        <w:t xml:space="preserve">. Cu toate acestea, misiunile de audit intern realizate/raportate în </w:t>
      </w:r>
      <w:r w:rsidR="009928C6">
        <w:rPr>
          <w:rFonts w:asciiTheme="majorHAnsi" w:eastAsia="Times New Roman" w:hAnsiTheme="majorHAnsi" w:cstheme="majorHAnsi"/>
          <w:sz w:val="24"/>
          <w:szCs w:val="24"/>
          <w:lang w:val="ro-RO"/>
        </w:rPr>
        <w:t>perioada</w:t>
      </w:r>
      <w:r w:rsidR="009928C6" w:rsidRPr="00F64A56">
        <w:rPr>
          <w:rFonts w:asciiTheme="majorHAnsi" w:eastAsia="Times New Roman" w:hAnsiTheme="majorHAnsi" w:cstheme="majorHAnsi"/>
          <w:sz w:val="24"/>
          <w:szCs w:val="24"/>
          <w:lang w:val="ro-RO"/>
        </w:rPr>
        <w:t xml:space="preserve"> </w:t>
      </w:r>
      <w:r w:rsidR="004B2560" w:rsidRPr="00F64A56">
        <w:rPr>
          <w:rFonts w:asciiTheme="majorHAnsi" w:eastAsia="Times New Roman" w:hAnsiTheme="majorHAnsi" w:cstheme="majorHAnsi"/>
          <w:sz w:val="24"/>
          <w:szCs w:val="24"/>
          <w:lang w:val="ro-RO"/>
        </w:rPr>
        <w:t>2019-</w:t>
      </w:r>
      <w:r w:rsidRPr="00F64A56">
        <w:rPr>
          <w:rFonts w:asciiTheme="majorHAnsi" w:eastAsia="Times New Roman" w:hAnsiTheme="majorHAnsi" w:cstheme="majorHAnsi"/>
          <w:sz w:val="24"/>
          <w:szCs w:val="24"/>
          <w:lang w:val="ro-RO"/>
        </w:rPr>
        <w:t>2020</w:t>
      </w:r>
      <w:r w:rsidR="004B2560" w:rsidRPr="00F64A56">
        <w:rPr>
          <w:rStyle w:val="FootnoteReference"/>
          <w:rFonts w:asciiTheme="majorHAnsi" w:eastAsia="Times New Roman" w:hAnsiTheme="majorHAnsi" w:cstheme="majorHAnsi"/>
          <w:sz w:val="24"/>
          <w:szCs w:val="24"/>
          <w:lang w:val="ro-RO"/>
        </w:rPr>
        <w:footnoteReference w:id="64"/>
      </w:r>
      <w:r w:rsidRPr="00F64A56">
        <w:rPr>
          <w:rFonts w:asciiTheme="majorHAnsi" w:eastAsia="Times New Roman" w:hAnsiTheme="majorHAnsi" w:cstheme="majorHAnsi"/>
          <w:sz w:val="24"/>
          <w:szCs w:val="24"/>
          <w:lang w:val="ro-RO"/>
        </w:rPr>
        <w:t xml:space="preserve"> nu </w:t>
      </w:r>
      <w:r w:rsidR="004B2560" w:rsidRPr="00F64A56">
        <w:rPr>
          <w:rFonts w:asciiTheme="majorHAnsi" w:eastAsia="Times New Roman" w:hAnsiTheme="majorHAnsi" w:cstheme="majorHAnsi"/>
          <w:sz w:val="24"/>
          <w:szCs w:val="24"/>
          <w:lang w:val="ro-RO"/>
        </w:rPr>
        <w:t>s-a</w:t>
      </w:r>
      <w:r w:rsidRPr="00F64A56">
        <w:rPr>
          <w:rFonts w:asciiTheme="majorHAnsi" w:eastAsia="Times New Roman" w:hAnsiTheme="majorHAnsi" w:cstheme="majorHAnsi"/>
          <w:sz w:val="24"/>
          <w:szCs w:val="24"/>
          <w:lang w:val="ro-RO"/>
        </w:rPr>
        <w:t>u atribuit la dom</w:t>
      </w:r>
      <w:r w:rsidR="004B2560" w:rsidRPr="00F64A56">
        <w:rPr>
          <w:rFonts w:asciiTheme="majorHAnsi" w:eastAsia="Times New Roman" w:hAnsiTheme="majorHAnsi" w:cstheme="majorHAnsi"/>
          <w:sz w:val="24"/>
          <w:szCs w:val="24"/>
          <w:lang w:val="ro-RO"/>
        </w:rPr>
        <w:t>e</w:t>
      </w:r>
      <w:r w:rsidRPr="00F64A56">
        <w:rPr>
          <w:rFonts w:asciiTheme="majorHAnsi" w:eastAsia="Times New Roman" w:hAnsiTheme="majorHAnsi" w:cstheme="majorHAnsi"/>
          <w:sz w:val="24"/>
          <w:szCs w:val="24"/>
          <w:lang w:val="ro-RO"/>
        </w:rPr>
        <w:t xml:space="preserve">niile ce țin de </w:t>
      </w:r>
      <w:r w:rsidR="004B2560" w:rsidRPr="00F64A56">
        <w:rPr>
          <w:rFonts w:asciiTheme="majorHAnsi" w:eastAsia="Times New Roman" w:hAnsiTheme="majorHAnsi" w:cstheme="majorHAnsi"/>
          <w:sz w:val="24"/>
          <w:szCs w:val="24"/>
          <w:lang w:val="ro-RO"/>
        </w:rPr>
        <w:t>activitățile de întocmire și raportare a situațiilor financiare.</w:t>
      </w:r>
    </w:p>
    <w:p w:rsidR="00A73E81" w:rsidRPr="00F64A56" w:rsidRDefault="00A73E81" w:rsidP="00E61CC4">
      <w:pPr>
        <w:pStyle w:val="ListParagraph"/>
        <w:numPr>
          <w:ilvl w:val="1"/>
          <w:numId w:val="21"/>
        </w:numPr>
        <w:tabs>
          <w:tab w:val="left" w:pos="709"/>
          <w:tab w:val="left" w:pos="1134"/>
        </w:tabs>
        <w:spacing w:after="0" w:line="276" w:lineRule="auto"/>
        <w:ind w:left="0" w:firstLine="709"/>
        <w:jc w:val="both"/>
        <w:rPr>
          <w:rFonts w:asciiTheme="majorHAnsi" w:eastAsia="Times New Roman" w:hAnsiTheme="majorHAnsi" w:cstheme="majorHAnsi"/>
          <w:sz w:val="24"/>
          <w:szCs w:val="24"/>
          <w:lang w:val="ro-RO"/>
        </w:rPr>
      </w:pPr>
      <w:r w:rsidRPr="00F64A56">
        <w:rPr>
          <w:rFonts w:asciiTheme="majorHAnsi" w:eastAsia="Calibri" w:hAnsiTheme="majorHAnsi" w:cstheme="majorHAnsi"/>
          <w:sz w:val="24"/>
          <w:szCs w:val="24"/>
          <w:lang w:val="ro-MD"/>
        </w:rPr>
        <w:t>Prin Hotărârea Curții de Conturi nr.38 din 25.06.2018</w:t>
      </w:r>
      <w:r w:rsidRPr="00F64A56">
        <w:rPr>
          <w:rFonts w:asciiTheme="majorHAnsi" w:eastAsia="Calibri" w:hAnsiTheme="majorHAnsi" w:cstheme="majorHAnsi"/>
          <w:sz w:val="24"/>
          <w:szCs w:val="24"/>
          <w:vertAlign w:val="superscript"/>
          <w:lang w:val="ro-MD"/>
        </w:rPr>
        <w:footnoteReference w:id="65"/>
      </w:r>
      <w:r w:rsidRPr="00F64A56">
        <w:rPr>
          <w:rFonts w:asciiTheme="majorHAnsi" w:eastAsia="Calibri" w:hAnsiTheme="majorHAnsi" w:cstheme="majorHAnsi"/>
          <w:sz w:val="24"/>
          <w:szCs w:val="24"/>
          <w:lang w:val="ro-MD"/>
        </w:rPr>
        <w:t>, autorității publice locale a mun. Bălți i-au fost înaintate 16 recomandări, dintre care 14 au fost implementate</w:t>
      </w:r>
      <w:r w:rsidRPr="00F64A56">
        <w:rPr>
          <w:rFonts w:asciiTheme="majorHAnsi" w:eastAsia="Calibri" w:hAnsiTheme="majorHAnsi" w:cstheme="majorHAnsi"/>
          <w:sz w:val="24"/>
          <w:szCs w:val="24"/>
          <w:vertAlign w:val="superscript"/>
          <w:lang w:val="ro-MD"/>
        </w:rPr>
        <w:footnoteReference w:id="66"/>
      </w:r>
      <w:r w:rsidRPr="00F64A56">
        <w:rPr>
          <w:rFonts w:asciiTheme="majorHAnsi" w:eastAsia="Calibri" w:hAnsiTheme="majorHAnsi" w:cstheme="majorHAnsi"/>
          <w:sz w:val="24"/>
          <w:szCs w:val="24"/>
          <w:lang w:val="ro-MD"/>
        </w:rPr>
        <w:t xml:space="preserve">, nivelul de executare fiind de 87,5%. O recomandare a fost implementată parțial, nefiind soluționată deficiența ce ține de </w:t>
      </w:r>
      <w:r w:rsidRPr="00F64A56">
        <w:rPr>
          <w:rFonts w:asciiTheme="majorHAnsi" w:eastAsia="Calibri" w:hAnsiTheme="majorHAnsi" w:cstheme="majorHAnsi"/>
          <w:sz w:val="24"/>
          <w:szCs w:val="24"/>
          <w:lang w:val="ro-RO"/>
        </w:rPr>
        <w:t>asigurarea bazei juridice necesare pentru finanțarea din buget a serviciilor de transport a</w:t>
      </w:r>
      <w:r w:rsidR="009928C6">
        <w:rPr>
          <w:rFonts w:asciiTheme="majorHAnsi" w:eastAsia="Calibri" w:hAnsiTheme="majorHAnsi" w:cstheme="majorHAnsi"/>
          <w:sz w:val="24"/>
          <w:szCs w:val="24"/>
          <w:lang w:val="ro-RO"/>
        </w:rPr>
        <w:t>l</w:t>
      </w:r>
      <w:r w:rsidRPr="00F64A56">
        <w:rPr>
          <w:rFonts w:asciiTheme="majorHAnsi" w:eastAsia="Calibri" w:hAnsiTheme="majorHAnsi" w:cstheme="majorHAnsi"/>
          <w:sz w:val="24"/>
          <w:szCs w:val="24"/>
          <w:lang w:val="ro-RO"/>
        </w:rPr>
        <w:t xml:space="preserve"> decedaților la instituția medicală pentru constatarea cauzei decesului (expertiza medico-legală) și o recomandare nu a fost implementată - să demareze acțiuni neîntârziate de inventariere și evaluare a proprietății publice, ca parte a proiectelor investiționale, pentru asigurarea înregistrării și contabilizării conforme a acesteia.</w:t>
      </w:r>
    </w:p>
    <w:p w:rsidR="00B84D0D" w:rsidRPr="00F64A56" w:rsidRDefault="00B84D0D" w:rsidP="00B84D0D">
      <w:pPr>
        <w:pStyle w:val="ListParagraph"/>
        <w:numPr>
          <w:ilvl w:val="1"/>
          <w:numId w:val="21"/>
        </w:numPr>
        <w:tabs>
          <w:tab w:val="left" w:pos="0"/>
          <w:tab w:val="left" w:pos="1134"/>
        </w:tabs>
        <w:spacing w:after="0" w:line="276" w:lineRule="auto"/>
        <w:ind w:left="0" w:firstLine="709"/>
        <w:jc w:val="both"/>
        <w:rPr>
          <w:rFonts w:asciiTheme="majorHAnsi" w:eastAsia="Calibri" w:hAnsiTheme="majorHAnsi" w:cstheme="majorHAnsi"/>
          <w:sz w:val="24"/>
          <w:szCs w:val="24"/>
          <w:lang w:val="ro-RO"/>
        </w:rPr>
      </w:pPr>
      <w:r w:rsidRPr="00F64A56">
        <w:rPr>
          <w:rFonts w:asciiTheme="majorHAnsi" w:eastAsia="Calibri" w:hAnsiTheme="majorHAnsi" w:cstheme="majorHAnsi"/>
          <w:sz w:val="24"/>
          <w:szCs w:val="24"/>
          <w:lang w:val="ro-RO"/>
        </w:rPr>
        <w:t xml:space="preserve">Pentru anul 2020, unele direcții autonome din cadrul </w:t>
      </w:r>
      <w:r w:rsidR="00F03DCC">
        <w:rPr>
          <w:rFonts w:asciiTheme="majorHAnsi" w:eastAsia="Calibri" w:hAnsiTheme="majorHAnsi" w:cstheme="majorHAnsi"/>
          <w:sz w:val="24"/>
          <w:szCs w:val="24"/>
          <w:lang w:val="ro-RO"/>
        </w:rPr>
        <w:t>P</w:t>
      </w:r>
      <w:r w:rsidRPr="00F64A56">
        <w:rPr>
          <w:rFonts w:asciiTheme="majorHAnsi" w:eastAsia="Calibri" w:hAnsiTheme="majorHAnsi" w:cstheme="majorHAnsi"/>
          <w:sz w:val="24"/>
          <w:szCs w:val="24"/>
          <w:lang w:val="ro-RO"/>
        </w:rPr>
        <w:t>rimăriei mun. Bălți nu au aprobat o politică de contabilitate proprie (CAP</w:t>
      </w:r>
      <w:r w:rsidRPr="00F64A56">
        <w:rPr>
          <w:rFonts w:asciiTheme="majorHAnsi" w:hAnsiTheme="majorHAnsi" w:cstheme="majorHAnsi"/>
          <w:sz w:val="24"/>
          <w:szCs w:val="24"/>
          <w:vertAlign w:val="superscript"/>
          <w:lang w:val="ro-RO"/>
        </w:rPr>
        <w:footnoteReference w:id="67"/>
      </w:r>
      <w:r w:rsidRPr="00F64A56">
        <w:rPr>
          <w:rFonts w:asciiTheme="majorHAnsi" w:eastAsia="Calibri" w:hAnsiTheme="majorHAnsi" w:cstheme="majorHAnsi"/>
          <w:sz w:val="24"/>
          <w:szCs w:val="24"/>
          <w:lang w:val="ro-RO"/>
        </w:rPr>
        <w:t xml:space="preserve">, DC), iar prin politicile de contabilitate existente </w:t>
      </w:r>
      <w:r w:rsidRPr="00F64A56">
        <w:rPr>
          <w:rFonts w:asciiTheme="majorHAnsi" w:eastAsia="Calibri" w:hAnsiTheme="majorHAnsi" w:cstheme="majorHAnsi"/>
          <w:sz w:val="24"/>
          <w:szCs w:val="24"/>
          <w:lang w:val="ro-RO"/>
        </w:rPr>
        <w:lastRenderedPageBreak/>
        <w:t>ale altor direcții, s-au stabilit criterii diferite de atribuire a activelor la mijloace fixe și stocuri de materiale circulante (DÎTS</w:t>
      </w:r>
      <w:r w:rsidRPr="00F64A56">
        <w:rPr>
          <w:rFonts w:asciiTheme="majorHAnsi" w:hAnsiTheme="majorHAnsi" w:cstheme="majorHAnsi"/>
          <w:sz w:val="24"/>
          <w:szCs w:val="24"/>
          <w:vertAlign w:val="superscript"/>
          <w:lang w:val="ro-RO"/>
        </w:rPr>
        <w:footnoteReference w:id="68"/>
      </w:r>
      <w:r w:rsidRPr="00F64A56">
        <w:rPr>
          <w:rFonts w:asciiTheme="majorHAnsi" w:eastAsia="Calibri" w:hAnsiTheme="majorHAnsi" w:cstheme="majorHAnsi"/>
          <w:sz w:val="24"/>
          <w:szCs w:val="24"/>
          <w:lang w:val="ro-RO"/>
        </w:rPr>
        <w:t>, DGAPF</w:t>
      </w:r>
      <w:r w:rsidRPr="00F64A56">
        <w:rPr>
          <w:rFonts w:asciiTheme="majorHAnsi" w:hAnsiTheme="majorHAnsi" w:cstheme="majorHAnsi"/>
          <w:sz w:val="24"/>
          <w:szCs w:val="24"/>
          <w:vertAlign w:val="superscript"/>
          <w:lang w:val="ro-RO"/>
        </w:rPr>
        <w:footnoteReference w:id="69"/>
      </w:r>
      <w:r w:rsidRPr="00F64A56">
        <w:rPr>
          <w:rFonts w:asciiTheme="majorHAnsi" w:eastAsia="Calibri" w:hAnsiTheme="majorHAnsi" w:cstheme="majorHAnsi"/>
          <w:sz w:val="24"/>
          <w:szCs w:val="24"/>
          <w:lang w:val="ro-RO"/>
        </w:rPr>
        <w:t>, DGFE</w:t>
      </w:r>
      <w:r w:rsidRPr="00F64A56">
        <w:rPr>
          <w:rFonts w:asciiTheme="majorHAnsi" w:hAnsiTheme="majorHAnsi" w:cstheme="majorHAnsi"/>
          <w:sz w:val="24"/>
          <w:szCs w:val="24"/>
          <w:vertAlign w:val="superscript"/>
          <w:lang w:val="ro-RO"/>
        </w:rPr>
        <w:footnoteReference w:id="70"/>
      </w:r>
      <w:r w:rsidRPr="00F64A56">
        <w:rPr>
          <w:rFonts w:asciiTheme="majorHAnsi" w:eastAsia="Calibri" w:hAnsiTheme="majorHAnsi" w:cstheme="majorHAnsi"/>
          <w:sz w:val="24"/>
          <w:szCs w:val="24"/>
          <w:lang w:val="ro-RO"/>
        </w:rPr>
        <w:t>).</w:t>
      </w:r>
      <w:r w:rsidRPr="00F64A56">
        <w:rPr>
          <w:rFonts w:asciiTheme="majorHAnsi" w:eastAsia="Calibri" w:hAnsiTheme="majorHAnsi" w:cstheme="majorHAnsi"/>
          <w:bCs/>
          <w:sz w:val="24"/>
          <w:szCs w:val="24"/>
          <w:lang w:val="ro-RO"/>
        </w:rPr>
        <w:t xml:space="preserve"> </w:t>
      </w:r>
    </w:p>
    <w:p w:rsidR="00B84D0D" w:rsidRPr="00F64A56" w:rsidRDefault="00B84D0D" w:rsidP="00B84D0D">
      <w:pPr>
        <w:tabs>
          <w:tab w:val="left" w:pos="0"/>
          <w:tab w:val="left" w:pos="1134"/>
        </w:tabs>
        <w:spacing w:after="0" w:line="276" w:lineRule="auto"/>
        <w:ind w:firstLine="709"/>
        <w:contextualSpacing/>
        <w:jc w:val="both"/>
        <w:rPr>
          <w:rFonts w:asciiTheme="majorHAnsi" w:eastAsia="Calibri" w:hAnsiTheme="majorHAnsi" w:cstheme="majorHAnsi"/>
          <w:b/>
          <w:sz w:val="24"/>
          <w:szCs w:val="24"/>
          <w:lang w:val="ro-RO"/>
        </w:rPr>
      </w:pPr>
      <w:r w:rsidRPr="00F64A56">
        <w:rPr>
          <w:rFonts w:asciiTheme="majorHAnsi" w:eastAsia="Calibri" w:hAnsiTheme="majorHAnsi" w:cstheme="majorHAnsi"/>
          <w:bCs/>
          <w:sz w:val="24"/>
          <w:szCs w:val="24"/>
          <w:lang w:val="ro-RO"/>
        </w:rPr>
        <w:t xml:space="preserve">În acest context, se menționează că </w:t>
      </w:r>
      <w:r w:rsidRPr="00F64A56">
        <w:rPr>
          <w:rFonts w:asciiTheme="majorHAnsi" w:eastAsia="Calibri" w:hAnsiTheme="majorHAnsi" w:cstheme="majorHAnsi"/>
          <w:sz w:val="24"/>
          <w:szCs w:val="24"/>
          <w:lang w:val="ro-RO"/>
        </w:rPr>
        <w:t>uzura calculată în volum de 100% pentru obiectele (lucrurile) care sunt bune pentru exploatare în continuare nu poate servi drept temei pentru casarea acestor obiecte din cauza uzurii lor totale</w:t>
      </w:r>
      <w:r w:rsidRPr="00F64A56">
        <w:rPr>
          <w:rFonts w:asciiTheme="majorHAnsi" w:eastAsia="Calibri" w:hAnsiTheme="majorHAnsi" w:cstheme="majorHAnsi"/>
          <w:sz w:val="24"/>
          <w:szCs w:val="24"/>
          <w:vertAlign w:val="superscript"/>
          <w:lang w:val="ro-RO"/>
        </w:rPr>
        <w:footnoteReference w:id="71"/>
      </w:r>
      <w:r w:rsidRPr="00F64A56">
        <w:rPr>
          <w:rFonts w:asciiTheme="majorHAnsi" w:eastAsia="Calibri" w:hAnsiTheme="majorHAnsi" w:cstheme="majorHAnsi"/>
          <w:sz w:val="24"/>
          <w:szCs w:val="24"/>
          <w:lang w:val="ro-RO"/>
        </w:rPr>
        <w:t xml:space="preserve">. Astfel, </w:t>
      </w:r>
      <w:r w:rsidR="00F03DCC">
        <w:rPr>
          <w:rFonts w:asciiTheme="majorHAnsi" w:eastAsia="Calibri" w:hAnsiTheme="majorHAnsi" w:cstheme="majorHAnsi"/>
          <w:sz w:val="24"/>
          <w:szCs w:val="24"/>
          <w:lang w:val="ro-RO"/>
        </w:rPr>
        <w:t xml:space="preserve">în </w:t>
      </w:r>
      <w:r w:rsidRPr="00F64A56">
        <w:rPr>
          <w:rFonts w:asciiTheme="majorHAnsi" w:eastAsia="Calibri" w:hAnsiTheme="majorHAnsi" w:cstheme="majorHAnsi"/>
          <w:sz w:val="24"/>
          <w:szCs w:val="24"/>
          <w:lang w:val="ro-RO"/>
        </w:rPr>
        <w:t>ca</w:t>
      </w:r>
      <w:r w:rsidR="00F03DCC">
        <w:rPr>
          <w:rFonts w:asciiTheme="majorHAnsi" w:eastAsia="Calibri" w:hAnsiTheme="majorHAnsi" w:cstheme="majorHAnsi"/>
          <w:sz w:val="24"/>
          <w:szCs w:val="24"/>
          <w:lang w:val="ro-RO"/>
        </w:rPr>
        <w:t>litate de</w:t>
      </w:r>
      <w:r w:rsidRPr="00F64A56">
        <w:rPr>
          <w:rFonts w:asciiTheme="majorHAnsi" w:eastAsia="Calibri" w:hAnsiTheme="majorHAnsi" w:cstheme="majorHAnsi"/>
          <w:sz w:val="24"/>
          <w:szCs w:val="24"/>
          <w:lang w:val="ro-RO"/>
        </w:rPr>
        <w:t xml:space="preserve"> criteriu suplimentar pentru atribuirea unui activ/mijloc fix la categoria de material circulant</w:t>
      </w:r>
      <w:r w:rsidRPr="00F64A56">
        <w:rPr>
          <w:rFonts w:asciiTheme="majorHAnsi" w:eastAsia="Calibri" w:hAnsiTheme="majorHAnsi" w:cstheme="majorHAnsi"/>
          <w:sz w:val="24"/>
          <w:szCs w:val="24"/>
          <w:vertAlign w:val="superscript"/>
          <w:lang w:val="ro-RO"/>
        </w:rPr>
        <w:footnoteReference w:id="72"/>
      </w:r>
      <w:r w:rsidRPr="00F64A56">
        <w:rPr>
          <w:rFonts w:asciiTheme="majorHAnsi" w:eastAsia="Calibri" w:hAnsiTheme="majorHAnsi" w:cstheme="majorHAnsi"/>
          <w:sz w:val="24"/>
          <w:szCs w:val="24"/>
          <w:lang w:val="ro-RO"/>
        </w:rPr>
        <w:t xml:space="preserve"> poate servi faptul că el nu este bun pentru a fi utilizat în continuare și ulterior urmează a fi casat. </w:t>
      </w:r>
      <w:r w:rsidRPr="00F64A56">
        <w:rPr>
          <w:rFonts w:asciiTheme="majorHAnsi" w:eastAsia="Calibri" w:hAnsiTheme="majorHAnsi" w:cstheme="majorHAnsi"/>
          <w:bCs/>
          <w:iCs/>
          <w:sz w:val="24"/>
          <w:szCs w:val="24"/>
          <w:lang w:val="ro-RO"/>
        </w:rPr>
        <w:t>În contextul prevederilor normative existente</w:t>
      </w:r>
      <w:r w:rsidRPr="00F64A56">
        <w:rPr>
          <w:rFonts w:asciiTheme="majorHAnsi" w:eastAsia="Calibri" w:hAnsiTheme="majorHAnsi" w:cstheme="majorHAnsi"/>
          <w:bCs/>
          <w:iCs/>
          <w:sz w:val="24"/>
          <w:szCs w:val="24"/>
          <w:vertAlign w:val="superscript"/>
          <w:lang w:val="ro-RO"/>
        </w:rPr>
        <w:footnoteReference w:id="73"/>
      </w:r>
      <w:r w:rsidRPr="00F64A56">
        <w:rPr>
          <w:rFonts w:asciiTheme="majorHAnsi" w:eastAsia="Calibri" w:hAnsiTheme="majorHAnsi" w:cstheme="majorHAnsi"/>
          <w:bCs/>
          <w:iCs/>
          <w:sz w:val="24"/>
          <w:szCs w:val="24"/>
          <w:lang w:val="ro-RO"/>
        </w:rPr>
        <w:t>, entitățile publice ar fi putut stabili ca criteriu suplimentar de atribuire a activelor la</w:t>
      </w:r>
      <w:r w:rsidRPr="00F64A56">
        <w:rPr>
          <w:rFonts w:asciiTheme="majorHAnsi" w:eastAsia="Calibri" w:hAnsiTheme="majorHAnsi" w:cstheme="majorHAnsi"/>
          <w:b/>
          <w:bCs/>
          <w:iCs/>
          <w:sz w:val="24"/>
          <w:szCs w:val="24"/>
          <w:lang w:val="ro-RO"/>
        </w:rPr>
        <w:t xml:space="preserve"> </w:t>
      </w:r>
      <w:r w:rsidRPr="00F64A56">
        <w:rPr>
          <w:rFonts w:asciiTheme="majorHAnsi" w:eastAsia="Calibri" w:hAnsiTheme="majorHAnsi" w:cstheme="majorHAnsi"/>
          <w:bCs/>
          <w:iCs/>
          <w:sz w:val="24"/>
          <w:szCs w:val="24"/>
          <w:lang w:val="ro-RO"/>
        </w:rPr>
        <w:t>mijloace fixe sau stocuri de materiale circulante condiția că obiectele sunt destinate casării/vânzării ulterioare, adică nu se vor folosi și vor fi scoase recent din uz (la închiderea anului</w:t>
      </w:r>
      <w:r w:rsidRPr="00F64A56">
        <w:rPr>
          <w:rFonts w:asciiTheme="majorHAnsi" w:eastAsia="Calibri" w:hAnsiTheme="majorHAnsi" w:cstheme="majorHAnsi"/>
          <w:b/>
          <w:bCs/>
          <w:iCs/>
          <w:sz w:val="24"/>
          <w:szCs w:val="24"/>
          <w:lang w:val="ro-RO"/>
        </w:rPr>
        <w:t xml:space="preserve"> </w:t>
      </w:r>
      <w:r w:rsidRPr="00F64A56">
        <w:rPr>
          <w:rFonts w:asciiTheme="majorHAnsi" w:eastAsia="Calibri" w:hAnsiTheme="majorHAnsi" w:cstheme="majorHAnsi"/>
          <w:bCs/>
          <w:iCs/>
          <w:sz w:val="24"/>
          <w:szCs w:val="24"/>
          <w:lang w:val="ro-RO"/>
        </w:rPr>
        <w:t>bugetar</w:t>
      </w:r>
      <w:r w:rsidRPr="002F288C">
        <w:rPr>
          <w:rFonts w:asciiTheme="majorHAnsi" w:eastAsia="Calibri" w:hAnsiTheme="majorHAnsi" w:cstheme="majorHAnsi"/>
          <w:sz w:val="24"/>
          <w:szCs w:val="24"/>
        </w:rPr>
        <w:t xml:space="preserve"> </w:t>
      </w:r>
      <w:r w:rsidRPr="00F64A56">
        <w:rPr>
          <w:rFonts w:asciiTheme="majorHAnsi" w:eastAsia="Calibri" w:hAnsiTheme="majorHAnsi" w:cstheme="majorHAnsi"/>
          <w:bCs/>
          <w:iCs/>
          <w:sz w:val="24"/>
          <w:szCs w:val="24"/>
          <w:lang w:val="ro-RO"/>
        </w:rPr>
        <w:t>sau</w:t>
      </w:r>
      <w:r w:rsidR="00F03DCC">
        <w:rPr>
          <w:rFonts w:asciiTheme="majorHAnsi" w:eastAsia="Calibri" w:hAnsiTheme="majorHAnsi" w:cstheme="majorHAnsi"/>
          <w:bCs/>
          <w:iCs/>
          <w:sz w:val="24"/>
          <w:szCs w:val="24"/>
          <w:lang w:val="ro-RO"/>
        </w:rPr>
        <w:t>,</w:t>
      </w:r>
      <w:r w:rsidRPr="00F64A56">
        <w:rPr>
          <w:rFonts w:asciiTheme="majorHAnsi" w:eastAsia="Calibri" w:hAnsiTheme="majorHAnsi" w:cstheme="majorHAnsi"/>
          <w:bCs/>
          <w:iCs/>
          <w:sz w:val="24"/>
          <w:szCs w:val="24"/>
          <w:lang w:val="ro-RO"/>
        </w:rPr>
        <w:t xml:space="preserve"> cel puțin</w:t>
      </w:r>
      <w:r w:rsidR="00F03DCC">
        <w:rPr>
          <w:rFonts w:asciiTheme="majorHAnsi" w:eastAsia="Calibri" w:hAnsiTheme="majorHAnsi" w:cstheme="majorHAnsi"/>
          <w:bCs/>
          <w:iCs/>
          <w:sz w:val="24"/>
          <w:szCs w:val="24"/>
          <w:lang w:val="ro-RO"/>
        </w:rPr>
        <w:t>,</w:t>
      </w:r>
      <w:r w:rsidRPr="00F64A56">
        <w:rPr>
          <w:rFonts w:asciiTheme="majorHAnsi" w:eastAsia="Calibri" w:hAnsiTheme="majorHAnsi" w:cstheme="majorHAnsi"/>
          <w:bCs/>
          <w:iCs/>
          <w:sz w:val="24"/>
          <w:szCs w:val="24"/>
          <w:lang w:val="ro-RO"/>
        </w:rPr>
        <w:t xml:space="preserve"> în următorul an bugetar), fapt ce urmează a fi stabilit cert prin aprobarea rezultatelor inventarierii anuale a activelor deținute</w:t>
      </w:r>
      <w:r w:rsidRPr="00F64A56">
        <w:rPr>
          <w:rFonts w:asciiTheme="majorHAnsi" w:eastAsia="Calibri" w:hAnsiTheme="majorHAnsi" w:cstheme="majorHAnsi"/>
          <w:bCs/>
          <w:iCs/>
          <w:sz w:val="24"/>
          <w:szCs w:val="24"/>
          <w:vertAlign w:val="superscript"/>
          <w:lang w:val="ro-RO"/>
        </w:rPr>
        <w:footnoteReference w:id="74"/>
      </w:r>
      <w:r w:rsidRPr="00F64A56">
        <w:rPr>
          <w:rFonts w:asciiTheme="majorHAnsi" w:eastAsia="Calibri" w:hAnsiTheme="majorHAnsi" w:cstheme="majorHAnsi"/>
          <w:bCs/>
          <w:iCs/>
          <w:sz w:val="24"/>
          <w:szCs w:val="24"/>
          <w:lang w:val="ro-RO"/>
        </w:rPr>
        <w:t>.</w:t>
      </w:r>
    </w:p>
    <w:p w:rsidR="00433E6E" w:rsidRPr="00F64A56" w:rsidRDefault="00B84D0D" w:rsidP="00A73E81">
      <w:pPr>
        <w:pStyle w:val="ListParagraph"/>
        <w:tabs>
          <w:tab w:val="left" w:pos="709"/>
          <w:tab w:val="left" w:pos="1134"/>
        </w:tabs>
        <w:spacing w:after="0" w:line="276" w:lineRule="auto"/>
        <w:ind w:left="0" w:firstLine="709"/>
        <w:jc w:val="both"/>
        <w:rPr>
          <w:rFonts w:asciiTheme="majorHAnsi" w:eastAsia="Times New Roman" w:hAnsiTheme="majorHAnsi" w:cstheme="majorHAnsi"/>
          <w:sz w:val="24"/>
          <w:szCs w:val="24"/>
          <w:lang w:val="ro-RO"/>
        </w:rPr>
      </w:pPr>
      <w:r w:rsidRPr="00F64A56">
        <w:rPr>
          <w:rFonts w:asciiTheme="majorHAnsi" w:eastAsia="Calibri" w:hAnsiTheme="majorHAnsi" w:cstheme="majorHAnsi"/>
          <w:bCs/>
          <w:iCs/>
          <w:sz w:val="24"/>
          <w:szCs w:val="24"/>
          <w:lang w:val="ro-RO"/>
        </w:rPr>
        <w:t>Aceste criterii suplimentare de atribuire a activelor la mijloace fixe și stocuri de materiale circulante nu sunt relevante și conforme cu prevederile legale, deoarece, prin criteriul valoric diferit și de garanție</w:t>
      </w:r>
      <w:r w:rsidRPr="00F64A56">
        <w:rPr>
          <w:rFonts w:asciiTheme="majorHAnsi" w:eastAsia="Calibri" w:hAnsiTheme="majorHAnsi" w:cstheme="majorHAnsi"/>
          <w:bCs/>
          <w:iCs/>
          <w:sz w:val="24"/>
          <w:szCs w:val="24"/>
          <w:vertAlign w:val="superscript"/>
          <w:lang w:val="ro-RO"/>
        </w:rPr>
        <w:footnoteReference w:id="75"/>
      </w:r>
      <w:r w:rsidRPr="00F64A56">
        <w:rPr>
          <w:rFonts w:asciiTheme="majorHAnsi" w:eastAsia="Calibri" w:hAnsiTheme="majorHAnsi" w:cstheme="majorHAnsi"/>
          <w:bCs/>
          <w:iCs/>
          <w:sz w:val="24"/>
          <w:szCs w:val="24"/>
          <w:lang w:val="ro-RO"/>
        </w:rPr>
        <w:t xml:space="preserve"> stabilit de către entitățile publice, se neagă/anulează condițiile de bază reglementate prin actul normativ</w:t>
      </w:r>
      <w:r w:rsidRPr="00F64A56">
        <w:rPr>
          <w:rFonts w:asciiTheme="majorHAnsi" w:eastAsia="Calibri" w:hAnsiTheme="majorHAnsi" w:cstheme="majorHAnsi"/>
          <w:bCs/>
          <w:iCs/>
          <w:sz w:val="24"/>
          <w:szCs w:val="24"/>
          <w:vertAlign w:val="superscript"/>
          <w:lang w:val="ro-RO"/>
        </w:rPr>
        <w:footnoteReference w:id="76"/>
      </w:r>
      <w:r w:rsidRPr="00F64A56">
        <w:rPr>
          <w:rFonts w:asciiTheme="majorHAnsi" w:eastAsia="Calibri" w:hAnsiTheme="majorHAnsi" w:cstheme="majorHAnsi"/>
          <w:bCs/>
          <w:iCs/>
          <w:sz w:val="24"/>
          <w:szCs w:val="24"/>
          <w:lang w:val="ro-RO"/>
        </w:rPr>
        <w:t xml:space="preserve">: 1) </w:t>
      </w:r>
      <w:r w:rsidR="00F03DCC">
        <w:rPr>
          <w:rFonts w:asciiTheme="majorHAnsi" w:eastAsia="Calibri" w:hAnsiTheme="majorHAnsi" w:cstheme="majorHAnsi"/>
          <w:bCs/>
          <w:iCs/>
          <w:sz w:val="24"/>
          <w:szCs w:val="24"/>
          <w:lang w:val="ro-RO"/>
        </w:rPr>
        <w:t>m</w:t>
      </w:r>
      <w:r w:rsidRPr="00F64A56">
        <w:rPr>
          <w:rFonts w:asciiTheme="majorHAnsi" w:eastAsia="Calibri" w:hAnsiTheme="majorHAnsi" w:cstheme="majorHAnsi"/>
          <w:bCs/>
          <w:iCs/>
          <w:sz w:val="24"/>
          <w:szCs w:val="24"/>
          <w:lang w:val="ro-RO"/>
        </w:rPr>
        <w:t xml:space="preserve">ijloace fixe se consideră active materiale cu durata utilă de exploatare mai mare de 1 an, deținute în vederea utilizării pentru producerea sau furnizarea de bunuri sau servicii pentru a fi folosite în scopuri administrative sau pentru a fi închiriate terților; 2) </w:t>
      </w:r>
      <w:r w:rsidR="00F03DCC">
        <w:rPr>
          <w:rFonts w:asciiTheme="majorHAnsi" w:eastAsia="Calibri" w:hAnsiTheme="majorHAnsi" w:cstheme="majorHAnsi"/>
          <w:bCs/>
          <w:iCs/>
          <w:sz w:val="24"/>
          <w:szCs w:val="24"/>
          <w:lang w:val="ro-RO"/>
        </w:rPr>
        <w:t>r</w:t>
      </w:r>
      <w:r w:rsidRPr="00F64A56">
        <w:rPr>
          <w:rFonts w:asciiTheme="majorHAnsi" w:eastAsia="Calibri" w:hAnsiTheme="majorHAnsi" w:cstheme="majorHAnsi"/>
          <w:bCs/>
          <w:iCs/>
          <w:sz w:val="24"/>
          <w:szCs w:val="24"/>
          <w:lang w:val="ro-RO"/>
        </w:rPr>
        <w:t>ecunoașterea mijloacelor fixe are loc în cazul respectării simulante a următoarelor condiții - este probabilitatea că în urma utilizării activului autoritatea/instituția bugetară va obține beneficii economice viitoare care îi aparțin; - costul sau valoarea justă a activului poate fi evaluat în mod credibil</w:t>
      </w:r>
      <w:r w:rsidR="00192F5D" w:rsidRPr="00F64A56">
        <w:rPr>
          <w:rFonts w:asciiTheme="majorHAnsi" w:eastAsia="Calibri" w:hAnsiTheme="majorHAnsi" w:cstheme="majorHAnsi"/>
          <w:bCs/>
          <w:iCs/>
          <w:sz w:val="24"/>
          <w:szCs w:val="24"/>
          <w:lang w:val="ro-RO"/>
        </w:rPr>
        <w:t>.</w:t>
      </w:r>
    </w:p>
    <w:p w:rsidR="00B64CDA" w:rsidRPr="00F64A56" w:rsidRDefault="00B64CDA" w:rsidP="00BD66F3">
      <w:pPr>
        <w:keepNext/>
        <w:keepLines/>
        <w:spacing w:before="120" w:after="0" w:line="276" w:lineRule="auto"/>
        <w:jc w:val="center"/>
        <w:outlineLvl w:val="0"/>
        <w:rPr>
          <w:rFonts w:asciiTheme="majorHAnsi" w:eastAsia="Times New Roman" w:hAnsiTheme="majorHAnsi" w:cstheme="majorHAnsi"/>
          <w:b/>
          <w:sz w:val="28"/>
          <w:szCs w:val="28"/>
          <w:lang w:val="ro-RO"/>
        </w:rPr>
      </w:pPr>
      <w:r w:rsidRPr="00F64A56">
        <w:rPr>
          <w:rFonts w:asciiTheme="majorHAnsi" w:eastAsia="Times New Roman" w:hAnsiTheme="majorHAnsi" w:cstheme="majorHAnsi"/>
          <w:b/>
          <w:sz w:val="28"/>
          <w:szCs w:val="28"/>
          <w:lang w:val="ro-RO"/>
        </w:rPr>
        <w:t xml:space="preserve">VI. RESPONSABILITĂȚILE CONDUCERII PENTRU </w:t>
      </w:r>
      <w:r w:rsidR="00F42BFD" w:rsidRPr="00F64A56">
        <w:rPr>
          <w:rFonts w:asciiTheme="majorHAnsi" w:eastAsia="Times New Roman" w:hAnsiTheme="majorHAnsi" w:cstheme="majorHAnsi"/>
          <w:b/>
          <w:sz w:val="28"/>
          <w:szCs w:val="28"/>
          <w:lang w:val="ro-RO"/>
        </w:rPr>
        <w:t>RAPOARTELE</w:t>
      </w:r>
      <w:r w:rsidRPr="00F64A56">
        <w:rPr>
          <w:rFonts w:asciiTheme="majorHAnsi" w:eastAsia="Times New Roman" w:hAnsiTheme="majorHAnsi" w:cstheme="majorHAnsi"/>
          <w:b/>
          <w:sz w:val="28"/>
          <w:szCs w:val="28"/>
          <w:lang w:val="ro-RO"/>
        </w:rPr>
        <w:t xml:space="preserve"> FINANCIARE</w:t>
      </w:r>
      <w:bookmarkEnd w:id="4"/>
    </w:p>
    <w:p w:rsidR="00C614CE" w:rsidRPr="00F64A56" w:rsidRDefault="00B64CDA" w:rsidP="005622AA">
      <w:pPr>
        <w:tabs>
          <w:tab w:val="left" w:pos="709"/>
        </w:tabs>
        <w:spacing w:after="0" w:line="276" w:lineRule="auto"/>
        <w:ind w:firstLine="709"/>
        <w:jc w:val="both"/>
        <w:rPr>
          <w:rFonts w:asciiTheme="majorHAnsi" w:eastAsia="Calibri" w:hAnsiTheme="majorHAnsi" w:cstheme="majorHAnsi"/>
          <w:sz w:val="24"/>
          <w:szCs w:val="24"/>
          <w:lang w:val="ro-RO" w:eastAsia="en-GB"/>
        </w:rPr>
      </w:pPr>
      <w:r w:rsidRPr="00F64A56">
        <w:rPr>
          <w:rFonts w:asciiTheme="majorHAnsi" w:eastAsia="Calibri" w:hAnsiTheme="majorHAnsi" w:cstheme="majorHAnsi"/>
          <w:sz w:val="24"/>
          <w:szCs w:val="24"/>
          <w:lang w:val="ro-RO"/>
        </w:rPr>
        <w:t xml:space="preserve">Primarul </w:t>
      </w:r>
      <w:r w:rsidR="007D153A" w:rsidRPr="00F64A56">
        <w:rPr>
          <w:rFonts w:asciiTheme="majorHAnsi" w:eastAsia="Calibri" w:hAnsiTheme="majorHAnsi" w:cstheme="majorHAnsi"/>
          <w:sz w:val="24"/>
          <w:szCs w:val="24"/>
          <w:lang w:val="ro-RO"/>
        </w:rPr>
        <w:t>mun</w:t>
      </w:r>
      <w:r w:rsidR="00FC3420" w:rsidRPr="00F64A56">
        <w:rPr>
          <w:rFonts w:asciiTheme="majorHAnsi" w:eastAsia="Calibri" w:hAnsiTheme="majorHAnsi" w:cstheme="majorHAnsi"/>
          <w:sz w:val="24"/>
          <w:szCs w:val="24"/>
          <w:lang w:val="ro-RO"/>
        </w:rPr>
        <w:t>.</w:t>
      </w:r>
      <w:r w:rsidR="00AE5BD6" w:rsidRPr="00F64A56">
        <w:rPr>
          <w:rFonts w:asciiTheme="majorHAnsi" w:eastAsia="Calibri" w:hAnsiTheme="majorHAnsi" w:cstheme="majorHAnsi"/>
          <w:sz w:val="24"/>
          <w:szCs w:val="24"/>
          <w:lang w:val="ro-RO"/>
        </w:rPr>
        <w:t xml:space="preserve"> </w:t>
      </w:r>
      <w:r w:rsidR="007D153A" w:rsidRPr="00F64A56">
        <w:rPr>
          <w:rFonts w:asciiTheme="majorHAnsi" w:eastAsia="Calibri" w:hAnsiTheme="majorHAnsi" w:cstheme="majorHAnsi"/>
          <w:sz w:val="24"/>
          <w:szCs w:val="24"/>
          <w:lang w:val="ro-RO"/>
        </w:rPr>
        <w:t>Bălți</w:t>
      </w:r>
      <w:r w:rsidR="00EC02B7" w:rsidRPr="00F64A56">
        <w:rPr>
          <w:rFonts w:asciiTheme="majorHAnsi" w:eastAsia="Calibri" w:hAnsiTheme="majorHAnsi" w:cstheme="majorHAnsi"/>
          <w:sz w:val="24"/>
          <w:szCs w:val="24"/>
          <w:lang w:val="ro-RO"/>
        </w:rPr>
        <w:t xml:space="preserve">, </w:t>
      </w:r>
      <w:r w:rsidRPr="00F64A56">
        <w:rPr>
          <w:rFonts w:asciiTheme="majorHAnsi" w:eastAsia="Calibri" w:hAnsiTheme="majorHAnsi" w:cstheme="majorHAnsi"/>
          <w:color w:val="000000"/>
          <w:sz w:val="24"/>
          <w:szCs w:val="24"/>
          <w:lang w:val="ro-RO"/>
        </w:rPr>
        <w:t>asigură elaborarea proiectului de buget local, întocmirea rapoartelor periodice și anuale privind executarea bugetului și le prezintă spre aprobare consiliului local</w:t>
      </w:r>
      <w:r w:rsidRPr="00F64A56">
        <w:rPr>
          <w:rFonts w:asciiTheme="majorHAnsi" w:eastAsia="Calibri" w:hAnsiTheme="majorHAnsi" w:cstheme="majorHAnsi"/>
          <w:color w:val="000000"/>
          <w:sz w:val="24"/>
          <w:szCs w:val="24"/>
          <w:vertAlign w:val="superscript"/>
          <w:lang w:val="ro-RO"/>
        </w:rPr>
        <w:footnoteReference w:id="77"/>
      </w:r>
      <w:r w:rsidRPr="00F64A56">
        <w:rPr>
          <w:rFonts w:asciiTheme="majorHAnsi" w:eastAsia="Calibri" w:hAnsiTheme="majorHAnsi" w:cstheme="majorHAnsi"/>
          <w:color w:val="000000"/>
          <w:sz w:val="24"/>
          <w:szCs w:val="24"/>
          <w:lang w:val="ro-RO"/>
        </w:rPr>
        <w:t xml:space="preserve">, </w:t>
      </w:r>
      <w:r w:rsidRPr="00F64A56">
        <w:rPr>
          <w:rFonts w:asciiTheme="majorHAnsi" w:eastAsia="Calibri" w:hAnsiTheme="majorHAnsi" w:cstheme="majorHAnsi"/>
          <w:sz w:val="24"/>
          <w:szCs w:val="24"/>
          <w:lang w:val="ro-RO" w:eastAsia="en-GB"/>
        </w:rPr>
        <w:t xml:space="preserve">este responsabil de </w:t>
      </w:r>
      <w:r w:rsidR="005622AA" w:rsidRPr="00F64A56">
        <w:rPr>
          <w:rFonts w:asciiTheme="majorHAnsi" w:eastAsia="Calibri" w:hAnsiTheme="majorHAnsi" w:cstheme="majorHAnsi"/>
          <w:sz w:val="24"/>
          <w:szCs w:val="24"/>
          <w:lang w:val="ro-RO" w:eastAsia="en-GB"/>
        </w:rPr>
        <w:t>întocmirea</w:t>
      </w:r>
      <w:r w:rsidRPr="00F64A56">
        <w:rPr>
          <w:rFonts w:asciiTheme="majorHAnsi" w:eastAsia="Calibri" w:hAnsiTheme="majorHAnsi" w:cstheme="majorHAnsi"/>
          <w:sz w:val="24"/>
          <w:szCs w:val="24"/>
          <w:lang w:val="ro-RO" w:eastAsia="en-GB"/>
        </w:rPr>
        <w:t xml:space="preserve"> și prezentarea fidelă a rapoartelor financiare în conformitate cu cadrul </w:t>
      </w:r>
      <w:r w:rsidRPr="00F64A56">
        <w:rPr>
          <w:rFonts w:asciiTheme="majorHAnsi" w:eastAsia="Calibri" w:hAnsiTheme="majorHAnsi" w:cstheme="majorHAnsi"/>
          <w:sz w:val="24"/>
          <w:szCs w:val="24"/>
          <w:lang w:val="ro-RO" w:eastAsia="en-GB"/>
        </w:rPr>
        <w:lastRenderedPageBreak/>
        <w:t>de raportare financiară</w:t>
      </w:r>
      <w:r w:rsidRPr="00F64A56">
        <w:rPr>
          <w:rFonts w:asciiTheme="majorHAnsi" w:eastAsia="Calibri" w:hAnsiTheme="majorHAnsi" w:cstheme="majorHAnsi"/>
          <w:sz w:val="24"/>
          <w:szCs w:val="24"/>
          <w:vertAlign w:val="superscript"/>
          <w:lang w:val="ro-RO" w:eastAsia="en-GB"/>
        </w:rPr>
        <w:footnoteReference w:id="78"/>
      </w:r>
      <w:r w:rsidR="005622AA" w:rsidRPr="00F64A56">
        <w:rPr>
          <w:rFonts w:asciiTheme="majorHAnsi" w:eastAsia="Calibri" w:hAnsiTheme="majorHAnsi" w:cstheme="majorHAnsi"/>
          <w:sz w:val="24"/>
          <w:szCs w:val="24"/>
          <w:lang w:val="ro-RO" w:eastAsia="en-GB"/>
        </w:rPr>
        <w:t>,</w:t>
      </w:r>
      <w:r w:rsidRPr="00F64A56">
        <w:rPr>
          <w:rFonts w:asciiTheme="majorHAnsi" w:eastAsia="Calibri" w:hAnsiTheme="majorHAnsi" w:cstheme="majorHAnsi"/>
          <w:sz w:val="24"/>
          <w:szCs w:val="24"/>
          <w:lang w:val="ro-RO" w:eastAsia="en-GB"/>
        </w:rPr>
        <w:t xml:space="preserve"> </w:t>
      </w:r>
      <w:r w:rsidR="005622AA" w:rsidRPr="00F64A56">
        <w:rPr>
          <w:rFonts w:asciiTheme="majorHAnsi" w:eastAsia="Calibri" w:hAnsiTheme="majorHAnsi" w:cstheme="majorHAnsi"/>
          <w:sz w:val="24"/>
          <w:szCs w:val="24"/>
          <w:lang w:val="ro-RO" w:eastAsia="en-GB"/>
        </w:rPr>
        <w:t xml:space="preserve">precum și de organizarea controlului intern managerial, pentru a asigura desfășurarea organizată și eficientă a activității economice a entității, inclusiv respectarea strictă a integrității activelor, prevenirea și descoperirea cauzelor de fraudă și/sau eroare, exactitatea și plenitudinea înregistrărilor contabile, precum și </w:t>
      </w:r>
      <w:r w:rsidR="00E74B40">
        <w:rPr>
          <w:rFonts w:asciiTheme="majorHAnsi" w:eastAsia="Calibri" w:hAnsiTheme="majorHAnsi" w:cstheme="majorHAnsi"/>
          <w:sz w:val="24"/>
          <w:szCs w:val="24"/>
          <w:lang w:val="ro-RO" w:eastAsia="en-GB"/>
        </w:rPr>
        <w:t xml:space="preserve">de </w:t>
      </w:r>
      <w:r w:rsidR="005622AA" w:rsidRPr="00F64A56">
        <w:rPr>
          <w:rFonts w:asciiTheme="majorHAnsi" w:eastAsia="Calibri" w:hAnsiTheme="majorHAnsi" w:cstheme="majorHAnsi"/>
          <w:sz w:val="24"/>
          <w:szCs w:val="24"/>
          <w:lang w:val="ro-RO" w:eastAsia="en-GB"/>
        </w:rPr>
        <w:t>pregătirea oportună a unor informații financiare credibile.</w:t>
      </w:r>
    </w:p>
    <w:p w:rsidR="00B64CDA" w:rsidRPr="00F64A56" w:rsidRDefault="00B64CDA" w:rsidP="00D13DB5">
      <w:pPr>
        <w:keepNext/>
        <w:keepLines/>
        <w:spacing w:before="120" w:after="0" w:line="276" w:lineRule="auto"/>
        <w:jc w:val="center"/>
        <w:outlineLvl w:val="0"/>
        <w:rPr>
          <w:rFonts w:asciiTheme="majorHAnsi" w:eastAsia="Times New Roman" w:hAnsiTheme="majorHAnsi" w:cstheme="majorHAnsi"/>
          <w:b/>
          <w:sz w:val="28"/>
          <w:szCs w:val="28"/>
          <w:lang w:val="ro-RO"/>
        </w:rPr>
      </w:pPr>
      <w:bookmarkStart w:id="5" w:name="_Toc506212738"/>
      <w:bookmarkStart w:id="6" w:name="_Toc517946648"/>
      <w:bookmarkStart w:id="7" w:name="_Toc519878943"/>
      <w:bookmarkStart w:id="8" w:name="_Toc527989154"/>
      <w:bookmarkStart w:id="9" w:name="_Toc528164111"/>
      <w:bookmarkStart w:id="10" w:name="_Toc529533671"/>
      <w:r w:rsidRPr="00F64A56">
        <w:rPr>
          <w:rFonts w:asciiTheme="majorHAnsi" w:eastAsia="Times New Roman" w:hAnsiTheme="majorHAnsi" w:cstheme="majorHAnsi"/>
          <w:b/>
          <w:sz w:val="28"/>
          <w:szCs w:val="28"/>
          <w:lang w:val="ro-RO"/>
        </w:rPr>
        <w:t>VII. RESPONSABILITĂȚILE AUDITORULUI</w:t>
      </w:r>
      <w:bookmarkEnd w:id="5"/>
      <w:bookmarkEnd w:id="6"/>
      <w:r w:rsidR="00A27FE6" w:rsidRPr="00F64A56">
        <w:rPr>
          <w:rFonts w:asciiTheme="majorHAnsi" w:eastAsia="Times New Roman" w:hAnsiTheme="majorHAnsi" w:cstheme="majorHAnsi"/>
          <w:b/>
          <w:sz w:val="28"/>
          <w:szCs w:val="28"/>
          <w:lang w:val="ro-RO"/>
        </w:rPr>
        <w:t xml:space="preserve"> ÎNTR-UN AUDIT AL </w:t>
      </w:r>
      <w:r w:rsidR="008D3135" w:rsidRPr="00F64A56">
        <w:rPr>
          <w:rFonts w:asciiTheme="majorHAnsi" w:eastAsia="Times New Roman" w:hAnsiTheme="majorHAnsi" w:cstheme="majorHAnsi"/>
          <w:b/>
          <w:sz w:val="28"/>
          <w:szCs w:val="28"/>
          <w:lang w:val="ro-RO"/>
        </w:rPr>
        <w:t xml:space="preserve">RAPOARTELOR </w:t>
      </w:r>
      <w:r w:rsidRPr="00F64A56">
        <w:rPr>
          <w:rFonts w:asciiTheme="majorHAnsi" w:eastAsia="Times New Roman" w:hAnsiTheme="majorHAnsi" w:cstheme="majorHAnsi"/>
          <w:b/>
          <w:sz w:val="28"/>
          <w:szCs w:val="28"/>
          <w:lang w:val="ro-RO"/>
        </w:rPr>
        <w:t>FINANCIARE</w:t>
      </w:r>
      <w:bookmarkEnd w:id="7"/>
      <w:bookmarkEnd w:id="8"/>
      <w:bookmarkEnd w:id="9"/>
      <w:bookmarkEnd w:id="10"/>
    </w:p>
    <w:p w:rsidR="00B64CDA" w:rsidRPr="00F64A56" w:rsidRDefault="00B64CDA" w:rsidP="00F847A9">
      <w:pPr>
        <w:tabs>
          <w:tab w:val="left" w:pos="709"/>
        </w:tabs>
        <w:spacing w:after="0" w:line="276" w:lineRule="auto"/>
        <w:ind w:firstLine="709"/>
        <w:jc w:val="both"/>
        <w:rPr>
          <w:rFonts w:asciiTheme="majorHAnsi" w:eastAsia="Calibri" w:hAnsiTheme="majorHAnsi" w:cstheme="majorHAnsi"/>
          <w:spacing w:val="-2"/>
          <w:sz w:val="24"/>
          <w:szCs w:val="24"/>
          <w:lang w:val="ro-RO"/>
        </w:rPr>
      </w:pPr>
      <w:r w:rsidRPr="00F64A56">
        <w:rPr>
          <w:rFonts w:asciiTheme="majorHAnsi" w:eastAsia="Calibri" w:hAnsiTheme="majorHAnsi" w:cstheme="majorHAnsi"/>
          <w:bCs/>
          <w:iCs/>
          <w:spacing w:val="-2"/>
          <w:sz w:val="24"/>
          <w:szCs w:val="24"/>
          <w:lang w:val="ro-RO"/>
        </w:rPr>
        <w:t>Responsabilitatea noastră</w:t>
      </w:r>
      <w:r w:rsidRPr="00F64A56">
        <w:rPr>
          <w:rFonts w:asciiTheme="majorHAnsi" w:eastAsia="Calibri" w:hAnsiTheme="majorHAnsi" w:cstheme="majorHAnsi"/>
          <w:b/>
          <w:bCs/>
          <w:i/>
          <w:iCs/>
          <w:spacing w:val="-2"/>
          <w:sz w:val="24"/>
          <w:szCs w:val="24"/>
          <w:lang w:val="ro-RO"/>
        </w:rPr>
        <w:t xml:space="preserve"> </w:t>
      </w:r>
      <w:r w:rsidRPr="00F64A56">
        <w:rPr>
          <w:rFonts w:asciiTheme="majorHAnsi" w:eastAsia="Calibri" w:hAnsiTheme="majorHAnsi" w:cstheme="majorHAnsi"/>
          <w:spacing w:val="-2"/>
          <w:sz w:val="24"/>
          <w:szCs w:val="24"/>
          <w:lang w:val="ro-RO"/>
        </w:rPr>
        <w:t>este de a planifica și a realiza misiunea de audit, cu obținerea probelor suficiente și adecvate în vederea susțineri</w:t>
      </w:r>
      <w:r w:rsidR="00CE1CF9" w:rsidRPr="00F64A56">
        <w:rPr>
          <w:rFonts w:asciiTheme="majorHAnsi" w:eastAsia="Calibri" w:hAnsiTheme="majorHAnsi" w:cstheme="majorHAnsi"/>
          <w:spacing w:val="-2"/>
          <w:sz w:val="24"/>
          <w:szCs w:val="24"/>
          <w:lang w:val="ro-RO"/>
        </w:rPr>
        <w:t xml:space="preserve">i bazei pentru opinia de audit. </w:t>
      </w:r>
      <w:r w:rsidRPr="00F64A56">
        <w:rPr>
          <w:rFonts w:asciiTheme="majorHAnsi" w:eastAsia="Calibri" w:hAnsiTheme="majorHAnsi" w:cstheme="majorHAnsi"/>
          <w:sz w:val="24"/>
          <w:szCs w:val="24"/>
          <w:lang w:val="ro-RO"/>
        </w:rPr>
        <w:t xml:space="preserve">Obiectivele noastre sunt: obținerea unei asigurări rezonabile referitor la faptul că </w:t>
      </w:r>
      <w:r w:rsidR="00107F86" w:rsidRPr="00F64A56">
        <w:rPr>
          <w:rFonts w:asciiTheme="majorHAnsi" w:eastAsia="Calibri" w:hAnsiTheme="majorHAnsi" w:cstheme="majorHAnsi"/>
          <w:sz w:val="24"/>
          <w:szCs w:val="24"/>
          <w:lang w:val="ro-RO"/>
        </w:rPr>
        <w:t xml:space="preserve">rapoartele </w:t>
      </w:r>
      <w:r w:rsidRPr="00F64A56">
        <w:rPr>
          <w:rFonts w:asciiTheme="majorHAnsi" w:eastAsia="Calibri" w:hAnsiTheme="majorHAnsi" w:cstheme="majorHAnsi"/>
          <w:sz w:val="24"/>
          <w:szCs w:val="24"/>
          <w:lang w:val="ro-RO"/>
        </w:rPr>
        <w:t>financiare nu sunt afectate de denaturări semnificative, cauzate de fraude sau erori, precum și emiterea unei opinii.</w:t>
      </w:r>
    </w:p>
    <w:p w:rsidR="00B64CDA" w:rsidRPr="00F64A56" w:rsidRDefault="00B64CDA" w:rsidP="00F847A9">
      <w:pPr>
        <w:spacing w:after="0" w:line="276" w:lineRule="auto"/>
        <w:ind w:firstLine="709"/>
        <w:jc w:val="both"/>
        <w:rPr>
          <w:rFonts w:asciiTheme="majorHAnsi" w:eastAsia="Calibri" w:hAnsiTheme="majorHAnsi" w:cstheme="majorHAnsi"/>
          <w:sz w:val="24"/>
          <w:szCs w:val="24"/>
          <w:lang w:val="ro-RO"/>
        </w:rPr>
      </w:pPr>
      <w:r w:rsidRPr="00F64A56">
        <w:rPr>
          <w:rFonts w:asciiTheme="majorHAnsi" w:eastAsia="Calibri" w:hAnsiTheme="majorHAnsi" w:cstheme="majorHAnsi"/>
          <w:sz w:val="24"/>
          <w:szCs w:val="24"/>
          <w:lang w:val="ro-RO"/>
        </w:rPr>
        <w:t>Asigurarea rezonabilă este un nivel ridicat de asigurare, dar nu este o garanție că un audit efectuat în conformitate cu ISSAI va detecta întotdeauna o denaturare semnificativă atunci când ea există. Denaturările pot fi urmare</w:t>
      </w:r>
      <w:r w:rsidR="00E74B40">
        <w:rPr>
          <w:rFonts w:asciiTheme="majorHAnsi" w:eastAsia="Calibri" w:hAnsiTheme="majorHAnsi" w:cstheme="majorHAnsi"/>
          <w:sz w:val="24"/>
          <w:szCs w:val="24"/>
          <w:lang w:val="ro-RO"/>
        </w:rPr>
        <w:t xml:space="preserve"> </w:t>
      </w:r>
      <w:r w:rsidRPr="00F64A56">
        <w:rPr>
          <w:rFonts w:asciiTheme="majorHAnsi" w:eastAsia="Calibri" w:hAnsiTheme="majorHAnsi" w:cstheme="majorHAnsi"/>
          <w:sz w:val="24"/>
          <w:szCs w:val="24"/>
          <w:lang w:val="ro-RO"/>
        </w:rPr>
        <w:t xml:space="preserve">a fraudelor sau erorilor. Totodată, denaturările pot fi considerate semnificative dacă, în mod individual sau în ansamblu, pot influența deciziile economice ale utilizatorilor acestor </w:t>
      </w:r>
      <w:r w:rsidR="008D3135" w:rsidRPr="00F64A56">
        <w:rPr>
          <w:rFonts w:asciiTheme="majorHAnsi" w:eastAsia="Calibri" w:hAnsiTheme="majorHAnsi" w:cstheme="majorHAnsi"/>
          <w:sz w:val="24"/>
          <w:szCs w:val="24"/>
          <w:lang w:val="ro-RO"/>
        </w:rPr>
        <w:t>rapoarte</w:t>
      </w:r>
      <w:r w:rsidRPr="00F64A56">
        <w:rPr>
          <w:rFonts w:asciiTheme="majorHAnsi" w:eastAsia="Calibri" w:hAnsiTheme="majorHAnsi" w:cstheme="majorHAnsi"/>
          <w:sz w:val="24"/>
          <w:szCs w:val="24"/>
          <w:lang w:val="ro-RO"/>
        </w:rPr>
        <w:t xml:space="preserve"> financiare. </w:t>
      </w:r>
    </w:p>
    <w:p w:rsidR="003A38CA" w:rsidRPr="00F64A56" w:rsidRDefault="00D930A5" w:rsidP="00600C00">
      <w:pPr>
        <w:spacing w:after="0" w:line="276" w:lineRule="auto"/>
        <w:ind w:firstLine="709"/>
        <w:jc w:val="both"/>
        <w:rPr>
          <w:rFonts w:asciiTheme="majorHAnsi" w:eastAsia="Times New Roman" w:hAnsiTheme="majorHAnsi" w:cstheme="majorHAnsi"/>
          <w:sz w:val="24"/>
          <w:szCs w:val="24"/>
          <w:lang w:val="ro-MD"/>
        </w:rPr>
      </w:pPr>
      <w:r w:rsidRPr="00F64A56">
        <w:rPr>
          <w:rFonts w:asciiTheme="majorHAnsi" w:eastAsia="Times New Roman" w:hAnsiTheme="majorHAnsi" w:cstheme="majorHAnsi"/>
          <w:sz w:val="24"/>
          <w:szCs w:val="24"/>
          <w:lang w:val="ro-MD"/>
        </w:rPr>
        <w:t>O descriere suplimentară a responsabilităților auditorului într-un audit al rapoartelor financiare este plasată pe site-ul Curții de Conturi, la adresa</w:t>
      </w:r>
      <w:r w:rsidRPr="00F64A56">
        <w:rPr>
          <w:rFonts w:asciiTheme="majorHAnsi" w:eastAsia="Times New Roman" w:hAnsiTheme="majorHAnsi" w:cstheme="majorHAnsi"/>
          <w:i/>
          <w:sz w:val="24"/>
          <w:szCs w:val="24"/>
          <w:lang w:val="ro-MD"/>
        </w:rPr>
        <w:t xml:space="preserve">: </w:t>
      </w:r>
      <w:hyperlink r:id="rId12" w:history="1">
        <w:r w:rsidRPr="00F64A56">
          <w:rPr>
            <w:rStyle w:val="Hyperlink"/>
            <w:rFonts w:asciiTheme="majorHAnsi" w:eastAsia="Times New Roman" w:hAnsiTheme="majorHAnsi" w:cstheme="majorHAnsi"/>
            <w:i/>
            <w:sz w:val="24"/>
            <w:szCs w:val="24"/>
            <w:lang w:val="ro-MD"/>
          </w:rPr>
          <w:t>http://www.ccrm.md/activitatea-curtii-de-conturi-1-25</w:t>
        </w:r>
      </w:hyperlink>
      <w:r w:rsidRPr="00F64A56">
        <w:rPr>
          <w:rFonts w:asciiTheme="majorHAnsi" w:eastAsia="Times New Roman" w:hAnsiTheme="majorHAnsi" w:cstheme="majorHAnsi"/>
          <w:i/>
          <w:sz w:val="24"/>
          <w:szCs w:val="24"/>
          <w:lang w:val="ro-MD"/>
        </w:rPr>
        <w:t>.</w:t>
      </w:r>
      <w:r w:rsidRPr="00F64A56">
        <w:rPr>
          <w:rFonts w:asciiTheme="majorHAnsi" w:eastAsia="Times New Roman" w:hAnsiTheme="majorHAnsi" w:cstheme="majorHAnsi"/>
          <w:sz w:val="24"/>
          <w:szCs w:val="24"/>
          <w:lang w:val="ro-MD"/>
        </w:rPr>
        <w:t xml:space="preserve"> Această descriere face parte din Raportul nostru de audit.</w:t>
      </w:r>
    </w:p>
    <w:p w:rsidR="00600C00" w:rsidRPr="00F64A56" w:rsidRDefault="00600C00" w:rsidP="00600C00">
      <w:pPr>
        <w:spacing w:after="0" w:line="276" w:lineRule="auto"/>
        <w:ind w:firstLine="709"/>
        <w:jc w:val="both"/>
        <w:rPr>
          <w:rFonts w:asciiTheme="majorHAnsi" w:eastAsia="Times New Roman" w:hAnsiTheme="majorHAnsi" w:cstheme="majorHAnsi"/>
          <w:sz w:val="24"/>
          <w:szCs w:val="24"/>
          <w:lang w:val="ro-MD"/>
        </w:rPr>
      </w:pPr>
    </w:p>
    <w:p w:rsidR="009376C8" w:rsidRPr="00F64A56" w:rsidRDefault="00A227DB" w:rsidP="00A33599">
      <w:pPr>
        <w:tabs>
          <w:tab w:val="left" w:pos="1080"/>
          <w:tab w:val="left" w:pos="7513"/>
        </w:tabs>
        <w:spacing w:after="0" w:line="276" w:lineRule="auto"/>
        <w:rPr>
          <w:rFonts w:asciiTheme="majorHAnsi" w:eastAsia="Times New Roman" w:hAnsiTheme="majorHAnsi" w:cstheme="majorHAnsi"/>
          <w:i/>
          <w:noProof/>
          <w:sz w:val="24"/>
          <w:szCs w:val="24"/>
          <w:lang w:val="ro-RO"/>
        </w:rPr>
      </w:pPr>
      <w:r w:rsidRPr="00F64A56">
        <w:rPr>
          <w:rFonts w:asciiTheme="majorHAnsi" w:eastAsia="Times New Roman" w:hAnsiTheme="majorHAnsi" w:cstheme="majorHAnsi"/>
          <w:b/>
          <w:i/>
          <w:noProof/>
          <w:sz w:val="24"/>
          <w:szCs w:val="24"/>
          <w:lang w:val="ro-RO"/>
        </w:rPr>
        <w:t>Semnăturile echipei</w:t>
      </w:r>
      <w:r w:rsidR="00A5754C" w:rsidRPr="00F64A56">
        <w:rPr>
          <w:rFonts w:asciiTheme="majorHAnsi" w:eastAsia="Times New Roman" w:hAnsiTheme="majorHAnsi" w:cstheme="majorHAnsi"/>
          <w:b/>
          <w:i/>
          <w:noProof/>
          <w:sz w:val="24"/>
          <w:szCs w:val="24"/>
          <w:lang w:val="ro-RO"/>
        </w:rPr>
        <w:t xml:space="preserve"> de audit</w:t>
      </w:r>
      <w:r w:rsidR="009376C8" w:rsidRPr="00F64A56">
        <w:rPr>
          <w:rFonts w:asciiTheme="majorHAnsi" w:eastAsia="Times New Roman" w:hAnsiTheme="majorHAnsi" w:cstheme="majorHAnsi"/>
          <w:b/>
          <w:i/>
          <w:noProof/>
          <w:sz w:val="24"/>
          <w:szCs w:val="24"/>
          <w:lang w:val="ro-RO"/>
        </w:rPr>
        <w:t>:</w:t>
      </w:r>
    </w:p>
    <w:p w:rsidR="001548B3" w:rsidRDefault="009928C6" w:rsidP="00A227DB">
      <w:pPr>
        <w:tabs>
          <w:tab w:val="left" w:pos="1080"/>
          <w:tab w:val="left" w:pos="7513"/>
        </w:tabs>
        <w:spacing w:after="0" w:line="276" w:lineRule="auto"/>
        <w:rPr>
          <w:rFonts w:asciiTheme="majorHAnsi" w:eastAsia="Times New Roman" w:hAnsiTheme="majorHAnsi" w:cstheme="majorHAnsi"/>
          <w:bCs/>
          <w:noProof/>
          <w:sz w:val="24"/>
          <w:szCs w:val="24"/>
          <w:lang w:val="ro-RO"/>
        </w:rPr>
      </w:pPr>
      <w:r>
        <w:rPr>
          <w:rFonts w:asciiTheme="majorHAnsi" w:eastAsia="Times New Roman" w:hAnsiTheme="majorHAnsi" w:cstheme="majorHAnsi"/>
          <w:bCs/>
          <w:iCs/>
          <w:noProof/>
          <w:sz w:val="24"/>
          <w:szCs w:val="24"/>
          <w:lang w:val="ro-RO"/>
        </w:rPr>
        <w:t>Ș</w:t>
      </w:r>
      <w:r w:rsidR="00600C00" w:rsidRPr="00F64A56">
        <w:rPr>
          <w:rFonts w:asciiTheme="majorHAnsi" w:eastAsia="Times New Roman" w:hAnsiTheme="majorHAnsi" w:cstheme="majorHAnsi"/>
          <w:bCs/>
          <w:iCs/>
          <w:noProof/>
          <w:sz w:val="24"/>
          <w:szCs w:val="24"/>
          <w:lang w:val="ro-RO"/>
        </w:rPr>
        <w:t xml:space="preserve">eful </w:t>
      </w:r>
      <w:r w:rsidR="00F43F28">
        <w:rPr>
          <w:rFonts w:asciiTheme="majorHAnsi" w:eastAsia="Times New Roman" w:hAnsiTheme="majorHAnsi" w:cstheme="majorHAnsi"/>
          <w:bCs/>
          <w:iCs/>
          <w:noProof/>
          <w:sz w:val="24"/>
          <w:szCs w:val="24"/>
          <w:lang w:val="ro-RO"/>
        </w:rPr>
        <w:t>e</w:t>
      </w:r>
      <w:r w:rsidR="00600C00" w:rsidRPr="00F64A56">
        <w:rPr>
          <w:rFonts w:asciiTheme="majorHAnsi" w:eastAsia="Times New Roman" w:hAnsiTheme="majorHAnsi" w:cstheme="majorHAnsi"/>
          <w:bCs/>
          <w:iCs/>
          <w:noProof/>
          <w:sz w:val="24"/>
          <w:szCs w:val="24"/>
          <w:lang w:val="ro-RO"/>
        </w:rPr>
        <w:t xml:space="preserve">chipei de audit, </w:t>
      </w:r>
      <w:r>
        <w:rPr>
          <w:rFonts w:asciiTheme="majorHAnsi" w:eastAsia="Times New Roman" w:hAnsiTheme="majorHAnsi" w:cstheme="majorHAnsi"/>
          <w:bCs/>
          <w:noProof/>
          <w:sz w:val="24"/>
          <w:szCs w:val="24"/>
          <w:lang w:val="ro-RO"/>
        </w:rPr>
        <w:t>ș</w:t>
      </w:r>
      <w:r w:rsidR="00A227DB" w:rsidRPr="00F64A56">
        <w:rPr>
          <w:rFonts w:asciiTheme="majorHAnsi" w:eastAsia="Times New Roman" w:hAnsiTheme="majorHAnsi" w:cstheme="majorHAnsi"/>
          <w:bCs/>
          <w:noProof/>
          <w:sz w:val="24"/>
          <w:szCs w:val="24"/>
          <w:lang w:val="ro-RO"/>
        </w:rPr>
        <w:t>ef al direcției de audit,</w:t>
      </w:r>
      <w:r w:rsidR="00600C00" w:rsidRPr="00F64A56">
        <w:rPr>
          <w:rFonts w:asciiTheme="majorHAnsi" w:eastAsia="Times New Roman" w:hAnsiTheme="majorHAnsi" w:cstheme="majorHAnsi"/>
          <w:bCs/>
          <w:noProof/>
          <w:sz w:val="24"/>
          <w:szCs w:val="24"/>
          <w:lang w:val="ro-RO"/>
        </w:rPr>
        <w:t xml:space="preserve">                                                   </w:t>
      </w:r>
    </w:p>
    <w:p w:rsidR="00A227DB" w:rsidRPr="00F64A56" w:rsidRDefault="00600C00" w:rsidP="00A227DB">
      <w:pPr>
        <w:tabs>
          <w:tab w:val="left" w:pos="1080"/>
          <w:tab w:val="left" w:pos="7513"/>
        </w:tabs>
        <w:spacing w:after="0" w:line="276" w:lineRule="auto"/>
        <w:rPr>
          <w:rFonts w:asciiTheme="majorHAnsi" w:eastAsia="Times New Roman" w:hAnsiTheme="majorHAnsi" w:cstheme="majorHAnsi"/>
          <w:bCs/>
          <w:iCs/>
          <w:noProof/>
          <w:sz w:val="24"/>
          <w:szCs w:val="24"/>
          <w:lang w:val="ro-RO"/>
        </w:rPr>
      </w:pPr>
      <w:r w:rsidRPr="00F64A56">
        <w:rPr>
          <w:rFonts w:asciiTheme="majorHAnsi" w:eastAsia="Times New Roman" w:hAnsiTheme="majorHAnsi" w:cstheme="majorHAnsi"/>
          <w:b/>
          <w:bCs/>
          <w:i/>
          <w:iCs/>
          <w:noProof/>
          <w:sz w:val="24"/>
          <w:szCs w:val="24"/>
          <w:lang w:val="ro-RO"/>
        </w:rPr>
        <w:t>Răileanu Alexandru</w:t>
      </w:r>
      <w:r w:rsidRPr="00F64A56">
        <w:rPr>
          <w:rFonts w:asciiTheme="majorHAnsi" w:eastAsia="Times New Roman" w:hAnsiTheme="majorHAnsi" w:cstheme="majorHAnsi"/>
          <w:bCs/>
          <w:noProof/>
          <w:sz w:val="24"/>
          <w:szCs w:val="24"/>
          <w:lang w:val="ro-RO"/>
        </w:rPr>
        <w:t xml:space="preserve"> </w:t>
      </w:r>
    </w:p>
    <w:p w:rsidR="00A227DB" w:rsidRPr="00F64A56" w:rsidRDefault="00A227DB" w:rsidP="00A33599">
      <w:pPr>
        <w:tabs>
          <w:tab w:val="left" w:pos="1080"/>
          <w:tab w:val="left" w:pos="7513"/>
        </w:tabs>
        <w:spacing w:after="0" w:line="276" w:lineRule="auto"/>
        <w:rPr>
          <w:rFonts w:asciiTheme="majorHAnsi" w:eastAsia="Times New Roman" w:hAnsiTheme="majorHAnsi" w:cstheme="majorHAnsi"/>
          <w:noProof/>
          <w:sz w:val="24"/>
          <w:szCs w:val="24"/>
          <w:lang w:val="ro-RO"/>
        </w:rPr>
      </w:pPr>
    </w:p>
    <w:p w:rsidR="001548B3" w:rsidRDefault="00D930A5" w:rsidP="00A33599">
      <w:pPr>
        <w:tabs>
          <w:tab w:val="left" w:pos="7513"/>
        </w:tabs>
        <w:spacing w:after="0" w:line="276" w:lineRule="auto"/>
        <w:rPr>
          <w:rFonts w:asciiTheme="majorHAnsi" w:eastAsia="Times New Roman" w:hAnsiTheme="majorHAnsi" w:cstheme="majorHAnsi"/>
          <w:bCs/>
          <w:iCs/>
          <w:noProof/>
          <w:sz w:val="24"/>
          <w:szCs w:val="24"/>
          <w:lang w:val="ro-RO"/>
        </w:rPr>
      </w:pPr>
      <w:r w:rsidRPr="00F64A56">
        <w:rPr>
          <w:rFonts w:asciiTheme="majorHAnsi" w:eastAsia="Times New Roman" w:hAnsiTheme="majorHAnsi" w:cstheme="majorHAnsi"/>
          <w:bCs/>
          <w:iCs/>
          <w:noProof/>
          <w:sz w:val="24"/>
          <w:szCs w:val="24"/>
          <w:lang w:val="ro-RO"/>
        </w:rPr>
        <w:t>Auditor public principal</w:t>
      </w:r>
      <w:r w:rsidR="00F43F28">
        <w:rPr>
          <w:rFonts w:asciiTheme="majorHAnsi" w:eastAsia="Times New Roman" w:hAnsiTheme="majorHAnsi" w:cstheme="majorHAnsi"/>
          <w:bCs/>
          <w:iCs/>
          <w:noProof/>
          <w:sz w:val="24"/>
          <w:szCs w:val="24"/>
          <w:lang w:val="ro-RO"/>
        </w:rPr>
        <w:t>,</w:t>
      </w:r>
      <w:r w:rsidRPr="00F64A56">
        <w:rPr>
          <w:rFonts w:asciiTheme="majorHAnsi" w:eastAsia="Times New Roman" w:hAnsiTheme="majorHAnsi" w:cstheme="majorHAnsi"/>
          <w:bCs/>
          <w:iCs/>
          <w:noProof/>
          <w:sz w:val="24"/>
          <w:szCs w:val="24"/>
          <w:lang w:val="ro-RO"/>
        </w:rPr>
        <w:t xml:space="preserve">     </w:t>
      </w:r>
      <w:r w:rsidR="00A5754C" w:rsidRPr="00F64A56">
        <w:rPr>
          <w:rFonts w:asciiTheme="majorHAnsi" w:eastAsia="Times New Roman" w:hAnsiTheme="majorHAnsi" w:cstheme="majorHAnsi"/>
          <w:bCs/>
          <w:iCs/>
          <w:noProof/>
          <w:sz w:val="24"/>
          <w:szCs w:val="24"/>
          <w:lang w:val="ro-RO"/>
        </w:rPr>
        <w:t xml:space="preserve">                                                                         </w:t>
      </w:r>
      <w:r w:rsidR="00352FD9" w:rsidRPr="00F64A56">
        <w:rPr>
          <w:rFonts w:asciiTheme="majorHAnsi" w:eastAsia="Times New Roman" w:hAnsiTheme="majorHAnsi" w:cstheme="majorHAnsi"/>
          <w:bCs/>
          <w:iCs/>
          <w:noProof/>
          <w:sz w:val="24"/>
          <w:szCs w:val="24"/>
          <w:lang w:val="ro-RO"/>
        </w:rPr>
        <w:t xml:space="preserve">                  </w:t>
      </w:r>
    </w:p>
    <w:p w:rsidR="00FF3BA0" w:rsidRPr="00F64A56" w:rsidRDefault="00A5754C" w:rsidP="00A33599">
      <w:pPr>
        <w:tabs>
          <w:tab w:val="left" w:pos="7513"/>
        </w:tabs>
        <w:spacing w:after="0" w:line="276" w:lineRule="auto"/>
        <w:rPr>
          <w:rFonts w:asciiTheme="majorHAnsi" w:eastAsia="Times New Roman" w:hAnsiTheme="majorHAnsi" w:cstheme="majorHAnsi"/>
          <w:b/>
          <w:bCs/>
          <w:i/>
          <w:iCs/>
          <w:noProof/>
          <w:sz w:val="24"/>
          <w:szCs w:val="24"/>
          <w:lang w:val="ro-RO"/>
        </w:rPr>
      </w:pPr>
      <w:r w:rsidRPr="00F64A56">
        <w:rPr>
          <w:rFonts w:asciiTheme="majorHAnsi" w:eastAsia="Times New Roman" w:hAnsiTheme="majorHAnsi" w:cstheme="majorHAnsi"/>
          <w:b/>
          <w:bCs/>
          <w:i/>
          <w:iCs/>
          <w:noProof/>
          <w:sz w:val="24"/>
          <w:szCs w:val="24"/>
          <w:lang w:val="ro-RO"/>
        </w:rPr>
        <w:t>Lungu Igor</w:t>
      </w:r>
    </w:p>
    <w:p w:rsidR="00FF3BA0" w:rsidRPr="00F64A56" w:rsidRDefault="00FF3BA0" w:rsidP="00A33599">
      <w:pPr>
        <w:tabs>
          <w:tab w:val="left" w:pos="7513"/>
        </w:tabs>
        <w:spacing w:after="0" w:line="276" w:lineRule="auto"/>
        <w:rPr>
          <w:rFonts w:asciiTheme="majorHAnsi" w:eastAsia="Times New Roman" w:hAnsiTheme="majorHAnsi" w:cstheme="majorHAnsi"/>
          <w:b/>
          <w:bCs/>
          <w:iCs/>
          <w:noProof/>
          <w:sz w:val="24"/>
          <w:szCs w:val="24"/>
          <w:lang w:val="ro-RO"/>
        </w:rPr>
      </w:pPr>
    </w:p>
    <w:p w:rsidR="001548B3" w:rsidRDefault="00FF3BA0" w:rsidP="00FF3BA0">
      <w:pPr>
        <w:tabs>
          <w:tab w:val="left" w:pos="7513"/>
        </w:tabs>
        <w:spacing w:after="0" w:line="276" w:lineRule="auto"/>
        <w:rPr>
          <w:rFonts w:asciiTheme="majorHAnsi" w:eastAsia="Times New Roman" w:hAnsiTheme="majorHAnsi" w:cstheme="majorHAnsi"/>
          <w:bCs/>
          <w:iCs/>
          <w:noProof/>
          <w:sz w:val="24"/>
          <w:szCs w:val="24"/>
          <w:lang w:val="ro-RO"/>
        </w:rPr>
      </w:pPr>
      <w:r w:rsidRPr="00F64A56">
        <w:rPr>
          <w:rFonts w:asciiTheme="majorHAnsi" w:eastAsia="Times New Roman" w:hAnsiTheme="majorHAnsi" w:cstheme="majorHAnsi"/>
          <w:bCs/>
          <w:iCs/>
          <w:noProof/>
          <w:sz w:val="24"/>
          <w:szCs w:val="24"/>
          <w:lang w:val="ro-RO"/>
        </w:rPr>
        <w:t>Auditor public principal</w:t>
      </w:r>
      <w:r w:rsidR="00F43F28">
        <w:rPr>
          <w:rFonts w:asciiTheme="majorHAnsi" w:eastAsia="Times New Roman" w:hAnsiTheme="majorHAnsi" w:cstheme="majorHAnsi"/>
          <w:bCs/>
          <w:iCs/>
          <w:noProof/>
          <w:sz w:val="24"/>
          <w:szCs w:val="24"/>
          <w:lang w:val="ro-RO"/>
        </w:rPr>
        <w:t>,</w:t>
      </w:r>
      <w:r w:rsidRPr="00F64A56">
        <w:rPr>
          <w:rFonts w:asciiTheme="majorHAnsi" w:eastAsia="Times New Roman" w:hAnsiTheme="majorHAnsi" w:cstheme="majorHAnsi"/>
          <w:bCs/>
          <w:iCs/>
          <w:noProof/>
          <w:sz w:val="24"/>
          <w:szCs w:val="24"/>
          <w:lang w:val="ro-RO"/>
        </w:rPr>
        <w:t xml:space="preserve">                                                                              </w:t>
      </w:r>
      <w:r w:rsidR="00352FD9" w:rsidRPr="00F64A56">
        <w:rPr>
          <w:rFonts w:asciiTheme="majorHAnsi" w:eastAsia="Times New Roman" w:hAnsiTheme="majorHAnsi" w:cstheme="majorHAnsi"/>
          <w:bCs/>
          <w:iCs/>
          <w:noProof/>
          <w:sz w:val="24"/>
          <w:szCs w:val="24"/>
          <w:lang w:val="ro-RO"/>
        </w:rPr>
        <w:t xml:space="preserve">                  </w:t>
      </w:r>
    </w:p>
    <w:p w:rsidR="00FF3BA0" w:rsidRPr="00F64A56" w:rsidRDefault="00FF3BA0" w:rsidP="00FF3BA0">
      <w:pPr>
        <w:tabs>
          <w:tab w:val="left" w:pos="7513"/>
        </w:tabs>
        <w:spacing w:after="0" w:line="276" w:lineRule="auto"/>
        <w:rPr>
          <w:rFonts w:asciiTheme="majorHAnsi" w:eastAsia="Times New Roman" w:hAnsiTheme="majorHAnsi" w:cstheme="majorHAnsi"/>
          <w:b/>
          <w:bCs/>
          <w:i/>
          <w:iCs/>
          <w:noProof/>
          <w:sz w:val="24"/>
          <w:szCs w:val="24"/>
          <w:lang w:val="ro-RO"/>
        </w:rPr>
      </w:pPr>
      <w:r w:rsidRPr="00F64A56">
        <w:rPr>
          <w:rFonts w:asciiTheme="majorHAnsi" w:eastAsia="Times New Roman" w:hAnsiTheme="majorHAnsi" w:cstheme="majorHAnsi"/>
          <w:b/>
          <w:bCs/>
          <w:i/>
          <w:iCs/>
          <w:noProof/>
          <w:sz w:val="24"/>
          <w:szCs w:val="24"/>
          <w:lang w:val="ro-RO"/>
        </w:rPr>
        <w:t>Ciubotaru Dorin</w:t>
      </w:r>
    </w:p>
    <w:p w:rsidR="009376C8" w:rsidRPr="00F64A56" w:rsidRDefault="00A5754C" w:rsidP="00A33599">
      <w:pPr>
        <w:tabs>
          <w:tab w:val="left" w:pos="7513"/>
        </w:tabs>
        <w:spacing w:after="0" w:line="276" w:lineRule="auto"/>
        <w:rPr>
          <w:rFonts w:asciiTheme="majorHAnsi" w:eastAsia="Times New Roman" w:hAnsiTheme="majorHAnsi" w:cstheme="majorHAnsi"/>
          <w:bCs/>
          <w:iCs/>
          <w:noProof/>
          <w:sz w:val="24"/>
          <w:szCs w:val="24"/>
          <w:lang w:val="ro-RO"/>
        </w:rPr>
      </w:pPr>
      <w:r w:rsidRPr="00F64A56">
        <w:rPr>
          <w:rFonts w:asciiTheme="majorHAnsi" w:eastAsia="Times New Roman" w:hAnsiTheme="majorHAnsi" w:cstheme="majorHAnsi"/>
          <w:bCs/>
          <w:iCs/>
          <w:noProof/>
          <w:sz w:val="24"/>
          <w:szCs w:val="24"/>
          <w:lang w:val="ro-RO"/>
        </w:rPr>
        <w:tab/>
      </w:r>
    </w:p>
    <w:p w:rsidR="001548B3" w:rsidRDefault="00FF3BA0" w:rsidP="00FF3BA0">
      <w:pPr>
        <w:tabs>
          <w:tab w:val="left" w:pos="7513"/>
        </w:tabs>
        <w:spacing w:after="0" w:line="276" w:lineRule="auto"/>
        <w:rPr>
          <w:rFonts w:asciiTheme="majorHAnsi" w:eastAsia="Times New Roman" w:hAnsiTheme="majorHAnsi" w:cstheme="majorHAnsi"/>
          <w:bCs/>
          <w:iCs/>
          <w:noProof/>
          <w:sz w:val="24"/>
          <w:szCs w:val="24"/>
          <w:lang w:val="ro-RO"/>
        </w:rPr>
      </w:pPr>
      <w:r w:rsidRPr="00F64A56">
        <w:rPr>
          <w:rFonts w:asciiTheme="majorHAnsi" w:eastAsia="Times New Roman" w:hAnsiTheme="majorHAnsi" w:cstheme="majorHAnsi"/>
          <w:bCs/>
          <w:iCs/>
          <w:noProof/>
          <w:sz w:val="24"/>
          <w:szCs w:val="24"/>
          <w:lang w:val="ro-RO"/>
        </w:rPr>
        <w:t>Auditor public principal</w:t>
      </w:r>
      <w:r w:rsidR="00F43F28">
        <w:rPr>
          <w:rFonts w:asciiTheme="majorHAnsi" w:eastAsia="Times New Roman" w:hAnsiTheme="majorHAnsi" w:cstheme="majorHAnsi"/>
          <w:bCs/>
          <w:iCs/>
          <w:noProof/>
          <w:sz w:val="24"/>
          <w:szCs w:val="24"/>
          <w:lang w:val="ro-RO"/>
        </w:rPr>
        <w:t>,</w:t>
      </w:r>
      <w:r w:rsidRPr="00F64A56">
        <w:rPr>
          <w:rFonts w:asciiTheme="majorHAnsi" w:eastAsia="Times New Roman" w:hAnsiTheme="majorHAnsi" w:cstheme="majorHAnsi"/>
          <w:bCs/>
          <w:iCs/>
          <w:noProof/>
          <w:sz w:val="24"/>
          <w:szCs w:val="24"/>
          <w:lang w:val="ro-RO"/>
        </w:rPr>
        <w:t xml:space="preserve">                                                                              </w:t>
      </w:r>
      <w:r w:rsidR="00352FD9" w:rsidRPr="00F64A56">
        <w:rPr>
          <w:rFonts w:asciiTheme="majorHAnsi" w:eastAsia="Times New Roman" w:hAnsiTheme="majorHAnsi" w:cstheme="majorHAnsi"/>
          <w:bCs/>
          <w:iCs/>
          <w:noProof/>
          <w:sz w:val="24"/>
          <w:szCs w:val="24"/>
          <w:lang w:val="ro-RO"/>
        </w:rPr>
        <w:t xml:space="preserve">                  </w:t>
      </w:r>
    </w:p>
    <w:p w:rsidR="00FF3BA0" w:rsidRPr="00F64A56" w:rsidRDefault="00FF3BA0" w:rsidP="00FF3BA0">
      <w:pPr>
        <w:tabs>
          <w:tab w:val="left" w:pos="7513"/>
        </w:tabs>
        <w:spacing w:after="0" w:line="276" w:lineRule="auto"/>
        <w:rPr>
          <w:rFonts w:asciiTheme="majorHAnsi" w:eastAsia="Times New Roman" w:hAnsiTheme="majorHAnsi" w:cstheme="majorHAnsi"/>
          <w:b/>
          <w:bCs/>
          <w:i/>
          <w:iCs/>
          <w:noProof/>
          <w:sz w:val="24"/>
          <w:szCs w:val="24"/>
          <w:lang w:val="ro-RO"/>
        </w:rPr>
      </w:pPr>
      <w:r w:rsidRPr="00F64A56">
        <w:rPr>
          <w:rFonts w:asciiTheme="majorHAnsi" w:eastAsia="Times New Roman" w:hAnsiTheme="majorHAnsi" w:cstheme="majorHAnsi"/>
          <w:b/>
          <w:bCs/>
          <w:i/>
          <w:iCs/>
          <w:noProof/>
          <w:sz w:val="24"/>
          <w:szCs w:val="24"/>
          <w:lang w:val="ro-RO"/>
        </w:rPr>
        <w:t>Gamulinschi Victor</w:t>
      </w:r>
    </w:p>
    <w:p w:rsidR="00352FD9" w:rsidRPr="00F64A56" w:rsidRDefault="00352FD9" w:rsidP="004F3C51">
      <w:pPr>
        <w:tabs>
          <w:tab w:val="left" w:pos="7513"/>
        </w:tabs>
        <w:spacing w:after="0" w:line="276" w:lineRule="auto"/>
        <w:rPr>
          <w:rFonts w:asciiTheme="majorHAnsi" w:eastAsia="Times New Roman" w:hAnsiTheme="majorHAnsi" w:cstheme="majorHAnsi"/>
          <w:bCs/>
          <w:i/>
          <w:iCs/>
          <w:noProof/>
          <w:sz w:val="24"/>
          <w:szCs w:val="24"/>
          <w:lang w:val="ro-RO"/>
        </w:rPr>
      </w:pPr>
    </w:p>
    <w:p w:rsidR="00352FD9" w:rsidRPr="00F64A56" w:rsidRDefault="00352FD9" w:rsidP="00352FD9">
      <w:pPr>
        <w:tabs>
          <w:tab w:val="left" w:pos="7513"/>
        </w:tabs>
        <w:spacing w:after="0" w:line="276" w:lineRule="auto"/>
        <w:rPr>
          <w:rFonts w:asciiTheme="majorHAnsi" w:eastAsia="Times New Roman" w:hAnsiTheme="majorHAnsi" w:cstheme="majorHAnsi"/>
          <w:i/>
          <w:iCs/>
          <w:noProof/>
          <w:sz w:val="24"/>
          <w:szCs w:val="24"/>
          <w:lang w:val="ro-RO"/>
        </w:rPr>
      </w:pPr>
      <w:r w:rsidRPr="00F64A56">
        <w:rPr>
          <w:rFonts w:asciiTheme="majorHAnsi" w:eastAsia="Times New Roman" w:hAnsiTheme="majorHAnsi" w:cstheme="majorHAnsi"/>
          <w:i/>
          <w:iCs/>
          <w:noProof/>
          <w:sz w:val="24"/>
          <w:szCs w:val="24"/>
          <w:lang w:val="ro-RO"/>
        </w:rPr>
        <w:t>Responsabil de audit:</w:t>
      </w:r>
    </w:p>
    <w:p w:rsidR="001548B3" w:rsidRDefault="00352FD9" w:rsidP="004F3C51">
      <w:pPr>
        <w:tabs>
          <w:tab w:val="left" w:pos="7513"/>
        </w:tabs>
        <w:spacing w:after="0" w:line="276" w:lineRule="auto"/>
        <w:rPr>
          <w:rFonts w:asciiTheme="majorHAnsi" w:eastAsia="Times New Roman" w:hAnsiTheme="majorHAnsi" w:cstheme="majorHAnsi"/>
          <w:bCs/>
          <w:iCs/>
          <w:noProof/>
          <w:sz w:val="24"/>
          <w:szCs w:val="24"/>
          <w:lang w:val="ro-RO"/>
        </w:rPr>
      </w:pPr>
      <w:r w:rsidRPr="00F64A56">
        <w:rPr>
          <w:rFonts w:asciiTheme="majorHAnsi" w:eastAsia="Times New Roman" w:hAnsiTheme="majorHAnsi" w:cstheme="majorHAnsi"/>
          <w:bCs/>
          <w:noProof/>
          <w:sz w:val="24"/>
          <w:szCs w:val="24"/>
          <w:lang w:val="ro-RO"/>
        </w:rPr>
        <w:t xml:space="preserve">șeful Direcției generale de audit V </w:t>
      </w:r>
      <w:r w:rsidRPr="00F64A56">
        <w:rPr>
          <w:rFonts w:asciiTheme="majorHAnsi" w:eastAsia="Times New Roman" w:hAnsiTheme="majorHAnsi" w:cstheme="majorHAnsi"/>
          <w:bCs/>
          <w:iCs/>
          <w:noProof/>
          <w:sz w:val="24"/>
          <w:szCs w:val="24"/>
          <w:lang w:val="ro-RO"/>
        </w:rPr>
        <w:t xml:space="preserve">                                              </w:t>
      </w:r>
      <w:r w:rsidR="00A227DB" w:rsidRPr="00F64A56">
        <w:rPr>
          <w:rFonts w:asciiTheme="majorHAnsi" w:eastAsia="Times New Roman" w:hAnsiTheme="majorHAnsi" w:cstheme="majorHAnsi"/>
          <w:bCs/>
          <w:iCs/>
          <w:noProof/>
          <w:sz w:val="24"/>
          <w:szCs w:val="24"/>
          <w:lang w:val="ro-RO"/>
        </w:rPr>
        <w:t xml:space="preserve">                               </w:t>
      </w:r>
    </w:p>
    <w:p w:rsidR="00352FD9" w:rsidRPr="004E1CE6" w:rsidRDefault="00352FD9" w:rsidP="004F3C51">
      <w:pPr>
        <w:tabs>
          <w:tab w:val="left" w:pos="7513"/>
        </w:tabs>
        <w:spacing w:after="0" w:line="276" w:lineRule="auto"/>
        <w:rPr>
          <w:rFonts w:asciiTheme="majorHAnsi" w:eastAsia="Times New Roman" w:hAnsiTheme="majorHAnsi" w:cstheme="majorHAnsi"/>
          <w:b/>
          <w:bCs/>
          <w:i/>
          <w:iCs/>
          <w:noProof/>
          <w:sz w:val="24"/>
          <w:szCs w:val="24"/>
          <w:lang w:val="ro-RO"/>
        </w:rPr>
      </w:pPr>
      <w:r w:rsidRPr="00F64A56">
        <w:rPr>
          <w:rFonts w:asciiTheme="majorHAnsi" w:eastAsia="Times New Roman" w:hAnsiTheme="majorHAnsi" w:cstheme="majorHAnsi"/>
          <w:b/>
          <w:bCs/>
          <w:i/>
          <w:iCs/>
          <w:noProof/>
          <w:sz w:val="24"/>
          <w:szCs w:val="24"/>
          <w:lang w:val="ro-RO"/>
        </w:rPr>
        <w:t>Știrbu Sergiu</w:t>
      </w:r>
    </w:p>
    <w:sectPr w:rsidR="00352FD9" w:rsidRPr="004E1CE6" w:rsidSect="006A3792">
      <w:pgSz w:w="11906" w:h="16838" w:code="9"/>
      <w:pgMar w:top="851" w:right="851" w:bottom="851"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8FE" w:rsidRDefault="004A38FE" w:rsidP="00F06EDD">
      <w:pPr>
        <w:spacing w:after="0" w:line="240" w:lineRule="auto"/>
      </w:pPr>
      <w:r>
        <w:separator/>
      </w:r>
    </w:p>
  </w:endnote>
  <w:endnote w:type="continuationSeparator" w:id="0">
    <w:p w:rsidR="004A38FE" w:rsidRDefault="004A38FE" w:rsidP="00F0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173415"/>
      <w:docPartObj>
        <w:docPartGallery w:val="Page Numbers (Bottom of Page)"/>
        <w:docPartUnique/>
      </w:docPartObj>
    </w:sdtPr>
    <w:sdtEndPr>
      <w:rPr>
        <w:noProof/>
      </w:rPr>
    </w:sdtEndPr>
    <w:sdtContent>
      <w:p w:rsidR="00585BDF" w:rsidRDefault="00585BDF">
        <w:pPr>
          <w:pStyle w:val="Footer"/>
          <w:jc w:val="right"/>
        </w:pPr>
        <w:r>
          <w:fldChar w:fldCharType="begin"/>
        </w:r>
        <w:r>
          <w:instrText xml:space="preserve"> PAGE   \* MERGEFORMAT </w:instrText>
        </w:r>
        <w:r>
          <w:fldChar w:fldCharType="separate"/>
        </w:r>
        <w:r w:rsidR="008C1640">
          <w:rPr>
            <w:noProof/>
          </w:rPr>
          <w:t>1</w:t>
        </w:r>
        <w:r>
          <w:rPr>
            <w:noProof/>
          </w:rPr>
          <w:fldChar w:fldCharType="end"/>
        </w:r>
      </w:p>
    </w:sdtContent>
  </w:sdt>
  <w:p w:rsidR="00585BDF" w:rsidRDefault="00585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8FE" w:rsidRDefault="004A38FE" w:rsidP="00F06EDD">
      <w:pPr>
        <w:spacing w:after="0" w:line="240" w:lineRule="auto"/>
      </w:pPr>
      <w:r>
        <w:separator/>
      </w:r>
    </w:p>
  </w:footnote>
  <w:footnote w:type="continuationSeparator" w:id="0">
    <w:p w:rsidR="004A38FE" w:rsidRDefault="004A38FE" w:rsidP="00F06EDD">
      <w:pPr>
        <w:spacing w:after="0" w:line="240" w:lineRule="auto"/>
      </w:pPr>
      <w:r>
        <w:continuationSeparator/>
      </w:r>
    </w:p>
  </w:footnote>
  <w:footnote w:id="1">
    <w:p w:rsidR="00585BDF" w:rsidRPr="00933D52" w:rsidRDefault="00585BDF" w:rsidP="00046C5F">
      <w:pPr>
        <w:pStyle w:val="FootnoteText"/>
        <w:jc w:val="both"/>
        <w:rPr>
          <w:rFonts w:asciiTheme="majorHAnsi" w:eastAsia="Calibr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eastAsia="Times New Roman" w:hAnsiTheme="majorHAnsi" w:cstheme="majorHAnsi"/>
          <w:sz w:val="16"/>
          <w:szCs w:val="16"/>
          <w:lang w:val="ro-RO"/>
        </w:rPr>
        <w:t xml:space="preserve"> Bilanțul contabil (</w:t>
      </w:r>
      <w:r w:rsidRPr="00933D52">
        <w:rPr>
          <w:rFonts w:asciiTheme="majorHAnsi" w:eastAsia="Calibri" w:hAnsiTheme="majorHAnsi" w:cstheme="majorHAnsi"/>
          <w:sz w:val="16"/>
          <w:szCs w:val="16"/>
          <w:lang w:val="ro-RO"/>
        </w:rPr>
        <w:t>forma FD-041</w:t>
      </w:r>
      <w:r w:rsidRPr="00933D52">
        <w:rPr>
          <w:rFonts w:asciiTheme="majorHAnsi" w:eastAsia="Times New Roman" w:hAnsiTheme="majorHAnsi" w:cstheme="majorHAnsi"/>
          <w:sz w:val="16"/>
          <w:szCs w:val="16"/>
          <w:lang w:val="ro-RO"/>
        </w:rPr>
        <w:t xml:space="preserve">), </w:t>
      </w:r>
      <w:r w:rsidRPr="00933D52">
        <w:rPr>
          <w:rFonts w:asciiTheme="majorHAnsi" w:eastAsia="Calibri" w:hAnsiTheme="majorHAnsi" w:cstheme="majorHAnsi"/>
          <w:sz w:val="16"/>
          <w:szCs w:val="16"/>
          <w:lang w:val="ro-RO"/>
        </w:rPr>
        <w:t>Raportul privind veniturile și cheltuielile (forma FD-042), Raportul privind fluxul mijloacelor bănești (forma FD-043), Raportul privind executarea bugetului (forma FD-044).</w:t>
      </w:r>
      <w:r w:rsidRPr="00933D52">
        <w:rPr>
          <w:rFonts w:asciiTheme="majorHAnsi" w:hAnsiTheme="majorHAnsi" w:cstheme="majorHAnsi"/>
          <w:sz w:val="16"/>
          <w:szCs w:val="16"/>
          <w:lang w:val="ro-RO"/>
        </w:rPr>
        <w:t xml:space="preserve"> </w:t>
      </w:r>
    </w:p>
  </w:footnote>
  <w:footnote w:id="2">
    <w:p w:rsidR="001A2400" w:rsidRPr="00F64A56" w:rsidRDefault="001A2400" w:rsidP="001A2400">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Pr>
          <w:rFonts w:asciiTheme="majorHAnsi" w:hAnsiTheme="majorHAnsi" w:cstheme="majorHAnsi"/>
          <w:sz w:val="16"/>
          <w:szCs w:val="16"/>
          <w:lang w:val="ro-RO"/>
        </w:rPr>
        <w:t xml:space="preserve"> </w:t>
      </w:r>
      <w:r w:rsidRPr="00933D52">
        <w:rPr>
          <w:rFonts w:asciiTheme="majorHAnsi" w:hAnsiTheme="majorHAnsi" w:cstheme="majorHAnsi"/>
          <w:sz w:val="16"/>
          <w:szCs w:val="16"/>
          <w:lang w:val="ro-RO"/>
        </w:rPr>
        <w:t>Entitățile publice auditate a</w:t>
      </w:r>
      <w:r>
        <w:rPr>
          <w:rFonts w:asciiTheme="majorHAnsi" w:hAnsiTheme="majorHAnsi" w:cstheme="majorHAnsi"/>
          <w:sz w:val="16"/>
          <w:szCs w:val="16"/>
          <w:lang w:val="ro-RO"/>
        </w:rPr>
        <w:t>le</w:t>
      </w:r>
      <w:r w:rsidRPr="00933D52">
        <w:rPr>
          <w:rFonts w:asciiTheme="majorHAnsi" w:hAnsiTheme="majorHAnsi" w:cstheme="majorHAnsi"/>
          <w:sz w:val="16"/>
          <w:szCs w:val="16"/>
          <w:lang w:val="ro-RO"/>
        </w:rPr>
        <w:t xml:space="preserve"> căror </w:t>
      </w:r>
      <w:r w:rsidRPr="00F64A56">
        <w:rPr>
          <w:rFonts w:asciiTheme="majorHAnsi" w:hAnsiTheme="majorHAnsi" w:cstheme="majorHAnsi"/>
          <w:sz w:val="16"/>
          <w:szCs w:val="16"/>
          <w:lang w:val="ro-RO"/>
        </w:rPr>
        <w:t>rapoarte financiare s-au consolidat în raportul unit</w:t>
      </w:r>
      <w:r>
        <w:rPr>
          <w:rFonts w:asciiTheme="majorHAnsi" w:hAnsiTheme="majorHAnsi" w:cstheme="majorHAnsi"/>
          <w:sz w:val="16"/>
          <w:szCs w:val="16"/>
          <w:lang w:val="ro-RO"/>
        </w:rPr>
        <w:t>ății</w:t>
      </w:r>
      <w:r w:rsidRPr="00F64A56">
        <w:rPr>
          <w:rFonts w:asciiTheme="majorHAnsi" w:hAnsiTheme="majorHAnsi" w:cstheme="majorHAnsi"/>
          <w:sz w:val="16"/>
          <w:szCs w:val="16"/>
          <w:lang w:val="ro-RO"/>
        </w:rPr>
        <w:t xml:space="preserve"> administrativ-teritorial</w:t>
      </w:r>
      <w:r>
        <w:rPr>
          <w:rFonts w:asciiTheme="majorHAnsi" w:hAnsiTheme="majorHAnsi" w:cstheme="majorHAnsi"/>
          <w:sz w:val="16"/>
          <w:szCs w:val="16"/>
          <w:lang w:val="ro-RO"/>
        </w:rPr>
        <w:t>e</w:t>
      </w:r>
      <w:r w:rsidRPr="00F64A56">
        <w:rPr>
          <w:rFonts w:asciiTheme="majorHAnsi" w:hAnsiTheme="majorHAnsi" w:cstheme="majorHAnsi"/>
          <w:sz w:val="16"/>
          <w:szCs w:val="16"/>
          <w:lang w:val="ro-RO"/>
        </w:rPr>
        <w:t xml:space="preserve"> mun. Bălți: primăria/contabilitatea aparatul</w:t>
      </w:r>
      <w:r>
        <w:rPr>
          <w:rFonts w:asciiTheme="majorHAnsi" w:hAnsiTheme="majorHAnsi" w:cstheme="majorHAnsi"/>
          <w:sz w:val="16"/>
          <w:szCs w:val="16"/>
          <w:lang w:val="ro-RO"/>
        </w:rPr>
        <w:t>ui</w:t>
      </w:r>
      <w:r w:rsidRPr="00F64A56">
        <w:rPr>
          <w:rFonts w:asciiTheme="majorHAnsi" w:hAnsiTheme="majorHAnsi" w:cstheme="majorHAnsi"/>
          <w:sz w:val="16"/>
          <w:szCs w:val="16"/>
          <w:lang w:val="ro-RO"/>
        </w:rPr>
        <w:t xml:space="preserve"> central – Direcția eviden</w:t>
      </w:r>
      <w:r>
        <w:rPr>
          <w:rFonts w:asciiTheme="majorHAnsi" w:hAnsiTheme="majorHAnsi" w:cstheme="majorHAnsi"/>
          <w:sz w:val="16"/>
          <w:szCs w:val="16"/>
          <w:lang w:val="ro-RO"/>
        </w:rPr>
        <w:t>ț</w:t>
      </w:r>
      <w:r w:rsidRPr="00F64A56">
        <w:rPr>
          <w:rFonts w:asciiTheme="majorHAnsi" w:hAnsiTheme="majorHAnsi" w:cstheme="majorHAnsi"/>
          <w:sz w:val="16"/>
          <w:szCs w:val="16"/>
          <w:lang w:val="ro-RO"/>
        </w:rPr>
        <w:t>ă contabilă (CAP); Direcția Generală Financiar</w:t>
      </w:r>
      <w:r>
        <w:rPr>
          <w:rFonts w:asciiTheme="majorHAnsi" w:hAnsiTheme="majorHAnsi" w:cstheme="majorHAnsi"/>
          <w:sz w:val="16"/>
          <w:szCs w:val="16"/>
          <w:lang w:val="ro-RO"/>
        </w:rPr>
        <w:t>-</w:t>
      </w:r>
      <w:r w:rsidRPr="00F64A56">
        <w:rPr>
          <w:rFonts w:asciiTheme="majorHAnsi" w:hAnsiTheme="majorHAnsi" w:cstheme="majorHAnsi"/>
          <w:sz w:val="16"/>
          <w:szCs w:val="16"/>
          <w:lang w:val="ro-RO"/>
        </w:rPr>
        <w:t>Economică (DGFE); Direcția Învățământ</w:t>
      </w:r>
      <w:r>
        <w:rPr>
          <w:rFonts w:asciiTheme="majorHAnsi" w:hAnsiTheme="majorHAnsi" w:cstheme="majorHAnsi"/>
          <w:sz w:val="16"/>
          <w:szCs w:val="16"/>
          <w:lang w:val="ro-RO"/>
        </w:rPr>
        <w:t>,</w:t>
      </w:r>
      <w:r w:rsidRPr="00F64A56">
        <w:rPr>
          <w:rFonts w:asciiTheme="majorHAnsi" w:hAnsiTheme="majorHAnsi" w:cstheme="majorHAnsi"/>
          <w:sz w:val="16"/>
          <w:szCs w:val="16"/>
          <w:lang w:val="ro-RO"/>
        </w:rPr>
        <w:t xml:space="preserve"> Tineret și Sport (DÎTS); Direcția Cultură (DC); Direcția Generală Asistență Socială și Protecția Familiei (DGASPF).</w:t>
      </w:r>
    </w:p>
  </w:footnote>
  <w:footnote w:id="3">
    <w:p w:rsidR="00585BDF" w:rsidRPr="00933D52" w:rsidRDefault="00585BDF" w:rsidP="00046C5F">
      <w:pPr>
        <w:pStyle w:val="FootnoteText"/>
        <w:jc w:val="both"/>
        <w:rPr>
          <w:rFonts w:asciiTheme="majorHAnsi" w:hAnsiTheme="majorHAnsi" w:cstheme="majorHAnsi"/>
          <w:sz w:val="16"/>
          <w:szCs w:val="16"/>
          <w:lang w:val="ro-RO"/>
        </w:rPr>
      </w:pPr>
      <w:r w:rsidRPr="00F64A56">
        <w:rPr>
          <w:rStyle w:val="FootnoteReference"/>
          <w:rFonts w:asciiTheme="majorHAnsi" w:hAnsiTheme="majorHAnsi" w:cstheme="majorHAnsi"/>
          <w:sz w:val="16"/>
          <w:szCs w:val="16"/>
          <w:lang w:val="ro-RO"/>
        </w:rPr>
        <w:footnoteRef/>
      </w:r>
      <w:r w:rsidRPr="00F64A56">
        <w:rPr>
          <w:rFonts w:asciiTheme="majorHAnsi" w:hAnsiTheme="majorHAnsi" w:cstheme="majorHAnsi"/>
          <w:sz w:val="16"/>
          <w:szCs w:val="16"/>
          <w:lang w:val="ro-RO"/>
        </w:rPr>
        <w:t xml:space="preserve"> Legea contabilității nr.</w:t>
      </w:r>
      <w:r w:rsidRPr="00F64A56">
        <w:rPr>
          <w:rFonts w:asciiTheme="majorHAnsi" w:eastAsia="Times New Roman" w:hAnsiTheme="majorHAnsi" w:cstheme="majorHAnsi"/>
          <w:sz w:val="16"/>
          <w:szCs w:val="16"/>
          <w:lang w:val="ro-RO"/>
        </w:rPr>
        <w:t>113-XVI din 27.04.2007;</w:t>
      </w:r>
      <w:r w:rsidRPr="00F64A56">
        <w:rPr>
          <w:rFonts w:asciiTheme="majorHAnsi" w:hAnsiTheme="majorHAnsi" w:cstheme="majorHAnsi"/>
          <w:sz w:val="16"/>
          <w:szCs w:val="16"/>
          <w:lang w:val="ro-RO"/>
        </w:rPr>
        <w:t xml:space="preserve"> „</w:t>
      </w:r>
      <w:r w:rsidRPr="00F64A56">
        <w:rPr>
          <w:rFonts w:asciiTheme="majorHAnsi" w:eastAsia="Times New Roman" w:hAnsiTheme="majorHAnsi" w:cstheme="majorHAnsi"/>
          <w:sz w:val="16"/>
          <w:szCs w:val="16"/>
          <w:lang w:val="ro-RO"/>
        </w:rPr>
        <w:t>Planul de conturi</w:t>
      </w:r>
      <w:r w:rsidRPr="00933D52">
        <w:rPr>
          <w:rFonts w:asciiTheme="majorHAnsi" w:eastAsia="Times New Roman" w:hAnsiTheme="majorHAnsi" w:cstheme="majorHAnsi"/>
          <w:sz w:val="16"/>
          <w:szCs w:val="16"/>
          <w:lang w:val="ro-RO"/>
        </w:rPr>
        <w:t xml:space="preserve"> contabile în sistemul bugetar și Normele metodologice privind evidența contabilă și raportarea financiară în sistemul bugetar”, aprobat prin Ordinul ministrului </w:t>
      </w:r>
      <w:r>
        <w:rPr>
          <w:rFonts w:asciiTheme="majorHAnsi" w:eastAsia="Times New Roman" w:hAnsiTheme="majorHAnsi" w:cstheme="majorHAnsi"/>
          <w:sz w:val="16"/>
          <w:szCs w:val="16"/>
          <w:lang w:val="ro-RO"/>
        </w:rPr>
        <w:t>F</w:t>
      </w:r>
      <w:r w:rsidRPr="00933D52">
        <w:rPr>
          <w:rFonts w:asciiTheme="majorHAnsi" w:eastAsia="Times New Roman" w:hAnsiTheme="majorHAnsi" w:cstheme="majorHAnsi"/>
          <w:sz w:val="16"/>
          <w:szCs w:val="16"/>
          <w:lang w:val="ro-RO"/>
        </w:rPr>
        <w:t xml:space="preserve">inanțelor nr.216 din 28.12.2015 (cu modificările ulterioare; în continuare </w:t>
      </w:r>
      <w:r>
        <w:rPr>
          <w:rFonts w:asciiTheme="majorHAnsi" w:eastAsia="Times New Roman" w:hAnsiTheme="majorHAnsi" w:cstheme="majorHAnsi"/>
          <w:sz w:val="16"/>
          <w:szCs w:val="16"/>
          <w:lang w:val="ro-RO"/>
        </w:rPr>
        <w:t>–</w:t>
      </w:r>
      <w:r w:rsidRPr="00933D52">
        <w:rPr>
          <w:rFonts w:asciiTheme="majorHAnsi" w:eastAsia="Times New Roman" w:hAnsiTheme="majorHAnsi" w:cstheme="majorHAnsi"/>
          <w:sz w:val="16"/>
          <w:szCs w:val="16"/>
          <w:lang w:val="ro-RO"/>
        </w:rPr>
        <w:t xml:space="preserve"> Planul de conturi contabile); Ordinul ministrului </w:t>
      </w:r>
      <w:r>
        <w:rPr>
          <w:rFonts w:asciiTheme="majorHAnsi" w:eastAsia="Times New Roman" w:hAnsiTheme="majorHAnsi" w:cstheme="majorHAnsi"/>
          <w:sz w:val="16"/>
          <w:szCs w:val="16"/>
          <w:lang w:val="ro-RO"/>
        </w:rPr>
        <w:t>F</w:t>
      </w:r>
      <w:r w:rsidRPr="00933D52">
        <w:rPr>
          <w:rFonts w:asciiTheme="majorHAnsi" w:eastAsia="Times New Roman" w:hAnsiTheme="majorHAnsi" w:cstheme="majorHAnsi"/>
          <w:sz w:val="16"/>
          <w:szCs w:val="16"/>
          <w:lang w:val="ro-RO"/>
        </w:rPr>
        <w:t>inanțelor nr.164 din 30.12.2016 „Cu privire la aprobarea Cerințelor la întocmirea Raportului narativ privind executarea bugetelor autorităților/instituțiilor bugetare”.</w:t>
      </w:r>
    </w:p>
  </w:footnote>
  <w:footnote w:id="4">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Conform prevederilor pct.3.4.18. din Planul de conturi contabile, la grupa de conturi 415 „Acțiuni și alte forme de participare în capital în interiorul țării” se generalizează informația privind investițiile în întreprinderi și a intrărilor de mijloace bănești din privatizarea și/sau vânzarea bunurilor proprietate publică, inclusiv terenurilor care nu aparțin autorităților/instituțiilor bugetare.</w:t>
      </w:r>
    </w:p>
  </w:footnote>
  <w:footnote w:id="5">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Standardul Național de Contabilitate „Imobilizări necorporale și corporale”, aprobat prin </w:t>
      </w:r>
      <w:r>
        <w:rPr>
          <w:rFonts w:asciiTheme="majorHAnsi" w:hAnsiTheme="majorHAnsi" w:cstheme="majorHAnsi"/>
          <w:sz w:val="16"/>
          <w:szCs w:val="16"/>
          <w:lang w:val="ro-RO"/>
        </w:rPr>
        <w:t>O</w:t>
      </w:r>
      <w:r w:rsidRPr="00933D52">
        <w:rPr>
          <w:rFonts w:asciiTheme="majorHAnsi" w:hAnsiTheme="majorHAnsi" w:cstheme="majorHAnsi"/>
          <w:sz w:val="16"/>
          <w:szCs w:val="16"/>
          <w:lang w:val="ro-RO"/>
        </w:rPr>
        <w:t xml:space="preserve">rdinul ministrului </w:t>
      </w:r>
      <w:r>
        <w:rPr>
          <w:rFonts w:asciiTheme="majorHAnsi" w:hAnsiTheme="majorHAnsi" w:cstheme="majorHAnsi"/>
          <w:sz w:val="16"/>
          <w:szCs w:val="16"/>
          <w:lang w:val="ro-RO"/>
        </w:rPr>
        <w:t>F</w:t>
      </w:r>
      <w:r w:rsidRPr="00933D52">
        <w:rPr>
          <w:rFonts w:asciiTheme="majorHAnsi" w:hAnsiTheme="majorHAnsi" w:cstheme="majorHAnsi"/>
          <w:sz w:val="16"/>
          <w:szCs w:val="16"/>
          <w:lang w:val="ro-RO"/>
        </w:rPr>
        <w:t>inanțelor 118 din 06.08.2013 - Obiectul se recunoaște ca imobilizare numai în cazul respectării simultane a următoarelor condiții: 1) obiectul este identificabil și controlabil de entitate; 2) proprietățile și particularitățile lui corespund definiției imobilizărilor necorporale sau corporale; 3) este probabil că entitatea va obține beneficii economice viitoare din utilizarea obiectului; și 4) costul de intrare a obiectului poate fi evaluat în mod credibil.</w:t>
      </w:r>
    </w:p>
  </w:footnote>
  <w:footnote w:id="6">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Î.M. „Regia Apă</w:t>
      </w:r>
      <w:r>
        <w:rPr>
          <w:rFonts w:asciiTheme="majorHAnsi" w:hAnsiTheme="majorHAnsi" w:cstheme="majorHAnsi"/>
          <w:sz w:val="16"/>
          <w:szCs w:val="16"/>
          <w:lang w:val="ro-RO"/>
        </w:rPr>
        <w:t>-</w:t>
      </w:r>
      <w:r w:rsidRPr="00933D52">
        <w:rPr>
          <w:rFonts w:asciiTheme="majorHAnsi" w:hAnsiTheme="majorHAnsi" w:cstheme="majorHAnsi"/>
          <w:sz w:val="16"/>
          <w:szCs w:val="16"/>
          <w:lang w:val="ro-RO"/>
        </w:rPr>
        <w:t>Canal Bălți” - clădiri și construcții cu valoarea de 41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335</w:t>
      </w:r>
      <w:r>
        <w:rPr>
          <w:rFonts w:asciiTheme="majorHAnsi" w:hAnsiTheme="majorHAnsi" w:cstheme="majorHAnsi"/>
          <w:sz w:val="16"/>
          <w:szCs w:val="16"/>
          <w:lang w:val="ro-RO"/>
        </w:rPr>
        <w:t>.</w:t>
      </w:r>
      <w:r w:rsidRPr="00933D52">
        <w:rPr>
          <w:rFonts w:asciiTheme="majorHAnsi" w:hAnsiTheme="majorHAnsi" w:cstheme="majorHAnsi"/>
          <w:sz w:val="16"/>
          <w:szCs w:val="16"/>
          <w:lang w:val="ro-RO"/>
        </w:rPr>
        <w:t>400,00 lei; Î.M. „Gospodăria Locativ</w:t>
      </w:r>
      <w:r>
        <w:rPr>
          <w:rFonts w:asciiTheme="majorHAnsi" w:hAnsiTheme="majorHAnsi" w:cstheme="majorHAnsi"/>
          <w:sz w:val="16"/>
          <w:szCs w:val="16"/>
          <w:lang w:val="ro-RO"/>
        </w:rPr>
        <w:t>-</w:t>
      </w:r>
      <w:r w:rsidRPr="00933D52">
        <w:rPr>
          <w:rFonts w:asciiTheme="majorHAnsi" w:hAnsiTheme="majorHAnsi" w:cstheme="majorHAnsi"/>
          <w:sz w:val="16"/>
          <w:szCs w:val="16"/>
          <w:lang w:val="ro-RO"/>
        </w:rPr>
        <w:t>Comunală Bălți” - apartamente, case neprivatizate, depozite cu valoarea de 110</w:t>
      </w:r>
      <w:r>
        <w:rPr>
          <w:rFonts w:asciiTheme="majorHAnsi" w:hAnsiTheme="majorHAnsi" w:cstheme="majorHAnsi"/>
          <w:sz w:val="16"/>
          <w:szCs w:val="16"/>
          <w:lang w:val="ro-RO"/>
        </w:rPr>
        <w:t>.</w:t>
      </w:r>
      <w:r w:rsidRPr="00933D52">
        <w:rPr>
          <w:rFonts w:asciiTheme="majorHAnsi" w:hAnsiTheme="majorHAnsi" w:cstheme="majorHAnsi"/>
          <w:sz w:val="16"/>
          <w:szCs w:val="16"/>
          <w:lang w:val="ro-RO"/>
        </w:rPr>
        <w:t>400</w:t>
      </w:r>
      <w:r>
        <w:rPr>
          <w:rFonts w:asciiTheme="majorHAnsi" w:hAnsiTheme="majorHAnsi" w:cstheme="majorHAnsi"/>
          <w:sz w:val="16"/>
          <w:szCs w:val="16"/>
          <w:lang w:val="ro-RO"/>
        </w:rPr>
        <w:t>.</w:t>
      </w:r>
      <w:r w:rsidRPr="00933D52">
        <w:rPr>
          <w:rFonts w:asciiTheme="majorHAnsi" w:hAnsiTheme="majorHAnsi" w:cstheme="majorHAnsi"/>
          <w:sz w:val="16"/>
          <w:szCs w:val="16"/>
          <w:lang w:val="ro-RO"/>
        </w:rPr>
        <w:t>500,00 lei.</w:t>
      </w:r>
    </w:p>
  </w:footnote>
  <w:footnote w:id="7">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Î.M. „Regia Apă</w:t>
      </w:r>
      <w:r>
        <w:rPr>
          <w:rFonts w:asciiTheme="majorHAnsi" w:hAnsiTheme="majorHAnsi" w:cstheme="majorHAnsi"/>
          <w:sz w:val="16"/>
          <w:szCs w:val="16"/>
          <w:lang w:val="ro-RO"/>
        </w:rPr>
        <w:t>-</w:t>
      </w:r>
      <w:r w:rsidRPr="00933D52">
        <w:rPr>
          <w:rFonts w:asciiTheme="majorHAnsi" w:hAnsiTheme="majorHAnsi" w:cstheme="majorHAnsi"/>
          <w:sz w:val="16"/>
          <w:szCs w:val="16"/>
          <w:lang w:val="ro-RO"/>
        </w:rPr>
        <w:t>Canal Bălți” – cu valoarea de 10</w:t>
      </w:r>
      <w:r>
        <w:rPr>
          <w:rFonts w:asciiTheme="majorHAnsi" w:hAnsiTheme="majorHAnsi" w:cstheme="majorHAnsi"/>
          <w:sz w:val="16"/>
          <w:szCs w:val="16"/>
          <w:lang w:val="ro-RO"/>
        </w:rPr>
        <w:t>.</w:t>
      </w:r>
      <w:r w:rsidRPr="00933D52">
        <w:rPr>
          <w:rFonts w:asciiTheme="majorHAnsi" w:hAnsiTheme="majorHAnsi" w:cstheme="majorHAnsi"/>
          <w:sz w:val="16"/>
          <w:szCs w:val="16"/>
          <w:lang w:val="ro-RO"/>
        </w:rPr>
        <w:t>637</w:t>
      </w:r>
      <w:r>
        <w:rPr>
          <w:rFonts w:asciiTheme="majorHAnsi" w:hAnsiTheme="majorHAnsi" w:cstheme="majorHAnsi"/>
          <w:sz w:val="16"/>
          <w:szCs w:val="16"/>
          <w:lang w:val="ro-RO"/>
        </w:rPr>
        <w:t>.</w:t>
      </w:r>
      <w:r w:rsidRPr="00933D52">
        <w:rPr>
          <w:rFonts w:asciiTheme="majorHAnsi" w:hAnsiTheme="majorHAnsi" w:cstheme="majorHAnsi"/>
          <w:sz w:val="16"/>
          <w:szCs w:val="16"/>
          <w:lang w:val="ro-RO"/>
        </w:rPr>
        <w:t>800,00 lei; Î.M. „Direcția Reparații și Construcții Drumuri Bălți” - drumuri și poduri cu valoarea de 140</w:t>
      </w:r>
      <w:r>
        <w:rPr>
          <w:rFonts w:asciiTheme="majorHAnsi" w:hAnsiTheme="majorHAnsi" w:cstheme="majorHAnsi"/>
          <w:sz w:val="16"/>
          <w:szCs w:val="16"/>
          <w:lang w:val="ro-RO"/>
        </w:rPr>
        <w:t>.</w:t>
      </w:r>
      <w:r w:rsidRPr="00933D52">
        <w:rPr>
          <w:rFonts w:asciiTheme="majorHAnsi" w:hAnsiTheme="majorHAnsi" w:cstheme="majorHAnsi"/>
          <w:sz w:val="16"/>
          <w:szCs w:val="16"/>
          <w:lang w:val="ro-RO"/>
        </w:rPr>
        <w:t>773</w:t>
      </w:r>
      <w:r>
        <w:rPr>
          <w:rFonts w:asciiTheme="majorHAnsi" w:hAnsiTheme="majorHAnsi" w:cstheme="majorHAnsi"/>
          <w:sz w:val="16"/>
          <w:szCs w:val="16"/>
          <w:lang w:val="ro-RO"/>
        </w:rPr>
        <w:t>.</w:t>
      </w:r>
      <w:r w:rsidRPr="00933D52">
        <w:rPr>
          <w:rFonts w:asciiTheme="majorHAnsi" w:hAnsiTheme="majorHAnsi" w:cstheme="majorHAnsi"/>
          <w:sz w:val="16"/>
          <w:szCs w:val="16"/>
          <w:lang w:val="ro-RO"/>
        </w:rPr>
        <w:t>900,00 lei; Î.M. „Amenajarea Teritoriului și Spații Verzi” - havuz, monumente cu valoarea de 6</w:t>
      </w:r>
      <w:r>
        <w:rPr>
          <w:rFonts w:asciiTheme="majorHAnsi" w:hAnsiTheme="majorHAnsi" w:cstheme="majorHAnsi"/>
          <w:sz w:val="16"/>
          <w:szCs w:val="16"/>
          <w:lang w:val="ro-RO"/>
        </w:rPr>
        <w:t>.</w:t>
      </w:r>
      <w:r w:rsidRPr="00933D52">
        <w:rPr>
          <w:rFonts w:asciiTheme="majorHAnsi" w:hAnsiTheme="majorHAnsi" w:cstheme="majorHAnsi"/>
          <w:sz w:val="16"/>
          <w:szCs w:val="16"/>
          <w:lang w:val="ro-RO"/>
        </w:rPr>
        <w:t>051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100,00 lei.</w:t>
      </w:r>
    </w:p>
  </w:footnote>
  <w:footnote w:id="8">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Î.M. „Regia Apă</w:t>
      </w:r>
      <w:r>
        <w:rPr>
          <w:rFonts w:asciiTheme="majorHAnsi" w:hAnsiTheme="majorHAnsi" w:cstheme="majorHAnsi"/>
          <w:sz w:val="16"/>
          <w:szCs w:val="16"/>
          <w:lang w:val="ro-RO"/>
        </w:rPr>
        <w:t>-</w:t>
      </w:r>
      <w:r w:rsidRPr="00933D52">
        <w:rPr>
          <w:rFonts w:asciiTheme="majorHAnsi" w:hAnsiTheme="majorHAnsi" w:cstheme="majorHAnsi"/>
          <w:sz w:val="16"/>
          <w:szCs w:val="16"/>
          <w:lang w:val="ro-RO"/>
        </w:rPr>
        <w:t>Canal Bălți”</w:t>
      </w:r>
      <w:r>
        <w:rPr>
          <w:rFonts w:asciiTheme="majorHAnsi" w:hAnsiTheme="majorHAnsi" w:cstheme="majorHAnsi"/>
          <w:sz w:val="16"/>
          <w:szCs w:val="16"/>
          <w:lang w:val="ro-RO"/>
        </w:rPr>
        <w:t xml:space="preserve"> </w:t>
      </w:r>
      <w:r w:rsidRPr="00933D52">
        <w:rPr>
          <w:rFonts w:asciiTheme="majorHAnsi" w:hAnsiTheme="majorHAnsi" w:cstheme="majorHAnsi"/>
          <w:sz w:val="16"/>
          <w:szCs w:val="16"/>
          <w:lang w:val="ro-RO"/>
        </w:rPr>
        <w:t>–</w:t>
      </w:r>
      <w:r w:rsidR="006A3792">
        <w:rPr>
          <w:rFonts w:asciiTheme="majorHAnsi" w:hAnsiTheme="majorHAnsi" w:cstheme="majorHAnsi"/>
          <w:sz w:val="16"/>
          <w:szCs w:val="16"/>
          <w:lang w:val="ro-RO"/>
        </w:rPr>
        <w:t xml:space="preserve"> </w:t>
      </w:r>
      <w:r w:rsidRPr="00933D52">
        <w:rPr>
          <w:rFonts w:asciiTheme="majorHAnsi" w:hAnsiTheme="majorHAnsi" w:cstheme="majorHAnsi"/>
          <w:sz w:val="16"/>
          <w:szCs w:val="16"/>
          <w:lang w:val="ro-RO"/>
        </w:rPr>
        <w:t>102</w:t>
      </w:r>
      <w:r>
        <w:rPr>
          <w:rFonts w:asciiTheme="majorHAnsi" w:hAnsiTheme="majorHAnsi" w:cstheme="majorHAnsi"/>
          <w:sz w:val="16"/>
          <w:szCs w:val="16"/>
          <w:lang w:val="ro-RO"/>
        </w:rPr>
        <w:t>.</w:t>
      </w:r>
      <w:r w:rsidRPr="00933D52">
        <w:rPr>
          <w:rFonts w:asciiTheme="majorHAnsi" w:hAnsiTheme="majorHAnsi" w:cstheme="majorHAnsi"/>
          <w:sz w:val="16"/>
          <w:szCs w:val="16"/>
          <w:lang w:val="ro-RO"/>
        </w:rPr>
        <w:t>829</w:t>
      </w:r>
      <w:r>
        <w:rPr>
          <w:rFonts w:asciiTheme="majorHAnsi" w:hAnsiTheme="majorHAnsi" w:cstheme="majorHAnsi"/>
          <w:sz w:val="16"/>
          <w:szCs w:val="16"/>
          <w:lang w:val="ro-RO"/>
        </w:rPr>
        <w:t>.</w:t>
      </w:r>
      <w:r w:rsidRPr="00933D52">
        <w:rPr>
          <w:rFonts w:asciiTheme="majorHAnsi" w:hAnsiTheme="majorHAnsi" w:cstheme="majorHAnsi"/>
          <w:sz w:val="16"/>
          <w:szCs w:val="16"/>
          <w:lang w:val="ro-RO"/>
        </w:rPr>
        <w:t>600,00 lei; Î.M. „Direcția Reparații și Construcții Drumuri Bălți” – 88</w:t>
      </w:r>
      <w:r>
        <w:rPr>
          <w:rFonts w:asciiTheme="majorHAnsi" w:hAnsiTheme="majorHAnsi" w:cstheme="majorHAnsi"/>
          <w:sz w:val="16"/>
          <w:szCs w:val="16"/>
          <w:lang w:val="ro-RO"/>
        </w:rPr>
        <w:t>.</w:t>
      </w:r>
      <w:r w:rsidRPr="00933D52">
        <w:rPr>
          <w:rFonts w:asciiTheme="majorHAnsi" w:hAnsiTheme="majorHAnsi" w:cstheme="majorHAnsi"/>
          <w:sz w:val="16"/>
          <w:szCs w:val="16"/>
          <w:lang w:val="ro-RO"/>
        </w:rPr>
        <w:t>100,00 lei.</w:t>
      </w:r>
    </w:p>
  </w:footnote>
  <w:footnote w:id="9">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Î.M. „Gospodăria Locativ</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Comunală Bălți” </w:t>
      </w:r>
      <w:r w:rsidRPr="00933D52">
        <w:rPr>
          <w:rFonts w:asciiTheme="majorHAnsi" w:eastAsia="Times New Roman" w:hAnsiTheme="majorHAnsi" w:cstheme="majorHAnsi"/>
          <w:sz w:val="16"/>
          <w:szCs w:val="16"/>
          <w:lang w:val="ro-RO"/>
        </w:rPr>
        <w:t>– cu valoarea de 10</w:t>
      </w:r>
      <w:r>
        <w:rPr>
          <w:rFonts w:asciiTheme="majorHAnsi" w:eastAsia="Times New Roman" w:hAnsiTheme="majorHAnsi" w:cstheme="majorHAnsi"/>
          <w:sz w:val="16"/>
          <w:szCs w:val="16"/>
          <w:lang w:val="ro-RO"/>
        </w:rPr>
        <w:t>.</w:t>
      </w:r>
      <w:r w:rsidRPr="00933D52">
        <w:rPr>
          <w:rFonts w:asciiTheme="majorHAnsi" w:eastAsia="Times New Roman" w:hAnsiTheme="majorHAnsi" w:cstheme="majorHAnsi"/>
          <w:sz w:val="16"/>
          <w:szCs w:val="16"/>
          <w:lang w:val="ro-RO"/>
        </w:rPr>
        <w:t>866</w:t>
      </w:r>
      <w:r>
        <w:rPr>
          <w:rFonts w:asciiTheme="majorHAnsi" w:eastAsia="Times New Roman" w:hAnsiTheme="majorHAnsi" w:cstheme="majorHAnsi"/>
          <w:sz w:val="16"/>
          <w:szCs w:val="16"/>
          <w:lang w:val="ro-RO"/>
        </w:rPr>
        <w:t>.</w:t>
      </w:r>
      <w:r w:rsidRPr="00933D52">
        <w:rPr>
          <w:rFonts w:asciiTheme="majorHAnsi" w:eastAsia="Times New Roman" w:hAnsiTheme="majorHAnsi" w:cstheme="majorHAnsi"/>
          <w:sz w:val="16"/>
          <w:szCs w:val="16"/>
          <w:lang w:val="ro-RO"/>
        </w:rPr>
        <w:t>700,00 lei; Î.M. „Direcția Reparații și Construcții Drumuri Bălți” – cu valoarea de 3</w:t>
      </w:r>
      <w:r>
        <w:rPr>
          <w:rFonts w:asciiTheme="majorHAnsi" w:eastAsia="Times New Roman" w:hAnsiTheme="majorHAnsi" w:cstheme="majorHAnsi"/>
          <w:sz w:val="16"/>
          <w:szCs w:val="16"/>
          <w:lang w:val="ro-RO"/>
        </w:rPr>
        <w:t>.</w:t>
      </w:r>
      <w:r w:rsidRPr="00933D52">
        <w:rPr>
          <w:rFonts w:asciiTheme="majorHAnsi" w:eastAsia="Times New Roman" w:hAnsiTheme="majorHAnsi" w:cstheme="majorHAnsi"/>
          <w:sz w:val="16"/>
          <w:szCs w:val="16"/>
          <w:lang w:val="ro-RO"/>
        </w:rPr>
        <w:t>341</w:t>
      </w:r>
      <w:r>
        <w:rPr>
          <w:rFonts w:asciiTheme="majorHAnsi" w:eastAsia="Times New Roman" w:hAnsiTheme="majorHAnsi" w:cstheme="majorHAnsi"/>
          <w:sz w:val="16"/>
          <w:szCs w:val="16"/>
          <w:lang w:val="ro-RO"/>
        </w:rPr>
        <w:t>.</w:t>
      </w:r>
      <w:r w:rsidRPr="00933D52">
        <w:rPr>
          <w:rFonts w:asciiTheme="majorHAnsi" w:eastAsia="Times New Roman" w:hAnsiTheme="majorHAnsi" w:cstheme="majorHAnsi"/>
          <w:sz w:val="16"/>
          <w:szCs w:val="16"/>
          <w:lang w:val="ro-RO"/>
        </w:rPr>
        <w:t>800,00 lei.</w:t>
      </w:r>
    </w:p>
  </w:footnote>
  <w:footnote w:id="10">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Î.M. „Amenajarea Teritoriului și Spații Verzi” – cu valoarea de </w:t>
      </w:r>
      <w:r w:rsidRPr="00933D52">
        <w:rPr>
          <w:rFonts w:asciiTheme="majorHAnsi" w:eastAsia="Times New Roman" w:hAnsiTheme="majorHAnsi" w:cstheme="majorHAnsi"/>
          <w:sz w:val="16"/>
          <w:szCs w:val="16"/>
          <w:lang w:val="ro-RO"/>
        </w:rPr>
        <w:t>4</w:t>
      </w:r>
      <w:r>
        <w:rPr>
          <w:rFonts w:asciiTheme="majorHAnsi" w:eastAsia="Times New Roman" w:hAnsiTheme="majorHAnsi" w:cstheme="majorHAnsi"/>
          <w:sz w:val="16"/>
          <w:szCs w:val="16"/>
          <w:lang w:val="ro-RO"/>
        </w:rPr>
        <w:t>.</w:t>
      </w:r>
      <w:r w:rsidRPr="00933D52">
        <w:rPr>
          <w:rFonts w:asciiTheme="majorHAnsi" w:eastAsia="Times New Roman" w:hAnsiTheme="majorHAnsi" w:cstheme="majorHAnsi"/>
          <w:sz w:val="16"/>
          <w:szCs w:val="16"/>
          <w:lang w:val="ro-RO"/>
        </w:rPr>
        <w:t>994</w:t>
      </w:r>
      <w:r>
        <w:rPr>
          <w:rFonts w:asciiTheme="majorHAnsi" w:eastAsia="Times New Roman" w:hAnsiTheme="majorHAnsi" w:cstheme="majorHAnsi"/>
          <w:sz w:val="16"/>
          <w:szCs w:val="16"/>
          <w:lang w:val="ro-RO"/>
        </w:rPr>
        <w:t>.</w:t>
      </w:r>
      <w:r w:rsidRPr="00933D52">
        <w:rPr>
          <w:rFonts w:asciiTheme="majorHAnsi" w:eastAsia="Times New Roman" w:hAnsiTheme="majorHAnsi" w:cstheme="majorHAnsi"/>
          <w:sz w:val="16"/>
          <w:szCs w:val="16"/>
          <w:lang w:val="ro-RO"/>
        </w:rPr>
        <w:t xml:space="preserve">900,00 lei; Î.M. „Direcția Reparații și Construcții Drumuri Bălți” – </w:t>
      </w:r>
      <w:r w:rsidRPr="00933D52">
        <w:rPr>
          <w:rFonts w:asciiTheme="majorHAnsi" w:hAnsiTheme="majorHAnsi" w:cstheme="majorHAnsi"/>
          <w:sz w:val="16"/>
          <w:szCs w:val="16"/>
          <w:lang w:val="ro-RO"/>
        </w:rPr>
        <w:t>cu valoarea de</w:t>
      </w:r>
      <w:r w:rsidRPr="00933D52">
        <w:rPr>
          <w:rFonts w:asciiTheme="majorHAnsi" w:eastAsia="Times New Roman" w:hAnsiTheme="majorHAnsi" w:cstheme="majorHAnsi"/>
          <w:sz w:val="16"/>
          <w:szCs w:val="16"/>
          <w:lang w:val="ro-RO"/>
        </w:rPr>
        <w:t xml:space="preserve"> 23</w:t>
      </w:r>
      <w:r>
        <w:rPr>
          <w:rFonts w:asciiTheme="majorHAnsi" w:eastAsia="Times New Roman" w:hAnsiTheme="majorHAnsi" w:cstheme="majorHAnsi"/>
          <w:sz w:val="16"/>
          <w:szCs w:val="16"/>
          <w:lang w:val="ro-RO"/>
        </w:rPr>
        <w:t>.</w:t>
      </w:r>
      <w:r w:rsidRPr="00933D52">
        <w:rPr>
          <w:rFonts w:asciiTheme="majorHAnsi" w:eastAsia="Times New Roman" w:hAnsiTheme="majorHAnsi" w:cstheme="majorHAnsi"/>
          <w:sz w:val="16"/>
          <w:szCs w:val="16"/>
          <w:lang w:val="ro-RO"/>
        </w:rPr>
        <w:t>890</w:t>
      </w:r>
      <w:r>
        <w:rPr>
          <w:rFonts w:asciiTheme="majorHAnsi" w:eastAsia="Times New Roman" w:hAnsiTheme="majorHAnsi" w:cstheme="majorHAnsi"/>
          <w:sz w:val="16"/>
          <w:szCs w:val="16"/>
          <w:lang w:val="ro-RO"/>
        </w:rPr>
        <w:t>.</w:t>
      </w:r>
      <w:r w:rsidRPr="00933D52">
        <w:rPr>
          <w:rFonts w:asciiTheme="majorHAnsi" w:eastAsia="Times New Roman" w:hAnsiTheme="majorHAnsi" w:cstheme="majorHAnsi"/>
          <w:sz w:val="16"/>
          <w:szCs w:val="16"/>
          <w:lang w:val="ro-RO"/>
        </w:rPr>
        <w:t>600,00 lei.</w:t>
      </w:r>
    </w:p>
  </w:footnote>
  <w:footnote w:id="11">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Î.M. „Gospodăria Locativ</w:t>
      </w:r>
      <w:r>
        <w:rPr>
          <w:rFonts w:asciiTheme="majorHAnsi" w:hAnsiTheme="majorHAnsi" w:cstheme="majorHAnsi"/>
          <w:sz w:val="16"/>
          <w:szCs w:val="16"/>
          <w:lang w:val="ro-RO"/>
        </w:rPr>
        <w:t>-</w:t>
      </w:r>
      <w:r w:rsidRPr="00933D52">
        <w:rPr>
          <w:rFonts w:asciiTheme="majorHAnsi" w:hAnsiTheme="majorHAnsi" w:cstheme="majorHAnsi"/>
          <w:sz w:val="16"/>
          <w:szCs w:val="16"/>
          <w:lang w:val="ro-RO"/>
        </w:rPr>
        <w:t>Comunală Bălți” - valoarea fondului locativ privatizat în sumă de 56</w:t>
      </w:r>
      <w:r>
        <w:rPr>
          <w:rFonts w:asciiTheme="majorHAnsi" w:hAnsiTheme="majorHAnsi" w:cstheme="majorHAnsi"/>
          <w:sz w:val="16"/>
          <w:szCs w:val="16"/>
          <w:lang w:val="ro-RO"/>
        </w:rPr>
        <w:t>.</w:t>
      </w:r>
      <w:r w:rsidRPr="00933D52">
        <w:rPr>
          <w:rFonts w:asciiTheme="majorHAnsi" w:hAnsiTheme="majorHAnsi" w:cstheme="majorHAnsi"/>
          <w:sz w:val="16"/>
          <w:szCs w:val="16"/>
          <w:lang w:val="ro-RO"/>
        </w:rPr>
        <w:t>147</w:t>
      </w:r>
      <w:r>
        <w:rPr>
          <w:rFonts w:asciiTheme="majorHAnsi" w:hAnsiTheme="majorHAnsi" w:cstheme="majorHAnsi"/>
          <w:sz w:val="16"/>
          <w:szCs w:val="16"/>
          <w:lang w:val="ro-RO"/>
        </w:rPr>
        <w:t>.</w:t>
      </w:r>
      <w:r w:rsidRPr="00933D52">
        <w:rPr>
          <w:rFonts w:asciiTheme="majorHAnsi" w:hAnsiTheme="majorHAnsi" w:cstheme="majorHAnsi"/>
          <w:sz w:val="16"/>
          <w:szCs w:val="16"/>
          <w:lang w:val="ro-RO"/>
        </w:rPr>
        <w:t>100,00 lei.</w:t>
      </w:r>
    </w:p>
  </w:footnote>
  <w:footnote w:id="12">
    <w:p w:rsidR="00B65583" w:rsidRPr="00933D52" w:rsidRDefault="00B65583" w:rsidP="00B65583">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Pct.3.3.9. din Planul de conturi contabile – „La subcontul de nivelul II 311120 „Reparații capitale a clădirilor” se ține evidența cheltuielilor pentru reparația capitală a clădirilor, inclusiv cheltuielile pentru amenajarea teritoriului adiacent clădirilor după reparație</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elaborarea studiului de fezabilitate; elaborarea documentației de proiect și deviz; verificarea/expertiza documentației de proiect și deviz; obținerea prescripțiilor tehnice și a autorizațiilor cu plată și alte cheltuieli ce țin de perfectarea documentației de proiect și deviz; supravegherea tehnică și de autor. Aceste cheltuieli conduc la majorarea viitorului avantaj economic și majorează perioada de utilizare a clădirilor”.</w:t>
      </w:r>
    </w:p>
  </w:footnote>
  <w:footnote w:id="13">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Pct.1.4.5.1. din Planul de conturi contabile –</w:t>
      </w:r>
      <w:r w:rsidR="00B65583">
        <w:rPr>
          <w:rFonts w:asciiTheme="majorHAnsi" w:hAnsiTheme="majorHAnsi" w:cstheme="majorHAnsi"/>
          <w:sz w:val="16"/>
          <w:szCs w:val="16"/>
          <w:lang w:val="ro-RO"/>
        </w:rPr>
        <w:t xml:space="preserve"> </w:t>
      </w:r>
      <w:r w:rsidRPr="00933D52">
        <w:rPr>
          <w:rFonts w:asciiTheme="majorHAnsi" w:hAnsiTheme="majorHAnsi" w:cstheme="majorHAnsi"/>
          <w:sz w:val="16"/>
          <w:szCs w:val="16"/>
          <w:lang w:val="ro-RO"/>
        </w:rPr>
        <w:t xml:space="preserve">în cazul </w:t>
      </w:r>
      <w:r w:rsidRPr="00AD61CC">
        <w:rPr>
          <w:rFonts w:asciiTheme="majorHAnsi" w:hAnsiTheme="majorHAnsi" w:cstheme="majorHAnsi"/>
          <w:sz w:val="16"/>
          <w:szCs w:val="16"/>
          <w:lang w:val="ro-RO"/>
        </w:rPr>
        <w:t>deținerii, dar nereflect</w:t>
      </w:r>
      <w:r w:rsidR="00AD61CC" w:rsidRPr="00AD61CC">
        <w:rPr>
          <w:rFonts w:asciiTheme="majorHAnsi" w:hAnsiTheme="majorHAnsi" w:cstheme="majorHAnsi"/>
          <w:sz w:val="16"/>
          <w:szCs w:val="16"/>
          <w:lang w:val="ro-RO"/>
        </w:rPr>
        <w:t>ării</w:t>
      </w:r>
      <w:r w:rsidRPr="00AD61CC">
        <w:rPr>
          <w:rFonts w:asciiTheme="majorHAnsi" w:hAnsiTheme="majorHAnsi" w:cstheme="majorHAnsi"/>
          <w:sz w:val="16"/>
          <w:szCs w:val="16"/>
          <w:lang w:val="ro-RO"/>
        </w:rPr>
        <w:t xml:space="preserve"> în</w:t>
      </w:r>
      <w:r w:rsidRPr="00933D52">
        <w:rPr>
          <w:rFonts w:asciiTheme="majorHAnsi" w:hAnsiTheme="majorHAnsi" w:cstheme="majorHAnsi"/>
          <w:sz w:val="16"/>
          <w:szCs w:val="16"/>
          <w:lang w:val="ro-RO"/>
        </w:rPr>
        <w:t xml:space="preserve"> eviden</w:t>
      </w:r>
      <w:r>
        <w:rPr>
          <w:rFonts w:asciiTheme="majorHAnsi" w:hAnsiTheme="majorHAnsi" w:cstheme="majorHAnsi"/>
          <w:sz w:val="16"/>
          <w:szCs w:val="16"/>
          <w:lang w:val="ro-RO"/>
        </w:rPr>
        <w:t>ț</w:t>
      </w:r>
      <w:r w:rsidRPr="00933D52">
        <w:rPr>
          <w:rFonts w:asciiTheme="majorHAnsi" w:hAnsiTheme="majorHAnsi" w:cstheme="majorHAnsi"/>
          <w:sz w:val="16"/>
          <w:szCs w:val="16"/>
          <w:lang w:val="ro-RO"/>
        </w:rPr>
        <w:t>a contabilă a valorii clădirilor și construcțiilor speciale, valoarea de recunoaștere a acestora este valoarea estimată a bunului imobil în baza extrasului din registrul bunurilor imobile”.</w:t>
      </w:r>
    </w:p>
  </w:footnote>
  <w:footnote w:id="14">
    <w:p w:rsidR="00CA0824" w:rsidRPr="00933D52" w:rsidRDefault="00CA0824" w:rsidP="00CA0824">
      <w:pPr>
        <w:pStyle w:val="FootnoteText"/>
        <w:jc w:val="both"/>
        <w:rPr>
          <w:rFonts w:asciiTheme="majorHAnsi" w:hAnsiTheme="majorHAnsi" w:cstheme="majorHAnsi"/>
          <w:sz w:val="16"/>
          <w:szCs w:val="16"/>
          <w:lang w:val="ro-RO"/>
        </w:rPr>
      </w:pPr>
      <w:r w:rsidRPr="00CA0824">
        <w:rPr>
          <w:rStyle w:val="FootnoteReference"/>
          <w:rFonts w:asciiTheme="majorHAnsi" w:hAnsiTheme="majorHAnsi" w:cstheme="majorHAnsi"/>
          <w:sz w:val="16"/>
          <w:szCs w:val="16"/>
          <w:lang w:val="ro-RO"/>
        </w:rPr>
        <w:footnoteRef/>
      </w:r>
      <w:r w:rsidRPr="00CA0824">
        <w:rPr>
          <w:rFonts w:asciiTheme="majorHAnsi" w:hAnsiTheme="majorHAnsi" w:cstheme="majorHAnsi"/>
          <w:sz w:val="16"/>
          <w:szCs w:val="16"/>
          <w:lang w:val="ro-RO"/>
        </w:rPr>
        <w:t xml:space="preserve"> </w:t>
      </w:r>
      <w:r w:rsidRPr="00CA0824">
        <w:rPr>
          <w:rFonts w:asciiTheme="majorHAnsi" w:hAnsiTheme="majorHAnsi" w:cstheme="majorHAnsi"/>
          <w:b/>
          <w:sz w:val="16"/>
          <w:szCs w:val="16"/>
          <w:lang w:val="ro-RO"/>
        </w:rPr>
        <w:t xml:space="preserve">CAP: </w:t>
      </w:r>
      <w:r w:rsidRPr="00CA0824">
        <w:rPr>
          <w:rFonts w:asciiTheme="majorHAnsi" w:hAnsiTheme="majorHAnsi" w:cstheme="majorHAnsi"/>
          <w:sz w:val="16"/>
          <w:szCs w:val="16"/>
          <w:lang w:val="ro-RO"/>
        </w:rPr>
        <w:t>69 obiecte înregistrate în Registrul bunurilor imobile ca proprietate a autorității publice locale mun. Bălți și nereflectate în evidența contabilă, inclusiv: construcții - 6 unități în suma de 2900000,00 lei; încăperi nelocative - 51 unități în suma de 35200000,00 lei; încăperi locative (apartamente) – 3 unități în sumă de 418798,00 lei.</w:t>
      </w:r>
    </w:p>
  </w:footnote>
  <w:footnote w:id="15">
    <w:p w:rsidR="00585BDF" w:rsidRPr="00933D52" w:rsidRDefault="00585BDF" w:rsidP="00AA35B7">
      <w:pPr>
        <w:pStyle w:val="FootnoteText"/>
        <w:jc w:val="both"/>
        <w:rPr>
          <w:rFonts w:asciiTheme="majorHAnsi" w:hAnsiTheme="majorHAnsi" w:cstheme="majorHAnsi"/>
          <w:b/>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 xml:space="preserve">DÎTS: </w:t>
      </w:r>
      <w:r w:rsidRPr="00933D52">
        <w:rPr>
          <w:rFonts w:asciiTheme="majorHAnsi" w:hAnsiTheme="majorHAnsi" w:cstheme="majorHAnsi"/>
          <w:sz w:val="16"/>
          <w:szCs w:val="16"/>
          <w:lang w:val="ro-RO"/>
        </w:rPr>
        <w:t>Două proiecte pentru lucrările de reparație capitală a acoperișului - gimnazi</w:t>
      </w:r>
      <w:r>
        <w:rPr>
          <w:rFonts w:asciiTheme="majorHAnsi" w:hAnsiTheme="majorHAnsi" w:cstheme="majorHAnsi"/>
          <w:sz w:val="16"/>
          <w:szCs w:val="16"/>
          <w:lang w:val="ro-RO"/>
        </w:rPr>
        <w:t>ile</w:t>
      </w:r>
      <w:r w:rsidRPr="00933D52">
        <w:rPr>
          <w:rFonts w:asciiTheme="majorHAnsi" w:hAnsiTheme="majorHAnsi" w:cstheme="majorHAnsi"/>
          <w:sz w:val="16"/>
          <w:szCs w:val="16"/>
          <w:lang w:val="ro-RO"/>
        </w:rPr>
        <w:t xml:space="preserve"> nr.6 și nr.7.</w:t>
      </w:r>
    </w:p>
  </w:footnote>
  <w:footnote w:id="16">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Pct.3.4.18. din Planul de conturi contabile – „După recepția, darea în folosință sau punerea în funcțiune a obiectivelor menționate în contul 3192 „Investiții capitale în active materiale în curs de execuție”, cheltuielile acumulate se trec în categoria activelor materiale la conturile contabile corespunzătoare (</w:t>
      </w:r>
      <w:r>
        <w:rPr>
          <w:rFonts w:asciiTheme="majorHAnsi" w:hAnsiTheme="majorHAnsi" w:cstheme="majorHAnsi"/>
          <w:sz w:val="16"/>
          <w:szCs w:val="16"/>
          <w:lang w:val="ro-RO"/>
        </w:rPr>
        <w:t xml:space="preserve">de </w:t>
      </w:r>
      <w:r w:rsidRPr="00933D52">
        <w:rPr>
          <w:rFonts w:asciiTheme="majorHAnsi" w:hAnsiTheme="majorHAnsi" w:cstheme="majorHAnsi"/>
          <w:sz w:val="16"/>
          <w:szCs w:val="16"/>
          <w:lang w:val="ro-RO"/>
        </w:rPr>
        <w:t>ex.</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procurarea clădirilor, procurarea construcțiilor speciale, procurarea instalațiilor de transmisie, procurarea mașinilor și utilajelor, procurarea terenurilor, mobilierului ş.a.)”.</w:t>
      </w:r>
    </w:p>
  </w:footnote>
  <w:footnote w:id="17">
    <w:p w:rsidR="00585BDF" w:rsidRPr="00933D52" w:rsidRDefault="00585BDF" w:rsidP="00C32D4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Azilul pentru animale fără adăpost – a fost dat în exploatare în anul 2019  (proces-verbal de recepție la terminarea lucrărilor nr.39 din 04.10.2019) și activitatea căruia a fost finanțată de la bugetul local în anul 2020 (cheltuieli curente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970</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606,99 lei (salariu, procurarea materialelor, servicii comunale); active nefinanciare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661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243,20 lei (procurarea mașinilor și utilajelor, inventarului de producere și materialelor de uz gospodăresc, combustibilului, medicamentelor etc.)).</w:t>
      </w:r>
    </w:p>
  </w:footnote>
  <w:footnote w:id="18">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b/>
          <w:sz w:val="16"/>
          <w:szCs w:val="16"/>
          <w:lang w:val="ro-RO"/>
        </w:rPr>
        <w:t xml:space="preserve"> CAP:</w:t>
      </w:r>
      <w:r w:rsidRPr="00933D52">
        <w:rPr>
          <w:rFonts w:asciiTheme="majorHAnsi" w:hAnsiTheme="majorHAnsi" w:cstheme="majorHAnsi"/>
          <w:sz w:val="16"/>
          <w:szCs w:val="16"/>
          <w:lang w:val="ro-RO"/>
        </w:rPr>
        <w:t xml:space="preserve"> Luând în considera</w:t>
      </w:r>
      <w:r>
        <w:rPr>
          <w:rFonts w:asciiTheme="majorHAnsi" w:hAnsiTheme="majorHAnsi" w:cstheme="majorHAnsi"/>
          <w:sz w:val="16"/>
          <w:szCs w:val="16"/>
          <w:lang w:val="ro-RO"/>
        </w:rPr>
        <w:t>r</w:t>
      </w:r>
      <w:r w:rsidRPr="00933D52">
        <w:rPr>
          <w:rFonts w:asciiTheme="majorHAnsi" w:hAnsiTheme="majorHAnsi" w:cstheme="majorHAnsi"/>
          <w:sz w:val="16"/>
          <w:szCs w:val="16"/>
          <w:lang w:val="ro-RO"/>
        </w:rPr>
        <w:t>e subevaluarea în anul 2019 a valorii contului 319 cu suma de 328</w:t>
      </w:r>
      <w:r>
        <w:rPr>
          <w:rFonts w:asciiTheme="majorHAnsi" w:hAnsiTheme="majorHAnsi" w:cstheme="majorHAnsi"/>
          <w:sz w:val="16"/>
          <w:szCs w:val="16"/>
          <w:lang w:val="ro-RO"/>
        </w:rPr>
        <w:t>.</w:t>
      </w:r>
      <w:r w:rsidRPr="00933D52">
        <w:rPr>
          <w:rFonts w:asciiTheme="majorHAnsi" w:hAnsiTheme="majorHAnsi" w:cstheme="majorHAnsi"/>
          <w:sz w:val="16"/>
          <w:szCs w:val="16"/>
          <w:lang w:val="ro-RO"/>
        </w:rPr>
        <w:t>244,87 lei (achitată benevol de către primărie în baza acordului de remediere semnat cu agentul economic), care a fost raportată eronat la subcontul de evidență 281361 „Plăți aferente documentelor executorii cu executare benevolă”, destinat pentru evidența cheltuielilor curente efectuate doar în baza deciziilor definitive ale instanțelor judecătorești (prevederile pct.3.2.47. din Planul de conturi contabile).</w:t>
      </w:r>
    </w:p>
  </w:footnote>
  <w:footnote w:id="19">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Cinci voliere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2</w:t>
      </w:r>
      <w:r>
        <w:rPr>
          <w:rFonts w:asciiTheme="majorHAnsi" w:hAnsiTheme="majorHAnsi" w:cstheme="majorHAnsi"/>
          <w:sz w:val="16"/>
          <w:szCs w:val="16"/>
          <w:lang w:val="ro-RO"/>
        </w:rPr>
        <w:t>.</w:t>
      </w:r>
      <w:r w:rsidRPr="00933D52">
        <w:rPr>
          <w:rFonts w:asciiTheme="majorHAnsi" w:hAnsiTheme="majorHAnsi" w:cstheme="majorHAnsi"/>
          <w:sz w:val="16"/>
          <w:szCs w:val="16"/>
          <w:lang w:val="ro-RO"/>
        </w:rPr>
        <w:t>786</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295,77 lei; construcția gardului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248</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379,12 lei; construcția pavajului/trotuarului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269</w:t>
      </w:r>
      <w:r>
        <w:rPr>
          <w:rFonts w:asciiTheme="majorHAnsi" w:hAnsiTheme="majorHAnsi" w:cstheme="majorHAnsi"/>
          <w:sz w:val="16"/>
          <w:szCs w:val="16"/>
          <w:lang w:val="ro-RO"/>
        </w:rPr>
        <w:t>.</w:t>
      </w:r>
      <w:r w:rsidRPr="00933D52">
        <w:rPr>
          <w:rFonts w:asciiTheme="majorHAnsi" w:hAnsiTheme="majorHAnsi" w:cstheme="majorHAnsi"/>
          <w:sz w:val="16"/>
          <w:szCs w:val="16"/>
          <w:lang w:val="ro-RO"/>
        </w:rPr>
        <w:t>794,44 lei.</w:t>
      </w:r>
    </w:p>
  </w:footnote>
  <w:footnote w:id="20">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Rețelele electrice exterioare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572</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065,01 lei; rețelele de alimentare cu apă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357</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719,33 lei; rețelele de canalizare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121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726,17 lei.</w:t>
      </w:r>
    </w:p>
  </w:footnote>
  <w:footnote w:id="21">
    <w:p w:rsidR="00585BDF" w:rsidRPr="00933D52" w:rsidRDefault="00585BDF" w:rsidP="00AA35B7">
      <w:pPr>
        <w:pStyle w:val="FootnoteText"/>
        <w:shd w:val="clear" w:color="auto" w:fill="FFFFFF" w:themeFill="background1"/>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Corpul stației de dezinfectare și asistenț</w:t>
      </w:r>
      <w:r>
        <w:rPr>
          <w:rFonts w:asciiTheme="majorHAnsi" w:hAnsiTheme="majorHAnsi" w:cstheme="majorHAnsi"/>
          <w:sz w:val="16"/>
          <w:szCs w:val="16"/>
          <w:lang w:val="ro-RO"/>
        </w:rPr>
        <w:t>ă</w:t>
      </w:r>
      <w:r w:rsidRPr="00933D52">
        <w:rPr>
          <w:rFonts w:asciiTheme="majorHAnsi" w:hAnsiTheme="majorHAnsi" w:cstheme="majorHAnsi"/>
          <w:sz w:val="16"/>
          <w:szCs w:val="16"/>
          <w:lang w:val="ro-RO"/>
        </w:rPr>
        <w:t xml:space="preserve"> medical</w:t>
      </w:r>
      <w:r>
        <w:rPr>
          <w:rFonts w:asciiTheme="majorHAnsi" w:hAnsiTheme="majorHAnsi" w:cstheme="majorHAnsi"/>
          <w:sz w:val="16"/>
          <w:szCs w:val="16"/>
          <w:lang w:val="ro-RO"/>
        </w:rPr>
        <w:t>ă</w:t>
      </w:r>
      <w:r w:rsidRPr="00933D52">
        <w:rPr>
          <w:rFonts w:asciiTheme="majorHAnsi" w:hAnsiTheme="majorHAnsi" w:cstheme="majorHAnsi"/>
          <w:sz w:val="16"/>
          <w:szCs w:val="16"/>
          <w:lang w:val="ro-RO"/>
        </w:rPr>
        <w:t xml:space="preserve"> – circa 44</w:t>
      </w:r>
      <w:r>
        <w:rPr>
          <w:rFonts w:asciiTheme="majorHAnsi" w:hAnsiTheme="majorHAnsi" w:cstheme="majorHAnsi"/>
          <w:sz w:val="16"/>
          <w:szCs w:val="16"/>
          <w:lang w:val="ro-RO"/>
        </w:rPr>
        <w:t>.</w:t>
      </w:r>
      <w:r w:rsidRPr="00933D52">
        <w:rPr>
          <w:rFonts w:asciiTheme="majorHAnsi" w:hAnsiTheme="majorHAnsi" w:cstheme="majorHAnsi"/>
          <w:sz w:val="16"/>
          <w:szCs w:val="16"/>
          <w:lang w:val="ro-RO"/>
        </w:rPr>
        <w:t>059,06 lei (subcontul 391100); cinci voliere – circa 185</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753,05 lei; construcția gardului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9</w:t>
      </w:r>
      <w:r>
        <w:rPr>
          <w:rFonts w:asciiTheme="majorHAnsi" w:hAnsiTheme="majorHAnsi" w:cstheme="majorHAnsi"/>
          <w:sz w:val="16"/>
          <w:szCs w:val="16"/>
          <w:lang w:val="ro-RO"/>
        </w:rPr>
        <w:t>.</w:t>
      </w:r>
      <w:r w:rsidRPr="00933D52">
        <w:rPr>
          <w:rFonts w:asciiTheme="majorHAnsi" w:hAnsiTheme="majorHAnsi" w:cstheme="majorHAnsi"/>
          <w:sz w:val="16"/>
          <w:szCs w:val="16"/>
          <w:lang w:val="ro-RO"/>
        </w:rPr>
        <w:t>935,16 lei; construcția pavajului/trotuarului – circa 63</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489,72 lei (total </w:t>
      </w:r>
      <w:r w:rsidRPr="00933D52">
        <w:rPr>
          <w:rFonts w:asciiTheme="majorHAnsi" w:hAnsiTheme="majorHAnsi" w:cstheme="majorHAnsi"/>
          <w:bCs/>
          <w:sz w:val="16"/>
          <w:szCs w:val="16"/>
          <w:lang w:val="ro-RO"/>
        </w:rPr>
        <w:t>subcontul 391200 – circa 259</w:t>
      </w:r>
      <w:r>
        <w:rPr>
          <w:rFonts w:asciiTheme="majorHAnsi" w:hAnsiTheme="majorHAnsi" w:cstheme="majorHAnsi"/>
          <w:bCs/>
          <w:sz w:val="16"/>
          <w:szCs w:val="16"/>
          <w:lang w:val="ro-RO"/>
        </w:rPr>
        <w:t>.</w:t>
      </w:r>
      <w:r w:rsidRPr="00933D52">
        <w:rPr>
          <w:rFonts w:asciiTheme="majorHAnsi" w:hAnsiTheme="majorHAnsi" w:cstheme="majorHAnsi"/>
          <w:bCs/>
          <w:sz w:val="16"/>
          <w:szCs w:val="16"/>
          <w:lang w:val="ro-RO"/>
        </w:rPr>
        <w:t>177,93 lei)</w:t>
      </w:r>
      <w:r w:rsidRPr="00933D52">
        <w:rPr>
          <w:rFonts w:asciiTheme="majorHAnsi" w:hAnsiTheme="majorHAnsi" w:cstheme="majorHAnsi"/>
          <w:sz w:val="16"/>
          <w:szCs w:val="16"/>
          <w:lang w:val="ro-RO"/>
        </w:rPr>
        <w:t>; rețelele electrice exterioare – circa 19</w:t>
      </w:r>
      <w:r>
        <w:rPr>
          <w:rFonts w:asciiTheme="majorHAnsi" w:hAnsiTheme="majorHAnsi" w:cstheme="majorHAnsi"/>
          <w:sz w:val="16"/>
          <w:szCs w:val="16"/>
          <w:lang w:val="ro-RO"/>
        </w:rPr>
        <w:t>.</w:t>
      </w:r>
      <w:r w:rsidRPr="00933D52">
        <w:rPr>
          <w:rFonts w:asciiTheme="majorHAnsi" w:hAnsiTheme="majorHAnsi" w:cstheme="majorHAnsi"/>
          <w:sz w:val="16"/>
          <w:szCs w:val="16"/>
          <w:lang w:val="ro-RO"/>
        </w:rPr>
        <w:t>068,83 lei; rețelele de alimentare cu apă – circa 7</w:t>
      </w:r>
      <w:r>
        <w:rPr>
          <w:rFonts w:asciiTheme="majorHAnsi" w:hAnsiTheme="majorHAnsi" w:cstheme="majorHAnsi"/>
          <w:sz w:val="16"/>
          <w:szCs w:val="16"/>
          <w:lang w:val="ro-RO"/>
        </w:rPr>
        <w:t>.</w:t>
      </w:r>
      <w:r w:rsidRPr="00933D52">
        <w:rPr>
          <w:rFonts w:asciiTheme="majorHAnsi" w:hAnsiTheme="majorHAnsi" w:cstheme="majorHAnsi"/>
          <w:sz w:val="16"/>
          <w:szCs w:val="16"/>
          <w:lang w:val="ro-RO"/>
        </w:rPr>
        <w:t>949,31 lei; rețelele de canalizare – circa 3</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043,15 lei (total </w:t>
      </w:r>
      <w:r w:rsidRPr="00933D52">
        <w:rPr>
          <w:rFonts w:asciiTheme="majorHAnsi" w:hAnsiTheme="majorHAnsi" w:cstheme="majorHAnsi"/>
          <w:bCs/>
          <w:sz w:val="16"/>
          <w:szCs w:val="16"/>
          <w:lang w:val="ro-RO"/>
        </w:rPr>
        <w:t>subcontul 391300 – circa 30</w:t>
      </w:r>
      <w:r>
        <w:rPr>
          <w:rFonts w:asciiTheme="majorHAnsi" w:hAnsiTheme="majorHAnsi" w:cstheme="majorHAnsi"/>
          <w:bCs/>
          <w:sz w:val="16"/>
          <w:szCs w:val="16"/>
          <w:lang w:val="ro-RO"/>
        </w:rPr>
        <w:t>.</w:t>
      </w:r>
      <w:r w:rsidRPr="00933D52">
        <w:rPr>
          <w:rFonts w:asciiTheme="majorHAnsi" w:hAnsiTheme="majorHAnsi" w:cstheme="majorHAnsi"/>
          <w:bCs/>
          <w:sz w:val="16"/>
          <w:szCs w:val="16"/>
          <w:lang w:val="ro-RO"/>
        </w:rPr>
        <w:t>061,29 lei)</w:t>
      </w:r>
      <w:r w:rsidRPr="00933D52">
        <w:rPr>
          <w:rFonts w:asciiTheme="majorHAnsi" w:hAnsiTheme="majorHAnsi" w:cstheme="majorHAnsi"/>
          <w:sz w:val="16"/>
          <w:szCs w:val="16"/>
          <w:lang w:val="ro-RO"/>
        </w:rPr>
        <w:t>.</w:t>
      </w:r>
      <w:r w:rsidRPr="00933D52">
        <w:rPr>
          <w:rFonts w:asciiTheme="majorHAnsi" w:eastAsia="Times New Roman" w:hAnsiTheme="majorHAnsi" w:cstheme="majorHAnsi"/>
          <w:sz w:val="16"/>
          <w:szCs w:val="16"/>
          <w:lang w:val="ro-RO"/>
        </w:rPr>
        <w:t xml:space="preserve"> Totodată, c</w:t>
      </w:r>
      <w:r w:rsidRPr="00933D52">
        <w:rPr>
          <w:rFonts w:asciiTheme="majorHAnsi" w:hAnsiTheme="majorHAnsi" w:cstheme="majorHAnsi"/>
          <w:sz w:val="16"/>
          <w:szCs w:val="16"/>
          <w:lang w:val="ro-RO"/>
        </w:rPr>
        <w:t xml:space="preserve">u suma dată fiind diminuată valoarea cheltuielilor la </w:t>
      </w:r>
      <w:r w:rsidRPr="00933D52">
        <w:rPr>
          <w:rFonts w:asciiTheme="majorHAnsi" w:hAnsiTheme="majorHAnsi" w:cstheme="majorHAnsi"/>
          <w:bCs/>
          <w:sz w:val="16"/>
          <w:szCs w:val="16"/>
          <w:lang w:val="ro-RO"/>
        </w:rPr>
        <w:t>contul 231 „Cheltuieli privind uzura mijloacelor fixe”.</w:t>
      </w:r>
    </w:p>
  </w:footnote>
  <w:footnote w:id="22">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Pct.3.3.163. din Planul de conturi contabile – „Uzura se determină și se ține în evidență pe clădiri și construcții speciale, instalații de transmisie, mașini și utilaje, mijloace de transport, unelte și scule, inventar de producere și gospodăresc și alte mijloace fixe”. Pct.3.3.165. din Planul de conturi contabile –</w:t>
      </w:r>
      <w:r w:rsidRPr="00933D52">
        <w:rPr>
          <w:rFonts w:asciiTheme="majorHAnsi" w:hAnsiTheme="majorHAnsi" w:cstheme="majorHAnsi"/>
          <w:b/>
          <w:bCs/>
          <w:sz w:val="16"/>
          <w:szCs w:val="16"/>
          <w:lang w:val="ro-RO"/>
        </w:rPr>
        <w:t xml:space="preserve"> </w:t>
      </w:r>
      <w:r w:rsidRPr="002F288C">
        <w:rPr>
          <w:rFonts w:asciiTheme="majorHAnsi" w:hAnsiTheme="majorHAnsi" w:cstheme="majorHAnsi"/>
          <w:bCs/>
          <w:sz w:val="16"/>
          <w:szCs w:val="16"/>
          <w:lang w:val="ro-RO"/>
        </w:rPr>
        <w:t>„</w:t>
      </w:r>
      <w:r w:rsidRPr="00933D52">
        <w:rPr>
          <w:rFonts w:asciiTheme="majorHAnsi" w:hAnsiTheme="majorHAnsi" w:cstheme="majorHAnsi"/>
          <w:sz w:val="16"/>
          <w:szCs w:val="16"/>
          <w:lang w:val="ro-RO"/>
        </w:rPr>
        <w:t>Uzura mijloacelor fixe se calculează pe parcursul lunii decembrie pentru lunile anului de gestiune următoare lunii recepției lucrărilor, dării în folosință sau punerii în funcțiune a acestora. Aceste operațiuni economice se înregistrează în evidența contabilă cu ultima zi lucrătoare a anului”.</w:t>
      </w:r>
    </w:p>
  </w:footnote>
  <w:footnote w:id="23">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Estimarea efectuată în baza reglementărilor din Anexa nr.1 la Hotărârea Guvernului nr.338 din 21.03.2003 „Cu privire la aprobarea Catalogului mijloacelor fixe și activelor nemateriale” (cu modificările ulterioare).</w:t>
      </w:r>
    </w:p>
  </w:footnote>
  <w:footnote w:id="24">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CAP</w:t>
      </w:r>
      <w:r w:rsidRPr="00933D52">
        <w:rPr>
          <w:rFonts w:asciiTheme="majorHAnsi" w:hAnsiTheme="majorHAnsi" w:cstheme="majorHAnsi"/>
          <w:sz w:val="16"/>
          <w:szCs w:val="16"/>
          <w:lang w:val="ro-RO"/>
        </w:rPr>
        <w:t>,</w:t>
      </w:r>
      <w:r w:rsidRPr="00933D52">
        <w:rPr>
          <w:rFonts w:asciiTheme="majorHAnsi" w:eastAsia="Times New Roman" w:hAnsiTheme="majorHAnsi" w:cstheme="majorHAnsi"/>
          <w:sz w:val="16"/>
          <w:szCs w:val="16"/>
          <w:lang w:val="ro-RO"/>
        </w:rPr>
        <w:t xml:space="preserve"> </w:t>
      </w:r>
      <w:r w:rsidRPr="00933D52">
        <w:rPr>
          <w:rFonts w:asciiTheme="majorHAnsi" w:hAnsiTheme="majorHAnsi" w:cstheme="majorHAnsi"/>
          <w:sz w:val="16"/>
          <w:szCs w:val="16"/>
          <w:lang w:val="ro-RO"/>
        </w:rPr>
        <w:t>la grupa de conturi 312</w:t>
      </w:r>
      <w:r w:rsidRPr="00933D52">
        <w:rPr>
          <w:rFonts w:asciiTheme="majorHAnsi" w:hAnsiTheme="majorHAnsi" w:cstheme="majorHAnsi"/>
          <w:b/>
          <w:sz w:val="16"/>
          <w:szCs w:val="16"/>
          <w:lang w:val="ro-RO"/>
        </w:rPr>
        <w:t xml:space="preserve"> </w:t>
      </w:r>
      <w:r w:rsidRPr="00933D52">
        <w:rPr>
          <w:rFonts w:asciiTheme="majorHAnsi" w:hAnsiTheme="majorHAnsi" w:cstheme="majorHAnsi"/>
          <w:sz w:val="16"/>
          <w:szCs w:val="16"/>
          <w:lang w:val="ro-RO"/>
        </w:rPr>
        <w:t xml:space="preserve"> (pentru perioada 2017 – 2020): 6</w:t>
      </w:r>
      <w:r>
        <w:rPr>
          <w:rFonts w:asciiTheme="majorHAnsi" w:hAnsiTheme="majorHAnsi" w:cstheme="majorHAnsi"/>
          <w:sz w:val="16"/>
          <w:szCs w:val="16"/>
          <w:lang w:val="ro-RO"/>
        </w:rPr>
        <w:t>.</w:t>
      </w:r>
      <w:r w:rsidRPr="00933D52">
        <w:rPr>
          <w:rFonts w:asciiTheme="majorHAnsi" w:hAnsiTheme="majorHAnsi" w:cstheme="majorHAnsi"/>
          <w:sz w:val="16"/>
          <w:szCs w:val="16"/>
          <w:lang w:val="ro-RO"/>
        </w:rPr>
        <w:t>406</w:t>
      </w:r>
      <w:r>
        <w:rPr>
          <w:rFonts w:asciiTheme="majorHAnsi" w:hAnsiTheme="majorHAnsi" w:cstheme="majorHAnsi"/>
          <w:sz w:val="16"/>
          <w:szCs w:val="16"/>
          <w:lang w:val="ro-RO"/>
        </w:rPr>
        <w:t>.</w:t>
      </w:r>
      <w:r w:rsidRPr="00933D52">
        <w:rPr>
          <w:rFonts w:asciiTheme="majorHAnsi" w:hAnsiTheme="majorHAnsi" w:cstheme="majorHAnsi"/>
          <w:sz w:val="16"/>
          <w:szCs w:val="16"/>
          <w:lang w:val="ro-RO"/>
        </w:rPr>
        <w:t>791,04 lei - Platforme de acumulare a deșeurilor menajer</w:t>
      </w:r>
      <w:r>
        <w:rPr>
          <w:rFonts w:asciiTheme="majorHAnsi" w:hAnsiTheme="majorHAnsi" w:cstheme="majorHAnsi"/>
          <w:sz w:val="16"/>
          <w:szCs w:val="16"/>
          <w:lang w:val="ro-RO"/>
        </w:rPr>
        <w:t>e</w:t>
      </w:r>
      <w:r w:rsidRPr="00933D52">
        <w:rPr>
          <w:rFonts w:asciiTheme="majorHAnsi" w:hAnsiTheme="majorHAnsi" w:cstheme="majorHAnsi"/>
          <w:sz w:val="16"/>
          <w:szCs w:val="16"/>
          <w:lang w:val="ro-RO"/>
        </w:rPr>
        <w:t xml:space="preserve"> solide; lucrări de reparație capitală a străzilor (15 obiecte/străzi); lucrări de reparație capital</w:t>
      </w:r>
      <w:r>
        <w:rPr>
          <w:rFonts w:asciiTheme="majorHAnsi" w:hAnsiTheme="majorHAnsi" w:cstheme="majorHAnsi"/>
          <w:sz w:val="16"/>
          <w:szCs w:val="16"/>
          <w:lang w:val="ro-RO"/>
        </w:rPr>
        <w:t>ă</w:t>
      </w:r>
      <w:r w:rsidRPr="00933D52">
        <w:rPr>
          <w:rFonts w:asciiTheme="majorHAnsi" w:hAnsiTheme="majorHAnsi" w:cstheme="majorHAnsi"/>
          <w:sz w:val="16"/>
          <w:szCs w:val="16"/>
          <w:lang w:val="ro-RO"/>
        </w:rPr>
        <w:t xml:space="preserve"> a stelei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Orașe Înfrățite</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CAP</w:t>
      </w:r>
      <w:r w:rsidRPr="00933D52">
        <w:rPr>
          <w:rFonts w:asciiTheme="majorHAnsi" w:hAnsiTheme="majorHAnsi" w:cstheme="majorHAnsi"/>
          <w:sz w:val="16"/>
          <w:szCs w:val="16"/>
          <w:lang w:val="ro-RO"/>
        </w:rPr>
        <w:t>,</w:t>
      </w:r>
      <w:r w:rsidRPr="00933D52">
        <w:rPr>
          <w:rFonts w:asciiTheme="majorHAnsi" w:hAnsiTheme="majorHAnsi" w:cstheme="majorHAnsi"/>
          <w:b/>
          <w:sz w:val="16"/>
          <w:szCs w:val="16"/>
          <w:lang w:val="ro-RO"/>
        </w:rPr>
        <w:t xml:space="preserve"> </w:t>
      </w:r>
      <w:r w:rsidRPr="00933D52">
        <w:rPr>
          <w:rFonts w:asciiTheme="majorHAnsi" w:hAnsiTheme="majorHAnsi" w:cstheme="majorHAnsi"/>
          <w:sz w:val="16"/>
          <w:szCs w:val="16"/>
          <w:lang w:val="ro-RO"/>
        </w:rPr>
        <w:t>la grupa de conturi 313 (pentru perioada anului 2020):</w:t>
      </w:r>
      <w:r w:rsidRPr="00933D52">
        <w:rPr>
          <w:rFonts w:asciiTheme="majorHAnsi" w:hAnsiTheme="majorHAnsi" w:cstheme="majorHAnsi"/>
          <w:b/>
          <w:sz w:val="16"/>
          <w:szCs w:val="16"/>
          <w:lang w:val="ro-RO"/>
        </w:rPr>
        <w:t xml:space="preserve"> </w:t>
      </w:r>
      <w:r w:rsidRPr="00933D52">
        <w:rPr>
          <w:rFonts w:asciiTheme="majorHAnsi" w:hAnsiTheme="majorHAnsi" w:cstheme="majorHAnsi"/>
          <w:sz w:val="16"/>
          <w:szCs w:val="16"/>
          <w:lang w:val="ro-RO"/>
        </w:rPr>
        <w:t>33</w:t>
      </w:r>
      <w:r>
        <w:rPr>
          <w:rFonts w:asciiTheme="majorHAnsi" w:hAnsiTheme="majorHAnsi" w:cstheme="majorHAnsi"/>
          <w:sz w:val="16"/>
          <w:szCs w:val="16"/>
          <w:lang w:val="ro-RO"/>
        </w:rPr>
        <w:t>.</w:t>
      </w:r>
      <w:r w:rsidRPr="00933D52">
        <w:rPr>
          <w:rFonts w:asciiTheme="majorHAnsi" w:hAnsiTheme="majorHAnsi" w:cstheme="majorHAnsi"/>
          <w:sz w:val="16"/>
          <w:szCs w:val="16"/>
          <w:lang w:val="ro-RO"/>
        </w:rPr>
        <w:t>031,41 lei</w:t>
      </w:r>
      <w:r w:rsidRPr="00933D52">
        <w:rPr>
          <w:rFonts w:asciiTheme="majorHAnsi" w:hAnsiTheme="majorHAnsi" w:cstheme="majorHAnsi"/>
          <w:b/>
          <w:sz w:val="16"/>
          <w:szCs w:val="16"/>
          <w:lang w:val="ro-RO"/>
        </w:rPr>
        <w:t xml:space="preserve"> - </w:t>
      </w:r>
      <w:r w:rsidRPr="00933D52">
        <w:rPr>
          <w:rFonts w:asciiTheme="majorHAnsi" w:hAnsiTheme="majorHAnsi" w:cstheme="majorHAnsi"/>
          <w:sz w:val="16"/>
          <w:szCs w:val="16"/>
          <w:lang w:val="ro-RO"/>
        </w:rPr>
        <w:t>Obiectul de investiții „Extinderea rețelelor de iluminat stradal din mun. Bălți (9 + 1 obiecte)” cu valoarea de 990</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942,51 lei, raportat în anul 2020 la grupa de conturi 313 „Instalații de transmisie”. Proces-verbal de recepție finală nr.70 din 27.12.2019; </w:t>
      </w:r>
      <w:r w:rsidRPr="00933D52">
        <w:rPr>
          <w:rFonts w:asciiTheme="majorHAnsi" w:hAnsiTheme="majorHAnsi" w:cstheme="majorHAnsi"/>
          <w:b/>
          <w:sz w:val="16"/>
          <w:szCs w:val="16"/>
          <w:lang w:val="ro-RO"/>
        </w:rPr>
        <w:t>DITS</w:t>
      </w:r>
      <w:r w:rsidRPr="00933D52">
        <w:rPr>
          <w:rFonts w:asciiTheme="majorHAnsi" w:hAnsiTheme="majorHAnsi" w:cstheme="majorHAnsi"/>
          <w:sz w:val="16"/>
          <w:szCs w:val="16"/>
          <w:lang w:val="ro-RO"/>
        </w:rPr>
        <w:t>, la grupa de conturi 311 (pentru perioada 2018 – 2020):</w:t>
      </w:r>
      <w:r w:rsidRPr="00933D52">
        <w:rPr>
          <w:rFonts w:asciiTheme="majorHAnsi" w:hAnsiTheme="majorHAnsi" w:cstheme="majorHAnsi"/>
          <w:b/>
          <w:sz w:val="16"/>
          <w:szCs w:val="16"/>
          <w:lang w:val="ro-RO"/>
        </w:rPr>
        <w:t xml:space="preserve"> </w:t>
      </w:r>
      <w:r w:rsidRPr="00933D52">
        <w:rPr>
          <w:rFonts w:asciiTheme="majorHAnsi" w:hAnsiTheme="majorHAnsi" w:cstheme="majorHAnsi"/>
          <w:sz w:val="16"/>
          <w:szCs w:val="16"/>
          <w:lang w:val="ro-RO"/>
        </w:rPr>
        <w:t>5</w:t>
      </w:r>
      <w:r>
        <w:rPr>
          <w:rFonts w:asciiTheme="majorHAnsi" w:hAnsiTheme="majorHAnsi" w:cstheme="majorHAnsi"/>
          <w:sz w:val="16"/>
          <w:szCs w:val="16"/>
          <w:lang w:val="ro-RO"/>
        </w:rPr>
        <w:t>.</w:t>
      </w:r>
      <w:r w:rsidRPr="00933D52">
        <w:rPr>
          <w:rFonts w:asciiTheme="majorHAnsi" w:hAnsiTheme="majorHAnsi" w:cstheme="majorHAnsi"/>
          <w:sz w:val="16"/>
          <w:szCs w:val="16"/>
          <w:lang w:val="ro-RO"/>
        </w:rPr>
        <w:t>421,55 lei</w:t>
      </w:r>
      <w:r w:rsidRPr="00933D52">
        <w:rPr>
          <w:rFonts w:asciiTheme="majorHAnsi" w:hAnsiTheme="majorHAnsi" w:cstheme="majorHAnsi"/>
          <w:b/>
          <w:sz w:val="16"/>
          <w:szCs w:val="16"/>
          <w:lang w:val="ro-RO"/>
        </w:rPr>
        <w:t xml:space="preserve"> - </w:t>
      </w:r>
      <w:r w:rsidRPr="00933D52">
        <w:rPr>
          <w:rFonts w:asciiTheme="majorHAnsi" w:hAnsiTheme="majorHAnsi" w:cstheme="majorHAnsi"/>
          <w:sz w:val="16"/>
          <w:szCs w:val="16"/>
          <w:lang w:val="ro-RO"/>
        </w:rPr>
        <w:t xml:space="preserve">Documentația de proiect și deviz utilizată la reparația capitală a acoperișurilor - </w:t>
      </w:r>
      <w:r>
        <w:rPr>
          <w:rFonts w:asciiTheme="majorHAnsi" w:hAnsiTheme="majorHAnsi" w:cstheme="majorHAnsi"/>
          <w:sz w:val="16"/>
          <w:szCs w:val="16"/>
          <w:lang w:val="ro-RO"/>
        </w:rPr>
        <w:t>G</w:t>
      </w:r>
      <w:r w:rsidRPr="00933D52">
        <w:rPr>
          <w:rFonts w:asciiTheme="majorHAnsi" w:hAnsiTheme="majorHAnsi" w:cstheme="majorHAnsi"/>
          <w:sz w:val="16"/>
          <w:szCs w:val="16"/>
          <w:lang w:val="ro-RO"/>
        </w:rPr>
        <w:t xml:space="preserve">imnaziul nr.7 – lucrările executate în anul 2019 (sala de sport); </w:t>
      </w:r>
      <w:r>
        <w:rPr>
          <w:rFonts w:asciiTheme="majorHAnsi" w:hAnsiTheme="majorHAnsi" w:cstheme="majorHAnsi"/>
          <w:sz w:val="16"/>
          <w:szCs w:val="16"/>
          <w:lang w:val="ro-RO"/>
        </w:rPr>
        <w:t>G</w:t>
      </w:r>
      <w:r w:rsidRPr="00933D52">
        <w:rPr>
          <w:rFonts w:asciiTheme="majorHAnsi" w:hAnsiTheme="majorHAnsi" w:cstheme="majorHAnsi"/>
          <w:sz w:val="16"/>
          <w:szCs w:val="16"/>
          <w:lang w:val="ro-RO"/>
        </w:rPr>
        <w:t>imnaziul nr.6 – lucrările executate în anul 2017 (blocul de studii).</w:t>
      </w:r>
    </w:p>
  </w:footnote>
  <w:footnote w:id="25">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Conform reglementărilor din Planul de conturi contabile - „</w:t>
      </w:r>
      <w:r w:rsidRPr="00933D52">
        <w:rPr>
          <w:rFonts w:asciiTheme="majorHAnsi" w:hAnsiTheme="majorHAnsi" w:cstheme="majorHAnsi"/>
          <w:bCs/>
          <w:iCs/>
          <w:sz w:val="16"/>
          <w:szCs w:val="16"/>
          <w:lang w:val="ro-RO"/>
        </w:rPr>
        <w:t>Conturile din subclasa 25 „Subvenții”</w:t>
      </w:r>
      <w:r w:rsidRPr="00933D52">
        <w:rPr>
          <w:rFonts w:asciiTheme="majorHAnsi" w:hAnsiTheme="majorHAnsi" w:cstheme="majorHAnsi"/>
          <w:b/>
          <w:bCs/>
          <w:iCs/>
          <w:sz w:val="16"/>
          <w:szCs w:val="16"/>
          <w:lang w:val="ro-RO"/>
        </w:rPr>
        <w:t xml:space="preserve"> </w:t>
      </w:r>
      <w:r w:rsidRPr="00933D52">
        <w:rPr>
          <w:rFonts w:asciiTheme="majorHAnsi" w:hAnsiTheme="majorHAnsi" w:cstheme="majorHAnsi"/>
          <w:bCs/>
          <w:iCs/>
          <w:sz w:val="16"/>
          <w:szCs w:val="16"/>
          <w:lang w:val="ro-RO"/>
        </w:rPr>
        <w:t>reprezintă plăti achitate entităților producătoare sau prestatoare de servicii, cu scopul de a influen</w:t>
      </w:r>
      <w:r>
        <w:rPr>
          <w:rFonts w:asciiTheme="majorHAnsi" w:hAnsiTheme="majorHAnsi" w:cstheme="majorHAnsi"/>
          <w:bCs/>
          <w:iCs/>
          <w:sz w:val="16"/>
          <w:szCs w:val="16"/>
          <w:lang w:val="ro-RO"/>
        </w:rPr>
        <w:t>ț</w:t>
      </w:r>
      <w:r w:rsidRPr="00933D52">
        <w:rPr>
          <w:rFonts w:asciiTheme="majorHAnsi" w:hAnsiTheme="majorHAnsi" w:cstheme="majorHAnsi"/>
          <w:bCs/>
          <w:iCs/>
          <w:sz w:val="16"/>
          <w:szCs w:val="16"/>
          <w:lang w:val="ro-RO"/>
        </w:rPr>
        <w:t>a procesul de producere sau prețurile de livrare. Subvențiile includ transferurile pentru compensarea pierderilor suportate în procesul de producție sau prestare a serviciilor ca rezultat al menținerii prețurilor la un nivel mai jos de costuri atunci când politicile economice și sociale au fost stabilite de stat, pentru compensarea parțială a contribuțiilor de asigurări sociale de stat obligatorii, pentru procurarea utilajului și materiei prime, pentru compensarea diferenței de preț sau tarif la servicii producătorilor sau prestatorilor de servicii, efectuată în folosul tuturor cetățenilor”.</w:t>
      </w:r>
    </w:p>
  </w:footnote>
  <w:footnote w:id="26">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Destinația</w:t>
      </w:r>
      <w:r w:rsidRPr="00933D52">
        <w:rPr>
          <w:rFonts w:asciiTheme="majorHAnsi" w:hAnsiTheme="majorHAnsi" w:cstheme="majorHAnsi"/>
          <w:bCs/>
          <w:iCs/>
          <w:sz w:val="16"/>
          <w:szCs w:val="16"/>
          <w:lang w:val="ro-RO"/>
        </w:rPr>
        <w:t>: acoperire a pierderilor de producție</w:t>
      </w:r>
      <w:r w:rsidRPr="00933D52">
        <w:rPr>
          <w:rFonts w:asciiTheme="majorHAnsi" w:hAnsiTheme="majorHAnsi" w:cstheme="majorHAnsi"/>
          <w:sz w:val="16"/>
          <w:szCs w:val="16"/>
          <w:lang w:val="ro-RO"/>
        </w:rPr>
        <w:t xml:space="preserve"> din activitatea efectuată în cadrul restricțiilor impuse pentru combaterea efectelor pandemiei de COVID-19: salarizarea angajaților; contribuții de asigurări sociale și medicale; achitarea serviciilor comunale. Î.M. „Aprovizionare” – 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055</w:t>
      </w:r>
      <w:r>
        <w:rPr>
          <w:rFonts w:asciiTheme="majorHAnsi" w:hAnsiTheme="majorHAnsi" w:cstheme="majorHAnsi"/>
          <w:sz w:val="16"/>
          <w:szCs w:val="16"/>
          <w:lang w:val="ro-RO"/>
        </w:rPr>
        <w:t>.</w:t>
      </w:r>
      <w:r w:rsidRPr="00933D52">
        <w:rPr>
          <w:rFonts w:asciiTheme="majorHAnsi" w:hAnsiTheme="majorHAnsi" w:cstheme="majorHAnsi"/>
          <w:sz w:val="16"/>
          <w:szCs w:val="16"/>
          <w:lang w:val="ro-RO"/>
        </w:rPr>
        <w:t>500,00 lei; Î.M. „Hotelul Bălți” – 321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600,00 lei; Î.M. „Asociația piețelor din Bălți” – 2</w:t>
      </w:r>
      <w:r>
        <w:rPr>
          <w:rFonts w:asciiTheme="majorHAnsi" w:hAnsiTheme="majorHAnsi" w:cstheme="majorHAnsi"/>
          <w:sz w:val="16"/>
          <w:szCs w:val="16"/>
          <w:lang w:val="ro-RO"/>
        </w:rPr>
        <w:t>.</w:t>
      </w:r>
      <w:r w:rsidRPr="00933D52">
        <w:rPr>
          <w:rFonts w:asciiTheme="majorHAnsi" w:hAnsiTheme="majorHAnsi" w:cstheme="majorHAnsi"/>
          <w:sz w:val="16"/>
          <w:szCs w:val="16"/>
          <w:lang w:val="ro-RO"/>
        </w:rPr>
        <w:t>014</w:t>
      </w:r>
      <w:r>
        <w:rPr>
          <w:rFonts w:asciiTheme="majorHAnsi" w:hAnsiTheme="majorHAnsi" w:cstheme="majorHAnsi"/>
          <w:sz w:val="16"/>
          <w:szCs w:val="16"/>
          <w:lang w:val="ro-RO"/>
        </w:rPr>
        <w:t>.</w:t>
      </w:r>
      <w:r w:rsidRPr="00933D52">
        <w:rPr>
          <w:rFonts w:asciiTheme="majorHAnsi" w:hAnsiTheme="majorHAnsi" w:cstheme="majorHAnsi"/>
          <w:sz w:val="16"/>
          <w:szCs w:val="16"/>
          <w:lang w:val="ro-RO"/>
        </w:rPr>
        <w:t>200,00 lei; Î.M. „Centrul de studiere a limbilor” – 48</w:t>
      </w:r>
      <w:r>
        <w:rPr>
          <w:rFonts w:asciiTheme="majorHAnsi" w:hAnsiTheme="majorHAnsi" w:cstheme="majorHAnsi"/>
          <w:sz w:val="16"/>
          <w:szCs w:val="16"/>
          <w:lang w:val="ro-RO"/>
        </w:rPr>
        <w:t>.</w:t>
      </w:r>
      <w:r w:rsidRPr="00933D52">
        <w:rPr>
          <w:rFonts w:asciiTheme="majorHAnsi" w:hAnsiTheme="majorHAnsi" w:cstheme="majorHAnsi"/>
          <w:sz w:val="16"/>
          <w:szCs w:val="16"/>
          <w:lang w:val="ro-RO"/>
        </w:rPr>
        <w:t>900,00 mii lei.</w:t>
      </w:r>
    </w:p>
  </w:footnote>
  <w:footnote w:id="27">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În contextul reglementărilor pct.3.4.18. din Planul de conturi contabile.</w:t>
      </w:r>
    </w:p>
  </w:footnote>
  <w:footnote w:id="28">
    <w:p w:rsidR="00585BDF" w:rsidRPr="00933D52" w:rsidRDefault="00585BDF" w:rsidP="0001411B">
      <w:pPr>
        <w:pStyle w:val="FootnoteText"/>
        <w:jc w:val="both"/>
        <w:rPr>
          <w:rFonts w:asciiTheme="majorHAnsi" w:hAnsiTheme="majorHAnsi" w:cstheme="majorHAnsi"/>
          <w:bCs/>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Pct.3.4.18. din </w:t>
      </w:r>
      <w:r w:rsidRPr="00933D52">
        <w:rPr>
          <w:rFonts w:asciiTheme="majorHAnsi" w:hAnsiTheme="majorHAnsi" w:cstheme="majorHAnsi"/>
          <w:bCs/>
          <w:sz w:val="16"/>
          <w:szCs w:val="16"/>
          <w:lang w:val="ro-RO"/>
        </w:rPr>
        <w:t>Planul de conturi contabile - „Evidența analitică se ține pe tipuri și clase de investiții, pe emitenți sau pe întreprinderi în care au fost investite mijloace, pe termenele de stingere – în registrul f.nr.10”.</w:t>
      </w:r>
    </w:p>
  </w:footnote>
  <w:footnote w:id="29">
    <w:p w:rsidR="00585BDF" w:rsidRPr="00933D52" w:rsidRDefault="00585BDF" w:rsidP="004F6882">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Pentru asigurarea cunoașterii corecte din punct de vedere cantitativ și valoric a soldului aflat în gestiunea unității patrimoniale.</w:t>
      </w:r>
    </w:p>
  </w:footnote>
  <w:footnote w:id="30">
    <w:p w:rsidR="00585BDF" w:rsidRPr="00933D52" w:rsidRDefault="00585BDF" w:rsidP="00952DC2">
      <w:pPr>
        <w:pStyle w:val="FootnoteText"/>
        <w:jc w:val="both"/>
        <w:rPr>
          <w:rFonts w:asciiTheme="majorHAnsi" w:hAnsiTheme="majorHAnsi" w:cstheme="majorHAnsi"/>
          <w:bCs/>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w:t>
      </w:r>
      <w:r w:rsidRPr="00933D52">
        <w:rPr>
          <w:rFonts w:asciiTheme="majorHAnsi" w:hAnsiTheme="majorHAnsi" w:cstheme="majorHAnsi"/>
          <w:bCs/>
          <w:sz w:val="16"/>
          <w:szCs w:val="16"/>
          <w:lang w:val="ro-RO"/>
        </w:rPr>
        <w:t xml:space="preserve">Registrul de evidență a conturilor curente și a decontărilor, care include înregistrarea următoarelor date: denumirea contului; data operațiunii; numărul notei contabile; conținutul operațiunii economice; rulajul și soldul debitor și creditor al operațiunilor înregistrate. </w:t>
      </w:r>
    </w:p>
  </w:footnote>
  <w:footnote w:id="31">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Conform reglementărilor pct.3.3.4. – 3.3.34. din Planul de conturi contabile.</w:t>
      </w:r>
    </w:p>
  </w:footnote>
  <w:footnote w:id="32">
    <w:p w:rsidR="00585BDF" w:rsidRPr="00933D52" w:rsidRDefault="00585BDF" w:rsidP="00AA35B7">
      <w:pPr>
        <w:spacing w:after="0" w:line="240" w:lineRule="auto"/>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Contabilitatea CAP</w:t>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2</w:t>
      </w:r>
      <w:r>
        <w:rPr>
          <w:rFonts w:asciiTheme="majorHAnsi" w:hAnsiTheme="majorHAnsi" w:cstheme="majorHAnsi"/>
          <w:b/>
          <w:sz w:val="16"/>
          <w:szCs w:val="16"/>
          <w:lang w:val="ro-RO"/>
        </w:rPr>
        <w:t>.</w:t>
      </w:r>
      <w:r w:rsidRPr="00933D52">
        <w:rPr>
          <w:rFonts w:asciiTheme="majorHAnsi" w:hAnsiTheme="majorHAnsi" w:cstheme="majorHAnsi"/>
          <w:b/>
          <w:sz w:val="16"/>
          <w:szCs w:val="16"/>
          <w:lang w:val="ro-RO"/>
        </w:rPr>
        <w:t>516</w:t>
      </w:r>
      <w:r>
        <w:rPr>
          <w:rFonts w:asciiTheme="majorHAnsi" w:hAnsiTheme="majorHAnsi" w:cstheme="majorHAnsi"/>
          <w:b/>
          <w:sz w:val="16"/>
          <w:szCs w:val="16"/>
          <w:lang w:val="ro-RO"/>
        </w:rPr>
        <w:t>.</w:t>
      </w:r>
      <w:r w:rsidRPr="00933D52">
        <w:rPr>
          <w:rFonts w:asciiTheme="majorHAnsi" w:hAnsiTheme="majorHAnsi" w:cstheme="majorHAnsi"/>
          <w:b/>
          <w:sz w:val="16"/>
          <w:szCs w:val="16"/>
          <w:lang w:val="ro-RO"/>
        </w:rPr>
        <w:t>366,04 lei</w:t>
      </w:r>
      <w:r w:rsidRPr="00933D52">
        <w:rPr>
          <w:rFonts w:asciiTheme="majorHAnsi" w:hAnsiTheme="majorHAnsi" w:cstheme="majorHAnsi"/>
          <w:sz w:val="16"/>
          <w:szCs w:val="16"/>
          <w:lang w:val="ro-RO"/>
        </w:rPr>
        <w:t xml:space="preserve">): </w:t>
      </w:r>
      <w:r w:rsidRPr="00933D52">
        <w:rPr>
          <w:rFonts w:asciiTheme="majorHAnsi" w:eastAsia="Times New Roman" w:hAnsiTheme="majorHAnsi" w:cstheme="majorHAnsi"/>
          <w:bCs/>
          <w:sz w:val="16"/>
          <w:szCs w:val="16"/>
          <w:lang w:val="ro-RO" w:eastAsia="ru-RU"/>
        </w:rPr>
        <w:t>soldul grupei de conturi</w:t>
      </w:r>
      <w:r w:rsidRPr="00933D52">
        <w:rPr>
          <w:rFonts w:asciiTheme="majorHAnsi" w:hAnsiTheme="majorHAnsi" w:cstheme="majorHAnsi"/>
          <w:sz w:val="16"/>
          <w:szCs w:val="16"/>
          <w:lang w:val="ro-RO"/>
        </w:rPr>
        <w:t xml:space="preserve"> 313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Instalații de transmisie” - subevaluat cu 2</w:t>
      </w:r>
      <w:r>
        <w:rPr>
          <w:rFonts w:asciiTheme="majorHAnsi" w:hAnsiTheme="majorHAnsi" w:cstheme="majorHAnsi"/>
          <w:sz w:val="16"/>
          <w:szCs w:val="16"/>
          <w:lang w:val="ro-RO"/>
        </w:rPr>
        <w:t>.</w:t>
      </w:r>
      <w:r w:rsidRPr="00933D52">
        <w:rPr>
          <w:rFonts w:asciiTheme="majorHAnsi" w:hAnsiTheme="majorHAnsi" w:cstheme="majorHAnsi"/>
          <w:sz w:val="16"/>
          <w:szCs w:val="16"/>
          <w:lang w:val="ro-RO"/>
        </w:rPr>
        <w:t>399</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389,12 lei; soldul grupei de conturi 316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Unelte și scule, inventar de producere și gospodăresc” - subevaluat cu 87</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253,95 lei; soldul grupei de conturi 319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Investiții capitale în curs de execuție” - subevaluat cu 29</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722,97 lei; soldul grupei de conturi 312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Construcții speciale” - supraevaluat cu 2</w:t>
      </w:r>
      <w:r>
        <w:rPr>
          <w:rFonts w:asciiTheme="majorHAnsi" w:hAnsiTheme="majorHAnsi" w:cstheme="majorHAnsi"/>
          <w:sz w:val="16"/>
          <w:szCs w:val="16"/>
          <w:lang w:val="ro-RO"/>
        </w:rPr>
        <w:t>.</w:t>
      </w:r>
      <w:r w:rsidRPr="00933D52">
        <w:rPr>
          <w:rFonts w:asciiTheme="majorHAnsi" w:hAnsiTheme="majorHAnsi" w:cstheme="majorHAnsi"/>
          <w:sz w:val="16"/>
          <w:szCs w:val="16"/>
          <w:lang w:val="ro-RO"/>
        </w:rPr>
        <w:t>485</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365,69 lei; soldul grupei de conturi 314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Mașini și utilaje” - supraevaluat cu 28</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150,35 lei; soldul grupei de conturi 318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Alte mijloace fixe” - supraevaluat cu 2</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850,00 lei. </w:t>
      </w:r>
      <w:r w:rsidRPr="00933D52">
        <w:rPr>
          <w:rFonts w:asciiTheme="majorHAnsi" w:hAnsiTheme="majorHAnsi" w:cstheme="majorHAnsi"/>
          <w:b/>
          <w:sz w:val="16"/>
          <w:szCs w:val="16"/>
          <w:lang w:val="ro-RO"/>
        </w:rPr>
        <w:t>Contabilitatea DÎTS</w:t>
      </w:r>
      <w:r w:rsidRPr="00933D52">
        <w:rPr>
          <w:rFonts w:asciiTheme="majorHAnsi" w:hAnsiTheme="majorHAnsi" w:cstheme="majorHAnsi"/>
          <w:i/>
          <w:sz w:val="16"/>
          <w:szCs w:val="16"/>
          <w:lang w:val="ro-RO"/>
        </w:rPr>
        <w:t xml:space="preserve"> </w:t>
      </w:r>
      <w:r w:rsidRPr="00933D52">
        <w:rPr>
          <w:rFonts w:asciiTheme="majorHAnsi" w:hAnsiTheme="majorHAnsi" w:cstheme="majorHAnsi"/>
          <w:sz w:val="16"/>
          <w:szCs w:val="16"/>
          <w:lang w:val="ro-RO"/>
        </w:rPr>
        <w:t>(</w:t>
      </w:r>
      <w:r w:rsidRPr="00933D52">
        <w:rPr>
          <w:rFonts w:asciiTheme="majorHAnsi" w:hAnsiTheme="majorHAnsi" w:cstheme="majorHAnsi"/>
          <w:b/>
          <w:sz w:val="16"/>
          <w:szCs w:val="16"/>
          <w:lang w:val="ro-RO"/>
        </w:rPr>
        <w:t>861</w:t>
      </w:r>
      <w:r>
        <w:rPr>
          <w:rFonts w:asciiTheme="majorHAnsi" w:hAnsiTheme="majorHAnsi" w:cstheme="majorHAnsi"/>
          <w:b/>
          <w:sz w:val="16"/>
          <w:szCs w:val="16"/>
          <w:lang w:val="ro-RO"/>
        </w:rPr>
        <w:t>.</w:t>
      </w:r>
      <w:r w:rsidRPr="00933D52">
        <w:rPr>
          <w:rFonts w:asciiTheme="majorHAnsi" w:hAnsiTheme="majorHAnsi" w:cstheme="majorHAnsi"/>
          <w:b/>
          <w:sz w:val="16"/>
          <w:szCs w:val="16"/>
          <w:lang w:val="ro-RO"/>
        </w:rPr>
        <w:t>455,33 lei</w:t>
      </w:r>
      <w:r w:rsidRPr="00933D52">
        <w:rPr>
          <w:rFonts w:asciiTheme="majorHAnsi" w:hAnsiTheme="majorHAnsi" w:cstheme="majorHAnsi"/>
          <w:sz w:val="16"/>
          <w:szCs w:val="16"/>
          <w:lang w:val="ro-RO"/>
        </w:rPr>
        <w:t xml:space="preserve">): soldul grupei de conturi 312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Construcții speciale” - subevaluat cu 8</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267,00 lei; soldul grupei de conturi 314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Mașini și utilaje” - subevaluat cu 351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878,63 lei; soldul grupei de conturi 316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Unelte și scule, inventar de producere și gospodăresc” - subevaluat cu 131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005,00 lei; soldul grupei de conturi 318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Alte mijloace fixe” - subevaluat cu 370</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304,70 lei; soldul grupei de conturi 312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Construcții speciale” - supraevaluat cu 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560,00 lei; soldul grupei de conturi 314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Mașini și utilaje” - supraevaluat cu 500</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571,65 lei; soldul grupei de conturi 316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Unelte și scule, inventar de producere și gospodăresc” - supraevaluat cu 359</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323,68 lei. </w:t>
      </w:r>
      <w:r w:rsidRPr="00933D52">
        <w:rPr>
          <w:rFonts w:asciiTheme="majorHAnsi" w:hAnsiTheme="majorHAnsi" w:cstheme="majorHAnsi"/>
          <w:b/>
          <w:sz w:val="16"/>
          <w:szCs w:val="16"/>
          <w:lang w:val="ro-RO"/>
        </w:rPr>
        <w:t>Contabilitatea DC</w:t>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72</w:t>
      </w:r>
      <w:r>
        <w:rPr>
          <w:rFonts w:asciiTheme="majorHAnsi" w:hAnsiTheme="majorHAnsi" w:cstheme="majorHAnsi"/>
          <w:b/>
          <w:sz w:val="16"/>
          <w:szCs w:val="16"/>
          <w:lang w:val="ro-RO"/>
        </w:rPr>
        <w:t>.</w:t>
      </w:r>
      <w:r w:rsidRPr="00933D52">
        <w:rPr>
          <w:rFonts w:asciiTheme="majorHAnsi" w:hAnsiTheme="majorHAnsi" w:cstheme="majorHAnsi"/>
          <w:b/>
          <w:sz w:val="16"/>
          <w:szCs w:val="16"/>
          <w:lang w:val="ro-RO"/>
        </w:rPr>
        <w:t>677,83 lei</w:t>
      </w:r>
      <w:r w:rsidRPr="00933D52">
        <w:rPr>
          <w:rFonts w:asciiTheme="majorHAnsi" w:hAnsiTheme="majorHAnsi" w:cstheme="majorHAnsi"/>
          <w:sz w:val="16"/>
          <w:szCs w:val="16"/>
          <w:lang w:val="ro-RO"/>
        </w:rPr>
        <w:t xml:space="preserve">): soldul grupei de conturi 314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Mașini și utilaje” - subevaluat cu 62</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511,14 lei; soldul grupei de conturi 316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Unelte și scule, inventar de producere și gospodăresc” - subevaluat cu 10</w:t>
      </w:r>
      <w:r>
        <w:rPr>
          <w:rFonts w:asciiTheme="majorHAnsi" w:hAnsiTheme="majorHAnsi" w:cstheme="majorHAnsi"/>
          <w:sz w:val="16"/>
          <w:szCs w:val="16"/>
          <w:lang w:val="ro-RO"/>
        </w:rPr>
        <w:t>.</w:t>
      </w:r>
      <w:r w:rsidRPr="00933D52">
        <w:rPr>
          <w:rFonts w:asciiTheme="majorHAnsi" w:hAnsiTheme="majorHAnsi" w:cstheme="majorHAnsi"/>
          <w:sz w:val="16"/>
          <w:szCs w:val="16"/>
          <w:lang w:val="ro-RO"/>
        </w:rPr>
        <w:t>166,69 lei; soldul grupei de conturi 314 Mașini și utilaje” - supraevaluat cu 10</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166,69 lei; soldul grupei de conturi 316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Unelte și scule, inventar de producere și gospodăresc” - supraevaluat cu 62</w:t>
      </w:r>
      <w:r>
        <w:rPr>
          <w:rFonts w:asciiTheme="majorHAnsi" w:hAnsiTheme="majorHAnsi" w:cstheme="majorHAnsi"/>
          <w:sz w:val="16"/>
          <w:szCs w:val="16"/>
          <w:lang w:val="ro-RO"/>
        </w:rPr>
        <w:t>.</w:t>
      </w:r>
      <w:r w:rsidRPr="00933D52">
        <w:rPr>
          <w:rFonts w:asciiTheme="majorHAnsi" w:hAnsiTheme="majorHAnsi" w:cstheme="majorHAnsi"/>
          <w:sz w:val="16"/>
          <w:szCs w:val="16"/>
          <w:lang w:val="ro-RO"/>
        </w:rPr>
        <w:t>511,14 lei.</w:t>
      </w:r>
    </w:p>
  </w:footnote>
  <w:footnote w:id="33">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Conform reglementărilor pct.3.3.101. – 3.3.131. din Planul de conturi contabile.</w:t>
      </w:r>
    </w:p>
  </w:footnote>
  <w:footnote w:id="34">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Contabilitatea CAP</w:t>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1548092,09 lei</w:t>
      </w:r>
      <w:r w:rsidRPr="00933D52">
        <w:rPr>
          <w:rFonts w:asciiTheme="majorHAnsi" w:hAnsiTheme="majorHAnsi" w:cstheme="majorHAnsi"/>
          <w:sz w:val="16"/>
          <w:szCs w:val="16"/>
          <w:lang w:val="ro-RO"/>
        </w:rPr>
        <w:t>): 337 „Materiale de construcție” - subevaluat cu 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466</w:t>
      </w:r>
      <w:r>
        <w:rPr>
          <w:rFonts w:asciiTheme="majorHAnsi" w:hAnsiTheme="majorHAnsi" w:cstheme="majorHAnsi"/>
          <w:sz w:val="16"/>
          <w:szCs w:val="16"/>
          <w:lang w:val="ro-RO"/>
        </w:rPr>
        <w:t>.</w:t>
      </w:r>
      <w:r w:rsidRPr="00933D52">
        <w:rPr>
          <w:rFonts w:asciiTheme="majorHAnsi" w:hAnsiTheme="majorHAnsi" w:cstheme="majorHAnsi"/>
          <w:sz w:val="16"/>
          <w:szCs w:val="16"/>
          <w:lang w:val="ro-RO"/>
        </w:rPr>
        <w:t>992,08 lei; 338 „Accesorii de pat, îmbrăcăminte, încălțăminte” - subevaluat cu 14</w:t>
      </w:r>
      <w:r>
        <w:rPr>
          <w:rFonts w:asciiTheme="majorHAnsi" w:hAnsiTheme="majorHAnsi" w:cstheme="majorHAnsi"/>
          <w:sz w:val="16"/>
          <w:szCs w:val="16"/>
          <w:lang w:val="ro-RO"/>
        </w:rPr>
        <w:t>.</w:t>
      </w:r>
      <w:r w:rsidRPr="00933D52">
        <w:rPr>
          <w:rFonts w:asciiTheme="majorHAnsi" w:hAnsiTheme="majorHAnsi" w:cstheme="majorHAnsi"/>
          <w:sz w:val="16"/>
          <w:szCs w:val="16"/>
          <w:lang w:val="ro-RO"/>
        </w:rPr>
        <w:t>250,00 lei; 339 „Alte materiale” - subevaluat cu 66</w:t>
      </w:r>
      <w:r>
        <w:rPr>
          <w:rFonts w:asciiTheme="majorHAnsi" w:hAnsiTheme="majorHAnsi" w:cstheme="majorHAnsi"/>
          <w:sz w:val="16"/>
          <w:szCs w:val="16"/>
          <w:lang w:val="ro-RO"/>
        </w:rPr>
        <w:t>.</w:t>
      </w:r>
      <w:r w:rsidRPr="00933D52">
        <w:rPr>
          <w:rFonts w:asciiTheme="majorHAnsi" w:hAnsiTheme="majorHAnsi" w:cstheme="majorHAnsi"/>
          <w:sz w:val="16"/>
          <w:szCs w:val="16"/>
          <w:lang w:val="ro-RO"/>
        </w:rPr>
        <w:t>850,01 lei; 336 „Materiale de uz gospodăresc și rechizite de birou” - supraevaluat cu 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548</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092,09 lei. </w:t>
      </w:r>
      <w:r w:rsidRPr="00933D52">
        <w:rPr>
          <w:rFonts w:asciiTheme="majorHAnsi" w:hAnsiTheme="majorHAnsi" w:cstheme="majorHAnsi"/>
          <w:b/>
          <w:sz w:val="16"/>
          <w:szCs w:val="16"/>
          <w:lang w:val="ro-RO"/>
        </w:rPr>
        <w:t>Contabilitatea DÎTS</w:t>
      </w:r>
      <w:r w:rsidRPr="00933D52">
        <w:rPr>
          <w:rFonts w:asciiTheme="majorHAnsi" w:hAnsiTheme="majorHAnsi" w:cstheme="majorHAnsi"/>
          <w:i/>
          <w:sz w:val="16"/>
          <w:szCs w:val="16"/>
          <w:lang w:val="ro-RO"/>
        </w:rPr>
        <w:t xml:space="preserve"> </w:t>
      </w:r>
      <w:r w:rsidRPr="00933D52">
        <w:rPr>
          <w:rFonts w:asciiTheme="majorHAnsi" w:hAnsiTheme="majorHAnsi" w:cstheme="majorHAnsi"/>
          <w:sz w:val="16"/>
          <w:szCs w:val="16"/>
          <w:lang w:val="ro-RO"/>
        </w:rPr>
        <w:t>(</w:t>
      </w:r>
      <w:r w:rsidRPr="00933D52">
        <w:rPr>
          <w:rFonts w:asciiTheme="majorHAnsi" w:hAnsiTheme="majorHAnsi" w:cstheme="majorHAnsi"/>
          <w:b/>
          <w:sz w:val="16"/>
          <w:szCs w:val="16"/>
          <w:lang w:val="ro-RO"/>
        </w:rPr>
        <w:t>661</w:t>
      </w:r>
      <w:r>
        <w:rPr>
          <w:rFonts w:asciiTheme="majorHAnsi" w:hAnsiTheme="majorHAnsi" w:cstheme="majorHAnsi"/>
          <w:b/>
          <w:sz w:val="16"/>
          <w:szCs w:val="16"/>
          <w:lang w:val="ro-RO"/>
        </w:rPr>
        <w:t>.</w:t>
      </w:r>
      <w:r w:rsidRPr="00933D52">
        <w:rPr>
          <w:rFonts w:asciiTheme="majorHAnsi" w:hAnsiTheme="majorHAnsi" w:cstheme="majorHAnsi"/>
          <w:b/>
          <w:sz w:val="16"/>
          <w:szCs w:val="16"/>
          <w:lang w:val="ro-RO"/>
        </w:rPr>
        <w:t>647,93 lei</w:t>
      </w:r>
      <w:r w:rsidRPr="00933D52">
        <w:rPr>
          <w:rFonts w:asciiTheme="majorHAnsi" w:hAnsiTheme="majorHAnsi" w:cstheme="majorHAnsi"/>
          <w:sz w:val="16"/>
          <w:szCs w:val="16"/>
          <w:lang w:val="ro-RO"/>
        </w:rPr>
        <w:t>): 322 „Piese de schimb” - subevaluat cu 45</w:t>
      </w:r>
      <w:r>
        <w:rPr>
          <w:rFonts w:asciiTheme="majorHAnsi" w:hAnsiTheme="majorHAnsi" w:cstheme="majorHAnsi"/>
          <w:sz w:val="16"/>
          <w:szCs w:val="16"/>
          <w:lang w:val="ro-RO"/>
        </w:rPr>
        <w:t>.</w:t>
      </w:r>
      <w:r w:rsidRPr="00933D52">
        <w:rPr>
          <w:rFonts w:asciiTheme="majorHAnsi" w:hAnsiTheme="majorHAnsi" w:cstheme="majorHAnsi"/>
          <w:sz w:val="16"/>
          <w:szCs w:val="16"/>
          <w:lang w:val="ro-RO"/>
        </w:rPr>
        <w:t>022,84 lei; 337 „Materiale de construcție” - subevaluat cu 558</w:t>
      </w:r>
      <w:r>
        <w:rPr>
          <w:rFonts w:asciiTheme="majorHAnsi" w:hAnsiTheme="majorHAnsi" w:cstheme="majorHAnsi"/>
          <w:sz w:val="16"/>
          <w:szCs w:val="16"/>
          <w:lang w:val="ro-RO"/>
        </w:rPr>
        <w:t>.</w:t>
      </w:r>
      <w:r w:rsidRPr="00933D52">
        <w:rPr>
          <w:rFonts w:asciiTheme="majorHAnsi" w:hAnsiTheme="majorHAnsi" w:cstheme="majorHAnsi"/>
          <w:sz w:val="16"/>
          <w:szCs w:val="16"/>
          <w:lang w:val="ro-RO"/>
        </w:rPr>
        <w:t>887,80 lei; 338 „Accesorii de pat, îmbrăcăminte, încălțăminte” - subevaluat cu 5</w:t>
      </w:r>
      <w:r>
        <w:rPr>
          <w:rFonts w:asciiTheme="majorHAnsi" w:hAnsiTheme="majorHAnsi" w:cstheme="majorHAnsi"/>
          <w:sz w:val="16"/>
          <w:szCs w:val="16"/>
          <w:lang w:val="ro-RO"/>
        </w:rPr>
        <w:t>.</w:t>
      </w:r>
      <w:r w:rsidRPr="00933D52">
        <w:rPr>
          <w:rFonts w:asciiTheme="majorHAnsi" w:hAnsiTheme="majorHAnsi" w:cstheme="majorHAnsi"/>
          <w:sz w:val="16"/>
          <w:szCs w:val="16"/>
          <w:lang w:val="ro-RO"/>
        </w:rPr>
        <w:t>086,58 lei; 339 „Alte materiale” - subevaluat cu 52</w:t>
      </w:r>
      <w:r>
        <w:rPr>
          <w:rFonts w:asciiTheme="majorHAnsi" w:hAnsiTheme="majorHAnsi" w:cstheme="majorHAnsi"/>
          <w:sz w:val="16"/>
          <w:szCs w:val="16"/>
          <w:lang w:val="ro-RO"/>
        </w:rPr>
        <w:t>.</w:t>
      </w:r>
      <w:r w:rsidRPr="00933D52">
        <w:rPr>
          <w:rFonts w:asciiTheme="majorHAnsi" w:hAnsiTheme="majorHAnsi" w:cstheme="majorHAnsi"/>
          <w:sz w:val="16"/>
          <w:szCs w:val="16"/>
          <w:lang w:val="ro-RO"/>
        </w:rPr>
        <w:t>650,71 lei; 334 „Medicamente și materiale sanitare” - supraevaluat cu 49</w:t>
      </w:r>
      <w:r>
        <w:rPr>
          <w:rFonts w:asciiTheme="majorHAnsi" w:hAnsiTheme="majorHAnsi" w:cstheme="majorHAnsi"/>
          <w:sz w:val="16"/>
          <w:szCs w:val="16"/>
          <w:lang w:val="ro-RO"/>
        </w:rPr>
        <w:t>.</w:t>
      </w:r>
      <w:r w:rsidRPr="00933D52">
        <w:rPr>
          <w:rFonts w:asciiTheme="majorHAnsi" w:hAnsiTheme="majorHAnsi" w:cstheme="majorHAnsi"/>
          <w:sz w:val="16"/>
          <w:szCs w:val="16"/>
          <w:lang w:val="ro-RO"/>
        </w:rPr>
        <w:t>940,79 lei; 336 „Materiale de uz gospodăresc și rechizite de birou” - supraevaluat cu 608</w:t>
      </w:r>
      <w:r>
        <w:rPr>
          <w:rFonts w:asciiTheme="majorHAnsi" w:hAnsiTheme="majorHAnsi" w:cstheme="majorHAnsi"/>
          <w:sz w:val="16"/>
          <w:szCs w:val="16"/>
          <w:lang w:val="ro-RO"/>
        </w:rPr>
        <w:t>.</w:t>
      </w:r>
      <w:r w:rsidRPr="00933D52">
        <w:rPr>
          <w:rFonts w:asciiTheme="majorHAnsi" w:hAnsiTheme="majorHAnsi" w:cstheme="majorHAnsi"/>
          <w:sz w:val="16"/>
          <w:szCs w:val="16"/>
          <w:lang w:val="ro-RO"/>
        </w:rPr>
        <w:t>160,56 lei; 339 „Alte materiale” - supraevaluat cu 3</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546,58 lei. </w:t>
      </w:r>
      <w:r w:rsidRPr="00933D52">
        <w:rPr>
          <w:rFonts w:asciiTheme="majorHAnsi" w:hAnsiTheme="majorHAnsi" w:cstheme="majorHAnsi"/>
          <w:b/>
          <w:sz w:val="16"/>
          <w:szCs w:val="16"/>
          <w:lang w:val="ro-RO"/>
        </w:rPr>
        <w:t>Contabilitatea DC</w:t>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22</w:t>
      </w:r>
      <w:r>
        <w:rPr>
          <w:rFonts w:asciiTheme="majorHAnsi" w:hAnsiTheme="majorHAnsi" w:cstheme="majorHAnsi"/>
          <w:b/>
          <w:sz w:val="16"/>
          <w:szCs w:val="16"/>
          <w:lang w:val="ro-RO"/>
        </w:rPr>
        <w:t>.</w:t>
      </w:r>
      <w:r w:rsidRPr="00933D52">
        <w:rPr>
          <w:rFonts w:asciiTheme="majorHAnsi" w:hAnsiTheme="majorHAnsi" w:cstheme="majorHAnsi"/>
          <w:b/>
          <w:sz w:val="16"/>
          <w:szCs w:val="16"/>
          <w:lang w:val="ro-RO"/>
        </w:rPr>
        <w:t>832,88 lei</w:t>
      </w:r>
      <w:r w:rsidRPr="00933D52">
        <w:rPr>
          <w:rFonts w:asciiTheme="majorHAnsi" w:hAnsiTheme="majorHAnsi" w:cstheme="majorHAnsi"/>
          <w:sz w:val="16"/>
          <w:szCs w:val="16"/>
          <w:lang w:val="ro-RO"/>
        </w:rPr>
        <w:t>): 322 „Piese de schimb” - subevaluat cu 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770,00 lei; 336 „Materiale de uz gospodăresc și rechizite de birou” - subevaluat cu 190,00 lei; 337 „Materiale de construcție” - subevaluat cu 18</w:t>
      </w:r>
      <w:r>
        <w:rPr>
          <w:rFonts w:asciiTheme="majorHAnsi" w:hAnsiTheme="majorHAnsi" w:cstheme="majorHAnsi"/>
          <w:sz w:val="16"/>
          <w:szCs w:val="16"/>
          <w:lang w:val="ro-RO"/>
        </w:rPr>
        <w:t>.</w:t>
      </w:r>
      <w:r w:rsidRPr="00933D52">
        <w:rPr>
          <w:rFonts w:asciiTheme="majorHAnsi" w:hAnsiTheme="majorHAnsi" w:cstheme="majorHAnsi"/>
          <w:sz w:val="16"/>
          <w:szCs w:val="16"/>
          <w:lang w:val="ro-RO"/>
        </w:rPr>
        <w:t>647,00 lei; 339 „Alte materiale” - subevaluat cu 2</w:t>
      </w:r>
      <w:r>
        <w:rPr>
          <w:rFonts w:asciiTheme="majorHAnsi" w:hAnsiTheme="majorHAnsi" w:cstheme="majorHAnsi"/>
          <w:sz w:val="16"/>
          <w:szCs w:val="16"/>
          <w:lang w:val="ro-RO"/>
        </w:rPr>
        <w:t>.</w:t>
      </w:r>
      <w:r w:rsidRPr="00933D52">
        <w:rPr>
          <w:rFonts w:asciiTheme="majorHAnsi" w:hAnsiTheme="majorHAnsi" w:cstheme="majorHAnsi"/>
          <w:sz w:val="16"/>
          <w:szCs w:val="16"/>
          <w:lang w:val="ro-RO"/>
        </w:rPr>
        <w:t>225,88 lei; 332 „Piese de schimb” - supraevaluat cu 190,00 lei; 336 „Materiale de uz gospodăresc și rechizite de birou” - supraevaluat cu 20</w:t>
      </w:r>
      <w:r>
        <w:rPr>
          <w:rFonts w:asciiTheme="majorHAnsi" w:hAnsiTheme="majorHAnsi" w:cstheme="majorHAnsi"/>
          <w:sz w:val="16"/>
          <w:szCs w:val="16"/>
          <w:lang w:val="ro-RO"/>
        </w:rPr>
        <w:t>.</w:t>
      </w:r>
      <w:r w:rsidRPr="00933D52">
        <w:rPr>
          <w:rFonts w:asciiTheme="majorHAnsi" w:hAnsiTheme="majorHAnsi" w:cstheme="majorHAnsi"/>
          <w:sz w:val="16"/>
          <w:szCs w:val="16"/>
          <w:lang w:val="ro-RO"/>
        </w:rPr>
        <w:t>842,88 lei; 339 „Alte materiale” - supraevaluat cu 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800,00 lei. </w:t>
      </w:r>
      <w:r w:rsidRPr="00933D52">
        <w:rPr>
          <w:rFonts w:asciiTheme="majorHAnsi" w:hAnsiTheme="majorHAnsi" w:cstheme="majorHAnsi"/>
          <w:b/>
          <w:sz w:val="16"/>
          <w:szCs w:val="16"/>
          <w:lang w:val="ro-RO"/>
        </w:rPr>
        <w:t>Contabilitatea DGASPF</w:t>
      </w:r>
      <w:r w:rsidRPr="00933D52">
        <w:rPr>
          <w:rFonts w:asciiTheme="majorHAnsi" w:hAnsiTheme="majorHAnsi" w:cstheme="majorHAnsi"/>
          <w:i/>
          <w:sz w:val="16"/>
          <w:szCs w:val="16"/>
          <w:lang w:val="ro-RO"/>
        </w:rPr>
        <w:t xml:space="preserve"> </w:t>
      </w:r>
      <w:r w:rsidRPr="00933D52">
        <w:rPr>
          <w:rFonts w:asciiTheme="majorHAnsi" w:hAnsiTheme="majorHAnsi" w:cstheme="majorHAnsi"/>
          <w:sz w:val="16"/>
          <w:szCs w:val="16"/>
          <w:lang w:val="ro-RO"/>
        </w:rPr>
        <w:t>(</w:t>
      </w:r>
      <w:r w:rsidRPr="00933D52">
        <w:rPr>
          <w:rFonts w:asciiTheme="majorHAnsi" w:hAnsiTheme="majorHAnsi" w:cstheme="majorHAnsi"/>
          <w:b/>
          <w:sz w:val="16"/>
          <w:szCs w:val="16"/>
          <w:lang w:val="ro-RO"/>
        </w:rPr>
        <w:t>1</w:t>
      </w:r>
      <w:r>
        <w:rPr>
          <w:rFonts w:asciiTheme="majorHAnsi" w:hAnsiTheme="majorHAnsi" w:cstheme="majorHAnsi"/>
          <w:b/>
          <w:sz w:val="16"/>
          <w:szCs w:val="16"/>
          <w:lang w:val="ro-RO"/>
        </w:rPr>
        <w:t>.</w:t>
      </w:r>
      <w:r w:rsidRPr="00933D52">
        <w:rPr>
          <w:rFonts w:asciiTheme="majorHAnsi" w:hAnsiTheme="majorHAnsi" w:cstheme="majorHAnsi"/>
          <w:b/>
          <w:sz w:val="16"/>
          <w:szCs w:val="16"/>
          <w:lang w:val="ro-RO"/>
        </w:rPr>
        <w:t>866,00 lei</w:t>
      </w:r>
      <w:r w:rsidRPr="00933D52">
        <w:rPr>
          <w:rFonts w:asciiTheme="majorHAnsi" w:hAnsiTheme="majorHAnsi" w:cstheme="majorHAnsi"/>
          <w:sz w:val="16"/>
          <w:szCs w:val="16"/>
          <w:lang w:val="ro-RO"/>
        </w:rPr>
        <w:t>): 337 „Materiale de construcție” - subevaluat cu 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866,00 lei; 336 „Materiale de uz gospodăresc și rechizite de birou” - supraevaluat cu 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866,00 lei. </w:t>
      </w:r>
      <w:r w:rsidRPr="00933D52">
        <w:rPr>
          <w:rFonts w:asciiTheme="majorHAnsi" w:hAnsiTheme="majorHAnsi" w:cstheme="majorHAnsi"/>
          <w:b/>
          <w:sz w:val="16"/>
          <w:szCs w:val="16"/>
          <w:lang w:val="ro-RO"/>
        </w:rPr>
        <w:t>Contabilitatea DGFE</w:t>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5</w:t>
      </w:r>
      <w:r>
        <w:rPr>
          <w:rFonts w:asciiTheme="majorHAnsi" w:hAnsiTheme="majorHAnsi" w:cstheme="majorHAnsi"/>
          <w:b/>
          <w:sz w:val="16"/>
          <w:szCs w:val="16"/>
          <w:lang w:val="ro-RO"/>
        </w:rPr>
        <w:t>.</w:t>
      </w:r>
      <w:r w:rsidRPr="00933D52">
        <w:rPr>
          <w:rFonts w:asciiTheme="majorHAnsi" w:hAnsiTheme="majorHAnsi" w:cstheme="majorHAnsi"/>
          <w:b/>
          <w:sz w:val="16"/>
          <w:szCs w:val="16"/>
          <w:lang w:val="ro-RO"/>
        </w:rPr>
        <w:t>858,62 lei</w:t>
      </w:r>
      <w:r w:rsidRPr="00933D52">
        <w:rPr>
          <w:rFonts w:asciiTheme="majorHAnsi" w:hAnsiTheme="majorHAnsi" w:cstheme="majorHAnsi"/>
          <w:sz w:val="16"/>
          <w:szCs w:val="16"/>
          <w:lang w:val="ro-RO"/>
        </w:rPr>
        <w:t>): 322 „Piese de schimb” - subevaluat cu 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200,00 lei; 339 „Alte materiale” - subevaluat cu 4</w:t>
      </w:r>
      <w:r>
        <w:rPr>
          <w:rFonts w:asciiTheme="majorHAnsi" w:hAnsiTheme="majorHAnsi" w:cstheme="majorHAnsi"/>
          <w:sz w:val="16"/>
          <w:szCs w:val="16"/>
          <w:lang w:val="ro-RO"/>
        </w:rPr>
        <w:t>.</w:t>
      </w:r>
      <w:r w:rsidRPr="00933D52">
        <w:rPr>
          <w:rFonts w:asciiTheme="majorHAnsi" w:hAnsiTheme="majorHAnsi" w:cstheme="majorHAnsi"/>
          <w:sz w:val="16"/>
          <w:szCs w:val="16"/>
          <w:lang w:val="ro-RO"/>
        </w:rPr>
        <w:t>658,62 lei; 336 „Materiale de uz gospodăresc și rechizite de birou” - supraevaluat cu 5</w:t>
      </w:r>
      <w:r>
        <w:rPr>
          <w:rFonts w:asciiTheme="majorHAnsi" w:hAnsiTheme="majorHAnsi" w:cstheme="majorHAnsi"/>
          <w:sz w:val="16"/>
          <w:szCs w:val="16"/>
          <w:lang w:val="ro-RO"/>
        </w:rPr>
        <w:t>.</w:t>
      </w:r>
      <w:r w:rsidRPr="00933D52">
        <w:rPr>
          <w:rFonts w:asciiTheme="majorHAnsi" w:hAnsiTheme="majorHAnsi" w:cstheme="majorHAnsi"/>
          <w:sz w:val="16"/>
          <w:szCs w:val="16"/>
          <w:lang w:val="ro-RO"/>
        </w:rPr>
        <w:t>858,62 lei.</w:t>
      </w:r>
    </w:p>
  </w:footnote>
  <w:footnote w:id="35">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Pct.3.3.26. din Planul de conturi contabile – „La grupa de conturi 316 „Unelte și scule, inventar de producere și gospodăresc” se ține evidența cu separarea în grupuri: 1) uneltelor de muncă de uz general mecanizate și nemecanizate, precum și a obiectelor ce se fixează de mașini și servesc pentru prelucrarea materialelor. La acestea se referă: uneltele pentru tăiat, de bătaie, de presare, de comprimare a uneltelor pentru munca manuală, inclusiv uneltele manuale mecanizate, care funcționează pe baza energiei electrice, aerului etc. (bormașini electrice manuale, pulverizatoare de vopsea, electrovibratoare etc.), precum și diverse dispozitive pentru prelucrarea materialelor, efectuarea lucrărilor de montare etc. (menghine, mandrine, capuri divizoare, dispozitive pentru instalarea motoarelor și pentru rotirea arborelui cardanic la automobile etc.); 2) inventarului de producție </w:t>
      </w:r>
      <w:r>
        <w:rPr>
          <w:rFonts w:asciiTheme="majorHAnsi" w:hAnsiTheme="majorHAnsi" w:cstheme="majorHAnsi"/>
          <w:sz w:val="16"/>
          <w:szCs w:val="16"/>
          <w:lang w:val="ro-RO"/>
        </w:rPr>
        <w:t>ș</w:t>
      </w:r>
      <w:r w:rsidRPr="00933D52">
        <w:rPr>
          <w:rFonts w:asciiTheme="majorHAnsi" w:hAnsiTheme="majorHAnsi" w:cstheme="majorHAnsi"/>
          <w:sz w:val="16"/>
          <w:szCs w:val="16"/>
          <w:lang w:val="ro-RO"/>
        </w:rPr>
        <w:t>i accesorii - obiecte de menire industrială, care servesc pentru facilitarea operațiilor de producție în timpul lucrului: mese de lucru, mese de tâmplărie, catedre, bănci etc.; utilaje ce contribuie la protecția muncii; dulapuri comerciale și stelaje; ambalaj de inventar; obiecte de destinație tehnică care nu pot fi raportate la mașini de lucru (de exemplu, rame pentru copiere de pe hârtie de calc etc.); 3) inventarului gospodăresc obiecte de oficiu și gospodărești, mobilier de oficiu, bariere portabile, garderoburi, dulapuri diverse, canapele, huse, fotolii, dulapuri, mașini de scris, hectografe, șapirografe și alte aparate manuale de multiplicat și de numerotat, corturi (cu excepția celor de oxigen), paturi (cu excepția celor cu echipare specială), covoare și alt inventar gospodăresc, precum și obiecte de menire antiincendiară – hidromonitoare, stendere, scări, manuale etc. (cu excepția pompelor de incendiu cu mers automobil sau cu tracțiune animală și scărilor mecanice), care se țin la evidență în grupa de conturi 314 „Mașini și utilaje””.</w:t>
      </w:r>
    </w:p>
  </w:footnote>
  <w:footnote w:id="36">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DC</w:t>
      </w:r>
      <w:r w:rsidRPr="00933D52">
        <w:rPr>
          <w:rFonts w:asciiTheme="majorHAnsi" w:hAnsiTheme="majorHAnsi" w:cstheme="majorHAnsi"/>
          <w:sz w:val="16"/>
          <w:szCs w:val="16"/>
          <w:lang w:val="ro-RO"/>
        </w:rPr>
        <w:t xml:space="preserve">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170,00 lei: stic memorie portativă – 600,00 lei; mouse și tastatură pentru calculator – 570,00 lei.</w:t>
      </w:r>
    </w:p>
  </w:footnote>
  <w:footnote w:id="37">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CAP</w:t>
      </w:r>
      <w:r w:rsidRPr="00933D52">
        <w:rPr>
          <w:rFonts w:asciiTheme="majorHAnsi" w:hAnsiTheme="majorHAnsi" w:cstheme="majorHAnsi"/>
          <w:sz w:val="16"/>
          <w:szCs w:val="16"/>
          <w:lang w:val="ro-RO"/>
        </w:rPr>
        <w:t xml:space="preserve">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681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693,54 lei: dulapuri; mese; fotolii; scaune; polițe; tumbe; tribune; rafturi; stelaje; jaluzele; covoare; fierbătoare de apă; extinctoare; furtun antiincendiar; lămpi portative de birou; difuzoare audio pentru calculator. </w:t>
      </w:r>
      <w:r w:rsidRPr="00933D52">
        <w:rPr>
          <w:rFonts w:asciiTheme="majorHAnsi" w:hAnsiTheme="majorHAnsi" w:cstheme="majorHAnsi"/>
          <w:b/>
          <w:sz w:val="16"/>
          <w:szCs w:val="16"/>
          <w:lang w:val="ro-RO"/>
        </w:rPr>
        <w:t xml:space="preserve">DC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28</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097,81 lei: stic memorie portativă; fierbător de apă electric; aparat de copertare/broșare; căști cu microfon; furtun antiincendiar; lămpi de birou portative; mouse; proiectoare electrice portative; scaune. </w:t>
      </w:r>
      <w:r w:rsidRPr="00933D52">
        <w:rPr>
          <w:rFonts w:asciiTheme="majorHAnsi" w:hAnsiTheme="majorHAnsi" w:cstheme="majorHAnsi"/>
          <w:b/>
          <w:sz w:val="16"/>
          <w:szCs w:val="16"/>
          <w:lang w:val="ro-RO"/>
        </w:rPr>
        <w:t xml:space="preserve">DITS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287</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152,62 lei: lămpi antibacteriene; fierbătoare de apă electrice; table magnetice pentru studii; lămpi portative de birou. </w:t>
      </w:r>
      <w:r w:rsidRPr="00933D52">
        <w:rPr>
          <w:rFonts w:asciiTheme="majorHAnsi" w:hAnsiTheme="majorHAnsi" w:cstheme="majorHAnsi"/>
          <w:b/>
          <w:sz w:val="16"/>
          <w:szCs w:val="16"/>
          <w:lang w:val="ro-RO"/>
        </w:rPr>
        <w:t>DGASPF</w:t>
      </w:r>
      <w:r w:rsidRPr="00933D52">
        <w:rPr>
          <w:rFonts w:asciiTheme="majorHAnsi" w:hAnsiTheme="majorHAnsi" w:cstheme="majorHAnsi"/>
          <w:sz w:val="16"/>
          <w:szCs w:val="16"/>
          <w:lang w:val="ro-RO"/>
        </w:rPr>
        <w:t xml:space="preserve">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1</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290,00 lei: mouse, tastatură pentru calculatoare. </w:t>
      </w:r>
      <w:r w:rsidRPr="00933D52">
        <w:rPr>
          <w:rFonts w:asciiTheme="majorHAnsi" w:hAnsiTheme="majorHAnsi" w:cstheme="majorHAnsi"/>
          <w:b/>
          <w:sz w:val="16"/>
          <w:szCs w:val="16"/>
          <w:lang w:val="ro-RO"/>
        </w:rPr>
        <w:t xml:space="preserve">DGFE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85</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032,76 lei: covoare; dulapuri; fierbătoare de apă electrice; fotolii; jaluzele; lămpi de birou portative; mese; scaune; traverse; tumbe; mouse și tastatură pentru calculator. </w:t>
      </w:r>
    </w:p>
  </w:footnote>
  <w:footnote w:id="38">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DC</w:t>
      </w:r>
      <w:r w:rsidRPr="00933D52">
        <w:rPr>
          <w:rFonts w:asciiTheme="majorHAnsi" w:hAnsiTheme="majorHAnsi" w:cstheme="majorHAnsi"/>
          <w:sz w:val="16"/>
          <w:szCs w:val="16"/>
          <w:lang w:val="ro-RO"/>
        </w:rPr>
        <w:t xml:space="preserve">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54</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552,72 lei: antreu; mese; dulapuri; fotolii; scaune; jaluzele; caști cu microfon; fierbătoare de apă electrice; microfoane; mouse; pavilioane; difuzoare pentru calculator. </w:t>
      </w:r>
      <w:r w:rsidRPr="00933D52">
        <w:rPr>
          <w:rFonts w:asciiTheme="majorHAnsi" w:hAnsiTheme="majorHAnsi" w:cstheme="majorHAnsi"/>
          <w:b/>
          <w:sz w:val="16"/>
          <w:szCs w:val="16"/>
          <w:lang w:val="ro-RO"/>
        </w:rPr>
        <w:t>DÎTS</w:t>
      </w:r>
      <w:r w:rsidRPr="00933D52">
        <w:rPr>
          <w:rFonts w:asciiTheme="majorHAnsi" w:hAnsiTheme="majorHAnsi" w:cstheme="majorHAnsi"/>
          <w:sz w:val="16"/>
          <w:szCs w:val="16"/>
          <w:lang w:val="ro-RO"/>
        </w:rPr>
        <w:t xml:space="preserve"> </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346</w:t>
      </w:r>
      <w:r>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476,67 lei: covoare; draperii; cuiere; construcții metalice și din lemn amplasate în curte (mese, scaune); fierbătoare de apă; construcții metalice și din lemn pentru nisip amplasate în curți; mânici antiincendiare; polițe; scaune; stelaje; mese; dulapuri; lămpi portative; fono endoscoape; construcții metalice pentru joacă amplasate în curți; cronometre; vaze din beton în curți; mobilier pentru cabinetul medical; table pentru studii; panouri publicitare și cu embleme; ștampile; căști audio; sticuri de memorie portativă; menghine; scări de perete pentru sala de sport; paravan pentru cabinetul medical; binoclu; mese de tâmplărie; ceasuri de perete; cuiere; etc. </w:t>
      </w:r>
      <w:r w:rsidRPr="00933D52">
        <w:rPr>
          <w:rFonts w:asciiTheme="majorHAnsi" w:hAnsiTheme="majorHAnsi" w:cstheme="majorHAnsi"/>
          <w:b/>
          <w:sz w:val="16"/>
          <w:szCs w:val="16"/>
          <w:lang w:val="ro-RO"/>
        </w:rPr>
        <w:t>DGASPF</w:t>
      </w:r>
      <w:r w:rsidRPr="00933D52">
        <w:rPr>
          <w:rFonts w:asciiTheme="majorHAnsi" w:hAnsiTheme="majorHAnsi" w:cstheme="majorHAnsi"/>
          <w:sz w:val="16"/>
          <w:szCs w:val="16"/>
          <w:lang w:val="ro-RO"/>
        </w:rPr>
        <w:t xml:space="preserve"> </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81</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261,78 lei: stic memorie portativă; difuzoare acustice pentru calculator; biciclete; dulapuri; extinctor; fierbătoare de apă electrice; fotolii; jaluzele; mese; noptieră; rafturi; scaune; sertare; lămpi de birou.</w:t>
      </w:r>
    </w:p>
  </w:footnote>
  <w:footnote w:id="39">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 xml:space="preserve">DÎTS: </w:t>
      </w:r>
      <w:r w:rsidRPr="00933D52">
        <w:rPr>
          <w:rFonts w:asciiTheme="majorHAnsi" w:hAnsiTheme="majorHAnsi" w:cstheme="majorHAnsi"/>
          <w:sz w:val="16"/>
          <w:szCs w:val="16"/>
          <w:lang w:val="ro-RO"/>
        </w:rPr>
        <w:t>Vanele/robinetele pentru sistemele liniare de alimentare cu apă (15 poziții de inventar), instalate cu forțele proprii de către serviciul de deservire tehnică al DITS. Cheltuielile urmau a fi raportate la subconțul 222500 „Servicii de reparații curente”.</w:t>
      </w:r>
    </w:p>
  </w:footnote>
  <w:footnote w:id="40">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Pct.3.2.19. din </w:t>
      </w:r>
      <w:r w:rsidRPr="00933D52">
        <w:rPr>
          <w:rFonts w:asciiTheme="majorHAnsi" w:hAnsiTheme="majorHAnsi" w:cstheme="majorHAnsi"/>
          <w:bCs/>
          <w:sz w:val="16"/>
          <w:szCs w:val="16"/>
          <w:lang w:val="ro-RO"/>
        </w:rPr>
        <w:t>Planul de conturi contabile</w:t>
      </w:r>
      <w:r w:rsidRPr="00933D52">
        <w:rPr>
          <w:rFonts w:asciiTheme="majorHAnsi" w:hAnsiTheme="majorHAnsi" w:cstheme="majorHAnsi"/>
          <w:sz w:val="16"/>
          <w:szCs w:val="16"/>
          <w:lang w:val="ro-RO"/>
        </w:rPr>
        <w:t>.</w:t>
      </w:r>
    </w:p>
  </w:footnote>
  <w:footnote w:id="41">
    <w:p w:rsidR="00585BDF" w:rsidRPr="00933D52" w:rsidRDefault="00585BDF" w:rsidP="00EA2411">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Pct.3.3.18. din Planul de conturi contabile  – „La grupa de conturi 314 „Mașini și utilaje” se ține evidența mașinilor și utilajelor de forță, mașinilor și utilajelor de lucru, aparatelor de măsurare, aparatelor și instalațiilor de reglare, echipamentului de laborator, tehnicii de calcul, utilajului medical, altor mașini și utilaje, fiind separate în grupuri” și Pct.3.3.34. din Planul de conturi contabile – „La grupa de conturi 318 „Alte mijloace fixe” se ține evidența separat pe grupuri a mijloacelor fixe neincluse în grupele de conturi precedente” (grupele de conturi 311-117).</w:t>
      </w:r>
    </w:p>
  </w:footnote>
  <w:footnote w:id="42">
    <w:p w:rsidR="00585BDF" w:rsidRPr="00933D52" w:rsidRDefault="00585BDF" w:rsidP="00EA2411">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DÎTS</w:t>
      </w:r>
      <w:r w:rsidRPr="00933D52">
        <w:rPr>
          <w:rFonts w:asciiTheme="majorHAnsi" w:hAnsiTheme="majorHAnsi" w:cstheme="majorHAnsi"/>
          <w:sz w:val="16"/>
          <w:szCs w:val="16"/>
          <w:lang w:val="ro-RO"/>
        </w:rPr>
        <w:t xml:space="preserve"> </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205</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122,48 lei: pulsoximetre </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177</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304,00 lei; inhalatoare </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23</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025,60 lei; tonometre </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4</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792,88 lei.</w:t>
      </w:r>
    </w:p>
  </w:footnote>
  <w:footnote w:id="43">
    <w:p w:rsidR="00585BDF" w:rsidRPr="00933D52" w:rsidRDefault="00585BDF" w:rsidP="00EA2411">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CAP</w:t>
      </w:r>
      <w:r w:rsidRPr="00933D52">
        <w:rPr>
          <w:rFonts w:asciiTheme="majorHAnsi" w:hAnsiTheme="majorHAnsi" w:cstheme="majorHAnsi"/>
          <w:sz w:val="16"/>
          <w:szCs w:val="16"/>
          <w:lang w:val="ro-RO"/>
        </w:rPr>
        <w:t xml:space="preserve"> -125</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604,14 lei: dispozitive de stocare a datelor; aparate de telefon; aparate pentru măsurarea radiației Röntgen; mașini de calcul; camere WEB; cămine electrice; cântar; consolă telefonică; contoare pentru apă și electricitate; cuptoare cu microunde; televizoare; stabilizatoare a rețelei electrice pentru calculatoare; ventilatoare. </w:t>
      </w:r>
      <w:r w:rsidRPr="00933D52">
        <w:rPr>
          <w:rFonts w:asciiTheme="majorHAnsi" w:hAnsiTheme="majorHAnsi" w:cstheme="majorHAnsi"/>
          <w:b/>
          <w:sz w:val="16"/>
          <w:szCs w:val="16"/>
          <w:lang w:val="ro-RO"/>
        </w:rPr>
        <w:t>DC</w:t>
      </w:r>
      <w:r w:rsidRPr="00933D52">
        <w:rPr>
          <w:rFonts w:asciiTheme="majorHAnsi" w:hAnsiTheme="majorHAnsi" w:cstheme="majorHAnsi"/>
          <w:sz w:val="16"/>
          <w:szCs w:val="16"/>
          <w:lang w:val="ro-RO"/>
        </w:rPr>
        <w:t xml:space="preserve"> - 31521,05 lei: termometre electronice infraroșii; cămin termic cu ventilator; router de rețea/internet; comutatoare de rețea/internet; mașini de calcul; telefoane. </w:t>
      </w:r>
      <w:r w:rsidRPr="00933D52">
        <w:rPr>
          <w:rFonts w:asciiTheme="majorHAnsi" w:hAnsiTheme="majorHAnsi" w:cstheme="majorHAnsi"/>
          <w:b/>
          <w:sz w:val="16"/>
          <w:szCs w:val="16"/>
          <w:lang w:val="ro-RO"/>
        </w:rPr>
        <w:t>DÎTS</w:t>
      </w:r>
      <w:r w:rsidRPr="00933D52">
        <w:rPr>
          <w:rFonts w:asciiTheme="majorHAnsi" w:hAnsiTheme="majorHAnsi" w:cstheme="majorHAnsi"/>
          <w:sz w:val="16"/>
          <w:szCs w:val="16"/>
          <w:lang w:val="ro-RO"/>
        </w:rPr>
        <w:t xml:space="preserve"> </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41</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494,91 lei: manometre; aparate de telefon; contoare de apă și electrice; fi</w:t>
      </w:r>
      <w:r w:rsidR="007D20FA">
        <w:rPr>
          <w:rFonts w:asciiTheme="majorHAnsi" w:hAnsiTheme="majorHAnsi" w:cstheme="majorHAnsi"/>
          <w:sz w:val="16"/>
          <w:szCs w:val="16"/>
          <w:lang w:val="ro-RO"/>
        </w:rPr>
        <w:t>a</w:t>
      </w:r>
      <w:r w:rsidRPr="00933D52">
        <w:rPr>
          <w:rFonts w:asciiTheme="majorHAnsi" w:hAnsiTheme="majorHAnsi" w:cstheme="majorHAnsi"/>
          <w:sz w:val="16"/>
          <w:szCs w:val="16"/>
          <w:lang w:val="ro-RO"/>
        </w:rPr>
        <w:t xml:space="preserve">re de călcat; mașină de cusut; mașini de calcul; comutatoare de rețea/internet; unitate/disc de stocare a datelor; ventilatoare; mașină de uscat rufele; detector de mișcare. </w:t>
      </w:r>
      <w:r w:rsidRPr="00933D52">
        <w:rPr>
          <w:rFonts w:asciiTheme="majorHAnsi" w:hAnsiTheme="majorHAnsi" w:cstheme="majorHAnsi"/>
          <w:b/>
          <w:sz w:val="16"/>
          <w:szCs w:val="16"/>
          <w:lang w:val="ro-RO"/>
        </w:rPr>
        <w:t>DÎTS</w:t>
      </w:r>
      <w:r w:rsidRPr="00933D52">
        <w:rPr>
          <w:rFonts w:asciiTheme="majorHAnsi" w:hAnsiTheme="majorHAnsi" w:cstheme="majorHAnsi"/>
          <w:sz w:val="16"/>
          <w:szCs w:val="16"/>
          <w:lang w:val="ro-RO"/>
        </w:rPr>
        <w:t xml:space="preserve"> </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39</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354,90 lei: jocuri interactive/de logică pentru copii - jocul cântarului; abac; tablă pentru desene; cuburi pentru matematică; piramidă logică; mozaică; ceas vesel etc.</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DGFE</w:t>
      </w:r>
      <w:r w:rsidRPr="00933D52">
        <w:rPr>
          <w:rFonts w:asciiTheme="majorHAnsi" w:hAnsiTheme="majorHAnsi" w:cstheme="majorHAnsi"/>
          <w:sz w:val="16"/>
          <w:szCs w:val="16"/>
          <w:lang w:val="ro-RO"/>
        </w:rPr>
        <w:t xml:space="preserve"> </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42</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285,05 lei: mașini de calcul; cămine electrice; camere video/WEB pentru calculatoare; router de rețea/internet; telefoane; stabilizatoare a</w:t>
      </w:r>
      <w:r w:rsidR="007D20FA">
        <w:rPr>
          <w:rFonts w:asciiTheme="majorHAnsi" w:hAnsiTheme="majorHAnsi" w:cstheme="majorHAnsi"/>
          <w:sz w:val="16"/>
          <w:szCs w:val="16"/>
          <w:lang w:val="ro-RO"/>
        </w:rPr>
        <w:t>le</w:t>
      </w:r>
      <w:r w:rsidRPr="00933D52">
        <w:rPr>
          <w:rFonts w:asciiTheme="majorHAnsi" w:hAnsiTheme="majorHAnsi" w:cstheme="majorHAnsi"/>
          <w:sz w:val="16"/>
          <w:szCs w:val="16"/>
          <w:lang w:val="ro-RO"/>
        </w:rPr>
        <w:t xml:space="preserve"> rețelei electrice pentru calculatoare.</w:t>
      </w:r>
    </w:p>
  </w:footnote>
  <w:footnote w:id="44">
    <w:p w:rsidR="00585BDF" w:rsidRPr="00933D52" w:rsidRDefault="00585BDF" w:rsidP="00EA2411">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CAP</w:t>
      </w:r>
      <w:r w:rsidRPr="00933D52">
        <w:rPr>
          <w:rFonts w:asciiTheme="majorHAnsi" w:hAnsiTheme="majorHAnsi" w:cstheme="majorHAnsi"/>
          <w:sz w:val="16"/>
          <w:szCs w:val="16"/>
          <w:lang w:val="ro-RO"/>
        </w:rPr>
        <w:t xml:space="preserve"> </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68</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394,58 lei: indicatoare/denumirea străzilor. </w:t>
      </w:r>
      <w:r w:rsidRPr="00933D52">
        <w:rPr>
          <w:rFonts w:asciiTheme="majorHAnsi" w:hAnsiTheme="majorHAnsi" w:cstheme="majorHAnsi"/>
          <w:b/>
          <w:sz w:val="16"/>
          <w:szCs w:val="16"/>
          <w:lang w:val="ro-RO"/>
        </w:rPr>
        <w:t>DC</w:t>
      </w:r>
      <w:r w:rsidRPr="00933D52">
        <w:rPr>
          <w:rFonts w:asciiTheme="majorHAnsi" w:hAnsiTheme="majorHAnsi" w:cstheme="majorHAnsi"/>
          <w:sz w:val="16"/>
          <w:szCs w:val="16"/>
          <w:lang w:val="ro-RO"/>
        </w:rPr>
        <w:t xml:space="preserve"> </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23</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923,83 lei: sistemă acustică cu amplificator; aparate de telefon; aparat de preparare a cafelei; detector de gaz; router de rețea/internet; comutator de rețea/internet; termometre electronice; stabilizatoare de rețea electrică pentru calculator; mașină de calcul; cuptor cu microunde; uscător de mâini; ventilator termic; fier de călcat. </w:t>
      </w:r>
      <w:r w:rsidRPr="00933D52">
        <w:rPr>
          <w:rFonts w:asciiTheme="majorHAnsi" w:hAnsiTheme="majorHAnsi" w:cstheme="majorHAnsi"/>
          <w:b/>
          <w:sz w:val="16"/>
          <w:szCs w:val="16"/>
          <w:lang w:val="ro-RO"/>
        </w:rPr>
        <w:t>DÎTS</w:t>
      </w:r>
      <w:r w:rsidRPr="00933D52">
        <w:rPr>
          <w:rFonts w:asciiTheme="majorHAnsi" w:hAnsiTheme="majorHAnsi" w:cstheme="majorHAnsi"/>
          <w:sz w:val="16"/>
          <w:szCs w:val="16"/>
          <w:lang w:val="ro-RO"/>
        </w:rPr>
        <w:t xml:space="preserve"> </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21</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350,05 lei: cântare; mașină de cusut; instrumente muzicale; ventilatoare; aparate de telefon; aparate medicale; plită electrică; fi</w:t>
      </w:r>
      <w:r w:rsidR="007D20FA">
        <w:rPr>
          <w:rFonts w:asciiTheme="majorHAnsi" w:hAnsiTheme="majorHAnsi" w:cstheme="majorHAnsi"/>
          <w:sz w:val="16"/>
          <w:szCs w:val="16"/>
          <w:lang w:val="ro-RO"/>
        </w:rPr>
        <w:t>a</w:t>
      </w:r>
      <w:r w:rsidRPr="00933D52">
        <w:rPr>
          <w:rFonts w:asciiTheme="majorHAnsi" w:hAnsiTheme="majorHAnsi" w:cstheme="majorHAnsi"/>
          <w:sz w:val="16"/>
          <w:szCs w:val="16"/>
          <w:lang w:val="ro-RO"/>
        </w:rPr>
        <w:t xml:space="preserve">re de călcat; sterilizatoare; mașini de calcul; cămin electric; armă; utilaj electric de ascuțit cuțite; barograf; manometre. </w:t>
      </w:r>
      <w:r w:rsidRPr="00933D52">
        <w:rPr>
          <w:rFonts w:asciiTheme="majorHAnsi" w:hAnsiTheme="majorHAnsi" w:cstheme="majorHAnsi"/>
          <w:b/>
          <w:sz w:val="16"/>
          <w:szCs w:val="16"/>
          <w:lang w:val="ro-RO"/>
        </w:rPr>
        <w:t>DÎTS</w:t>
      </w:r>
      <w:r w:rsidRPr="00933D52">
        <w:rPr>
          <w:rFonts w:asciiTheme="majorHAnsi" w:hAnsiTheme="majorHAnsi" w:cstheme="majorHAnsi"/>
          <w:sz w:val="16"/>
          <w:szCs w:val="16"/>
          <w:lang w:val="ro-RO"/>
        </w:rPr>
        <w:t xml:space="preserve"> </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71</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614,50 lei: jucării pentru copii; globul lumii; mijloace pentru punerea în scenă (costume, bluze, fuste, jiletci); cărucior pentru invalizi; material didactic etc.</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DGASPF</w:t>
      </w:r>
      <w:r w:rsidRPr="00933D52">
        <w:rPr>
          <w:rFonts w:asciiTheme="majorHAnsi" w:hAnsiTheme="majorHAnsi" w:cstheme="majorHAnsi"/>
          <w:sz w:val="16"/>
          <w:szCs w:val="16"/>
          <w:lang w:val="ro-RO"/>
        </w:rPr>
        <w:t xml:space="preserve"> </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13</w:t>
      </w:r>
      <w:r w:rsidR="007D20FA">
        <w:rPr>
          <w:rFonts w:asciiTheme="majorHAnsi" w:hAnsiTheme="majorHAnsi" w:cstheme="majorHAnsi"/>
          <w:sz w:val="16"/>
          <w:szCs w:val="16"/>
          <w:lang w:val="ro-RO"/>
        </w:rPr>
        <w:t>.</w:t>
      </w:r>
      <w:r w:rsidRPr="00933D52">
        <w:rPr>
          <w:rFonts w:asciiTheme="majorHAnsi" w:hAnsiTheme="majorHAnsi" w:cstheme="majorHAnsi"/>
          <w:sz w:val="16"/>
          <w:szCs w:val="16"/>
          <w:lang w:val="ro-RO"/>
        </w:rPr>
        <w:t>542,22 lei: telefoane; mașini de calcul; cămin electric; cărucior cu baterie; tonometru.</w:t>
      </w:r>
    </w:p>
  </w:footnote>
  <w:footnote w:id="45">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Pct.3.3.53. din Planul de conturi contabile – „În cazurile în care instituția nu folosește pentru necesitățile sale valorile materiale obținute în urma casării mijloacelor fixe și a altor valori, ele urmează a fi comercializate. Sumele obținute de către instituții din vânzarea mijloacelor fixe, precum și a materialelor obținute de la dezasamblarea unor obiecte din mijloace fixe, sunt transferate la venitul bugetului respectiv”.</w:t>
      </w:r>
    </w:p>
  </w:footnote>
  <w:footnote w:id="46">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Pct.1.3.1. din Planul de conturi contabile – „situațiile financiare trebuie întocmite pe baza continuității activității autorității/instituției bugetare”; „elementele contabile sunt recunoscute pe măsura apariției acestora, indiferent de momentul încasării/plății mijloacelor bănești”.</w:t>
      </w:r>
    </w:p>
  </w:footnote>
  <w:footnote w:id="47">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Contabilitatea CAP</w:t>
      </w:r>
      <w:r w:rsidRPr="00933D52">
        <w:rPr>
          <w:rFonts w:asciiTheme="majorHAnsi" w:hAnsiTheme="majorHAnsi" w:cstheme="majorHAnsi"/>
          <w:sz w:val="16"/>
          <w:szCs w:val="16"/>
          <w:lang w:val="ro-RO"/>
        </w:rPr>
        <w:t xml:space="preserve"> (457</w:t>
      </w:r>
      <w:r w:rsidR="003E18C2">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199,60 lei): metale feroase </w:t>
      </w:r>
      <w:r w:rsidR="003E18C2">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2</w:t>
      </w:r>
      <w:r w:rsidR="003E18C2">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929 kg cu valoarea </w:t>
      </w:r>
      <w:r w:rsidR="003E18C2">
        <w:rPr>
          <w:rFonts w:asciiTheme="majorHAnsi" w:hAnsiTheme="majorHAnsi" w:cstheme="majorHAnsi"/>
          <w:sz w:val="16"/>
          <w:szCs w:val="16"/>
          <w:lang w:val="ro-RO"/>
        </w:rPr>
        <w:t xml:space="preserve">de </w:t>
      </w:r>
      <w:r w:rsidRPr="00933D52">
        <w:rPr>
          <w:rFonts w:asciiTheme="majorHAnsi" w:hAnsiTheme="majorHAnsi" w:cstheme="majorHAnsi"/>
          <w:sz w:val="16"/>
          <w:szCs w:val="16"/>
          <w:lang w:val="ro-RO"/>
        </w:rPr>
        <w:t>8</w:t>
      </w:r>
      <w:r w:rsidR="003E18C2">
        <w:rPr>
          <w:rFonts w:asciiTheme="majorHAnsi" w:hAnsiTheme="majorHAnsi" w:cstheme="majorHAnsi"/>
          <w:sz w:val="16"/>
          <w:szCs w:val="16"/>
          <w:lang w:val="ro-RO"/>
        </w:rPr>
        <w:t>.</w:t>
      </w:r>
      <w:r w:rsidRPr="00933D52">
        <w:rPr>
          <w:rFonts w:asciiTheme="majorHAnsi" w:hAnsiTheme="majorHAnsi" w:cstheme="majorHAnsi"/>
          <w:sz w:val="16"/>
          <w:szCs w:val="16"/>
          <w:lang w:val="ro-RO"/>
        </w:rPr>
        <w:t>176,00 lei (au fost lăsate după casare la dispoziția/în administrarea Î.M. „Termogaz-Bălți”); masa lemnoasă – 449</w:t>
      </w:r>
      <w:r w:rsidR="003E18C2">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023,60 lei (a fost lăsată după casare la dispoziția/administrarea Î.M. „ATSV”, parcul „Andrieș”; parcul „Central”; plantații din prejma străzilor și curților). </w:t>
      </w:r>
      <w:r w:rsidRPr="00933D52">
        <w:rPr>
          <w:rFonts w:asciiTheme="majorHAnsi" w:hAnsiTheme="majorHAnsi" w:cstheme="majorHAnsi"/>
          <w:b/>
          <w:sz w:val="16"/>
          <w:szCs w:val="16"/>
          <w:lang w:val="ro-RO"/>
        </w:rPr>
        <w:t>Contabilitatea DÎTS</w:t>
      </w:r>
      <w:r w:rsidRPr="00933D52">
        <w:rPr>
          <w:rFonts w:asciiTheme="majorHAnsi" w:hAnsiTheme="majorHAnsi" w:cstheme="majorHAnsi"/>
          <w:sz w:val="16"/>
          <w:szCs w:val="16"/>
          <w:lang w:val="ro-RO"/>
        </w:rPr>
        <w:t xml:space="preserve"> (15</w:t>
      </w:r>
      <w:r w:rsidR="003E18C2">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524,00 lei): metale feroase și neferoase </w:t>
      </w:r>
      <w:r w:rsidR="003E18C2">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3</w:t>
      </w:r>
      <w:r w:rsidR="003E18C2">
        <w:rPr>
          <w:rFonts w:asciiTheme="majorHAnsi" w:hAnsiTheme="majorHAnsi" w:cstheme="majorHAnsi"/>
          <w:sz w:val="16"/>
          <w:szCs w:val="16"/>
          <w:lang w:val="ro-RO"/>
        </w:rPr>
        <w:t>.</w:t>
      </w:r>
      <w:r w:rsidRPr="00933D52">
        <w:rPr>
          <w:rFonts w:asciiTheme="majorHAnsi" w:hAnsiTheme="majorHAnsi" w:cstheme="majorHAnsi"/>
          <w:sz w:val="16"/>
          <w:szCs w:val="16"/>
          <w:lang w:val="ro-RO"/>
        </w:rPr>
        <w:t>696 kg cu valoarea de 15</w:t>
      </w:r>
      <w:r w:rsidR="003E18C2">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351,50 lei (au fost luate </w:t>
      </w:r>
      <w:r w:rsidR="003E18C2">
        <w:rPr>
          <w:rFonts w:asciiTheme="majorHAnsi" w:hAnsiTheme="majorHAnsi" w:cstheme="majorHAnsi"/>
          <w:sz w:val="16"/>
          <w:szCs w:val="16"/>
          <w:lang w:val="ro-RO"/>
        </w:rPr>
        <w:t>în</w:t>
      </w:r>
      <w:r w:rsidRPr="00933D52">
        <w:rPr>
          <w:rFonts w:asciiTheme="majorHAnsi" w:hAnsiTheme="majorHAnsi" w:cstheme="majorHAnsi"/>
          <w:sz w:val="16"/>
          <w:szCs w:val="16"/>
          <w:lang w:val="ro-RO"/>
        </w:rPr>
        <w:t xml:space="preserve"> evidență și </w:t>
      </w:r>
      <w:r w:rsidR="003E18C2">
        <w:rPr>
          <w:rFonts w:asciiTheme="majorHAnsi" w:hAnsiTheme="majorHAnsi" w:cstheme="majorHAnsi"/>
          <w:sz w:val="16"/>
          <w:szCs w:val="16"/>
          <w:lang w:val="ro-RO"/>
        </w:rPr>
        <w:t>comercializate</w:t>
      </w:r>
      <w:r w:rsidR="003E18C2" w:rsidRPr="00933D52">
        <w:rPr>
          <w:rFonts w:asciiTheme="majorHAnsi" w:hAnsiTheme="majorHAnsi" w:cstheme="majorHAnsi"/>
          <w:sz w:val="16"/>
          <w:szCs w:val="16"/>
          <w:lang w:val="ro-RO"/>
        </w:rPr>
        <w:t xml:space="preserve"> </w:t>
      </w:r>
      <w:r w:rsidRPr="00933D52">
        <w:rPr>
          <w:rFonts w:asciiTheme="majorHAnsi" w:hAnsiTheme="majorHAnsi" w:cstheme="majorHAnsi"/>
          <w:sz w:val="16"/>
          <w:szCs w:val="16"/>
          <w:lang w:val="ro-RO"/>
        </w:rPr>
        <w:t>în anul 2021); mas</w:t>
      </w:r>
      <w:r w:rsidR="003E18C2">
        <w:rPr>
          <w:rFonts w:asciiTheme="majorHAnsi" w:hAnsiTheme="majorHAnsi" w:cstheme="majorHAnsi"/>
          <w:sz w:val="16"/>
          <w:szCs w:val="16"/>
          <w:lang w:val="ro-RO"/>
        </w:rPr>
        <w:t>ă</w:t>
      </w:r>
      <w:r w:rsidRPr="00933D52">
        <w:rPr>
          <w:rFonts w:asciiTheme="majorHAnsi" w:hAnsiTheme="majorHAnsi" w:cstheme="majorHAnsi"/>
          <w:sz w:val="16"/>
          <w:szCs w:val="16"/>
          <w:lang w:val="ro-RO"/>
        </w:rPr>
        <w:t xml:space="preserve"> lemnoasă - 345 kg cu valoarea de 172,50 lei (a fost luată </w:t>
      </w:r>
      <w:r w:rsidR="003E18C2">
        <w:rPr>
          <w:rFonts w:asciiTheme="majorHAnsi" w:hAnsiTheme="majorHAnsi" w:cstheme="majorHAnsi"/>
          <w:sz w:val="16"/>
          <w:szCs w:val="16"/>
          <w:lang w:val="ro-RO"/>
        </w:rPr>
        <w:t>în</w:t>
      </w:r>
      <w:r w:rsidRPr="00933D52">
        <w:rPr>
          <w:rFonts w:asciiTheme="majorHAnsi" w:hAnsiTheme="majorHAnsi" w:cstheme="majorHAnsi"/>
          <w:sz w:val="16"/>
          <w:szCs w:val="16"/>
          <w:lang w:val="ro-RO"/>
        </w:rPr>
        <w:t xml:space="preserve"> evidență și </w:t>
      </w:r>
      <w:r w:rsidR="003E18C2">
        <w:rPr>
          <w:rFonts w:asciiTheme="majorHAnsi" w:hAnsiTheme="majorHAnsi" w:cstheme="majorHAnsi"/>
          <w:sz w:val="16"/>
          <w:szCs w:val="16"/>
          <w:lang w:val="ro-RO"/>
        </w:rPr>
        <w:t>comercializată</w:t>
      </w:r>
      <w:r w:rsidR="003E18C2" w:rsidRPr="00933D52">
        <w:rPr>
          <w:rFonts w:asciiTheme="majorHAnsi" w:hAnsiTheme="majorHAnsi" w:cstheme="majorHAnsi"/>
          <w:sz w:val="16"/>
          <w:szCs w:val="16"/>
          <w:lang w:val="ro-RO"/>
        </w:rPr>
        <w:t xml:space="preserve"> </w:t>
      </w:r>
      <w:r w:rsidRPr="00933D52">
        <w:rPr>
          <w:rFonts w:asciiTheme="majorHAnsi" w:hAnsiTheme="majorHAnsi" w:cstheme="majorHAnsi"/>
          <w:sz w:val="16"/>
          <w:szCs w:val="16"/>
          <w:lang w:val="ro-RO"/>
        </w:rPr>
        <w:t xml:space="preserve">/consumată  în anul 2021). </w:t>
      </w:r>
      <w:r w:rsidRPr="00933D52">
        <w:rPr>
          <w:rFonts w:asciiTheme="majorHAnsi" w:hAnsiTheme="majorHAnsi" w:cstheme="majorHAnsi"/>
          <w:b/>
          <w:sz w:val="16"/>
          <w:szCs w:val="16"/>
          <w:lang w:val="ro-RO"/>
        </w:rPr>
        <w:t xml:space="preserve">Contabilitatea DC </w:t>
      </w:r>
      <w:r w:rsidRPr="00933D52">
        <w:rPr>
          <w:rFonts w:asciiTheme="majorHAnsi" w:hAnsiTheme="majorHAnsi" w:cstheme="majorHAnsi"/>
          <w:sz w:val="16"/>
          <w:szCs w:val="16"/>
          <w:lang w:val="ro-RO"/>
        </w:rPr>
        <w:t>(23</w:t>
      </w:r>
      <w:r w:rsidR="003E18C2">
        <w:rPr>
          <w:rFonts w:asciiTheme="majorHAnsi" w:hAnsiTheme="majorHAnsi" w:cstheme="majorHAnsi"/>
          <w:sz w:val="16"/>
          <w:szCs w:val="16"/>
          <w:lang w:val="ro-RO"/>
        </w:rPr>
        <w:t>.</w:t>
      </w:r>
      <w:r w:rsidRPr="00933D52">
        <w:rPr>
          <w:rFonts w:asciiTheme="majorHAnsi" w:hAnsiTheme="majorHAnsi" w:cstheme="majorHAnsi"/>
          <w:sz w:val="16"/>
          <w:szCs w:val="16"/>
          <w:lang w:val="ro-RO"/>
        </w:rPr>
        <w:t>596,00 lei): mas</w:t>
      </w:r>
      <w:r w:rsidR="003E18C2">
        <w:rPr>
          <w:rFonts w:asciiTheme="majorHAnsi" w:hAnsiTheme="majorHAnsi" w:cstheme="majorHAnsi"/>
          <w:sz w:val="16"/>
          <w:szCs w:val="16"/>
          <w:lang w:val="ro-RO"/>
        </w:rPr>
        <w:t>ă</w:t>
      </w:r>
      <w:r w:rsidRPr="00933D52">
        <w:rPr>
          <w:rFonts w:asciiTheme="majorHAnsi" w:hAnsiTheme="majorHAnsi" w:cstheme="majorHAnsi"/>
          <w:sz w:val="16"/>
          <w:szCs w:val="16"/>
          <w:lang w:val="ro-RO"/>
        </w:rPr>
        <w:t xml:space="preserve"> lemnoasă - 834 kg cu valoarea de 3</w:t>
      </w:r>
      <w:r w:rsidR="003E18C2">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328,00 lei (a fost luată </w:t>
      </w:r>
      <w:r w:rsidR="003E18C2">
        <w:rPr>
          <w:rFonts w:asciiTheme="majorHAnsi" w:hAnsiTheme="majorHAnsi" w:cstheme="majorHAnsi"/>
          <w:sz w:val="16"/>
          <w:szCs w:val="16"/>
          <w:lang w:val="ro-RO"/>
        </w:rPr>
        <w:t>în</w:t>
      </w:r>
      <w:r w:rsidRPr="00933D52">
        <w:rPr>
          <w:rFonts w:asciiTheme="majorHAnsi" w:hAnsiTheme="majorHAnsi" w:cstheme="majorHAnsi"/>
          <w:sz w:val="16"/>
          <w:szCs w:val="16"/>
          <w:lang w:val="ro-RO"/>
        </w:rPr>
        <w:t xml:space="preserve"> evidență în anul 2021); maculatură – 20</w:t>
      </w:r>
      <w:r w:rsidR="003E18C2">
        <w:rPr>
          <w:rFonts w:asciiTheme="majorHAnsi" w:hAnsiTheme="majorHAnsi" w:cstheme="majorHAnsi"/>
          <w:sz w:val="16"/>
          <w:szCs w:val="16"/>
          <w:lang w:val="ro-RO"/>
        </w:rPr>
        <w:t>.</w:t>
      </w:r>
      <w:r w:rsidRPr="00933D52">
        <w:rPr>
          <w:rFonts w:asciiTheme="majorHAnsi" w:hAnsiTheme="majorHAnsi" w:cstheme="majorHAnsi"/>
          <w:sz w:val="16"/>
          <w:szCs w:val="16"/>
          <w:lang w:val="ro-RO"/>
        </w:rPr>
        <w:t>040 kg cu valoarea de 20</w:t>
      </w:r>
      <w:r w:rsidR="003E18C2">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040,00 lei (a fost luată </w:t>
      </w:r>
      <w:r w:rsidR="003E18C2">
        <w:rPr>
          <w:rFonts w:asciiTheme="majorHAnsi" w:hAnsiTheme="majorHAnsi" w:cstheme="majorHAnsi"/>
          <w:sz w:val="16"/>
          <w:szCs w:val="16"/>
          <w:lang w:val="ro-RO"/>
        </w:rPr>
        <w:t>în</w:t>
      </w:r>
      <w:r w:rsidRPr="00933D52">
        <w:rPr>
          <w:rFonts w:asciiTheme="majorHAnsi" w:hAnsiTheme="majorHAnsi" w:cstheme="majorHAnsi"/>
          <w:sz w:val="16"/>
          <w:szCs w:val="16"/>
          <w:lang w:val="ro-RO"/>
        </w:rPr>
        <w:t xml:space="preserve"> evidență în anul 2021); metale feroase - 76 kg cu valoarea </w:t>
      </w:r>
      <w:r w:rsidR="003E18C2">
        <w:rPr>
          <w:rFonts w:asciiTheme="majorHAnsi" w:hAnsiTheme="majorHAnsi" w:cstheme="majorHAnsi"/>
          <w:sz w:val="16"/>
          <w:szCs w:val="16"/>
          <w:lang w:val="ro-RO"/>
        </w:rPr>
        <w:t xml:space="preserve">de </w:t>
      </w:r>
      <w:r w:rsidRPr="00933D52">
        <w:rPr>
          <w:rFonts w:asciiTheme="majorHAnsi" w:hAnsiTheme="majorHAnsi" w:cstheme="majorHAnsi"/>
          <w:sz w:val="16"/>
          <w:szCs w:val="16"/>
          <w:lang w:val="ro-RO"/>
        </w:rPr>
        <w:t xml:space="preserve">228,00 lei (au fost luate </w:t>
      </w:r>
      <w:r w:rsidR="003E18C2">
        <w:rPr>
          <w:rFonts w:asciiTheme="majorHAnsi" w:hAnsiTheme="majorHAnsi" w:cstheme="majorHAnsi"/>
          <w:sz w:val="16"/>
          <w:szCs w:val="16"/>
          <w:lang w:val="ro-RO"/>
        </w:rPr>
        <w:t>în</w:t>
      </w:r>
      <w:r w:rsidRPr="00933D52">
        <w:rPr>
          <w:rFonts w:asciiTheme="majorHAnsi" w:hAnsiTheme="majorHAnsi" w:cstheme="majorHAnsi"/>
          <w:sz w:val="16"/>
          <w:szCs w:val="16"/>
          <w:lang w:val="ro-RO"/>
        </w:rPr>
        <w:t xml:space="preserve"> evidență în anul 2021).</w:t>
      </w:r>
    </w:p>
  </w:footnote>
  <w:footnote w:id="48">
    <w:p w:rsidR="00585BDF" w:rsidRPr="00933D52" w:rsidRDefault="00585BDF" w:rsidP="009D023E">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vertAlign w:val="superscript"/>
          <w:lang w:val="ro-RO"/>
        </w:rPr>
        <w:t xml:space="preserve"> </w:t>
      </w:r>
      <w:r w:rsidRPr="00933D52">
        <w:rPr>
          <w:rFonts w:asciiTheme="majorHAnsi" w:hAnsiTheme="majorHAnsi" w:cstheme="majorHAnsi"/>
          <w:sz w:val="16"/>
          <w:szCs w:val="16"/>
          <w:lang w:val="ro-RO"/>
        </w:rPr>
        <w:t xml:space="preserve">Pct.3.2.60. din </w:t>
      </w:r>
      <w:r w:rsidRPr="00933D52">
        <w:rPr>
          <w:rFonts w:asciiTheme="majorHAnsi" w:hAnsiTheme="majorHAnsi" w:cstheme="majorHAnsi"/>
          <w:bCs/>
          <w:sz w:val="16"/>
          <w:szCs w:val="16"/>
          <w:lang w:val="ro-RO"/>
        </w:rPr>
        <w:t>Planul de conturi contabile –</w:t>
      </w:r>
      <w:r w:rsidRPr="00933D52">
        <w:rPr>
          <w:rFonts w:asciiTheme="majorHAnsi" w:hAnsiTheme="majorHAnsi" w:cstheme="majorHAnsi"/>
          <w:sz w:val="16"/>
          <w:szCs w:val="16"/>
          <w:lang w:val="ro-RO"/>
        </w:rPr>
        <w:t xml:space="preserve"> „La subcontul de nivelul II 289900</w:t>
      </w:r>
      <w:r w:rsidRPr="00933D52">
        <w:rPr>
          <w:rFonts w:asciiTheme="majorHAnsi" w:hAnsiTheme="majorHAnsi" w:cstheme="majorHAnsi"/>
          <w:iCs/>
          <w:sz w:val="16"/>
          <w:szCs w:val="16"/>
          <w:lang w:val="ro-RO"/>
        </w:rPr>
        <w:t xml:space="preserve"> „Alte cheltuieli ale autorităților/instituțiilor bugetare”</w:t>
      </w:r>
      <w:r w:rsidRPr="00933D52">
        <w:rPr>
          <w:rFonts w:asciiTheme="majorHAnsi" w:hAnsiTheme="majorHAnsi" w:cstheme="majorHAnsi"/>
          <w:sz w:val="16"/>
          <w:szCs w:val="16"/>
          <w:lang w:val="ro-RO"/>
        </w:rPr>
        <w:t xml:space="preserve"> se reflectă cheltuielile autorităților/instituțiilor bugetare altele decât cele menționate în această grupă de conturi”.</w:t>
      </w:r>
    </w:p>
  </w:footnote>
  <w:footnote w:id="49">
    <w:p w:rsidR="00585BDF" w:rsidRPr="00933D52" w:rsidRDefault="00585BDF" w:rsidP="009D023E">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 xml:space="preserve">DITS: </w:t>
      </w:r>
      <w:r w:rsidRPr="00933D52">
        <w:rPr>
          <w:rFonts w:asciiTheme="majorHAnsi" w:hAnsiTheme="majorHAnsi" w:cstheme="majorHAnsi"/>
          <w:sz w:val="16"/>
          <w:szCs w:val="16"/>
          <w:lang w:val="ro-RO"/>
        </w:rPr>
        <w:t>serviciile cadastrale executate până în anul 2020 pentru 60 construcții ale instituțiilor publice subordonate.</w:t>
      </w:r>
    </w:p>
  </w:footnote>
  <w:footnote w:id="50">
    <w:p w:rsidR="00585BDF" w:rsidRPr="00933D52" w:rsidRDefault="00585BDF" w:rsidP="008B50B5">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Pct.3.3.55. din Planul de conturi contabile – „Obiecte de inventar se consideră fiecare clădire aparte. În componenta clădirii intră toate comunicațiile din interiorul ei, care sunt necesare pentru exploatarea clădirii, după cum urmează: sistemul de încălzire din interiorul clădirii, inclusiv instalația de cazangerie (dacă aceasta se află în clădire), rețeaua interioară de alimentare cu apă și gaze și canalizare cu toate instalațiile aferente, rețeaua internă de forță și de lumină cu toate accesoriile, telefoanele interioare, rețelele de semnalizare și instalațiile de ventilație, de menire sanitară, ascensoarele”. Pct.3.3.44. din Planul de conturi contabile – „Valoarea de intrare a mijloacelor fixe în cazul procurării, construire sau confecționare constă din valoarea de cumpărare, inclusiv taxele vamale și taxele pentru import, cheltuielile de transport și achiziționare, cheltuielile de montaj și instalare și alte cheltuieli aferente pregătirii acestora pentru utilizare conform destinației”.</w:t>
      </w:r>
    </w:p>
  </w:footnote>
  <w:footnote w:id="51">
    <w:p w:rsidR="00585BDF" w:rsidRPr="00933D52" w:rsidRDefault="00585BDF" w:rsidP="008B50B5">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DÎTS:</w:t>
      </w:r>
      <w:r w:rsidRPr="00933D52">
        <w:rPr>
          <w:rFonts w:asciiTheme="majorHAnsi" w:hAnsiTheme="majorHAnsi" w:cstheme="majorHAnsi"/>
          <w:sz w:val="16"/>
          <w:szCs w:val="16"/>
          <w:lang w:val="ro-RO"/>
        </w:rPr>
        <w:t xml:space="preserve"> Lucrările </w:t>
      </w:r>
      <w:r w:rsidRPr="00933D52">
        <w:rPr>
          <w:rFonts w:asciiTheme="majorHAnsi" w:hAnsiTheme="majorHAnsi" w:cstheme="majorHAnsi"/>
          <w:iCs/>
          <w:sz w:val="16"/>
          <w:szCs w:val="16"/>
          <w:lang w:val="ro-RO"/>
        </w:rPr>
        <w:t>de montare a sistemului de semnalizare î</w:t>
      </w:r>
      <w:r w:rsidRPr="00933D52">
        <w:rPr>
          <w:rFonts w:asciiTheme="majorHAnsi" w:hAnsiTheme="majorHAnsi" w:cstheme="majorHAnsi"/>
          <w:sz w:val="16"/>
          <w:szCs w:val="16"/>
          <w:lang w:val="ro-RO"/>
        </w:rPr>
        <w:t xml:space="preserve">n clădirea </w:t>
      </w:r>
      <w:r w:rsidRPr="00933D52">
        <w:rPr>
          <w:rFonts w:asciiTheme="majorHAnsi" w:hAnsiTheme="majorHAnsi" w:cstheme="majorHAnsi"/>
          <w:iCs/>
          <w:sz w:val="16"/>
          <w:szCs w:val="16"/>
          <w:lang w:val="ro-RO"/>
        </w:rPr>
        <w:t>Școlii de sport nr.1</w:t>
      </w:r>
      <w:r w:rsidRPr="00933D52">
        <w:rPr>
          <w:rFonts w:asciiTheme="majorHAnsi" w:hAnsiTheme="majorHAnsi" w:cstheme="majorHAnsi"/>
          <w:sz w:val="16"/>
          <w:szCs w:val="16"/>
          <w:lang w:val="ro-RO"/>
        </w:rPr>
        <w:t>. Cheltuielile s-au raportat la subcontul 222990 „Servicii neatribuite altor alineate”.</w:t>
      </w:r>
    </w:p>
  </w:footnote>
  <w:footnote w:id="52">
    <w:p w:rsidR="00585BDF" w:rsidRPr="00933D52" w:rsidRDefault="00585BDF" w:rsidP="008B50B5">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CAP:</w:t>
      </w:r>
      <w:r w:rsidRPr="00933D52">
        <w:rPr>
          <w:rFonts w:asciiTheme="majorHAnsi" w:hAnsiTheme="majorHAnsi" w:cstheme="majorHAnsi"/>
          <w:sz w:val="16"/>
          <w:szCs w:val="16"/>
          <w:lang w:val="ro-RO"/>
        </w:rPr>
        <w:t xml:space="preserve"> Lucrările de montare a trei cazane cu gaz. Cheltuielile s-au raportat la subcontul 222990 „Servicii neatribuite altor alineate”.</w:t>
      </w:r>
    </w:p>
  </w:footnote>
  <w:footnote w:id="53">
    <w:p w:rsidR="00585BDF" w:rsidRPr="00933D52" w:rsidRDefault="00585BDF" w:rsidP="008B50B5">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w:t>
      </w:r>
      <w:r w:rsidRPr="00933D52">
        <w:rPr>
          <w:rFonts w:asciiTheme="majorHAnsi" w:hAnsiTheme="majorHAnsi" w:cstheme="majorHAnsi"/>
          <w:b/>
          <w:sz w:val="16"/>
          <w:szCs w:val="16"/>
          <w:lang w:val="ro-RO"/>
        </w:rPr>
        <w:t>CAP:</w:t>
      </w:r>
      <w:r w:rsidRPr="00933D52">
        <w:rPr>
          <w:rFonts w:asciiTheme="majorHAnsi" w:hAnsiTheme="majorHAnsi" w:cstheme="majorHAnsi"/>
          <w:sz w:val="16"/>
          <w:szCs w:val="16"/>
          <w:lang w:val="ro-RO"/>
        </w:rPr>
        <w:t xml:space="preserve"> Actele de recepție a lucrărilor pentru</w:t>
      </w:r>
      <w:r w:rsidR="007F536B">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reparația capitală a str. Lesecico (de la str. Bulgară până la str. Conev) </w:t>
      </w:r>
      <w:r w:rsidR="0054130B">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17</w:t>
      </w:r>
      <w:r w:rsidR="0054130B">
        <w:rPr>
          <w:rFonts w:asciiTheme="majorHAnsi" w:hAnsiTheme="majorHAnsi" w:cstheme="majorHAnsi"/>
          <w:sz w:val="16"/>
          <w:szCs w:val="16"/>
          <w:lang w:val="ro-RO"/>
        </w:rPr>
        <w:t>.</w:t>
      </w:r>
      <w:r w:rsidRPr="00933D52">
        <w:rPr>
          <w:rFonts w:asciiTheme="majorHAnsi" w:hAnsiTheme="majorHAnsi" w:cstheme="majorHAnsi"/>
          <w:sz w:val="16"/>
          <w:szCs w:val="16"/>
          <w:lang w:val="ro-RO"/>
        </w:rPr>
        <w:t>226,50 lei; reparația capitală a părții carosabile str. Păcii (de la str. Pușkin până la str. 31 August) – 9</w:t>
      </w:r>
      <w:r w:rsidR="0054130B">
        <w:rPr>
          <w:rFonts w:asciiTheme="majorHAnsi" w:hAnsiTheme="majorHAnsi" w:cstheme="majorHAnsi"/>
          <w:sz w:val="16"/>
          <w:szCs w:val="16"/>
          <w:lang w:val="ro-RO"/>
        </w:rPr>
        <w:t>.</w:t>
      </w:r>
      <w:r w:rsidRPr="00933D52">
        <w:rPr>
          <w:rFonts w:asciiTheme="majorHAnsi" w:hAnsiTheme="majorHAnsi" w:cstheme="majorHAnsi"/>
          <w:sz w:val="16"/>
          <w:szCs w:val="16"/>
          <w:lang w:val="ro-RO"/>
        </w:rPr>
        <w:t>719,49 lei (6</w:t>
      </w:r>
      <w:r w:rsidR="0054130B">
        <w:rPr>
          <w:rFonts w:asciiTheme="majorHAnsi" w:hAnsiTheme="majorHAnsi" w:cstheme="majorHAnsi"/>
          <w:sz w:val="16"/>
          <w:szCs w:val="16"/>
          <w:lang w:val="ro-RO"/>
        </w:rPr>
        <w:t>.</w:t>
      </w:r>
      <w:r w:rsidRPr="00933D52">
        <w:rPr>
          <w:rFonts w:asciiTheme="majorHAnsi" w:hAnsiTheme="majorHAnsi" w:cstheme="majorHAnsi"/>
          <w:sz w:val="16"/>
          <w:szCs w:val="16"/>
          <w:lang w:val="ro-RO"/>
        </w:rPr>
        <w:t>529,21 (cheltuieli directe) + 555,70 (plățile sociale 22,5%, de la salariu 2</w:t>
      </w:r>
      <w:r w:rsidR="0054130B">
        <w:rPr>
          <w:rFonts w:asciiTheme="majorHAnsi" w:hAnsiTheme="majorHAnsi" w:cstheme="majorHAnsi"/>
          <w:sz w:val="16"/>
          <w:szCs w:val="16"/>
          <w:lang w:val="ro-RO"/>
        </w:rPr>
        <w:t>.</w:t>
      </w:r>
      <w:r w:rsidRPr="00933D52">
        <w:rPr>
          <w:rFonts w:asciiTheme="majorHAnsi" w:hAnsiTheme="majorHAnsi" w:cstheme="majorHAnsi"/>
          <w:sz w:val="16"/>
          <w:szCs w:val="16"/>
          <w:lang w:val="ro-RO"/>
        </w:rPr>
        <w:t>469,78) + 133,95 (transportul materialelor 4%, de la costul materialelor 3</w:t>
      </w:r>
      <w:r w:rsidR="0054130B">
        <w:rPr>
          <w:rFonts w:asciiTheme="majorHAnsi" w:hAnsiTheme="majorHAnsi" w:cstheme="majorHAnsi"/>
          <w:sz w:val="16"/>
          <w:szCs w:val="16"/>
          <w:lang w:val="ro-RO"/>
        </w:rPr>
        <w:t>.</w:t>
      </w:r>
      <w:r w:rsidRPr="00933D52">
        <w:rPr>
          <w:rFonts w:asciiTheme="majorHAnsi" w:hAnsiTheme="majorHAnsi" w:cstheme="majorHAnsi"/>
          <w:sz w:val="16"/>
          <w:szCs w:val="16"/>
          <w:lang w:val="ro-RO"/>
        </w:rPr>
        <w:t>348,74) + 721,89 (regie 10%, de la cheltuieli directe, plăti sociale, transportarea materialelor) + 158,82 (beneficiu) + 1</w:t>
      </w:r>
      <w:r w:rsidR="0054130B">
        <w:rPr>
          <w:rFonts w:asciiTheme="majorHAnsi" w:hAnsiTheme="majorHAnsi" w:cstheme="majorHAnsi"/>
          <w:sz w:val="16"/>
          <w:szCs w:val="16"/>
          <w:lang w:val="ro-RO"/>
        </w:rPr>
        <w:t>.</w:t>
      </w:r>
      <w:r w:rsidRPr="00933D52">
        <w:rPr>
          <w:rFonts w:asciiTheme="majorHAnsi" w:hAnsiTheme="majorHAnsi" w:cstheme="majorHAnsi"/>
          <w:sz w:val="16"/>
          <w:szCs w:val="16"/>
          <w:lang w:val="ro-RO"/>
        </w:rPr>
        <w:t>619,92 (TVA 20%)).</w:t>
      </w:r>
    </w:p>
  </w:footnote>
  <w:footnote w:id="54">
    <w:p w:rsidR="00585BDF" w:rsidRPr="00933D52" w:rsidRDefault="00585BDF" w:rsidP="008B50B5">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Pct.3.2.19. din </w:t>
      </w:r>
      <w:r w:rsidRPr="00933D52">
        <w:rPr>
          <w:rFonts w:asciiTheme="majorHAnsi" w:hAnsiTheme="majorHAnsi" w:cstheme="majorHAnsi"/>
          <w:bCs/>
          <w:sz w:val="16"/>
          <w:szCs w:val="16"/>
          <w:lang w:val="ro-RO"/>
        </w:rPr>
        <w:t>Planul de conturi contabile – „</w:t>
      </w:r>
      <w:r w:rsidRPr="00933D52">
        <w:rPr>
          <w:rFonts w:asciiTheme="majorHAnsi" w:hAnsiTheme="majorHAnsi" w:cstheme="majorHAnsi"/>
          <w:sz w:val="16"/>
          <w:szCs w:val="16"/>
          <w:lang w:val="ro-RO"/>
        </w:rPr>
        <w:t>La subcontul de nivelul II 222500</w:t>
      </w:r>
      <w:r w:rsidRPr="00933D52">
        <w:rPr>
          <w:rFonts w:asciiTheme="majorHAnsi" w:hAnsiTheme="majorHAnsi" w:cstheme="majorHAnsi"/>
          <w:iCs/>
          <w:sz w:val="16"/>
          <w:szCs w:val="16"/>
          <w:lang w:val="ro-RO"/>
        </w:rPr>
        <w:t xml:space="preserve"> „Servicii de reparații curente”</w:t>
      </w:r>
      <w:r w:rsidRPr="00933D52">
        <w:rPr>
          <w:rFonts w:asciiTheme="majorHAnsi" w:hAnsiTheme="majorHAnsi" w:cstheme="majorHAnsi"/>
          <w:sz w:val="16"/>
          <w:szCs w:val="16"/>
          <w:lang w:val="ro-RO"/>
        </w:rPr>
        <w:t xml:space="preserve"> se reflectă cheltuielile pentru serviciile de reparație curentă a clădirilor, utilajului, inventarului, altor bunuri, precum și întreținerea și reparația curentă a drumurilor auto naționale și locale”.</w:t>
      </w:r>
    </w:p>
  </w:footnote>
  <w:footnote w:id="55">
    <w:p w:rsidR="00585BDF" w:rsidRPr="00933D52" w:rsidRDefault="00585BDF" w:rsidP="008B50B5">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Cheltuielile urmau a fi raportate la subcontul de evidență 222500 „Servicii de reparații curente”.</w:t>
      </w:r>
    </w:p>
  </w:footnote>
  <w:footnote w:id="56">
    <w:p w:rsidR="00585BDF" w:rsidRPr="00933D52" w:rsidRDefault="00585BDF" w:rsidP="004C2976">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Lucrările de reparație capitală la LT „B.P. Hajdeu”.</w:t>
      </w:r>
    </w:p>
  </w:footnote>
  <w:footnote w:id="57">
    <w:p w:rsidR="00585BDF" w:rsidRPr="00933D52" w:rsidRDefault="00585BDF" w:rsidP="004C2976">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Lucrările de reparație capitală a străzii și cimitirului.</w:t>
      </w:r>
    </w:p>
  </w:footnote>
  <w:footnote w:id="58">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Î.M. „Direcția Construcții Capitale Comanditar Unic”: 1) 2</w:t>
      </w:r>
      <w:r w:rsidR="0054130B">
        <w:rPr>
          <w:rFonts w:asciiTheme="majorHAnsi" w:hAnsiTheme="majorHAnsi" w:cstheme="majorHAnsi"/>
          <w:sz w:val="16"/>
          <w:szCs w:val="16"/>
          <w:lang w:val="ro-RO"/>
        </w:rPr>
        <w:t>.</w:t>
      </w:r>
      <w:r w:rsidRPr="00933D52">
        <w:rPr>
          <w:rFonts w:asciiTheme="majorHAnsi" w:hAnsiTheme="majorHAnsi" w:cstheme="majorHAnsi"/>
          <w:sz w:val="16"/>
          <w:szCs w:val="16"/>
          <w:lang w:val="ro-RO"/>
        </w:rPr>
        <w:t>834</w:t>
      </w:r>
      <w:r w:rsidR="0054130B">
        <w:rPr>
          <w:rFonts w:asciiTheme="majorHAnsi" w:hAnsiTheme="majorHAnsi" w:cstheme="majorHAnsi"/>
          <w:sz w:val="16"/>
          <w:szCs w:val="16"/>
          <w:lang w:val="ro-RO"/>
        </w:rPr>
        <w:t>.</w:t>
      </w:r>
      <w:r w:rsidRPr="00933D52">
        <w:rPr>
          <w:rFonts w:asciiTheme="majorHAnsi" w:hAnsiTheme="majorHAnsi" w:cstheme="majorHAnsi"/>
          <w:sz w:val="16"/>
          <w:szCs w:val="16"/>
          <w:lang w:val="ro-RO"/>
        </w:rPr>
        <w:t>700,00 lei - achitarea energiei electrice pentru iluminatul public stradal; 2) 1</w:t>
      </w:r>
      <w:r w:rsidR="0054130B">
        <w:rPr>
          <w:rFonts w:asciiTheme="majorHAnsi" w:hAnsiTheme="majorHAnsi" w:cstheme="majorHAnsi"/>
          <w:sz w:val="16"/>
          <w:szCs w:val="16"/>
          <w:lang w:val="ro-RO"/>
        </w:rPr>
        <w:t>.</w:t>
      </w:r>
      <w:r w:rsidRPr="00933D52">
        <w:rPr>
          <w:rFonts w:asciiTheme="majorHAnsi" w:hAnsiTheme="majorHAnsi" w:cstheme="majorHAnsi"/>
          <w:sz w:val="16"/>
          <w:szCs w:val="16"/>
          <w:lang w:val="ro-RO"/>
        </w:rPr>
        <w:t>732</w:t>
      </w:r>
      <w:r w:rsidR="0054130B">
        <w:rPr>
          <w:rFonts w:asciiTheme="majorHAnsi" w:hAnsiTheme="majorHAnsi" w:cstheme="majorHAnsi"/>
          <w:sz w:val="16"/>
          <w:szCs w:val="16"/>
          <w:lang w:val="ro-RO"/>
        </w:rPr>
        <w:t>.</w:t>
      </w:r>
      <w:r w:rsidRPr="00933D52">
        <w:rPr>
          <w:rFonts w:asciiTheme="majorHAnsi" w:hAnsiTheme="majorHAnsi" w:cstheme="majorHAnsi"/>
          <w:sz w:val="16"/>
          <w:szCs w:val="16"/>
          <w:lang w:val="ro-RO"/>
        </w:rPr>
        <w:t>500,00 lei - pentru întreținerea și deservirea tehnică a obiectelor de iluminare stradală.</w:t>
      </w:r>
    </w:p>
  </w:footnote>
  <w:footnote w:id="59">
    <w:p w:rsidR="00585BDF" w:rsidRPr="00933D52" w:rsidRDefault="00585BDF" w:rsidP="00AA35B7">
      <w:pPr>
        <w:pStyle w:val="FootnoteText"/>
        <w:jc w:val="both"/>
        <w:rPr>
          <w:rFonts w:asciiTheme="majorHAnsi" w:hAnsiTheme="majorHAnsi" w:cstheme="majorHAnsi"/>
          <w:bCs/>
          <w:iCs/>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w:t>
      </w:r>
      <w:r w:rsidRPr="00933D52">
        <w:rPr>
          <w:rFonts w:asciiTheme="majorHAnsi" w:hAnsiTheme="majorHAnsi" w:cstheme="majorHAnsi"/>
          <w:bCs/>
          <w:iCs/>
          <w:sz w:val="16"/>
          <w:szCs w:val="16"/>
          <w:lang w:val="ro-RO"/>
        </w:rPr>
        <w:t>Conturile din subclasa 25 „Subvenții”</w:t>
      </w:r>
      <w:r w:rsidRPr="00933D52">
        <w:rPr>
          <w:rFonts w:asciiTheme="majorHAnsi" w:hAnsiTheme="majorHAnsi" w:cstheme="majorHAnsi"/>
          <w:b/>
          <w:bCs/>
          <w:iCs/>
          <w:sz w:val="16"/>
          <w:szCs w:val="16"/>
          <w:lang w:val="ro-RO"/>
        </w:rPr>
        <w:t xml:space="preserve"> </w:t>
      </w:r>
      <w:r w:rsidRPr="00933D52">
        <w:rPr>
          <w:rFonts w:asciiTheme="majorHAnsi" w:hAnsiTheme="majorHAnsi" w:cstheme="majorHAnsi"/>
          <w:bCs/>
          <w:iCs/>
          <w:sz w:val="16"/>
          <w:szCs w:val="16"/>
          <w:lang w:val="ro-RO"/>
        </w:rPr>
        <w:t>reprezintă plă</w:t>
      </w:r>
      <w:r w:rsidR="0054130B">
        <w:rPr>
          <w:rFonts w:asciiTheme="majorHAnsi" w:hAnsiTheme="majorHAnsi" w:cstheme="majorHAnsi"/>
          <w:bCs/>
          <w:iCs/>
          <w:sz w:val="16"/>
          <w:szCs w:val="16"/>
          <w:lang w:val="ro-RO"/>
        </w:rPr>
        <w:t>ț</w:t>
      </w:r>
      <w:r w:rsidRPr="00933D52">
        <w:rPr>
          <w:rFonts w:asciiTheme="majorHAnsi" w:hAnsiTheme="majorHAnsi" w:cstheme="majorHAnsi"/>
          <w:bCs/>
          <w:iCs/>
          <w:sz w:val="16"/>
          <w:szCs w:val="16"/>
          <w:lang w:val="ro-RO"/>
        </w:rPr>
        <w:t>i achitate entităților producătoare sau prestatoare de servicii, cu scopul de a influen</w:t>
      </w:r>
      <w:r w:rsidR="0054130B">
        <w:rPr>
          <w:rFonts w:asciiTheme="majorHAnsi" w:hAnsiTheme="majorHAnsi" w:cstheme="majorHAnsi"/>
          <w:bCs/>
          <w:iCs/>
          <w:sz w:val="16"/>
          <w:szCs w:val="16"/>
          <w:lang w:val="ro-RO"/>
        </w:rPr>
        <w:t>ț</w:t>
      </w:r>
      <w:r w:rsidRPr="00933D52">
        <w:rPr>
          <w:rFonts w:asciiTheme="majorHAnsi" w:hAnsiTheme="majorHAnsi" w:cstheme="majorHAnsi"/>
          <w:bCs/>
          <w:iCs/>
          <w:sz w:val="16"/>
          <w:szCs w:val="16"/>
          <w:lang w:val="ro-RO"/>
        </w:rPr>
        <w:t>a procesul de producere sau prețurile de livrare”.</w:t>
      </w:r>
    </w:p>
  </w:footnote>
  <w:footnote w:id="60">
    <w:p w:rsidR="00585BDF" w:rsidRPr="00933D52" w:rsidRDefault="00585BDF" w:rsidP="00AA35B7">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Pct.3.2.23. din Planul de conturi contabile – „La subcontul de nivelul II 222990 „Servicii neatribuite altor alineate” se reflectă cheltuielile pentru alte tipuri de servicii care nu pot fi reflectate la subconturile (222910)-(222980), inclusiv serviciile de alimentare a copiilor și elevilor din instituțiile de învățământ, precum și a păturilor socialmente vulnerabile în cantinele de ajutor social, flori/cadouri care nu pot fi atribuite la grupa de conturi 339 „Alte materiale” și nu pot fi reflectate la subcontul 222920, precum și cheltuielile pentru audit intern prin asociere sau pe bază de contract”.</w:t>
      </w:r>
    </w:p>
  </w:footnote>
  <w:footnote w:id="61">
    <w:p w:rsidR="00585BDF" w:rsidRPr="00933D52" w:rsidRDefault="00585BDF" w:rsidP="007D4A1B">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În temeiul prevederilor Legii nr.229 din 23.09.2010 </w:t>
      </w:r>
      <w:r w:rsidR="009928C6">
        <w:rPr>
          <w:rFonts w:asciiTheme="majorHAnsi" w:hAnsiTheme="majorHAnsi" w:cstheme="majorHAnsi"/>
          <w:sz w:val="16"/>
          <w:szCs w:val="16"/>
          <w:lang w:val="ro-RO"/>
        </w:rPr>
        <w:t>p</w:t>
      </w:r>
      <w:r w:rsidRPr="00933D52">
        <w:rPr>
          <w:rFonts w:asciiTheme="majorHAnsi" w:hAnsiTheme="majorHAnsi" w:cstheme="majorHAnsi"/>
          <w:sz w:val="16"/>
          <w:szCs w:val="16"/>
          <w:lang w:val="ro-RO"/>
        </w:rPr>
        <w:t>rivind controlul financiar public intern.</w:t>
      </w:r>
    </w:p>
  </w:footnote>
  <w:footnote w:id="62">
    <w:p w:rsidR="00585BDF" w:rsidRPr="00933D52" w:rsidRDefault="00585BDF" w:rsidP="007D4A1B">
      <w:pPr>
        <w:pStyle w:val="FootnoteText"/>
        <w:jc w:val="both"/>
        <w:rPr>
          <w:rFonts w:asciiTheme="majorHAnsi" w:hAnsiTheme="majorHAnsi" w:cstheme="majorHAnsi"/>
          <w:sz w:val="16"/>
          <w:szCs w:val="16"/>
          <w:lang w:val="ro-MD"/>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Cuprinderea în buget a unor cheltuieli ce nu se justifică; încălcarea clauzelor parteneriatului public-privat a</w:t>
      </w:r>
      <w:r w:rsidR="009928C6">
        <w:rPr>
          <w:rFonts w:asciiTheme="majorHAnsi" w:hAnsiTheme="majorHAnsi" w:cstheme="majorHAnsi"/>
          <w:sz w:val="16"/>
          <w:szCs w:val="16"/>
          <w:lang w:val="ro-RO"/>
        </w:rPr>
        <w:t>le</w:t>
      </w:r>
      <w:r w:rsidRPr="00933D52">
        <w:rPr>
          <w:rFonts w:asciiTheme="majorHAnsi" w:hAnsiTheme="majorHAnsi" w:cstheme="majorHAnsi"/>
          <w:sz w:val="16"/>
          <w:szCs w:val="16"/>
          <w:lang w:val="ro-RO"/>
        </w:rPr>
        <w:t xml:space="preserve"> uneia dintre părți.</w:t>
      </w:r>
    </w:p>
  </w:footnote>
  <w:footnote w:id="63">
    <w:p w:rsidR="00585BDF" w:rsidRPr="00933D52" w:rsidRDefault="00585BDF" w:rsidP="00C363C2">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Acte normative de domeniu: Regulamentul intern al Serviciului de audit intern; Carta de audit intern; Codul </w:t>
      </w:r>
      <w:r w:rsidR="009928C6">
        <w:rPr>
          <w:rFonts w:asciiTheme="majorHAnsi" w:hAnsiTheme="majorHAnsi" w:cstheme="majorHAnsi"/>
          <w:sz w:val="16"/>
          <w:szCs w:val="16"/>
          <w:lang w:val="ro-RO"/>
        </w:rPr>
        <w:t>e</w:t>
      </w:r>
      <w:r w:rsidRPr="00933D52">
        <w:rPr>
          <w:rFonts w:asciiTheme="majorHAnsi" w:hAnsiTheme="majorHAnsi" w:cstheme="majorHAnsi"/>
          <w:sz w:val="16"/>
          <w:szCs w:val="16"/>
          <w:lang w:val="ro-RO"/>
        </w:rPr>
        <w:t>tic al auditorului intern; Planul anual al activității de audit intern (misiunile de audit; concilierea unor probleme; seminare; instruiri; asistarea la perfectarea Raportului anual privind CIM).</w:t>
      </w:r>
    </w:p>
  </w:footnote>
  <w:footnote w:id="64">
    <w:p w:rsidR="00585BDF" w:rsidRPr="00933D52" w:rsidRDefault="00585BDF" w:rsidP="004B2560">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Anul 2019: „Eficacitatea rețelei de asistență socială în cadrul Primăriei municipiului Bălți”. Anul 2020 - 2 misiuni de audit intern: „Evaluarea sistematică și oferirea recomandărilor de îmbunătățire a sistemului de control intern managerial pe anul 2018-2019, în cadrul întreprinderii municipale „Gospodăria Locativ-Comunală Bălți”; „Evaluarea sistemului managementului financiar în Direcția Cultură și în instituțiile publice subordonate ei”.</w:t>
      </w:r>
    </w:p>
  </w:footnote>
  <w:footnote w:id="65">
    <w:p w:rsidR="00585BDF" w:rsidRPr="00933D52" w:rsidRDefault="00585BDF" w:rsidP="00A73E81">
      <w:pPr>
        <w:pStyle w:val="FootnoteText"/>
        <w:jc w:val="both"/>
        <w:rPr>
          <w:rFonts w:asciiTheme="majorHAnsi" w:hAnsiTheme="majorHAnsi" w:cstheme="majorHAnsi"/>
          <w:bCs/>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Hotărârea Curții de Conturi nr.38 din 25.06.2018 „</w:t>
      </w:r>
      <w:r w:rsidRPr="00933D52">
        <w:rPr>
          <w:rFonts w:asciiTheme="majorHAnsi" w:hAnsiTheme="majorHAnsi" w:cstheme="majorHAnsi"/>
          <w:bCs/>
          <w:sz w:val="16"/>
          <w:szCs w:val="16"/>
          <w:lang w:val="ro-RO"/>
        </w:rPr>
        <w:t>Cu privire la Raportul auditului situațiilor financiare aferente procesului bugetar și gestionării patrimoniului public ale mun. Bălți pe anul 2017”.</w:t>
      </w:r>
    </w:p>
  </w:footnote>
  <w:footnote w:id="66">
    <w:p w:rsidR="00585BDF" w:rsidRPr="00933D52" w:rsidRDefault="00585BDF" w:rsidP="00A73E81">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Trei recomandări din total</w:t>
      </w:r>
      <w:r w:rsidR="009928C6">
        <w:rPr>
          <w:rFonts w:asciiTheme="majorHAnsi" w:hAnsiTheme="majorHAnsi" w:cstheme="majorHAnsi"/>
          <w:sz w:val="16"/>
          <w:szCs w:val="16"/>
          <w:lang w:val="ro-RO"/>
        </w:rPr>
        <w:t>ul de</w:t>
      </w:r>
      <w:r w:rsidRPr="00933D52">
        <w:rPr>
          <w:rFonts w:asciiTheme="majorHAnsi" w:hAnsiTheme="majorHAnsi" w:cstheme="majorHAnsi"/>
          <w:sz w:val="16"/>
          <w:szCs w:val="16"/>
          <w:lang w:val="ro-RO"/>
        </w:rPr>
        <w:t xml:space="preserve"> 14 implementate sunt neactuale: 1) „să asigure constatarea costului lucrărilor de reparație capitală și de intervenție în construcții, executate de către locatar, care pot fi acceptate constructiv, și respectiv, să ajusteze valoarea imobilului dat în locațiune la valoarea acestor lucrări” – cazul dat a fost în litigiu, asupra căruia deja este aprobată hotărârea instanței de judecată și </w:t>
      </w:r>
      <w:r w:rsidR="009928C6">
        <w:rPr>
          <w:rFonts w:asciiTheme="majorHAnsi" w:hAnsiTheme="majorHAnsi" w:cstheme="majorHAnsi"/>
          <w:sz w:val="16"/>
          <w:szCs w:val="16"/>
          <w:lang w:val="ro-RO"/>
        </w:rPr>
        <w:t xml:space="preserve">a </w:t>
      </w:r>
      <w:r w:rsidRPr="00933D52">
        <w:rPr>
          <w:rFonts w:asciiTheme="majorHAnsi" w:hAnsiTheme="majorHAnsi" w:cstheme="majorHAnsi"/>
          <w:sz w:val="16"/>
          <w:szCs w:val="16"/>
          <w:lang w:val="ro-RO"/>
        </w:rPr>
        <w:t>fost emis titlu</w:t>
      </w:r>
      <w:r w:rsidR="009928C6">
        <w:rPr>
          <w:rFonts w:asciiTheme="majorHAnsi" w:hAnsiTheme="majorHAnsi" w:cstheme="majorHAnsi"/>
          <w:sz w:val="16"/>
          <w:szCs w:val="16"/>
          <w:lang w:val="ro-RO"/>
        </w:rPr>
        <w:t>l</w:t>
      </w:r>
      <w:r w:rsidRPr="00933D52">
        <w:rPr>
          <w:rFonts w:asciiTheme="majorHAnsi" w:hAnsiTheme="majorHAnsi" w:cstheme="majorHAnsi"/>
          <w:sz w:val="16"/>
          <w:szCs w:val="16"/>
          <w:lang w:val="ro-RO"/>
        </w:rPr>
        <w:t xml:space="preserve"> executoriu</w:t>
      </w:r>
      <w:r w:rsidR="009928C6">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2) „să asigure returnarea în bugetul municipal a subsidiilor nevalorificate de către Î.M. „DRCD” în sumă de 1</w:t>
      </w:r>
      <w:r w:rsidR="009928C6">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833,1 mii lei” - </w:t>
      </w:r>
      <w:r w:rsidR="009928C6">
        <w:rPr>
          <w:rFonts w:asciiTheme="majorHAnsi" w:hAnsiTheme="majorHAnsi" w:cstheme="majorHAnsi"/>
          <w:sz w:val="16"/>
          <w:szCs w:val="16"/>
          <w:lang w:val="ro-RO"/>
        </w:rPr>
        <w:t>pe</w:t>
      </w:r>
      <w:r w:rsidRPr="00933D52">
        <w:rPr>
          <w:rFonts w:asciiTheme="majorHAnsi" w:hAnsiTheme="majorHAnsi" w:cstheme="majorHAnsi"/>
          <w:sz w:val="16"/>
          <w:szCs w:val="16"/>
          <w:lang w:val="ro-RO"/>
        </w:rPr>
        <w:t xml:space="preserve">ntru executarea prevederilor art.19 alin.(3) din Legea nr.139 din 15.06.2012 </w:t>
      </w:r>
      <w:r w:rsidR="009928C6">
        <w:rPr>
          <w:rFonts w:asciiTheme="majorHAnsi" w:hAnsiTheme="majorHAnsi" w:cstheme="majorHAnsi"/>
          <w:sz w:val="16"/>
          <w:szCs w:val="16"/>
          <w:lang w:val="ro-RO"/>
        </w:rPr>
        <w:t>c</w:t>
      </w:r>
      <w:r w:rsidRPr="00933D52">
        <w:rPr>
          <w:rFonts w:asciiTheme="majorHAnsi" w:hAnsiTheme="majorHAnsi" w:cstheme="majorHAnsi"/>
          <w:sz w:val="16"/>
          <w:szCs w:val="16"/>
          <w:lang w:val="ro-RO"/>
        </w:rPr>
        <w:t xml:space="preserve">u privire la ajutorul de stat, </w:t>
      </w:r>
      <w:r w:rsidR="009928C6">
        <w:rPr>
          <w:rFonts w:asciiTheme="majorHAnsi" w:hAnsiTheme="majorHAnsi" w:cstheme="majorHAnsi"/>
          <w:sz w:val="16"/>
          <w:szCs w:val="16"/>
          <w:lang w:val="ro-RO"/>
        </w:rPr>
        <w:t>P</w:t>
      </w:r>
      <w:r w:rsidRPr="00933D52">
        <w:rPr>
          <w:rFonts w:asciiTheme="majorHAnsi" w:hAnsiTheme="majorHAnsi" w:cstheme="majorHAnsi"/>
          <w:sz w:val="16"/>
          <w:szCs w:val="16"/>
          <w:lang w:val="ro-RO"/>
        </w:rPr>
        <w:t xml:space="preserve">rimăria mun. Bălți a prezentat Consiliului Concurenței notificările cu privire la ajutoarele de stat acordate Î.M. </w:t>
      </w:r>
      <w:r w:rsidR="009928C6">
        <w:rPr>
          <w:rFonts w:asciiTheme="majorHAnsi" w:hAnsiTheme="majorHAnsi" w:cstheme="majorHAnsi"/>
          <w:sz w:val="16"/>
          <w:szCs w:val="16"/>
          <w:lang w:val="ro-RO"/>
        </w:rPr>
        <w:t>„</w:t>
      </w:r>
      <w:r w:rsidRPr="00933D52">
        <w:rPr>
          <w:rFonts w:asciiTheme="majorHAnsi" w:hAnsiTheme="majorHAnsi" w:cstheme="majorHAnsi"/>
          <w:sz w:val="16"/>
          <w:szCs w:val="16"/>
          <w:lang w:val="ro-RO"/>
        </w:rPr>
        <w:t>Direcția Reparații și Construcții Drumuri Bălți” pentru an</w:t>
      </w:r>
      <w:r w:rsidR="009928C6">
        <w:rPr>
          <w:rFonts w:asciiTheme="majorHAnsi" w:hAnsiTheme="majorHAnsi" w:cstheme="majorHAnsi"/>
          <w:sz w:val="16"/>
          <w:szCs w:val="16"/>
          <w:lang w:val="ro-RO"/>
        </w:rPr>
        <w:t>ii</w:t>
      </w:r>
      <w:r w:rsidRPr="00933D52">
        <w:rPr>
          <w:rFonts w:asciiTheme="majorHAnsi" w:hAnsiTheme="majorHAnsi" w:cstheme="majorHAnsi"/>
          <w:sz w:val="16"/>
          <w:szCs w:val="16"/>
          <w:lang w:val="ro-RO"/>
        </w:rPr>
        <w:t xml:space="preserve"> 2017 și 2018, în care sunt incluse mijloacele financiare în sumă de 1</w:t>
      </w:r>
      <w:r w:rsidR="009928C6">
        <w:rPr>
          <w:rFonts w:asciiTheme="majorHAnsi" w:hAnsiTheme="majorHAnsi" w:cstheme="majorHAnsi"/>
          <w:sz w:val="16"/>
          <w:szCs w:val="16"/>
          <w:lang w:val="ro-RO"/>
        </w:rPr>
        <w:t>.</w:t>
      </w:r>
      <w:r w:rsidRPr="00933D52">
        <w:rPr>
          <w:rFonts w:asciiTheme="majorHAnsi" w:hAnsiTheme="majorHAnsi" w:cstheme="majorHAnsi"/>
          <w:sz w:val="16"/>
          <w:szCs w:val="16"/>
          <w:lang w:val="ro-RO"/>
        </w:rPr>
        <w:t>833,1 mii lei. 3) „să asigure confirmarea și înregistrarea conformă în eviden</w:t>
      </w:r>
      <w:r w:rsidR="009928C6">
        <w:rPr>
          <w:rFonts w:asciiTheme="majorHAnsi" w:hAnsiTheme="majorHAnsi" w:cstheme="majorHAnsi"/>
          <w:sz w:val="16"/>
          <w:szCs w:val="16"/>
          <w:lang w:val="ro-RO"/>
        </w:rPr>
        <w:t>ț</w:t>
      </w:r>
      <w:r w:rsidRPr="00933D52">
        <w:rPr>
          <w:rFonts w:asciiTheme="majorHAnsi" w:hAnsiTheme="majorHAnsi" w:cstheme="majorHAnsi"/>
          <w:sz w:val="16"/>
          <w:szCs w:val="16"/>
          <w:lang w:val="ro-RO"/>
        </w:rPr>
        <w:t xml:space="preserve">ă a investițiilor aferente contractelor de concesiune/parteneriat public privat/etc., precum și revizuirea condițiilor contractuale, cu includerea unor prevederi exhaustive privind posibilitățile de compensare a cheltuielilor bugetare suportate pe obiectul concesiunii (recomandarea nr.4.7 reiterată din Hotărârea CCRM nr. 50 din 23.12.2015) - conform </w:t>
      </w:r>
      <w:r w:rsidR="009928C6">
        <w:rPr>
          <w:rFonts w:asciiTheme="majorHAnsi" w:hAnsiTheme="majorHAnsi" w:cstheme="majorHAnsi"/>
          <w:sz w:val="16"/>
          <w:szCs w:val="16"/>
          <w:lang w:val="ro-RO"/>
        </w:rPr>
        <w:t>D</w:t>
      </w:r>
      <w:r w:rsidRPr="00933D52">
        <w:rPr>
          <w:rFonts w:asciiTheme="majorHAnsi" w:hAnsiTheme="majorHAnsi" w:cstheme="majorHAnsi"/>
          <w:sz w:val="16"/>
          <w:szCs w:val="16"/>
          <w:lang w:val="ro-RO"/>
        </w:rPr>
        <w:t xml:space="preserve">eciziei </w:t>
      </w:r>
      <w:r w:rsidR="009928C6">
        <w:rPr>
          <w:rFonts w:asciiTheme="majorHAnsi" w:hAnsiTheme="majorHAnsi" w:cstheme="majorHAnsi"/>
          <w:sz w:val="16"/>
          <w:szCs w:val="16"/>
          <w:lang w:val="ro-RO"/>
        </w:rPr>
        <w:t>C</w:t>
      </w:r>
      <w:r w:rsidRPr="00933D52">
        <w:rPr>
          <w:rFonts w:asciiTheme="majorHAnsi" w:hAnsiTheme="majorHAnsi" w:cstheme="majorHAnsi"/>
          <w:sz w:val="16"/>
          <w:szCs w:val="16"/>
          <w:lang w:val="ro-RO"/>
        </w:rPr>
        <w:t>onsiliului local nr.1/31</w:t>
      </w:r>
      <w:r w:rsidR="009928C6">
        <w:rPr>
          <w:rFonts w:asciiTheme="majorHAnsi" w:hAnsiTheme="majorHAnsi" w:cstheme="majorHAnsi"/>
          <w:sz w:val="16"/>
          <w:szCs w:val="16"/>
          <w:lang w:val="ro-RO"/>
        </w:rPr>
        <w:t xml:space="preserve"> </w:t>
      </w:r>
      <w:r w:rsidRPr="00933D52">
        <w:rPr>
          <w:rFonts w:asciiTheme="majorHAnsi" w:hAnsiTheme="majorHAnsi" w:cstheme="majorHAnsi"/>
          <w:sz w:val="16"/>
          <w:szCs w:val="16"/>
          <w:lang w:val="ro-RO"/>
        </w:rPr>
        <w:t xml:space="preserve">din 23.02.2021 a fost inițiată procedura de reziliere </w:t>
      </w:r>
      <w:r w:rsidR="00F03DCC">
        <w:rPr>
          <w:rFonts w:asciiTheme="majorHAnsi" w:hAnsiTheme="majorHAnsi" w:cstheme="majorHAnsi"/>
          <w:sz w:val="16"/>
          <w:szCs w:val="16"/>
          <w:lang w:val="ro-RO"/>
        </w:rPr>
        <w:t xml:space="preserve">a </w:t>
      </w:r>
      <w:r w:rsidRPr="00933D52">
        <w:rPr>
          <w:rFonts w:asciiTheme="majorHAnsi" w:hAnsiTheme="majorHAnsi" w:cstheme="majorHAnsi"/>
          <w:sz w:val="16"/>
          <w:szCs w:val="16"/>
          <w:lang w:val="ro-RO"/>
        </w:rPr>
        <w:t>contractului în legătură cu neexecutarea esențială din partea concesionarului a obligațiilor contractuale de plată a redevenței și de efectuare a investițiilor în obiectul concesiunii, prevăzute în pct. 5.1-5.3 din contract.</w:t>
      </w:r>
    </w:p>
  </w:footnote>
  <w:footnote w:id="67">
    <w:p w:rsidR="00585BDF" w:rsidRPr="00933D52" w:rsidRDefault="00585BDF" w:rsidP="00B84D0D">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Politica de contabilitate aprobată în anul 2021 stabilește un criteriu suplimentar pentru atribuirea activelor la mijloace fixe – „valoarea activelor mai mare de 1</w:t>
      </w:r>
      <w:r w:rsidR="00F03DCC">
        <w:rPr>
          <w:rFonts w:asciiTheme="majorHAnsi" w:hAnsiTheme="majorHAnsi" w:cstheme="majorHAnsi"/>
          <w:sz w:val="16"/>
          <w:szCs w:val="16"/>
          <w:lang w:val="ro-RO"/>
        </w:rPr>
        <w:t>.</w:t>
      </w:r>
      <w:r w:rsidRPr="00933D52">
        <w:rPr>
          <w:rFonts w:asciiTheme="majorHAnsi" w:hAnsiTheme="majorHAnsi" w:cstheme="majorHAnsi"/>
          <w:sz w:val="16"/>
          <w:szCs w:val="16"/>
          <w:lang w:val="ro-RO"/>
        </w:rPr>
        <w:t>500,00 lei”.</w:t>
      </w:r>
    </w:p>
  </w:footnote>
  <w:footnote w:id="68">
    <w:p w:rsidR="00585BDF" w:rsidRPr="00933D52" w:rsidRDefault="00585BDF" w:rsidP="00B84D0D">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Politica de contabilitate aprobată nu stabilește criterii suplimentare, altele decât cele reglementate prin lege, pentru atribuirea activelor la mijloace fixe și stocuri de materiale circulante.</w:t>
      </w:r>
    </w:p>
  </w:footnote>
  <w:footnote w:id="69">
    <w:p w:rsidR="00585BDF" w:rsidRPr="00933D52" w:rsidRDefault="00585BDF" w:rsidP="00B84D0D">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Politica de contabilitate aprobată stabilește un criteriu suplimentar pentru atribuirea activelor la mijloace fixe – „materialele de uz gospodăresc cu valoarea mai mare de 1</w:t>
      </w:r>
      <w:r w:rsidR="00F03DCC">
        <w:rPr>
          <w:rFonts w:asciiTheme="majorHAnsi" w:hAnsiTheme="majorHAnsi" w:cstheme="majorHAnsi"/>
          <w:sz w:val="16"/>
          <w:szCs w:val="16"/>
          <w:lang w:val="ro-RO"/>
        </w:rPr>
        <w:t>.</w:t>
      </w:r>
      <w:r w:rsidRPr="00933D52">
        <w:rPr>
          <w:rFonts w:asciiTheme="majorHAnsi" w:hAnsiTheme="majorHAnsi" w:cstheme="majorHAnsi"/>
          <w:sz w:val="16"/>
          <w:szCs w:val="16"/>
          <w:lang w:val="ro-RO"/>
        </w:rPr>
        <w:t>000,00 lei pentru o unitate”.</w:t>
      </w:r>
    </w:p>
  </w:footnote>
  <w:footnote w:id="70">
    <w:p w:rsidR="00585BDF" w:rsidRPr="00933D52" w:rsidRDefault="00585BDF" w:rsidP="00B84D0D">
      <w:pPr>
        <w:pStyle w:val="FootnoteText"/>
        <w:jc w:val="both"/>
        <w:rPr>
          <w:rFonts w:asciiTheme="majorHAnsi" w:hAnsiTheme="majorHAnsi" w:cstheme="majorHAnsi"/>
          <w:sz w:val="16"/>
          <w:szCs w:val="16"/>
          <w:lang w:val="ro-MD"/>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Politica de contabilitate aprobată stabilește un criteriu suplimentar pentru atribuirea activelor la mijloace fixe – „active materiale cu durata utilă de exploatare mai mare de un an și la care agenții economici de comercializare oferă un termen de garanție de folosință mai mare de 12 luni de la data procurării”. „La subclasa „Stocuri de materiale circulante” se reflectă materialele care se află la păstrare în autoritățile/instituțiile bugetare cu scopul utilizării ulterioare pentru necesitățile instituției și bunurile materiale la care agenții economici oferă un termen de garanție de folosință </w:t>
      </w:r>
      <w:r w:rsidR="00F03DCC">
        <w:rPr>
          <w:rFonts w:asciiTheme="majorHAnsi" w:hAnsiTheme="majorHAnsi" w:cstheme="majorHAnsi"/>
          <w:sz w:val="16"/>
          <w:szCs w:val="16"/>
          <w:lang w:val="ro-RO"/>
        </w:rPr>
        <w:t xml:space="preserve">de </w:t>
      </w:r>
      <w:r w:rsidRPr="00933D52">
        <w:rPr>
          <w:rFonts w:asciiTheme="majorHAnsi" w:hAnsiTheme="majorHAnsi" w:cstheme="majorHAnsi"/>
          <w:sz w:val="16"/>
          <w:szCs w:val="16"/>
          <w:lang w:val="ro-RO"/>
        </w:rPr>
        <w:t>12 luni inclusiv, de asemenea mobilierul, mașini și utilaj cu uzura de 100%, încă în stare de funcționare, dar învechite fizic și moral”.</w:t>
      </w:r>
    </w:p>
  </w:footnote>
  <w:footnote w:id="71">
    <w:p w:rsidR="00585BDF" w:rsidRPr="00933D52" w:rsidRDefault="00585BDF" w:rsidP="00B84D0D">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Reglementările pct.3.3.173. din Planul de conturi contabile.</w:t>
      </w:r>
    </w:p>
  </w:footnote>
  <w:footnote w:id="72">
    <w:p w:rsidR="00585BDF" w:rsidRPr="00933D52" w:rsidRDefault="00585BDF" w:rsidP="00B84D0D">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Materialele circulante sunt bunurile materiale care sunt destinate pentru utilizare și consum curent (consumarea proprie a bunului sau transmiterea lui către beneficiarii de servicii publice), vânzare sau transmitere cu titlu gratuit. Prin urmare, se consideră că materialele circulante, ca regulă, urmează a fi consumate pe parcursul unui an de gestiune din momentul obținerii lor sau prin utilizarea lor ca accesorii pentru exploatarea unor mijloace fixe (ca exemplu, saltelele pentru paturi). </w:t>
      </w:r>
    </w:p>
  </w:footnote>
  <w:footnote w:id="73">
    <w:p w:rsidR="00585BDF" w:rsidRPr="00933D52" w:rsidRDefault="00585BDF" w:rsidP="00B84D0D">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Pct.13. din Catalogul aprobat prin Hotărârea Guvernului nr.338 din 21.03.2003 „Cu privire la aprobarea Catalogului mijloacelor fixe și activelor nemateriale”</w:t>
      </w:r>
      <w:r w:rsidR="00F03DCC">
        <w:rPr>
          <w:rFonts w:asciiTheme="majorHAnsi" w:hAnsiTheme="majorHAnsi" w:cstheme="majorHAnsi"/>
          <w:sz w:val="16"/>
          <w:szCs w:val="16"/>
          <w:lang w:val="ro-RO"/>
        </w:rPr>
        <w:t>:</w:t>
      </w:r>
      <w:r w:rsidRPr="00933D52">
        <w:rPr>
          <w:rFonts w:asciiTheme="majorHAnsi" w:hAnsiTheme="majorHAnsi" w:cstheme="majorHAnsi"/>
          <w:sz w:val="16"/>
          <w:szCs w:val="16"/>
          <w:lang w:val="ro-RO"/>
        </w:rPr>
        <w:t xml:space="preserve"> „Nu se includ în componența mijloacelor fixe și se raportă la investiții sau la stocuri de mărfuri și materiale:</w:t>
      </w:r>
      <w:r w:rsidRPr="002F288C">
        <w:rPr>
          <w:rFonts w:asciiTheme="majorHAnsi" w:hAnsiTheme="majorHAnsi" w:cstheme="majorHAnsi"/>
          <w:sz w:val="16"/>
          <w:szCs w:val="16"/>
          <w:lang w:val="ro-RO"/>
        </w:rPr>
        <w:t xml:space="preserve"> </w:t>
      </w:r>
      <w:r w:rsidRPr="00933D52">
        <w:rPr>
          <w:rFonts w:asciiTheme="majorHAnsi" w:hAnsiTheme="majorHAnsi" w:cstheme="majorHAnsi"/>
          <w:sz w:val="16"/>
          <w:szCs w:val="16"/>
          <w:lang w:val="ro-RO"/>
        </w:rPr>
        <w:t>obiectele destinate vânzării”.</w:t>
      </w:r>
    </w:p>
  </w:footnote>
  <w:footnote w:id="74">
    <w:p w:rsidR="00585BDF" w:rsidRPr="00933D52" w:rsidRDefault="00585BDF" w:rsidP="00B84D0D">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Pct.33. din Regulamentul privind inventarierea, aprobat prin ordinul </w:t>
      </w:r>
      <w:r w:rsidR="00F03DCC">
        <w:rPr>
          <w:rFonts w:asciiTheme="majorHAnsi" w:hAnsiTheme="majorHAnsi" w:cstheme="majorHAnsi"/>
          <w:sz w:val="16"/>
          <w:szCs w:val="16"/>
          <w:lang w:val="ro-RO"/>
        </w:rPr>
        <w:t>m</w:t>
      </w:r>
      <w:r w:rsidRPr="00933D52">
        <w:rPr>
          <w:rFonts w:asciiTheme="majorHAnsi" w:hAnsiTheme="majorHAnsi" w:cstheme="majorHAnsi"/>
          <w:sz w:val="16"/>
          <w:szCs w:val="16"/>
          <w:lang w:val="ro-RO"/>
        </w:rPr>
        <w:t xml:space="preserve">inistrului Finanțelor nr.60 din 29.05.2012 „Cu privire la aprobarea Regulamentului privind inventarierea” – „Comisia de inventariere întocmește </w:t>
      </w:r>
      <w:r w:rsidRPr="00933D52">
        <w:rPr>
          <w:rFonts w:asciiTheme="majorHAnsi" w:hAnsiTheme="majorHAnsi" w:cstheme="majorHAnsi"/>
          <w:iCs/>
          <w:sz w:val="16"/>
          <w:szCs w:val="16"/>
          <w:lang w:val="ro-RO"/>
        </w:rPr>
        <w:t xml:space="preserve">Procesul-verbal privind rezultatele inventarierii </w:t>
      </w:r>
      <w:r w:rsidRPr="00933D52">
        <w:rPr>
          <w:rFonts w:asciiTheme="majorHAnsi" w:hAnsiTheme="majorHAnsi" w:cstheme="majorHAnsi"/>
          <w:sz w:val="16"/>
          <w:szCs w:val="16"/>
          <w:lang w:val="ro-RO"/>
        </w:rPr>
        <w:t>care conține următoarele elemente: propunerile privind scoaterea din uz a bunurilor sau trecerea dintr-o categorie în alta; alte aspecte legate de activitatea subdiviziunii supuse inventarierii”.</w:t>
      </w:r>
    </w:p>
  </w:footnote>
  <w:footnote w:id="75">
    <w:p w:rsidR="00585BDF" w:rsidRPr="00933D52" w:rsidRDefault="00585BDF" w:rsidP="00B84D0D">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w:t>
      </w:r>
      <w:r w:rsidR="001548B3">
        <w:rPr>
          <w:rFonts w:asciiTheme="majorHAnsi" w:hAnsiTheme="majorHAnsi" w:cstheme="majorHAnsi"/>
          <w:sz w:val="16"/>
          <w:szCs w:val="16"/>
          <w:lang w:val="ro-RO"/>
        </w:rPr>
        <w:t>C</w:t>
      </w:r>
      <w:r w:rsidRPr="00933D52">
        <w:rPr>
          <w:rFonts w:asciiTheme="majorHAnsi" w:hAnsiTheme="majorHAnsi" w:cstheme="majorHAnsi"/>
          <w:sz w:val="16"/>
          <w:szCs w:val="16"/>
          <w:lang w:val="ro-RO"/>
        </w:rPr>
        <w:t>onform prevederilor art.18</w:t>
      </w:r>
      <w:r w:rsidRPr="00933D52">
        <w:rPr>
          <w:rFonts w:asciiTheme="majorHAnsi" w:hAnsiTheme="majorHAnsi" w:cstheme="majorHAnsi"/>
          <w:sz w:val="16"/>
          <w:szCs w:val="16"/>
          <w:vertAlign w:val="superscript"/>
          <w:lang w:val="ro-RO"/>
        </w:rPr>
        <w:t>3</w:t>
      </w:r>
      <w:r w:rsidRPr="00933D52">
        <w:rPr>
          <w:rFonts w:asciiTheme="majorHAnsi" w:hAnsiTheme="majorHAnsi" w:cstheme="majorHAnsi"/>
          <w:sz w:val="16"/>
          <w:szCs w:val="16"/>
          <w:lang w:val="ro-RO"/>
        </w:rPr>
        <w:t xml:space="preserve"> alin.(1) și alin.(2) din Legea</w:t>
      </w:r>
      <w:r w:rsidRPr="00933D52">
        <w:rPr>
          <w:rFonts w:asciiTheme="majorHAnsi" w:eastAsia="Times New Roman" w:hAnsiTheme="majorHAnsi" w:cstheme="majorHAnsi"/>
          <w:sz w:val="16"/>
          <w:szCs w:val="16"/>
          <w:lang w:val="ro-RO" w:eastAsia="ru-RU"/>
        </w:rPr>
        <w:t xml:space="preserve"> </w:t>
      </w:r>
      <w:r w:rsidRPr="00933D52">
        <w:rPr>
          <w:rFonts w:asciiTheme="majorHAnsi" w:hAnsiTheme="majorHAnsi" w:cstheme="majorHAnsi"/>
          <w:sz w:val="16"/>
          <w:szCs w:val="16"/>
          <w:lang w:val="ro-RO"/>
        </w:rPr>
        <w:t>privind protecția consumatorului nr.105-XV din 13.03.2003, termenul de garanție de până la 12 luni este condiționat doar de durat</w:t>
      </w:r>
      <w:r w:rsidR="00F03DCC">
        <w:rPr>
          <w:rFonts w:asciiTheme="majorHAnsi" w:hAnsiTheme="majorHAnsi" w:cstheme="majorHAnsi"/>
          <w:sz w:val="16"/>
          <w:szCs w:val="16"/>
          <w:lang w:val="ro-RO"/>
        </w:rPr>
        <w:t>a</w:t>
      </w:r>
      <w:r w:rsidRPr="00933D52">
        <w:rPr>
          <w:rFonts w:asciiTheme="majorHAnsi" w:hAnsiTheme="majorHAnsi" w:cstheme="majorHAnsi"/>
          <w:sz w:val="16"/>
          <w:szCs w:val="16"/>
          <w:lang w:val="ro-RO"/>
        </w:rPr>
        <w:t xml:space="preserve"> de funcționare cu termen respectiv, care este stabilită de către producător/vânzător, ceea ce și se corelează cu prevederile Planului de conturi contabile - mijloace fixe se consideră active materiale cu durata utilă de exploatare mai mare de 1 an.</w:t>
      </w:r>
    </w:p>
  </w:footnote>
  <w:footnote w:id="76">
    <w:p w:rsidR="00585BDF" w:rsidRPr="00933D52" w:rsidRDefault="00585BDF" w:rsidP="00B84D0D">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Reglementările pct.3.3.3. din Planul de conturi contabile.</w:t>
      </w:r>
    </w:p>
  </w:footnote>
  <w:footnote w:id="77">
    <w:p w:rsidR="00585BDF" w:rsidRPr="00933D52" w:rsidRDefault="00585BDF" w:rsidP="00B87CC5">
      <w:pPr>
        <w:pStyle w:val="FootnoteText"/>
        <w:jc w:val="both"/>
        <w:rPr>
          <w:rFonts w:asciiTheme="majorHAnsi" w:hAnsiTheme="majorHAnsi" w:cstheme="majorHAnsi"/>
          <w:sz w:val="16"/>
          <w:szCs w:val="16"/>
          <w:lang w:val="ro-RO"/>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Legea privind administrația publică locală nr.436-XVI din 28.12.2006.</w:t>
      </w:r>
    </w:p>
  </w:footnote>
  <w:footnote w:id="78">
    <w:p w:rsidR="00585BDF" w:rsidRPr="00490DAB" w:rsidRDefault="00585BDF" w:rsidP="00B87CC5">
      <w:pPr>
        <w:pStyle w:val="FootnoteText"/>
        <w:jc w:val="both"/>
        <w:rPr>
          <w:rFonts w:asciiTheme="majorHAnsi" w:hAnsiTheme="majorHAnsi" w:cstheme="majorHAnsi"/>
          <w:sz w:val="16"/>
          <w:szCs w:val="16"/>
          <w:lang w:val="ro-MD"/>
        </w:rPr>
      </w:pPr>
      <w:r w:rsidRPr="00933D52">
        <w:rPr>
          <w:rStyle w:val="FootnoteReference"/>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w:t>
      </w:r>
      <w:r w:rsidRPr="00933D52">
        <w:rPr>
          <w:rFonts w:asciiTheme="majorHAnsi" w:hAnsiTheme="majorHAnsi" w:cstheme="majorHAnsi"/>
          <w:sz w:val="16"/>
          <w:szCs w:val="16"/>
          <w:lang w:val="ro-RO" w:eastAsia="en-GB"/>
        </w:rPr>
        <w:t xml:space="preserve">Planul de conturi contabile în sistemul bugetar și Normele metodologice privind evidența contabilă și raportarea financiară în sistemul bugetar”, aprobate prin Ordinul ministrului </w:t>
      </w:r>
      <w:r w:rsidR="009928C6">
        <w:rPr>
          <w:rFonts w:asciiTheme="majorHAnsi" w:hAnsiTheme="majorHAnsi" w:cstheme="majorHAnsi"/>
          <w:sz w:val="16"/>
          <w:szCs w:val="16"/>
          <w:lang w:val="ro-RO" w:eastAsia="en-GB"/>
        </w:rPr>
        <w:t>F</w:t>
      </w:r>
      <w:r w:rsidRPr="00933D52">
        <w:rPr>
          <w:rFonts w:asciiTheme="majorHAnsi" w:hAnsiTheme="majorHAnsi" w:cstheme="majorHAnsi"/>
          <w:sz w:val="16"/>
          <w:szCs w:val="16"/>
          <w:lang w:val="ro-RO" w:eastAsia="en-GB"/>
        </w:rPr>
        <w:t>inanțelor nr.216 din 28.12.2015.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BB4"/>
    <w:multiLevelType w:val="hybridMultilevel"/>
    <w:tmpl w:val="EEBC4B4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384031F"/>
    <w:multiLevelType w:val="multilevel"/>
    <w:tmpl w:val="5AB07B56"/>
    <w:lvl w:ilvl="0">
      <w:start w:val="1"/>
      <w:numFmt w:val="upperRoman"/>
      <w:lvlText w:val="%1."/>
      <w:lvlJc w:val="left"/>
      <w:pPr>
        <w:ind w:left="3414" w:hanging="720"/>
      </w:pPr>
      <w:rPr>
        <w:rFonts w:hint="default"/>
      </w:rPr>
    </w:lvl>
    <w:lvl w:ilvl="1">
      <w:start w:val="5"/>
      <w:numFmt w:val="decimal"/>
      <w:isLgl/>
      <w:lvlText w:val="%1.%2."/>
      <w:lvlJc w:val="left"/>
      <w:pPr>
        <w:ind w:left="3954" w:hanging="720"/>
      </w:pPr>
      <w:rPr>
        <w:rFonts w:hint="default"/>
      </w:rPr>
    </w:lvl>
    <w:lvl w:ilvl="2">
      <w:start w:val="2"/>
      <w:numFmt w:val="decimal"/>
      <w:isLgl/>
      <w:lvlText w:val="%1.%2.%3."/>
      <w:lvlJc w:val="left"/>
      <w:pPr>
        <w:ind w:left="4134" w:hanging="720"/>
      </w:pPr>
      <w:rPr>
        <w:rFonts w:hint="default"/>
      </w:rPr>
    </w:lvl>
    <w:lvl w:ilvl="3">
      <w:start w:val="1"/>
      <w:numFmt w:val="decimal"/>
      <w:isLgl/>
      <w:lvlText w:val="%1.%2.%3.%4."/>
      <w:lvlJc w:val="left"/>
      <w:pPr>
        <w:ind w:left="4674" w:hanging="1080"/>
      </w:pPr>
      <w:rPr>
        <w:rFonts w:hint="default"/>
      </w:rPr>
    </w:lvl>
    <w:lvl w:ilvl="4">
      <w:start w:val="1"/>
      <w:numFmt w:val="decimal"/>
      <w:isLgl/>
      <w:lvlText w:val="%1.%2.%3.%4.%5."/>
      <w:lvlJc w:val="left"/>
      <w:pPr>
        <w:ind w:left="4854" w:hanging="1080"/>
      </w:pPr>
      <w:rPr>
        <w:rFonts w:hint="default"/>
      </w:rPr>
    </w:lvl>
    <w:lvl w:ilvl="5">
      <w:start w:val="1"/>
      <w:numFmt w:val="decimal"/>
      <w:isLgl/>
      <w:lvlText w:val="%1.%2.%3.%4.%5.%6."/>
      <w:lvlJc w:val="left"/>
      <w:pPr>
        <w:ind w:left="5394" w:hanging="1440"/>
      </w:pPr>
      <w:rPr>
        <w:rFonts w:hint="default"/>
      </w:rPr>
    </w:lvl>
    <w:lvl w:ilvl="6">
      <w:start w:val="1"/>
      <w:numFmt w:val="decimal"/>
      <w:isLgl/>
      <w:lvlText w:val="%1.%2.%3.%4.%5.%6.%7."/>
      <w:lvlJc w:val="left"/>
      <w:pPr>
        <w:ind w:left="5934" w:hanging="1800"/>
      </w:pPr>
      <w:rPr>
        <w:rFonts w:hint="default"/>
      </w:rPr>
    </w:lvl>
    <w:lvl w:ilvl="7">
      <w:start w:val="1"/>
      <w:numFmt w:val="decimal"/>
      <w:isLgl/>
      <w:lvlText w:val="%1.%2.%3.%4.%5.%6.%7.%8."/>
      <w:lvlJc w:val="left"/>
      <w:pPr>
        <w:ind w:left="6114" w:hanging="1800"/>
      </w:pPr>
      <w:rPr>
        <w:rFonts w:hint="default"/>
      </w:rPr>
    </w:lvl>
    <w:lvl w:ilvl="8">
      <w:start w:val="1"/>
      <w:numFmt w:val="decimal"/>
      <w:isLgl/>
      <w:lvlText w:val="%1.%2.%3.%4.%5.%6.%7.%8.%9."/>
      <w:lvlJc w:val="left"/>
      <w:pPr>
        <w:ind w:left="6654" w:hanging="2160"/>
      </w:pPr>
      <w:rPr>
        <w:rFonts w:hint="default"/>
      </w:rPr>
    </w:lvl>
  </w:abstractNum>
  <w:abstractNum w:abstractNumId="2" w15:restartNumberingAfterBreak="0">
    <w:nsid w:val="06E7730D"/>
    <w:multiLevelType w:val="multilevel"/>
    <w:tmpl w:val="CE74F56E"/>
    <w:lvl w:ilvl="0">
      <w:start w:val="3"/>
      <w:numFmt w:val="decimal"/>
      <w:lvlText w:val="%1"/>
      <w:lvlJc w:val="left"/>
      <w:pPr>
        <w:ind w:left="360" w:hanging="360"/>
      </w:pPr>
      <w:rPr>
        <w:rFonts w:hint="default"/>
        <w:b/>
        <w:i/>
      </w:rPr>
    </w:lvl>
    <w:lvl w:ilvl="1">
      <w:start w:val="2"/>
      <w:numFmt w:val="decimal"/>
      <w:lvlText w:val="%1.%2"/>
      <w:lvlJc w:val="left"/>
      <w:pPr>
        <w:ind w:left="1152" w:hanging="360"/>
      </w:pPr>
      <w:rPr>
        <w:rFonts w:hint="default"/>
        <w:b/>
        <w:i/>
      </w:rPr>
    </w:lvl>
    <w:lvl w:ilvl="2">
      <w:start w:val="1"/>
      <w:numFmt w:val="decimal"/>
      <w:lvlText w:val="%1.%2.%3"/>
      <w:lvlJc w:val="left"/>
      <w:pPr>
        <w:ind w:left="2304" w:hanging="720"/>
      </w:pPr>
      <w:rPr>
        <w:rFonts w:hint="default"/>
        <w:b/>
        <w:i/>
      </w:rPr>
    </w:lvl>
    <w:lvl w:ilvl="3">
      <w:start w:val="1"/>
      <w:numFmt w:val="decimal"/>
      <w:lvlText w:val="%1.%2.%3.%4"/>
      <w:lvlJc w:val="left"/>
      <w:pPr>
        <w:ind w:left="3096" w:hanging="720"/>
      </w:pPr>
      <w:rPr>
        <w:rFonts w:hint="default"/>
        <w:b/>
        <w:i/>
      </w:rPr>
    </w:lvl>
    <w:lvl w:ilvl="4">
      <w:start w:val="1"/>
      <w:numFmt w:val="decimal"/>
      <w:lvlText w:val="%1.%2.%3.%4.%5"/>
      <w:lvlJc w:val="left"/>
      <w:pPr>
        <w:ind w:left="4248" w:hanging="1080"/>
      </w:pPr>
      <w:rPr>
        <w:rFonts w:hint="default"/>
        <w:b/>
        <w:i/>
      </w:rPr>
    </w:lvl>
    <w:lvl w:ilvl="5">
      <w:start w:val="1"/>
      <w:numFmt w:val="decimal"/>
      <w:lvlText w:val="%1.%2.%3.%4.%5.%6"/>
      <w:lvlJc w:val="left"/>
      <w:pPr>
        <w:ind w:left="5040" w:hanging="1080"/>
      </w:pPr>
      <w:rPr>
        <w:rFonts w:hint="default"/>
        <w:b/>
        <w:i/>
      </w:rPr>
    </w:lvl>
    <w:lvl w:ilvl="6">
      <w:start w:val="1"/>
      <w:numFmt w:val="decimal"/>
      <w:lvlText w:val="%1.%2.%3.%4.%5.%6.%7"/>
      <w:lvlJc w:val="left"/>
      <w:pPr>
        <w:ind w:left="6192" w:hanging="1440"/>
      </w:pPr>
      <w:rPr>
        <w:rFonts w:hint="default"/>
        <w:b/>
        <w:i/>
      </w:rPr>
    </w:lvl>
    <w:lvl w:ilvl="7">
      <w:start w:val="1"/>
      <w:numFmt w:val="decimal"/>
      <w:lvlText w:val="%1.%2.%3.%4.%5.%6.%7.%8"/>
      <w:lvlJc w:val="left"/>
      <w:pPr>
        <w:ind w:left="6984" w:hanging="1440"/>
      </w:pPr>
      <w:rPr>
        <w:rFonts w:hint="default"/>
        <w:b/>
        <w:i/>
      </w:rPr>
    </w:lvl>
    <w:lvl w:ilvl="8">
      <w:start w:val="1"/>
      <w:numFmt w:val="decimal"/>
      <w:lvlText w:val="%1.%2.%3.%4.%5.%6.%7.%8.%9"/>
      <w:lvlJc w:val="left"/>
      <w:pPr>
        <w:ind w:left="8136" w:hanging="1800"/>
      </w:pPr>
      <w:rPr>
        <w:rFonts w:hint="default"/>
        <w:b/>
        <w:i/>
      </w:rPr>
    </w:lvl>
  </w:abstractNum>
  <w:abstractNum w:abstractNumId="3" w15:restartNumberingAfterBreak="0">
    <w:nsid w:val="094141BA"/>
    <w:multiLevelType w:val="multilevel"/>
    <w:tmpl w:val="DBACF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5" w15:restartNumberingAfterBreak="0">
    <w:nsid w:val="27133A17"/>
    <w:multiLevelType w:val="hybridMultilevel"/>
    <w:tmpl w:val="77601ED8"/>
    <w:lvl w:ilvl="0" w:tplc="A276153E">
      <w:numFmt w:val="bullet"/>
      <w:lvlText w:val="-"/>
      <w:lvlJc w:val="left"/>
      <w:pPr>
        <w:ind w:left="780" w:hanging="360"/>
      </w:pPr>
      <w:rPr>
        <w:rFonts w:ascii="Calibri Light" w:eastAsiaTheme="minorHAnsi" w:hAnsi="Calibri Light"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EC8674F"/>
    <w:multiLevelType w:val="hybridMultilevel"/>
    <w:tmpl w:val="4334956C"/>
    <w:lvl w:ilvl="0" w:tplc="B8BE0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61B58"/>
    <w:multiLevelType w:val="multilevel"/>
    <w:tmpl w:val="DBACF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7A0F01"/>
    <w:multiLevelType w:val="hybridMultilevel"/>
    <w:tmpl w:val="870A2B10"/>
    <w:lvl w:ilvl="0" w:tplc="E0BE9AF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1467909"/>
    <w:multiLevelType w:val="multilevel"/>
    <w:tmpl w:val="6212C162"/>
    <w:lvl w:ilvl="0">
      <w:start w:val="5"/>
      <w:numFmt w:val="decimal"/>
      <w:lvlText w:val="%1."/>
      <w:lvlJc w:val="left"/>
      <w:pPr>
        <w:ind w:left="360" w:hanging="360"/>
      </w:pPr>
      <w:rPr>
        <w:rFonts w:eastAsia="Calibri" w:hint="default"/>
      </w:rPr>
    </w:lvl>
    <w:lvl w:ilvl="1">
      <w:start w:val="1"/>
      <w:numFmt w:val="decimal"/>
      <w:lvlText w:val="%1.%2."/>
      <w:lvlJc w:val="left"/>
      <w:pPr>
        <w:ind w:left="1152" w:hanging="360"/>
      </w:pPr>
      <w:rPr>
        <w:rFonts w:eastAsia="Calibri" w:hint="default"/>
        <w:b/>
        <w:i/>
      </w:rPr>
    </w:lvl>
    <w:lvl w:ilvl="2">
      <w:start w:val="1"/>
      <w:numFmt w:val="decimal"/>
      <w:lvlText w:val="%1.%2.%3."/>
      <w:lvlJc w:val="left"/>
      <w:pPr>
        <w:ind w:left="2304" w:hanging="720"/>
      </w:pPr>
      <w:rPr>
        <w:rFonts w:eastAsia="Calibri" w:hint="default"/>
      </w:rPr>
    </w:lvl>
    <w:lvl w:ilvl="3">
      <w:start w:val="1"/>
      <w:numFmt w:val="decimal"/>
      <w:lvlText w:val="%1.%2.%3.%4."/>
      <w:lvlJc w:val="left"/>
      <w:pPr>
        <w:ind w:left="3096" w:hanging="720"/>
      </w:pPr>
      <w:rPr>
        <w:rFonts w:eastAsia="Calibri" w:hint="default"/>
      </w:rPr>
    </w:lvl>
    <w:lvl w:ilvl="4">
      <w:start w:val="1"/>
      <w:numFmt w:val="decimal"/>
      <w:lvlText w:val="%1.%2.%3.%4.%5."/>
      <w:lvlJc w:val="left"/>
      <w:pPr>
        <w:ind w:left="4248" w:hanging="1080"/>
      </w:pPr>
      <w:rPr>
        <w:rFonts w:eastAsia="Calibri" w:hint="default"/>
      </w:rPr>
    </w:lvl>
    <w:lvl w:ilvl="5">
      <w:start w:val="1"/>
      <w:numFmt w:val="decimal"/>
      <w:lvlText w:val="%1.%2.%3.%4.%5.%6."/>
      <w:lvlJc w:val="left"/>
      <w:pPr>
        <w:ind w:left="5040" w:hanging="1080"/>
      </w:pPr>
      <w:rPr>
        <w:rFonts w:eastAsia="Calibri" w:hint="default"/>
      </w:rPr>
    </w:lvl>
    <w:lvl w:ilvl="6">
      <w:start w:val="1"/>
      <w:numFmt w:val="decimal"/>
      <w:lvlText w:val="%1.%2.%3.%4.%5.%6.%7."/>
      <w:lvlJc w:val="left"/>
      <w:pPr>
        <w:ind w:left="6192" w:hanging="1440"/>
      </w:pPr>
      <w:rPr>
        <w:rFonts w:eastAsia="Calibri" w:hint="default"/>
      </w:rPr>
    </w:lvl>
    <w:lvl w:ilvl="7">
      <w:start w:val="1"/>
      <w:numFmt w:val="decimal"/>
      <w:lvlText w:val="%1.%2.%3.%4.%5.%6.%7.%8."/>
      <w:lvlJc w:val="left"/>
      <w:pPr>
        <w:ind w:left="6984" w:hanging="1440"/>
      </w:pPr>
      <w:rPr>
        <w:rFonts w:eastAsia="Calibri" w:hint="default"/>
      </w:rPr>
    </w:lvl>
    <w:lvl w:ilvl="8">
      <w:start w:val="1"/>
      <w:numFmt w:val="decimal"/>
      <w:lvlText w:val="%1.%2.%3.%4.%5.%6.%7.%8.%9."/>
      <w:lvlJc w:val="left"/>
      <w:pPr>
        <w:ind w:left="8136" w:hanging="1800"/>
      </w:pPr>
      <w:rPr>
        <w:rFonts w:eastAsia="Calibri" w:hint="default"/>
      </w:rPr>
    </w:lvl>
  </w:abstractNum>
  <w:abstractNum w:abstractNumId="10" w15:restartNumberingAfterBreak="0">
    <w:nsid w:val="3898627B"/>
    <w:multiLevelType w:val="hybridMultilevel"/>
    <w:tmpl w:val="A6A6B6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42C25"/>
    <w:multiLevelType w:val="multilevel"/>
    <w:tmpl w:val="6212C162"/>
    <w:lvl w:ilvl="0">
      <w:start w:val="5"/>
      <w:numFmt w:val="decimal"/>
      <w:lvlText w:val="%1."/>
      <w:lvlJc w:val="left"/>
      <w:pPr>
        <w:ind w:left="360" w:hanging="360"/>
      </w:pPr>
      <w:rPr>
        <w:rFonts w:eastAsia="Calibri" w:hint="default"/>
      </w:rPr>
    </w:lvl>
    <w:lvl w:ilvl="1">
      <w:start w:val="1"/>
      <w:numFmt w:val="decimal"/>
      <w:lvlText w:val="%1.%2."/>
      <w:lvlJc w:val="left"/>
      <w:pPr>
        <w:ind w:left="1152" w:hanging="360"/>
      </w:pPr>
      <w:rPr>
        <w:rFonts w:eastAsia="Calibri" w:hint="default"/>
        <w:b/>
        <w:i/>
      </w:rPr>
    </w:lvl>
    <w:lvl w:ilvl="2">
      <w:start w:val="1"/>
      <w:numFmt w:val="decimal"/>
      <w:lvlText w:val="%1.%2.%3."/>
      <w:lvlJc w:val="left"/>
      <w:pPr>
        <w:ind w:left="2304" w:hanging="720"/>
      </w:pPr>
      <w:rPr>
        <w:rFonts w:eastAsia="Calibri" w:hint="default"/>
      </w:rPr>
    </w:lvl>
    <w:lvl w:ilvl="3">
      <w:start w:val="1"/>
      <w:numFmt w:val="decimal"/>
      <w:lvlText w:val="%1.%2.%3.%4."/>
      <w:lvlJc w:val="left"/>
      <w:pPr>
        <w:ind w:left="3096" w:hanging="720"/>
      </w:pPr>
      <w:rPr>
        <w:rFonts w:eastAsia="Calibri" w:hint="default"/>
      </w:rPr>
    </w:lvl>
    <w:lvl w:ilvl="4">
      <w:start w:val="1"/>
      <w:numFmt w:val="decimal"/>
      <w:lvlText w:val="%1.%2.%3.%4.%5."/>
      <w:lvlJc w:val="left"/>
      <w:pPr>
        <w:ind w:left="4248" w:hanging="1080"/>
      </w:pPr>
      <w:rPr>
        <w:rFonts w:eastAsia="Calibri" w:hint="default"/>
      </w:rPr>
    </w:lvl>
    <w:lvl w:ilvl="5">
      <w:start w:val="1"/>
      <w:numFmt w:val="decimal"/>
      <w:lvlText w:val="%1.%2.%3.%4.%5.%6."/>
      <w:lvlJc w:val="left"/>
      <w:pPr>
        <w:ind w:left="5040" w:hanging="1080"/>
      </w:pPr>
      <w:rPr>
        <w:rFonts w:eastAsia="Calibri" w:hint="default"/>
      </w:rPr>
    </w:lvl>
    <w:lvl w:ilvl="6">
      <w:start w:val="1"/>
      <w:numFmt w:val="decimal"/>
      <w:lvlText w:val="%1.%2.%3.%4.%5.%6.%7."/>
      <w:lvlJc w:val="left"/>
      <w:pPr>
        <w:ind w:left="6192" w:hanging="1440"/>
      </w:pPr>
      <w:rPr>
        <w:rFonts w:eastAsia="Calibri" w:hint="default"/>
      </w:rPr>
    </w:lvl>
    <w:lvl w:ilvl="7">
      <w:start w:val="1"/>
      <w:numFmt w:val="decimal"/>
      <w:lvlText w:val="%1.%2.%3.%4.%5.%6.%7.%8."/>
      <w:lvlJc w:val="left"/>
      <w:pPr>
        <w:ind w:left="6984" w:hanging="1440"/>
      </w:pPr>
      <w:rPr>
        <w:rFonts w:eastAsia="Calibri" w:hint="default"/>
      </w:rPr>
    </w:lvl>
    <w:lvl w:ilvl="8">
      <w:start w:val="1"/>
      <w:numFmt w:val="decimal"/>
      <w:lvlText w:val="%1.%2.%3.%4.%5.%6.%7.%8.%9."/>
      <w:lvlJc w:val="left"/>
      <w:pPr>
        <w:ind w:left="8136" w:hanging="1800"/>
      </w:pPr>
      <w:rPr>
        <w:rFonts w:eastAsia="Calibri" w:hint="default"/>
      </w:rPr>
    </w:lvl>
  </w:abstractNum>
  <w:abstractNum w:abstractNumId="12" w15:restartNumberingAfterBreak="0">
    <w:nsid w:val="3C0726E9"/>
    <w:multiLevelType w:val="multilevel"/>
    <w:tmpl w:val="6212C162"/>
    <w:lvl w:ilvl="0">
      <w:start w:val="5"/>
      <w:numFmt w:val="decimal"/>
      <w:lvlText w:val="%1."/>
      <w:lvlJc w:val="left"/>
      <w:pPr>
        <w:ind w:left="360" w:hanging="360"/>
      </w:pPr>
      <w:rPr>
        <w:rFonts w:eastAsia="Calibri" w:hint="default"/>
      </w:rPr>
    </w:lvl>
    <w:lvl w:ilvl="1">
      <w:start w:val="1"/>
      <w:numFmt w:val="decimal"/>
      <w:lvlText w:val="%1.%2."/>
      <w:lvlJc w:val="left"/>
      <w:pPr>
        <w:ind w:left="1152" w:hanging="360"/>
      </w:pPr>
      <w:rPr>
        <w:rFonts w:eastAsia="Calibri" w:hint="default"/>
        <w:b/>
        <w:i/>
      </w:rPr>
    </w:lvl>
    <w:lvl w:ilvl="2">
      <w:start w:val="1"/>
      <w:numFmt w:val="decimal"/>
      <w:lvlText w:val="%1.%2.%3."/>
      <w:lvlJc w:val="left"/>
      <w:pPr>
        <w:ind w:left="2304" w:hanging="720"/>
      </w:pPr>
      <w:rPr>
        <w:rFonts w:eastAsia="Calibri" w:hint="default"/>
      </w:rPr>
    </w:lvl>
    <w:lvl w:ilvl="3">
      <w:start w:val="1"/>
      <w:numFmt w:val="decimal"/>
      <w:lvlText w:val="%1.%2.%3.%4."/>
      <w:lvlJc w:val="left"/>
      <w:pPr>
        <w:ind w:left="3096" w:hanging="720"/>
      </w:pPr>
      <w:rPr>
        <w:rFonts w:eastAsia="Calibri" w:hint="default"/>
      </w:rPr>
    </w:lvl>
    <w:lvl w:ilvl="4">
      <w:start w:val="1"/>
      <w:numFmt w:val="decimal"/>
      <w:lvlText w:val="%1.%2.%3.%4.%5."/>
      <w:lvlJc w:val="left"/>
      <w:pPr>
        <w:ind w:left="4248" w:hanging="1080"/>
      </w:pPr>
      <w:rPr>
        <w:rFonts w:eastAsia="Calibri" w:hint="default"/>
      </w:rPr>
    </w:lvl>
    <w:lvl w:ilvl="5">
      <w:start w:val="1"/>
      <w:numFmt w:val="decimal"/>
      <w:lvlText w:val="%1.%2.%3.%4.%5.%6."/>
      <w:lvlJc w:val="left"/>
      <w:pPr>
        <w:ind w:left="5040" w:hanging="1080"/>
      </w:pPr>
      <w:rPr>
        <w:rFonts w:eastAsia="Calibri" w:hint="default"/>
      </w:rPr>
    </w:lvl>
    <w:lvl w:ilvl="6">
      <w:start w:val="1"/>
      <w:numFmt w:val="decimal"/>
      <w:lvlText w:val="%1.%2.%3.%4.%5.%6.%7."/>
      <w:lvlJc w:val="left"/>
      <w:pPr>
        <w:ind w:left="6192" w:hanging="1440"/>
      </w:pPr>
      <w:rPr>
        <w:rFonts w:eastAsia="Calibri" w:hint="default"/>
      </w:rPr>
    </w:lvl>
    <w:lvl w:ilvl="7">
      <w:start w:val="1"/>
      <w:numFmt w:val="decimal"/>
      <w:lvlText w:val="%1.%2.%3.%4.%5.%6.%7.%8."/>
      <w:lvlJc w:val="left"/>
      <w:pPr>
        <w:ind w:left="6984" w:hanging="1440"/>
      </w:pPr>
      <w:rPr>
        <w:rFonts w:eastAsia="Calibri" w:hint="default"/>
      </w:rPr>
    </w:lvl>
    <w:lvl w:ilvl="8">
      <w:start w:val="1"/>
      <w:numFmt w:val="decimal"/>
      <w:lvlText w:val="%1.%2.%3.%4.%5.%6.%7.%8.%9."/>
      <w:lvlJc w:val="left"/>
      <w:pPr>
        <w:ind w:left="8136" w:hanging="1800"/>
      </w:pPr>
      <w:rPr>
        <w:rFonts w:eastAsia="Calibri" w:hint="default"/>
      </w:rPr>
    </w:lvl>
  </w:abstractNum>
  <w:abstractNum w:abstractNumId="13" w15:restartNumberingAfterBreak="0">
    <w:nsid w:val="4C9F439B"/>
    <w:multiLevelType w:val="multilevel"/>
    <w:tmpl w:val="3B6C2A36"/>
    <w:lvl w:ilvl="0">
      <w:start w:val="5"/>
      <w:numFmt w:val="upperRoman"/>
      <w:lvlText w:val="%1."/>
      <w:lvlJc w:val="left"/>
      <w:pPr>
        <w:ind w:left="1080" w:hanging="720"/>
      </w:pPr>
      <w:rPr>
        <w:rFonts w:hint="default"/>
      </w:rPr>
    </w:lvl>
    <w:lvl w:ilvl="1">
      <w:start w:val="1"/>
      <w:numFmt w:val="decimal"/>
      <w:isLgl/>
      <w:lvlText w:val="%1.%2."/>
      <w:lvlJc w:val="left"/>
      <w:pPr>
        <w:ind w:left="3763"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4D770370"/>
    <w:multiLevelType w:val="multilevel"/>
    <w:tmpl w:val="DBACF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A2186F"/>
    <w:multiLevelType w:val="hybridMultilevel"/>
    <w:tmpl w:val="CF044E9C"/>
    <w:lvl w:ilvl="0" w:tplc="2E1682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02D0A7E"/>
    <w:multiLevelType w:val="multilevel"/>
    <w:tmpl w:val="4CA85766"/>
    <w:lvl w:ilvl="0">
      <w:start w:val="3"/>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7" w15:restartNumberingAfterBreak="0">
    <w:nsid w:val="510F79BC"/>
    <w:multiLevelType w:val="hybridMultilevel"/>
    <w:tmpl w:val="0040C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E552E5"/>
    <w:multiLevelType w:val="hybridMultilevel"/>
    <w:tmpl w:val="CB6C6BC6"/>
    <w:lvl w:ilvl="0" w:tplc="E356042A">
      <w:start w:val="1"/>
      <w:numFmt w:val="decimal"/>
      <w:lvlText w:val="%1)"/>
      <w:lvlJc w:val="left"/>
      <w:pPr>
        <w:ind w:left="927" w:hanging="360"/>
      </w:pPr>
      <w:rPr>
        <w:rFonts w:hint="default"/>
        <w:b/>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92C3DB5"/>
    <w:multiLevelType w:val="hybridMultilevel"/>
    <w:tmpl w:val="5E2C2F98"/>
    <w:lvl w:ilvl="0" w:tplc="61A8DF72">
      <w:start w:val="1"/>
      <w:numFmt w:val="upperRoman"/>
      <w:lvlText w:val="%1."/>
      <w:lvlJc w:val="left"/>
      <w:pPr>
        <w:ind w:left="1080" w:hanging="720"/>
      </w:pPr>
      <w:rPr>
        <w:rFonts w:cs="Times New Roman" w:hint="default"/>
        <w:b/>
        <w:sz w:val="28"/>
        <w:szCs w:val="28"/>
      </w:rPr>
    </w:lvl>
    <w:lvl w:ilvl="1" w:tplc="3F0041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702DD"/>
    <w:multiLevelType w:val="multilevel"/>
    <w:tmpl w:val="10165A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93715"/>
    <w:multiLevelType w:val="hybridMultilevel"/>
    <w:tmpl w:val="475295EA"/>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63DB2736"/>
    <w:multiLevelType w:val="multilevel"/>
    <w:tmpl w:val="499EBAA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i/>
        <w:sz w:val="24"/>
        <w:szCs w:val="24"/>
        <w:u w:val="none"/>
        <w:lang w:val="ro-MD"/>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77F48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E75F58"/>
    <w:multiLevelType w:val="hybridMultilevel"/>
    <w:tmpl w:val="F96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34F6FE4"/>
    <w:multiLevelType w:val="hybridMultilevel"/>
    <w:tmpl w:val="F02ECA40"/>
    <w:lvl w:ilvl="0" w:tplc="775C820C">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7136CA7"/>
    <w:multiLevelType w:val="multilevel"/>
    <w:tmpl w:val="2F787B6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i/>
        <w:sz w:val="24"/>
        <w:szCs w:val="24"/>
        <w:u w:val="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C935B8E"/>
    <w:multiLevelType w:val="multilevel"/>
    <w:tmpl w:val="4CA85766"/>
    <w:lvl w:ilvl="0">
      <w:start w:val="3"/>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num w:numId="1">
    <w:abstractNumId w:val="1"/>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4"/>
  </w:num>
  <w:num w:numId="4">
    <w:abstractNumId w:val="0"/>
  </w:num>
  <w:num w:numId="5">
    <w:abstractNumId w:val="23"/>
  </w:num>
  <w:num w:numId="6">
    <w:abstractNumId w:val="17"/>
  </w:num>
  <w:num w:numId="7">
    <w:abstractNumId w:val="6"/>
  </w:num>
  <w:num w:numId="8">
    <w:abstractNumId w:val="3"/>
  </w:num>
  <w:num w:numId="9">
    <w:abstractNumId w:val="9"/>
  </w:num>
  <w:num w:numId="10">
    <w:abstractNumId w:val="14"/>
  </w:num>
  <w:num w:numId="11">
    <w:abstractNumId w:val="12"/>
  </w:num>
  <w:num w:numId="12">
    <w:abstractNumId w:val="11"/>
  </w:num>
  <w:num w:numId="13">
    <w:abstractNumId w:val="19"/>
  </w:num>
  <w:num w:numId="14">
    <w:abstractNumId w:val="2"/>
  </w:num>
  <w:num w:numId="15">
    <w:abstractNumId w:val="27"/>
  </w:num>
  <w:num w:numId="16">
    <w:abstractNumId w:val="16"/>
  </w:num>
  <w:num w:numId="17">
    <w:abstractNumId w:val="20"/>
  </w:num>
  <w:num w:numId="18">
    <w:abstractNumId w:val="7"/>
  </w:num>
  <w:num w:numId="19">
    <w:abstractNumId w:val="25"/>
  </w:num>
  <w:num w:numId="20">
    <w:abstractNumId w:val="22"/>
  </w:num>
  <w:num w:numId="21">
    <w:abstractNumId w:val="13"/>
  </w:num>
  <w:num w:numId="22">
    <w:abstractNumId w:val="21"/>
  </w:num>
  <w:num w:numId="23">
    <w:abstractNumId w:val="18"/>
  </w:num>
  <w:num w:numId="24">
    <w:abstractNumId w:val="15"/>
  </w:num>
  <w:num w:numId="25">
    <w:abstractNumId w:val="8"/>
  </w:num>
  <w:num w:numId="26">
    <w:abstractNumId w:val="10"/>
  </w:num>
  <w:num w:numId="27">
    <w:abstractNumId w:val="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5C"/>
    <w:rsid w:val="00000170"/>
    <w:rsid w:val="000012DD"/>
    <w:rsid w:val="00001EDA"/>
    <w:rsid w:val="00002061"/>
    <w:rsid w:val="00005C1C"/>
    <w:rsid w:val="00006710"/>
    <w:rsid w:val="00006BE4"/>
    <w:rsid w:val="00006F72"/>
    <w:rsid w:val="000100F4"/>
    <w:rsid w:val="00012288"/>
    <w:rsid w:val="0001411B"/>
    <w:rsid w:val="00014660"/>
    <w:rsid w:val="000156C1"/>
    <w:rsid w:val="00020442"/>
    <w:rsid w:val="00020BF1"/>
    <w:rsid w:val="00024863"/>
    <w:rsid w:val="00026AA4"/>
    <w:rsid w:val="00026ED7"/>
    <w:rsid w:val="000275A6"/>
    <w:rsid w:val="00027BB4"/>
    <w:rsid w:val="000301E1"/>
    <w:rsid w:val="00030645"/>
    <w:rsid w:val="00030B39"/>
    <w:rsid w:val="00030E64"/>
    <w:rsid w:val="00031A56"/>
    <w:rsid w:val="00033232"/>
    <w:rsid w:val="00035288"/>
    <w:rsid w:val="000355A2"/>
    <w:rsid w:val="00036052"/>
    <w:rsid w:val="000363C0"/>
    <w:rsid w:val="000372EE"/>
    <w:rsid w:val="0004175D"/>
    <w:rsid w:val="00042298"/>
    <w:rsid w:val="00043476"/>
    <w:rsid w:val="000436CC"/>
    <w:rsid w:val="00045020"/>
    <w:rsid w:val="000451DD"/>
    <w:rsid w:val="00045D72"/>
    <w:rsid w:val="00046156"/>
    <w:rsid w:val="00046C5F"/>
    <w:rsid w:val="0004745C"/>
    <w:rsid w:val="00050014"/>
    <w:rsid w:val="00050C64"/>
    <w:rsid w:val="00052ACA"/>
    <w:rsid w:val="000549C5"/>
    <w:rsid w:val="000556FB"/>
    <w:rsid w:val="00056677"/>
    <w:rsid w:val="000578C6"/>
    <w:rsid w:val="00060D76"/>
    <w:rsid w:val="00060DE1"/>
    <w:rsid w:val="0006194C"/>
    <w:rsid w:val="00063036"/>
    <w:rsid w:val="0006338E"/>
    <w:rsid w:val="0006354E"/>
    <w:rsid w:val="00064C0D"/>
    <w:rsid w:val="00064C30"/>
    <w:rsid w:val="00065952"/>
    <w:rsid w:val="00066568"/>
    <w:rsid w:val="00066E2A"/>
    <w:rsid w:val="000714BA"/>
    <w:rsid w:val="000717CE"/>
    <w:rsid w:val="00071B85"/>
    <w:rsid w:val="00077808"/>
    <w:rsid w:val="00077A6F"/>
    <w:rsid w:val="00080AD3"/>
    <w:rsid w:val="00080E12"/>
    <w:rsid w:val="00081026"/>
    <w:rsid w:val="000821DE"/>
    <w:rsid w:val="00082FF3"/>
    <w:rsid w:val="000834B3"/>
    <w:rsid w:val="0009101F"/>
    <w:rsid w:val="000940ED"/>
    <w:rsid w:val="00094405"/>
    <w:rsid w:val="00094A74"/>
    <w:rsid w:val="000956B9"/>
    <w:rsid w:val="000976BE"/>
    <w:rsid w:val="000A275A"/>
    <w:rsid w:val="000A4298"/>
    <w:rsid w:val="000A5A75"/>
    <w:rsid w:val="000A7B7E"/>
    <w:rsid w:val="000A7C16"/>
    <w:rsid w:val="000B05B4"/>
    <w:rsid w:val="000B1EEA"/>
    <w:rsid w:val="000B4661"/>
    <w:rsid w:val="000B5508"/>
    <w:rsid w:val="000B690E"/>
    <w:rsid w:val="000C0037"/>
    <w:rsid w:val="000C0E87"/>
    <w:rsid w:val="000C174E"/>
    <w:rsid w:val="000C1795"/>
    <w:rsid w:val="000C4D69"/>
    <w:rsid w:val="000C742C"/>
    <w:rsid w:val="000D0529"/>
    <w:rsid w:val="000D107A"/>
    <w:rsid w:val="000D3EA7"/>
    <w:rsid w:val="000D5F3A"/>
    <w:rsid w:val="000D7482"/>
    <w:rsid w:val="000E1F27"/>
    <w:rsid w:val="000E4C55"/>
    <w:rsid w:val="000E6A6A"/>
    <w:rsid w:val="000F0E12"/>
    <w:rsid w:val="000F14A7"/>
    <w:rsid w:val="000F1A6E"/>
    <w:rsid w:val="000F1C05"/>
    <w:rsid w:val="000F32AB"/>
    <w:rsid w:val="000F4852"/>
    <w:rsid w:val="000F4B37"/>
    <w:rsid w:val="000F4B52"/>
    <w:rsid w:val="000F4D76"/>
    <w:rsid w:val="000F5A43"/>
    <w:rsid w:val="001016AF"/>
    <w:rsid w:val="00103672"/>
    <w:rsid w:val="00103870"/>
    <w:rsid w:val="001055CE"/>
    <w:rsid w:val="00105B39"/>
    <w:rsid w:val="00105C20"/>
    <w:rsid w:val="00106533"/>
    <w:rsid w:val="00107F86"/>
    <w:rsid w:val="00111441"/>
    <w:rsid w:val="0011334F"/>
    <w:rsid w:val="00114989"/>
    <w:rsid w:val="00115B1D"/>
    <w:rsid w:val="00117138"/>
    <w:rsid w:val="001171D7"/>
    <w:rsid w:val="001206E4"/>
    <w:rsid w:val="001207CC"/>
    <w:rsid w:val="00120A3B"/>
    <w:rsid w:val="001217A0"/>
    <w:rsid w:val="00122032"/>
    <w:rsid w:val="00123E1B"/>
    <w:rsid w:val="001253B1"/>
    <w:rsid w:val="00127C63"/>
    <w:rsid w:val="00127DF8"/>
    <w:rsid w:val="001300D6"/>
    <w:rsid w:val="00132106"/>
    <w:rsid w:val="00132374"/>
    <w:rsid w:val="00132A49"/>
    <w:rsid w:val="00132A88"/>
    <w:rsid w:val="0013613C"/>
    <w:rsid w:val="001363E8"/>
    <w:rsid w:val="0013679A"/>
    <w:rsid w:val="00136A48"/>
    <w:rsid w:val="00140E1F"/>
    <w:rsid w:val="00140FAC"/>
    <w:rsid w:val="001415B1"/>
    <w:rsid w:val="00141A06"/>
    <w:rsid w:val="00141EC7"/>
    <w:rsid w:val="001437FA"/>
    <w:rsid w:val="00144EF3"/>
    <w:rsid w:val="00147D40"/>
    <w:rsid w:val="001548B3"/>
    <w:rsid w:val="001558FB"/>
    <w:rsid w:val="00155C7A"/>
    <w:rsid w:val="00156A15"/>
    <w:rsid w:val="001578BF"/>
    <w:rsid w:val="00160C1B"/>
    <w:rsid w:val="00161078"/>
    <w:rsid w:val="0016122F"/>
    <w:rsid w:val="00161ACF"/>
    <w:rsid w:val="0016262C"/>
    <w:rsid w:val="00163258"/>
    <w:rsid w:val="00163E31"/>
    <w:rsid w:val="00165A13"/>
    <w:rsid w:val="00166005"/>
    <w:rsid w:val="0016778D"/>
    <w:rsid w:val="001702F4"/>
    <w:rsid w:val="00170804"/>
    <w:rsid w:val="0017150A"/>
    <w:rsid w:val="00173843"/>
    <w:rsid w:val="00180008"/>
    <w:rsid w:val="00180CB1"/>
    <w:rsid w:val="001819FF"/>
    <w:rsid w:val="001831C8"/>
    <w:rsid w:val="001839D8"/>
    <w:rsid w:val="00186939"/>
    <w:rsid w:val="00191441"/>
    <w:rsid w:val="00191A29"/>
    <w:rsid w:val="001922F4"/>
    <w:rsid w:val="00192F5D"/>
    <w:rsid w:val="00194FE0"/>
    <w:rsid w:val="00195E35"/>
    <w:rsid w:val="001A13D8"/>
    <w:rsid w:val="001A2104"/>
    <w:rsid w:val="001A21D2"/>
    <w:rsid w:val="001A2400"/>
    <w:rsid w:val="001A334C"/>
    <w:rsid w:val="001A4557"/>
    <w:rsid w:val="001B221A"/>
    <w:rsid w:val="001B2CA7"/>
    <w:rsid w:val="001B4901"/>
    <w:rsid w:val="001B57CF"/>
    <w:rsid w:val="001B6EB9"/>
    <w:rsid w:val="001C0E5C"/>
    <w:rsid w:val="001C1CC4"/>
    <w:rsid w:val="001C2006"/>
    <w:rsid w:val="001C38D5"/>
    <w:rsid w:val="001C603F"/>
    <w:rsid w:val="001C6E27"/>
    <w:rsid w:val="001C6E3A"/>
    <w:rsid w:val="001C71F5"/>
    <w:rsid w:val="001D270C"/>
    <w:rsid w:val="001D4036"/>
    <w:rsid w:val="001D5120"/>
    <w:rsid w:val="001D517D"/>
    <w:rsid w:val="001E12A3"/>
    <w:rsid w:val="001E3229"/>
    <w:rsid w:val="001E3F18"/>
    <w:rsid w:val="001E4D9D"/>
    <w:rsid w:val="001F1610"/>
    <w:rsid w:val="001F1C05"/>
    <w:rsid w:val="001F309F"/>
    <w:rsid w:val="001F30E0"/>
    <w:rsid w:val="001F3A11"/>
    <w:rsid w:val="001F3E60"/>
    <w:rsid w:val="001F4338"/>
    <w:rsid w:val="001F4EA1"/>
    <w:rsid w:val="001F6EEC"/>
    <w:rsid w:val="002002C8"/>
    <w:rsid w:val="00201D98"/>
    <w:rsid w:val="0020442E"/>
    <w:rsid w:val="00205D45"/>
    <w:rsid w:val="00207503"/>
    <w:rsid w:val="00207B53"/>
    <w:rsid w:val="00207EBC"/>
    <w:rsid w:val="002110D3"/>
    <w:rsid w:val="00211C72"/>
    <w:rsid w:val="00212E0E"/>
    <w:rsid w:val="00213D1D"/>
    <w:rsid w:val="00213D2C"/>
    <w:rsid w:val="00213D74"/>
    <w:rsid w:val="00220E6F"/>
    <w:rsid w:val="002238D8"/>
    <w:rsid w:val="00223C1C"/>
    <w:rsid w:val="00224162"/>
    <w:rsid w:val="00224639"/>
    <w:rsid w:val="0022530E"/>
    <w:rsid w:val="002258A7"/>
    <w:rsid w:val="00226051"/>
    <w:rsid w:val="0022676A"/>
    <w:rsid w:val="00226A75"/>
    <w:rsid w:val="00231303"/>
    <w:rsid w:val="00232EF7"/>
    <w:rsid w:val="00234140"/>
    <w:rsid w:val="0024097B"/>
    <w:rsid w:val="00244062"/>
    <w:rsid w:val="00244F0D"/>
    <w:rsid w:val="00246B55"/>
    <w:rsid w:val="0024789B"/>
    <w:rsid w:val="00250201"/>
    <w:rsid w:val="00252539"/>
    <w:rsid w:val="0025375F"/>
    <w:rsid w:val="0025499D"/>
    <w:rsid w:val="00254A3E"/>
    <w:rsid w:val="00255E68"/>
    <w:rsid w:val="00262B37"/>
    <w:rsid w:val="0026486E"/>
    <w:rsid w:val="002675AC"/>
    <w:rsid w:val="002676C3"/>
    <w:rsid w:val="002701CA"/>
    <w:rsid w:val="00272CB2"/>
    <w:rsid w:val="00273721"/>
    <w:rsid w:val="0027479E"/>
    <w:rsid w:val="00274915"/>
    <w:rsid w:val="002750E3"/>
    <w:rsid w:val="00275AED"/>
    <w:rsid w:val="00276038"/>
    <w:rsid w:val="00280D63"/>
    <w:rsid w:val="0028186D"/>
    <w:rsid w:val="0028257D"/>
    <w:rsid w:val="0028262B"/>
    <w:rsid w:val="00282B0E"/>
    <w:rsid w:val="00284145"/>
    <w:rsid w:val="00284F8C"/>
    <w:rsid w:val="00293E50"/>
    <w:rsid w:val="002954B2"/>
    <w:rsid w:val="0029554A"/>
    <w:rsid w:val="002955D5"/>
    <w:rsid w:val="00295608"/>
    <w:rsid w:val="00295A45"/>
    <w:rsid w:val="00297E88"/>
    <w:rsid w:val="002A01A8"/>
    <w:rsid w:val="002A056B"/>
    <w:rsid w:val="002A06C3"/>
    <w:rsid w:val="002A2F9E"/>
    <w:rsid w:val="002A39BA"/>
    <w:rsid w:val="002A4244"/>
    <w:rsid w:val="002A481C"/>
    <w:rsid w:val="002A4C79"/>
    <w:rsid w:val="002A5B2F"/>
    <w:rsid w:val="002A5F95"/>
    <w:rsid w:val="002A6185"/>
    <w:rsid w:val="002A7B62"/>
    <w:rsid w:val="002B02CC"/>
    <w:rsid w:val="002B0316"/>
    <w:rsid w:val="002B0E1B"/>
    <w:rsid w:val="002B1DC7"/>
    <w:rsid w:val="002B2220"/>
    <w:rsid w:val="002B276A"/>
    <w:rsid w:val="002B2948"/>
    <w:rsid w:val="002B423B"/>
    <w:rsid w:val="002B47A9"/>
    <w:rsid w:val="002C38F5"/>
    <w:rsid w:val="002C459E"/>
    <w:rsid w:val="002C4B3C"/>
    <w:rsid w:val="002C5BFF"/>
    <w:rsid w:val="002C6630"/>
    <w:rsid w:val="002D03ED"/>
    <w:rsid w:val="002D2216"/>
    <w:rsid w:val="002D50F9"/>
    <w:rsid w:val="002D5B82"/>
    <w:rsid w:val="002D6ACF"/>
    <w:rsid w:val="002E0122"/>
    <w:rsid w:val="002E07B6"/>
    <w:rsid w:val="002E220E"/>
    <w:rsid w:val="002E2CDB"/>
    <w:rsid w:val="002E4D58"/>
    <w:rsid w:val="002E55F5"/>
    <w:rsid w:val="002E6FA3"/>
    <w:rsid w:val="002F0044"/>
    <w:rsid w:val="002F0071"/>
    <w:rsid w:val="002F02E4"/>
    <w:rsid w:val="002F03B1"/>
    <w:rsid w:val="002F145B"/>
    <w:rsid w:val="002F1637"/>
    <w:rsid w:val="002F288C"/>
    <w:rsid w:val="002F2FB7"/>
    <w:rsid w:val="002F4356"/>
    <w:rsid w:val="002F4640"/>
    <w:rsid w:val="002F4FDC"/>
    <w:rsid w:val="002F5EF2"/>
    <w:rsid w:val="0030003A"/>
    <w:rsid w:val="0030049B"/>
    <w:rsid w:val="00301564"/>
    <w:rsid w:val="00302DD6"/>
    <w:rsid w:val="00303083"/>
    <w:rsid w:val="00307F71"/>
    <w:rsid w:val="003102EC"/>
    <w:rsid w:val="00310D83"/>
    <w:rsid w:val="00313503"/>
    <w:rsid w:val="00315933"/>
    <w:rsid w:val="003201D0"/>
    <w:rsid w:val="00320B13"/>
    <w:rsid w:val="0032121F"/>
    <w:rsid w:val="00324A22"/>
    <w:rsid w:val="00325240"/>
    <w:rsid w:val="00325317"/>
    <w:rsid w:val="0033085F"/>
    <w:rsid w:val="003310D8"/>
    <w:rsid w:val="00331DA6"/>
    <w:rsid w:val="00332042"/>
    <w:rsid w:val="00332F9F"/>
    <w:rsid w:val="0033485C"/>
    <w:rsid w:val="00334D17"/>
    <w:rsid w:val="003351D9"/>
    <w:rsid w:val="003356FA"/>
    <w:rsid w:val="003367B8"/>
    <w:rsid w:val="00337845"/>
    <w:rsid w:val="00340BD9"/>
    <w:rsid w:val="003413CF"/>
    <w:rsid w:val="00341F80"/>
    <w:rsid w:val="00343290"/>
    <w:rsid w:val="00343DB4"/>
    <w:rsid w:val="00344FB2"/>
    <w:rsid w:val="00345238"/>
    <w:rsid w:val="003500CC"/>
    <w:rsid w:val="00350306"/>
    <w:rsid w:val="00352785"/>
    <w:rsid w:val="00352FD9"/>
    <w:rsid w:val="00353DC2"/>
    <w:rsid w:val="00354817"/>
    <w:rsid w:val="00354EB4"/>
    <w:rsid w:val="0035501C"/>
    <w:rsid w:val="00355263"/>
    <w:rsid w:val="0035644A"/>
    <w:rsid w:val="00356587"/>
    <w:rsid w:val="00356605"/>
    <w:rsid w:val="003572F5"/>
    <w:rsid w:val="00360E3F"/>
    <w:rsid w:val="003617AA"/>
    <w:rsid w:val="003618E6"/>
    <w:rsid w:val="00361ECD"/>
    <w:rsid w:val="00362FB7"/>
    <w:rsid w:val="003630E6"/>
    <w:rsid w:val="00364630"/>
    <w:rsid w:val="00366F92"/>
    <w:rsid w:val="00367E09"/>
    <w:rsid w:val="00370328"/>
    <w:rsid w:val="0037077B"/>
    <w:rsid w:val="003722F2"/>
    <w:rsid w:val="003735DD"/>
    <w:rsid w:val="003738EC"/>
    <w:rsid w:val="003805D3"/>
    <w:rsid w:val="003810A6"/>
    <w:rsid w:val="00382AAD"/>
    <w:rsid w:val="00383E1C"/>
    <w:rsid w:val="00383EAE"/>
    <w:rsid w:val="003904C4"/>
    <w:rsid w:val="00392D1F"/>
    <w:rsid w:val="00394473"/>
    <w:rsid w:val="00395D83"/>
    <w:rsid w:val="00396380"/>
    <w:rsid w:val="003973D5"/>
    <w:rsid w:val="00397E88"/>
    <w:rsid w:val="003A1CD9"/>
    <w:rsid w:val="003A1EDE"/>
    <w:rsid w:val="003A2E30"/>
    <w:rsid w:val="003A3278"/>
    <w:rsid w:val="003A38CA"/>
    <w:rsid w:val="003A41BE"/>
    <w:rsid w:val="003A5991"/>
    <w:rsid w:val="003A6D0B"/>
    <w:rsid w:val="003A6D51"/>
    <w:rsid w:val="003B0F98"/>
    <w:rsid w:val="003B1AEC"/>
    <w:rsid w:val="003B3196"/>
    <w:rsid w:val="003B47A4"/>
    <w:rsid w:val="003B64FE"/>
    <w:rsid w:val="003B6AD8"/>
    <w:rsid w:val="003B7A4B"/>
    <w:rsid w:val="003C31B5"/>
    <w:rsid w:val="003C4ECE"/>
    <w:rsid w:val="003D0ACD"/>
    <w:rsid w:val="003D1D9F"/>
    <w:rsid w:val="003D34F1"/>
    <w:rsid w:val="003D3BBB"/>
    <w:rsid w:val="003E18C2"/>
    <w:rsid w:val="003E59BA"/>
    <w:rsid w:val="003E68F4"/>
    <w:rsid w:val="003E7B97"/>
    <w:rsid w:val="003E7E2E"/>
    <w:rsid w:val="003F115D"/>
    <w:rsid w:val="003F2671"/>
    <w:rsid w:val="003F2BAF"/>
    <w:rsid w:val="003F3CB6"/>
    <w:rsid w:val="003F4098"/>
    <w:rsid w:val="003F5136"/>
    <w:rsid w:val="003F5363"/>
    <w:rsid w:val="003F6C42"/>
    <w:rsid w:val="00402362"/>
    <w:rsid w:val="00403AF9"/>
    <w:rsid w:val="00403FA5"/>
    <w:rsid w:val="00403FB9"/>
    <w:rsid w:val="00405A8B"/>
    <w:rsid w:val="00406829"/>
    <w:rsid w:val="00407CF4"/>
    <w:rsid w:val="0041369D"/>
    <w:rsid w:val="00413B36"/>
    <w:rsid w:val="0041608A"/>
    <w:rsid w:val="00416CE2"/>
    <w:rsid w:val="004179C4"/>
    <w:rsid w:val="004209F4"/>
    <w:rsid w:val="00423A4A"/>
    <w:rsid w:val="00423F18"/>
    <w:rsid w:val="00423F20"/>
    <w:rsid w:val="004269DA"/>
    <w:rsid w:val="00426CDC"/>
    <w:rsid w:val="004271C2"/>
    <w:rsid w:val="004277DE"/>
    <w:rsid w:val="00430250"/>
    <w:rsid w:val="0043071A"/>
    <w:rsid w:val="004318CA"/>
    <w:rsid w:val="0043191F"/>
    <w:rsid w:val="004319DB"/>
    <w:rsid w:val="00431EB3"/>
    <w:rsid w:val="00432BEC"/>
    <w:rsid w:val="00432D86"/>
    <w:rsid w:val="00433E6E"/>
    <w:rsid w:val="00434E18"/>
    <w:rsid w:val="004371FD"/>
    <w:rsid w:val="00437210"/>
    <w:rsid w:val="0043778E"/>
    <w:rsid w:val="00437D78"/>
    <w:rsid w:val="00442CED"/>
    <w:rsid w:val="00443244"/>
    <w:rsid w:val="0044373C"/>
    <w:rsid w:val="00443FBA"/>
    <w:rsid w:val="004479E5"/>
    <w:rsid w:val="00453484"/>
    <w:rsid w:val="00453751"/>
    <w:rsid w:val="00453E66"/>
    <w:rsid w:val="00454572"/>
    <w:rsid w:val="0045549C"/>
    <w:rsid w:val="00460A6D"/>
    <w:rsid w:val="00461ACE"/>
    <w:rsid w:val="00461C87"/>
    <w:rsid w:val="0046415A"/>
    <w:rsid w:val="00464915"/>
    <w:rsid w:val="00465031"/>
    <w:rsid w:val="004656D4"/>
    <w:rsid w:val="00470221"/>
    <w:rsid w:val="004718BB"/>
    <w:rsid w:val="00471D46"/>
    <w:rsid w:val="0047262C"/>
    <w:rsid w:val="004727C0"/>
    <w:rsid w:val="00473964"/>
    <w:rsid w:val="00473F41"/>
    <w:rsid w:val="00474BDD"/>
    <w:rsid w:val="00475287"/>
    <w:rsid w:val="004752CF"/>
    <w:rsid w:val="0047610F"/>
    <w:rsid w:val="004775A7"/>
    <w:rsid w:val="00477737"/>
    <w:rsid w:val="00477ACF"/>
    <w:rsid w:val="00477DF9"/>
    <w:rsid w:val="00481BDB"/>
    <w:rsid w:val="004856CD"/>
    <w:rsid w:val="00486152"/>
    <w:rsid w:val="00490DAB"/>
    <w:rsid w:val="00491E52"/>
    <w:rsid w:val="004934CF"/>
    <w:rsid w:val="00493600"/>
    <w:rsid w:val="00496FE1"/>
    <w:rsid w:val="00497A5A"/>
    <w:rsid w:val="004A1350"/>
    <w:rsid w:val="004A14CA"/>
    <w:rsid w:val="004A3075"/>
    <w:rsid w:val="004A38FE"/>
    <w:rsid w:val="004A3DE2"/>
    <w:rsid w:val="004A4019"/>
    <w:rsid w:val="004A4A84"/>
    <w:rsid w:val="004B2560"/>
    <w:rsid w:val="004B3AB2"/>
    <w:rsid w:val="004B5A01"/>
    <w:rsid w:val="004C05DD"/>
    <w:rsid w:val="004C0919"/>
    <w:rsid w:val="004C2976"/>
    <w:rsid w:val="004C2989"/>
    <w:rsid w:val="004C33A4"/>
    <w:rsid w:val="004C3C93"/>
    <w:rsid w:val="004C5139"/>
    <w:rsid w:val="004C78E6"/>
    <w:rsid w:val="004C7C2B"/>
    <w:rsid w:val="004D0156"/>
    <w:rsid w:val="004D19F3"/>
    <w:rsid w:val="004D1F25"/>
    <w:rsid w:val="004D27FD"/>
    <w:rsid w:val="004D2FB5"/>
    <w:rsid w:val="004D333D"/>
    <w:rsid w:val="004D4E11"/>
    <w:rsid w:val="004D5904"/>
    <w:rsid w:val="004D60F5"/>
    <w:rsid w:val="004D67A1"/>
    <w:rsid w:val="004D76D8"/>
    <w:rsid w:val="004E0159"/>
    <w:rsid w:val="004E0346"/>
    <w:rsid w:val="004E0401"/>
    <w:rsid w:val="004E1CAF"/>
    <w:rsid w:val="004E1CE6"/>
    <w:rsid w:val="004E2A61"/>
    <w:rsid w:val="004E413B"/>
    <w:rsid w:val="004E7B55"/>
    <w:rsid w:val="004E7B87"/>
    <w:rsid w:val="004E7F4D"/>
    <w:rsid w:val="004F121B"/>
    <w:rsid w:val="004F261E"/>
    <w:rsid w:val="004F2E78"/>
    <w:rsid w:val="004F3C51"/>
    <w:rsid w:val="004F4769"/>
    <w:rsid w:val="004F6882"/>
    <w:rsid w:val="004F704E"/>
    <w:rsid w:val="004F7426"/>
    <w:rsid w:val="004F7A1A"/>
    <w:rsid w:val="00500A69"/>
    <w:rsid w:val="00503481"/>
    <w:rsid w:val="00503773"/>
    <w:rsid w:val="00506221"/>
    <w:rsid w:val="00511567"/>
    <w:rsid w:val="00511743"/>
    <w:rsid w:val="0051206A"/>
    <w:rsid w:val="005137CF"/>
    <w:rsid w:val="00514CA0"/>
    <w:rsid w:val="0052086F"/>
    <w:rsid w:val="00522DA8"/>
    <w:rsid w:val="00522F4B"/>
    <w:rsid w:val="00523366"/>
    <w:rsid w:val="0052435A"/>
    <w:rsid w:val="0052679E"/>
    <w:rsid w:val="00527611"/>
    <w:rsid w:val="005305CF"/>
    <w:rsid w:val="005307F2"/>
    <w:rsid w:val="005323D9"/>
    <w:rsid w:val="0053465F"/>
    <w:rsid w:val="005377C3"/>
    <w:rsid w:val="005379E5"/>
    <w:rsid w:val="00537A0C"/>
    <w:rsid w:val="0054130B"/>
    <w:rsid w:val="005414B0"/>
    <w:rsid w:val="00542185"/>
    <w:rsid w:val="00542B2E"/>
    <w:rsid w:val="00543106"/>
    <w:rsid w:val="00550211"/>
    <w:rsid w:val="0055213C"/>
    <w:rsid w:val="00553664"/>
    <w:rsid w:val="005538EF"/>
    <w:rsid w:val="00553CE9"/>
    <w:rsid w:val="00555E0B"/>
    <w:rsid w:val="005562DA"/>
    <w:rsid w:val="00556AD7"/>
    <w:rsid w:val="00557A81"/>
    <w:rsid w:val="005605BF"/>
    <w:rsid w:val="00561560"/>
    <w:rsid w:val="005622AA"/>
    <w:rsid w:val="00562EC5"/>
    <w:rsid w:val="00563072"/>
    <w:rsid w:val="00565540"/>
    <w:rsid w:val="00565EE3"/>
    <w:rsid w:val="00570372"/>
    <w:rsid w:val="00571A0B"/>
    <w:rsid w:val="005733AF"/>
    <w:rsid w:val="00573736"/>
    <w:rsid w:val="00573C34"/>
    <w:rsid w:val="00573C77"/>
    <w:rsid w:val="005741A8"/>
    <w:rsid w:val="00574C15"/>
    <w:rsid w:val="005751AD"/>
    <w:rsid w:val="00575C66"/>
    <w:rsid w:val="005760C7"/>
    <w:rsid w:val="005814CB"/>
    <w:rsid w:val="00581F6B"/>
    <w:rsid w:val="005826F3"/>
    <w:rsid w:val="00583280"/>
    <w:rsid w:val="00584064"/>
    <w:rsid w:val="0058429D"/>
    <w:rsid w:val="00585BDF"/>
    <w:rsid w:val="00586459"/>
    <w:rsid w:val="0059099F"/>
    <w:rsid w:val="005918E1"/>
    <w:rsid w:val="00594311"/>
    <w:rsid w:val="005A1E8D"/>
    <w:rsid w:val="005A203A"/>
    <w:rsid w:val="005A2512"/>
    <w:rsid w:val="005A4E4C"/>
    <w:rsid w:val="005A5C95"/>
    <w:rsid w:val="005A6372"/>
    <w:rsid w:val="005B07DE"/>
    <w:rsid w:val="005B1263"/>
    <w:rsid w:val="005B1413"/>
    <w:rsid w:val="005B3D7D"/>
    <w:rsid w:val="005B5288"/>
    <w:rsid w:val="005B5C98"/>
    <w:rsid w:val="005C059C"/>
    <w:rsid w:val="005C174B"/>
    <w:rsid w:val="005C1804"/>
    <w:rsid w:val="005C1BA2"/>
    <w:rsid w:val="005C4A36"/>
    <w:rsid w:val="005D0C0F"/>
    <w:rsid w:val="005D1DD2"/>
    <w:rsid w:val="005D2D42"/>
    <w:rsid w:val="005D3F93"/>
    <w:rsid w:val="005D4CE9"/>
    <w:rsid w:val="005D5CC4"/>
    <w:rsid w:val="005D717C"/>
    <w:rsid w:val="005E0C3B"/>
    <w:rsid w:val="005E2C0F"/>
    <w:rsid w:val="005E5283"/>
    <w:rsid w:val="005E67EF"/>
    <w:rsid w:val="005F05D8"/>
    <w:rsid w:val="005F104D"/>
    <w:rsid w:val="005F227A"/>
    <w:rsid w:val="005F2890"/>
    <w:rsid w:val="005F4C05"/>
    <w:rsid w:val="005F4D39"/>
    <w:rsid w:val="005F5792"/>
    <w:rsid w:val="005F639A"/>
    <w:rsid w:val="005F780A"/>
    <w:rsid w:val="0060078E"/>
    <w:rsid w:val="00600C00"/>
    <w:rsid w:val="00603651"/>
    <w:rsid w:val="00603816"/>
    <w:rsid w:val="0060390B"/>
    <w:rsid w:val="00606343"/>
    <w:rsid w:val="00606D5E"/>
    <w:rsid w:val="00613AA7"/>
    <w:rsid w:val="0061587D"/>
    <w:rsid w:val="00616292"/>
    <w:rsid w:val="006205FC"/>
    <w:rsid w:val="00620EC1"/>
    <w:rsid w:val="00621B72"/>
    <w:rsid w:val="00624164"/>
    <w:rsid w:val="00624849"/>
    <w:rsid w:val="00625DC8"/>
    <w:rsid w:val="00627A2F"/>
    <w:rsid w:val="0063098A"/>
    <w:rsid w:val="00634E17"/>
    <w:rsid w:val="00635A0E"/>
    <w:rsid w:val="00636098"/>
    <w:rsid w:val="0063622F"/>
    <w:rsid w:val="00636EE7"/>
    <w:rsid w:val="00637B7A"/>
    <w:rsid w:val="00637CED"/>
    <w:rsid w:val="00642660"/>
    <w:rsid w:val="00647F69"/>
    <w:rsid w:val="00650A92"/>
    <w:rsid w:val="006511AA"/>
    <w:rsid w:val="00651A9D"/>
    <w:rsid w:val="006527FA"/>
    <w:rsid w:val="00653B38"/>
    <w:rsid w:val="00656856"/>
    <w:rsid w:val="00656A07"/>
    <w:rsid w:val="00656D3A"/>
    <w:rsid w:val="00657C4E"/>
    <w:rsid w:val="006638B1"/>
    <w:rsid w:val="00664D00"/>
    <w:rsid w:val="0066646B"/>
    <w:rsid w:val="00666E5C"/>
    <w:rsid w:val="00667798"/>
    <w:rsid w:val="00670297"/>
    <w:rsid w:val="0067054A"/>
    <w:rsid w:val="00671BBA"/>
    <w:rsid w:val="00672305"/>
    <w:rsid w:val="0067308E"/>
    <w:rsid w:val="00673198"/>
    <w:rsid w:val="0067323F"/>
    <w:rsid w:val="00675DEA"/>
    <w:rsid w:val="00677620"/>
    <w:rsid w:val="00682715"/>
    <w:rsid w:val="00682839"/>
    <w:rsid w:val="00685596"/>
    <w:rsid w:val="0068611C"/>
    <w:rsid w:val="006913DF"/>
    <w:rsid w:val="006916F9"/>
    <w:rsid w:val="00692CB6"/>
    <w:rsid w:val="00693E7D"/>
    <w:rsid w:val="00694127"/>
    <w:rsid w:val="00694C2E"/>
    <w:rsid w:val="006A0180"/>
    <w:rsid w:val="006A16DC"/>
    <w:rsid w:val="006A234A"/>
    <w:rsid w:val="006A2C35"/>
    <w:rsid w:val="006A3792"/>
    <w:rsid w:val="006A4320"/>
    <w:rsid w:val="006B2ACF"/>
    <w:rsid w:val="006B36E2"/>
    <w:rsid w:val="006B3FDD"/>
    <w:rsid w:val="006B5520"/>
    <w:rsid w:val="006B5776"/>
    <w:rsid w:val="006B5EED"/>
    <w:rsid w:val="006B79A4"/>
    <w:rsid w:val="006C69E4"/>
    <w:rsid w:val="006D0FE9"/>
    <w:rsid w:val="006D27CD"/>
    <w:rsid w:val="006D422C"/>
    <w:rsid w:val="006D4A44"/>
    <w:rsid w:val="006D5B96"/>
    <w:rsid w:val="006D5F56"/>
    <w:rsid w:val="006D61CF"/>
    <w:rsid w:val="006D61D9"/>
    <w:rsid w:val="006D7303"/>
    <w:rsid w:val="006D7FE2"/>
    <w:rsid w:val="006D7FFC"/>
    <w:rsid w:val="006E2616"/>
    <w:rsid w:val="006E3E2E"/>
    <w:rsid w:val="006E3E8B"/>
    <w:rsid w:val="006E3F42"/>
    <w:rsid w:val="006E4025"/>
    <w:rsid w:val="006E40B2"/>
    <w:rsid w:val="006E5C82"/>
    <w:rsid w:val="006E7862"/>
    <w:rsid w:val="006F10B2"/>
    <w:rsid w:val="006F15EF"/>
    <w:rsid w:val="006F3081"/>
    <w:rsid w:val="006F399F"/>
    <w:rsid w:val="006F3F3F"/>
    <w:rsid w:val="006F52FE"/>
    <w:rsid w:val="006F7284"/>
    <w:rsid w:val="00701C19"/>
    <w:rsid w:val="00702A60"/>
    <w:rsid w:val="00703141"/>
    <w:rsid w:val="007033C5"/>
    <w:rsid w:val="0070381C"/>
    <w:rsid w:val="00703C4F"/>
    <w:rsid w:val="00704317"/>
    <w:rsid w:val="00705445"/>
    <w:rsid w:val="007057EC"/>
    <w:rsid w:val="007077A0"/>
    <w:rsid w:val="00711263"/>
    <w:rsid w:val="007112C7"/>
    <w:rsid w:val="00711789"/>
    <w:rsid w:val="00716086"/>
    <w:rsid w:val="00717A21"/>
    <w:rsid w:val="00723FC0"/>
    <w:rsid w:val="0072469E"/>
    <w:rsid w:val="00724B4C"/>
    <w:rsid w:val="0072576A"/>
    <w:rsid w:val="0072653B"/>
    <w:rsid w:val="00727140"/>
    <w:rsid w:val="0072733D"/>
    <w:rsid w:val="00727419"/>
    <w:rsid w:val="0073077F"/>
    <w:rsid w:val="00731EF9"/>
    <w:rsid w:val="00733AB6"/>
    <w:rsid w:val="00734773"/>
    <w:rsid w:val="007354EA"/>
    <w:rsid w:val="007372B6"/>
    <w:rsid w:val="00737D39"/>
    <w:rsid w:val="00741653"/>
    <w:rsid w:val="00741E61"/>
    <w:rsid w:val="0074609C"/>
    <w:rsid w:val="007467FB"/>
    <w:rsid w:val="00746FC8"/>
    <w:rsid w:val="0074725B"/>
    <w:rsid w:val="00747E16"/>
    <w:rsid w:val="00747F3E"/>
    <w:rsid w:val="00751A5B"/>
    <w:rsid w:val="00752728"/>
    <w:rsid w:val="00752F16"/>
    <w:rsid w:val="007556E6"/>
    <w:rsid w:val="00756A2F"/>
    <w:rsid w:val="007601C6"/>
    <w:rsid w:val="0076081D"/>
    <w:rsid w:val="0076081F"/>
    <w:rsid w:val="00762FBA"/>
    <w:rsid w:val="00763F63"/>
    <w:rsid w:val="00765223"/>
    <w:rsid w:val="00766A3A"/>
    <w:rsid w:val="007677B2"/>
    <w:rsid w:val="00767DF8"/>
    <w:rsid w:val="00770F61"/>
    <w:rsid w:val="00771B7F"/>
    <w:rsid w:val="007725AB"/>
    <w:rsid w:val="007739C0"/>
    <w:rsid w:val="00773ABA"/>
    <w:rsid w:val="0077411F"/>
    <w:rsid w:val="007773A3"/>
    <w:rsid w:val="00777E35"/>
    <w:rsid w:val="00781C9B"/>
    <w:rsid w:val="00781DCF"/>
    <w:rsid w:val="007829E2"/>
    <w:rsid w:val="00784E13"/>
    <w:rsid w:val="00787405"/>
    <w:rsid w:val="00790C72"/>
    <w:rsid w:val="00792C1A"/>
    <w:rsid w:val="0079309B"/>
    <w:rsid w:val="00793596"/>
    <w:rsid w:val="00794E4D"/>
    <w:rsid w:val="00795130"/>
    <w:rsid w:val="00795832"/>
    <w:rsid w:val="0079591A"/>
    <w:rsid w:val="00796CD2"/>
    <w:rsid w:val="00797780"/>
    <w:rsid w:val="00797C83"/>
    <w:rsid w:val="007A03AE"/>
    <w:rsid w:val="007A0AF7"/>
    <w:rsid w:val="007A24D6"/>
    <w:rsid w:val="007A32BA"/>
    <w:rsid w:val="007A40AD"/>
    <w:rsid w:val="007A4D83"/>
    <w:rsid w:val="007A58F5"/>
    <w:rsid w:val="007A6D9C"/>
    <w:rsid w:val="007B3EE7"/>
    <w:rsid w:val="007B4BFA"/>
    <w:rsid w:val="007B521F"/>
    <w:rsid w:val="007B5CAD"/>
    <w:rsid w:val="007B7BFF"/>
    <w:rsid w:val="007C077A"/>
    <w:rsid w:val="007C38EA"/>
    <w:rsid w:val="007C3995"/>
    <w:rsid w:val="007C64EF"/>
    <w:rsid w:val="007C7741"/>
    <w:rsid w:val="007C7B62"/>
    <w:rsid w:val="007D153A"/>
    <w:rsid w:val="007D1ABA"/>
    <w:rsid w:val="007D20FA"/>
    <w:rsid w:val="007D46BE"/>
    <w:rsid w:val="007D4A1B"/>
    <w:rsid w:val="007D4C76"/>
    <w:rsid w:val="007D5933"/>
    <w:rsid w:val="007D68F2"/>
    <w:rsid w:val="007D71EF"/>
    <w:rsid w:val="007D7363"/>
    <w:rsid w:val="007D77FE"/>
    <w:rsid w:val="007D7FF1"/>
    <w:rsid w:val="007E21A5"/>
    <w:rsid w:val="007E4FD1"/>
    <w:rsid w:val="007E59EA"/>
    <w:rsid w:val="007E5D11"/>
    <w:rsid w:val="007E5D94"/>
    <w:rsid w:val="007E6091"/>
    <w:rsid w:val="007E637E"/>
    <w:rsid w:val="007F030C"/>
    <w:rsid w:val="007F04E5"/>
    <w:rsid w:val="007F0E20"/>
    <w:rsid w:val="007F2AC2"/>
    <w:rsid w:val="007F405D"/>
    <w:rsid w:val="007F536B"/>
    <w:rsid w:val="007F5444"/>
    <w:rsid w:val="007F6E98"/>
    <w:rsid w:val="008028CF"/>
    <w:rsid w:val="00803411"/>
    <w:rsid w:val="00803AEA"/>
    <w:rsid w:val="00804319"/>
    <w:rsid w:val="008047CA"/>
    <w:rsid w:val="00805384"/>
    <w:rsid w:val="00805B14"/>
    <w:rsid w:val="00806442"/>
    <w:rsid w:val="00810E42"/>
    <w:rsid w:val="0081128B"/>
    <w:rsid w:val="00811C20"/>
    <w:rsid w:val="00811E05"/>
    <w:rsid w:val="00812353"/>
    <w:rsid w:val="00813415"/>
    <w:rsid w:val="00813BF4"/>
    <w:rsid w:val="0081415B"/>
    <w:rsid w:val="008147CE"/>
    <w:rsid w:val="0081547C"/>
    <w:rsid w:val="0082111C"/>
    <w:rsid w:val="00821836"/>
    <w:rsid w:val="00821A18"/>
    <w:rsid w:val="008231F9"/>
    <w:rsid w:val="00825A26"/>
    <w:rsid w:val="00825DE5"/>
    <w:rsid w:val="00826AC0"/>
    <w:rsid w:val="008276C9"/>
    <w:rsid w:val="00827E12"/>
    <w:rsid w:val="00830C88"/>
    <w:rsid w:val="00830F7B"/>
    <w:rsid w:val="0083190B"/>
    <w:rsid w:val="00833191"/>
    <w:rsid w:val="00835A83"/>
    <w:rsid w:val="008363E2"/>
    <w:rsid w:val="00836C1A"/>
    <w:rsid w:val="00837874"/>
    <w:rsid w:val="00840DA6"/>
    <w:rsid w:val="008410CC"/>
    <w:rsid w:val="00842F05"/>
    <w:rsid w:val="0084438C"/>
    <w:rsid w:val="00845126"/>
    <w:rsid w:val="00845127"/>
    <w:rsid w:val="0084600F"/>
    <w:rsid w:val="008469E1"/>
    <w:rsid w:val="00846F0D"/>
    <w:rsid w:val="008536BF"/>
    <w:rsid w:val="00855830"/>
    <w:rsid w:val="00857588"/>
    <w:rsid w:val="00861646"/>
    <w:rsid w:val="00861DB2"/>
    <w:rsid w:val="008634BB"/>
    <w:rsid w:val="00863774"/>
    <w:rsid w:val="0086480D"/>
    <w:rsid w:val="00867C1A"/>
    <w:rsid w:val="008720DB"/>
    <w:rsid w:val="008722DC"/>
    <w:rsid w:val="00872D43"/>
    <w:rsid w:val="00873C6D"/>
    <w:rsid w:val="008764F1"/>
    <w:rsid w:val="00876CB6"/>
    <w:rsid w:val="00877C1A"/>
    <w:rsid w:val="00877FFE"/>
    <w:rsid w:val="008835B2"/>
    <w:rsid w:val="00883DB7"/>
    <w:rsid w:val="00884311"/>
    <w:rsid w:val="008866E0"/>
    <w:rsid w:val="008872A0"/>
    <w:rsid w:val="008917D2"/>
    <w:rsid w:val="008938C8"/>
    <w:rsid w:val="00894214"/>
    <w:rsid w:val="00894D6C"/>
    <w:rsid w:val="008952E0"/>
    <w:rsid w:val="008967AC"/>
    <w:rsid w:val="008968B4"/>
    <w:rsid w:val="00897AE5"/>
    <w:rsid w:val="008A0BFE"/>
    <w:rsid w:val="008A119D"/>
    <w:rsid w:val="008A213F"/>
    <w:rsid w:val="008A236A"/>
    <w:rsid w:val="008A3EFB"/>
    <w:rsid w:val="008A4055"/>
    <w:rsid w:val="008A40BC"/>
    <w:rsid w:val="008A4342"/>
    <w:rsid w:val="008A4AB6"/>
    <w:rsid w:val="008A5B0C"/>
    <w:rsid w:val="008A696B"/>
    <w:rsid w:val="008B0A53"/>
    <w:rsid w:val="008B0C9C"/>
    <w:rsid w:val="008B3CA1"/>
    <w:rsid w:val="008B50B5"/>
    <w:rsid w:val="008B5C4E"/>
    <w:rsid w:val="008C0D9C"/>
    <w:rsid w:val="008C1640"/>
    <w:rsid w:val="008C2047"/>
    <w:rsid w:val="008C5E1B"/>
    <w:rsid w:val="008C6153"/>
    <w:rsid w:val="008C651D"/>
    <w:rsid w:val="008C6E5C"/>
    <w:rsid w:val="008C70D8"/>
    <w:rsid w:val="008D0070"/>
    <w:rsid w:val="008D1430"/>
    <w:rsid w:val="008D20EF"/>
    <w:rsid w:val="008D232F"/>
    <w:rsid w:val="008D3135"/>
    <w:rsid w:val="008D3E48"/>
    <w:rsid w:val="008D41C9"/>
    <w:rsid w:val="008D5E11"/>
    <w:rsid w:val="008D7A03"/>
    <w:rsid w:val="008E1E41"/>
    <w:rsid w:val="008E3140"/>
    <w:rsid w:val="008E4933"/>
    <w:rsid w:val="008E4C43"/>
    <w:rsid w:val="008E4DEF"/>
    <w:rsid w:val="008E5B83"/>
    <w:rsid w:val="008E7028"/>
    <w:rsid w:val="008F3EBE"/>
    <w:rsid w:val="008F52DC"/>
    <w:rsid w:val="008F60C2"/>
    <w:rsid w:val="008F67F5"/>
    <w:rsid w:val="008F6B4A"/>
    <w:rsid w:val="008F74A5"/>
    <w:rsid w:val="009012EE"/>
    <w:rsid w:val="009021B2"/>
    <w:rsid w:val="009031B5"/>
    <w:rsid w:val="00903EF1"/>
    <w:rsid w:val="00904795"/>
    <w:rsid w:val="009052BA"/>
    <w:rsid w:val="00905337"/>
    <w:rsid w:val="009072FE"/>
    <w:rsid w:val="009100B7"/>
    <w:rsid w:val="00910988"/>
    <w:rsid w:val="00914DD8"/>
    <w:rsid w:val="00915B58"/>
    <w:rsid w:val="00920C4C"/>
    <w:rsid w:val="009218D5"/>
    <w:rsid w:val="0092295B"/>
    <w:rsid w:val="00925527"/>
    <w:rsid w:val="0093186A"/>
    <w:rsid w:val="009327C0"/>
    <w:rsid w:val="00932AC3"/>
    <w:rsid w:val="00933190"/>
    <w:rsid w:val="00933D52"/>
    <w:rsid w:val="00934216"/>
    <w:rsid w:val="00935DE7"/>
    <w:rsid w:val="00936EF3"/>
    <w:rsid w:val="009376C8"/>
    <w:rsid w:val="0094139B"/>
    <w:rsid w:val="0094161F"/>
    <w:rsid w:val="0094166F"/>
    <w:rsid w:val="00942300"/>
    <w:rsid w:val="00942EBA"/>
    <w:rsid w:val="009459BD"/>
    <w:rsid w:val="00946058"/>
    <w:rsid w:val="009460A9"/>
    <w:rsid w:val="009463AB"/>
    <w:rsid w:val="00946BE4"/>
    <w:rsid w:val="00946C75"/>
    <w:rsid w:val="0095152C"/>
    <w:rsid w:val="00952DC2"/>
    <w:rsid w:val="009537C6"/>
    <w:rsid w:val="00954449"/>
    <w:rsid w:val="00955649"/>
    <w:rsid w:val="00956528"/>
    <w:rsid w:val="00956923"/>
    <w:rsid w:val="00956953"/>
    <w:rsid w:val="0095713C"/>
    <w:rsid w:val="0096116F"/>
    <w:rsid w:val="00963A5A"/>
    <w:rsid w:val="009642BE"/>
    <w:rsid w:val="00964585"/>
    <w:rsid w:val="009649AD"/>
    <w:rsid w:val="00964F2E"/>
    <w:rsid w:val="009657F8"/>
    <w:rsid w:val="00965BFD"/>
    <w:rsid w:val="009664CE"/>
    <w:rsid w:val="00967D27"/>
    <w:rsid w:val="00967D59"/>
    <w:rsid w:val="009701EE"/>
    <w:rsid w:val="00971063"/>
    <w:rsid w:val="00971BF6"/>
    <w:rsid w:val="009748C7"/>
    <w:rsid w:val="00974AE4"/>
    <w:rsid w:val="009759C1"/>
    <w:rsid w:val="00982B69"/>
    <w:rsid w:val="009844DE"/>
    <w:rsid w:val="00986218"/>
    <w:rsid w:val="0098684C"/>
    <w:rsid w:val="00990816"/>
    <w:rsid w:val="00992174"/>
    <w:rsid w:val="00992538"/>
    <w:rsid w:val="009928C6"/>
    <w:rsid w:val="00992A75"/>
    <w:rsid w:val="009939DD"/>
    <w:rsid w:val="00994374"/>
    <w:rsid w:val="00994ED6"/>
    <w:rsid w:val="0099694C"/>
    <w:rsid w:val="00996B43"/>
    <w:rsid w:val="00997A6D"/>
    <w:rsid w:val="009A0406"/>
    <w:rsid w:val="009A177B"/>
    <w:rsid w:val="009A341A"/>
    <w:rsid w:val="009A42D3"/>
    <w:rsid w:val="009A51F8"/>
    <w:rsid w:val="009B2055"/>
    <w:rsid w:val="009B3CDE"/>
    <w:rsid w:val="009B4FAC"/>
    <w:rsid w:val="009B5B0F"/>
    <w:rsid w:val="009B6100"/>
    <w:rsid w:val="009B7C44"/>
    <w:rsid w:val="009B7DB2"/>
    <w:rsid w:val="009C18CE"/>
    <w:rsid w:val="009C30D1"/>
    <w:rsid w:val="009C517A"/>
    <w:rsid w:val="009C59C6"/>
    <w:rsid w:val="009C7198"/>
    <w:rsid w:val="009D023E"/>
    <w:rsid w:val="009D1039"/>
    <w:rsid w:val="009D386C"/>
    <w:rsid w:val="009D3BD3"/>
    <w:rsid w:val="009D3E02"/>
    <w:rsid w:val="009D6A22"/>
    <w:rsid w:val="009D73E0"/>
    <w:rsid w:val="009D75F4"/>
    <w:rsid w:val="009E12A1"/>
    <w:rsid w:val="009E2364"/>
    <w:rsid w:val="009E2F92"/>
    <w:rsid w:val="009E3157"/>
    <w:rsid w:val="009E3A1B"/>
    <w:rsid w:val="009E4453"/>
    <w:rsid w:val="009E5BAB"/>
    <w:rsid w:val="009E6089"/>
    <w:rsid w:val="009E6E89"/>
    <w:rsid w:val="009E7006"/>
    <w:rsid w:val="009E74C0"/>
    <w:rsid w:val="009F03BF"/>
    <w:rsid w:val="009F3F21"/>
    <w:rsid w:val="00A02D2B"/>
    <w:rsid w:val="00A033B7"/>
    <w:rsid w:val="00A03E14"/>
    <w:rsid w:val="00A0528C"/>
    <w:rsid w:val="00A06BEC"/>
    <w:rsid w:val="00A070A0"/>
    <w:rsid w:val="00A11908"/>
    <w:rsid w:val="00A14B28"/>
    <w:rsid w:val="00A170D2"/>
    <w:rsid w:val="00A212B9"/>
    <w:rsid w:val="00A21461"/>
    <w:rsid w:val="00A21FAB"/>
    <w:rsid w:val="00A227DB"/>
    <w:rsid w:val="00A22EBA"/>
    <w:rsid w:val="00A23155"/>
    <w:rsid w:val="00A248A2"/>
    <w:rsid w:val="00A26425"/>
    <w:rsid w:val="00A27FE5"/>
    <w:rsid w:val="00A27FE6"/>
    <w:rsid w:val="00A301FB"/>
    <w:rsid w:val="00A3033B"/>
    <w:rsid w:val="00A30795"/>
    <w:rsid w:val="00A318E6"/>
    <w:rsid w:val="00A31B1B"/>
    <w:rsid w:val="00A32191"/>
    <w:rsid w:val="00A323F7"/>
    <w:rsid w:val="00A32868"/>
    <w:rsid w:val="00A32A60"/>
    <w:rsid w:val="00A32F59"/>
    <w:rsid w:val="00A33599"/>
    <w:rsid w:val="00A35B28"/>
    <w:rsid w:val="00A37141"/>
    <w:rsid w:val="00A378A6"/>
    <w:rsid w:val="00A404B3"/>
    <w:rsid w:val="00A4282F"/>
    <w:rsid w:val="00A4369E"/>
    <w:rsid w:val="00A43B9F"/>
    <w:rsid w:val="00A44AAE"/>
    <w:rsid w:val="00A4608C"/>
    <w:rsid w:val="00A465BE"/>
    <w:rsid w:val="00A46872"/>
    <w:rsid w:val="00A471AE"/>
    <w:rsid w:val="00A50168"/>
    <w:rsid w:val="00A506FC"/>
    <w:rsid w:val="00A51B43"/>
    <w:rsid w:val="00A52B03"/>
    <w:rsid w:val="00A52B4C"/>
    <w:rsid w:val="00A52C73"/>
    <w:rsid w:val="00A52DB3"/>
    <w:rsid w:val="00A56806"/>
    <w:rsid w:val="00A568D0"/>
    <w:rsid w:val="00A5754C"/>
    <w:rsid w:val="00A65664"/>
    <w:rsid w:val="00A66E93"/>
    <w:rsid w:val="00A71796"/>
    <w:rsid w:val="00A71B05"/>
    <w:rsid w:val="00A72A22"/>
    <w:rsid w:val="00A73AF0"/>
    <w:rsid w:val="00A73E81"/>
    <w:rsid w:val="00A7552A"/>
    <w:rsid w:val="00A75D62"/>
    <w:rsid w:val="00A767CD"/>
    <w:rsid w:val="00A768A0"/>
    <w:rsid w:val="00A76B1D"/>
    <w:rsid w:val="00A802B9"/>
    <w:rsid w:val="00A80F52"/>
    <w:rsid w:val="00A81454"/>
    <w:rsid w:val="00A8226C"/>
    <w:rsid w:val="00A8310C"/>
    <w:rsid w:val="00A83182"/>
    <w:rsid w:val="00A83B2D"/>
    <w:rsid w:val="00A84732"/>
    <w:rsid w:val="00A858C8"/>
    <w:rsid w:val="00A8603D"/>
    <w:rsid w:val="00A870B1"/>
    <w:rsid w:val="00A90AB2"/>
    <w:rsid w:val="00A90D0E"/>
    <w:rsid w:val="00A925C3"/>
    <w:rsid w:val="00A9334F"/>
    <w:rsid w:val="00A93723"/>
    <w:rsid w:val="00A94108"/>
    <w:rsid w:val="00A94B19"/>
    <w:rsid w:val="00A95464"/>
    <w:rsid w:val="00A96B3D"/>
    <w:rsid w:val="00A96E2E"/>
    <w:rsid w:val="00A97AEC"/>
    <w:rsid w:val="00AA0BFF"/>
    <w:rsid w:val="00AA1651"/>
    <w:rsid w:val="00AA1F84"/>
    <w:rsid w:val="00AA21A0"/>
    <w:rsid w:val="00AA2318"/>
    <w:rsid w:val="00AA35B7"/>
    <w:rsid w:val="00AA4970"/>
    <w:rsid w:val="00AA4ED3"/>
    <w:rsid w:val="00AA5BB0"/>
    <w:rsid w:val="00AA5E00"/>
    <w:rsid w:val="00AA6246"/>
    <w:rsid w:val="00AB153E"/>
    <w:rsid w:val="00AB1B0F"/>
    <w:rsid w:val="00AB3567"/>
    <w:rsid w:val="00AB3C75"/>
    <w:rsid w:val="00AB5701"/>
    <w:rsid w:val="00AB57A7"/>
    <w:rsid w:val="00AB67A2"/>
    <w:rsid w:val="00AC0541"/>
    <w:rsid w:val="00AC0C29"/>
    <w:rsid w:val="00AC0F8B"/>
    <w:rsid w:val="00AC30D4"/>
    <w:rsid w:val="00AC44AF"/>
    <w:rsid w:val="00AC577A"/>
    <w:rsid w:val="00AC5D27"/>
    <w:rsid w:val="00AC68FA"/>
    <w:rsid w:val="00AC76DE"/>
    <w:rsid w:val="00AC7768"/>
    <w:rsid w:val="00AD2A39"/>
    <w:rsid w:val="00AD2A40"/>
    <w:rsid w:val="00AD43D8"/>
    <w:rsid w:val="00AD4C39"/>
    <w:rsid w:val="00AD5016"/>
    <w:rsid w:val="00AD61CC"/>
    <w:rsid w:val="00AD709D"/>
    <w:rsid w:val="00AD752A"/>
    <w:rsid w:val="00AE04E9"/>
    <w:rsid w:val="00AE471E"/>
    <w:rsid w:val="00AE4BE9"/>
    <w:rsid w:val="00AE5BD6"/>
    <w:rsid w:val="00AF0002"/>
    <w:rsid w:val="00AF027B"/>
    <w:rsid w:val="00AF0746"/>
    <w:rsid w:val="00AF4621"/>
    <w:rsid w:val="00AF5D62"/>
    <w:rsid w:val="00AF61B7"/>
    <w:rsid w:val="00AF6FAA"/>
    <w:rsid w:val="00B009BD"/>
    <w:rsid w:val="00B02012"/>
    <w:rsid w:val="00B024CE"/>
    <w:rsid w:val="00B05DA7"/>
    <w:rsid w:val="00B06925"/>
    <w:rsid w:val="00B1061C"/>
    <w:rsid w:val="00B10AD6"/>
    <w:rsid w:val="00B131B3"/>
    <w:rsid w:val="00B13B0B"/>
    <w:rsid w:val="00B1552B"/>
    <w:rsid w:val="00B1607D"/>
    <w:rsid w:val="00B16109"/>
    <w:rsid w:val="00B17027"/>
    <w:rsid w:val="00B1722B"/>
    <w:rsid w:val="00B178FA"/>
    <w:rsid w:val="00B220EC"/>
    <w:rsid w:val="00B23A7E"/>
    <w:rsid w:val="00B23C75"/>
    <w:rsid w:val="00B242A1"/>
    <w:rsid w:val="00B25F67"/>
    <w:rsid w:val="00B2624D"/>
    <w:rsid w:val="00B26698"/>
    <w:rsid w:val="00B26ABE"/>
    <w:rsid w:val="00B27316"/>
    <w:rsid w:val="00B3036E"/>
    <w:rsid w:val="00B325B8"/>
    <w:rsid w:val="00B32D42"/>
    <w:rsid w:val="00B36129"/>
    <w:rsid w:val="00B36A3A"/>
    <w:rsid w:val="00B37496"/>
    <w:rsid w:val="00B40BA5"/>
    <w:rsid w:val="00B45936"/>
    <w:rsid w:val="00B53CAC"/>
    <w:rsid w:val="00B5641D"/>
    <w:rsid w:val="00B568E9"/>
    <w:rsid w:val="00B57640"/>
    <w:rsid w:val="00B60436"/>
    <w:rsid w:val="00B60570"/>
    <w:rsid w:val="00B60FEF"/>
    <w:rsid w:val="00B620D4"/>
    <w:rsid w:val="00B6239B"/>
    <w:rsid w:val="00B62F23"/>
    <w:rsid w:val="00B638AE"/>
    <w:rsid w:val="00B64376"/>
    <w:rsid w:val="00B644FD"/>
    <w:rsid w:val="00B6496E"/>
    <w:rsid w:val="00B64CDA"/>
    <w:rsid w:val="00B653D8"/>
    <w:rsid w:val="00B65583"/>
    <w:rsid w:val="00B663F6"/>
    <w:rsid w:val="00B666CB"/>
    <w:rsid w:val="00B66D03"/>
    <w:rsid w:val="00B71376"/>
    <w:rsid w:val="00B71435"/>
    <w:rsid w:val="00B75A04"/>
    <w:rsid w:val="00B761A3"/>
    <w:rsid w:val="00B767C0"/>
    <w:rsid w:val="00B77050"/>
    <w:rsid w:val="00B7767A"/>
    <w:rsid w:val="00B808C8"/>
    <w:rsid w:val="00B81000"/>
    <w:rsid w:val="00B84CF1"/>
    <w:rsid w:val="00B84D0D"/>
    <w:rsid w:val="00B84F2B"/>
    <w:rsid w:val="00B86C96"/>
    <w:rsid w:val="00B877B3"/>
    <w:rsid w:val="00B87CC5"/>
    <w:rsid w:val="00B91022"/>
    <w:rsid w:val="00B92158"/>
    <w:rsid w:val="00B92324"/>
    <w:rsid w:val="00B92D03"/>
    <w:rsid w:val="00B92FAF"/>
    <w:rsid w:val="00B92FB9"/>
    <w:rsid w:val="00B93DCD"/>
    <w:rsid w:val="00B94D6C"/>
    <w:rsid w:val="00B9553C"/>
    <w:rsid w:val="00B955E7"/>
    <w:rsid w:val="00B961EE"/>
    <w:rsid w:val="00BA08A2"/>
    <w:rsid w:val="00BA3CA4"/>
    <w:rsid w:val="00BA4553"/>
    <w:rsid w:val="00BA535B"/>
    <w:rsid w:val="00BA5708"/>
    <w:rsid w:val="00BA5C28"/>
    <w:rsid w:val="00BA5D2D"/>
    <w:rsid w:val="00BA609C"/>
    <w:rsid w:val="00BB0F4B"/>
    <w:rsid w:val="00BB1771"/>
    <w:rsid w:val="00BB301E"/>
    <w:rsid w:val="00BB36F8"/>
    <w:rsid w:val="00BB5027"/>
    <w:rsid w:val="00BB5555"/>
    <w:rsid w:val="00BB6CF7"/>
    <w:rsid w:val="00BB78B1"/>
    <w:rsid w:val="00BC04FC"/>
    <w:rsid w:val="00BC198F"/>
    <w:rsid w:val="00BC2DFD"/>
    <w:rsid w:val="00BC47BB"/>
    <w:rsid w:val="00BC74A0"/>
    <w:rsid w:val="00BD1816"/>
    <w:rsid w:val="00BD3AEF"/>
    <w:rsid w:val="00BD6369"/>
    <w:rsid w:val="00BD6486"/>
    <w:rsid w:val="00BD66DC"/>
    <w:rsid w:val="00BD66F3"/>
    <w:rsid w:val="00BD7B22"/>
    <w:rsid w:val="00BE37C2"/>
    <w:rsid w:val="00BE52FE"/>
    <w:rsid w:val="00BE793B"/>
    <w:rsid w:val="00BF022E"/>
    <w:rsid w:val="00BF1C21"/>
    <w:rsid w:val="00BF1F81"/>
    <w:rsid w:val="00BF26E2"/>
    <w:rsid w:val="00BF2BB4"/>
    <w:rsid w:val="00BF2F91"/>
    <w:rsid w:val="00BF2FDF"/>
    <w:rsid w:val="00BF488B"/>
    <w:rsid w:val="00BF66A5"/>
    <w:rsid w:val="00BF796C"/>
    <w:rsid w:val="00C007C1"/>
    <w:rsid w:val="00C01356"/>
    <w:rsid w:val="00C040B0"/>
    <w:rsid w:val="00C04344"/>
    <w:rsid w:val="00C05E5B"/>
    <w:rsid w:val="00C06CE8"/>
    <w:rsid w:val="00C10E54"/>
    <w:rsid w:val="00C11048"/>
    <w:rsid w:val="00C11140"/>
    <w:rsid w:val="00C1174E"/>
    <w:rsid w:val="00C11AAD"/>
    <w:rsid w:val="00C13390"/>
    <w:rsid w:val="00C13A96"/>
    <w:rsid w:val="00C16CD2"/>
    <w:rsid w:val="00C17BCD"/>
    <w:rsid w:val="00C17D88"/>
    <w:rsid w:val="00C2094D"/>
    <w:rsid w:val="00C214EE"/>
    <w:rsid w:val="00C2206C"/>
    <w:rsid w:val="00C31853"/>
    <w:rsid w:val="00C32455"/>
    <w:rsid w:val="00C3252B"/>
    <w:rsid w:val="00C32D47"/>
    <w:rsid w:val="00C33D97"/>
    <w:rsid w:val="00C34396"/>
    <w:rsid w:val="00C345EE"/>
    <w:rsid w:val="00C34759"/>
    <w:rsid w:val="00C35514"/>
    <w:rsid w:val="00C35F70"/>
    <w:rsid w:val="00C363C2"/>
    <w:rsid w:val="00C431C8"/>
    <w:rsid w:val="00C43279"/>
    <w:rsid w:val="00C453DF"/>
    <w:rsid w:val="00C4585F"/>
    <w:rsid w:val="00C465F0"/>
    <w:rsid w:val="00C470E7"/>
    <w:rsid w:val="00C4793D"/>
    <w:rsid w:val="00C5138A"/>
    <w:rsid w:val="00C55E0E"/>
    <w:rsid w:val="00C56238"/>
    <w:rsid w:val="00C567CA"/>
    <w:rsid w:val="00C567E0"/>
    <w:rsid w:val="00C614CE"/>
    <w:rsid w:val="00C61D96"/>
    <w:rsid w:val="00C62B5B"/>
    <w:rsid w:val="00C62E8B"/>
    <w:rsid w:val="00C6449B"/>
    <w:rsid w:val="00C65631"/>
    <w:rsid w:val="00C67CC1"/>
    <w:rsid w:val="00C71D72"/>
    <w:rsid w:val="00C72CB4"/>
    <w:rsid w:val="00C756F5"/>
    <w:rsid w:val="00C75D44"/>
    <w:rsid w:val="00C76B68"/>
    <w:rsid w:val="00C8237C"/>
    <w:rsid w:val="00C82E35"/>
    <w:rsid w:val="00C83CF1"/>
    <w:rsid w:val="00C8645E"/>
    <w:rsid w:val="00C87950"/>
    <w:rsid w:val="00C91DD3"/>
    <w:rsid w:val="00C92AB7"/>
    <w:rsid w:val="00C933B2"/>
    <w:rsid w:val="00C94E5B"/>
    <w:rsid w:val="00C954BA"/>
    <w:rsid w:val="00C95FAE"/>
    <w:rsid w:val="00C96B59"/>
    <w:rsid w:val="00C96E9A"/>
    <w:rsid w:val="00C97109"/>
    <w:rsid w:val="00C97AB6"/>
    <w:rsid w:val="00CA0824"/>
    <w:rsid w:val="00CA1FB0"/>
    <w:rsid w:val="00CA286F"/>
    <w:rsid w:val="00CA2B6A"/>
    <w:rsid w:val="00CA2CD0"/>
    <w:rsid w:val="00CA3806"/>
    <w:rsid w:val="00CA3F4B"/>
    <w:rsid w:val="00CA44F3"/>
    <w:rsid w:val="00CA7216"/>
    <w:rsid w:val="00CA7767"/>
    <w:rsid w:val="00CB0486"/>
    <w:rsid w:val="00CB2689"/>
    <w:rsid w:val="00CB5C62"/>
    <w:rsid w:val="00CB6B05"/>
    <w:rsid w:val="00CC146D"/>
    <w:rsid w:val="00CC3314"/>
    <w:rsid w:val="00CC54D6"/>
    <w:rsid w:val="00CD0D8E"/>
    <w:rsid w:val="00CD2F3F"/>
    <w:rsid w:val="00CD3588"/>
    <w:rsid w:val="00CD4A42"/>
    <w:rsid w:val="00CE0D05"/>
    <w:rsid w:val="00CE1CF9"/>
    <w:rsid w:val="00CE3281"/>
    <w:rsid w:val="00CE3502"/>
    <w:rsid w:val="00CE3735"/>
    <w:rsid w:val="00CE40F8"/>
    <w:rsid w:val="00CE62F8"/>
    <w:rsid w:val="00CE79EE"/>
    <w:rsid w:val="00CF0081"/>
    <w:rsid w:val="00CF0EE3"/>
    <w:rsid w:val="00CF1ADC"/>
    <w:rsid w:val="00CF21C5"/>
    <w:rsid w:val="00CF2692"/>
    <w:rsid w:val="00CF70AA"/>
    <w:rsid w:val="00D01C72"/>
    <w:rsid w:val="00D0258A"/>
    <w:rsid w:val="00D02BF3"/>
    <w:rsid w:val="00D033B7"/>
    <w:rsid w:val="00D073FC"/>
    <w:rsid w:val="00D1086F"/>
    <w:rsid w:val="00D10AA7"/>
    <w:rsid w:val="00D11662"/>
    <w:rsid w:val="00D13DB5"/>
    <w:rsid w:val="00D16E46"/>
    <w:rsid w:val="00D179B0"/>
    <w:rsid w:val="00D21244"/>
    <w:rsid w:val="00D21C57"/>
    <w:rsid w:val="00D27DB2"/>
    <w:rsid w:val="00D30701"/>
    <w:rsid w:val="00D32286"/>
    <w:rsid w:val="00D33340"/>
    <w:rsid w:val="00D33582"/>
    <w:rsid w:val="00D361FE"/>
    <w:rsid w:val="00D36244"/>
    <w:rsid w:val="00D40E6A"/>
    <w:rsid w:val="00D415D2"/>
    <w:rsid w:val="00D41BB8"/>
    <w:rsid w:val="00D41F0C"/>
    <w:rsid w:val="00D42EB4"/>
    <w:rsid w:val="00D43AE0"/>
    <w:rsid w:val="00D44365"/>
    <w:rsid w:val="00D47915"/>
    <w:rsid w:val="00D47EF0"/>
    <w:rsid w:val="00D47F4B"/>
    <w:rsid w:val="00D51306"/>
    <w:rsid w:val="00D51F3E"/>
    <w:rsid w:val="00D536C8"/>
    <w:rsid w:val="00D553C8"/>
    <w:rsid w:val="00D56996"/>
    <w:rsid w:val="00D607E4"/>
    <w:rsid w:val="00D61B07"/>
    <w:rsid w:val="00D6249D"/>
    <w:rsid w:val="00D6579D"/>
    <w:rsid w:val="00D66D87"/>
    <w:rsid w:val="00D70DA5"/>
    <w:rsid w:val="00D726E2"/>
    <w:rsid w:val="00D73340"/>
    <w:rsid w:val="00D73861"/>
    <w:rsid w:val="00D75E7B"/>
    <w:rsid w:val="00D76150"/>
    <w:rsid w:val="00D76778"/>
    <w:rsid w:val="00D773B4"/>
    <w:rsid w:val="00D77991"/>
    <w:rsid w:val="00D80861"/>
    <w:rsid w:val="00D84010"/>
    <w:rsid w:val="00D86542"/>
    <w:rsid w:val="00D87487"/>
    <w:rsid w:val="00D878F3"/>
    <w:rsid w:val="00D90EB3"/>
    <w:rsid w:val="00D92D13"/>
    <w:rsid w:val="00D930A5"/>
    <w:rsid w:val="00D947CE"/>
    <w:rsid w:val="00D94C41"/>
    <w:rsid w:val="00D94CBB"/>
    <w:rsid w:val="00D94F15"/>
    <w:rsid w:val="00D95B69"/>
    <w:rsid w:val="00D96309"/>
    <w:rsid w:val="00D96F49"/>
    <w:rsid w:val="00D97903"/>
    <w:rsid w:val="00DA0E8E"/>
    <w:rsid w:val="00DA2131"/>
    <w:rsid w:val="00DA241C"/>
    <w:rsid w:val="00DA3B22"/>
    <w:rsid w:val="00DA3E87"/>
    <w:rsid w:val="00DA5214"/>
    <w:rsid w:val="00DA5C17"/>
    <w:rsid w:val="00DA684E"/>
    <w:rsid w:val="00DA7F6D"/>
    <w:rsid w:val="00DB002B"/>
    <w:rsid w:val="00DB2E9A"/>
    <w:rsid w:val="00DB32F2"/>
    <w:rsid w:val="00DB3655"/>
    <w:rsid w:val="00DB53CA"/>
    <w:rsid w:val="00DB5B2B"/>
    <w:rsid w:val="00DB62B0"/>
    <w:rsid w:val="00DB7531"/>
    <w:rsid w:val="00DB78BB"/>
    <w:rsid w:val="00DB7E6A"/>
    <w:rsid w:val="00DC0AB6"/>
    <w:rsid w:val="00DC25CB"/>
    <w:rsid w:val="00DC38A9"/>
    <w:rsid w:val="00DC4724"/>
    <w:rsid w:val="00DC4AB9"/>
    <w:rsid w:val="00DC55EA"/>
    <w:rsid w:val="00DC5E71"/>
    <w:rsid w:val="00DC6147"/>
    <w:rsid w:val="00DC6979"/>
    <w:rsid w:val="00DD0993"/>
    <w:rsid w:val="00DD42FF"/>
    <w:rsid w:val="00DD53C2"/>
    <w:rsid w:val="00DD6E24"/>
    <w:rsid w:val="00DD776E"/>
    <w:rsid w:val="00DE079C"/>
    <w:rsid w:val="00DE167B"/>
    <w:rsid w:val="00DE2322"/>
    <w:rsid w:val="00DE380B"/>
    <w:rsid w:val="00DE5D04"/>
    <w:rsid w:val="00DE77A4"/>
    <w:rsid w:val="00DF0AD9"/>
    <w:rsid w:val="00DF1D7B"/>
    <w:rsid w:val="00DF36D1"/>
    <w:rsid w:val="00DF5C42"/>
    <w:rsid w:val="00DF5CB1"/>
    <w:rsid w:val="00DF60FA"/>
    <w:rsid w:val="00DF77C2"/>
    <w:rsid w:val="00DF7D39"/>
    <w:rsid w:val="00E004AC"/>
    <w:rsid w:val="00E01594"/>
    <w:rsid w:val="00E01AC8"/>
    <w:rsid w:val="00E01E52"/>
    <w:rsid w:val="00E046EE"/>
    <w:rsid w:val="00E04A74"/>
    <w:rsid w:val="00E05FA0"/>
    <w:rsid w:val="00E065C3"/>
    <w:rsid w:val="00E11234"/>
    <w:rsid w:val="00E13283"/>
    <w:rsid w:val="00E17462"/>
    <w:rsid w:val="00E17E1A"/>
    <w:rsid w:val="00E20BF8"/>
    <w:rsid w:val="00E21034"/>
    <w:rsid w:val="00E22EBE"/>
    <w:rsid w:val="00E2393C"/>
    <w:rsid w:val="00E23C28"/>
    <w:rsid w:val="00E24915"/>
    <w:rsid w:val="00E24E9C"/>
    <w:rsid w:val="00E25340"/>
    <w:rsid w:val="00E263C7"/>
    <w:rsid w:val="00E27131"/>
    <w:rsid w:val="00E27A6A"/>
    <w:rsid w:val="00E3210F"/>
    <w:rsid w:val="00E32EFB"/>
    <w:rsid w:val="00E34377"/>
    <w:rsid w:val="00E37202"/>
    <w:rsid w:val="00E37565"/>
    <w:rsid w:val="00E4073A"/>
    <w:rsid w:val="00E41993"/>
    <w:rsid w:val="00E42747"/>
    <w:rsid w:val="00E4392F"/>
    <w:rsid w:val="00E46862"/>
    <w:rsid w:val="00E47719"/>
    <w:rsid w:val="00E503F6"/>
    <w:rsid w:val="00E50D7E"/>
    <w:rsid w:val="00E5228E"/>
    <w:rsid w:val="00E5286B"/>
    <w:rsid w:val="00E52C6F"/>
    <w:rsid w:val="00E52FA4"/>
    <w:rsid w:val="00E5383D"/>
    <w:rsid w:val="00E546D6"/>
    <w:rsid w:val="00E54B74"/>
    <w:rsid w:val="00E54C35"/>
    <w:rsid w:val="00E5558B"/>
    <w:rsid w:val="00E568A5"/>
    <w:rsid w:val="00E60828"/>
    <w:rsid w:val="00E61CC4"/>
    <w:rsid w:val="00E6249F"/>
    <w:rsid w:val="00E66F63"/>
    <w:rsid w:val="00E675BF"/>
    <w:rsid w:val="00E67CAC"/>
    <w:rsid w:val="00E70730"/>
    <w:rsid w:val="00E70B96"/>
    <w:rsid w:val="00E713CE"/>
    <w:rsid w:val="00E715F7"/>
    <w:rsid w:val="00E72CD7"/>
    <w:rsid w:val="00E737D7"/>
    <w:rsid w:val="00E73F5F"/>
    <w:rsid w:val="00E74B40"/>
    <w:rsid w:val="00E74C18"/>
    <w:rsid w:val="00E75554"/>
    <w:rsid w:val="00E773B0"/>
    <w:rsid w:val="00E81DD7"/>
    <w:rsid w:val="00E83ABA"/>
    <w:rsid w:val="00E83F4B"/>
    <w:rsid w:val="00E85F6E"/>
    <w:rsid w:val="00E86629"/>
    <w:rsid w:val="00E879EF"/>
    <w:rsid w:val="00E94F1C"/>
    <w:rsid w:val="00E9556C"/>
    <w:rsid w:val="00E95FFC"/>
    <w:rsid w:val="00E967D6"/>
    <w:rsid w:val="00E97DAA"/>
    <w:rsid w:val="00EA174B"/>
    <w:rsid w:val="00EA2411"/>
    <w:rsid w:val="00EA32E4"/>
    <w:rsid w:val="00EA4EB4"/>
    <w:rsid w:val="00EA673D"/>
    <w:rsid w:val="00EB16B7"/>
    <w:rsid w:val="00EB2BF1"/>
    <w:rsid w:val="00EB402C"/>
    <w:rsid w:val="00EB4193"/>
    <w:rsid w:val="00EB4219"/>
    <w:rsid w:val="00EB7757"/>
    <w:rsid w:val="00EC02B7"/>
    <w:rsid w:val="00EC03DA"/>
    <w:rsid w:val="00EC1E12"/>
    <w:rsid w:val="00EC2053"/>
    <w:rsid w:val="00EC265A"/>
    <w:rsid w:val="00EC2E93"/>
    <w:rsid w:val="00EC3C10"/>
    <w:rsid w:val="00EC445C"/>
    <w:rsid w:val="00EC4AE0"/>
    <w:rsid w:val="00EC6B33"/>
    <w:rsid w:val="00EC6D9C"/>
    <w:rsid w:val="00EC7299"/>
    <w:rsid w:val="00EC7BA3"/>
    <w:rsid w:val="00ED0052"/>
    <w:rsid w:val="00ED0F3F"/>
    <w:rsid w:val="00ED1676"/>
    <w:rsid w:val="00ED1C43"/>
    <w:rsid w:val="00ED4077"/>
    <w:rsid w:val="00ED5279"/>
    <w:rsid w:val="00ED6394"/>
    <w:rsid w:val="00EE2551"/>
    <w:rsid w:val="00EE5536"/>
    <w:rsid w:val="00EE6DEE"/>
    <w:rsid w:val="00EE710B"/>
    <w:rsid w:val="00EF4066"/>
    <w:rsid w:val="00EF4F6E"/>
    <w:rsid w:val="00EF5DD5"/>
    <w:rsid w:val="00EF7156"/>
    <w:rsid w:val="00F00C59"/>
    <w:rsid w:val="00F01371"/>
    <w:rsid w:val="00F018C2"/>
    <w:rsid w:val="00F03DCC"/>
    <w:rsid w:val="00F04A0C"/>
    <w:rsid w:val="00F0628E"/>
    <w:rsid w:val="00F06EDD"/>
    <w:rsid w:val="00F0723E"/>
    <w:rsid w:val="00F07AA4"/>
    <w:rsid w:val="00F10977"/>
    <w:rsid w:val="00F10FFB"/>
    <w:rsid w:val="00F11394"/>
    <w:rsid w:val="00F11538"/>
    <w:rsid w:val="00F121FE"/>
    <w:rsid w:val="00F13441"/>
    <w:rsid w:val="00F178B6"/>
    <w:rsid w:val="00F178FF"/>
    <w:rsid w:val="00F2095B"/>
    <w:rsid w:val="00F23BAF"/>
    <w:rsid w:val="00F26A44"/>
    <w:rsid w:val="00F26A72"/>
    <w:rsid w:val="00F30805"/>
    <w:rsid w:val="00F30EED"/>
    <w:rsid w:val="00F31A87"/>
    <w:rsid w:val="00F31C85"/>
    <w:rsid w:val="00F321AC"/>
    <w:rsid w:val="00F34A6C"/>
    <w:rsid w:val="00F37E90"/>
    <w:rsid w:val="00F40A17"/>
    <w:rsid w:val="00F41128"/>
    <w:rsid w:val="00F41620"/>
    <w:rsid w:val="00F42BFD"/>
    <w:rsid w:val="00F43F28"/>
    <w:rsid w:val="00F44FEE"/>
    <w:rsid w:val="00F45E45"/>
    <w:rsid w:val="00F46E73"/>
    <w:rsid w:val="00F4756A"/>
    <w:rsid w:val="00F476E2"/>
    <w:rsid w:val="00F479A8"/>
    <w:rsid w:val="00F50970"/>
    <w:rsid w:val="00F50F08"/>
    <w:rsid w:val="00F5259B"/>
    <w:rsid w:val="00F52D0E"/>
    <w:rsid w:val="00F52FE8"/>
    <w:rsid w:val="00F531B9"/>
    <w:rsid w:val="00F55542"/>
    <w:rsid w:val="00F578E6"/>
    <w:rsid w:val="00F61659"/>
    <w:rsid w:val="00F61A22"/>
    <w:rsid w:val="00F62EB9"/>
    <w:rsid w:val="00F645B2"/>
    <w:rsid w:val="00F64A56"/>
    <w:rsid w:val="00F66388"/>
    <w:rsid w:val="00F66B58"/>
    <w:rsid w:val="00F71C9C"/>
    <w:rsid w:val="00F725E3"/>
    <w:rsid w:val="00F743E9"/>
    <w:rsid w:val="00F74BC6"/>
    <w:rsid w:val="00F7547F"/>
    <w:rsid w:val="00F76314"/>
    <w:rsid w:val="00F7784F"/>
    <w:rsid w:val="00F80287"/>
    <w:rsid w:val="00F80C07"/>
    <w:rsid w:val="00F81692"/>
    <w:rsid w:val="00F83645"/>
    <w:rsid w:val="00F839CE"/>
    <w:rsid w:val="00F847A9"/>
    <w:rsid w:val="00F848FF"/>
    <w:rsid w:val="00F8799F"/>
    <w:rsid w:val="00F9275B"/>
    <w:rsid w:val="00F92DBA"/>
    <w:rsid w:val="00F93A86"/>
    <w:rsid w:val="00F9566B"/>
    <w:rsid w:val="00F9691C"/>
    <w:rsid w:val="00FA27EB"/>
    <w:rsid w:val="00FA352B"/>
    <w:rsid w:val="00FA3F14"/>
    <w:rsid w:val="00FA4620"/>
    <w:rsid w:val="00FA57DC"/>
    <w:rsid w:val="00FA7E1B"/>
    <w:rsid w:val="00FA7E3E"/>
    <w:rsid w:val="00FB02B2"/>
    <w:rsid w:val="00FB097A"/>
    <w:rsid w:val="00FB0EB5"/>
    <w:rsid w:val="00FB3F99"/>
    <w:rsid w:val="00FB5F3D"/>
    <w:rsid w:val="00FB608C"/>
    <w:rsid w:val="00FB7874"/>
    <w:rsid w:val="00FB7D5D"/>
    <w:rsid w:val="00FC0649"/>
    <w:rsid w:val="00FC2B7B"/>
    <w:rsid w:val="00FC3420"/>
    <w:rsid w:val="00FC3F08"/>
    <w:rsid w:val="00FC4787"/>
    <w:rsid w:val="00FC676E"/>
    <w:rsid w:val="00FC678D"/>
    <w:rsid w:val="00FC7A6B"/>
    <w:rsid w:val="00FD2044"/>
    <w:rsid w:val="00FD3A86"/>
    <w:rsid w:val="00FD4408"/>
    <w:rsid w:val="00FD4593"/>
    <w:rsid w:val="00FD494B"/>
    <w:rsid w:val="00FD70AD"/>
    <w:rsid w:val="00FE0DCF"/>
    <w:rsid w:val="00FE1ED3"/>
    <w:rsid w:val="00FE2194"/>
    <w:rsid w:val="00FE4F21"/>
    <w:rsid w:val="00FE57BD"/>
    <w:rsid w:val="00FE63BD"/>
    <w:rsid w:val="00FF1A09"/>
    <w:rsid w:val="00FF30AC"/>
    <w:rsid w:val="00FF3BA0"/>
    <w:rsid w:val="00FF4D9F"/>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4935E6-BB34-4556-96B9-91791DE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Нижний колонтитул1"/>
    <w:basedOn w:val="Normal"/>
    <w:next w:val="Footer"/>
    <w:link w:val="a"/>
    <w:uiPriority w:val="99"/>
    <w:unhideWhenUsed/>
    <w:rsid w:val="00C65631"/>
    <w:pPr>
      <w:tabs>
        <w:tab w:val="center" w:pos="4844"/>
        <w:tab w:val="right" w:pos="9689"/>
      </w:tabs>
      <w:spacing w:after="0" w:line="240" w:lineRule="auto"/>
    </w:pPr>
    <w:rPr>
      <w:rFonts w:ascii="Times New Roman" w:hAnsi="Times New Roman"/>
      <w:sz w:val="28"/>
    </w:rPr>
  </w:style>
  <w:style w:type="character" w:customStyle="1" w:styleId="a">
    <w:name w:val="Нижний колонтитул Знак"/>
    <w:basedOn w:val="DefaultParagraphFont"/>
    <w:link w:val="1"/>
    <w:uiPriority w:val="99"/>
    <w:rsid w:val="00C65631"/>
    <w:rPr>
      <w:rFonts w:ascii="Times New Roman" w:hAnsi="Times New Roman"/>
      <w:sz w:val="28"/>
    </w:rPr>
  </w:style>
  <w:style w:type="paragraph" w:styleId="Footer">
    <w:name w:val="footer"/>
    <w:basedOn w:val="Normal"/>
    <w:link w:val="FooterChar"/>
    <w:uiPriority w:val="99"/>
    <w:unhideWhenUsed/>
    <w:rsid w:val="00C65631"/>
    <w:pPr>
      <w:tabs>
        <w:tab w:val="center" w:pos="4844"/>
        <w:tab w:val="right" w:pos="9689"/>
      </w:tabs>
      <w:spacing w:after="0" w:line="240" w:lineRule="auto"/>
    </w:pPr>
  </w:style>
  <w:style w:type="character" w:customStyle="1" w:styleId="FooterChar">
    <w:name w:val="Footer Char"/>
    <w:basedOn w:val="DefaultParagraphFont"/>
    <w:link w:val="Footer"/>
    <w:uiPriority w:val="99"/>
    <w:rsid w:val="00C65631"/>
  </w:style>
  <w:style w:type="paragraph" w:styleId="Header">
    <w:name w:val="header"/>
    <w:basedOn w:val="Normal"/>
    <w:link w:val="HeaderChar"/>
    <w:uiPriority w:val="99"/>
    <w:unhideWhenUsed/>
    <w:rsid w:val="00F06EDD"/>
    <w:pPr>
      <w:tabs>
        <w:tab w:val="center" w:pos="4844"/>
        <w:tab w:val="right" w:pos="9689"/>
      </w:tabs>
      <w:spacing w:after="0" w:line="240" w:lineRule="auto"/>
    </w:pPr>
  </w:style>
  <w:style w:type="character" w:customStyle="1" w:styleId="HeaderChar">
    <w:name w:val="Header Char"/>
    <w:basedOn w:val="DefaultParagraphFont"/>
    <w:link w:val="Header"/>
    <w:uiPriority w:val="99"/>
    <w:rsid w:val="00F06EDD"/>
  </w:style>
  <w:style w:type="paragraph" w:styleId="FootnoteText">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Normal"/>
    <w:link w:val="FootnoteTextChar"/>
    <w:uiPriority w:val="99"/>
    <w:unhideWhenUsed/>
    <w:qFormat/>
    <w:rsid w:val="00081026"/>
    <w:pPr>
      <w:spacing w:after="0" w:line="240" w:lineRule="auto"/>
    </w:pPr>
    <w:rPr>
      <w:rFonts w:ascii="Times New Roman" w:hAnsi="Times New Roman"/>
      <w:sz w:val="20"/>
      <w:szCs w:val="20"/>
    </w:rPr>
  </w:style>
  <w:style w:type="character" w:customStyle="1" w:styleId="FootnoteTextChar">
    <w:name w:val="Footnote Text Char"/>
    <w:aliases w:val="Char Char,Знак1 Char,Знак Char, Char Char, Знак1 Char, Знак Char,single space Char,footnote text Char,FOOTNOTES Char,fn Char,Footnote Text Char1 Char,Footnote Text Char2 Char Char,Footnote Text Char1 Char Char Char, Cha Char,Cha Char"/>
    <w:basedOn w:val="DefaultParagraphFont"/>
    <w:link w:val="FootnoteText"/>
    <w:uiPriority w:val="99"/>
    <w:rsid w:val="00081026"/>
    <w:rPr>
      <w:rFonts w:ascii="Times New Roman" w:hAnsi="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081026"/>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081026"/>
    <w:pPr>
      <w:spacing w:after="0" w:line="240" w:lineRule="exact"/>
      <w:jc w:val="both"/>
    </w:pPr>
    <w:rPr>
      <w:vertAlign w:val="superscript"/>
    </w:rPr>
  </w:style>
  <w:style w:type="paragraph" w:styleId="ListParagraph">
    <w:name w:val="List Paragraph"/>
    <w:aliases w:val="List Paragraph 1,Абзац списка1"/>
    <w:basedOn w:val="Normal"/>
    <w:link w:val="ListParagraphChar"/>
    <w:uiPriority w:val="34"/>
    <w:qFormat/>
    <w:rsid w:val="00BB6CF7"/>
    <w:pPr>
      <w:ind w:left="720"/>
      <w:contextualSpacing/>
    </w:pPr>
  </w:style>
  <w:style w:type="character" w:customStyle="1" w:styleId="ListParagraphChar">
    <w:name w:val="List Paragraph Char"/>
    <w:aliases w:val="List Paragraph 1 Char,Абзац списка1 Char"/>
    <w:link w:val="ListParagraph"/>
    <w:uiPriority w:val="34"/>
    <w:rsid w:val="006F10B2"/>
  </w:style>
  <w:style w:type="paragraph" w:styleId="NormalWeb">
    <w:name w:val="Normal (Web)"/>
    <w:basedOn w:val="Normal"/>
    <w:uiPriority w:val="99"/>
    <w:unhideWhenUsed/>
    <w:qFormat/>
    <w:rsid w:val="00997A6D"/>
    <w:rPr>
      <w:rFonts w:ascii="Times New Roman" w:hAnsi="Times New Roman" w:cs="Times New Roman"/>
      <w:sz w:val="24"/>
      <w:szCs w:val="24"/>
    </w:rPr>
  </w:style>
  <w:style w:type="character" w:styleId="Hyperlink">
    <w:name w:val="Hyperlink"/>
    <w:basedOn w:val="DefaultParagraphFont"/>
    <w:uiPriority w:val="99"/>
    <w:unhideWhenUsed/>
    <w:rsid w:val="00845126"/>
    <w:rPr>
      <w:color w:val="0563C1" w:themeColor="hyperlink"/>
      <w:u w:val="single"/>
    </w:rPr>
  </w:style>
  <w:style w:type="character" w:styleId="CommentReference">
    <w:name w:val="annotation reference"/>
    <w:basedOn w:val="DefaultParagraphFont"/>
    <w:uiPriority w:val="99"/>
    <w:semiHidden/>
    <w:unhideWhenUsed/>
    <w:rsid w:val="00D16E46"/>
    <w:rPr>
      <w:sz w:val="16"/>
      <w:szCs w:val="16"/>
    </w:rPr>
  </w:style>
  <w:style w:type="paragraph" w:styleId="CommentText">
    <w:name w:val="annotation text"/>
    <w:basedOn w:val="Normal"/>
    <w:link w:val="CommentTextChar"/>
    <w:uiPriority w:val="99"/>
    <w:semiHidden/>
    <w:unhideWhenUsed/>
    <w:rsid w:val="00D16E46"/>
    <w:pPr>
      <w:spacing w:line="240" w:lineRule="auto"/>
    </w:pPr>
    <w:rPr>
      <w:sz w:val="20"/>
      <w:szCs w:val="20"/>
    </w:rPr>
  </w:style>
  <w:style w:type="character" w:customStyle="1" w:styleId="CommentTextChar">
    <w:name w:val="Comment Text Char"/>
    <w:basedOn w:val="DefaultParagraphFont"/>
    <w:link w:val="CommentText"/>
    <w:uiPriority w:val="99"/>
    <w:semiHidden/>
    <w:rsid w:val="00D16E46"/>
    <w:rPr>
      <w:sz w:val="20"/>
      <w:szCs w:val="20"/>
    </w:rPr>
  </w:style>
  <w:style w:type="paragraph" w:styleId="BalloonText">
    <w:name w:val="Balloon Text"/>
    <w:basedOn w:val="Normal"/>
    <w:link w:val="BalloonTextChar"/>
    <w:uiPriority w:val="99"/>
    <w:semiHidden/>
    <w:unhideWhenUsed/>
    <w:rsid w:val="00D16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5286">
      <w:bodyDiv w:val="1"/>
      <w:marLeft w:val="0"/>
      <w:marRight w:val="0"/>
      <w:marTop w:val="0"/>
      <w:marBottom w:val="0"/>
      <w:divBdr>
        <w:top w:val="none" w:sz="0" w:space="0" w:color="auto"/>
        <w:left w:val="none" w:sz="0" w:space="0" w:color="auto"/>
        <w:bottom w:val="none" w:sz="0" w:space="0" w:color="auto"/>
        <w:right w:val="none" w:sz="0" w:space="0" w:color="auto"/>
      </w:divBdr>
    </w:div>
    <w:div w:id="115025406">
      <w:bodyDiv w:val="1"/>
      <w:marLeft w:val="0"/>
      <w:marRight w:val="0"/>
      <w:marTop w:val="0"/>
      <w:marBottom w:val="0"/>
      <w:divBdr>
        <w:top w:val="none" w:sz="0" w:space="0" w:color="auto"/>
        <w:left w:val="none" w:sz="0" w:space="0" w:color="auto"/>
        <w:bottom w:val="none" w:sz="0" w:space="0" w:color="auto"/>
        <w:right w:val="none" w:sz="0" w:space="0" w:color="auto"/>
      </w:divBdr>
    </w:div>
    <w:div w:id="172258557">
      <w:bodyDiv w:val="1"/>
      <w:marLeft w:val="0"/>
      <w:marRight w:val="0"/>
      <w:marTop w:val="0"/>
      <w:marBottom w:val="0"/>
      <w:divBdr>
        <w:top w:val="none" w:sz="0" w:space="0" w:color="auto"/>
        <w:left w:val="none" w:sz="0" w:space="0" w:color="auto"/>
        <w:bottom w:val="none" w:sz="0" w:space="0" w:color="auto"/>
        <w:right w:val="none" w:sz="0" w:space="0" w:color="auto"/>
      </w:divBdr>
    </w:div>
    <w:div w:id="299725786">
      <w:bodyDiv w:val="1"/>
      <w:marLeft w:val="0"/>
      <w:marRight w:val="0"/>
      <w:marTop w:val="0"/>
      <w:marBottom w:val="0"/>
      <w:divBdr>
        <w:top w:val="none" w:sz="0" w:space="0" w:color="auto"/>
        <w:left w:val="none" w:sz="0" w:space="0" w:color="auto"/>
        <w:bottom w:val="none" w:sz="0" w:space="0" w:color="auto"/>
        <w:right w:val="none" w:sz="0" w:space="0" w:color="auto"/>
      </w:divBdr>
    </w:div>
    <w:div w:id="550113618">
      <w:bodyDiv w:val="1"/>
      <w:marLeft w:val="0"/>
      <w:marRight w:val="0"/>
      <w:marTop w:val="0"/>
      <w:marBottom w:val="0"/>
      <w:divBdr>
        <w:top w:val="none" w:sz="0" w:space="0" w:color="auto"/>
        <w:left w:val="none" w:sz="0" w:space="0" w:color="auto"/>
        <w:bottom w:val="none" w:sz="0" w:space="0" w:color="auto"/>
        <w:right w:val="none" w:sz="0" w:space="0" w:color="auto"/>
      </w:divBdr>
    </w:div>
    <w:div w:id="780999301">
      <w:bodyDiv w:val="1"/>
      <w:marLeft w:val="0"/>
      <w:marRight w:val="0"/>
      <w:marTop w:val="0"/>
      <w:marBottom w:val="0"/>
      <w:divBdr>
        <w:top w:val="none" w:sz="0" w:space="0" w:color="auto"/>
        <w:left w:val="none" w:sz="0" w:space="0" w:color="auto"/>
        <w:bottom w:val="none" w:sz="0" w:space="0" w:color="auto"/>
        <w:right w:val="none" w:sz="0" w:space="0" w:color="auto"/>
      </w:divBdr>
    </w:div>
    <w:div w:id="824470446">
      <w:bodyDiv w:val="1"/>
      <w:marLeft w:val="0"/>
      <w:marRight w:val="0"/>
      <w:marTop w:val="0"/>
      <w:marBottom w:val="0"/>
      <w:divBdr>
        <w:top w:val="none" w:sz="0" w:space="0" w:color="auto"/>
        <w:left w:val="none" w:sz="0" w:space="0" w:color="auto"/>
        <w:bottom w:val="none" w:sz="0" w:space="0" w:color="auto"/>
        <w:right w:val="none" w:sz="0" w:space="0" w:color="auto"/>
      </w:divBdr>
    </w:div>
    <w:div w:id="949749142">
      <w:bodyDiv w:val="1"/>
      <w:marLeft w:val="0"/>
      <w:marRight w:val="0"/>
      <w:marTop w:val="0"/>
      <w:marBottom w:val="0"/>
      <w:divBdr>
        <w:top w:val="none" w:sz="0" w:space="0" w:color="auto"/>
        <w:left w:val="none" w:sz="0" w:space="0" w:color="auto"/>
        <w:bottom w:val="none" w:sz="0" w:space="0" w:color="auto"/>
        <w:right w:val="none" w:sz="0" w:space="0" w:color="auto"/>
      </w:divBdr>
    </w:div>
    <w:div w:id="969017999">
      <w:bodyDiv w:val="1"/>
      <w:marLeft w:val="0"/>
      <w:marRight w:val="0"/>
      <w:marTop w:val="0"/>
      <w:marBottom w:val="0"/>
      <w:divBdr>
        <w:top w:val="none" w:sz="0" w:space="0" w:color="auto"/>
        <w:left w:val="none" w:sz="0" w:space="0" w:color="auto"/>
        <w:bottom w:val="none" w:sz="0" w:space="0" w:color="auto"/>
        <w:right w:val="none" w:sz="0" w:space="0" w:color="auto"/>
      </w:divBdr>
    </w:div>
    <w:div w:id="1004013269">
      <w:bodyDiv w:val="1"/>
      <w:marLeft w:val="0"/>
      <w:marRight w:val="0"/>
      <w:marTop w:val="0"/>
      <w:marBottom w:val="0"/>
      <w:divBdr>
        <w:top w:val="none" w:sz="0" w:space="0" w:color="auto"/>
        <w:left w:val="none" w:sz="0" w:space="0" w:color="auto"/>
        <w:bottom w:val="none" w:sz="0" w:space="0" w:color="auto"/>
        <w:right w:val="none" w:sz="0" w:space="0" w:color="auto"/>
      </w:divBdr>
    </w:div>
    <w:div w:id="1017732736">
      <w:bodyDiv w:val="1"/>
      <w:marLeft w:val="0"/>
      <w:marRight w:val="0"/>
      <w:marTop w:val="0"/>
      <w:marBottom w:val="0"/>
      <w:divBdr>
        <w:top w:val="none" w:sz="0" w:space="0" w:color="auto"/>
        <w:left w:val="none" w:sz="0" w:space="0" w:color="auto"/>
        <w:bottom w:val="none" w:sz="0" w:space="0" w:color="auto"/>
        <w:right w:val="none" w:sz="0" w:space="0" w:color="auto"/>
      </w:divBdr>
    </w:div>
    <w:div w:id="1041319439">
      <w:bodyDiv w:val="1"/>
      <w:marLeft w:val="0"/>
      <w:marRight w:val="0"/>
      <w:marTop w:val="0"/>
      <w:marBottom w:val="0"/>
      <w:divBdr>
        <w:top w:val="none" w:sz="0" w:space="0" w:color="auto"/>
        <w:left w:val="none" w:sz="0" w:space="0" w:color="auto"/>
        <w:bottom w:val="none" w:sz="0" w:space="0" w:color="auto"/>
        <w:right w:val="none" w:sz="0" w:space="0" w:color="auto"/>
      </w:divBdr>
    </w:div>
    <w:div w:id="1119300791">
      <w:bodyDiv w:val="1"/>
      <w:marLeft w:val="0"/>
      <w:marRight w:val="0"/>
      <w:marTop w:val="0"/>
      <w:marBottom w:val="0"/>
      <w:divBdr>
        <w:top w:val="none" w:sz="0" w:space="0" w:color="auto"/>
        <w:left w:val="none" w:sz="0" w:space="0" w:color="auto"/>
        <w:bottom w:val="none" w:sz="0" w:space="0" w:color="auto"/>
        <w:right w:val="none" w:sz="0" w:space="0" w:color="auto"/>
      </w:divBdr>
    </w:div>
    <w:div w:id="1185436470">
      <w:bodyDiv w:val="1"/>
      <w:marLeft w:val="0"/>
      <w:marRight w:val="0"/>
      <w:marTop w:val="0"/>
      <w:marBottom w:val="0"/>
      <w:divBdr>
        <w:top w:val="none" w:sz="0" w:space="0" w:color="auto"/>
        <w:left w:val="none" w:sz="0" w:space="0" w:color="auto"/>
        <w:bottom w:val="none" w:sz="0" w:space="0" w:color="auto"/>
        <w:right w:val="none" w:sz="0" w:space="0" w:color="auto"/>
      </w:divBdr>
    </w:div>
    <w:div w:id="1620139367">
      <w:bodyDiv w:val="1"/>
      <w:marLeft w:val="0"/>
      <w:marRight w:val="0"/>
      <w:marTop w:val="0"/>
      <w:marBottom w:val="0"/>
      <w:divBdr>
        <w:top w:val="none" w:sz="0" w:space="0" w:color="auto"/>
        <w:left w:val="none" w:sz="0" w:space="0" w:color="auto"/>
        <w:bottom w:val="none" w:sz="0" w:space="0" w:color="auto"/>
        <w:right w:val="none" w:sz="0" w:space="0" w:color="auto"/>
      </w:divBdr>
    </w:div>
    <w:div w:id="21073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rm.md/activitatea-curtii-de-conturi-1-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D783-FF0E-4E1F-B978-E0A5544E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2857</Words>
  <Characters>16289</Characters>
  <Application>Microsoft Office Word</Application>
  <DocSecurity>0</DocSecurity>
  <Lines>135</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Lungu Igor</dc:creator>
  <cp:keywords/>
  <dc:description/>
  <cp:lastModifiedBy>Paiu Eugenia</cp:lastModifiedBy>
  <cp:revision>2</cp:revision>
  <dcterms:created xsi:type="dcterms:W3CDTF">2022-04-11T21:48:00Z</dcterms:created>
  <dcterms:modified xsi:type="dcterms:W3CDTF">2022-04-11T21:48:00Z</dcterms:modified>
</cp:coreProperties>
</file>