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DD" w:rsidRPr="00565EEE" w:rsidRDefault="00EA16DD" w:rsidP="00B72F0B">
      <w:pPr>
        <w:pStyle w:val="cn"/>
        <w:spacing w:line="276" w:lineRule="auto"/>
        <w:rPr>
          <w:rFonts w:asciiTheme="majorHAnsi" w:hAnsiTheme="majorHAnsi" w:cstheme="majorHAnsi"/>
          <w:lang w:val="ro-MD"/>
        </w:rPr>
      </w:pPr>
      <w:r w:rsidRPr="00565EEE">
        <w:rPr>
          <w:rFonts w:asciiTheme="majorHAnsi" w:hAnsiTheme="majorHAnsi" w:cstheme="majorHAnsi"/>
          <w:noProof/>
          <w:lang w:val="ru-RU" w:eastAsia="ru-RU"/>
        </w:rPr>
        <w:drawing>
          <wp:inline distT="0" distB="0" distL="0" distR="0" wp14:anchorId="389CD9D5" wp14:editId="745D95CB">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EA16DD" w:rsidRPr="00565EEE" w:rsidRDefault="00EA16DD" w:rsidP="00B72F0B">
      <w:pPr>
        <w:spacing w:after="0" w:line="276" w:lineRule="auto"/>
        <w:jc w:val="center"/>
        <w:rPr>
          <w:rFonts w:asciiTheme="majorHAnsi" w:eastAsia="Times New Roman" w:hAnsiTheme="majorHAnsi" w:cstheme="majorHAnsi"/>
          <w:b/>
          <w:bCs/>
          <w:sz w:val="24"/>
          <w:szCs w:val="24"/>
          <w:lang w:val="ro-MD"/>
        </w:rPr>
      </w:pPr>
    </w:p>
    <w:p w:rsidR="00EA16DD" w:rsidRPr="00565EEE" w:rsidRDefault="00EA16DD" w:rsidP="00B72F0B">
      <w:pPr>
        <w:spacing w:after="0" w:line="276" w:lineRule="auto"/>
        <w:jc w:val="center"/>
        <w:rPr>
          <w:rFonts w:asciiTheme="majorHAnsi" w:eastAsia="Times New Roman" w:hAnsiTheme="majorHAnsi" w:cstheme="majorHAnsi"/>
          <w:bCs/>
          <w:sz w:val="36"/>
          <w:szCs w:val="36"/>
          <w:lang w:val="ro-MD"/>
        </w:rPr>
      </w:pPr>
      <w:r w:rsidRPr="00565EEE">
        <w:rPr>
          <w:rFonts w:asciiTheme="majorHAnsi" w:eastAsia="Times New Roman" w:hAnsiTheme="majorHAnsi" w:cstheme="majorHAnsi"/>
          <w:bCs/>
          <w:sz w:val="36"/>
          <w:szCs w:val="36"/>
          <w:lang w:val="ro-MD"/>
        </w:rPr>
        <w:t>CURTEA DE CONTURI A REPUBLICII MOLDOVA</w:t>
      </w:r>
    </w:p>
    <w:p w:rsidR="00EA16DD" w:rsidRPr="00565EEE" w:rsidRDefault="00EA16DD" w:rsidP="00B72F0B">
      <w:pPr>
        <w:spacing w:after="0" w:line="276" w:lineRule="auto"/>
        <w:jc w:val="center"/>
        <w:rPr>
          <w:rFonts w:asciiTheme="majorHAnsi" w:eastAsia="Times New Roman" w:hAnsiTheme="majorHAnsi" w:cstheme="majorHAnsi"/>
          <w:bCs/>
          <w:sz w:val="24"/>
          <w:szCs w:val="24"/>
          <w:lang w:val="ro-MD"/>
        </w:rPr>
      </w:pPr>
    </w:p>
    <w:p w:rsidR="001515DB" w:rsidRPr="00565EEE" w:rsidRDefault="00EA16DD" w:rsidP="006A01F4">
      <w:pPr>
        <w:spacing w:after="0" w:line="276" w:lineRule="auto"/>
        <w:jc w:val="center"/>
        <w:rPr>
          <w:rFonts w:asciiTheme="majorHAnsi" w:eastAsia="Times New Roman" w:hAnsiTheme="majorHAnsi" w:cstheme="majorHAnsi"/>
          <w:b/>
          <w:bCs/>
          <w:sz w:val="24"/>
          <w:szCs w:val="24"/>
          <w:lang w:val="ro-MD"/>
        </w:rPr>
      </w:pPr>
      <w:bookmarkStart w:id="0" w:name="_Toc450123757"/>
      <w:r w:rsidRPr="00565EEE">
        <w:rPr>
          <w:rFonts w:asciiTheme="majorHAnsi" w:eastAsia="Times New Roman" w:hAnsiTheme="majorHAnsi" w:cstheme="majorHAnsi"/>
          <w:b/>
          <w:bCs/>
          <w:sz w:val="24"/>
          <w:szCs w:val="24"/>
          <w:lang w:val="ro-MD"/>
        </w:rPr>
        <w:t>H O T Ă R Â R E A nr.</w:t>
      </w:r>
      <w:bookmarkEnd w:id="0"/>
      <w:r w:rsidR="001515DB" w:rsidRPr="00565EEE">
        <w:rPr>
          <w:rFonts w:asciiTheme="majorHAnsi" w:eastAsia="Times New Roman" w:hAnsiTheme="majorHAnsi" w:cstheme="majorHAnsi"/>
          <w:b/>
          <w:bCs/>
          <w:sz w:val="24"/>
          <w:szCs w:val="24"/>
          <w:lang w:val="ro-MD"/>
        </w:rPr>
        <w:t xml:space="preserve"> </w:t>
      </w:r>
      <w:r w:rsidR="006A01F4" w:rsidRPr="00565EEE">
        <w:rPr>
          <w:rFonts w:asciiTheme="majorHAnsi" w:eastAsia="Times New Roman" w:hAnsiTheme="majorHAnsi" w:cstheme="majorHAnsi"/>
          <w:b/>
          <w:bCs/>
          <w:sz w:val="24"/>
          <w:szCs w:val="24"/>
          <w:lang w:val="ro-MD"/>
        </w:rPr>
        <w:t>52</w:t>
      </w:r>
    </w:p>
    <w:p w:rsidR="00EA16DD" w:rsidRPr="00565EEE" w:rsidRDefault="00EA16DD" w:rsidP="00317ED6">
      <w:pPr>
        <w:spacing w:after="0" w:line="276" w:lineRule="auto"/>
        <w:jc w:val="center"/>
        <w:rPr>
          <w:rFonts w:asciiTheme="majorHAnsi" w:eastAsia="Times New Roman" w:hAnsiTheme="majorHAnsi" w:cstheme="majorHAnsi"/>
          <w:bCs/>
          <w:sz w:val="24"/>
          <w:szCs w:val="24"/>
          <w:lang w:val="ro-MD"/>
        </w:rPr>
      </w:pPr>
      <w:r w:rsidRPr="00565EEE">
        <w:rPr>
          <w:rFonts w:asciiTheme="majorHAnsi" w:eastAsia="Times New Roman" w:hAnsiTheme="majorHAnsi" w:cstheme="majorHAnsi"/>
          <w:bCs/>
          <w:sz w:val="24"/>
          <w:szCs w:val="24"/>
          <w:lang w:val="ro-MD"/>
        </w:rPr>
        <w:t xml:space="preserve">din </w:t>
      </w:r>
      <w:r w:rsidR="00317ED6" w:rsidRPr="00565EEE">
        <w:rPr>
          <w:rFonts w:asciiTheme="majorHAnsi" w:eastAsia="Times New Roman" w:hAnsiTheme="majorHAnsi" w:cstheme="majorHAnsi"/>
          <w:bCs/>
          <w:sz w:val="24"/>
          <w:szCs w:val="24"/>
          <w:lang w:val="ro-MD"/>
        </w:rPr>
        <w:t xml:space="preserve">19 </w:t>
      </w:r>
      <w:r w:rsidR="00D85253" w:rsidRPr="00565EEE">
        <w:rPr>
          <w:rFonts w:asciiTheme="majorHAnsi" w:eastAsia="Times New Roman" w:hAnsiTheme="majorHAnsi" w:cstheme="majorHAnsi"/>
          <w:bCs/>
          <w:sz w:val="24"/>
          <w:szCs w:val="24"/>
          <w:lang w:val="ro-MD"/>
        </w:rPr>
        <w:t xml:space="preserve">septembrie </w:t>
      </w:r>
      <w:r w:rsidR="0079117A" w:rsidRPr="00565EEE">
        <w:rPr>
          <w:rFonts w:asciiTheme="majorHAnsi" w:eastAsia="Times New Roman" w:hAnsiTheme="majorHAnsi" w:cstheme="majorHAnsi"/>
          <w:bCs/>
          <w:sz w:val="24"/>
          <w:szCs w:val="24"/>
          <w:lang w:val="ro-MD"/>
        </w:rPr>
        <w:t>202</w:t>
      </w:r>
      <w:r w:rsidR="00D85253" w:rsidRPr="00565EEE">
        <w:rPr>
          <w:rFonts w:asciiTheme="majorHAnsi" w:eastAsia="Times New Roman" w:hAnsiTheme="majorHAnsi" w:cstheme="majorHAnsi"/>
          <w:bCs/>
          <w:sz w:val="24"/>
          <w:szCs w:val="24"/>
          <w:lang w:val="ro-MD"/>
        </w:rPr>
        <w:t>2</w:t>
      </w:r>
    </w:p>
    <w:p w:rsidR="00EA16DD" w:rsidRPr="00565EEE" w:rsidRDefault="00EA16DD" w:rsidP="00B72F0B">
      <w:pPr>
        <w:spacing w:after="0" w:line="276" w:lineRule="auto"/>
        <w:jc w:val="center"/>
        <w:rPr>
          <w:rFonts w:asciiTheme="majorHAnsi" w:eastAsia="Times New Roman" w:hAnsiTheme="majorHAnsi" w:cstheme="majorHAnsi"/>
          <w:bCs/>
          <w:sz w:val="24"/>
          <w:szCs w:val="24"/>
          <w:lang w:val="ro-MD"/>
        </w:rPr>
      </w:pPr>
    </w:p>
    <w:p w:rsidR="00EA16DD" w:rsidRPr="00565EEE" w:rsidRDefault="00EA16DD" w:rsidP="00B72F0B">
      <w:pPr>
        <w:spacing w:after="0" w:line="276" w:lineRule="auto"/>
        <w:jc w:val="center"/>
        <w:rPr>
          <w:rFonts w:asciiTheme="majorHAnsi" w:eastAsia="Times New Roman" w:hAnsiTheme="majorHAnsi" w:cstheme="majorHAnsi"/>
          <w:b/>
          <w:bCs/>
          <w:sz w:val="24"/>
          <w:szCs w:val="24"/>
          <w:lang w:val="ro-MD" w:eastAsia="ru-RU"/>
        </w:rPr>
      </w:pPr>
      <w:r w:rsidRPr="00565EEE">
        <w:rPr>
          <w:rFonts w:asciiTheme="majorHAnsi" w:eastAsia="Times New Roman" w:hAnsiTheme="majorHAnsi" w:cstheme="majorHAnsi"/>
          <w:b/>
          <w:bCs/>
          <w:sz w:val="24"/>
          <w:szCs w:val="24"/>
          <w:lang w:val="ro-MD" w:eastAsia="ru-RU"/>
        </w:rPr>
        <w:t xml:space="preserve">cu privire la Raportul auditului </w:t>
      </w:r>
      <w:r w:rsidR="00F80CFD" w:rsidRPr="00565EEE">
        <w:rPr>
          <w:rFonts w:asciiTheme="majorHAnsi" w:eastAsia="Times New Roman" w:hAnsiTheme="majorHAnsi" w:cstheme="majorHAnsi"/>
          <w:b/>
          <w:bCs/>
          <w:sz w:val="24"/>
          <w:szCs w:val="24"/>
          <w:lang w:val="ro-MD" w:eastAsia="ru-RU"/>
        </w:rPr>
        <w:t xml:space="preserve">asupra </w:t>
      </w:r>
      <w:r w:rsidRPr="00565EEE">
        <w:rPr>
          <w:rFonts w:asciiTheme="majorHAnsi" w:eastAsia="Times New Roman" w:hAnsiTheme="majorHAnsi" w:cstheme="majorHAnsi"/>
          <w:b/>
          <w:bCs/>
          <w:sz w:val="24"/>
          <w:szCs w:val="24"/>
          <w:lang w:val="ro-MD" w:eastAsia="ru-RU"/>
        </w:rPr>
        <w:t>rapoartelor financiare consolidate</w:t>
      </w:r>
    </w:p>
    <w:p w:rsidR="00EA16DD" w:rsidRPr="00565EEE" w:rsidRDefault="00EA16DD" w:rsidP="00D85253">
      <w:pPr>
        <w:spacing w:after="0" w:line="276" w:lineRule="auto"/>
        <w:jc w:val="center"/>
        <w:rPr>
          <w:rFonts w:asciiTheme="majorHAnsi" w:eastAsia="Times New Roman" w:hAnsiTheme="majorHAnsi" w:cstheme="majorHAnsi"/>
          <w:b/>
          <w:bCs/>
          <w:i/>
          <w:sz w:val="24"/>
          <w:szCs w:val="24"/>
          <w:lang w:val="ro-MD" w:eastAsia="ru-RU"/>
        </w:rPr>
      </w:pPr>
      <w:r w:rsidRPr="00565EEE">
        <w:rPr>
          <w:rFonts w:asciiTheme="majorHAnsi" w:eastAsia="Times New Roman" w:hAnsiTheme="majorHAnsi" w:cstheme="majorHAnsi"/>
          <w:b/>
          <w:bCs/>
          <w:sz w:val="24"/>
          <w:szCs w:val="24"/>
          <w:lang w:val="ro-MD" w:eastAsia="ru-RU"/>
        </w:rPr>
        <w:t xml:space="preserve">ale </w:t>
      </w:r>
      <w:r w:rsidR="00D85253" w:rsidRPr="00565EEE">
        <w:rPr>
          <w:rFonts w:asciiTheme="majorHAnsi" w:eastAsia="Times New Roman" w:hAnsiTheme="majorHAnsi" w:cstheme="majorHAnsi"/>
          <w:b/>
          <w:bCs/>
          <w:sz w:val="24"/>
          <w:szCs w:val="24"/>
          <w:lang w:val="ro-MD" w:eastAsia="ru-RU"/>
        </w:rPr>
        <w:t>UAT mun. Chișinău</w:t>
      </w:r>
      <w:r w:rsidRPr="00565EEE">
        <w:rPr>
          <w:rFonts w:asciiTheme="majorHAnsi" w:eastAsia="Times New Roman" w:hAnsiTheme="majorHAnsi" w:cstheme="majorHAnsi"/>
          <w:b/>
          <w:bCs/>
          <w:sz w:val="24"/>
          <w:szCs w:val="24"/>
          <w:lang w:val="ro-MD" w:eastAsia="ru-RU"/>
        </w:rPr>
        <w:t xml:space="preserve"> încheiate la 31 decembrie 20</w:t>
      </w:r>
      <w:r w:rsidR="0079117A" w:rsidRPr="00565EEE">
        <w:rPr>
          <w:rFonts w:asciiTheme="majorHAnsi" w:eastAsia="Times New Roman" w:hAnsiTheme="majorHAnsi" w:cstheme="majorHAnsi"/>
          <w:b/>
          <w:bCs/>
          <w:sz w:val="24"/>
          <w:szCs w:val="24"/>
          <w:lang w:val="ro-MD" w:eastAsia="ru-RU"/>
        </w:rPr>
        <w:t>20</w:t>
      </w:r>
      <w:r w:rsidR="00212548" w:rsidRPr="00565EEE">
        <w:rPr>
          <w:rFonts w:asciiTheme="majorHAnsi" w:eastAsia="Times New Roman" w:hAnsiTheme="majorHAnsi" w:cstheme="majorHAnsi"/>
          <w:b/>
          <w:bCs/>
          <w:sz w:val="24"/>
          <w:szCs w:val="24"/>
          <w:lang w:val="ro-MD" w:eastAsia="ru-RU"/>
        </w:rPr>
        <w:t xml:space="preserve"> </w:t>
      </w:r>
      <w:r w:rsidR="00212548" w:rsidRPr="00565EEE">
        <w:rPr>
          <w:rFonts w:asciiTheme="majorHAnsi" w:hAnsiTheme="majorHAnsi" w:cstheme="majorHAnsi"/>
          <w:b/>
          <w:bCs/>
          <w:i/>
          <w:iCs/>
          <w:color w:val="000000"/>
          <w:sz w:val="24"/>
          <w:szCs w:val="24"/>
          <w:lang w:val="ro-MD"/>
        </w:rPr>
        <w:t>(UAT/bugetul de nivelul II)</w:t>
      </w:r>
    </w:p>
    <w:p w:rsidR="00EA16DD" w:rsidRPr="00565EEE" w:rsidRDefault="000E38A0" w:rsidP="00CE3A7B">
      <w:pPr>
        <w:tabs>
          <w:tab w:val="left" w:pos="6795"/>
        </w:tabs>
        <w:spacing w:after="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b/>
      </w:r>
    </w:p>
    <w:p w:rsidR="00EA16DD" w:rsidRPr="00565EEE" w:rsidRDefault="00EA16DD" w:rsidP="003433C8">
      <w:pPr>
        <w:spacing w:after="0" w:line="276" w:lineRule="auto"/>
        <w:ind w:firstLine="567"/>
        <w:jc w:val="both"/>
        <w:rPr>
          <w:rFonts w:asciiTheme="majorHAnsi" w:eastAsia="Times New Roman" w:hAnsiTheme="majorHAnsi" w:cstheme="majorHAnsi"/>
          <w:bCs/>
          <w:sz w:val="24"/>
          <w:szCs w:val="24"/>
          <w:lang w:val="ro-MD" w:eastAsia="ru-RU"/>
        </w:rPr>
      </w:pPr>
      <w:r w:rsidRPr="00565EEE">
        <w:rPr>
          <w:rFonts w:asciiTheme="majorHAnsi" w:hAnsiTheme="majorHAnsi" w:cstheme="majorHAnsi"/>
          <w:sz w:val="24"/>
          <w:szCs w:val="24"/>
          <w:lang w:val="ro-MD"/>
        </w:rPr>
        <w:t>Curtea de Conturi, cu participarea d</w:t>
      </w:r>
      <w:r w:rsidR="0033577E" w:rsidRPr="00565EEE">
        <w:rPr>
          <w:rFonts w:asciiTheme="majorHAnsi" w:hAnsiTheme="majorHAnsi" w:cstheme="majorHAnsi"/>
          <w:sz w:val="24"/>
          <w:szCs w:val="24"/>
          <w:lang w:val="ro-MD"/>
        </w:rPr>
        <w:t>lui</w:t>
      </w:r>
      <w:r w:rsidRPr="00565EEE">
        <w:rPr>
          <w:rFonts w:asciiTheme="majorHAnsi" w:hAnsiTheme="majorHAnsi" w:cstheme="majorHAnsi"/>
          <w:sz w:val="24"/>
          <w:szCs w:val="24"/>
          <w:lang w:val="ro-MD"/>
        </w:rPr>
        <w:t xml:space="preserve"> </w:t>
      </w:r>
      <w:r w:rsidR="0033577E" w:rsidRPr="00565EEE">
        <w:rPr>
          <w:rFonts w:asciiTheme="majorHAnsi" w:hAnsiTheme="majorHAnsi" w:cstheme="majorHAnsi"/>
          <w:sz w:val="24"/>
          <w:szCs w:val="24"/>
          <w:lang w:val="ro-MD"/>
        </w:rPr>
        <w:t>Ion Ceban</w:t>
      </w:r>
      <w:r w:rsidRPr="00565EEE">
        <w:rPr>
          <w:rFonts w:asciiTheme="majorHAnsi" w:hAnsiTheme="majorHAnsi" w:cstheme="majorHAnsi"/>
          <w:sz w:val="24"/>
          <w:szCs w:val="24"/>
          <w:lang w:val="ro-MD"/>
        </w:rPr>
        <w:t xml:space="preserve">, </w:t>
      </w:r>
      <w:r w:rsidR="0033577E" w:rsidRPr="00565EEE">
        <w:rPr>
          <w:rFonts w:asciiTheme="majorHAnsi" w:hAnsiTheme="majorHAnsi" w:cstheme="majorHAnsi"/>
          <w:sz w:val="24"/>
          <w:szCs w:val="24"/>
          <w:lang w:val="ro-MD"/>
        </w:rPr>
        <w:t>primar general al municipiului Chișinău</w:t>
      </w:r>
      <w:r w:rsidR="000A1529" w:rsidRPr="00565EEE">
        <w:rPr>
          <w:rFonts w:asciiTheme="majorHAnsi" w:eastAsia="Times New Roman" w:hAnsiTheme="majorHAnsi" w:cstheme="majorHAnsi"/>
          <w:bCs/>
          <w:sz w:val="24"/>
          <w:szCs w:val="24"/>
          <w:lang w:val="ro-MD" w:eastAsia="ru-RU"/>
        </w:rPr>
        <w:t xml:space="preserve">; </w:t>
      </w:r>
      <w:r w:rsidR="00906DD2" w:rsidRPr="00565EEE">
        <w:rPr>
          <w:rFonts w:asciiTheme="majorHAnsi" w:eastAsia="Times New Roman" w:hAnsiTheme="majorHAnsi" w:cstheme="majorHAnsi"/>
          <w:bCs/>
          <w:sz w:val="24"/>
          <w:szCs w:val="24"/>
          <w:lang w:val="ro-MD" w:eastAsia="ru-RU"/>
        </w:rPr>
        <w:t xml:space="preserve">dnei Mariana Pânzaru, directoare generală adjunctă a Agenției Proprietății Publice; dlui Petru </w:t>
      </w:r>
      <w:proofErr w:type="spellStart"/>
      <w:r w:rsidR="00906DD2" w:rsidRPr="00565EEE">
        <w:rPr>
          <w:rFonts w:asciiTheme="majorHAnsi" w:eastAsia="Times New Roman" w:hAnsiTheme="majorHAnsi" w:cstheme="majorHAnsi"/>
          <w:bCs/>
          <w:sz w:val="24"/>
          <w:szCs w:val="24"/>
          <w:lang w:val="ro-MD" w:eastAsia="ru-RU"/>
        </w:rPr>
        <w:t>Griciuc</w:t>
      </w:r>
      <w:proofErr w:type="spellEnd"/>
      <w:r w:rsidR="00906DD2" w:rsidRPr="00565EEE">
        <w:rPr>
          <w:rFonts w:asciiTheme="majorHAnsi" w:eastAsia="Times New Roman" w:hAnsiTheme="majorHAnsi" w:cstheme="majorHAnsi"/>
          <w:bCs/>
          <w:sz w:val="24"/>
          <w:szCs w:val="24"/>
          <w:lang w:val="ro-MD" w:eastAsia="ru-RU"/>
        </w:rPr>
        <w:t xml:space="preserve">, director adjunct al Serviciului Fiscal de Stat; </w:t>
      </w:r>
      <w:r w:rsidR="005E78F4" w:rsidRPr="00565EEE">
        <w:rPr>
          <w:rFonts w:asciiTheme="majorHAnsi" w:eastAsia="Times New Roman" w:hAnsiTheme="majorHAnsi" w:cstheme="majorHAnsi"/>
          <w:bCs/>
          <w:sz w:val="24"/>
          <w:szCs w:val="24"/>
          <w:lang w:val="ro-MD" w:eastAsia="ru-RU"/>
        </w:rPr>
        <w:t xml:space="preserve">dlui </w:t>
      </w:r>
      <w:r w:rsidR="00906DD2" w:rsidRPr="00565EEE">
        <w:rPr>
          <w:rFonts w:asciiTheme="majorHAnsi" w:eastAsia="Times New Roman" w:hAnsiTheme="majorHAnsi" w:cstheme="majorHAnsi"/>
          <w:bCs/>
          <w:sz w:val="24"/>
          <w:szCs w:val="24"/>
          <w:lang w:val="ro-MD" w:eastAsia="ru-RU"/>
        </w:rPr>
        <w:t xml:space="preserve">Ion </w:t>
      </w:r>
      <w:proofErr w:type="spellStart"/>
      <w:r w:rsidR="00906DD2" w:rsidRPr="00565EEE">
        <w:rPr>
          <w:rFonts w:asciiTheme="majorHAnsi" w:eastAsia="Times New Roman" w:hAnsiTheme="majorHAnsi" w:cstheme="majorHAnsi"/>
          <w:bCs/>
          <w:sz w:val="24"/>
          <w:szCs w:val="24"/>
          <w:lang w:val="ro-MD" w:eastAsia="ru-RU"/>
        </w:rPr>
        <w:t>Ciumac</w:t>
      </w:r>
      <w:proofErr w:type="spellEnd"/>
      <w:r w:rsidR="00906DD2" w:rsidRPr="00565EEE">
        <w:rPr>
          <w:rFonts w:asciiTheme="majorHAnsi" w:eastAsia="Times New Roman" w:hAnsiTheme="majorHAnsi" w:cstheme="majorHAnsi"/>
          <w:bCs/>
          <w:sz w:val="24"/>
          <w:szCs w:val="24"/>
          <w:lang w:val="ro-MD" w:eastAsia="ru-RU"/>
        </w:rPr>
        <w:t>, șef</w:t>
      </w:r>
      <w:r w:rsidR="00A918E6" w:rsidRPr="00565EEE">
        <w:rPr>
          <w:rFonts w:asciiTheme="majorHAnsi" w:eastAsia="Times New Roman" w:hAnsiTheme="majorHAnsi" w:cstheme="majorHAnsi"/>
          <w:bCs/>
          <w:sz w:val="24"/>
          <w:szCs w:val="24"/>
          <w:lang w:val="ro-MD" w:eastAsia="ru-RU"/>
        </w:rPr>
        <w:t>u</w:t>
      </w:r>
      <w:r w:rsidR="00906DD2" w:rsidRPr="00565EEE">
        <w:rPr>
          <w:rFonts w:asciiTheme="majorHAnsi" w:eastAsia="Times New Roman" w:hAnsiTheme="majorHAnsi" w:cstheme="majorHAnsi"/>
          <w:bCs/>
          <w:sz w:val="24"/>
          <w:szCs w:val="24"/>
          <w:lang w:val="ro-MD" w:eastAsia="ru-RU"/>
        </w:rPr>
        <w:t xml:space="preserve">l Oficiului Teritorial Chișinău al Cancelariei de Stat; </w:t>
      </w:r>
      <w:r w:rsidR="00905396" w:rsidRPr="00565EEE">
        <w:rPr>
          <w:rFonts w:asciiTheme="majorHAnsi" w:eastAsia="Times New Roman" w:hAnsiTheme="majorHAnsi" w:cstheme="majorHAnsi"/>
          <w:bCs/>
          <w:sz w:val="24"/>
          <w:szCs w:val="24"/>
          <w:lang w:val="ro-MD" w:eastAsia="ru-RU"/>
        </w:rPr>
        <w:t xml:space="preserve">dnei Natalia </w:t>
      </w:r>
      <w:proofErr w:type="spellStart"/>
      <w:r w:rsidR="00905396" w:rsidRPr="00565EEE">
        <w:rPr>
          <w:rFonts w:asciiTheme="majorHAnsi" w:eastAsia="Times New Roman" w:hAnsiTheme="majorHAnsi" w:cstheme="majorHAnsi"/>
          <w:bCs/>
          <w:sz w:val="24"/>
          <w:szCs w:val="24"/>
          <w:lang w:val="ro-MD" w:eastAsia="ru-RU"/>
        </w:rPr>
        <w:t>Sclearuc</w:t>
      </w:r>
      <w:proofErr w:type="spellEnd"/>
      <w:r w:rsidR="00905396" w:rsidRPr="00565EEE">
        <w:rPr>
          <w:rFonts w:asciiTheme="majorHAnsi" w:eastAsia="Times New Roman" w:hAnsiTheme="majorHAnsi" w:cstheme="majorHAnsi"/>
          <w:bCs/>
          <w:sz w:val="24"/>
          <w:szCs w:val="24"/>
          <w:lang w:val="ro-MD" w:eastAsia="ru-RU"/>
        </w:rPr>
        <w:t>, ș</w:t>
      </w:r>
      <w:r w:rsidR="00D62355" w:rsidRPr="00565EEE">
        <w:rPr>
          <w:rFonts w:asciiTheme="majorHAnsi" w:eastAsia="Times New Roman" w:hAnsiTheme="majorHAnsi" w:cstheme="majorHAnsi"/>
          <w:bCs/>
          <w:sz w:val="24"/>
          <w:szCs w:val="24"/>
          <w:lang w:val="ro-MD" w:eastAsia="ru-RU"/>
        </w:rPr>
        <w:t>ef</w:t>
      </w:r>
      <w:r w:rsidR="00905396" w:rsidRPr="00565EEE">
        <w:rPr>
          <w:rFonts w:asciiTheme="majorHAnsi" w:eastAsia="Times New Roman" w:hAnsiTheme="majorHAnsi" w:cstheme="majorHAnsi"/>
          <w:bCs/>
          <w:sz w:val="24"/>
          <w:szCs w:val="24"/>
          <w:lang w:val="ro-MD" w:eastAsia="ru-RU"/>
        </w:rPr>
        <w:t>a Direcției politici și sinteză bugetară d</w:t>
      </w:r>
      <w:r w:rsidR="003433C8" w:rsidRPr="00565EEE">
        <w:rPr>
          <w:rFonts w:asciiTheme="majorHAnsi" w:eastAsia="Times New Roman" w:hAnsiTheme="majorHAnsi" w:cstheme="majorHAnsi"/>
          <w:bCs/>
          <w:sz w:val="24"/>
          <w:szCs w:val="24"/>
          <w:lang w:val="ro-MD" w:eastAsia="ru-RU"/>
        </w:rPr>
        <w:t xml:space="preserve">in cadrul </w:t>
      </w:r>
      <w:r w:rsidR="003433C8" w:rsidRPr="00565EEE">
        <w:rPr>
          <w:rFonts w:asciiTheme="majorHAnsi" w:eastAsia="Times New Roman" w:hAnsiTheme="majorHAnsi" w:cstheme="majorHAnsi"/>
          <w:bCs/>
          <w:sz w:val="24"/>
          <w:szCs w:val="24"/>
          <w:lang w:val="ro-MD" w:eastAsia="ru-RU"/>
        </w:rPr>
        <w:tab/>
        <w:t xml:space="preserve">Ministerului Finanțelor; dnei Ina </w:t>
      </w:r>
      <w:r w:rsidR="00D62355" w:rsidRPr="00565EEE">
        <w:rPr>
          <w:rFonts w:asciiTheme="majorHAnsi" w:eastAsia="Times New Roman" w:hAnsiTheme="majorHAnsi" w:cstheme="majorHAnsi"/>
          <w:bCs/>
          <w:sz w:val="24"/>
          <w:szCs w:val="24"/>
          <w:lang w:val="ro-MD" w:eastAsia="ru-RU"/>
        </w:rPr>
        <w:t>Gorea, șefa Secției finanțelor autorităților publice din cadrul Ministerului Finanțelor</w:t>
      </w:r>
      <w:r w:rsidR="003433C8" w:rsidRPr="00565EEE">
        <w:rPr>
          <w:rFonts w:asciiTheme="majorHAnsi" w:eastAsia="Times New Roman" w:hAnsiTheme="majorHAnsi" w:cstheme="majorHAnsi"/>
          <w:bCs/>
          <w:sz w:val="24"/>
          <w:szCs w:val="24"/>
          <w:lang w:val="ro-MD" w:eastAsia="ru-RU"/>
        </w:rPr>
        <w:t xml:space="preserve">, </w:t>
      </w:r>
      <w:r w:rsidRPr="00565EEE">
        <w:rPr>
          <w:rFonts w:asciiTheme="majorHAnsi" w:hAnsiTheme="majorHAnsi" w:cstheme="majorHAnsi"/>
          <w:iCs/>
          <w:sz w:val="24"/>
          <w:szCs w:val="24"/>
          <w:lang w:val="ro-MD"/>
        </w:rPr>
        <w:t>precum</w:t>
      </w:r>
      <w:r w:rsidRPr="00565EEE">
        <w:rPr>
          <w:rFonts w:asciiTheme="majorHAnsi" w:eastAsia="Times New Roman" w:hAnsiTheme="majorHAnsi" w:cstheme="majorHAnsi"/>
          <w:sz w:val="24"/>
          <w:szCs w:val="24"/>
          <w:lang w:val="ro-MD"/>
        </w:rPr>
        <w:t xml:space="preserve"> </w:t>
      </w:r>
      <w:r w:rsidR="007143FC" w:rsidRPr="00565EEE">
        <w:rPr>
          <w:rFonts w:asciiTheme="majorHAnsi" w:eastAsia="Times New Roman" w:hAnsiTheme="majorHAnsi" w:cstheme="majorHAnsi"/>
          <w:sz w:val="24"/>
          <w:szCs w:val="24"/>
          <w:lang w:val="ro-MD"/>
        </w:rPr>
        <w:t>și</w:t>
      </w:r>
      <w:r w:rsidRPr="00565EEE">
        <w:rPr>
          <w:rFonts w:asciiTheme="majorHAnsi" w:eastAsia="Times New Roman" w:hAnsiTheme="majorHAnsi" w:cstheme="majorHAnsi"/>
          <w:sz w:val="24"/>
          <w:szCs w:val="24"/>
          <w:lang w:val="ro-MD"/>
        </w:rPr>
        <w:t xml:space="preserve"> a altor persoane cu </w:t>
      </w:r>
      <w:r w:rsidR="00E44ECA" w:rsidRPr="00565EEE">
        <w:rPr>
          <w:rFonts w:asciiTheme="majorHAnsi" w:eastAsia="Times New Roman" w:hAnsiTheme="majorHAnsi" w:cstheme="majorHAnsi"/>
          <w:sz w:val="24"/>
          <w:szCs w:val="24"/>
          <w:lang w:val="ro-MD"/>
        </w:rPr>
        <w:t>funcții</w:t>
      </w:r>
      <w:r w:rsidRPr="00565EEE">
        <w:rPr>
          <w:rFonts w:asciiTheme="majorHAnsi" w:eastAsia="Times New Roman" w:hAnsiTheme="majorHAnsi" w:cstheme="majorHAnsi"/>
          <w:sz w:val="24"/>
          <w:szCs w:val="24"/>
          <w:lang w:val="ro-MD"/>
        </w:rPr>
        <w:t xml:space="preserve"> de răspundere d</w:t>
      </w:r>
      <w:r w:rsidR="007F6773" w:rsidRPr="00565EEE">
        <w:rPr>
          <w:rFonts w:asciiTheme="majorHAnsi" w:eastAsia="Times New Roman" w:hAnsiTheme="majorHAnsi" w:cstheme="majorHAnsi"/>
          <w:sz w:val="24"/>
          <w:szCs w:val="24"/>
          <w:lang w:val="ro-MD"/>
        </w:rPr>
        <w:t>e la</w:t>
      </w:r>
      <w:r w:rsidRPr="00565EEE">
        <w:rPr>
          <w:rFonts w:asciiTheme="majorHAnsi" w:eastAsia="Times New Roman" w:hAnsiTheme="majorHAnsi" w:cstheme="majorHAnsi"/>
          <w:sz w:val="24"/>
          <w:szCs w:val="24"/>
          <w:lang w:val="ro-MD"/>
        </w:rPr>
        <w:t xml:space="preserve"> </w:t>
      </w:r>
      <w:r w:rsidR="005E78F4" w:rsidRPr="00565EEE">
        <w:rPr>
          <w:rFonts w:asciiTheme="majorHAnsi" w:eastAsia="Times New Roman" w:hAnsiTheme="majorHAnsi" w:cstheme="majorHAnsi"/>
          <w:sz w:val="24"/>
          <w:szCs w:val="24"/>
          <w:lang w:val="ro-MD"/>
        </w:rPr>
        <w:t>Primăria mun. Chișinău</w:t>
      </w:r>
      <w:r w:rsidR="00384F25" w:rsidRPr="00565EEE">
        <w:rPr>
          <w:rFonts w:asciiTheme="majorHAnsi" w:eastAsia="Times New Roman" w:hAnsiTheme="majorHAnsi" w:cstheme="majorHAnsi"/>
          <w:sz w:val="24"/>
          <w:szCs w:val="24"/>
          <w:lang w:val="ro-MD"/>
        </w:rPr>
        <w:t xml:space="preserve"> </w:t>
      </w:r>
      <w:r w:rsidR="007143FC" w:rsidRPr="00565EEE">
        <w:rPr>
          <w:rFonts w:asciiTheme="majorHAnsi" w:eastAsia="Times New Roman" w:hAnsiTheme="majorHAnsi" w:cstheme="majorHAnsi"/>
          <w:sz w:val="24"/>
          <w:szCs w:val="24"/>
          <w:lang w:val="ro-MD"/>
        </w:rPr>
        <w:t>și</w:t>
      </w:r>
      <w:r w:rsidRPr="00565EEE">
        <w:rPr>
          <w:rFonts w:asciiTheme="majorHAnsi" w:eastAsia="Times New Roman" w:hAnsiTheme="majorHAnsi" w:cstheme="majorHAnsi"/>
          <w:sz w:val="24"/>
          <w:szCs w:val="24"/>
          <w:lang w:val="ro-MD"/>
        </w:rPr>
        <w:t xml:space="preserve"> </w:t>
      </w:r>
      <w:r w:rsidR="00E44ECA" w:rsidRPr="00565EEE">
        <w:rPr>
          <w:rFonts w:asciiTheme="majorHAnsi" w:eastAsia="Times New Roman" w:hAnsiTheme="majorHAnsi" w:cstheme="majorHAnsi"/>
          <w:sz w:val="24"/>
          <w:szCs w:val="24"/>
          <w:lang w:val="ro-MD"/>
        </w:rPr>
        <w:t>instituțiil</w:t>
      </w:r>
      <w:r w:rsidR="007F6773" w:rsidRPr="00565EEE">
        <w:rPr>
          <w:rFonts w:asciiTheme="majorHAnsi" w:eastAsia="Times New Roman" w:hAnsiTheme="majorHAnsi" w:cstheme="majorHAnsi"/>
          <w:sz w:val="24"/>
          <w:szCs w:val="24"/>
          <w:lang w:val="ro-MD"/>
        </w:rPr>
        <w:t>e</w:t>
      </w:r>
      <w:r w:rsidRPr="00565EEE">
        <w:rPr>
          <w:rFonts w:asciiTheme="majorHAnsi" w:eastAsia="Times New Roman" w:hAnsiTheme="majorHAnsi" w:cstheme="majorHAnsi"/>
          <w:sz w:val="24"/>
          <w:szCs w:val="24"/>
          <w:lang w:val="ro-MD"/>
        </w:rPr>
        <w:t xml:space="preserve"> din subordine</w:t>
      </w:r>
      <w:r w:rsidRPr="00565EEE">
        <w:rPr>
          <w:rFonts w:asciiTheme="majorHAnsi" w:hAnsiTheme="majorHAnsi" w:cstheme="majorHAnsi"/>
          <w:sz w:val="24"/>
          <w:szCs w:val="24"/>
          <w:lang w:val="ro-MD" w:eastAsia="ro-RO"/>
        </w:rPr>
        <w:t xml:space="preserve">, </w:t>
      </w:r>
      <w:r w:rsidR="00F41908" w:rsidRPr="00565EEE">
        <w:rPr>
          <w:rFonts w:asciiTheme="majorHAnsi" w:hAnsiTheme="majorHAnsi" w:cstheme="majorHAnsi"/>
          <w:sz w:val="24"/>
          <w:szCs w:val="24"/>
          <w:shd w:val="clear" w:color="auto" w:fill="FFFFFF" w:themeFill="background1"/>
          <w:lang w:val="ro-MD"/>
        </w:rPr>
        <w:t>în cadrul ședinței video</w:t>
      </w:r>
      <w:r w:rsidR="00F41908" w:rsidRPr="00565EEE">
        <w:rPr>
          <w:rStyle w:val="ad"/>
          <w:rFonts w:asciiTheme="majorHAnsi" w:hAnsiTheme="majorHAnsi" w:cstheme="majorHAnsi"/>
          <w:color w:val="000000" w:themeColor="text1"/>
          <w:sz w:val="24"/>
          <w:szCs w:val="24"/>
          <w:shd w:val="clear" w:color="auto" w:fill="FFFFFF" w:themeFill="background1"/>
          <w:lang w:val="ro-MD"/>
        </w:rPr>
        <w:footnoteReference w:id="1"/>
      </w:r>
      <w:r w:rsidR="00F41908" w:rsidRPr="00565EEE">
        <w:rPr>
          <w:rFonts w:asciiTheme="majorHAnsi" w:hAnsiTheme="majorHAnsi" w:cstheme="majorHAnsi"/>
          <w:sz w:val="24"/>
          <w:szCs w:val="24"/>
          <w:shd w:val="clear" w:color="auto" w:fill="FFFFFF" w:themeFill="background1"/>
          <w:lang w:val="ro-MD"/>
        </w:rPr>
        <w:t xml:space="preserve">, </w:t>
      </w:r>
      <w:r w:rsidR="00F41908" w:rsidRPr="00565EEE">
        <w:rPr>
          <w:rFonts w:asciiTheme="majorHAnsi" w:hAnsiTheme="majorHAnsi" w:cstheme="majorHAnsi"/>
          <w:color w:val="000000"/>
          <w:sz w:val="24"/>
          <w:szCs w:val="24"/>
          <w:lang w:val="ro-MD"/>
        </w:rPr>
        <w:t xml:space="preserve">călăuzindu-se de art.3 alin.(1), art.5 alin.(1) </w:t>
      </w:r>
      <w:proofErr w:type="spellStart"/>
      <w:r w:rsidR="00F41908" w:rsidRPr="00565EEE">
        <w:rPr>
          <w:rFonts w:asciiTheme="majorHAnsi" w:hAnsiTheme="majorHAnsi" w:cstheme="majorHAnsi"/>
          <w:color w:val="000000"/>
          <w:sz w:val="24"/>
          <w:szCs w:val="24"/>
          <w:lang w:val="ro-MD"/>
        </w:rPr>
        <w:t>lit.a</w:t>
      </w:r>
      <w:proofErr w:type="spellEnd"/>
      <w:r w:rsidR="00F41908" w:rsidRPr="00565EEE">
        <w:rPr>
          <w:rFonts w:asciiTheme="majorHAnsi" w:hAnsiTheme="majorHAnsi" w:cstheme="majorHAnsi"/>
          <w:color w:val="000000"/>
          <w:sz w:val="24"/>
          <w:szCs w:val="24"/>
          <w:lang w:val="ro-MD"/>
        </w:rPr>
        <w:t xml:space="preserve">) </w:t>
      </w:r>
      <w:proofErr w:type="spellStart"/>
      <w:r w:rsidR="00F41908" w:rsidRPr="00565EEE">
        <w:rPr>
          <w:rFonts w:asciiTheme="majorHAnsi" w:hAnsiTheme="majorHAnsi" w:cstheme="majorHAnsi"/>
          <w:color w:val="000000"/>
          <w:sz w:val="24"/>
          <w:szCs w:val="24"/>
          <w:lang w:val="ro-MD"/>
        </w:rPr>
        <w:t>şi</w:t>
      </w:r>
      <w:proofErr w:type="spellEnd"/>
      <w:r w:rsidR="00F41908" w:rsidRPr="00565EEE">
        <w:rPr>
          <w:rFonts w:asciiTheme="majorHAnsi" w:hAnsiTheme="majorHAnsi" w:cstheme="majorHAnsi"/>
          <w:color w:val="000000"/>
          <w:sz w:val="24"/>
          <w:szCs w:val="24"/>
          <w:lang w:val="ro-MD"/>
        </w:rPr>
        <w:t xml:space="preserve"> art.31 alin.(1) </w:t>
      </w:r>
      <w:proofErr w:type="spellStart"/>
      <w:r w:rsidR="00F41908" w:rsidRPr="00565EEE">
        <w:rPr>
          <w:rFonts w:asciiTheme="majorHAnsi" w:hAnsiTheme="majorHAnsi" w:cstheme="majorHAnsi"/>
          <w:color w:val="000000"/>
          <w:sz w:val="24"/>
          <w:szCs w:val="24"/>
          <w:lang w:val="ro-MD"/>
        </w:rPr>
        <w:t>lit.a</w:t>
      </w:r>
      <w:proofErr w:type="spellEnd"/>
      <w:r w:rsidR="00F41908" w:rsidRPr="00565EEE">
        <w:rPr>
          <w:rFonts w:asciiTheme="majorHAnsi" w:hAnsiTheme="majorHAnsi" w:cstheme="majorHAnsi"/>
          <w:color w:val="000000"/>
          <w:sz w:val="24"/>
          <w:szCs w:val="24"/>
          <w:lang w:val="ro-MD"/>
        </w:rPr>
        <w:t xml:space="preserve">) din Legea privind organizarea </w:t>
      </w:r>
      <w:r w:rsidR="00A6197C" w:rsidRPr="00565EEE">
        <w:rPr>
          <w:rFonts w:asciiTheme="majorHAnsi" w:hAnsiTheme="majorHAnsi" w:cstheme="majorHAnsi"/>
          <w:color w:val="000000"/>
          <w:sz w:val="24"/>
          <w:szCs w:val="24"/>
          <w:lang w:val="ro-MD"/>
        </w:rPr>
        <w:t>și</w:t>
      </w:r>
      <w:r w:rsidR="00F41908" w:rsidRPr="00565EEE">
        <w:rPr>
          <w:rFonts w:asciiTheme="majorHAnsi" w:hAnsiTheme="majorHAnsi" w:cstheme="majorHAnsi"/>
          <w:color w:val="000000"/>
          <w:sz w:val="24"/>
          <w:szCs w:val="24"/>
          <w:lang w:val="ro-MD"/>
        </w:rPr>
        <w:t xml:space="preserve"> funcționarea Curții de Conturi a Republicii Moldova</w:t>
      </w:r>
      <w:r w:rsidR="00F41908" w:rsidRPr="00565EEE">
        <w:rPr>
          <w:rStyle w:val="ad"/>
          <w:rFonts w:asciiTheme="majorHAnsi" w:hAnsiTheme="majorHAnsi" w:cstheme="majorHAnsi"/>
          <w:color w:val="000000"/>
          <w:sz w:val="24"/>
          <w:szCs w:val="24"/>
          <w:lang w:val="ro-MD"/>
        </w:rPr>
        <w:footnoteReference w:id="2"/>
      </w:r>
      <w:r w:rsidR="00F41908" w:rsidRPr="00565EEE">
        <w:rPr>
          <w:rFonts w:asciiTheme="majorHAnsi" w:hAnsiTheme="majorHAnsi" w:cstheme="majorHAnsi"/>
          <w:color w:val="000000"/>
          <w:sz w:val="24"/>
          <w:szCs w:val="24"/>
          <w:lang w:val="ro-MD"/>
        </w:rPr>
        <w:t xml:space="preserve">, </w:t>
      </w:r>
      <w:r w:rsidR="00F41908" w:rsidRPr="00565EEE">
        <w:rPr>
          <w:rFonts w:asciiTheme="majorHAnsi" w:hAnsiTheme="majorHAnsi" w:cstheme="majorHAnsi"/>
          <w:sz w:val="24"/>
          <w:szCs w:val="24"/>
          <w:shd w:val="clear" w:color="auto" w:fill="FFFFFF" w:themeFill="background1"/>
          <w:lang w:val="ro-MD"/>
        </w:rPr>
        <w:t xml:space="preserve">a examinat </w:t>
      </w:r>
      <w:r w:rsidR="00F41908" w:rsidRPr="00565EEE">
        <w:rPr>
          <w:rFonts w:asciiTheme="majorHAnsi" w:eastAsia="Times New Roman" w:hAnsiTheme="majorHAnsi" w:cstheme="majorHAnsi"/>
          <w:bCs/>
          <w:sz w:val="24"/>
          <w:szCs w:val="24"/>
          <w:lang w:val="ro-MD" w:eastAsia="ru-RU"/>
        </w:rPr>
        <w:t xml:space="preserve">Raportul auditului asupra rapoartelor financiare consolidate ale </w:t>
      </w:r>
      <w:r w:rsidR="00D85253" w:rsidRPr="00565EEE">
        <w:rPr>
          <w:rFonts w:asciiTheme="majorHAnsi" w:eastAsia="Times New Roman" w:hAnsiTheme="majorHAnsi" w:cstheme="majorHAnsi"/>
          <w:bCs/>
          <w:sz w:val="24"/>
          <w:szCs w:val="24"/>
          <w:lang w:val="ro-MD" w:eastAsia="ru-RU"/>
        </w:rPr>
        <w:t>UAT mun. Chișinău</w:t>
      </w:r>
      <w:r w:rsidR="00F41908" w:rsidRPr="00565EEE">
        <w:rPr>
          <w:rFonts w:asciiTheme="majorHAnsi" w:eastAsia="Times New Roman" w:hAnsiTheme="majorHAnsi" w:cstheme="majorHAnsi"/>
          <w:bCs/>
          <w:sz w:val="24"/>
          <w:szCs w:val="24"/>
          <w:lang w:val="ro-MD" w:eastAsia="ru-RU"/>
        </w:rPr>
        <w:t xml:space="preserve"> încheiate la 31 decembrie 2020</w:t>
      </w:r>
      <w:r w:rsidR="00212548" w:rsidRPr="00565EEE">
        <w:rPr>
          <w:rFonts w:asciiTheme="majorHAnsi" w:eastAsia="Times New Roman" w:hAnsiTheme="majorHAnsi" w:cstheme="majorHAnsi"/>
          <w:bCs/>
          <w:sz w:val="24"/>
          <w:szCs w:val="24"/>
          <w:lang w:val="ro-MD" w:eastAsia="ru-RU"/>
        </w:rPr>
        <w:t xml:space="preserve"> </w:t>
      </w:r>
      <w:r w:rsidR="00212548" w:rsidRPr="00565EEE">
        <w:rPr>
          <w:rFonts w:asciiTheme="majorHAnsi" w:hAnsiTheme="majorHAnsi" w:cstheme="majorHAnsi"/>
          <w:i/>
          <w:color w:val="000000"/>
          <w:sz w:val="24"/>
          <w:szCs w:val="24"/>
          <w:lang w:val="ro-MD"/>
        </w:rPr>
        <w:t>(UAT/bugetul de nivelul II)</w:t>
      </w:r>
      <w:r w:rsidR="00F41908" w:rsidRPr="00565EEE">
        <w:rPr>
          <w:rFonts w:asciiTheme="majorHAnsi" w:eastAsia="Times New Roman" w:hAnsiTheme="majorHAnsi" w:cstheme="majorHAnsi"/>
          <w:bCs/>
          <w:sz w:val="24"/>
          <w:szCs w:val="24"/>
          <w:lang w:val="ro-MD" w:eastAsia="ru-RU"/>
        </w:rPr>
        <w:t xml:space="preserve">. </w:t>
      </w:r>
    </w:p>
    <w:p w:rsidR="00EA16DD" w:rsidRPr="00565EEE" w:rsidRDefault="00EA16DD" w:rsidP="00CD6E52">
      <w:pPr>
        <w:spacing w:after="0" w:line="276" w:lineRule="auto"/>
        <w:ind w:firstLine="567"/>
        <w:jc w:val="both"/>
        <w:rPr>
          <w:rFonts w:asciiTheme="majorHAnsi" w:hAnsiTheme="majorHAnsi" w:cstheme="majorHAnsi"/>
          <w:sz w:val="24"/>
          <w:szCs w:val="24"/>
          <w:lang w:val="ro-MD"/>
        </w:rPr>
      </w:pPr>
      <w:r w:rsidRPr="00565EEE">
        <w:rPr>
          <w:rFonts w:asciiTheme="majorHAnsi" w:eastAsia="Times New Roman" w:hAnsiTheme="majorHAnsi" w:cstheme="majorHAnsi"/>
          <w:sz w:val="24"/>
          <w:szCs w:val="24"/>
          <w:lang w:val="ro-MD" w:eastAsia="ro-MD"/>
        </w:rPr>
        <w:t xml:space="preserve">Misiunea de audit public extern a fost realizată conform </w:t>
      </w:r>
      <w:r w:rsidR="007400C4" w:rsidRPr="00565EEE">
        <w:rPr>
          <w:rFonts w:asciiTheme="majorHAnsi" w:hAnsiTheme="majorHAnsi" w:cstheme="majorHAnsi"/>
          <w:sz w:val="24"/>
          <w:szCs w:val="24"/>
          <w:lang w:val="ro-MD"/>
        </w:rPr>
        <w:t xml:space="preserve">Programelor </w:t>
      </w:r>
      <w:r w:rsidRPr="00565EEE">
        <w:rPr>
          <w:rFonts w:asciiTheme="majorHAnsi" w:hAnsiTheme="majorHAnsi" w:cstheme="majorHAnsi"/>
          <w:sz w:val="24"/>
          <w:szCs w:val="24"/>
          <w:lang w:val="ro-MD"/>
        </w:rPr>
        <w:t xml:space="preserve">activității de audit a Curții de Conturi </w:t>
      </w:r>
      <w:r w:rsidR="00B320B3" w:rsidRPr="00565EEE">
        <w:rPr>
          <w:rFonts w:asciiTheme="majorHAnsi" w:hAnsiTheme="majorHAnsi" w:cstheme="majorHAnsi"/>
          <w:sz w:val="24"/>
          <w:szCs w:val="24"/>
          <w:lang w:val="ro-MD"/>
        </w:rPr>
        <w:t>pe an</w:t>
      </w:r>
      <w:r w:rsidR="00CD6E52" w:rsidRPr="00565EEE">
        <w:rPr>
          <w:rFonts w:asciiTheme="majorHAnsi" w:hAnsiTheme="majorHAnsi" w:cstheme="majorHAnsi"/>
          <w:sz w:val="24"/>
          <w:szCs w:val="24"/>
          <w:lang w:val="ro-MD"/>
        </w:rPr>
        <w:t xml:space="preserve">ii 2021 și </w:t>
      </w:r>
      <w:r w:rsidR="00B320B3" w:rsidRPr="00565EEE">
        <w:rPr>
          <w:rFonts w:asciiTheme="majorHAnsi" w:hAnsiTheme="majorHAnsi" w:cstheme="majorHAnsi"/>
          <w:sz w:val="24"/>
          <w:szCs w:val="24"/>
          <w:lang w:val="ro-MD"/>
        </w:rPr>
        <w:t>202</w:t>
      </w:r>
      <w:r w:rsidR="00D85253" w:rsidRPr="00565EEE">
        <w:rPr>
          <w:rFonts w:asciiTheme="majorHAnsi" w:hAnsiTheme="majorHAnsi" w:cstheme="majorHAnsi"/>
          <w:sz w:val="24"/>
          <w:szCs w:val="24"/>
          <w:lang w:val="ro-MD"/>
        </w:rPr>
        <w:t>2</w:t>
      </w:r>
      <w:r w:rsidR="00B320B3" w:rsidRPr="00565EEE">
        <w:rPr>
          <w:rStyle w:val="FootnoteReference1"/>
          <w:rFonts w:asciiTheme="majorHAnsi" w:hAnsiTheme="majorHAnsi" w:cstheme="majorHAnsi"/>
          <w:sz w:val="24"/>
          <w:szCs w:val="24"/>
        </w:rPr>
        <w:footnoteReference w:id="3"/>
      </w:r>
      <w:r w:rsidRPr="00565EEE">
        <w:rPr>
          <w:rFonts w:asciiTheme="majorHAnsi" w:hAnsiTheme="majorHAnsi" w:cstheme="majorHAnsi"/>
          <w:sz w:val="24"/>
          <w:szCs w:val="24"/>
          <w:lang w:val="ro-MD"/>
        </w:rPr>
        <w:t xml:space="preserve">, </w:t>
      </w:r>
      <w:r w:rsidRPr="00565EEE">
        <w:rPr>
          <w:rFonts w:asciiTheme="majorHAnsi" w:eastAsia="Times New Roman" w:hAnsiTheme="majorHAnsi" w:cstheme="majorHAnsi"/>
          <w:sz w:val="24"/>
          <w:szCs w:val="24"/>
          <w:lang w:val="ro-MD"/>
        </w:rPr>
        <w:t xml:space="preserve">având drept scop </w:t>
      </w:r>
      <w:r w:rsidRPr="00565EEE">
        <w:rPr>
          <w:rFonts w:asciiTheme="majorHAnsi" w:hAnsiTheme="majorHAnsi" w:cstheme="majorHAnsi"/>
          <w:sz w:val="24"/>
          <w:szCs w:val="24"/>
          <w:lang w:val="ro-MD"/>
        </w:rPr>
        <w:t xml:space="preserve">oferirea unei asigurări rezonabile cu privire la faptul că rapoartele financiare consolidate ale </w:t>
      </w:r>
      <w:r w:rsidR="00D85253" w:rsidRPr="00565EEE">
        <w:rPr>
          <w:rFonts w:asciiTheme="majorHAnsi" w:hAnsiTheme="majorHAnsi" w:cstheme="majorHAnsi"/>
          <w:sz w:val="24"/>
          <w:szCs w:val="24"/>
          <w:lang w:val="ro-MD"/>
        </w:rPr>
        <w:t>UAT mun. Chișinău</w:t>
      </w:r>
      <w:r w:rsidR="00384F25" w:rsidRPr="00565EEE">
        <w:rPr>
          <w:rFonts w:asciiTheme="majorHAnsi" w:hAnsiTheme="majorHAnsi" w:cstheme="majorHAnsi"/>
          <w:sz w:val="24"/>
          <w:szCs w:val="24"/>
          <w:lang w:val="ro-MD"/>
        </w:rPr>
        <w:t xml:space="preserve"> </w:t>
      </w:r>
      <w:r w:rsidRPr="00565EEE">
        <w:rPr>
          <w:rFonts w:asciiTheme="majorHAnsi" w:hAnsiTheme="majorHAnsi" w:cstheme="majorHAnsi"/>
          <w:sz w:val="24"/>
          <w:szCs w:val="24"/>
          <w:lang w:val="ro-MD"/>
        </w:rPr>
        <w:t>încheiate la 31 decembrie 20</w:t>
      </w:r>
      <w:r w:rsidR="001E0EF9" w:rsidRPr="00565EEE">
        <w:rPr>
          <w:rFonts w:asciiTheme="majorHAnsi" w:hAnsiTheme="majorHAnsi" w:cstheme="majorHAnsi"/>
          <w:sz w:val="24"/>
          <w:szCs w:val="24"/>
          <w:lang w:val="ro-MD"/>
        </w:rPr>
        <w:t>20</w:t>
      </w:r>
      <w:r w:rsidRPr="00565EEE">
        <w:rPr>
          <w:rFonts w:asciiTheme="majorHAnsi" w:hAnsiTheme="majorHAnsi" w:cstheme="majorHAnsi"/>
          <w:sz w:val="24"/>
          <w:szCs w:val="24"/>
          <w:lang w:val="ro-MD"/>
        </w:rPr>
        <w:t xml:space="preserve"> nu conțin, în ansamblul lor, denaturări semnificative</w:t>
      </w:r>
      <w:r w:rsidR="00384F25" w:rsidRPr="00565EEE">
        <w:rPr>
          <w:rFonts w:asciiTheme="majorHAnsi" w:hAnsiTheme="majorHAnsi" w:cstheme="majorHAnsi"/>
          <w:sz w:val="24"/>
          <w:szCs w:val="24"/>
          <w:lang w:val="ro-MD"/>
        </w:rPr>
        <w:t>,</w:t>
      </w:r>
      <w:r w:rsidRPr="00565EEE">
        <w:rPr>
          <w:rFonts w:asciiTheme="majorHAnsi" w:hAnsiTheme="majorHAnsi" w:cstheme="majorHAnsi"/>
          <w:sz w:val="24"/>
          <w:szCs w:val="24"/>
          <w:lang w:val="ro-MD"/>
        </w:rPr>
        <w:t xml:space="preserve"> cauzate de fraude sau erori, precum și emiterea unei opinii.</w:t>
      </w:r>
    </w:p>
    <w:p w:rsidR="00B320B3" w:rsidRPr="00565EEE" w:rsidRDefault="00B320B3" w:rsidP="00CA6102">
      <w:pPr>
        <w:spacing w:after="0" w:line="276" w:lineRule="auto"/>
        <w:ind w:firstLine="567"/>
        <w:jc w:val="both"/>
        <w:rPr>
          <w:rFonts w:asciiTheme="majorHAnsi" w:eastAsia="Times New Roman" w:hAnsiTheme="majorHAnsi" w:cstheme="majorHAnsi"/>
          <w:sz w:val="24"/>
          <w:szCs w:val="24"/>
          <w:lang w:val="ro-MD"/>
        </w:rPr>
      </w:pPr>
      <w:r w:rsidRPr="00565EEE">
        <w:rPr>
          <w:rFonts w:asciiTheme="majorHAnsi" w:hAnsiTheme="majorHAnsi" w:cstheme="majorHAnsi"/>
          <w:sz w:val="24"/>
          <w:szCs w:val="24"/>
          <w:lang w:val="ro-MD"/>
        </w:rPr>
        <w:t xml:space="preserve">Auditul public extern </w:t>
      </w:r>
      <w:r w:rsidR="00CA6102" w:rsidRPr="00565EEE">
        <w:rPr>
          <w:rFonts w:asciiTheme="majorHAnsi" w:eastAsia="Times New Roman" w:hAnsiTheme="majorHAnsi" w:cstheme="majorHAnsi"/>
          <w:sz w:val="24"/>
          <w:szCs w:val="24"/>
          <w:lang w:val="ro-MD"/>
        </w:rPr>
        <w:t>a fost planificat și s-a desfășurat în conformitate cu Standardele Internaționale ale Instituțiilor Supreme de Audit aplicate de</w:t>
      </w:r>
      <w:r w:rsidRPr="00565EEE">
        <w:rPr>
          <w:rFonts w:asciiTheme="majorHAnsi" w:hAnsiTheme="majorHAnsi" w:cstheme="majorHAnsi"/>
          <w:sz w:val="24"/>
          <w:szCs w:val="24"/>
          <w:lang w:val="ro-MD"/>
        </w:rPr>
        <w:t xml:space="preserve"> Curtea de </w:t>
      </w:r>
      <w:r w:rsidRPr="00565EEE">
        <w:rPr>
          <w:rFonts w:asciiTheme="majorHAnsi" w:eastAsia="Times New Roman" w:hAnsiTheme="majorHAnsi" w:cstheme="majorHAnsi"/>
          <w:sz w:val="24"/>
          <w:szCs w:val="24"/>
          <w:lang w:val="ro-MD"/>
        </w:rPr>
        <w:t>Conturi</w:t>
      </w:r>
      <w:r w:rsidRPr="00565EEE">
        <w:rPr>
          <w:rFonts w:asciiTheme="majorHAnsi" w:eastAsia="Times New Roman" w:hAnsiTheme="majorHAnsi" w:cstheme="majorHAnsi"/>
          <w:sz w:val="24"/>
          <w:szCs w:val="24"/>
          <w:vertAlign w:val="superscript"/>
          <w:lang w:val="ro-MD"/>
        </w:rPr>
        <w:footnoteReference w:id="4"/>
      </w:r>
      <w:r w:rsidRPr="00565EEE">
        <w:rPr>
          <w:rFonts w:asciiTheme="majorHAnsi" w:eastAsia="Times New Roman" w:hAnsiTheme="majorHAnsi" w:cstheme="majorHAnsi"/>
          <w:sz w:val="24"/>
          <w:szCs w:val="24"/>
          <w:lang w:val="ro-MD"/>
        </w:rPr>
        <w:t>.</w:t>
      </w:r>
    </w:p>
    <w:p w:rsidR="00EA16DD" w:rsidRPr="00565EEE" w:rsidRDefault="00B320B3" w:rsidP="00CD6E52">
      <w:pPr>
        <w:spacing w:after="0" w:line="276" w:lineRule="auto"/>
        <w:ind w:firstLine="567"/>
        <w:jc w:val="both"/>
        <w:rPr>
          <w:rFonts w:asciiTheme="majorHAnsi" w:eastAsia="Times New Roman" w:hAnsiTheme="majorHAnsi" w:cstheme="majorHAnsi"/>
          <w:sz w:val="24"/>
          <w:szCs w:val="24"/>
          <w:lang w:val="ro-MD"/>
        </w:rPr>
      </w:pPr>
      <w:r w:rsidRPr="00565EEE">
        <w:rPr>
          <w:rFonts w:asciiTheme="majorHAnsi" w:eastAsia="Times New Roman" w:hAnsiTheme="majorHAnsi" w:cstheme="majorHAnsi"/>
          <w:sz w:val="24"/>
          <w:szCs w:val="24"/>
          <w:lang w:val="ro-MD"/>
        </w:rPr>
        <w:t>Examinând Raportul de audit, Curtea de Conturi</w:t>
      </w:r>
      <w:r w:rsidR="00EA16DD" w:rsidRPr="00565EEE">
        <w:rPr>
          <w:rFonts w:asciiTheme="majorHAnsi" w:eastAsia="Times New Roman" w:hAnsiTheme="majorHAnsi" w:cstheme="majorHAnsi"/>
          <w:sz w:val="24"/>
          <w:szCs w:val="24"/>
          <w:lang w:val="ro-MD"/>
        </w:rPr>
        <w:t xml:space="preserve"> </w:t>
      </w:r>
    </w:p>
    <w:p w:rsidR="00EA16DD" w:rsidRPr="00565EEE" w:rsidRDefault="00EA16DD" w:rsidP="00B72F0B">
      <w:pPr>
        <w:spacing w:after="0" w:line="276" w:lineRule="auto"/>
        <w:rPr>
          <w:rFonts w:asciiTheme="majorHAnsi" w:eastAsia="Times New Roman" w:hAnsiTheme="majorHAnsi" w:cstheme="majorHAnsi"/>
          <w:b/>
          <w:bCs/>
          <w:sz w:val="24"/>
          <w:szCs w:val="24"/>
          <w:lang w:val="ro-MD"/>
        </w:rPr>
      </w:pPr>
    </w:p>
    <w:p w:rsidR="00EA16DD" w:rsidRPr="00565EEE" w:rsidRDefault="00EA16DD" w:rsidP="00B72F0B">
      <w:pPr>
        <w:spacing w:after="0" w:line="276" w:lineRule="auto"/>
        <w:jc w:val="center"/>
        <w:rPr>
          <w:rFonts w:asciiTheme="majorHAnsi" w:eastAsia="Times New Roman" w:hAnsiTheme="majorHAnsi" w:cstheme="majorHAnsi"/>
          <w:b/>
          <w:bCs/>
          <w:sz w:val="24"/>
          <w:szCs w:val="24"/>
          <w:lang w:val="ro-MD"/>
        </w:rPr>
      </w:pPr>
      <w:r w:rsidRPr="00565EEE">
        <w:rPr>
          <w:rFonts w:asciiTheme="majorHAnsi" w:eastAsia="Times New Roman" w:hAnsiTheme="majorHAnsi" w:cstheme="majorHAnsi"/>
          <w:b/>
          <w:bCs/>
          <w:sz w:val="24"/>
          <w:szCs w:val="24"/>
          <w:lang w:val="ro-MD"/>
        </w:rPr>
        <w:t>A CONSTATAT:</w:t>
      </w:r>
    </w:p>
    <w:p w:rsidR="00EA16DD" w:rsidRPr="00565EEE" w:rsidRDefault="00D3165D" w:rsidP="00D85253">
      <w:pPr>
        <w:spacing w:after="0" w:line="276" w:lineRule="auto"/>
        <w:ind w:firstLine="567"/>
        <w:jc w:val="both"/>
        <w:rPr>
          <w:rFonts w:asciiTheme="majorHAnsi" w:eastAsia="Times New Roman" w:hAnsiTheme="majorHAnsi" w:cstheme="majorHAnsi"/>
          <w:sz w:val="24"/>
          <w:szCs w:val="24"/>
          <w:lang w:val="ro-MD"/>
        </w:rPr>
      </w:pPr>
      <w:r w:rsidRPr="00565EEE">
        <w:rPr>
          <w:rFonts w:asciiTheme="majorHAnsi" w:hAnsiTheme="majorHAnsi" w:cstheme="majorHAnsi"/>
          <w:sz w:val="24"/>
          <w:szCs w:val="24"/>
          <w:lang w:val="ro-MD"/>
        </w:rPr>
        <w:t>R</w:t>
      </w:r>
      <w:r w:rsidR="00EA16DD" w:rsidRPr="00565EEE">
        <w:rPr>
          <w:rFonts w:asciiTheme="majorHAnsi" w:hAnsiTheme="majorHAnsi" w:cstheme="majorHAnsi"/>
          <w:sz w:val="24"/>
          <w:szCs w:val="24"/>
          <w:lang w:val="ro-MD"/>
        </w:rPr>
        <w:t xml:space="preserve">apoartele financiare consolidate ale </w:t>
      </w:r>
      <w:r w:rsidR="00D85253" w:rsidRPr="00565EEE">
        <w:rPr>
          <w:rFonts w:asciiTheme="majorHAnsi" w:eastAsia="Times New Roman" w:hAnsiTheme="majorHAnsi" w:cstheme="majorHAnsi"/>
          <w:sz w:val="24"/>
          <w:szCs w:val="24"/>
          <w:lang w:val="ro-MD"/>
        </w:rPr>
        <w:t>UAT mun. Chișinău</w:t>
      </w:r>
      <w:r w:rsidR="00EA16DD" w:rsidRPr="00565EEE">
        <w:rPr>
          <w:rFonts w:asciiTheme="majorHAnsi" w:hAnsiTheme="majorHAnsi" w:cstheme="majorHAnsi"/>
          <w:sz w:val="24"/>
          <w:szCs w:val="24"/>
          <w:lang w:val="ro-MD"/>
        </w:rPr>
        <w:t xml:space="preserve"> încheiat</w:t>
      </w:r>
      <w:r w:rsidR="009F4A4B" w:rsidRPr="00565EEE">
        <w:rPr>
          <w:rFonts w:asciiTheme="majorHAnsi" w:hAnsiTheme="majorHAnsi" w:cstheme="majorHAnsi"/>
          <w:sz w:val="24"/>
          <w:szCs w:val="24"/>
          <w:lang w:val="ro-MD"/>
        </w:rPr>
        <w:t>e</w:t>
      </w:r>
      <w:r w:rsidR="00A6197C" w:rsidRPr="00565EEE">
        <w:rPr>
          <w:rFonts w:asciiTheme="majorHAnsi" w:hAnsiTheme="majorHAnsi" w:cstheme="majorHAnsi"/>
          <w:sz w:val="24"/>
          <w:szCs w:val="24"/>
          <w:lang w:val="ro-MD"/>
        </w:rPr>
        <w:t xml:space="preserve"> la 31 decembrie 2020</w:t>
      </w:r>
      <w:r w:rsidR="00EA16DD" w:rsidRPr="00565EEE">
        <w:rPr>
          <w:rFonts w:asciiTheme="majorHAnsi" w:hAnsiTheme="majorHAnsi" w:cstheme="majorHAnsi"/>
          <w:sz w:val="24"/>
          <w:szCs w:val="24"/>
          <w:lang w:val="ro-MD"/>
        </w:rPr>
        <w:t xml:space="preserve">, </w:t>
      </w:r>
      <w:r w:rsidR="00F13998" w:rsidRPr="00565EEE">
        <w:rPr>
          <w:rFonts w:asciiTheme="majorHAnsi" w:eastAsia="Times New Roman" w:hAnsiTheme="majorHAnsi" w:cstheme="majorHAnsi"/>
          <w:sz w:val="24"/>
          <w:szCs w:val="24"/>
          <w:lang w:val="ro-MD"/>
        </w:rPr>
        <w:t>ținându</w:t>
      </w:r>
      <w:r w:rsidR="00EA16DD" w:rsidRPr="00565EEE">
        <w:rPr>
          <w:rFonts w:asciiTheme="majorHAnsi" w:eastAsia="Times New Roman" w:hAnsiTheme="majorHAnsi" w:cstheme="majorHAnsi"/>
          <w:sz w:val="24"/>
          <w:szCs w:val="24"/>
          <w:lang w:val="ro-MD"/>
        </w:rPr>
        <w:t xml:space="preserve">-se cont de </w:t>
      </w:r>
      <w:r w:rsidR="00EE0053" w:rsidRPr="00565EEE">
        <w:rPr>
          <w:rFonts w:asciiTheme="majorHAnsi" w:eastAsia="Times New Roman" w:hAnsiTheme="majorHAnsi" w:cstheme="majorHAnsi"/>
          <w:sz w:val="24"/>
          <w:szCs w:val="24"/>
          <w:lang w:val="ro-MD"/>
        </w:rPr>
        <w:t>semnificația</w:t>
      </w:r>
      <w:r w:rsidR="00EA16DD" w:rsidRPr="00565EEE">
        <w:rPr>
          <w:rFonts w:asciiTheme="majorHAnsi" w:eastAsia="Times New Roman" w:hAnsiTheme="majorHAnsi" w:cstheme="majorHAnsi"/>
          <w:sz w:val="24"/>
          <w:szCs w:val="24"/>
          <w:lang w:val="ro-MD"/>
        </w:rPr>
        <w:t xml:space="preserve"> aspectelor descrise în </w:t>
      </w:r>
      <w:r w:rsidR="00EE0053" w:rsidRPr="00565EEE">
        <w:rPr>
          <w:rFonts w:asciiTheme="majorHAnsi" w:eastAsia="Times New Roman" w:hAnsiTheme="majorHAnsi" w:cstheme="majorHAnsi"/>
          <w:sz w:val="24"/>
          <w:szCs w:val="24"/>
          <w:lang w:val="ro-MD"/>
        </w:rPr>
        <w:t>secțiunea</w:t>
      </w:r>
      <w:r w:rsidR="00EA16DD" w:rsidRPr="00565EEE">
        <w:rPr>
          <w:rFonts w:asciiTheme="majorHAnsi" w:eastAsia="Times New Roman" w:hAnsiTheme="majorHAnsi" w:cstheme="majorHAnsi"/>
          <w:sz w:val="24"/>
          <w:szCs w:val="24"/>
          <w:lang w:val="ro-MD"/>
        </w:rPr>
        <w:t xml:space="preserve"> </w:t>
      </w:r>
      <w:r w:rsidR="00EA16DD" w:rsidRPr="00565EEE">
        <w:rPr>
          <w:rFonts w:asciiTheme="majorHAnsi" w:eastAsia="Times New Roman" w:hAnsiTheme="majorHAnsi" w:cstheme="majorHAnsi"/>
          <w:i/>
          <w:iCs/>
          <w:sz w:val="24"/>
          <w:szCs w:val="24"/>
          <w:lang w:val="ro-MD"/>
        </w:rPr>
        <w:t>Baza pentru opinia contrară</w:t>
      </w:r>
      <w:r w:rsidR="00EA16DD" w:rsidRPr="00565EEE">
        <w:rPr>
          <w:rFonts w:asciiTheme="majorHAnsi" w:eastAsia="Times New Roman" w:hAnsiTheme="majorHAnsi" w:cstheme="majorHAnsi"/>
          <w:sz w:val="24"/>
          <w:szCs w:val="24"/>
          <w:lang w:val="ro-MD"/>
        </w:rPr>
        <w:t xml:space="preserve"> din Raportul de audit, </w:t>
      </w:r>
      <w:r w:rsidR="00EA16DD" w:rsidRPr="00565EEE">
        <w:rPr>
          <w:rFonts w:asciiTheme="majorHAnsi" w:eastAsia="Times New Roman" w:hAnsiTheme="majorHAnsi" w:cstheme="majorHAnsi"/>
          <w:i/>
          <w:iCs/>
          <w:sz w:val="24"/>
          <w:szCs w:val="24"/>
          <w:lang w:val="ro-MD"/>
        </w:rPr>
        <w:t xml:space="preserve">nu prezintă o imagine corectă </w:t>
      </w:r>
      <w:r w:rsidR="00F13998" w:rsidRPr="00565EEE">
        <w:rPr>
          <w:rFonts w:asciiTheme="majorHAnsi" w:eastAsia="Times New Roman" w:hAnsiTheme="majorHAnsi" w:cstheme="majorHAnsi"/>
          <w:i/>
          <w:iCs/>
          <w:sz w:val="24"/>
          <w:szCs w:val="24"/>
          <w:lang w:val="ro-MD"/>
        </w:rPr>
        <w:t>și</w:t>
      </w:r>
      <w:r w:rsidR="00EA16DD" w:rsidRPr="00565EEE">
        <w:rPr>
          <w:rFonts w:asciiTheme="majorHAnsi" w:eastAsia="Times New Roman" w:hAnsiTheme="majorHAnsi" w:cstheme="majorHAnsi"/>
          <w:sz w:val="24"/>
          <w:szCs w:val="24"/>
          <w:lang w:val="ro-MD"/>
        </w:rPr>
        <w:t xml:space="preserve"> </w:t>
      </w:r>
      <w:r w:rsidR="00EA16DD" w:rsidRPr="00565EEE">
        <w:rPr>
          <w:rFonts w:asciiTheme="majorHAnsi" w:eastAsia="Times New Roman" w:hAnsiTheme="majorHAnsi" w:cstheme="majorHAnsi"/>
          <w:i/>
          <w:iCs/>
          <w:sz w:val="24"/>
          <w:szCs w:val="24"/>
          <w:lang w:val="ro-MD"/>
        </w:rPr>
        <w:t>fidelă</w:t>
      </w:r>
      <w:r w:rsidR="00EA16DD" w:rsidRPr="00565EEE">
        <w:rPr>
          <w:rFonts w:asciiTheme="majorHAnsi" w:eastAsia="Times New Roman" w:hAnsiTheme="majorHAnsi" w:cstheme="majorHAnsi"/>
          <w:sz w:val="24"/>
          <w:szCs w:val="24"/>
          <w:lang w:val="ro-MD"/>
        </w:rPr>
        <w:t xml:space="preserve"> în conformitate cu cadrul aplicabil de raportare financiară</w:t>
      </w:r>
      <w:r w:rsidR="00EA16DD" w:rsidRPr="00565EEE">
        <w:rPr>
          <w:rStyle w:val="FootnoteReference1"/>
          <w:rFonts w:asciiTheme="majorHAnsi" w:hAnsiTheme="majorHAnsi" w:cstheme="majorHAnsi"/>
          <w:sz w:val="24"/>
          <w:szCs w:val="24"/>
        </w:rPr>
        <w:footnoteReference w:id="5"/>
      </w:r>
      <w:r w:rsidR="00EA16DD" w:rsidRPr="00565EEE">
        <w:rPr>
          <w:rFonts w:asciiTheme="majorHAnsi" w:hAnsiTheme="majorHAnsi" w:cstheme="majorHAnsi"/>
          <w:sz w:val="24"/>
          <w:szCs w:val="24"/>
          <w:lang w:val="ro-MD"/>
        </w:rPr>
        <w:t>.</w:t>
      </w:r>
      <w:r w:rsidR="00EA16DD" w:rsidRPr="00565EEE">
        <w:rPr>
          <w:rFonts w:asciiTheme="majorHAnsi" w:eastAsia="Times New Roman" w:hAnsiTheme="majorHAnsi" w:cstheme="majorHAnsi"/>
          <w:sz w:val="24"/>
          <w:szCs w:val="24"/>
          <w:lang w:val="ro-MD"/>
        </w:rPr>
        <w:t xml:space="preserve"> </w:t>
      </w:r>
    </w:p>
    <w:p w:rsidR="007400C4" w:rsidRPr="00565EEE" w:rsidRDefault="007400C4" w:rsidP="00B72F0B">
      <w:pPr>
        <w:pStyle w:val="a5"/>
        <w:spacing w:line="276" w:lineRule="auto"/>
        <w:rPr>
          <w:rFonts w:asciiTheme="majorHAnsi" w:hAnsiTheme="majorHAnsi" w:cstheme="majorHAnsi"/>
          <w:lang w:val="ro-MD"/>
        </w:rPr>
      </w:pPr>
      <w:r w:rsidRPr="00565EEE">
        <w:rPr>
          <w:rFonts w:asciiTheme="majorHAnsi" w:hAnsiTheme="majorHAnsi" w:cstheme="majorHAnsi"/>
          <w:lang w:val="ro-MD"/>
        </w:rPr>
        <w:lastRenderedPageBreak/>
        <w:t xml:space="preserve">Observațiile de audit au servit drept bază pentru exprimarea opiniei contrare asupra </w:t>
      </w:r>
      <w:r w:rsidRPr="00565EEE">
        <w:rPr>
          <w:rFonts w:asciiTheme="majorHAnsi" w:hAnsiTheme="majorHAnsi" w:cstheme="majorHAnsi"/>
          <w:bCs/>
          <w:lang w:val="ro-MD" w:eastAsia="ru-RU"/>
        </w:rPr>
        <w:t>rapoartelor financiare consolidate ale UAT mun. Chișinău încheiate la 31 decembrie 2020</w:t>
      </w:r>
      <w:r w:rsidRPr="00565EEE">
        <w:rPr>
          <w:rFonts w:asciiTheme="majorHAnsi" w:hAnsiTheme="majorHAnsi" w:cstheme="majorHAnsi"/>
          <w:lang w:val="ro-MD"/>
        </w:rPr>
        <w:t xml:space="preserve"> </w:t>
      </w:r>
      <w:r w:rsidRPr="00565EEE">
        <w:rPr>
          <w:rFonts w:asciiTheme="majorHAnsi" w:hAnsiTheme="majorHAnsi" w:cstheme="majorHAnsi"/>
          <w:i/>
          <w:lang w:val="ro-MD"/>
        </w:rPr>
        <w:t>(UAT/bugetul de nivelul II)</w:t>
      </w:r>
      <w:r w:rsidRPr="00565EEE">
        <w:rPr>
          <w:rFonts w:asciiTheme="majorHAnsi" w:hAnsiTheme="majorHAnsi" w:cstheme="majorHAnsi"/>
          <w:lang w:val="ro-MD"/>
        </w:rPr>
        <w:t xml:space="preserve">. </w:t>
      </w:r>
    </w:p>
    <w:p w:rsidR="00EA16DD" w:rsidRPr="00565EEE" w:rsidRDefault="00EA16DD" w:rsidP="00B72F0B">
      <w:pPr>
        <w:pStyle w:val="a5"/>
        <w:spacing w:line="276" w:lineRule="auto"/>
        <w:rPr>
          <w:rFonts w:asciiTheme="majorHAnsi" w:hAnsiTheme="majorHAnsi" w:cstheme="majorHAnsi"/>
          <w:lang w:val="ro-MD"/>
        </w:rPr>
      </w:pPr>
      <w:r w:rsidRPr="00565EEE">
        <w:rPr>
          <w:rFonts w:asciiTheme="majorHAnsi" w:hAnsiTheme="majorHAnsi" w:cstheme="majorHAnsi"/>
          <w:lang w:val="ro-MD"/>
        </w:rPr>
        <w:t xml:space="preserve">Reieșind din cele expuse, în temeiul art.14 alin.(2), art.15 </w:t>
      </w:r>
      <w:proofErr w:type="spellStart"/>
      <w:r w:rsidRPr="00565EEE">
        <w:rPr>
          <w:rFonts w:asciiTheme="majorHAnsi" w:hAnsiTheme="majorHAnsi" w:cstheme="majorHAnsi"/>
          <w:lang w:val="ro-MD"/>
        </w:rPr>
        <w:t>lit.d</w:t>
      </w:r>
      <w:proofErr w:type="spellEnd"/>
      <w:r w:rsidRPr="00565EEE">
        <w:rPr>
          <w:rFonts w:asciiTheme="majorHAnsi" w:hAnsiTheme="majorHAnsi" w:cstheme="majorHAnsi"/>
          <w:lang w:val="ro-MD"/>
        </w:rPr>
        <w:t>) și art.37 alin.(2) din Legea nr.260 din 07.12.2017, Curtea de Conturi</w:t>
      </w:r>
    </w:p>
    <w:p w:rsidR="00EE0053" w:rsidRPr="00565EEE" w:rsidRDefault="00EE0053" w:rsidP="00B72F0B">
      <w:pPr>
        <w:pStyle w:val="a5"/>
        <w:spacing w:line="276" w:lineRule="auto"/>
        <w:rPr>
          <w:rFonts w:asciiTheme="majorHAnsi" w:hAnsiTheme="majorHAnsi" w:cstheme="majorHAnsi"/>
          <w:lang w:val="ro-MD"/>
        </w:rPr>
      </w:pPr>
    </w:p>
    <w:p w:rsidR="00EA16DD" w:rsidRPr="00565EEE" w:rsidRDefault="00EA16DD" w:rsidP="00B72F0B">
      <w:pPr>
        <w:pStyle w:val="cp"/>
        <w:spacing w:line="276" w:lineRule="auto"/>
        <w:rPr>
          <w:rFonts w:asciiTheme="majorHAnsi" w:hAnsiTheme="majorHAnsi" w:cstheme="majorHAnsi"/>
          <w:lang w:val="ro-MD"/>
        </w:rPr>
      </w:pPr>
      <w:r w:rsidRPr="00565EEE">
        <w:rPr>
          <w:rFonts w:asciiTheme="majorHAnsi" w:hAnsiTheme="majorHAnsi" w:cstheme="majorHAnsi"/>
          <w:lang w:val="ro-MD"/>
        </w:rPr>
        <w:t>HOTĂRĂŞTE:</w:t>
      </w:r>
    </w:p>
    <w:p w:rsidR="00EA16DD" w:rsidRPr="00565EEE" w:rsidRDefault="00EA16DD" w:rsidP="00D85253">
      <w:pPr>
        <w:pStyle w:val="a5"/>
        <w:spacing w:line="276" w:lineRule="auto"/>
        <w:rPr>
          <w:rFonts w:asciiTheme="majorHAnsi" w:hAnsiTheme="majorHAnsi" w:cstheme="majorHAnsi"/>
          <w:lang w:val="ro-MD"/>
        </w:rPr>
      </w:pPr>
      <w:r w:rsidRPr="00565EEE">
        <w:rPr>
          <w:rFonts w:asciiTheme="majorHAnsi" w:hAnsiTheme="majorHAnsi" w:cstheme="majorHAnsi"/>
          <w:b/>
          <w:bCs/>
          <w:lang w:val="ro-MD"/>
        </w:rPr>
        <w:t>1.</w:t>
      </w:r>
      <w:r w:rsidRPr="00565EEE">
        <w:rPr>
          <w:rFonts w:asciiTheme="majorHAnsi" w:hAnsiTheme="majorHAnsi" w:cstheme="majorHAnsi"/>
          <w:lang w:val="ro-MD"/>
        </w:rPr>
        <w:t xml:space="preserve"> Se aprobă Raportul auditului </w:t>
      </w:r>
      <w:r w:rsidR="004269D0" w:rsidRPr="00565EEE">
        <w:rPr>
          <w:rFonts w:asciiTheme="majorHAnsi" w:hAnsiTheme="majorHAnsi" w:cstheme="majorHAnsi"/>
          <w:lang w:val="ro-MD"/>
        </w:rPr>
        <w:t xml:space="preserve">asupra </w:t>
      </w:r>
      <w:r w:rsidRPr="00565EEE">
        <w:rPr>
          <w:rFonts w:asciiTheme="majorHAnsi" w:hAnsiTheme="majorHAnsi" w:cstheme="majorHAnsi"/>
          <w:lang w:val="ro-MD"/>
        </w:rPr>
        <w:t xml:space="preserve">rapoartelor financiare consolidate ale </w:t>
      </w:r>
      <w:r w:rsidR="00D85253" w:rsidRPr="00565EEE">
        <w:rPr>
          <w:rFonts w:asciiTheme="majorHAnsi" w:hAnsiTheme="majorHAnsi" w:cstheme="majorHAnsi"/>
          <w:lang w:val="ro-MD"/>
        </w:rPr>
        <w:t>UAT mun. Chișinău</w:t>
      </w:r>
      <w:r w:rsidR="00F13998" w:rsidRPr="00565EEE">
        <w:rPr>
          <w:rFonts w:asciiTheme="majorHAnsi" w:hAnsiTheme="majorHAnsi" w:cstheme="majorHAnsi"/>
          <w:lang w:val="ro-MD"/>
        </w:rPr>
        <w:t xml:space="preserve"> încheiate la 31 decembrie 2020</w:t>
      </w:r>
      <w:r w:rsidR="003C6896" w:rsidRPr="00565EEE">
        <w:rPr>
          <w:rFonts w:asciiTheme="majorHAnsi" w:hAnsiTheme="majorHAnsi" w:cstheme="majorHAnsi"/>
          <w:lang w:val="ro-MD"/>
        </w:rPr>
        <w:t xml:space="preserve"> </w:t>
      </w:r>
      <w:r w:rsidR="003C6896" w:rsidRPr="00565EEE">
        <w:rPr>
          <w:rFonts w:asciiTheme="majorHAnsi" w:hAnsiTheme="majorHAnsi" w:cstheme="majorHAnsi"/>
          <w:i/>
          <w:iCs/>
          <w:color w:val="000000"/>
          <w:lang w:val="ro-MD"/>
        </w:rPr>
        <w:t>(UAT/bugetul de nivelul II)</w:t>
      </w:r>
      <w:r w:rsidRPr="00565EEE">
        <w:rPr>
          <w:rFonts w:asciiTheme="majorHAnsi" w:hAnsiTheme="majorHAnsi" w:cstheme="majorHAnsi"/>
          <w:lang w:val="ro-MD"/>
        </w:rPr>
        <w:t>, anexat la prezenta Hotărâre.</w:t>
      </w:r>
    </w:p>
    <w:p w:rsidR="00EA16DD" w:rsidRPr="00565EEE" w:rsidRDefault="00EA16DD" w:rsidP="00B72F0B">
      <w:pPr>
        <w:pStyle w:val="a5"/>
        <w:spacing w:line="276" w:lineRule="auto"/>
        <w:rPr>
          <w:rFonts w:asciiTheme="majorHAnsi" w:hAnsiTheme="majorHAnsi" w:cstheme="majorHAnsi"/>
          <w:lang w:val="ro-MD"/>
        </w:rPr>
      </w:pPr>
      <w:r w:rsidRPr="00565EEE">
        <w:rPr>
          <w:rFonts w:asciiTheme="majorHAnsi" w:hAnsiTheme="majorHAnsi" w:cstheme="majorHAnsi"/>
          <w:b/>
          <w:bCs/>
          <w:lang w:val="ro-MD"/>
        </w:rPr>
        <w:t>2.</w:t>
      </w:r>
      <w:r w:rsidRPr="00565EEE">
        <w:rPr>
          <w:rFonts w:asciiTheme="majorHAnsi" w:hAnsiTheme="majorHAnsi" w:cstheme="majorHAnsi"/>
          <w:lang w:val="ro-MD"/>
        </w:rPr>
        <w:t xml:space="preserve"> Prezenta Hotărâre și Raportul de audit se remit:</w:t>
      </w:r>
    </w:p>
    <w:p w:rsidR="00CD5C7E" w:rsidRPr="00565EEE" w:rsidRDefault="00EA16DD" w:rsidP="00BE2B5A">
      <w:pPr>
        <w:spacing w:after="0" w:line="276" w:lineRule="auto"/>
        <w:ind w:firstLine="562"/>
        <w:jc w:val="both"/>
        <w:rPr>
          <w:rFonts w:asciiTheme="majorHAnsi" w:eastAsia="Times New Roman" w:hAnsiTheme="majorHAnsi" w:cstheme="majorHAnsi"/>
          <w:sz w:val="24"/>
          <w:szCs w:val="24"/>
          <w:lang w:val="ro-MD"/>
        </w:rPr>
      </w:pPr>
      <w:r w:rsidRPr="00565EEE">
        <w:rPr>
          <w:rFonts w:asciiTheme="majorHAnsi" w:hAnsiTheme="majorHAnsi" w:cstheme="majorHAnsi"/>
          <w:b/>
          <w:sz w:val="24"/>
          <w:szCs w:val="24"/>
          <w:lang w:val="ro-MD"/>
        </w:rPr>
        <w:t>2.1.</w:t>
      </w:r>
      <w:r w:rsidRPr="00565EEE">
        <w:rPr>
          <w:rFonts w:asciiTheme="majorHAnsi" w:hAnsiTheme="majorHAnsi" w:cstheme="majorHAnsi"/>
          <w:sz w:val="24"/>
          <w:szCs w:val="24"/>
          <w:lang w:val="ro-MD"/>
        </w:rPr>
        <w:t xml:space="preserve"> </w:t>
      </w:r>
      <w:r w:rsidR="00BE2B5A" w:rsidRPr="00565EEE">
        <w:rPr>
          <w:rFonts w:asciiTheme="majorHAnsi" w:hAnsiTheme="majorHAnsi" w:cstheme="majorHAnsi"/>
          <w:b/>
          <w:bCs/>
          <w:sz w:val="24"/>
          <w:szCs w:val="24"/>
          <w:lang w:val="ro-MD"/>
        </w:rPr>
        <w:t>Parlamentului Republicii Moldova,</w:t>
      </w:r>
      <w:r w:rsidR="00BE2B5A" w:rsidRPr="00565EEE">
        <w:rPr>
          <w:rFonts w:asciiTheme="majorHAnsi" w:hAnsiTheme="majorHAnsi" w:cstheme="majorHAnsi"/>
          <w:sz w:val="24"/>
          <w:szCs w:val="24"/>
          <w:lang w:val="ro-MD"/>
        </w:rPr>
        <w:t xml:space="preserve"> pentru informare și examinare, după caz, în cadrul Comisiei parlamentare de control al finanțelor publice;</w:t>
      </w:r>
    </w:p>
    <w:p w:rsidR="00CD5C7E" w:rsidRPr="00565EEE" w:rsidRDefault="00CD5C7E" w:rsidP="00CD5C7E">
      <w:pPr>
        <w:spacing w:after="0" w:line="276" w:lineRule="auto"/>
        <w:ind w:firstLine="562"/>
        <w:jc w:val="both"/>
        <w:rPr>
          <w:rFonts w:asciiTheme="majorHAnsi" w:eastAsia="Times New Roman" w:hAnsiTheme="majorHAnsi" w:cstheme="majorHAnsi"/>
          <w:sz w:val="24"/>
          <w:szCs w:val="24"/>
          <w:lang w:val="ro-MD"/>
        </w:rPr>
      </w:pPr>
      <w:r w:rsidRPr="00565EEE">
        <w:rPr>
          <w:rFonts w:asciiTheme="majorHAnsi" w:eastAsia="Times New Roman" w:hAnsiTheme="majorHAnsi" w:cstheme="majorHAnsi"/>
          <w:b/>
          <w:bCs/>
          <w:sz w:val="24"/>
          <w:szCs w:val="24"/>
          <w:lang w:val="ro-MD"/>
        </w:rPr>
        <w:t>2.2. Președintelui Republicii Moldova,</w:t>
      </w:r>
      <w:r w:rsidRPr="00565EEE">
        <w:rPr>
          <w:rFonts w:asciiTheme="majorHAnsi" w:eastAsia="Times New Roman" w:hAnsiTheme="majorHAnsi" w:cstheme="majorHAnsi"/>
          <w:sz w:val="24"/>
          <w:szCs w:val="24"/>
          <w:lang w:val="ro-MD"/>
        </w:rPr>
        <w:t xml:space="preserve"> pentru informare</w:t>
      </w:r>
      <w:r w:rsidR="00E81173" w:rsidRPr="00565EEE">
        <w:rPr>
          <w:rFonts w:asciiTheme="majorHAnsi" w:eastAsia="Times New Roman" w:hAnsiTheme="majorHAnsi" w:cstheme="majorHAnsi"/>
          <w:sz w:val="24"/>
          <w:szCs w:val="24"/>
          <w:lang w:val="ro-MD"/>
        </w:rPr>
        <w:t>;</w:t>
      </w:r>
    </w:p>
    <w:p w:rsidR="00CD5C7E" w:rsidRPr="00565EEE" w:rsidRDefault="00CD5C7E" w:rsidP="00CD6E52">
      <w:pPr>
        <w:pStyle w:val="a5"/>
        <w:spacing w:line="276" w:lineRule="auto"/>
        <w:rPr>
          <w:rFonts w:asciiTheme="majorHAnsi" w:hAnsiTheme="majorHAnsi" w:cstheme="majorHAnsi"/>
          <w:lang w:val="ro-MD"/>
        </w:rPr>
      </w:pPr>
      <w:r w:rsidRPr="00565EEE">
        <w:rPr>
          <w:rFonts w:asciiTheme="majorHAnsi" w:hAnsiTheme="majorHAnsi" w:cstheme="majorHAnsi"/>
          <w:b/>
          <w:bCs/>
          <w:lang w:val="ro-MD"/>
        </w:rPr>
        <w:t>2.3.</w:t>
      </w:r>
      <w:r w:rsidR="00EB6F90" w:rsidRPr="00565EEE">
        <w:rPr>
          <w:rFonts w:asciiTheme="majorHAnsi" w:hAnsiTheme="majorHAnsi" w:cstheme="majorHAnsi"/>
          <w:b/>
          <w:bCs/>
          <w:lang w:val="ro-MD"/>
        </w:rPr>
        <w:t xml:space="preserve"> </w:t>
      </w:r>
      <w:r w:rsidR="00BE2B5A" w:rsidRPr="00565EEE">
        <w:rPr>
          <w:rFonts w:asciiTheme="majorHAnsi" w:hAnsiTheme="majorHAnsi" w:cstheme="majorHAnsi"/>
          <w:b/>
          <w:bCs/>
          <w:lang w:val="ro-MD"/>
        </w:rPr>
        <w:t>Guvernului Republicii Moldova,</w:t>
      </w:r>
      <w:r w:rsidR="00BE2B5A" w:rsidRPr="00565EEE">
        <w:rPr>
          <w:rFonts w:asciiTheme="majorHAnsi" w:hAnsiTheme="majorHAnsi" w:cstheme="majorHAnsi"/>
          <w:lang w:val="ro-MD"/>
        </w:rPr>
        <w:t xml:space="preserve"> </w:t>
      </w:r>
      <w:r w:rsidR="00BE2B5A" w:rsidRPr="00565EEE">
        <w:rPr>
          <w:rFonts w:asciiTheme="majorHAnsi" w:hAnsiTheme="majorHAnsi" w:cstheme="majorHAnsi"/>
          <w:bCs/>
          <w:lang w:val="ro-MD"/>
        </w:rPr>
        <w:t>pentru informare</w:t>
      </w:r>
      <w:r w:rsidR="00CD6E52" w:rsidRPr="00565EEE">
        <w:rPr>
          <w:rFonts w:asciiTheme="majorHAnsi" w:hAnsiTheme="majorHAnsi" w:cstheme="majorHAnsi"/>
          <w:bCs/>
          <w:lang w:val="ro-MD"/>
        </w:rPr>
        <w:t xml:space="preserve"> și</w:t>
      </w:r>
      <w:r w:rsidR="00BE2B5A" w:rsidRPr="00565EEE">
        <w:rPr>
          <w:rFonts w:asciiTheme="majorHAnsi" w:hAnsiTheme="majorHAnsi" w:cstheme="majorHAnsi"/>
          <w:bCs/>
          <w:lang w:val="ro-MD"/>
        </w:rPr>
        <w:t xml:space="preserve"> </w:t>
      </w:r>
      <w:r w:rsidR="00BE2B5A" w:rsidRPr="00565EEE">
        <w:rPr>
          <w:rFonts w:asciiTheme="majorHAnsi" w:hAnsiTheme="majorHAnsi" w:cstheme="majorHAnsi"/>
          <w:lang w:val="ro-MD"/>
        </w:rPr>
        <w:t>luare de atitudine</w:t>
      </w:r>
      <w:r w:rsidR="00BE2B5A" w:rsidRPr="00565EEE">
        <w:rPr>
          <w:rFonts w:asciiTheme="majorHAnsi" w:hAnsiTheme="majorHAnsi" w:cstheme="majorHAnsi"/>
          <w:bCs/>
          <w:lang w:val="ro-MD"/>
        </w:rPr>
        <w:t xml:space="preserve"> în vederea monitorizării asigurării implem</w:t>
      </w:r>
      <w:r w:rsidR="0027021A" w:rsidRPr="00565EEE">
        <w:rPr>
          <w:rFonts w:asciiTheme="majorHAnsi" w:hAnsiTheme="majorHAnsi" w:cstheme="majorHAnsi"/>
          <w:bCs/>
          <w:lang w:val="ro-MD"/>
        </w:rPr>
        <w:t>entării recomandărilor de audit</w:t>
      </w:r>
      <w:r w:rsidR="00BE2B5A" w:rsidRPr="00565EEE">
        <w:rPr>
          <w:rFonts w:asciiTheme="majorHAnsi" w:hAnsiTheme="majorHAnsi" w:cstheme="majorHAnsi"/>
          <w:bCs/>
          <w:lang w:val="ro-MD"/>
        </w:rPr>
        <w:t>;</w:t>
      </w:r>
    </w:p>
    <w:p w:rsidR="007048A1" w:rsidRPr="00565EEE" w:rsidRDefault="007048A1" w:rsidP="007048A1">
      <w:pPr>
        <w:pStyle w:val="a5"/>
        <w:spacing w:line="276" w:lineRule="auto"/>
        <w:rPr>
          <w:rFonts w:asciiTheme="majorHAnsi" w:hAnsiTheme="majorHAnsi" w:cstheme="majorHAnsi"/>
          <w:bCs/>
          <w:iCs/>
          <w:lang w:val="ro-MD"/>
        </w:rPr>
      </w:pPr>
      <w:r w:rsidRPr="00565EEE">
        <w:rPr>
          <w:rFonts w:asciiTheme="majorHAnsi" w:hAnsiTheme="majorHAnsi" w:cstheme="majorHAnsi"/>
          <w:b/>
          <w:bCs/>
          <w:lang w:val="ro-MD"/>
        </w:rPr>
        <w:t xml:space="preserve">2.4. </w:t>
      </w:r>
      <w:r w:rsidRPr="00565EEE">
        <w:rPr>
          <w:rFonts w:asciiTheme="majorHAnsi" w:hAnsiTheme="majorHAnsi" w:cstheme="majorHAnsi"/>
          <w:b/>
          <w:bCs/>
          <w:iCs/>
          <w:lang w:val="ro-MD"/>
        </w:rPr>
        <w:t xml:space="preserve">Oficiului teritorial Chișinău al Cancelariei de Stat, </w:t>
      </w:r>
      <w:r w:rsidRPr="00565EEE">
        <w:rPr>
          <w:rFonts w:asciiTheme="majorHAnsi" w:hAnsiTheme="majorHAnsi" w:cstheme="majorHAnsi"/>
          <w:bCs/>
          <w:iCs/>
          <w:lang w:val="ro-MD"/>
        </w:rPr>
        <w:t>pentru informare;</w:t>
      </w:r>
    </w:p>
    <w:p w:rsidR="007400C4" w:rsidRPr="00565EEE" w:rsidRDefault="007400C4" w:rsidP="00CD6E52">
      <w:pPr>
        <w:pStyle w:val="a5"/>
        <w:spacing w:line="276" w:lineRule="auto"/>
        <w:rPr>
          <w:rFonts w:asciiTheme="majorHAnsi" w:hAnsiTheme="majorHAnsi" w:cstheme="majorHAnsi"/>
          <w:iCs/>
          <w:lang w:val="ro-MD"/>
        </w:rPr>
      </w:pPr>
      <w:r w:rsidRPr="00565EEE">
        <w:rPr>
          <w:rFonts w:asciiTheme="majorHAnsi" w:hAnsiTheme="majorHAnsi" w:cstheme="majorHAnsi"/>
          <w:b/>
          <w:bCs/>
          <w:iCs/>
          <w:lang w:val="ro-MD"/>
        </w:rPr>
        <w:t>2.</w:t>
      </w:r>
      <w:r w:rsidR="007048A1" w:rsidRPr="00565EEE">
        <w:rPr>
          <w:rFonts w:asciiTheme="majorHAnsi" w:hAnsiTheme="majorHAnsi" w:cstheme="majorHAnsi"/>
          <w:b/>
          <w:bCs/>
          <w:iCs/>
          <w:lang w:val="ro-MD"/>
        </w:rPr>
        <w:t>5</w:t>
      </w:r>
      <w:r w:rsidRPr="00565EEE">
        <w:rPr>
          <w:rFonts w:asciiTheme="majorHAnsi" w:hAnsiTheme="majorHAnsi" w:cstheme="majorHAnsi"/>
          <w:b/>
          <w:bCs/>
          <w:iCs/>
          <w:lang w:val="ro-MD"/>
        </w:rPr>
        <w:t>.</w:t>
      </w:r>
      <w:r w:rsidR="005F15D6" w:rsidRPr="00565EEE">
        <w:rPr>
          <w:rFonts w:asciiTheme="majorHAnsi" w:hAnsiTheme="majorHAnsi" w:cstheme="majorHAnsi"/>
          <w:b/>
          <w:bCs/>
          <w:iCs/>
          <w:lang w:val="ro-MD"/>
        </w:rPr>
        <w:t xml:space="preserve"> </w:t>
      </w:r>
      <w:r w:rsidRPr="00565EEE">
        <w:rPr>
          <w:rFonts w:asciiTheme="majorHAnsi" w:hAnsiTheme="majorHAnsi" w:cstheme="majorHAnsi"/>
          <w:b/>
          <w:iCs/>
          <w:lang w:val="ro-MD"/>
        </w:rPr>
        <w:t>Ministerului Finanțelor</w:t>
      </w:r>
      <w:r w:rsidRPr="00565EEE">
        <w:rPr>
          <w:rFonts w:asciiTheme="majorHAnsi" w:hAnsiTheme="majorHAnsi" w:cstheme="majorHAnsi"/>
          <w:iCs/>
          <w:lang w:val="ro-MD"/>
        </w:rPr>
        <w:t>,</w:t>
      </w:r>
      <w:r w:rsidRPr="00565EEE">
        <w:rPr>
          <w:rFonts w:asciiTheme="majorHAnsi" w:hAnsiTheme="majorHAnsi" w:cstheme="majorHAnsi"/>
          <w:b/>
          <w:iCs/>
          <w:lang w:val="ro-MD"/>
        </w:rPr>
        <w:t xml:space="preserve"> </w:t>
      </w:r>
      <w:r w:rsidRPr="00565EEE">
        <w:rPr>
          <w:rFonts w:asciiTheme="majorHAnsi" w:hAnsiTheme="majorHAnsi" w:cstheme="majorHAnsi"/>
          <w:bCs/>
          <w:iCs/>
          <w:lang w:val="ro-MD"/>
        </w:rPr>
        <w:t>pentru informare</w:t>
      </w:r>
      <w:r w:rsidR="00CE6FC7" w:rsidRPr="00565EEE">
        <w:rPr>
          <w:rFonts w:asciiTheme="majorHAnsi" w:hAnsiTheme="majorHAnsi" w:cstheme="majorHAnsi"/>
          <w:bCs/>
          <w:iCs/>
          <w:lang w:val="ro-MD"/>
        </w:rPr>
        <w:t>,</w:t>
      </w:r>
      <w:r w:rsidRPr="00565EEE">
        <w:rPr>
          <w:rFonts w:asciiTheme="majorHAnsi" w:hAnsiTheme="majorHAnsi" w:cstheme="majorHAnsi"/>
          <w:bCs/>
          <w:iCs/>
          <w:lang w:val="ro-MD"/>
        </w:rPr>
        <w:t xml:space="preserve"> </w:t>
      </w:r>
      <w:r w:rsidRPr="00565EEE">
        <w:rPr>
          <w:rFonts w:asciiTheme="majorHAnsi" w:hAnsiTheme="majorHAnsi" w:cstheme="majorHAnsi"/>
          <w:iCs/>
          <w:lang w:val="ro-MD"/>
        </w:rPr>
        <w:t>revizuir</w:t>
      </w:r>
      <w:r w:rsidR="00CE6FC7" w:rsidRPr="00565EEE">
        <w:rPr>
          <w:rFonts w:asciiTheme="majorHAnsi" w:hAnsiTheme="majorHAnsi" w:cstheme="majorHAnsi"/>
          <w:iCs/>
          <w:lang w:val="ro-MD"/>
        </w:rPr>
        <w:t>e</w:t>
      </w:r>
      <w:r w:rsidRPr="00565EEE">
        <w:rPr>
          <w:rFonts w:asciiTheme="majorHAnsi" w:hAnsiTheme="majorHAnsi" w:cstheme="majorHAnsi"/>
          <w:iCs/>
          <w:lang w:val="ro-MD"/>
        </w:rPr>
        <w:t xml:space="preserve"> și complet</w:t>
      </w:r>
      <w:r w:rsidR="00CE6FC7" w:rsidRPr="00565EEE">
        <w:rPr>
          <w:rFonts w:asciiTheme="majorHAnsi" w:hAnsiTheme="majorHAnsi" w:cstheme="majorHAnsi"/>
          <w:iCs/>
          <w:lang w:val="ro-MD"/>
        </w:rPr>
        <w:t>are</w:t>
      </w:r>
      <w:r w:rsidR="00EB6F90" w:rsidRPr="00565EEE">
        <w:rPr>
          <w:rFonts w:asciiTheme="majorHAnsi" w:hAnsiTheme="majorHAnsi" w:cstheme="majorHAnsi"/>
          <w:iCs/>
          <w:lang w:val="ro-MD"/>
        </w:rPr>
        <w:t>,</w:t>
      </w:r>
      <w:r w:rsidRPr="00565EEE">
        <w:rPr>
          <w:rFonts w:asciiTheme="majorHAnsi" w:hAnsiTheme="majorHAnsi" w:cstheme="majorHAnsi"/>
          <w:iCs/>
          <w:lang w:val="ro-MD"/>
        </w:rPr>
        <w:t xml:space="preserve"> prin prisma contabilității de angajamente</w:t>
      </w:r>
      <w:r w:rsidR="00EB6F90" w:rsidRPr="00565EEE">
        <w:rPr>
          <w:rFonts w:asciiTheme="majorHAnsi" w:hAnsiTheme="majorHAnsi" w:cstheme="majorHAnsi"/>
          <w:iCs/>
          <w:lang w:val="ro-MD"/>
        </w:rPr>
        <w:t>,</w:t>
      </w:r>
      <w:r w:rsidRPr="00565EEE">
        <w:rPr>
          <w:rFonts w:asciiTheme="majorHAnsi" w:hAnsiTheme="majorHAnsi" w:cstheme="majorHAnsi"/>
          <w:iCs/>
          <w:lang w:val="ro-MD"/>
        </w:rPr>
        <w:t xml:space="preserve"> a Normelor metodologice, aprobate prin Ordinul ministrului finanțelor nr.216 din 28.12.2015, </w:t>
      </w:r>
      <w:r w:rsidR="00CD6E52" w:rsidRPr="00565EEE">
        <w:rPr>
          <w:rFonts w:asciiTheme="majorHAnsi" w:hAnsiTheme="majorHAnsi" w:cstheme="majorHAnsi"/>
          <w:iCs/>
          <w:lang w:val="ro-MD"/>
        </w:rPr>
        <w:t xml:space="preserve">în ce </w:t>
      </w:r>
      <w:r w:rsidRPr="00565EEE">
        <w:rPr>
          <w:rFonts w:asciiTheme="majorHAnsi" w:hAnsiTheme="majorHAnsi" w:cstheme="majorHAnsi"/>
          <w:iCs/>
          <w:lang w:val="ro-MD"/>
        </w:rPr>
        <w:t>priv</w:t>
      </w:r>
      <w:r w:rsidR="00CD6E52" w:rsidRPr="00565EEE">
        <w:rPr>
          <w:rFonts w:asciiTheme="majorHAnsi" w:hAnsiTheme="majorHAnsi" w:cstheme="majorHAnsi"/>
          <w:iCs/>
          <w:lang w:val="ro-MD"/>
        </w:rPr>
        <w:t>ește</w:t>
      </w:r>
      <w:r w:rsidRPr="00565EEE">
        <w:rPr>
          <w:rFonts w:asciiTheme="majorHAnsi" w:hAnsiTheme="majorHAnsi" w:cstheme="majorHAnsi"/>
          <w:iCs/>
          <w:lang w:val="ro-MD"/>
        </w:rPr>
        <w:t xml:space="preserve"> evidența și raportarea </w:t>
      </w:r>
      <w:r w:rsidR="00CE6FC7" w:rsidRPr="00565EEE">
        <w:rPr>
          <w:rFonts w:asciiTheme="majorHAnsi" w:hAnsiTheme="majorHAnsi" w:cstheme="majorHAnsi"/>
          <w:iCs/>
          <w:lang w:val="ro-MD"/>
        </w:rPr>
        <w:t xml:space="preserve">în bilanțul contabil </w:t>
      </w:r>
      <w:r w:rsidRPr="00565EEE">
        <w:rPr>
          <w:rFonts w:asciiTheme="majorHAnsi" w:hAnsiTheme="majorHAnsi" w:cstheme="majorHAnsi"/>
          <w:iCs/>
          <w:lang w:val="ro-MD"/>
        </w:rPr>
        <w:t xml:space="preserve">de către </w:t>
      </w:r>
      <w:r w:rsidR="00CD6E52" w:rsidRPr="00565EEE">
        <w:rPr>
          <w:rFonts w:asciiTheme="majorHAnsi" w:hAnsiTheme="majorHAnsi" w:cstheme="majorHAnsi"/>
          <w:iCs/>
          <w:lang w:val="ro-MD"/>
        </w:rPr>
        <w:t>autorit</w:t>
      </w:r>
      <w:r w:rsidR="0078492F" w:rsidRPr="00565EEE">
        <w:rPr>
          <w:rFonts w:asciiTheme="majorHAnsi" w:hAnsiTheme="majorHAnsi" w:cstheme="majorHAnsi"/>
          <w:iCs/>
          <w:lang w:val="ro-MD"/>
        </w:rPr>
        <w:t>ățile administrației publice locale</w:t>
      </w:r>
      <w:r w:rsidR="00CD6E52" w:rsidRPr="00565EEE">
        <w:rPr>
          <w:rFonts w:asciiTheme="majorHAnsi" w:hAnsiTheme="majorHAnsi" w:cstheme="majorHAnsi"/>
          <w:iCs/>
          <w:lang w:val="ro-MD"/>
        </w:rPr>
        <w:t xml:space="preserve"> </w:t>
      </w:r>
      <w:r w:rsidRPr="00565EEE">
        <w:rPr>
          <w:rFonts w:asciiTheme="majorHAnsi" w:hAnsiTheme="majorHAnsi" w:cstheme="majorHAnsi"/>
          <w:iCs/>
          <w:lang w:val="ro-MD"/>
        </w:rPr>
        <w:t>a calculelor, creanțelor și datoriilor aferente împrumuturilor contractate</w:t>
      </w:r>
      <w:r w:rsidR="0078492F" w:rsidRPr="00565EEE">
        <w:rPr>
          <w:rFonts w:asciiTheme="majorHAnsi" w:hAnsiTheme="majorHAnsi" w:cstheme="majorHAnsi"/>
          <w:iCs/>
          <w:lang w:val="ro-MD"/>
        </w:rPr>
        <w:t>, precum</w:t>
      </w:r>
      <w:r w:rsidRPr="00565EEE">
        <w:rPr>
          <w:rFonts w:asciiTheme="majorHAnsi" w:hAnsiTheme="majorHAnsi" w:cstheme="majorHAnsi"/>
          <w:iCs/>
          <w:lang w:val="ro-MD"/>
        </w:rPr>
        <w:t xml:space="preserve"> și aferente impozitelor, taxelor și altor plăți încasate în bugetele UAT administrate de Serviciul Fiscal de Stat și Serviciul de colectare a impozitelor și taxelor locale;</w:t>
      </w:r>
    </w:p>
    <w:p w:rsidR="007400C4" w:rsidRPr="00565EEE" w:rsidRDefault="007400C4" w:rsidP="00CD6E52">
      <w:pPr>
        <w:pStyle w:val="a5"/>
        <w:spacing w:line="276" w:lineRule="auto"/>
        <w:rPr>
          <w:rFonts w:asciiTheme="majorHAnsi" w:hAnsiTheme="majorHAnsi" w:cstheme="majorHAnsi"/>
          <w:iCs/>
          <w:lang w:val="ro-MD"/>
        </w:rPr>
      </w:pPr>
      <w:r w:rsidRPr="00565EEE">
        <w:rPr>
          <w:rFonts w:asciiTheme="majorHAnsi" w:hAnsiTheme="majorHAnsi" w:cstheme="majorHAnsi"/>
          <w:b/>
          <w:lang w:val="ro-MD"/>
        </w:rPr>
        <w:t>2.</w:t>
      </w:r>
      <w:r w:rsidR="007048A1" w:rsidRPr="00565EEE">
        <w:rPr>
          <w:rFonts w:asciiTheme="majorHAnsi" w:hAnsiTheme="majorHAnsi" w:cstheme="majorHAnsi"/>
          <w:b/>
          <w:lang w:val="ro-MD"/>
        </w:rPr>
        <w:t>6</w:t>
      </w:r>
      <w:r w:rsidRPr="00565EEE">
        <w:rPr>
          <w:rFonts w:asciiTheme="majorHAnsi" w:hAnsiTheme="majorHAnsi" w:cstheme="majorHAnsi"/>
          <w:b/>
          <w:lang w:val="ro-MD"/>
        </w:rPr>
        <w:t xml:space="preserve">. </w:t>
      </w:r>
      <w:r w:rsidRPr="00565EEE">
        <w:rPr>
          <w:rFonts w:asciiTheme="majorHAnsi" w:hAnsiTheme="majorHAnsi" w:cstheme="majorHAnsi"/>
          <w:b/>
          <w:bCs/>
          <w:iCs/>
          <w:lang w:val="ro-MD"/>
        </w:rPr>
        <w:t xml:space="preserve">Ministerului Culturii, </w:t>
      </w:r>
      <w:r w:rsidRPr="00565EEE">
        <w:rPr>
          <w:rFonts w:asciiTheme="majorHAnsi" w:hAnsiTheme="majorHAnsi" w:cstheme="majorHAnsi"/>
          <w:iCs/>
          <w:lang w:val="ro-MD"/>
        </w:rPr>
        <w:t>pentru informare</w:t>
      </w:r>
      <w:r w:rsidR="00EB6F90" w:rsidRPr="00565EEE">
        <w:rPr>
          <w:rFonts w:asciiTheme="majorHAnsi" w:hAnsiTheme="majorHAnsi" w:cstheme="majorHAnsi"/>
          <w:iCs/>
          <w:lang w:val="ro-MD"/>
        </w:rPr>
        <w:t>,</w:t>
      </w:r>
      <w:r w:rsidRPr="00565EEE">
        <w:rPr>
          <w:rFonts w:asciiTheme="majorHAnsi" w:hAnsiTheme="majorHAnsi" w:cstheme="majorHAnsi"/>
          <w:iCs/>
          <w:lang w:val="ro-MD"/>
        </w:rPr>
        <w:t xml:space="preserve"> și se reiterează  recomandarea 2.4.7</w:t>
      </w:r>
      <w:r w:rsidR="0078492F" w:rsidRPr="00565EEE">
        <w:rPr>
          <w:rFonts w:asciiTheme="majorHAnsi" w:hAnsiTheme="majorHAnsi" w:cstheme="majorHAnsi"/>
          <w:iCs/>
          <w:lang w:val="ro-MD"/>
        </w:rPr>
        <w:t>.,</w:t>
      </w:r>
      <w:r w:rsidRPr="00565EEE">
        <w:rPr>
          <w:rFonts w:asciiTheme="majorHAnsi" w:hAnsiTheme="majorHAnsi" w:cstheme="majorHAnsi"/>
          <w:iCs/>
          <w:lang w:val="ro-MD"/>
        </w:rPr>
        <w:t xml:space="preserve"> </w:t>
      </w:r>
      <w:r w:rsidRPr="00565EEE">
        <w:rPr>
          <w:rFonts w:asciiTheme="majorHAnsi" w:hAnsiTheme="majorHAnsi" w:cstheme="majorHAnsi"/>
          <w:iCs/>
          <w:lang w:val="ro-MD" w:eastAsia="ru-RU"/>
        </w:rPr>
        <w:t>înaintată prin Hotărârea Curții de Conturi nr.42 din 29.07.2022</w:t>
      </w:r>
      <w:r w:rsidR="00FE7853" w:rsidRPr="00565EEE">
        <w:rPr>
          <w:rFonts w:asciiTheme="majorHAnsi" w:hAnsiTheme="majorHAnsi" w:cstheme="majorHAnsi"/>
          <w:iCs/>
          <w:lang w:val="ro-MD" w:eastAsia="ru-RU"/>
        </w:rPr>
        <w:t>,</w:t>
      </w:r>
      <w:r w:rsidRPr="00565EEE">
        <w:rPr>
          <w:rFonts w:asciiTheme="majorHAnsi" w:hAnsiTheme="majorHAnsi" w:cstheme="majorHAnsi"/>
          <w:iCs/>
          <w:lang w:val="ro-MD"/>
        </w:rPr>
        <w:t xml:space="preserve"> privind necesitatea revizuir</w:t>
      </w:r>
      <w:r w:rsidR="00691577" w:rsidRPr="00565EEE">
        <w:rPr>
          <w:rFonts w:asciiTheme="majorHAnsi" w:hAnsiTheme="majorHAnsi" w:cstheme="majorHAnsi"/>
          <w:iCs/>
          <w:lang w:val="ro-MD"/>
        </w:rPr>
        <w:t>ii</w:t>
      </w:r>
      <w:r w:rsidRPr="00565EEE">
        <w:rPr>
          <w:rFonts w:asciiTheme="majorHAnsi" w:hAnsiTheme="majorHAnsi" w:cstheme="majorHAnsi"/>
          <w:iCs/>
          <w:lang w:val="ro-MD"/>
        </w:rPr>
        <w:t xml:space="preserve"> listei monumentelor</w:t>
      </w:r>
      <w:r w:rsidR="00FE7853" w:rsidRPr="00565EEE">
        <w:rPr>
          <w:rFonts w:asciiTheme="majorHAnsi" w:hAnsiTheme="majorHAnsi" w:cstheme="majorHAnsi"/>
          <w:iCs/>
          <w:lang w:val="ro-MD"/>
        </w:rPr>
        <w:t>,</w:t>
      </w:r>
      <w:r w:rsidRPr="00565EEE">
        <w:rPr>
          <w:rFonts w:asciiTheme="majorHAnsi" w:hAnsiTheme="majorHAnsi" w:cstheme="majorHAnsi"/>
          <w:iCs/>
          <w:lang w:val="ro-MD"/>
        </w:rPr>
        <w:t xml:space="preserve"> aprobat</w:t>
      </w:r>
      <w:r w:rsidR="00CD6E52" w:rsidRPr="00565EEE">
        <w:rPr>
          <w:rFonts w:asciiTheme="majorHAnsi" w:hAnsiTheme="majorHAnsi" w:cstheme="majorHAnsi"/>
          <w:iCs/>
          <w:lang w:val="ro-MD"/>
        </w:rPr>
        <w:t>ă</w:t>
      </w:r>
      <w:r w:rsidRPr="00565EEE">
        <w:rPr>
          <w:rFonts w:asciiTheme="majorHAnsi" w:hAnsiTheme="majorHAnsi" w:cstheme="majorHAnsi"/>
          <w:iCs/>
          <w:lang w:val="ro-MD"/>
        </w:rPr>
        <w:t xml:space="preserve"> prin Hotărârea Parlamentului nr. 1531 din 22.06.1993, ținându-se cont de starea lor actuală, precum și completarea acesteia cu informații ce țin de amplasare, zona de protecție (codul cadastral al terenurilor și bunurilor imobile) și tipul de proprietate (publică de stat, publică locală, privată);</w:t>
      </w:r>
    </w:p>
    <w:p w:rsidR="00316D65" w:rsidRPr="00565EEE" w:rsidRDefault="00DB74F1" w:rsidP="00316D65">
      <w:pPr>
        <w:pStyle w:val="a5"/>
        <w:spacing w:line="276" w:lineRule="auto"/>
        <w:rPr>
          <w:rFonts w:asciiTheme="majorHAnsi" w:hAnsiTheme="majorHAnsi" w:cstheme="majorHAnsi"/>
          <w:lang w:val="ro-MD"/>
        </w:rPr>
      </w:pPr>
      <w:r w:rsidRPr="00565EEE">
        <w:rPr>
          <w:rFonts w:asciiTheme="majorHAnsi" w:hAnsiTheme="majorHAnsi" w:cstheme="majorHAnsi"/>
          <w:b/>
          <w:bCs/>
          <w:lang w:val="ro-MD"/>
        </w:rPr>
        <w:t>2.</w:t>
      </w:r>
      <w:r w:rsidR="007400C4" w:rsidRPr="00565EEE">
        <w:rPr>
          <w:rFonts w:asciiTheme="majorHAnsi" w:hAnsiTheme="majorHAnsi" w:cstheme="majorHAnsi"/>
          <w:b/>
          <w:bCs/>
          <w:lang w:val="ro-MD"/>
        </w:rPr>
        <w:t>7</w:t>
      </w:r>
      <w:r w:rsidRPr="00565EEE">
        <w:rPr>
          <w:rFonts w:asciiTheme="majorHAnsi" w:hAnsiTheme="majorHAnsi" w:cstheme="majorHAnsi"/>
          <w:b/>
          <w:bCs/>
          <w:lang w:val="ro-MD"/>
        </w:rPr>
        <w:t xml:space="preserve">. </w:t>
      </w:r>
      <w:r w:rsidR="00316D65" w:rsidRPr="00565EEE">
        <w:rPr>
          <w:rFonts w:asciiTheme="majorHAnsi" w:hAnsiTheme="majorHAnsi" w:cstheme="majorHAnsi"/>
          <w:b/>
          <w:lang w:val="ro-MD"/>
        </w:rPr>
        <w:t xml:space="preserve">Primarului general </w:t>
      </w:r>
      <w:r w:rsidR="007400C4" w:rsidRPr="00565EEE">
        <w:rPr>
          <w:rFonts w:asciiTheme="majorHAnsi" w:hAnsiTheme="majorHAnsi" w:cstheme="majorHAnsi"/>
          <w:b/>
          <w:lang w:val="ro-MD"/>
        </w:rPr>
        <w:t xml:space="preserve">al mun. Chișinău </w:t>
      </w:r>
      <w:r w:rsidR="00316D65" w:rsidRPr="00565EEE">
        <w:rPr>
          <w:rFonts w:asciiTheme="majorHAnsi" w:hAnsiTheme="majorHAnsi" w:cstheme="majorHAnsi"/>
          <w:b/>
          <w:lang w:val="ro-MD"/>
        </w:rPr>
        <w:t>și Consiliului municipal Chișinău,</w:t>
      </w:r>
      <w:r w:rsidR="00316D65" w:rsidRPr="00565EEE">
        <w:rPr>
          <w:rFonts w:asciiTheme="majorHAnsi" w:hAnsiTheme="majorHAnsi" w:cstheme="majorHAnsi"/>
          <w:lang w:val="ro-MD"/>
        </w:rPr>
        <w:t xml:space="preserve"> pentru:</w:t>
      </w:r>
    </w:p>
    <w:p w:rsidR="00316D65" w:rsidRPr="00565EEE" w:rsidRDefault="00316D65" w:rsidP="0078492F">
      <w:pPr>
        <w:pStyle w:val="Style21"/>
        <w:widowControl/>
        <w:spacing w:line="276" w:lineRule="auto"/>
        <w:ind w:right="-4" w:firstLine="567"/>
        <w:rPr>
          <w:rFonts w:asciiTheme="majorHAnsi" w:hAnsiTheme="majorHAnsi" w:cstheme="majorHAnsi"/>
          <w:lang w:val="ro-MD"/>
        </w:rPr>
      </w:pPr>
      <w:r w:rsidRPr="00565EEE">
        <w:rPr>
          <w:rFonts w:asciiTheme="majorHAnsi" w:hAnsiTheme="majorHAnsi" w:cstheme="majorHAnsi"/>
          <w:lang w:val="ro-MD"/>
        </w:rPr>
        <w:t>2.</w:t>
      </w:r>
      <w:r w:rsidR="007400C4" w:rsidRPr="00565EEE">
        <w:rPr>
          <w:rFonts w:asciiTheme="majorHAnsi" w:hAnsiTheme="majorHAnsi" w:cstheme="majorHAnsi"/>
          <w:lang w:val="ro-MD"/>
        </w:rPr>
        <w:t>7</w:t>
      </w:r>
      <w:r w:rsidRPr="00565EEE">
        <w:rPr>
          <w:rFonts w:asciiTheme="majorHAnsi" w:hAnsiTheme="majorHAnsi" w:cstheme="majorHAnsi"/>
          <w:lang w:val="ro-MD"/>
        </w:rPr>
        <w:t xml:space="preserve">.1. </w:t>
      </w:r>
      <w:r w:rsidR="0078492F" w:rsidRPr="00565EEE">
        <w:rPr>
          <w:rFonts w:asciiTheme="majorHAnsi" w:hAnsiTheme="majorHAnsi" w:cstheme="majorHAnsi"/>
          <w:lang w:val="ro-MD"/>
        </w:rPr>
        <w:t xml:space="preserve">audierea </w:t>
      </w:r>
      <w:r w:rsidRPr="00565EEE">
        <w:rPr>
          <w:rFonts w:asciiTheme="majorHAnsi" w:hAnsiTheme="majorHAnsi" w:cstheme="majorHAnsi"/>
          <w:lang w:val="ro-MD"/>
        </w:rPr>
        <w:t xml:space="preserve">în </w:t>
      </w:r>
      <w:r w:rsidR="00B452E7" w:rsidRPr="00565EEE">
        <w:rPr>
          <w:rFonts w:asciiTheme="majorHAnsi" w:hAnsiTheme="majorHAnsi" w:cstheme="majorHAnsi"/>
          <w:lang w:val="ro-MD"/>
        </w:rPr>
        <w:t>ședința</w:t>
      </w:r>
      <w:r w:rsidRPr="00565EEE">
        <w:rPr>
          <w:rFonts w:asciiTheme="majorHAnsi" w:hAnsiTheme="majorHAnsi" w:cstheme="majorHAnsi"/>
          <w:lang w:val="ro-MD"/>
        </w:rPr>
        <w:t xml:space="preserve"> Consiliului municipal Chișinău a rezultatelor auditului</w:t>
      </w:r>
      <w:r w:rsidR="00FE7853" w:rsidRPr="00565EEE">
        <w:rPr>
          <w:rFonts w:asciiTheme="majorHAnsi" w:hAnsiTheme="majorHAnsi" w:cstheme="majorHAnsi"/>
          <w:lang w:val="ro-MD"/>
        </w:rPr>
        <w:t>,</w:t>
      </w:r>
      <w:r w:rsidR="00317ED6" w:rsidRPr="00565EEE">
        <w:rPr>
          <w:rFonts w:asciiTheme="majorHAnsi" w:hAnsiTheme="majorHAnsi" w:cstheme="majorHAnsi"/>
          <w:lang w:val="ro-MD"/>
        </w:rPr>
        <w:t xml:space="preserve"> potrivit prevederilor art. 14 alin.(2) lit.n</w:t>
      </w:r>
      <w:r w:rsidR="00317ED6" w:rsidRPr="00565EEE">
        <w:rPr>
          <w:rFonts w:asciiTheme="majorHAnsi" w:hAnsiTheme="majorHAnsi" w:cstheme="majorHAnsi"/>
          <w:vertAlign w:val="superscript"/>
          <w:lang w:val="ro-MD"/>
        </w:rPr>
        <w:t>4</w:t>
      </w:r>
      <w:r w:rsidR="00FE7853" w:rsidRPr="00565EEE">
        <w:rPr>
          <w:rFonts w:asciiTheme="majorHAnsi" w:hAnsiTheme="majorHAnsi" w:cstheme="majorHAnsi"/>
          <w:lang w:val="ro-MD"/>
        </w:rPr>
        <w:t xml:space="preserve">) </w:t>
      </w:r>
      <w:r w:rsidR="00691577" w:rsidRPr="00565EEE">
        <w:rPr>
          <w:rFonts w:asciiTheme="majorHAnsi" w:hAnsiTheme="majorHAnsi" w:cstheme="majorHAnsi"/>
          <w:lang w:val="ro-MD"/>
        </w:rPr>
        <w:t xml:space="preserve">și art.30 </w:t>
      </w:r>
      <w:r w:rsidR="00317ED6" w:rsidRPr="00565EEE">
        <w:rPr>
          <w:rFonts w:asciiTheme="majorHAnsi" w:hAnsiTheme="majorHAnsi" w:cstheme="majorHAnsi"/>
          <w:lang w:val="ro-MD"/>
        </w:rPr>
        <w:t>din Legea nr.436 din 28.12.2006</w:t>
      </w:r>
      <w:r w:rsidRPr="00565EEE">
        <w:rPr>
          <w:rFonts w:asciiTheme="majorHAnsi" w:hAnsiTheme="majorHAnsi" w:cstheme="majorHAnsi"/>
          <w:lang w:val="ro-MD"/>
        </w:rPr>
        <w:t>;</w:t>
      </w:r>
    </w:p>
    <w:p w:rsidR="00316D65" w:rsidRPr="00565EEE" w:rsidRDefault="00316D65">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sidRPr="00565EEE">
        <w:rPr>
          <w:rFonts w:asciiTheme="majorHAnsi" w:eastAsia="Times New Roman" w:hAnsiTheme="majorHAnsi" w:cstheme="majorHAnsi"/>
          <w:sz w:val="24"/>
          <w:szCs w:val="24"/>
          <w:lang w:val="ro-MD"/>
        </w:rPr>
        <w:t>2.</w:t>
      </w:r>
      <w:r w:rsidR="007048A1" w:rsidRPr="00565EEE">
        <w:rPr>
          <w:rFonts w:asciiTheme="majorHAnsi" w:eastAsia="Times New Roman" w:hAnsiTheme="majorHAnsi" w:cstheme="majorHAnsi"/>
          <w:sz w:val="24"/>
          <w:szCs w:val="24"/>
          <w:lang w:val="ro-MD"/>
        </w:rPr>
        <w:t>7</w:t>
      </w:r>
      <w:r w:rsidRPr="00565EEE">
        <w:rPr>
          <w:rFonts w:asciiTheme="majorHAnsi" w:eastAsia="Times New Roman" w:hAnsiTheme="majorHAnsi" w:cstheme="majorHAnsi"/>
          <w:sz w:val="24"/>
          <w:szCs w:val="24"/>
          <w:lang w:val="ro-MD"/>
        </w:rPr>
        <w:t>.</w:t>
      </w:r>
      <w:r w:rsidR="00317ED6" w:rsidRPr="00565EEE">
        <w:rPr>
          <w:rFonts w:asciiTheme="majorHAnsi" w:eastAsia="Times New Roman" w:hAnsiTheme="majorHAnsi" w:cstheme="majorHAnsi"/>
          <w:sz w:val="24"/>
          <w:szCs w:val="24"/>
          <w:lang w:val="ro-MD"/>
        </w:rPr>
        <w:t>2</w:t>
      </w:r>
      <w:r w:rsidRPr="00565EEE">
        <w:rPr>
          <w:rFonts w:asciiTheme="majorHAnsi" w:eastAsia="Times New Roman" w:hAnsiTheme="majorHAnsi" w:cstheme="majorHAnsi"/>
          <w:sz w:val="24"/>
          <w:szCs w:val="24"/>
          <w:lang w:val="ro-MD"/>
        </w:rPr>
        <w:t xml:space="preserve">. </w:t>
      </w:r>
      <w:r w:rsidR="007048A1" w:rsidRPr="00565EEE">
        <w:rPr>
          <w:rFonts w:asciiTheme="majorHAnsi" w:eastAsia="Times New Roman" w:hAnsiTheme="majorHAnsi" w:cstheme="majorHAnsi"/>
          <w:sz w:val="24"/>
          <w:szCs w:val="24"/>
          <w:lang w:val="ro-MD"/>
        </w:rPr>
        <w:t xml:space="preserve">completarea </w:t>
      </w:r>
      <w:r w:rsidRPr="00565EEE">
        <w:rPr>
          <w:rFonts w:asciiTheme="majorHAnsi" w:eastAsia="Times New Roman" w:hAnsiTheme="majorHAnsi" w:cstheme="majorHAnsi"/>
          <w:sz w:val="24"/>
          <w:szCs w:val="24"/>
          <w:lang w:val="ro-MD"/>
        </w:rPr>
        <w:t xml:space="preserve">Politicii de contabilitate unice </w:t>
      </w:r>
      <w:r w:rsidR="007048A1" w:rsidRPr="00565EEE">
        <w:rPr>
          <w:rFonts w:asciiTheme="majorHAnsi" w:eastAsia="Times New Roman" w:hAnsiTheme="majorHAnsi" w:cstheme="majorHAnsi"/>
          <w:sz w:val="24"/>
          <w:szCs w:val="24"/>
          <w:lang w:val="ro-MD"/>
        </w:rPr>
        <w:t xml:space="preserve">a mun. Chișinău </w:t>
      </w:r>
      <w:r w:rsidRPr="00565EEE">
        <w:rPr>
          <w:rFonts w:asciiTheme="majorHAnsi" w:eastAsia="Times New Roman" w:hAnsiTheme="majorHAnsi" w:cstheme="majorHAnsi"/>
          <w:sz w:val="24"/>
          <w:szCs w:val="24"/>
          <w:lang w:val="ro-MD"/>
        </w:rPr>
        <w:t xml:space="preserve">cu </w:t>
      </w:r>
      <w:r w:rsidR="007048A1" w:rsidRPr="00565EEE">
        <w:rPr>
          <w:rFonts w:asciiTheme="majorHAnsi" w:eastAsia="Times New Roman" w:hAnsiTheme="majorHAnsi" w:cstheme="majorHAnsi"/>
          <w:sz w:val="24"/>
          <w:szCs w:val="24"/>
          <w:lang w:val="ro-MD"/>
        </w:rPr>
        <w:t xml:space="preserve">prevederi </w:t>
      </w:r>
      <w:r w:rsidRPr="00565EEE">
        <w:rPr>
          <w:rFonts w:asciiTheme="majorHAnsi" w:eastAsia="Times New Roman" w:hAnsiTheme="majorHAnsi" w:cstheme="majorHAnsi"/>
          <w:sz w:val="24"/>
          <w:szCs w:val="24"/>
          <w:lang w:val="ro-MD"/>
        </w:rPr>
        <w:t>expres</w:t>
      </w:r>
      <w:r w:rsidR="007048A1" w:rsidRPr="00565EEE">
        <w:rPr>
          <w:rFonts w:asciiTheme="majorHAnsi" w:eastAsia="Times New Roman" w:hAnsiTheme="majorHAnsi" w:cstheme="majorHAnsi"/>
          <w:sz w:val="24"/>
          <w:szCs w:val="24"/>
          <w:lang w:val="ro-MD"/>
        </w:rPr>
        <w:t>e privind</w:t>
      </w:r>
      <w:r w:rsidRPr="00565EEE">
        <w:rPr>
          <w:rFonts w:asciiTheme="majorHAnsi" w:eastAsia="Times New Roman" w:hAnsiTheme="majorHAnsi" w:cstheme="majorHAnsi"/>
          <w:sz w:val="24"/>
          <w:szCs w:val="24"/>
          <w:lang w:val="ro-MD"/>
        </w:rPr>
        <w:t xml:space="preserve"> subdiviziunil</w:t>
      </w:r>
      <w:r w:rsidR="007048A1" w:rsidRPr="00565EEE">
        <w:rPr>
          <w:rFonts w:asciiTheme="majorHAnsi" w:eastAsia="Times New Roman" w:hAnsiTheme="majorHAnsi" w:cstheme="majorHAnsi"/>
          <w:sz w:val="24"/>
          <w:szCs w:val="24"/>
          <w:lang w:val="ro-MD"/>
        </w:rPr>
        <w:t>e</w:t>
      </w:r>
      <w:r w:rsidRPr="00565EEE">
        <w:rPr>
          <w:rFonts w:asciiTheme="majorHAnsi" w:eastAsia="Times New Roman" w:hAnsiTheme="majorHAnsi" w:cstheme="majorHAnsi"/>
          <w:sz w:val="24"/>
          <w:szCs w:val="24"/>
          <w:lang w:val="ro-MD"/>
        </w:rPr>
        <w:t xml:space="preserve"> responsabile de evidența </w:t>
      </w:r>
      <w:r w:rsidR="007048A1" w:rsidRPr="00565EEE">
        <w:rPr>
          <w:rFonts w:asciiTheme="majorHAnsi" w:eastAsia="Times New Roman" w:hAnsiTheme="majorHAnsi" w:cstheme="majorHAnsi"/>
          <w:sz w:val="24"/>
          <w:szCs w:val="24"/>
          <w:lang w:val="ro-MD"/>
        </w:rPr>
        <w:t xml:space="preserve">anumitor </w:t>
      </w:r>
      <w:r w:rsidRPr="00565EEE">
        <w:rPr>
          <w:rFonts w:asciiTheme="majorHAnsi" w:eastAsia="Times New Roman" w:hAnsiTheme="majorHAnsi" w:cstheme="majorHAnsi"/>
          <w:sz w:val="24"/>
          <w:szCs w:val="24"/>
          <w:lang w:val="ro-MD"/>
        </w:rPr>
        <w:t>tipuri de bunuri/mijloace fixe/</w:t>
      </w:r>
      <w:r w:rsidR="007048A1" w:rsidRPr="00565EEE">
        <w:rPr>
          <w:rFonts w:asciiTheme="majorHAnsi" w:eastAsia="Times New Roman" w:hAnsiTheme="majorHAnsi" w:cstheme="majorHAnsi"/>
          <w:sz w:val="24"/>
          <w:szCs w:val="24"/>
          <w:lang w:val="ro-MD"/>
        </w:rPr>
        <w:t>clădiri/</w:t>
      </w:r>
      <w:r w:rsidRPr="00565EEE">
        <w:rPr>
          <w:rFonts w:asciiTheme="majorHAnsi" w:eastAsia="Times New Roman" w:hAnsiTheme="majorHAnsi" w:cstheme="majorHAnsi"/>
          <w:sz w:val="24"/>
          <w:szCs w:val="24"/>
          <w:lang w:val="ro-MD"/>
        </w:rPr>
        <w:t>terenuri</w:t>
      </w:r>
      <w:r w:rsidR="0078492F" w:rsidRPr="00565EEE">
        <w:rPr>
          <w:rFonts w:asciiTheme="majorHAnsi" w:eastAsia="Times New Roman" w:hAnsiTheme="majorHAnsi" w:cstheme="majorHAnsi"/>
          <w:sz w:val="24"/>
          <w:szCs w:val="24"/>
          <w:lang w:val="ro-MD"/>
        </w:rPr>
        <w:t>/</w:t>
      </w:r>
      <w:r w:rsidRPr="00565EEE">
        <w:rPr>
          <w:rFonts w:asciiTheme="majorHAnsi" w:eastAsia="Times New Roman" w:hAnsiTheme="majorHAnsi" w:cstheme="majorHAnsi"/>
          <w:sz w:val="24"/>
          <w:szCs w:val="24"/>
          <w:lang w:val="ro-MD"/>
        </w:rPr>
        <w:t xml:space="preserve"> </w:t>
      </w:r>
      <w:r w:rsidR="007048A1" w:rsidRPr="00565EEE">
        <w:rPr>
          <w:rFonts w:asciiTheme="majorHAnsi" w:eastAsia="Times New Roman" w:hAnsiTheme="majorHAnsi" w:cstheme="majorHAnsi"/>
          <w:sz w:val="24"/>
          <w:szCs w:val="24"/>
          <w:lang w:val="ro-MD"/>
        </w:rPr>
        <w:t>din proprietatea municipală</w:t>
      </w:r>
      <w:r w:rsidR="00760BE2" w:rsidRPr="00565EEE">
        <w:rPr>
          <w:rFonts w:asciiTheme="majorHAnsi" w:eastAsia="Times New Roman" w:hAnsiTheme="majorHAnsi" w:cstheme="majorHAnsi"/>
          <w:sz w:val="24"/>
          <w:szCs w:val="24"/>
          <w:lang w:val="ro-MD"/>
        </w:rPr>
        <w:t xml:space="preserve"> și veniturilor aferente din gestiunea lor</w:t>
      </w:r>
      <w:r w:rsidR="007048A1" w:rsidRPr="00565EEE">
        <w:rPr>
          <w:rFonts w:asciiTheme="majorHAnsi" w:eastAsia="Times New Roman" w:hAnsiTheme="majorHAnsi" w:cstheme="majorHAnsi"/>
          <w:sz w:val="24"/>
          <w:szCs w:val="24"/>
          <w:lang w:val="ro-MD"/>
        </w:rPr>
        <w:t xml:space="preserve">, </w:t>
      </w:r>
      <w:r w:rsidRPr="00565EEE">
        <w:rPr>
          <w:rFonts w:asciiTheme="majorHAnsi" w:eastAsia="Times New Roman" w:hAnsiTheme="majorHAnsi" w:cstheme="majorHAnsi"/>
          <w:sz w:val="24"/>
          <w:szCs w:val="24"/>
          <w:lang w:val="ro-MD"/>
        </w:rPr>
        <w:t>ținând</w:t>
      </w:r>
      <w:r w:rsidR="0078492F" w:rsidRPr="00565EEE">
        <w:rPr>
          <w:rFonts w:asciiTheme="majorHAnsi" w:eastAsia="Times New Roman" w:hAnsiTheme="majorHAnsi" w:cstheme="majorHAnsi"/>
          <w:sz w:val="24"/>
          <w:szCs w:val="24"/>
          <w:lang w:val="ro-MD"/>
        </w:rPr>
        <w:t>u-se</w:t>
      </w:r>
      <w:r w:rsidRPr="00565EEE">
        <w:rPr>
          <w:rFonts w:asciiTheme="majorHAnsi" w:eastAsia="Times New Roman" w:hAnsiTheme="majorHAnsi" w:cstheme="majorHAnsi"/>
          <w:sz w:val="24"/>
          <w:szCs w:val="24"/>
          <w:lang w:val="ro-MD"/>
        </w:rPr>
        <w:t xml:space="preserve"> cont de specificul activității acestor subdiviziuni;</w:t>
      </w:r>
    </w:p>
    <w:p w:rsidR="00316D65" w:rsidRPr="00565EEE"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w:t>
      </w:r>
      <w:r w:rsidR="00317ED6" w:rsidRPr="00565EEE">
        <w:rPr>
          <w:rFonts w:asciiTheme="majorHAnsi" w:hAnsiTheme="majorHAnsi" w:cstheme="majorHAnsi"/>
          <w:sz w:val="24"/>
          <w:szCs w:val="24"/>
          <w:lang w:val="ro-MD"/>
        </w:rPr>
        <w:t>3</w:t>
      </w:r>
      <w:r w:rsidRPr="00565EEE">
        <w:rPr>
          <w:rFonts w:asciiTheme="majorHAnsi" w:hAnsiTheme="majorHAnsi" w:cstheme="majorHAnsi"/>
          <w:sz w:val="24"/>
          <w:szCs w:val="24"/>
          <w:lang w:val="ro-MD"/>
        </w:rPr>
        <w:t xml:space="preserve">. inventarierea și delimitarea </w:t>
      </w:r>
      <w:r w:rsidR="0078492F" w:rsidRPr="00565EEE">
        <w:rPr>
          <w:rFonts w:asciiTheme="majorHAnsi" w:hAnsiTheme="majorHAnsi" w:cstheme="majorHAnsi"/>
          <w:sz w:val="24"/>
          <w:szCs w:val="24"/>
          <w:lang w:val="ro-MD"/>
        </w:rPr>
        <w:t xml:space="preserve">pe </w:t>
      </w:r>
      <w:r w:rsidRPr="00565EEE">
        <w:rPr>
          <w:rFonts w:asciiTheme="majorHAnsi" w:hAnsiTheme="majorHAnsi" w:cstheme="majorHAnsi"/>
          <w:sz w:val="24"/>
          <w:szCs w:val="24"/>
          <w:lang w:val="ro-MD"/>
        </w:rPr>
        <w:t>domenii a patrimoniului gestionat, inclusiv la entitățile din subordine și al căror fondator este C</w:t>
      </w:r>
      <w:r w:rsidR="0078492F" w:rsidRPr="00565EEE">
        <w:rPr>
          <w:rFonts w:asciiTheme="majorHAnsi" w:hAnsiTheme="majorHAnsi" w:cstheme="majorHAnsi"/>
          <w:sz w:val="24"/>
          <w:szCs w:val="24"/>
          <w:lang w:val="ro-MD"/>
        </w:rPr>
        <w:t xml:space="preserve">onsiliul municipal </w:t>
      </w:r>
      <w:r w:rsidRPr="00565EEE">
        <w:rPr>
          <w:rFonts w:asciiTheme="majorHAnsi" w:hAnsiTheme="majorHAnsi" w:cstheme="majorHAnsi"/>
          <w:sz w:val="24"/>
          <w:szCs w:val="24"/>
          <w:lang w:val="ro-MD"/>
        </w:rPr>
        <w:t>C</w:t>
      </w:r>
      <w:r w:rsidR="0078492F" w:rsidRPr="00565EEE">
        <w:rPr>
          <w:rFonts w:asciiTheme="majorHAnsi" w:hAnsiTheme="majorHAnsi" w:cstheme="majorHAnsi"/>
          <w:sz w:val="24"/>
          <w:szCs w:val="24"/>
          <w:lang w:val="ro-MD"/>
        </w:rPr>
        <w:t>hișinău</w:t>
      </w:r>
      <w:r w:rsidRPr="00565EEE">
        <w:rPr>
          <w:rFonts w:asciiTheme="majorHAnsi" w:hAnsiTheme="majorHAnsi" w:cstheme="majorHAnsi"/>
          <w:sz w:val="24"/>
          <w:szCs w:val="24"/>
          <w:lang w:val="ro-MD"/>
        </w:rPr>
        <w:t>, asigurând</w:t>
      </w:r>
      <w:r w:rsidR="0078492F" w:rsidRPr="00565EEE">
        <w:rPr>
          <w:rFonts w:asciiTheme="majorHAnsi" w:hAnsiTheme="majorHAnsi" w:cstheme="majorHAnsi"/>
          <w:sz w:val="24"/>
          <w:szCs w:val="24"/>
          <w:lang w:val="ro-MD"/>
        </w:rPr>
        <w:t>u-se</w:t>
      </w:r>
      <w:r w:rsidRPr="00565EEE">
        <w:rPr>
          <w:rFonts w:asciiTheme="majorHAnsi" w:hAnsiTheme="majorHAnsi" w:cstheme="majorHAnsi"/>
          <w:sz w:val="24"/>
          <w:szCs w:val="24"/>
          <w:lang w:val="ro-MD"/>
        </w:rPr>
        <w:t xml:space="preserve"> raportarea fidelă și reală a situațiilor patrimoniale;</w:t>
      </w:r>
    </w:p>
    <w:p w:rsidR="00316D65" w:rsidRPr="00565EEE"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w:t>
      </w:r>
      <w:r w:rsidR="00317ED6" w:rsidRPr="00565EEE">
        <w:rPr>
          <w:rFonts w:asciiTheme="majorHAnsi" w:hAnsiTheme="majorHAnsi" w:cstheme="majorHAnsi"/>
          <w:sz w:val="24"/>
          <w:szCs w:val="24"/>
          <w:lang w:val="ro-MD"/>
        </w:rPr>
        <w:t>4</w:t>
      </w:r>
      <w:r w:rsidRPr="00565EEE">
        <w:rPr>
          <w:rFonts w:asciiTheme="majorHAnsi" w:hAnsiTheme="majorHAnsi" w:cstheme="majorHAnsi"/>
          <w:sz w:val="24"/>
          <w:szCs w:val="24"/>
          <w:lang w:val="ro-MD"/>
        </w:rPr>
        <w:t>. ajustarea capitalului social al entităților al căror fondator este C</w:t>
      </w:r>
      <w:r w:rsidR="0078492F" w:rsidRPr="00565EEE">
        <w:rPr>
          <w:rFonts w:asciiTheme="majorHAnsi" w:hAnsiTheme="majorHAnsi" w:cstheme="majorHAnsi"/>
          <w:sz w:val="24"/>
          <w:szCs w:val="24"/>
          <w:lang w:val="ro-MD"/>
        </w:rPr>
        <w:t xml:space="preserve">onsiliul municipal </w:t>
      </w:r>
      <w:r w:rsidRPr="00565EEE">
        <w:rPr>
          <w:rFonts w:asciiTheme="majorHAnsi" w:hAnsiTheme="majorHAnsi" w:cstheme="majorHAnsi"/>
          <w:sz w:val="24"/>
          <w:szCs w:val="24"/>
          <w:lang w:val="ro-MD"/>
        </w:rPr>
        <w:t>C</w:t>
      </w:r>
      <w:r w:rsidR="0078492F" w:rsidRPr="00565EEE">
        <w:rPr>
          <w:rFonts w:asciiTheme="majorHAnsi" w:hAnsiTheme="majorHAnsi" w:cstheme="majorHAnsi"/>
          <w:sz w:val="24"/>
          <w:szCs w:val="24"/>
          <w:lang w:val="ro-MD"/>
        </w:rPr>
        <w:t>hișinău</w:t>
      </w:r>
      <w:r w:rsidRPr="00565EEE">
        <w:rPr>
          <w:rFonts w:asciiTheme="majorHAnsi" w:hAnsiTheme="majorHAnsi" w:cstheme="majorHAnsi"/>
          <w:sz w:val="24"/>
          <w:szCs w:val="24"/>
          <w:lang w:val="ro-MD"/>
        </w:rPr>
        <w:t>, în baza rezultatelor inventarierii și delimitării patrimoniului gestionat de către acestea;</w:t>
      </w:r>
    </w:p>
    <w:p w:rsidR="00316D65" w:rsidRPr="00565EEE"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w:t>
      </w:r>
      <w:r w:rsidR="00317ED6" w:rsidRPr="00565EEE">
        <w:rPr>
          <w:rFonts w:asciiTheme="majorHAnsi" w:hAnsiTheme="majorHAnsi" w:cstheme="majorHAnsi"/>
          <w:sz w:val="24"/>
          <w:szCs w:val="24"/>
          <w:lang w:val="ro-MD"/>
        </w:rPr>
        <w:t>5</w:t>
      </w:r>
      <w:r w:rsidRPr="00565EEE">
        <w:rPr>
          <w:rFonts w:asciiTheme="majorHAnsi" w:hAnsiTheme="majorHAnsi" w:cstheme="majorHAnsi"/>
          <w:sz w:val="24"/>
          <w:szCs w:val="24"/>
          <w:lang w:val="ro-MD"/>
        </w:rPr>
        <w:t>. preluarea la balanța Primăriei mun. Chișinău a patrimoniului local din domeniul public transmis în gestiunea entităților economice fondate, a căr</w:t>
      </w:r>
      <w:r w:rsidR="0078492F" w:rsidRPr="00565EEE">
        <w:rPr>
          <w:rFonts w:asciiTheme="majorHAnsi" w:hAnsiTheme="majorHAnsi" w:cstheme="majorHAnsi"/>
          <w:sz w:val="24"/>
          <w:szCs w:val="24"/>
          <w:lang w:val="ro-MD"/>
        </w:rPr>
        <w:t>ui</w:t>
      </w:r>
      <w:r w:rsidRPr="00565EEE">
        <w:rPr>
          <w:rFonts w:asciiTheme="majorHAnsi" w:hAnsiTheme="majorHAnsi" w:cstheme="majorHAnsi"/>
          <w:sz w:val="24"/>
          <w:szCs w:val="24"/>
          <w:lang w:val="ro-MD"/>
        </w:rPr>
        <w:t xml:space="preserve"> posesie nu creează venituri din activitatea de producție și care nu po</w:t>
      </w:r>
      <w:r w:rsidR="0078492F" w:rsidRPr="00565EEE">
        <w:rPr>
          <w:rFonts w:asciiTheme="majorHAnsi" w:hAnsiTheme="majorHAnsi" w:cstheme="majorHAnsi"/>
          <w:sz w:val="24"/>
          <w:szCs w:val="24"/>
          <w:lang w:val="ro-MD"/>
        </w:rPr>
        <w:t>a</w:t>
      </w:r>
      <w:r w:rsidRPr="00565EEE">
        <w:rPr>
          <w:rFonts w:asciiTheme="majorHAnsi" w:hAnsiTheme="majorHAnsi" w:cstheme="majorHAnsi"/>
          <w:sz w:val="24"/>
          <w:szCs w:val="24"/>
          <w:lang w:val="ro-MD"/>
        </w:rPr>
        <w:t>t</w:t>
      </w:r>
      <w:r w:rsidR="0078492F" w:rsidRPr="00565EEE">
        <w:rPr>
          <w:rFonts w:asciiTheme="majorHAnsi" w:hAnsiTheme="majorHAnsi" w:cstheme="majorHAnsi"/>
          <w:sz w:val="24"/>
          <w:szCs w:val="24"/>
          <w:lang w:val="ro-MD"/>
        </w:rPr>
        <w:t>e</w:t>
      </w:r>
      <w:r w:rsidRPr="00565EEE">
        <w:rPr>
          <w:rFonts w:asciiTheme="majorHAnsi" w:hAnsiTheme="majorHAnsi" w:cstheme="majorHAnsi"/>
          <w:sz w:val="24"/>
          <w:szCs w:val="24"/>
          <w:lang w:val="ro-MD"/>
        </w:rPr>
        <w:t xml:space="preserve"> fi recunoscut ca imobilizări corporale de către î</w:t>
      </w:r>
      <w:r w:rsidR="00102CA5" w:rsidRPr="00565EEE">
        <w:rPr>
          <w:rFonts w:asciiTheme="majorHAnsi" w:hAnsiTheme="majorHAnsi" w:cstheme="majorHAnsi"/>
          <w:sz w:val="24"/>
          <w:szCs w:val="24"/>
          <w:lang w:val="ro-MD"/>
        </w:rPr>
        <w:t>ntreprinderi</w:t>
      </w:r>
      <w:r w:rsidRPr="00565EEE">
        <w:rPr>
          <w:rFonts w:asciiTheme="majorHAnsi" w:eastAsia="Times New Roman" w:hAnsiTheme="majorHAnsi" w:cstheme="majorHAnsi"/>
          <w:sz w:val="24"/>
          <w:szCs w:val="24"/>
          <w:vertAlign w:val="superscript"/>
          <w:lang w:val="ro-MD"/>
        </w:rPr>
        <w:footnoteReference w:id="6"/>
      </w:r>
      <w:r w:rsidRPr="00565EEE">
        <w:rPr>
          <w:rFonts w:asciiTheme="majorHAnsi" w:hAnsiTheme="majorHAnsi" w:cstheme="majorHAnsi"/>
          <w:sz w:val="24"/>
          <w:szCs w:val="24"/>
          <w:lang w:val="ro-MD"/>
        </w:rPr>
        <w:t>;</w:t>
      </w:r>
    </w:p>
    <w:p w:rsidR="00316D65" w:rsidRPr="00565EEE" w:rsidRDefault="00316D65" w:rsidP="0078492F">
      <w:pPr>
        <w:shd w:val="clear" w:color="auto" w:fill="FFFFFF" w:themeFill="background1"/>
        <w:spacing w:after="0" w:line="276" w:lineRule="auto"/>
        <w:ind w:firstLine="567"/>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w:t>
      </w:r>
      <w:r w:rsidR="00317ED6" w:rsidRPr="00565EEE">
        <w:rPr>
          <w:rFonts w:asciiTheme="majorHAnsi" w:hAnsiTheme="majorHAnsi" w:cstheme="majorHAnsi"/>
          <w:sz w:val="24"/>
          <w:szCs w:val="24"/>
          <w:lang w:val="ro-MD"/>
        </w:rPr>
        <w:t>6</w:t>
      </w:r>
      <w:r w:rsidRPr="00565EEE">
        <w:rPr>
          <w:rFonts w:asciiTheme="majorHAnsi" w:hAnsiTheme="majorHAnsi" w:cstheme="majorHAnsi"/>
          <w:sz w:val="24"/>
          <w:szCs w:val="24"/>
          <w:lang w:val="ro-MD"/>
        </w:rPr>
        <w:t>. întreprinderea acțiunilor juridice necesare</w:t>
      </w:r>
      <w:r w:rsidR="0078492F" w:rsidRPr="00565EEE">
        <w:rPr>
          <w:rFonts w:asciiTheme="majorHAnsi" w:hAnsiTheme="majorHAnsi" w:cstheme="majorHAnsi"/>
          <w:sz w:val="24"/>
          <w:szCs w:val="24"/>
          <w:lang w:val="ro-MD"/>
        </w:rPr>
        <w:t xml:space="preserve"> de</w:t>
      </w:r>
      <w:r w:rsidRPr="00565EEE">
        <w:rPr>
          <w:rFonts w:asciiTheme="majorHAnsi" w:hAnsiTheme="majorHAnsi" w:cstheme="majorHAnsi"/>
          <w:sz w:val="24"/>
          <w:szCs w:val="24"/>
          <w:lang w:val="ro-MD"/>
        </w:rPr>
        <w:t xml:space="preserve"> declar</w:t>
      </w:r>
      <w:r w:rsidR="0078492F" w:rsidRPr="00565EEE">
        <w:rPr>
          <w:rFonts w:asciiTheme="majorHAnsi" w:hAnsiTheme="majorHAnsi" w:cstheme="majorHAnsi"/>
          <w:sz w:val="24"/>
          <w:szCs w:val="24"/>
          <w:lang w:val="ro-MD"/>
        </w:rPr>
        <w:t>are ca</w:t>
      </w:r>
      <w:r w:rsidRPr="00565EEE">
        <w:rPr>
          <w:rFonts w:asciiTheme="majorHAnsi" w:hAnsiTheme="majorHAnsi" w:cstheme="majorHAnsi"/>
          <w:sz w:val="24"/>
          <w:szCs w:val="24"/>
          <w:lang w:val="ro-MD"/>
        </w:rPr>
        <w:t xml:space="preserve"> proprietate publică a infrastructurii </w:t>
      </w:r>
      <w:proofErr w:type="spellStart"/>
      <w:r w:rsidRPr="00565EEE">
        <w:rPr>
          <w:rFonts w:asciiTheme="majorHAnsi" w:hAnsiTheme="majorHAnsi" w:cstheme="majorHAnsi"/>
          <w:sz w:val="24"/>
          <w:szCs w:val="24"/>
          <w:lang w:val="ro-MD"/>
        </w:rPr>
        <w:t>tehnico</w:t>
      </w:r>
      <w:proofErr w:type="spellEnd"/>
      <w:r w:rsidRPr="00565EEE">
        <w:rPr>
          <w:rFonts w:asciiTheme="majorHAnsi" w:hAnsiTheme="majorHAnsi" w:cstheme="majorHAnsi"/>
          <w:sz w:val="24"/>
          <w:szCs w:val="24"/>
          <w:lang w:val="ro-MD"/>
        </w:rPr>
        <w:t xml:space="preserve">-edilitare aferente sistemului public de alimentare cu apă și de canalizare, </w:t>
      </w:r>
      <w:r w:rsidR="0078492F" w:rsidRPr="00565EEE">
        <w:rPr>
          <w:rFonts w:asciiTheme="majorHAnsi" w:hAnsiTheme="majorHAnsi" w:cstheme="majorHAnsi"/>
          <w:sz w:val="24"/>
          <w:szCs w:val="24"/>
          <w:lang w:val="ro-MD"/>
        </w:rPr>
        <w:t xml:space="preserve">precum </w:t>
      </w:r>
      <w:r w:rsidRPr="00565EEE">
        <w:rPr>
          <w:rFonts w:asciiTheme="majorHAnsi" w:hAnsiTheme="majorHAnsi" w:cstheme="majorHAnsi"/>
          <w:sz w:val="24"/>
          <w:szCs w:val="24"/>
          <w:lang w:val="ro-MD"/>
        </w:rPr>
        <w:t>și de distribuție a gazelor naturale fără stăpân;</w:t>
      </w:r>
    </w:p>
    <w:p w:rsidR="00316D65" w:rsidRPr="00565EEE" w:rsidRDefault="00316D65">
      <w:pPr>
        <w:shd w:val="clear" w:color="auto" w:fill="FFFFFF" w:themeFill="background1"/>
        <w:spacing w:after="0" w:line="276" w:lineRule="auto"/>
        <w:ind w:firstLine="567"/>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w:t>
      </w:r>
      <w:r w:rsidR="00317ED6"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 întocmirea Registrului local al spațiilor verzi</w:t>
      </w:r>
      <w:r w:rsidR="0078492F" w:rsidRPr="00565EEE">
        <w:rPr>
          <w:rFonts w:asciiTheme="majorHAnsi" w:hAnsiTheme="majorHAnsi" w:cstheme="majorHAnsi"/>
          <w:sz w:val="24"/>
          <w:szCs w:val="24"/>
          <w:lang w:val="ro-MD"/>
        </w:rPr>
        <w:t>, precum</w:t>
      </w:r>
      <w:r w:rsidRPr="00565EEE">
        <w:rPr>
          <w:rFonts w:asciiTheme="majorHAnsi" w:hAnsiTheme="majorHAnsi" w:cstheme="majorHAnsi"/>
          <w:sz w:val="24"/>
          <w:szCs w:val="24"/>
          <w:lang w:val="ro-MD"/>
        </w:rPr>
        <w:t xml:space="preserve"> și a fișelor de evidență a acestora; </w:t>
      </w:r>
    </w:p>
    <w:p w:rsidR="00316D65" w:rsidRPr="00565EEE" w:rsidRDefault="00316D65">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w:t>
      </w:r>
      <w:r w:rsidR="00317ED6" w:rsidRPr="00565EEE">
        <w:rPr>
          <w:rFonts w:asciiTheme="majorHAnsi" w:hAnsiTheme="majorHAnsi" w:cstheme="majorHAnsi"/>
          <w:sz w:val="24"/>
          <w:szCs w:val="24"/>
          <w:lang w:val="ro-MD"/>
        </w:rPr>
        <w:t>8</w:t>
      </w:r>
      <w:r w:rsidRPr="00565EEE">
        <w:rPr>
          <w:rFonts w:asciiTheme="majorHAnsi" w:hAnsiTheme="majorHAnsi" w:cstheme="majorHAnsi"/>
          <w:sz w:val="24"/>
          <w:szCs w:val="24"/>
          <w:lang w:val="ro-MD"/>
        </w:rPr>
        <w:t xml:space="preserve">. </w:t>
      </w:r>
      <w:r w:rsidRPr="00565EEE">
        <w:rPr>
          <w:rFonts w:asciiTheme="majorHAnsi" w:eastAsia="Times New Roman" w:hAnsiTheme="majorHAnsi" w:cstheme="majorHAnsi"/>
          <w:sz w:val="24"/>
          <w:szCs w:val="24"/>
          <w:lang w:val="ro-MD"/>
        </w:rPr>
        <w:t>efectuarea inventarierii totale a monumentelor de for public de categoriile A și B din raza mun. Chișinău, cu perfectarea dosarelor de inventariere a acestora;</w:t>
      </w:r>
    </w:p>
    <w:p w:rsidR="00316D65" w:rsidRPr="00565EEE" w:rsidRDefault="00316D65" w:rsidP="0078492F">
      <w:pPr>
        <w:shd w:val="clear" w:color="auto" w:fill="FFFFFF" w:themeFill="background1"/>
        <w:spacing w:after="0" w:line="276" w:lineRule="auto"/>
        <w:ind w:firstLine="567"/>
        <w:jc w:val="both"/>
        <w:rPr>
          <w:rFonts w:asciiTheme="majorHAnsi" w:eastAsia="Times New Roman" w:hAnsiTheme="majorHAnsi" w:cstheme="majorHAnsi"/>
          <w:sz w:val="24"/>
          <w:szCs w:val="24"/>
          <w:lang w:val="ro-MD"/>
        </w:rPr>
      </w:pPr>
      <w:r w:rsidRPr="00565EEE">
        <w:rPr>
          <w:rFonts w:asciiTheme="majorHAnsi" w:eastAsia="Times New Roman" w:hAnsiTheme="majorHAnsi" w:cstheme="majorHAnsi"/>
          <w:sz w:val="24"/>
          <w:szCs w:val="24"/>
          <w:lang w:val="ro-MD"/>
        </w:rPr>
        <w:t>2.</w:t>
      </w:r>
      <w:r w:rsidR="007048A1" w:rsidRPr="00565EEE">
        <w:rPr>
          <w:rFonts w:asciiTheme="majorHAnsi" w:eastAsia="Times New Roman" w:hAnsiTheme="majorHAnsi" w:cstheme="majorHAnsi"/>
          <w:sz w:val="24"/>
          <w:szCs w:val="24"/>
          <w:lang w:val="ro-MD"/>
        </w:rPr>
        <w:t>7</w:t>
      </w:r>
      <w:r w:rsidRPr="00565EEE">
        <w:rPr>
          <w:rFonts w:asciiTheme="majorHAnsi" w:eastAsia="Times New Roman" w:hAnsiTheme="majorHAnsi" w:cstheme="majorHAnsi"/>
          <w:sz w:val="24"/>
          <w:szCs w:val="24"/>
          <w:lang w:val="ro-MD"/>
        </w:rPr>
        <w:t>.</w:t>
      </w:r>
      <w:r w:rsidR="00317ED6" w:rsidRPr="00565EEE">
        <w:rPr>
          <w:rFonts w:asciiTheme="majorHAnsi" w:eastAsia="Times New Roman" w:hAnsiTheme="majorHAnsi" w:cstheme="majorHAnsi"/>
          <w:sz w:val="24"/>
          <w:szCs w:val="24"/>
          <w:lang w:val="ro-MD"/>
        </w:rPr>
        <w:t>9</w:t>
      </w:r>
      <w:r w:rsidRPr="00565EEE">
        <w:rPr>
          <w:rFonts w:asciiTheme="majorHAnsi" w:eastAsia="Times New Roman" w:hAnsiTheme="majorHAnsi" w:cstheme="majorHAnsi"/>
          <w:sz w:val="24"/>
          <w:szCs w:val="24"/>
          <w:lang w:val="ro-MD"/>
        </w:rPr>
        <w:t xml:space="preserve">. </w:t>
      </w:r>
      <w:r w:rsidRPr="00565EEE">
        <w:rPr>
          <w:rFonts w:asciiTheme="majorHAnsi" w:hAnsiTheme="majorHAnsi" w:cstheme="majorHAnsi"/>
          <w:sz w:val="24"/>
          <w:szCs w:val="24"/>
          <w:lang w:val="ro-MD"/>
        </w:rPr>
        <w:t>revizuirea Registrului monumentelor de for public de categoria B din raza mun. Chișinău</w:t>
      </w:r>
      <w:r w:rsidR="00365B57" w:rsidRPr="00565EEE">
        <w:rPr>
          <w:rFonts w:asciiTheme="majorHAnsi" w:hAnsiTheme="majorHAnsi" w:cstheme="majorHAnsi"/>
          <w:sz w:val="24"/>
          <w:szCs w:val="24"/>
          <w:lang w:val="ro-MD"/>
        </w:rPr>
        <w:t>,</w:t>
      </w:r>
      <w:r w:rsidRPr="00565EEE">
        <w:rPr>
          <w:rFonts w:asciiTheme="majorHAnsi" w:hAnsiTheme="majorHAnsi" w:cstheme="majorHAnsi"/>
          <w:sz w:val="24"/>
          <w:szCs w:val="24"/>
          <w:lang w:val="ro-MD"/>
        </w:rPr>
        <w:t xml:space="preserve"> aprobate prin </w:t>
      </w:r>
      <w:r w:rsidRPr="00565EEE">
        <w:rPr>
          <w:rFonts w:asciiTheme="majorHAnsi" w:eastAsia="Times New Roman" w:hAnsiTheme="majorHAnsi" w:cstheme="majorHAnsi"/>
          <w:sz w:val="24"/>
          <w:szCs w:val="24"/>
          <w:lang w:val="ro-MD" w:eastAsia="ro-MD" w:bidi="my-MM"/>
        </w:rPr>
        <w:t>Decizia C</w:t>
      </w:r>
      <w:r w:rsidR="0078492F" w:rsidRPr="00565EEE">
        <w:rPr>
          <w:rFonts w:asciiTheme="majorHAnsi" w:eastAsia="Times New Roman" w:hAnsiTheme="majorHAnsi" w:cstheme="majorHAnsi"/>
          <w:sz w:val="24"/>
          <w:szCs w:val="24"/>
          <w:lang w:val="ro-MD" w:eastAsia="ro-MD" w:bidi="my-MM"/>
        </w:rPr>
        <w:t xml:space="preserve">onsiliului municipal </w:t>
      </w:r>
      <w:r w:rsidRPr="00565EEE">
        <w:rPr>
          <w:rFonts w:asciiTheme="majorHAnsi" w:eastAsia="Times New Roman" w:hAnsiTheme="majorHAnsi" w:cstheme="majorHAnsi"/>
          <w:sz w:val="24"/>
          <w:szCs w:val="24"/>
          <w:lang w:val="ro-MD" w:eastAsia="ro-MD" w:bidi="my-MM"/>
        </w:rPr>
        <w:t>C</w:t>
      </w:r>
      <w:r w:rsidR="0078492F" w:rsidRPr="00565EEE">
        <w:rPr>
          <w:rFonts w:asciiTheme="majorHAnsi" w:eastAsia="Times New Roman" w:hAnsiTheme="majorHAnsi" w:cstheme="majorHAnsi"/>
          <w:sz w:val="24"/>
          <w:szCs w:val="24"/>
          <w:lang w:val="ro-MD" w:eastAsia="ro-MD" w:bidi="my-MM"/>
        </w:rPr>
        <w:t>hișinău</w:t>
      </w:r>
      <w:r w:rsidRPr="00565EEE">
        <w:rPr>
          <w:rFonts w:asciiTheme="majorHAnsi" w:eastAsia="Times New Roman" w:hAnsiTheme="majorHAnsi" w:cstheme="majorHAnsi"/>
          <w:sz w:val="24"/>
          <w:szCs w:val="24"/>
          <w:lang w:val="ro-MD" w:eastAsia="ro-MD" w:bidi="my-MM"/>
        </w:rPr>
        <w:t xml:space="preserve"> nr. 6/17 din 2016</w:t>
      </w:r>
      <w:r w:rsidRPr="00565EEE">
        <w:rPr>
          <w:rFonts w:asciiTheme="majorHAnsi" w:hAnsiTheme="majorHAnsi" w:cstheme="majorHAnsi"/>
          <w:sz w:val="24"/>
          <w:szCs w:val="24"/>
          <w:lang w:val="ro-MD"/>
        </w:rPr>
        <w:t>, ținându-se cont de starea lor actuală, precum și completarea acest</w:t>
      </w:r>
      <w:r w:rsidR="0078492F" w:rsidRPr="00565EEE">
        <w:rPr>
          <w:rFonts w:asciiTheme="majorHAnsi" w:hAnsiTheme="majorHAnsi" w:cstheme="majorHAnsi"/>
          <w:sz w:val="24"/>
          <w:szCs w:val="24"/>
          <w:lang w:val="ro-MD"/>
        </w:rPr>
        <w:t>u</w:t>
      </w:r>
      <w:r w:rsidRPr="00565EEE">
        <w:rPr>
          <w:rFonts w:asciiTheme="majorHAnsi" w:hAnsiTheme="majorHAnsi" w:cstheme="majorHAnsi"/>
          <w:sz w:val="24"/>
          <w:szCs w:val="24"/>
          <w:lang w:val="ro-MD"/>
        </w:rPr>
        <w:t>ia cu informații ce țin de amplasare, zona de protecție (codul cadastral al terenurilor și bunurilor imobile)</w:t>
      </w:r>
      <w:r w:rsidR="00317ED6" w:rsidRPr="00565EEE">
        <w:rPr>
          <w:rFonts w:asciiTheme="majorHAnsi" w:hAnsiTheme="majorHAnsi" w:cstheme="majorHAnsi"/>
          <w:sz w:val="24"/>
          <w:szCs w:val="24"/>
          <w:lang w:val="ro-MD"/>
        </w:rPr>
        <w:t xml:space="preserve">, cu </w:t>
      </w:r>
      <w:r w:rsidR="00317ED6" w:rsidRPr="00565EEE">
        <w:rPr>
          <w:rFonts w:asciiTheme="majorHAnsi" w:eastAsia="Times New Roman" w:hAnsiTheme="majorHAnsi" w:cstheme="majorHAnsi"/>
          <w:sz w:val="24"/>
          <w:szCs w:val="24"/>
          <w:lang w:val="ro-MD" w:eastAsia="ro-MD" w:bidi="my-MM"/>
        </w:rPr>
        <w:t xml:space="preserve">stabilirea </w:t>
      </w:r>
      <w:r w:rsidR="00317ED6" w:rsidRPr="00565EEE">
        <w:rPr>
          <w:rFonts w:asciiTheme="majorHAnsi" w:hAnsiTheme="majorHAnsi" w:cstheme="majorHAnsi"/>
          <w:sz w:val="24"/>
          <w:szCs w:val="24"/>
          <w:lang w:val="ro-MD"/>
        </w:rPr>
        <w:t>instituției/direcției responsabile de administrarea, gestionarea, înregistrarea și monitorizarea monumentelor</w:t>
      </w:r>
      <w:r w:rsidR="004C7E52" w:rsidRPr="00565EEE">
        <w:rPr>
          <w:rFonts w:asciiTheme="majorHAnsi" w:hAnsiTheme="majorHAnsi" w:cstheme="majorHAnsi"/>
          <w:sz w:val="24"/>
          <w:szCs w:val="24"/>
          <w:lang w:val="ro-MD"/>
        </w:rPr>
        <w:t xml:space="preserve"> respective</w:t>
      </w:r>
      <w:r w:rsidR="00C443F0" w:rsidRPr="00565EEE">
        <w:rPr>
          <w:rFonts w:asciiTheme="majorHAnsi" w:eastAsia="Times New Roman" w:hAnsiTheme="majorHAnsi" w:cstheme="majorHAnsi"/>
          <w:sz w:val="24"/>
          <w:szCs w:val="24"/>
          <w:lang w:val="ro-MD"/>
        </w:rPr>
        <w:t>, asigurându-se raportarea fidelă și reală a situațiilor patrimoniale</w:t>
      </w:r>
      <w:r w:rsidRPr="00565EEE">
        <w:rPr>
          <w:rFonts w:asciiTheme="majorHAnsi" w:eastAsia="Times New Roman" w:hAnsiTheme="majorHAnsi" w:cstheme="majorHAnsi"/>
          <w:sz w:val="24"/>
          <w:szCs w:val="24"/>
          <w:lang w:val="ro-MD"/>
        </w:rPr>
        <w:t>;</w:t>
      </w:r>
    </w:p>
    <w:p w:rsidR="00316D65" w:rsidRPr="00565EEE" w:rsidRDefault="00316D65">
      <w:pPr>
        <w:shd w:val="clear" w:color="auto" w:fill="FFFFFF" w:themeFill="background1"/>
        <w:spacing w:after="0" w:line="276" w:lineRule="auto"/>
        <w:ind w:firstLine="567"/>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.1</w:t>
      </w:r>
      <w:r w:rsidR="00317ED6" w:rsidRPr="00565EEE">
        <w:rPr>
          <w:rFonts w:asciiTheme="majorHAnsi" w:hAnsiTheme="majorHAnsi" w:cstheme="majorHAnsi"/>
          <w:sz w:val="24"/>
          <w:szCs w:val="24"/>
          <w:lang w:val="ro-MD"/>
        </w:rPr>
        <w:t>0</w:t>
      </w:r>
      <w:r w:rsidRPr="00565EEE">
        <w:rPr>
          <w:rFonts w:asciiTheme="majorHAnsi" w:hAnsiTheme="majorHAnsi" w:cstheme="majorHAnsi"/>
          <w:sz w:val="24"/>
          <w:szCs w:val="24"/>
          <w:lang w:val="ro-MD"/>
        </w:rPr>
        <w:t xml:space="preserve">. înregistrarea în evidența contabilă a creanțelor agenților economici aferente cheltuielilor pentru demolarea/evacuarea forțată a obiectivelor amplasate neautorizat, cu întreprinderea măsurilor de rigoare, inclusiv prin </w:t>
      </w:r>
      <w:r w:rsidR="00317ED6" w:rsidRPr="00565EEE">
        <w:rPr>
          <w:rFonts w:asciiTheme="majorHAnsi" w:hAnsiTheme="majorHAnsi" w:cstheme="majorHAnsi"/>
          <w:sz w:val="24"/>
          <w:szCs w:val="24"/>
          <w:lang w:val="ro-MD"/>
        </w:rPr>
        <w:t>intermediul</w:t>
      </w:r>
      <w:r w:rsidRPr="00565EEE">
        <w:rPr>
          <w:rFonts w:asciiTheme="majorHAnsi" w:hAnsiTheme="majorHAnsi" w:cstheme="majorHAnsi"/>
          <w:sz w:val="24"/>
          <w:szCs w:val="24"/>
          <w:lang w:val="ro-MD"/>
        </w:rPr>
        <w:t xml:space="preserve"> instanțel</w:t>
      </w:r>
      <w:r w:rsidR="00317ED6" w:rsidRPr="00565EEE">
        <w:rPr>
          <w:rFonts w:asciiTheme="majorHAnsi" w:hAnsiTheme="majorHAnsi" w:cstheme="majorHAnsi"/>
          <w:sz w:val="24"/>
          <w:szCs w:val="24"/>
          <w:lang w:val="ro-MD"/>
        </w:rPr>
        <w:t>or</w:t>
      </w:r>
      <w:r w:rsidRPr="00565EEE">
        <w:rPr>
          <w:rFonts w:asciiTheme="majorHAnsi" w:hAnsiTheme="majorHAnsi" w:cstheme="majorHAnsi"/>
          <w:sz w:val="24"/>
          <w:szCs w:val="24"/>
          <w:lang w:val="ro-MD"/>
        </w:rPr>
        <w:t xml:space="preserve"> de judecată, </w:t>
      </w:r>
      <w:r w:rsidR="00317ED6" w:rsidRPr="00565EEE">
        <w:rPr>
          <w:rFonts w:asciiTheme="majorHAnsi" w:hAnsiTheme="majorHAnsi" w:cstheme="majorHAnsi"/>
          <w:sz w:val="24"/>
          <w:szCs w:val="24"/>
          <w:lang w:val="ro-MD"/>
        </w:rPr>
        <w:t xml:space="preserve">pentru </w:t>
      </w:r>
      <w:r w:rsidRPr="00565EEE">
        <w:rPr>
          <w:rFonts w:asciiTheme="majorHAnsi" w:hAnsiTheme="majorHAnsi" w:cstheme="majorHAnsi"/>
          <w:sz w:val="24"/>
          <w:szCs w:val="24"/>
          <w:lang w:val="ro-MD"/>
        </w:rPr>
        <w:t>recuper</w:t>
      </w:r>
      <w:r w:rsidR="00317ED6" w:rsidRPr="00565EEE">
        <w:rPr>
          <w:rFonts w:asciiTheme="majorHAnsi" w:hAnsiTheme="majorHAnsi" w:cstheme="majorHAnsi"/>
          <w:sz w:val="24"/>
          <w:szCs w:val="24"/>
          <w:lang w:val="ro-MD"/>
        </w:rPr>
        <w:t>area</w:t>
      </w:r>
      <w:r w:rsidRPr="00565EEE">
        <w:rPr>
          <w:rFonts w:asciiTheme="majorHAnsi" w:hAnsiTheme="majorHAnsi" w:cstheme="majorHAnsi"/>
          <w:sz w:val="24"/>
          <w:szCs w:val="24"/>
          <w:lang w:val="ro-MD"/>
        </w:rPr>
        <w:t xml:space="preserve"> cheltuielilor suportate din buget;</w:t>
      </w:r>
    </w:p>
    <w:p w:rsidR="00316D65" w:rsidRPr="00565EEE" w:rsidRDefault="00316D65">
      <w:pPr>
        <w:shd w:val="clear" w:color="auto" w:fill="FFFFFF" w:themeFill="background1"/>
        <w:spacing w:after="0" w:line="276" w:lineRule="auto"/>
        <w:ind w:firstLine="567"/>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2.</w:t>
      </w:r>
      <w:r w:rsidR="007048A1" w:rsidRPr="00565EEE">
        <w:rPr>
          <w:rFonts w:asciiTheme="majorHAnsi" w:hAnsiTheme="majorHAnsi" w:cstheme="majorHAnsi"/>
          <w:sz w:val="24"/>
          <w:szCs w:val="24"/>
          <w:lang w:val="ro-MD"/>
        </w:rPr>
        <w:t>7</w:t>
      </w:r>
      <w:r w:rsidRPr="00565EEE">
        <w:rPr>
          <w:rFonts w:asciiTheme="majorHAnsi" w:hAnsiTheme="majorHAnsi" w:cstheme="majorHAnsi"/>
          <w:sz w:val="24"/>
          <w:szCs w:val="24"/>
          <w:lang w:val="ro-MD"/>
        </w:rPr>
        <w:t>.</w:t>
      </w:r>
      <w:r w:rsidR="00317ED6" w:rsidRPr="00565EEE">
        <w:rPr>
          <w:rFonts w:asciiTheme="majorHAnsi" w:hAnsiTheme="majorHAnsi" w:cstheme="majorHAnsi"/>
          <w:sz w:val="24"/>
          <w:szCs w:val="24"/>
          <w:lang w:val="ro-MD"/>
        </w:rPr>
        <w:t>11</w:t>
      </w:r>
      <w:r w:rsidRPr="00565EEE">
        <w:rPr>
          <w:rFonts w:asciiTheme="majorHAnsi" w:hAnsiTheme="majorHAnsi" w:cstheme="majorHAnsi"/>
          <w:sz w:val="24"/>
          <w:szCs w:val="24"/>
          <w:lang w:val="ro-MD"/>
        </w:rPr>
        <w:t>. asigurarea</w:t>
      </w:r>
      <w:r w:rsidR="0078492F" w:rsidRPr="00565EEE">
        <w:rPr>
          <w:rFonts w:asciiTheme="majorHAnsi" w:hAnsiTheme="majorHAnsi" w:cstheme="majorHAnsi"/>
          <w:sz w:val="24"/>
          <w:szCs w:val="24"/>
          <w:lang w:val="ro-MD"/>
        </w:rPr>
        <w:t>,</w:t>
      </w:r>
      <w:r w:rsidRPr="00565EEE">
        <w:rPr>
          <w:rFonts w:asciiTheme="majorHAnsi" w:hAnsiTheme="majorHAnsi" w:cstheme="majorHAnsi"/>
          <w:sz w:val="24"/>
          <w:szCs w:val="24"/>
          <w:lang w:val="ro-MD"/>
        </w:rPr>
        <w:t xml:space="preserve"> la planificarea bugetului și la executarea cheltuielilor</w:t>
      </w:r>
      <w:r w:rsidR="004C7E52" w:rsidRPr="00565EEE">
        <w:rPr>
          <w:rFonts w:asciiTheme="majorHAnsi" w:hAnsiTheme="majorHAnsi" w:cstheme="majorHAnsi"/>
          <w:sz w:val="24"/>
          <w:szCs w:val="24"/>
          <w:lang w:val="ro-MD"/>
        </w:rPr>
        <w:t>,</w:t>
      </w:r>
      <w:r w:rsidRPr="00565EEE">
        <w:rPr>
          <w:rFonts w:asciiTheme="majorHAnsi" w:hAnsiTheme="majorHAnsi" w:cstheme="majorHAnsi"/>
          <w:sz w:val="24"/>
          <w:szCs w:val="24"/>
          <w:lang w:val="ro-MD"/>
        </w:rPr>
        <w:t xml:space="preserve"> a înregistrării evenimentelor și tranzacțiilor în evidența contabilă în strictă conformitate cu clasificația bugetară</w:t>
      </w:r>
      <w:r w:rsidR="0057565C" w:rsidRPr="00565EEE">
        <w:rPr>
          <w:rFonts w:asciiTheme="majorHAnsi" w:hAnsiTheme="majorHAnsi" w:cstheme="majorHAnsi"/>
          <w:sz w:val="24"/>
          <w:szCs w:val="24"/>
          <w:lang w:val="ro-MD"/>
        </w:rPr>
        <w:t xml:space="preserve"> (excluderea clasificării reparațiilor capitale ca cheltuieli curente)</w:t>
      </w:r>
      <w:r w:rsidR="0038648A">
        <w:rPr>
          <w:rFonts w:asciiTheme="majorHAnsi" w:hAnsiTheme="majorHAnsi" w:cstheme="majorHAnsi"/>
          <w:sz w:val="24"/>
          <w:szCs w:val="24"/>
          <w:lang w:val="ro-MD"/>
        </w:rPr>
        <w:t>, cu elaborarea unor reglementări interne</w:t>
      </w:r>
      <w:r w:rsidRPr="00565EEE">
        <w:rPr>
          <w:rFonts w:asciiTheme="majorHAnsi" w:hAnsiTheme="majorHAnsi" w:cstheme="majorHAnsi"/>
          <w:sz w:val="24"/>
          <w:szCs w:val="24"/>
          <w:lang w:val="ro-MD"/>
        </w:rPr>
        <w:t>;</w:t>
      </w:r>
    </w:p>
    <w:p w:rsidR="00316D65" w:rsidRPr="00565EEE" w:rsidRDefault="00316D65" w:rsidP="0038648A">
      <w:pPr>
        <w:pStyle w:val="a5"/>
        <w:spacing w:line="276" w:lineRule="auto"/>
        <w:rPr>
          <w:rFonts w:asciiTheme="majorHAnsi" w:hAnsiTheme="majorHAnsi" w:cstheme="majorHAnsi"/>
          <w:b/>
          <w:bCs/>
          <w:lang w:val="ro-MD"/>
        </w:rPr>
      </w:pPr>
      <w:r w:rsidRPr="00565EEE">
        <w:rPr>
          <w:rFonts w:asciiTheme="majorHAnsi" w:hAnsiTheme="majorHAnsi" w:cstheme="majorHAnsi"/>
          <w:lang w:val="ro-MD"/>
        </w:rPr>
        <w:t>2.</w:t>
      </w:r>
      <w:r w:rsidR="007048A1" w:rsidRPr="00565EEE">
        <w:rPr>
          <w:rFonts w:asciiTheme="majorHAnsi" w:hAnsiTheme="majorHAnsi" w:cstheme="majorHAnsi"/>
          <w:lang w:val="ro-MD"/>
        </w:rPr>
        <w:t>7</w:t>
      </w:r>
      <w:r w:rsidRPr="00565EEE">
        <w:rPr>
          <w:rFonts w:asciiTheme="majorHAnsi" w:hAnsiTheme="majorHAnsi" w:cstheme="majorHAnsi"/>
          <w:lang w:val="ro-MD"/>
        </w:rPr>
        <w:t>.1</w:t>
      </w:r>
      <w:r w:rsidR="00317ED6" w:rsidRPr="00565EEE">
        <w:rPr>
          <w:rFonts w:asciiTheme="majorHAnsi" w:hAnsiTheme="majorHAnsi" w:cstheme="majorHAnsi"/>
          <w:lang w:val="ro-MD"/>
        </w:rPr>
        <w:t>2</w:t>
      </w:r>
      <w:r w:rsidRPr="00565EEE">
        <w:rPr>
          <w:rFonts w:asciiTheme="majorHAnsi" w:hAnsiTheme="majorHAnsi" w:cstheme="majorHAnsi"/>
          <w:lang w:val="ro-MD"/>
        </w:rPr>
        <w:t xml:space="preserve">. </w:t>
      </w:r>
      <w:r w:rsidR="0038648A">
        <w:rPr>
          <w:rFonts w:asciiTheme="majorHAnsi" w:hAnsiTheme="majorHAnsi" w:cstheme="majorHAnsi"/>
          <w:lang w:val="ro-MD"/>
        </w:rPr>
        <w:t xml:space="preserve">asigurarea </w:t>
      </w:r>
      <w:r w:rsidRPr="00565EEE">
        <w:rPr>
          <w:rFonts w:asciiTheme="majorHAnsi" w:hAnsiTheme="majorHAnsi" w:cstheme="majorHAnsi"/>
          <w:lang w:val="ro-MD"/>
        </w:rPr>
        <w:t>înregistr</w:t>
      </w:r>
      <w:r w:rsidR="0038648A">
        <w:rPr>
          <w:rFonts w:asciiTheme="majorHAnsi" w:hAnsiTheme="majorHAnsi" w:cstheme="majorHAnsi"/>
          <w:lang w:val="ro-MD"/>
        </w:rPr>
        <w:t>ării</w:t>
      </w:r>
      <w:r w:rsidRPr="00565EEE">
        <w:rPr>
          <w:rFonts w:asciiTheme="majorHAnsi" w:hAnsiTheme="majorHAnsi" w:cstheme="majorHAnsi"/>
          <w:lang w:val="ro-MD"/>
        </w:rPr>
        <w:t xml:space="preserve"> tuturor evenimentelor și tranzacțiilor în evidența contabilă</w:t>
      </w:r>
      <w:r w:rsidR="0038648A">
        <w:rPr>
          <w:rFonts w:asciiTheme="majorHAnsi" w:hAnsiTheme="majorHAnsi" w:cstheme="majorHAnsi"/>
          <w:lang w:val="ro-MD"/>
        </w:rPr>
        <w:t>,</w:t>
      </w:r>
      <w:r w:rsidRPr="00565EEE">
        <w:rPr>
          <w:rFonts w:asciiTheme="majorHAnsi" w:hAnsiTheme="majorHAnsi" w:cstheme="majorHAnsi"/>
          <w:lang w:val="ro-MD"/>
        </w:rPr>
        <w:t xml:space="preserve"> </w:t>
      </w:r>
      <w:r w:rsidR="0038648A">
        <w:rPr>
          <w:rFonts w:asciiTheme="majorHAnsi" w:hAnsiTheme="majorHAnsi" w:cstheme="majorHAnsi"/>
          <w:lang w:val="ro-MD"/>
        </w:rPr>
        <w:t>de către toate entitățile din subordine,</w:t>
      </w:r>
      <w:r w:rsidR="0038648A" w:rsidRPr="00565EEE">
        <w:rPr>
          <w:rFonts w:asciiTheme="majorHAnsi" w:hAnsiTheme="majorHAnsi" w:cstheme="majorHAnsi"/>
          <w:lang w:val="ro-MD"/>
        </w:rPr>
        <w:t xml:space="preserve"> </w:t>
      </w:r>
      <w:r w:rsidRPr="00565EEE">
        <w:rPr>
          <w:rFonts w:asciiTheme="majorHAnsi" w:hAnsiTheme="majorHAnsi" w:cstheme="majorHAnsi"/>
          <w:lang w:val="ro-MD"/>
        </w:rPr>
        <w:t>în strictă conformitate cu cadrul de raportare financiară aplicabil.</w:t>
      </w:r>
    </w:p>
    <w:p w:rsidR="00EA16DD" w:rsidRPr="00565EEE" w:rsidRDefault="00EA16DD" w:rsidP="00995A50">
      <w:pPr>
        <w:spacing w:after="0" w:line="276" w:lineRule="auto"/>
        <w:ind w:firstLine="562"/>
        <w:jc w:val="both"/>
        <w:rPr>
          <w:rFonts w:asciiTheme="majorHAnsi" w:hAnsiTheme="majorHAnsi" w:cstheme="majorHAnsi"/>
          <w:sz w:val="24"/>
          <w:szCs w:val="24"/>
          <w:lang w:val="ro-MD"/>
        </w:rPr>
      </w:pPr>
      <w:r w:rsidRPr="00565EEE">
        <w:rPr>
          <w:rFonts w:asciiTheme="majorHAnsi" w:eastAsia="Times New Roman" w:hAnsiTheme="majorHAnsi" w:cstheme="majorHAnsi"/>
          <w:b/>
          <w:sz w:val="24"/>
          <w:szCs w:val="24"/>
          <w:lang w:val="ro-MD" w:eastAsia="ro-MD"/>
        </w:rPr>
        <w:t>3.</w:t>
      </w:r>
      <w:r w:rsidRPr="00565EEE">
        <w:rPr>
          <w:rFonts w:asciiTheme="majorHAnsi" w:eastAsia="Times New Roman" w:hAnsiTheme="majorHAnsi" w:cstheme="majorHAnsi"/>
          <w:sz w:val="24"/>
          <w:szCs w:val="24"/>
          <w:lang w:val="ro-MD" w:eastAsia="ro-MD"/>
        </w:rPr>
        <w:t xml:space="preserve"> </w:t>
      </w:r>
      <w:r w:rsidR="00665035" w:rsidRPr="00565EEE">
        <w:rPr>
          <w:rFonts w:asciiTheme="majorHAnsi" w:hAnsiTheme="majorHAnsi" w:cstheme="majorHAnsi"/>
          <w:sz w:val="24"/>
          <w:szCs w:val="24"/>
          <w:lang w:val="ro-MD"/>
        </w:rPr>
        <w:t>S</w:t>
      </w:r>
      <w:r w:rsidRPr="00565EEE">
        <w:rPr>
          <w:rFonts w:asciiTheme="majorHAnsi" w:hAnsiTheme="majorHAnsi" w:cstheme="majorHAnsi"/>
          <w:sz w:val="24"/>
          <w:szCs w:val="24"/>
          <w:lang w:val="ro-MD"/>
        </w:rPr>
        <w:t>e exclud di</w:t>
      </w:r>
      <w:r w:rsidR="00F13998" w:rsidRPr="00565EEE">
        <w:rPr>
          <w:rFonts w:asciiTheme="majorHAnsi" w:hAnsiTheme="majorHAnsi" w:cstheme="majorHAnsi"/>
          <w:sz w:val="24"/>
          <w:szCs w:val="24"/>
          <w:lang w:val="ro-MD"/>
        </w:rPr>
        <w:t xml:space="preserve">n regim de monitorizare </w:t>
      </w:r>
      <w:r w:rsidR="00760BE2" w:rsidRPr="00565EEE">
        <w:rPr>
          <w:rFonts w:asciiTheme="majorHAnsi" w:hAnsiTheme="majorHAnsi" w:cstheme="majorHAnsi"/>
          <w:sz w:val="24"/>
          <w:szCs w:val="24"/>
          <w:lang w:val="ro-MD"/>
        </w:rPr>
        <w:t xml:space="preserve">cerințele și recomandările înaintate prin </w:t>
      </w:r>
      <w:r w:rsidR="00F13998" w:rsidRPr="00565EEE">
        <w:rPr>
          <w:rFonts w:asciiTheme="majorHAnsi" w:hAnsiTheme="majorHAnsi" w:cstheme="majorHAnsi"/>
          <w:sz w:val="24"/>
          <w:szCs w:val="24"/>
          <w:lang w:val="ro-MD"/>
        </w:rPr>
        <w:t>Hotărârea</w:t>
      </w:r>
      <w:r w:rsidRPr="00565EEE">
        <w:rPr>
          <w:rFonts w:asciiTheme="majorHAnsi" w:hAnsiTheme="majorHAnsi" w:cstheme="majorHAnsi"/>
          <w:sz w:val="24"/>
          <w:szCs w:val="24"/>
          <w:lang w:val="ro-MD"/>
        </w:rPr>
        <w:t xml:space="preserve"> Curții de Conturi nr.</w:t>
      </w:r>
      <w:r w:rsidR="004E4C47" w:rsidRPr="00565EEE">
        <w:rPr>
          <w:rFonts w:asciiTheme="majorHAnsi" w:hAnsiTheme="majorHAnsi" w:cstheme="majorHAnsi"/>
          <w:sz w:val="24"/>
          <w:szCs w:val="24"/>
          <w:lang w:val="ro-MD"/>
        </w:rPr>
        <w:t>94</w:t>
      </w:r>
      <w:r w:rsidR="00F13998" w:rsidRPr="00565EEE">
        <w:rPr>
          <w:rFonts w:asciiTheme="majorHAnsi" w:hAnsiTheme="majorHAnsi" w:cstheme="majorHAnsi"/>
          <w:sz w:val="24"/>
          <w:szCs w:val="24"/>
          <w:lang w:val="ro-MD"/>
        </w:rPr>
        <w:t xml:space="preserve"> din </w:t>
      </w:r>
      <w:r w:rsidR="004E4C47" w:rsidRPr="00565EEE">
        <w:rPr>
          <w:rFonts w:asciiTheme="majorHAnsi" w:hAnsiTheme="majorHAnsi" w:cstheme="majorHAnsi"/>
          <w:sz w:val="24"/>
          <w:szCs w:val="24"/>
          <w:lang w:val="ro-MD"/>
        </w:rPr>
        <w:t>17.12</w:t>
      </w:r>
      <w:r w:rsidRPr="00565EEE">
        <w:rPr>
          <w:rFonts w:asciiTheme="majorHAnsi" w:hAnsiTheme="majorHAnsi" w:cstheme="majorHAnsi"/>
          <w:sz w:val="24"/>
          <w:szCs w:val="24"/>
          <w:lang w:val="ro-MD"/>
        </w:rPr>
        <w:t>.20</w:t>
      </w:r>
      <w:r w:rsidR="004E4C47" w:rsidRPr="00565EEE">
        <w:rPr>
          <w:rFonts w:asciiTheme="majorHAnsi" w:hAnsiTheme="majorHAnsi" w:cstheme="majorHAnsi"/>
          <w:sz w:val="24"/>
          <w:szCs w:val="24"/>
          <w:lang w:val="ro-MD"/>
        </w:rPr>
        <w:t>18</w:t>
      </w:r>
      <w:r w:rsidRPr="00565EEE">
        <w:rPr>
          <w:rFonts w:asciiTheme="majorHAnsi" w:hAnsiTheme="majorHAnsi" w:cstheme="majorHAnsi"/>
          <w:sz w:val="24"/>
          <w:szCs w:val="24"/>
          <w:lang w:val="ro-MD"/>
        </w:rPr>
        <w:t xml:space="preserve"> „Cu privire la Raportul auditului </w:t>
      </w:r>
      <w:r w:rsidR="004E4C47" w:rsidRPr="00565EEE">
        <w:rPr>
          <w:rFonts w:asciiTheme="majorHAnsi" w:hAnsiTheme="majorHAnsi" w:cstheme="majorHAnsi"/>
          <w:sz w:val="24"/>
          <w:szCs w:val="24"/>
          <w:lang w:val="ro-MD"/>
        </w:rPr>
        <w:t>asupra rapo</w:t>
      </w:r>
      <w:r w:rsidRPr="00565EEE">
        <w:rPr>
          <w:rFonts w:asciiTheme="majorHAnsi" w:hAnsiTheme="majorHAnsi" w:cstheme="majorHAnsi"/>
          <w:sz w:val="24"/>
          <w:szCs w:val="24"/>
          <w:lang w:val="ro-MD"/>
        </w:rPr>
        <w:t>rt</w:t>
      </w:r>
      <w:r w:rsidR="004E4C47" w:rsidRPr="00565EEE">
        <w:rPr>
          <w:rFonts w:asciiTheme="majorHAnsi" w:hAnsiTheme="majorHAnsi" w:cstheme="majorHAnsi"/>
          <w:sz w:val="24"/>
          <w:szCs w:val="24"/>
          <w:lang w:val="ro-MD"/>
        </w:rPr>
        <w:t>ului financiar</w:t>
      </w:r>
      <w:r w:rsidRPr="00565EEE">
        <w:rPr>
          <w:rFonts w:asciiTheme="majorHAnsi" w:hAnsiTheme="majorHAnsi" w:cstheme="majorHAnsi"/>
          <w:sz w:val="24"/>
          <w:szCs w:val="24"/>
          <w:lang w:val="ro-MD"/>
        </w:rPr>
        <w:t xml:space="preserve"> al</w:t>
      </w:r>
      <w:r w:rsidR="004E4C47" w:rsidRPr="00565EEE">
        <w:rPr>
          <w:rFonts w:asciiTheme="majorHAnsi" w:hAnsiTheme="majorHAnsi" w:cstheme="majorHAnsi"/>
          <w:sz w:val="24"/>
          <w:szCs w:val="24"/>
          <w:lang w:val="ro-MD"/>
        </w:rPr>
        <w:t xml:space="preserve"> municipiului Chișinău pe anul 2017</w:t>
      </w:r>
      <w:r w:rsidRPr="00565EEE">
        <w:rPr>
          <w:rFonts w:asciiTheme="majorHAnsi" w:hAnsiTheme="majorHAnsi" w:cstheme="majorHAnsi"/>
          <w:sz w:val="24"/>
          <w:szCs w:val="24"/>
          <w:lang w:val="ro-MD"/>
        </w:rPr>
        <w:t xml:space="preserve">”, </w:t>
      </w:r>
      <w:r w:rsidR="00665035" w:rsidRPr="00565EEE">
        <w:rPr>
          <w:rFonts w:asciiTheme="majorHAnsi" w:hAnsiTheme="majorHAnsi" w:cstheme="majorHAnsi"/>
          <w:sz w:val="24"/>
          <w:szCs w:val="24"/>
          <w:lang w:val="ro-MD"/>
        </w:rPr>
        <w:t>cu reiterarea recomandărilor neimplementate.</w:t>
      </w:r>
    </w:p>
    <w:p w:rsidR="00760BE2" w:rsidRPr="00565EEE" w:rsidRDefault="00760BE2" w:rsidP="00995A50">
      <w:pPr>
        <w:spacing w:after="0" w:line="276" w:lineRule="auto"/>
        <w:ind w:firstLine="562"/>
        <w:jc w:val="both"/>
        <w:rPr>
          <w:rFonts w:asciiTheme="majorHAnsi" w:hAnsiTheme="majorHAnsi" w:cstheme="majorHAnsi"/>
          <w:color w:val="000000"/>
          <w:sz w:val="24"/>
          <w:szCs w:val="24"/>
          <w:lang w:val="ro-MD"/>
        </w:rPr>
      </w:pPr>
      <w:r w:rsidRPr="00565EEE">
        <w:rPr>
          <w:rFonts w:asciiTheme="majorHAnsi" w:hAnsiTheme="majorHAnsi" w:cstheme="majorHAnsi"/>
          <w:b/>
          <w:sz w:val="24"/>
          <w:szCs w:val="24"/>
          <w:lang w:val="ro-MD"/>
        </w:rPr>
        <w:t>4.</w:t>
      </w:r>
      <w:r w:rsidRPr="00565EEE">
        <w:rPr>
          <w:rFonts w:asciiTheme="majorHAnsi" w:hAnsiTheme="majorHAnsi" w:cstheme="majorHAnsi"/>
          <w:sz w:val="24"/>
          <w:szCs w:val="24"/>
          <w:lang w:val="ro-MD"/>
        </w:rPr>
        <w:t xml:space="preserve"> Se ia act că, pe parcursul misiunii de audit, Primăria mun. Chișinău și instituțiile din subordine</w:t>
      </w:r>
      <w:r w:rsidRPr="00565EEE">
        <w:rPr>
          <w:rStyle w:val="ad"/>
          <w:rFonts w:asciiTheme="majorHAnsi" w:hAnsiTheme="majorHAnsi" w:cstheme="majorHAnsi"/>
          <w:sz w:val="24"/>
          <w:szCs w:val="24"/>
          <w:lang w:val="ro-MD"/>
        </w:rPr>
        <w:footnoteReference w:id="7"/>
      </w:r>
      <w:r w:rsidRPr="00565EEE">
        <w:rPr>
          <w:rFonts w:asciiTheme="majorHAnsi" w:hAnsiTheme="majorHAnsi" w:cstheme="majorHAnsi"/>
          <w:sz w:val="24"/>
          <w:szCs w:val="24"/>
          <w:lang w:val="ro-MD"/>
        </w:rPr>
        <w:t xml:space="preserve"> au efectuat corectări financiar-contabile de 311,5 mil.lei</w:t>
      </w:r>
      <w:r w:rsidRPr="00565EEE">
        <w:rPr>
          <w:rFonts w:asciiTheme="majorHAnsi" w:hAnsiTheme="majorHAnsi" w:cstheme="majorHAnsi"/>
          <w:color w:val="000000"/>
          <w:sz w:val="24"/>
          <w:szCs w:val="24"/>
          <w:lang w:val="ro-MD"/>
        </w:rPr>
        <w:t>.</w:t>
      </w:r>
    </w:p>
    <w:p w:rsidR="00EA16DD" w:rsidRPr="00565EEE" w:rsidRDefault="00760BE2" w:rsidP="00995A50">
      <w:pPr>
        <w:spacing w:after="0" w:line="276" w:lineRule="auto"/>
        <w:ind w:firstLine="562"/>
        <w:jc w:val="both"/>
        <w:rPr>
          <w:rFonts w:asciiTheme="majorHAnsi" w:hAnsiTheme="majorHAnsi" w:cstheme="majorHAnsi"/>
          <w:bCs/>
          <w:sz w:val="24"/>
          <w:szCs w:val="24"/>
          <w:lang w:val="ro-MD"/>
        </w:rPr>
      </w:pPr>
      <w:r w:rsidRPr="00565EEE">
        <w:rPr>
          <w:rFonts w:asciiTheme="majorHAnsi" w:hAnsiTheme="majorHAnsi" w:cstheme="majorHAnsi"/>
          <w:b/>
          <w:bCs/>
          <w:sz w:val="24"/>
          <w:szCs w:val="24"/>
          <w:lang w:val="ro-MD"/>
        </w:rPr>
        <w:t>5</w:t>
      </w:r>
      <w:r w:rsidR="00EA16DD" w:rsidRPr="00565EEE">
        <w:rPr>
          <w:rFonts w:asciiTheme="majorHAnsi" w:hAnsiTheme="majorHAnsi" w:cstheme="majorHAnsi"/>
          <w:b/>
          <w:bCs/>
          <w:sz w:val="24"/>
          <w:szCs w:val="24"/>
          <w:lang w:val="ro-MD"/>
        </w:rPr>
        <w:t>.</w:t>
      </w:r>
      <w:r w:rsidR="00EA16DD" w:rsidRPr="00565EEE">
        <w:rPr>
          <w:rFonts w:asciiTheme="majorHAnsi" w:hAnsiTheme="majorHAnsi" w:cstheme="majorHAnsi"/>
          <w:bCs/>
          <w:sz w:val="24"/>
          <w:szCs w:val="24"/>
          <w:lang w:val="ro-MD"/>
        </w:rPr>
        <w:t xml:space="preserve"> Se împuternicește membrul Curții de Conturi </w:t>
      </w:r>
      <w:r w:rsidR="00A91098" w:rsidRPr="00565EEE">
        <w:rPr>
          <w:rFonts w:asciiTheme="majorHAnsi" w:hAnsiTheme="majorHAnsi" w:cstheme="majorHAnsi"/>
          <w:sz w:val="24"/>
          <w:szCs w:val="24"/>
          <w:lang w:val="ro-MD"/>
        </w:rPr>
        <w:t xml:space="preserve">care coordonează sectorul respectiv cu dreptul de a </w:t>
      </w:r>
      <w:r w:rsidR="00EA16DD" w:rsidRPr="00565EEE">
        <w:rPr>
          <w:rFonts w:asciiTheme="majorHAnsi" w:hAnsiTheme="majorHAnsi" w:cstheme="majorHAnsi"/>
          <w:bCs/>
          <w:sz w:val="24"/>
          <w:szCs w:val="24"/>
          <w:lang w:val="ro-MD"/>
        </w:rPr>
        <w:t>semn</w:t>
      </w:r>
      <w:r w:rsidR="00A91098" w:rsidRPr="00565EEE">
        <w:rPr>
          <w:rFonts w:asciiTheme="majorHAnsi" w:hAnsiTheme="majorHAnsi" w:cstheme="majorHAnsi"/>
          <w:bCs/>
          <w:sz w:val="24"/>
          <w:szCs w:val="24"/>
          <w:lang w:val="ro-MD"/>
        </w:rPr>
        <w:t xml:space="preserve">a </w:t>
      </w:r>
      <w:r w:rsidR="00EA16DD" w:rsidRPr="00565EEE">
        <w:rPr>
          <w:rFonts w:asciiTheme="majorHAnsi" w:hAnsiTheme="majorHAnsi" w:cstheme="majorHAnsi"/>
          <w:bCs/>
          <w:sz w:val="24"/>
          <w:szCs w:val="24"/>
          <w:lang w:val="ro-MD"/>
        </w:rPr>
        <w:t>Scrisoarea către conducerea</w:t>
      </w:r>
      <w:r w:rsidR="00EA16DD" w:rsidRPr="00565EEE">
        <w:rPr>
          <w:rFonts w:asciiTheme="majorHAnsi" w:hAnsiTheme="majorHAnsi" w:cstheme="majorHAnsi"/>
          <w:b/>
          <w:bCs/>
          <w:sz w:val="24"/>
          <w:szCs w:val="24"/>
          <w:lang w:val="ro-MD"/>
        </w:rPr>
        <w:t xml:space="preserve"> </w:t>
      </w:r>
      <w:r w:rsidR="00995A50" w:rsidRPr="00565EEE">
        <w:rPr>
          <w:rFonts w:asciiTheme="majorHAnsi" w:eastAsia="Times New Roman" w:hAnsiTheme="majorHAnsi" w:cstheme="majorHAnsi"/>
          <w:sz w:val="24"/>
          <w:szCs w:val="24"/>
          <w:lang w:val="ro-MD"/>
        </w:rPr>
        <w:t>entității auditate</w:t>
      </w:r>
      <w:r w:rsidR="00EA16DD" w:rsidRPr="00565EEE">
        <w:rPr>
          <w:rFonts w:asciiTheme="majorHAnsi" w:hAnsiTheme="majorHAnsi" w:cstheme="majorHAnsi"/>
          <w:bCs/>
          <w:sz w:val="24"/>
          <w:szCs w:val="24"/>
          <w:lang w:val="ro-MD"/>
        </w:rPr>
        <w:t xml:space="preserve">. </w:t>
      </w:r>
    </w:p>
    <w:p w:rsidR="00EA16DD" w:rsidRPr="00565EEE" w:rsidRDefault="00760BE2" w:rsidP="00B72F0B">
      <w:pPr>
        <w:spacing w:after="0" w:line="276" w:lineRule="auto"/>
        <w:ind w:firstLine="562"/>
        <w:jc w:val="both"/>
        <w:rPr>
          <w:rFonts w:asciiTheme="majorHAnsi" w:hAnsiTheme="majorHAnsi" w:cstheme="majorHAnsi"/>
          <w:color w:val="FF0000"/>
          <w:sz w:val="24"/>
          <w:szCs w:val="24"/>
          <w:lang w:val="ro-MD"/>
        </w:rPr>
      </w:pPr>
      <w:r w:rsidRPr="00565EEE">
        <w:rPr>
          <w:rFonts w:asciiTheme="majorHAnsi" w:hAnsiTheme="majorHAnsi" w:cstheme="majorHAnsi"/>
          <w:b/>
          <w:bCs/>
          <w:sz w:val="24"/>
          <w:szCs w:val="24"/>
          <w:lang w:val="ro-MD"/>
        </w:rPr>
        <w:t>6</w:t>
      </w:r>
      <w:r w:rsidR="00EA16DD" w:rsidRPr="00565EEE">
        <w:rPr>
          <w:rFonts w:asciiTheme="majorHAnsi" w:hAnsiTheme="majorHAnsi" w:cstheme="majorHAnsi"/>
          <w:b/>
          <w:bCs/>
          <w:sz w:val="24"/>
          <w:szCs w:val="24"/>
          <w:lang w:val="ro-MD"/>
        </w:rPr>
        <w:t xml:space="preserve">. </w:t>
      </w:r>
      <w:r w:rsidR="00EA16DD" w:rsidRPr="00565EEE">
        <w:rPr>
          <w:rFonts w:asciiTheme="majorHAnsi" w:hAnsiTheme="majorHAnsi" w:cstheme="majorHAnsi"/>
          <w:sz w:val="24"/>
          <w:szCs w:val="24"/>
          <w:lang w:val="ro-MD" w:eastAsia="ru-RU"/>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EA16DD" w:rsidRPr="00565EEE" w:rsidRDefault="00EA16DD" w:rsidP="00760BE2">
      <w:pPr>
        <w:spacing w:after="0" w:line="276" w:lineRule="auto"/>
        <w:ind w:firstLine="562"/>
        <w:jc w:val="both"/>
        <w:rPr>
          <w:rFonts w:asciiTheme="majorHAnsi" w:hAnsiTheme="majorHAnsi" w:cstheme="majorHAnsi"/>
          <w:sz w:val="24"/>
          <w:szCs w:val="24"/>
          <w:lang w:val="ro-MD"/>
        </w:rPr>
      </w:pPr>
      <w:r w:rsidRPr="00565EEE">
        <w:rPr>
          <w:rFonts w:asciiTheme="majorHAnsi" w:hAnsiTheme="majorHAnsi" w:cstheme="majorHAnsi"/>
          <w:sz w:val="24"/>
          <w:szCs w:val="24"/>
          <w:lang w:val="ro-MD"/>
        </w:rPr>
        <w:t xml:space="preserve"> </w:t>
      </w:r>
      <w:r w:rsidR="00760BE2" w:rsidRPr="00565EEE">
        <w:rPr>
          <w:rFonts w:asciiTheme="majorHAnsi" w:hAnsiTheme="majorHAnsi" w:cstheme="majorHAnsi"/>
          <w:b/>
          <w:bCs/>
          <w:sz w:val="24"/>
          <w:szCs w:val="24"/>
          <w:lang w:val="ro-MD"/>
        </w:rPr>
        <w:t>7</w:t>
      </w:r>
      <w:r w:rsidRPr="00565EEE">
        <w:rPr>
          <w:rFonts w:asciiTheme="majorHAnsi" w:hAnsiTheme="majorHAnsi" w:cstheme="majorHAnsi"/>
          <w:b/>
          <w:bCs/>
          <w:sz w:val="24"/>
          <w:szCs w:val="24"/>
          <w:lang w:val="ro-MD"/>
        </w:rPr>
        <w:t xml:space="preserve">. </w:t>
      </w:r>
      <w:r w:rsidRPr="00565EEE">
        <w:rPr>
          <w:rFonts w:asciiTheme="majorHAnsi" w:hAnsiTheme="majorHAnsi" w:cstheme="majorHAnsi"/>
          <w:sz w:val="24"/>
          <w:szCs w:val="24"/>
          <w:lang w:val="ro-MD"/>
        </w:rPr>
        <w:t>Curtea de Conturi va fi informată</w:t>
      </w:r>
      <w:r w:rsidR="00387AE6" w:rsidRPr="00565EEE">
        <w:rPr>
          <w:rFonts w:asciiTheme="majorHAnsi" w:hAnsiTheme="majorHAnsi" w:cstheme="majorHAnsi"/>
          <w:sz w:val="24"/>
          <w:szCs w:val="24"/>
          <w:lang w:val="ro-MD"/>
        </w:rPr>
        <w:t xml:space="preserve"> trimestrial</w:t>
      </w:r>
      <w:r w:rsidRPr="00565EEE">
        <w:rPr>
          <w:rFonts w:asciiTheme="majorHAnsi" w:hAnsiTheme="majorHAnsi" w:cstheme="majorHAnsi"/>
          <w:sz w:val="24"/>
          <w:szCs w:val="24"/>
          <w:lang w:val="ro-MD"/>
        </w:rPr>
        <w:t xml:space="preserve">, în termen de </w:t>
      </w:r>
      <w:r w:rsidR="00317ED6" w:rsidRPr="00565EEE">
        <w:rPr>
          <w:rFonts w:asciiTheme="majorHAnsi" w:hAnsiTheme="majorHAnsi" w:cstheme="majorHAnsi"/>
          <w:sz w:val="24"/>
          <w:szCs w:val="24"/>
          <w:lang w:val="ro-MD"/>
        </w:rPr>
        <w:t xml:space="preserve">12 </w:t>
      </w:r>
      <w:r w:rsidRPr="00565EEE">
        <w:rPr>
          <w:rFonts w:asciiTheme="majorHAnsi" w:hAnsiTheme="majorHAnsi" w:cstheme="majorHAnsi"/>
          <w:sz w:val="24"/>
          <w:szCs w:val="24"/>
          <w:lang w:val="ro-MD"/>
        </w:rPr>
        <w:t xml:space="preserve">luni din data intrării în vigoare a </w:t>
      </w:r>
      <w:r w:rsidR="00A91098" w:rsidRPr="00565EEE">
        <w:rPr>
          <w:rFonts w:asciiTheme="majorHAnsi" w:hAnsiTheme="majorHAnsi" w:cstheme="majorHAnsi"/>
          <w:sz w:val="24"/>
          <w:szCs w:val="24"/>
          <w:lang w:val="ro-MD"/>
        </w:rPr>
        <w:t xml:space="preserve">prezentei </w:t>
      </w:r>
      <w:r w:rsidRPr="00565EEE">
        <w:rPr>
          <w:rFonts w:asciiTheme="majorHAnsi" w:hAnsiTheme="majorHAnsi" w:cstheme="majorHAnsi"/>
          <w:sz w:val="24"/>
          <w:szCs w:val="24"/>
          <w:lang w:val="ro-MD"/>
        </w:rPr>
        <w:t>Hotărâri, despre acțiunile întreprinse pentru executarea subpunct</w:t>
      </w:r>
      <w:r w:rsidR="00387AE6" w:rsidRPr="00565EEE">
        <w:rPr>
          <w:rFonts w:asciiTheme="majorHAnsi" w:hAnsiTheme="majorHAnsi" w:cstheme="majorHAnsi"/>
          <w:sz w:val="24"/>
          <w:szCs w:val="24"/>
          <w:lang w:val="ro-MD"/>
        </w:rPr>
        <w:t>elor</w:t>
      </w:r>
      <w:r w:rsidRPr="00565EEE">
        <w:rPr>
          <w:rFonts w:asciiTheme="majorHAnsi" w:hAnsiTheme="majorHAnsi" w:cstheme="majorHAnsi"/>
          <w:sz w:val="24"/>
          <w:szCs w:val="24"/>
          <w:lang w:val="ro-MD"/>
        </w:rPr>
        <w:t xml:space="preserve"> 2.</w:t>
      </w:r>
      <w:r w:rsidR="00A506CB" w:rsidRPr="00565EEE">
        <w:rPr>
          <w:rFonts w:asciiTheme="majorHAnsi" w:hAnsiTheme="majorHAnsi" w:cstheme="majorHAnsi"/>
          <w:sz w:val="24"/>
          <w:szCs w:val="24"/>
          <w:lang w:val="ro-MD"/>
        </w:rPr>
        <w:t>5</w:t>
      </w:r>
      <w:r w:rsidR="00760BE2" w:rsidRPr="00565EEE">
        <w:rPr>
          <w:rFonts w:asciiTheme="majorHAnsi" w:hAnsiTheme="majorHAnsi" w:cstheme="majorHAnsi"/>
          <w:sz w:val="24"/>
          <w:szCs w:val="24"/>
          <w:lang w:val="ro-MD"/>
        </w:rPr>
        <w:t>.</w:t>
      </w:r>
      <w:r w:rsidR="0016683E" w:rsidRPr="00565EEE">
        <w:rPr>
          <w:rFonts w:asciiTheme="majorHAnsi" w:hAnsiTheme="majorHAnsi" w:cstheme="majorHAnsi"/>
          <w:sz w:val="24"/>
          <w:szCs w:val="24"/>
          <w:lang w:val="ro-MD"/>
        </w:rPr>
        <w:t xml:space="preserve"> </w:t>
      </w:r>
      <w:r w:rsidR="00760BE2" w:rsidRPr="00565EEE">
        <w:rPr>
          <w:rFonts w:asciiTheme="majorHAnsi" w:hAnsiTheme="majorHAnsi" w:cstheme="majorHAnsi"/>
          <w:sz w:val="24"/>
          <w:szCs w:val="24"/>
          <w:lang w:val="ro-MD"/>
        </w:rPr>
        <w:t xml:space="preserve">și </w:t>
      </w:r>
      <w:r w:rsidR="00387AE6" w:rsidRPr="00565EEE">
        <w:rPr>
          <w:rFonts w:asciiTheme="majorHAnsi" w:hAnsiTheme="majorHAnsi" w:cstheme="majorHAnsi"/>
          <w:sz w:val="24"/>
          <w:szCs w:val="24"/>
          <w:lang w:val="ro-MD"/>
        </w:rPr>
        <w:t>2.</w:t>
      </w:r>
      <w:r w:rsidR="00A506CB" w:rsidRPr="00565EEE">
        <w:rPr>
          <w:rFonts w:asciiTheme="majorHAnsi" w:hAnsiTheme="majorHAnsi" w:cstheme="majorHAnsi"/>
          <w:sz w:val="24"/>
          <w:szCs w:val="24"/>
          <w:lang w:val="ro-MD"/>
        </w:rPr>
        <w:t>7</w:t>
      </w:r>
      <w:r w:rsidR="00387AE6" w:rsidRPr="00565EEE">
        <w:rPr>
          <w:rFonts w:asciiTheme="majorHAnsi" w:hAnsiTheme="majorHAnsi" w:cstheme="majorHAnsi"/>
          <w:sz w:val="24"/>
          <w:szCs w:val="24"/>
          <w:lang w:val="ro-MD"/>
        </w:rPr>
        <w:t>.</w:t>
      </w:r>
      <w:r w:rsidRPr="00565EEE">
        <w:rPr>
          <w:rFonts w:asciiTheme="majorHAnsi" w:hAnsiTheme="majorHAnsi" w:cstheme="majorHAnsi"/>
          <w:sz w:val="24"/>
          <w:szCs w:val="24"/>
          <w:lang w:val="ro-MD"/>
        </w:rPr>
        <w:t xml:space="preserve"> din prezenta Hotărâre și</w:t>
      </w:r>
      <w:r w:rsidR="00415565" w:rsidRPr="00565EEE">
        <w:rPr>
          <w:rFonts w:asciiTheme="majorHAnsi" w:hAnsiTheme="majorHAnsi" w:cstheme="majorHAnsi"/>
          <w:sz w:val="24"/>
          <w:szCs w:val="24"/>
          <w:lang w:val="ro-MD"/>
        </w:rPr>
        <w:t xml:space="preserve"> despre</w:t>
      </w:r>
      <w:r w:rsidRPr="00565EEE">
        <w:rPr>
          <w:rFonts w:asciiTheme="majorHAnsi" w:hAnsiTheme="majorHAnsi" w:cstheme="majorHAnsi"/>
          <w:sz w:val="24"/>
          <w:szCs w:val="24"/>
          <w:lang w:val="ro-MD"/>
        </w:rPr>
        <w:t xml:space="preserve"> realizarea recomandărilor</w:t>
      </w:r>
      <w:r w:rsidRPr="00565EEE">
        <w:rPr>
          <w:rFonts w:asciiTheme="majorHAnsi" w:hAnsiTheme="majorHAnsi" w:cstheme="majorHAnsi"/>
          <w:bCs/>
          <w:sz w:val="24"/>
          <w:szCs w:val="24"/>
          <w:lang w:val="ro-MD"/>
        </w:rPr>
        <w:t xml:space="preserve"> din Scrisoarea către conducerea entității</w:t>
      </w:r>
      <w:r w:rsidRPr="00565EEE">
        <w:rPr>
          <w:rFonts w:asciiTheme="majorHAnsi" w:hAnsiTheme="majorHAnsi" w:cstheme="majorHAnsi"/>
          <w:sz w:val="24"/>
          <w:szCs w:val="24"/>
          <w:lang w:val="ro-MD"/>
        </w:rPr>
        <w:t xml:space="preserve">. </w:t>
      </w:r>
    </w:p>
    <w:p w:rsidR="00EA16DD" w:rsidRPr="00565EEE" w:rsidRDefault="00760BE2" w:rsidP="0071031A">
      <w:pPr>
        <w:spacing w:after="0" w:line="276" w:lineRule="auto"/>
        <w:ind w:firstLine="562"/>
        <w:jc w:val="both"/>
        <w:rPr>
          <w:rFonts w:asciiTheme="majorHAnsi" w:eastAsia="Times New Roman" w:hAnsiTheme="majorHAnsi" w:cstheme="majorHAnsi"/>
          <w:sz w:val="24"/>
          <w:szCs w:val="24"/>
          <w:lang w:val="ro-MD" w:eastAsia="ro-MD"/>
        </w:rPr>
      </w:pPr>
      <w:r w:rsidRPr="00565EEE">
        <w:rPr>
          <w:rFonts w:asciiTheme="majorHAnsi" w:hAnsiTheme="majorHAnsi" w:cstheme="majorHAnsi"/>
          <w:b/>
          <w:sz w:val="24"/>
          <w:szCs w:val="24"/>
          <w:lang w:val="ro-MD"/>
        </w:rPr>
        <w:t>8</w:t>
      </w:r>
      <w:r w:rsidR="00EA16DD" w:rsidRPr="00565EEE">
        <w:rPr>
          <w:rFonts w:asciiTheme="majorHAnsi" w:hAnsiTheme="majorHAnsi" w:cstheme="majorHAnsi"/>
          <w:b/>
          <w:sz w:val="24"/>
          <w:szCs w:val="24"/>
          <w:lang w:val="ro-MD"/>
        </w:rPr>
        <w:t>.</w:t>
      </w:r>
      <w:r w:rsidR="00EA16DD" w:rsidRPr="00565EEE">
        <w:rPr>
          <w:rFonts w:asciiTheme="majorHAnsi" w:hAnsiTheme="majorHAnsi" w:cstheme="majorHAnsi"/>
          <w:sz w:val="24"/>
          <w:szCs w:val="24"/>
          <w:lang w:val="ro-MD"/>
        </w:rPr>
        <w:t xml:space="preserve"> Hotărârea și Raportul auditului asupra rapoartelor financiare consolidate ale </w:t>
      </w:r>
      <w:r w:rsidR="0071031A" w:rsidRPr="00565EEE">
        <w:rPr>
          <w:rFonts w:asciiTheme="majorHAnsi" w:eastAsia="Times New Roman" w:hAnsiTheme="majorHAnsi" w:cstheme="majorHAnsi"/>
          <w:sz w:val="24"/>
          <w:szCs w:val="24"/>
          <w:lang w:val="ro-MD"/>
        </w:rPr>
        <w:t>UAT mun. Chișinău</w:t>
      </w:r>
      <w:r w:rsidR="00F13998" w:rsidRPr="00565EEE">
        <w:rPr>
          <w:rFonts w:asciiTheme="majorHAnsi" w:hAnsiTheme="majorHAnsi" w:cstheme="majorHAnsi"/>
          <w:sz w:val="24"/>
          <w:szCs w:val="24"/>
          <w:lang w:val="ro-MD"/>
        </w:rPr>
        <w:t xml:space="preserve"> încheiate la 31 decembrie 2020</w:t>
      </w:r>
      <w:r w:rsidR="00EA16DD" w:rsidRPr="00565EEE">
        <w:rPr>
          <w:rFonts w:asciiTheme="majorHAnsi" w:hAnsiTheme="majorHAnsi" w:cstheme="majorHAnsi"/>
          <w:sz w:val="24"/>
          <w:szCs w:val="24"/>
          <w:lang w:val="ro-MD"/>
        </w:rPr>
        <w:t xml:space="preserve"> </w:t>
      </w:r>
      <w:r w:rsidR="003C6896" w:rsidRPr="00565EEE">
        <w:rPr>
          <w:rFonts w:asciiTheme="majorHAnsi" w:hAnsiTheme="majorHAnsi" w:cstheme="majorHAnsi"/>
          <w:i/>
          <w:color w:val="000000"/>
          <w:sz w:val="24"/>
          <w:szCs w:val="24"/>
          <w:lang w:val="ro-MD"/>
        </w:rPr>
        <w:t xml:space="preserve">(UAT/bugetul de nivelul II) </w:t>
      </w:r>
      <w:r w:rsidR="00EA16DD" w:rsidRPr="00565EEE">
        <w:rPr>
          <w:rFonts w:asciiTheme="majorHAnsi" w:hAnsiTheme="majorHAnsi" w:cstheme="majorHAnsi"/>
          <w:sz w:val="24"/>
          <w:szCs w:val="24"/>
          <w:lang w:val="ro-MD"/>
        </w:rPr>
        <w:t>se plasează pe site-ul oficial al Curții de Conturi (</w:t>
      </w:r>
      <w:hyperlink r:id="rId8" w:history="1">
        <w:r w:rsidR="0006351A" w:rsidRPr="00565EEE">
          <w:rPr>
            <w:rStyle w:val="a4"/>
            <w:rFonts w:asciiTheme="majorHAnsi" w:hAnsiTheme="majorHAnsi" w:cstheme="majorHAnsi"/>
            <w:sz w:val="24"/>
            <w:szCs w:val="24"/>
            <w:lang w:val="ro-MD"/>
          </w:rPr>
          <w:t>https://www.ccrm.md/ro/decisions</w:t>
        </w:r>
      </w:hyperlink>
      <w:r w:rsidR="00EA16DD" w:rsidRPr="00565EEE">
        <w:rPr>
          <w:rFonts w:asciiTheme="majorHAnsi" w:hAnsiTheme="majorHAnsi" w:cstheme="majorHAnsi"/>
          <w:sz w:val="24"/>
          <w:szCs w:val="24"/>
          <w:lang w:val="ro-MD"/>
        </w:rPr>
        <w:t>).</w:t>
      </w:r>
    </w:p>
    <w:p w:rsidR="00EA16DD" w:rsidRPr="00565EEE" w:rsidRDefault="00EA16DD">
      <w:pPr>
        <w:pStyle w:val="a5"/>
        <w:spacing w:line="276" w:lineRule="auto"/>
        <w:rPr>
          <w:rFonts w:asciiTheme="majorHAnsi" w:hAnsiTheme="majorHAnsi" w:cstheme="majorHAnsi"/>
          <w:lang w:val="ro-MD"/>
        </w:rPr>
      </w:pPr>
    </w:p>
    <w:p w:rsidR="002E218B" w:rsidRPr="00565EEE" w:rsidRDefault="002E218B" w:rsidP="00B72F0B">
      <w:pPr>
        <w:pStyle w:val="a5"/>
        <w:spacing w:line="276" w:lineRule="auto"/>
        <w:rPr>
          <w:rFonts w:asciiTheme="majorHAnsi" w:hAnsiTheme="majorHAnsi" w:cstheme="majorHAnsi"/>
          <w:lang w:val="ro-MD"/>
        </w:rPr>
      </w:pPr>
    </w:p>
    <w:p w:rsidR="00F81745" w:rsidRPr="00565EEE" w:rsidRDefault="00F81745" w:rsidP="00B72F0B">
      <w:pPr>
        <w:spacing w:after="0" w:line="276" w:lineRule="auto"/>
        <w:jc w:val="right"/>
        <w:rPr>
          <w:rFonts w:asciiTheme="majorHAnsi" w:eastAsia="Times New Roman" w:hAnsiTheme="majorHAnsi" w:cstheme="majorHAnsi"/>
          <w:b/>
          <w:sz w:val="24"/>
          <w:szCs w:val="24"/>
          <w:lang w:val="ro-MD"/>
        </w:rPr>
      </w:pPr>
    </w:p>
    <w:p w:rsidR="00F81745" w:rsidRPr="00565EEE" w:rsidRDefault="00F81745" w:rsidP="00B72F0B">
      <w:pPr>
        <w:spacing w:after="0" w:line="276" w:lineRule="auto"/>
        <w:jc w:val="right"/>
        <w:rPr>
          <w:rFonts w:asciiTheme="majorHAnsi" w:eastAsia="Times New Roman" w:hAnsiTheme="majorHAnsi" w:cstheme="majorHAnsi"/>
          <w:b/>
          <w:sz w:val="24"/>
          <w:szCs w:val="24"/>
          <w:lang w:val="ro-MD"/>
        </w:rPr>
      </w:pPr>
    </w:p>
    <w:p w:rsidR="00A81530" w:rsidRPr="00565EEE" w:rsidRDefault="00A81530" w:rsidP="00B72F0B">
      <w:pPr>
        <w:spacing w:after="0" w:line="276" w:lineRule="auto"/>
        <w:jc w:val="right"/>
        <w:rPr>
          <w:rFonts w:asciiTheme="majorHAnsi" w:eastAsia="Times New Roman" w:hAnsiTheme="majorHAnsi" w:cstheme="majorHAnsi"/>
          <w:b/>
          <w:sz w:val="24"/>
          <w:szCs w:val="24"/>
          <w:lang w:val="ro-MD"/>
        </w:rPr>
      </w:pPr>
    </w:p>
    <w:p w:rsidR="00EA16DD" w:rsidRPr="00565EEE" w:rsidRDefault="006E3E13" w:rsidP="00C11CC3">
      <w:pPr>
        <w:tabs>
          <w:tab w:val="center" w:pos="4607"/>
          <w:tab w:val="right" w:pos="9214"/>
        </w:tabs>
        <w:spacing w:after="0" w:line="276" w:lineRule="auto"/>
        <w:jc w:val="right"/>
        <w:rPr>
          <w:rFonts w:asciiTheme="majorHAnsi" w:eastAsia="Times New Roman" w:hAnsiTheme="majorHAnsi" w:cstheme="majorHAnsi"/>
          <w:b/>
          <w:sz w:val="24"/>
          <w:szCs w:val="24"/>
          <w:lang w:val="ro-MD"/>
        </w:rPr>
      </w:pPr>
      <w:r w:rsidRPr="00565EEE">
        <w:rPr>
          <w:rFonts w:asciiTheme="majorHAnsi" w:eastAsia="Times New Roman" w:hAnsiTheme="majorHAnsi" w:cstheme="majorHAnsi"/>
          <w:b/>
          <w:sz w:val="24"/>
          <w:szCs w:val="24"/>
          <w:lang w:val="ro-MD"/>
        </w:rPr>
        <w:tab/>
      </w:r>
      <w:r w:rsidRPr="00565EEE">
        <w:rPr>
          <w:rFonts w:asciiTheme="majorHAnsi" w:eastAsia="Times New Roman" w:hAnsiTheme="majorHAnsi" w:cstheme="majorHAnsi"/>
          <w:b/>
          <w:sz w:val="24"/>
          <w:szCs w:val="24"/>
          <w:lang w:val="ro-MD"/>
        </w:rPr>
        <w:tab/>
      </w:r>
      <w:r w:rsidR="00EA16DD" w:rsidRPr="00565EEE">
        <w:rPr>
          <w:rFonts w:asciiTheme="majorHAnsi" w:eastAsia="Times New Roman" w:hAnsiTheme="majorHAnsi" w:cstheme="majorHAnsi"/>
          <w:b/>
          <w:sz w:val="24"/>
          <w:szCs w:val="24"/>
          <w:lang w:val="ro-MD"/>
        </w:rPr>
        <w:t>Marian LUPU,</w:t>
      </w:r>
    </w:p>
    <w:p w:rsidR="00FC4133" w:rsidRPr="00565EEE" w:rsidRDefault="00EA16DD">
      <w:pPr>
        <w:spacing w:after="0" w:line="276" w:lineRule="auto"/>
        <w:jc w:val="right"/>
        <w:rPr>
          <w:rFonts w:asciiTheme="majorHAnsi" w:eastAsia="Times New Roman" w:hAnsiTheme="majorHAnsi" w:cstheme="majorHAnsi"/>
          <w:b/>
          <w:sz w:val="24"/>
          <w:szCs w:val="24"/>
          <w:lang w:val="ro-MD"/>
        </w:rPr>
      </w:pPr>
      <w:r w:rsidRPr="00565EEE">
        <w:rPr>
          <w:rFonts w:asciiTheme="majorHAnsi" w:eastAsia="Times New Roman" w:hAnsiTheme="majorHAnsi" w:cstheme="majorHAnsi"/>
          <w:b/>
          <w:sz w:val="24"/>
          <w:szCs w:val="24"/>
          <w:lang w:val="ro-MD"/>
        </w:rPr>
        <w:t>Președinte</w:t>
      </w:r>
    </w:p>
    <w:p w:rsidR="00506BDB" w:rsidRPr="00B452E7" w:rsidRDefault="00506BDB" w:rsidP="004C22E2">
      <w:pPr>
        <w:spacing w:after="0" w:line="276" w:lineRule="auto"/>
        <w:jc w:val="right"/>
        <w:rPr>
          <w:rFonts w:asciiTheme="majorHAnsi" w:hAnsiTheme="majorHAnsi" w:cstheme="majorHAnsi"/>
          <w:sz w:val="24"/>
          <w:szCs w:val="24"/>
          <w:lang w:val="ro-MD"/>
        </w:rPr>
      </w:pPr>
      <w:bookmarkStart w:id="1" w:name="_GoBack"/>
      <w:bookmarkEnd w:id="1"/>
    </w:p>
    <w:sectPr w:rsidR="00506BDB" w:rsidRPr="00B452E7" w:rsidSect="00BD2EE6">
      <w:footerReference w:type="default" r:id="rId9"/>
      <w:pgSz w:w="11906" w:h="16838" w:code="9"/>
      <w:pgMar w:top="851" w:right="991" w:bottom="1135" w:left="1701"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75" w:rsidRDefault="004D2B75" w:rsidP="00EA16DD">
      <w:pPr>
        <w:spacing w:after="0" w:line="240" w:lineRule="auto"/>
      </w:pPr>
      <w:r>
        <w:separator/>
      </w:r>
    </w:p>
  </w:endnote>
  <w:endnote w:type="continuationSeparator" w:id="0">
    <w:p w:rsidR="004D2B75" w:rsidRDefault="004D2B75" w:rsidP="00EA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22222"/>
      <w:docPartObj>
        <w:docPartGallery w:val="Page Numbers (Bottom of Page)"/>
        <w:docPartUnique/>
      </w:docPartObj>
    </w:sdtPr>
    <w:sdtEndPr>
      <w:rPr>
        <w:noProof/>
      </w:rPr>
    </w:sdtEndPr>
    <w:sdtContent>
      <w:p w:rsidR="00B72F0B" w:rsidRDefault="00B72F0B">
        <w:pPr>
          <w:pStyle w:val="ab"/>
          <w:jc w:val="right"/>
        </w:pPr>
        <w:r>
          <w:fldChar w:fldCharType="begin"/>
        </w:r>
        <w:r>
          <w:instrText xml:space="preserve"> PAGE   \* MERGEFORMAT </w:instrText>
        </w:r>
        <w:r>
          <w:fldChar w:fldCharType="separate"/>
        </w:r>
        <w:r w:rsidR="00CB06AD">
          <w:rPr>
            <w:noProof/>
          </w:rPr>
          <w:t>4</w:t>
        </w:r>
        <w:r>
          <w:rPr>
            <w:noProof/>
          </w:rPr>
          <w:fldChar w:fldCharType="end"/>
        </w:r>
      </w:p>
    </w:sdtContent>
  </w:sdt>
  <w:p w:rsidR="00B72F0B" w:rsidRDefault="00B72F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75" w:rsidRDefault="004D2B75" w:rsidP="00EA16DD">
      <w:pPr>
        <w:spacing w:after="0" w:line="240" w:lineRule="auto"/>
      </w:pPr>
      <w:r>
        <w:separator/>
      </w:r>
    </w:p>
  </w:footnote>
  <w:footnote w:type="continuationSeparator" w:id="0">
    <w:p w:rsidR="004D2B75" w:rsidRDefault="004D2B75" w:rsidP="00EA16DD">
      <w:pPr>
        <w:spacing w:after="0" w:line="240" w:lineRule="auto"/>
      </w:pPr>
      <w:r>
        <w:continuationSeparator/>
      </w:r>
    </w:p>
  </w:footnote>
  <w:footnote w:id="1">
    <w:p w:rsidR="00F41908" w:rsidRPr="003E6DFA" w:rsidRDefault="00F41908" w:rsidP="00F41908">
      <w:pPr>
        <w:pStyle w:val="a8"/>
        <w:jc w:val="both"/>
        <w:rPr>
          <w:rFonts w:ascii="Calibri Light" w:hAnsi="Calibri Light" w:cs="Calibri Light"/>
          <w:sz w:val="16"/>
          <w:szCs w:val="16"/>
          <w:lang w:val="ro-RO"/>
        </w:rPr>
      </w:pPr>
      <w:r w:rsidRPr="003E6DFA">
        <w:rPr>
          <w:rStyle w:val="ad"/>
          <w:rFonts w:ascii="Calibri Light" w:hAnsi="Calibri Light" w:cs="Calibri Light"/>
          <w:sz w:val="16"/>
          <w:szCs w:val="16"/>
          <w:lang w:val="ro-RO"/>
        </w:rPr>
        <w:footnoteRef/>
      </w:r>
      <w:r w:rsidRPr="003E6DFA">
        <w:rPr>
          <w:rFonts w:ascii="Calibri Light" w:hAnsi="Calibri Light" w:cs="Calibri Light"/>
          <w:sz w:val="16"/>
          <w:szCs w:val="16"/>
          <w:lang w:val="ro-RO"/>
        </w:rPr>
        <w:t xml:space="preserve"> Hotărârea Curții de Conturi nr.10 din 16.03.2020 „Cu privire la aprobarea regimului de activitate al Curții de Conturi”.</w:t>
      </w:r>
    </w:p>
  </w:footnote>
  <w:footnote w:id="2">
    <w:p w:rsidR="00F41908" w:rsidRPr="00B63BCE" w:rsidRDefault="00F41908" w:rsidP="00F41908">
      <w:pPr>
        <w:pStyle w:val="a8"/>
        <w:jc w:val="both"/>
        <w:rPr>
          <w:rFonts w:asciiTheme="majorHAnsi" w:hAnsiTheme="majorHAnsi" w:cstheme="majorHAnsi"/>
          <w:sz w:val="16"/>
          <w:szCs w:val="16"/>
          <w:lang w:val="ro-RO"/>
        </w:rPr>
      </w:pPr>
      <w:r w:rsidRPr="00B63BCE">
        <w:rPr>
          <w:rStyle w:val="ad"/>
          <w:rFonts w:asciiTheme="majorHAnsi" w:hAnsiTheme="majorHAnsi" w:cstheme="majorHAnsi"/>
          <w:sz w:val="16"/>
          <w:szCs w:val="16"/>
          <w:lang w:val="ro-RO"/>
        </w:rPr>
        <w:footnoteRef/>
      </w:r>
      <w:r w:rsidRPr="00B63BCE">
        <w:rPr>
          <w:rFonts w:asciiTheme="majorHAnsi" w:hAnsiTheme="majorHAnsi" w:cstheme="majorHAnsi"/>
          <w:sz w:val="16"/>
          <w:szCs w:val="16"/>
          <w:lang w:val="ro-RO"/>
        </w:rPr>
        <w:t xml:space="preserve"> Legea privind organizarea și funcționarea Curții de Conturi a Republicii Moldova nr.260 din 07.12.2017 (în continuare – Legea nr.260 din 07.12.2017).</w:t>
      </w:r>
    </w:p>
  </w:footnote>
  <w:footnote w:id="3">
    <w:p w:rsidR="00775D2C" w:rsidRPr="00775D2C" w:rsidRDefault="00B320B3" w:rsidP="00775D2C">
      <w:pPr>
        <w:pStyle w:val="a8"/>
        <w:jc w:val="both"/>
        <w:rPr>
          <w:rFonts w:ascii="Calibri Light" w:eastAsia="Times New Roman" w:hAnsi="Calibri Light" w:cs="Calibri Light"/>
          <w:sz w:val="16"/>
          <w:szCs w:val="16"/>
          <w:lang w:val="ro-RO"/>
        </w:rPr>
      </w:pPr>
      <w:r w:rsidRPr="00775D2C">
        <w:rPr>
          <w:rStyle w:val="FootnoteReference1"/>
          <w:rFonts w:asciiTheme="majorHAnsi" w:hAnsiTheme="majorHAnsi" w:cstheme="majorHAnsi"/>
          <w:sz w:val="16"/>
          <w:szCs w:val="16"/>
          <w:lang w:val="ro-RO"/>
        </w:rPr>
        <w:footnoteRef/>
      </w:r>
      <w:r w:rsidRPr="00775D2C">
        <w:rPr>
          <w:rFonts w:asciiTheme="majorHAnsi" w:hAnsiTheme="majorHAnsi" w:cstheme="majorHAnsi"/>
          <w:sz w:val="16"/>
          <w:szCs w:val="16"/>
          <w:lang w:val="ro-MD"/>
        </w:rPr>
        <w:t xml:space="preserve"> </w:t>
      </w:r>
      <w:r w:rsidR="00775D2C" w:rsidRPr="00775D2C">
        <w:rPr>
          <w:rFonts w:ascii="Calibri Light" w:eastAsia="Times New Roman" w:hAnsi="Calibri Light" w:cs="Calibri Light"/>
          <w:sz w:val="16"/>
          <w:szCs w:val="16"/>
          <w:lang w:val="ro-RO"/>
        </w:rPr>
        <w:t>Programele activității de audit a Curții de Conturi pe anii 2021 și, respectiv, 2022, aprobate prin Hotărârile Curții de Conturi nr.62 din</w:t>
      </w:r>
    </w:p>
    <w:p w:rsidR="00B320B3" w:rsidRPr="001E24C8" w:rsidRDefault="00775D2C" w:rsidP="00775D2C">
      <w:pPr>
        <w:pStyle w:val="a8"/>
        <w:jc w:val="both"/>
        <w:rPr>
          <w:rFonts w:asciiTheme="majorHAnsi" w:hAnsiTheme="majorHAnsi" w:cstheme="majorHAnsi"/>
          <w:sz w:val="16"/>
          <w:szCs w:val="16"/>
          <w:lang w:val="ro-RO"/>
        </w:rPr>
      </w:pPr>
      <w:r w:rsidRPr="00775D2C">
        <w:rPr>
          <w:rFonts w:ascii="Calibri Light" w:eastAsia="Times New Roman" w:hAnsi="Calibri Light" w:cs="Calibri Light"/>
          <w:sz w:val="16"/>
          <w:szCs w:val="16"/>
          <w:lang w:val="ro-RO"/>
        </w:rPr>
        <w:t>10.12.2020 și, respectiv, nr.75 din 28.12.2021.</w:t>
      </w:r>
    </w:p>
  </w:footnote>
  <w:footnote w:id="4">
    <w:p w:rsidR="00B320B3" w:rsidRPr="00557202" w:rsidRDefault="00B320B3" w:rsidP="00B320B3">
      <w:pPr>
        <w:spacing w:after="0" w:line="240" w:lineRule="auto"/>
        <w:jc w:val="both"/>
        <w:rPr>
          <w:rFonts w:asciiTheme="majorHAnsi" w:eastAsia="Times New Roman" w:hAnsiTheme="majorHAnsi" w:cstheme="majorHAnsi"/>
          <w:sz w:val="16"/>
          <w:szCs w:val="16"/>
          <w:lang w:val="ro-MD"/>
        </w:rPr>
      </w:pPr>
      <w:r w:rsidRPr="00E03689">
        <w:rPr>
          <w:rFonts w:asciiTheme="majorHAnsi" w:hAnsiTheme="majorHAnsi" w:cstheme="majorHAnsi"/>
          <w:sz w:val="16"/>
          <w:szCs w:val="16"/>
          <w:vertAlign w:val="superscript"/>
          <w:lang w:val="ro-MD"/>
        </w:rPr>
        <w:t>4</w:t>
      </w:r>
      <w:r>
        <w:rPr>
          <w:rFonts w:asciiTheme="majorHAnsi" w:hAnsiTheme="majorHAnsi" w:cstheme="majorHAnsi"/>
          <w:sz w:val="16"/>
          <w:szCs w:val="16"/>
          <w:vertAlign w:val="superscript"/>
          <w:lang w:val="ro-MD"/>
        </w:rPr>
        <w:t xml:space="preserve"> </w:t>
      </w:r>
      <w:r w:rsidRPr="00557202">
        <w:rPr>
          <w:rFonts w:asciiTheme="majorHAnsi" w:hAnsiTheme="majorHAnsi" w:cstheme="majorHAnsi"/>
          <w:sz w:val="16"/>
          <w:szCs w:val="16"/>
          <w:lang w:val="ro-MD"/>
        </w:rPr>
        <w:t>Hotărârea Curții de Conturi nr.2 din</w:t>
      </w:r>
      <w:r w:rsidRPr="00557202">
        <w:rPr>
          <w:rFonts w:asciiTheme="majorHAnsi" w:eastAsia="Times New Roman" w:hAnsiTheme="majorHAnsi" w:cstheme="majorHAnsi"/>
          <w:sz w:val="16"/>
          <w:szCs w:val="16"/>
          <w:lang w:val="ro-MD"/>
        </w:rPr>
        <w:t xml:space="preserve"> 24.01.2020 „Cu privire la Cadrul Declarațiilor Profesionale ale INTOSAI”. </w:t>
      </w:r>
    </w:p>
  </w:footnote>
  <w:footnote w:id="5">
    <w:p w:rsidR="00EA16DD" w:rsidRPr="009F4A4B" w:rsidRDefault="00EA16DD" w:rsidP="00EB3905">
      <w:pPr>
        <w:pStyle w:val="a8"/>
        <w:jc w:val="both"/>
        <w:rPr>
          <w:rFonts w:asciiTheme="majorHAnsi" w:hAnsiTheme="majorHAnsi" w:cstheme="majorHAnsi"/>
          <w:sz w:val="16"/>
          <w:szCs w:val="16"/>
          <w:lang w:val="ro-MD"/>
        </w:rPr>
      </w:pPr>
      <w:r w:rsidRPr="009F4A4B">
        <w:rPr>
          <w:rStyle w:val="FootnoteReference1"/>
          <w:rFonts w:asciiTheme="majorHAnsi" w:hAnsiTheme="majorHAnsi" w:cstheme="majorHAnsi"/>
          <w:sz w:val="16"/>
          <w:szCs w:val="16"/>
        </w:rPr>
        <w:footnoteRef/>
      </w:r>
      <w:r w:rsidRPr="009F4A4B">
        <w:rPr>
          <w:rFonts w:asciiTheme="majorHAnsi" w:hAnsiTheme="majorHAnsi" w:cstheme="majorHAnsi"/>
          <w:sz w:val="16"/>
          <w:szCs w:val="16"/>
          <w:lang w:val="ro-MD"/>
        </w:rPr>
        <w:t xml:space="preserve"> Legea contabilității nr.</w:t>
      </w:r>
      <w:r w:rsidRPr="009F4A4B">
        <w:rPr>
          <w:rFonts w:asciiTheme="majorHAnsi" w:eastAsia="Times New Roman" w:hAnsiTheme="majorHAnsi" w:cstheme="majorHAnsi"/>
          <w:sz w:val="16"/>
          <w:szCs w:val="16"/>
          <w:lang w:val="ro-MD"/>
        </w:rPr>
        <w:t>113-XVI din 27.04.2007;</w:t>
      </w:r>
      <w:r w:rsidRPr="009F4A4B">
        <w:rPr>
          <w:rFonts w:asciiTheme="majorHAnsi" w:hAnsiTheme="majorHAnsi" w:cstheme="majorHAnsi"/>
          <w:sz w:val="16"/>
          <w:szCs w:val="16"/>
          <w:lang w:val="ro-MD"/>
        </w:rPr>
        <w:t xml:space="preserve"> </w:t>
      </w:r>
      <w:r w:rsidRPr="009F4A4B">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r w:rsidRPr="009F4A4B">
        <w:rPr>
          <w:rFonts w:asciiTheme="majorHAnsi" w:hAnsiTheme="majorHAnsi" w:cstheme="majorHAnsi"/>
          <w:sz w:val="16"/>
          <w:szCs w:val="16"/>
          <w:lang w:val="ro-MD"/>
        </w:rPr>
        <w:t>.</w:t>
      </w:r>
    </w:p>
  </w:footnote>
  <w:footnote w:id="6">
    <w:p w:rsidR="00316D65" w:rsidRPr="00933D52" w:rsidRDefault="00316D65" w:rsidP="00316D65">
      <w:pPr>
        <w:pStyle w:val="a8"/>
        <w:jc w:val="both"/>
        <w:rPr>
          <w:rFonts w:asciiTheme="majorHAnsi" w:hAnsiTheme="majorHAnsi" w:cstheme="majorHAnsi"/>
          <w:sz w:val="16"/>
          <w:szCs w:val="16"/>
          <w:lang w:val="ro-RO"/>
        </w:rPr>
      </w:pPr>
      <w:r w:rsidRPr="00933D52">
        <w:rPr>
          <w:rStyle w:val="ad"/>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Standardul Național de Contabilitate „Imobilizări necorporale și corporale”, aprobat prin </w:t>
      </w:r>
      <w:r>
        <w:rPr>
          <w:rFonts w:asciiTheme="majorHAnsi" w:hAnsiTheme="majorHAnsi" w:cstheme="majorHAnsi"/>
          <w:sz w:val="16"/>
          <w:szCs w:val="16"/>
          <w:lang w:val="ro-RO"/>
        </w:rPr>
        <w:t>O</w:t>
      </w:r>
      <w:r w:rsidRPr="00933D52">
        <w:rPr>
          <w:rFonts w:asciiTheme="majorHAnsi" w:hAnsiTheme="majorHAnsi" w:cstheme="majorHAnsi"/>
          <w:sz w:val="16"/>
          <w:szCs w:val="16"/>
          <w:lang w:val="ro-RO"/>
        </w:rPr>
        <w:t xml:space="preserve">rdinul ministrului </w:t>
      </w:r>
      <w:r w:rsidR="0016683E">
        <w:rPr>
          <w:rFonts w:asciiTheme="majorHAnsi" w:hAnsiTheme="majorHAnsi" w:cstheme="majorHAnsi"/>
          <w:sz w:val="16"/>
          <w:szCs w:val="16"/>
          <w:lang w:val="ro-RO"/>
        </w:rPr>
        <w:t>f</w:t>
      </w:r>
      <w:r w:rsidRPr="00933D52">
        <w:rPr>
          <w:rFonts w:asciiTheme="majorHAnsi" w:hAnsiTheme="majorHAnsi" w:cstheme="majorHAnsi"/>
          <w:sz w:val="16"/>
          <w:szCs w:val="16"/>
          <w:lang w:val="ro-RO"/>
        </w:rPr>
        <w:t xml:space="preserve">inanțelor </w:t>
      </w:r>
      <w:r w:rsidR="0016683E">
        <w:rPr>
          <w:rFonts w:asciiTheme="majorHAnsi" w:hAnsiTheme="majorHAnsi" w:cstheme="majorHAnsi"/>
          <w:sz w:val="16"/>
          <w:szCs w:val="16"/>
          <w:lang w:val="ro-RO"/>
        </w:rPr>
        <w:t>nr.</w:t>
      </w:r>
      <w:r w:rsidRPr="00933D52">
        <w:rPr>
          <w:rFonts w:asciiTheme="majorHAnsi" w:hAnsiTheme="majorHAnsi" w:cstheme="majorHAnsi"/>
          <w:sz w:val="16"/>
          <w:szCs w:val="16"/>
          <w:lang w:val="ro-RO"/>
        </w:rPr>
        <w:t>118 din 06.08.2013 - Obiectul se recunoaște ca imobilizare numai în cazul respectării simultane a următoarelor condiții: 1) obiectul este identificabil și controlabil de entitate; 2) proprietățile și particularitățile lui corespund definiției imobilizărilor necorporale sau corporale; 3) este probabil că entitatea va obține beneficii economice viitoare din utilizarea obiectului; și 4) costul de intrare a</w:t>
      </w:r>
      <w:r w:rsidR="0016683E">
        <w:rPr>
          <w:rFonts w:asciiTheme="majorHAnsi" w:hAnsiTheme="majorHAnsi" w:cstheme="majorHAnsi"/>
          <w:sz w:val="16"/>
          <w:szCs w:val="16"/>
          <w:lang w:val="ro-RO"/>
        </w:rPr>
        <w:t>l</w:t>
      </w:r>
      <w:r w:rsidRPr="00933D52">
        <w:rPr>
          <w:rFonts w:asciiTheme="majorHAnsi" w:hAnsiTheme="majorHAnsi" w:cstheme="majorHAnsi"/>
          <w:sz w:val="16"/>
          <w:szCs w:val="16"/>
          <w:lang w:val="ro-RO"/>
        </w:rPr>
        <w:t xml:space="preserve"> obiectului poate fi evaluat în mod credibil.</w:t>
      </w:r>
    </w:p>
  </w:footnote>
  <w:footnote w:id="7">
    <w:p w:rsidR="00760BE2" w:rsidRPr="00561659" w:rsidRDefault="00760BE2" w:rsidP="00760BE2">
      <w:pPr>
        <w:pStyle w:val="a8"/>
        <w:jc w:val="both"/>
        <w:rPr>
          <w:rFonts w:asciiTheme="majorHAnsi" w:hAnsiTheme="majorHAnsi" w:cstheme="majorHAnsi"/>
          <w:sz w:val="16"/>
          <w:szCs w:val="16"/>
          <w:lang w:val="ro-MD"/>
        </w:rPr>
      </w:pPr>
      <w:r w:rsidRPr="00C2186E">
        <w:rPr>
          <w:rStyle w:val="ad"/>
          <w:rFonts w:asciiTheme="majorHAnsi" w:hAnsiTheme="majorHAnsi" w:cstheme="majorHAnsi"/>
          <w:sz w:val="16"/>
          <w:szCs w:val="16"/>
          <w:lang w:val="ro-MD"/>
        </w:rPr>
        <w:footnoteRef/>
      </w:r>
      <w:r w:rsidRPr="00C2186E">
        <w:rPr>
          <w:rFonts w:asciiTheme="majorHAnsi" w:hAnsiTheme="majorHAnsi" w:cstheme="majorHAnsi"/>
          <w:sz w:val="16"/>
          <w:szCs w:val="16"/>
          <w:lang w:val="ro-MD"/>
        </w:rPr>
        <w:t xml:space="preserve"> </w:t>
      </w:r>
      <w:r w:rsidRPr="00561659">
        <w:rPr>
          <w:rFonts w:asciiTheme="majorHAnsi" w:hAnsiTheme="majorHAnsi" w:cstheme="majorHAnsi"/>
          <w:sz w:val="16"/>
          <w:szCs w:val="16"/>
          <w:lang w:val="ro-MD"/>
        </w:rPr>
        <w:t>D</w:t>
      </w:r>
      <w:r>
        <w:rPr>
          <w:rFonts w:asciiTheme="majorHAnsi" w:hAnsiTheme="majorHAnsi" w:cstheme="majorHAnsi"/>
          <w:sz w:val="16"/>
          <w:szCs w:val="16"/>
          <w:lang w:val="ro-MD"/>
        </w:rPr>
        <w:t>irecția generală locativ-comunală și amenajare</w:t>
      </w:r>
      <w:r w:rsidRPr="00561659">
        <w:rPr>
          <w:rFonts w:asciiTheme="majorHAnsi" w:hAnsiTheme="majorHAnsi" w:cstheme="majorHAnsi"/>
          <w:sz w:val="16"/>
          <w:szCs w:val="16"/>
          <w:lang w:val="ro-MD"/>
        </w:rPr>
        <w:t xml:space="preserve"> – 1.573,45 mii lei; D</w:t>
      </w:r>
      <w:r>
        <w:rPr>
          <w:rFonts w:asciiTheme="majorHAnsi" w:hAnsiTheme="majorHAnsi" w:cstheme="majorHAnsi"/>
          <w:sz w:val="16"/>
          <w:szCs w:val="16"/>
          <w:lang w:val="ro-MD"/>
        </w:rPr>
        <w:t>irecția cultură</w:t>
      </w:r>
      <w:r w:rsidRPr="00561659">
        <w:rPr>
          <w:rFonts w:asciiTheme="majorHAnsi" w:hAnsiTheme="majorHAnsi" w:cstheme="majorHAnsi"/>
          <w:sz w:val="16"/>
          <w:szCs w:val="16"/>
          <w:lang w:val="ro-MD"/>
        </w:rPr>
        <w:t xml:space="preserve"> – 1</w:t>
      </w:r>
      <w:r>
        <w:rPr>
          <w:rFonts w:asciiTheme="majorHAnsi" w:hAnsiTheme="majorHAnsi" w:cstheme="majorHAnsi"/>
          <w:sz w:val="16"/>
          <w:szCs w:val="16"/>
          <w:lang w:val="ro-MD"/>
        </w:rPr>
        <w:t>9</w:t>
      </w:r>
      <w:r w:rsidRPr="00561659">
        <w:rPr>
          <w:rFonts w:asciiTheme="majorHAnsi" w:hAnsiTheme="majorHAnsi" w:cstheme="majorHAnsi"/>
          <w:sz w:val="16"/>
          <w:szCs w:val="16"/>
          <w:lang w:val="ro-MD"/>
        </w:rPr>
        <w:t>.</w:t>
      </w:r>
      <w:r>
        <w:rPr>
          <w:rFonts w:asciiTheme="majorHAnsi" w:hAnsiTheme="majorHAnsi" w:cstheme="majorHAnsi"/>
          <w:sz w:val="16"/>
          <w:szCs w:val="16"/>
          <w:lang w:val="ro-MD"/>
        </w:rPr>
        <w:t>895</w:t>
      </w:r>
      <w:r w:rsidRPr="00561659">
        <w:rPr>
          <w:rFonts w:asciiTheme="majorHAnsi" w:hAnsiTheme="majorHAnsi" w:cstheme="majorHAnsi"/>
          <w:sz w:val="16"/>
          <w:szCs w:val="16"/>
          <w:lang w:val="ro-MD"/>
        </w:rPr>
        <w:t>,</w:t>
      </w:r>
      <w:r>
        <w:rPr>
          <w:rFonts w:asciiTheme="majorHAnsi" w:hAnsiTheme="majorHAnsi" w:cstheme="majorHAnsi"/>
          <w:sz w:val="16"/>
          <w:szCs w:val="16"/>
          <w:lang w:val="ro-MD"/>
        </w:rPr>
        <w:t>16</w:t>
      </w:r>
      <w:r w:rsidRPr="00561659">
        <w:rPr>
          <w:rFonts w:asciiTheme="majorHAnsi" w:hAnsiTheme="majorHAnsi" w:cstheme="majorHAnsi"/>
          <w:sz w:val="16"/>
          <w:szCs w:val="16"/>
          <w:lang w:val="ro-MD"/>
        </w:rPr>
        <w:t xml:space="preserve"> mii lei (100 mii lei + 18.882,47 mii lei</w:t>
      </w:r>
      <w:r>
        <w:rPr>
          <w:rFonts w:asciiTheme="majorHAnsi" w:hAnsiTheme="majorHAnsi" w:cstheme="majorHAnsi"/>
          <w:sz w:val="16"/>
          <w:szCs w:val="16"/>
          <w:lang w:val="ro-MD"/>
        </w:rPr>
        <w:t>+912,69 mii lei</w:t>
      </w:r>
      <w:r w:rsidRPr="00561659">
        <w:rPr>
          <w:rFonts w:asciiTheme="majorHAnsi" w:hAnsiTheme="majorHAnsi" w:cstheme="majorHAnsi"/>
          <w:sz w:val="16"/>
          <w:szCs w:val="16"/>
          <w:lang w:val="ro-MD"/>
        </w:rPr>
        <w:t>); D</w:t>
      </w:r>
      <w:r>
        <w:rPr>
          <w:rFonts w:asciiTheme="majorHAnsi" w:hAnsiTheme="majorHAnsi" w:cstheme="majorHAnsi"/>
          <w:sz w:val="16"/>
          <w:szCs w:val="16"/>
          <w:lang w:val="ro-MD"/>
        </w:rPr>
        <w:t>irecția generală economie, comerț și turism</w:t>
      </w:r>
      <w:r w:rsidRPr="00561659">
        <w:rPr>
          <w:rFonts w:asciiTheme="majorHAnsi" w:hAnsiTheme="majorHAnsi" w:cstheme="majorHAnsi"/>
          <w:sz w:val="16"/>
          <w:szCs w:val="16"/>
          <w:lang w:val="ro-MD"/>
        </w:rPr>
        <w:t xml:space="preserve"> – </w:t>
      </w:r>
      <w:r>
        <w:rPr>
          <w:rFonts w:asciiTheme="majorHAnsi" w:hAnsiTheme="majorHAnsi" w:cstheme="majorHAnsi"/>
          <w:sz w:val="16"/>
          <w:szCs w:val="16"/>
          <w:lang w:val="ro-MD"/>
        </w:rPr>
        <w:t>7219,44 mii lei (</w:t>
      </w:r>
      <w:r w:rsidRPr="00561659">
        <w:rPr>
          <w:rFonts w:asciiTheme="majorHAnsi" w:hAnsiTheme="majorHAnsi" w:cstheme="majorHAnsi"/>
          <w:sz w:val="16"/>
          <w:szCs w:val="16"/>
          <w:lang w:val="ro-MD"/>
        </w:rPr>
        <w:t>6.708,75 mii lei</w:t>
      </w:r>
      <w:r>
        <w:rPr>
          <w:rFonts w:asciiTheme="majorHAnsi" w:hAnsiTheme="majorHAnsi" w:cstheme="majorHAnsi"/>
          <w:sz w:val="16"/>
          <w:szCs w:val="16"/>
          <w:lang w:val="ro-MD"/>
        </w:rPr>
        <w:t>+510,69 mii lei); Direcția management financiar – 273.806,17 mii lei; Direcția educație, tineret și sport Botanica – 3,04 mii lei; Direcția generală finanțe – 1,42 mii lei; Direcția municipală pentru protecția drepturilor copiilor – 9007,4 mii lei</w:t>
      </w:r>
      <w:r w:rsidRPr="00561659">
        <w:rPr>
          <w:rFonts w:asciiTheme="majorHAnsi" w:hAnsiTheme="majorHAnsi" w:cstheme="majorHAnsi"/>
          <w:sz w:val="16"/>
          <w:szCs w:val="16"/>
          <w:lang w:val="ro-M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E4"/>
    <w:rsid w:val="00001930"/>
    <w:rsid w:val="00015CCD"/>
    <w:rsid w:val="00016CC7"/>
    <w:rsid w:val="00023116"/>
    <w:rsid w:val="000258E1"/>
    <w:rsid w:val="00032821"/>
    <w:rsid w:val="00034204"/>
    <w:rsid w:val="00037A3F"/>
    <w:rsid w:val="00056538"/>
    <w:rsid w:val="0006351A"/>
    <w:rsid w:val="00075333"/>
    <w:rsid w:val="00084DC0"/>
    <w:rsid w:val="00086D28"/>
    <w:rsid w:val="000A1529"/>
    <w:rsid w:val="000A6BAE"/>
    <w:rsid w:val="000B46C6"/>
    <w:rsid w:val="000B6544"/>
    <w:rsid w:val="000C3907"/>
    <w:rsid w:val="000E38A0"/>
    <w:rsid w:val="000E3D4C"/>
    <w:rsid w:val="000F2FBC"/>
    <w:rsid w:val="000F359C"/>
    <w:rsid w:val="00102CA5"/>
    <w:rsid w:val="00125445"/>
    <w:rsid w:val="00125BFF"/>
    <w:rsid w:val="00127A62"/>
    <w:rsid w:val="00145474"/>
    <w:rsid w:val="00145F35"/>
    <w:rsid w:val="00150DC1"/>
    <w:rsid w:val="001515DB"/>
    <w:rsid w:val="00153B0E"/>
    <w:rsid w:val="00154029"/>
    <w:rsid w:val="001558F8"/>
    <w:rsid w:val="00161601"/>
    <w:rsid w:val="00163240"/>
    <w:rsid w:val="0016683E"/>
    <w:rsid w:val="001756A9"/>
    <w:rsid w:val="00195D50"/>
    <w:rsid w:val="001A3B0C"/>
    <w:rsid w:val="001A546F"/>
    <w:rsid w:val="001A7BEB"/>
    <w:rsid w:val="001C4C37"/>
    <w:rsid w:val="001C6613"/>
    <w:rsid w:val="001E0EF9"/>
    <w:rsid w:val="001E3475"/>
    <w:rsid w:val="001F2080"/>
    <w:rsid w:val="00210E3A"/>
    <w:rsid w:val="00212548"/>
    <w:rsid w:val="00215E1D"/>
    <w:rsid w:val="00217355"/>
    <w:rsid w:val="00225370"/>
    <w:rsid w:val="00230C3C"/>
    <w:rsid w:val="00232744"/>
    <w:rsid w:val="00253AA0"/>
    <w:rsid w:val="00253C3A"/>
    <w:rsid w:val="0025648A"/>
    <w:rsid w:val="00256DAE"/>
    <w:rsid w:val="002605A5"/>
    <w:rsid w:val="00261433"/>
    <w:rsid w:val="0027021A"/>
    <w:rsid w:val="002818DB"/>
    <w:rsid w:val="002868B8"/>
    <w:rsid w:val="002A169E"/>
    <w:rsid w:val="002C31A5"/>
    <w:rsid w:val="002D3037"/>
    <w:rsid w:val="002D38C8"/>
    <w:rsid w:val="002D7104"/>
    <w:rsid w:val="002E218B"/>
    <w:rsid w:val="002E4CB5"/>
    <w:rsid w:val="00315A23"/>
    <w:rsid w:val="00316D65"/>
    <w:rsid w:val="00317ED6"/>
    <w:rsid w:val="00323AAD"/>
    <w:rsid w:val="00331062"/>
    <w:rsid w:val="0033577E"/>
    <w:rsid w:val="003433C8"/>
    <w:rsid w:val="00343480"/>
    <w:rsid w:val="003448EE"/>
    <w:rsid w:val="0034571A"/>
    <w:rsid w:val="00356226"/>
    <w:rsid w:val="00365890"/>
    <w:rsid w:val="00365B57"/>
    <w:rsid w:val="0037715E"/>
    <w:rsid w:val="00384F25"/>
    <w:rsid w:val="0038648A"/>
    <w:rsid w:val="00387AE6"/>
    <w:rsid w:val="00391C45"/>
    <w:rsid w:val="003947BD"/>
    <w:rsid w:val="003A760D"/>
    <w:rsid w:val="003B7954"/>
    <w:rsid w:val="003C3792"/>
    <w:rsid w:val="003C6896"/>
    <w:rsid w:val="003D49E9"/>
    <w:rsid w:val="003E37A6"/>
    <w:rsid w:val="003E3CC1"/>
    <w:rsid w:val="003E5682"/>
    <w:rsid w:val="003E6445"/>
    <w:rsid w:val="003F6C33"/>
    <w:rsid w:val="00410236"/>
    <w:rsid w:val="00410CCF"/>
    <w:rsid w:val="00415565"/>
    <w:rsid w:val="004169E4"/>
    <w:rsid w:val="0042556F"/>
    <w:rsid w:val="004269D0"/>
    <w:rsid w:val="00432C0C"/>
    <w:rsid w:val="004333E6"/>
    <w:rsid w:val="00435554"/>
    <w:rsid w:val="004434C8"/>
    <w:rsid w:val="004506A9"/>
    <w:rsid w:val="00452953"/>
    <w:rsid w:val="004538C1"/>
    <w:rsid w:val="0045415B"/>
    <w:rsid w:val="0046014A"/>
    <w:rsid w:val="00464653"/>
    <w:rsid w:val="004660C8"/>
    <w:rsid w:val="00487506"/>
    <w:rsid w:val="0048795F"/>
    <w:rsid w:val="004B0BF4"/>
    <w:rsid w:val="004B0F4B"/>
    <w:rsid w:val="004C1D2A"/>
    <w:rsid w:val="004C22E2"/>
    <w:rsid w:val="004C5E72"/>
    <w:rsid w:val="004C7E52"/>
    <w:rsid w:val="004D2B75"/>
    <w:rsid w:val="004D6347"/>
    <w:rsid w:val="004E4C47"/>
    <w:rsid w:val="004E764F"/>
    <w:rsid w:val="004F1B2E"/>
    <w:rsid w:val="005022C6"/>
    <w:rsid w:val="00505AF8"/>
    <w:rsid w:val="00506BDB"/>
    <w:rsid w:val="005146B7"/>
    <w:rsid w:val="00526B32"/>
    <w:rsid w:val="00563AF8"/>
    <w:rsid w:val="00565EEE"/>
    <w:rsid w:val="0057397E"/>
    <w:rsid w:val="0057565C"/>
    <w:rsid w:val="00596010"/>
    <w:rsid w:val="005A0EC1"/>
    <w:rsid w:val="005B35D7"/>
    <w:rsid w:val="005B4168"/>
    <w:rsid w:val="005D34C1"/>
    <w:rsid w:val="005D4A36"/>
    <w:rsid w:val="005D5E80"/>
    <w:rsid w:val="005E3198"/>
    <w:rsid w:val="005E6818"/>
    <w:rsid w:val="005E78F4"/>
    <w:rsid w:val="005E7C56"/>
    <w:rsid w:val="005F15D6"/>
    <w:rsid w:val="005F56ED"/>
    <w:rsid w:val="005F5CF4"/>
    <w:rsid w:val="005F61C1"/>
    <w:rsid w:val="006231B3"/>
    <w:rsid w:val="00627C44"/>
    <w:rsid w:val="0063465C"/>
    <w:rsid w:val="0064222D"/>
    <w:rsid w:val="00644AAC"/>
    <w:rsid w:val="006543CB"/>
    <w:rsid w:val="006568E9"/>
    <w:rsid w:val="0066318B"/>
    <w:rsid w:val="00665035"/>
    <w:rsid w:val="00674986"/>
    <w:rsid w:val="006761F6"/>
    <w:rsid w:val="00676D1B"/>
    <w:rsid w:val="0067729F"/>
    <w:rsid w:val="00691577"/>
    <w:rsid w:val="00697EE3"/>
    <w:rsid w:val="006A01F4"/>
    <w:rsid w:val="006A1161"/>
    <w:rsid w:val="006B0F1B"/>
    <w:rsid w:val="006B496B"/>
    <w:rsid w:val="006C1A3F"/>
    <w:rsid w:val="006C509F"/>
    <w:rsid w:val="006C5FAD"/>
    <w:rsid w:val="006D38B3"/>
    <w:rsid w:val="006E3E13"/>
    <w:rsid w:val="006F19DB"/>
    <w:rsid w:val="006F50A2"/>
    <w:rsid w:val="00701ABF"/>
    <w:rsid w:val="00701FA2"/>
    <w:rsid w:val="00702287"/>
    <w:rsid w:val="007048A1"/>
    <w:rsid w:val="0071031A"/>
    <w:rsid w:val="0071207A"/>
    <w:rsid w:val="007143FC"/>
    <w:rsid w:val="00714EAB"/>
    <w:rsid w:val="00726167"/>
    <w:rsid w:val="00726261"/>
    <w:rsid w:val="00730C86"/>
    <w:rsid w:val="00732688"/>
    <w:rsid w:val="007400C4"/>
    <w:rsid w:val="007424E6"/>
    <w:rsid w:val="00744997"/>
    <w:rsid w:val="0074774A"/>
    <w:rsid w:val="0075380A"/>
    <w:rsid w:val="00760BE2"/>
    <w:rsid w:val="00762921"/>
    <w:rsid w:val="00770BC0"/>
    <w:rsid w:val="00775D2C"/>
    <w:rsid w:val="00783637"/>
    <w:rsid w:val="0078492F"/>
    <w:rsid w:val="0079117A"/>
    <w:rsid w:val="0079294C"/>
    <w:rsid w:val="0079594A"/>
    <w:rsid w:val="00795FD6"/>
    <w:rsid w:val="007A4029"/>
    <w:rsid w:val="007A7BCB"/>
    <w:rsid w:val="007B2A00"/>
    <w:rsid w:val="007B6A65"/>
    <w:rsid w:val="007E5F54"/>
    <w:rsid w:val="007E71DC"/>
    <w:rsid w:val="007F1F08"/>
    <w:rsid w:val="007F6773"/>
    <w:rsid w:val="008027B5"/>
    <w:rsid w:val="00823B58"/>
    <w:rsid w:val="00830542"/>
    <w:rsid w:val="008574D8"/>
    <w:rsid w:val="00867550"/>
    <w:rsid w:val="00872C56"/>
    <w:rsid w:val="00880B02"/>
    <w:rsid w:val="00887930"/>
    <w:rsid w:val="008947A9"/>
    <w:rsid w:val="008A7927"/>
    <w:rsid w:val="008B6CEC"/>
    <w:rsid w:val="008C3828"/>
    <w:rsid w:val="008C73B7"/>
    <w:rsid w:val="008D57A8"/>
    <w:rsid w:val="008E1BCF"/>
    <w:rsid w:val="008F448C"/>
    <w:rsid w:val="008F46F8"/>
    <w:rsid w:val="008F60D3"/>
    <w:rsid w:val="00903585"/>
    <w:rsid w:val="00904E60"/>
    <w:rsid w:val="00905396"/>
    <w:rsid w:val="00906DD2"/>
    <w:rsid w:val="00925158"/>
    <w:rsid w:val="00926F33"/>
    <w:rsid w:val="00935FE6"/>
    <w:rsid w:val="009651DC"/>
    <w:rsid w:val="009712E1"/>
    <w:rsid w:val="00975CAF"/>
    <w:rsid w:val="009826FB"/>
    <w:rsid w:val="00995A50"/>
    <w:rsid w:val="009B57DF"/>
    <w:rsid w:val="009D4D7F"/>
    <w:rsid w:val="009D638E"/>
    <w:rsid w:val="009E0FFE"/>
    <w:rsid w:val="009F4A4B"/>
    <w:rsid w:val="00A01A95"/>
    <w:rsid w:val="00A346E1"/>
    <w:rsid w:val="00A506CB"/>
    <w:rsid w:val="00A53E87"/>
    <w:rsid w:val="00A55C38"/>
    <w:rsid w:val="00A61535"/>
    <w:rsid w:val="00A61944"/>
    <w:rsid w:val="00A6197C"/>
    <w:rsid w:val="00A658FE"/>
    <w:rsid w:val="00A72F63"/>
    <w:rsid w:val="00A7678F"/>
    <w:rsid w:val="00A81530"/>
    <w:rsid w:val="00A853EE"/>
    <w:rsid w:val="00A86863"/>
    <w:rsid w:val="00A91098"/>
    <w:rsid w:val="00A918E6"/>
    <w:rsid w:val="00AA42BC"/>
    <w:rsid w:val="00AA4444"/>
    <w:rsid w:val="00AA48EC"/>
    <w:rsid w:val="00AB5015"/>
    <w:rsid w:val="00AC4FD0"/>
    <w:rsid w:val="00AC64AB"/>
    <w:rsid w:val="00AD0C6F"/>
    <w:rsid w:val="00AD6AFD"/>
    <w:rsid w:val="00AF0EEE"/>
    <w:rsid w:val="00AF107B"/>
    <w:rsid w:val="00B04D48"/>
    <w:rsid w:val="00B07AC0"/>
    <w:rsid w:val="00B23134"/>
    <w:rsid w:val="00B320B3"/>
    <w:rsid w:val="00B33EB2"/>
    <w:rsid w:val="00B375AB"/>
    <w:rsid w:val="00B41D22"/>
    <w:rsid w:val="00B4416A"/>
    <w:rsid w:val="00B452E7"/>
    <w:rsid w:val="00B56296"/>
    <w:rsid w:val="00B609DF"/>
    <w:rsid w:val="00B62877"/>
    <w:rsid w:val="00B72F0B"/>
    <w:rsid w:val="00B775A6"/>
    <w:rsid w:val="00B81873"/>
    <w:rsid w:val="00B82BBC"/>
    <w:rsid w:val="00B82CA1"/>
    <w:rsid w:val="00B933AD"/>
    <w:rsid w:val="00BA0F48"/>
    <w:rsid w:val="00BA1804"/>
    <w:rsid w:val="00BA2027"/>
    <w:rsid w:val="00BA27EA"/>
    <w:rsid w:val="00BB4393"/>
    <w:rsid w:val="00BD0BC7"/>
    <w:rsid w:val="00BD2EE6"/>
    <w:rsid w:val="00BD333F"/>
    <w:rsid w:val="00BD6A83"/>
    <w:rsid w:val="00BE2B5A"/>
    <w:rsid w:val="00BE3D51"/>
    <w:rsid w:val="00BF437F"/>
    <w:rsid w:val="00BF7D98"/>
    <w:rsid w:val="00C04B53"/>
    <w:rsid w:val="00C11CC3"/>
    <w:rsid w:val="00C1420C"/>
    <w:rsid w:val="00C163C2"/>
    <w:rsid w:val="00C172E0"/>
    <w:rsid w:val="00C3320A"/>
    <w:rsid w:val="00C341EA"/>
    <w:rsid w:val="00C443F0"/>
    <w:rsid w:val="00C47625"/>
    <w:rsid w:val="00C5109D"/>
    <w:rsid w:val="00C72079"/>
    <w:rsid w:val="00C765C7"/>
    <w:rsid w:val="00C770C3"/>
    <w:rsid w:val="00C8641A"/>
    <w:rsid w:val="00C96411"/>
    <w:rsid w:val="00C96D24"/>
    <w:rsid w:val="00CA16FE"/>
    <w:rsid w:val="00CA43DE"/>
    <w:rsid w:val="00CA6102"/>
    <w:rsid w:val="00CB06AD"/>
    <w:rsid w:val="00CC5982"/>
    <w:rsid w:val="00CD5C7E"/>
    <w:rsid w:val="00CD6E52"/>
    <w:rsid w:val="00CE14E4"/>
    <w:rsid w:val="00CE3A7B"/>
    <w:rsid w:val="00CE6FC7"/>
    <w:rsid w:val="00CF3ABE"/>
    <w:rsid w:val="00D060B8"/>
    <w:rsid w:val="00D07D10"/>
    <w:rsid w:val="00D11023"/>
    <w:rsid w:val="00D23284"/>
    <w:rsid w:val="00D25672"/>
    <w:rsid w:val="00D2650A"/>
    <w:rsid w:val="00D3165D"/>
    <w:rsid w:val="00D35E18"/>
    <w:rsid w:val="00D430FD"/>
    <w:rsid w:val="00D5037A"/>
    <w:rsid w:val="00D62355"/>
    <w:rsid w:val="00D62BFC"/>
    <w:rsid w:val="00D8300E"/>
    <w:rsid w:val="00D85253"/>
    <w:rsid w:val="00D94869"/>
    <w:rsid w:val="00DB74F1"/>
    <w:rsid w:val="00DC092F"/>
    <w:rsid w:val="00DC2783"/>
    <w:rsid w:val="00DC496D"/>
    <w:rsid w:val="00DC6ADB"/>
    <w:rsid w:val="00DD078B"/>
    <w:rsid w:val="00DD49A4"/>
    <w:rsid w:val="00DD4B89"/>
    <w:rsid w:val="00DD7231"/>
    <w:rsid w:val="00DF3802"/>
    <w:rsid w:val="00E10C95"/>
    <w:rsid w:val="00E140C8"/>
    <w:rsid w:val="00E16431"/>
    <w:rsid w:val="00E17602"/>
    <w:rsid w:val="00E30472"/>
    <w:rsid w:val="00E36097"/>
    <w:rsid w:val="00E40552"/>
    <w:rsid w:val="00E43680"/>
    <w:rsid w:val="00E44ECA"/>
    <w:rsid w:val="00E54849"/>
    <w:rsid w:val="00E77B5A"/>
    <w:rsid w:val="00E81173"/>
    <w:rsid w:val="00E85561"/>
    <w:rsid w:val="00E86DF1"/>
    <w:rsid w:val="00E92460"/>
    <w:rsid w:val="00E92F54"/>
    <w:rsid w:val="00E95D4B"/>
    <w:rsid w:val="00EA16DD"/>
    <w:rsid w:val="00EA41D7"/>
    <w:rsid w:val="00EB3290"/>
    <w:rsid w:val="00EB32B2"/>
    <w:rsid w:val="00EB3905"/>
    <w:rsid w:val="00EB6F90"/>
    <w:rsid w:val="00EC0535"/>
    <w:rsid w:val="00EC33A3"/>
    <w:rsid w:val="00ED58B3"/>
    <w:rsid w:val="00EE0053"/>
    <w:rsid w:val="00EF101E"/>
    <w:rsid w:val="00EF353F"/>
    <w:rsid w:val="00EF4617"/>
    <w:rsid w:val="00F00341"/>
    <w:rsid w:val="00F0049E"/>
    <w:rsid w:val="00F05332"/>
    <w:rsid w:val="00F13998"/>
    <w:rsid w:val="00F3320E"/>
    <w:rsid w:val="00F4018F"/>
    <w:rsid w:val="00F41908"/>
    <w:rsid w:val="00F41F96"/>
    <w:rsid w:val="00F5001D"/>
    <w:rsid w:val="00F50C46"/>
    <w:rsid w:val="00F67AFE"/>
    <w:rsid w:val="00F80CFD"/>
    <w:rsid w:val="00F81745"/>
    <w:rsid w:val="00F85105"/>
    <w:rsid w:val="00F9302A"/>
    <w:rsid w:val="00FA78A5"/>
    <w:rsid w:val="00FC1319"/>
    <w:rsid w:val="00FC329A"/>
    <w:rsid w:val="00FC4133"/>
    <w:rsid w:val="00FD0809"/>
    <w:rsid w:val="00FD5C45"/>
    <w:rsid w:val="00FE6E2F"/>
    <w:rsid w:val="00FE7853"/>
    <w:rsid w:val="00FF0505"/>
    <w:rsid w:val="00FF05A9"/>
    <w:rsid w:val="00FF4E30"/>
    <w:rsid w:val="00FF7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B76B08-D12D-4B0A-82CA-7BA21E4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33"/>
  </w:style>
  <w:style w:type="paragraph" w:styleId="4">
    <w:name w:val="heading 4"/>
    <w:basedOn w:val="a"/>
    <w:link w:val="40"/>
    <w:uiPriority w:val="9"/>
    <w:qFormat/>
    <w:rsid w:val="001632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33"/>
    <w:pPr>
      <w:ind w:left="720"/>
      <w:contextualSpacing/>
    </w:pPr>
  </w:style>
  <w:style w:type="character" w:styleId="a4">
    <w:name w:val="Hyperlink"/>
    <w:basedOn w:val="a0"/>
    <w:uiPriority w:val="99"/>
    <w:unhideWhenUsed/>
    <w:rsid w:val="00EA16DD"/>
    <w:rPr>
      <w:color w:val="0563C1" w:themeColor="hyperlink"/>
      <w:u w:val="single"/>
    </w:rPr>
  </w:style>
  <w:style w:type="paragraph" w:styleId="a5">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6"/>
    <w:uiPriority w:val="99"/>
    <w:unhideWhenUsed/>
    <w:qFormat/>
    <w:rsid w:val="00EA16DD"/>
    <w:pPr>
      <w:spacing w:after="0" w:line="240" w:lineRule="auto"/>
      <w:ind w:firstLine="567"/>
      <w:jc w:val="both"/>
    </w:pPr>
    <w:rPr>
      <w:rFonts w:ascii="Times New Roman" w:eastAsia="Times New Roman" w:hAnsi="Times New Roman" w:cs="Times New Roman"/>
      <w:sz w:val="24"/>
      <w:szCs w:val="24"/>
    </w:rPr>
  </w:style>
  <w:style w:type="character" w:customStyle="1" w:styleId="a7">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8"/>
    <w:uiPriority w:val="99"/>
    <w:locked/>
    <w:rsid w:val="00EA16DD"/>
    <w:rPr>
      <w:sz w:val="20"/>
      <w:szCs w:val="20"/>
    </w:rPr>
  </w:style>
  <w:style w:type="paragraph" w:styleId="a8">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7"/>
    <w:uiPriority w:val="99"/>
    <w:unhideWhenUsed/>
    <w:qFormat/>
    <w:rsid w:val="00EA16DD"/>
    <w:pPr>
      <w:spacing w:after="0" w:line="240" w:lineRule="auto"/>
    </w:pPr>
    <w:rPr>
      <w:sz w:val="20"/>
      <w:szCs w:val="20"/>
    </w:rPr>
  </w:style>
  <w:style w:type="character" w:customStyle="1" w:styleId="FootnoteTextChar1">
    <w:name w:val="Footnote Text Char1"/>
    <w:basedOn w:val="a0"/>
    <w:uiPriority w:val="99"/>
    <w:semiHidden/>
    <w:rsid w:val="00EA16DD"/>
    <w:rPr>
      <w:sz w:val="20"/>
      <w:szCs w:val="20"/>
    </w:rPr>
  </w:style>
  <w:style w:type="paragraph" w:customStyle="1" w:styleId="cn">
    <w:name w:val="cn"/>
    <w:basedOn w:val="a"/>
    <w:uiPriority w:val="99"/>
    <w:rsid w:val="00EA16DD"/>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EA16DD"/>
    <w:pPr>
      <w:spacing w:line="240" w:lineRule="exact"/>
    </w:pPr>
    <w:rPr>
      <w:vertAlign w:val="superscript"/>
      <w:lang w:val="ro-MD"/>
    </w:rPr>
  </w:style>
  <w:style w:type="paragraph" w:customStyle="1" w:styleId="cp">
    <w:name w:val="cp"/>
    <w:basedOn w:val="a"/>
    <w:uiPriority w:val="99"/>
    <w:rsid w:val="00EA16DD"/>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EA16DD"/>
    <w:rPr>
      <w:vertAlign w:val="superscript"/>
      <w:lang w:val="ro-MD"/>
    </w:rPr>
  </w:style>
  <w:style w:type="paragraph" w:styleId="a9">
    <w:name w:val="header"/>
    <w:basedOn w:val="a"/>
    <w:link w:val="aa"/>
    <w:uiPriority w:val="99"/>
    <w:unhideWhenUsed/>
    <w:rsid w:val="00EA16DD"/>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EA16DD"/>
  </w:style>
  <w:style w:type="paragraph" w:styleId="ab">
    <w:name w:val="footer"/>
    <w:basedOn w:val="a"/>
    <w:link w:val="ac"/>
    <w:uiPriority w:val="99"/>
    <w:unhideWhenUsed/>
    <w:rsid w:val="00EA16DD"/>
    <w:pPr>
      <w:tabs>
        <w:tab w:val="center" w:pos="4680"/>
        <w:tab w:val="right" w:pos="9360"/>
      </w:tabs>
      <w:spacing w:after="0" w:line="240" w:lineRule="auto"/>
    </w:pPr>
  </w:style>
  <w:style w:type="character" w:customStyle="1" w:styleId="ac">
    <w:name w:val="Нижний колонтитул Знак"/>
    <w:basedOn w:val="a0"/>
    <w:link w:val="ab"/>
    <w:uiPriority w:val="99"/>
    <w:rsid w:val="00EA16DD"/>
  </w:style>
  <w:style w:type="character" w:styleId="ad">
    <w:name w:val="footnote reference"/>
    <w:aliases w:val="fr,Footnote Text Char2,F"/>
    <w:basedOn w:val="a0"/>
    <w:uiPriority w:val="99"/>
    <w:unhideWhenUsed/>
    <w:rsid w:val="00BB4393"/>
    <w:rPr>
      <w:vertAlign w:val="superscript"/>
    </w:rPr>
  </w:style>
  <w:style w:type="paragraph" w:styleId="ae">
    <w:name w:val="Balloon Text"/>
    <w:basedOn w:val="a"/>
    <w:link w:val="af"/>
    <w:uiPriority w:val="99"/>
    <w:semiHidden/>
    <w:unhideWhenUsed/>
    <w:rsid w:val="003B79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B7954"/>
    <w:rPr>
      <w:rFonts w:ascii="Segoe UI" w:hAnsi="Segoe UI" w:cs="Segoe UI"/>
      <w:sz w:val="18"/>
      <w:szCs w:val="18"/>
    </w:rPr>
  </w:style>
  <w:style w:type="paragraph" w:customStyle="1" w:styleId="Style21">
    <w:name w:val="Style21"/>
    <w:basedOn w:val="a"/>
    <w:uiPriority w:val="99"/>
    <w:rsid w:val="00DC2783"/>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character" w:customStyle="1" w:styleId="a6">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5"/>
    <w:uiPriority w:val="99"/>
    <w:locked/>
    <w:rsid w:val="00B04D48"/>
    <w:rPr>
      <w:rFonts w:ascii="Times New Roman" w:eastAsia="Times New Roman" w:hAnsi="Times New Roman" w:cs="Times New Roman"/>
      <w:sz w:val="24"/>
      <w:szCs w:val="24"/>
    </w:rPr>
  </w:style>
  <w:style w:type="table" w:styleId="af0">
    <w:name w:val="Table Grid"/>
    <w:basedOn w:val="a1"/>
    <w:uiPriority w:val="39"/>
    <w:rsid w:val="001F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iPriority w:val="99"/>
    <w:qFormat/>
    <w:rsid w:val="00775D2C"/>
    <w:pPr>
      <w:spacing w:after="0" w:line="240" w:lineRule="auto"/>
      <w:jc w:val="center"/>
    </w:pPr>
    <w:rPr>
      <w:rFonts w:ascii="$ Caslon" w:eastAsia="Times New Roman" w:hAnsi="$ Caslon" w:cs="Times New Roman"/>
      <w:b/>
      <w:i/>
      <w:sz w:val="28"/>
      <w:szCs w:val="20"/>
      <w:lang w:val="ro-RO" w:eastAsia="ru-RU"/>
    </w:rPr>
  </w:style>
  <w:style w:type="character" w:customStyle="1" w:styleId="40">
    <w:name w:val="Заголовок 4 Знак"/>
    <w:basedOn w:val="a0"/>
    <w:link w:val="4"/>
    <w:uiPriority w:val="9"/>
    <w:rsid w:val="001632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1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419F-0840-4D11-8489-13611A21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6</cp:revision>
  <cp:lastPrinted>2022-09-21T09:11:00Z</cp:lastPrinted>
  <dcterms:created xsi:type="dcterms:W3CDTF">2022-09-23T08:05:00Z</dcterms:created>
  <dcterms:modified xsi:type="dcterms:W3CDTF">2022-09-30T10:34:00Z</dcterms:modified>
</cp:coreProperties>
</file>