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E8D61" w14:textId="0E5EAA23" w:rsidR="0001290E" w:rsidRPr="008161D0" w:rsidRDefault="00E018A8" w:rsidP="00D74AC0">
      <w:pPr>
        <w:pStyle w:val="cn"/>
        <w:spacing w:line="276" w:lineRule="auto"/>
        <w:rPr>
          <w:sz w:val="10"/>
          <w:szCs w:val="10"/>
          <w:lang w:val="ro-RO"/>
        </w:rPr>
      </w:pPr>
      <w:r w:rsidRPr="008161D0">
        <w:rPr>
          <w:noProof/>
          <w:sz w:val="26"/>
          <w:szCs w:val="26"/>
        </w:rPr>
        <w:drawing>
          <wp:anchor distT="0" distB="0" distL="114300" distR="114300" simplePos="0" relativeHeight="251658240" behindDoc="0" locked="0" layoutInCell="1" allowOverlap="1" wp14:anchorId="4A2CF870" wp14:editId="26D5B424">
            <wp:simplePos x="0" y="0"/>
            <wp:positionH relativeFrom="page">
              <wp:posOffset>3558540</wp:posOffset>
            </wp:positionH>
            <wp:positionV relativeFrom="paragraph">
              <wp:posOffset>110490</wp:posOffset>
            </wp:positionV>
            <wp:extent cx="957580" cy="9067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758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61D0">
        <w:rPr>
          <w:lang w:val="ro-RO"/>
        </w:rPr>
        <w:br w:type="textWrapping" w:clear="all"/>
      </w:r>
    </w:p>
    <w:p w14:paraId="02CF8A64" w14:textId="258DEE83" w:rsidR="0001290E" w:rsidRPr="008161D0" w:rsidRDefault="0001290E" w:rsidP="00D74AC0">
      <w:pPr>
        <w:spacing w:after="0" w:line="276" w:lineRule="auto"/>
        <w:jc w:val="center"/>
        <w:rPr>
          <w:rFonts w:ascii="Calibri Light" w:eastAsia="Times New Roman" w:hAnsi="Calibri Light" w:cs="Calibri Light"/>
          <w:bCs/>
          <w:sz w:val="28"/>
          <w:szCs w:val="28"/>
          <w:lang w:val="ro-RO"/>
        </w:rPr>
      </w:pPr>
      <w:r w:rsidRPr="008161D0">
        <w:rPr>
          <w:rFonts w:ascii="Calibri Light" w:eastAsia="Times New Roman" w:hAnsi="Calibri Light" w:cs="Calibri Light"/>
          <w:bCs/>
          <w:sz w:val="28"/>
          <w:szCs w:val="28"/>
          <w:lang w:val="ro-RO"/>
        </w:rPr>
        <w:t>CURTEA DE CONTURI A REPUBLICII MOLDOVA</w:t>
      </w:r>
    </w:p>
    <w:p w14:paraId="08A915C2" w14:textId="55D955C7" w:rsidR="00D74AC0" w:rsidRDefault="00D74AC0" w:rsidP="00D74AC0">
      <w:pPr>
        <w:spacing w:after="0" w:line="276" w:lineRule="auto"/>
        <w:jc w:val="center"/>
        <w:rPr>
          <w:rFonts w:ascii="Calibri Light" w:eastAsia="Times New Roman" w:hAnsi="Calibri Light" w:cs="Calibri Light"/>
          <w:b/>
          <w:bCs/>
          <w:sz w:val="24"/>
          <w:szCs w:val="24"/>
          <w:lang w:val="ro-RO"/>
        </w:rPr>
      </w:pPr>
      <w:bookmarkStart w:id="0" w:name="_Toc450123757"/>
    </w:p>
    <w:p w14:paraId="01725B51" w14:textId="77777777" w:rsidR="000458AD" w:rsidRPr="008161D0" w:rsidRDefault="000458AD" w:rsidP="00D74AC0">
      <w:pPr>
        <w:spacing w:after="0" w:line="276" w:lineRule="auto"/>
        <w:jc w:val="center"/>
        <w:rPr>
          <w:rFonts w:ascii="Calibri Light" w:eastAsia="Times New Roman" w:hAnsi="Calibri Light" w:cs="Calibri Light"/>
          <w:b/>
          <w:bCs/>
          <w:sz w:val="24"/>
          <w:szCs w:val="24"/>
          <w:lang w:val="ro-RO"/>
        </w:rPr>
      </w:pPr>
    </w:p>
    <w:p w14:paraId="6EFCD7F2" w14:textId="563AF518" w:rsidR="0001290E" w:rsidRPr="008161D0" w:rsidRDefault="0001290E" w:rsidP="00D74AC0">
      <w:pPr>
        <w:spacing w:after="0" w:line="276" w:lineRule="auto"/>
        <w:jc w:val="center"/>
        <w:rPr>
          <w:rFonts w:ascii="Calibri Light" w:eastAsia="Times New Roman" w:hAnsi="Calibri Light" w:cs="Calibri Light"/>
          <w:b/>
          <w:bCs/>
          <w:sz w:val="24"/>
          <w:szCs w:val="24"/>
          <w:lang w:val="ro-RO"/>
        </w:rPr>
      </w:pPr>
      <w:r w:rsidRPr="008161D0">
        <w:rPr>
          <w:rFonts w:ascii="Calibri Light" w:eastAsia="Times New Roman" w:hAnsi="Calibri Light" w:cs="Calibri Light"/>
          <w:b/>
          <w:bCs/>
          <w:sz w:val="24"/>
          <w:szCs w:val="24"/>
          <w:lang w:val="ro-RO"/>
        </w:rPr>
        <w:t>H O T Ă R Â R E A nr.</w:t>
      </w:r>
      <w:bookmarkEnd w:id="0"/>
      <w:r w:rsidR="00FC7BCB" w:rsidRPr="008161D0">
        <w:rPr>
          <w:rFonts w:ascii="Calibri Light" w:eastAsia="Times New Roman" w:hAnsi="Calibri Light" w:cs="Calibri Light"/>
          <w:b/>
          <w:bCs/>
          <w:sz w:val="24"/>
          <w:szCs w:val="24"/>
          <w:lang w:val="ro-RO"/>
        </w:rPr>
        <w:t xml:space="preserve"> </w:t>
      </w:r>
      <w:r w:rsidR="00FC7BCB" w:rsidRPr="008161D0">
        <w:rPr>
          <w:rFonts w:ascii="Calibri Light" w:eastAsia="Times New Roman" w:hAnsi="Calibri Light" w:cs="Calibri Light"/>
          <w:b/>
          <w:bCs/>
          <w:sz w:val="24"/>
          <w:szCs w:val="24"/>
          <w:lang w:val="ro-RO"/>
        </w:rPr>
        <w:softHyphen/>
      </w:r>
      <w:r w:rsidR="0035796E" w:rsidRPr="008161D0">
        <w:rPr>
          <w:rFonts w:ascii="Calibri Light" w:eastAsia="Times New Roman" w:hAnsi="Calibri Light" w:cs="Calibri Light"/>
          <w:b/>
          <w:bCs/>
          <w:sz w:val="24"/>
          <w:szCs w:val="24"/>
          <w:lang w:val="ro-RO"/>
        </w:rPr>
        <w:t>71</w:t>
      </w:r>
    </w:p>
    <w:p w14:paraId="027A5FBB" w14:textId="4D9C5BFB" w:rsidR="0001290E" w:rsidRPr="008161D0" w:rsidRDefault="00FC7BCB" w:rsidP="00D74AC0">
      <w:pPr>
        <w:spacing w:after="0" w:line="276" w:lineRule="auto"/>
        <w:jc w:val="center"/>
        <w:rPr>
          <w:rFonts w:ascii="Calibri Light" w:eastAsia="Times New Roman" w:hAnsi="Calibri Light" w:cs="Calibri Light"/>
          <w:bCs/>
          <w:sz w:val="28"/>
          <w:szCs w:val="28"/>
          <w:lang w:val="ro-RO"/>
        </w:rPr>
      </w:pPr>
      <w:r w:rsidRPr="008161D0">
        <w:rPr>
          <w:rFonts w:ascii="Calibri Light" w:eastAsia="Times New Roman" w:hAnsi="Calibri Light" w:cs="Calibri Light"/>
          <w:bCs/>
          <w:sz w:val="24"/>
          <w:szCs w:val="24"/>
          <w:lang w:val="ro-RO"/>
        </w:rPr>
        <w:t xml:space="preserve">din </w:t>
      </w:r>
      <w:r w:rsidR="00E751A4" w:rsidRPr="008161D0">
        <w:rPr>
          <w:rFonts w:ascii="Calibri Light" w:eastAsia="Times New Roman" w:hAnsi="Calibri Light" w:cs="Calibri Light"/>
          <w:bCs/>
          <w:sz w:val="24"/>
          <w:szCs w:val="24"/>
          <w:lang w:val="ro-RO"/>
        </w:rPr>
        <w:t>1</w:t>
      </w:r>
      <w:r w:rsidR="00D74AC0" w:rsidRPr="008161D0">
        <w:rPr>
          <w:rFonts w:ascii="Calibri Light" w:eastAsia="Times New Roman" w:hAnsi="Calibri Light" w:cs="Calibri Light"/>
          <w:bCs/>
          <w:sz w:val="24"/>
          <w:szCs w:val="24"/>
          <w:lang w:val="ro-RO"/>
        </w:rPr>
        <w:t>6</w:t>
      </w:r>
      <w:r w:rsidR="00E751A4" w:rsidRPr="008161D0">
        <w:rPr>
          <w:rFonts w:ascii="Calibri Light" w:eastAsia="Times New Roman" w:hAnsi="Calibri Light" w:cs="Calibri Light"/>
          <w:bCs/>
          <w:sz w:val="24"/>
          <w:szCs w:val="24"/>
          <w:lang w:val="ro-RO"/>
        </w:rPr>
        <w:t xml:space="preserve"> decembrie</w:t>
      </w:r>
      <w:r w:rsidR="00360B1E" w:rsidRPr="008161D0">
        <w:rPr>
          <w:rFonts w:ascii="Calibri Light" w:eastAsia="Times New Roman" w:hAnsi="Calibri Light" w:cs="Calibri Light"/>
          <w:bCs/>
          <w:sz w:val="24"/>
          <w:szCs w:val="24"/>
          <w:lang w:val="ro-RO"/>
        </w:rPr>
        <w:t xml:space="preserve"> 2021</w:t>
      </w:r>
    </w:p>
    <w:p w14:paraId="714E845F" w14:textId="7D66D7C3" w:rsidR="00995158" w:rsidRPr="008161D0" w:rsidRDefault="00E018A8" w:rsidP="00D74AC0">
      <w:pPr>
        <w:spacing w:after="0" w:line="276" w:lineRule="auto"/>
        <w:ind w:right="-1"/>
        <w:jc w:val="center"/>
        <w:rPr>
          <w:rFonts w:asciiTheme="majorHAnsi" w:hAnsiTheme="majorHAnsi" w:cstheme="majorHAnsi"/>
          <w:b/>
          <w:sz w:val="24"/>
          <w:szCs w:val="24"/>
          <w:lang w:val="ro-RO"/>
        </w:rPr>
      </w:pPr>
      <w:r w:rsidRPr="008161D0">
        <w:rPr>
          <w:rFonts w:asciiTheme="majorHAnsi" w:hAnsiTheme="majorHAnsi" w:cstheme="majorHAnsi"/>
          <w:b/>
          <w:sz w:val="24"/>
          <w:szCs w:val="24"/>
          <w:lang w:val="ro-RO"/>
        </w:rPr>
        <w:t>pentru</w:t>
      </w:r>
      <w:r w:rsidR="0001290E" w:rsidRPr="008161D0">
        <w:rPr>
          <w:rFonts w:asciiTheme="majorHAnsi" w:hAnsiTheme="majorHAnsi" w:cstheme="majorHAnsi"/>
          <w:b/>
          <w:sz w:val="24"/>
          <w:szCs w:val="24"/>
          <w:lang w:val="ro-RO"/>
        </w:rPr>
        <w:t xml:space="preserve"> aprobarea Raportului </w:t>
      </w:r>
      <w:r w:rsidR="00995158" w:rsidRPr="008161D0">
        <w:rPr>
          <w:rFonts w:asciiTheme="majorHAnsi" w:hAnsiTheme="majorHAnsi" w:cstheme="majorHAnsi"/>
          <w:b/>
          <w:sz w:val="24"/>
          <w:szCs w:val="24"/>
          <w:lang w:val="ro-RO"/>
        </w:rPr>
        <w:t>auditului performanței</w:t>
      </w:r>
    </w:p>
    <w:p w14:paraId="1EE5ECF8" w14:textId="7EEA09E3" w:rsidR="007C6869" w:rsidRPr="008161D0" w:rsidRDefault="00995158" w:rsidP="00D74AC0">
      <w:pPr>
        <w:spacing w:after="0" w:line="276" w:lineRule="auto"/>
        <w:ind w:right="-1"/>
        <w:jc w:val="center"/>
        <w:rPr>
          <w:rFonts w:asciiTheme="majorHAnsi" w:hAnsiTheme="majorHAnsi" w:cstheme="majorHAnsi"/>
          <w:b/>
          <w:sz w:val="24"/>
          <w:szCs w:val="24"/>
          <w:lang w:val="ro-RO"/>
        </w:rPr>
      </w:pPr>
      <w:r w:rsidRPr="008161D0">
        <w:rPr>
          <w:rFonts w:asciiTheme="majorHAnsi" w:hAnsiTheme="majorHAnsi" w:cstheme="majorHAnsi"/>
          <w:b/>
          <w:sz w:val="24"/>
          <w:szCs w:val="24"/>
          <w:lang w:val="ro-RO"/>
        </w:rPr>
        <w:t>„</w:t>
      </w:r>
      <w:r w:rsidR="00D916C6" w:rsidRPr="008161D0">
        <w:rPr>
          <w:rFonts w:asciiTheme="majorHAnsi" w:hAnsiTheme="majorHAnsi" w:cstheme="majorHAnsi"/>
          <w:b/>
          <w:sz w:val="24"/>
          <w:szCs w:val="24"/>
          <w:lang w:val="ro-RO"/>
        </w:rPr>
        <w:t>Autoritățile competente au întreprins suficiente măsuri în vederea asigurării cetățenilor cu vaccinuri și atingerii imunității colective</w:t>
      </w:r>
      <w:r w:rsidR="00435335" w:rsidRPr="008161D0">
        <w:rPr>
          <w:rFonts w:asciiTheme="majorHAnsi" w:hAnsiTheme="majorHAnsi" w:cstheme="majorHAnsi"/>
          <w:b/>
          <w:sz w:val="24"/>
          <w:szCs w:val="24"/>
          <w:lang w:val="ro-RO"/>
        </w:rPr>
        <w:t xml:space="preserve"> </w:t>
      </w:r>
      <w:r w:rsidR="00D916C6" w:rsidRPr="008161D0">
        <w:rPr>
          <w:rFonts w:asciiTheme="majorHAnsi" w:hAnsiTheme="majorHAnsi" w:cstheme="majorHAnsi"/>
          <w:b/>
          <w:sz w:val="24"/>
          <w:szCs w:val="24"/>
          <w:lang w:val="ro-RO"/>
        </w:rPr>
        <w:t>pentru combaterea infecției COVID-19</w:t>
      </w:r>
      <w:r w:rsidRPr="008161D0">
        <w:rPr>
          <w:rFonts w:asciiTheme="majorHAnsi" w:hAnsiTheme="majorHAnsi" w:cstheme="majorHAnsi"/>
          <w:b/>
          <w:sz w:val="24"/>
          <w:szCs w:val="24"/>
          <w:lang w:val="ro-RO"/>
        </w:rPr>
        <w:t>?”</w:t>
      </w:r>
    </w:p>
    <w:p w14:paraId="5AAD4326" w14:textId="296FB116" w:rsidR="00995158" w:rsidRPr="008161D0" w:rsidRDefault="00995158" w:rsidP="00D74AC0">
      <w:pPr>
        <w:spacing w:after="0" w:line="276" w:lineRule="auto"/>
        <w:ind w:right="-1"/>
        <w:jc w:val="center"/>
        <w:rPr>
          <w:rFonts w:asciiTheme="majorHAnsi" w:eastAsia="Times New Roman" w:hAnsiTheme="majorHAnsi" w:cstheme="majorHAnsi"/>
          <w:b/>
          <w:bCs/>
          <w:sz w:val="16"/>
          <w:szCs w:val="16"/>
          <w:lang w:val="ro-RO" w:eastAsia="ru-RU"/>
        </w:rPr>
      </w:pPr>
    </w:p>
    <w:p w14:paraId="3CE96C03" w14:textId="77777777" w:rsidR="007201D0" w:rsidRPr="008161D0" w:rsidRDefault="007201D0" w:rsidP="00D74AC0">
      <w:pPr>
        <w:spacing w:after="0" w:line="276" w:lineRule="auto"/>
        <w:ind w:right="-1"/>
        <w:jc w:val="center"/>
        <w:rPr>
          <w:rFonts w:asciiTheme="majorHAnsi" w:eastAsia="Times New Roman" w:hAnsiTheme="majorHAnsi" w:cstheme="majorHAnsi"/>
          <w:b/>
          <w:bCs/>
          <w:sz w:val="16"/>
          <w:szCs w:val="16"/>
          <w:lang w:val="ro-RO" w:eastAsia="ru-RU"/>
        </w:rPr>
      </w:pPr>
    </w:p>
    <w:p w14:paraId="412799F7" w14:textId="62E4BEEC" w:rsidR="004C6D74" w:rsidRPr="008161D0" w:rsidRDefault="0001290E" w:rsidP="003929ED">
      <w:pPr>
        <w:spacing w:before="240" w:line="276" w:lineRule="auto"/>
        <w:ind w:firstLine="720"/>
        <w:jc w:val="both"/>
        <w:rPr>
          <w:rFonts w:asciiTheme="majorHAnsi" w:hAnsiTheme="majorHAnsi" w:cstheme="majorHAnsi"/>
          <w:sz w:val="24"/>
          <w:szCs w:val="24"/>
          <w:lang w:val="ro-RO"/>
        </w:rPr>
      </w:pPr>
      <w:r w:rsidRPr="008161D0">
        <w:rPr>
          <w:rFonts w:asciiTheme="majorHAnsi" w:hAnsiTheme="majorHAnsi" w:cstheme="majorHAnsi"/>
          <w:sz w:val="24"/>
          <w:szCs w:val="24"/>
          <w:lang w:val="ro-RO"/>
        </w:rPr>
        <w:t xml:space="preserve">Curtea de Conturi, </w:t>
      </w:r>
      <w:r w:rsidR="008661FF" w:rsidRPr="008161D0">
        <w:rPr>
          <w:rFonts w:asciiTheme="majorHAnsi" w:hAnsiTheme="majorHAnsi" w:cstheme="majorHAnsi"/>
          <w:sz w:val="24"/>
          <w:szCs w:val="24"/>
          <w:lang w:val="ro-RO"/>
        </w:rPr>
        <w:t>în prezența</w:t>
      </w:r>
      <w:r w:rsidR="0032653B" w:rsidRPr="008161D0">
        <w:rPr>
          <w:rFonts w:asciiTheme="majorHAnsi" w:hAnsiTheme="majorHAnsi" w:cstheme="majorHAnsi"/>
          <w:sz w:val="24"/>
          <w:szCs w:val="24"/>
          <w:lang w:val="ro-RO"/>
        </w:rPr>
        <w:t xml:space="preserve"> </w:t>
      </w:r>
      <w:r w:rsidR="00227E0A" w:rsidRPr="008161D0">
        <w:rPr>
          <w:rFonts w:asciiTheme="majorHAnsi" w:hAnsiTheme="majorHAnsi" w:cstheme="majorHAnsi"/>
          <w:sz w:val="24"/>
          <w:szCs w:val="24"/>
          <w:lang w:val="ro-RO"/>
        </w:rPr>
        <w:t>S</w:t>
      </w:r>
      <w:r w:rsidR="0032653B" w:rsidRPr="008161D0">
        <w:rPr>
          <w:rFonts w:asciiTheme="majorHAnsi" w:hAnsiTheme="majorHAnsi" w:cstheme="majorHAnsi"/>
          <w:sz w:val="24"/>
          <w:szCs w:val="24"/>
          <w:lang w:val="ro-RO"/>
        </w:rPr>
        <w:t xml:space="preserve">ecretarului de stat al Ministerului Sănătății, </w:t>
      </w:r>
      <w:r w:rsidR="00227E0A" w:rsidRPr="008161D0">
        <w:rPr>
          <w:rFonts w:asciiTheme="majorHAnsi" w:hAnsiTheme="majorHAnsi" w:cstheme="majorHAnsi"/>
          <w:sz w:val="24"/>
          <w:szCs w:val="24"/>
          <w:lang w:val="ro-RO"/>
        </w:rPr>
        <w:t xml:space="preserve">dna </w:t>
      </w:r>
      <w:r w:rsidR="0032653B" w:rsidRPr="008161D0">
        <w:rPr>
          <w:rFonts w:asciiTheme="majorHAnsi" w:hAnsiTheme="majorHAnsi" w:cstheme="majorHAnsi"/>
          <w:sz w:val="24"/>
          <w:szCs w:val="24"/>
          <w:lang w:val="ro-RO"/>
        </w:rPr>
        <w:t>Svetlana Nicolaescu</w:t>
      </w:r>
      <w:r w:rsidR="00B15C5B" w:rsidRPr="008161D0">
        <w:rPr>
          <w:rFonts w:asciiTheme="majorHAnsi" w:hAnsiTheme="majorHAnsi" w:cstheme="majorHAnsi"/>
          <w:sz w:val="24"/>
          <w:szCs w:val="24"/>
          <w:lang w:val="ro-RO"/>
        </w:rPr>
        <w:t xml:space="preserve">; </w:t>
      </w:r>
      <w:r w:rsidR="00A16D79" w:rsidRPr="008161D0">
        <w:rPr>
          <w:rFonts w:asciiTheme="majorHAnsi" w:hAnsiTheme="majorHAnsi" w:cstheme="majorHAnsi"/>
          <w:sz w:val="24"/>
          <w:szCs w:val="24"/>
          <w:lang w:val="ro-RO"/>
        </w:rPr>
        <w:t xml:space="preserve">directorului general al Agenției Medicamentului și Dispozitivelor Medicale, dl Dragoș Guțu; </w:t>
      </w:r>
      <w:r w:rsidR="00B15C5B" w:rsidRPr="008161D0">
        <w:rPr>
          <w:rFonts w:asciiTheme="majorHAnsi" w:hAnsiTheme="majorHAnsi" w:cstheme="majorHAnsi"/>
          <w:sz w:val="24"/>
          <w:szCs w:val="24"/>
          <w:lang w:val="ro-RO"/>
        </w:rPr>
        <w:t xml:space="preserve">directorului Agenției Naționale pentru Sănătate Publică, dl Nicolae </w:t>
      </w:r>
      <w:proofErr w:type="spellStart"/>
      <w:r w:rsidR="00B15C5B" w:rsidRPr="008161D0">
        <w:rPr>
          <w:rFonts w:asciiTheme="majorHAnsi" w:hAnsiTheme="majorHAnsi" w:cstheme="majorHAnsi"/>
          <w:sz w:val="24"/>
          <w:szCs w:val="24"/>
          <w:lang w:val="ro-RO"/>
        </w:rPr>
        <w:t>Jelamschi</w:t>
      </w:r>
      <w:proofErr w:type="spellEnd"/>
      <w:r w:rsidR="00B15C5B" w:rsidRPr="008161D0">
        <w:rPr>
          <w:rFonts w:asciiTheme="majorHAnsi" w:hAnsiTheme="majorHAnsi" w:cstheme="majorHAnsi"/>
          <w:sz w:val="24"/>
          <w:szCs w:val="24"/>
          <w:lang w:val="ro-RO"/>
        </w:rPr>
        <w:t xml:space="preserve">; </w:t>
      </w:r>
      <w:proofErr w:type="spellStart"/>
      <w:r w:rsidR="00B15C5B" w:rsidRPr="008161D0">
        <w:rPr>
          <w:rFonts w:asciiTheme="majorHAnsi" w:hAnsiTheme="majorHAnsi" w:cstheme="majorHAnsi"/>
          <w:sz w:val="24"/>
          <w:szCs w:val="24"/>
          <w:lang w:val="ro-RO"/>
        </w:rPr>
        <w:t>vicedirectorului</w:t>
      </w:r>
      <w:proofErr w:type="spellEnd"/>
      <w:r w:rsidR="00B15C5B" w:rsidRPr="008161D0">
        <w:rPr>
          <w:rFonts w:asciiTheme="majorHAnsi" w:hAnsiTheme="majorHAnsi" w:cstheme="majorHAnsi"/>
          <w:sz w:val="24"/>
          <w:szCs w:val="24"/>
          <w:lang w:val="ro-RO"/>
        </w:rPr>
        <w:t xml:space="preserve"> Centrului pentru </w:t>
      </w:r>
      <w:proofErr w:type="spellStart"/>
      <w:r w:rsidR="00B15C5B" w:rsidRPr="008161D0">
        <w:rPr>
          <w:rFonts w:asciiTheme="majorHAnsi" w:hAnsiTheme="majorHAnsi" w:cstheme="majorHAnsi"/>
          <w:sz w:val="24"/>
          <w:szCs w:val="24"/>
          <w:lang w:val="ro-RO"/>
        </w:rPr>
        <w:t>Achiziţii</w:t>
      </w:r>
      <w:proofErr w:type="spellEnd"/>
      <w:r w:rsidR="00B15C5B" w:rsidRPr="008161D0">
        <w:rPr>
          <w:rFonts w:asciiTheme="majorHAnsi" w:hAnsiTheme="majorHAnsi" w:cstheme="majorHAnsi"/>
          <w:sz w:val="24"/>
          <w:szCs w:val="24"/>
          <w:lang w:val="ro-RO"/>
        </w:rPr>
        <w:t xml:space="preserve"> Publice Centralizate în Sănătate, dna Ala </w:t>
      </w:r>
      <w:proofErr w:type="spellStart"/>
      <w:r w:rsidR="00B15C5B" w:rsidRPr="008161D0">
        <w:rPr>
          <w:rFonts w:asciiTheme="majorHAnsi" w:hAnsiTheme="majorHAnsi" w:cstheme="majorHAnsi"/>
          <w:sz w:val="24"/>
          <w:szCs w:val="24"/>
          <w:lang w:val="ro-RO"/>
        </w:rPr>
        <w:t>Gojan</w:t>
      </w:r>
      <w:proofErr w:type="spellEnd"/>
      <w:r w:rsidR="00B15C5B" w:rsidRPr="008161D0">
        <w:rPr>
          <w:rFonts w:asciiTheme="majorHAnsi" w:hAnsiTheme="majorHAnsi" w:cstheme="majorHAnsi"/>
          <w:sz w:val="24"/>
          <w:szCs w:val="24"/>
          <w:lang w:val="ro-RO"/>
        </w:rPr>
        <w:t xml:space="preserve">; directorului Oficiului de Gestionare a Programelor de Asistență Externă, dna </w:t>
      </w:r>
      <w:proofErr w:type="spellStart"/>
      <w:r w:rsidR="00B15C5B" w:rsidRPr="008161D0">
        <w:rPr>
          <w:rFonts w:asciiTheme="majorHAnsi" w:hAnsiTheme="majorHAnsi" w:cstheme="majorHAnsi"/>
          <w:sz w:val="24"/>
          <w:szCs w:val="24"/>
          <w:lang w:val="ro-RO"/>
        </w:rPr>
        <w:t>Raisa</w:t>
      </w:r>
      <w:proofErr w:type="spellEnd"/>
      <w:r w:rsidR="00B15C5B" w:rsidRPr="008161D0">
        <w:rPr>
          <w:rFonts w:asciiTheme="majorHAnsi" w:hAnsiTheme="majorHAnsi" w:cstheme="majorHAnsi"/>
          <w:sz w:val="24"/>
          <w:szCs w:val="24"/>
          <w:lang w:val="ro-RO"/>
        </w:rPr>
        <w:t xml:space="preserve"> Cantemir; directorului </w:t>
      </w:r>
      <w:r w:rsidR="0032653B" w:rsidRPr="008161D0">
        <w:rPr>
          <w:rFonts w:asciiTheme="majorHAnsi" w:hAnsiTheme="majorHAnsi" w:cstheme="majorHAnsi"/>
          <w:sz w:val="24"/>
          <w:szCs w:val="24"/>
          <w:lang w:val="ro-RO"/>
        </w:rPr>
        <w:t xml:space="preserve">IMSP AMT Centru, dna </w:t>
      </w:r>
      <w:proofErr w:type="spellStart"/>
      <w:r w:rsidR="0032653B" w:rsidRPr="008161D0">
        <w:rPr>
          <w:rFonts w:asciiTheme="majorHAnsi" w:hAnsiTheme="majorHAnsi" w:cstheme="majorHAnsi"/>
          <w:sz w:val="24"/>
          <w:szCs w:val="24"/>
          <w:lang w:val="ro-RO"/>
        </w:rPr>
        <w:t>Anad</w:t>
      </w:r>
      <w:r w:rsidR="005F5D8F" w:rsidRPr="008161D0">
        <w:rPr>
          <w:rFonts w:asciiTheme="majorHAnsi" w:hAnsiTheme="majorHAnsi" w:cstheme="majorHAnsi"/>
          <w:sz w:val="24"/>
          <w:szCs w:val="24"/>
          <w:lang w:val="ro-RO"/>
        </w:rPr>
        <w:t>ela</w:t>
      </w:r>
      <w:proofErr w:type="spellEnd"/>
      <w:r w:rsidR="005F5D8F" w:rsidRPr="008161D0">
        <w:rPr>
          <w:rFonts w:asciiTheme="majorHAnsi" w:hAnsiTheme="majorHAnsi" w:cstheme="majorHAnsi"/>
          <w:sz w:val="24"/>
          <w:szCs w:val="24"/>
          <w:lang w:val="ro-RO"/>
        </w:rPr>
        <w:t xml:space="preserve"> </w:t>
      </w:r>
      <w:proofErr w:type="spellStart"/>
      <w:r w:rsidR="005F5D8F" w:rsidRPr="008161D0">
        <w:rPr>
          <w:rFonts w:asciiTheme="majorHAnsi" w:hAnsiTheme="majorHAnsi" w:cstheme="majorHAnsi"/>
          <w:sz w:val="24"/>
          <w:szCs w:val="24"/>
          <w:lang w:val="ro-RO"/>
        </w:rPr>
        <w:t>Glavan</w:t>
      </w:r>
      <w:proofErr w:type="spellEnd"/>
      <w:r w:rsidR="005F5D8F" w:rsidRPr="008161D0">
        <w:rPr>
          <w:rFonts w:asciiTheme="majorHAnsi" w:hAnsiTheme="majorHAnsi" w:cstheme="majorHAnsi"/>
          <w:sz w:val="24"/>
          <w:szCs w:val="24"/>
          <w:lang w:val="ro-RO"/>
        </w:rPr>
        <w:t xml:space="preserve">; </w:t>
      </w:r>
      <w:proofErr w:type="spellStart"/>
      <w:r w:rsidR="0032653B" w:rsidRPr="008161D0">
        <w:rPr>
          <w:rFonts w:asciiTheme="majorHAnsi" w:hAnsiTheme="majorHAnsi" w:cstheme="majorHAnsi"/>
          <w:sz w:val="24"/>
          <w:szCs w:val="24"/>
          <w:lang w:val="ro-RO"/>
        </w:rPr>
        <w:t>vice</w:t>
      </w:r>
      <w:r w:rsidR="005F5D8F" w:rsidRPr="008161D0">
        <w:rPr>
          <w:rFonts w:asciiTheme="majorHAnsi" w:hAnsiTheme="majorHAnsi" w:cstheme="majorHAnsi"/>
          <w:sz w:val="24"/>
          <w:szCs w:val="24"/>
          <w:lang w:val="ro-RO"/>
        </w:rPr>
        <w:t>directorului</w:t>
      </w:r>
      <w:proofErr w:type="spellEnd"/>
      <w:r w:rsidR="005F5D8F" w:rsidRPr="008161D0">
        <w:rPr>
          <w:rFonts w:asciiTheme="majorHAnsi" w:hAnsiTheme="majorHAnsi" w:cstheme="majorHAnsi"/>
          <w:sz w:val="24"/>
          <w:szCs w:val="24"/>
          <w:lang w:val="ro-RO"/>
        </w:rPr>
        <w:t xml:space="preserve"> IMSP AMT </w:t>
      </w:r>
      <w:proofErr w:type="spellStart"/>
      <w:r w:rsidR="005F5D8F" w:rsidRPr="008161D0">
        <w:rPr>
          <w:rFonts w:asciiTheme="majorHAnsi" w:hAnsiTheme="majorHAnsi" w:cstheme="majorHAnsi"/>
          <w:sz w:val="24"/>
          <w:szCs w:val="24"/>
          <w:lang w:val="ro-RO"/>
        </w:rPr>
        <w:t>Ciocana</w:t>
      </w:r>
      <w:proofErr w:type="spellEnd"/>
      <w:r w:rsidR="005F5D8F" w:rsidRPr="008161D0">
        <w:rPr>
          <w:rFonts w:asciiTheme="majorHAnsi" w:hAnsiTheme="majorHAnsi" w:cstheme="majorHAnsi"/>
          <w:sz w:val="24"/>
          <w:szCs w:val="24"/>
          <w:lang w:val="ro-RO"/>
        </w:rPr>
        <w:t xml:space="preserve">, dna </w:t>
      </w:r>
      <w:r w:rsidR="0032653B" w:rsidRPr="008161D0">
        <w:rPr>
          <w:rFonts w:asciiTheme="majorHAnsi" w:hAnsiTheme="majorHAnsi" w:cstheme="majorHAnsi"/>
          <w:sz w:val="24"/>
          <w:szCs w:val="24"/>
          <w:lang w:val="ro-RO"/>
        </w:rPr>
        <w:t xml:space="preserve">Zinaida </w:t>
      </w:r>
      <w:proofErr w:type="spellStart"/>
      <w:r w:rsidR="0032653B" w:rsidRPr="008161D0">
        <w:rPr>
          <w:rFonts w:asciiTheme="majorHAnsi" w:hAnsiTheme="majorHAnsi" w:cstheme="majorHAnsi"/>
          <w:sz w:val="24"/>
          <w:szCs w:val="24"/>
          <w:lang w:val="ro-RO"/>
        </w:rPr>
        <w:t>Obrijanu</w:t>
      </w:r>
      <w:proofErr w:type="spellEnd"/>
      <w:r w:rsidR="00645AD5" w:rsidRPr="008161D0">
        <w:rPr>
          <w:rFonts w:asciiTheme="majorHAnsi" w:hAnsiTheme="majorHAnsi" w:cstheme="majorHAnsi"/>
          <w:sz w:val="24"/>
          <w:szCs w:val="24"/>
          <w:lang w:val="ro-RO"/>
        </w:rPr>
        <w:t xml:space="preserve">; </w:t>
      </w:r>
      <w:proofErr w:type="spellStart"/>
      <w:r w:rsidR="00645AD5" w:rsidRPr="008161D0">
        <w:rPr>
          <w:rFonts w:asciiTheme="majorHAnsi" w:hAnsiTheme="majorHAnsi" w:cstheme="majorHAnsi"/>
          <w:sz w:val="24"/>
          <w:szCs w:val="24"/>
          <w:lang w:val="ro-RO"/>
        </w:rPr>
        <w:t>vicedirectorului</w:t>
      </w:r>
      <w:proofErr w:type="spellEnd"/>
      <w:r w:rsidR="00645AD5" w:rsidRPr="008161D0">
        <w:rPr>
          <w:rFonts w:asciiTheme="majorHAnsi" w:hAnsiTheme="majorHAnsi" w:cstheme="majorHAnsi"/>
          <w:sz w:val="24"/>
          <w:szCs w:val="24"/>
          <w:lang w:val="ro-RO"/>
        </w:rPr>
        <w:t xml:space="preserve"> medical IMSP AMT </w:t>
      </w:r>
      <w:proofErr w:type="spellStart"/>
      <w:r w:rsidR="00645AD5" w:rsidRPr="008161D0">
        <w:rPr>
          <w:rFonts w:asciiTheme="majorHAnsi" w:hAnsiTheme="majorHAnsi" w:cstheme="majorHAnsi"/>
          <w:sz w:val="24"/>
          <w:szCs w:val="24"/>
          <w:lang w:val="ro-RO"/>
        </w:rPr>
        <w:t>Rîșcani</w:t>
      </w:r>
      <w:proofErr w:type="spellEnd"/>
      <w:r w:rsidR="00645AD5" w:rsidRPr="008161D0">
        <w:rPr>
          <w:rFonts w:asciiTheme="majorHAnsi" w:hAnsiTheme="majorHAnsi" w:cstheme="majorHAnsi"/>
          <w:sz w:val="24"/>
          <w:szCs w:val="24"/>
          <w:lang w:val="ro-RO"/>
        </w:rPr>
        <w:t xml:space="preserve">, dna Elena Rotari; </w:t>
      </w:r>
      <w:proofErr w:type="spellStart"/>
      <w:r w:rsidR="0032653B" w:rsidRPr="008161D0">
        <w:rPr>
          <w:rFonts w:asciiTheme="majorHAnsi" w:hAnsiTheme="majorHAnsi" w:cstheme="majorHAnsi"/>
          <w:sz w:val="24"/>
          <w:szCs w:val="24"/>
          <w:lang w:val="ro-RO"/>
        </w:rPr>
        <w:t>vice</w:t>
      </w:r>
      <w:r w:rsidR="00645AD5" w:rsidRPr="008161D0">
        <w:rPr>
          <w:rFonts w:asciiTheme="majorHAnsi" w:hAnsiTheme="majorHAnsi" w:cstheme="majorHAnsi"/>
          <w:sz w:val="24"/>
          <w:szCs w:val="24"/>
          <w:lang w:val="ro-RO"/>
        </w:rPr>
        <w:t>directorul</w:t>
      </w:r>
      <w:r w:rsidR="001D0DB4" w:rsidRPr="008161D0">
        <w:rPr>
          <w:rFonts w:asciiTheme="majorHAnsi" w:hAnsiTheme="majorHAnsi" w:cstheme="majorHAnsi"/>
          <w:sz w:val="24"/>
          <w:szCs w:val="24"/>
          <w:lang w:val="ro-RO"/>
        </w:rPr>
        <w:t>ui</w:t>
      </w:r>
      <w:proofErr w:type="spellEnd"/>
      <w:r w:rsidR="00645AD5" w:rsidRPr="008161D0">
        <w:rPr>
          <w:rFonts w:asciiTheme="majorHAnsi" w:hAnsiTheme="majorHAnsi" w:cstheme="majorHAnsi"/>
          <w:sz w:val="24"/>
          <w:szCs w:val="24"/>
          <w:lang w:val="ro-RO"/>
        </w:rPr>
        <w:t xml:space="preserve"> Clinicii </w:t>
      </w:r>
      <w:r w:rsidR="00B71859" w:rsidRPr="008161D0">
        <w:rPr>
          <w:rFonts w:asciiTheme="majorHAnsi" w:hAnsiTheme="majorHAnsi" w:cstheme="majorHAnsi"/>
          <w:sz w:val="24"/>
          <w:szCs w:val="24"/>
          <w:lang w:val="ro-RO"/>
        </w:rPr>
        <w:t>de Medicină Estetică „</w:t>
      </w:r>
      <w:proofErr w:type="spellStart"/>
      <w:r w:rsidR="00B71859" w:rsidRPr="008161D0">
        <w:rPr>
          <w:rFonts w:asciiTheme="majorHAnsi" w:hAnsiTheme="majorHAnsi" w:cstheme="majorHAnsi"/>
          <w:sz w:val="24"/>
          <w:szCs w:val="24"/>
          <w:lang w:val="ro-RO"/>
        </w:rPr>
        <w:t>Sancos</w:t>
      </w:r>
      <w:proofErr w:type="spellEnd"/>
      <w:r w:rsidR="00B71859" w:rsidRPr="008161D0">
        <w:rPr>
          <w:rFonts w:asciiTheme="majorHAnsi" w:hAnsiTheme="majorHAnsi" w:cstheme="majorHAnsi"/>
          <w:sz w:val="24"/>
          <w:szCs w:val="24"/>
          <w:lang w:val="ro-RO"/>
        </w:rPr>
        <w:t xml:space="preserve">”, </w:t>
      </w:r>
      <w:r w:rsidR="0032653B" w:rsidRPr="008161D0">
        <w:rPr>
          <w:rFonts w:asciiTheme="majorHAnsi" w:hAnsiTheme="majorHAnsi" w:cstheme="majorHAnsi"/>
          <w:sz w:val="24"/>
          <w:szCs w:val="24"/>
          <w:lang w:val="ro-RO"/>
        </w:rPr>
        <w:t xml:space="preserve">dna Victoria </w:t>
      </w:r>
      <w:proofErr w:type="spellStart"/>
      <w:r w:rsidR="00B14DB2" w:rsidRPr="008161D0">
        <w:rPr>
          <w:rFonts w:asciiTheme="majorHAnsi" w:hAnsiTheme="majorHAnsi" w:cstheme="majorHAnsi"/>
          <w:sz w:val="24"/>
          <w:szCs w:val="24"/>
          <w:lang w:val="ro-RO"/>
        </w:rPr>
        <w:t>Gurschi</w:t>
      </w:r>
      <w:proofErr w:type="spellEnd"/>
      <w:r w:rsidR="00B71859" w:rsidRPr="008161D0">
        <w:rPr>
          <w:rFonts w:asciiTheme="majorHAnsi" w:hAnsiTheme="majorHAnsi" w:cstheme="majorHAnsi"/>
          <w:sz w:val="24"/>
          <w:szCs w:val="24"/>
          <w:lang w:val="ro-RO"/>
        </w:rPr>
        <w:t xml:space="preserve">; directorului IMSP CMF Bălți, dl </w:t>
      </w:r>
      <w:proofErr w:type="spellStart"/>
      <w:r w:rsidR="00B71859" w:rsidRPr="008161D0">
        <w:rPr>
          <w:rFonts w:asciiTheme="majorHAnsi" w:hAnsiTheme="majorHAnsi" w:cstheme="majorHAnsi"/>
          <w:sz w:val="24"/>
          <w:szCs w:val="24"/>
          <w:lang w:val="ro-RO"/>
        </w:rPr>
        <w:t>Veaceslav</w:t>
      </w:r>
      <w:proofErr w:type="spellEnd"/>
      <w:r w:rsidR="00B71859" w:rsidRPr="008161D0">
        <w:rPr>
          <w:rFonts w:asciiTheme="majorHAnsi" w:hAnsiTheme="majorHAnsi" w:cstheme="majorHAnsi"/>
          <w:sz w:val="24"/>
          <w:szCs w:val="24"/>
          <w:lang w:val="ro-RO"/>
        </w:rPr>
        <w:t xml:space="preserve"> </w:t>
      </w:r>
      <w:proofErr w:type="spellStart"/>
      <w:r w:rsidR="00B71859" w:rsidRPr="008161D0">
        <w:rPr>
          <w:rFonts w:asciiTheme="majorHAnsi" w:hAnsiTheme="majorHAnsi" w:cstheme="majorHAnsi"/>
          <w:sz w:val="24"/>
          <w:szCs w:val="24"/>
          <w:lang w:val="ro-RO"/>
        </w:rPr>
        <w:t>Batîr</w:t>
      </w:r>
      <w:proofErr w:type="spellEnd"/>
      <w:r w:rsidR="00B71859" w:rsidRPr="008161D0">
        <w:rPr>
          <w:rFonts w:asciiTheme="majorHAnsi" w:hAnsiTheme="majorHAnsi" w:cstheme="majorHAnsi"/>
          <w:sz w:val="24"/>
          <w:szCs w:val="24"/>
          <w:lang w:val="ro-RO"/>
        </w:rPr>
        <w:t xml:space="preserve">; șefului IMSP CS Ocnița, dl Teodor Dutca; șefului IMSP CS Cahul, dl Alexandru </w:t>
      </w:r>
      <w:proofErr w:type="spellStart"/>
      <w:r w:rsidR="00B71859" w:rsidRPr="008161D0">
        <w:rPr>
          <w:rFonts w:asciiTheme="majorHAnsi" w:hAnsiTheme="majorHAnsi" w:cstheme="majorHAnsi"/>
          <w:sz w:val="24"/>
          <w:szCs w:val="24"/>
          <w:lang w:val="ro-RO"/>
        </w:rPr>
        <w:t>Hagioglo</w:t>
      </w:r>
      <w:proofErr w:type="spellEnd"/>
      <w:r w:rsidR="00B71859" w:rsidRPr="008161D0">
        <w:rPr>
          <w:rFonts w:asciiTheme="majorHAnsi" w:hAnsiTheme="majorHAnsi" w:cstheme="majorHAnsi"/>
          <w:sz w:val="24"/>
          <w:szCs w:val="24"/>
          <w:lang w:val="ro-RO"/>
        </w:rPr>
        <w:t xml:space="preserve">; șefului IMSP CS Nisporeni, dna Vera </w:t>
      </w:r>
      <w:proofErr w:type="spellStart"/>
      <w:r w:rsidR="00B71859" w:rsidRPr="008161D0">
        <w:rPr>
          <w:rFonts w:asciiTheme="majorHAnsi" w:hAnsiTheme="majorHAnsi" w:cstheme="majorHAnsi"/>
          <w:sz w:val="24"/>
          <w:szCs w:val="24"/>
          <w:lang w:val="ro-RO"/>
        </w:rPr>
        <w:t>Tabacaru</w:t>
      </w:r>
      <w:proofErr w:type="spellEnd"/>
      <w:r w:rsidR="00B71859" w:rsidRPr="008161D0">
        <w:rPr>
          <w:rFonts w:asciiTheme="majorHAnsi" w:hAnsiTheme="majorHAnsi" w:cstheme="majorHAnsi"/>
          <w:sz w:val="24"/>
          <w:szCs w:val="24"/>
          <w:lang w:val="ro-RO"/>
        </w:rPr>
        <w:t xml:space="preserve">; șefului IMSP </w:t>
      </w:r>
      <w:r w:rsidR="00AE2867" w:rsidRPr="008161D0">
        <w:rPr>
          <w:rFonts w:asciiTheme="majorHAnsi" w:hAnsiTheme="majorHAnsi" w:cstheme="majorHAnsi"/>
          <w:sz w:val="24"/>
          <w:szCs w:val="24"/>
          <w:lang w:val="ro-RO"/>
        </w:rPr>
        <w:t xml:space="preserve">CS </w:t>
      </w:r>
      <w:r w:rsidR="00B71859" w:rsidRPr="008161D0">
        <w:rPr>
          <w:rFonts w:asciiTheme="majorHAnsi" w:hAnsiTheme="majorHAnsi" w:cstheme="majorHAnsi"/>
          <w:sz w:val="24"/>
          <w:szCs w:val="24"/>
          <w:lang w:val="ro-RO"/>
        </w:rPr>
        <w:t>Ștefan</w:t>
      </w:r>
      <w:r w:rsidR="00B930FC" w:rsidRPr="008161D0">
        <w:rPr>
          <w:rFonts w:asciiTheme="majorHAnsi" w:hAnsiTheme="majorHAnsi" w:cstheme="majorHAnsi"/>
          <w:sz w:val="24"/>
          <w:szCs w:val="24"/>
          <w:lang w:val="ro-RO"/>
        </w:rPr>
        <w:t xml:space="preserve"> </w:t>
      </w:r>
      <w:r w:rsidR="00B71859" w:rsidRPr="008161D0">
        <w:rPr>
          <w:rFonts w:asciiTheme="majorHAnsi" w:hAnsiTheme="majorHAnsi" w:cstheme="majorHAnsi"/>
          <w:sz w:val="24"/>
          <w:szCs w:val="24"/>
          <w:lang w:val="ro-RO"/>
        </w:rPr>
        <w:t xml:space="preserve">Vodă, dna Mariana Haret; șefului IMSP CS Criuleni, dna Violeta </w:t>
      </w:r>
      <w:proofErr w:type="spellStart"/>
      <w:r w:rsidR="00B71859" w:rsidRPr="008161D0">
        <w:rPr>
          <w:rFonts w:asciiTheme="majorHAnsi" w:hAnsiTheme="majorHAnsi" w:cstheme="majorHAnsi"/>
          <w:sz w:val="24"/>
          <w:szCs w:val="24"/>
          <w:lang w:val="ro-RO"/>
        </w:rPr>
        <w:t>Panico</w:t>
      </w:r>
      <w:proofErr w:type="spellEnd"/>
      <w:r w:rsidR="00B71859" w:rsidRPr="008161D0">
        <w:rPr>
          <w:rFonts w:asciiTheme="majorHAnsi" w:hAnsiTheme="majorHAnsi" w:cstheme="majorHAnsi"/>
          <w:sz w:val="24"/>
          <w:szCs w:val="24"/>
          <w:lang w:val="ro-RO"/>
        </w:rPr>
        <w:t xml:space="preserve">; șefului IMSP CS </w:t>
      </w:r>
      <w:proofErr w:type="spellStart"/>
      <w:r w:rsidR="00B71859" w:rsidRPr="008161D0">
        <w:rPr>
          <w:rFonts w:asciiTheme="majorHAnsi" w:hAnsiTheme="majorHAnsi" w:cstheme="majorHAnsi"/>
          <w:sz w:val="24"/>
          <w:szCs w:val="24"/>
          <w:lang w:val="ro-RO"/>
        </w:rPr>
        <w:t>Talmaza</w:t>
      </w:r>
      <w:proofErr w:type="spellEnd"/>
      <w:r w:rsidR="00B71859" w:rsidRPr="008161D0">
        <w:rPr>
          <w:rFonts w:asciiTheme="majorHAnsi" w:hAnsiTheme="majorHAnsi" w:cstheme="majorHAnsi"/>
          <w:sz w:val="24"/>
          <w:szCs w:val="24"/>
          <w:lang w:val="ro-RO"/>
        </w:rPr>
        <w:t xml:space="preserve">, dl Ion </w:t>
      </w:r>
      <w:proofErr w:type="spellStart"/>
      <w:r w:rsidR="00B930FC" w:rsidRPr="008161D0">
        <w:rPr>
          <w:rFonts w:asciiTheme="majorHAnsi" w:hAnsiTheme="majorHAnsi" w:cstheme="majorHAnsi"/>
          <w:sz w:val="24"/>
          <w:szCs w:val="24"/>
          <w:lang w:val="ro-RO"/>
        </w:rPr>
        <w:t>Țî</w:t>
      </w:r>
      <w:r w:rsidR="00B71859" w:rsidRPr="008161D0">
        <w:rPr>
          <w:rFonts w:asciiTheme="majorHAnsi" w:hAnsiTheme="majorHAnsi" w:cstheme="majorHAnsi"/>
          <w:sz w:val="24"/>
          <w:szCs w:val="24"/>
          <w:lang w:val="ro-RO"/>
        </w:rPr>
        <w:t>b</w:t>
      </w:r>
      <w:r w:rsidR="00B930FC" w:rsidRPr="008161D0">
        <w:rPr>
          <w:rFonts w:asciiTheme="majorHAnsi" w:hAnsiTheme="majorHAnsi" w:cstheme="majorHAnsi"/>
          <w:sz w:val="24"/>
          <w:szCs w:val="24"/>
          <w:lang w:val="ro-RO"/>
        </w:rPr>
        <w:t>î</w:t>
      </w:r>
      <w:r w:rsidR="00B71859" w:rsidRPr="008161D0">
        <w:rPr>
          <w:rFonts w:asciiTheme="majorHAnsi" w:hAnsiTheme="majorHAnsi" w:cstheme="majorHAnsi"/>
          <w:sz w:val="24"/>
          <w:szCs w:val="24"/>
          <w:lang w:val="ro-RO"/>
        </w:rPr>
        <w:t>rnac</w:t>
      </w:r>
      <w:proofErr w:type="spellEnd"/>
      <w:r w:rsidR="00B71859" w:rsidRPr="008161D0">
        <w:rPr>
          <w:rFonts w:asciiTheme="majorHAnsi" w:hAnsiTheme="majorHAnsi" w:cstheme="majorHAnsi"/>
          <w:sz w:val="24"/>
          <w:szCs w:val="24"/>
          <w:lang w:val="ro-RO"/>
        </w:rPr>
        <w:t>; șefului IMSP CS B</w:t>
      </w:r>
      <w:r w:rsidR="00AE2867" w:rsidRPr="008161D0">
        <w:rPr>
          <w:rFonts w:asciiTheme="majorHAnsi" w:hAnsiTheme="majorHAnsi" w:cstheme="majorHAnsi"/>
          <w:sz w:val="24"/>
          <w:szCs w:val="24"/>
          <w:lang w:val="ro-RO"/>
        </w:rPr>
        <w:t>ă</w:t>
      </w:r>
      <w:r w:rsidR="00B71859" w:rsidRPr="008161D0">
        <w:rPr>
          <w:rFonts w:asciiTheme="majorHAnsi" w:hAnsiTheme="majorHAnsi" w:cstheme="majorHAnsi"/>
          <w:sz w:val="24"/>
          <w:szCs w:val="24"/>
          <w:lang w:val="ro-RO"/>
        </w:rPr>
        <w:t xml:space="preserve">cioi, dna Adriana </w:t>
      </w:r>
      <w:proofErr w:type="spellStart"/>
      <w:r w:rsidR="00B71859" w:rsidRPr="008161D0">
        <w:rPr>
          <w:rFonts w:asciiTheme="majorHAnsi" w:hAnsiTheme="majorHAnsi" w:cstheme="majorHAnsi"/>
          <w:sz w:val="24"/>
          <w:szCs w:val="24"/>
          <w:lang w:val="ro-RO"/>
        </w:rPr>
        <w:t>Mihalachi</w:t>
      </w:r>
      <w:proofErr w:type="spellEnd"/>
      <w:r w:rsidR="00B71859" w:rsidRPr="008161D0">
        <w:rPr>
          <w:rFonts w:asciiTheme="majorHAnsi" w:hAnsiTheme="majorHAnsi" w:cstheme="majorHAnsi"/>
          <w:sz w:val="24"/>
          <w:szCs w:val="24"/>
          <w:lang w:val="ro-RO"/>
        </w:rPr>
        <w:t xml:space="preserve">; șefului IMSP CS Dondușeni, dna Adelina Celac; </w:t>
      </w:r>
      <w:r w:rsidR="007C6869" w:rsidRPr="008161D0">
        <w:rPr>
          <w:rFonts w:asciiTheme="majorHAnsi" w:hAnsiTheme="majorHAnsi" w:cstheme="majorHAnsi"/>
          <w:sz w:val="24"/>
          <w:szCs w:val="24"/>
          <w:lang w:val="ro-RO"/>
        </w:rPr>
        <w:t>precum și a altor persoane cu funcții de răspundere, în cadrul ședinței video, în legătură cu instituirea stării de urgență în sănătatea publică</w:t>
      </w:r>
      <w:r w:rsidR="00ED59DD" w:rsidRPr="008161D0">
        <w:rPr>
          <w:rFonts w:asciiTheme="majorHAnsi" w:hAnsiTheme="majorHAnsi" w:cstheme="majorHAnsi"/>
          <w:sz w:val="24"/>
          <w:szCs w:val="24"/>
          <w:vertAlign w:val="superscript"/>
          <w:lang w:val="ro-RO"/>
        </w:rPr>
        <w:footnoteReference w:id="1"/>
      </w:r>
      <w:r w:rsidR="00ED59DD" w:rsidRPr="008161D0">
        <w:rPr>
          <w:rFonts w:asciiTheme="majorHAnsi" w:hAnsiTheme="majorHAnsi" w:cstheme="majorHAnsi"/>
          <w:sz w:val="24"/>
          <w:szCs w:val="24"/>
          <w:lang w:val="ro-RO"/>
        </w:rPr>
        <w:t xml:space="preserve">, </w:t>
      </w:r>
      <w:r w:rsidR="007C6869" w:rsidRPr="008161D0">
        <w:rPr>
          <w:rFonts w:asciiTheme="majorHAnsi" w:hAnsiTheme="majorHAnsi" w:cstheme="majorHAnsi"/>
          <w:sz w:val="24"/>
          <w:szCs w:val="24"/>
          <w:lang w:val="ro-RO"/>
        </w:rPr>
        <w:t xml:space="preserve">călăuzindu-se de art.3 alin.(1) și art.5 alin.(1) lit. a) din Legea privind organizarea și funcționarea Curții </w:t>
      </w:r>
      <w:r w:rsidR="00E018A8" w:rsidRPr="008161D0">
        <w:rPr>
          <w:rFonts w:asciiTheme="majorHAnsi" w:hAnsiTheme="majorHAnsi" w:cstheme="majorHAnsi"/>
          <w:sz w:val="24"/>
          <w:szCs w:val="24"/>
          <w:lang w:val="ro-RO"/>
        </w:rPr>
        <w:t>de Conturi a Republicii Moldova</w:t>
      </w:r>
      <w:r w:rsidR="007C6869" w:rsidRPr="008161D0">
        <w:rPr>
          <w:rFonts w:asciiTheme="majorHAnsi" w:hAnsiTheme="majorHAnsi" w:cstheme="majorHAnsi"/>
          <w:sz w:val="24"/>
          <w:szCs w:val="24"/>
          <w:vertAlign w:val="superscript"/>
          <w:lang w:val="ro-RO"/>
        </w:rPr>
        <w:footnoteReference w:id="2"/>
      </w:r>
      <w:r w:rsidR="007C6869" w:rsidRPr="008161D0">
        <w:rPr>
          <w:rFonts w:asciiTheme="majorHAnsi" w:hAnsiTheme="majorHAnsi" w:cstheme="majorHAnsi"/>
          <w:sz w:val="24"/>
          <w:szCs w:val="24"/>
          <w:lang w:val="ro-RO"/>
        </w:rPr>
        <w:t xml:space="preserve">, a examinat Raportul </w:t>
      </w:r>
      <w:r w:rsidR="00B322D6" w:rsidRPr="008161D0">
        <w:rPr>
          <w:rFonts w:asciiTheme="majorHAnsi" w:hAnsiTheme="majorHAnsi" w:cstheme="majorHAnsi"/>
          <w:sz w:val="24"/>
          <w:szCs w:val="24"/>
          <w:lang w:val="ro-RO"/>
        </w:rPr>
        <w:t>auditului performanței „</w:t>
      </w:r>
      <w:r w:rsidR="00D916C6" w:rsidRPr="008161D0">
        <w:rPr>
          <w:rFonts w:asciiTheme="majorHAnsi" w:hAnsiTheme="majorHAnsi" w:cstheme="majorHAnsi"/>
          <w:sz w:val="24"/>
          <w:szCs w:val="24"/>
          <w:lang w:val="ro-RO"/>
        </w:rPr>
        <w:t>Autoritățile competente au întreprins suficiente măsuri în vederea asigurării cetățenilor cu vaccinuri și atingerii imunității colective pentru combaterea infecției COVID-19</w:t>
      </w:r>
      <w:r w:rsidR="00B322D6" w:rsidRPr="008161D0">
        <w:rPr>
          <w:rFonts w:asciiTheme="majorHAnsi" w:hAnsiTheme="majorHAnsi" w:cstheme="majorHAnsi"/>
          <w:sz w:val="24"/>
          <w:szCs w:val="24"/>
          <w:lang w:val="ro-RO"/>
        </w:rPr>
        <w:t xml:space="preserve">?”. </w:t>
      </w:r>
    </w:p>
    <w:p w14:paraId="66781A3E" w14:textId="781A7E24" w:rsidR="00E751A4" w:rsidRPr="008161D0" w:rsidRDefault="00B322D6" w:rsidP="003929ED">
      <w:pPr>
        <w:spacing w:after="0" w:line="276" w:lineRule="auto"/>
        <w:ind w:right="-1" w:firstLine="720"/>
        <w:jc w:val="both"/>
        <w:rPr>
          <w:rFonts w:asciiTheme="majorHAnsi" w:hAnsiTheme="majorHAnsi" w:cstheme="majorHAnsi"/>
          <w:sz w:val="24"/>
          <w:szCs w:val="24"/>
          <w:lang w:val="ro-RO"/>
        </w:rPr>
      </w:pPr>
      <w:r w:rsidRPr="008161D0">
        <w:rPr>
          <w:rFonts w:asciiTheme="majorHAnsi" w:hAnsiTheme="majorHAnsi" w:cstheme="majorHAnsi"/>
          <w:sz w:val="24"/>
          <w:szCs w:val="24"/>
          <w:lang w:val="ro-RO"/>
        </w:rPr>
        <w:t>Misiunea de audit a fost realizată în conformitate cu Programele activității de audit pe anii 2020</w:t>
      </w:r>
      <w:r w:rsidR="00900DAE" w:rsidRPr="008161D0">
        <w:rPr>
          <w:rFonts w:asciiTheme="majorHAnsi" w:hAnsiTheme="majorHAnsi" w:cstheme="majorHAnsi"/>
          <w:sz w:val="24"/>
          <w:szCs w:val="24"/>
          <w:lang w:val="ro-RO"/>
        </w:rPr>
        <w:t xml:space="preserve"> și, respectiv, </w:t>
      </w:r>
      <w:r w:rsidRPr="008161D0">
        <w:rPr>
          <w:rFonts w:asciiTheme="majorHAnsi" w:hAnsiTheme="majorHAnsi" w:cstheme="majorHAnsi"/>
          <w:sz w:val="24"/>
          <w:szCs w:val="24"/>
          <w:lang w:val="ro-RO"/>
        </w:rPr>
        <w:t>2021</w:t>
      </w:r>
      <w:r w:rsidRPr="008161D0">
        <w:rPr>
          <w:rFonts w:asciiTheme="majorHAnsi" w:eastAsia="Calibri" w:hAnsiTheme="majorHAnsi" w:cstheme="majorHAnsi"/>
          <w:sz w:val="24"/>
          <w:szCs w:val="24"/>
          <w:vertAlign w:val="superscript"/>
          <w:lang w:val="ro-RO" w:eastAsia="ro-RO"/>
        </w:rPr>
        <w:footnoteReference w:id="3"/>
      </w:r>
      <w:r w:rsidRPr="008161D0">
        <w:rPr>
          <w:rFonts w:asciiTheme="majorHAnsi" w:hAnsiTheme="majorHAnsi" w:cstheme="majorHAnsi"/>
          <w:sz w:val="24"/>
          <w:szCs w:val="24"/>
          <w:lang w:val="ro-RO"/>
        </w:rPr>
        <w:t xml:space="preserve">, având </w:t>
      </w:r>
      <w:r w:rsidR="001600AA" w:rsidRPr="008161D0">
        <w:rPr>
          <w:rFonts w:asciiTheme="majorHAnsi" w:hAnsiTheme="majorHAnsi" w:cstheme="majorHAnsi"/>
          <w:sz w:val="24"/>
          <w:szCs w:val="24"/>
          <w:lang w:val="ro-RO"/>
        </w:rPr>
        <w:t xml:space="preserve">drept </w:t>
      </w:r>
      <w:r w:rsidRPr="008161D0">
        <w:rPr>
          <w:rFonts w:asciiTheme="majorHAnsi" w:hAnsiTheme="majorHAnsi" w:cstheme="majorHAnsi"/>
          <w:sz w:val="24"/>
          <w:szCs w:val="24"/>
          <w:lang w:val="ro-RO"/>
        </w:rPr>
        <w:t>scop colectarea datelor și informațiilor pertinente și exhaustive pentru susținerea constatărilor și concluziilor de audit</w:t>
      </w:r>
      <w:r w:rsidR="00AE2867" w:rsidRPr="008161D0">
        <w:rPr>
          <w:rFonts w:asciiTheme="majorHAnsi" w:hAnsiTheme="majorHAnsi" w:cstheme="majorHAnsi"/>
          <w:sz w:val="24"/>
          <w:szCs w:val="24"/>
          <w:lang w:val="ro-RO"/>
        </w:rPr>
        <w:t>,</w:t>
      </w:r>
      <w:r w:rsidRPr="008161D0">
        <w:rPr>
          <w:rFonts w:asciiTheme="majorHAnsi" w:hAnsiTheme="majorHAnsi" w:cstheme="majorHAnsi"/>
          <w:sz w:val="24"/>
          <w:szCs w:val="24"/>
          <w:lang w:val="ro-RO"/>
        </w:rPr>
        <w:t xml:space="preserve"> în vederea oferi</w:t>
      </w:r>
      <w:r w:rsidR="00E751A4" w:rsidRPr="008161D0">
        <w:rPr>
          <w:rFonts w:asciiTheme="majorHAnsi" w:hAnsiTheme="majorHAnsi" w:cstheme="majorHAnsi"/>
          <w:sz w:val="24"/>
          <w:szCs w:val="24"/>
          <w:lang w:val="ro-RO"/>
        </w:rPr>
        <w:t>rii unei asigurări rezonabile</w:t>
      </w:r>
      <w:r w:rsidR="00E7057D" w:rsidRPr="008161D0">
        <w:rPr>
          <w:rFonts w:asciiTheme="majorHAnsi" w:hAnsiTheme="majorHAnsi" w:cstheme="majorHAnsi"/>
          <w:sz w:val="24"/>
          <w:szCs w:val="24"/>
          <w:lang w:val="ro-RO"/>
        </w:rPr>
        <w:t xml:space="preserve"> privind întreprinderea</w:t>
      </w:r>
      <w:r w:rsidR="00D6263F" w:rsidRPr="008161D0">
        <w:rPr>
          <w:rFonts w:asciiTheme="majorHAnsi" w:hAnsiTheme="majorHAnsi" w:cstheme="majorHAnsi"/>
          <w:sz w:val="24"/>
          <w:szCs w:val="24"/>
          <w:lang w:val="ro-RO"/>
        </w:rPr>
        <w:t xml:space="preserve"> de către autoritățile competente a</w:t>
      </w:r>
      <w:r w:rsidR="00E7057D" w:rsidRPr="008161D0">
        <w:rPr>
          <w:rFonts w:asciiTheme="majorHAnsi" w:hAnsiTheme="majorHAnsi" w:cstheme="majorHAnsi"/>
          <w:sz w:val="24"/>
          <w:szCs w:val="24"/>
          <w:lang w:val="ro-RO"/>
        </w:rPr>
        <w:t xml:space="preserve"> măsurilor suficiente de asigurare a cetățenilor cu vaccinuri și </w:t>
      </w:r>
      <w:r w:rsidR="00AE2867" w:rsidRPr="008161D0">
        <w:rPr>
          <w:rFonts w:asciiTheme="majorHAnsi" w:hAnsiTheme="majorHAnsi" w:cstheme="majorHAnsi"/>
          <w:sz w:val="24"/>
          <w:szCs w:val="24"/>
          <w:lang w:val="ro-RO"/>
        </w:rPr>
        <w:t xml:space="preserve">de </w:t>
      </w:r>
      <w:r w:rsidR="00E7057D" w:rsidRPr="008161D0">
        <w:rPr>
          <w:rFonts w:asciiTheme="majorHAnsi" w:hAnsiTheme="majorHAnsi" w:cstheme="majorHAnsi"/>
          <w:sz w:val="24"/>
          <w:szCs w:val="24"/>
          <w:lang w:val="ro-RO"/>
        </w:rPr>
        <w:t>atinger</w:t>
      </w:r>
      <w:r w:rsidR="00AE2867" w:rsidRPr="008161D0">
        <w:rPr>
          <w:rFonts w:asciiTheme="majorHAnsi" w:hAnsiTheme="majorHAnsi" w:cstheme="majorHAnsi"/>
          <w:sz w:val="24"/>
          <w:szCs w:val="24"/>
          <w:lang w:val="ro-RO"/>
        </w:rPr>
        <w:t>e a</w:t>
      </w:r>
      <w:r w:rsidR="00E7057D" w:rsidRPr="008161D0">
        <w:rPr>
          <w:rFonts w:asciiTheme="majorHAnsi" w:hAnsiTheme="majorHAnsi" w:cstheme="majorHAnsi"/>
          <w:sz w:val="24"/>
          <w:szCs w:val="24"/>
          <w:lang w:val="ro-RO"/>
        </w:rPr>
        <w:t xml:space="preserve"> imunității colective</w:t>
      </w:r>
      <w:r w:rsidR="00D6263F" w:rsidRPr="008161D0">
        <w:rPr>
          <w:rFonts w:asciiTheme="majorHAnsi" w:hAnsiTheme="majorHAnsi" w:cstheme="majorHAnsi"/>
          <w:sz w:val="24"/>
          <w:szCs w:val="24"/>
          <w:lang w:val="ro-RO"/>
        </w:rPr>
        <w:t xml:space="preserve"> pentru combaterea infecției C</w:t>
      </w:r>
      <w:r w:rsidR="00AD52F6" w:rsidRPr="008161D0">
        <w:rPr>
          <w:rFonts w:asciiTheme="majorHAnsi" w:hAnsiTheme="majorHAnsi" w:cstheme="majorHAnsi"/>
          <w:sz w:val="24"/>
          <w:szCs w:val="24"/>
          <w:lang w:val="ro-RO"/>
        </w:rPr>
        <w:t>OVID</w:t>
      </w:r>
      <w:r w:rsidR="00D6263F" w:rsidRPr="008161D0">
        <w:rPr>
          <w:rFonts w:asciiTheme="majorHAnsi" w:hAnsiTheme="majorHAnsi" w:cstheme="majorHAnsi"/>
          <w:sz w:val="24"/>
          <w:szCs w:val="24"/>
          <w:lang w:val="ro-RO"/>
        </w:rPr>
        <w:t>-19.</w:t>
      </w:r>
      <w:r w:rsidR="00E7057D" w:rsidRPr="008161D0">
        <w:rPr>
          <w:rFonts w:asciiTheme="majorHAnsi" w:hAnsiTheme="majorHAnsi" w:cstheme="majorHAnsi"/>
          <w:sz w:val="24"/>
          <w:szCs w:val="24"/>
          <w:lang w:val="ro-RO"/>
        </w:rPr>
        <w:t xml:space="preserve"> </w:t>
      </w:r>
    </w:p>
    <w:p w14:paraId="4659E664" w14:textId="17658C2D" w:rsidR="0001290E" w:rsidRPr="008161D0" w:rsidRDefault="0001290E" w:rsidP="00D74AC0">
      <w:pPr>
        <w:spacing w:after="0" w:line="276" w:lineRule="auto"/>
        <w:ind w:right="-1"/>
        <w:jc w:val="both"/>
        <w:rPr>
          <w:rFonts w:asciiTheme="majorHAnsi" w:hAnsiTheme="majorHAnsi" w:cstheme="majorHAnsi"/>
          <w:sz w:val="24"/>
          <w:szCs w:val="24"/>
          <w:lang w:val="ro-RO"/>
        </w:rPr>
      </w:pPr>
    </w:p>
    <w:p w14:paraId="498BABFC" w14:textId="086047EE" w:rsidR="000518BF" w:rsidRPr="008161D0" w:rsidRDefault="00AB6E42" w:rsidP="003929ED">
      <w:pPr>
        <w:spacing w:after="0" w:line="276" w:lineRule="auto"/>
        <w:ind w:firstLine="720"/>
        <w:jc w:val="both"/>
        <w:rPr>
          <w:rFonts w:asciiTheme="majorHAnsi" w:eastAsia="Times New Roman" w:hAnsiTheme="majorHAnsi" w:cstheme="majorHAnsi"/>
          <w:noProof/>
          <w:sz w:val="24"/>
          <w:szCs w:val="24"/>
          <w:lang w:val="ro-MD"/>
        </w:rPr>
      </w:pPr>
      <w:r w:rsidRPr="008161D0">
        <w:rPr>
          <w:rFonts w:asciiTheme="majorHAnsi" w:hAnsiTheme="majorHAnsi" w:cstheme="majorHAnsi"/>
          <w:noProof/>
          <w:sz w:val="24"/>
          <w:szCs w:val="24"/>
          <w:lang w:val="ro-RO"/>
        </w:rPr>
        <w:t>A</w:t>
      </w:r>
      <w:r w:rsidRPr="008161D0">
        <w:rPr>
          <w:rFonts w:asciiTheme="majorHAnsi" w:hAnsiTheme="majorHAnsi" w:cstheme="majorHAnsi"/>
          <w:noProof/>
          <w:sz w:val="24"/>
          <w:szCs w:val="24"/>
          <w:lang w:val="ro-MD"/>
        </w:rPr>
        <w:t xml:space="preserve">uditul public extern s-a desfășurat potrivit Cadrului Declarațiilor Profesionale ale INTOSAI, </w:t>
      </w:r>
      <w:r w:rsidRPr="008161D0">
        <w:rPr>
          <w:rFonts w:asciiTheme="majorHAnsi" w:eastAsia="Times New Roman" w:hAnsiTheme="majorHAnsi" w:cstheme="majorHAnsi"/>
          <w:noProof/>
          <w:sz w:val="24"/>
          <w:szCs w:val="24"/>
          <w:lang w:val="ro-MD"/>
        </w:rPr>
        <w:t>aplicat de Curtea de Conturi</w:t>
      </w:r>
      <w:r w:rsidRPr="008161D0">
        <w:rPr>
          <w:rStyle w:val="FootnoteReference"/>
          <w:rFonts w:asciiTheme="majorHAnsi" w:hAnsiTheme="majorHAnsi" w:cstheme="majorHAnsi"/>
          <w:noProof/>
          <w:sz w:val="24"/>
          <w:szCs w:val="24"/>
          <w:lang w:val="ro-MD"/>
        </w:rPr>
        <w:footnoteReference w:id="4"/>
      </w:r>
      <w:r w:rsidRPr="008161D0">
        <w:rPr>
          <w:rFonts w:asciiTheme="majorHAnsi" w:eastAsia="Times New Roman" w:hAnsiTheme="majorHAnsi" w:cstheme="majorHAnsi"/>
          <w:noProof/>
          <w:sz w:val="24"/>
          <w:szCs w:val="24"/>
          <w:lang w:val="ro-MD"/>
        </w:rPr>
        <w:t>, cadrului de reglementare intern</w:t>
      </w:r>
      <w:r w:rsidR="00AE2867" w:rsidRPr="008161D0">
        <w:rPr>
          <w:rFonts w:asciiTheme="majorHAnsi" w:eastAsia="Times New Roman" w:hAnsiTheme="majorHAnsi" w:cstheme="majorHAnsi"/>
          <w:noProof/>
          <w:sz w:val="24"/>
          <w:szCs w:val="24"/>
          <w:lang w:val="ro-MD"/>
        </w:rPr>
        <w:t xml:space="preserve"> și</w:t>
      </w:r>
      <w:r w:rsidRPr="008161D0">
        <w:rPr>
          <w:rFonts w:asciiTheme="majorHAnsi" w:eastAsia="Times New Roman" w:hAnsiTheme="majorHAnsi" w:cstheme="majorHAnsi"/>
          <w:noProof/>
          <w:sz w:val="24"/>
          <w:szCs w:val="24"/>
          <w:lang w:val="ro-MD"/>
        </w:rPr>
        <w:t xml:space="preserve"> bunelor practici în domeniu</w:t>
      </w:r>
      <w:r w:rsidR="00D916C6" w:rsidRPr="008161D0">
        <w:rPr>
          <w:rFonts w:asciiTheme="majorHAnsi" w:eastAsia="Times New Roman" w:hAnsiTheme="majorHAnsi" w:cstheme="majorHAnsi"/>
          <w:bCs/>
          <w:sz w:val="24"/>
          <w:szCs w:val="24"/>
          <w:lang w:val="ro-RO"/>
        </w:rPr>
        <w:t>.</w:t>
      </w:r>
    </w:p>
    <w:p w14:paraId="30535CA6" w14:textId="1D77E4E0" w:rsidR="00D97CF8" w:rsidRPr="008161D0" w:rsidRDefault="006E5EF0" w:rsidP="003929ED">
      <w:pPr>
        <w:spacing w:after="0" w:line="276" w:lineRule="auto"/>
        <w:ind w:firstLine="720"/>
        <w:jc w:val="both"/>
        <w:rPr>
          <w:rFonts w:asciiTheme="majorHAnsi" w:eastAsia="Times New Roman" w:hAnsiTheme="majorHAnsi" w:cstheme="majorHAnsi"/>
          <w:sz w:val="24"/>
          <w:szCs w:val="24"/>
          <w:lang w:val="ro-RO"/>
        </w:rPr>
      </w:pPr>
      <w:r w:rsidRPr="008161D0">
        <w:rPr>
          <w:rFonts w:asciiTheme="majorHAnsi" w:eastAsia="Times New Roman" w:hAnsiTheme="majorHAnsi" w:cstheme="majorHAnsi"/>
          <w:sz w:val="24"/>
          <w:szCs w:val="24"/>
          <w:lang w:val="ro-RO"/>
        </w:rPr>
        <w:t xml:space="preserve">Examinând Raportul de audit, </w:t>
      </w:r>
      <w:r w:rsidR="00AA27B6" w:rsidRPr="008161D0">
        <w:rPr>
          <w:rFonts w:asciiTheme="majorHAnsi" w:eastAsia="Times New Roman" w:hAnsiTheme="majorHAnsi" w:cstheme="majorHAnsi"/>
          <w:sz w:val="24"/>
          <w:szCs w:val="24"/>
          <w:lang w:val="ro-RO"/>
        </w:rPr>
        <w:t xml:space="preserve">constatările </w:t>
      </w:r>
      <w:r w:rsidR="00430ACA" w:rsidRPr="008161D0">
        <w:rPr>
          <w:rFonts w:asciiTheme="majorHAnsi" w:eastAsia="Times New Roman" w:hAnsiTheme="majorHAnsi" w:cstheme="majorHAnsi"/>
          <w:sz w:val="24"/>
          <w:szCs w:val="24"/>
          <w:lang w:val="ro-RO"/>
        </w:rPr>
        <w:t xml:space="preserve">și concluziile </w:t>
      </w:r>
      <w:r w:rsidR="00AA27B6" w:rsidRPr="008161D0">
        <w:rPr>
          <w:rFonts w:asciiTheme="majorHAnsi" w:eastAsia="Times New Roman" w:hAnsiTheme="majorHAnsi" w:cstheme="majorHAnsi"/>
          <w:sz w:val="24"/>
          <w:szCs w:val="24"/>
          <w:lang w:val="ro-RO"/>
        </w:rPr>
        <w:t>c</w:t>
      </w:r>
      <w:r w:rsidR="00F04329" w:rsidRPr="008161D0">
        <w:rPr>
          <w:rFonts w:asciiTheme="majorHAnsi" w:eastAsia="Times New Roman" w:hAnsiTheme="majorHAnsi" w:cstheme="majorHAnsi"/>
          <w:sz w:val="24"/>
          <w:szCs w:val="24"/>
          <w:lang w:val="ro-RO"/>
        </w:rPr>
        <w:t>are</w:t>
      </w:r>
      <w:r w:rsidR="00AA27B6" w:rsidRPr="008161D0">
        <w:rPr>
          <w:rFonts w:asciiTheme="majorHAnsi" w:eastAsia="Times New Roman" w:hAnsiTheme="majorHAnsi" w:cstheme="majorHAnsi"/>
          <w:sz w:val="24"/>
          <w:szCs w:val="24"/>
          <w:lang w:val="ro-RO"/>
        </w:rPr>
        <w:t xml:space="preserve"> au fost comunicate în prealabil entităților vizate, </w:t>
      </w:r>
      <w:r w:rsidRPr="008161D0">
        <w:rPr>
          <w:rFonts w:asciiTheme="majorHAnsi" w:eastAsia="Times New Roman" w:hAnsiTheme="majorHAnsi" w:cstheme="majorHAnsi"/>
          <w:sz w:val="24"/>
          <w:szCs w:val="24"/>
          <w:lang w:val="ro-RO"/>
        </w:rPr>
        <w:t xml:space="preserve">Curtea de Conturi </w:t>
      </w:r>
    </w:p>
    <w:p w14:paraId="49D1705E" w14:textId="287BFF7D" w:rsidR="00BA1741" w:rsidRPr="008161D0" w:rsidRDefault="00BA1741" w:rsidP="00D74AC0">
      <w:pPr>
        <w:spacing w:after="0" w:line="276" w:lineRule="auto"/>
        <w:jc w:val="center"/>
        <w:rPr>
          <w:rFonts w:ascii="Calibri Light" w:eastAsia="Times New Roman" w:hAnsi="Calibri Light" w:cs="Calibri Light"/>
          <w:b/>
          <w:bCs/>
          <w:sz w:val="24"/>
          <w:szCs w:val="24"/>
          <w:lang w:val="ro-RO"/>
        </w:rPr>
      </w:pPr>
      <w:r w:rsidRPr="008161D0">
        <w:rPr>
          <w:rFonts w:ascii="Calibri Light" w:eastAsia="Times New Roman" w:hAnsi="Calibri Light" w:cs="Calibri Light"/>
          <w:b/>
          <w:bCs/>
          <w:sz w:val="24"/>
          <w:szCs w:val="24"/>
          <w:lang w:val="ro-RO"/>
        </w:rPr>
        <w:t>A CONSTATAT:</w:t>
      </w:r>
    </w:p>
    <w:p w14:paraId="38051628" w14:textId="77777777" w:rsidR="00D97CF8" w:rsidRPr="008161D0" w:rsidRDefault="00D97CF8" w:rsidP="00D74AC0">
      <w:pPr>
        <w:spacing w:after="0" w:line="276" w:lineRule="auto"/>
        <w:ind w:firstLine="567"/>
        <w:jc w:val="center"/>
        <w:rPr>
          <w:rFonts w:ascii="Calibri Light" w:eastAsia="Times New Roman" w:hAnsi="Calibri Light" w:cs="Calibri Light"/>
          <w:b/>
          <w:bCs/>
          <w:sz w:val="10"/>
          <w:szCs w:val="10"/>
          <w:lang w:val="ro-RO"/>
        </w:rPr>
      </w:pPr>
    </w:p>
    <w:p w14:paraId="7D57CC34" w14:textId="3C56F181" w:rsidR="00352977" w:rsidRPr="008161D0" w:rsidRDefault="00BE2E11" w:rsidP="00BC2A4E">
      <w:pPr>
        <w:pStyle w:val="NormalWeb"/>
        <w:shd w:val="clear" w:color="auto" w:fill="FEFEFE"/>
        <w:spacing w:after="240" w:line="276" w:lineRule="auto"/>
        <w:rPr>
          <w:rFonts w:asciiTheme="majorHAnsi" w:eastAsiaTheme="minorHAnsi" w:hAnsiTheme="majorHAnsi" w:cstheme="majorHAnsi"/>
          <w:noProof/>
          <w:lang w:val="ro-MD"/>
        </w:rPr>
      </w:pPr>
      <w:r w:rsidRPr="008161D0">
        <w:rPr>
          <w:rFonts w:asciiTheme="majorHAnsi" w:eastAsiaTheme="minorHAnsi" w:hAnsiTheme="majorHAnsi" w:cstheme="majorHAnsi"/>
          <w:noProof/>
          <w:lang w:val="ro-RO"/>
        </w:rPr>
        <w:t>p</w:t>
      </w:r>
      <w:r w:rsidRPr="008161D0">
        <w:rPr>
          <w:rFonts w:asciiTheme="majorHAnsi" w:eastAsiaTheme="minorHAnsi" w:hAnsiTheme="majorHAnsi" w:cstheme="majorHAnsi"/>
          <w:noProof/>
          <w:lang w:val="ro-MD"/>
        </w:rPr>
        <w:t xml:space="preserve">andemia de coronavirus reprezintă </w:t>
      </w:r>
      <w:r w:rsidR="00AE2867" w:rsidRPr="008161D0">
        <w:rPr>
          <w:rFonts w:asciiTheme="majorHAnsi" w:eastAsiaTheme="minorHAnsi" w:hAnsiTheme="majorHAnsi" w:cstheme="majorHAnsi"/>
          <w:noProof/>
          <w:lang w:val="ro-MD"/>
        </w:rPr>
        <w:t xml:space="preserve">o </w:t>
      </w:r>
      <w:r w:rsidRPr="008161D0">
        <w:rPr>
          <w:rFonts w:asciiTheme="majorHAnsi" w:eastAsiaTheme="minorHAnsi" w:hAnsiTheme="majorHAnsi" w:cstheme="majorHAnsi"/>
          <w:noProof/>
          <w:lang w:val="ro-MD"/>
        </w:rPr>
        <w:t>criz</w:t>
      </w:r>
      <w:r w:rsidR="00AE2867" w:rsidRPr="008161D0">
        <w:rPr>
          <w:rFonts w:asciiTheme="majorHAnsi" w:eastAsiaTheme="minorHAnsi" w:hAnsiTheme="majorHAnsi" w:cstheme="majorHAnsi"/>
          <w:noProof/>
          <w:lang w:val="ro-MD"/>
        </w:rPr>
        <w:t>ă</w:t>
      </w:r>
      <w:r w:rsidRPr="008161D0">
        <w:rPr>
          <w:rFonts w:asciiTheme="majorHAnsi" w:eastAsiaTheme="minorHAnsi" w:hAnsiTheme="majorHAnsi" w:cstheme="majorHAnsi"/>
          <w:noProof/>
          <w:lang w:val="ro-MD"/>
        </w:rPr>
        <w:t xml:space="preserve"> globală de sănătate</w:t>
      </w:r>
      <w:r w:rsidR="00AE2867" w:rsidRPr="008161D0">
        <w:rPr>
          <w:rFonts w:asciiTheme="majorHAnsi" w:eastAsiaTheme="minorHAnsi" w:hAnsiTheme="majorHAnsi" w:cstheme="majorHAnsi"/>
          <w:noProof/>
          <w:lang w:val="ro-MD"/>
        </w:rPr>
        <w:t>,</w:t>
      </w:r>
      <w:r w:rsidRPr="008161D0">
        <w:rPr>
          <w:rFonts w:asciiTheme="majorHAnsi" w:eastAsiaTheme="minorHAnsi" w:hAnsiTheme="majorHAnsi" w:cstheme="majorHAnsi"/>
          <w:noProof/>
          <w:lang w:val="ro-MD"/>
        </w:rPr>
        <w:t xml:space="preserve"> definitorie pentru timpurile noastre</w:t>
      </w:r>
      <w:r w:rsidR="00687572" w:rsidRPr="008161D0">
        <w:rPr>
          <w:rFonts w:asciiTheme="majorHAnsi" w:eastAsiaTheme="minorHAnsi" w:hAnsiTheme="majorHAnsi" w:cstheme="majorHAnsi"/>
          <w:noProof/>
          <w:lang w:val="ro-MD"/>
        </w:rPr>
        <w:t>,</w:t>
      </w:r>
      <w:r w:rsidRPr="008161D0">
        <w:rPr>
          <w:rFonts w:asciiTheme="majorHAnsi" w:eastAsiaTheme="minorHAnsi" w:hAnsiTheme="majorHAnsi" w:cstheme="majorHAnsi"/>
          <w:noProof/>
          <w:lang w:val="ro-MD"/>
        </w:rPr>
        <w:t xml:space="preserve"> și una din</w:t>
      </w:r>
      <w:r w:rsidR="00AE2867" w:rsidRPr="008161D0">
        <w:rPr>
          <w:rFonts w:asciiTheme="majorHAnsi" w:eastAsiaTheme="minorHAnsi" w:hAnsiTheme="majorHAnsi" w:cstheme="majorHAnsi"/>
          <w:noProof/>
          <w:lang w:val="ro-MD"/>
        </w:rPr>
        <w:t>tre</w:t>
      </w:r>
      <w:r w:rsidRPr="008161D0">
        <w:rPr>
          <w:rFonts w:asciiTheme="majorHAnsi" w:eastAsiaTheme="minorHAnsi" w:hAnsiTheme="majorHAnsi" w:cstheme="majorHAnsi"/>
          <w:noProof/>
          <w:lang w:val="ro-MD"/>
        </w:rPr>
        <w:t xml:space="preserve"> cele mai mari provocări din ultim</w:t>
      </w:r>
      <w:r w:rsidR="00AE2867" w:rsidRPr="008161D0">
        <w:rPr>
          <w:rFonts w:asciiTheme="majorHAnsi" w:eastAsiaTheme="minorHAnsi" w:hAnsiTheme="majorHAnsi" w:cstheme="majorHAnsi"/>
          <w:noProof/>
          <w:lang w:val="ro-MD"/>
        </w:rPr>
        <w:t>ele decenii</w:t>
      </w:r>
      <w:r w:rsidRPr="008161D0">
        <w:rPr>
          <w:rFonts w:asciiTheme="majorHAnsi" w:eastAsiaTheme="minorHAnsi" w:hAnsiTheme="majorHAnsi" w:cstheme="majorHAnsi"/>
          <w:noProof/>
          <w:lang w:val="ro-MD"/>
        </w:rPr>
        <w:t xml:space="preserve">. De la apariția </w:t>
      </w:r>
      <w:r w:rsidR="00900DAE" w:rsidRPr="008161D0">
        <w:rPr>
          <w:rFonts w:asciiTheme="majorHAnsi" w:eastAsiaTheme="minorHAnsi" w:hAnsiTheme="majorHAnsi" w:cstheme="majorHAnsi"/>
          <w:noProof/>
          <w:lang w:val="ro-MD"/>
        </w:rPr>
        <w:t>sa la sfârșitul</w:t>
      </w:r>
      <w:r w:rsidR="00352977" w:rsidRPr="008161D0">
        <w:rPr>
          <w:rFonts w:asciiTheme="majorHAnsi" w:eastAsiaTheme="minorHAnsi" w:hAnsiTheme="majorHAnsi" w:cstheme="majorHAnsi"/>
          <w:noProof/>
          <w:lang w:val="ro-MD"/>
        </w:rPr>
        <w:t xml:space="preserve"> anul</w:t>
      </w:r>
      <w:r w:rsidR="00900DAE" w:rsidRPr="008161D0">
        <w:rPr>
          <w:rFonts w:asciiTheme="majorHAnsi" w:eastAsiaTheme="minorHAnsi" w:hAnsiTheme="majorHAnsi" w:cstheme="majorHAnsi"/>
          <w:noProof/>
          <w:lang w:val="ro-MD"/>
        </w:rPr>
        <w:t>ui</w:t>
      </w:r>
      <w:r w:rsidR="00352977" w:rsidRPr="008161D0">
        <w:rPr>
          <w:rFonts w:asciiTheme="majorHAnsi" w:eastAsiaTheme="minorHAnsi" w:hAnsiTheme="majorHAnsi" w:cstheme="majorHAnsi"/>
          <w:noProof/>
          <w:lang w:val="ro-MD"/>
        </w:rPr>
        <w:t xml:space="preserve"> 20</w:t>
      </w:r>
      <w:r w:rsidR="00900DAE" w:rsidRPr="008161D0">
        <w:rPr>
          <w:rFonts w:asciiTheme="majorHAnsi" w:eastAsiaTheme="minorHAnsi" w:hAnsiTheme="majorHAnsi" w:cstheme="majorHAnsi"/>
          <w:noProof/>
          <w:lang w:val="ro-MD"/>
        </w:rPr>
        <w:t>19</w:t>
      </w:r>
      <w:r w:rsidRPr="008161D0">
        <w:rPr>
          <w:rFonts w:asciiTheme="majorHAnsi" w:eastAsiaTheme="minorHAnsi" w:hAnsiTheme="majorHAnsi" w:cstheme="majorHAnsi"/>
          <w:noProof/>
          <w:lang w:val="ro-MD"/>
        </w:rPr>
        <w:t xml:space="preserve">, virusul </w:t>
      </w:r>
      <w:r w:rsidR="00813597" w:rsidRPr="008161D0">
        <w:rPr>
          <w:rFonts w:asciiTheme="majorHAnsi" w:eastAsiaTheme="minorHAnsi" w:hAnsiTheme="majorHAnsi" w:cstheme="majorHAnsi"/>
          <w:noProof/>
          <w:lang w:val="ro-MD"/>
        </w:rPr>
        <w:t xml:space="preserve">SARS CoV-2 </w:t>
      </w:r>
      <w:r w:rsidRPr="008161D0">
        <w:rPr>
          <w:rFonts w:asciiTheme="majorHAnsi" w:eastAsiaTheme="minorHAnsi" w:hAnsiTheme="majorHAnsi" w:cstheme="majorHAnsi"/>
          <w:noProof/>
          <w:lang w:val="ro-MD"/>
        </w:rPr>
        <w:t>s-a răspândit pe </w:t>
      </w:r>
      <w:hyperlink r:id="rId9" w:anchor="covid19dashboard" w:history="1">
        <w:r w:rsidRPr="008161D0">
          <w:rPr>
            <w:rFonts w:asciiTheme="majorHAnsi" w:eastAsiaTheme="minorHAnsi" w:hAnsiTheme="majorHAnsi" w:cstheme="majorHAnsi"/>
            <w:noProof/>
            <w:lang w:val="ro-MD"/>
          </w:rPr>
          <w:t>toate continentele</w:t>
        </w:r>
      </w:hyperlink>
      <w:r w:rsidRPr="008161D0">
        <w:rPr>
          <w:rFonts w:asciiTheme="majorHAnsi" w:eastAsiaTheme="minorHAnsi" w:hAnsiTheme="majorHAnsi" w:cstheme="majorHAnsi"/>
          <w:noProof/>
          <w:lang w:val="ro-MD"/>
        </w:rPr>
        <w:t xml:space="preserve">, iar umanitatea resimte o povară grea </w:t>
      </w:r>
      <w:r w:rsidR="00687572" w:rsidRPr="008161D0">
        <w:rPr>
          <w:rFonts w:asciiTheme="majorHAnsi" w:eastAsiaTheme="minorHAnsi" w:hAnsiTheme="majorHAnsi" w:cstheme="majorHAnsi"/>
          <w:noProof/>
          <w:lang w:val="ro-MD"/>
        </w:rPr>
        <w:t xml:space="preserve">cauzată de </w:t>
      </w:r>
      <w:r w:rsidR="00900DAE" w:rsidRPr="008161D0">
        <w:rPr>
          <w:rFonts w:asciiTheme="majorHAnsi" w:eastAsiaTheme="minorHAnsi" w:hAnsiTheme="majorHAnsi" w:cstheme="majorHAnsi"/>
          <w:noProof/>
          <w:lang w:val="ro-MD"/>
        </w:rPr>
        <w:t xml:space="preserve">numărul mare de îmbolnăviri și de </w:t>
      </w:r>
      <w:r w:rsidRPr="008161D0">
        <w:rPr>
          <w:rFonts w:asciiTheme="majorHAnsi" w:eastAsiaTheme="minorHAnsi" w:hAnsiTheme="majorHAnsi" w:cstheme="majorHAnsi"/>
          <w:noProof/>
          <w:lang w:val="ro-MD"/>
        </w:rPr>
        <w:t>pierderi de vieți omenești</w:t>
      </w:r>
      <w:r w:rsidR="00BC2A4E" w:rsidRPr="008161D0">
        <w:rPr>
          <w:rFonts w:asciiTheme="majorHAnsi" w:eastAsiaTheme="minorHAnsi" w:hAnsiTheme="majorHAnsi" w:cstheme="majorHAnsi"/>
          <w:noProof/>
          <w:lang w:val="ro-MD"/>
        </w:rPr>
        <w:t xml:space="preserve">. Astfel, </w:t>
      </w:r>
      <w:r w:rsidR="00352977" w:rsidRPr="008161D0">
        <w:rPr>
          <w:rFonts w:asciiTheme="majorHAnsi" w:eastAsiaTheme="minorHAnsi" w:hAnsiTheme="majorHAnsi" w:cstheme="majorHAnsi"/>
          <w:noProof/>
          <w:lang w:val="ro-MD"/>
        </w:rPr>
        <w:t xml:space="preserve">a apărut </w:t>
      </w:r>
      <w:r w:rsidR="00BC2A4E" w:rsidRPr="008161D0">
        <w:rPr>
          <w:rFonts w:asciiTheme="majorHAnsi" w:eastAsiaTheme="minorHAnsi" w:hAnsiTheme="majorHAnsi" w:cstheme="majorHAnsi"/>
          <w:noProof/>
          <w:lang w:val="ro-MD"/>
        </w:rPr>
        <w:t xml:space="preserve">necesitatea de a întreprinde măsuri stringente în asigurarea vieții cetățenilor prin vaccinare. Vaccinul împotriva COVID-19 reprezintă un instrument de importanță majoră privind controlul și stoparea pandemiei, împreună cu testarea eficientă și respectarea măsurilor de prevenire. </w:t>
      </w:r>
    </w:p>
    <w:p w14:paraId="22497BCC" w14:textId="48E40AF0" w:rsidR="00352977" w:rsidRPr="008161D0" w:rsidRDefault="00352977" w:rsidP="00352977">
      <w:pPr>
        <w:pStyle w:val="NormalWeb"/>
        <w:shd w:val="clear" w:color="auto" w:fill="FEFEFE"/>
        <w:spacing w:after="240" w:line="276" w:lineRule="auto"/>
        <w:rPr>
          <w:rFonts w:asciiTheme="majorHAnsi" w:eastAsiaTheme="minorHAnsi" w:hAnsiTheme="majorHAnsi" w:cstheme="majorHAnsi"/>
          <w:noProof/>
          <w:lang w:val="ro-MD"/>
        </w:rPr>
      </w:pPr>
      <w:r w:rsidRPr="008161D0">
        <w:rPr>
          <w:rFonts w:asciiTheme="majorHAnsi" w:eastAsiaTheme="minorHAnsi" w:hAnsiTheme="majorHAnsi" w:cstheme="majorHAnsi"/>
          <w:noProof/>
          <w:lang w:val="ro-MD"/>
        </w:rPr>
        <w:t>P</w:t>
      </w:r>
      <w:r w:rsidR="00BC2A4E" w:rsidRPr="008161D0">
        <w:rPr>
          <w:rFonts w:asciiTheme="majorHAnsi" w:eastAsiaTheme="minorHAnsi" w:hAnsiTheme="majorHAnsi" w:cstheme="majorHAnsi"/>
          <w:noProof/>
          <w:lang w:val="ro-MD"/>
        </w:rPr>
        <w:t xml:space="preserve">entru asigurarea și administrarea în timp util a vaccinurilor sigure și eficiente populației Republicii Moldova, autoritățile responsabile au elaborat și </w:t>
      </w:r>
      <w:r w:rsidR="00900DAE" w:rsidRPr="008161D0">
        <w:rPr>
          <w:rFonts w:asciiTheme="majorHAnsi" w:eastAsiaTheme="minorHAnsi" w:hAnsiTheme="majorHAnsi" w:cstheme="majorHAnsi"/>
          <w:noProof/>
          <w:lang w:val="ro-MD"/>
        </w:rPr>
        <w:t xml:space="preserve">au </w:t>
      </w:r>
      <w:r w:rsidR="00BC2A4E" w:rsidRPr="008161D0">
        <w:rPr>
          <w:rFonts w:asciiTheme="majorHAnsi" w:eastAsiaTheme="minorHAnsi" w:hAnsiTheme="majorHAnsi" w:cstheme="majorHAnsi"/>
          <w:noProof/>
          <w:lang w:val="ro-MD"/>
        </w:rPr>
        <w:t>aprobat Planul național de imunizare anti</w:t>
      </w:r>
      <w:r w:rsidR="00900DAE" w:rsidRPr="008161D0">
        <w:rPr>
          <w:rFonts w:asciiTheme="majorHAnsi" w:eastAsiaTheme="minorHAnsi" w:hAnsiTheme="majorHAnsi" w:cstheme="majorHAnsi"/>
          <w:noProof/>
          <w:lang w:val="ro-MD"/>
        </w:rPr>
        <w:t>-</w:t>
      </w:r>
      <w:r w:rsidR="00BC2A4E" w:rsidRPr="008161D0">
        <w:rPr>
          <w:rFonts w:asciiTheme="majorHAnsi" w:eastAsiaTheme="minorHAnsi" w:hAnsiTheme="majorHAnsi" w:cstheme="majorHAnsi"/>
          <w:noProof/>
          <w:lang w:val="ro-MD"/>
        </w:rPr>
        <w:t>COVID-19</w:t>
      </w:r>
      <w:r w:rsidRPr="008161D0">
        <w:rPr>
          <w:rFonts w:asciiTheme="majorHAnsi" w:eastAsiaTheme="minorHAnsi" w:hAnsiTheme="majorHAnsi" w:cstheme="majorHAnsi"/>
          <w:noProof/>
          <w:lang w:val="ro-MD"/>
        </w:rPr>
        <w:t>, care stabilește prioritățile și modalitățile de realizare a campaniei de vaccinare</w:t>
      </w:r>
      <w:r w:rsidR="00BC2A4E" w:rsidRPr="008161D0">
        <w:rPr>
          <w:rFonts w:asciiTheme="majorHAnsi" w:eastAsiaTheme="minorHAnsi" w:hAnsiTheme="majorHAnsi" w:cstheme="majorHAnsi"/>
          <w:noProof/>
          <w:lang w:val="ro-MD"/>
        </w:rPr>
        <w:t>.</w:t>
      </w:r>
      <w:r w:rsidRPr="008161D0">
        <w:rPr>
          <w:rFonts w:asciiTheme="majorHAnsi" w:eastAsiaTheme="minorHAnsi" w:hAnsiTheme="majorHAnsi" w:cstheme="majorHAnsi"/>
          <w:noProof/>
          <w:lang w:val="ro-MD"/>
        </w:rPr>
        <w:t xml:space="preserve"> Instituțiile implicate în acest proces au</w:t>
      </w:r>
      <w:r w:rsidR="00725435" w:rsidRPr="008161D0">
        <w:rPr>
          <w:rFonts w:asciiTheme="majorHAnsi" w:eastAsiaTheme="minorHAnsi" w:hAnsiTheme="majorHAnsi" w:cstheme="majorHAnsi"/>
          <w:noProof/>
          <w:lang w:val="ro-MD"/>
        </w:rPr>
        <w:t xml:space="preserve"> realizat</w:t>
      </w:r>
      <w:r w:rsidR="00B77DCB" w:rsidRPr="008161D0">
        <w:rPr>
          <w:rFonts w:asciiTheme="majorHAnsi" w:eastAsiaTheme="minorHAnsi" w:hAnsiTheme="majorHAnsi" w:cstheme="majorHAnsi"/>
          <w:noProof/>
          <w:lang w:val="ro-MD"/>
        </w:rPr>
        <w:t xml:space="preserve"> </w:t>
      </w:r>
      <w:r w:rsidR="00725435" w:rsidRPr="008161D0">
        <w:rPr>
          <w:rFonts w:asciiTheme="majorHAnsi" w:eastAsiaTheme="minorHAnsi" w:hAnsiTheme="majorHAnsi" w:cstheme="majorHAnsi"/>
          <w:noProof/>
          <w:lang w:val="ro-MD"/>
        </w:rPr>
        <w:t>activități privind asigurarea cetățenilor cu vaccinuri, păstrarea, reapartizarea și administarea lor.</w:t>
      </w:r>
    </w:p>
    <w:p w14:paraId="5964AA23" w14:textId="1AB26FB8" w:rsidR="00C945A7" w:rsidRPr="008161D0" w:rsidRDefault="00BC2A4E" w:rsidP="00352977">
      <w:pPr>
        <w:pStyle w:val="NormalWeb"/>
        <w:shd w:val="clear" w:color="auto" w:fill="FEFEFE"/>
        <w:spacing w:after="240" w:line="276" w:lineRule="auto"/>
        <w:rPr>
          <w:rFonts w:asciiTheme="majorHAnsi" w:eastAsiaTheme="minorHAnsi" w:hAnsiTheme="majorHAnsi" w:cstheme="majorHAnsi"/>
          <w:noProof/>
          <w:lang w:val="ro-MD"/>
        </w:rPr>
      </w:pPr>
      <w:r w:rsidRPr="008161D0">
        <w:rPr>
          <w:rFonts w:asciiTheme="majorHAnsi" w:eastAsiaTheme="minorHAnsi" w:hAnsiTheme="majorHAnsi" w:cstheme="majorHAnsi"/>
          <w:noProof/>
          <w:lang w:val="ro-MD"/>
        </w:rPr>
        <w:t>Auditarea gestionării procesului de vaccinare împotriva COVID-19 este o modalitate de a susține entitățile auditate prin dezvăluirea deficiențelor din sistem și abordarea punctelor slabe, identificarea zonelor de îmbunătăţire și consolidare a managementu</w:t>
      </w:r>
      <w:r w:rsidR="002620C5" w:rsidRPr="008161D0">
        <w:rPr>
          <w:rFonts w:asciiTheme="majorHAnsi" w:eastAsiaTheme="minorHAnsi" w:hAnsiTheme="majorHAnsi" w:cstheme="majorHAnsi"/>
          <w:noProof/>
          <w:lang w:val="ro-MD"/>
        </w:rPr>
        <w:t>lui instituțional, eliminarea carențelor</w:t>
      </w:r>
      <w:r w:rsidRPr="008161D0">
        <w:rPr>
          <w:rFonts w:asciiTheme="majorHAnsi" w:eastAsiaTheme="minorHAnsi" w:hAnsiTheme="majorHAnsi" w:cstheme="majorHAnsi"/>
          <w:noProof/>
          <w:lang w:val="ro-MD"/>
        </w:rPr>
        <w:t xml:space="preserve"> constatate de audit și a ambiguităților cadrului normativ. </w:t>
      </w:r>
      <w:r w:rsidR="00C945A7" w:rsidRPr="008161D0">
        <w:rPr>
          <w:rFonts w:asciiTheme="majorHAnsi" w:hAnsiTheme="majorHAnsi" w:cstheme="majorHAnsi"/>
          <w:noProof/>
          <w:lang w:val="ro-MD"/>
        </w:rPr>
        <w:t>Astfel, Curtea de Conturi, prin actuala misiune de audit, a evaluat realizarea politic</w:t>
      </w:r>
      <w:r w:rsidR="008809BD" w:rsidRPr="008161D0">
        <w:rPr>
          <w:rFonts w:asciiTheme="majorHAnsi" w:hAnsiTheme="majorHAnsi" w:cstheme="majorHAnsi"/>
          <w:noProof/>
          <w:lang w:val="ro-MD"/>
        </w:rPr>
        <w:t>i</w:t>
      </w:r>
      <w:r w:rsidR="00B77DCB" w:rsidRPr="008161D0">
        <w:rPr>
          <w:rFonts w:asciiTheme="majorHAnsi" w:hAnsiTheme="majorHAnsi" w:cstheme="majorHAnsi"/>
          <w:noProof/>
          <w:lang w:val="ro-MD"/>
        </w:rPr>
        <w:t>l</w:t>
      </w:r>
      <w:r w:rsidR="00C945A7" w:rsidRPr="008161D0">
        <w:rPr>
          <w:rFonts w:asciiTheme="majorHAnsi" w:hAnsiTheme="majorHAnsi" w:cstheme="majorHAnsi"/>
          <w:noProof/>
          <w:lang w:val="ro-MD"/>
        </w:rPr>
        <w:t xml:space="preserve">or statului în domeniu și a activităților autorităților responsabile în vederea asigurării cetățenilor cu vaccinuri și atingerii imunității colective pentru combaterea infecției COVID-19. </w:t>
      </w:r>
    </w:p>
    <w:p w14:paraId="761C0C72" w14:textId="1B461DDB" w:rsidR="009F7587" w:rsidRPr="008161D0" w:rsidRDefault="002D1E8A" w:rsidP="00BC2314">
      <w:pPr>
        <w:pStyle w:val="NormalWeb"/>
        <w:shd w:val="clear" w:color="auto" w:fill="FEFEFE"/>
        <w:spacing w:line="276" w:lineRule="auto"/>
        <w:rPr>
          <w:rFonts w:asciiTheme="majorHAnsi" w:hAnsiTheme="majorHAnsi" w:cstheme="majorHAnsi"/>
          <w:bCs/>
          <w:lang w:val="ro-RO"/>
        </w:rPr>
      </w:pPr>
      <w:r w:rsidRPr="008161D0">
        <w:rPr>
          <w:rFonts w:asciiTheme="majorHAnsi" w:hAnsiTheme="majorHAnsi" w:cstheme="majorHAnsi"/>
          <w:noProof/>
          <w:lang w:val="ro-RO"/>
        </w:rPr>
        <w:t>C</w:t>
      </w:r>
      <w:r w:rsidR="005B5A24" w:rsidRPr="008161D0">
        <w:rPr>
          <w:rFonts w:asciiTheme="majorHAnsi" w:hAnsiTheme="majorHAnsi" w:cstheme="majorHAnsi"/>
          <w:noProof/>
          <w:lang w:val="ro-RO"/>
        </w:rPr>
        <w:t>onstatările auditului denotă că autoritățile și instituțiile implicate în procesul de imunizare nu demonstrează</w:t>
      </w:r>
      <w:r w:rsidR="008809BD" w:rsidRPr="008161D0">
        <w:rPr>
          <w:rFonts w:asciiTheme="majorHAnsi" w:hAnsiTheme="majorHAnsi" w:cstheme="majorHAnsi"/>
          <w:noProof/>
          <w:lang w:val="ro-RO"/>
        </w:rPr>
        <w:t>, în unele cazuri,</w:t>
      </w:r>
      <w:r w:rsidR="005B5A24" w:rsidRPr="008161D0">
        <w:rPr>
          <w:rFonts w:asciiTheme="majorHAnsi" w:hAnsiTheme="majorHAnsi" w:cstheme="majorHAnsi"/>
          <w:noProof/>
          <w:lang w:val="ro-RO"/>
        </w:rPr>
        <w:t xml:space="preserve"> responsabilitatea corespunzătoare în materie de realizare eficientă a obiectivelor din Planul național de imunizare anti-COVID-19, </w:t>
      </w:r>
      <w:r w:rsidR="006B2816" w:rsidRPr="008161D0">
        <w:rPr>
          <w:rFonts w:ascii="Calibri Light" w:hAnsi="Calibri Light" w:cs="Calibri Light"/>
          <w:lang w:val="ro-RO"/>
        </w:rPr>
        <w:t>comunicarea inter</w:t>
      </w:r>
      <w:r w:rsidR="00AC260C" w:rsidRPr="008161D0">
        <w:rPr>
          <w:rFonts w:ascii="Calibri Light" w:hAnsi="Calibri Light" w:cs="Calibri Light"/>
          <w:lang w:val="ro-RO"/>
        </w:rPr>
        <w:t xml:space="preserve">sectorială </w:t>
      </w:r>
      <w:r w:rsidR="00785AB4" w:rsidRPr="008161D0">
        <w:rPr>
          <w:rFonts w:ascii="Calibri Light" w:hAnsi="Calibri Light" w:cs="Calibri Light"/>
          <w:lang w:val="ro-RO"/>
        </w:rPr>
        <w:t>este</w:t>
      </w:r>
      <w:r w:rsidR="00AC260C" w:rsidRPr="008161D0">
        <w:rPr>
          <w:rFonts w:ascii="Calibri Light" w:hAnsi="Calibri Light" w:cs="Calibri Light"/>
          <w:lang w:val="ro-RO"/>
        </w:rPr>
        <w:t xml:space="preserve"> fragmentată, iar insuficiența controalelor la toate etapele procesului de vaccinare </w:t>
      </w:r>
      <w:r w:rsidR="005B5A24" w:rsidRPr="008161D0">
        <w:rPr>
          <w:rFonts w:ascii="Calibri Light" w:hAnsi="Calibri Light" w:cs="Calibri Light"/>
          <w:lang w:val="ro-RO"/>
        </w:rPr>
        <w:t>nu asigură pe deplin realizarea scopului pentru atingerea imunității colective.</w:t>
      </w:r>
      <w:r w:rsidR="00AC260C" w:rsidRPr="008161D0">
        <w:rPr>
          <w:rFonts w:ascii="Calibri Light" w:hAnsi="Calibri Light" w:cs="Calibri Light"/>
          <w:lang w:val="ro-RO"/>
        </w:rPr>
        <w:t xml:space="preserve"> </w:t>
      </w:r>
      <w:r w:rsidR="009F7587" w:rsidRPr="008161D0">
        <w:rPr>
          <w:rFonts w:ascii="Calibri Light" w:hAnsi="Calibri Light" w:cs="Calibri Light"/>
          <w:lang w:val="ro-RO"/>
        </w:rPr>
        <w:t xml:space="preserve">Astfel, </w:t>
      </w:r>
      <w:r w:rsidR="009F7587" w:rsidRPr="008161D0">
        <w:rPr>
          <w:rFonts w:asciiTheme="majorHAnsi" w:hAnsiTheme="majorHAnsi" w:cstheme="majorHAnsi"/>
          <w:noProof/>
          <w:szCs w:val="28"/>
          <w:lang w:val="ro-RO" w:eastAsia="ru-RU"/>
        </w:rPr>
        <w:t>vulnerabilitățile ce țin de gestionarea acestui proces, sunt reflectate prin următoarele:</w:t>
      </w:r>
    </w:p>
    <w:p w14:paraId="2D167896" w14:textId="43C56497" w:rsidR="009F7587" w:rsidRPr="008161D0" w:rsidRDefault="009D6B1D" w:rsidP="009F7587">
      <w:pPr>
        <w:pStyle w:val="ListParagraph"/>
        <w:numPr>
          <w:ilvl w:val="0"/>
          <w:numId w:val="13"/>
        </w:numPr>
        <w:spacing w:line="259" w:lineRule="auto"/>
        <w:ind w:left="0" w:firstLine="360"/>
        <w:jc w:val="both"/>
        <w:rPr>
          <w:rFonts w:asciiTheme="majorHAnsi" w:hAnsiTheme="majorHAnsi" w:cstheme="majorHAnsi"/>
          <w:sz w:val="24"/>
          <w:szCs w:val="24"/>
          <w:lang w:val="ro-RO"/>
        </w:rPr>
      </w:pPr>
      <w:r w:rsidRPr="008161D0">
        <w:rPr>
          <w:rFonts w:asciiTheme="majorHAnsi" w:eastAsia="Calibri" w:hAnsiTheme="majorHAnsi" w:cstheme="majorHAnsi"/>
          <w:noProof/>
          <w:sz w:val="24"/>
          <w:szCs w:val="24"/>
          <w:lang w:val="ro-RO"/>
        </w:rPr>
        <w:t>p</w:t>
      </w:r>
      <w:r w:rsidR="009F7587" w:rsidRPr="008161D0">
        <w:rPr>
          <w:rFonts w:asciiTheme="majorHAnsi" w:eastAsia="Calibri" w:hAnsiTheme="majorHAnsi" w:cstheme="majorHAnsi"/>
          <w:noProof/>
          <w:sz w:val="24"/>
          <w:szCs w:val="24"/>
          <w:lang w:val="ro-RO"/>
        </w:rPr>
        <w:t>reocup</w:t>
      </w:r>
      <w:r w:rsidR="002D1E8A" w:rsidRPr="008161D0">
        <w:rPr>
          <w:rFonts w:asciiTheme="majorHAnsi" w:eastAsia="Calibri" w:hAnsiTheme="majorHAnsi" w:cstheme="majorHAnsi"/>
          <w:noProof/>
          <w:sz w:val="24"/>
          <w:szCs w:val="24"/>
          <w:lang w:val="ro-RO"/>
        </w:rPr>
        <w:t>area</w:t>
      </w:r>
      <w:r w:rsidR="009F7587" w:rsidRPr="008161D0">
        <w:rPr>
          <w:rFonts w:asciiTheme="majorHAnsi" w:eastAsia="Calibri" w:hAnsiTheme="majorHAnsi" w:cstheme="majorHAnsi"/>
          <w:noProof/>
          <w:sz w:val="24"/>
          <w:szCs w:val="24"/>
          <w:lang w:val="ro-RO"/>
        </w:rPr>
        <w:t xml:space="preserve"> </w:t>
      </w:r>
      <w:r w:rsidR="002D1E8A" w:rsidRPr="008161D0">
        <w:rPr>
          <w:rFonts w:asciiTheme="majorHAnsi" w:eastAsiaTheme="minorEastAsia" w:hAnsiTheme="majorHAnsi" w:cstheme="majorHAnsi"/>
          <w:bCs/>
          <w:color w:val="000000" w:themeColor="text1"/>
          <w:kern w:val="24"/>
          <w:sz w:val="24"/>
          <w:szCs w:val="24"/>
          <w:lang w:val="ro-RO"/>
        </w:rPr>
        <w:t>insuficientă a factorilor de decizie asupra</w:t>
      </w:r>
      <w:r w:rsidR="009F7587" w:rsidRPr="008161D0">
        <w:rPr>
          <w:rFonts w:asciiTheme="majorHAnsi" w:eastAsia="Calibri" w:hAnsiTheme="majorHAnsi" w:cstheme="majorHAnsi"/>
          <w:noProof/>
          <w:sz w:val="24"/>
          <w:szCs w:val="24"/>
          <w:lang w:val="ro-RO"/>
        </w:rPr>
        <w:t xml:space="preserve"> modului de organizare a evidenței dozelor de vaccinuri anti-COVID-19</w:t>
      </w:r>
      <w:r w:rsidR="002D1E8A" w:rsidRPr="008161D0">
        <w:rPr>
          <w:rFonts w:asciiTheme="majorHAnsi" w:eastAsia="Calibri" w:hAnsiTheme="majorHAnsi" w:cstheme="majorHAnsi"/>
          <w:noProof/>
          <w:sz w:val="24"/>
          <w:szCs w:val="24"/>
          <w:lang w:val="ro-RO"/>
        </w:rPr>
        <w:t>,</w:t>
      </w:r>
      <w:r w:rsidR="009F7587" w:rsidRPr="008161D0">
        <w:rPr>
          <w:rFonts w:asciiTheme="majorHAnsi" w:eastAsia="Calibri" w:hAnsiTheme="majorHAnsi" w:cstheme="majorHAnsi"/>
          <w:noProof/>
          <w:sz w:val="24"/>
          <w:szCs w:val="24"/>
          <w:lang w:val="ro-RO"/>
        </w:rPr>
        <w:t xml:space="preserve"> care urmau să stabilească </w:t>
      </w:r>
      <w:r w:rsidR="009F7587" w:rsidRPr="008161D0">
        <w:rPr>
          <w:rFonts w:asciiTheme="majorHAnsi" w:hAnsiTheme="majorHAnsi" w:cstheme="majorHAnsi"/>
          <w:sz w:val="24"/>
          <w:szCs w:val="24"/>
          <w:lang w:val="ro-RO"/>
        </w:rPr>
        <w:t>proceduri clare și exhaustive</w:t>
      </w:r>
      <w:r w:rsidR="002D1E8A" w:rsidRPr="008161D0">
        <w:rPr>
          <w:rFonts w:asciiTheme="majorHAnsi" w:hAnsiTheme="majorHAnsi" w:cstheme="majorHAnsi"/>
          <w:sz w:val="24"/>
          <w:szCs w:val="24"/>
          <w:lang w:val="ro-RO"/>
        </w:rPr>
        <w:t xml:space="preserve"> pentru asigura</w:t>
      </w:r>
      <w:r w:rsidR="008809BD" w:rsidRPr="008161D0">
        <w:rPr>
          <w:rFonts w:asciiTheme="majorHAnsi" w:hAnsiTheme="majorHAnsi" w:cstheme="majorHAnsi"/>
          <w:sz w:val="24"/>
          <w:szCs w:val="24"/>
          <w:lang w:val="ro-RO"/>
        </w:rPr>
        <w:t>rea furnizării</w:t>
      </w:r>
      <w:r w:rsidR="009F7587" w:rsidRPr="008161D0">
        <w:rPr>
          <w:rFonts w:asciiTheme="majorHAnsi" w:hAnsiTheme="majorHAnsi" w:cstheme="majorHAnsi"/>
          <w:sz w:val="24"/>
          <w:szCs w:val="24"/>
          <w:lang w:val="ro-RO"/>
        </w:rPr>
        <w:t xml:space="preserve"> date</w:t>
      </w:r>
      <w:r w:rsidR="008809BD" w:rsidRPr="008161D0">
        <w:rPr>
          <w:rFonts w:asciiTheme="majorHAnsi" w:hAnsiTheme="majorHAnsi" w:cstheme="majorHAnsi"/>
          <w:sz w:val="24"/>
          <w:szCs w:val="24"/>
          <w:lang w:val="ro-RO"/>
        </w:rPr>
        <w:t>lor</w:t>
      </w:r>
      <w:r w:rsidR="009F7587" w:rsidRPr="008161D0">
        <w:rPr>
          <w:rFonts w:asciiTheme="majorHAnsi" w:hAnsiTheme="majorHAnsi" w:cstheme="majorHAnsi"/>
          <w:sz w:val="24"/>
          <w:szCs w:val="24"/>
          <w:lang w:val="ro-RO"/>
        </w:rPr>
        <w:t xml:space="preserve"> veridice privind numărul de doze utilizate și a</w:t>
      </w:r>
      <w:r w:rsidR="008809BD" w:rsidRPr="008161D0">
        <w:rPr>
          <w:rFonts w:asciiTheme="majorHAnsi" w:hAnsiTheme="majorHAnsi" w:cstheme="majorHAnsi"/>
          <w:sz w:val="24"/>
          <w:szCs w:val="24"/>
          <w:lang w:val="ro-RO"/>
        </w:rPr>
        <w:t>l</w:t>
      </w:r>
      <w:r w:rsidR="009F7587" w:rsidRPr="008161D0">
        <w:rPr>
          <w:rFonts w:asciiTheme="majorHAnsi" w:hAnsiTheme="majorHAnsi" w:cstheme="majorHAnsi"/>
          <w:sz w:val="24"/>
          <w:szCs w:val="24"/>
          <w:lang w:val="ro-RO"/>
        </w:rPr>
        <w:t xml:space="preserve"> celor nimicite, în corelare cu numărul efectiv de persoane vaccinate</w:t>
      </w:r>
      <w:r w:rsidRPr="008161D0">
        <w:rPr>
          <w:rFonts w:asciiTheme="majorHAnsi" w:hAnsiTheme="majorHAnsi" w:cstheme="majorHAnsi"/>
          <w:sz w:val="24"/>
          <w:szCs w:val="24"/>
          <w:lang w:val="ro-RO"/>
        </w:rPr>
        <w:t>;</w:t>
      </w:r>
    </w:p>
    <w:p w14:paraId="7F55FCC7" w14:textId="6BF40EC8" w:rsidR="00967A30" w:rsidRPr="008161D0" w:rsidRDefault="00560E1E" w:rsidP="00967A30">
      <w:pPr>
        <w:pStyle w:val="ListParagraph"/>
        <w:numPr>
          <w:ilvl w:val="0"/>
          <w:numId w:val="13"/>
        </w:numPr>
        <w:ind w:left="0" w:firstLine="360"/>
        <w:jc w:val="both"/>
        <w:rPr>
          <w:rFonts w:asciiTheme="majorHAnsi" w:hAnsiTheme="majorHAnsi" w:cstheme="majorHAnsi"/>
          <w:noProof/>
          <w:color w:val="000000" w:themeColor="text1"/>
          <w:sz w:val="24"/>
          <w:szCs w:val="24"/>
          <w:lang w:val="ro-MD"/>
        </w:rPr>
      </w:pPr>
      <w:r w:rsidRPr="008161D0">
        <w:rPr>
          <w:rFonts w:asciiTheme="majorHAnsi" w:hAnsiTheme="majorHAnsi" w:cstheme="majorHAnsi"/>
          <w:noProof/>
          <w:sz w:val="24"/>
          <w:szCs w:val="24"/>
          <w:lang w:val="ro-RO"/>
        </w:rPr>
        <w:lastRenderedPageBreak/>
        <w:t>înregistrarea în sistemul informațional SIA</w:t>
      </w:r>
      <w:r w:rsidR="00785AB4" w:rsidRPr="008161D0">
        <w:rPr>
          <w:rFonts w:asciiTheme="majorHAnsi" w:hAnsiTheme="majorHAnsi" w:cstheme="majorHAnsi"/>
          <w:noProof/>
          <w:sz w:val="24"/>
          <w:szCs w:val="24"/>
          <w:lang w:val="ro-RO"/>
        </w:rPr>
        <w:t xml:space="preserve"> </w:t>
      </w:r>
      <w:r w:rsidRPr="008161D0">
        <w:rPr>
          <w:rFonts w:asciiTheme="majorHAnsi" w:hAnsiTheme="majorHAnsi" w:cstheme="majorHAnsi"/>
          <w:noProof/>
          <w:sz w:val="24"/>
          <w:szCs w:val="24"/>
          <w:lang w:val="ro-RO"/>
        </w:rPr>
        <w:t xml:space="preserve">RVC-19 a dozelor de vaccinuri cu termen de valabilitate expirat, </w:t>
      </w:r>
      <w:r w:rsidR="00785AB4" w:rsidRPr="008161D0">
        <w:rPr>
          <w:rFonts w:asciiTheme="majorHAnsi" w:hAnsiTheme="majorHAnsi" w:cstheme="majorHAnsi"/>
          <w:noProof/>
          <w:sz w:val="24"/>
          <w:szCs w:val="24"/>
          <w:lang w:val="ro-RO"/>
        </w:rPr>
        <w:t xml:space="preserve">ceea ce </w:t>
      </w:r>
      <w:r w:rsidRPr="008161D0">
        <w:rPr>
          <w:rFonts w:asciiTheme="majorHAnsi" w:hAnsiTheme="majorHAnsi" w:cstheme="majorHAnsi"/>
          <w:noProof/>
          <w:sz w:val="24"/>
          <w:szCs w:val="24"/>
          <w:lang w:val="ro-RO"/>
        </w:rPr>
        <w:t xml:space="preserve">denotă riscuri și creează suspiciuni privind </w:t>
      </w:r>
      <w:r w:rsidR="00AF4D0C" w:rsidRPr="008161D0">
        <w:rPr>
          <w:rFonts w:asciiTheme="majorHAnsi" w:hAnsiTheme="majorHAnsi" w:cstheme="majorHAnsi"/>
          <w:noProof/>
          <w:sz w:val="24"/>
          <w:szCs w:val="24"/>
          <w:lang w:val="ro-RO"/>
        </w:rPr>
        <w:t>folosirea</w:t>
      </w:r>
      <w:r w:rsidRPr="008161D0">
        <w:rPr>
          <w:rFonts w:asciiTheme="majorHAnsi" w:hAnsiTheme="majorHAnsi" w:cstheme="majorHAnsi"/>
          <w:noProof/>
          <w:sz w:val="24"/>
          <w:szCs w:val="24"/>
          <w:lang w:val="ro-RO"/>
        </w:rPr>
        <w:t xml:space="preserve"> acestora</w:t>
      </w:r>
      <w:r w:rsidR="00967A30" w:rsidRPr="008161D0">
        <w:rPr>
          <w:rFonts w:asciiTheme="majorHAnsi" w:hAnsiTheme="majorHAnsi" w:cstheme="majorHAnsi"/>
          <w:noProof/>
          <w:color w:val="000000" w:themeColor="text1"/>
          <w:sz w:val="24"/>
          <w:szCs w:val="24"/>
          <w:lang w:val="ro-MD"/>
        </w:rPr>
        <w:t>;</w:t>
      </w:r>
    </w:p>
    <w:p w14:paraId="0054068C" w14:textId="2FB82C67" w:rsidR="009F7587" w:rsidRPr="008161D0" w:rsidRDefault="009D6B1D" w:rsidP="009F7587">
      <w:pPr>
        <w:pStyle w:val="ListParagraph"/>
        <w:numPr>
          <w:ilvl w:val="0"/>
          <w:numId w:val="13"/>
        </w:numPr>
        <w:spacing w:line="259" w:lineRule="auto"/>
        <w:ind w:left="0" w:firstLine="360"/>
        <w:jc w:val="both"/>
        <w:rPr>
          <w:rFonts w:asciiTheme="majorHAnsi" w:hAnsiTheme="majorHAnsi" w:cstheme="majorHAnsi"/>
          <w:noProof/>
          <w:sz w:val="24"/>
          <w:szCs w:val="24"/>
        </w:rPr>
      </w:pPr>
      <w:r w:rsidRPr="008161D0">
        <w:rPr>
          <w:rFonts w:asciiTheme="majorHAnsi" w:hAnsiTheme="majorHAnsi" w:cstheme="majorHAnsi"/>
          <w:noProof/>
          <w:sz w:val="24"/>
          <w:szCs w:val="24"/>
          <w:lang w:val="ro-RO"/>
        </w:rPr>
        <w:t>a</w:t>
      </w:r>
      <w:r w:rsidR="009F7587" w:rsidRPr="008161D0">
        <w:rPr>
          <w:rFonts w:asciiTheme="majorHAnsi" w:hAnsiTheme="majorHAnsi" w:cstheme="majorHAnsi"/>
          <w:noProof/>
          <w:sz w:val="24"/>
          <w:szCs w:val="24"/>
          <w:lang w:val="ro-RO"/>
        </w:rPr>
        <w:t xml:space="preserve">dmiterea </w:t>
      </w:r>
      <w:r w:rsidRPr="008161D0">
        <w:rPr>
          <w:rFonts w:asciiTheme="majorHAnsi" w:hAnsiTheme="majorHAnsi" w:cstheme="majorHAnsi"/>
          <w:noProof/>
          <w:sz w:val="24"/>
          <w:szCs w:val="24"/>
          <w:lang w:val="ro-RO"/>
        </w:rPr>
        <w:t>i</w:t>
      </w:r>
      <w:r w:rsidR="009F7587" w:rsidRPr="008161D0">
        <w:rPr>
          <w:rFonts w:asciiTheme="majorHAnsi" w:hAnsiTheme="majorHAnsi" w:cstheme="majorHAnsi"/>
          <w:noProof/>
          <w:sz w:val="24"/>
          <w:szCs w:val="24"/>
          <w:lang w:val="ro-RO"/>
        </w:rPr>
        <w:t xml:space="preserve">ntroducerii în </w:t>
      </w:r>
      <w:r w:rsidR="009F7587" w:rsidRPr="008161D0">
        <w:rPr>
          <w:rFonts w:asciiTheme="majorHAnsi" w:hAnsiTheme="majorHAnsi" w:cstheme="majorHAnsi"/>
          <w:noProof/>
          <w:sz w:val="24"/>
          <w:szCs w:val="24"/>
        </w:rPr>
        <w:t>Registru</w:t>
      </w:r>
      <w:r w:rsidR="00B77DCB" w:rsidRPr="008161D0">
        <w:rPr>
          <w:rFonts w:asciiTheme="majorHAnsi" w:hAnsiTheme="majorHAnsi" w:cstheme="majorHAnsi"/>
          <w:noProof/>
          <w:sz w:val="24"/>
          <w:szCs w:val="24"/>
        </w:rPr>
        <w:t>l</w:t>
      </w:r>
      <w:r w:rsidR="009F7587" w:rsidRPr="008161D0">
        <w:rPr>
          <w:rFonts w:asciiTheme="majorHAnsi" w:hAnsiTheme="majorHAnsi" w:cstheme="majorHAnsi"/>
          <w:noProof/>
          <w:sz w:val="24"/>
          <w:szCs w:val="24"/>
        </w:rPr>
        <w:t xml:space="preserve"> de evidență a </w:t>
      </w:r>
      <w:r w:rsidR="006E66AB" w:rsidRPr="008161D0">
        <w:rPr>
          <w:rFonts w:asciiTheme="majorHAnsi" w:hAnsiTheme="majorHAnsi" w:cstheme="majorHAnsi"/>
          <w:noProof/>
          <w:sz w:val="24"/>
          <w:szCs w:val="24"/>
        </w:rPr>
        <w:t>v</w:t>
      </w:r>
      <w:r w:rsidR="009F7587" w:rsidRPr="008161D0">
        <w:rPr>
          <w:rFonts w:asciiTheme="majorHAnsi" w:hAnsiTheme="majorHAnsi" w:cstheme="majorHAnsi"/>
          <w:noProof/>
          <w:sz w:val="24"/>
          <w:szCs w:val="24"/>
        </w:rPr>
        <w:t>accinării împotriva COVID</w:t>
      </w:r>
      <w:r w:rsidRPr="008161D0">
        <w:rPr>
          <w:rFonts w:asciiTheme="majorHAnsi" w:hAnsiTheme="majorHAnsi" w:cstheme="majorHAnsi"/>
          <w:noProof/>
          <w:sz w:val="24"/>
          <w:szCs w:val="24"/>
        </w:rPr>
        <w:t>-</w:t>
      </w:r>
      <w:r w:rsidR="009F7587" w:rsidRPr="008161D0">
        <w:rPr>
          <w:rFonts w:asciiTheme="majorHAnsi" w:hAnsiTheme="majorHAnsi" w:cstheme="majorHAnsi"/>
          <w:noProof/>
          <w:sz w:val="24"/>
          <w:szCs w:val="24"/>
        </w:rPr>
        <w:t>19 a informații</w:t>
      </w:r>
      <w:r w:rsidR="002A0496" w:rsidRPr="008161D0">
        <w:rPr>
          <w:rFonts w:asciiTheme="majorHAnsi" w:hAnsiTheme="majorHAnsi" w:cstheme="majorHAnsi"/>
          <w:noProof/>
          <w:sz w:val="24"/>
          <w:szCs w:val="24"/>
        </w:rPr>
        <w:t>lor</w:t>
      </w:r>
      <w:r w:rsidR="009F7587" w:rsidRPr="008161D0">
        <w:rPr>
          <w:rFonts w:asciiTheme="majorHAnsi" w:hAnsiTheme="majorHAnsi" w:cstheme="majorHAnsi"/>
          <w:noProof/>
          <w:sz w:val="24"/>
          <w:szCs w:val="24"/>
        </w:rPr>
        <w:t xml:space="preserve"> </w:t>
      </w:r>
      <w:r w:rsidR="00A74377" w:rsidRPr="008161D0">
        <w:rPr>
          <w:rFonts w:asciiTheme="majorHAnsi" w:hAnsiTheme="majorHAnsi" w:cstheme="majorHAnsi"/>
          <w:noProof/>
          <w:sz w:val="24"/>
          <w:szCs w:val="24"/>
          <w:lang w:val="ro-MD"/>
        </w:rPr>
        <w:t>cu date calendaristice anterioare/posterioare decât data vaccinării efective</w:t>
      </w:r>
      <w:r w:rsidR="009F7587" w:rsidRPr="008161D0">
        <w:rPr>
          <w:rFonts w:asciiTheme="majorHAnsi" w:hAnsiTheme="majorHAnsi" w:cstheme="majorHAnsi"/>
          <w:noProof/>
          <w:sz w:val="24"/>
          <w:szCs w:val="24"/>
        </w:rPr>
        <w:t>,</w:t>
      </w:r>
      <w:r w:rsidR="00A74377" w:rsidRPr="008161D0">
        <w:rPr>
          <w:rFonts w:asciiTheme="majorHAnsi" w:hAnsiTheme="majorHAnsi" w:cstheme="majorHAnsi"/>
          <w:noProof/>
          <w:sz w:val="24"/>
          <w:szCs w:val="24"/>
          <w:lang w:val="ro-MD"/>
        </w:rPr>
        <w:t xml:space="preserve"> </w:t>
      </w:r>
      <w:r w:rsidR="002A0496" w:rsidRPr="008161D0">
        <w:rPr>
          <w:rFonts w:asciiTheme="majorHAnsi" w:hAnsiTheme="majorHAnsi" w:cstheme="majorHAnsi"/>
          <w:noProof/>
          <w:sz w:val="24"/>
          <w:szCs w:val="24"/>
        </w:rPr>
        <w:t xml:space="preserve">implicit </w:t>
      </w:r>
      <w:r w:rsidR="009F7587" w:rsidRPr="008161D0">
        <w:rPr>
          <w:rFonts w:asciiTheme="majorHAnsi" w:hAnsiTheme="majorHAnsi" w:cstheme="majorHAnsi"/>
          <w:noProof/>
          <w:sz w:val="24"/>
          <w:szCs w:val="24"/>
        </w:rPr>
        <w:t>creează suspiciuni privind veridicitatea certifica</w:t>
      </w:r>
      <w:r w:rsidR="00B77DCB" w:rsidRPr="008161D0">
        <w:rPr>
          <w:rFonts w:asciiTheme="majorHAnsi" w:hAnsiTheme="majorHAnsi" w:cstheme="majorHAnsi"/>
          <w:noProof/>
          <w:sz w:val="24"/>
          <w:szCs w:val="24"/>
        </w:rPr>
        <w:t>t</w:t>
      </w:r>
      <w:r w:rsidR="009F7587" w:rsidRPr="008161D0">
        <w:rPr>
          <w:rFonts w:asciiTheme="majorHAnsi" w:hAnsiTheme="majorHAnsi" w:cstheme="majorHAnsi"/>
          <w:noProof/>
          <w:sz w:val="24"/>
          <w:szCs w:val="24"/>
        </w:rPr>
        <w:t>e</w:t>
      </w:r>
      <w:r w:rsidR="00B77DCB" w:rsidRPr="008161D0">
        <w:rPr>
          <w:rFonts w:asciiTheme="majorHAnsi" w:hAnsiTheme="majorHAnsi" w:cstheme="majorHAnsi"/>
          <w:noProof/>
          <w:sz w:val="24"/>
          <w:szCs w:val="24"/>
        </w:rPr>
        <w:t>l</w:t>
      </w:r>
      <w:r w:rsidR="009F7587" w:rsidRPr="008161D0">
        <w:rPr>
          <w:rFonts w:asciiTheme="majorHAnsi" w:hAnsiTheme="majorHAnsi" w:cstheme="majorHAnsi"/>
          <w:noProof/>
          <w:sz w:val="24"/>
          <w:szCs w:val="24"/>
        </w:rPr>
        <w:t>or emise de instituțiile implicate în proces</w:t>
      </w:r>
      <w:r w:rsidRPr="008161D0">
        <w:rPr>
          <w:rFonts w:asciiTheme="majorHAnsi" w:hAnsiTheme="majorHAnsi" w:cstheme="majorHAnsi"/>
          <w:noProof/>
          <w:sz w:val="24"/>
          <w:szCs w:val="24"/>
        </w:rPr>
        <w:t>;</w:t>
      </w:r>
    </w:p>
    <w:p w14:paraId="3B1D7A94" w14:textId="7885EEE7" w:rsidR="009F7587" w:rsidRPr="008161D0" w:rsidRDefault="009D6B1D" w:rsidP="002A0496">
      <w:pPr>
        <w:pStyle w:val="ListParagraph"/>
        <w:numPr>
          <w:ilvl w:val="0"/>
          <w:numId w:val="13"/>
        </w:numPr>
        <w:spacing w:line="259" w:lineRule="auto"/>
        <w:ind w:left="0" w:firstLine="360"/>
        <w:jc w:val="both"/>
        <w:rPr>
          <w:rFonts w:asciiTheme="majorHAnsi" w:hAnsiTheme="majorHAnsi" w:cstheme="majorHAnsi"/>
          <w:sz w:val="24"/>
          <w:szCs w:val="24"/>
          <w:lang w:val="ro-RO"/>
        </w:rPr>
      </w:pPr>
      <w:r w:rsidRPr="008161D0">
        <w:rPr>
          <w:rFonts w:asciiTheme="majorHAnsi" w:hAnsiTheme="majorHAnsi" w:cstheme="majorHAnsi"/>
          <w:sz w:val="24"/>
          <w:szCs w:val="24"/>
          <w:lang w:val="sv-SE"/>
        </w:rPr>
        <w:t>c</w:t>
      </w:r>
      <w:proofErr w:type="spellStart"/>
      <w:r w:rsidR="002A0496" w:rsidRPr="008161D0">
        <w:rPr>
          <w:rFonts w:asciiTheme="majorHAnsi" w:hAnsiTheme="majorHAnsi" w:cstheme="majorHAnsi"/>
          <w:sz w:val="24"/>
          <w:szCs w:val="24"/>
          <w:lang w:val="ro-RO"/>
        </w:rPr>
        <w:t>ampania</w:t>
      </w:r>
      <w:proofErr w:type="spellEnd"/>
      <w:r w:rsidR="002A0496" w:rsidRPr="008161D0">
        <w:rPr>
          <w:rFonts w:asciiTheme="majorHAnsi" w:hAnsiTheme="majorHAnsi" w:cstheme="majorHAnsi"/>
          <w:sz w:val="24"/>
          <w:szCs w:val="24"/>
          <w:lang w:val="ro-RO"/>
        </w:rPr>
        <w:t xml:space="preserve"> de promova</w:t>
      </w:r>
      <w:r w:rsidRPr="008161D0">
        <w:rPr>
          <w:rFonts w:asciiTheme="majorHAnsi" w:hAnsiTheme="majorHAnsi" w:cstheme="majorHAnsi"/>
          <w:sz w:val="24"/>
          <w:szCs w:val="24"/>
          <w:lang w:val="ro-RO"/>
        </w:rPr>
        <w:t>re a</w:t>
      </w:r>
      <w:r w:rsidR="002A0496" w:rsidRPr="008161D0">
        <w:rPr>
          <w:rFonts w:asciiTheme="majorHAnsi" w:hAnsiTheme="majorHAnsi" w:cstheme="majorHAnsi"/>
          <w:sz w:val="24"/>
          <w:szCs w:val="24"/>
          <w:lang w:val="ro-RO"/>
        </w:rPr>
        <w:t xml:space="preserve"> vaccin</w:t>
      </w:r>
      <w:r w:rsidRPr="008161D0">
        <w:rPr>
          <w:rFonts w:asciiTheme="majorHAnsi" w:hAnsiTheme="majorHAnsi" w:cstheme="majorHAnsi"/>
          <w:sz w:val="24"/>
          <w:szCs w:val="24"/>
          <w:lang w:val="ro-RO"/>
        </w:rPr>
        <w:t>ării</w:t>
      </w:r>
      <w:r w:rsidR="002A0496" w:rsidRPr="008161D0">
        <w:rPr>
          <w:rFonts w:asciiTheme="majorHAnsi" w:hAnsiTheme="majorHAnsi" w:cstheme="majorHAnsi"/>
          <w:sz w:val="24"/>
          <w:szCs w:val="24"/>
          <w:lang w:val="ro-RO"/>
        </w:rPr>
        <w:t xml:space="preserve"> cetățenilor, precum și a</w:t>
      </w:r>
      <w:r w:rsidR="009F7587" w:rsidRPr="008161D0">
        <w:rPr>
          <w:rFonts w:asciiTheme="majorHAnsi" w:hAnsiTheme="majorHAnsi" w:cstheme="majorHAnsi"/>
          <w:sz w:val="24"/>
          <w:szCs w:val="24"/>
          <w:lang w:val="ro-RO"/>
        </w:rPr>
        <w:t xml:space="preserve">cțiunile întreprinse de autorități </w:t>
      </w:r>
      <w:r w:rsidR="00785AB4" w:rsidRPr="008161D0">
        <w:rPr>
          <w:rFonts w:asciiTheme="majorHAnsi" w:hAnsiTheme="majorHAnsi" w:cstheme="majorHAnsi"/>
          <w:sz w:val="24"/>
          <w:szCs w:val="24"/>
          <w:lang w:val="ro-RO"/>
        </w:rPr>
        <w:t xml:space="preserve">în acest scop </w:t>
      </w:r>
      <w:r w:rsidR="009F7587" w:rsidRPr="008161D0">
        <w:rPr>
          <w:rFonts w:asciiTheme="majorHAnsi" w:hAnsiTheme="majorHAnsi" w:cstheme="majorHAnsi"/>
          <w:sz w:val="24"/>
          <w:szCs w:val="24"/>
          <w:lang w:val="ro-RO"/>
        </w:rPr>
        <w:t>nu au avut impactul scontat</w:t>
      </w:r>
      <w:r w:rsidRPr="008161D0">
        <w:rPr>
          <w:rFonts w:asciiTheme="majorHAnsi" w:hAnsiTheme="majorHAnsi" w:cstheme="majorHAnsi"/>
          <w:sz w:val="24"/>
          <w:szCs w:val="24"/>
          <w:lang w:val="ro-RO"/>
        </w:rPr>
        <w:t>;</w:t>
      </w:r>
    </w:p>
    <w:p w14:paraId="74F45D6C" w14:textId="4F3D6AF8" w:rsidR="009F7587" w:rsidRPr="008161D0" w:rsidRDefault="009D6B1D" w:rsidP="002A0496">
      <w:pPr>
        <w:pStyle w:val="ListParagraph"/>
        <w:numPr>
          <w:ilvl w:val="0"/>
          <w:numId w:val="13"/>
        </w:numPr>
        <w:spacing w:line="259" w:lineRule="auto"/>
        <w:ind w:left="0" w:firstLine="360"/>
        <w:jc w:val="both"/>
        <w:rPr>
          <w:rFonts w:asciiTheme="majorHAnsi" w:hAnsiTheme="majorHAnsi" w:cstheme="majorHAnsi"/>
          <w:sz w:val="24"/>
          <w:szCs w:val="24"/>
          <w:lang w:val="ro-RO"/>
        </w:rPr>
      </w:pPr>
      <w:r w:rsidRPr="008161D0">
        <w:rPr>
          <w:rFonts w:asciiTheme="majorHAnsi" w:hAnsiTheme="majorHAnsi" w:cstheme="majorHAnsi"/>
          <w:noProof/>
          <w:sz w:val="24"/>
          <w:szCs w:val="24"/>
          <w:lang w:val="ro-RO"/>
        </w:rPr>
        <w:t>m</w:t>
      </w:r>
      <w:r w:rsidR="009F7587" w:rsidRPr="008161D0">
        <w:rPr>
          <w:rFonts w:asciiTheme="majorHAnsi" w:hAnsiTheme="majorHAnsi" w:cstheme="majorHAnsi"/>
          <w:noProof/>
          <w:sz w:val="24"/>
          <w:szCs w:val="24"/>
          <w:lang w:val="ro-RO"/>
        </w:rPr>
        <w:t xml:space="preserve">ăsurile de monitorizare </w:t>
      </w:r>
      <w:r w:rsidR="00B77DCB" w:rsidRPr="008161D0">
        <w:rPr>
          <w:rFonts w:asciiTheme="majorHAnsi" w:hAnsiTheme="majorHAnsi" w:cstheme="majorHAnsi"/>
          <w:noProof/>
          <w:sz w:val="24"/>
          <w:szCs w:val="24"/>
          <w:lang w:val="ro-RO"/>
        </w:rPr>
        <w:t>și</w:t>
      </w:r>
      <w:r w:rsidR="009F7587" w:rsidRPr="008161D0">
        <w:rPr>
          <w:rFonts w:asciiTheme="majorHAnsi" w:hAnsiTheme="majorHAnsi" w:cstheme="majorHAnsi"/>
          <w:noProof/>
          <w:sz w:val="24"/>
          <w:szCs w:val="24"/>
          <w:lang w:val="ro-RO"/>
        </w:rPr>
        <w:t xml:space="preserve"> evaluare</w:t>
      </w:r>
      <w:r w:rsidR="00B77DCB" w:rsidRPr="008161D0">
        <w:rPr>
          <w:rFonts w:asciiTheme="majorHAnsi" w:hAnsiTheme="majorHAnsi" w:cstheme="majorHAnsi"/>
          <w:noProof/>
          <w:sz w:val="24"/>
          <w:szCs w:val="24"/>
          <w:lang w:val="ro-RO"/>
        </w:rPr>
        <w:t xml:space="preserve"> </w:t>
      </w:r>
      <w:r w:rsidR="009F7587" w:rsidRPr="008161D0">
        <w:rPr>
          <w:rFonts w:asciiTheme="majorHAnsi" w:hAnsiTheme="majorHAnsi" w:cstheme="majorHAnsi"/>
          <w:noProof/>
          <w:sz w:val="24"/>
          <w:szCs w:val="24"/>
          <w:lang w:val="ro-RO"/>
        </w:rPr>
        <w:t xml:space="preserve">a răspunsului imun la vaccinul anti-COVID-19 </w:t>
      </w:r>
      <w:r w:rsidR="002A0496" w:rsidRPr="008161D0">
        <w:rPr>
          <w:rFonts w:asciiTheme="majorHAnsi" w:hAnsiTheme="majorHAnsi" w:cstheme="majorHAnsi"/>
          <w:noProof/>
          <w:sz w:val="24"/>
          <w:szCs w:val="24"/>
          <w:lang w:val="ro-RO"/>
        </w:rPr>
        <w:t>au fost insuficiente</w:t>
      </w:r>
      <w:r w:rsidRPr="008161D0">
        <w:rPr>
          <w:rFonts w:asciiTheme="majorHAnsi" w:hAnsiTheme="majorHAnsi" w:cstheme="majorHAnsi"/>
          <w:noProof/>
          <w:sz w:val="24"/>
          <w:szCs w:val="24"/>
          <w:lang w:val="ro-RO"/>
        </w:rPr>
        <w:t>;</w:t>
      </w:r>
    </w:p>
    <w:p w14:paraId="5DB0FA62" w14:textId="478C38AB" w:rsidR="009F7587" w:rsidRPr="008161D0" w:rsidRDefault="009D6B1D" w:rsidP="002A0496">
      <w:pPr>
        <w:pStyle w:val="ListParagraph"/>
        <w:numPr>
          <w:ilvl w:val="0"/>
          <w:numId w:val="13"/>
        </w:numPr>
        <w:spacing w:line="259" w:lineRule="auto"/>
        <w:ind w:left="0" w:firstLine="360"/>
        <w:jc w:val="both"/>
        <w:rPr>
          <w:rFonts w:asciiTheme="majorHAnsi" w:hAnsiTheme="majorHAnsi" w:cstheme="majorHAnsi"/>
          <w:noProof/>
          <w:sz w:val="24"/>
          <w:szCs w:val="24"/>
          <w:lang w:val="ro-RO"/>
        </w:rPr>
      </w:pPr>
      <w:r w:rsidRPr="008161D0">
        <w:rPr>
          <w:rFonts w:asciiTheme="majorHAnsi" w:hAnsiTheme="majorHAnsi" w:cstheme="majorHAnsi"/>
          <w:noProof/>
          <w:sz w:val="24"/>
          <w:szCs w:val="24"/>
          <w:lang w:val="ro-RO"/>
        </w:rPr>
        <w:t>d</w:t>
      </w:r>
      <w:r w:rsidR="001A0A46" w:rsidRPr="008161D0">
        <w:rPr>
          <w:rFonts w:asciiTheme="majorHAnsi" w:hAnsiTheme="majorHAnsi" w:cstheme="majorHAnsi"/>
          <w:noProof/>
          <w:sz w:val="24"/>
          <w:szCs w:val="24"/>
          <w:lang w:val="ro-RO"/>
        </w:rPr>
        <w:t xml:space="preserve">eficiențele </w:t>
      </w:r>
      <w:r w:rsidR="001A0A46" w:rsidRPr="008161D0">
        <w:rPr>
          <w:rFonts w:asciiTheme="majorHAnsi" w:hAnsiTheme="majorHAnsi" w:cstheme="majorHAnsi"/>
          <w:bCs/>
          <w:noProof/>
          <w:sz w:val="24"/>
          <w:szCs w:val="24"/>
          <w:lang w:val="ro-MD"/>
        </w:rPr>
        <w:t>controalelor la toate etapele procesului de imunizare (recepționarea, înregistrarea, repartizarea, administrarea și raportarea), managementul defectuos în cadrul autorităților implicate în proces</w:t>
      </w:r>
      <w:r w:rsidR="0068608B" w:rsidRPr="008161D0">
        <w:rPr>
          <w:rFonts w:asciiTheme="majorHAnsi" w:hAnsiTheme="majorHAnsi" w:cstheme="majorHAnsi"/>
          <w:noProof/>
          <w:sz w:val="24"/>
          <w:szCs w:val="24"/>
          <w:lang w:val="ro-RO"/>
        </w:rPr>
        <w:t xml:space="preserve">, </w:t>
      </w:r>
      <w:r w:rsidR="00B77DCB" w:rsidRPr="008161D0">
        <w:rPr>
          <w:rFonts w:asciiTheme="majorHAnsi" w:hAnsiTheme="majorHAnsi" w:cstheme="majorHAnsi"/>
          <w:noProof/>
          <w:sz w:val="24"/>
          <w:szCs w:val="24"/>
          <w:lang w:val="ro-RO"/>
        </w:rPr>
        <w:t>denotă n</w:t>
      </w:r>
      <w:r w:rsidR="002A0496" w:rsidRPr="008161D0">
        <w:rPr>
          <w:rFonts w:asciiTheme="majorHAnsi" w:hAnsiTheme="majorHAnsi" w:cstheme="majorHAnsi"/>
          <w:noProof/>
          <w:sz w:val="24"/>
          <w:szCs w:val="24"/>
          <w:lang w:val="ro-RO"/>
        </w:rPr>
        <w:t xml:space="preserve">ecesitatea asigurării </w:t>
      </w:r>
      <w:r w:rsidR="009F7587" w:rsidRPr="008161D0">
        <w:rPr>
          <w:rFonts w:asciiTheme="majorHAnsi" w:hAnsiTheme="majorHAnsi" w:cstheme="majorHAnsi"/>
          <w:noProof/>
          <w:sz w:val="24"/>
          <w:szCs w:val="24"/>
          <w:lang w:val="ro-RO"/>
        </w:rPr>
        <w:t>Sistemul</w:t>
      </w:r>
      <w:r w:rsidR="002A0496" w:rsidRPr="008161D0">
        <w:rPr>
          <w:rFonts w:asciiTheme="majorHAnsi" w:hAnsiTheme="majorHAnsi" w:cstheme="majorHAnsi"/>
          <w:noProof/>
          <w:sz w:val="24"/>
          <w:szCs w:val="24"/>
          <w:lang w:val="ro-RO"/>
        </w:rPr>
        <w:t>ui</w:t>
      </w:r>
      <w:r w:rsidR="009F7587" w:rsidRPr="008161D0">
        <w:rPr>
          <w:rFonts w:asciiTheme="majorHAnsi" w:hAnsiTheme="majorHAnsi" w:cstheme="majorHAnsi"/>
          <w:noProof/>
          <w:sz w:val="24"/>
          <w:szCs w:val="24"/>
          <w:lang w:val="ro-RO"/>
        </w:rPr>
        <w:t xml:space="preserve"> Informațional Automatizat</w:t>
      </w:r>
      <w:r w:rsidR="002A0496" w:rsidRPr="008161D0">
        <w:rPr>
          <w:rFonts w:asciiTheme="majorHAnsi" w:hAnsiTheme="majorHAnsi" w:cstheme="majorHAnsi"/>
          <w:noProof/>
          <w:sz w:val="24"/>
          <w:szCs w:val="24"/>
          <w:lang w:val="ro-RO"/>
        </w:rPr>
        <w:t xml:space="preserve"> cu</w:t>
      </w:r>
      <w:r w:rsidR="009F7587" w:rsidRPr="008161D0">
        <w:rPr>
          <w:rFonts w:asciiTheme="majorHAnsi" w:hAnsiTheme="majorHAnsi" w:cstheme="majorHAnsi"/>
          <w:noProof/>
          <w:sz w:val="24"/>
          <w:szCs w:val="24"/>
          <w:lang w:val="ro-RO"/>
        </w:rPr>
        <w:t xml:space="preserve"> controale și filtre de inteligență artificială</w:t>
      </w:r>
      <w:r w:rsidR="002A0496" w:rsidRPr="008161D0">
        <w:rPr>
          <w:rFonts w:asciiTheme="majorHAnsi" w:hAnsiTheme="majorHAnsi" w:cstheme="majorHAnsi"/>
          <w:noProof/>
          <w:sz w:val="24"/>
          <w:szCs w:val="24"/>
          <w:lang w:val="ro-RO"/>
        </w:rPr>
        <w:t xml:space="preserve">, </w:t>
      </w:r>
      <w:r w:rsidR="006E66AB" w:rsidRPr="008161D0">
        <w:rPr>
          <w:rFonts w:asciiTheme="majorHAnsi" w:hAnsiTheme="majorHAnsi" w:cstheme="majorHAnsi"/>
          <w:noProof/>
          <w:sz w:val="24"/>
          <w:szCs w:val="24"/>
          <w:lang w:val="ro-RO"/>
        </w:rPr>
        <w:t xml:space="preserve">ceea ce </w:t>
      </w:r>
      <w:r w:rsidR="002A0496" w:rsidRPr="008161D0">
        <w:rPr>
          <w:rFonts w:asciiTheme="majorHAnsi" w:hAnsiTheme="majorHAnsi" w:cstheme="majorHAnsi"/>
          <w:noProof/>
          <w:sz w:val="24"/>
          <w:szCs w:val="24"/>
          <w:lang w:val="ro-RO"/>
        </w:rPr>
        <w:t xml:space="preserve">va contribui la </w:t>
      </w:r>
      <w:r w:rsidR="00D03897" w:rsidRPr="008161D0">
        <w:rPr>
          <w:rFonts w:asciiTheme="majorHAnsi" w:hAnsiTheme="majorHAnsi" w:cstheme="majorHAnsi"/>
          <w:noProof/>
          <w:sz w:val="24"/>
          <w:szCs w:val="24"/>
          <w:lang w:val="ro-RO"/>
        </w:rPr>
        <w:t xml:space="preserve">sporirea </w:t>
      </w:r>
      <w:r w:rsidR="002A0496" w:rsidRPr="008161D0">
        <w:rPr>
          <w:rFonts w:asciiTheme="majorHAnsi" w:hAnsiTheme="majorHAnsi" w:cstheme="majorHAnsi"/>
          <w:noProof/>
          <w:sz w:val="24"/>
          <w:szCs w:val="24"/>
          <w:lang w:val="ro-RO"/>
        </w:rPr>
        <w:t>veridicitat</w:t>
      </w:r>
      <w:r w:rsidR="00D03897" w:rsidRPr="008161D0">
        <w:rPr>
          <w:rFonts w:asciiTheme="majorHAnsi" w:hAnsiTheme="majorHAnsi" w:cstheme="majorHAnsi"/>
          <w:noProof/>
          <w:sz w:val="24"/>
          <w:szCs w:val="24"/>
          <w:lang w:val="ro-RO"/>
        </w:rPr>
        <w:t>ății informațiilor</w:t>
      </w:r>
      <w:r w:rsidR="002A0496" w:rsidRPr="008161D0">
        <w:rPr>
          <w:rFonts w:asciiTheme="majorHAnsi" w:hAnsiTheme="majorHAnsi" w:cstheme="majorHAnsi"/>
          <w:noProof/>
          <w:sz w:val="24"/>
          <w:szCs w:val="24"/>
          <w:lang w:val="ro-RO"/>
        </w:rPr>
        <w:t xml:space="preserve"> introduse, deținute și raportate</w:t>
      </w:r>
      <w:r w:rsidRPr="008161D0">
        <w:rPr>
          <w:rFonts w:asciiTheme="majorHAnsi" w:hAnsiTheme="majorHAnsi" w:cstheme="majorHAnsi"/>
          <w:noProof/>
          <w:sz w:val="24"/>
          <w:szCs w:val="24"/>
          <w:lang w:val="ro-RO"/>
        </w:rPr>
        <w:t>;</w:t>
      </w:r>
    </w:p>
    <w:p w14:paraId="476661EF" w14:textId="555783D3" w:rsidR="009F7587" w:rsidRPr="008161D0" w:rsidRDefault="003B67A1" w:rsidP="002A0496">
      <w:pPr>
        <w:pStyle w:val="ListParagraph"/>
        <w:numPr>
          <w:ilvl w:val="0"/>
          <w:numId w:val="13"/>
        </w:numPr>
        <w:spacing w:line="259" w:lineRule="auto"/>
        <w:ind w:left="0" w:firstLine="360"/>
        <w:jc w:val="both"/>
        <w:rPr>
          <w:rStyle w:val="Bodytext2"/>
          <w:rFonts w:asciiTheme="majorHAnsi" w:eastAsiaTheme="minorEastAsia" w:hAnsiTheme="majorHAnsi" w:cstheme="majorHAnsi"/>
          <w:bCs/>
          <w:noProof/>
          <w:color w:val="9A0000"/>
          <w:kern w:val="24"/>
          <w:sz w:val="24"/>
          <w:szCs w:val="24"/>
          <w:lang w:eastAsia="en-US" w:bidi="ar-SA"/>
        </w:rPr>
      </w:pPr>
      <w:r w:rsidRPr="008161D0">
        <w:rPr>
          <w:rStyle w:val="Bodytext2"/>
          <w:rFonts w:asciiTheme="majorHAnsi" w:hAnsiTheme="majorHAnsi" w:cstheme="majorHAnsi"/>
          <w:noProof/>
          <w:sz w:val="24"/>
          <w:szCs w:val="24"/>
        </w:rPr>
        <w:t xml:space="preserve">lipsa </w:t>
      </w:r>
      <w:r w:rsidR="008C7E89" w:rsidRPr="008161D0">
        <w:rPr>
          <w:rStyle w:val="Bodytext2"/>
          <w:rFonts w:asciiTheme="majorHAnsi" w:hAnsiTheme="majorHAnsi" w:cstheme="majorHAnsi"/>
          <w:noProof/>
          <w:sz w:val="24"/>
          <w:szCs w:val="24"/>
        </w:rPr>
        <w:t>reglementări</w:t>
      </w:r>
      <w:r w:rsidRPr="008161D0">
        <w:rPr>
          <w:rStyle w:val="Bodytext2"/>
          <w:rFonts w:asciiTheme="majorHAnsi" w:hAnsiTheme="majorHAnsi" w:cstheme="majorHAnsi"/>
          <w:noProof/>
          <w:sz w:val="24"/>
          <w:szCs w:val="24"/>
        </w:rPr>
        <w:t>lor</w:t>
      </w:r>
      <w:r w:rsidR="008C7E89" w:rsidRPr="008161D0">
        <w:rPr>
          <w:rStyle w:val="Bodytext2"/>
          <w:rFonts w:asciiTheme="majorHAnsi" w:hAnsiTheme="majorHAnsi" w:cstheme="majorHAnsi"/>
          <w:noProof/>
          <w:sz w:val="24"/>
          <w:szCs w:val="24"/>
        </w:rPr>
        <w:t xml:space="preserve"> aferent</w:t>
      </w:r>
      <w:r w:rsidR="00B77DCB" w:rsidRPr="008161D0">
        <w:rPr>
          <w:rStyle w:val="Bodytext2"/>
          <w:rFonts w:asciiTheme="majorHAnsi" w:hAnsiTheme="majorHAnsi" w:cstheme="majorHAnsi"/>
          <w:noProof/>
          <w:sz w:val="24"/>
          <w:szCs w:val="24"/>
        </w:rPr>
        <w:t>e</w:t>
      </w:r>
      <w:r w:rsidR="008C7E89" w:rsidRPr="008161D0">
        <w:rPr>
          <w:rStyle w:val="Bodytext2"/>
          <w:rFonts w:asciiTheme="majorHAnsi" w:hAnsiTheme="majorHAnsi" w:cstheme="majorHAnsi"/>
          <w:noProof/>
          <w:sz w:val="24"/>
          <w:szCs w:val="24"/>
        </w:rPr>
        <w:t xml:space="preserve"> procesului </w:t>
      </w:r>
      <w:r w:rsidR="00B77DCB" w:rsidRPr="008161D0">
        <w:rPr>
          <w:rStyle w:val="Bodytext2"/>
          <w:rFonts w:asciiTheme="majorHAnsi" w:hAnsiTheme="majorHAnsi" w:cstheme="majorHAnsi"/>
          <w:noProof/>
          <w:sz w:val="24"/>
          <w:szCs w:val="24"/>
        </w:rPr>
        <w:t xml:space="preserve">de </w:t>
      </w:r>
      <w:r w:rsidR="008C7E89" w:rsidRPr="008161D0">
        <w:rPr>
          <w:rStyle w:val="Bodytext2"/>
          <w:rFonts w:asciiTheme="majorHAnsi" w:hAnsiTheme="majorHAnsi" w:cstheme="majorHAnsi"/>
          <w:noProof/>
          <w:sz w:val="24"/>
          <w:szCs w:val="24"/>
        </w:rPr>
        <w:t>lich</w:t>
      </w:r>
      <w:r w:rsidR="00053E70" w:rsidRPr="008161D0">
        <w:rPr>
          <w:rStyle w:val="Bodytext2"/>
          <w:rFonts w:asciiTheme="majorHAnsi" w:hAnsiTheme="majorHAnsi" w:cstheme="majorHAnsi"/>
          <w:noProof/>
          <w:sz w:val="24"/>
          <w:szCs w:val="24"/>
        </w:rPr>
        <w:t>i</w:t>
      </w:r>
      <w:r w:rsidR="008C7E89" w:rsidRPr="008161D0">
        <w:rPr>
          <w:rStyle w:val="Bodytext2"/>
          <w:rFonts w:asciiTheme="majorHAnsi" w:hAnsiTheme="majorHAnsi" w:cstheme="majorHAnsi"/>
          <w:noProof/>
          <w:sz w:val="24"/>
          <w:szCs w:val="24"/>
        </w:rPr>
        <w:t>dare a</w:t>
      </w:r>
      <w:r w:rsidR="009F7587" w:rsidRPr="008161D0">
        <w:rPr>
          <w:rStyle w:val="Bodytext2"/>
          <w:rFonts w:asciiTheme="majorHAnsi" w:hAnsiTheme="majorHAnsi" w:cstheme="majorHAnsi"/>
          <w:noProof/>
          <w:sz w:val="24"/>
          <w:szCs w:val="24"/>
        </w:rPr>
        <w:t xml:space="preserve"> vaccinurilor anti-COVID-19</w:t>
      </w:r>
      <w:r w:rsidR="008C7E89" w:rsidRPr="008161D0">
        <w:rPr>
          <w:rStyle w:val="Bodytext2"/>
          <w:rFonts w:asciiTheme="majorHAnsi" w:hAnsiTheme="majorHAnsi" w:cstheme="majorHAnsi"/>
          <w:noProof/>
          <w:sz w:val="24"/>
          <w:szCs w:val="24"/>
        </w:rPr>
        <w:t xml:space="preserve"> în situațiile</w:t>
      </w:r>
      <w:r w:rsidR="009F7587" w:rsidRPr="008161D0">
        <w:rPr>
          <w:rStyle w:val="Bodytext2"/>
          <w:rFonts w:asciiTheme="majorHAnsi" w:hAnsiTheme="majorHAnsi" w:cstheme="majorHAnsi"/>
          <w:noProof/>
          <w:sz w:val="24"/>
          <w:szCs w:val="24"/>
        </w:rPr>
        <w:t xml:space="preserve"> </w:t>
      </w:r>
      <w:r w:rsidR="00785AB4" w:rsidRPr="008161D0">
        <w:rPr>
          <w:rStyle w:val="Bodytext2"/>
          <w:rFonts w:asciiTheme="majorHAnsi" w:hAnsiTheme="majorHAnsi" w:cstheme="majorHAnsi"/>
          <w:noProof/>
          <w:sz w:val="24"/>
          <w:szCs w:val="24"/>
        </w:rPr>
        <w:t xml:space="preserve">de </w:t>
      </w:r>
      <w:r w:rsidR="009F7587" w:rsidRPr="008161D0">
        <w:rPr>
          <w:rStyle w:val="Bodytext2"/>
          <w:rFonts w:asciiTheme="majorHAnsi" w:hAnsiTheme="majorHAnsi" w:cstheme="majorHAnsi"/>
          <w:noProof/>
          <w:sz w:val="24"/>
          <w:szCs w:val="24"/>
        </w:rPr>
        <w:t>deterior</w:t>
      </w:r>
      <w:r w:rsidR="00785AB4" w:rsidRPr="008161D0">
        <w:rPr>
          <w:rStyle w:val="Bodytext2"/>
          <w:rFonts w:asciiTheme="majorHAnsi" w:hAnsiTheme="majorHAnsi" w:cstheme="majorHAnsi"/>
          <w:noProof/>
          <w:sz w:val="24"/>
          <w:szCs w:val="24"/>
        </w:rPr>
        <w:t>are</w:t>
      </w:r>
      <w:r w:rsidR="009F7587" w:rsidRPr="008161D0">
        <w:rPr>
          <w:rStyle w:val="Bodytext2"/>
          <w:rFonts w:asciiTheme="majorHAnsi" w:hAnsiTheme="majorHAnsi" w:cstheme="majorHAnsi"/>
          <w:noProof/>
          <w:sz w:val="24"/>
          <w:szCs w:val="24"/>
        </w:rPr>
        <w:t xml:space="preserve"> și/sau </w:t>
      </w:r>
      <w:r w:rsidR="00785AB4" w:rsidRPr="008161D0">
        <w:rPr>
          <w:rStyle w:val="Bodytext2"/>
          <w:rFonts w:asciiTheme="majorHAnsi" w:hAnsiTheme="majorHAnsi" w:cstheme="majorHAnsi"/>
          <w:noProof/>
          <w:sz w:val="24"/>
          <w:szCs w:val="24"/>
        </w:rPr>
        <w:t xml:space="preserve">de </w:t>
      </w:r>
      <w:r w:rsidR="009F7587" w:rsidRPr="008161D0">
        <w:rPr>
          <w:rStyle w:val="Bodytext2"/>
          <w:rFonts w:asciiTheme="majorHAnsi" w:hAnsiTheme="majorHAnsi" w:cstheme="majorHAnsi"/>
          <w:noProof/>
          <w:sz w:val="24"/>
          <w:szCs w:val="24"/>
        </w:rPr>
        <w:t>expir</w:t>
      </w:r>
      <w:r w:rsidR="00785AB4" w:rsidRPr="008161D0">
        <w:rPr>
          <w:rStyle w:val="Bodytext2"/>
          <w:rFonts w:asciiTheme="majorHAnsi" w:hAnsiTheme="majorHAnsi" w:cstheme="majorHAnsi"/>
          <w:noProof/>
          <w:sz w:val="24"/>
          <w:szCs w:val="24"/>
        </w:rPr>
        <w:t>are a</w:t>
      </w:r>
      <w:r w:rsidR="008C7E89" w:rsidRPr="008161D0">
        <w:rPr>
          <w:rStyle w:val="Bodytext2"/>
          <w:rFonts w:asciiTheme="majorHAnsi" w:hAnsiTheme="majorHAnsi" w:cstheme="majorHAnsi"/>
          <w:noProof/>
          <w:sz w:val="24"/>
          <w:szCs w:val="24"/>
        </w:rPr>
        <w:t xml:space="preserve"> termen</w:t>
      </w:r>
      <w:r w:rsidR="00785AB4" w:rsidRPr="008161D0">
        <w:rPr>
          <w:rStyle w:val="Bodytext2"/>
          <w:rFonts w:asciiTheme="majorHAnsi" w:hAnsiTheme="majorHAnsi" w:cstheme="majorHAnsi"/>
          <w:noProof/>
          <w:sz w:val="24"/>
          <w:szCs w:val="24"/>
        </w:rPr>
        <w:t>ului</w:t>
      </w:r>
      <w:r w:rsidR="008C7E89" w:rsidRPr="008161D0">
        <w:rPr>
          <w:rStyle w:val="Bodytext2"/>
          <w:rFonts w:asciiTheme="majorHAnsi" w:hAnsiTheme="majorHAnsi" w:cstheme="majorHAnsi"/>
          <w:noProof/>
          <w:sz w:val="24"/>
          <w:szCs w:val="24"/>
        </w:rPr>
        <w:t xml:space="preserve"> de valabilitate.</w:t>
      </w:r>
    </w:p>
    <w:p w14:paraId="2A287690" w14:textId="77777777" w:rsidR="00A61E73" w:rsidRPr="008161D0" w:rsidRDefault="00A61E73" w:rsidP="000458AD">
      <w:pPr>
        <w:spacing w:after="240" w:line="276" w:lineRule="auto"/>
        <w:ind w:firstLine="567"/>
        <w:jc w:val="both"/>
        <w:rPr>
          <w:rFonts w:asciiTheme="majorHAnsi" w:eastAsia="Times New Roman" w:hAnsiTheme="majorHAnsi" w:cstheme="majorHAnsi"/>
          <w:sz w:val="24"/>
          <w:szCs w:val="24"/>
          <w:lang w:val="ro-RO"/>
        </w:rPr>
      </w:pPr>
    </w:p>
    <w:p w14:paraId="3740BC64" w14:textId="7AB14EAA" w:rsidR="00546BA6" w:rsidRDefault="006E5EF0" w:rsidP="000458AD">
      <w:pPr>
        <w:spacing w:after="240" w:line="276" w:lineRule="auto"/>
        <w:ind w:firstLine="567"/>
        <w:jc w:val="both"/>
        <w:rPr>
          <w:rFonts w:asciiTheme="majorHAnsi" w:eastAsia="Times New Roman" w:hAnsiTheme="majorHAnsi" w:cstheme="majorHAnsi"/>
          <w:sz w:val="24"/>
          <w:szCs w:val="24"/>
          <w:lang w:val="ro-RO"/>
        </w:rPr>
      </w:pPr>
      <w:r w:rsidRPr="008161D0">
        <w:rPr>
          <w:rFonts w:asciiTheme="majorHAnsi" w:eastAsia="Times New Roman" w:hAnsiTheme="majorHAnsi" w:cstheme="majorHAnsi"/>
          <w:sz w:val="24"/>
          <w:szCs w:val="24"/>
          <w:lang w:val="ro-RO"/>
        </w:rPr>
        <w:t xml:space="preserve">Reieșind din cele expuse, în temeiul art.14 alin.(2) </w:t>
      </w:r>
      <w:proofErr w:type="spellStart"/>
      <w:r w:rsidRPr="008161D0">
        <w:rPr>
          <w:rFonts w:asciiTheme="majorHAnsi" w:eastAsia="Times New Roman" w:hAnsiTheme="majorHAnsi" w:cstheme="majorHAnsi"/>
          <w:sz w:val="24"/>
          <w:szCs w:val="24"/>
          <w:lang w:val="ro-RO"/>
        </w:rPr>
        <w:t>şi</w:t>
      </w:r>
      <w:proofErr w:type="spellEnd"/>
      <w:r w:rsidRPr="008161D0">
        <w:rPr>
          <w:rFonts w:asciiTheme="majorHAnsi" w:eastAsia="Times New Roman" w:hAnsiTheme="majorHAnsi" w:cstheme="majorHAnsi"/>
          <w:sz w:val="24"/>
          <w:szCs w:val="24"/>
          <w:lang w:val="ro-RO"/>
        </w:rPr>
        <w:t xml:space="preserve"> art.15 </w:t>
      </w:r>
      <w:proofErr w:type="spellStart"/>
      <w:r w:rsidRPr="008161D0">
        <w:rPr>
          <w:rFonts w:asciiTheme="majorHAnsi" w:eastAsia="Times New Roman" w:hAnsiTheme="majorHAnsi" w:cstheme="majorHAnsi"/>
          <w:sz w:val="24"/>
          <w:szCs w:val="24"/>
          <w:lang w:val="ro-RO"/>
        </w:rPr>
        <w:t>lit.d</w:t>
      </w:r>
      <w:proofErr w:type="spellEnd"/>
      <w:r w:rsidRPr="008161D0">
        <w:rPr>
          <w:rFonts w:asciiTheme="majorHAnsi" w:eastAsia="Times New Roman" w:hAnsiTheme="majorHAnsi" w:cstheme="majorHAnsi"/>
          <w:sz w:val="24"/>
          <w:szCs w:val="24"/>
          <w:lang w:val="ro-RO"/>
        </w:rPr>
        <w:t xml:space="preserve">) din Legea nr.260 din 07.12.2017, Curtea de Conturi </w:t>
      </w:r>
    </w:p>
    <w:p w14:paraId="5CD44880" w14:textId="01230342" w:rsidR="000518BF" w:rsidRPr="008161D0" w:rsidRDefault="000518BF" w:rsidP="00D74AC0">
      <w:pPr>
        <w:spacing w:after="0" w:line="276" w:lineRule="auto"/>
        <w:ind w:right="-45"/>
        <w:jc w:val="center"/>
        <w:rPr>
          <w:rFonts w:ascii="Calibri Light" w:eastAsia="Times New Roman" w:hAnsi="Calibri Light" w:cs="Calibri Light"/>
          <w:b/>
          <w:bCs/>
          <w:sz w:val="28"/>
          <w:szCs w:val="28"/>
          <w:lang w:val="ro-RO" w:eastAsia="ru-RU"/>
        </w:rPr>
      </w:pPr>
      <w:r w:rsidRPr="008161D0">
        <w:rPr>
          <w:rFonts w:ascii="Calibri Light" w:eastAsia="Times New Roman" w:hAnsi="Calibri Light" w:cs="Calibri Light"/>
          <w:b/>
          <w:bCs/>
          <w:sz w:val="28"/>
          <w:szCs w:val="28"/>
          <w:lang w:val="ro-RO" w:eastAsia="ru-RU"/>
        </w:rPr>
        <w:t>HOTĂRĂȘTE:</w:t>
      </w:r>
    </w:p>
    <w:p w14:paraId="2361ED5D" w14:textId="77777777" w:rsidR="00D420D2" w:rsidRPr="008161D0" w:rsidRDefault="00D420D2" w:rsidP="00D74AC0">
      <w:pPr>
        <w:spacing w:after="0" w:line="276" w:lineRule="auto"/>
        <w:ind w:right="-45"/>
        <w:jc w:val="center"/>
        <w:rPr>
          <w:rFonts w:ascii="Calibri Light" w:eastAsia="Times New Roman" w:hAnsi="Calibri Light" w:cs="Calibri Light"/>
          <w:b/>
          <w:bCs/>
          <w:sz w:val="10"/>
          <w:szCs w:val="10"/>
          <w:lang w:val="ro-RO" w:eastAsia="ru-RU"/>
        </w:rPr>
      </w:pPr>
    </w:p>
    <w:p w14:paraId="223FB08F" w14:textId="275D8E6D" w:rsidR="007F1E5F" w:rsidRPr="008161D0" w:rsidRDefault="00D420D2" w:rsidP="00A20071">
      <w:pPr>
        <w:numPr>
          <w:ilvl w:val="0"/>
          <w:numId w:val="3"/>
        </w:numPr>
        <w:tabs>
          <w:tab w:val="left" w:pos="567"/>
          <w:tab w:val="left" w:pos="851"/>
        </w:tabs>
        <w:spacing w:after="0" w:line="276" w:lineRule="auto"/>
        <w:ind w:left="0" w:firstLine="567"/>
        <w:jc w:val="both"/>
        <w:rPr>
          <w:rFonts w:asciiTheme="majorHAnsi" w:eastAsia="Times New Roman" w:hAnsiTheme="majorHAnsi" w:cstheme="majorHAnsi"/>
          <w:sz w:val="24"/>
          <w:szCs w:val="24"/>
          <w:lang w:val="ro-RO" w:eastAsia="ru-RU"/>
        </w:rPr>
      </w:pPr>
      <w:r w:rsidRPr="008161D0">
        <w:rPr>
          <w:rFonts w:asciiTheme="majorHAnsi" w:eastAsia="Times New Roman" w:hAnsiTheme="majorHAnsi" w:cstheme="majorHAnsi"/>
          <w:sz w:val="24"/>
          <w:szCs w:val="24"/>
          <w:lang w:val="ro-RO" w:eastAsia="ja-JP"/>
        </w:rPr>
        <w:t xml:space="preserve">Se aprobă </w:t>
      </w:r>
      <w:r w:rsidRPr="008161D0">
        <w:rPr>
          <w:rFonts w:asciiTheme="majorHAnsi" w:eastAsia="Times New Roman" w:hAnsiTheme="majorHAnsi" w:cstheme="majorHAnsi"/>
          <w:sz w:val="24"/>
          <w:szCs w:val="24"/>
          <w:lang w:val="ro-RO" w:eastAsia="ru-RU"/>
        </w:rPr>
        <w:t xml:space="preserve">Raportul </w:t>
      </w:r>
      <w:r w:rsidR="007F1E5F" w:rsidRPr="008161D0">
        <w:rPr>
          <w:rFonts w:asciiTheme="majorHAnsi" w:eastAsia="Times New Roman" w:hAnsiTheme="majorHAnsi" w:cstheme="majorHAnsi"/>
          <w:sz w:val="24"/>
          <w:szCs w:val="24"/>
          <w:lang w:val="ro-RO" w:eastAsia="ru-RU"/>
        </w:rPr>
        <w:t>auditului performanței „</w:t>
      </w:r>
      <w:r w:rsidR="00D916C6" w:rsidRPr="008161D0">
        <w:rPr>
          <w:rFonts w:asciiTheme="majorHAnsi" w:eastAsia="Times New Roman" w:hAnsiTheme="majorHAnsi" w:cstheme="majorHAnsi"/>
          <w:sz w:val="24"/>
          <w:szCs w:val="24"/>
          <w:lang w:val="ro-RO" w:eastAsia="ru-RU"/>
        </w:rPr>
        <w:t>Autoritățile competente au întreprins suficiente măsuri în vederea asigurării cetățenilor cu vaccinuri și atingerii imunității colective pentru combaterea infecției COVID-19</w:t>
      </w:r>
      <w:r w:rsidR="007F1E5F" w:rsidRPr="008161D0">
        <w:rPr>
          <w:rFonts w:asciiTheme="majorHAnsi" w:eastAsia="Times New Roman" w:hAnsiTheme="majorHAnsi" w:cstheme="majorHAnsi"/>
          <w:sz w:val="24"/>
          <w:szCs w:val="24"/>
          <w:lang w:val="ro-RO" w:eastAsia="ru-RU"/>
        </w:rPr>
        <w:t xml:space="preserve">?”. </w:t>
      </w:r>
    </w:p>
    <w:p w14:paraId="5D0240DC" w14:textId="51EE179A" w:rsidR="00D420D2" w:rsidRPr="008161D0" w:rsidRDefault="00D420D2" w:rsidP="00D74AC0">
      <w:pPr>
        <w:numPr>
          <w:ilvl w:val="0"/>
          <w:numId w:val="3"/>
        </w:numPr>
        <w:tabs>
          <w:tab w:val="left" w:pos="567"/>
        </w:tabs>
        <w:spacing w:after="0" w:line="276" w:lineRule="auto"/>
        <w:ind w:left="0" w:firstLine="426"/>
        <w:jc w:val="both"/>
        <w:rPr>
          <w:rFonts w:asciiTheme="majorHAnsi" w:eastAsia="Times New Roman" w:hAnsiTheme="majorHAnsi" w:cstheme="majorHAnsi"/>
          <w:sz w:val="24"/>
          <w:szCs w:val="24"/>
          <w:lang w:val="ro-RO" w:eastAsia="ru-RU"/>
        </w:rPr>
      </w:pPr>
      <w:r w:rsidRPr="008161D0">
        <w:rPr>
          <w:rFonts w:asciiTheme="majorHAnsi" w:eastAsia="Times New Roman" w:hAnsiTheme="majorHAnsi" w:cstheme="majorHAnsi"/>
          <w:sz w:val="24"/>
          <w:szCs w:val="24"/>
          <w:lang w:val="ro-RO" w:eastAsia="ru-RU"/>
        </w:rPr>
        <w:t xml:space="preserve">Prezenta Hotărâre și Raportul </w:t>
      </w:r>
      <w:r w:rsidR="009D6B1D" w:rsidRPr="008161D0">
        <w:rPr>
          <w:rFonts w:asciiTheme="majorHAnsi" w:eastAsia="Times New Roman" w:hAnsiTheme="majorHAnsi" w:cstheme="majorHAnsi"/>
          <w:sz w:val="24"/>
          <w:szCs w:val="24"/>
          <w:lang w:val="ro-RO" w:eastAsia="ru-RU"/>
        </w:rPr>
        <w:t xml:space="preserve">de </w:t>
      </w:r>
      <w:r w:rsidR="00197BC0" w:rsidRPr="008161D0">
        <w:rPr>
          <w:rFonts w:asciiTheme="majorHAnsi" w:eastAsia="Times New Roman" w:hAnsiTheme="majorHAnsi" w:cstheme="majorHAnsi"/>
          <w:sz w:val="24"/>
          <w:szCs w:val="24"/>
          <w:lang w:val="ro-RO" w:eastAsia="ru-RU"/>
        </w:rPr>
        <w:t>audit</w:t>
      </w:r>
      <w:r w:rsidRPr="008161D0">
        <w:rPr>
          <w:rFonts w:asciiTheme="majorHAnsi" w:eastAsia="Times New Roman" w:hAnsiTheme="majorHAnsi" w:cstheme="majorHAnsi"/>
          <w:sz w:val="24"/>
          <w:szCs w:val="24"/>
          <w:lang w:val="ro-RO" w:eastAsia="ru-RU"/>
        </w:rPr>
        <w:t xml:space="preserve"> se remit:</w:t>
      </w:r>
    </w:p>
    <w:p w14:paraId="3A7F24DE" w14:textId="010B146A" w:rsidR="00D420D2" w:rsidRPr="008161D0" w:rsidRDefault="00D420D2" w:rsidP="00D74AC0">
      <w:pPr>
        <w:pStyle w:val="NormalWeb"/>
        <w:spacing w:line="276" w:lineRule="auto"/>
        <w:rPr>
          <w:rFonts w:asciiTheme="majorHAnsi" w:hAnsiTheme="majorHAnsi" w:cstheme="majorHAnsi"/>
          <w:bCs/>
          <w:lang w:val="ro-RO"/>
        </w:rPr>
      </w:pPr>
      <w:r w:rsidRPr="008161D0">
        <w:rPr>
          <w:rFonts w:asciiTheme="majorHAnsi" w:hAnsiTheme="majorHAnsi" w:cstheme="majorHAnsi"/>
          <w:b/>
          <w:lang w:val="ro-RO"/>
        </w:rPr>
        <w:t>2.1.</w:t>
      </w:r>
      <w:r w:rsidRPr="008161D0">
        <w:rPr>
          <w:rFonts w:asciiTheme="majorHAnsi" w:hAnsiTheme="majorHAnsi" w:cstheme="majorHAnsi"/>
          <w:lang w:val="ro-RO"/>
        </w:rPr>
        <w:t xml:space="preserve"> </w:t>
      </w:r>
      <w:r w:rsidR="00607412" w:rsidRPr="008161D0">
        <w:rPr>
          <w:rFonts w:asciiTheme="majorHAnsi" w:hAnsiTheme="majorHAnsi" w:cstheme="majorHAnsi"/>
          <w:b/>
          <w:bCs/>
          <w:lang w:val="ro-RO"/>
        </w:rPr>
        <w:t>Parlamentului Republicii Moldova,</w:t>
      </w:r>
      <w:r w:rsidR="00607412" w:rsidRPr="008161D0">
        <w:rPr>
          <w:rFonts w:asciiTheme="majorHAnsi" w:hAnsiTheme="majorHAnsi" w:cstheme="majorHAnsi"/>
          <w:bCs/>
          <w:lang w:val="ro-RO"/>
        </w:rPr>
        <w:t xml:space="preserve"> pentru informare și examinare, după caz, în cadrul Comisiei parlamentare de control al finanțelor publice;</w:t>
      </w:r>
    </w:p>
    <w:p w14:paraId="3AB63689" w14:textId="77777777" w:rsidR="00D420D2" w:rsidRPr="008161D0" w:rsidRDefault="00D420D2" w:rsidP="00D74AC0">
      <w:pPr>
        <w:pStyle w:val="NormalWeb"/>
        <w:spacing w:line="276" w:lineRule="auto"/>
        <w:rPr>
          <w:rFonts w:asciiTheme="majorHAnsi" w:hAnsiTheme="majorHAnsi" w:cstheme="majorHAnsi"/>
          <w:bCs/>
          <w:lang w:val="ro-RO"/>
        </w:rPr>
      </w:pPr>
      <w:r w:rsidRPr="008161D0">
        <w:rPr>
          <w:rFonts w:asciiTheme="majorHAnsi" w:hAnsiTheme="majorHAnsi" w:cstheme="majorHAnsi"/>
          <w:b/>
          <w:lang w:val="ro-RO"/>
        </w:rPr>
        <w:t xml:space="preserve">2.2. </w:t>
      </w:r>
      <w:r w:rsidRPr="008161D0">
        <w:rPr>
          <w:rFonts w:asciiTheme="majorHAnsi" w:hAnsiTheme="majorHAnsi" w:cstheme="majorHAnsi"/>
          <w:b/>
          <w:bCs/>
          <w:lang w:val="ro-RO"/>
        </w:rPr>
        <w:t>Președintelui Republicii Moldova</w:t>
      </w:r>
      <w:r w:rsidRPr="008161D0">
        <w:rPr>
          <w:rFonts w:asciiTheme="majorHAnsi" w:hAnsiTheme="majorHAnsi" w:cstheme="majorHAnsi"/>
          <w:bCs/>
          <w:lang w:val="ro-RO"/>
        </w:rPr>
        <w:t>, pentru informare;</w:t>
      </w:r>
    </w:p>
    <w:p w14:paraId="7B56F018" w14:textId="4743B0D1" w:rsidR="00D420D2" w:rsidRPr="008161D0" w:rsidRDefault="00D420D2" w:rsidP="00D74AC0">
      <w:pPr>
        <w:pStyle w:val="NormalWeb"/>
        <w:spacing w:line="276" w:lineRule="auto"/>
        <w:rPr>
          <w:rFonts w:asciiTheme="majorHAnsi" w:hAnsiTheme="majorHAnsi" w:cstheme="majorHAnsi"/>
          <w:bCs/>
          <w:lang w:val="ro-RO"/>
        </w:rPr>
      </w:pPr>
      <w:r w:rsidRPr="008161D0">
        <w:rPr>
          <w:rFonts w:asciiTheme="majorHAnsi" w:hAnsiTheme="majorHAnsi" w:cstheme="majorHAnsi"/>
          <w:b/>
          <w:bCs/>
          <w:lang w:val="ro-RO"/>
        </w:rPr>
        <w:t>2.3.</w:t>
      </w:r>
      <w:r w:rsidR="00607412" w:rsidRPr="008161D0">
        <w:rPr>
          <w:rFonts w:asciiTheme="majorHAnsi" w:hAnsiTheme="majorHAnsi" w:cstheme="majorHAnsi"/>
          <w:bCs/>
          <w:lang w:val="ro-RO"/>
        </w:rPr>
        <w:t xml:space="preserve"> </w:t>
      </w:r>
      <w:r w:rsidR="00607412" w:rsidRPr="008161D0">
        <w:rPr>
          <w:rFonts w:asciiTheme="majorHAnsi" w:hAnsiTheme="majorHAnsi" w:cstheme="majorHAnsi"/>
          <w:b/>
          <w:lang w:val="ro-RO"/>
        </w:rPr>
        <w:t>Guvernului Republicii Moldova,</w:t>
      </w:r>
      <w:r w:rsidR="00607412" w:rsidRPr="008161D0">
        <w:rPr>
          <w:rFonts w:asciiTheme="majorHAnsi" w:hAnsiTheme="majorHAnsi" w:cstheme="majorHAnsi"/>
          <w:lang w:val="ro-RO"/>
        </w:rPr>
        <w:t xml:space="preserve"> pentru</w:t>
      </w:r>
      <w:r w:rsidR="00607412" w:rsidRPr="008161D0">
        <w:rPr>
          <w:rFonts w:asciiTheme="majorHAnsi" w:hAnsiTheme="majorHAnsi" w:cstheme="majorHAnsi"/>
          <w:bCs/>
          <w:lang w:val="ro-RO"/>
        </w:rPr>
        <w:t xml:space="preserve"> informare și luare de atitudine în vederea monitorizării asigurării implementării recomandărilor de audit</w:t>
      </w:r>
      <w:r w:rsidR="00607412" w:rsidRPr="008161D0">
        <w:rPr>
          <w:rFonts w:asciiTheme="majorHAnsi" w:hAnsiTheme="majorHAnsi" w:cstheme="majorHAnsi"/>
          <w:lang w:val="ro-RO"/>
        </w:rPr>
        <w:t>;</w:t>
      </w:r>
    </w:p>
    <w:p w14:paraId="5145D01D" w14:textId="675A030D" w:rsidR="00D420D2" w:rsidRPr="008161D0" w:rsidRDefault="00D420D2" w:rsidP="00D74AC0">
      <w:pPr>
        <w:pStyle w:val="NormalWeb"/>
        <w:tabs>
          <w:tab w:val="left" w:pos="567"/>
        </w:tabs>
        <w:spacing w:line="276" w:lineRule="auto"/>
        <w:rPr>
          <w:rFonts w:asciiTheme="majorHAnsi" w:hAnsiTheme="majorHAnsi" w:cstheme="majorHAnsi"/>
          <w:lang w:val="ro-RO"/>
        </w:rPr>
      </w:pPr>
      <w:r w:rsidRPr="008161D0">
        <w:rPr>
          <w:rFonts w:asciiTheme="majorHAnsi" w:hAnsiTheme="majorHAnsi" w:cstheme="majorHAnsi"/>
          <w:b/>
          <w:bCs/>
          <w:lang w:val="ro-RO"/>
        </w:rPr>
        <w:t xml:space="preserve">2.4. </w:t>
      </w:r>
      <w:r w:rsidR="005F7088" w:rsidRPr="008161D0">
        <w:rPr>
          <w:rFonts w:asciiTheme="majorHAnsi" w:hAnsiTheme="majorHAnsi" w:cstheme="majorHAnsi"/>
          <w:b/>
          <w:bCs/>
          <w:lang w:val="ro-RO"/>
        </w:rPr>
        <w:t xml:space="preserve">Ministerului Sănătății, Agenției Naționale </w:t>
      </w:r>
      <w:r w:rsidR="00461CBE" w:rsidRPr="008161D0">
        <w:rPr>
          <w:rFonts w:asciiTheme="majorHAnsi" w:hAnsiTheme="majorHAnsi" w:cstheme="majorHAnsi"/>
          <w:b/>
          <w:bCs/>
          <w:lang w:val="ro-RO"/>
        </w:rPr>
        <w:t xml:space="preserve">de </w:t>
      </w:r>
      <w:r w:rsidR="005F7088" w:rsidRPr="008161D0">
        <w:rPr>
          <w:rFonts w:asciiTheme="majorHAnsi" w:hAnsiTheme="majorHAnsi" w:cstheme="majorHAnsi"/>
          <w:b/>
          <w:bCs/>
          <w:lang w:val="ro-RO"/>
        </w:rPr>
        <w:t>Sănătate Publică</w:t>
      </w:r>
      <w:r w:rsidR="00461CBE" w:rsidRPr="008161D0">
        <w:rPr>
          <w:rFonts w:asciiTheme="majorHAnsi" w:hAnsiTheme="majorHAnsi" w:cstheme="majorHAnsi"/>
          <w:b/>
          <w:bCs/>
          <w:lang w:val="ro-RO"/>
        </w:rPr>
        <w:t>,</w:t>
      </w:r>
      <w:r w:rsidR="005F7088" w:rsidRPr="008161D0">
        <w:rPr>
          <w:rFonts w:asciiTheme="majorHAnsi" w:hAnsiTheme="majorHAnsi" w:cstheme="majorHAnsi"/>
          <w:b/>
          <w:bCs/>
          <w:lang w:val="ro-RO"/>
        </w:rPr>
        <w:t xml:space="preserve"> </w:t>
      </w:r>
      <w:r w:rsidR="005F7088" w:rsidRPr="008161D0">
        <w:rPr>
          <w:rFonts w:asciiTheme="majorHAnsi" w:hAnsiTheme="majorHAnsi" w:cstheme="majorHAnsi"/>
          <w:noProof/>
          <w:lang w:val="ro-MD"/>
        </w:rPr>
        <w:t>pentru luare de atitudine și asigurarea implementării recomandărilor din Raportul de audit;</w:t>
      </w:r>
    </w:p>
    <w:p w14:paraId="42E34E11" w14:textId="13A3DE0D" w:rsidR="00930649" w:rsidRPr="008161D0" w:rsidRDefault="00930649" w:rsidP="00774025">
      <w:pPr>
        <w:pStyle w:val="NormalWeb"/>
        <w:tabs>
          <w:tab w:val="left" w:pos="567"/>
        </w:tabs>
        <w:spacing w:line="276" w:lineRule="auto"/>
        <w:rPr>
          <w:rFonts w:asciiTheme="majorHAnsi" w:hAnsiTheme="majorHAnsi" w:cstheme="majorHAnsi"/>
          <w:lang w:val="ro-RO"/>
        </w:rPr>
      </w:pPr>
      <w:r w:rsidRPr="008161D0">
        <w:rPr>
          <w:rFonts w:asciiTheme="majorHAnsi" w:hAnsiTheme="majorHAnsi" w:cstheme="majorHAnsi"/>
          <w:b/>
          <w:lang w:val="ro-RO"/>
        </w:rPr>
        <w:t xml:space="preserve">2.5. </w:t>
      </w:r>
      <w:r w:rsidR="00DB3B9B" w:rsidRPr="008161D0">
        <w:rPr>
          <w:rFonts w:asciiTheme="majorHAnsi" w:hAnsiTheme="majorHAnsi" w:cstheme="majorHAnsi"/>
          <w:b/>
          <w:lang w:val="ro-RO"/>
        </w:rPr>
        <w:t>I</w:t>
      </w:r>
      <w:r w:rsidR="00A20071" w:rsidRPr="008161D0">
        <w:rPr>
          <w:rFonts w:asciiTheme="majorHAnsi" w:hAnsiTheme="majorHAnsi" w:cstheme="majorHAnsi"/>
          <w:b/>
          <w:lang w:val="ro-RO"/>
        </w:rPr>
        <w:t>nstituțiilor medico-sanitare publice</w:t>
      </w:r>
      <w:r w:rsidR="00DB3B9B" w:rsidRPr="008161D0">
        <w:rPr>
          <w:rFonts w:asciiTheme="majorHAnsi" w:hAnsiTheme="majorHAnsi" w:cstheme="majorHAnsi"/>
          <w:b/>
          <w:lang w:val="ro-RO"/>
        </w:rPr>
        <w:t xml:space="preserve"> </w:t>
      </w:r>
      <w:r w:rsidR="00774025" w:rsidRPr="008161D0">
        <w:rPr>
          <w:rFonts w:asciiTheme="majorHAnsi" w:hAnsiTheme="majorHAnsi" w:cstheme="majorHAnsi"/>
          <w:b/>
          <w:bCs/>
          <w:color w:val="000000"/>
          <w:lang w:val="ro-RO"/>
        </w:rPr>
        <w:t xml:space="preserve">AMT Centru, AMT </w:t>
      </w:r>
      <w:proofErr w:type="spellStart"/>
      <w:r w:rsidR="00774025" w:rsidRPr="008161D0">
        <w:rPr>
          <w:rFonts w:asciiTheme="majorHAnsi" w:hAnsiTheme="majorHAnsi" w:cstheme="majorHAnsi"/>
          <w:b/>
          <w:bCs/>
          <w:color w:val="000000"/>
          <w:lang w:val="ro-RO"/>
        </w:rPr>
        <w:t>Ciocana</w:t>
      </w:r>
      <w:proofErr w:type="spellEnd"/>
      <w:r w:rsidR="00774025" w:rsidRPr="008161D0">
        <w:rPr>
          <w:rFonts w:asciiTheme="majorHAnsi" w:hAnsiTheme="majorHAnsi" w:cstheme="majorHAnsi"/>
          <w:b/>
          <w:bCs/>
          <w:color w:val="000000"/>
          <w:lang w:val="ro-RO"/>
        </w:rPr>
        <w:t>,</w:t>
      </w:r>
      <w:r w:rsidR="00774025" w:rsidRPr="008161D0">
        <w:rPr>
          <w:rFonts w:asciiTheme="majorHAnsi" w:hAnsiTheme="majorHAnsi" w:cstheme="majorHAnsi"/>
          <w:noProof/>
          <w:lang w:val="ro-MD"/>
        </w:rPr>
        <w:t xml:space="preserve"> </w:t>
      </w:r>
      <w:r w:rsidR="00774025" w:rsidRPr="008161D0">
        <w:rPr>
          <w:rFonts w:asciiTheme="majorHAnsi" w:hAnsiTheme="majorHAnsi" w:cstheme="majorHAnsi"/>
          <w:b/>
          <w:bCs/>
          <w:color w:val="000000"/>
          <w:lang w:val="ro-RO"/>
        </w:rPr>
        <w:t xml:space="preserve">AMT </w:t>
      </w:r>
      <w:proofErr w:type="spellStart"/>
      <w:r w:rsidR="00774025" w:rsidRPr="008161D0">
        <w:rPr>
          <w:rFonts w:asciiTheme="majorHAnsi" w:hAnsiTheme="majorHAnsi" w:cstheme="majorHAnsi"/>
          <w:b/>
          <w:bCs/>
          <w:color w:val="000000"/>
          <w:lang w:val="ro-RO"/>
        </w:rPr>
        <w:t>Rîșcani</w:t>
      </w:r>
      <w:proofErr w:type="spellEnd"/>
      <w:r w:rsidR="00774025" w:rsidRPr="008161D0">
        <w:rPr>
          <w:rFonts w:asciiTheme="majorHAnsi" w:hAnsiTheme="majorHAnsi" w:cstheme="majorHAnsi"/>
          <w:b/>
          <w:bCs/>
          <w:color w:val="000000"/>
          <w:lang w:val="ro-RO"/>
        </w:rPr>
        <w:t>,</w:t>
      </w:r>
      <w:r w:rsidR="00774025" w:rsidRPr="008161D0">
        <w:rPr>
          <w:rFonts w:asciiTheme="majorHAnsi" w:hAnsiTheme="majorHAnsi" w:cstheme="majorHAnsi"/>
          <w:noProof/>
          <w:lang w:val="ro-MD"/>
        </w:rPr>
        <w:t xml:space="preserve"> </w:t>
      </w:r>
      <w:r w:rsidR="00774025" w:rsidRPr="008161D0">
        <w:rPr>
          <w:rFonts w:asciiTheme="majorHAnsi" w:hAnsiTheme="majorHAnsi" w:cstheme="majorHAnsi"/>
          <w:b/>
          <w:bCs/>
          <w:color w:val="000000"/>
          <w:lang w:val="ro-RO"/>
        </w:rPr>
        <w:t>CMF B</w:t>
      </w:r>
      <w:r w:rsidR="00461CBE" w:rsidRPr="008161D0">
        <w:rPr>
          <w:rFonts w:asciiTheme="majorHAnsi" w:hAnsiTheme="majorHAnsi" w:cstheme="majorHAnsi"/>
          <w:b/>
          <w:bCs/>
          <w:color w:val="000000"/>
          <w:lang w:val="ro-RO"/>
        </w:rPr>
        <w:t>ă</w:t>
      </w:r>
      <w:r w:rsidR="00774025" w:rsidRPr="008161D0">
        <w:rPr>
          <w:rFonts w:asciiTheme="majorHAnsi" w:hAnsiTheme="majorHAnsi" w:cstheme="majorHAnsi"/>
          <w:b/>
          <w:bCs/>
          <w:color w:val="000000"/>
          <w:lang w:val="ro-RO"/>
        </w:rPr>
        <w:t>l</w:t>
      </w:r>
      <w:r w:rsidR="00461CBE" w:rsidRPr="008161D0">
        <w:rPr>
          <w:rFonts w:asciiTheme="majorHAnsi" w:hAnsiTheme="majorHAnsi" w:cstheme="majorHAnsi"/>
          <w:b/>
          <w:bCs/>
          <w:color w:val="000000"/>
          <w:lang w:val="ro-RO"/>
        </w:rPr>
        <w:t>ț</w:t>
      </w:r>
      <w:r w:rsidR="00774025" w:rsidRPr="008161D0">
        <w:rPr>
          <w:rFonts w:asciiTheme="majorHAnsi" w:hAnsiTheme="majorHAnsi" w:cstheme="majorHAnsi"/>
          <w:b/>
          <w:bCs/>
          <w:color w:val="000000"/>
          <w:lang w:val="ro-RO"/>
        </w:rPr>
        <w:t>i,</w:t>
      </w:r>
      <w:r w:rsidR="00774025" w:rsidRPr="008161D0">
        <w:rPr>
          <w:rFonts w:asciiTheme="majorHAnsi" w:hAnsiTheme="majorHAnsi" w:cstheme="majorHAnsi"/>
          <w:noProof/>
          <w:lang w:val="ro-MD"/>
        </w:rPr>
        <w:t xml:space="preserve"> </w:t>
      </w:r>
      <w:r w:rsidR="00065EF6" w:rsidRPr="008161D0">
        <w:rPr>
          <w:rFonts w:asciiTheme="majorHAnsi" w:hAnsiTheme="majorHAnsi" w:cstheme="majorHAnsi"/>
          <w:b/>
          <w:bCs/>
          <w:color w:val="000000"/>
          <w:lang w:val="ro-RO"/>
        </w:rPr>
        <w:t>CME „</w:t>
      </w:r>
      <w:proofErr w:type="spellStart"/>
      <w:r w:rsidR="00065EF6" w:rsidRPr="008161D0">
        <w:rPr>
          <w:rFonts w:asciiTheme="majorHAnsi" w:hAnsiTheme="majorHAnsi" w:cstheme="majorHAnsi"/>
          <w:b/>
          <w:bCs/>
          <w:color w:val="000000"/>
          <w:lang w:val="ro-RO"/>
        </w:rPr>
        <w:t>Sancos</w:t>
      </w:r>
      <w:proofErr w:type="spellEnd"/>
      <w:r w:rsidR="00065EF6" w:rsidRPr="008161D0">
        <w:rPr>
          <w:rFonts w:asciiTheme="majorHAnsi" w:hAnsiTheme="majorHAnsi" w:cstheme="majorHAnsi"/>
          <w:b/>
          <w:bCs/>
          <w:color w:val="000000"/>
          <w:lang w:val="ro-RO"/>
        </w:rPr>
        <w:t xml:space="preserve">”, </w:t>
      </w:r>
      <w:r w:rsidR="00774025" w:rsidRPr="008161D0">
        <w:rPr>
          <w:rFonts w:asciiTheme="majorHAnsi" w:hAnsiTheme="majorHAnsi" w:cstheme="majorHAnsi"/>
          <w:b/>
          <w:bCs/>
          <w:color w:val="000000"/>
          <w:lang w:val="ro-RO"/>
        </w:rPr>
        <w:t>CS Cahul,</w:t>
      </w:r>
      <w:r w:rsidR="00774025" w:rsidRPr="008161D0">
        <w:rPr>
          <w:rFonts w:asciiTheme="majorHAnsi" w:hAnsiTheme="majorHAnsi" w:cstheme="majorHAnsi"/>
          <w:noProof/>
          <w:lang w:val="ro-MD"/>
        </w:rPr>
        <w:t xml:space="preserve"> </w:t>
      </w:r>
      <w:r w:rsidR="00774025" w:rsidRPr="008161D0">
        <w:rPr>
          <w:rFonts w:asciiTheme="majorHAnsi" w:hAnsiTheme="majorHAnsi" w:cstheme="majorHAnsi"/>
          <w:b/>
          <w:bCs/>
          <w:color w:val="000000"/>
          <w:lang w:val="ro-RO"/>
        </w:rPr>
        <w:t>CS Ștefan</w:t>
      </w:r>
      <w:r w:rsidR="00461CBE" w:rsidRPr="008161D0">
        <w:rPr>
          <w:rFonts w:asciiTheme="majorHAnsi" w:hAnsiTheme="majorHAnsi" w:cstheme="majorHAnsi"/>
          <w:b/>
          <w:bCs/>
          <w:color w:val="000000"/>
          <w:lang w:val="ro-RO"/>
        </w:rPr>
        <w:t xml:space="preserve"> </w:t>
      </w:r>
      <w:r w:rsidR="00774025" w:rsidRPr="008161D0">
        <w:rPr>
          <w:rFonts w:asciiTheme="majorHAnsi" w:hAnsiTheme="majorHAnsi" w:cstheme="majorHAnsi"/>
          <w:b/>
          <w:bCs/>
          <w:color w:val="000000"/>
          <w:lang w:val="ro-RO"/>
        </w:rPr>
        <w:t>Vodă</w:t>
      </w:r>
      <w:r w:rsidR="00461CBE" w:rsidRPr="008161D0">
        <w:rPr>
          <w:rFonts w:asciiTheme="majorHAnsi" w:hAnsiTheme="majorHAnsi" w:cstheme="majorHAnsi"/>
          <w:b/>
          <w:bCs/>
          <w:color w:val="000000"/>
          <w:lang w:val="ro-RO"/>
        </w:rPr>
        <w:t>,</w:t>
      </w:r>
      <w:r w:rsidR="00774025" w:rsidRPr="008161D0">
        <w:rPr>
          <w:rFonts w:asciiTheme="majorHAnsi" w:hAnsiTheme="majorHAnsi" w:cstheme="majorHAnsi"/>
          <w:noProof/>
          <w:lang w:val="ro-MD"/>
        </w:rPr>
        <w:t xml:space="preserve"> </w:t>
      </w:r>
      <w:r w:rsidR="00774025" w:rsidRPr="008161D0">
        <w:rPr>
          <w:rFonts w:asciiTheme="majorHAnsi" w:hAnsiTheme="majorHAnsi" w:cstheme="majorHAnsi"/>
          <w:b/>
          <w:bCs/>
          <w:color w:val="000000"/>
          <w:lang w:val="ro-RO"/>
        </w:rPr>
        <w:t>CS Criuleni</w:t>
      </w:r>
      <w:r w:rsidR="00461CBE" w:rsidRPr="008161D0">
        <w:rPr>
          <w:rFonts w:asciiTheme="majorHAnsi" w:hAnsiTheme="majorHAnsi" w:cstheme="majorHAnsi"/>
          <w:b/>
          <w:bCs/>
          <w:color w:val="000000"/>
          <w:lang w:val="ro-RO"/>
        </w:rPr>
        <w:t>,</w:t>
      </w:r>
      <w:r w:rsidR="00774025" w:rsidRPr="008161D0">
        <w:rPr>
          <w:rFonts w:asciiTheme="majorHAnsi" w:hAnsiTheme="majorHAnsi" w:cstheme="majorHAnsi"/>
          <w:noProof/>
          <w:lang w:val="ro-MD"/>
        </w:rPr>
        <w:t xml:space="preserve"> </w:t>
      </w:r>
      <w:r w:rsidR="00774025" w:rsidRPr="008161D0">
        <w:rPr>
          <w:rFonts w:asciiTheme="majorHAnsi" w:hAnsiTheme="majorHAnsi" w:cstheme="majorHAnsi"/>
          <w:b/>
          <w:bCs/>
          <w:color w:val="000000"/>
          <w:lang w:val="ro-RO"/>
        </w:rPr>
        <w:t>CS Nisporeni</w:t>
      </w:r>
      <w:r w:rsidR="00461CBE" w:rsidRPr="008161D0">
        <w:rPr>
          <w:rFonts w:asciiTheme="majorHAnsi" w:hAnsiTheme="majorHAnsi" w:cstheme="majorHAnsi"/>
          <w:b/>
          <w:bCs/>
          <w:color w:val="000000"/>
          <w:lang w:val="ro-RO"/>
        </w:rPr>
        <w:t>,</w:t>
      </w:r>
      <w:r w:rsidR="00774025" w:rsidRPr="008161D0">
        <w:rPr>
          <w:rFonts w:asciiTheme="majorHAnsi" w:hAnsiTheme="majorHAnsi" w:cstheme="majorHAnsi"/>
          <w:noProof/>
          <w:lang w:val="ro-MD"/>
        </w:rPr>
        <w:t xml:space="preserve"> </w:t>
      </w:r>
      <w:r w:rsidR="00774025" w:rsidRPr="008161D0">
        <w:rPr>
          <w:rFonts w:asciiTheme="majorHAnsi" w:hAnsiTheme="majorHAnsi" w:cstheme="majorHAnsi"/>
          <w:b/>
          <w:bCs/>
          <w:color w:val="000000"/>
          <w:lang w:val="ro-RO"/>
        </w:rPr>
        <w:t>CS Dondușeni</w:t>
      </w:r>
      <w:r w:rsidR="00461CBE" w:rsidRPr="008161D0">
        <w:rPr>
          <w:rFonts w:asciiTheme="majorHAnsi" w:hAnsiTheme="majorHAnsi" w:cstheme="majorHAnsi"/>
          <w:b/>
          <w:bCs/>
          <w:color w:val="000000"/>
          <w:lang w:val="ro-RO"/>
        </w:rPr>
        <w:t>,</w:t>
      </w:r>
      <w:r w:rsidR="00774025" w:rsidRPr="008161D0">
        <w:rPr>
          <w:rFonts w:asciiTheme="majorHAnsi" w:hAnsiTheme="majorHAnsi" w:cstheme="majorHAnsi"/>
          <w:noProof/>
          <w:lang w:val="ro-MD"/>
        </w:rPr>
        <w:t xml:space="preserve"> </w:t>
      </w:r>
      <w:r w:rsidR="00774025" w:rsidRPr="008161D0">
        <w:rPr>
          <w:rFonts w:asciiTheme="majorHAnsi" w:hAnsiTheme="majorHAnsi" w:cstheme="majorHAnsi"/>
          <w:b/>
          <w:bCs/>
          <w:color w:val="000000"/>
          <w:lang w:val="ro-RO"/>
        </w:rPr>
        <w:t>CS Ocnița</w:t>
      </w:r>
      <w:r w:rsidR="00461CBE" w:rsidRPr="008161D0">
        <w:rPr>
          <w:rFonts w:asciiTheme="majorHAnsi" w:hAnsiTheme="majorHAnsi" w:cstheme="majorHAnsi"/>
          <w:b/>
          <w:bCs/>
          <w:color w:val="000000"/>
          <w:lang w:val="ro-RO"/>
        </w:rPr>
        <w:t>,</w:t>
      </w:r>
      <w:r w:rsidR="00774025" w:rsidRPr="008161D0">
        <w:rPr>
          <w:rFonts w:asciiTheme="majorHAnsi" w:hAnsiTheme="majorHAnsi" w:cstheme="majorHAnsi"/>
          <w:noProof/>
          <w:lang w:val="ro-MD"/>
        </w:rPr>
        <w:t xml:space="preserve"> </w:t>
      </w:r>
      <w:r w:rsidR="00774025" w:rsidRPr="008161D0">
        <w:rPr>
          <w:rFonts w:asciiTheme="majorHAnsi" w:hAnsiTheme="majorHAnsi" w:cstheme="majorHAnsi"/>
          <w:b/>
          <w:bCs/>
          <w:color w:val="000000"/>
          <w:lang w:val="ro-RO"/>
        </w:rPr>
        <w:t>CS B</w:t>
      </w:r>
      <w:r w:rsidR="00461CBE" w:rsidRPr="008161D0">
        <w:rPr>
          <w:rFonts w:asciiTheme="majorHAnsi" w:hAnsiTheme="majorHAnsi" w:cstheme="majorHAnsi"/>
          <w:b/>
          <w:bCs/>
          <w:color w:val="000000"/>
          <w:lang w:val="ro-RO"/>
        </w:rPr>
        <w:t>ă</w:t>
      </w:r>
      <w:r w:rsidR="00774025" w:rsidRPr="008161D0">
        <w:rPr>
          <w:rFonts w:asciiTheme="majorHAnsi" w:hAnsiTheme="majorHAnsi" w:cstheme="majorHAnsi"/>
          <w:b/>
          <w:bCs/>
          <w:color w:val="000000"/>
          <w:lang w:val="ro-RO"/>
        </w:rPr>
        <w:t>cioi</w:t>
      </w:r>
      <w:r w:rsidR="00774025" w:rsidRPr="008161D0">
        <w:rPr>
          <w:rFonts w:asciiTheme="majorHAnsi" w:hAnsiTheme="majorHAnsi" w:cstheme="majorHAnsi"/>
          <w:noProof/>
          <w:lang w:val="ro-MD"/>
        </w:rPr>
        <w:t xml:space="preserve"> </w:t>
      </w:r>
      <w:r w:rsidR="00461CBE" w:rsidRPr="008161D0">
        <w:rPr>
          <w:rFonts w:asciiTheme="majorHAnsi" w:hAnsiTheme="majorHAnsi" w:cstheme="majorHAnsi"/>
          <w:noProof/>
          <w:lang w:val="ro-MD"/>
        </w:rPr>
        <w:t xml:space="preserve">și </w:t>
      </w:r>
      <w:r w:rsidR="00774025" w:rsidRPr="008161D0">
        <w:rPr>
          <w:rFonts w:asciiTheme="majorHAnsi" w:hAnsiTheme="majorHAnsi" w:cstheme="majorHAnsi"/>
          <w:b/>
          <w:bCs/>
          <w:color w:val="000000"/>
          <w:lang w:val="ro-RO"/>
        </w:rPr>
        <w:t xml:space="preserve">CS </w:t>
      </w:r>
      <w:proofErr w:type="spellStart"/>
      <w:r w:rsidR="00774025" w:rsidRPr="008161D0">
        <w:rPr>
          <w:rFonts w:asciiTheme="majorHAnsi" w:hAnsiTheme="majorHAnsi" w:cstheme="majorHAnsi"/>
          <w:b/>
          <w:bCs/>
          <w:color w:val="000000"/>
          <w:lang w:val="ro-RO"/>
        </w:rPr>
        <w:t>Talmaza</w:t>
      </w:r>
      <w:proofErr w:type="spellEnd"/>
      <w:r w:rsidR="00461CBE" w:rsidRPr="008161D0">
        <w:rPr>
          <w:rFonts w:asciiTheme="majorHAnsi" w:hAnsiTheme="majorHAnsi" w:cstheme="majorHAnsi"/>
          <w:b/>
          <w:bCs/>
          <w:color w:val="000000"/>
          <w:lang w:val="ro-RO"/>
        </w:rPr>
        <w:t>,</w:t>
      </w:r>
      <w:r w:rsidR="00774025" w:rsidRPr="008161D0">
        <w:rPr>
          <w:rFonts w:asciiTheme="majorHAnsi" w:hAnsiTheme="majorHAnsi" w:cstheme="majorHAnsi"/>
          <w:noProof/>
          <w:lang w:val="ro-MD"/>
        </w:rPr>
        <w:t xml:space="preserve"> </w:t>
      </w:r>
      <w:r w:rsidR="005B33AE" w:rsidRPr="008161D0">
        <w:rPr>
          <w:rFonts w:asciiTheme="majorHAnsi" w:hAnsiTheme="majorHAnsi" w:cstheme="majorHAnsi"/>
          <w:lang w:val="ro-MD"/>
        </w:rPr>
        <w:t xml:space="preserve">pentru documentare cu privire la rezultatele auditului public extern, </w:t>
      </w:r>
      <w:r w:rsidR="005F7088" w:rsidRPr="008161D0">
        <w:rPr>
          <w:rFonts w:asciiTheme="majorHAnsi" w:hAnsiTheme="majorHAnsi" w:cstheme="majorHAnsi"/>
          <w:noProof/>
          <w:lang w:val="ro-MD"/>
        </w:rPr>
        <w:t>luare de atitudine și asigurarea implementării recomandărilor din Raportul de audit</w:t>
      </w:r>
      <w:r w:rsidR="00461CBE" w:rsidRPr="008161D0">
        <w:rPr>
          <w:rFonts w:asciiTheme="majorHAnsi" w:hAnsiTheme="majorHAnsi" w:cstheme="majorHAnsi"/>
          <w:lang w:val="ro-RO"/>
        </w:rPr>
        <w:t>;</w:t>
      </w:r>
    </w:p>
    <w:p w14:paraId="09B6DF85" w14:textId="5640E62F" w:rsidR="001D0DB4" w:rsidRDefault="00461CBE" w:rsidP="00A20071">
      <w:pPr>
        <w:pStyle w:val="NormalWeb"/>
        <w:tabs>
          <w:tab w:val="left" w:pos="567"/>
        </w:tabs>
        <w:spacing w:line="276" w:lineRule="auto"/>
        <w:ind w:firstLine="426"/>
        <w:rPr>
          <w:rFonts w:asciiTheme="majorHAnsi" w:hAnsiTheme="majorHAnsi" w:cstheme="majorHAnsi"/>
          <w:lang w:val="ro-RO"/>
        </w:rPr>
      </w:pPr>
      <w:r w:rsidRPr="008161D0">
        <w:rPr>
          <w:rFonts w:asciiTheme="majorHAnsi" w:hAnsiTheme="majorHAnsi" w:cstheme="majorHAnsi"/>
          <w:b/>
          <w:lang w:val="ro-RO"/>
        </w:rPr>
        <w:t>2.6</w:t>
      </w:r>
      <w:r w:rsidR="001D0DB4" w:rsidRPr="008161D0">
        <w:rPr>
          <w:rFonts w:asciiTheme="majorHAnsi" w:hAnsiTheme="majorHAnsi" w:cstheme="majorHAnsi"/>
          <w:b/>
          <w:lang w:val="ro-RO"/>
        </w:rPr>
        <w:t xml:space="preserve">. </w:t>
      </w:r>
      <w:r w:rsidR="00D51C37" w:rsidRPr="008161D0">
        <w:rPr>
          <w:rFonts w:asciiTheme="majorHAnsi" w:hAnsiTheme="majorHAnsi" w:cstheme="majorHAnsi"/>
          <w:b/>
          <w:lang w:val="ro-RO"/>
        </w:rPr>
        <w:t xml:space="preserve">Procuraturii Generale, </w:t>
      </w:r>
      <w:r w:rsidR="00D51C37" w:rsidRPr="008161D0">
        <w:rPr>
          <w:rFonts w:asciiTheme="majorHAnsi" w:hAnsiTheme="majorHAnsi" w:cstheme="majorHAnsi"/>
          <w:lang w:val="ro-RO"/>
        </w:rPr>
        <w:t xml:space="preserve">pentru </w:t>
      </w:r>
      <w:r w:rsidR="00010DB2" w:rsidRPr="008161D0">
        <w:rPr>
          <w:rFonts w:asciiTheme="majorHAnsi" w:hAnsiTheme="majorHAnsi" w:cstheme="majorHAnsi"/>
          <w:lang w:val="ro-RO"/>
        </w:rPr>
        <w:t xml:space="preserve">examinare în vederea </w:t>
      </w:r>
      <w:r w:rsidR="00D51C37" w:rsidRPr="008161D0">
        <w:rPr>
          <w:rFonts w:asciiTheme="majorHAnsi" w:hAnsiTheme="majorHAnsi" w:cstheme="majorHAnsi"/>
          <w:lang w:val="ro-RO"/>
        </w:rPr>
        <w:t>întreprinder</w:t>
      </w:r>
      <w:r w:rsidR="00010DB2" w:rsidRPr="008161D0">
        <w:rPr>
          <w:rFonts w:asciiTheme="majorHAnsi" w:hAnsiTheme="majorHAnsi" w:cstheme="majorHAnsi"/>
          <w:lang w:val="ro-RO"/>
        </w:rPr>
        <w:t>ii</w:t>
      </w:r>
      <w:r w:rsidR="00D51C37" w:rsidRPr="008161D0">
        <w:rPr>
          <w:rFonts w:asciiTheme="majorHAnsi" w:hAnsiTheme="majorHAnsi" w:cstheme="majorHAnsi"/>
          <w:lang w:val="ro-RO"/>
        </w:rPr>
        <w:t xml:space="preserve"> măsurilor ce se impun </w:t>
      </w:r>
      <w:r w:rsidR="00010DB2" w:rsidRPr="008161D0">
        <w:rPr>
          <w:rFonts w:asciiTheme="majorHAnsi" w:hAnsiTheme="majorHAnsi" w:cstheme="majorHAnsi"/>
          <w:lang w:val="ro-RO"/>
        </w:rPr>
        <w:t>referitor la situațiile</w:t>
      </w:r>
      <w:r w:rsidR="00D51C37" w:rsidRPr="008161D0">
        <w:rPr>
          <w:rFonts w:asciiTheme="majorHAnsi" w:hAnsiTheme="majorHAnsi" w:cstheme="majorHAnsi"/>
          <w:lang w:val="ro-RO"/>
        </w:rPr>
        <w:t xml:space="preserve"> expuse în </w:t>
      </w:r>
      <w:r w:rsidR="00010DB2" w:rsidRPr="008161D0">
        <w:rPr>
          <w:rFonts w:asciiTheme="majorHAnsi" w:hAnsiTheme="majorHAnsi" w:cstheme="majorHAnsi"/>
          <w:lang w:val="ro-RO"/>
        </w:rPr>
        <w:t>Raportul de audit</w:t>
      </w:r>
      <w:r w:rsidR="00FE28F2" w:rsidRPr="008161D0">
        <w:rPr>
          <w:rFonts w:asciiTheme="majorHAnsi" w:hAnsiTheme="majorHAnsi" w:cstheme="majorHAnsi"/>
          <w:lang w:val="ro-RO"/>
        </w:rPr>
        <w:t xml:space="preserve">, în special </w:t>
      </w:r>
      <w:r w:rsidR="00BF136A" w:rsidRPr="008161D0">
        <w:rPr>
          <w:rFonts w:asciiTheme="majorHAnsi" w:hAnsiTheme="majorHAnsi" w:cstheme="majorHAnsi"/>
          <w:lang w:val="ro-RO"/>
        </w:rPr>
        <w:t xml:space="preserve">cele </w:t>
      </w:r>
      <w:r w:rsidR="00FE28F2" w:rsidRPr="008161D0">
        <w:rPr>
          <w:rFonts w:asciiTheme="majorHAnsi" w:hAnsiTheme="majorHAnsi" w:cstheme="majorHAnsi"/>
          <w:lang w:val="ro-RO"/>
        </w:rPr>
        <w:t>din</w:t>
      </w:r>
      <w:r w:rsidR="00010DB2" w:rsidRPr="008161D0">
        <w:rPr>
          <w:rFonts w:asciiTheme="majorHAnsi" w:hAnsiTheme="majorHAnsi" w:cstheme="majorHAnsi"/>
          <w:lang w:val="ro-RO"/>
        </w:rPr>
        <w:t xml:space="preserve"> </w:t>
      </w:r>
      <w:r w:rsidR="00D51C37" w:rsidRPr="008161D0">
        <w:rPr>
          <w:rFonts w:asciiTheme="majorHAnsi" w:hAnsiTheme="majorHAnsi" w:cstheme="majorHAnsi"/>
          <w:lang w:val="ro-RO"/>
        </w:rPr>
        <w:t xml:space="preserve">pct. </w:t>
      </w:r>
      <w:r w:rsidR="00236023" w:rsidRPr="008161D0">
        <w:rPr>
          <w:rFonts w:asciiTheme="majorHAnsi" w:hAnsiTheme="majorHAnsi" w:cstheme="majorHAnsi"/>
          <w:lang w:val="ro-RO"/>
        </w:rPr>
        <w:t>4.1.3.</w:t>
      </w:r>
      <w:r w:rsidR="00D51C37" w:rsidRPr="008161D0">
        <w:rPr>
          <w:rFonts w:asciiTheme="majorHAnsi" w:hAnsiTheme="majorHAnsi" w:cstheme="majorHAnsi"/>
          <w:lang w:val="ro-RO"/>
        </w:rPr>
        <w:t xml:space="preserve"> și pct. </w:t>
      </w:r>
      <w:r w:rsidR="00236023" w:rsidRPr="008161D0">
        <w:rPr>
          <w:rFonts w:asciiTheme="majorHAnsi" w:hAnsiTheme="majorHAnsi" w:cstheme="majorHAnsi"/>
          <w:lang w:val="ro-RO"/>
        </w:rPr>
        <w:t>4.1.4.</w:t>
      </w:r>
    </w:p>
    <w:p w14:paraId="12CB758A" w14:textId="77777777" w:rsidR="00E95D50" w:rsidRPr="008161D0" w:rsidRDefault="00E95D50" w:rsidP="00A20071">
      <w:pPr>
        <w:pStyle w:val="NormalWeb"/>
        <w:tabs>
          <w:tab w:val="left" w:pos="567"/>
        </w:tabs>
        <w:spacing w:line="276" w:lineRule="auto"/>
        <w:ind w:firstLine="426"/>
        <w:rPr>
          <w:rFonts w:asciiTheme="majorHAnsi" w:hAnsiTheme="majorHAnsi" w:cstheme="majorHAnsi"/>
          <w:b/>
          <w:noProof/>
          <w:lang w:val="ro-MD"/>
        </w:rPr>
      </w:pPr>
    </w:p>
    <w:p w14:paraId="09741F8C" w14:textId="6C348241" w:rsidR="00D420D2" w:rsidRPr="008161D0" w:rsidRDefault="00461CBE" w:rsidP="00D74AC0">
      <w:pPr>
        <w:pStyle w:val="NormalWeb"/>
        <w:spacing w:line="276" w:lineRule="auto"/>
        <w:ind w:firstLine="426"/>
        <w:rPr>
          <w:rFonts w:asciiTheme="majorHAnsi" w:hAnsiTheme="majorHAnsi" w:cstheme="majorHAnsi"/>
          <w:lang w:val="ro-RO"/>
        </w:rPr>
      </w:pPr>
      <w:r w:rsidRPr="008161D0">
        <w:rPr>
          <w:rFonts w:asciiTheme="majorHAnsi" w:hAnsiTheme="majorHAnsi" w:cstheme="majorHAnsi"/>
          <w:b/>
          <w:bCs/>
          <w:lang w:val="ro-RO"/>
        </w:rPr>
        <w:t>3</w:t>
      </w:r>
      <w:r w:rsidR="00711372" w:rsidRPr="008161D0">
        <w:rPr>
          <w:rFonts w:asciiTheme="majorHAnsi" w:hAnsiTheme="majorHAnsi" w:cstheme="majorHAnsi"/>
          <w:b/>
          <w:bCs/>
          <w:lang w:val="ro-RO"/>
        </w:rPr>
        <w:t xml:space="preserve">. </w:t>
      </w:r>
      <w:r w:rsidR="00D420D2" w:rsidRPr="008161D0">
        <w:rPr>
          <w:rFonts w:asciiTheme="majorHAnsi" w:hAnsiTheme="majorHAnsi" w:cstheme="majorHAnsi"/>
          <w:lang w:val="ro-RO"/>
        </w:rPr>
        <w:t xml:space="preserve">Prezenta Hotărâre intră în vigoare din data publicării în Monitorul Oficial al Republicii Moldova și poate fi contestată cu o cerere prealabilă la autoritatea emitentă în termen de 30 de zile de la data publicării. În ordine de contencios administrativ, Hotărârea poate fi contestată la </w:t>
      </w:r>
      <w:r w:rsidR="00D420D2" w:rsidRPr="008161D0">
        <w:rPr>
          <w:rFonts w:asciiTheme="majorHAnsi" w:hAnsiTheme="majorHAnsi" w:cstheme="majorHAnsi"/>
          <w:lang w:val="ro-RO"/>
        </w:rPr>
        <w:lastRenderedPageBreak/>
        <w:t>Judecătoria Chișinău, sediul Râșcani (MD-2068, mun. Chișinău, str. Kiev nr.3), în termen de 30 de zile din data comunicării răspunsului cu privire la cererea prealabilă sau din data expirării termenului prevăzut pentru soluționarea acesteia.</w:t>
      </w:r>
    </w:p>
    <w:p w14:paraId="7D5CF968" w14:textId="0F0AFA7F" w:rsidR="00D916C6" w:rsidRPr="008161D0" w:rsidRDefault="00461CBE" w:rsidP="00D74AC0">
      <w:pPr>
        <w:tabs>
          <w:tab w:val="left" w:pos="0"/>
        </w:tabs>
        <w:spacing w:after="0" w:line="276" w:lineRule="auto"/>
        <w:ind w:firstLine="426"/>
        <w:contextualSpacing/>
        <w:jc w:val="both"/>
        <w:rPr>
          <w:rFonts w:asciiTheme="majorHAnsi" w:eastAsia="Calibri" w:hAnsiTheme="majorHAnsi" w:cstheme="majorHAnsi"/>
          <w:sz w:val="24"/>
          <w:szCs w:val="24"/>
          <w:lang w:val="ro-RO" w:eastAsia="x-none"/>
        </w:rPr>
      </w:pPr>
      <w:r w:rsidRPr="008161D0">
        <w:rPr>
          <w:rFonts w:asciiTheme="majorHAnsi" w:hAnsiTheme="majorHAnsi" w:cstheme="majorHAnsi"/>
          <w:b/>
          <w:sz w:val="24"/>
          <w:szCs w:val="24"/>
          <w:lang w:val="ro-RO"/>
        </w:rPr>
        <w:t>4</w:t>
      </w:r>
      <w:r w:rsidR="00D420D2" w:rsidRPr="008161D0">
        <w:rPr>
          <w:rFonts w:asciiTheme="majorHAnsi" w:hAnsiTheme="majorHAnsi" w:cstheme="majorHAnsi"/>
          <w:b/>
          <w:sz w:val="24"/>
          <w:szCs w:val="24"/>
          <w:lang w:val="ro-RO"/>
        </w:rPr>
        <w:t>.</w:t>
      </w:r>
      <w:r w:rsidR="00D420D2" w:rsidRPr="008161D0">
        <w:rPr>
          <w:rFonts w:asciiTheme="majorHAnsi" w:hAnsiTheme="majorHAnsi" w:cstheme="majorHAnsi"/>
          <w:sz w:val="24"/>
          <w:szCs w:val="24"/>
          <w:lang w:val="ro-RO"/>
        </w:rPr>
        <w:t xml:space="preserve">  </w:t>
      </w:r>
      <w:r w:rsidR="00D420D2" w:rsidRPr="008161D0">
        <w:rPr>
          <w:rFonts w:asciiTheme="majorHAnsi" w:eastAsia="Calibri" w:hAnsiTheme="majorHAnsi" w:cstheme="majorHAnsi"/>
          <w:sz w:val="24"/>
          <w:szCs w:val="24"/>
          <w:lang w:val="ro-RO" w:eastAsia="x-none"/>
        </w:rPr>
        <w:t xml:space="preserve">Curtea de Conturi </w:t>
      </w:r>
      <w:r w:rsidR="00711372" w:rsidRPr="008161D0">
        <w:rPr>
          <w:rFonts w:asciiTheme="majorHAnsi" w:eastAsia="Calibri" w:hAnsiTheme="majorHAnsi" w:cstheme="majorHAnsi"/>
          <w:sz w:val="24"/>
          <w:szCs w:val="24"/>
          <w:lang w:val="ro-RO" w:eastAsia="x-none"/>
        </w:rPr>
        <w:t>va fi informată în termen de 18</w:t>
      </w:r>
      <w:r w:rsidR="00D420D2" w:rsidRPr="008161D0">
        <w:rPr>
          <w:rFonts w:asciiTheme="majorHAnsi" w:eastAsia="Calibri" w:hAnsiTheme="majorHAnsi" w:cstheme="majorHAnsi"/>
          <w:sz w:val="24"/>
          <w:szCs w:val="24"/>
          <w:lang w:val="ro-RO" w:eastAsia="x-none"/>
        </w:rPr>
        <w:t xml:space="preserve"> luni din data publicării Hotărârii în Monitorul Oficial al Republicii Moldova, cu raportarea trimestrială despre măsurile întreprinse pentru executarea subpunct</w:t>
      </w:r>
      <w:r w:rsidR="00086514" w:rsidRPr="008161D0">
        <w:rPr>
          <w:rFonts w:asciiTheme="majorHAnsi" w:eastAsia="Calibri" w:hAnsiTheme="majorHAnsi" w:cstheme="majorHAnsi"/>
          <w:sz w:val="24"/>
          <w:szCs w:val="24"/>
          <w:lang w:val="ro-RO" w:eastAsia="x-none"/>
        </w:rPr>
        <w:t>elor</w:t>
      </w:r>
      <w:r w:rsidR="00D420D2" w:rsidRPr="008161D0">
        <w:rPr>
          <w:rFonts w:asciiTheme="majorHAnsi" w:eastAsia="Calibri" w:hAnsiTheme="majorHAnsi" w:cstheme="majorHAnsi"/>
          <w:sz w:val="24"/>
          <w:szCs w:val="24"/>
          <w:lang w:val="ro-RO" w:eastAsia="x-none"/>
        </w:rPr>
        <w:t xml:space="preserve"> 2.4.</w:t>
      </w:r>
      <w:r w:rsidR="00711372" w:rsidRPr="008161D0">
        <w:rPr>
          <w:rFonts w:asciiTheme="majorHAnsi" w:eastAsia="Calibri" w:hAnsiTheme="majorHAnsi" w:cstheme="majorHAnsi"/>
          <w:sz w:val="24"/>
          <w:szCs w:val="24"/>
          <w:lang w:val="ro-RO" w:eastAsia="x-none"/>
        </w:rPr>
        <w:t xml:space="preserve"> – </w:t>
      </w:r>
      <w:r w:rsidR="00DD299C" w:rsidRPr="008161D0">
        <w:rPr>
          <w:rFonts w:asciiTheme="majorHAnsi" w:eastAsia="Calibri" w:hAnsiTheme="majorHAnsi" w:cstheme="majorHAnsi"/>
          <w:sz w:val="24"/>
          <w:szCs w:val="24"/>
          <w:lang w:val="ro-RO" w:eastAsia="x-none"/>
        </w:rPr>
        <w:t>2.5</w:t>
      </w:r>
      <w:r w:rsidR="00711372" w:rsidRPr="008161D0">
        <w:rPr>
          <w:rFonts w:asciiTheme="majorHAnsi" w:eastAsia="Calibri" w:hAnsiTheme="majorHAnsi" w:cstheme="majorHAnsi"/>
          <w:sz w:val="24"/>
          <w:szCs w:val="24"/>
          <w:lang w:val="ro-RO" w:eastAsia="x-none"/>
        </w:rPr>
        <w:t>.</w:t>
      </w:r>
      <w:r w:rsidR="00D420D2" w:rsidRPr="008161D0">
        <w:rPr>
          <w:rFonts w:asciiTheme="majorHAnsi" w:eastAsia="Calibri" w:hAnsiTheme="majorHAnsi" w:cstheme="majorHAnsi"/>
          <w:sz w:val="24"/>
          <w:szCs w:val="24"/>
          <w:lang w:val="ro-RO" w:eastAsia="x-none"/>
        </w:rPr>
        <w:t xml:space="preserve"> din prezenta Hotărâre. </w:t>
      </w:r>
    </w:p>
    <w:p w14:paraId="41471EBD" w14:textId="168DB548" w:rsidR="00D420D2" w:rsidRPr="008161D0" w:rsidRDefault="00461CBE" w:rsidP="00812316">
      <w:pPr>
        <w:tabs>
          <w:tab w:val="left" w:pos="0"/>
        </w:tabs>
        <w:spacing w:after="0" w:line="276" w:lineRule="auto"/>
        <w:ind w:firstLine="426"/>
        <w:jc w:val="both"/>
        <w:rPr>
          <w:rFonts w:asciiTheme="majorHAnsi" w:eastAsia="Calibri" w:hAnsiTheme="majorHAnsi" w:cstheme="majorHAnsi"/>
          <w:sz w:val="24"/>
          <w:szCs w:val="24"/>
          <w:lang w:val="ro-RO" w:eastAsia="x-none"/>
        </w:rPr>
      </w:pPr>
      <w:r w:rsidRPr="008161D0">
        <w:rPr>
          <w:rFonts w:asciiTheme="majorHAnsi" w:eastAsia="Calibri" w:hAnsiTheme="majorHAnsi" w:cstheme="majorHAnsi"/>
          <w:b/>
          <w:sz w:val="24"/>
          <w:szCs w:val="24"/>
          <w:lang w:val="ro-RO" w:eastAsia="x-none"/>
        </w:rPr>
        <w:t xml:space="preserve">5. </w:t>
      </w:r>
      <w:r w:rsidR="00D420D2" w:rsidRPr="008161D0">
        <w:rPr>
          <w:rFonts w:asciiTheme="majorHAnsi" w:eastAsia="Calibri" w:hAnsiTheme="majorHAnsi" w:cstheme="majorHAnsi"/>
          <w:sz w:val="24"/>
          <w:szCs w:val="24"/>
          <w:lang w:val="ro-RO" w:eastAsia="x-none"/>
        </w:rPr>
        <w:t xml:space="preserve">Hotărârea și Raportul </w:t>
      </w:r>
      <w:r w:rsidR="004A6734" w:rsidRPr="008161D0">
        <w:rPr>
          <w:rFonts w:asciiTheme="majorHAnsi" w:eastAsia="Calibri" w:hAnsiTheme="majorHAnsi" w:cstheme="majorHAnsi"/>
          <w:sz w:val="24"/>
          <w:szCs w:val="24"/>
          <w:lang w:val="ro-RO" w:eastAsia="x-none"/>
        </w:rPr>
        <w:t>auditului performanței „</w:t>
      </w:r>
      <w:r w:rsidR="00D916C6" w:rsidRPr="008161D0">
        <w:rPr>
          <w:rFonts w:asciiTheme="majorHAnsi" w:eastAsia="Calibri" w:hAnsiTheme="majorHAnsi" w:cstheme="majorHAnsi"/>
          <w:sz w:val="24"/>
          <w:szCs w:val="24"/>
          <w:lang w:val="ro-RO" w:eastAsia="x-none"/>
        </w:rPr>
        <w:t>Autoritățile competente au întreprins suficiente măsuri în vederea asigurării cetățenilor cu vaccinuri și atingerii imunității colective pentru combaterea infecției COVID-19</w:t>
      </w:r>
      <w:r w:rsidR="004A6734" w:rsidRPr="008161D0">
        <w:rPr>
          <w:rFonts w:asciiTheme="majorHAnsi" w:eastAsia="Calibri" w:hAnsiTheme="majorHAnsi" w:cstheme="majorHAnsi"/>
          <w:sz w:val="24"/>
          <w:szCs w:val="24"/>
          <w:lang w:val="ro-RO" w:eastAsia="x-none"/>
        </w:rPr>
        <w:t>?”</w:t>
      </w:r>
      <w:r w:rsidR="008B5C54" w:rsidRPr="008161D0">
        <w:rPr>
          <w:rFonts w:asciiTheme="majorHAnsi" w:eastAsia="Calibri" w:hAnsiTheme="majorHAnsi" w:cstheme="majorHAnsi"/>
          <w:sz w:val="24"/>
          <w:szCs w:val="24"/>
          <w:lang w:val="ro-RO" w:eastAsia="x-none"/>
        </w:rPr>
        <w:t xml:space="preserve"> </w:t>
      </w:r>
      <w:r w:rsidR="00D420D2" w:rsidRPr="008161D0">
        <w:rPr>
          <w:rFonts w:asciiTheme="majorHAnsi" w:eastAsia="Calibri" w:hAnsiTheme="majorHAnsi" w:cstheme="majorHAnsi"/>
          <w:sz w:val="24"/>
          <w:szCs w:val="24"/>
          <w:lang w:val="ro-RO" w:eastAsia="x-none"/>
        </w:rPr>
        <w:t>se plasează pe site-ul oficial al Curții de Conturi (</w:t>
      </w:r>
      <w:hyperlink r:id="rId10" w:tgtFrame="_blank" w:history="1">
        <w:r w:rsidR="00CA5D1D" w:rsidRPr="008161D0">
          <w:rPr>
            <w:rFonts w:asciiTheme="majorHAnsi" w:eastAsia="Calibri" w:hAnsiTheme="majorHAnsi" w:cstheme="majorHAnsi"/>
            <w:sz w:val="24"/>
            <w:szCs w:val="24"/>
            <w:lang w:val="ro-RO" w:eastAsia="x-none"/>
          </w:rPr>
          <w:t>https://www.ccrm.md/ro/decisions</w:t>
        </w:r>
      </w:hyperlink>
      <w:r w:rsidR="00D420D2" w:rsidRPr="008161D0">
        <w:rPr>
          <w:rFonts w:asciiTheme="majorHAnsi" w:eastAsia="Calibri" w:hAnsiTheme="majorHAnsi" w:cstheme="majorHAnsi"/>
          <w:sz w:val="24"/>
          <w:szCs w:val="24"/>
          <w:lang w:val="ro-RO" w:eastAsia="x-none"/>
        </w:rPr>
        <w:t>).</w:t>
      </w:r>
    </w:p>
    <w:p w14:paraId="56EE2EC4" w14:textId="77777777" w:rsidR="0001290E" w:rsidRPr="008161D0" w:rsidRDefault="0001290E" w:rsidP="00812316">
      <w:pPr>
        <w:spacing w:after="0" w:line="276" w:lineRule="auto"/>
        <w:ind w:firstLine="426"/>
        <w:jc w:val="center"/>
        <w:rPr>
          <w:rFonts w:asciiTheme="majorHAnsi" w:eastAsia="Calibri" w:hAnsiTheme="majorHAnsi" w:cstheme="majorHAnsi"/>
          <w:sz w:val="24"/>
          <w:szCs w:val="24"/>
          <w:lang w:val="ro-RO" w:eastAsia="x-none"/>
        </w:rPr>
      </w:pPr>
    </w:p>
    <w:p w14:paraId="09F949CD" w14:textId="77777777" w:rsidR="007A2D62" w:rsidRPr="008161D0" w:rsidRDefault="004E6CB6" w:rsidP="00D74AC0">
      <w:pPr>
        <w:tabs>
          <w:tab w:val="left" w:pos="567"/>
        </w:tabs>
        <w:spacing w:after="0" w:line="276" w:lineRule="auto"/>
        <w:ind w:right="-2"/>
        <w:jc w:val="right"/>
        <w:rPr>
          <w:rFonts w:ascii="Calibri Light" w:eastAsia="Times New Roman" w:hAnsi="Calibri Light" w:cs="Calibri Light"/>
          <w:b/>
          <w:sz w:val="28"/>
          <w:szCs w:val="28"/>
          <w:lang w:val="ro-RO" w:eastAsia="ru-RU"/>
        </w:rPr>
      </w:pPr>
      <w:r w:rsidRPr="008161D0">
        <w:rPr>
          <w:rFonts w:ascii="Calibri Light" w:eastAsia="Times New Roman" w:hAnsi="Calibri Light" w:cs="Calibri Light"/>
          <w:b/>
          <w:sz w:val="28"/>
          <w:szCs w:val="28"/>
          <w:lang w:val="ro-RO" w:eastAsia="ru-RU"/>
        </w:rPr>
        <w:t xml:space="preserve">                                                                                                                  </w:t>
      </w:r>
    </w:p>
    <w:p w14:paraId="4070235C" w14:textId="77777777" w:rsidR="007A2D62" w:rsidRPr="008161D0" w:rsidRDefault="007A2D62" w:rsidP="00D74AC0">
      <w:pPr>
        <w:tabs>
          <w:tab w:val="left" w:pos="567"/>
        </w:tabs>
        <w:spacing w:after="0" w:line="276" w:lineRule="auto"/>
        <w:ind w:right="-2"/>
        <w:jc w:val="right"/>
        <w:rPr>
          <w:rFonts w:ascii="Calibri Light" w:eastAsia="Times New Roman" w:hAnsi="Calibri Light" w:cs="Calibri Light"/>
          <w:b/>
          <w:sz w:val="28"/>
          <w:szCs w:val="28"/>
          <w:lang w:val="ro-RO" w:eastAsia="ru-RU"/>
        </w:rPr>
      </w:pPr>
    </w:p>
    <w:p w14:paraId="7F2D58D3" w14:textId="77777777" w:rsidR="002306F9" w:rsidRPr="008161D0" w:rsidRDefault="006E0C85" w:rsidP="00D74AC0">
      <w:pPr>
        <w:tabs>
          <w:tab w:val="left" w:pos="567"/>
        </w:tabs>
        <w:spacing w:after="0" w:line="276" w:lineRule="auto"/>
        <w:ind w:right="-2"/>
        <w:jc w:val="right"/>
        <w:rPr>
          <w:rFonts w:ascii="Calibri Light" w:eastAsia="Times New Roman" w:hAnsi="Calibri Light" w:cs="Calibri Light"/>
          <w:b/>
          <w:sz w:val="26"/>
          <w:szCs w:val="26"/>
          <w:lang w:val="ro-RO" w:eastAsia="ru-RU"/>
        </w:rPr>
      </w:pPr>
      <w:r w:rsidRPr="008161D0">
        <w:rPr>
          <w:rFonts w:ascii="Calibri Light" w:eastAsia="Times New Roman" w:hAnsi="Calibri Light" w:cs="Calibri Light"/>
          <w:b/>
          <w:sz w:val="26"/>
          <w:szCs w:val="26"/>
          <w:lang w:val="ro-RO" w:eastAsia="ru-RU"/>
        </w:rPr>
        <w:t xml:space="preserve">Marian LUPU,                                                                                                                         </w:t>
      </w:r>
      <w:r w:rsidR="004E6CB6" w:rsidRPr="008161D0">
        <w:rPr>
          <w:rFonts w:ascii="Calibri Light" w:eastAsia="Times New Roman" w:hAnsi="Calibri Light" w:cs="Calibri Light"/>
          <w:b/>
          <w:sz w:val="26"/>
          <w:szCs w:val="26"/>
          <w:lang w:val="ro-RO" w:eastAsia="ru-RU"/>
        </w:rPr>
        <w:t xml:space="preserve">      </w:t>
      </w:r>
    </w:p>
    <w:p w14:paraId="3FFCA34D" w14:textId="05996DBA" w:rsidR="008336F9" w:rsidRPr="008161D0" w:rsidRDefault="008336F9" w:rsidP="008336F9">
      <w:pPr>
        <w:tabs>
          <w:tab w:val="left" w:pos="567"/>
        </w:tabs>
        <w:spacing w:after="0" w:line="276" w:lineRule="auto"/>
        <w:ind w:right="-2"/>
        <w:jc w:val="right"/>
        <w:rPr>
          <w:rFonts w:ascii="Calibri Light" w:eastAsia="Times New Roman" w:hAnsi="Calibri Light" w:cs="Calibri Light"/>
          <w:b/>
          <w:sz w:val="26"/>
          <w:szCs w:val="26"/>
          <w:lang w:val="ro-RO" w:eastAsia="ru-RU"/>
        </w:rPr>
        <w:sectPr w:rsidR="008336F9" w:rsidRPr="008161D0" w:rsidSect="00C06D74">
          <w:headerReference w:type="default" r:id="rId11"/>
          <w:footerReference w:type="default" r:id="rId12"/>
          <w:type w:val="nextColumn"/>
          <w:pgSz w:w="11907" w:h="16840" w:code="9"/>
          <w:pgMar w:top="851" w:right="851" w:bottom="851" w:left="1701" w:header="709" w:footer="709" w:gutter="0"/>
          <w:cols w:space="708"/>
          <w:docGrid w:linePitch="360"/>
        </w:sectPr>
      </w:pPr>
      <w:bookmarkStart w:id="1" w:name="_GoBack"/>
      <w:bookmarkEnd w:id="1"/>
      <w:r w:rsidRPr="008161D0">
        <w:rPr>
          <w:rFonts w:ascii="Calibri Light" w:eastAsia="Times New Roman" w:hAnsi="Calibri Light" w:cs="Calibri Light"/>
          <w:b/>
          <w:sz w:val="26"/>
          <w:szCs w:val="26"/>
          <w:lang w:val="ro-RO" w:eastAsia="ru-RU"/>
        </w:rPr>
        <w:t>Președinte</w:t>
      </w:r>
    </w:p>
    <w:p w14:paraId="03DAA27A" w14:textId="77777777" w:rsidR="003F2FB3" w:rsidRPr="00030C71" w:rsidRDefault="003F2FB3" w:rsidP="008336F9">
      <w:pPr>
        <w:spacing w:after="0" w:line="276" w:lineRule="auto"/>
        <w:jc w:val="both"/>
        <w:rPr>
          <w:lang w:val="ro-MD"/>
        </w:rPr>
      </w:pPr>
    </w:p>
    <w:sectPr w:rsidR="003F2FB3" w:rsidRPr="00030C71" w:rsidSect="00C06D74">
      <w:footerReference w:type="default" r:id="rId13"/>
      <w:type w:val="nextColumn"/>
      <w:pgSz w:w="12240" w:h="15840"/>
      <w:pgMar w:top="851" w:right="851"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930C1" w14:textId="77777777" w:rsidR="006A76E8" w:rsidRDefault="006A76E8" w:rsidP="0001290E">
      <w:pPr>
        <w:spacing w:after="0" w:line="240" w:lineRule="auto"/>
      </w:pPr>
      <w:r>
        <w:separator/>
      </w:r>
    </w:p>
  </w:endnote>
  <w:endnote w:type="continuationSeparator" w:id="0">
    <w:p w14:paraId="4F36506E" w14:textId="77777777" w:rsidR="006A76E8" w:rsidRDefault="006A76E8" w:rsidP="00012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569350"/>
      <w:docPartObj>
        <w:docPartGallery w:val="Page Numbers (Bottom of Page)"/>
        <w:docPartUnique/>
      </w:docPartObj>
    </w:sdtPr>
    <w:sdtEndPr>
      <w:rPr>
        <w:noProof/>
      </w:rPr>
    </w:sdtEndPr>
    <w:sdtContent>
      <w:p w14:paraId="2BE55693" w14:textId="1BEDA4DC" w:rsidR="008336F9" w:rsidRDefault="008336F9">
        <w:pPr>
          <w:pStyle w:val="Footer"/>
          <w:jc w:val="right"/>
        </w:pPr>
        <w:r>
          <w:fldChar w:fldCharType="begin"/>
        </w:r>
        <w:r>
          <w:instrText xml:space="preserve"> PAGE   \* MERGEFORMAT </w:instrText>
        </w:r>
        <w:r>
          <w:fldChar w:fldCharType="separate"/>
        </w:r>
        <w:r w:rsidR="0028099C">
          <w:rPr>
            <w:noProof/>
          </w:rPr>
          <w:t>4</w:t>
        </w:r>
        <w:r>
          <w:rPr>
            <w:noProof/>
          </w:rPr>
          <w:fldChar w:fldCharType="end"/>
        </w:r>
      </w:p>
    </w:sdtContent>
  </w:sdt>
  <w:p w14:paraId="18371474" w14:textId="77777777" w:rsidR="008336F9" w:rsidRDefault="008336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76185"/>
      <w:docPartObj>
        <w:docPartGallery w:val="Page Numbers (Bottom of Page)"/>
        <w:docPartUnique/>
      </w:docPartObj>
    </w:sdtPr>
    <w:sdtEndPr>
      <w:rPr>
        <w:noProof/>
      </w:rPr>
    </w:sdtEndPr>
    <w:sdtContent>
      <w:p w14:paraId="13825496" w14:textId="6E9AD230" w:rsidR="002033D1" w:rsidRDefault="00D270F4">
        <w:pPr>
          <w:pStyle w:val="Footer"/>
          <w:jc w:val="right"/>
        </w:pPr>
        <w:r>
          <w:fldChar w:fldCharType="begin"/>
        </w:r>
        <w:r>
          <w:instrText xml:space="preserve"> PAGE   \* MERGEFORMAT </w:instrText>
        </w:r>
        <w:r>
          <w:fldChar w:fldCharType="separate"/>
        </w:r>
        <w:r w:rsidR="0028099C">
          <w:rPr>
            <w:noProof/>
          </w:rPr>
          <w:t>5</w:t>
        </w:r>
        <w:r>
          <w:rPr>
            <w:noProof/>
          </w:rPr>
          <w:fldChar w:fldCharType="end"/>
        </w:r>
      </w:p>
    </w:sdtContent>
  </w:sdt>
  <w:p w14:paraId="09F3B066" w14:textId="77777777" w:rsidR="002033D1" w:rsidRDefault="006A7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CE513" w14:textId="77777777" w:rsidR="006A76E8" w:rsidRDefault="006A76E8" w:rsidP="0001290E">
      <w:pPr>
        <w:spacing w:after="0" w:line="240" w:lineRule="auto"/>
      </w:pPr>
      <w:r>
        <w:separator/>
      </w:r>
    </w:p>
  </w:footnote>
  <w:footnote w:type="continuationSeparator" w:id="0">
    <w:p w14:paraId="2AC8A7E8" w14:textId="77777777" w:rsidR="006A76E8" w:rsidRDefault="006A76E8" w:rsidP="0001290E">
      <w:pPr>
        <w:spacing w:after="0" w:line="240" w:lineRule="auto"/>
      </w:pPr>
      <w:r>
        <w:continuationSeparator/>
      </w:r>
    </w:p>
  </w:footnote>
  <w:footnote w:id="1">
    <w:p w14:paraId="1447F2CC" w14:textId="77777777" w:rsidR="00ED59DD" w:rsidRPr="00197BC0" w:rsidRDefault="00ED59DD" w:rsidP="00ED59DD">
      <w:pPr>
        <w:pStyle w:val="FootnoteText"/>
        <w:jc w:val="both"/>
        <w:rPr>
          <w:rFonts w:asciiTheme="majorHAnsi" w:hAnsiTheme="majorHAnsi" w:cstheme="majorHAnsi"/>
          <w:sz w:val="16"/>
          <w:szCs w:val="16"/>
          <w:lang w:val="ro-RO"/>
        </w:rPr>
      </w:pPr>
      <w:r w:rsidRPr="00197BC0">
        <w:rPr>
          <w:rStyle w:val="FootnoteReference"/>
          <w:rFonts w:asciiTheme="majorHAnsi" w:hAnsiTheme="majorHAnsi" w:cstheme="majorHAnsi"/>
          <w:sz w:val="16"/>
          <w:szCs w:val="16"/>
          <w:lang w:val="ro-RO"/>
        </w:rPr>
        <w:footnoteRef/>
      </w:r>
      <w:r w:rsidRPr="00197BC0">
        <w:rPr>
          <w:rFonts w:asciiTheme="majorHAnsi" w:hAnsiTheme="majorHAnsi" w:cstheme="majorHAnsi"/>
          <w:sz w:val="16"/>
          <w:szCs w:val="16"/>
          <w:lang w:val="ro-RO"/>
        </w:rPr>
        <w:t xml:space="preserve"> Hotărârea Curții de Conturi nr.10 din 16.03.2020 „Cu privire la aprobarea regimului de activitate al Curții de Conturi”; Hotărârile Comisiei Naționale de Sănătate Publică nr.10 din 15.05.2020, nr.15 din 12.06.2020 și nr.33 din 28.09.2020.</w:t>
      </w:r>
    </w:p>
  </w:footnote>
  <w:footnote w:id="2">
    <w:p w14:paraId="3F258D10" w14:textId="77777777" w:rsidR="007C6869" w:rsidRPr="00197BC0" w:rsidRDefault="007C6869" w:rsidP="007C6869">
      <w:pPr>
        <w:spacing w:after="0"/>
        <w:jc w:val="both"/>
        <w:rPr>
          <w:rFonts w:asciiTheme="majorHAnsi" w:hAnsiTheme="majorHAnsi" w:cstheme="majorHAnsi"/>
          <w:i/>
          <w:iCs/>
          <w:sz w:val="16"/>
          <w:szCs w:val="16"/>
          <w:lang w:val="ro-RO"/>
        </w:rPr>
      </w:pPr>
      <w:r w:rsidRPr="00197BC0">
        <w:rPr>
          <w:rStyle w:val="FootnoteReference"/>
          <w:rFonts w:asciiTheme="majorHAnsi" w:hAnsiTheme="majorHAnsi" w:cstheme="majorHAnsi"/>
          <w:sz w:val="16"/>
          <w:szCs w:val="16"/>
          <w:lang w:val="ro-RO"/>
        </w:rPr>
        <w:footnoteRef/>
      </w:r>
      <w:r w:rsidRPr="00197BC0">
        <w:rPr>
          <w:rFonts w:asciiTheme="majorHAnsi" w:hAnsiTheme="majorHAnsi" w:cstheme="majorHAnsi"/>
          <w:sz w:val="16"/>
          <w:szCs w:val="16"/>
          <w:lang w:val="ro-RO"/>
        </w:rPr>
        <w:t xml:space="preserve"> Legea privind organizarea și funcționarea Curții de Conturi a Republicii Moldova nr.260 din 07.12.2017 (</w:t>
      </w:r>
      <w:r w:rsidRPr="00197BC0">
        <w:rPr>
          <w:rFonts w:asciiTheme="majorHAnsi" w:hAnsiTheme="majorHAnsi" w:cstheme="majorHAnsi"/>
          <w:iCs/>
          <w:sz w:val="16"/>
          <w:szCs w:val="16"/>
          <w:lang w:val="ro-RO"/>
        </w:rPr>
        <w:t>în continuare – Legea nr.260 din 07.12.2017).</w:t>
      </w:r>
    </w:p>
  </w:footnote>
  <w:footnote w:id="3">
    <w:p w14:paraId="13BC3E03" w14:textId="3E9025BE" w:rsidR="00B322D6" w:rsidRDefault="00B322D6" w:rsidP="008D7A81">
      <w:pPr>
        <w:pStyle w:val="FootnoteText"/>
        <w:jc w:val="both"/>
        <w:rPr>
          <w:rFonts w:ascii="Calibri Light" w:hAnsi="Calibri Light" w:cs="Calibri Light"/>
          <w:sz w:val="16"/>
          <w:szCs w:val="16"/>
        </w:rPr>
      </w:pPr>
      <w:r w:rsidRPr="00197BC0">
        <w:rPr>
          <w:rStyle w:val="FootnoteReference"/>
          <w:rFonts w:ascii="Calibri Light" w:hAnsi="Calibri Light" w:cs="Calibri Light"/>
          <w:sz w:val="16"/>
          <w:szCs w:val="16"/>
          <w:lang w:val="ro-RO"/>
        </w:rPr>
        <w:footnoteRef/>
      </w:r>
      <w:r w:rsidRPr="00197BC0">
        <w:rPr>
          <w:rFonts w:ascii="Calibri Light" w:hAnsi="Calibri Light" w:cs="Calibri Light"/>
          <w:sz w:val="16"/>
          <w:szCs w:val="16"/>
          <w:lang w:val="ro-RO"/>
        </w:rPr>
        <w:t xml:space="preserve"> Hotărâr</w:t>
      </w:r>
      <w:r w:rsidR="00C11777">
        <w:rPr>
          <w:rFonts w:ascii="Calibri Light" w:hAnsi="Calibri Light" w:cs="Calibri Light"/>
          <w:sz w:val="16"/>
          <w:szCs w:val="16"/>
          <w:lang w:val="ro-RO"/>
        </w:rPr>
        <w:t>ile</w:t>
      </w:r>
      <w:r w:rsidRPr="00197BC0">
        <w:rPr>
          <w:rFonts w:ascii="Calibri Light" w:hAnsi="Calibri Light" w:cs="Calibri Light"/>
          <w:sz w:val="16"/>
          <w:szCs w:val="16"/>
          <w:lang w:val="ro-RO"/>
        </w:rPr>
        <w:t xml:space="preserve"> Curții de Conturi nr.77 din 27.12.2019 „Cu privire la aprobarea Programului activității de audit pe anul 2020”</w:t>
      </w:r>
      <w:r w:rsidR="00C11777">
        <w:rPr>
          <w:rFonts w:ascii="Calibri Light" w:hAnsi="Calibri Light" w:cs="Calibri Light"/>
          <w:sz w:val="16"/>
          <w:szCs w:val="16"/>
          <w:lang w:val="ro-RO"/>
        </w:rPr>
        <w:t xml:space="preserve"> și</w:t>
      </w:r>
      <w:r w:rsidRPr="00197BC0">
        <w:rPr>
          <w:rFonts w:ascii="Calibri Light" w:hAnsi="Calibri Light" w:cs="Calibri Light"/>
          <w:sz w:val="16"/>
          <w:szCs w:val="16"/>
          <w:lang w:val="ro-RO"/>
        </w:rPr>
        <w:t xml:space="preserve"> nr.62 din 10.12.2020 „Cu privire la aprobarea Programului activității de audit pe anul 2021”, cu modificările ulterioare.</w:t>
      </w:r>
    </w:p>
  </w:footnote>
  <w:footnote w:id="4">
    <w:p w14:paraId="786AF593" w14:textId="05B6E59C" w:rsidR="00607412" w:rsidRPr="00607412" w:rsidRDefault="00AB6E42" w:rsidP="00607412">
      <w:pPr>
        <w:spacing w:after="0" w:line="276" w:lineRule="auto"/>
        <w:jc w:val="both"/>
        <w:rPr>
          <w:rFonts w:asciiTheme="majorHAnsi" w:hAnsiTheme="majorHAnsi"/>
          <w:sz w:val="16"/>
          <w:szCs w:val="16"/>
          <w:lang w:val="ro-RO"/>
        </w:rPr>
      </w:pPr>
      <w:r w:rsidRPr="00607412">
        <w:rPr>
          <w:rStyle w:val="FootnoteReference"/>
          <w:rFonts w:asciiTheme="majorHAnsi" w:hAnsiTheme="majorHAnsi" w:cstheme="majorHAnsi"/>
          <w:sz w:val="16"/>
          <w:szCs w:val="16"/>
        </w:rPr>
        <w:footnoteRef/>
      </w:r>
      <w:r w:rsidRPr="00607412">
        <w:rPr>
          <w:rFonts w:asciiTheme="majorHAnsi" w:hAnsiTheme="majorHAnsi" w:cstheme="majorHAnsi"/>
          <w:sz w:val="16"/>
          <w:szCs w:val="16"/>
          <w:lang w:val="ro-MD"/>
        </w:rPr>
        <w:t xml:space="preserve"> Aprobat prin Hotărârea Curții de Conturi nr.</w:t>
      </w:r>
      <w:r w:rsidRPr="00607412">
        <w:rPr>
          <w:rFonts w:asciiTheme="majorHAnsi" w:hAnsiTheme="majorHAnsi" w:cstheme="majorHAnsi"/>
          <w:sz w:val="16"/>
          <w:szCs w:val="16"/>
          <w:lang w:val="ro-RO"/>
        </w:rPr>
        <w:t>2 din 24.01.2020</w:t>
      </w:r>
      <w:r w:rsidR="00607412" w:rsidRPr="00607412">
        <w:rPr>
          <w:rFonts w:asciiTheme="majorHAnsi" w:hAnsiTheme="majorHAnsi" w:cstheme="majorHAnsi"/>
          <w:sz w:val="16"/>
          <w:szCs w:val="16"/>
          <w:lang w:val="ro-RO"/>
        </w:rPr>
        <w:t xml:space="preserve">, în special </w:t>
      </w:r>
      <w:r w:rsidR="00607412" w:rsidRPr="00607412">
        <w:rPr>
          <w:rFonts w:asciiTheme="majorHAnsi" w:hAnsiTheme="majorHAnsi"/>
          <w:sz w:val="16"/>
          <w:szCs w:val="16"/>
          <w:lang w:val="ro-RO"/>
        </w:rPr>
        <w:t>ISSAI 100 „Principiile fundamentale pentru auditul sectorului public”; ISSAI 300 „Principiile fundamentale ale auditului performanței”; ISSAI 3000-3899 „Standarde ale auditului de performanță”; GUID 3910 „Concepte de bază privind auditul performanței”, GUID 3920 „Procesul de audit al performanței”</w:t>
      </w:r>
    </w:p>
    <w:p w14:paraId="313A6B52" w14:textId="6C7E4825" w:rsidR="00AB6E42" w:rsidRPr="00D87FFC" w:rsidRDefault="00AB6E42" w:rsidP="00AB6E42">
      <w:pPr>
        <w:pStyle w:val="FootnoteText"/>
        <w:jc w:val="both"/>
        <w:rPr>
          <w:rFonts w:asciiTheme="majorHAnsi" w:hAnsiTheme="majorHAnsi" w:cstheme="majorHAnsi"/>
          <w:sz w:val="16"/>
          <w:szCs w:val="16"/>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56DAF" w14:textId="77777777" w:rsidR="008336F9" w:rsidRPr="00776766" w:rsidRDefault="008336F9" w:rsidP="00776766">
    <w:pPr>
      <w:pStyle w:val="Header"/>
      <w:jc w:val="right"/>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A0DAF"/>
    <w:multiLevelType w:val="hybridMultilevel"/>
    <w:tmpl w:val="7492739C"/>
    <w:lvl w:ilvl="0" w:tplc="6024AA30">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1A8773E3"/>
    <w:multiLevelType w:val="hybridMultilevel"/>
    <w:tmpl w:val="1E82A29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B1535D1"/>
    <w:multiLevelType w:val="hybridMultilevel"/>
    <w:tmpl w:val="B6C065DA"/>
    <w:lvl w:ilvl="0" w:tplc="EBF81E2E">
      <w:start w:val="5"/>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1B4310DA"/>
    <w:multiLevelType w:val="multilevel"/>
    <w:tmpl w:val="39B4235C"/>
    <w:lvl w:ilvl="0">
      <w:start w:val="1"/>
      <w:numFmt w:val="decimal"/>
      <w:lvlText w:val="%1."/>
      <w:lvlJc w:val="left"/>
      <w:pPr>
        <w:ind w:left="786" w:hanging="360"/>
      </w:pPr>
      <w:rPr>
        <w:rFonts w:ascii="Calibri Light" w:eastAsia="Times New Roman" w:hAnsi="Calibri Light" w:cs="Calibri Light" w:hint="default"/>
        <w:b/>
      </w:rPr>
    </w:lvl>
    <w:lvl w:ilvl="1">
      <w:start w:val="1"/>
      <w:numFmt w:val="decimal"/>
      <w:isLgl/>
      <w:lvlText w:val="%1.%2."/>
      <w:lvlJc w:val="left"/>
      <w:pPr>
        <w:ind w:left="1070" w:hanging="720"/>
      </w:pPr>
      <w:rPr>
        <w:rFonts w:hint="default"/>
        <w:b/>
        <w:i w:val="0"/>
      </w:rPr>
    </w:lvl>
    <w:lvl w:ilvl="2">
      <w:start w:val="1"/>
      <w:numFmt w:val="decimal"/>
      <w:isLgl/>
      <w:lvlText w:val="%1.%2.%3."/>
      <w:lvlJc w:val="left"/>
      <w:pPr>
        <w:ind w:left="1354" w:hanging="720"/>
      </w:pPr>
      <w:rPr>
        <w:rFonts w:hint="default"/>
        <w:b/>
        <w:i w:val="0"/>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15:restartNumberingAfterBreak="0">
    <w:nsid w:val="2DBA0329"/>
    <w:multiLevelType w:val="hybridMultilevel"/>
    <w:tmpl w:val="C136EDCC"/>
    <w:lvl w:ilvl="0" w:tplc="FF82C728">
      <w:start w:val="5"/>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5" w15:restartNumberingAfterBreak="0">
    <w:nsid w:val="3AB749B3"/>
    <w:multiLevelType w:val="hybridMultilevel"/>
    <w:tmpl w:val="954AA718"/>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6" w15:restartNumberingAfterBreak="0">
    <w:nsid w:val="45FE5D40"/>
    <w:multiLevelType w:val="hybridMultilevel"/>
    <w:tmpl w:val="C57A504C"/>
    <w:lvl w:ilvl="0" w:tplc="D18C8B6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092292"/>
    <w:multiLevelType w:val="hybridMultilevel"/>
    <w:tmpl w:val="36744DA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1AA33AF"/>
    <w:multiLevelType w:val="hybridMultilevel"/>
    <w:tmpl w:val="89A272A0"/>
    <w:lvl w:ilvl="0" w:tplc="B78852A8">
      <w:start w:val="6"/>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5B951D2F"/>
    <w:multiLevelType w:val="hybridMultilevel"/>
    <w:tmpl w:val="300A6728"/>
    <w:lvl w:ilvl="0" w:tplc="CF5A4D52">
      <w:start w:val="6"/>
      <w:numFmt w:val="decimal"/>
      <w:lvlText w:val="%1."/>
      <w:lvlJc w:val="left"/>
      <w:pPr>
        <w:ind w:left="630" w:hanging="360"/>
      </w:pPr>
      <w:rPr>
        <w:b/>
        <w:color w:val="auto"/>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0" w15:restartNumberingAfterBreak="0">
    <w:nsid w:val="67877C6E"/>
    <w:multiLevelType w:val="hybridMultilevel"/>
    <w:tmpl w:val="99E6AA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10"/>
  </w:num>
  <w:num w:numId="8">
    <w:abstractNumId w:val="0"/>
  </w:num>
  <w:num w:numId="9">
    <w:abstractNumId w:val="2"/>
  </w:num>
  <w:num w:numId="10">
    <w:abstractNumId w:val="4"/>
  </w:num>
  <w:num w:numId="11">
    <w:abstractNumId w:val="8"/>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EF"/>
    <w:rsid w:val="0000148F"/>
    <w:rsid w:val="00010DB2"/>
    <w:rsid w:val="0001290E"/>
    <w:rsid w:val="0001441D"/>
    <w:rsid w:val="00020E6F"/>
    <w:rsid w:val="000237F5"/>
    <w:rsid w:val="00030C71"/>
    <w:rsid w:val="0004237D"/>
    <w:rsid w:val="000458AD"/>
    <w:rsid w:val="000518BF"/>
    <w:rsid w:val="0005221A"/>
    <w:rsid w:val="00053E70"/>
    <w:rsid w:val="000547BD"/>
    <w:rsid w:val="0005497D"/>
    <w:rsid w:val="000551E0"/>
    <w:rsid w:val="0005727D"/>
    <w:rsid w:val="000612C7"/>
    <w:rsid w:val="0006190A"/>
    <w:rsid w:val="000643AC"/>
    <w:rsid w:val="00065EF6"/>
    <w:rsid w:val="000670C9"/>
    <w:rsid w:val="000763EE"/>
    <w:rsid w:val="00086514"/>
    <w:rsid w:val="00093BCE"/>
    <w:rsid w:val="000C4940"/>
    <w:rsid w:val="000C573E"/>
    <w:rsid w:val="000D2942"/>
    <w:rsid w:val="000D5AA9"/>
    <w:rsid w:val="000E0D27"/>
    <w:rsid w:val="000E20A4"/>
    <w:rsid w:val="000F2F75"/>
    <w:rsid w:val="000F4661"/>
    <w:rsid w:val="000F688F"/>
    <w:rsid w:val="00105435"/>
    <w:rsid w:val="00112CE5"/>
    <w:rsid w:val="00112D24"/>
    <w:rsid w:val="00112DB0"/>
    <w:rsid w:val="001134D3"/>
    <w:rsid w:val="001208EC"/>
    <w:rsid w:val="00124CA1"/>
    <w:rsid w:val="0012502D"/>
    <w:rsid w:val="00125C89"/>
    <w:rsid w:val="00126CFA"/>
    <w:rsid w:val="00135A84"/>
    <w:rsid w:val="00143D8B"/>
    <w:rsid w:val="00151634"/>
    <w:rsid w:val="00153825"/>
    <w:rsid w:val="001575DC"/>
    <w:rsid w:val="001600AA"/>
    <w:rsid w:val="00165C87"/>
    <w:rsid w:val="00185205"/>
    <w:rsid w:val="00185CEA"/>
    <w:rsid w:val="00197BC0"/>
    <w:rsid w:val="001A0701"/>
    <w:rsid w:val="001A0A46"/>
    <w:rsid w:val="001A3EF3"/>
    <w:rsid w:val="001B0A2A"/>
    <w:rsid w:val="001B3E93"/>
    <w:rsid w:val="001C40FF"/>
    <w:rsid w:val="001C68A6"/>
    <w:rsid w:val="001C6CEC"/>
    <w:rsid w:val="001D0DB4"/>
    <w:rsid w:val="001D3220"/>
    <w:rsid w:val="001E0709"/>
    <w:rsid w:val="001E3AC7"/>
    <w:rsid w:val="001F1EE2"/>
    <w:rsid w:val="001F292D"/>
    <w:rsid w:val="0020457B"/>
    <w:rsid w:val="002064F7"/>
    <w:rsid w:val="0021041F"/>
    <w:rsid w:val="0022308D"/>
    <w:rsid w:val="0022309D"/>
    <w:rsid w:val="00224198"/>
    <w:rsid w:val="00225B33"/>
    <w:rsid w:val="00227E0A"/>
    <w:rsid w:val="00227F21"/>
    <w:rsid w:val="002306F9"/>
    <w:rsid w:val="00230968"/>
    <w:rsid w:val="00236023"/>
    <w:rsid w:val="0024051D"/>
    <w:rsid w:val="002528FD"/>
    <w:rsid w:val="00261C70"/>
    <w:rsid w:val="002620C5"/>
    <w:rsid w:val="002726EB"/>
    <w:rsid w:val="0028099C"/>
    <w:rsid w:val="002856CE"/>
    <w:rsid w:val="00285B0E"/>
    <w:rsid w:val="002A0496"/>
    <w:rsid w:val="002A1F5E"/>
    <w:rsid w:val="002A3980"/>
    <w:rsid w:val="002A451C"/>
    <w:rsid w:val="002B7DD9"/>
    <w:rsid w:val="002C3231"/>
    <w:rsid w:val="002C7976"/>
    <w:rsid w:val="002D1E8A"/>
    <w:rsid w:val="002F0761"/>
    <w:rsid w:val="003063F2"/>
    <w:rsid w:val="003065E0"/>
    <w:rsid w:val="0031048E"/>
    <w:rsid w:val="00326166"/>
    <w:rsid w:val="003264E3"/>
    <w:rsid w:val="0032653B"/>
    <w:rsid w:val="00333079"/>
    <w:rsid w:val="003421F4"/>
    <w:rsid w:val="00344657"/>
    <w:rsid w:val="00352977"/>
    <w:rsid w:val="00354623"/>
    <w:rsid w:val="003570E7"/>
    <w:rsid w:val="0035796E"/>
    <w:rsid w:val="00360B1E"/>
    <w:rsid w:val="003639C9"/>
    <w:rsid w:val="003663BB"/>
    <w:rsid w:val="00386069"/>
    <w:rsid w:val="003929ED"/>
    <w:rsid w:val="00392AB2"/>
    <w:rsid w:val="0039303E"/>
    <w:rsid w:val="003B4982"/>
    <w:rsid w:val="003B67A1"/>
    <w:rsid w:val="003D16BB"/>
    <w:rsid w:val="003D204B"/>
    <w:rsid w:val="003D4E57"/>
    <w:rsid w:val="003D6498"/>
    <w:rsid w:val="003E163E"/>
    <w:rsid w:val="003F2A34"/>
    <w:rsid w:val="003F2FB3"/>
    <w:rsid w:val="003F553F"/>
    <w:rsid w:val="00405658"/>
    <w:rsid w:val="00417A16"/>
    <w:rsid w:val="004217A3"/>
    <w:rsid w:val="00422B29"/>
    <w:rsid w:val="00424388"/>
    <w:rsid w:val="00426947"/>
    <w:rsid w:val="00430ACA"/>
    <w:rsid w:val="00430AF9"/>
    <w:rsid w:val="00435335"/>
    <w:rsid w:val="0046156B"/>
    <w:rsid w:val="00461CBE"/>
    <w:rsid w:val="00462532"/>
    <w:rsid w:val="004801E2"/>
    <w:rsid w:val="00481471"/>
    <w:rsid w:val="004A1013"/>
    <w:rsid w:val="004A1CA3"/>
    <w:rsid w:val="004A6734"/>
    <w:rsid w:val="004A7F5A"/>
    <w:rsid w:val="004B1527"/>
    <w:rsid w:val="004C2A8F"/>
    <w:rsid w:val="004C6D74"/>
    <w:rsid w:val="004C7B75"/>
    <w:rsid w:val="004E102B"/>
    <w:rsid w:val="004E6743"/>
    <w:rsid w:val="004E6CB6"/>
    <w:rsid w:val="004F0519"/>
    <w:rsid w:val="004F6F68"/>
    <w:rsid w:val="0050018A"/>
    <w:rsid w:val="00501764"/>
    <w:rsid w:val="005113B0"/>
    <w:rsid w:val="00512676"/>
    <w:rsid w:val="00523DE2"/>
    <w:rsid w:val="00524E53"/>
    <w:rsid w:val="00525A23"/>
    <w:rsid w:val="00546BA6"/>
    <w:rsid w:val="00560E1E"/>
    <w:rsid w:val="00581288"/>
    <w:rsid w:val="00585DD7"/>
    <w:rsid w:val="00590066"/>
    <w:rsid w:val="005A5BF6"/>
    <w:rsid w:val="005B33AE"/>
    <w:rsid w:val="005B34BE"/>
    <w:rsid w:val="005B5A24"/>
    <w:rsid w:val="005B6D38"/>
    <w:rsid w:val="005C285C"/>
    <w:rsid w:val="005C450E"/>
    <w:rsid w:val="005C7399"/>
    <w:rsid w:val="005E06AA"/>
    <w:rsid w:val="005E6F31"/>
    <w:rsid w:val="005F208C"/>
    <w:rsid w:val="005F5D8F"/>
    <w:rsid w:val="005F7088"/>
    <w:rsid w:val="00600B41"/>
    <w:rsid w:val="0060153C"/>
    <w:rsid w:val="00606B96"/>
    <w:rsid w:val="00607412"/>
    <w:rsid w:val="006134D5"/>
    <w:rsid w:val="00622627"/>
    <w:rsid w:val="006305BC"/>
    <w:rsid w:val="00644907"/>
    <w:rsid w:val="00645AD5"/>
    <w:rsid w:val="00665DA9"/>
    <w:rsid w:val="00671BE1"/>
    <w:rsid w:val="00674497"/>
    <w:rsid w:val="0068608B"/>
    <w:rsid w:val="006861E5"/>
    <w:rsid w:val="00687572"/>
    <w:rsid w:val="006944AD"/>
    <w:rsid w:val="006A76E8"/>
    <w:rsid w:val="006B2816"/>
    <w:rsid w:val="006B6AFC"/>
    <w:rsid w:val="006B6BCD"/>
    <w:rsid w:val="006D76B8"/>
    <w:rsid w:val="006E0C85"/>
    <w:rsid w:val="006E41B8"/>
    <w:rsid w:val="006E5EF0"/>
    <w:rsid w:val="006E66AB"/>
    <w:rsid w:val="006E74F8"/>
    <w:rsid w:val="006E7A8A"/>
    <w:rsid w:val="007026EF"/>
    <w:rsid w:val="0071090A"/>
    <w:rsid w:val="00711372"/>
    <w:rsid w:val="00714A31"/>
    <w:rsid w:val="007201D0"/>
    <w:rsid w:val="0072215F"/>
    <w:rsid w:val="00725435"/>
    <w:rsid w:val="00737F70"/>
    <w:rsid w:val="00754E92"/>
    <w:rsid w:val="00761046"/>
    <w:rsid w:val="0076339F"/>
    <w:rsid w:val="0076480C"/>
    <w:rsid w:val="00764BB5"/>
    <w:rsid w:val="00774025"/>
    <w:rsid w:val="00776766"/>
    <w:rsid w:val="00776B86"/>
    <w:rsid w:val="00782663"/>
    <w:rsid w:val="007837E0"/>
    <w:rsid w:val="00785AB4"/>
    <w:rsid w:val="00796320"/>
    <w:rsid w:val="007A2D62"/>
    <w:rsid w:val="007A786B"/>
    <w:rsid w:val="007B4E09"/>
    <w:rsid w:val="007B5991"/>
    <w:rsid w:val="007C6869"/>
    <w:rsid w:val="007D2733"/>
    <w:rsid w:val="007D2C7C"/>
    <w:rsid w:val="007E2A39"/>
    <w:rsid w:val="007F1E5F"/>
    <w:rsid w:val="007F5DDE"/>
    <w:rsid w:val="00804B96"/>
    <w:rsid w:val="00805E68"/>
    <w:rsid w:val="00812316"/>
    <w:rsid w:val="00812C6D"/>
    <w:rsid w:val="00813597"/>
    <w:rsid w:val="008161D0"/>
    <w:rsid w:val="00822DAA"/>
    <w:rsid w:val="00827069"/>
    <w:rsid w:val="00830703"/>
    <w:rsid w:val="00830862"/>
    <w:rsid w:val="008312B3"/>
    <w:rsid w:val="008336F9"/>
    <w:rsid w:val="008661FF"/>
    <w:rsid w:val="00866594"/>
    <w:rsid w:val="008742A1"/>
    <w:rsid w:val="00874C8E"/>
    <w:rsid w:val="008752D6"/>
    <w:rsid w:val="008809BD"/>
    <w:rsid w:val="00886105"/>
    <w:rsid w:val="008866E0"/>
    <w:rsid w:val="0088752E"/>
    <w:rsid w:val="008915E7"/>
    <w:rsid w:val="008A4165"/>
    <w:rsid w:val="008A41C3"/>
    <w:rsid w:val="008A57F4"/>
    <w:rsid w:val="008A6B07"/>
    <w:rsid w:val="008A7506"/>
    <w:rsid w:val="008B0E4E"/>
    <w:rsid w:val="008B5C54"/>
    <w:rsid w:val="008B76A1"/>
    <w:rsid w:val="008C3339"/>
    <w:rsid w:val="008C7E89"/>
    <w:rsid w:val="008D0F7D"/>
    <w:rsid w:val="008D1005"/>
    <w:rsid w:val="008D7A81"/>
    <w:rsid w:val="008F3BC4"/>
    <w:rsid w:val="008F4048"/>
    <w:rsid w:val="00900DAE"/>
    <w:rsid w:val="009077C0"/>
    <w:rsid w:val="00927C35"/>
    <w:rsid w:val="00930649"/>
    <w:rsid w:val="00934468"/>
    <w:rsid w:val="009522AD"/>
    <w:rsid w:val="0096485D"/>
    <w:rsid w:val="00967A30"/>
    <w:rsid w:val="00970F1E"/>
    <w:rsid w:val="0098416B"/>
    <w:rsid w:val="00995158"/>
    <w:rsid w:val="009B228E"/>
    <w:rsid w:val="009B39A4"/>
    <w:rsid w:val="009B5649"/>
    <w:rsid w:val="009B5778"/>
    <w:rsid w:val="009B7402"/>
    <w:rsid w:val="009C6CC5"/>
    <w:rsid w:val="009C7550"/>
    <w:rsid w:val="009D0CBB"/>
    <w:rsid w:val="009D6B1D"/>
    <w:rsid w:val="009E02BA"/>
    <w:rsid w:val="009E62E4"/>
    <w:rsid w:val="009F7587"/>
    <w:rsid w:val="00A0130E"/>
    <w:rsid w:val="00A04D77"/>
    <w:rsid w:val="00A105F2"/>
    <w:rsid w:val="00A16D79"/>
    <w:rsid w:val="00A17A1A"/>
    <w:rsid w:val="00A20071"/>
    <w:rsid w:val="00A32432"/>
    <w:rsid w:val="00A3259F"/>
    <w:rsid w:val="00A4017F"/>
    <w:rsid w:val="00A4117F"/>
    <w:rsid w:val="00A436A6"/>
    <w:rsid w:val="00A5198E"/>
    <w:rsid w:val="00A52856"/>
    <w:rsid w:val="00A53B4D"/>
    <w:rsid w:val="00A55223"/>
    <w:rsid w:val="00A61E73"/>
    <w:rsid w:val="00A66077"/>
    <w:rsid w:val="00A733D7"/>
    <w:rsid w:val="00A74377"/>
    <w:rsid w:val="00A77CF9"/>
    <w:rsid w:val="00A90ADB"/>
    <w:rsid w:val="00AA27B6"/>
    <w:rsid w:val="00AA303B"/>
    <w:rsid w:val="00AB4296"/>
    <w:rsid w:val="00AB52EB"/>
    <w:rsid w:val="00AB6E42"/>
    <w:rsid w:val="00AC260C"/>
    <w:rsid w:val="00AD52F6"/>
    <w:rsid w:val="00AE079F"/>
    <w:rsid w:val="00AE2867"/>
    <w:rsid w:val="00AE48B9"/>
    <w:rsid w:val="00AE7A43"/>
    <w:rsid w:val="00AF4D0C"/>
    <w:rsid w:val="00AF5E9F"/>
    <w:rsid w:val="00B07404"/>
    <w:rsid w:val="00B10D2F"/>
    <w:rsid w:val="00B12BFA"/>
    <w:rsid w:val="00B14DB2"/>
    <w:rsid w:val="00B15C5B"/>
    <w:rsid w:val="00B167DC"/>
    <w:rsid w:val="00B3058F"/>
    <w:rsid w:val="00B30725"/>
    <w:rsid w:val="00B322D6"/>
    <w:rsid w:val="00B41191"/>
    <w:rsid w:val="00B453C7"/>
    <w:rsid w:val="00B46A75"/>
    <w:rsid w:val="00B71859"/>
    <w:rsid w:val="00B71B4F"/>
    <w:rsid w:val="00B77DCB"/>
    <w:rsid w:val="00B930FC"/>
    <w:rsid w:val="00B95837"/>
    <w:rsid w:val="00BA1741"/>
    <w:rsid w:val="00BB45D8"/>
    <w:rsid w:val="00BC2314"/>
    <w:rsid w:val="00BC2A4E"/>
    <w:rsid w:val="00BC3C7E"/>
    <w:rsid w:val="00BC6D08"/>
    <w:rsid w:val="00BD5B26"/>
    <w:rsid w:val="00BD750C"/>
    <w:rsid w:val="00BE2E11"/>
    <w:rsid w:val="00BF136A"/>
    <w:rsid w:val="00BF37BD"/>
    <w:rsid w:val="00C021C3"/>
    <w:rsid w:val="00C06D74"/>
    <w:rsid w:val="00C11777"/>
    <w:rsid w:val="00C15BAA"/>
    <w:rsid w:val="00C16A18"/>
    <w:rsid w:val="00C24182"/>
    <w:rsid w:val="00C3091B"/>
    <w:rsid w:val="00C37B76"/>
    <w:rsid w:val="00C41760"/>
    <w:rsid w:val="00C52069"/>
    <w:rsid w:val="00C55B64"/>
    <w:rsid w:val="00C571F6"/>
    <w:rsid w:val="00C63219"/>
    <w:rsid w:val="00C67635"/>
    <w:rsid w:val="00C74E11"/>
    <w:rsid w:val="00C765CF"/>
    <w:rsid w:val="00C80E30"/>
    <w:rsid w:val="00C945A7"/>
    <w:rsid w:val="00CA4199"/>
    <w:rsid w:val="00CA5D1D"/>
    <w:rsid w:val="00CC1F34"/>
    <w:rsid w:val="00CC1FDB"/>
    <w:rsid w:val="00CC34E7"/>
    <w:rsid w:val="00CD1D8B"/>
    <w:rsid w:val="00CD37D6"/>
    <w:rsid w:val="00CD4B74"/>
    <w:rsid w:val="00CE0B0F"/>
    <w:rsid w:val="00CE3677"/>
    <w:rsid w:val="00CE4BB8"/>
    <w:rsid w:val="00D01DD2"/>
    <w:rsid w:val="00D02709"/>
    <w:rsid w:val="00D03897"/>
    <w:rsid w:val="00D05C58"/>
    <w:rsid w:val="00D15BFB"/>
    <w:rsid w:val="00D16E17"/>
    <w:rsid w:val="00D24F08"/>
    <w:rsid w:val="00D252C5"/>
    <w:rsid w:val="00D270F4"/>
    <w:rsid w:val="00D40FB2"/>
    <w:rsid w:val="00D420D2"/>
    <w:rsid w:val="00D5173E"/>
    <w:rsid w:val="00D51C37"/>
    <w:rsid w:val="00D56314"/>
    <w:rsid w:val="00D6263F"/>
    <w:rsid w:val="00D66FD8"/>
    <w:rsid w:val="00D74AC0"/>
    <w:rsid w:val="00D80BAB"/>
    <w:rsid w:val="00D83E30"/>
    <w:rsid w:val="00D85BDA"/>
    <w:rsid w:val="00D916C6"/>
    <w:rsid w:val="00D97CF8"/>
    <w:rsid w:val="00DA4461"/>
    <w:rsid w:val="00DA47C3"/>
    <w:rsid w:val="00DA6885"/>
    <w:rsid w:val="00DB095E"/>
    <w:rsid w:val="00DB3B9B"/>
    <w:rsid w:val="00DB46C2"/>
    <w:rsid w:val="00DD299C"/>
    <w:rsid w:val="00DE2301"/>
    <w:rsid w:val="00DE4242"/>
    <w:rsid w:val="00DE7648"/>
    <w:rsid w:val="00E00C63"/>
    <w:rsid w:val="00E018A8"/>
    <w:rsid w:val="00E40844"/>
    <w:rsid w:val="00E45FF2"/>
    <w:rsid w:val="00E508F6"/>
    <w:rsid w:val="00E51F9B"/>
    <w:rsid w:val="00E7057D"/>
    <w:rsid w:val="00E71960"/>
    <w:rsid w:val="00E7332B"/>
    <w:rsid w:val="00E751A4"/>
    <w:rsid w:val="00E8643A"/>
    <w:rsid w:val="00E91994"/>
    <w:rsid w:val="00E941B8"/>
    <w:rsid w:val="00E9492A"/>
    <w:rsid w:val="00E95D50"/>
    <w:rsid w:val="00EC34AA"/>
    <w:rsid w:val="00EC7311"/>
    <w:rsid w:val="00ED1D7D"/>
    <w:rsid w:val="00ED207D"/>
    <w:rsid w:val="00ED59DD"/>
    <w:rsid w:val="00ED7260"/>
    <w:rsid w:val="00EE3D8C"/>
    <w:rsid w:val="00EE4C21"/>
    <w:rsid w:val="00EF53FE"/>
    <w:rsid w:val="00F02FFE"/>
    <w:rsid w:val="00F038E2"/>
    <w:rsid w:val="00F04329"/>
    <w:rsid w:val="00F132EF"/>
    <w:rsid w:val="00F173FF"/>
    <w:rsid w:val="00F21340"/>
    <w:rsid w:val="00F2735F"/>
    <w:rsid w:val="00F30888"/>
    <w:rsid w:val="00F51D1F"/>
    <w:rsid w:val="00F61365"/>
    <w:rsid w:val="00F6236A"/>
    <w:rsid w:val="00F95000"/>
    <w:rsid w:val="00F95A17"/>
    <w:rsid w:val="00FA3851"/>
    <w:rsid w:val="00FB3842"/>
    <w:rsid w:val="00FC66B3"/>
    <w:rsid w:val="00FC7BCB"/>
    <w:rsid w:val="00FD3453"/>
    <w:rsid w:val="00FD3EC3"/>
    <w:rsid w:val="00FE28F2"/>
    <w:rsid w:val="00FE6CEF"/>
    <w:rsid w:val="00FF1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5786D"/>
  <w15:chartTrackingRefBased/>
  <w15:docId w15:val="{EB881C0B-715A-4413-AB07-8DE2B48C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90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locked/>
    <w:rsid w:val="0001290E"/>
    <w:rPr>
      <w:sz w:val="20"/>
      <w:szCs w:val="20"/>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01290E"/>
    <w:pPr>
      <w:spacing w:after="0" w:line="240" w:lineRule="auto"/>
    </w:pPr>
    <w:rPr>
      <w:sz w:val="20"/>
      <w:szCs w:val="20"/>
    </w:rPr>
  </w:style>
  <w:style w:type="character" w:customStyle="1" w:styleId="FootnoteTextChar1">
    <w:name w:val="Footnote Text Char1"/>
    <w:basedOn w:val="DefaultParagraphFont"/>
    <w:uiPriority w:val="99"/>
    <w:semiHidden/>
    <w:rsid w:val="0001290E"/>
    <w:rPr>
      <w:sz w:val="20"/>
      <w:szCs w:val="20"/>
    </w:rPr>
  </w:style>
  <w:style w:type="paragraph" w:customStyle="1" w:styleId="cn">
    <w:name w:val="cn"/>
    <w:basedOn w:val="Normal"/>
    <w:uiPriority w:val="99"/>
    <w:rsid w:val="0001290E"/>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1"/>
    <w:uiPriority w:val="99"/>
    <w:qFormat/>
    <w:rsid w:val="0001290E"/>
    <w:pPr>
      <w:spacing w:line="240" w:lineRule="exact"/>
    </w:pPr>
    <w:rPr>
      <w:vertAlign w:val="superscript"/>
      <w:lang w:val="ro-MD"/>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locked/>
    <w:rsid w:val="0001290E"/>
    <w:rPr>
      <w:vertAlign w:val="superscript"/>
      <w:lang w:val="ro-MD"/>
    </w:rPr>
  </w:style>
  <w:style w:type="character" w:styleId="FootnoteReference">
    <w:name w:val="footnote reference"/>
    <w:aliases w:val="Footnote Text Char2,fr,Cha Char1"/>
    <w:basedOn w:val="DefaultParagraphFont"/>
    <w:uiPriority w:val="99"/>
    <w:unhideWhenUsed/>
    <w:rsid w:val="0001290E"/>
    <w:rPr>
      <w:vertAlign w:val="superscript"/>
    </w:rPr>
  </w:style>
  <w:style w:type="paragraph" w:styleId="ListParagraph">
    <w:name w:val="List Paragraph"/>
    <w:aliases w:val="List Paragraph 1,Scriptoria bullet points,Абзац списка1,strikethrough,standaard met opsomming,Bullet Points,Liste Paragraf,Normal bullet 2,body 2,List Paragraph1,List Paragraph2,List Bullet-OpsManual,References,Title Style 1,Абзац списка"/>
    <w:basedOn w:val="Normal"/>
    <w:link w:val="ListParagraphChar"/>
    <w:uiPriority w:val="34"/>
    <w:qFormat/>
    <w:rsid w:val="00F21340"/>
    <w:pPr>
      <w:ind w:left="720"/>
      <w:contextualSpacing/>
    </w:pPr>
  </w:style>
  <w:style w:type="character" w:styleId="CommentReference">
    <w:name w:val="annotation reference"/>
    <w:basedOn w:val="DefaultParagraphFont"/>
    <w:uiPriority w:val="99"/>
    <w:semiHidden/>
    <w:unhideWhenUsed/>
    <w:rsid w:val="00F21340"/>
    <w:rPr>
      <w:sz w:val="16"/>
      <w:szCs w:val="16"/>
    </w:rPr>
  </w:style>
  <w:style w:type="paragraph" w:styleId="CommentText">
    <w:name w:val="annotation text"/>
    <w:basedOn w:val="Normal"/>
    <w:link w:val="CommentTextChar"/>
    <w:uiPriority w:val="99"/>
    <w:semiHidden/>
    <w:unhideWhenUsed/>
    <w:rsid w:val="00F21340"/>
    <w:pPr>
      <w:spacing w:line="240" w:lineRule="auto"/>
    </w:pPr>
    <w:rPr>
      <w:sz w:val="20"/>
      <w:szCs w:val="20"/>
    </w:rPr>
  </w:style>
  <w:style w:type="character" w:customStyle="1" w:styleId="CommentTextChar">
    <w:name w:val="Comment Text Char"/>
    <w:basedOn w:val="DefaultParagraphFont"/>
    <w:link w:val="CommentText"/>
    <w:uiPriority w:val="99"/>
    <w:semiHidden/>
    <w:rsid w:val="00F21340"/>
    <w:rPr>
      <w:sz w:val="20"/>
      <w:szCs w:val="20"/>
    </w:rPr>
  </w:style>
  <w:style w:type="paragraph" w:styleId="CommentSubject">
    <w:name w:val="annotation subject"/>
    <w:basedOn w:val="CommentText"/>
    <w:next w:val="CommentText"/>
    <w:link w:val="CommentSubjectChar"/>
    <w:uiPriority w:val="99"/>
    <w:semiHidden/>
    <w:unhideWhenUsed/>
    <w:rsid w:val="00F21340"/>
    <w:rPr>
      <w:b/>
      <w:bCs/>
    </w:rPr>
  </w:style>
  <w:style w:type="character" w:customStyle="1" w:styleId="CommentSubjectChar">
    <w:name w:val="Comment Subject Char"/>
    <w:basedOn w:val="CommentTextChar"/>
    <w:link w:val="CommentSubject"/>
    <w:uiPriority w:val="99"/>
    <w:semiHidden/>
    <w:rsid w:val="00F21340"/>
    <w:rPr>
      <w:b/>
      <w:bCs/>
      <w:sz w:val="20"/>
      <w:szCs w:val="20"/>
    </w:rPr>
  </w:style>
  <w:style w:type="paragraph" w:styleId="BalloonText">
    <w:name w:val="Balloon Text"/>
    <w:basedOn w:val="Normal"/>
    <w:link w:val="BalloonTextChar"/>
    <w:uiPriority w:val="99"/>
    <w:semiHidden/>
    <w:unhideWhenUsed/>
    <w:rsid w:val="00F21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340"/>
    <w:rPr>
      <w:rFonts w:ascii="Segoe UI" w:hAnsi="Segoe UI" w:cs="Segoe UI"/>
      <w:sz w:val="18"/>
      <w:szCs w:val="18"/>
    </w:rPr>
  </w:style>
  <w:style w:type="paragraph" w:styleId="NormalWeb">
    <w:name w:val="Normal (Web)"/>
    <w:aliases w:val="Cha,Текст сноски1,Знак Знак1 Знак,Текст сноски11,Char1,Обычный (веб) Знак2,Обычный (веб) Знак1 Знак,Обычный (веб) Знак Знак Знак,Знак Знак Знак Знак,Обычный (веб) Знак Знак1,Знак Знак2,A Знак Знак,Footnote Text Char Char2,Знак"/>
    <w:basedOn w:val="Normal"/>
    <w:link w:val="NormalWebChar"/>
    <w:uiPriority w:val="99"/>
    <w:unhideWhenUsed/>
    <w:qFormat/>
    <w:rsid w:val="003421F4"/>
    <w:pPr>
      <w:spacing w:after="0" w:line="240" w:lineRule="auto"/>
      <w:ind w:firstLine="567"/>
      <w:jc w:val="both"/>
    </w:pPr>
    <w:rPr>
      <w:rFonts w:ascii="Times New Roman" w:eastAsia="Times New Roman" w:hAnsi="Times New Roman" w:cs="Times New Roman"/>
      <w:sz w:val="24"/>
      <w:szCs w:val="24"/>
    </w:rPr>
  </w:style>
  <w:style w:type="character" w:customStyle="1" w:styleId="NormalWebChar">
    <w:name w:val="Normal (Web) Char"/>
    <w:aliases w:val="Cha Char,Текст сноски1 Char,Знак Знак1 Знак Char,Текст сноски11 Char,Char1 Char,Обычный (веб) Знак2 Char,Обычный (веб) Знак1 Знак Char,Обычный (веб) Знак Знак Знак Char,Знак Знак Знак Знак Char,Обычный (веб) Знак Знак1 Char,Знак Char"/>
    <w:link w:val="NormalWeb"/>
    <w:uiPriority w:val="99"/>
    <w:locked/>
    <w:rsid w:val="003421F4"/>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B322D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322D6"/>
    <w:rPr>
      <w:rFonts w:eastAsiaTheme="minorEastAsia"/>
      <w:color w:val="5A5A5A" w:themeColor="text1" w:themeTint="A5"/>
      <w:spacing w:val="15"/>
    </w:rPr>
  </w:style>
  <w:style w:type="paragraph" w:styleId="Header">
    <w:name w:val="header"/>
    <w:basedOn w:val="Normal"/>
    <w:link w:val="HeaderChar"/>
    <w:uiPriority w:val="99"/>
    <w:unhideWhenUsed/>
    <w:rsid w:val="00776766"/>
    <w:pPr>
      <w:tabs>
        <w:tab w:val="center" w:pos="4844"/>
        <w:tab w:val="right" w:pos="9689"/>
      </w:tabs>
      <w:spacing w:after="0" w:line="240" w:lineRule="auto"/>
    </w:pPr>
  </w:style>
  <w:style w:type="character" w:customStyle="1" w:styleId="HeaderChar">
    <w:name w:val="Header Char"/>
    <w:basedOn w:val="DefaultParagraphFont"/>
    <w:link w:val="Header"/>
    <w:uiPriority w:val="99"/>
    <w:rsid w:val="00776766"/>
  </w:style>
  <w:style w:type="paragraph" w:styleId="Footer">
    <w:name w:val="footer"/>
    <w:basedOn w:val="Normal"/>
    <w:link w:val="FooterChar"/>
    <w:uiPriority w:val="99"/>
    <w:unhideWhenUsed/>
    <w:qFormat/>
    <w:rsid w:val="00776766"/>
    <w:pPr>
      <w:tabs>
        <w:tab w:val="center" w:pos="4844"/>
        <w:tab w:val="right" w:pos="9689"/>
      </w:tabs>
      <w:spacing w:after="0" w:line="240" w:lineRule="auto"/>
    </w:pPr>
  </w:style>
  <w:style w:type="character" w:customStyle="1" w:styleId="FooterChar">
    <w:name w:val="Footer Char"/>
    <w:basedOn w:val="DefaultParagraphFont"/>
    <w:link w:val="Footer"/>
    <w:uiPriority w:val="99"/>
    <w:qFormat/>
    <w:rsid w:val="00776766"/>
  </w:style>
  <w:style w:type="character" w:customStyle="1" w:styleId="ListParagraphChar">
    <w:name w:val="List Paragraph Char"/>
    <w:aliases w:val="List Paragraph 1 Char,Scriptoria bullet points Char,Абзац списка1 Char,strikethrough Char,standaard met opsomming Char,Bullet Points Char,Liste Paragraf Char,Normal bullet 2 Char,body 2 Char,List Paragraph1 Char,List Paragraph2 Char"/>
    <w:link w:val="ListParagraph"/>
    <w:uiPriority w:val="34"/>
    <w:rsid w:val="009F7587"/>
  </w:style>
  <w:style w:type="character" w:customStyle="1" w:styleId="Bodytext2">
    <w:name w:val="Body text (2)"/>
    <w:basedOn w:val="DefaultParagraphFont"/>
    <w:rsid w:val="009F7587"/>
    <w:rPr>
      <w:rFonts w:ascii="Book Antiqua" w:eastAsia="Book Antiqua" w:hAnsi="Book Antiqua" w:cs="Book Antiqua"/>
      <w:b w:val="0"/>
      <w:bCs w:val="0"/>
      <w:i w:val="0"/>
      <w:iCs w:val="0"/>
      <w:smallCaps w:val="0"/>
      <w:strike w:val="0"/>
      <w:color w:val="231F20"/>
      <w:spacing w:val="0"/>
      <w:w w:val="100"/>
      <w:position w:val="0"/>
      <w:sz w:val="22"/>
      <w:szCs w:val="22"/>
      <w:u w:val="none"/>
      <w:lang w:val="ro-RO" w:eastAsia="ro-RO" w:bidi="ro-RO"/>
    </w:rPr>
  </w:style>
  <w:style w:type="character" w:styleId="Hyperlink">
    <w:name w:val="Hyperlink"/>
    <w:basedOn w:val="DefaultParagraphFont"/>
    <w:uiPriority w:val="99"/>
    <w:semiHidden/>
    <w:unhideWhenUsed/>
    <w:rsid w:val="00CA5D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72720">
      <w:bodyDiv w:val="1"/>
      <w:marLeft w:val="0"/>
      <w:marRight w:val="0"/>
      <w:marTop w:val="0"/>
      <w:marBottom w:val="0"/>
      <w:divBdr>
        <w:top w:val="none" w:sz="0" w:space="0" w:color="auto"/>
        <w:left w:val="none" w:sz="0" w:space="0" w:color="auto"/>
        <w:bottom w:val="none" w:sz="0" w:space="0" w:color="auto"/>
        <w:right w:val="none" w:sz="0" w:space="0" w:color="auto"/>
      </w:divBdr>
    </w:div>
    <w:div w:id="163109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crm.md/ro/decisions" TargetMode="External"/><Relationship Id="rId4" Type="http://schemas.openxmlformats.org/officeDocument/2006/relationships/settings" Target="settings.xml"/><Relationship Id="rId9" Type="http://schemas.openxmlformats.org/officeDocument/2006/relationships/hyperlink" Target="https://www.md.undp.org/content/moldova/en/home/covid-19-pandemic-respons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714E6-47DD-42D3-A4C9-9BB20077A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1455</Words>
  <Characters>8298</Characters>
  <Application>Microsoft Office Word</Application>
  <DocSecurity>0</DocSecurity>
  <Lines>69</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n_balaban</dc:creator>
  <cp:keywords/>
  <dc:description/>
  <cp:lastModifiedBy>Paiu Eugenia</cp:lastModifiedBy>
  <cp:revision>4</cp:revision>
  <cp:lastPrinted>2021-12-23T12:56:00Z</cp:lastPrinted>
  <dcterms:created xsi:type="dcterms:W3CDTF">2021-12-24T06:38:00Z</dcterms:created>
  <dcterms:modified xsi:type="dcterms:W3CDTF">2021-12-24T06:42:00Z</dcterms:modified>
</cp:coreProperties>
</file>