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B1" w:rsidRPr="002621B1" w:rsidRDefault="002621B1" w:rsidP="002621B1">
      <w:pPr>
        <w:widowControl w:val="0"/>
        <w:spacing w:after="0" w:line="240" w:lineRule="auto"/>
        <w:jc w:val="center"/>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noProof/>
          <w:color w:val="000000"/>
          <w:sz w:val="24"/>
          <w:szCs w:val="24"/>
        </w:rPr>
        <w:drawing>
          <wp:inline distT="0" distB="0" distL="0" distR="0" wp14:anchorId="7417E070" wp14:editId="530A12DC">
            <wp:extent cx="982980" cy="1074622"/>
            <wp:effectExtent l="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7611" cy="1090617"/>
                    </a:xfrm>
                    <a:prstGeom prst="rect">
                      <a:avLst/>
                    </a:prstGeom>
                    <a:noFill/>
                    <a:ln w="9525">
                      <a:noFill/>
                      <a:miter lim="800000"/>
                      <a:headEnd/>
                      <a:tailEnd/>
                    </a:ln>
                  </pic:spPr>
                </pic:pic>
              </a:graphicData>
            </a:graphic>
          </wp:inline>
        </w:drawing>
      </w:r>
    </w:p>
    <w:p w:rsidR="002621B1" w:rsidRPr="002621B1" w:rsidRDefault="002621B1" w:rsidP="002621B1">
      <w:pPr>
        <w:widowControl w:val="0"/>
        <w:spacing w:after="0" w:line="274" w:lineRule="auto"/>
        <w:jc w:val="center"/>
        <w:rPr>
          <w:rFonts w:asciiTheme="majorHAnsi" w:eastAsia="Times New Roman" w:hAnsiTheme="majorHAnsi" w:cstheme="majorHAnsi"/>
          <w:iCs/>
          <w:color w:val="000000"/>
          <w:sz w:val="28"/>
          <w:szCs w:val="28"/>
          <w:lang w:val="ro-RO" w:eastAsia="ru-RU" w:bidi="ro-RO"/>
        </w:rPr>
      </w:pPr>
      <w:r w:rsidRPr="002621B1">
        <w:rPr>
          <w:rFonts w:asciiTheme="majorHAnsi" w:eastAsia="Times New Roman" w:hAnsiTheme="majorHAnsi" w:cstheme="majorHAnsi"/>
          <w:iCs/>
          <w:color w:val="000000"/>
          <w:sz w:val="28"/>
          <w:szCs w:val="28"/>
          <w:lang w:val="ro-RO" w:eastAsia="ru-RU" w:bidi="ro-RO"/>
        </w:rPr>
        <w:t>CURTEA DE CONTURI A REPUBLICII MOLDOVA</w:t>
      </w:r>
    </w:p>
    <w:p w:rsidR="002621B1" w:rsidRDefault="002621B1" w:rsidP="002621B1">
      <w:pPr>
        <w:keepNext/>
        <w:widowControl w:val="0"/>
        <w:spacing w:after="0" w:line="274" w:lineRule="auto"/>
        <w:jc w:val="center"/>
        <w:rPr>
          <w:rFonts w:asciiTheme="majorHAnsi" w:eastAsia="Times New Roman" w:hAnsiTheme="majorHAnsi" w:cstheme="majorHAnsi"/>
          <w:b/>
          <w:color w:val="000000"/>
          <w:sz w:val="28"/>
          <w:szCs w:val="28"/>
          <w:lang w:val="ro-RO" w:eastAsia="ru-RU" w:bidi="ro-RO"/>
        </w:rPr>
      </w:pPr>
    </w:p>
    <w:p w:rsidR="002621B1" w:rsidRPr="002621B1" w:rsidRDefault="00DB4447" w:rsidP="002621B1">
      <w:pPr>
        <w:keepNext/>
        <w:widowControl w:val="0"/>
        <w:spacing w:after="0" w:line="274" w:lineRule="auto"/>
        <w:jc w:val="center"/>
        <w:outlineLvl w:val="0"/>
        <w:rPr>
          <w:rFonts w:asciiTheme="majorHAnsi" w:eastAsia="Times New Roman" w:hAnsiTheme="majorHAnsi" w:cstheme="majorHAnsi"/>
          <w:b/>
          <w:color w:val="000000"/>
          <w:sz w:val="28"/>
          <w:szCs w:val="28"/>
          <w:lang w:val="ro-RO" w:eastAsia="ru-RU" w:bidi="ro-RO"/>
        </w:rPr>
      </w:pPr>
      <w:r>
        <w:rPr>
          <w:rFonts w:asciiTheme="majorHAnsi" w:eastAsia="Times New Roman" w:hAnsiTheme="majorHAnsi" w:cstheme="majorHAnsi"/>
          <w:b/>
          <w:color w:val="000000"/>
          <w:sz w:val="28"/>
          <w:szCs w:val="28"/>
          <w:lang w:val="ro-RO" w:eastAsia="ru-RU" w:bidi="ro-RO"/>
        </w:rPr>
        <w:t>H O T Ă R Â R E A  nr.14</w:t>
      </w:r>
    </w:p>
    <w:p w:rsidR="002621B1" w:rsidRPr="002621B1" w:rsidRDefault="00DB4447" w:rsidP="002621B1">
      <w:pPr>
        <w:widowControl w:val="0"/>
        <w:spacing w:after="0" w:line="274" w:lineRule="auto"/>
        <w:jc w:val="center"/>
        <w:rPr>
          <w:rFonts w:asciiTheme="majorHAnsi" w:eastAsia="Times New Roman" w:hAnsiTheme="majorHAnsi" w:cstheme="majorHAnsi"/>
          <w:color w:val="000000"/>
          <w:sz w:val="28"/>
          <w:szCs w:val="28"/>
          <w:lang w:val="ro-RO" w:eastAsia="ru-RU" w:bidi="ro-RO"/>
        </w:rPr>
      </w:pPr>
      <w:r>
        <w:rPr>
          <w:rFonts w:asciiTheme="majorHAnsi" w:eastAsia="Times New Roman" w:hAnsiTheme="majorHAnsi" w:cstheme="majorHAnsi"/>
          <w:color w:val="000000"/>
          <w:sz w:val="28"/>
          <w:szCs w:val="28"/>
          <w:lang w:val="ro-RO" w:eastAsia="ru-RU" w:bidi="ro-RO"/>
        </w:rPr>
        <w:t>din 26</w:t>
      </w:r>
      <w:r w:rsidR="002621B1" w:rsidRPr="002621B1">
        <w:rPr>
          <w:rFonts w:asciiTheme="majorHAnsi" w:eastAsia="Times New Roman" w:hAnsiTheme="majorHAnsi" w:cstheme="majorHAnsi"/>
          <w:color w:val="000000"/>
          <w:sz w:val="28"/>
          <w:szCs w:val="28"/>
          <w:lang w:val="ro-RO" w:eastAsia="ru-RU" w:bidi="ro-RO"/>
        </w:rPr>
        <w:t xml:space="preserve">   </w:t>
      </w:r>
      <w:r w:rsidR="002621B1">
        <w:rPr>
          <w:rFonts w:asciiTheme="majorHAnsi" w:eastAsia="Times New Roman" w:hAnsiTheme="majorHAnsi" w:cstheme="majorHAnsi"/>
          <w:color w:val="000000"/>
          <w:sz w:val="28"/>
          <w:szCs w:val="28"/>
          <w:lang w:val="ro-RO" w:eastAsia="ru-RU" w:bidi="ro-RO"/>
        </w:rPr>
        <w:t>aprilie</w:t>
      </w:r>
      <w:r w:rsidR="002621B1" w:rsidRPr="002621B1">
        <w:rPr>
          <w:rFonts w:asciiTheme="majorHAnsi" w:eastAsia="Times New Roman" w:hAnsiTheme="majorHAnsi" w:cstheme="majorHAnsi"/>
          <w:color w:val="000000"/>
          <w:sz w:val="28"/>
          <w:szCs w:val="28"/>
          <w:lang w:val="ro-RO" w:eastAsia="ru-RU" w:bidi="ro-RO"/>
        </w:rPr>
        <w:t xml:space="preserve">  202</w:t>
      </w:r>
      <w:r w:rsidR="002621B1">
        <w:rPr>
          <w:rFonts w:asciiTheme="majorHAnsi" w:eastAsia="Times New Roman" w:hAnsiTheme="majorHAnsi" w:cstheme="majorHAnsi"/>
          <w:color w:val="000000"/>
          <w:sz w:val="28"/>
          <w:szCs w:val="28"/>
          <w:lang w:val="ro-RO" w:eastAsia="ru-RU" w:bidi="ro-RO"/>
        </w:rPr>
        <w:t>2</w:t>
      </w:r>
    </w:p>
    <w:p w:rsidR="002621B1" w:rsidRPr="002621B1" w:rsidRDefault="002621B1" w:rsidP="002621B1">
      <w:pPr>
        <w:widowControl w:val="0"/>
        <w:spacing w:after="0" w:line="274" w:lineRule="auto"/>
        <w:jc w:val="center"/>
        <w:rPr>
          <w:rFonts w:asciiTheme="majorHAnsi" w:eastAsia="Times New Roman" w:hAnsiTheme="majorHAnsi" w:cstheme="majorHAnsi"/>
          <w:color w:val="000000"/>
          <w:sz w:val="24"/>
          <w:szCs w:val="24"/>
          <w:lang w:val="ro-RO" w:eastAsia="ru-RU" w:bidi="ro-RO"/>
        </w:rPr>
      </w:pPr>
    </w:p>
    <w:p w:rsidR="002621B1" w:rsidRPr="002621B1" w:rsidRDefault="002621B1" w:rsidP="002621B1">
      <w:pPr>
        <w:widowControl w:val="0"/>
        <w:tabs>
          <w:tab w:val="left" w:pos="900"/>
          <w:tab w:val="left" w:pos="2160"/>
        </w:tabs>
        <w:spacing w:after="0" w:line="274" w:lineRule="auto"/>
        <w:jc w:val="center"/>
        <w:rPr>
          <w:rFonts w:asciiTheme="majorHAnsi" w:eastAsia="Times New Roman" w:hAnsiTheme="majorHAnsi" w:cstheme="majorHAnsi"/>
          <w:b/>
          <w:color w:val="000000"/>
          <w:sz w:val="24"/>
          <w:szCs w:val="24"/>
          <w:lang w:val="ro-RO" w:eastAsia="ru-RU" w:bidi="ro-RO"/>
        </w:rPr>
      </w:pPr>
      <w:r w:rsidRPr="002621B1">
        <w:rPr>
          <w:rFonts w:asciiTheme="majorHAnsi" w:eastAsia="Times New Roman" w:hAnsiTheme="majorHAnsi" w:cstheme="majorHAnsi"/>
          <w:b/>
          <w:color w:val="000000"/>
          <w:sz w:val="24"/>
          <w:szCs w:val="24"/>
          <w:lang w:val="ro-RO" w:eastAsia="ru-RU" w:bidi="ro-RO"/>
        </w:rPr>
        <w:t xml:space="preserve">cu privire la Raportul auditului performanței cu tema: </w:t>
      </w:r>
    </w:p>
    <w:p w:rsidR="002621B1" w:rsidRPr="002621B1" w:rsidRDefault="002621B1" w:rsidP="002621B1">
      <w:pPr>
        <w:widowControl w:val="0"/>
        <w:tabs>
          <w:tab w:val="left" w:pos="900"/>
          <w:tab w:val="left" w:pos="2160"/>
        </w:tabs>
        <w:spacing w:after="0" w:line="274" w:lineRule="auto"/>
        <w:jc w:val="center"/>
        <w:rPr>
          <w:rFonts w:asciiTheme="majorHAnsi" w:eastAsia="Times New Roman" w:hAnsiTheme="majorHAnsi" w:cstheme="majorHAnsi"/>
          <w:b/>
          <w:color w:val="000000"/>
          <w:sz w:val="24"/>
          <w:szCs w:val="24"/>
          <w:lang w:val="ro-RO" w:eastAsia="ru-RU" w:bidi="ro-RO"/>
        </w:rPr>
      </w:pPr>
      <w:r w:rsidRPr="002621B1">
        <w:rPr>
          <w:rFonts w:asciiTheme="majorHAnsi" w:eastAsia="Times New Roman" w:hAnsiTheme="majorHAnsi" w:cstheme="majorHAnsi"/>
          <w:b/>
          <w:color w:val="000000"/>
          <w:sz w:val="24"/>
          <w:szCs w:val="24"/>
          <w:lang w:val="ro-RO" w:eastAsia="ru-RU" w:bidi="ro-RO"/>
        </w:rPr>
        <w:t xml:space="preserve">„Măsurile întreprinse și resursele investite în implementarea și dezvoltarea Sistemului informațional automatizat de gestionare și eliberare a actelor permisive (SIA GEAP) contribuie la atingerea scopului și obiectivelor stabilite?” </w:t>
      </w:r>
    </w:p>
    <w:p w:rsidR="002621B1" w:rsidRPr="002621B1" w:rsidRDefault="002621B1" w:rsidP="002621B1">
      <w:pPr>
        <w:widowControl w:val="0"/>
        <w:tabs>
          <w:tab w:val="left" w:pos="0"/>
        </w:tabs>
        <w:spacing w:after="0" w:line="274" w:lineRule="auto"/>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 xml:space="preserve">                                                                                       </w:t>
      </w:r>
    </w:p>
    <w:p w:rsidR="002621B1" w:rsidRPr="002621B1" w:rsidRDefault="002621B1" w:rsidP="00B63E6A">
      <w:pPr>
        <w:widowControl w:val="0"/>
        <w:tabs>
          <w:tab w:val="left" w:pos="900"/>
          <w:tab w:val="left" w:pos="2160"/>
        </w:tabs>
        <w:spacing w:after="0" w:line="274" w:lineRule="auto"/>
        <w:jc w:val="both"/>
        <w:rPr>
          <w:rFonts w:asciiTheme="majorHAnsi" w:eastAsia="Times New Roman" w:hAnsiTheme="majorHAnsi" w:cstheme="majorHAnsi"/>
          <w:bCs/>
          <w:iCs/>
          <w:color w:val="000000"/>
          <w:sz w:val="24"/>
          <w:szCs w:val="24"/>
          <w:lang w:val="ro-RO" w:eastAsia="ru-RU" w:bidi="ro-RO"/>
        </w:rPr>
      </w:pPr>
      <w:r w:rsidRPr="002621B1">
        <w:rPr>
          <w:rFonts w:asciiTheme="majorHAnsi" w:eastAsia="Times New Roman" w:hAnsiTheme="majorHAnsi" w:cstheme="majorHAnsi"/>
          <w:bCs/>
          <w:iCs/>
          <w:color w:val="000000"/>
          <w:sz w:val="24"/>
          <w:szCs w:val="24"/>
          <w:lang w:val="ro-RO" w:eastAsia="ru-RU" w:bidi="ro-RO"/>
        </w:rPr>
        <w:t xml:space="preserve">Curtea de Conturi, cu participarea </w:t>
      </w:r>
      <w:r w:rsidR="00EC7AC4" w:rsidRPr="00514047">
        <w:rPr>
          <w:rFonts w:asciiTheme="majorHAnsi" w:eastAsia="Times New Roman" w:hAnsiTheme="majorHAnsi" w:cstheme="majorHAnsi"/>
          <w:bCs/>
          <w:iCs/>
          <w:color w:val="000000"/>
          <w:sz w:val="24"/>
          <w:szCs w:val="24"/>
          <w:lang w:val="ro-RO" w:eastAsia="ru-RU" w:bidi="ro-RO"/>
        </w:rPr>
        <w:t>Secretar</w:t>
      </w:r>
      <w:r w:rsidR="00EC7AC4">
        <w:rPr>
          <w:rFonts w:asciiTheme="majorHAnsi" w:eastAsia="Times New Roman" w:hAnsiTheme="majorHAnsi" w:cstheme="majorHAnsi"/>
          <w:bCs/>
          <w:iCs/>
          <w:color w:val="000000"/>
          <w:sz w:val="24"/>
          <w:szCs w:val="24"/>
          <w:lang w:val="ro-RO" w:eastAsia="ru-RU" w:bidi="ro-RO"/>
        </w:rPr>
        <w:t>ei</w:t>
      </w:r>
      <w:r w:rsidR="00EC7AC4" w:rsidRPr="00514047">
        <w:rPr>
          <w:rFonts w:asciiTheme="majorHAnsi" w:eastAsia="Times New Roman" w:hAnsiTheme="majorHAnsi" w:cstheme="majorHAnsi"/>
          <w:bCs/>
          <w:iCs/>
          <w:color w:val="000000"/>
          <w:sz w:val="24"/>
          <w:szCs w:val="24"/>
          <w:lang w:val="ro-RO" w:eastAsia="ru-RU" w:bidi="ro-RO"/>
        </w:rPr>
        <w:t xml:space="preserve"> general</w:t>
      </w:r>
      <w:r w:rsidR="00EC7AC4">
        <w:rPr>
          <w:rFonts w:asciiTheme="majorHAnsi" w:eastAsia="Times New Roman" w:hAnsiTheme="majorHAnsi" w:cstheme="majorHAnsi"/>
          <w:bCs/>
          <w:iCs/>
          <w:color w:val="000000"/>
          <w:sz w:val="24"/>
          <w:szCs w:val="24"/>
          <w:lang w:val="ro-RO" w:eastAsia="ru-RU" w:bidi="ro-RO"/>
        </w:rPr>
        <w:t>e</w:t>
      </w:r>
      <w:r w:rsidR="00EC7AC4" w:rsidRPr="00514047">
        <w:rPr>
          <w:rFonts w:asciiTheme="majorHAnsi" w:eastAsia="Times New Roman" w:hAnsiTheme="majorHAnsi" w:cstheme="majorHAnsi"/>
          <w:bCs/>
          <w:iCs/>
          <w:color w:val="000000"/>
          <w:sz w:val="24"/>
          <w:szCs w:val="24"/>
          <w:lang w:val="ro-RO" w:eastAsia="ru-RU" w:bidi="ro-RO"/>
        </w:rPr>
        <w:t xml:space="preserve"> adjunct</w:t>
      </w:r>
      <w:r w:rsidR="00EC7AC4">
        <w:rPr>
          <w:rFonts w:asciiTheme="majorHAnsi" w:eastAsia="Times New Roman" w:hAnsiTheme="majorHAnsi" w:cstheme="majorHAnsi"/>
          <w:bCs/>
          <w:iCs/>
          <w:color w:val="000000"/>
          <w:sz w:val="24"/>
          <w:szCs w:val="24"/>
          <w:lang w:val="ro-RO" w:eastAsia="ru-RU" w:bidi="ro-RO"/>
        </w:rPr>
        <w:t>e a</w:t>
      </w:r>
      <w:r w:rsidR="00EC7AC4" w:rsidRPr="00514047">
        <w:rPr>
          <w:rFonts w:asciiTheme="majorHAnsi" w:eastAsia="Times New Roman" w:hAnsiTheme="majorHAnsi" w:cstheme="majorHAnsi"/>
          <w:bCs/>
          <w:iCs/>
          <w:color w:val="000000"/>
          <w:sz w:val="24"/>
          <w:szCs w:val="24"/>
          <w:lang w:val="ro-RO" w:eastAsia="ru-RU" w:bidi="ro-RO"/>
        </w:rPr>
        <w:t xml:space="preserve"> Guvernului</w:t>
      </w:r>
      <w:r w:rsidR="00EC7AC4">
        <w:rPr>
          <w:rFonts w:asciiTheme="majorHAnsi" w:eastAsia="Times New Roman" w:hAnsiTheme="majorHAnsi" w:cstheme="majorHAnsi"/>
          <w:bCs/>
          <w:iCs/>
          <w:color w:val="000000"/>
          <w:sz w:val="24"/>
          <w:szCs w:val="24"/>
          <w:lang w:val="ro-RO" w:eastAsia="ru-RU" w:bidi="ro-RO"/>
        </w:rPr>
        <w:t>, dna Svetlana Țurcanu; Președintei</w:t>
      </w:r>
      <w:r w:rsidR="00EC7AC4" w:rsidRPr="00EC7AC4">
        <w:rPr>
          <w:rFonts w:asciiTheme="majorHAnsi" w:eastAsia="Times New Roman" w:hAnsiTheme="majorHAnsi" w:cstheme="majorHAnsi"/>
          <w:bCs/>
          <w:iCs/>
          <w:color w:val="000000"/>
          <w:sz w:val="24"/>
          <w:szCs w:val="24"/>
          <w:lang w:val="ro-RO" w:eastAsia="ru-RU" w:bidi="ro-RO"/>
        </w:rPr>
        <w:t xml:space="preserve"> Comisi</w:t>
      </w:r>
      <w:r w:rsidR="00EC7AC4">
        <w:rPr>
          <w:rFonts w:asciiTheme="majorHAnsi" w:eastAsia="Times New Roman" w:hAnsiTheme="majorHAnsi" w:cstheme="majorHAnsi"/>
          <w:bCs/>
          <w:iCs/>
          <w:color w:val="000000"/>
          <w:sz w:val="24"/>
          <w:szCs w:val="24"/>
          <w:lang w:val="ro-RO" w:eastAsia="ru-RU" w:bidi="ro-RO"/>
        </w:rPr>
        <w:t>ei</w:t>
      </w:r>
      <w:r w:rsidR="00EC7AC4" w:rsidRPr="00EC7AC4">
        <w:rPr>
          <w:rFonts w:asciiTheme="majorHAnsi" w:eastAsia="Times New Roman" w:hAnsiTheme="majorHAnsi" w:cstheme="majorHAnsi"/>
          <w:bCs/>
          <w:iCs/>
          <w:color w:val="000000"/>
          <w:sz w:val="24"/>
          <w:szCs w:val="24"/>
          <w:lang w:val="ro-RO" w:eastAsia="ru-RU" w:bidi="ro-RO"/>
        </w:rPr>
        <w:t xml:space="preserve"> Național</w:t>
      </w:r>
      <w:r w:rsidR="00EC7AC4">
        <w:rPr>
          <w:rFonts w:asciiTheme="majorHAnsi" w:eastAsia="Times New Roman" w:hAnsiTheme="majorHAnsi" w:cstheme="majorHAnsi"/>
          <w:bCs/>
          <w:iCs/>
          <w:color w:val="000000"/>
          <w:sz w:val="24"/>
          <w:szCs w:val="24"/>
          <w:lang w:val="ro-RO" w:eastAsia="ru-RU" w:bidi="ro-RO"/>
        </w:rPr>
        <w:t>e</w:t>
      </w:r>
      <w:r w:rsidR="00EC7AC4" w:rsidRPr="00EC7AC4">
        <w:rPr>
          <w:rFonts w:asciiTheme="majorHAnsi" w:eastAsia="Times New Roman" w:hAnsiTheme="majorHAnsi" w:cstheme="majorHAnsi"/>
          <w:bCs/>
          <w:iCs/>
          <w:color w:val="000000"/>
          <w:sz w:val="24"/>
          <w:szCs w:val="24"/>
          <w:lang w:val="ro-RO" w:eastAsia="ru-RU" w:bidi="ro-RO"/>
        </w:rPr>
        <w:t xml:space="preserve"> a Pieței Financiare</w:t>
      </w:r>
      <w:r w:rsidR="00EC7AC4">
        <w:rPr>
          <w:rFonts w:asciiTheme="majorHAnsi" w:eastAsia="Times New Roman" w:hAnsiTheme="majorHAnsi" w:cstheme="majorHAnsi"/>
          <w:bCs/>
          <w:iCs/>
          <w:color w:val="000000"/>
          <w:sz w:val="24"/>
          <w:szCs w:val="24"/>
          <w:lang w:val="ro-RO" w:eastAsia="ru-RU" w:bidi="ro-RO"/>
        </w:rPr>
        <w:t xml:space="preserve">, dna Cornelia </w:t>
      </w:r>
      <w:proofErr w:type="spellStart"/>
      <w:r w:rsidR="00EC7AC4">
        <w:rPr>
          <w:rFonts w:asciiTheme="majorHAnsi" w:eastAsia="Times New Roman" w:hAnsiTheme="majorHAnsi" w:cstheme="majorHAnsi"/>
          <w:bCs/>
          <w:iCs/>
          <w:color w:val="000000"/>
          <w:sz w:val="24"/>
          <w:szCs w:val="24"/>
          <w:lang w:val="ro-RO" w:eastAsia="ru-RU" w:bidi="ro-RO"/>
        </w:rPr>
        <w:t>Cozlovschi</w:t>
      </w:r>
      <w:proofErr w:type="spellEnd"/>
      <w:r w:rsidR="00EC7AC4">
        <w:rPr>
          <w:rFonts w:asciiTheme="majorHAnsi" w:eastAsia="Times New Roman" w:hAnsiTheme="majorHAnsi" w:cstheme="majorHAnsi"/>
          <w:bCs/>
          <w:iCs/>
          <w:color w:val="000000"/>
          <w:sz w:val="24"/>
          <w:szCs w:val="24"/>
          <w:lang w:val="ro-RO" w:eastAsia="ru-RU" w:bidi="ro-RO"/>
        </w:rPr>
        <w:t xml:space="preserve">; </w:t>
      </w:r>
      <w:r w:rsidR="00AE6C94" w:rsidRPr="00AE6C94">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ului</w:t>
      </w:r>
      <w:r w:rsidR="00AE6C94" w:rsidRPr="00AE6C94">
        <w:rPr>
          <w:rFonts w:asciiTheme="majorHAnsi" w:eastAsia="Times New Roman" w:hAnsiTheme="majorHAnsi" w:cstheme="majorHAnsi"/>
          <w:bCs/>
          <w:iCs/>
          <w:color w:val="000000"/>
          <w:sz w:val="24"/>
          <w:szCs w:val="24"/>
          <w:lang w:val="ro-RO" w:eastAsia="ru-RU" w:bidi="ro-RO"/>
        </w:rPr>
        <w:t xml:space="preserve"> adjunct al Departamentu</w:t>
      </w:r>
      <w:r w:rsidR="00AE6C94">
        <w:rPr>
          <w:rFonts w:asciiTheme="majorHAnsi" w:eastAsia="Times New Roman" w:hAnsiTheme="majorHAnsi" w:cstheme="majorHAnsi"/>
          <w:bCs/>
          <w:iCs/>
          <w:color w:val="000000"/>
          <w:sz w:val="24"/>
          <w:szCs w:val="24"/>
          <w:lang w:val="ro-RO" w:eastAsia="ru-RU" w:bidi="ro-RO"/>
        </w:rPr>
        <w:t>lui reglementare și autorizare din cadrul Bă</w:t>
      </w:r>
      <w:r w:rsidR="00AE6C94" w:rsidRPr="00AE6C94">
        <w:rPr>
          <w:rFonts w:asciiTheme="majorHAnsi" w:eastAsia="Times New Roman" w:hAnsiTheme="majorHAnsi" w:cstheme="majorHAnsi"/>
          <w:bCs/>
          <w:iCs/>
          <w:color w:val="000000"/>
          <w:sz w:val="24"/>
          <w:szCs w:val="24"/>
          <w:lang w:val="ro-RO" w:eastAsia="ru-RU" w:bidi="ro-RO"/>
        </w:rPr>
        <w:t>nc</w:t>
      </w:r>
      <w:r w:rsidR="00AE6C94">
        <w:rPr>
          <w:rFonts w:asciiTheme="majorHAnsi" w:eastAsia="Times New Roman" w:hAnsiTheme="majorHAnsi" w:cstheme="majorHAnsi"/>
          <w:bCs/>
          <w:iCs/>
          <w:color w:val="000000"/>
          <w:sz w:val="24"/>
          <w:szCs w:val="24"/>
          <w:lang w:val="ro-RO" w:eastAsia="ru-RU" w:bidi="ro-RO"/>
        </w:rPr>
        <w:t>ii</w:t>
      </w:r>
      <w:r w:rsidR="00AE6C94" w:rsidRPr="00AE6C94">
        <w:rPr>
          <w:rFonts w:asciiTheme="majorHAnsi" w:eastAsia="Times New Roman" w:hAnsiTheme="majorHAnsi" w:cstheme="majorHAnsi"/>
          <w:bCs/>
          <w:iCs/>
          <w:color w:val="000000"/>
          <w:sz w:val="24"/>
          <w:szCs w:val="24"/>
          <w:lang w:val="ro-RO" w:eastAsia="ru-RU" w:bidi="ro-RO"/>
        </w:rPr>
        <w:t xml:space="preserve"> Național</w:t>
      </w:r>
      <w:r w:rsidR="00AE6C94">
        <w:rPr>
          <w:rFonts w:asciiTheme="majorHAnsi" w:eastAsia="Times New Roman" w:hAnsiTheme="majorHAnsi" w:cstheme="majorHAnsi"/>
          <w:bCs/>
          <w:iCs/>
          <w:color w:val="000000"/>
          <w:sz w:val="24"/>
          <w:szCs w:val="24"/>
          <w:lang w:val="ro-RO" w:eastAsia="ru-RU" w:bidi="ro-RO"/>
        </w:rPr>
        <w:t>e</w:t>
      </w:r>
      <w:r w:rsidR="00AE6C94" w:rsidRPr="00AE6C94">
        <w:rPr>
          <w:rFonts w:asciiTheme="majorHAnsi" w:eastAsia="Times New Roman" w:hAnsiTheme="majorHAnsi" w:cstheme="majorHAnsi"/>
          <w:bCs/>
          <w:iCs/>
          <w:color w:val="000000"/>
          <w:sz w:val="24"/>
          <w:szCs w:val="24"/>
          <w:lang w:val="ro-RO" w:eastAsia="ru-RU" w:bidi="ro-RO"/>
        </w:rPr>
        <w:t xml:space="preserve"> a Moldovei</w:t>
      </w:r>
      <w:r w:rsidR="00AE6C94">
        <w:rPr>
          <w:rFonts w:asciiTheme="majorHAnsi" w:eastAsia="Times New Roman" w:hAnsiTheme="majorHAnsi" w:cstheme="majorHAnsi"/>
          <w:bCs/>
          <w:iCs/>
          <w:color w:val="000000"/>
          <w:sz w:val="24"/>
          <w:szCs w:val="24"/>
          <w:lang w:val="ro-RO" w:eastAsia="ru-RU" w:bidi="ro-RO"/>
        </w:rPr>
        <w:t>, dl Vladimir Țurcanu</w:t>
      </w:r>
      <w:r w:rsidR="0078771B">
        <w:rPr>
          <w:rFonts w:asciiTheme="majorHAnsi" w:eastAsia="Times New Roman" w:hAnsiTheme="majorHAnsi" w:cstheme="majorHAnsi"/>
          <w:bCs/>
          <w:iCs/>
          <w:color w:val="000000"/>
          <w:sz w:val="24"/>
          <w:szCs w:val="24"/>
          <w:lang w:val="ro-RO" w:eastAsia="ru-RU" w:bidi="ro-RO"/>
        </w:rPr>
        <w:t>;</w:t>
      </w:r>
      <w:r w:rsidR="00AE6C94">
        <w:t xml:space="preserve"> </w:t>
      </w:r>
      <w:r w:rsidR="00AE6C94" w:rsidRPr="00AE6C94">
        <w:rPr>
          <w:rFonts w:asciiTheme="majorHAnsi" w:eastAsia="Times New Roman" w:hAnsiTheme="majorHAnsi" w:cstheme="majorHAnsi"/>
          <w:bCs/>
          <w:iCs/>
          <w:color w:val="000000"/>
          <w:sz w:val="24"/>
          <w:szCs w:val="24"/>
          <w:lang w:val="ro-RO" w:eastAsia="ru-RU" w:bidi="ro-RO"/>
        </w:rPr>
        <w:t>Secretar</w:t>
      </w:r>
      <w:r w:rsidR="00AE6C94">
        <w:rPr>
          <w:rFonts w:asciiTheme="majorHAnsi" w:eastAsia="Times New Roman" w:hAnsiTheme="majorHAnsi" w:cstheme="majorHAnsi"/>
          <w:bCs/>
          <w:iCs/>
          <w:color w:val="000000"/>
          <w:sz w:val="24"/>
          <w:szCs w:val="24"/>
          <w:lang w:val="ro-RO" w:eastAsia="ru-RU" w:bidi="ro-RO"/>
        </w:rPr>
        <w:t>ei generale a</w:t>
      </w:r>
      <w:r w:rsidR="00AE6C94" w:rsidRPr="00AE6C94">
        <w:rPr>
          <w:rFonts w:asciiTheme="majorHAnsi" w:eastAsia="Times New Roman" w:hAnsiTheme="majorHAnsi" w:cstheme="majorHAnsi"/>
          <w:bCs/>
          <w:iCs/>
          <w:color w:val="000000"/>
          <w:sz w:val="24"/>
          <w:szCs w:val="24"/>
          <w:lang w:val="ro-RO" w:eastAsia="ru-RU" w:bidi="ro-RO"/>
        </w:rPr>
        <w:t xml:space="preserve"> Comisi</w:t>
      </w:r>
      <w:r w:rsidR="00AE6C94">
        <w:rPr>
          <w:rFonts w:asciiTheme="majorHAnsi" w:eastAsia="Times New Roman" w:hAnsiTheme="majorHAnsi" w:cstheme="majorHAnsi"/>
          <w:bCs/>
          <w:iCs/>
          <w:color w:val="000000"/>
          <w:sz w:val="24"/>
          <w:szCs w:val="24"/>
          <w:lang w:val="ro-RO" w:eastAsia="ru-RU" w:bidi="ro-RO"/>
        </w:rPr>
        <w:t>ei</w:t>
      </w:r>
      <w:r w:rsidR="00AE6C94" w:rsidRPr="00AE6C94">
        <w:rPr>
          <w:rFonts w:asciiTheme="majorHAnsi" w:eastAsia="Times New Roman" w:hAnsiTheme="majorHAnsi" w:cstheme="majorHAnsi"/>
          <w:bCs/>
          <w:iCs/>
          <w:color w:val="000000"/>
          <w:sz w:val="24"/>
          <w:szCs w:val="24"/>
          <w:lang w:val="ro-RO" w:eastAsia="ru-RU" w:bidi="ro-RO"/>
        </w:rPr>
        <w:t xml:space="preserve"> Național</w:t>
      </w:r>
      <w:r w:rsidR="004D4AE4">
        <w:rPr>
          <w:rFonts w:asciiTheme="majorHAnsi" w:eastAsia="Times New Roman" w:hAnsiTheme="majorHAnsi" w:cstheme="majorHAnsi"/>
          <w:bCs/>
          <w:iCs/>
          <w:color w:val="000000"/>
          <w:sz w:val="24"/>
          <w:szCs w:val="24"/>
          <w:lang w:val="ro-RO" w:eastAsia="ru-RU" w:bidi="ro-RO"/>
        </w:rPr>
        <w:t>e</w:t>
      </w:r>
      <w:r w:rsidR="00AE6C94" w:rsidRPr="00AE6C94">
        <w:rPr>
          <w:rFonts w:asciiTheme="majorHAnsi" w:eastAsia="Times New Roman" w:hAnsiTheme="majorHAnsi" w:cstheme="majorHAnsi"/>
          <w:bCs/>
          <w:iCs/>
          <w:color w:val="000000"/>
          <w:sz w:val="24"/>
          <w:szCs w:val="24"/>
          <w:lang w:val="ro-RO" w:eastAsia="ru-RU" w:bidi="ro-RO"/>
        </w:rPr>
        <w:t xml:space="preserve"> a Pieței Financiare</w:t>
      </w:r>
      <w:r>
        <w:rPr>
          <w:rFonts w:asciiTheme="majorHAnsi" w:eastAsia="Times New Roman" w:hAnsiTheme="majorHAnsi" w:cstheme="majorHAnsi"/>
          <w:bCs/>
          <w:iCs/>
          <w:color w:val="000000"/>
          <w:sz w:val="24"/>
          <w:szCs w:val="24"/>
          <w:lang w:val="ro-RO" w:eastAsia="ru-RU" w:bidi="ro-RO"/>
        </w:rPr>
        <w:t xml:space="preserve">, </w:t>
      </w:r>
      <w:r w:rsidR="00AE6C94">
        <w:rPr>
          <w:rFonts w:asciiTheme="majorHAnsi" w:eastAsia="Times New Roman" w:hAnsiTheme="majorHAnsi" w:cstheme="majorHAnsi"/>
          <w:bCs/>
          <w:iCs/>
          <w:color w:val="000000"/>
          <w:sz w:val="24"/>
          <w:szCs w:val="24"/>
          <w:lang w:val="ro-RO" w:eastAsia="ru-RU" w:bidi="ro-RO"/>
        </w:rPr>
        <w:t>dna Elena Pui</w:t>
      </w:r>
      <w:r w:rsidR="0078771B">
        <w:rPr>
          <w:rFonts w:asciiTheme="majorHAnsi" w:eastAsia="Times New Roman" w:hAnsiTheme="majorHAnsi" w:cstheme="majorHAnsi"/>
          <w:bCs/>
          <w:iCs/>
          <w:color w:val="000000"/>
          <w:sz w:val="24"/>
          <w:szCs w:val="24"/>
          <w:lang w:val="ro-RO" w:eastAsia="ru-RU" w:bidi="ro-RO"/>
        </w:rPr>
        <w:t>;</w:t>
      </w:r>
      <w:r w:rsidR="00514047" w:rsidRPr="00514047">
        <w:t xml:space="preserve"> </w:t>
      </w:r>
      <w:r w:rsidR="00AE6C94" w:rsidRPr="002621B1">
        <w:rPr>
          <w:rFonts w:asciiTheme="majorHAnsi" w:eastAsia="Times New Roman" w:hAnsiTheme="majorHAnsi" w:cstheme="majorHAnsi"/>
          <w:bCs/>
          <w:iCs/>
          <w:color w:val="000000"/>
          <w:sz w:val="24"/>
          <w:szCs w:val="24"/>
          <w:lang w:val="ro-RO" w:eastAsia="ru-RU" w:bidi="ro-RO"/>
        </w:rPr>
        <w:t>Directoare</w:t>
      </w:r>
      <w:r w:rsidR="00AE6C94">
        <w:rPr>
          <w:rFonts w:asciiTheme="majorHAnsi" w:eastAsia="Times New Roman" w:hAnsiTheme="majorHAnsi" w:cstheme="majorHAnsi"/>
          <w:bCs/>
          <w:iCs/>
          <w:color w:val="000000"/>
          <w:sz w:val="24"/>
          <w:szCs w:val="24"/>
          <w:lang w:val="ro-RO" w:eastAsia="ru-RU" w:bidi="ro-RO"/>
        </w:rPr>
        <w:t xml:space="preserve">i Instituției </w:t>
      </w:r>
      <w:r w:rsidR="00AE6C94" w:rsidRPr="002621B1">
        <w:rPr>
          <w:rFonts w:asciiTheme="majorHAnsi" w:eastAsia="Times New Roman" w:hAnsiTheme="majorHAnsi" w:cstheme="majorHAnsi"/>
          <w:bCs/>
          <w:iCs/>
          <w:color w:val="000000"/>
          <w:sz w:val="24"/>
          <w:szCs w:val="24"/>
          <w:lang w:val="ro-RO" w:eastAsia="ru-RU" w:bidi="ro-RO"/>
        </w:rPr>
        <w:t>P</w:t>
      </w:r>
      <w:r w:rsidR="00AE6C94">
        <w:rPr>
          <w:rFonts w:asciiTheme="majorHAnsi" w:eastAsia="Times New Roman" w:hAnsiTheme="majorHAnsi" w:cstheme="majorHAnsi"/>
          <w:bCs/>
          <w:iCs/>
          <w:color w:val="000000"/>
          <w:sz w:val="24"/>
          <w:szCs w:val="24"/>
          <w:lang w:val="ro-RO" w:eastAsia="ru-RU" w:bidi="ro-RO"/>
        </w:rPr>
        <w:t>ublice</w:t>
      </w:r>
      <w:r w:rsidR="00AE6C94" w:rsidRPr="002621B1">
        <w:rPr>
          <w:rFonts w:asciiTheme="majorHAnsi" w:eastAsia="Times New Roman" w:hAnsiTheme="majorHAnsi" w:cstheme="majorHAnsi"/>
          <w:bCs/>
          <w:iCs/>
          <w:color w:val="000000"/>
          <w:sz w:val="24"/>
          <w:szCs w:val="24"/>
          <w:lang w:val="ro-RO" w:eastAsia="ru-RU" w:bidi="ro-RO"/>
        </w:rPr>
        <w:t xml:space="preserve"> „Agenția de Guvernare Electronică”</w:t>
      </w:r>
      <w:r w:rsidR="00AE6C94">
        <w:rPr>
          <w:rFonts w:asciiTheme="majorHAnsi" w:eastAsia="Times New Roman" w:hAnsiTheme="majorHAnsi" w:cstheme="majorHAnsi"/>
          <w:bCs/>
          <w:iCs/>
          <w:color w:val="000000"/>
          <w:sz w:val="24"/>
          <w:szCs w:val="24"/>
          <w:lang w:val="ro-RO" w:eastAsia="ru-RU" w:bidi="ro-RO"/>
        </w:rPr>
        <w:t xml:space="preserve">, dna </w:t>
      </w:r>
      <w:r w:rsidR="00AE6C94" w:rsidRPr="002621B1">
        <w:rPr>
          <w:rFonts w:asciiTheme="majorHAnsi" w:eastAsia="Times New Roman" w:hAnsiTheme="majorHAnsi" w:cstheme="majorHAnsi"/>
          <w:bCs/>
          <w:iCs/>
          <w:color w:val="000000"/>
          <w:sz w:val="24"/>
          <w:szCs w:val="24"/>
          <w:lang w:val="ro-RO" w:eastAsia="ru-RU" w:bidi="ro-RO"/>
        </w:rPr>
        <w:t xml:space="preserve">Olga </w:t>
      </w:r>
      <w:proofErr w:type="spellStart"/>
      <w:r w:rsidR="00AE6C94" w:rsidRPr="002621B1">
        <w:rPr>
          <w:rFonts w:asciiTheme="majorHAnsi" w:eastAsia="Times New Roman" w:hAnsiTheme="majorHAnsi" w:cstheme="majorHAnsi"/>
          <w:bCs/>
          <w:iCs/>
          <w:color w:val="000000"/>
          <w:sz w:val="24"/>
          <w:szCs w:val="24"/>
          <w:lang w:val="ro-RO" w:eastAsia="ru-RU" w:bidi="ro-RO"/>
        </w:rPr>
        <w:t>Tumuruc</w:t>
      </w:r>
      <w:proofErr w:type="spellEnd"/>
      <w:r w:rsidR="00AE6C94">
        <w:rPr>
          <w:rFonts w:asciiTheme="majorHAnsi" w:eastAsia="Times New Roman" w:hAnsiTheme="majorHAnsi" w:cstheme="majorHAnsi"/>
          <w:bCs/>
          <w:iCs/>
          <w:color w:val="000000"/>
          <w:sz w:val="24"/>
          <w:szCs w:val="24"/>
          <w:lang w:val="ro-RO" w:eastAsia="ru-RU" w:bidi="ro-RO"/>
        </w:rPr>
        <w:t xml:space="preserve">; Directorului adjunct al Instituției </w:t>
      </w:r>
      <w:r w:rsidR="00AE6C94" w:rsidRPr="002621B1">
        <w:rPr>
          <w:rFonts w:asciiTheme="majorHAnsi" w:eastAsia="Times New Roman" w:hAnsiTheme="majorHAnsi" w:cstheme="majorHAnsi"/>
          <w:bCs/>
          <w:iCs/>
          <w:color w:val="000000"/>
          <w:sz w:val="24"/>
          <w:szCs w:val="24"/>
          <w:lang w:val="ro-RO" w:eastAsia="ru-RU" w:bidi="ro-RO"/>
        </w:rPr>
        <w:t>P</w:t>
      </w:r>
      <w:r w:rsidR="00AE6C94">
        <w:rPr>
          <w:rFonts w:asciiTheme="majorHAnsi" w:eastAsia="Times New Roman" w:hAnsiTheme="majorHAnsi" w:cstheme="majorHAnsi"/>
          <w:bCs/>
          <w:iCs/>
          <w:color w:val="000000"/>
          <w:sz w:val="24"/>
          <w:szCs w:val="24"/>
          <w:lang w:val="ro-RO" w:eastAsia="ru-RU" w:bidi="ro-RO"/>
        </w:rPr>
        <w:t>ublice</w:t>
      </w:r>
      <w:r w:rsidR="00AE6C94" w:rsidRPr="002621B1">
        <w:rPr>
          <w:rFonts w:asciiTheme="majorHAnsi" w:eastAsia="Times New Roman" w:hAnsiTheme="majorHAnsi" w:cstheme="majorHAnsi"/>
          <w:bCs/>
          <w:iCs/>
          <w:color w:val="000000"/>
          <w:sz w:val="24"/>
          <w:szCs w:val="24"/>
          <w:lang w:val="ro-RO" w:eastAsia="ru-RU" w:bidi="ro-RO"/>
        </w:rPr>
        <w:t xml:space="preserve"> „Agenția Servicii Publice”</w:t>
      </w:r>
      <w:r w:rsidR="00AE6C94">
        <w:rPr>
          <w:rFonts w:asciiTheme="majorHAnsi" w:eastAsia="Times New Roman" w:hAnsiTheme="majorHAnsi" w:cstheme="majorHAnsi"/>
          <w:bCs/>
          <w:iCs/>
          <w:color w:val="000000"/>
          <w:sz w:val="24"/>
          <w:szCs w:val="24"/>
          <w:lang w:val="ro-RO" w:eastAsia="ru-RU" w:bidi="ro-RO"/>
        </w:rPr>
        <w:t xml:space="preserve">, dl Sergiu Manic; </w:t>
      </w:r>
      <w:r w:rsidR="00AE6C94" w:rsidRPr="0078771B">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ului Unității de Implementare a Proiectului</w:t>
      </w:r>
      <w:r w:rsidR="00AE6C94" w:rsidRPr="0078771B">
        <w:rPr>
          <w:rFonts w:asciiTheme="majorHAnsi" w:eastAsia="Times New Roman" w:hAnsiTheme="majorHAnsi" w:cstheme="majorHAnsi"/>
          <w:bCs/>
          <w:iCs/>
          <w:color w:val="000000"/>
          <w:sz w:val="24"/>
          <w:szCs w:val="24"/>
          <w:lang w:val="ro-RO" w:eastAsia="ru-RU" w:bidi="ro-RO"/>
        </w:rPr>
        <w:t xml:space="preserve"> Băncii Mondiale de Ameliorare a Competitivității (UIPAC)</w:t>
      </w:r>
      <w:r w:rsidR="00AE6C94">
        <w:rPr>
          <w:rFonts w:asciiTheme="majorHAnsi" w:eastAsia="Times New Roman" w:hAnsiTheme="majorHAnsi" w:cstheme="majorHAnsi"/>
          <w:bCs/>
          <w:iCs/>
          <w:color w:val="000000"/>
          <w:sz w:val="24"/>
          <w:szCs w:val="24"/>
          <w:lang w:val="ro-RO" w:eastAsia="ru-RU" w:bidi="ro-RO"/>
        </w:rPr>
        <w:t>, dl Aureliu Casian; Directorului adjunct al</w:t>
      </w:r>
      <w:r w:rsidR="00AE6C94" w:rsidRPr="0078771B">
        <w:rPr>
          <w:rFonts w:asciiTheme="majorHAnsi" w:eastAsia="Times New Roman" w:hAnsiTheme="majorHAnsi" w:cstheme="majorHAnsi"/>
          <w:bCs/>
          <w:iCs/>
          <w:color w:val="000000"/>
          <w:sz w:val="24"/>
          <w:szCs w:val="24"/>
          <w:lang w:val="ro-RO" w:eastAsia="ru-RU" w:bidi="ro-RO"/>
        </w:rPr>
        <w:t xml:space="preserve"> Serviciului Fiscal de Stat</w:t>
      </w:r>
      <w:r w:rsidR="00AE6C94">
        <w:rPr>
          <w:rFonts w:asciiTheme="majorHAnsi" w:eastAsia="Times New Roman" w:hAnsiTheme="majorHAnsi" w:cstheme="majorHAnsi"/>
          <w:bCs/>
          <w:iCs/>
          <w:color w:val="000000"/>
          <w:sz w:val="24"/>
          <w:szCs w:val="24"/>
          <w:lang w:val="ro-RO" w:eastAsia="ru-RU" w:bidi="ro-RO"/>
        </w:rPr>
        <w:t xml:space="preserve">, dl Iuri </w:t>
      </w:r>
      <w:proofErr w:type="spellStart"/>
      <w:r w:rsidR="00AE6C94">
        <w:rPr>
          <w:rFonts w:asciiTheme="majorHAnsi" w:eastAsia="Times New Roman" w:hAnsiTheme="majorHAnsi" w:cstheme="majorHAnsi"/>
          <w:bCs/>
          <w:iCs/>
          <w:color w:val="000000"/>
          <w:sz w:val="24"/>
          <w:szCs w:val="24"/>
          <w:lang w:val="ro-RO" w:eastAsia="ru-RU" w:bidi="ro-RO"/>
        </w:rPr>
        <w:t>Lichii</w:t>
      </w:r>
      <w:proofErr w:type="spellEnd"/>
      <w:r w:rsidR="00AE6C94">
        <w:rPr>
          <w:rFonts w:asciiTheme="majorHAnsi" w:eastAsia="Times New Roman" w:hAnsiTheme="majorHAnsi" w:cstheme="majorHAnsi"/>
          <w:bCs/>
          <w:iCs/>
          <w:color w:val="000000"/>
          <w:sz w:val="24"/>
          <w:szCs w:val="24"/>
          <w:lang w:val="ro-RO" w:eastAsia="ru-RU" w:bidi="ro-RO"/>
        </w:rPr>
        <w:t xml:space="preserve">; </w:t>
      </w:r>
      <w:r w:rsidR="00AE6C94" w:rsidRPr="0078771B">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ului</w:t>
      </w:r>
      <w:r w:rsidR="00AE6C94" w:rsidRPr="0078771B">
        <w:rPr>
          <w:rFonts w:asciiTheme="majorHAnsi" w:eastAsia="Times New Roman" w:hAnsiTheme="majorHAnsi" w:cstheme="majorHAnsi"/>
          <w:bCs/>
          <w:iCs/>
          <w:color w:val="000000"/>
          <w:sz w:val="24"/>
          <w:szCs w:val="24"/>
          <w:lang w:val="ro-RO" w:eastAsia="ru-RU" w:bidi="ro-RO"/>
        </w:rPr>
        <w:t xml:space="preserve"> </w:t>
      </w:r>
      <w:r w:rsidR="00AE6C94">
        <w:rPr>
          <w:rFonts w:asciiTheme="majorHAnsi" w:eastAsia="Times New Roman" w:hAnsiTheme="majorHAnsi" w:cstheme="majorHAnsi"/>
          <w:bCs/>
          <w:iCs/>
          <w:color w:val="000000"/>
          <w:sz w:val="24"/>
          <w:szCs w:val="24"/>
          <w:lang w:val="ro-RO" w:eastAsia="ru-RU" w:bidi="ro-RO"/>
        </w:rPr>
        <w:t>g</w:t>
      </w:r>
      <w:r w:rsidR="00AE6C94" w:rsidRPr="0078771B">
        <w:rPr>
          <w:rFonts w:asciiTheme="majorHAnsi" w:eastAsia="Times New Roman" w:hAnsiTheme="majorHAnsi" w:cstheme="majorHAnsi"/>
          <w:bCs/>
          <w:iCs/>
          <w:color w:val="000000"/>
          <w:sz w:val="24"/>
          <w:szCs w:val="24"/>
          <w:lang w:val="ro-RO" w:eastAsia="ru-RU" w:bidi="ro-RO"/>
        </w:rPr>
        <w:t>eneral a</w:t>
      </w:r>
      <w:r w:rsidR="00AE6C94">
        <w:rPr>
          <w:rFonts w:asciiTheme="majorHAnsi" w:eastAsia="Times New Roman" w:hAnsiTheme="majorHAnsi" w:cstheme="majorHAnsi"/>
          <w:bCs/>
          <w:iCs/>
          <w:color w:val="000000"/>
          <w:sz w:val="24"/>
          <w:szCs w:val="24"/>
          <w:lang w:val="ro-RO" w:eastAsia="ru-RU" w:bidi="ro-RO"/>
        </w:rPr>
        <w:t>l</w:t>
      </w:r>
      <w:r w:rsidR="00AE6C94" w:rsidRPr="0078771B">
        <w:rPr>
          <w:rFonts w:asciiTheme="majorHAnsi" w:eastAsia="Times New Roman" w:hAnsiTheme="majorHAnsi" w:cstheme="majorHAnsi"/>
          <w:bCs/>
          <w:iCs/>
          <w:color w:val="000000"/>
          <w:sz w:val="24"/>
          <w:szCs w:val="24"/>
          <w:lang w:val="ro-RO" w:eastAsia="ru-RU" w:bidi="ro-RO"/>
        </w:rPr>
        <w:t xml:space="preserve"> Agenției Medicamentului și Dispozitivelor Medicale</w:t>
      </w:r>
      <w:r w:rsidR="00AE6C94">
        <w:rPr>
          <w:rFonts w:asciiTheme="majorHAnsi" w:eastAsia="Times New Roman" w:hAnsiTheme="majorHAnsi" w:cstheme="majorHAnsi"/>
          <w:bCs/>
          <w:iCs/>
          <w:color w:val="000000"/>
          <w:sz w:val="24"/>
          <w:szCs w:val="24"/>
          <w:lang w:val="ro-RO" w:eastAsia="ru-RU" w:bidi="ro-RO"/>
        </w:rPr>
        <w:t xml:space="preserve">, dl </w:t>
      </w:r>
      <w:r w:rsidR="00AE6C94" w:rsidRPr="0078771B">
        <w:rPr>
          <w:rFonts w:asciiTheme="majorHAnsi" w:eastAsia="Times New Roman" w:hAnsiTheme="majorHAnsi" w:cstheme="majorHAnsi"/>
          <w:bCs/>
          <w:iCs/>
          <w:color w:val="000000"/>
          <w:sz w:val="24"/>
          <w:szCs w:val="24"/>
          <w:lang w:val="ro-RO" w:eastAsia="ru-RU" w:bidi="ro-RO"/>
        </w:rPr>
        <w:t>Dragoș Guțu</w:t>
      </w:r>
      <w:r w:rsidR="00AE6C94">
        <w:rPr>
          <w:rFonts w:asciiTheme="majorHAnsi" w:eastAsia="Times New Roman" w:hAnsiTheme="majorHAnsi" w:cstheme="majorHAnsi"/>
          <w:bCs/>
          <w:iCs/>
          <w:color w:val="000000"/>
          <w:sz w:val="24"/>
          <w:szCs w:val="24"/>
          <w:lang w:val="ro-RO" w:eastAsia="ru-RU" w:bidi="ro-RO"/>
        </w:rPr>
        <w:t xml:space="preserve">; </w:t>
      </w:r>
      <w:r w:rsidR="00AE6C94" w:rsidRPr="0078771B">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ului</w:t>
      </w:r>
      <w:r w:rsidR="00AE6C94" w:rsidRPr="0078771B">
        <w:rPr>
          <w:rFonts w:asciiTheme="majorHAnsi" w:eastAsia="Times New Roman" w:hAnsiTheme="majorHAnsi" w:cstheme="majorHAnsi"/>
          <w:bCs/>
          <w:iCs/>
          <w:color w:val="000000"/>
          <w:sz w:val="24"/>
          <w:szCs w:val="24"/>
          <w:lang w:val="ro-RO" w:eastAsia="ru-RU" w:bidi="ro-RO"/>
        </w:rPr>
        <w:t xml:space="preserve"> </w:t>
      </w:r>
      <w:r w:rsidR="00AE6C94">
        <w:rPr>
          <w:rFonts w:asciiTheme="majorHAnsi" w:eastAsia="Times New Roman" w:hAnsiTheme="majorHAnsi" w:cstheme="majorHAnsi"/>
          <w:bCs/>
          <w:iCs/>
          <w:color w:val="000000"/>
          <w:sz w:val="24"/>
          <w:szCs w:val="24"/>
          <w:lang w:val="ro-RO" w:eastAsia="ru-RU" w:bidi="ro-RO"/>
        </w:rPr>
        <w:t>adjunct</w:t>
      </w:r>
      <w:r w:rsidR="00AE6C94" w:rsidRPr="0078771B">
        <w:rPr>
          <w:rFonts w:asciiTheme="majorHAnsi" w:eastAsia="Times New Roman" w:hAnsiTheme="majorHAnsi" w:cstheme="majorHAnsi"/>
          <w:bCs/>
          <w:iCs/>
          <w:color w:val="000000"/>
          <w:sz w:val="24"/>
          <w:szCs w:val="24"/>
          <w:lang w:val="ro-RO" w:eastAsia="ru-RU" w:bidi="ro-RO"/>
        </w:rPr>
        <w:t xml:space="preserve"> a</w:t>
      </w:r>
      <w:r w:rsidR="00AE6C94">
        <w:rPr>
          <w:rFonts w:asciiTheme="majorHAnsi" w:eastAsia="Times New Roman" w:hAnsiTheme="majorHAnsi" w:cstheme="majorHAnsi"/>
          <w:bCs/>
          <w:iCs/>
          <w:color w:val="000000"/>
          <w:sz w:val="24"/>
          <w:szCs w:val="24"/>
          <w:lang w:val="ro-RO" w:eastAsia="ru-RU" w:bidi="ro-RO"/>
        </w:rPr>
        <w:t>l</w:t>
      </w:r>
      <w:r w:rsidR="00AE6C94" w:rsidRPr="0078771B">
        <w:rPr>
          <w:rFonts w:asciiTheme="majorHAnsi" w:eastAsia="Times New Roman" w:hAnsiTheme="majorHAnsi" w:cstheme="majorHAnsi"/>
          <w:bCs/>
          <w:iCs/>
          <w:color w:val="000000"/>
          <w:sz w:val="24"/>
          <w:szCs w:val="24"/>
          <w:lang w:val="ro-RO" w:eastAsia="ru-RU" w:bidi="ro-RO"/>
        </w:rPr>
        <w:t xml:space="preserve"> Agenției Naționale Transport Auto</w:t>
      </w:r>
      <w:r w:rsidR="00AE6C94">
        <w:rPr>
          <w:rFonts w:asciiTheme="majorHAnsi" w:eastAsia="Times New Roman" w:hAnsiTheme="majorHAnsi" w:cstheme="majorHAnsi"/>
          <w:bCs/>
          <w:iCs/>
          <w:color w:val="000000"/>
          <w:sz w:val="24"/>
          <w:szCs w:val="24"/>
          <w:lang w:val="ro-RO" w:eastAsia="ru-RU" w:bidi="ro-RO"/>
        </w:rPr>
        <w:t xml:space="preserve">, dl Ion </w:t>
      </w:r>
      <w:proofErr w:type="spellStart"/>
      <w:r w:rsidR="00AE6C94">
        <w:rPr>
          <w:rFonts w:asciiTheme="majorHAnsi" w:eastAsia="Times New Roman" w:hAnsiTheme="majorHAnsi" w:cstheme="majorHAnsi"/>
          <w:bCs/>
          <w:iCs/>
          <w:color w:val="000000"/>
          <w:sz w:val="24"/>
          <w:szCs w:val="24"/>
          <w:lang w:val="ro-RO" w:eastAsia="ru-RU" w:bidi="ro-RO"/>
        </w:rPr>
        <w:t>Bocancea</w:t>
      </w:r>
      <w:proofErr w:type="spellEnd"/>
      <w:r w:rsidR="00AE6C94">
        <w:rPr>
          <w:rFonts w:asciiTheme="majorHAnsi" w:eastAsia="Times New Roman" w:hAnsiTheme="majorHAnsi" w:cstheme="majorHAnsi"/>
          <w:bCs/>
          <w:iCs/>
          <w:color w:val="000000"/>
          <w:sz w:val="24"/>
          <w:szCs w:val="24"/>
          <w:lang w:val="ro-RO" w:eastAsia="ru-RU" w:bidi="ro-RO"/>
        </w:rPr>
        <w:t xml:space="preserve">; </w:t>
      </w:r>
      <w:r w:rsidR="00AE6C94" w:rsidRPr="0078771B">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ului</w:t>
      </w:r>
      <w:r w:rsidR="00AE6C94" w:rsidRPr="0078771B">
        <w:rPr>
          <w:rFonts w:asciiTheme="majorHAnsi" w:eastAsia="Times New Roman" w:hAnsiTheme="majorHAnsi" w:cstheme="majorHAnsi"/>
          <w:bCs/>
          <w:iCs/>
          <w:color w:val="000000"/>
          <w:sz w:val="24"/>
          <w:szCs w:val="24"/>
          <w:lang w:val="ro-RO" w:eastAsia="ru-RU" w:bidi="ro-RO"/>
        </w:rPr>
        <w:t xml:space="preserve"> Agenției Navale</w:t>
      </w:r>
      <w:r w:rsidR="00AE6C94">
        <w:rPr>
          <w:rFonts w:asciiTheme="majorHAnsi" w:eastAsia="Times New Roman" w:hAnsiTheme="majorHAnsi" w:cstheme="majorHAnsi"/>
          <w:bCs/>
          <w:iCs/>
          <w:color w:val="000000"/>
          <w:sz w:val="24"/>
          <w:szCs w:val="24"/>
          <w:lang w:val="ro-RO" w:eastAsia="ru-RU" w:bidi="ro-RO"/>
        </w:rPr>
        <w:t xml:space="preserve">, dl </w:t>
      </w:r>
      <w:r w:rsidR="00AE6C94" w:rsidRPr="0078771B">
        <w:rPr>
          <w:rFonts w:asciiTheme="majorHAnsi" w:eastAsia="Times New Roman" w:hAnsiTheme="majorHAnsi" w:cstheme="majorHAnsi"/>
          <w:bCs/>
          <w:iCs/>
          <w:color w:val="000000"/>
          <w:sz w:val="24"/>
          <w:szCs w:val="24"/>
          <w:lang w:val="ro-RO" w:eastAsia="ru-RU" w:bidi="ro-RO"/>
        </w:rPr>
        <w:t>Igor Zaharia</w:t>
      </w:r>
      <w:r w:rsidR="00AE6C94">
        <w:rPr>
          <w:rFonts w:asciiTheme="majorHAnsi" w:eastAsia="Times New Roman" w:hAnsiTheme="majorHAnsi" w:cstheme="majorHAnsi"/>
          <w:bCs/>
          <w:iCs/>
          <w:color w:val="000000"/>
          <w:sz w:val="24"/>
          <w:szCs w:val="24"/>
          <w:lang w:val="ro-RO" w:eastAsia="ru-RU" w:bidi="ro-RO"/>
        </w:rPr>
        <w:t xml:space="preserve">; </w:t>
      </w:r>
      <w:r w:rsidR="00AE6C94" w:rsidRPr="00AE6C94">
        <w:rPr>
          <w:rFonts w:asciiTheme="majorHAnsi" w:eastAsia="Times New Roman" w:hAnsiTheme="majorHAnsi" w:cstheme="majorHAnsi"/>
          <w:bCs/>
          <w:iCs/>
          <w:color w:val="000000"/>
          <w:sz w:val="24"/>
          <w:szCs w:val="24"/>
          <w:lang w:val="ro-RO" w:eastAsia="ru-RU" w:bidi="ro-RO"/>
        </w:rPr>
        <w:t>Director</w:t>
      </w:r>
      <w:r w:rsidR="00AE6C94">
        <w:rPr>
          <w:rFonts w:asciiTheme="majorHAnsi" w:eastAsia="Times New Roman" w:hAnsiTheme="majorHAnsi" w:cstheme="majorHAnsi"/>
          <w:bCs/>
          <w:iCs/>
          <w:color w:val="000000"/>
          <w:sz w:val="24"/>
          <w:szCs w:val="24"/>
          <w:lang w:val="ro-RO" w:eastAsia="ru-RU" w:bidi="ro-RO"/>
        </w:rPr>
        <w:t xml:space="preserve">ului adjunct al </w:t>
      </w:r>
      <w:r w:rsidR="00AE6C94" w:rsidRPr="00AE6C94">
        <w:rPr>
          <w:rFonts w:asciiTheme="majorHAnsi" w:eastAsia="Times New Roman" w:hAnsiTheme="majorHAnsi" w:cstheme="majorHAnsi"/>
          <w:bCs/>
          <w:iCs/>
          <w:color w:val="000000"/>
          <w:sz w:val="24"/>
          <w:szCs w:val="24"/>
          <w:lang w:val="ro-RO" w:eastAsia="ru-RU" w:bidi="ro-RO"/>
        </w:rPr>
        <w:t>Agenți</w:t>
      </w:r>
      <w:r w:rsidR="00AE6C94">
        <w:rPr>
          <w:rFonts w:asciiTheme="majorHAnsi" w:eastAsia="Times New Roman" w:hAnsiTheme="majorHAnsi" w:cstheme="majorHAnsi"/>
          <w:bCs/>
          <w:iCs/>
          <w:color w:val="000000"/>
          <w:sz w:val="24"/>
          <w:szCs w:val="24"/>
          <w:lang w:val="ro-RO" w:eastAsia="ru-RU" w:bidi="ro-RO"/>
        </w:rPr>
        <w:t>ei</w:t>
      </w:r>
      <w:r w:rsidR="00AE6C94" w:rsidRPr="00AE6C94">
        <w:rPr>
          <w:rFonts w:asciiTheme="majorHAnsi" w:eastAsia="Times New Roman" w:hAnsiTheme="majorHAnsi" w:cstheme="majorHAnsi"/>
          <w:bCs/>
          <w:iCs/>
          <w:color w:val="000000"/>
          <w:sz w:val="24"/>
          <w:szCs w:val="24"/>
          <w:lang w:val="ro-RO" w:eastAsia="ru-RU" w:bidi="ro-RO"/>
        </w:rPr>
        <w:t xml:space="preserve"> pentru Geologie și Resurse Minerale</w:t>
      </w:r>
      <w:r w:rsidR="00AE6C94">
        <w:rPr>
          <w:rFonts w:asciiTheme="majorHAnsi" w:eastAsia="Times New Roman" w:hAnsiTheme="majorHAnsi" w:cstheme="majorHAnsi"/>
          <w:bCs/>
          <w:iCs/>
          <w:color w:val="000000"/>
          <w:sz w:val="24"/>
          <w:szCs w:val="24"/>
          <w:lang w:val="ro-RO" w:eastAsia="ru-RU" w:bidi="ro-RO"/>
        </w:rPr>
        <w:t>, dl</w:t>
      </w:r>
      <w:r w:rsidR="00AE6C94" w:rsidRPr="00AE6C94">
        <w:rPr>
          <w:rFonts w:asciiTheme="majorHAnsi" w:eastAsia="Times New Roman" w:hAnsiTheme="majorHAnsi" w:cstheme="majorHAnsi"/>
          <w:bCs/>
          <w:iCs/>
          <w:color w:val="000000"/>
          <w:sz w:val="24"/>
          <w:szCs w:val="24"/>
          <w:lang w:val="ro-RO" w:eastAsia="ru-RU" w:bidi="ro-RO"/>
        </w:rPr>
        <w:t xml:space="preserve"> </w:t>
      </w:r>
      <w:r w:rsidR="00AE6C94">
        <w:rPr>
          <w:rFonts w:asciiTheme="majorHAnsi" w:eastAsia="Times New Roman" w:hAnsiTheme="majorHAnsi" w:cstheme="majorHAnsi"/>
          <w:bCs/>
          <w:iCs/>
          <w:color w:val="000000"/>
          <w:sz w:val="24"/>
          <w:szCs w:val="24"/>
          <w:lang w:val="ro-RO" w:eastAsia="ru-RU" w:bidi="ro-RO"/>
        </w:rPr>
        <w:t>Igor Lungu;</w:t>
      </w:r>
      <w:r w:rsidR="00AE6C94" w:rsidRPr="00AE6C94">
        <w:rPr>
          <w:rFonts w:asciiTheme="majorHAnsi" w:eastAsia="Times New Roman" w:hAnsiTheme="majorHAnsi" w:cstheme="majorHAnsi"/>
          <w:bCs/>
          <w:iCs/>
          <w:color w:val="000000"/>
          <w:sz w:val="24"/>
          <w:szCs w:val="24"/>
          <w:lang w:val="ro-RO" w:eastAsia="ru-RU" w:bidi="ro-RO"/>
        </w:rPr>
        <w:t xml:space="preserve"> </w:t>
      </w:r>
      <w:r w:rsidR="00514047" w:rsidRPr="00514047">
        <w:rPr>
          <w:rFonts w:asciiTheme="majorHAnsi" w:eastAsia="Times New Roman" w:hAnsiTheme="majorHAnsi" w:cstheme="majorHAnsi"/>
          <w:bCs/>
          <w:iCs/>
          <w:color w:val="000000"/>
          <w:sz w:val="24"/>
          <w:szCs w:val="24"/>
          <w:lang w:val="ro-RO" w:eastAsia="ru-RU" w:bidi="ro-RO"/>
        </w:rPr>
        <w:t>Director</w:t>
      </w:r>
      <w:r w:rsidR="00514047">
        <w:rPr>
          <w:rFonts w:asciiTheme="majorHAnsi" w:eastAsia="Times New Roman" w:hAnsiTheme="majorHAnsi" w:cstheme="majorHAnsi"/>
          <w:bCs/>
          <w:iCs/>
          <w:color w:val="000000"/>
          <w:sz w:val="24"/>
          <w:szCs w:val="24"/>
          <w:lang w:val="ro-RO" w:eastAsia="ru-RU" w:bidi="ro-RO"/>
        </w:rPr>
        <w:t>ului</w:t>
      </w:r>
      <w:r w:rsidR="00514047" w:rsidRPr="00514047">
        <w:rPr>
          <w:rFonts w:asciiTheme="majorHAnsi" w:eastAsia="Times New Roman" w:hAnsiTheme="majorHAnsi" w:cstheme="majorHAnsi"/>
          <w:bCs/>
          <w:iCs/>
          <w:color w:val="000000"/>
          <w:sz w:val="24"/>
          <w:szCs w:val="24"/>
          <w:lang w:val="ro-RO" w:eastAsia="ru-RU" w:bidi="ro-RO"/>
        </w:rPr>
        <w:t xml:space="preserve">  Agenți</w:t>
      </w:r>
      <w:r w:rsidR="00514047">
        <w:rPr>
          <w:rFonts w:asciiTheme="majorHAnsi" w:eastAsia="Times New Roman" w:hAnsiTheme="majorHAnsi" w:cstheme="majorHAnsi"/>
          <w:bCs/>
          <w:iCs/>
          <w:color w:val="000000"/>
          <w:sz w:val="24"/>
          <w:szCs w:val="24"/>
          <w:lang w:val="ro-RO" w:eastAsia="ru-RU" w:bidi="ro-RO"/>
        </w:rPr>
        <w:t>ei</w:t>
      </w:r>
      <w:r w:rsidR="00514047" w:rsidRPr="00514047">
        <w:rPr>
          <w:rFonts w:asciiTheme="majorHAnsi" w:eastAsia="Times New Roman" w:hAnsiTheme="majorHAnsi" w:cstheme="majorHAnsi"/>
          <w:bCs/>
          <w:iCs/>
          <w:color w:val="000000"/>
          <w:sz w:val="24"/>
          <w:szCs w:val="24"/>
          <w:lang w:val="ro-RO" w:eastAsia="ru-RU" w:bidi="ro-RO"/>
        </w:rPr>
        <w:t xml:space="preserve"> Național</w:t>
      </w:r>
      <w:r w:rsidR="00514047">
        <w:rPr>
          <w:rFonts w:asciiTheme="majorHAnsi" w:eastAsia="Times New Roman" w:hAnsiTheme="majorHAnsi" w:cstheme="majorHAnsi"/>
          <w:bCs/>
          <w:iCs/>
          <w:color w:val="000000"/>
          <w:sz w:val="24"/>
          <w:szCs w:val="24"/>
          <w:lang w:val="ro-RO" w:eastAsia="ru-RU" w:bidi="ro-RO"/>
        </w:rPr>
        <w:t>e</w:t>
      </w:r>
      <w:r w:rsidR="00514047" w:rsidRPr="00514047">
        <w:rPr>
          <w:rFonts w:asciiTheme="majorHAnsi" w:eastAsia="Times New Roman" w:hAnsiTheme="majorHAnsi" w:cstheme="majorHAnsi"/>
          <w:bCs/>
          <w:iCs/>
          <w:color w:val="000000"/>
          <w:sz w:val="24"/>
          <w:szCs w:val="24"/>
          <w:lang w:val="ro-RO" w:eastAsia="ru-RU" w:bidi="ro-RO"/>
        </w:rPr>
        <w:t xml:space="preserve"> pentru Reglementare în Comunicații Electronice și Tehnologia Informației</w:t>
      </w:r>
      <w:r w:rsidR="00514047">
        <w:rPr>
          <w:rFonts w:asciiTheme="majorHAnsi" w:eastAsia="Times New Roman" w:hAnsiTheme="majorHAnsi" w:cstheme="majorHAnsi"/>
          <w:bCs/>
          <w:iCs/>
          <w:color w:val="000000"/>
          <w:sz w:val="24"/>
          <w:szCs w:val="24"/>
          <w:lang w:val="ro-RO" w:eastAsia="ru-RU" w:bidi="ro-RO"/>
        </w:rPr>
        <w:t xml:space="preserve">, dl Andrei Muntean; </w:t>
      </w:r>
      <w:r w:rsidR="00514047" w:rsidRPr="00514047">
        <w:rPr>
          <w:rFonts w:asciiTheme="majorHAnsi" w:eastAsia="Times New Roman" w:hAnsiTheme="majorHAnsi" w:cstheme="majorHAnsi"/>
          <w:bCs/>
          <w:iCs/>
          <w:color w:val="000000"/>
          <w:sz w:val="24"/>
          <w:szCs w:val="24"/>
          <w:lang w:val="ro-RO" w:eastAsia="ru-RU" w:bidi="ro-RO"/>
        </w:rPr>
        <w:t xml:space="preserve"> </w:t>
      </w:r>
      <w:r w:rsidR="00514047" w:rsidRPr="0078771B">
        <w:rPr>
          <w:rFonts w:asciiTheme="majorHAnsi" w:eastAsia="Times New Roman" w:hAnsiTheme="majorHAnsi" w:cstheme="majorHAnsi"/>
          <w:bCs/>
          <w:iCs/>
          <w:color w:val="000000"/>
          <w:sz w:val="24"/>
          <w:szCs w:val="24"/>
          <w:lang w:val="ro-RO" w:eastAsia="ru-RU" w:bidi="ro-RO"/>
        </w:rPr>
        <w:t>Director</w:t>
      </w:r>
      <w:r w:rsidR="00514047">
        <w:rPr>
          <w:rFonts w:asciiTheme="majorHAnsi" w:eastAsia="Times New Roman" w:hAnsiTheme="majorHAnsi" w:cstheme="majorHAnsi"/>
          <w:bCs/>
          <w:iCs/>
          <w:color w:val="000000"/>
          <w:sz w:val="24"/>
          <w:szCs w:val="24"/>
          <w:lang w:val="ro-RO" w:eastAsia="ru-RU" w:bidi="ro-RO"/>
        </w:rPr>
        <w:t>ului</w:t>
      </w:r>
      <w:r w:rsidR="00514047" w:rsidRPr="0078771B">
        <w:rPr>
          <w:rFonts w:asciiTheme="majorHAnsi" w:eastAsia="Times New Roman" w:hAnsiTheme="majorHAnsi" w:cstheme="majorHAnsi"/>
          <w:bCs/>
          <w:iCs/>
          <w:color w:val="000000"/>
          <w:sz w:val="24"/>
          <w:szCs w:val="24"/>
          <w:lang w:val="ro-RO" w:eastAsia="ru-RU" w:bidi="ro-RO"/>
        </w:rPr>
        <w:t xml:space="preserve"> Agenți</w:t>
      </w:r>
      <w:r w:rsidR="00514047">
        <w:rPr>
          <w:rFonts w:asciiTheme="majorHAnsi" w:eastAsia="Times New Roman" w:hAnsiTheme="majorHAnsi" w:cstheme="majorHAnsi"/>
          <w:bCs/>
          <w:iCs/>
          <w:color w:val="000000"/>
          <w:sz w:val="24"/>
          <w:szCs w:val="24"/>
          <w:lang w:val="ro-RO" w:eastAsia="ru-RU" w:bidi="ro-RO"/>
        </w:rPr>
        <w:t>ei</w:t>
      </w:r>
      <w:r w:rsidR="00514047" w:rsidRPr="0078771B">
        <w:rPr>
          <w:rFonts w:asciiTheme="majorHAnsi" w:eastAsia="Times New Roman" w:hAnsiTheme="majorHAnsi" w:cstheme="majorHAnsi"/>
          <w:bCs/>
          <w:iCs/>
          <w:color w:val="000000"/>
          <w:sz w:val="24"/>
          <w:szCs w:val="24"/>
          <w:lang w:val="ro-RO" w:eastAsia="ru-RU" w:bidi="ro-RO"/>
        </w:rPr>
        <w:t xml:space="preserve"> de Mediu</w:t>
      </w:r>
      <w:r w:rsidR="00514047">
        <w:rPr>
          <w:rFonts w:asciiTheme="majorHAnsi" w:eastAsia="Times New Roman" w:hAnsiTheme="majorHAnsi" w:cstheme="majorHAnsi"/>
          <w:bCs/>
          <w:iCs/>
          <w:color w:val="000000"/>
          <w:sz w:val="24"/>
          <w:szCs w:val="24"/>
          <w:lang w:val="ro-RO" w:eastAsia="ru-RU" w:bidi="ro-RO"/>
        </w:rPr>
        <w:t xml:space="preserve">, dl </w:t>
      </w:r>
      <w:r w:rsidR="00514047" w:rsidRPr="0078771B">
        <w:rPr>
          <w:rFonts w:asciiTheme="majorHAnsi" w:eastAsia="Times New Roman" w:hAnsiTheme="majorHAnsi" w:cstheme="majorHAnsi"/>
          <w:bCs/>
          <w:iCs/>
          <w:color w:val="000000"/>
          <w:sz w:val="24"/>
          <w:szCs w:val="24"/>
          <w:lang w:val="ro-RO" w:eastAsia="ru-RU" w:bidi="ro-RO"/>
        </w:rPr>
        <w:t>Gavril Gîlcă</w:t>
      </w:r>
      <w:r w:rsidR="00514047">
        <w:rPr>
          <w:rFonts w:asciiTheme="majorHAnsi" w:eastAsia="Times New Roman" w:hAnsiTheme="majorHAnsi" w:cstheme="majorHAnsi"/>
          <w:bCs/>
          <w:iCs/>
          <w:color w:val="000000"/>
          <w:sz w:val="24"/>
          <w:szCs w:val="24"/>
          <w:lang w:val="ro-RO" w:eastAsia="ru-RU" w:bidi="ro-RO"/>
        </w:rPr>
        <w:t>;</w:t>
      </w:r>
      <w:r w:rsidR="00514047" w:rsidRPr="00514047">
        <w:t xml:space="preserve"> </w:t>
      </w:r>
      <w:r w:rsidR="00514047" w:rsidRPr="00514047">
        <w:rPr>
          <w:rFonts w:asciiTheme="majorHAnsi" w:eastAsia="Times New Roman" w:hAnsiTheme="majorHAnsi" w:cstheme="majorHAnsi"/>
          <w:bCs/>
          <w:iCs/>
          <w:color w:val="000000"/>
          <w:sz w:val="24"/>
          <w:szCs w:val="24"/>
          <w:lang w:val="ro-RO" w:eastAsia="ru-RU" w:bidi="ro-RO"/>
        </w:rPr>
        <w:t>Director</w:t>
      </w:r>
      <w:r w:rsidR="00514047">
        <w:rPr>
          <w:rFonts w:asciiTheme="majorHAnsi" w:eastAsia="Times New Roman" w:hAnsiTheme="majorHAnsi" w:cstheme="majorHAnsi"/>
          <w:bCs/>
          <w:iCs/>
          <w:color w:val="000000"/>
          <w:sz w:val="24"/>
          <w:szCs w:val="24"/>
          <w:lang w:val="ro-RO" w:eastAsia="ru-RU" w:bidi="ro-RO"/>
        </w:rPr>
        <w:t xml:space="preserve">ului adjunct al </w:t>
      </w:r>
      <w:r w:rsidR="00514047" w:rsidRPr="00514047">
        <w:rPr>
          <w:rFonts w:asciiTheme="majorHAnsi" w:eastAsia="Times New Roman" w:hAnsiTheme="majorHAnsi" w:cstheme="majorHAnsi"/>
          <w:bCs/>
          <w:iCs/>
          <w:color w:val="000000"/>
          <w:sz w:val="24"/>
          <w:szCs w:val="24"/>
          <w:lang w:val="ro-RO" w:eastAsia="ru-RU" w:bidi="ro-RO"/>
        </w:rPr>
        <w:t>Agenți</w:t>
      </w:r>
      <w:r w:rsidR="00514047">
        <w:rPr>
          <w:rFonts w:asciiTheme="majorHAnsi" w:eastAsia="Times New Roman" w:hAnsiTheme="majorHAnsi" w:cstheme="majorHAnsi"/>
          <w:bCs/>
          <w:iCs/>
          <w:color w:val="000000"/>
          <w:sz w:val="24"/>
          <w:szCs w:val="24"/>
          <w:lang w:val="ro-RO" w:eastAsia="ru-RU" w:bidi="ro-RO"/>
        </w:rPr>
        <w:t>ei</w:t>
      </w:r>
      <w:r w:rsidR="00514047" w:rsidRPr="00514047">
        <w:rPr>
          <w:rFonts w:asciiTheme="majorHAnsi" w:eastAsia="Times New Roman" w:hAnsiTheme="majorHAnsi" w:cstheme="majorHAnsi"/>
          <w:bCs/>
          <w:iCs/>
          <w:color w:val="000000"/>
          <w:sz w:val="24"/>
          <w:szCs w:val="24"/>
          <w:lang w:val="ro-RO" w:eastAsia="ru-RU" w:bidi="ro-RO"/>
        </w:rPr>
        <w:t xml:space="preserve"> pentru Supraveghere Tehnică</w:t>
      </w:r>
      <w:r w:rsidR="00514047">
        <w:rPr>
          <w:rFonts w:asciiTheme="majorHAnsi" w:eastAsia="Times New Roman" w:hAnsiTheme="majorHAnsi" w:cstheme="majorHAnsi"/>
          <w:bCs/>
          <w:iCs/>
          <w:color w:val="000000"/>
          <w:sz w:val="24"/>
          <w:szCs w:val="24"/>
          <w:lang w:val="ro-RO" w:eastAsia="ru-RU" w:bidi="ro-RO"/>
        </w:rPr>
        <w:t xml:space="preserve">, dl Mihail </w:t>
      </w:r>
      <w:proofErr w:type="spellStart"/>
      <w:r w:rsidR="00514047">
        <w:rPr>
          <w:rFonts w:asciiTheme="majorHAnsi" w:eastAsia="Times New Roman" w:hAnsiTheme="majorHAnsi" w:cstheme="majorHAnsi"/>
          <w:bCs/>
          <w:iCs/>
          <w:color w:val="000000"/>
          <w:sz w:val="24"/>
          <w:szCs w:val="24"/>
          <w:lang w:val="ro-RO" w:eastAsia="ru-RU" w:bidi="ro-RO"/>
        </w:rPr>
        <w:t>Zaporojan</w:t>
      </w:r>
      <w:proofErr w:type="spellEnd"/>
      <w:r w:rsidR="00514047">
        <w:rPr>
          <w:rFonts w:asciiTheme="majorHAnsi" w:eastAsia="Times New Roman" w:hAnsiTheme="majorHAnsi" w:cstheme="majorHAnsi"/>
          <w:bCs/>
          <w:iCs/>
          <w:color w:val="000000"/>
          <w:sz w:val="24"/>
          <w:szCs w:val="24"/>
          <w:lang w:val="ro-RO" w:eastAsia="ru-RU" w:bidi="ro-RO"/>
        </w:rPr>
        <w:t xml:space="preserve">; </w:t>
      </w:r>
      <w:r w:rsidR="00514047" w:rsidRPr="00514047">
        <w:rPr>
          <w:rFonts w:asciiTheme="majorHAnsi" w:eastAsia="Times New Roman" w:hAnsiTheme="majorHAnsi" w:cstheme="majorHAnsi"/>
          <w:bCs/>
          <w:iCs/>
          <w:color w:val="000000"/>
          <w:sz w:val="24"/>
          <w:szCs w:val="24"/>
          <w:lang w:val="ro-RO" w:eastAsia="ru-RU" w:bidi="ro-RO"/>
        </w:rPr>
        <w:t>Secretar</w:t>
      </w:r>
      <w:r w:rsidR="00514047">
        <w:rPr>
          <w:rFonts w:asciiTheme="majorHAnsi" w:eastAsia="Times New Roman" w:hAnsiTheme="majorHAnsi" w:cstheme="majorHAnsi"/>
          <w:bCs/>
          <w:iCs/>
          <w:color w:val="000000"/>
          <w:sz w:val="24"/>
          <w:szCs w:val="24"/>
          <w:lang w:val="ro-RO" w:eastAsia="ru-RU" w:bidi="ro-RO"/>
        </w:rPr>
        <w:t>ului de stat al</w:t>
      </w:r>
      <w:r w:rsidR="00514047" w:rsidRPr="00514047">
        <w:rPr>
          <w:rFonts w:asciiTheme="majorHAnsi" w:eastAsia="Times New Roman" w:hAnsiTheme="majorHAnsi" w:cstheme="majorHAnsi"/>
          <w:bCs/>
          <w:iCs/>
          <w:color w:val="000000"/>
          <w:sz w:val="24"/>
          <w:szCs w:val="24"/>
          <w:lang w:val="ro-RO" w:eastAsia="ru-RU" w:bidi="ro-RO"/>
        </w:rPr>
        <w:t xml:space="preserve"> Ministerul</w:t>
      </w:r>
      <w:r w:rsidR="00514047">
        <w:rPr>
          <w:rFonts w:asciiTheme="majorHAnsi" w:eastAsia="Times New Roman" w:hAnsiTheme="majorHAnsi" w:cstheme="majorHAnsi"/>
          <w:bCs/>
          <w:iCs/>
          <w:color w:val="000000"/>
          <w:sz w:val="24"/>
          <w:szCs w:val="24"/>
          <w:lang w:val="ro-RO" w:eastAsia="ru-RU" w:bidi="ro-RO"/>
        </w:rPr>
        <w:t>ui</w:t>
      </w:r>
      <w:r w:rsidR="00514047" w:rsidRPr="00514047">
        <w:rPr>
          <w:rFonts w:asciiTheme="majorHAnsi" w:eastAsia="Times New Roman" w:hAnsiTheme="majorHAnsi" w:cstheme="majorHAnsi"/>
          <w:bCs/>
          <w:iCs/>
          <w:color w:val="000000"/>
          <w:sz w:val="24"/>
          <w:szCs w:val="24"/>
          <w:lang w:val="ro-RO" w:eastAsia="ru-RU" w:bidi="ro-RO"/>
        </w:rPr>
        <w:t xml:space="preserve"> Agriculturii și Industriei Alimentare</w:t>
      </w:r>
      <w:r w:rsidR="00514047">
        <w:rPr>
          <w:rFonts w:asciiTheme="majorHAnsi" w:eastAsia="Times New Roman" w:hAnsiTheme="majorHAnsi" w:cstheme="majorHAnsi"/>
          <w:bCs/>
          <w:iCs/>
          <w:color w:val="000000"/>
          <w:sz w:val="24"/>
          <w:szCs w:val="24"/>
          <w:lang w:val="ro-RO" w:eastAsia="ru-RU" w:bidi="ro-RO"/>
        </w:rPr>
        <w:t xml:space="preserve">, dl Vasile </w:t>
      </w:r>
      <w:proofErr w:type="spellStart"/>
      <w:r w:rsidR="00514047">
        <w:rPr>
          <w:rFonts w:asciiTheme="majorHAnsi" w:eastAsia="Times New Roman" w:hAnsiTheme="majorHAnsi" w:cstheme="majorHAnsi"/>
          <w:bCs/>
          <w:iCs/>
          <w:color w:val="000000"/>
          <w:sz w:val="24"/>
          <w:szCs w:val="24"/>
          <w:lang w:val="ro-RO" w:eastAsia="ru-RU" w:bidi="ro-RO"/>
        </w:rPr>
        <w:t>Șarban</w:t>
      </w:r>
      <w:proofErr w:type="spellEnd"/>
      <w:r w:rsidR="00514047">
        <w:rPr>
          <w:rFonts w:asciiTheme="majorHAnsi" w:eastAsia="Times New Roman" w:hAnsiTheme="majorHAnsi" w:cstheme="majorHAnsi"/>
          <w:bCs/>
          <w:iCs/>
          <w:color w:val="000000"/>
          <w:sz w:val="24"/>
          <w:szCs w:val="24"/>
          <w:lang w:val="ro-RO" w:eastAsia="ru-RU" w:bidi="ro-RO"/>
        </w:rPr>
        <w:t>;</w:t>
      </w:r>
      <w:r w:rsidR="00514047" w:rsidRPr="00514047">
        <w:rPr>
          <w:rFonts w:asciiTheme="majorHAnsi" w:eastAsia="Times New Roman" w:hAnsiTheme="majorHAnsi" w:cstheme="majorHAnsi"/>
          <w:bCs/>
          <w:iCs/>
          <w:color w:val="000000"/>
          <w:sz w:val="24"/>
          <w:szCs w:val="24"/>
          <w:lang w:val="ro-RO" w:eastAsia="ru-RU" w:bidi="ro-RO"/>
        </w:rPr>
        <w:t xml:space="preserve"> </w:t>
      </w:r>
      <w:r w:rsidR="00514047">
        <w:rPr>
          <w:rFonts w:asciiTheme="majorHAnsi" w:eastAsia="Times New Roman" w:hAnsiTheme="majorHAnsi" w:cstheme="majorHAnsi"/>
          <w:bCs/>
          <w:iCs/>
          <w:color w:val="000000"/>
          <w:sz w:val="24"/>
          <w:szCs w:val="24"/>
          <w:lang w:val="ro-RO" w:eastAsia="ru-RU" w:bidi="ro-RO"/>
        </w:rPr>
        <w:t>șefei</w:t>
      </w:r>
      <w:r w:rsidR="00514047" w:rsidRPr="00514047">
        <w:rPr>
          <w:rFonts w:asciiTheme="majorHAnsi" w:eastAsia="Times New Roman" w:hAnsiTheme="majorHAnsi" w:cstheme="majorHAnsi"/>
          <w:bCs/>
          <w:iCs/>
          <w:color w:val="000000"/>
          <w:sz w:val="24"/>
          <w:szCs w:val="24"/>
          <w:lang w:val="ro-RO" w:eastAsia="ru-RU" w:bidi="ro-RO"/>
        </w:rPr>
        <w:t xml:space="preserve"> D</w:t>
      </w:r>
      <w:r w:rsidR="00514047">
        <w:rPr>
          <w:rFonts w:asciiTheme="majorHAnsi" w:eastAsia="Times New Roman" w:hAnsiTheme="majorHAnsi" w:cstheme="majorHAnsi"/>
          <w:bCs/>
          <w:iCs/>
          <w:color w:val="000000"/>
          <w:sz w:val="24"/>
          <w:szCs w:val="24"/>
          <w:lang w:val="ro-RO" w:eastAsia="ru-RU" w:bidi="ro-RO"/>
        </w:rPr>
        <w:t xml:space="preserve">irecției dezvoltare acreditare din cadrul </w:t>
      </w:r>
      <w:r w:rsidR="00514047" w:rsidRPr="00514047">
        <w:rPr>
          <w:rFonts w:asciiTheme="majorHAnsi" w:eastAsia="Times New Roman" w:hAnsiTheme="majorHAnsi" w:cstheme="majorHAnsi"/>
          <w:bCs/>
          <w:iCs/>
          <w:color w:val="000000"/>
          <w:sz w:val="24"/>
          <w:szCs w:val="24"/>
          <w:lang w:val="ro-RO" w:eastAsia="ru-RU" w:bidi="ro-RO"/>
        </w:rPr>
        <w:t>Centrul</w:t>
      </w:r>
      <w:r w:rsidR="00514047">
        <w:rPr>
          <w:rFonts w:asciiTheme="majorHAnsi" w:eastAsia="Times New Roman" w:hAnsiTheme="majorHAnsi" w:cstheme="majorHAnsi"/>
          <w:bCs/>
          <w:iCs/>
          <w:color w:val="000000"/>
          <w:sz w:val="24"/>
          <w:szCs w:val="24"/>
          <w:lang w:val="ro-RO" w:eastAsia="ru-RU" w:bidi="ro-RO"/>
        </w:rPr>
        <w:t>ui</w:t>
      </w:r>
      <w:r w:rsidR="00514047" w:rsidRPr="00514047">
        <w:rPr>
          <w:rFonts w:asciiTheme="majorHAnsi" w:eastAsia="Times New Roman" w:hAnsiTheme="majorHAnsi" w:cstheme="majorHAnsi"/>
          <w:bCs/>
          <w:iCs/>
          <w:color w:val="000000"/>
          <w:sz w:val="24"/>
          <w:szCs w:val="24"/>
          <w:lang w:val="ro-RO" w:eastAsia="ru-RU" w:bidi="ro-RO"/>
        </w:rPr>
        <w:t xml:space="preserve"> Național de Acreditare din Republica Moldova (MOLDAC)</w:t>
      </w:r>
      <w:r w:rsidR="00514047">
        <w:rPr>
          <w:rFonts w:asciiTheme="majorHAnsi" w:eastAsia="Times New Roman" w:hAnsiTheme="majorHAnsi" w:cstheme="majorHAnsi"/>
          <w:bCs/>
          <w:iCs/>
          <w:color w:val="000000"/>
          <w:sz w:val="24"/>
          <w:szCs w:val="24"/>
          <w:lang w:val="ro-RO" w:eastAsia="ru-RU" w:bidi="ro-RO"/>
        </w:rPr>
        <w:t xml:space="preserve">, dna Larisa Boboc; </w:t>
      </w:r>
      <w:r w:rsidR="00514047" w:rsidRPr="00514047">
        <w:rPr>
          <w:rFonts w:asciiTheme="majorHAnsi" w:eastAsia="Times New Roman" w:hAnsiTheme="majorHAnsi" w:cstheme="majorHAnsi"/>
          <w:bCs/>
          <w:iCs/>
          <w:color w:val="000000"/>
          <w:sz w:val="24"/>
          <w:szCs w:val="24"/>
          <w:lang w:val="ro-RO" w:eastAsia="ru-RU" w:bidi="ro-RO"/>
        </w:rPr>
        <w:t>Director</w:t>
      </w:r>
      <w:r w:rsidR="00514047">
        <w:rPr>
          <w:rFonts w:asciiTheme="majorHAnsi" w:eastAsia="Times New Roman" w:hAnsiTheme="majorHAnsi" w:cstheme="majorHAnsi"/>
          <w:bCs/>
          <w:iCs/>
          <w:color w:val="000000"/>
          <w:sz w:val="24"/>
          <w:szCs w:val="24"/>
          <w:lang w:val="ro-RO" w:eastAsia="ru-RU" w:bidi="ro-RO"/>
        </w:rPr>
        <w:t>ului</w:t>
      </w:r>
      <w:r w:rsidR="00514047" w:rsidRPr="00514047">
        <w:rPr>
          <w:rFonts w:asciiTheme="majorHAnsi" w:eastAsia="Times New Roman" w:hAnsiTheme="majorHAnsi" w:cstheme="majorHAnsi"/>
          <w:bCs/>
          <w:iCs/>
          <w:color w:val="000000"/>
          <w:sz w:val="24"/>
          <w:szCs w:val="24"/>
          <w:lang w:val="ro-RO" w:eastAsia="ru-RU" w:bidi="ro-RO"/>
        </w:rPr>
        <w:t xml:space="preserve"> adjunct</w:t>
      </w:r>
      <w:r w:rsidR="00514047">
        <w:rPr>
          <w:rFonts w:asciiTheme="majorHAnsi" w:eastAsia="Times New Roman" w:hAnsiTheme="majorHAnsi" w:cstheme="majorHAnsi"/>
          <w:bCs/>
          <w:iCs/>
          <w:color w:val="000000"/>
          <w:sz w:val="24"/>
          <w:szCs w:val="24"/>
          <w:lang w:val="ro-RO" w:eastAsia="ru-RU" w:bidi="ro-RO"/>
        </w:rPr>
        <w:t xml:space="preserve"> al</w:t>
      </w:r>
      <w:r w:rsidR="00514047" w:rsidRPr="00514047">
        <w:rPr>
          <w:rFonts w:asciiTheme="majorHAnsi" w:eastAsia="Times New Roman" w:hAnsiTheme="majorHAnsi" w:cstheme="majorHAnsi"/>
          <w:bCs/>
          <w:iCs/>
          <w:color w:val="000000"/>
          <w:sz w:val="24"/>
          <w:szCs w:val="24"/>
          <w:lang w:val="ro-RO" w:eastAsia="ru-RU" w:bidi="ro-RO"/>
        </w:rPr>
        <w:t xml:space="preserve"> Agenți</w:t>
      </w:r>
      <w:r w:rsidR="00514047">
        <w:rPr>
          <w:rFonts w:asciiTheme="majorHAnsi" w:eastAsia="Times New Roman" w:hAnsiTheme="majorHAnsi" w:cstheme="majorHAnsi"/>
          <w:bCs/>
          <w:iCs/>
          <w:color w:val="000000"/>
          <w:sz w:val="24"/>
          <w:szCs w:val="24"/>
          <w:lang w:val="ro-RO" w:eastAsia="ru-RU" w:bidi="ro-RO"/>
        </w:rPr>
        <w:t>ei Naționale</w:t>
      </w:r>
      <w:r w:rsidR="00514047" w:rsidRPr="00514047">
        <w:rPr>
          <w:rFonts w:asciiTheme="majorHAnsi" w:eastAsia="Times New Roman" w:hAnsiTheme="majorHAnsi" w:cstheme="majorHAnsi"/>
          <w:bCs/>
          <w:iCs/>
          <w:color w:val="000000"/>
          <w:sz w:val="24"/>
          <w:szCs w:val="24"/>
          <w:lang w:val="ro-RO" w:eastAsia="ru-RU" w:bidi="ro-RO"/>
        </w:rPr>
        <w:t xml:space="preserve"> pentru Sănătate Publică</w:t>
      </w:r>
      <w:r w:rsidR="00514047">
        <w:rPr>
          <w:rFonts w:asciiTheme="majorHAnsi" w:eastAsia="Times New Roman" w:hAnsiTheme="majorHAnsi" w:cstheme="majorHAnsi"/>
          <w:bCs/>
          <w:iCs/>
          <w:color w:val="000000"/>
          <w:sz w:val="24"/>
          <w:szCs w:val="24"/>
          <w:lang w:val="ro-RO" w:eastAsia="ru-RU" w:bidi="ro-RO"/>
        </w:rPr>
        <w:t>,</w:t>
      </w:r>
      <w:r w:rsidR="00514047" w:rsidRPr="00514047">
        <w:rPr>
          <w:rFonts w:asciiTheme="majorHAnsi" w:eastAsia="Times New Roman" w:hAnsiTheme="majorHAnsi" w:cstheme="majorHAnsi"/>
          <w:bCs/>
          <w:iCs/>
          <w:color w:val="000000"/>
          <w:sz w:val="24"/>
          <w:szCs w:val="24"/>
          <w:lang w:val="ro-RO" w:eastAsia="ru-RU" w:bidi="ro-RO"/>
        </w:rPr>
        <w:t xml:space="preserve"> </w:t>
      </w:r>
      <w:r w:rsidR="00514047">
        <w:rPr>
          <w:rFonts w:asciiTheme="majorHAnsi" w:eastAsia="Times New Roman" w:hAnsiTheme="majorHAnsi" w:cstheme="majorHAnsi"/>
          <w:bCs/>
          <w:iCs/>
          <w:color w:val="000000"/>
          <w:sz w:val="24"/>
          <w:szCs w:val="24"/>
          <w:lang w:val="ro-RO" w:eastAsia="ru-RU" w:bidi="ro-RO"/>
        </w:rPr>
        <w:t xml:space="preserve">dl </w:t>
      </w:r>
      <w:r w:rsidR="00514047" w:rsidRPr="00514047">
        <w:rPr>
          <w:rFonts w:asciiTheme="majorHAnsi" w:eastAsia="Times New Roman" w:hAnsiTheme="majorHAnsi" w:cstheme="majorHAnsi"/>
          <w:bCs/>
          <w:iCs/>
          <w:color w:val="000000"/>
          <w:sz w:val="24"/>
          <w:szCs w:val="24"/>
          <w:lang w:val="ro-RO" w:eastAsia="ru-RU" w:bidi="ro-RO"/>
        </w:rPr>
        <w:t xml:space="preserve">Vasile </w:t>
      </w:r>
      <w:proofErr w:type="spellStart"/>
      <w:r w:rsidR="00514047" w:rsidRPr="00514047">
        <w:rPr>
          <w:rFonts w:asciiTheme="majorHAnsi" w:eastAsia="Times New Roman" w:hAnsiTheme="majorHAnsi" w:cstheme="majorHAnsi"/>
          <w:bCs/>
          <w:iCs/>
          <w:color w:val="000000"/>
          <w:sz w:val="24"/>
          <w:szCs w:val="24"/>
          <w:lang w:val="ro-RO" w:eastAsia="ru-RU" w:bidi="ro-RO"/>
        </w:rPr>
        <w:t>G</w:t>
      </w:r>
      <w:r w:rsidR="00514047">
        <w:rPr>
          <w:rFonts w:asciiTheme="majorHAnsi" w:eastAsia="Times New Roman" w:hAnsiTheme="majorHAnsi" w:cstheme="majorHAnsi"/>
          <w:bCs/>
          <w:iCs/>
          <w:color w:val="000000"/>
          <w:sz w:val="24"/>
          <w:szCs w:val="24"/>
          <w:lang w:val="ro-RO" w:eastAsia="ru-RU" w:bidi="ro-RO"/>
        </w:rPr>
        <w:t>uștiuc</w:t>
      </w:r>
      <w:proofErr w:type="spellEnd"/>
      <w:r w:rsidR="00514047">
        <w:rPr>
          <w:rFonts w:asciiTheme="majorHAnsi" w:eastAsia="Times New Roman" w:hAnsiTheme="majorHAnsi" w:cstheme="majorHAnsi"/>
          <w:bCs/>
          <w:iCs/>
          <w:color w:val="000000"/>
          <w:sz w:val="24"/>
          <w:szCs w:val="24"/>
          <w:lang w:val="ro-RO" w:eastAsia="ru-RU" w:bidi="ro-RO"/>
        </w:rPr>
        <w:t>;</w:t>
      </w:r>
      <w:r w:rsidR="00514047" w:rsidRPr="00514047">
        <w:rPr>
          <w:rFonts w:asciiTheme="majorHAnsi" w:eastAsia="Times New Roman" w:hAnsiTheme="majorHAnsi" w:cstheme="majorHAnsi"/>
          <w:bCs/>
          <w:iCs/>
          <w:color w:val="000000"/>
          <w:sz w:val="24"/>
          <w:szCs w:val="24"/>
          <w:lang w:val="ro-RO" w:eastAsia="ru-RU" w:bidi="ro-RO"/>
        </w:rPr>
        <w:t xml:space="preserve"> Director</w:t>
      </w:r>
      <w:r w:rsidR="00514047">
        <w:rPr>
          <w:rFonts w:asciiTheme="majorHAnsi" w:eastAsia="Times New Roman" w:hAnsiTheme="majorHAnsi" w:cstheme="majorHAnsi"/>
          <w:bCs/>
          <w:iCs/>
          <w:color w:val="000000"/>
          <w:sz w:val="24"/>
          <w:szCs w:val="24"/>
          <w:lang w:val="ro-RO" w:eastAsia="ru-RU" w:bidi="ro-RO"/>
        </w:rPr>
        <w:t>ului general adjunct din cadrul</w:t>
      </w:r>
      <w:r w:rsidR="00514047" w:rsidRPr="00514047">
        <w:rPr>
          <w:rFonts w:asciiTheme="majorHAnsi" w:eastAsia="Times New Roman" w:hAnsiTheme="majorHAnsi" w:cstheme="majorHAnsi"/>
          <w:bCs/>
          <w:iCs/>
          <w:color w:val="000000"/>
          <w:sz w:val="24"/>
          <w:szCs w:val="24"/>
          <w:lang w:val="ro-RO" w:eastAsia="ru-RU" w:bidi="ro-RO"/>
        </w:rPr>
        <w:t xml:space="preserve"> Agenți</w:t>
      </w:r>
      <w:r w:rsidR="00514047">
        <w:rPr>
          <w:rFonts w:asciiTheme="majorHAnsi" w:eastAsia="Times New Roman" w:hAnsiTheme="majorHAnsi" w:cstheme="majorHAnsi"/>
          <w:bCs/>
          <w:iCs/>
          <w:color w:val="000000"/>
          <w:sz w:val="24"/>
          <w:szCs w:val="24"/>
          <w:lang w:val="ro-RO" w:eastAsia="ru-RU" w:bidi="ro-RO"/>
        </w:rPr>
        <w:t xml:space="preserve">ei Naționale </w:t>
      </w:r>
      <w:r w:rsidR="00514047" w:rsidRPr="00514047">
        <w:rPr>
          <w:rFonts w:asciiTheme="majorHAnsi" w:eastAsia="Times New Roman" w:hAnsiTheme="majorHAnsi" w:cstheme="majorHAnsi"/>
          <w:bCs/>
          <w:iCs/>
          <w:color w:val="000000"/>
          <w:sz w:val="24"/>
          <w:szCs w:val="24"/>
          <w:lang w:val="ro-RO" w:eastAsia="ru-RU" w:bidi="ro-RO"/>
        </w:rPr>
        <w:t>pentru Siguranța Alimentelor</w:t>
      </w:r>
      <w:r w:rsidR="00514047">
        <w:rPr>
          <w:rFonts w:asciiTheme="majorHAnsi" w:eastAsia="Times New Roman" w:hAnsiTheme="majorHAnsi" w:cstheme="majorHAnsi"/>
          <w:bCs/>
          <w:iCs/>
          <w:color w:val="000000"/>
          <w:sz w:val="24"/>
          <w:szCs w:val="24"/>
          <w:lang w:val="ro-RO" w:eastAsia="ru-RU" w:bidi="ro-RO"/>
        </w:rPr>
        <w:t>, dl Alexandr Manciu;</w:t>
      </w:r>
      <w:r w:rsidR="00514047" w:rsidRPr="00514047">
        <w:rPr>
          <w:rFonts w:asciiTheme="majorHAnsi" w:eastAsia="Times New Roman" w:hAnsiTheme="majorHAnsi" w:cstheme="majorHAnsi"/>
          <w:bCs/>
          <w:iCs/>
          <w:color w:val="000000"/>
          <w:sz w:val="24"/>
          <w:szCs w:val="24"/>
          <w:lang w:val="ro-RO" w:eastAsia="ru-RU" w:bidi="ro-RO"/>
        </w:rPr>
        <w:t xml:space="preserve"> </w:t>
      </w:r>
      <w:r w:rsidR="00514047">
        <w:rPr>
          <w:rFonts w:asciiTheme="majorHAnsi" w:eastAsia="Times New Roman" w:hAnsiTheme="majorHAnsi" w:cstheme="majorHAnsi"/>
          <w:bCs/>
          <w:iCs/>
          <w:color w:val="000000"/>
          <w:sz w:val="24"/>
          <w:szCs w:val="24"/>
          <w:lang w:val="ro-RO" w:eastAsia="ru-RU" w:bidi="ro-RO"/>
        </w:rPr>
        <w:t>Șefei Secției licențiere din cadrul</w:t>
      </w:r>
      <w:r w:rsidR="00514047" w:rsidRPr="00514047">
        <w:rPr>
          <w:rFonts w:asciiTheme="majorHAnsi" w:eastAsia="Times New Roman" w:hAnsiTheme="majorHAnsi" w:cstheme="majorHAnsi"/>
          <w:bCs/>
          <w:iCs/>
          <w:color w:val="000000"/>
          <w:sz w:val="24"/>
          <w:szCs w:val="24"/>
          <w:lang w:val="ro-RO" w:eastAsia="ru-RU" w:bidi="ro-RO"/>
        </w:rPr>
        <w:t xml:space="preserve"> Agenți</w:t>
      </w:r>
      <w:r w:rsidR="00514047">
        <w:rPr>
          <w:rFonts w:asciiTheme="majorHAnsi" w:eastAsia="Times New Roman" w:hAnsiTheme="majorHAnsi" w:cstheme="majorHAnsi"/>
          <w:bCs/>
          <w:iCs/>
          <w:color w:val="000000"/>
          <w:sz w:val="24"/>
          <w:szCs w:val="24"/>
          <w:lang w:val="ro-RO" w:eastAsia="ru-RU" w:bidi="ro-RO"/>
        </w:rPr>
        <w:t>ei Naționale pentru Reglementare</w:t>
      </w:r>
      <w:r w:rsidR="00514047" w:rsidRPr="00514047">
        <w:rPr>
          <w:rFonts w:asciiTheme="majorHAnsi" w:eastAsia="Times New Roman" w:hAnsiTheme="majorHAnsi" w:cstheme="majorHAnsi"/>
          <w:bCs/>
          <w:iCs/>
          <w:color w:val="000000"/>
          <w:sz w:val="24"/>
          <w:szCs w:val="24"/>
          <w:lang w:val="ro-RO" w:eastAsia="ru-RU" w:bidi="ro-RO"/>
        </w:rPr>
        <w:t xml:space="preserve"> în Energetică</w:t>
      </w:r>
      <w:r w:rsidR="00514047">
        <w:rPr>
          <w:rFonts w:asciiTheme="majorHAnsi" w:eastAsia="Times New Roman" w:hAnsiTheme="majorHAnsi" w:cstheme="majorHAnsi"/>
          <w:bCs/>
          <w:iCs/>
          <w:color w:val="000000"/>
          <w:sz w:val="24"/>
          <w:szCs w:val="24"/>
          <w:lang w:val="ro-RO" w:eastAsia="ru-RU" w:bidi="ro-RO"/>
        </w:rPr>
        <w:t xml:space="preserve">, dna </w:t>
      </w:r>
      <w:r w:rsidR="00514047" w:rsidRPr="00514047">
        <w:rPr>
          <w:rFonts w:asciiTheme="majorHAnsi" w:eastAsia="Times New Roman" w:hAnsiTheme="majorHAnsi" w:cstheme="majorHAnsi"/>
          <w:bCs/>
          <w:iCs/>
          <w:color w:val="000000"/>
          <w:sz w:val="24"/>
          <w:szCs w:val="24"/>
          <w:lang w:val="ro-RO" w:eastAsia="ru-RU" w:bidi="ro-RO"/>
        </w:rPr>
        <w:t>Tatiana V</w:t>
      </w:r>
      <w:r w:rsidR="00514047">
        <w:rPr>
          <w:rFonts w:asciiTheme="majorHAnsi" w:eastAsia="Times New Roman" w:hAnsiTheme="majorHAnsi" w:cstheme="majorHAnsi"/>
          <w:bCs/>
          <w:iCs/>
          <w:color w:val="000000"/>
          <w:sz w:val="24"/>
          <w:szCs w:val="24"/>
          <w:lang w:val="ro-RO" w:eastAsia="ru-RU" w:bidi="ro-RO"/>
        </w:rPr>
        <w:t>ieru;</w:t>
      </w:r>
      <w:r w:rsidR="00514047" w:rsidRPr="00514047">
        <w:rPr>
          <w:rFonts w:asciiTheme="majorHAnsi" w:eastAsia="Times New Roman" w:hAnsiTheme="majorHAnsi" w:cstheme="majorHAnsi"/>
          <w:bCs/>
          <w:iCs/>
          <w:color w:val="000000"/>
          <w:sz w:val="24"/>
          <w:szCs w:val="24"/>
          <w:lang w:val="ro-RO" w:eastAsia="ru-RU" w:bidi="ro-RO"/>
        </w:rPr>
        <w:t xml:space="preserve"> </w:t>
      </w:r>
      <w:r w:rsidR="00514047">
        <w:rPr>
          <w:rFonts w:asciiTheme="majorHAnsi" w:eastAsia="Times New Roman" w:hAnsiTheme="majorHAnsi" w:cstheme="majorHAnsi"/>
          <w:bCs/>
          <w:iCs/>
          <w:color w:val="000000"/>
          <w:sz w:val="24"/>
          <w:szCs w:val="24"/>
          <w:lang w:val="ro-RO" w:eastAsia="ru-RU" w:bidi="ro-RO"/>
        </w:rPr>
        <w:t>c</w:t>
      </w:r>
      <w:r w:rsidR="00514047" w:rsidRPr="00514047">
        <w:rPr>
          <w:rFonts w:asciiTheme="majorHAnsi" w:eastAsia="Times New Roman" w:hAnsiTheme="majorHAnsi" w:cstheme="majorHAnsi"/>
          <w:bCs/>
          <w:iCs/>
          <w:color w:val="000000"/>
          <w:sz w:val="24"/>
          <w:szCs w:val="24"/>
          <w:lang w:val="ro-RO" w:eastAsia="ru-RU" w:bidi="ro-RO"/>
        </w:rPr>
        <w:t>onsultant</w:t>
      </w:r>
      <w:r w:rsidR="00514047">
        <w:rPr>
          <w:rFonts w:asciiTheme="majorHAnsi" w:eastAsia="Times New Roman" w:hAnsiTheme="majorHAnsi" w:cstheme="majorHAnsi"/>
          <w:bCs/>
          <w:iCs/>
          <w:color w:val="000000"/>
          <w:sz w:val="24"/>
          <w:szCs w:val="24"/>
          <w:lang w:val="ro-RO" w:eastAsia="ru-RU" w:bidi="ro-RO"/>
        </w:rPr>
        <w:t>ului</w:t>
      </w:r>
      <w:r w:rsidR="00514047" w:rsidRPr="00514047">
        <w:rPr>
          <w:rFonts w:asciiTheme="majorHAnsi" w:eastAsia="Times New Roman" w:hAnsiTheme="majorHAnsi" w:cstheme="majorHAnsi"/>
          <w:bCs/>
          <w:iCs/>
          <w:color w:val="000000"/>
          <w:sz w:val="24"/>
          <w:szCs w:val="24"/>
          <w:lang w:val="ro-RO" w:eastAsia="ru-RU" w:bidi="ro-RO"/>
        </w:rPr>
        <w:t xml:space="preserve"> principal</w:t>
      </w:r>
      <w:r w:rsidR="00514047">
        <w:rPr>
          <w:rFonts w:asciiTheme="majorHAnsi" w:eastAsia="Times New Roman" w:hAnsiTheme="majorHAnsi" w:cstheme="majorHAnsi"/>
          <w:bCs/>
          <w:iCs/>
          <w:color w:val="000000"/>
          <w:sz w:val="24"/>
          <w:szCs w:val="24"/>
          <w:lang w:val="ro-RO" w:eastAsia="ru-RU" w:bidi="ro-RO"/>
        </w:rPr>
        <w:t xml:space="preserve"> din </w:t>
      </w:r>
      <w:r w:rsidR="00514047" w:rsidRPr="00514047">
        <w:rPr>
          <w:rFonts w:asciiTheme="majorHAnsi" w:eastAsia="Times New Roman" w:hAnsiTheme="majorHAnsi" w:cstheme="majorHAnsi"/>
          <w:bCs/>
          <w:iCs/>
          <w:color w:val="000000"/>
          <w:sz w:val="24"/>
          <w:szCs w:val="24"/>
          <w:lang w:val="ro-RO" w:eastAsia="ru-RU" w:bidi="ro-RO"/>
        </w:rPr>
        <w:t xml:space="preserve"> Secția re</w:t>
      </w:r>
      <w:r w:rsidR="00514047">
        <w:rPr>
          <w:rFonts w:asciiTheme="majorHAnsi" w:eastAsia="Times New Roman" w:hAnsiTheme="majorHAnsi" w:cstheme="majorHAnsi"/>
          <w:bCs/>
          <w:iCs/>
          <w:color w:val="000000"/>
          <w:sz w:val="24"/>
          <w:szCs w:val="24"/>
          <w:lang w:val="ro-RO" w:eastAsia="ru-RU" w:bidi="ro-RO"/>
        </w:rPr>
        <w:t>glementarea mediului de afaceri a</w:t>
      </w:r>
      <w:r w:rsidR="00514047" w:rsidRPr="00514047">
        <w:rPr>
          <w:rFonts w:asciiTheme="majorHAnsi" w:eastAsia="Times New Roman" w:hAnsiTheme="majorHAnsi" w:cstheme="majorHAnsi"/>
          <w:bCs/>
          <w:iCs/>
          <w:color w:val="000000"/>
          <w:sz w:val="24"/>
          <w:szCs w:val="24"/>
          <w:lang w:val="ro-RO" w:eastAsia="ru-RU" w:bidi="ro-RO"/>
        </w:rPr>
        <w:t xml:space="preserve"> Ministerul</w:t>
      </w:r>
      <w:r w:rsidR="00514047">
        <w:rPr>
          <w:rFonts w:asciiTheme="majorHAnsi" w:eastAsia="Times New Roman" w:hAnsiTheme="majorHAnsi" w:cstheme="majorHAnsi"/>
          <w:bCs/>
          <w:iCs/>
          <w:color w:val="000000"/>
          <w:sz w:val="24"/>
          <w:szCs w:val="24"/>
          <w:lang w:val="ro-RO" w:eastAsia="ru-RU" w:bidi="ro-RO"/>
        </w:rPr>
        <w:t>ui</w:t>
      </w:r>
      <w:r w:rsidR="00514047" w:rsidRPr="00514047">
        <w:rPr>
          <w:rFonts w:asciiTheme="majorHAnsi" w:eastAsia="Times New Roman" w:hAnsiTheme="majorHAnsi" w:cstheme="majorHAnsi"/>
          <w:bCs/>
          <w:iCs/>
          <w:color w:val="000000"/>
          <w:sz w:val="24"/>
          <w:szCs w:val="24"/>
          <w:lang w:val="ro-RO" w:eastAsia="ru-RU" w:bidi="ro-RO"/>
        </w:rPr>
        <w:t xml:space="preserve"> Economiei</w:t>
      </w:r>
      <w:r w:rsidR="00514047">
        <w:rPr>
          <w:rFonts w:asciiTheme="majorHAnsi" w:eastAsia="Times New Roman" w:hAnsiTheme="majorHAnsi" w:cstheme="majorHAnsi"/>
          <w:bCs/>
          <w:iCs/>
          <w:color w:val="000000"/>
          <w:sz w:val="24"/>
          <w:szCs w:val="24"/>
          <w:lang w:val="ro-RO" w:eastAsia="ru-RU" w:bidi="ro-RO"/>
        </w:rPr>
        <w:t xml:space="preserve">, dl Cezar Iliaș; </w:t>
      </w:r>
      <w:r w:rsidR="00EC7AC4" w:rsidRPr="00B26484">
        <w:rPr>
          <w:rFonts w:asciiTheme="majorHAnsi" w:eastAsia="Times New Roman" w:hAnsiTheme="majorHAnsi" w:cstheme="majorHAnsi"/>
          <w:bCs/>
          <w:iCs/>
          <w:color w:val="000000"/>
          <w:sz w:val="24"/>
          <w:szCs w:val="24"/>
          <w:lang w:val="ro-RO" w:eastAsia="ru-RU" w:bidi="ro-RO"/>
        </w:rPr>
        <w:t xml:space="preserve">Specialistei principale din Secția juridică și resurse umane a Autorității Aeronautice Civile, dna Alina </w:t>
      </w:r>
      <w:proofErr w:type="spellStart"/>
      <w:r w:rsidR="00EC7AC4" w:rsidRPr="00B26484">
        <w:rPr>
          <w:rFonts w:asciiTheme="majorHAnsi" w:eastAsia="Times New Roman" w:hAnsiTheme="majorHAnsi" w:cstheme="majorHAnsi"/>
          <w:bCs/>
          <w:iCs/>
          <w:color w:val="000000"/>
          <w:sz w:val="24"/>
          <w:szCs w:val="24"/>
          <w:lang w:val="ro-RO" w:eastAsia="ru-RU" w:bidi="ro-RO"/>
        </w:rPr>
        <w:t>Arsenii</w:t>
      </w:r>
      <w:proofErr w:type="spellEnd"/>
      <w:r w:rsidR="00EC7AC4" w:rsidRPr="00B26484">
        <w:rPr>
          <w:rFonts w:asciiTheme="majorHAnsi" w:eastAsia="Times New Roman" w:hAnsiTheme="majorHAnsi" w:cstheme="majorHAnsi"/>
          <w:bCs/>
          <w:iCs/>
          <w:color w:val="000000"/>
          <w:sz w:val="24"/>
          <w:szCs w:val="24"/>
          <w:lang w:val="ro-RO" w:eastAsia="ru-RU" w:bidi="ro-RO"/>
        </w:rPr>
        <w:t xml:space="preserve">, precum și </w:t>
      </w:r>
      <w:r w:rsidR="002B7D73" w:rsidRPr="00B26484">
        <w:rPr>
          <w:rFonts w:asciiTheme="majorHAnsi" w:eastAsia="Times New Roman" w:hAnsiTheme="majorHAnsi" w:cstheme="majorHAnsi"/>
          <w:bCs/>
          <w:iCs/>
          <w:color w:val="000000"/>
          <w:sz w:val="24"/>
          <w:szCs w:val="24"/>
          <w:lang w:val="ro-RO" w:eastAsia="ru-RU" w:bidi="ro-RO"/>
        </w:rPr>
        <w:t xml:space="preserve">a </w:t>
      </w:r>
      <w:r w:rsidR="00EC7AC4" w:rsidRPr="00B26484">
        <w:rPr>
          <w:rFonts w:asciiTheme="majorHAnsi" w:eastAsia="Times New Roman" w:hAnsiTheme="majorHAnsi" w:cstheme="majorHAnsi"/>
          <w:bCs/>
          <w:iCs/>
          <w:color w:val="000000"/>
          <w:sz w:val="24"/>
          <w:szCs w:val="24"/>
          <w:lang w:val="ro-RO" w:eastAsia="ru-RU" w:bidi="ro-RO"/>
        </w:rPr>
        <w:t>altor p</w:t>
      </w:r>
      <w:r w:rsidR="00B26484">
        <w:rPr>
          <w:rFonts w:asciiTheme="majorHAnsi" w:eastAsia="Times New Roman" w:hAnsiTheme="majorHAnsi" w:cstheme="majorHAnsi"/>
          <w:bCs/>
          <w:iCs/>
          <w:color w:val="000000"/>
          <w:sz w:val="24"/>
          <w:szCs w:val="24"/>
          <w:lang w:val="ro-RO" w:eastAsia="ru-RU" w:bidi="ro-RO"/>
        </w:rPr>
        <w:t>ersoane responsabile</w:t>
      </w:r>
      <w:r w:rsidR="00EC7AC4" w:rsidRPr="00B26484">
        <w:rPr>
          <w:rFonts w:asciiTheme="majorHAnsi" w:eastAsia="Times New Roman" w:hAnsiTheme="majorHAnsi" w:cstheme="majorHAnsi"/>
          <w:bCs/>
          <w:iCs/>
          <w:color w:val="000000"/>
          <w:sz w:val="24"/>
          <w:szCs w:val="24"/>
          <w:lang w:val="ro-RO" w:eastAsia="ru-RU" w:bidi="ro-RO"/>
        </w:rPr>
        <w:t xml:space="preserve"> d</w:t>
      </w:r>
      <w:r w:rsidR="00B26484" w:rsidRPr="00623738">
        <w:rPr>
          <w:rFonts w:asciiTheme="majorHAnsi" w:eastAsia="Times New Roman" w:hAnsiTheme="majorHAnsi" w:cstheme="majorHAnsi"/>
          <w:bCs/>
          <w:iCs/>
          <w:color w:val="000000"/>
          <w:sz w:val="24"/>
          <w:szCs w:val="24"/>
          <w:lang w:val="ro-RO" w:eastAsia="ru-RU" w:bidi="ro-RO"/>
        </w:rPr>
        <w:t xml:space="preserve">e </w:t>
      </w:r>
      <w:r w:rsidR="00B26484">
        <w:rPr>
          <w:rFonts w:asciiTheme="majorHAnsi" w:eastAsia="Times New Roman" w:hAnsiTheme="majorHAnsi" w:cstheme="majorHAnsi"/>
          <w:bCs/>
          <w:iCs/>
          <w:color w:val="000000"/>
          <w:sz w:val="24"/>
          <w:szCs w:val="24"/>
          <w:lang w:val="ro-RO" w:eastAsia="ru-RU" w:bidi="ro-RO"/>
        </w:rPr>
        <w:t xml:space="preserve">la </w:t>
      </w:r>
      <w:r w:rsidR="00EC7AC4" w:rsidRPr="00B26484">
        <w:rPr>
          <w:rFonts w:asciiTheme="majorHAnsi" w:eastAsia="Times New Roman" w:hAnsiTheme="majorHAnsi" w:cstheme="majorHAnsi"/>
          <w:bCs/>
          <w:iCs/>
          <w:color w:val="000000"/>
          <w:sz w:val="24"/>
          <w:szCs w:val="24"/>
          <w:lang w:val="ro-RO" w:eastAsia="ru-RU" w:bidi="ro-RO"/>
        </w:rPr>
        <w:t xml:space="preserve"> instituțiil</w:t>
      </w:r>
      <w:r w:rsidR="00B26484" w:rsidRPr="00623738">
        <w:rPr>
          <w:rFonts w:asciiTheme="majorHAnsi" w:eastAsia="Times New Roman" w:hAnsiTheme="majorHAnsi" w:cstheme="majorHAnsi"/>
          <w:bCs/>
          <w:iCs/>
          <w:color w:val="000000"/>
          <w:sz w:val="24"/>
          <w:szCs w:val="24"/>
          <w:lang w:val="ro-RO" w:eastAsia="ru-RU" w:bidi="ro-RO"/>
        </w:rPr>
        <w:t>e</w:t>
      </w:r>
      <w:r w:rsidR="00EC7AC4" w:rsidRPr="00B26484">
        <w:rPr>
          <w:rFonts w:asciiTheme="majorHAnsi" w:eastAsia="Times New Roman" w:hAnsiTheme="majorHAnsi" w:cstheme="majorHAnsi"/>
          <w:bCs/>
          <w:iCs/>
          <w:color w:val="000000"/>
          <w:sz w:val="24"/>
          <w:szCs w:val="24"/>
          <w:lang w:val="ro-RO" w:eastAsia="ru-RU" w:bidi="ro-RO"/>
        </w:rPr>
        <w:t xml:space="preserve"> vizate, </w:t>
      </w:r>
      <w:r w:rsidRPr="00B26484">
        <w:rPr>
          <w:rFonts w:asciiTheme="majorHAnsi" w:eastAsia="Times New Roman" w:hAnsiTheme="majorHAnsi" w:cstheme="majorHAnsi"/>
          <w:bCs/>
          <w:iCs/>
          <w:color w:val="000000"/>
          <w:sz w:val="24"/>
          <w:szCs w:val="24"/>
          <w:lang w:val="ro-RO" w:eastAsia="ru-RU" w:bidi="ro-RO"/>
        </w:rPr>
        <w:t xml:space="preserve">în cadrul ședinței video, </w:t>
      </w:r>
      <w:r w:rsidRPr="00B26484">
        <w:rPr>
          <w:rFonts w:asciiTheme="majorHAnsi" w:eastAsia="Times New Roman" w:hAnsiTheme="majorHAnsi" w:cstheme="majorHAnsi"/>
          <w:color w:val="000000"/>
          <w:sz w:val="24"/>
          <w:szCs w:val="24"/>
          <w:lang w:val="ro-RO" w:eastAsia="ru-RU" w:bidi="ro-RO"/>
        </w:rPr>
        <w:t>călăuzindu-se de art.3 alin.(</w:t>
      </w:r>
      <w:r w:rsidRPr="002621B1">
        <w:rPr>
          <w:rFonts w:asciiTheme="majorHAnsi" w:eastAsia="Times New Roman" w:hAnsiTheme="majorHAnsi" w:cstheme="majorHAnsi"/>
          <w:color w:val="000000"/>
          <w:sz w:val="24"/>
          <w:szCs w:val="24"/>
          <w:lang w:val="ro-RO" w:eastAsia="ru-RU" w:bidi="ro-RO"/>
        </w:rPr>
        <w:t xml:space="preserve">1) și art. 5 alin.(1) lit. a) din Legea privind organizarea și funcționarea </w:t>
      </w:r>
      <w:proofErr w:type="spellStart"/>
      <w:r w:rsidRPr="002621B1">
        <w:rPr>
          <w:rFonts w:asciiTheme="majorHAnsi" w:eastAsia="Times New Roman" w:hAnsiTheme="majorHAnsi" w:cstheme="majorHAnsi"/>
          <w:color w:val="000000"/>
          <w:sz w:val="24"/>
          <w:szCs w:val="24"/>
          <w:lang w:val="ro-RO" w:eastAsia="ru-RU" w:bidi="ro-RO"/>
        </w:rPr>
        <w:t>Curţii</w:t>
      </w:r>
      <w:proofErr w:type="spellEnd"/>
      <w:r w:rsidRPr="002621B1">
        <w:rPr>
          <w:rFonts w:asciiTheme="majorHAnsi" w:eastAsia="Times New Roman" w:hAnsiTheme="majorHAnsi" w:cstheme="majorHAnsi"/>
          <w:color w:val="000000"/>
          <w:sz w:val="24"/>
          <w:szCs w:val="24"/>
          <w:lang w:val="ro-RO" w:eastAsia="ru-RU" w:bidi="ro-RO"/>
        </w:rPr>
        <w:t xml:space="preserve"> de Conturi</w:t>
      </w:r>
      <w:r w:rsidRPr="002621B1">
        <w:rPr>
          <w:rFonts w:asciiTheme="majorHAnsi" w:eastAsia="Calibri" w:hAnsiTheme="majorHAnsi" w:cstheme="majorHAnsi"/>
          <w:sz w:val="24"/>
          <w:szCs w:val="24"/>
          <w:lang w:val="ro-RO"/>
        </w:rPr>
        <w:t xml:space="preserve"> a Republicii Moldova</w:t>
      </w:r>
      <w:r w:rsidRPr="002621B1">
        <w:rPr>
          <w:rFonts w:asciiTheme="majorHAnsi" w:eastAsia="Calibri" w:hAnsiTheme="majorHAnsi" w:cstheme="majorHAnsi"/>
          <w:sz w:val="24"/>
          <w:szCs w:val="24"/>
          <w:vertAlign w:val="superscript"/>
          <w:lang w:val="ro-RO"/>
        </w:rPr>
        <w:footnoteReference w:id="1"/>
      </w:r>
      <w:r w:rsidRPr="002621B1">
        <w:rPr>
          <w:rFonts w:asciiTheme="majorHAnsi" w:eastAsia="Calibri" w:hAnsiTheme="majorHAnsi" w:cstheme="majorHAnsi"/>
          <w:sz w:val="24"/>
          <w:szCs w:val="24"/>
          <w:lang w:val="ro-RO"/>
        </w:rPr>
        <w:t xml:space="preserve"> </w:t>
      </w:r>
      <w:r w:rsidRPr="002621B1">
        <w:rPr>
          <w:rFonts w:asciiTheme="majorHAnsi" w:eastAsia="Times New Roman" w:hAnsiTheme="majorHAnsi" w:cstheme="majorHAnsi"/>
          <w:color w:val="000000"/>
          <w:sz w:val="24"/>
          <w:szCs w:val="24"/>
          <w:lang w:val="ro-RO" w:eastAsia="ru-RU" w:bidi="ro-RO"/>
        </w:rPr>
        <w:t>nr. 260 din 07.12.2017 (cu modificările ulterioare), a examinat Raportul auditului</w:t>
      </w:r>
      <w:r w:rsidR="0051687E">
        <w:rPr>
          <w:rFonts w:ascii="Courier New" w:eastAsia="Courier New" w:hAnsi="Courier New" w:cs="Courier New"/>
          <w:color w:val="000000"/>
          <w:sz w:val="24"/>
          <w:szCs w:val="24"/>
          <w:lang w:val="ro-RO" w:eastAsia="ro-RO" w:bidi="ro-RO"/>
        </w:rPr>
        <w:t xml:space="preserve"> </w:t>
      </w:r>
      <w:r w:rsidR="00B63E6A" w:rsidRPr="00B63E6A">
        <w:rPr>
          <w:rFonts w:asciiTheme="majorHAnsi" w:eastAsia="Times New Roman" w:hAnsiTheme="majorHAnsi" w:cstheme="majorHAnsi"/>
          <w:color w:val="000000"/>
          <w:sz w:val="24"/>
          <w:szCs w:val="24"/>
          <w:lang w:val="ro-RO" w:eastAsia="ru-RU" w:bidi="ro-RO"/>
        </w:rPr>
        <w:t>performanței cu tema: „</w:t>
      </w:r>
      <w:r w:rsidR="00B63E6A" w:rsidRPr="00B63E6A">
        <w:rPr>
          <w:rFonts w:asciiTheme="majorHAnsi" w:eastAsia="Times New Roman" w:hAnsiTheme="majorHAnsi" w:cstheme="majorHAnsi"/>
          <w:i/>
          <w:color w:val="000000"/>
          <w:sz w:val="24"/>
          <w:szCs w:val="24"/>
          <w:lang w:val="ro-RO" w:eastAsia="ru-RU" w:bidi="ro-RO"/>
        </w:rPr>
        <w:t xml:space="preserve">Măsurile întreprinse </w:t>
      </w:r>
      <w:r w:rsidR="00B63E6A" w:rsidRPr="00B63E6A">
        <w:rPr>
          <w:rFonts w:asciiTheme="majorHAnsi" w:eastAsia="Times New Roman" w:hAnsiTheme="majorHAnsi" w:cstheme="majorHAnsi"/>
          <w:i/>
          <w:color w:val="000000"/>
          <w:sz w:val="24"/>
          <w:szCs w:val="24"/>
          <w:lang w:val="ro-RO" w:eastAsia="ru-RU" w:bidi="ro-RO"/>
        </w:rPr>
        <w:lastRenderedPageBreak/>
        <w:t>și resursele investite în implementarea și dezvoltarea Sistemului informațional automatizat de gestionare și eliberare a actelor permisive (SIA GEAP) contribuie la atingerea scopului și obiectivelor stabilite?</w:t>
      </w:r>
      <w:r w:rsidR="00B63E6A" w:rsidRPr="00B63E6A">
        <w:rPr>
          <w:rFonts w:asciiTheme="majorHAnsi" w:eastAsia="Times New Roman" w:hAnsiTheme="majorHAnsi" w:cstheme="majorHAnsi"/>
          <w:color w:val="000000"/>
          <w:sz w:val="24"/>
          <w:szCs w:val="24"/>
          <w:lang w:val="ro-RO" w:eastAsia="ru-RU" w:bidi="ro-RO"/>
        </w:rPr>
        <w:t>”</w:t>
      </w:r>
      <w:r w:rsidRPr="002621B1">
        <w:rPr>
          <w:rFonts w:asciiTheme="majorHAnsi" w:eastAsia="Times New Roman" w:hAnsiTheme="majorHAnsi" w:cstheme="majorHAnsi"/>
          <w:bCs/>
          <w:iCs/>
          <w:color w:val="000000"/>
          <w:sz w:val="24"/>
          <w:szCs w:val="24"/>
          <w:lang w:val="ro-RO" w:eastAsia="ru-RU" w:bidi="ro-RO"/>
        </w:rPr>
        <w:t>.</w:t>
      </w:r>
    </w:p>
    <w:p w:rsidR="00B63E6A" w:rsidRPr="00B63E6A" w:rsidRDefault="002621B1" w:rsidP="00B63E6A">
      <w:pPr>
        <w:spacing w:after="0" w:line="240" w:lineRule="auto"/>
        <w:ind w:firstLine="567"/>
        <w:jc w:val="both"/>
        <w:rPr>
          <w:rFonts w:asciiTheme="majorHAnsi" w:eastAsia="Times New Roman" w:hAnsiTheme="majorHAnsi" w:cstheme="majorHAnsi"/>
          <w:sz w:val="24"/>
          <w:szCs w:val="24"/>
          <w:lang w:val="ro-RO" w:eastAsia="ru-RU"/>
        </w:rPr>
      </w:pPr>
      <w:r w:rsidRPr="002621B1">
        <w:rPr>
          <w:rFonts w:asciiTheme="majorHAnsi" w:eastAsia="Times New Roman" w:hAnsiTheme="majorHAnsi" w:cstheme="majorHAnsi"/>
          <w:color w:val="000000"/>
          <w:sz w:val="24"/>
          <w:szCs w:val="24"/>
          <w:lang w:val="ro-RO" w:eastAsia="ro-MD" w:bidi="ro-RO"/>
        </w:rPr>
        <w:t xml:space="preserve">Misiunea de audit public extern a fost realizată conform </w:t>
      </w:r>
      <w:r w:rsidRPr="002621B1">
        <w:rPr>
          <w:rFonts w:asciiTheme="majorHAnsi" w:eastAsia="Courier New" w:hAnsiTheme="majorHAnsi" w:cstheme="majorHAnsi"/>
          <w:color w:val="000000"/>
          <w:sz w:val="24"/>
          <w:szCs w:val="24"/>
          <w:lang w:val="ro-RO" w:eastAsia="ro-RO" w:bidi="ro-RO"/>
        </w:rPr>
        <w:t>Programului activității de audit a</w:t>
      </w:r>
      <w:r w:rsidR="00B63E6A">
        <w:rPr>
          <w:rFonts w:asciiTheme="majorHAnsi" w:eastAsia="Courier New" w:hAnsiTheme="majorHAnsi" w:cstheme="majorHAnsi"/>
          <w:color w:val="000000"/>
          <w:sz w:val="24"/>
          <w:szCs w:val="24"/>
          <w:lang w:val="ro-RO" w:eastAsia="ro-RO" w:bidi="ro-RO"/>
        </w:rPr>
        <w:t xml:space="preserve"> Curții de Conturi </w:t>
      </w:r>
      <w:r w:rsidR="00B63E6A" w:rsidRPr="00B63E6A">
        <w:rPr>
          <w:rFonts w:asciiTheme="majorHAnsi" w:eastAsia="Times New Roman" w:hAnsiTheme="majorHAnsi" w:cstheme="majorHAnsi"/>
          <w:sz w:val="24"/>
          <w:szCs w:val="24"/>
          <w:lang w:val="ro-RO" w:eastAsia="ro-RO"/>
        </w:rPr>
        <w:t>pe anul 2021</w:t>
      </w:r>
      <w:r w:rsidR="00B63E6A" w:rsidRPr="00B63E6A">
        <w:rPr>
          <w:rFonts w:asciiTheme="majorHAnsi" w:eastAsia="Times New Roman" w:hAnsiTheme="majorHAnsi" w:cstheme="majorHAnsi"/>
          <w:sz w:val="24"/>
          <w:szCs w:val="24"/>
          <w:vertAlign w:val="superscript"/>
          <w:lang w:val="ro-RO" w:eastAsia="ro-RO"/>
        </w:rPr>
        <w:footnoteReference w:id="2"/>
      </w:r>
      <w:r w:rsidR="00B63E6A" w:rsidRPr="00B63E6A">
        <w:rPr>
          <w:rFonts w:asciiTheme="majorHAnsi" w:eastAsia="Times New Roman" w:hAnsiTheme="majorHAnsi" w:cstheme="majorHAnsi"/>
          <w:sz w:val="24"/>
          <w:szCs w:val="24"/>
          <w:lang w:val="ro-RO" w:eastAsia="ro-RO"/>
        </w:rPr>
        <w:t>,</w:t>
      </w:r>
      <w:r w:rsidRPr="002621B1">
        <w:rPr>
          <w:rFonts w:asciiTheme="majorHAnsi" w:eastAsia="Courier New" w:hAnsiTheme="majorHAnsi" w:cstheme="majorHAnsi"/>
          <w:color w:val="000000"/>
          <w:sz w:val="24"/>
          <w:szCs w:val="24"/>
          <w:lang w:val="ro-RO" w:eastAsia="ro-RO" w:bidi="ro-RO"/>
        </w:rPr>
        <w:t xml:space="preserve"> </w:t>
      </w:r>
      <w:r w:rsidRPr="002621B1">
        <w:rPr>
          <w:rFonts w:asciiTheme="majorHAnsi" w:eastAsia="Times New Roman" w:hAnsiTheme="majorHAnsi" w:cstheme="majorHAnsi"/>
          <w:color w:val="000000"/>
          <w:sz w:val="24"/>
          <w:szCs w:val="24"/>
          <w:lang w:val="ro-RO" w:eastAsia="ro-RO" w:bidi="ro-RO"/>
        </w:rPr>
        <w:t xml:space="preserve">având drept scop </w:t>
      </w:r>
      <w:r w:rsidR="00B63E6A" w:rsidRPr="00B63E6A">
        <w:rPr>
          <w:rFonts w:asciiTheme="majorHAnsi" w:eastAsia="Times New Roman" w:hAnsiTheme="majorHAnsi" w:cstheme="majorHAnsi"/>
          <w:sz w:val="24"/>
          <w:szCs w:val="24"/>
          <w:lang w:val="ro-RO" w:eastAsia="ru-RU"/>
        </w:rPr>
        <w:t xml:space="preserve">colectarea datelor și informațiilor pertinente și exhaustive pentru susținerea constatărilor și concluziilor de audit referitor la faptul dacă instituțiile și autoritățile publice responsabile au creat și au realizat condițiile necesare pentru implementarea, gestionarea și utilizarea eficientă a SIA GEAP, cu identificarea riscurilor și vulnerabilităților în acest sens și </w:t>
      </w:r>
      <w:r w:rsidR="00886EC9">
        <w:rPr>
          <w:rFonts w:asciiTheme="majorHAnsi" w:eastAsia="Times New Roman" w:hAnsiTheme="majorHAnsi" w:cstheme="majorHAnsi"/>
          <w:sz w:val="24"/>
          <w:szCs w:val="24"/>
          <w:lang w:val="ro-RO" w:eastAsia="ru-RU"/>
        </w:rPr>
        <w:t xml:space="preserve">cu </w:t>
      </w:r>
      <w:r w:rsidR="00B63E6A" w:rsidRPr="00B63E6A">
        <w:rPr>
          <w:rFonts w:asciiTheme="majorHAnsi" w:eastAsia="Times New Roman" w:hAnsiTheme="majorHAnsi" w:cstheme="majorHAnsi"/>
          <w:sz w:val="24"/>
          <w:szCs w:val="24"/>
          <w:lang w:val="ro-RO" w:eastAsia="ru-RU"/>
        </w:rPr>
        <w:t>determinarea oportunităților de îmbunătățire pentru maximizarea beneficiilor Sistemului.</w:t>
      </w:r>
    </w:p>
    <w:p w:rsidR="002621B1" w:rsidRPr="002621B1" w:rsidRDefault="002621B1" w:rsidP="002621B1">
      <w:pPr>
        <w:widowControl w:val="0"/>
        <w:spacing w:after="0" w:line="274" w:lineRule="auto"/>
        <w:ind w:firstLine="720"/>
        <w:contextualSpacing/>
        <w:jc w:val="both"/>
        <w:rPr>
          <w:rFonts w:asciiTheme="majorHAnsi" w:eastAsia="Times New Roman" w:hAnsiTheme="majorHAnsi" w:cstheme="majorHAnsi"/>
          <w:color w:val="000000"/>
          <w:sz w:val="24"/>
          <w:szCs w:val="24"/>
          <w:lang w:val="ro-RO" w:eastAsia="ro-RO" w:bidi="ro-RO"/>
        </w:rPr>
      </w:pPr>
      <w:r w:rsidRPr="002621B1">
        <w:rPr>
          <w:rFonts w:asciiTheme="majorHAnsi" w:eastAsia="Times New Roman" w:hAnsiTheme="majorHAnsi" w:cstheme="majorHAnsi"/>
          <w:color w:val="000000"/>
          <w:sz w:val="24"/>
          <w:szCs w:val="24"/>
          <w:lang w:val="ro-RO" w:eastAsia="ro-RO" w:bidi="ro-RO"/>
        </w:rPr>
        <w:t>Auditul public extern a fost planificat și s-a desfășurat în conformitate cu Standardele Internaționale ale Instituțiilor Supreme de Audit aplicate de Curtea de Conturi</w:t>
      </w:r>
      <w:r w:rsidRPr="002621B1">
        <w:rPr>
          <w:rFonts w:asciiTheme="majorHAnsi" w:eastAsia="Times New Roman" w:hAnsiTheme="majorHAnsi" w:cstheme="majorHAnsi"/>
          <w:color w:val="000000"/>
          <w:sz w:val="24"/>
          <w:szCs w:val="24"/>
          <w:vertAlign w:val="superscript"/>
          <w:lang w:val="ro-RO"/>
        </w:rPr>
        <w:footnoteReference w:id="3"/>
      </w:r>
      <w:r w:rsidRPr="002621B1">
        <w:rPr>
          <w:rFonts w:asciiTheme="majorHAnsi" w:eastAsia="Times New Roman" w:hAnsiTheme="majorHAnsi" w:cstheme="majorHAnsi"/>
          <w:color w:val="000000"/>
          <w:sz w:val="24"/>
          <w:szCs w:val="24"/>
          <w:lang w:val="ro-RO" w:eastAsia="ro-RO" w:bidi="ro-RO"/>
        </w:rPr>
        <w:t xml:space="preserve">. </w:t>
      </w:r>
    </w:p>
    <w:p w:rsidR="002621B1" w:rsidRDefault="002621B1" w:rsidP="002621B1">
      <w:pPr>
        <w:widowControl w:val="0"/>
        <w:spacing w:after="0" w:line="274" w:lineRule="auto"/>
        <w:ind w:firstLine="720"/>
        <w:contextualSpacing/>
        <w:jc w:val="both"/>
        <w:rPr>
          <w:rFonts w:asciiTheme="majorHAnsi" w:eastAsia="Times New Roman" w:hAnsiTheme="majorHAnsi" w:cstheme="majorHAnsi"/>
          <w:color w:val="000000"/>
          <w:sz w:val="24"/>
          <w:szCs w:val="24"/>
          <w:lang w:val="ro-RO" w:eastAsia="ro-RO" w:bidi="ro-RO"/>
        </w:rPr>
      </w:pPr>
      <w:r w:rsidRPr="002621B1">
        <w:rPr>
          <w:rFonts w:asciiTheme="majorHAnsi" w:eastAsia="Times New Roman" w:hAnsiTheme="majorHAnsi" w:cstheme="majorHAnsi"/>
          <w:color w:val="000000"/>
          <w:sz w:val="24"/>
          <w:szCs w:val="24"/>
          <w:lang w:val="ro-RO" w:eastAsia="ro-RO" w:bidi="ro-RO"/>
        </w:rPr>
        <w:t xml:space="preserve">Examinând Raportul de audit, Curtea de Conturi </w:t>
      </w:r>
    </w:p>
    <w:p w:rsidR="00B63E6A" w:rsidRPr="002621B1" w:rsidRDefault="00B63E6A" w:rsidP="002621B1">
      <w:pPr>
        <w:widowControl w:val="0"/>
        <w:spacing w:after="0" w:line="274" w:lineRule="auto"/>
        <w:ind w:firstLine="720"/>
        <w:contextualSpacing/>
        <w:jc w:val="both"/>
        <w:rPr>
          <w:rFonts w:asciiTheme="majorHAnsi" w:eastAsia="Times New Roman" w:hAnsiTheme="majorHAnsi" w:cstheme="majorHAnsi"/>
          <w:color w:val="000000"/>
          <w:sz w:val="10"/>
          <w:szCs w:val="10"/>
          <w:lang w:val="ro-RO" w:eastAsia="ro-RO" w:bidi="ro-RO"/>
        </w:rPr>
      </w:pPr>
    </w:p>
    <w:p w:rsidR="002621B1" w:rsidRDefault="002621B1" w:rsidP="002621B1">
      <w:pPr>
        <w:spacing w:after="0" w:line="274" w:lineRule="auto"/>
        <w:contextualSpacing/>
        <w:jc w:val="center"/>
        <w:rPr>
          <w:rFonts w:asciiTheme="majorHAnsi" w:eastAsia="Times New Roman" w:hAnsiTheme="majorHAnsi" w:cstheme="majorHAnsi"/>
          <w:b/>
          <w:bCs/>
          <w:sz w:val="24"/>
          <w:szCs w:val="24"/>
          <w:lang w:val="ro-RO"/>
        </w:rPr>
      </w:pPr>
      <w:r w:rsidRPr="002621B1">
        <w:rPr>
          <w:rFonts w:asciiTheme="majorHAnsi" w:eastAsia="Times New Roman" w:hAnsiTheme="majorHAnsi" w:cstheme="majorHAnsi"/>
          <w:b/>
          <w:bCs/>
          <w:sz w:val="24"/>
          <w:szCs w:val="24"/>
          <w:lang w:val="ro-RO"/>
        </w:rPr>
        <w:t>A CONSTATAT:</w:t>
      </w:r>
    </w:p>
    <w:p w:rsidR="00B63E6A" w:rsidRPr="002621B1" w:rsidRDefault="00B63E6A" w:rsidP="002621B1">
      <w:pPr>
        <w:spacing w:after="0" w:line="274" w:lineRule="auto"/>
        <w:contextualSpacing/>
        <w:jc w:val="center"/>
        <w:rPr>
          <w:rFonts w:asciiTheme="majorHAnsi" w:eastAsia="Times New Roman" w:hAnsiTheme="majorHAnsi" w:cstheme="majorHAnsi"/>
          <w:b/>
          <w:bCs/>
          <w:sz w:val="10"/>
          <w:szCs w:val="10"/>
          <w:lang w:val="ro-RO"/>
        </w:rPr>
      </w:pPr>
    </w:p>
    <w:p w:rsidR="002621B1" w:rsidRDefault="00AE6F7F" w:rsidP="002621B1">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AE6F7F">
        <w:rPr>
          <w:rFonts w:asciiTheme="majorHAnsi" w:eastAsia="Times New Roman" w:hAnsiTheme="majorHAnsi" w:cstheme="majorHAnsi"/>
          <w:sz w:val="24"/>
          <w:szCs w:val="24"/>
          <w:lang w:val="ro-RO"/>
        </w:rPr>
        <w:t xml:space="preserve">Eficientizarea guvernării prin aplicarea și </w:t>
      </w:r>
      <w:r w:rsidRPr="00DA4FBD">
        <w:rPr>
          <w:rFonts w:asciiTheme="majorHAnsi" w:eastAsia="Times New Roman" w:hAnsiTheme="majorHAnsi" w:cstheme="majorHAnsi"/>
          <w:sz w:val="24"/>
          <w:szCs w:val="24"/>
          <w:lang w:val="ro-RO"/>
        </w:rPr>
        <w:t xml:space="preserve">utilizarea </w:t>
      </w:r>
      <w:r w:rsidR="00A37EEA" w:rsidRPr="00DA4FBD">
        <w:rPr>
          <w:rFonts w:asciiTheme="majorHAnsi" w:eastAsia="Times New Roman" w:hAnsiTheme="majorHAnsi" w:cstheme="majorHAnsi"/>
          <w:sz w:val="24"/>
          <w:szCs w:val="24"/>
          <w:lang w:val="ro-RO"/>
        </w:rPr>
        <w:t>tehnologiilor informaționale</w:t>
      </w:r>
      <w:r w:rsidRPr="00AE6F7F">
        <w:rPr>
          <w:rFonts w:asciiTheme="majorHAnsi" w:eastAsia="Times New Roman" w:hAnsiTheme="majorHAnsi" w:cstheme="majorHAnsi"/>
          <w:sz w:val="24"/>
          <w:szCs w:val="24"/>
          <w:lang w:val="ro-RO"/>
        </w:rPr>
        <w:t>, asigurarea schimbului de date și interoperabilitate între registrele și sistemele informaționale de stat, precum și responsabilizarea autorităților publice a</w:t>
      </w:r>
      <w:r w:rsidR="00886EC9">
        <w:rPr>
          <w:rFonts w:asciiTheme="majorHAnsi" w:eastAsia="Times New Roman" w:hAnsiTheme="majorHAnsi" w:cstheme="majorHAnsi"/>
          <w:sz w:val="24"/>
          <w:szCs w:val="24"/>
          <w:lang w:val="ro-RO"/>
        </w:rPr>
        <w:t>u</w:t>
      </w:r>
      <w:r w:rsidRPr="00AE6F7F">
        <w:rPr>
          <w:rFonts w:asciiTheme="majorHAnsi" w:eastAsia="Times New Roman" w:hAnsiTheme="majorHAnsi" w:cstheme="majorHAnsi"/>
          <w:sz w:val="24"/>
          <w:szCs w:val="24"/>
          <w:lang w:val="ro-RO"/>
        </w:rPr>
        <w:t xml:space="preserve"> impact multiplicativ social și politic.</w:t>
      </w:r>
      <w:r>
        <w:rPr>
          <w:rFonts w:asciiTheme="majorHAnsi" w:eastAsia="Times New Roman" w:hAnsiTheme="majorHAnsi" w:cstheme="majorHAnsi"/>
          <w:sz w:val="24"/>
          <w:szCs w:val="24"/>
          <w:lang w:val="ro-RO"/>
        </w:rPr>
        <w:t xml:space="preserve"> </w:t>
      </w:r>
      <w:r w:rsidR="00886EC9">
        <w:rPr>
          <w:rFonts w:asciiTheme="majorHAnsi" w:eastAsia="Times New Roman" w:hAnsiTheme="majorHAnsi" w:cstheme="majorHAnsi"/>
          <w:sz w:val="24"/>
          <w:szCs w:val="24"/>
          <w:lang w:val="ro-RO"/>
        </w:rPr>
        <w:t>I</w:t>
      </w:r>
      <w:r>
        <w:rPr>
          <w:rFonts w:asciiTheme="majorHAnsi" w:eastAsia="Times New Roman" w:hAnsiTheme="majorHAnsi" w:cstheme="majorHAnsi"/>
          <w:sz w:val="24"/>
          <w:szCs w:val="24"/>
          <w:lang w:val="ro-RO"/>
        </w:rPr>
        <w:t>nstituir</w:t>
      </w:r>
      <w:r w:rsidR="00886EC9">
        <w:rPr>
          <w:rFonts w:asciiTheme="majorHAnsi" w:eastAsia="Times New Roman" w:hAnsiTheme="majorHAnsi" w:cstheme="majorHAnsi"/>
          <w:sz w:val="24"/>
          <w:szCs w:val="24"/>
          <w:lang w:val="ro-RO"/>
        </w:rPr>
        <w:t>ea</w:t>
      </w:r>
      <w:r>
        <w:rPr>
          <w:rFonts w:asciiTheme="majorHAnsi" w:eastAsia="Times New Roman" w:hAnsiTheme="majorHAnsi" w:cstheme="majorHAnsi"/>
          <w:sz w:val="24"/>
          <w:szCs w:val="24"/>
          <w:lang w:val="ro-RO"/>
        </w:rPr>
        <w:t xml:space="preserve"> unui </w:t>
      </w:r>
      <w:r w:rsidRPr="00AE6F7F">
        <w:rPr>
          <w:rFonts w:asciiTheme="majorHAnsi" w:eastAsia="Times New Roman" w:hAnsiTheme="majorHAnsi" w:cstheme="majorHAnsi"/>
          <w:sz w:val="24"/>
          <w:szCs w:val="24"/>
          <w:lang w:val="ro-RO"/>
        </w:rPr>
        <w:t>ghișeu</w:t>
      </w:r>
      <w:r>
        <w:rPr>
          <w:rFonts w:asciiTheme="majorHAnsi" w:eastAsia="Times New Roman" w:hAnsiTheme="majorHAnsi" w:cstheme="majorHAnsi"/>
          <w:sz w:val="24"/>
          <w:szCs w:val="24"/>
          <w:lang w:val="ro-RO"/>
        </w:rPr>
        <w:t xml:space="preserve"> unic, prin implementarea Sistemului Informațional Automatizat de Gestionare și Eliberare a Actelor Permisive (SIA GEAP), </w:t>
      </w:r>
      <w:r w:rsidRPr="00AE6F7F">
        <w:rPr>
          <w:rFonts w:asciiTheme="majorHAnsi" w:eastAsia="Times New Roman" w:hAnsiTheme="majorHAnsi" w:cstheme="majorHAnsi"/>
          <w:sz w:val="24"/>
          <w:szCs w:val="24"/>
          <w:lang w:val="ro-RO"/>
        </w:rPr>
        <w:t>a fost generată de complexitatea</w:t>
      </w:r>
      <w:r>
        <w:rPr>
          <w:rFonts w:asciiTheme="majorHAnsi" w:eastAsia="Times New Roman" w:hAnsiTheme="majorHAnsi" w:cstheme="majorHAnsi"/>
          <w:sz w:val="24"/>
          <w:szCs w:val="24"/>
          <w:lang w:val="ro-RO"/>
        </w:rPr>
        <w:t xml:space="preserve"> și diversitatea</w:t>
      </w:r>
      <w:r w:rsidRPr="00AE6F7F">
        <w:rPr>
          <w:rFonts w:asciiTheme="majorHAnsi" w:eastAsia="Times New Roman" w:hAnsiTheme="majorHAnsi" w:cstheme="majorHAnsi"/>
          <w:sz w:val="24"/>
          <w:szCs w:val="24"/>
          <w:lang w:val="ro-RO"/>
        </w:rPr>
        <w:t xml:space="preserve"> proces</w:t>
      </w:r>
      <w:r>
        <w:rPr>
          <w:rFonts w:asciiTheme="majorHAnsi" w:eastAsia="Times New Roman" w:hAnsiTheme="majorHAnsi" w:cstheme="majorHAnsi"/>
          <w:sz w:val="24"/>
          <w:szCs w:val="24"/>
          <w:lang w:val="ro-RO"/>
        </w:rPr>
        <w:t>elor</w:t>
      </w:r>
      <w:r w:rsidRPr="00AE6F7F">
        <w:rPr>
          <w:rFonts w:asciiTheme="majorHAnsi" w:eastAsia="Times New Roman" w:hAnsiTheme="majorHAnsi" w:cstheme="majorHAnsi"/>
          <w:sz w:val="24"/>
          <w:szCs w:val="24"/>
          <w:lang w:val="ro-RO"/>
        </w:rPr>
        <w:t xml:space="preserve"> de eliberare a actelor permisive, ceea ce creează o povară semnificativă pentru antr</w:t>
      </w:r>
      <w:r>
        <w:rPr>
          <w:rFonts w:asciiTheme="majorHAnsi" w:eastAsia="Times New Roman" w:hAnsiTheme="majorHAnsi" w:cstheme="majorHAnsi"/>
          <w:sz w:val="24"/>
          <w:szCs w:val="24"/>
          <w:lang w:val="ro-RO"/>
        </w:rPr>
        <w:t xml:space="preserve">eprenori la obținerea acestora, precum și </w:t>
      </w:r>
      <w:r w:rsidR="00AF1AC7">
        <w:rPr>
          <w:rFonts w:asciiTheme="majorHAnsi" w:eastAsia="Times New Roman" w:hAnsiTheme="majorHAnsi" w:cstheme="majorHAnsi"/>
          <w:sz w:val="24"/>
          <w:szCs w:val="24"/>
          <w:lang w:val="ro-RO"/>
        </w:rPr>
        <w:t xml:space="preserve">de </w:t>
      </w:r>
      <w:r>
        <w:rPr>
          <w:rFonts w:asciiTheme="majorHAnsi" w:eastAsia="Times New Roman" w:hAnsiTheme="majorHAnsi" w:cstheme="majorHAnsi"/>
          <w:sz w:val="24"/>
          <w:szCs w:val="24"/>
          <w:lang w:val="ro-RO"/>
        </w:rPr>
        <w:t>necesitatea de contribuire</w:t>
      </w:r>
      <w:r w:rsidRPr="00AE6F7F">
        <w:rPr>
          <w:rFonts w:asciiTheme="majorHAnsi" w:eastAsia="Times New Roman" w:hAnsiTheme="majorHAnsi" w:cstheme="majorHAnsi"/>
          <w:sz w:val="24"/>
          <w:szCs w:val="24"/>
          <w:lang w:val="ro-RO"/>
        </w:rPr>
        <w:t xml:space="preserve"> la facilitarea procesului </w:t>
      </w:r>
      <w:r>
        <w:rPr>
          <w:rFonts w:asciiTheme="majorHAnsi" w:eastAsia="Times New Roman" w:hAnsiTheme="majorHAnsi" w:cstheme="majorHAnsi"/>
          <w:sz w:val="24"/>
          <w:szCs w:val="24"/>
          <w:lang w:val="ro-RO"/>
        </w:rPr>
        <w:t>respectiv</w:t>
      </w:r>
      <w:r w:rsidRPr="00AE6F7F">
        <w:rPr>
          <w:rFonts w:asciiTheme="majorHAnsi" w:eastAsia="Times New Roman" w:hAnsiTheme="majorHAnsi" w:cstheme="majorHAnsi"/>
          <w:sz w:val="24"/>
          <w:szCs w:val="24"/>
          <w:lang w:val="ro-RO"/>
        </w:rPr>
        <w:t xml:space="preserve"> atât pentru antreprenori, cât și pentr</w:t>
      </w:r>
      <w:r>
        <w:rPr>
          <w:rFonts w:asciiTheme="majorHAnsi" w:eastAsia="Times New Roman" w:hAnsiTheme="majorHAnsi" w:cstheme="majorHAnsi"/>
          <w:sz w:val="24"/>
          <w:szCs w:val="24"/>
          <w:lang w:val="ro-RO"/>
        </w:rPr>
        <w:t>u autoritățile publice emitente. SIA s</w:t>
      </w:r>
      <w:r w:rsidRPr="00AE6F7F">
        <w:rPr>
          <w:rFonts w:asciiTheme="majorHAnsi" w:eastAsia="Times New Roman" w:hAnsiTheme="majorHAnsi" w:cstheme="majorHAnsi"/>
          <w:sz w:val="24"/>
          <w:szCs w:val="24"/>
          <w:lang w:val="ro-RO"/>
        </w:rPr>
        <w:t>erv</w:t>
      </w:r>
      <w:r>
        <w:rPr>
          <w:rFonts w:asciiTheme="majorHAnsi" w:eastAsia="Times New Roman" w:hAnsiTheme="majorHAnsi" w:cstheme="majorHAnsi"/>
          <w:sz w:val="24"/>
          <w:szCs w:val="24"/>
          <w:lang w:val="ro-RO"/>
        </w:rPr>
        <w:t>ește</w:t>
      </w:r>
      <w:r w:rsidRPr="00AE6F7F">
        <w:rPr>
          <w:rFonts w:asciiTheme="majorHAnsi" w:eastAsia="Times New Roman" w:hAnsiTheme="majorHAnsi" w:cstheme="majorHAnsi"/>
          <w:sz w:val="24"/>
          <w:szCs w:val="24"/>
          <w:lang w:val="ro-RO"/>
        </w:rPr>
        <w:t xml:space="preserve"> drept punct central pentru interconectarea autorităților publice și coordonarea activităților lor, astfel ca </w:t>
      </w:r>
      <w:r>
        <w:rPr>
          <w:rFonts w:asciiTheme="majorHAnsi" w:eastAsia="Times New Roman" w:hAnsiTheme="majorHAnsi" w:cstheme="majorHAnsi"/>
          <w:sz w:val="24"/>
          <w:szCs w:val="24"/>
          <w:lang w:val="ro-RO"/>
        </w:rPr>
        <w:t>acestea</w:t>
      </w:r>
      <w:r w:rsidRPr="00AE6F7F">
        <w:rPr>
          <w:rFonts w:asciiTheme="majorHAnsi" w:eastAsia="Times New Roman" w:hAnsiTheme="majorHAnsi" w:cstheme="majorHAnsi"/>
          <w:sz w:val="24"/>
          <w:szCs w:val="24"/>
          <w:lang w:val="ro-RO"/>
        </w:rPr>
        <w:t xml:space="preserve"> să poată face schimb de informații</w:t>
      </w:r>
      <w:r w:rsidR="00AF1AC7">
        <w:rPr>
          <w:rFonts w:asciiTheme="majorHAnsi" w:eastAsia="Times New Roman" w:hAnsiTheme="majorHAnsi" w:cstheme="majorHAnsi"/>
          <w:sz w:val="24"/>
          <w:szCs w:val="24"/>
          <w:lang w:val="ro-RO"/>
        </w:rPr>
        <w:t>,</w:t>
      </w:r>
      <w:r w:rsidRPr="00AE6F7F">
        <w:rPr>
          <w:rFonts w:asciiTheme="majorHAnsi" w:eastAsia="Times New Roman" w:hAnsiTheme="majorHAnsi" w:cstheme="majorHAnsi"/>
          <w:sz w:val="24"/>
          <w:szCs w:val="24"/>
          <w:lang w:val="ro-RO"/>
        </w:rPr>
        <w:t xml:space="preserve"> </w:t>
      </w:r>
      <w:r w:rsidR="00891BD2">
        <w:rPr>
          <w:rFonts w:asciiTheme="majorHAnsi" w:eastAsia="Times New Roman" w:hAnsiTheme="majorHAnsi" w:cstheme="majorHAnsi"/>
          <w:sz w:val="24"/>
          <w:szCs w:val="24"/>
          <w:lang w:val="ro-RO"/>
        </w:rPr>
        <w:t>în scopul</w:t>
      </w:r>
      <w:r w:rsidRPr="00420011">
        <w:rPr>
          <w:rFonts w:asciiTheme="majorHAnsi" w:eastAsia="Times New Roman" w:hAnsiTheme="majorHAnsi" w:cstheme="majorHAnsi"/>
          <w:sz w:val="24"/>
          <w:szCs w:val="24"/>
          <w:lang w:val="ro-RO"/>
        </w:rPr>
        <w:t xml:space="preserve"> minimiz</w:t>
      </w:r>
      <w:r w:rsidR="00891BD2">
        <w:rPr>
          <w:rFonts w:asciiTheme="majorHAnsi" w:eastAsia="Times New Roman" w:hAnsiTheme="majorHAnsi" w:cstheme="majorHAnsi"/>
          <w:sz w:val="24"/>
          <w:szCs w:val="24"/>
          <w:lang w:val="ro-RO"/>
        </w:rPr>
        <w:t>ării</w:t>
      </w:r>
      <w:r w:rsidRPr="00420011">
        <w:rPr>
          <w:rFonts w:asciiTheme="majorHAnsi" w:eastAsia="Times New Roman" w:hAnsiTheme="majorHAnsi" w:cstheme="majorHAnsi"/>
          <w:sz w:val="24"/>
          <w:szCs w:val="24"/>
          <w:lang w:val="ro-RO"/>
        </w:rPr>
        <w:t xml:space="preserve"> cantit</w:t>
      </w:r>
      <w:r w:rsidR="00891BD2">
        <w:rPr>
          <w:rFonts w:asciiTheme="majorHAnsi" w:eastAsia="Times New Roman" w:hAnsiTheme="majorHAnsi" w:cstheme="majorHAnsi"/>
          <w:sz w:val="24"/>
          <w:szCs w:val="24"/>
          <w:lang w:val="ro-RO"/>
        </w:rPr>
        <w:t>ății</w:t>
      </w:r>
      <w:r w:rsidRPr="00420011">
        <w:rPr>
          <w:rFonts w:asciiTheme="majorHAnsi" w:eastAsia="Times New Roman" w:hAnsiTheme="majorHAnsi" w:cstheme="majorHAnsi"/>
          <w:sz w:val="24"/>
          <w:szCs w:val="24"/>
          <w:lang w:val="ro-RO"/>
        </w:rPr>
        <w:t xml:space="preserve"> informații</w:t>
      </w:r>
      <w:r w:rsidR="00891BD2">
        <w:rPr>
          <w:rFonts w:asciiTheme="majorHAnsi" w:eastAsia="Times New Roman" w:hAnsiTheme="majorHAnsi" w:cstheme="majorHAnsi"/>
          <w:sz w:val="24"/>
          <w:szCs w:val="24"/>
          <w:lang w:val="ro-RO"/>
        </w:rPr>
        <w:t>lor</w:t>
      </w:r>
      <w:r w:rsidRPr="00420011">
        <w:rPr>
          <w:rFonts w:asciiTheme="majorHAnsi" w:eastAsia="Times New Roman" w:hAnsiTheme="majorHAnsi" w:cstheme="majorHAnsi"/>
          <w:sz w:val="24"/>
          <w:szCs w:val="24"/>
          <w:lang w:val="ro-RO"/>
        </w:rPr>
        <w:t xml:space="preserve"> care</w:t>
      </w:r>
      <w:r w:rsidRPr="00AE6F7F">
        <w:rPr>
          <w:rFonts w:asciiTheme="majorHAnsi" w:eastAsia="Times New Roman" w:hAnsiTheme="majorHAnsi" w:cstheme="majorHAnsi"/>
          <w:sz w:val="24"/>
          <w:szCs w:val="24"/>
          <w:lang w:val="ro-RO"/>
        </w:rPr>
        <w:t xml:space="preserve"> trebuie să fie prezentate de solicitanți în vederea obținerii actelor permisive</w:t>
      </w:r>
      <w:r>
        <w:rPr>
          <w:rFonts w:asciiTheme="majorHAnsi" w:eastAsia="Times New Roman" w:hAnsiTheme="majorHAnsi" w:cstheme="majorHAnsi"/>
          <w:sz w:val="24"/>
          <w:szCs w:val="24"/>
          <w:lang w:val="ro-RO"/>
        </w:rPr>
        <w:t>.</w:t>
      </w:r>
    </w:p>
    <w:p w:rsidR="008E7930" w:rsidRDefault="00325791" w:rsidP="008E7930">
      <w:pPr>
        <w:spacing w:before="100" w:beforeAutospacing="1" w:after="120" w:afterAutospacing="1" w:line="274" w:lineRule="auto"/>
        <w:ind w:firstLine="720"/>
        <w:contextualSpacing/>
        <w:jc w:val="both"/>
      </w:pPr>
      <w:r w:rsidRPr="00325791">
        <w:rPr>
          <w:rFonts w:asciiTheme="majorHAnsi" w:eastAsia="Times New Roman" w:hAnsiTheme="majorHAnsi" w:cstheme="majorHAnsi"/>
          <w:sz w:val="24"/>
          <w:szCs w:val="24"/>
          <w:lang w:val="ro-RO"/>
        </w:rPr>
        <w:t>Achiziția serviciilor de implementare</w:t>
      </w:r>
      <w:r>
        <w:rPr>
          <w:rFonts w:asciiTheme="majorHAnsi" w:eastAsia="Times New Roman" w:hAnsiTheme="majorHAnsi" w:cstheme="majorHAnsi"/>
          <w:sz w:val="24"/>
          <w:szCs w:val="24"/>
          <w:lang w:val="ro-RO"/>
        </w:rPr>
        <w:t xml:space="preserve"> </w:t>
      </w:r>
      <w:r w:rsidRPr="00325791">
        <w:rPr>
          <w:rFonts w:asciiTheme="majorHAnsi" w:eastAsia="Times New Roman" w:hAnsiTheme="majorHAnsi" w:cstheme="majorHAnsi"/>
          <w:sz w:val="24"/>
          <w:szCs w:val="24"/>
          <w:lang w:val="ro-RO"/>
        </w:rPr>
        <w:t xml:space="preserve">a SIA GEAP, inclusiv a dezvoltărilor acestuia, s-a realizat în perioada </w:t>
      </w:r>
      <w:r w:rsidR="00AF1AC7">
        <w:rPr>
          <w:rFonts w:asciiTheme="majorHAnsi" w:eastAsia="Times New Roman" w:hAnsiTheme="majorHAnsi" w:cstheme="majorHAnsi"/>
          <w:sz w:val="24"/>
          <w:szCs w:val="24"/>
          <w:lang w:val="ro-RO"/>
        </w:rPr>
        <w:t xml:space="preserve">anilor </w:t>
      </w:r>
      <w:r w:rsidRPr="00325791">
        <w:rPr>
          <w:rFonts w:asciiTheme="majorHAnsi" w:eastAsia="Times New Roman" w:hAnsiTheme="majorHAnsi" w:cstheme="majorHAnsi"/>
          <w:sz w:val="24"/>
          <w:szCs w:val="24"/>
          <w:lang w:val="ro-RO"/>
        </w:rPr>
        <w:t xml:space="preserve">2016 </w:t>
      </w:r>
      <w:r>
        <w:rPr>
          <w:rFonts w:asciiTheme="majorHAnsi" w:eastAsia="Times New Roman" w:hAnsiTheme="majorHAnsi" w:cstheme="majorHAnsi"/>
          <w:sz w:val="24"/>
          <w:szCs w:val="24"/>
          <w:lang w:val="ro-RO"/>
        </w:rPr>
        <w:t>–</w:t>
      </w:r>
      <w:r w:rsidRPr="00325791">
        <w:rPr>
          <w:rFonts w:asciiTheme="majorHAnsi" w:eastAsia="Times New Roman" w:hAnsiTheme="majorHAnsi" w:cstheme="majorHAnsi"/>
          <w:sz w:val="24"/>
          <w:szCs w:val="24"/>
          <w:lang w:val="ro-RO"/>
        </w:rPr>
        <w:t xml:space="preserve"> 2020</w:t>
      </w:r>
      <w:r>
        <w:rPr>
          <w:rFonts w:asciiTheme="majorHAnsi" w:eastAsia="Times New Roman" w:hAnsiTheme="majorHAnsi" w:cstheme="majorHAnsi"/>
          <w:sz w:val="24"/>
          <w:szCs w:val="24"/>
          <w:lang w:val="ro-RO"/>
        </w:rPr>
        <w:t xml:space="preserve">, </w:t>
      </w:r>
      <w:r w:rsidRPr="00325791">
        <w:rPr>
          <w:rFonts w:asciiTheme="majorHAnsi" w:eastAsia="Times New Roman" w:hAnsiTheme="majorHAnsi" w:cstheme="majorHAnsi"/>
          <w:sz w:val="24"/>
          <w:szCs w:val="24"/>
          <w:lang w:val="ro-RO"/>
        </w:rPr>
        <w:t xml:space="preserve">în cadrul Proiectului </w:t>
      </w:r>
      <w:r w:rsidR="000940B1">
        <w:rPr>
          <w:rFonts w:asciiTheme="majorHAnsi" w:eastAsia="Times New Roman" w:hAnsiTheme="majorHAnsi" w:cstheme="majorHAnsi"/>
          <w:sz w:val="24"/>
          <w:szCs w:val="24"/>
          <w:lang w:val="ro-RO"/>
        </w:rPr>
        <w:t>de A</w:t>
      </w:r>
      <w:r w:rsidRPr="00325791">
        <w:rPr>
          <w:rFonts w:asciiTheme="majorHAnsi" w:eastAsia="Times New Roman" w:hAnsiTheme="majorHAnsi" w:cstheme="majorHAnsi"/>
          <w:sz w:val="24"/>
          <w:szCs w:val="24"/>
          <w:lang w:val="ro-RO"/>
        </w:rPr>
        <w:t>meliorare</w:t>
      </w:r>
      <w:r w:rsidR="000940B1">
        <w:rPr>
          <w:rFonts w:asciiTheme="majorHAnsi" w:eastAsia="Times New Roman" w:hAnsiTheme="majorHAnsi" w:cstheme="majorHAnsi"/>
          <w:sz w:val="24"/>
          <w:szCs w:val="24"/>
          <w:lang w:val="ro-RO"/>
        </w:rPr>
        <w:t xml:space="preserve"> </w:t>
      </w:r>
      <w:r w:rsidRPr="00325791">
        <w:rPr>
          <w:rFonts w:asciiTheme="majorHAnsi" w:eastAsia="Times New Roman" w:hAnsiTheme="majorHAnsi" w:cstheme="majorHAnsi"/>
          <w:sz w:val="24"/>
          <w:szCs w:val="24"/>
          <w:lang w:val="ro-RO"/>
        </w:rPr>
        <w:t xml:space="preserve">a </w:t>
      </w:r>
      <w:r w:rsidR="000940B1">
        <w:rPr>
          <w:rFonts w:asciiTheme="majorHAnsi" w:eastAsia="Times New Roman" w:hAnsiTheme="majorHAnsi" w:cstheme="majorHAnsi"/>
          <w:sz w:val="24"/>
          <w:szCs w:val="24"/>
          <w:lang w:val="ro-RO"/>
        </w:rPr>
        <w:t>C</w:t>
      </w:r>
      <w:r w:rsidRPr="00325791">
        <w:rPr>
          <w:rFonts w:asciiTheme="majorHAnsi" w:eastAsia="Times New Roman" w:hAnsiTheme="majorHAnsi" w:cstheme="majorHAnsi"/>
          <w:sz w:val="24"/>
          <w:szCs w:val="24"/>
          <w:lang w:val="ro-RO"/>
        </w:rPr>
        <w:t>ompetitivității II pentru perioada 2015-2021, finanțat din creditul Băncii Mondia</w:t>
      </w:r>
      <w:r>
        <w:rPr>
          <w:rFonts w:asciiTheme="majorHAnsi" w:eastAsia="Times New Roman" w:hAnsiTheme="majorHAnsi" w:cstheme="majorHAnsi"/>
          <w:sz w:val="24"/>
          <w:szCs w:val="24"/>
          <w:lang w:val="ro-RO"/>
        </w:rPr>
        <w:t>le, de către Unitatea de Implementare a Proiectului Băncii Mondiale din cadrul Ministerului Economiei</w:t>
      </w:r>
      <w:r w:rsidRPr="00325791">
        <w:rPr>
          <w:rFonts w:asciiTheme="majorHAnsi" w:eastAsia="Times New Roman" w:hAnsiTheme="majorHAnsi" w:cstheme="majorHAnsi"/>
          <w:sz w:val="24"/>
          <w:szCs w:val="24"/>
          <w:lang w:val="ro-RO"/>
        </w:rPr>
        <w:t>. Achiziția s-a desfășurat î</w:t>
      </w:r>
      <w:r>
        <w:rPr>
          <w:rFonts w:asciiTheme="majorHAnsi" w:eastAsia="Times New Roman" w:hAnsiTheme="majorHAnsi" w:cstheme="majorHAnsi"/>
          <w:sz w:val="24"/>
          <w:szCs w:val="24"/>
          <w:lang w:val="ro-RO"/>
        </w:rPr>
        <w:t>n conformitate cu procedurile Băncii</w:t>
      </w:r>
      <w:r w:rsidRPr="00325791">
        <w:rPr>
          <w:rFonts w:asciiTheme="majorHAnsi" w:eastAsia="Times New Roman" w:hAnsiTheme="majorHAnsi" w:cstheme="majorHAnsi"/>
          <w:sz w:val="24"/>
          <w:szCs w:val="24"/>
          <w:lang w:val="ro-RO"/>
        </w:rPr>
        <w:t xml:space="preserve"> și sub monitorizarea exclusivă din partea acesteia. Costul total al SIA</w:t>
      </w:r>
      <w:r>
        <w:rPr>
          <w:rFonts w:asciiTheme="majorHAnsi" w:eastAsia="Times New Roman" w:hAnsiTheme="majorHAnsi" w:cstheme="majorHAnsi"/>
          <w:sz w:val="24"/>
          <w:szCs w:val="24"/>
          <w:lang w:val="ro-RO"/>
        </w:rPr>
        <w:t>, la situația din 2021,</w:t>
      </w:r>
      <w:r w:rsidRPr="00325791">
        <w:rPr>
          <w:rFonts w:asciiTheme="majorHAnsi" w:eastAsia="Times New Roman" w:hAnsiTheme="majorHAnsi" w:cstheme="majorHAnsi"/>
          <w:sz w:val="24"/>
          <w:szCs w:val="24"/>
          <w:lang w:val="ro-RO"/>
        </w:rPr>
        <w:t xml:space="preserve"> a constituit peste 16</w:t>
      </w:r>
      <w:r w:rsidR="00AF1AC7">
        <w:rPr>
          <w:rFonts w:asciiTheme="majorHAnsi" w:eastAsia="Times New Roman" w:hAnsiTheme="majorHAnsi" w:cstheme="majorHAnsi"/>
          <w:sz w:val="24"/>
          <w:szCs w:val="24"/>
          <w:lang w:val="ro-RO"/>
        </w:rPr>
        <w:t>,0</w:t>
      </w:r>
      <w:r w:rsidRPr="00325791">
        <w:rPr>
          <w:rFonts w:asciiTheme="majorHAnsi" w:eastAsia="Times New Roman" w:hAnsiTheme="majorHAnsi" w:cstheme="majorHAnsi"/>
          <w:sz w:val="24"/>
          <w:szCs w:val="24"/>
          <w:lang w:val="ro-RO"/>
        </w:rPr>
        <w:t xml:space="preserve"> mil. lei, iar pentru menținerea acestuia, pe parcursul anului 2021, au fost efectuate cheltuieli </w:t>
      </w:r>
      <w:r>
        <w:rPr>
          <w:rFonts w:asciiTheme="majorHAnsi" w:eastAsia="Times New Roman" w:hAnsiTheme="majorHAnsi" w:cstheme="majorHAnsi"/>
          <w:sz w:val="24"/>
          <w:szCs w:val="24"/>
          <w:lang w:val="ro-RO"/>
        </w:rPr>
        <w:t xml:space="preserve">din bugetul de stat </w:t>
      </w:r>
      <w:r w:rsidRPr="00325791">
        <w:rPr>
          <w:rFonts w:asciiTheme="majorHAnsi" w:eastAsia="Times New Roman" w:hAnsiTheme="majorHAnsi" w:cstheme="majorHAnsi"/>
          <w:sz w:val="24"/>
          <w:szCs w:val="24"/>
          <w:lang w:val="ro-RO"/>
        </w:rPr>
        <w:t xml:space="preserve">în </w:t>
      </w:r>
      <w:r w:rsidR="00AF1AC7">
        <w:rPr>
          <w:rFonts w:asciiTheme="majorHAnsi" w:eastAsia="Times New Roman" w:hAnsiTheme="majorHAnsi" w:cstheme="majorHAnsi"/>
          <w:sz w:val="24"/>
          <w:szCs w:val="24"/>
          <w:lang w:val="ro-RO"/>
        </w:rPr>
        <w:t>sumă</w:t>
      </w:r>
      <w:r w:rsidRPr="00325791">
        <w:rPr>
          <w:rFonts w:asciiTheme="majorHAnsi" w:eastAsia="Times New Roman" w:hAnsiTheme="majorHAnsi" w:cstheme="majorHAnsi"/>
          <w:sz w:val="24"/>
          <w:szCs w:val="24"/>
          <w:lang w:val="ro-RO"/>
        </w:rPr>
        <w:t xml:space="preserve"> de peste 95</w:t>
      </w:r>
      <w:r w:rsidR="00AF1AC7">
        <w:rPr>
          <w:rFonts w:asciiTheme="majorHAnsi" w:eastAsia="Times New Roman" w:hAnsiTheme="majorHAnsi" w:cstheme="majorHAnsi"/>
          <w:sz w:val="24"/>
          <w:szCs w:val="24"/>
          <w:lang w:val="ro-RO"/>
        </w:rPr>
        <w:t>,0</w:t>
      </w:r>
      <w:r w:rsidRPr="00325791">
        <w:rPr>
          <w:rFonts w:asciiTheme="majorHAnsi" w:eastAsia="Times New Roman" w:hAnsiTheme="majorHAnsi" w:cstheme="majorHAnsi"/>
          <w:sz w:val="24"/>
          <w:szCs w:val="24"/>
          <w:lang w:val="ro-RO"/>
        </w:rPr>
        <w:t xml:space="preserve"> mii lei.</w:t>
      </w:r>
      <w:r w:rsidR="008E7930" w:rsidRPr="008E7930">
        <w:t xml:space="preserve"> </w:t>
      </w:r>
    </w:p>
    <w:p w:rsidR="00E940A7" w:rsidRDefault="008E7930"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sidRPr="008E7930">
        <w:rPr>
          <w:rFonts w:asciiTheme="majorHAnsi" w:eastAsia="Times New Roman" w:hAnsiTheme="majorHAnsi" w:cstheme="majorHAnsi"/>
          <w:sz w:val="24"/>
          <w:szCs w:val="24"/>
          <w:lang w:val="ro-RO"/>
        </w:rPr>
        <w:t xml:space="preserve">Rezultatele auditului </w:t>
      </w:r>
      <w:r w:rsidR="00A53012">
        <w:rPr>
          <w:rFonts w:asciiTheme="majorHAnsi" w:eastAsia="Times New Roman" w:hAnsiTheme="majorHAnsi" w:cstheme="majorHAnsi"/>
          <w:sz w:val="24"/>
          <w:szCs w:val="24"/>
          <w:lang w:val="ro-RO"/>
        </w:rPr>
        <w:t>ates</w:t>
      </w:r>
      <w:r w:rsidRPr="008E7930">
        <w:rPr>
          <w:rFonts w:asciiTheme="majorHAnsi" w:eastAsia="Times New Roman" w:hAnsiTheme="majorHAnsi" w:cstheme="majorHAnsi"/>
          <w:sz w:val="24"/>
          <w:szCs w:val="24"/>
          <w:lang w:val="ro-RO"/>
        </w:rPr>
        <w:t xml:space="preserve">tă că acțiunile întreprinse și resursele investite în implementarea și dezvoltarea </w:t>
      </w:r>
      <w:r>
        <w:rPr>
          <w:rFonts w:asciiTheme="majorHAnsi" w:eastAsia="Times New Roman" w:hAnsiTheme="majorHAnsi" w:cstheme="majorHAnsi"/>
          <w:sz w:val="24"/>
          <w:szCs w:val="24"/>
          <w:lang w:val="ro-RO"/>
        </w:rPr>
        <w:t>SIA GEAP</w:t>
      </w:r>
      <w:r w:rsidRPr="008E7930">
        <w:rPr>
          <w:rFonts w:asciiTheme="majorHAnsi" w:eastAsia="Times New Roman" w:hAnsiTheme="majorHAnsi" w:cstheme="majorHAnsi"/>
          <w:sz w:val="24"/>
          <w:szCs w:val="24"/>
          <w:lang w:val="ro-RO"/>
        </w:rPr>
        <w:t xml:space="preserve"> contribuie, într-o anumită măsură, la atingerea scopului și obiec</w:t>
      </w:r>
      <w:r>
        <w:rPr>
          <w:rFonts w:asciiTheme="majorHAnsi" w:eastAsia="Times New Roman" w:hAnsiTheme="majorHAnsi" w:cstheme="majorHAnsi"/>
          <w:sz w:val="24"/>
          <w:szCs w:val="24"/>
          <w:lang w:val="ro-RO"/>
        </w:rPr>
        <w:t xml:space="preserve">tivelor stabilite ale acestuia, </w:t>
      </w:r>
      <w:r w:rsidRPr="008E7930">
        <w:rPr>
          <w:rFonts w:asciiTheme="majorHAnsi" w:eastAsia="Times New Roman" w:hAnsiTheme="majorHAnsi" w:cstheme="majorHAnsi"/>
          <w:sz w:val="24"/>
          <w:szCs w:val="24"/>
          <w:lang w:val="ro-RO"/>
        </w:rPr>
        <w:t xml:space="preserve">fapt </w:t>
      </w:r>
      <w:r w:rsidR="004F6A41">
        <w:rPr>
          <w:rFonts w:asciiTheme="majorHAnsi" w:eastAsia="Times New Roman" w:hAnsiTheme="majorHAnsi" w:cstheme="majorHAnsi"/>
          <w:sz w:val="24"/>
          <w:szCs w:val="24"/>
          <w:lang w:val="ro-RO"/>
        </w:rPr>
        <w:t xml:space="preserve">exprimat </w:t>
      </w:r>
      <w:r w:rsidRPr="008E7930">
        <w:rPr>
          <w:rFonts w:asciiTheme="majorHAnsi" w:eastAsia="Times New Roman" w:hAnsiTheme="majorHAnsi" w:cstheme="majorHAnsi"/>
          <w:sz w:val="24"/>
          <w:szCs w:val="24"/>
          <w:lang w:val="ro-RO"/>
        </w:rPr>
        <w:t xml:space="preserve">și </w:t>
      </w:r>
      <w:r w:rsidR="004F6A41">
        <w:rPr>
          <w:rFonts w:asciiTheme="majorHAnsi" w:eastAsia="Times New Roman" w:hAnsiTheme="majorHAnsi" w:cstheme="majorHAnsi"/>
          <w:sz w:val="24"/>
          <w:szCs w:val="24"/>
          <w:lang w:val="ro-RO"/>
        </w:rPr>
        <w:t>prin</w:t>
      </w:r>
      <w:r w:rsidRPr="008E7930">
        <w:rPr>
          <w:rFonts w:asciiTheme="majorHAnsi" w:eastAsia="Times New Roman" w:hAnsiTheme="majorHAnsi" w:cstheme="majorHAnsi"/>
          <w:sz w:val="24"/>
          <w:szCs w:val="24"/>
          <w:lang w:val="ro-RO"/>
        </w:rPr>
        <w:t xml:space="preserve"> instituirea, funcționarea și utilizarea</w:t>
      </w:r>
      <w:r>
        <w:rPr>
          <w:rFonts w:asciiTheme="majorHAnsi" w:eastAsia="Times New Roman" w:hAnsiTheme="majorHAnsi" w:cstheme="majorHAnsi"/>
          <w:sz w:val="24"/>
          <w:szCs w:val="24"/>
          <w:lang w:val="ro-RO"/>
        </w:rPr>
        <w:t xml:space="preserve"> </w:t>
      </w:r>
      <w:r w:rsidRPr="008E7930">
        <w:rPr>
          <w:rFonts w:asciiTheme="majorHAnsi" w:eastAsia="Times New Roman" w:hAnsiTheme="majorHAnsi" w:cstheme="majorHAnsi"/>
          <w:sz w:val="24"/>
          <w:szCs w:val="24"/>
          <w:lang w:val="ro-RO"/>
        </w:rPr>
        <w:t xml:space="preserve">Sistemului, stabilirea unui cadru normativ necesar funcționării și utilizării acestuia, </w:t>
      </w:r>
      <w:r w:rsidRPr="004F6A41">
        <w:rPr>
          <w:rFonts w:asciiTheme="majorHAnsi" w:eastAsia="Times New Roman" w:hAnsiTheme="majorHAnsi" w:cstheme="majorHAnsi"/>
          <w:sz w:val="24"/>
          <w:szCs w:val="24"/>
          <w:lang w:val="ro-RO"/>
        </w:rPr>
        <w:t>a autorităților responsabile, inclusiv a celor</w:t>
      </w:r>
      <w:r w:rsidRPr="008E7930">
        <w:rPr>
          <w:rFonts w:asciiTheme="majorHAnsi" w:eastAsia="Times New Roman" w:hAnsiTheme="majorHAnsi" w:cstheme="majorHAnsi"/>
          <w:sz w:val="24"/>
          <w:szCs w:val="24"/>
          <w:lang w:val="ro-RO"/>
        </w:rPr>
        <w:t xml:space="preserve"> responsabile de gestionarea SIA etc. Totodată, auditul relevă că, deși au fost înregistrate anumite progrese</w:t>
      </w:r>
      <w:r>
        <w:rPr>
          <w:rFonts w:asciiTheme="majorHAnsi" w:eastAsia="Times New Roman" w:hAnsiTheme="majorHAnsi" w:cstheme="majorHAnsi"/>
          <w:sz w:val="24"/>
          <w:szCs w:val="24"/>
          <w:lang w:val="ro-RO"/>
        </w:rPr>
        <w:t xml:space="preserve"> și rezultate</w:t>
      </w:r>
      <w:r w:rsidRPr="008E7930">
        <w:rPr>
          <w:rFonts w:asciiTheme="majorHAnsi" w:eastAsia="Times New Roman" w:hAnsiTheme="majorHAnsi" w:cstheme="majorHAnsi"/>
          <w:sz w:val="24"/>
          <w:szCs w:val="24"/>
          <w:lang w:val="ro-RO"/>
        </w:rPr>
        <w:t xml:space="preserve"> tangibile, acestea nu s-au soldat în măsură </w:t>
      </w:r>
      <w:r w:rsidR="00003557" w:rsidRPr="008E7930">
        <w:rPr>
          <w:rFonts w:asciiTheme="majorHAnsi" w:eastAsia="Times New Roman" w:hAnsiTheme="majorHAnsi" w:cstheme="majorHAnsi"/>
          <w:sz w:val="24"/>
          <w:szCs w:val="24"/>
          <w:lang w:val="ro-RO"/>
        </w:rPr>
        <w:t xml:space="preserve">deplină </w:t>
      </w:r>
      <w:r w:rsidRPr="008E7930">
        <w:rPr>
          <w:rFonts w:asciiTheme="majorHAnsi" w:eastAsia="Times New Roman" w:hAnsiTheme="majorHAnsi" w:cstheme="majorHAnsi"/>
          <w:sz w:val="24"/>
          <w:szCs w:val="24"/>
          <w:lang w:val="ro-RO"/>
        </w:rPr>
        <w:t xml:space="preserve">cu impactul scontat, </w:t>
      </w:r>
      <w:r w:rsidR="00003557">
        <w:rPr>
          <w:rFonts w:asciiTheme="majorHAnsi" w:eastAsia="Times New Roman" w:hAnsiTheme="majorHAnsi" w:cstheme="majorHAnsi"/>
          <w:sz w:val="24"/>
          <w:szCs w:val="24"/>
          <w:lang w:val="ro-RO"/>
        </w:rPr>
        <w:t xml:space="preserve">datorită </w:t>
      </w:r>
      <w:r w:rsidRPr="008E7930">
        <w:rPr>
          <w:rFonts w:asciiTheme="majorHAnsi" w:eastAsia="Times New Roman" w:hAnsiTheme="majorHAnsi" w:cstheme="majorHAnsi"/>
          <w:sz w:val="24"/>
          <w:szCs w:val="24"/>
          <w:lang w:val="ro-RO"/>
        </w:rPr>
        <w:t xml:space="preserve"> </w:t>
      </w:r>
      <w:r w:rsidRPr="008E7930">
        <w:rPr>
          <w:rFonts w:asciiTheme="majorHAnsi" w:eastAsia="Times New Roman" w:hAnsiTheme="majorHAnsi" w:cstheme="majorHAnsi"/>
          <w:sz w:val="24"/>
          <w:szCs w:val="24"/>
          <w:lang w:val="ro-RO"/>
        </w:rPr>
        <w:lastRenderedPageBreak/>
        <w:t>reticenț</w:t>
      </w:r>
      <w:r w:rsidR="00003557">
        <w:rPr>
          <w:rFonts w:asciiTheme="majorHAnsi" w:eastAsia="Times New Roman" w:hAnsiTheme="majorHAnsi" w:cstheme="majorHAnsi"/>
          <w:sz w:val="24"/>
          <w:szCs w:val="24"/>
          <w:lang w:val="ro-RO"/>
        </w:rPr>
        <w:t>ei</w:t>
      </w:r>
      <w:r w:rsidRPr="008E7930">
        <w:rPr>
          <w:rFonts w:asciiTheme="majorHAnsi" w:eastAsia="Times New Roman" w:hAnsiTheme="majorHAnsi" w:cstheme="majorHAnsi"/>
          <w:sz w:val="24"/>
          <w:szCs w:val="24"/>
          <w:lang w:val="ro-RO"/>
        </w:rPr>
        <w:t xml:space="preserve"> utilizării SIA de către unele autorități emitente de acte permisive</w:t>
      </w:r>
      <w:r w:rsidR="00003557">
        <w:rPr>
          <w:rFonts w:asciiTheme="majorHAnsi" w:eastAsia="Times New Roman" w:hAnsiTheme="majorHAnsi" w:cstheme="majorHAnsi"/>
          <w:sz w:val="24"/>
          <w:szCs w:val="24"/>
          <w:lang w:val="ro-RO"/>
        </w:rPr>
        <w:t>, având</w:t>
      </w:r>
      <w:r w:rsidRPr="008E7930">
        <w:rPr>
          <w:rFonts w:asciiTheme="majorHAnsi" w:eastAsia="Times New Roman" w:hAnsiTheme="majorHAnsi" w:cstheme="majorHAnsi"/>
          <w:sz w:val="24"/>
          <w:szCs w:val="24"/>
          <w:lang w:val="ro-RO"/>
        </w:rPr>
        <w:t xml:space="preserve"> ca efect un nivel relativ/mediu de implementare și de valorificare a SIA GEAP de către autoritățile și instituțiile publice responsabile, precum și </w:t>
      </w:r>
      <w:r>
        <w:rPr>
          <w:rFonts w:asciiTheme="majorHAnsi" w:eastAsia="Times New Roman" w:hAnsiTheme="majorHAnsi" w:cstheme="majorHAnsi"/>
          <w:sz w:val="24"/>
          <w:szCs w:val="24"/>
          <w:lang w:val="ro-RO"/>
        </w:rPr>
        <w:t xml:space="preserve">elaborarea și implementarea </w:t>
      </w:r>
      <w:r w:rsidR="00A726FF">
        <w:rPr>
          <w:rFonts w:asciiTheme="majorHAnsi" w:eastAsia="Times New Roman" w:hAnsiTheme="majorHAnsi" w:cstheme="majorHAnsi"/>
          <w:sz w:val="24"/>
          <w:szCs w:val="24"/>
          <w:lang w:val="ro-RO"/>
        </w:rPr>
        <w:t>sistemelor informați</w:t>
      </w:r>
      <w:r w:rsidR="0096792D">
        <w:rPr>
          <w:rFonts w:asciiTheme="majorHAnsi" w:eastAsia="Times New Roman" w:hAnsiTheme="majorHAnsi" w:cstheme="majorHAnsi"/>
          <w:sz w:val="24"/>
          <w:szCs w:val="24"/>
          <w:lang w:val="ro-RO"/>
        </w:rPr>
        <w:t>o</w:t>
      </w:r>
      <w:r w:rsidR="00A726FF">
        <w:rPr>
          <w:rFonts w:asciiTheme="majorHAnsi" w:eastAsia="Times New Roman" w:hAnsiTheme="majorHAnsi" w:cstheme="majorHAnsi"/>
          <w:sz w:val="24"/>
          <w:szCs w:val="24"/>
          <w:lang w:val="ro-RO"/>
        </w:rPr>
        <w:t>nale</w:t>
      </w:r>
      <w:r>
        <w:rPr>
          <w:rFonts w:asciiTheme="majorHAnsi" w:eastAsia="Times New Roman" w:hAnsiTheme="majorHAnsi" w:cstheme="majorHAnsi"/>
          <w:sz w:val="24"/>
          <w:szCs w:val="24"/>
          <w:lang w:val="ro-RO"/>
        </w:rPr>
        <w:t xml:space="preserve"> proprii pentru gestionarea procesului de emitere a actelor permisive, </w:t>
      </w:r>
      <w:r w:rsidRPr="008E7930">
        <w:rPr>
          <w:rFonts w:asciiTheme="majorHAnsi" w:eastAsia="Times New Roman" w:hAnsiTheme="majorHAnsi" w:cstheme="majorHAnsi"/>
          <w:sz w:val="24"/>
          <w:szCs w:val="24"/>
          <w:lang w:val="ro-RO"/>
        </w:rPr>
        <w:t>utilizarea</w:t>
      </w:r>
      <w:r>
        <w:rPr>
          <w:rFonts w:asciiTheme="majorHAnsi" w:eastAsia="Times New Roman" w:hAnsiTheme="majorHAnsi" w:cstheme="majorHAnsi"/>
          <w:sz w:val="24"/>
          <w:szCs w:val="24"/>
          <w:lang w:val="ro-RO"/>
        </w:rPr>
        <w:t xml:space="preserve"> </w:t>
      </w:r>
      <w:r w:rsidRPr="008E7930">
        <w:rPr>
          <w:rFonts w:asciiTheme="majorHAnsi" w:eastAsia="Times New Roman" w:hAnsiTheme="majorHAnsi" w:cstheme="majorHAnsi"/>
          <w:sz w:val="24"/>
          <w:szCs w:val="24"/>
          <w:lang w:val="ro-RO"/>
        </w:rPr>
        <w:t xml:space="preserve"> în paralel a modului tradițional de gestionare/emitere a actelor permisive etc.</w:t>
      </w:r>
      <w:r>
        <w:rPr>
          <w:rFonts w:asciiTheme="majorHAnsi" w:eastAsia="Times New Roman" w:hAnsiTheme="majorHAnsi" w:cstheme="majorHAnsi"/>
          <w:sz w:val="24"/>
          <w:szCs w:val="24"/>
          <w:lang w:val="ro-RO"/>
        </w:rPr>
        <w:t xml:space="preserve"> De menționat că</w:t>
      </w:r>
      <w:r w:rsidR="00003557">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 xml:space="preserve">deficiențele constatate și elucidate de </w:t>
      </w:r>
      <w:r w:rsidR="00003557">
        <w:rPr>
          <w:rFonts w:asciiTheme="majorHAnsi" w:eastAsia="Times New Roman" w:hAnsiTheme="majorHAnsi" w:cstheme="majorHAnsi"/>
          <w:sz w:val="24"/>
          <w:szCs w:val="24"/>
          <w:lang w:val="ro-RO"/>
        </w:rPr>
        <w:t xml:space="preserve">către </w:t>
      </w:r>
      <w:r>
        <w:rPr>
          <w:rFonts w:asciiTheme="majorHAnsi" w:eastAsia="Times New Roman" w:hAnsiTheme="majorHAnsi" w:cstheme="majorHAnsi"/>
          <w:sz w:val="24"/>
          <w:szCs w:val="24"/>
          <w:lang w:val="ro-RO"/>
        </w:rPr>
        <w:t>audit în Raport</w:t>
      </w:r>
      <w:r w:rsidRPr="008E7930">
        <w:rPr>
          <w:rFonts w:asciiTheme="majorHAnsi" w:eastAsia="Times New Roman" w:hAnsiTheme="majorHAnsi" w:cstheme="majorHAnsi"/>
          <w:sz w:val="24"/>
          <w:szCs w:val="24"/>
          <w:lang w:val="ro-RO"/>
        </w:rPr>
        <w:t xml:space="preserve"> sunt determinate de un cumul de factori sistemici, </w:t>
      </w:r>
      <w:r>
        <w:rPr>
          <w:rFonts w:asciiTheme="majorHAnsi" w:eastAsia="Times New Roman" w:hAnsiTheme="majorHAnsi" w:cstheme="majorHAnsi"/>
          <w:sz w:val="24"/>
          <w:szCs w:val="24"/>
          <w:lang w:val="ro-RO"/>
        </w:rPr>
        <w:t>inclusiv</w:t>
      </w:r>
      <w:r w:rsidRPr="008E7930">
        <w:rPr>
          <w:rFonts w:asciiTheme="majorHAnsi" w:eastAsia="Times New Roman" w:hAnsiTheme="majorHAnsi" w:cstheme="majorHAnsi"/>
          <w:sz w:val="24"/>
          <w:szCs w:val="24"/>
          <w:lang w:val="ro-RO"/>
        </w:rPr>
        <w:t>: instabilitatea/lipsa leadership-ului la nivelul instituțiilor; monitorizarea și controlul insuficient</w:t>
      </w:r>
      <w:r w:rsidR="00A53012">
        <w:rPr>
          <w:rFonts w:asciiTheme="majorHAnsi" w:eastAsia="Times New Roman" w:hAnsiTheme="majorHAnsi" w:cstheme="majorHAnsi"/>
          <w:sz w:val="24"/>
          <w:szCs w:val="24"/>
          <w:lang w:val="ro-RO"/>
        </w:rPr>
        <w:t>e</w:t>
      </w:r>
      <w:r w:rsidRPr="008E7930">
        <w:rPr>
          <w:rFonts w:asciiTheme="majorHAnsi" w:eastAsia="Times New Roman" w:hAnsiTheme="majorHAnsi" w:cstheme="majorHAnsi"/>
          <w:sz w:val="24"/>
          <w:szCs w:val="24"/>
          <w:lang w:val="ro-RO"/>
        </w:rPr>
        <w:t xml:space="preserve"> și ineficient</w:t>
      </w:r>
      <w:r w:rsidR="00A53012">
        <w:rPr>
          <w:rFonts w:asciiTheme="majorHAnsi" w:eastAsia="Times New Roman" w:hAnsiTheme="majorHAnsi" w:cstheme="majorHAnsi"/>
          <w:sz w:val="24"/>
          <w:szCs w:val="24"/>
          <w:lang w:val="ro-RO"/>
        </w:rPr>
        <w:t>e</w:t>
      </w:r>
      <w:r w:rsidRPr="008E7930">
        <w:rPr>
          <w:rFonts w:asciiTheme="majorHAnsi" w:eastAsia="Times New Roman" w:hAnsiTheme="majorHAnsi" w:cstheme="majorHAnsi"/>
          <w:sz w:val="24"/>
          <w:szCs w:val="24"/>
          <w:lang w:val="ro-RO"/>
        </w:rPr>
        <w:t xml:space="preserve"> din partea autorităților responsabile de implementarea SIA GEAP, precum și implicarea insuficientă a autorităților responsabile în vederea impulsionării și asigurării rezultatelor scontate; necorelarea capacităților instituționale disponibile cu atribuțiile și sarcinile delegate; pregătirea insuficientă a procesului de instituire a SIA, exprimată prin analiza insuficientă a necesităților, resurselor și capacităților instituționale ale autorităților implicate; insuficiența și, după caz, ineficiența condițiilor pentru valorificarea SIA; imperfecțiunea cadrului normativ </w:t>
      </w:r>
      <w:r w:rsidR="00623738">
        <w:rPr>
          <w:rFonts w:asciiTheme="majorHAnsi" w:eastAsia="Times New Roman" w:hAnsiTheme="majorHAnsi" w:cstheme="majorHAnsi"/>
          <w:sz w:val="24"/>
          <w:szCs w:val="24"/>
          <w:lang w:val="ro-RO"/>
        </w:rPr>
        <w:t>și a celui regulator în domeniu</w:t>
      </w:r>
      <w:r w:rsidR="00A53012">
        <w:rPr>
          <w:rFonts w:asciiTheme="majorHAnsi" w:eastAsia="Times New Roman" w:hAnsiTheme="majorHAnsi" w:cstheme="majorHAnsi"/>
          <w:sz w:val="24"/>
          <w:szCs w:val="24"/>
          <w:lang w:val="ro-RO"/>
        </w:rPr>
        <w:t>;</w:t>
      </w:r>
      <w:r w:rsidRPr="008E7930">
        <w:rPr>
          <w:rFonts w:asciiTheme="majorHAnsi" w:eastAsia="Times New Roman" w:hAnsiTheme="majorHAnsi" w:cstheme="majorHAnsi"/>
          <w:sz w:val="24"/>
          <w:szCs w:val="24"/>
          <w:lang w:val="ro-RO"/>
        </w:rPr>
        <w:t xml:space="preserve"> managementul insuficient al riscurilor aferente implementării și utilizării SIA</w:t>
      </w:r>
      <w:r w:rsidR="00A53012">
        <w:rPr>
          <w:rFonts w:asciiTheme="majorHAnsi" w:eastAsia="Times New Roman" w:hAnsiTheme="majorHAnsi" w:cstheme="majorHAnsi"/>
          <w:sz w:val="24"/>
          <w:szCs w:val="24"/>
          <w:lang w:val="ro-RO"/>
        </w:rPr>
        <w:t>;</w:t>
      </w:r>
      <w:r w:rsidRPr="008E7930">
        <w:rPr>
          <w:rFonts w:asciiTheme="majorHAnsi" w:eastAsia="Times New Roman" w:hAnsiTheme="majorHAnsi" w:cstheme="majorHAnsi"/>
          <w:sz w:val="24"/>
          <w:szCs w:val="24"/>
          <w:lang w:val="ro-RO"/>
        </w:rPr>
        <w:t xml:space="preserve"> lipsa capacităților interne de a acorda suport utilizatorilor pentru asimilarea mai bună a Sistemului, precum și incapacitatea de a adapta unele fluxuri de documente la rigorile  </w:t>
      </w:r>
      <w:r w:rsidR="00473038">
        <w:rPr>
          <w:rFonts w:asciiTheme="majorHAnsi" w:eastAsia="Times New Roman" w:hAnsiTheme="majorHAnsi" w:cstheme="majorHAnsi"/>
          <w:sz w:val="24"/>
          <w:szCs w:val="24"/>
          <w:lang w:val="ro-RO"/>
        </w:rPr>
        <w:t xml:space="preserve">acestuia </w:t>
      </w:r>
      <w:r w:rsidRPr="008E7930">
        <w:rPr>
          <w:rFonts w:asciiTheme="majorHAnsi" w:eastAsia="Times New Roman" w:hAnsiTheme="majorHAnsi" w:cstheme="majorHAnsi"/>
          <w:sz w:val="24"/>
          <w:szCs w:val="24"/>
          <w:lang w:val="ro-RO"/>
        </w:rPr>
        <w:t>etc.</w:t>
      </w:r>
      <w:r w:rsidR="00E940A7">
        <w:rPr>
          <w:rFonts w:asciiTheme="majorHAnsi" w:eastAsia="Times New Roman" w:hAnsiTheme="majorHAnsi" w:cstheme="majorHAnsi"/>
          <w:sz w:val="24"/>
          <w:szCs w:val="24"/>
          <w:lang w:val="ro-RO"/>
        </w:rPr>
        <w:t xml:space="preserve"> </w:t>
      </w:r>
    </w:p>
    <w:p w:rsidR="008E7930" w:rsidRDefault="00E940A7" w:rsidP="008E7930">
      <w:pPr>
        <w:spacing w:before="100" w:beforeAutospacing="1" w:after="120" w:afterAutospacing="1" w:line="274" w:lineRule="auto"/>
        <w:ind w:firstLine="720"/>
        <w:contextualSpacing/>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În </w:t>
      </w:r>
      <w:r w:rsidR="00A53012">
        <w:rPr>
          <w:rFonts w:asciiTheme="majorHAnsi" w:eastAsia="Times New Roman" w:hAnsiTheme="majorHAnsi" w:cstheme="majorHAnsi"/>
          <w:sz w:val="24"/>
          <w:szCs w:val="24"/>
          <w:lang w:val="ro-RO"/>
        </w:rPr>
        <w:t xml:space="preserve">acest </w:t>
      </w:r>
      <w:r>
        <w:rPr>
          <w:rFonts w:asciiTheme="majorHAnsi" w:eastAsia="Times New Roman" w:hAnsiTheme="majorHAnsi" w:cstheme="majorHAnsi"/>
          <w:sz w:val="24"/>
          <w:szCs w:val="24"/>
          <w:lang w:val="ro-RO"/>
        </w:rPr>
        <w:t xml:space="preserve">context, se denotă că </w:t>
      </w:r>
      <w:r w:rsidRPr="00E940A7">
        <w:rPr>
          <w:rFonts w:asciiTheme="majorHAnsi" w:eastAsia="Times New Roman" w:hAnsiTheme="majorHAnsi" w:cstheme="majorHAnsi"/>
          <w:sz w:val="24"/>
          <w:szCs w:val="24"/>
          <w:lang w:val="ro-RO"/>
        </w:rPr>
        <w:t xml:space="preserve">asigurarea unei conlucrări eficiente între factorii implicați, cu întreprinderea măsurilor necesare pentru implementarea recomandărilor înaintate de audit, în vederea înlăturării neajunsurilor </w:t>
      </w:r>
      <w:r>
        <w:rPr>
          <w:rFonts w:asciiTheme="majorHAnsi" w:eastAsia="Times New Roman" w:hAnsiTheme="majorHAnsi" w:cstheme="majorHAnsi"/>
          <w:sz w:val="24"/>
          <w:szCs w:val="24"/>
          <w:lang w:val="ro-RO"/>
        </w:rPr>
        <w:t xml:space="preserve">constatate </w:t>
      </w:r>
      <w:r w:rsidR="00A53012">
        <w:rPr>
          <w:rFonts w:asciiTheme="majorHAnsi" w:eastAsia="Times New Roman" w:hAnsiTheme="majorHAnsi" w:cstheme="majorHAnsi"/>
          <w:sz w:val="24"/>
          <w:szCs w:val="24"/>
          <w:lang w:val="ro-RO"/>
        </w:rPr>
        <w:t xml:space="preserve">în </w:t>
      </w:r>
      <w:r w:rsidR="00DA4FBD">
        <w:rPr>
          <w:rFonts w:asciiTheme="majorHAnsi" w:eastAsia="Times New Roman" w:hAnsiTheme="majorHAnsi" w:cstheme="majorHAnsi"/>
          <w:sz w:val="24"/>
          <w:szCs w:val="24"/>
          <w:lang w:val="ro-RO"/>
        </w:rPr>
        <w:t xml:space="preserve">cadrul </w:t>
      </w:r>
      <w:r w:rsidR="00020986">
        <w:rPr>
          <w:rFonts w:asciiTheme="majorHAnsi" w:eastAsia="Times New Roman" w:hAnsiTheme="majorHAnsi" w:cstheme="majorHAnsi"/>
          <w:sz w:val="24"/>
          <w:szCs w:val="24"/>
          <w:lang w:val="ro-RO"/>
        </w:rPr>
        <w:t>auditului</w:t>
      </w:r>
      <w:r w:rsidRPr="00E940A7">
        <w:rPr>
          <w:rFonts w:asciiTheme="majorHAnsi" w:eastAsia="Times New Roman" w:hAnsiTheme="majorHAnsi" w:cstheme="majorHAnsi"/>
          <w:sz w:val="24"/>
          <w:szCs w:val="24"/>
          <w:lang w:val="ro-RO"/>
        </w:rPr>
        <w:t xml:space="preserve">, vor contribui la atingerea impactului scontat al SIA GEAP, a sustenabilității/durabilității acestuia, precum și </w:t>
      </w:r>
      <w:r w:rsidR="00A53012">
        <w:rPr>
          <w:rFonts w:asciiTheme="majorHAnsi" w:eastAsia="Times New Roman" w:hAnsiTheme="majorHAnsi" w:cstheme="majorHAnsi"/>
          <w:sz w:val="24"/>
          <w:szCs w:val="24"/>
          <w:lang w:val="ro-RO"/>
        </w:rPr>
        <w:t xml:space="preserve">la </w:t>
      </w:r>
      <w:r w:rsidRPr="00E940A7">
        <w:rPr>
          <w:rFonts w:asciiTheme="majorHAnsi" w:eastAsia="Times New Roman" w:hAnsiTheme="majorHAnsi" w:cstheme="majorHAnsi"/>
          <w:sz w:val="24"/>
          <w:szCs w:val="24"/>
          <w:lang w:val="ro-RO"/>
        </w:rPr>
        <w:t xml:space="preserve">asigurarea condițiilor necesare pentru dezvoltarea și consolidarea Sistemului. Totodată, </w:t>
      </w:r>
      <w:r>
        <w:rPr>
          <w:rFonts w:asciiTheme="majorHAnsi" w:eastAsia="Times New Roman" w:hAnsiTheme="majorHAnsi" w:cstheme="majorHAnsi"/>
          <w:sz w:val="24"/>
          <w:szCs w:val="24"/>
          <w:lang w:val="ro-RO"/>
        </w:rPr>
        <w:t>aspectele consemnate</w:t>
      </w:r>
      <w:r w:rsidRPr="00E940A7">
        <w:rPr>
          <w:rFonts w:asciiTheme="majorHAnsi" w:eastAsia="Times New Roman" w:hAnsiTheme="majorHAnsi" w:cstheme="majorHAnsi"/>
          <w:sz w:val="24"/>
          <w:szCs w:val="24"/>
          <w:lang w:val="ro-RO"/>
        </w:rPr>
        <w:t xml:space="preserve"> în Raportul de audit urmează să motiveze Guvernul, precum și alte autorități responsabile pentru intervenirea în timp oportun, prin examinări adecvate</w:t>
      </w:r>
      <w:r w:rsidR="00FF53ED">
        <w:rPr>
          <w:rFonts w:asciiTheme="majorHAnsi" w:eastAsia="Times New Roman" w:hAnsiTheme="majorHAnsi" w:cstheme="majorHAnsi"/>
          <w:sz w:val="24"/>
          <w:szCs w:val="24"/>
          <w:lang w:val="ro-RO"/>
        </w:rPr>
        <w:t>,</w:t>
      </w:r>
      <w:r w:rsidRPr="00E940A7">
        <w:rPr>
          <w:rFonts w:asciiTheme="majorHAnsi" w:eastAsia="Times New Roman" w:hAnsiTheme="majorHAnsi" w:cstheme="majorHAnsi"/>
          <w:sz w:val="24"/>
          <w:szCs w:val="24"/>
          <w:lang w:val="ro-RO"/>
        </w:rPr>
        <w:t xml:space="preserve"> asupra modului de emitere și gestionare a actelor permisive</w:t>
      </w:r>
      <w:r w:rsidR="00FF53ED">
        <w:rPr>
          <w:rFonts w:asciiTheme="majorHAnsi" w:eastAsia="Times New Roman" w:hAnsiTheme="majorHAnsi" w:cstheme="majorHAnsi"/>
          <w:sz w:val="24"/>
          <w:szCs w:val="24"/>
          <w:lang w:val="ro-RO"/>
        </w:rPr>
        <w:t>,</w:t>
      </w:r>
      <w:r w:rsidRPr="00E940A7">
        <w:rPr>
          <w:rFonts w:asciiTheme="majorHAnsi" w:eastAsia="Times New Roman" w:hAnsiTheme="majorHAnsi" w:cstheme="majorHAnsi"/>
          <w:sz w:val="24"/>
          <w:szCs w:val="24"/>
          <w:lang w:val="ro-RO"/>
        </w:rPr>
        <w:t xml:space="preserve"> precum și a</w:t>
      </w:r>
      <w:r w:rsidR="00A53012">
        <w:rPr>
          <w:rFonts w:asciiTheme="majorHAnsi" w:eastAsia="Times New Roman" w:hAnsiTheme="majorHAnsi" w:cstheme="majorHAnsi"/>
          <w:sz w:val="24"/>
          <w:szCs w:val="24"/>
          <w:lang w:val="ro-RO"/>
        </w:rPr>
        <w:t>supra</w:t>
      </w:r>
      <w:r w:rsidRPr="00E940A7">
        <w:rPr>
          <w:rFonts w:asciiTheme="majorHAnsi" w:eastAsia="Times New Roman" w:hAnsiTheme="majorHAnsi" w:cstheme="majorHAnsi"/>
          <w:sz w:val="24"/>
          <w:szCs w:val="24"/>
          <w:lang w:val="ro-RO"/>
        </w:rPr>
        <w:t xml:space="preserve"> modului de utilizare/valorificare a SIA, în </w:t>
      </w:r>
      <w:r w:rsidR="00FF53ED">
        <w:rPr>
          <w:rFonts w:asciiTheme="majorHAnsi" w:eastAsia="Times New Roman" w:hAnsiTheme="majorHAnsi" w:cstheme="majorHAnsi"/>
          <w:sz w:val="24"/>
          <w:szCs w:val="24"/>
          <w:lang w:val="ro-RO"/>
        </w:rPr>
        <w:t>scopul</w:t>
      </w:r>
      <w:r w:rsidRPr="00E940A7">
        <w:rPr>
          <w:rFonts w:asciiTheme="majorHAnsi" w:eastAsia="Times New Roman" w:hAnsiTheme="majorHAnsi" w:cstheme="majorHAnsi"/>
          <w:sz w:val="24"/>
          <w:szCs w:val="24"/>
          <w:lang w:val="ro-RO"/>
        </w:rPr>
        <w:t xml:space="preserve"> atingerii obiectivelor stabilite în procesul de reformare a guvernării.</w:t>
      </w:r>
    </w:p>
    <w:p w:rsidR="002621B1" w:rsidRPr="002621B1" w:rsidRDefault="002621B1" w:rsidP="002621B1">
      <w:pPr>
        <w:widowControl w:val="0"/>
        <w:spacing w:after="0" w:line="274" w:lineRule="auto"/>
        <w:ind w:firstLine="709"/>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 xml:space="preserve">Reieșind din cele expuse, în temeiul art.14 alin.(2), art.15 </w:t>
      </w:r>
      <w:proofErr w:type="spellStart"/>
      <w:r w:rsidRPr="002621B1">
        <w:rPr>
          <w:rFonts w:asciiTheme="majorHAnsi" w:eastAsia="Times New Roman" w:hAnsiTheme="majorHAnsi" w:cstheme="majorHAnsi"/>
          <w:color w:val="000000"/>
          <w:sz w:val="24"/>
          <w:szCs w:val="24"/>
          <w:lang w:val="ro-RO" w:eastAsia="ru-RU" w:bidi="ro-RO"/>
        </w:rPr>
        <w:t>lit.d</w:t>
      </w:r>
      <w:proofErr w:type="spellEnd"/>
      <w:r w:rsidRPr="002621B1">
        <w:rPr>
          <w:rFonts w:asciiTheme="majorHAnsi" w:eastAsia="Times New Roman" w:hAnsiTheme="majorHAnsi" w:cstheme="majorHAnsi"/>
          <w:color w:val="000000"/>
          <w:sz w:val="24"/>
          <w:szCs w:val="24"/>
          <w:lang w:val="ro-RO" w:eastAsia="ru-RU" w:bidi="ro-RO"/>
        </w:rPr>
        <w:t>) și art.37 alin.(2)  din Legea nr. 260 din 07.12.2017, Curtea de Conturi</w:t>
      </w:r>
    </w:p>
    <w:p w:rsidR="002621B1" w:rsidRPr="002621B1" w:rsidRDefault="002621B1" w:rsidP="002621B1">
      <w:pPr>
        <w:spacing w:before="240" w:after="0" w:line="274" w:lineRule="auto"/>
        <w:jc w:val="center"/>
        <w:rPr>
          <w:rFonts w:asciiTheme="majorHAnsi" w:eastAsia="Times New Roman" w:hAnsiTheme="majorHAnsi" w:cstheme="majorHAnsi"/>
          <w:b/>
          <w:bCs/>
          <w:sz w:val="24"/>
          <w:szCs w:val="24"/>
          <w:lang w:val="ro-RO"/>
        </w:rPr>
      </w:pPr>
      <w:r w:rsidRPr="002621B1">
        <w:rPr>
          <w:rFonts w:asciiTheme="majorHAnsi" w:eastAsia="Times New Roman" w:hAnsiTheme="majorHAnsi" w:cstheme="majorHAnsi"/>
          <w:b/>
          <w:bCs/>
          <w:sz w:val="24"/>
          <w:szCs w:val="24"/>
          <w:lang w:val="ro-RO"/>
        </w:rPr>
        <w:t>HOTĂRĂŞTE:</w:t>
      </w:r>
    </w:p>
    <w:p w:rsidR="002621B1" w:rsidRPr="002621B1" w:rsidRDefault="002621B1" w:rsidP="002621B1">
      <w:pPr>
        <w:widowControl w:val="0"/>
        <w:spacing w:after="0" w:line="274" w:lineRule="auto"/>
        <w:ind w:firstLine="274"/>
        <w:jc w:val="center"/>
        <w:rPr>
          <w:rFonts w:asciiTheme="majorHAnsi" w:eastAsia="Times New Roman" w:hAnsiTheme="majorHAnsi" w:cstheme="majorHAnsi"/>
          <w:b/>
          <w:color w:val="000000"/>
          <w:sz w:val="10"/>
          <w:szCs w:val="10"/>
          <w:lang w:val="ro-RO" w:eastAsia="ru-RU" w:bidi="ro-RO"/>
        </w:rPr>
      </w:pPr>
    </w:p>
    <w:p w:rsidR="002621B1" w:rsidRPr="002621B1" w:rsidRDefault="002621B1" w:rsidP="00B63E6A">
      <w:pPr>
        <w:widowControl w:val="0"/>
        <w:numPr>
          <w:ilvl w:val="0"/>
          <w:numId w:val="1"/>
        </w:numPr>
        <w:tabs>
          <w:tab w:val="left" w:pos="90"/>
        </w:tabs>
        <w:spacing w:after="0" w:line="274" w:lineRule="auto"/>
        <w:ind w:left="0" w:firstLine="426"/>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Se aprobă Raportul auditului</w:t>
      </w:r>
      <w:r w:rsidR="00B63E6A" w:rsidRPr="00B63E6A">
        <w:t xml:space="preserve"> </w:t>
      </w:r>
      <w:r w:rsidR="00B63E6A" w:rsidRPr="00B63E6A">
        <w:rPr>
          <w:rFonts w:asciiTheme="majorHAnsi" w:eastAsia="Times New Roman" w:hAnsiTheme="majorHAnsi" w:cstheme="majorHAnsi"/>
          <w:color w:val="000000"/>
          <w:sz w:val="24"/>
          <w:szCs w:val="24"/>
          <w:lang w:val="ro-RO" w:eastAsia="ru-RU" w:bidi="ro-RO"/>
        </w:rPr>
        <w:t>performanței cu tema: „Măsurile întreprinse și resursele investite în implementarea și dezvoltarea Sistemului informațional automatizat de gestionare și eliberare a actelor permisive (SIA GEAP) contribuie la atingerea scopului și obiectivelor stabilite?”</w:t>
      </w:r>
      <w:r w:rsidRPr="002621B1">
        <w:rPr>
          <w:rFonts w:asciiTheme="majorHAnsi" w:eastAsia="Times New Roman" w:hAnsiTheme="majorHAnsi" w:cstheme="majorHAnsi"/>
          <w:color w:val="000000"/>
          <w:sz w:val="24"/>
          <w:szCs w:val="24"/>
          <w:lang w:val="ro-RO" w:eastAsia="ru-RU" w:bidi="ro-RO"/>
        </w:rPr>
        <w:t xml:space="preserve">, anexat la prezenta Hotărâre.                                                                                            </w:t>
      </w:r>
      <w:r w:rsidRPr="002621B1">
        <w:rPr>
          <w:rFonts w:asciiTheme="majorHAnsi" w:eastAsia="Times New Roman" w:hAnsiTheme="majorHAnsi" w:cstheme="majorHAnsi"/>
          <w:color w:val="000000"/>
          <w:sz w:val="20"/>
          <w:szCs w:val="20"/>
          <w:lang w:val="ro-RO" w:eastAsia="ru-RU" w:bidi="ro-RO"/>
        </w:rPr>
        <w:t xml:space="preserve">                                                       </w:t>
      </w:r>
    </w:p>
    <w:p w:rsidR="002621B1" w:rsidRPr="002621B1" w:rsidRDefault="002621B1" w:rsidP="002621B1">
      <w:pPr>
        <w:widowControl w:val="0"/>
        <w:numPr>
          <w:ilvl w:val="0"/>
          <w:numId w:val="1"/>
        </w:numPr>
        <w:tabs>
          <w:tab w:val="left" w:pos="90"/>
        </w:tabs>
        <w:spacing w:after="0" w:line="274" w:lineRule="auto"/>
        <w:ind w:left="91" w:firstLine="272"/>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 xml:space="preserve">Prezenta Hotărâre și Raportul de audit se remit: </w:t>
      </w:r>
    </w:p>
    <w:p w:rsidR="002621B1" w:rsidRPr="002621B1"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o-RO"/>
        </w:rPr>
      </w:pPr>
      <w:r w:rsidRPr="002621B1">
        <w:rPr>
          <w:rFonts w:asciiTheme="majorHAnsi" w:eastAsia="Times New Roman" w:hAnsiTheme="majorHAnsi" w:cstheme="majorHAnsi"/>
          <w:b/>
          <w:sz w:val="24"/>
          <w:szCs w:val="24"/>
          <w:lang w:val="ro-RO"/>
        </w:rPr>
        <w:t>2.1.</w:t>
      </w:r>
      <w:r w:rsidRPr="002621B1">
        <w:rPr>
          <w:rFonts w:asciiTheme="majorHAnsi" w:eastAsia="Times New Roman" w:hAnsiTheme="majorHAnsi" w:cstheme="majorHAnsi"/>
          <w:sz w:val="24"/>
          <w:szCs w:val="24"/>
          <w:lang w:val="ro-RO"/>
        </w:rPr>
        <w:t xml:space="preserve"> </w:t>
      </w:r>
      <w:r w:rsidRPr="002621B1">
        <w:rPr>
          <w:rFonts w:asciiTheme="majorHAnsi" w:eastAsia="Times New Roman" w:hAnsiTheme="majorHAnsi" w:cstheme="majorHAnsi"/>
          <w:b/>
          <w:bCs/>
          <w:sz w:val="24"/>
          <w:szCs w:val="24"/>
          <w:lang w:val="ro-RO"/>
        </w:rPr>
        <w:t>Parlamentului Republicii Moldova,</w:t>
      </w:r>
      <w:r w:rsidRPr="002621B1">
        <w:rPr>
          <w:rFonts w:asciiTheme="majorHAnsi" w:eastAsia="Times New Roman" w:hAnsiTheme="majorHAnsi" w:cstheme="majorHAnsi"/>
          <w:bCs/>
          <w:sz w:val="24"/>
          <w:szCs w:val="24"/>
          <w:lang w:val="ro-RO"/>
        </w:rPr>
        <w:t xml:space="preserve"> pentru informare și examinare, după caz, în cadrul Comisiei parlamentare de control al finanțelor publice</w:t>
      </w:r>
      <w:r w:rsidRPr="002621B1">
        <w:rPr>
          <w:rFonts w:asciiTheme="majorHAnsi" w:eastAsia="Times New Roman" w:hAnsiTheme="majorHAnsi" w:cstheme="majorHAnsi"/>
          <w:sz w:val="24"/>
          <w:szCs w:val="24"/>
          <w:lang w:val="ro-RO"/>
        </w:rPr>
        <w:t>;</w:t>
      </w:r>
    </w:p>
    <w:p w:rsidR="002621B1" w:rsidRPr="002621B1" w:rsidRDefault="002621B1" w:rsidP="002621B1">
      <w:pPr>
        <w:tabs>
          <w:tab w:val="left" w:pos="90"/>
        </w:tabs>
        <w:spacing w:after="0" w:line="274" w:lineRule="auto"/>
        <w:ind w:left="91" w:firstLine="272"/>
        <w:jc w:val="both"/>
        <w:rPr>
          <w:rFonts w:asciiTheme="majorHAnsi" w:eastAsia="Times New Roman" w:hAnsiTheme="majorHAnsi" w:cstheme="majorHAnsi"/>
          <w:bCs/>
          <w:sz w:val="24"/>
          <w:szCs w:val="24"/>
          <w:lang w:val="ro-RO"/>
        </w:rPr>
      </w:pPr>
      <w:r w:rsidRPr="002621B1">
        <w:rPr>
          <w:rFonts w:asciiTheme="majorHAnsi" w:eastAsia="Times New Roman" w:hAnsiTheme="majorHAnsi" w:cstheme="majorHAnsi"/>
          <w:b/>
          <w:sz w:val="24"/>
          <w:szCs w:val="24"/>
          <w:lang w:val="ro-RO"/>
        </w:rPr>
        <w:t xml:space="preserve">2.2. </w:t>
      </w:r>
      <w:r w:rsidRPr="002621B1">
        <w:rPr>
          <w:rFonts w:asciiTheme="majorHAnsi" w:eastAsia="Times New Roman" w:hAnsiTheme="majorHAnsi" w:cstheme="majorHAnsi"/>
          <w:b/>
          <w:bCs/>
          <w:sz w:val="24"/>
          <w:szCs w:val="24"/>
          <w:lang w:val="ro-RO"/>
        </w:rPr>
        <w:t>Președintelui Republicii Moldova</w:t>
      </w:r>
      <w:r w:rsidRPr="002621B1">
        <w:rPr>
          <w:rFonts w:asciiTheme="majorHAnsi" w:eastAsia="Times New Roman" w:hAnsiTheme="majorHAnsi" w:cstheme="majorHAnsi"/>
          <w:bCs/>
          <w:sz w:val="24"/>
          <w:szCs w:val="24"/>
          <w:lang w:val="ro-RO"/>
        </w:rPr>
        <w:t>, pentru informare;</w:t>
      </w:r>
    </w:p>
    <w:p w:rsidR="00E00D2C" w:rsidRPr="00F71B77" w:rsidRDefault="00E00D2C" w:rsidP="00E00D2C">
      <w:pPr>
        <w:tabs>
          <w:tab w:val="left" w:pos="90"/>
        </w:tabs>
        <w:spacing w:after="0" w:line="240" w:lineRule="auto"/>
        <w:ind w:left="91" w:firstLine="272"/>
        <w:jc w:val="both"/>
        <w:rPr>
          <w:rFonts w:asciiTheme="majorHAnsi" w:eastAsia="Times New Roman" w:hAnsiTheme="majorHAnsi" w:cstheme="majorHAnsi"/>
          <w:bCs/>
          <w:sz w:val="24"/>
          <w:szCs w:val="24"/>
          <w:lang w:val="ro-RO"/>
        </w:rPr>
      </w:pPr>
      <w:r w:rsidRPr="00F71B77">
        <w:rPr>
          <w:rFonts w:asciiTheme="majorHAnsi" w:eastAsia="Times New Roman" w:hAnsiTheme="majorHAnsi" w:cstheme="majorHAnsi"/>
          <w:b/>
          <w:bCs/>
          <w:sz w:val="24"/>
          <w:szCs w:val="24"/>
          <w:lang w:val="ro-RO"/>
        </w:rPr>
        <w:t>2.3.</w:t>
      </w:r>
      <w:r w:rsidRPr="00F71B77">
        <w:rPr>
          <w:rFonts w:asciiTheme="majorHAnsi" w:eastAsia="Times New Roman" w:hAnsiTheme="majorHAnsi" w:cstheme="majorHAnsi"/>
          <w:b/>
          <w:sz w:val="24"/>
          <w:szCs w:val="24"/>
          <w:lang w:val="ro-RO"/>
        </w:rPr>
        <w:t xml:space="preserve"> Guvernului Republicii Moldova,</w:t>
      </w:r>
      <w:r w:rsidRPr="00F71B77">
        <w:rPr>
          <w:rFonts w:asciiTheme="majorHAnsi" w:eastAsia="Times New Roman" w:hAnsiTheme="majorHAnsi" w:cstheme="majorHAnsi"/>
          <w:sz w:val="24"/>
          <w:szCs w:val="24"/>
          <w:lang w:val="ro-RO"/>
        </w:rPr>
        <w:t xml:space="preserve"> pentru</w:t>
      </w:r>
      <w:r w:rsidRPr="00F71B77">
        <w:rPr>
          <w:rFonts w:asciiTheme="majorHAnsi" w:eastAsia="Times New Roman" w:hAnsiTheme="majorHAnsi" w:cstheme="majorHAnsi"/>
          <w:bCs/>
          <w:sz w:val="24"/>
          <w:szCs w:val="24"/>
          <w:lang w:val="ro-RO"/>
        </w:rPr>
        <w:t xml:space="preserve"> informare și luare de atitudine în vederea monitorizării asigurării implementării recomandărilor de audit. De asemenea, reieșind din neajunsurile constatate de audit, se recomandă</w:t>
      </w:r>
      <w:r>
        <w:rPr>
          <w:rFonts w:asciiTheme="majorHAnsi" w:eastAsia="Times New Roman" w:hAnsiTheme="majorHAnsi" w:cstheme="majorHAnsi"/>
          <w:bCs/>
          <w:sz w:val="24"/>
          <w:szCs w:val="24"/>
          <w:lang w:val="ro-RO"/>
        </w:rPr>
        <w:t>,</w:t>
      </w:r>
      <w:r w:rsidRPr="005B769B">
        <w:rPr>
          <w:rFonts w:asciiTheme="majorHAnsi" w:eastAsia="Times New Roman" w:hAnsiTheme="majorHAnsi" w:cstheme="majorHAnsi"/>
          <w:bCs/>
          <w:sz w:val="24"/>
          <w:szCs w:val="24"/>
          <w:lang w:val="ro-RO"/>
        </w:rPr>
        <w:t xml:space="preserve"> </w:t>
      </w:r>
      <w:r w:rsidRPr="00F71B77">
        <w:rPr>
          <w:rFonts w:asciiTheme="majorHAnsi" w:eastAsia="Times New Roman" w:hAnsiTheme="majorHAnsi" w:cstheme="majorHAnsi"/>
          <w:bCs/>
          <w:sz w:val="24"/>
          <w:szCs w:val="24"/>
          <w:lang w:val="ro-RO"/>
        </w:rPr>
        <w:t xml:space="preserve">cu </w:t>
      </w:r>
      <w:r>
        <w:rPr>
          <w:rFonts w:asciiTheme="majorHAnsi" w:eastAsia="Times New Roman" w:hAnsiTheme="majorHAnsi" w:cstheme="majorHAnsi"/>
          <w:bCs/>
          <w:sz w:val="24"/>
          <w:szCs w:val="24"/>
          <w:lang w:val="ro-RO"/>
        </w:rPr>
        <w:t>participarea</w:t>
      </w:r>
      <w:r w:rsidRPr="00F71B77">
        <w:rPr>
          <w:rFonts w:asciiTheme="majorHAnsi" w:eastAsia="Times New Roman" w:hAnsiTheme="majorHAnsi" w:cstheme="majorHAnsi"/>
          <w:bCs/>
          <w:sz w:val="24"/>
          <w:szCs w:val="24"/>
          <w:lang w:val="ro-RO"/>
        </w:rPr>
        <w:t>:</w:t>
      </w:r>
    </w:p>
    <w:p w:rsidR="00E00D2C" w:rsidRPr="00F71B77" w:rsidRDefault="00E00D2C" w:rsidP="00E00D2C">
      <w:pPr>
        <w:tabs>
          <w:tab w:val="left" w:pos="90"/>
        </w:tabs>
        <w:spacing w:after="0" w:line="240" w:lineRule="auto"/>
        <w:ind w:left="91" w:firstLine="272"/>
        <w:jc w:val="both"/>
        <w:rPr>
          <w:rFonts w:asciiTheme="majorHAnsi" w:eastAsia="Times New Roman" w:hAnsiTheme="majorHAnsi" w:cstheme="majorHAnsi"/>
          <w:bCs/>
          <w:sz w:val="24"/>
          <w:szCs w:val="24"/>
          <w:lang w:val="ro-RO"/>
        </w:rPr>
      </w:pPr>
      <w:r w:rsidRPr="00F71B77">
        <w:rPr>
          <w:rFonts w:asciiTheme="majorHAnsi" w:eastAsia="Times New Roman" w:hAnsiTheme="majorHAnsi" w:cstheme="majorHAnsi"/>
          <w:b/>
          <w:bCs/>
          <w:sz w:val="24"/>
          <w:szCs w:val="24"/>
          <w:lang w:val="ro-RO"/>
        </w:rPr>
        <w:lastRenderedPageBreak/>
        <w:t>2.3.1.</w:t>
      </w:r>
      <w:r w:rsidR="006D383D">
        <w:rPr>
          <w:rFonts w:asciiTheme="majorHAnsi" w:eastAsia="Times New Roman" w:hAnsiTheme="majorHAnsi" w:cstheme="majorHAnsi"/>
          <w:b/>
          <w:bCs/>
          <w:sz w:val="24"/>
          <w:szCs w:val="24"/>
          <w:lang w:val="ro-RO"/>
        </w:rPr>
        <w:t xml:space="preserve"> </w:t>
      </w:r>
      <w:r>
        <w:rPr>
          <w:rFonts w:asciiTheme="majorHAnsi" w:eastAsia="Times New Roman" w:hAnsiTheme="majorHAnsi" w:cstheme="majorHAnsi"/>
          <w:b/>
          <w:bCs/>
          <w:sz w:val="24"/>
          <w:szCs w:val="24"/>
          <w:lang w:val="ro-RO"/>
        </w:rPr>
        <w:t>Cancelariei</w:t>
      </w:r>
      <w:r w:rsidRPr="00F71B77">
        <w:rPr>
          <w:rFonts w:asciiTheme="majorHAnsi" w:eastAsia="Times New Roman" w:hAnsiTheme="majorHAnsi" w:cstheme="majorHAnsi"/>
          <w:b/>
          <w:bCs/>
          <w:sz w:val="24"/>
          <w:szCs w:val="24"/>
          <w:lang w:val="ro-RO"/>
        </w:rPr>
        <w:t xml:space="preserve"> de Stat, Ministerul</w:t>
      </w:r>
      <w:r>
        <w:rPr>
          <w:rFonts w:asciiTheme="majorHAnsi" w:eastAsia="Times New Roman" w:hAnsiTheme="majorHAnsi" w:cstheme="majorHAnsi"/>
          <w:b/>
          <w:bCs/>
          <w:sz w:val="24"/>
          <w:szCs w:val="24"/>
          <w:lang w:val="ro-RO"/>
        </w:rPr>
        <w:t>ui Economiei și Agenției</w:t>
      </w:r>
      <w:r w:rsidRPr="00F71B77">
        <w:rPr>
          <w:rFonts w:asciiTheme="majorHAnsi" w:eastAsia="Times New Roman" w:hAnsiTheme="majorHAnsi" w:cstheme="majorHAnsi"/>
          <w:b/>
          <w:bCs/>
          <w:sz w:val="24"/>
          <w:szCs w:val="24"/>
          <w:lang w:val="ro-RO"/>
        </w:rPr>
        <w:t xml:space="preserve"> de Guvernare Electronică</w:t>
      </w:r>
      <w:r w:rsidR="00C3163E">
        <w:rPr>
          <w:rFonts w:asciiTheme="majorHAnsi" w:eastAsia="Times New Roman" w:hAnsiTheme="majorHAnsi" w:cstheme="majorHAnsi"/>
          <w:bCs/>
          <w:sz w:val="24"/>
          <w:szCs w:val="24"/>
          <w:lang w:val="ro-RO"/>
        </w:rPr>
        <w:t xml:space="preserve">, </w:t>
      </w:r>
      <w:r w:rsidRPr="00F71B77">
        <w:rPr>
          <w:rFonts w:asciiTheme="majorHAnsi" w:eastAsia="Times New Roman" w:hAnsiTheme="majorHAnsi" w:cstheme="majorHAnsi"/>
          <w:bCs/>
          <w:sz w:val="24"/>
          <w:szCs w:val="24"/>
          <w:lang w:val="ro-RO"/>
        </w:rPr>
        <w:t>reexaminarea și, după caz, determinarea autorității competente care va exercita rolul de posesor al SIA GEAP</w:t>
      </w:r>
      <w:r w:rsidR="00C3163E">
        <w:rPr>
          <w:rFonts w:asciiTheme="majorHAnsi" w:eastAsia="Times New Roman" w:hAnsiTheme="majorHAnsi" w:cstheme="majorHAnsi"/>
          <w:bCs/>
          <w:sz w:val="24"/>
          <w:szCs w:val="24"/>
          <w:lang w:val="ro-RO"/>
        </w:rPr>
        <w:t>,</w:t>
      </w:r>
      <w:r w:rsidRPr="00F71B77">
        <w:rPr>
          <w:rFonts w:asciiTheme="majorHAnsi" w:eastAsia="Times New Roman" w:hAnsiTheme="majorHAnsi" w:cstheme="majorHAnsi"/>
          <w:bCs/>
          <w:sz w:val="24"/>
          <w:szCs w:val="24"/>
          <w:lang w:val="ro-RO"/>
        </w:rPr>
        <w:t xml:space="preserve"> prin prisma responsabilităților atribuite acestuia;</w:t>
      </w:r>
    </w:p>
    <w:p w:rsidR="00E00D2C" w:rsidRPr="00F71B77" w:rsidRDefault="00E00D2C" w:rsidP="00E00D2C">
      <w:pPr>
        <w:tabs>
          <w:tab w:val="left" w:pos="90"/>
        </w:tabs>
        <w:spacing w:after="0" w:line="240" w:lineRule="auto"/>
        <w:ind w:left="91" w:firstLine="272"/>
        <w:jc w:val="both"/>
        <w:rPr>
          <w:rFonts w:asciiTheme="majorHAnsi" w:eastAsia="Times New Roman" w:hAnsiTheme="majorHAnsi" w:cstheme="majorHAnsi"/>
          <w:bCs/>
          <w:sz w:val="24"/>
          <w:szCs w:val="24"/>
          <w:lang w:val="ro-RO"/>
        </w:rPr>
      </w:pPr>
      <w:r w:rsidRPr="00F71B77">
        <w:rPr>
          <w:rFonts w:asciiTheme="majorHAnsi" w:eastAsia="Times New Roman" w:hAnsiTheme="majorHAnsi" w:cstheme="majorHAnsi"/>
          <w:b/>
          <w:bCs/>
          <w:sz w:val="24"/>
          <w:szCs w:val="24"/>
          <w:lang w:val="ro-RO"/>
        </w:rPr>
        <w:t>2.3.2.</w:t>
      </w:r>
      <w:r>
        <w:rPr>
          <w:rFonts w:asciiTheme="majorHAnsi" w:eastAsia="Times New Roman" w:hAnsiTheme="majorHAnsi" w:cstheme="majorHAnsi"/>
          <w:bCs/>
          <w:sz w:val="24"/>
          <w:szCs w:val="24"/>
          <w:lang w:val="ro-RO"/>
        </w:rPr>
        <w:t xml:space="preserve"> </w:t>
      </w:r>
      <w:r>
        <w:rPr>
          <w:rFonts w:asciiTheme="majorHAnsi" w:eastAsia="Times New Roman" w:hAnsiTheme="majorHAnsi" w:cstheme="majorHAnsi"/>
          <w:b/>
          <w:bCs/>
          <w:sz w:val="24"/>
          <w:szCs w:val="24"/>
          <w:lang w:val="ro-RO"/>
        </w:rPr>
        <w:t>Băncii Naționale</w:t>
      </w:r>
      <w:r w:rsidRPr="00F71B77">
        <w:rPr>
          <w:rFonts w:asciiTheme="majorHAnsi" w:eastAsia="Times New Roman" w:hAnsiTheme="majorHAnsi" w:cstheme="majorHAnsi"/>
          <w:b/>
          <w:bCs/>
          <w:sz w:val="24"/>
          <w:szCs w:val="24"/>
          <w:lang w:val="ro-RO"/>
        </w:rPr>
        <w:t xml:space="preserve"> a Moldovei, </w:t>
      </w:r>
      <w:r>
        <w:rPr>
          <w:rFonts w:asciiTheme="majorHAnsi" w:eastAsia="Times New Roman" w:hAnsiTheme="majorHAnsi" w:cstheme="majorHAnsi"/>
          <w:b/>
          <w:bCs/>
          <w:sz w:val="24"/>
          <w:szCs w:val="24"/>
          <w:lang w:val="ro-RO"/>
        </w:rPr>
        <w:t>Agenției</w:t>
      </w:r>
      <w:r w:rsidRPr="00F71B77">
        <w:rPr>
          <w:rFonts w:asciiTheme="majorHAnsi" w:eastAsia="Times New Roman" w:hAnsiTheme="majorHAnsi" w:cstheme="majorHAnsi"/>
          <w:b/>
          <w:bCs/>
          <w:sz w:val="24"/>
          <w:szCs w:val="24"/>
          <w:lang w:val="ro-RO"/>
        </w:rPr>
        <w:t xml:space="preserve"> de Guvernare Electronică și Ministerul</w:t>
      </w:r>
      <w:r>
        <w:rPr>
          <w:rFonts w:asciiTheme="majorHAnsi" w:eastAsia="Times New Roman" w:hAnsiTheme="majorHAnsi" w:cstheme="majorHAnsi"/>
          <w:b/>
          <w:bCs/>
          <w:sz w:val="24"/>
          <w:szCs w:val="24"/>
          <w:lang w:val="ro-RO"/>
        </w:rPr>
        <w:t>ui</w:t>
      </w:r>
      <w:r w:rsidRPr="00F71B77">
        <w:rPr>
          <w:rFonts w:asciiTheme="majorHAnsi" w:eastAsia="Times New Roman" w:hAnsiTheme="majorHAnsi" w:cstheme="majorHAnsi"/>
          <w:b/>
          <w:bCs/>
          <w:sz w:val="24"/>
          <w:szCs w:val="24"/>
          <w:lang w:val="ro-RO"/>
        </w:rPr>
        <w:t xml:space="preserve"> Finanțelor</w:t>
      </w:r>
      <w:r w:rsidR="00017EFF">
        <w:rPr>
          <w:rFonts w:asciiTheme="majorHAnsi" w:eastAsia="Times New Roman" w:hAnsiTheme="majorHAnsi" w:cstheme="majorHAnsi"/>
          <w:b/>
          <w:bCs/>
          <w:sz w:val="24"/>
          <w:szCs w:val="24"/>
          <w:lang w:val="ro-RO"/>
        </w:rPr>
        <w:t xml:space="preserve">, </w:t>
      </w:r>
      <w:r w:rsidRPr="00F71B77">
        <w:rPr>
          <w:rFonts w:asciiTheme="majorHAnsi" w:eastAsia="Times New Roman" w:hAnsiTheme="majorHAnsi" w:cstheme="majorHAnsi"/>
          <w:bCs/>
          <w:sz w:val="24"/>
          <w:szCs w:val="24"/>
          <w:lang w:val="ro-RO"/>
        </w:rPr>
        <w:t xml:space="preserve"> </w:t>
      </w:r>
      <w:r>
        <w:rPr>
          <w:rFonts w:asciiTheme="majorHAnsi" w:eastAsia="Times New Roman" w:hAnsiTheme="majorHAnsi" w:cstheme="majorHAnsi"/>
          <w:bCs/>
          <w:sz w:val="24"/>
          <w:szCs w:val="24"/>
          <w:lang w:val="ro-RO"/>
        </w:rPr>
        <w:t xml:space="preserve">examinarea și </w:t>
      </w:r>
      <w:r w:rsidRPr="00F71B77">
        <w:rPr>
          <w:rFonts w:asciiTheme="majorHAnsi" w:eastAsia="Times New Roman" w:hAnsiTheme="majorHAnsi" w:cstheme="majorHAnsi"/>
          <w:bCs/>
          <w:sz w:val="24"/>
          <w:szCs w:val="24"/>
          <w:lang w:val="ro-RO"/>
        </w:rPr>
        <w:t>identific</w:t>
      </w:r>
      <w:r>
        <w:rPr>
          <w:rFonts w:asciiTheme="majorHAnsi" w:eastAsia="Times New Roman" w:hAnsiTheme="majorHAnsi" w:cstheme="majorHAnsi"/>
          <w:bCs/>
          <w:sz w:val="24"/>
          <w:szCs w:val="24"/>
          <w:lang w:val="ro-RO"/>
        </w:rPr>
        <w:t>area soluțiilor</w:t>
      </w:r>
      <w:r w:rsidRPr="00F71B77">
        <w:rPr>
          <w:rFonts w:asciiTheme="majorHAnsi" w:eastAsia="Times New Roman" w:hAnsiTheme="majorHAnsi" w:cstheme="majorHAnsi"/>
          <w:bCs/>
          <w:sz w:val="24"/>
          <w:szCs w:val="24"/>
          <w:lang w:val="ro-RO"/>
        </w:rPr>
        <w:t xml:space="preserve"> optime pentru asigurarea încasării la bugetul de stat</w:t>
      </w:r>
      <w:r w:rsidR="00017EFF">
        <w:rPr>
          <w:rFonts w:asciiTheme="majorHAnsi" w:eastAsia="Times New Roman" w:hAnsiTheme="majorHAnsi" w:cstheme="majorHAnsi"/>
          <w:bCs/>
          <w:sz w:val="24"/>
          <w:szCs w:val="24"/>
          <w:lang w:val="ro-RO"/>
        </w:rPr>
        <w:t>,</w:t>
      </w:r>
      <w:r w:rsidRPr="00F71B77">
        <w:rPr>
          <w:rFonts w:asciiTheme="majorHAnsi" w:eastAsia="Times New Roman" w:hAnsiTheme="majorHAnsi" w:cstheme="majorHAnsi"/>
          <w:bCs/>
          <w:sz w:val="24"/>
          <w:szCs w:val="24"/>
          <w:lang w:val="ro-RO"/>
        </w:rPr>
        <w:t xml:space="preserve"> exclusiv prin intermediul serviciului </w:t>
      </w:r>
      <w:proofErr w:type="spellStart"/>
      <w:r w:rsidRPr="00F71B77">
        <w:rPr>
          <w:rFonts w:asciiTheme="majorHAnsi" w:eastAsia="Times New Roman" w:hAnsiTheme="majorHAnsi" w:cstheme="majorHAnsi"/>
          <w:bCs/>
          <w:sz w:val="24"/>
          <w:szCs w:val="24"/>
          <w:lang w:val="ro-RO"/>
        </w:rPr>
        <w:t>MPay</w:t>
      </w:r>
      <w:proofErr w:type="spellEnd"/>
      <w:r w:rsidR="00017EFF">
        <w:rPr>
          <w:rFonts w:asciiTheme="majorHAnsi" w:eastAsia="Times New Roman" w:hAnsiTheme="majorHAnsi" w:cstheme="majorHAnsi"/>
          <w:bCs/>
          <w:sz w:val="24"/>
          <w:szCs w:val="24"/>
          <w:lang w:val="ro-RO"/>
        </w:rPr>
        <w:t>,</w:t>
      </w:r>
      <w:r w:rsidRPr="00F71B77">
        <w:rPr>
          <w:rFonts w:asciiTheme="majorHAnsi" w:eastAsia="Times New Roman" w:hAnsiTheme="majorHAnsi" w:cstheme="majorHAnsi"/>
          <w:bCs/>
          <w:sz w:val="24"/>
          <w:szCs w:val="24"/>
          <w:lang w:val="ro-RO"/>
        </w:rPr>
        <w:t xml:space="preserve"> a plăților pentru obținerea actelor permisive d</w:t>
      </w:r>
      <w:r w:rsidR="00017EFF">
        <w:rPr>
          <w:rFonts w:asciiTheme="majorHAnsi" w:eastAsia="Times New Roman" w:hAnsiTheme="majorHAnsi" w:cstheme="majorHAnsi"/>
          <w:bCs/>
          <w:sz w:val="24"/>
          <w:szCs w:val="24"/>
          <w:lang w:val="ro-RO"/>
        </w:rPr>
        <w:t>e</w:t>
      </w:r>
      <w:r w:rsidRPr="00F71B77">
        <w:rPr>
          <w:rFonts w:asciiTheme="majorHAnsi" w:eastAsia="Times New Roman" w:hAnsiTheme="majorHAnsi" w:cstheme="majorHAnsi"/>
          <w:bCs/>
          <w:sz w:val="24"/>
          <w:szCs w:val="24"/>
          <w:lang w:val="ro-RO"/>
        </w:rPr>
        <w:t xml:space="preserve"> </w:t>
      </w:r>
      <w:r>
        <w:rPr>
          <w:rFonts w:asciiTheme="majorHAnsi" w:eastAsia="Times New Roman" w:hAnsiTheme="majorHAnsi" w:cstheme="majorHAnsi"/>
          <w:bCs/>
          <w:sz w:val="24"/>
          <w:szCs w:val="24"/>
          <w:lang w:val="ro-RO"/>
        </w:rPr>
        <w:t>către persoanele</w:t>
      </w:r>
      <w:r w:rsidRPr="00F71B77">
        <w:rPr>
          <w:rFonts w:asciiTheme="majorHAnsi" w:eastAsia="Times New Roman" w:hAnsiTheme="majorHAnsi" w:cstheme="majorHAnsi"/>
          <w:bCs/>
          <w:sz w:val="24"/>
          <w:szCs w:val="24"/>
          <w:lang w:val="ro-RO"/>
        </w:rPr>
        <w:t xml:space="preserve"> juridice (integrarea prestatorilor de servicii de plată – internet - </w:t>
      </w:r>
      <w:proofErr w:type="spellStart"/>
      <w:r w:rsidRPr="00F71B77">
        <w:rPr>
          <w:rFonts w:asciiTheme="majorHAnsi" w:eastAsia="Times New Roman" w:hAnsiTheme="majorHAnsi" w:cstheme="majorHAnsi"/>
          <w:bCs/>
          <w:sz w:val="24"/>
          <w:szCs w:val="24"/>
          <w:lang w:val="ro-RO"/>
        </w:rPr>
        <w:t>bankingul</w:t>
      </w:r>
      <w:proofErr w:type="spellEnd"/>
      <w:r w:rsidRPr="00F71B77">
        <w:rPr>
          <w:rFonts w:asciiTheme="majorHAnsi" w:eastAsia="Times New Roman" w:hAnsiTheme="majorHAnsi" w:cstheme="majorHAnsi"/>
          <w:bCs/>
          <w:sz w:val="24"/>
          <w:szCs w:val="24"/>
          <w:lang w:val="ro-RO"/>
        </w:rPr>
        <w:t xml:space="preserve"> aferent persoanelor juridice (client </w:t>
      </w:r>
      <w:proofErr w:type="spellStart"/>
      <w:r w:rsidRPr="00F71B77">
        <w:rPr>
          <w:rFonts w:asciiTheme="majorHAnsi" w:eastAsia="Times New Roman" w:hAnsiTheme="majorHAnsi" w:cstheme="majorHAnsi"/>
          <w:bCs/>
          <w:sz w:val="24"/>
          <w:szCs w:val="24"/>
          <w:lang w:val="ro-RO"/>
        </w:rPr>
        <w:t>bank</w:t>
      </w:r>
      <w:proofErr w:type="spellEnd"/>
      <w:r w:rsidRPr="00F71B77">
        <w:rPr>
          <w:rFonts w:asciiTheme="majorHAnsi" w:eastAsia="Times New Roman" w:hAnsiTheme="majorHAnsi" w:cstheme="majorHAnsi"/>
          <w:bCs/>
          <w:sz w:val="24"/>
          <w:szCs w:val="24"/>
          <w:lang w:val="ro-RO"/>
        </w:rPr>
        <w:t xml:space="preserve">) cu serviciul </w:t>
      </w:r>
      <w:proofErr w:type="spellStart"/>
      <w:r w:rsidRPr="00F71B77">
        <w:rPr>
          <w:rFonts w:asciiTheme="majorHAnsi" w:eastAsia="Times New Roman" w:hAnsiTheme="majorHAnsi" w:cstheme="majorHAnsi"/>
          <w:bCs/>
          <w:sz w:val="24"/>
          <w:szCs w:val="24"/>
          <w:lang w:val="ro-RO"/>
        </w:rPr>
        <w:t>MPay</w:t>
      </w:r>
      <w:proofErr w:type="spellEnd"/>
      <w:r w:rsidRPr="00F71B77">
        <w:rPr>
          <w:rFonts w:asciiTheme="majorHAnsi" w:eastAsia="Times New Roman" w:hAnsiTheme="majorHAnsi" w:cstheme="majorHAnsi"/>
          <w:bCs/>
          <w:sz w:val="24"/>
          <w:szCs w:val="24"/>
          <w:lang w:val="ro-RO"/>
        </w:rPr>
        <w:t>)</w:t>
      </w:r>
      <w:r w:rsidR="00017EFF">
        <w:rPr>
          <w:rFonts w:asciiTheme="majorHAnsi" w:eastAsia="Times New Roman" w:hAnsiTheme="majorHAnsi" w:cstheme="majorHAnsi"/>
          <w:bCs/>
          <w:sz w:val="24"/>
          <w:szCs w:val="24"/>
          <w:lang w:val="ro-RO"/>
        </w:rPr>
        <w:t>;</w:t>
      </w:r>
    </w:p>
    <w:p w:rsidR="002621B1" w:rsidRPr="002621B1" w:rsidRDefault="002621B1" w:rsidP="002621B1">
      <w:pPr>
        <w:tabs>
          <w:tab w:val="left" w:pos="90"/>
        </w:tabs>
        <w:spacing w:after="0" w:line="274" w:lineRule="auto"/>
        <w:ind w:left="91" w:firstLine="272"/>
        <w:jc w:val="both"/>
        <w:rPr>
          <w:rFonts w:asciiTheme="majorHAnsi" w:eastAsia="Times New Roman" w:hAnsiTheme="majorHAnsi" w:cstheme="majorHAnsi"/>
          <w:b/>
          <w:bCs/>
          <w:sz w:val="24"/>
          <w:szCs w:val="24"/>
          <w:lang w:val="ro-RO"/>
        </w:rPr>
      </w:pPr>
      <w:r w:rsidRPr="002621B1">
        <w:rPr>
          <w:rFonts w:asciiTheme="majorHAnsi" w:eastAsia="Times New Roman" w:hAnsiTheme="majorHAnsi" w:cstheme="majorHAnsi"/>
          <w:b/>
          <w:bCs/>
          <w:sz w:val="24"/>
          <w:szCs w:val="24"/>
          <w:lang w:val="ro-RO"/>
        </w:rPr>
        <w:t>2.4</w:t>
      </w:r>
      <w:r w:rsidRPr="002621B1">
        <w:rPr>
          <w:rFonts w:asciiTheme="majorHAnsi" w:eastAsia="Times New Roman" w:hAnsiTheme="majorHAnsi" w:cstheme="majorHAnsi"/>
          <w:bCs/>
          <w:sz w:val="24"/>
          <w:szCs w:val="24"/>
          <w:lang w:val="ro-RO"/>
        </w:rPr>
        <w:t xml:space="preserve">. </w:t>
      </w:r>
      <w:r w:rsidR="00F133B2" w:rsidRPr="009C43FA">
        <w:rPr>
          <w:rFonts w:asciiTheme="majorHAnsi" w:eastAsia="Times New Roman" w:hAnsiTheme="majorHAnsi" w:cstheme="majorHAnsi"/>
          <w:b/>
          <w:bCs/>
          <w:sz w:val="24"/>
          <w:szCs w:val="24"/>
          <w:lang w:val="ro-RO"/>
        </w:rPr>
        <w:t xml:space="preserve">Cancelariei de Stat, Ministerului Economiei, Unității de Implementare a Proiectului Băncii Mondiale de Ameliorare a Competitivității (UIPAC), </w:t>
      </w:r>
      <w:r w:rsidR="002B3939" w:rsidRPr="009C43FA">
        <w:rPr>
          <w:rFonts w:asciiTheme="majorHAnsi" w:eastAsia="Times New Roman" w:hAnsiTheme="majorHAnsi" w:cstheme="majorHAnsi"/>
          <w:b/>
          <w:bCs/>
          <w:sz w:val="24"/>
          <w:szCs w:val="24"/>
          <w:lang w:val="ro-RO"/>
        </w:rPr>
        <w:t>Ministerul</w:t>
      </w:r>
      <w:r w:rsidR="00017EFF">
        <w:rPr>
          <w:rFonts w:asciiTheme="majorHAnsi" w:eastAsia="Times New Roman" w:hAnsiTheme="majorHAnsi" w:cstheme="majorHAnsi"/>
          <w:b/>
          <w:bCs/>
          <w:sz w:val="24"/>
          <w:szCs w:val="24"/>
          <w:lang w:val="ro-RO"/>
        </w:rPr>
        <w:t>ui</w:t>
      </w:r>
      <w:r w:rsidR="002B3939" w:rsidRPr="009C43FA">
        <w:rPr>
          <w:rFonts w:asciiTheme="majorHAnsi" w:eastAsia="Times New Roman" w:hAnsiTheme="majorHAnsi" w:cstheme="majorHAnsi"/>
          <w:b/>
          <w:bCs/>
          <w:sz w:val="24"/>
          <w:szCs w:val="24"/>
          <w:lang w:val="ro-RO"/>
        </w:rPr>
        <w:t xml:space="preserve"> Infrastructurii și Dezvoltării Regionale, </w:t>
      </w:r>
      <w:r w:rsidR="00F133B2" w:rsidRPr="009C43FA">
        <w:rPr>
          <w:rFonts w:asciiTheme="majorHAnsi" w:eastAsia="Times New Roman" w:hAnsiTheme="majorHAnsi" w:cstheme="majorHAnsi"/>
          <w:b/>
          <w:bCs/>
          <w:sz w:val="24"/>
          <w:szCs w:val="24"/>
          <w:lang w:val="ro-RO"/>
        </w:rPr>
        <w:t>instituțiilor publice: Agenția de Guvernare Electronică, Agenția Servicii Publice, precum și registratori</w:t>
      </w:r>
      <w:r w:rsidR="00FF53ED" w:rsidRPr="009C43FA">
        <w:rPr>
          <w:rFonts w:asciiTheme="majorHAnsi" w:eastAsia="Times New Roman" w:hAnsiTheme="majorHAnsi" w:cstheme="majorHAnsi"/>
          <w:b/>
          <w:bCs/>
          <w:sz w:val="24"/>
          <w:szCs w:val="24"/>
          <w:lang w:val="ro-RO"/>
        </w:rPr>
        <w:t>lor</w:t>
      </w:r>
      <w:r w:rsidR="00F133B2" w:rsidRPr="009C43FA">
        <w:rPr>
          <w:rFonts w:asciiTheme="majorHAnsi" w:eastAsia="Times New Roman" w:hAnsiTheme="majorHAnsi" w:cstheme="majorHAnsi"/>
          <w:b/>
          <w:bCs/>
          <w:sz w:val="24"/>
          <w:szCs w:val="24"/>
          <w:lang w:val="ro-RO"/>
        </w:rPr>
        <w:t xml:space="preserve"> SIA GEAP </w:t>
      </w:r>
      <w:r w:rsidR="00F133B2" w:rsidRPr="00F133B2">
        <w:rPr>
          <w:rFonts w:asciiTheme="majorHAnsi" w:eastAsia="Times New Roman" w:hAnsiTheme="majorHAnsi" w:cstheme="majorHAnsi"/>
          <w:bCs/>
          <w:sz w:val="24"/>
          <w:szCs w:val="24"/>
          <w:lang w:val="ro-RO"/>
        </w:rPr>
        <w:t>(autoritățil</w:t>
      </w:r>
      <w:r w:rsidR="00FF53ED">
        <w:rPr>
          <w:rFonts w:asciiTheme="majorHAnsi" w:eastAsia="Times New Roman" w:hAnsiTheme="majorHAnsi" w:cstheme="majorHAnsi"/>
          <w:bCs/>
          <w:sz w:val="24"/>
          <w:szCs w:val="24"/>
          <w:lang w:val="ro-RO"/>
        </w:rPr>
        <w:t>or</w:t>
      </w:r>
      <w:r w:rsidR="00F133B2" w:rsidRPr="00F133B2">
        <w:rPr>
          <w:rFonts w:asciiTheme="majorHAnsi" w:eastAsia="Times New Roman" w:hAnsiTheme="majorHAnsi" w:cstheme="majorHAnsi"/>
          <w:bCs/>
          <w:sz w:val="24"/>
          <w:szCs w:val="24"/>
          <w:lang w:val="ro-RO"/>
        </w:rPr>
        <w:t xml:space="preserve"> emitente, </w:t>
      </w:r>
      <w:r w:rsidR="00F133B2">
        <w:rPr>
          <w:rFonts w:asciiTheme="majorHAnsi" w:eastAsia="Times New Roman" w:hAnsiTheme="majorHAnsi" w:cstheme="majorHAnsi"/>
          <w:bCs/>
          <w:sz w:val="24"/>
          <w:szCs w:val="24"/>
          <w:lang w:val="ro-RO"/>
        </w:rPr>
        <w:t xml:space="preserve">incluse </w:t>
      </w:r>
      <w:r w:rsidR="00F133B2" w:rsidRPr="00F133B2">
        <w:rPr>
          <w:rFonts w:asciiTheme="majorHAnsi" w:eastAsia="Times New Roman" w:hAnsiTheme="majorHAnsi" w:cstheme="majorHAnsi"/>
          <w:bCs/>
          <w:sz w:val="24"/>
          <w:szCs w:val="24"/>
          <w:lang w:val="ro-RO"/>
        </w:rPr>
        <w:t xml:space="preserve"> în Nomenclatorul actelor permisive</w:t>
      </w:r>
      <w:r w:rsidR="00F133B2">
        <w:rPr>
          <w:rFonts w:asciiTheme="majorHAnsi" w:eastAsia="Times New Roman" w:hAnsiTheme="majorHAnsi" w:cstheme="majorHAnsi"/>
          <w:bCs/>
          <w:sz w:val="24"/>
          <w:szCs w:val="24"/>
          <w:lang w:val="ro-RO"/>
        </w:rPr>
        <w:t>, aprobat prin Legea nr.160/2011</w:t>
      </w:r>
      <w:r w:rsidR="00F133B2" w:rsidRPr="004B37A8">
        <w:rPr>
          <w:rFonts w:asciiTheme="majorHAnsi" w:eastAsia="Times New Roman" w:hAnsiTheme="majorHAnsi" w:cstheme="majorHAnsi"/>
          <w:bCs/>
          <w:sz w:val="24"/>
          <w:szCs w:val="24"/>
          <w:lang w:val="ro-RO"/>
        </w:rPr>
        <w:t xml:space="preserve">, </w:t>
      </w:r>
      <w:r w:rsidR="00F133B2" w:rsidRPr="004B37A8">
        <w:rPr>
          <w:rFonts w:asciiTheme="majorHAnsi" w:eastAsia="Times New Roman" w:hAnsiTheme="majorHAnsi" w:cstheme="majorHAnsi"/>
          <w:bCs/>
          <w:i/>
          <w:sz w:val="24"/>
          <w:szCs w:val="24"/>
          <w:lang w:val="ro-RO"/>
        </w:rPr>
        <w:t>precum și autorităților publice locale, conform Legii nr.231/2010 cu privire la comerțul interior</w:t>
      </w:r>
      <w:r w:rsidR="00F133B2" w:rsidRPr="004B37A8">
        <w:rPr>
          <w:rFonts w:asciiTheme="majorHAnsi" w:eastAsia="Times New Roman" w:hAnsiTheme="majorHAnsi" w:cstheme="majorHAnsi"/>
          <w:bCs/>
          <w:sz w:val="24"/>
          <w:szCs w:val="24"/>
          <w:lang w:val="ro-RO"/>
        </w:rPr>
        <w:t>),</w:t>
      </w:r>
      <w:r w:rsidR="00F133B2">
        <w:rPr>
          <w:rFonts w:asciiTheme="majorHAnsi" w:eastAsia="Times New Roman" w:hAnsiTheme="majorHAnsi" w:cstheme="majorHAnsi"/>
          <w:bCs/>
          <w:sz w:val="24"/>
          <w:szCs w:val="24"/>
          <w:lang w:val="ro-RO"/>
        </w:rPr>
        <w:t xml:space="preserve"> indicate și în Anexa nr.4 la Raportul de audit, pentru </w:t>
      </w:r>
      <w:r w:rsidR="00F133B2" w:rsidRPr="00F133B2">
        <w:rPr>
          <w:rFonts w:asciiTheme="majorHAnsi" w:eastAsia="Times New Roman" w:hAnsiTheme="majorHAnsi" w:cstheme="majorHAnsi"/>
          <w:bCs/>
          <w:sz w:val="24"/>
          <w:szCs w:val="24"/>
          <w:lang w:val="ro-RO"/>
        </w:rPr>
        <w:t>implementarea r</w:t>
      </w:r>
      <w:r w:rsidR="00F133B2">
        <w:rPr>
          <w:rFonts w:asciiTheme="majorHAnsi" w:eastAsia="Times New Roman" w:hAnsiTheme="majorHAnsi" w:cstheme="majorHAnsi"/>
          <w:bCs/>
          <w:sz w:val="24"/>
          <w:szCs w:val="24"/>
          <w:lang w:val="ro-RO"/>
        </w:rPr>
        <w:t>ecomandărilor expuse în Raport</w:t>
      </w:r>
      <w:r w:rsidR="00F133B2" w:rsidRPr="00F133B2">
        <w:rPr>
          <w:rFonts w:asciiTheme="majorHAnsi" w:eastAsia="Times New Roman" w:hAnsiTheme="majorHAnsi" w:cstheme="majorHAnsi"/>
          <w:bCs/>
          <w:sz w:val="24"/>
          <w:szCs w:val="24"/>
          <w:lang w:val="ro-RO"/>
        </w:rPr>
        <w:t>, cu elaborarea unui Plan de acțiuni în acest sens și asigurarea executării măsurilor necesare în scopul eliminării neajunsurilor constatate de audit</w:t>
      </w:r>
      <w:r w:rsidR="00D55325">
        <w:rPr>
          <w:rFonts w:asciiTheme="majorHAnsi" w:eastAsia="Times New Roman" w:hAnsiTheme="majorHAnsi" w:cstheme="majorHAnsi"/>
          <w:bCs/>
          <w:sz w:val="24"/>
          <w:szCs w:val="24"/>
          <w:lang w:val="ro-RO"/>
        </w:rPr>
        <w:t>.</w:t>
      </w:r>
    </w:p>
    <w:p w:rsidR="002621B1" w:rsidRPr="002621B1" w:rsidRDefault="002621B1" w:rsidP="00FF56D1">
      <w:pPr>
        <w:widowControl w:val="0"/>
        <w:numPr>
          <w:ilvl w:val="0"/>
          <w:numId w:val="1"/>
        </w:numPr>
        <w:tabs>
          <w:tab w:val="left" w:pos="90"/>
        </w:tabs>
        <w:spacing w:after="0" w:line="274" w:lineRule="auto"/>
        <w:ind w:left="0" w:firstLine="426"/>
        <w:contextualSpacing/>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 xml:space="preserve">Prin prezenta Hotărâre, se exclude din regim de monitorizare </w:t>
      </w:r>
      <w:r w:rsidR="00953932">
        <w:rPr>
          <w:rFonts w:asciiTheme="majorHAnsi" w:eastAsia="Times New Roman" w:hAnsiTheme="majorHAnsi" w:cstheme="majorHAnsi"/>
          <w:color w:val="000000"/>
          <w:sz w:val="24"/>
          <w:szCs w:val="24"/>
          <w:lang w:val="ro-RO" w:eastAsia="ru-RU" w:bidi="ro-RO"/>
        </w:rPr>
        <w:t>recomandarea nr.</w:t>
      </w:r>
      <w:r w:rsidR="00FF56D1">
        <w:rPr>
          <w:rFonts w:asciiTheme="majorHAnsi" w:eastAsia="Times New Roman" w:hAnsiTheme="majorHAnsi" w:cstheme="majorHAnsi"/>
          <w:color w:val="000000"/>
          <w:sz w:val="24"/>
          <w:szCs w:val="24"/>
          <w:lang w:val="ro-RO" w:eastAsia="ru-RU" w:bidi="ro-RO"/>
        </w:rPr>
        <w:t xml:space="preserve">12 din Raportul </w:t>
      </w:r>
      <w:r w:rsidR="00FF56D1" w:rsidRPr="00FF56D1">
        <w:rPr>
          <w:rFonts w:asciiTheme="majorHAnsi" w:eastAsia="Times New Roman" w:hAnsiTheme="majorHAnsi" w:cstheme="majorHAnsi"/>
          <w:color w:val="000000"/>
          <w:sz w:val="24"/>
          <w:szCs w:val="24"/>
          <w:lang w:val="ro-RO" w:eastAsia="ru-RU" w:bidi="ro-RO"/>
        </w:rPr>
        <w:t>performanței: „</w:t>
      </w:r>
      <w:r w:rsidR="00FF56D1" w:rsidRPr="00FF56D1">
        <w:rPr>
          <w:rFonts w:asciiTheme="majorHAnsi" w:eastAsia="Times New Roman" w:hAnsiTheme="majorHAnsi" w:cstheme="majorHAnsi"/>
          <w:i/>
          <w:color w:val="000000"/>
          <w:sz w:val="24"/>
          <w:szCs w:val="24"/>
          <w:lang w:val="ro-RO" w:eastAsia="ru-RU" w:bidi="ro-RO"/>
        </w:rPr>
        <w:t>În ce mod activitățile realizate pentru crearea/elaborarea, implementarea și gestionarea sistemelor informaționale în sectorul public contribuie la utilizarea eficientă a resurselor alocate în acest scop?</w:t>
      </w:r>
      <w:r w:rsidR="00E00D2C">
        <w:rPr>
          <w:rFonts w:asciiTheme="majorHAnsi" w:eastAsia="Times New Roman" w:hAnsiTheme="majorHAnsi" w:cstheme="majorHAnsi"/>
          <w:i/>
          <w:color w:val="000000"/>
          <w:sz w:val="24"/>
          <w:szCs w:val="24"/>
          <w:lang w:val="ro-RO" w:eastAsia="ru-RU" w:bidi="ro-RO"/>
        </w:rPr>
        <w:t>”</w:t>
      </w:r>
      <w:r w:rsidR="00FF56D1">
        <w:rPr>
          <w:rFonts w:asciiTheme="majorHAnsi" w:eastAsia="Times New Roman" w:hAnsiTheme="majorHAnsi" w:cstheme="majorHAnsi"/>
          <w:color w:val="000000"/>
          <w:sz w:val="24"/>
          <w:szCs w:val="24"/>
          <w:lang w:val="ro-RO" w:eastAsia="ru-RU" w:bidi="ro-RO"/>
        </w:rPr>
        <w:t xml:space="preserve">, aprobat prin </w:t>
      </w:r>
      <w:r w:rsidRPr="002621B1">
        <w:rPr>
          <w:rFonts w:asciiTheme="majorHAnsi" w:eastAsia="Times New Roman" w:hAnsiTheme="majorHAnsi" w:cstheme="majorHAnsi"/>
          <w:color w:val="000000"/>
          <w:sz w:val="24"/>
          <w:szCs w:val="24"/>
          <w:lang w:val="ro-RO" w:eastAsia="ru-RU" w:bidi="ro-RO"/>
        </w:rPr>
        <w:t>Hot</w:t>
      </w:r>
      <w:r w:rsidR="00FF56D1">
        <w:rPr>
          <w:rFonts w:asciiTheme="majorHAnsi" w:eastAsia="Times New Roman" w:hAnsiTheme="majorHAnsi" w:cstheme="majorHAnsi"/>
          <w:color w:val="000000"/>
          <w:sz w:val="24"/>
          <w:szCs w:val="24"/>
          <w:lang w:val="ro-RO" w:eastAsia="ru-RU" w:bidi="ro-RO"/>
        </w:rPr>
        <w:t>ărârea Cur</w:t>
      </w:r>
      <w:r w:rsidR="00AE6F7F">
        <w:rPr>
          <w:rFonts w:asciiTheme="majorHAnsi" w:eastAsia="Times New Roman" w:hAnsiTheme="majorHAnsi" w:cstheme="majorHAnsi"/>
          <w:color w:val="000000"/>
          <w:sz w:val="24"/>
          <w:szCs w:val="24"/>
          <w:lang w:val="ro-RO" w:eastAsia="ru-RU" w:bidi="ro-RO"/>
        </w:rPr>
        <w:t>ții de Conturi nr.</w:t>
      </w:r>
      <w:r w:rsidR="00FF56D1">
        <w:rPr>
          <w:rFonts w:asciiTheme="majorHAnsi" w:eastAsia="Times New Roman" w:hAnsiTheme="majorHAnsi" w:cstheme="majorHAnsi"/>
          <w:color w:val="000000"/>
          <w:sz w:val="24"/>
          <w:szCs w:val="24"/>
          <w:lang w:val="ro-RO" w:eastAsia="ru-RU" w:bidi="ro-RO"/>
        </w:rPr>
        <w:t xml:space="preserve">82 </w:t>
      </w:r>
      <w:r w:rsidRPr="002621B1">
        <w:rPr>
          <w:rFonts w:asciiTheme="majorHAnsi" w:eastAsia="Times New Roman" w:hAnsiTheme="majorHAnsi" w:cstheme="majorHAnsi"/>
          <w:color w:val="000000"/>
          <w:sz w:val="24"/>
          <w:szCs w:val="24"/>
          <w:lang w:val="ro-RO" w:eastAsia="ru-RU" w:bidi="ro-RO"/>
        </w:rPr>
        <w:t>din</w:t>
      </w:r>
      <w:r w:rsidR="00FF56D1">
        <w:rPr>
          <w:rFonts w:asciiTheme="majorHAnsi" w:eastAsia="Times New Roman" w:hAnsiTheme="majorHAnsi" w:cstheme="majorHAnsi"/>
          <w:color w:val="000000"/>
          <w:sz w:val="24"/>
          <w:szCs w:val="24"/>
          <w:lang w:val="ro-RO" w:eastAsia="ru-RU" w:bidi="ro-RO"/>
        </w:rPr>
        <w:t xml:space="preserve"> 28 decembrie</w:t>
      </w:r>
      <w:r w:rsidR="00B16C43">
        <w:rPr>
          <w:rFonts w:asciiTheme="majorHAnsi" w:eastAsia="Times New Roman" w:hAnsiTheme="majorHAnsi" w:cstheme="majorHAnsi"/>
          <w:color w:val="000000"/>
          <w:sz w:val="24"/>
          <w:szCs w:val="24"/>
          <w:lang w:val="ro-RO" w:eastAsia="ru-RU" w:bidi="ro-RO"/>
        </w:rPr>
        <w:t xml:space="preserve"> </w:t>
      </w:r>
      <w:r w:rsidR="00CD5B9D">
        <w:rPr>
          <w:rFonts w:asciiTheme="majorHAnsi" w:eastAsia="Times New Roman" w:hAnsiTheme="majorHAnsi" w:cstheme="majorHAnsi"/>
          <w:color w:val="000000"/>
          <w:sz w:val="24"/>
          <w:szCs w:val="24"/>
          <w:lang w:val="ro-RO" w:eastAsia="ru-RU" w:bidi="ro-RO"/>
        </w:rPr>
        <w:t>2020</w:t>
      </w:r>
      <w:r w:rsidRPr="002621B1">
        <w:rPr>
          <w:rFonts w:asciiTheme="majorHAnsi" w:eastAsia="Times New Roman" w:hAnsiTheme="majorHAnsi" w:cstheme="majorHAnsi"/>
          <w:color w:val="000000"/>
          <w:sz w:val="24"/>
          <w:szCs w:val="24"/>
          <w:lang w:val="ro-RO" w:eastAsia="ru-RU" w:bidi="ro-RO"/>
        </w:rPr>
        <w:t>,</w:t>
      </w:r>
      <w:r w:rsidR="00FF56D1">
        <w:rPr>
          <w:rFonts w:asciiTheme="majorHAnsi" w:eastAsia="Times New Roman" w:hAnsiTheme="majorHAnsi" w:cstheme="majorHAnsi"/>
          <w:color w:val="000000"/>
          <w:sz w:val="24"/>
          <w:szCs w:val="24"/>
          <w:lang w:val="ro-RO" w:eastAsia="ru-RU" w:bidi="ro-RO"/>
        </w:rPr>
        <w:t xml:space="preserve"> înaintat</w:t>
      </w:r>
      <w:r w:rsidR="00D55325">
        <w:rPr>
          <w:rFonts w:asciiTheme="majorHAnsi" w:eastAsia="Times New Roman" w:hAnsiTheme="majorHAnsi" w:cstheme="majorHAnsi"/>
          <w:color w:val="000000"/>
          <w:sz w:val="24"/>
          <w:szCs w:val="24"/>
          <w:lang w:val="ro-RO" w:eastAsia="ru-RU" w:bidi="ro-RO"/>
        </w:rPr>
        <w:t xml:space="preserve">ă </w:t>
      </w:r>
      <w:r w:rsidR="00FF56D1">
        <w:rPr>
          <w:rFonts w:asciiTheme="majorHAnsi" w:eastAsia="Times New Roman" w:hAnsiTheme="majorHAnsi" w:cstheme="majorHAnsi"/>
          <w:color w:val="000000"/>
          <w:sz w:val="24"/>
          <w:szCs w:val="24"/>
          <w:lang w:val="ro-RO" w:eastAsia="ru-RU" w:bidi="ro-RO"/>
        </w:rPr>
        <w:t xml:space="preserve"> Agenției de Guvernare Electronică,</w:t>
      </w:r>
      <w:r w:rsidRPr="002621B1">
        <w:rPr>
          <w:rFonts w:asciiTheme="majorHAnsi" w:eastAsia="Times New Roman" w:hAnsiTheme="majorHAnsi" w:cstheme="majorHAnsi"/>
          <w:color w:val="000000"/>
          <w:sz w:val="24"/>
          <w:szCs w:val="24"/>
          <w:lang w:val="ro-RO" w:eastAsia="ru-RU" w:bidi="ro-RO"/>
        </w:rPr>
        <w:t xml:space="preserve"> ca urmare a </w:t>
      </w:r>
      <w:r w:rsidR="00FF56D1">
        <w:rPr>
          <w:rFonts w:asciiTheme="majorHAnsi" w:eastAsia="Times New Roman" w:hAnsiTheme="majorHAnsi" w:cstheme="majorHAnsi"/>
          <w:color w:val="000000"/>
          <w:sz w:val="24"/>
          <w:szCs w:val="24"/>
          <w:lang w:val="ro-RO" w:eastAsia="ru-RU" w:bidi="ro-RO"/>
        </w:rPr>
        <w:t>reiterării acesteia</w:t>
      </w:r>
      <w:r w:rsidR="002C191A">
        <w:rPr>
          <w:rFonts w:asciiTheme="majorHAnsi" w:eastAsia="Times New Roman" w:hAnsiTheme="majorHAnsi" w:cstheme="majorHAnsi"/>
          <w:color w:val="000000"/>
          <w:sz w:val="24"/>
          <w:szCs w:val="24"/>
          <w:lang w:val="ro-RO" w:eastAsia="ru-RU" w:bidi="ro-RO"/>
        </w:rPr>
        <w:t>, prin reformulare,</w:t>
      </w:r>
      <w:r w:rsidR="00FF56D1">
        <w:rPr>
          <w:rFonts w:asciiTheme="majorHAnsi" w:eastAsia="Times New Roman" w:hAnsiTheme="majorHAnsi" w:cstheme="majorHAnsi"/>
          <w:color w:val="000000"/>
          <w:sz w:val="24"/>
          <w:szCs w:val="24"/>
          <w:lang w:val="ro-RO" w:eastAsia="ru-RU" w:bidi="ro-RO"/>
        </w:rPr>
        <w:t xml:space="preserve"> în Raportul de audit anex</w:t>
      </w:r>
      <w:r w:rsidR="00D55325">
        <w:rPr>
          <w:rFonts w:asciiTheme="majorHAnsi" w:eastAsia="Times New Roman" w:hAnsiTheme="majorHAnsi" w:cstheme="majorHAnsi"/>
          <w:color w:val="000000"/>
          <w:sz w:val="24"/>
          <w:szCs w:val="24"/>
          <w:lang w:val="ro-RO" w:eastAsia="ru-RU" w:bidi="ro-RO"/>
        </w:rPr>
        <w:t>at</w:t>
      </w:r>
      <w:r w:rsidR="00FF56D1">
        <w:rPr>
          <w:rFonts w:asciiTheme="majorHAnsi" w:eastAsia="Times New Roman" w:hAnsiTheme="majorHAnsi" w:cstheme="majorHAnsi"/>
          <w:color w:val="000000"/>
          <w:sz w:val="24"/>
          <w:szCs w:val="24"/>
          <w:lang w:val="ro-RO" w:eastAsia="ru-RU" w:bidi="ro-RO"/>
        </w:rPr>
        <w:t xml:space="preserve"> la </w:t>
      </w:r>
      <w:r w:rsidR="00FF56D1" w:rsidRPr="00D55325">
        <w:rPr>
          <w:rFonts w:asciiTheme="majorHAnsi" w:eastAsia="Times New Roman" w:hAnsiTheme="majorHAnsi" w:cstheme="majorHAnsi"/>
          <w:color w:val="000000"/>
          <w:sz w:val="24"/>
          <w:szCs w:val="24"/>
          <w:lang w:val="ro-RO" w:eastAsia="ru-RU" w:bidi="ro-RO"/>
        </w:rPr>
        <w:t>prezenta Hotărâre.</w:t>
      </w:r>
      <w:r w:rsidR="00FF56D1">
        <w:rPr>
          <w:rFonts w:asciiTheme="majorHAnsi" w:eastAsia="Times New Roman" w:hAnsiTheme="majorHAnsi" w:cstheme="majorHAnsi"/>
          <w:color w:val="000000"/>
          <w:sz w:val="24"/>
          <w:szCs w:val="24"/>
          <w:lang w:val="ro-RO" w:eastAsia="ru-RU" w:bidi="ro-RO"/>
        </w:rPr>
        <w:t xml:space="preserve"> </w:t>
      </w:r>
    </w:p>
    <w:p w:rsidR="002621B1" w:rsidRPr="002621B1" w:rsidRDefault="002621B1" w:rsidP="00D2361E">
      <w:pPr>
        <w:widowControl w:val="0"/>
        <w:numPr>
          <w:ilvl w:val="0"/>
          <w:numId w:val="1"/>
        </w:numPr>
        <w:tabs>
          <w:tab w:val="left" w:pos="90"/>
        </w:tabs>
        <w:spacing w:after="0" w:line="274" w:lineRule="auto"/>
        <w:ind w:left="90" w:firstLine="274"/>
        <w:contextualSpacing/>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 xml:space="preserve"> Prezenta Hotărâre intră în vigoare de la data publicării în Monitorul Oficial al Republicii Moldova și poate fi contestată cu o cerere prealabilă la autoritatea emitentă în termen de 30 zile de la data publicării. În ordine de contencios administrativ, Hotărârea poate fi contestată la Judecătoria Chișinău, sediul Râșcani (MD-2068, mun. Chișinău, str. Kiev nr.3), în termen de 30 de zile din data comunicării răspunsului cu privire la cererea prealabilă sau data expirării termenului prevăzut de lege pentru soluționarea acesteia.</w:t>
      </w:r>
    </w:p>
    <w:p w:rsidR="002621B1" w:rsidRPr="002621B1" w:rsidRDefault="002621B1" w:rsidP="00FF56D1">
      <w:pPr>
        <w:widowControl w:val="0"/>
        <w:numPr>
          <w:ilvl w:val="0"/>
          <w:numId w:val="1"/>
        </w:numPr>
        <w:tabs>
          <w:tab w:val="left" w:pos="90"/>
        </w:tabs>
        <w:spacing w:after="0" w:line="274" w:lineRule="auto"/>
        <w:ind w:left="90" w:firstLine="336"/>
        <w:contextualSpacing/>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Curtea de Conturi va fi informată</w:t>
      </w:r>
      <w:r w:rsidR="00B166A6">
        <w:rPr>
          <w:rFonts w:asciiTheme="majorHAnsi" w:eastAsia="Times New Roman" w:hAnsiTheme="majorHAnsi" w:cstheme="majorHAnsi"/>
          <w:color w:val="000000"/>
          <w:sz w:val="24"/>
          <w:szCs w:val="24"/>
          <w:lang w:val="ro-RO" w:eastAsia="ru-RU" w:bidi="ro-RO"/>
        </w:rPr>
        <w:t xml:space="preserve"> semestrial</w:t>
      </w:r>
      <w:r w:rsidRPr="002621B1">
        <w:rPr>
          <w:rFonts w:asciiTheme="majorHAnsi" w:eastAsia="Times New Roman" w:hAnsiTheme="majorHAnsi" w:cstheme="majorHAnsi"/>
          <w:color w:val="000000"/>
          <w:sz w:val="24"/>
          <w:szCs w:val="24"/>
          <w:lang w:val="ro-RO" w:eastAsia="ru-RU" w:bidi="ro-RO"/>
        </w:rPr>
        <w:t xml:space="preserve">, în termen de </w:t>
      </w:r>
      <w:r w:rsidR="00B166A6">
        <w:rPr>
          <w:rFonts w:asciiTheme="majorHAnsi" w:eastAsia="Times New Roman" w:hAnsiTheme="majorHAnsi" w:cstheme="majorHAnsi"/>
          <w:color w:val="000000"/>
          <w:sz w:val="24"/>
          <w:szCs w:val="24"/>
          <w:lang w:val="ro-RO" w:eastAsia="ru-RU" w:bidi="ro-RO"/>
        </w:rPr>
        <w:t>18</w:t>
      </w:r>
      <w:r w:rsidRPr="002621B1">
        <w:rPr>
          <w:rFonts w:asciiTheme="majorHAnsi" w:eastAsia="Times New Roman" w:hAnsiTheme="majorHAnsi" w:cstheme="majorHAnsi"/>
          <w:color w:val="000000"/>
          <w:sz w:val="24"/>
          <w:szCs w:val="24"/>
          <w:lang w:val="ro-RO" w:eastAsia="ru-RU" w:bidi="ro-RO"/>
        </w:rPr>
        <w:t xml:space="preserve"> luni din data intrării în vigoare a prezentei Hotărâri, despre acțiunile întreprins</w:t>
      </w:r>
      <w:r w:rsidR="00B166A6">
        <w:rPr>
          <w:rFonts w:asciiTheme="majorHAnsi" w:eastAsia="Times New Roman" w:hAnsiTheme="majorHAnsi" w:cstheme="majorHAnsi"/>
          <w:color w:val="000000"/>
          <w:sz w:val="24"/>
          <w:szCs w:val="24"/>
          <w:lang w:val="ro-RO" w:eastAsia="ru-RU" w:bidi="ro-RO"/>
        </w:rPr>
        <w:t>e pentru executarea subpunctului</w:t>
      </w:r>
      <w:r w:rsidRPr="002621B1">
        <w:rPr>
          <w:rFonts w:asciiTheme="majorHAnsi" w:eastAsia="Times New Roman" w:hAnsiTheme="majorHAnsi" w:cstheme="majorHAnsi"/>
          <w:color w:val="000000"/>
          <w:sz w:val="24"/>
          <w:szCs w:val="24"/>
          <w:lang w:val="ro-RO" w:eastAsia="ru-RU" w:bidi="ro-RO"/>
        </w:rPr>
        <w:t xml:space="preserve"> 2.4.</w:t>
      </w:r>
      <w:r w:rsidR="00B166A6">
        <w:rPr>
          <w:rFonts w:asciiTheme="majorHAnsi" w:eastAsia="Times New Roman" w:hAnsiTheme="majorHAnsi" w:cstheme="majorHAnsi"/>
          <w:color w:val="000000"/>
          <w:sz w:val="24"/>
          <w:szCs w:val="24"/>
          <w:lang w:val="ro-RO" w:eastAsia="ru-RU" w:bidi="ro-RO"/>
        </w:rPr>
        <w:t xml:space="preserve"> </w:t>
      </w:r>
      <w:r w:rsidRPr="002621B1">
        <w:rPr>
          <w:rFonts w:asciiTheme="majorHAnsi" w:eastAsia="Times New Roman" w:hAnsiTheme="majorHAnsi" w:cstheme="majorHAnsi"/>
          <w:color w:val="000000"/>
          <w:sz w:val="24"/>
          <w:szCs w:val="24"/>
          <w:lang w:val="ro-RO" w:eastAsia="ru-RU" w:bidi="ro-RO"/>
        </w:rPr>
        <w:t>din prezenta Hotărâre.</w:t>
      </w:r>
    </w:p>
    <w:p w:rsidR="002621B1" w:rsidRPr="002621B1" w:rsidRDefault="002621B1" w:rsidP="0086225F">
      <w:pPr>
        <w:widowControl w:val="0"/>
        <w:numPr>
          <w:ilvl w:val="0"/>
          <w:numId w:val="1"/>
        </w:numPr>
        <w:tabs>
          <w:tab w:val="left" w:pos="90"/>
        </w:tabs>
        <w:spacing w:after="0" w:line="274" w:lineRule="auto"/>
        <w:ind w:left="0" w:firstLine="426"/>
        <w:jc w:val="both"/>
        <w:rPr>
          <w:rFonts w:asciiTheme="majorHAnsi" w:eastAsia="Times New Roman" w:hAnsiTheme="majorHAnsi" w:cstheme="majorHAnsi"/>
          <w:color w:val="000000"/>
          <w:sz w:val="24"/>
          <w:szCs w:val="24"/>
          <w:lang w:val="ro-RO" w:eastAsia="ru-RU" w:bidi="ro-RO"/>
        </w:rPr>
      </w:pPr>
      <w:r w:rsidRPr="002621B1">
        <w:rPr>
          <w:rFonts w:asciiTheme="majorHAnsi" w:eastAsia="Times New Roman" w:hAnsiTheme="majorHAnsi" w:cstheme="majorHAnsi"/>
          <w:color w:val="000000"/>
          <w:sz w:val="24"/>
          <w:szCs w:val="24"/>
          <w:lang w:val="ro-RO" w:eastAsia="ru-RU" w:bidi="ro-RO"/>
        </w:rPr>
        <w:t>Hotărârea și Raportul auditulu</w:t>
      </w:r>
      <w:r w:rsidR="00FF56D1">
        <w:rPr>
          <w:rFonts w:asciiTheme="majorHAnsi" w:eastAsia="Times New Roman" w:hAnsiTheme="majorHAnsi" w:cstheme="majorHAnsi"/>
          <w:color w:val="000000"/>
          <w:sz w:val="24"/>
          <w:szCs w:val="24"/>
          <w:lang w:val="ro-RO" w:eastAsia="ru-RU" w:bidi="ro-RO"/>
        </w:rPr>
        <w:t>i</w:t>
      </w:r>
      <w:r w:rsidR="00FF56D1" w:rsidRPr="00FF56D1">
        <w:t xml:space="preserve"> </w:t>
      </w:r>
      <w:r w:rsidR="00FF56D1" w:rsidRPr="00FF56D1">
        <w:rPr>
          <w:rFonts w:asciiTheme="majorHAnsi" w:eastAsia="Times New Roman" w:hAnsiTheme="majorHAnsi" w:cstheme="majorHAnsi"/>
          <w:color w:val="000000"/>
          <w:sz w:val="24"/>
          <w:szCs w:val="24"/>
          <w:lang w:val="ro-RO" w:eastAsia="ru-RU" w:bidi="ro-RO"/>
        </w:rPr>
        <w:t>performanței cu tema: „</w:t>
      </w:r>
      <w:r w:rsidR="00FF56D1" w:rsidRPr="00F072F8">
        <w:rPr>
          <w:rFonts w:asciiTheme="majorHAnsi" w:eastAsia="Times New Roman" w:hAnsiTheme="majorHAnsi" w:cstheme="majorHAnsi"/>
          <w:i/>
          <w:color w:val="000000"/>
          <w:sz w:val="24"/>
          <w:szCs w:val="24"/>
          <w:lang w:val="ro-RO" w:eastAsia="ru-RU" w:bidi="ro-RO"/>
        </w:rPr>
        <w:t>Măsurile întreprinse și resursele investite în implementarea și dezvoltarea Sistemului informațional automatizat de gestionare și eliberare a actelor permisive (SIA GEAP) contribuie la atingerea scopului și obiectivelor stabilite?</w:t>
      </w:r>
      <w:r w:rsidR="00FF56D1" w:rsidRPr="00FF56D1">
        <w:rPr>
          <w:rFonts w:asciiTheme="majorHAnsi" w:eastAsia="Times New Roman" w:hAnsiTheme="majorHAnsi" w:cstheme="majorHAnsi"/>
          <w:color w:val="000000"/>
          <w:sz w:val="24"/>
          <w:szCs w:val="24"/>
          <w:lang w:val="ro-RO" w:eastAsia="ru-RU" w:bidi="ro-RO"/>
        </w:rPr>
        <w:t>”</w:t>
      </w:r>
      <w:r w:rsidR="00FF56D1">
        <w:rPr>
          <w:rFonts w:asciiTheme="majorHAnsi" w:eastAsia="Times New Roman" w:hAnsiTheme="majorHAnsi" w:cstheme="majorHAnsi"/>
          <w:color w:val="000000"/>
          <w:sz w:val="24"/>
          <w:szCs w:val="24"/>
          <w:lang w:val="ro-RO" w:eastAsia="ru-RU" w:bidi="ro-RO"/>
        </w:rPr>
        <w:t xml:space="preserve"> </w:t>
      </w:r>
      <w:r w:rsidRPr="002621B1">
        <w:rPr>
          <w:rFonts w:asciiTheme="majorHAnsi" w:eastAsia="Courier New" w:hAnsiTheme="majorHAnsi" w:cstheme="majorHAnsi"/>
          <w:color w:val="000000"/>
          <w:sz w:val="24"/>
          <w:szCs w:val="24"/>
          <w:lang w:val="ro-RO" w:eastAsia="ro-RO" w:bidi="ro-RO"/>
        </w:rPr>
        <w:t xml:space="preserve"> </w:t>
      </w:r>
      <w:r w:rsidRPr="002621B1">
        <w:rPr>
          <w:rFonts w:asciiTheme="majorHAnsi" w:eastAsia="Times New Roman" w:hAnsiTheme="majorHAnsi" w:cstheme="majorHAnsi"/>
          <w:color w:val="000000"/>
          <w:sz w:val="24"/>
          <w:szCs w:val="24"/>
          <w:lang w:val="ro-RO" w:eastAsia="ru-RU" w:bidi="ro-RO"/>
        </w:rPr>
        <w:t>se plasează pe site-ul oficial al Curții de Conturi (</w:t>
      </w:r>
      <w:hyperlink r:id="rId9" w:history="1">
        <w:r w:rsidR="0086225F" w:rsidRPr="00CE3926">
          <w:rPr>
            <w:rStyle w:val="Hyperlink"/>
            <w:rFonts w:asciiTheme="majorHAnsi" w:eastAsia="Times New Roman" w:hAnsiTheme="majorHAnsi" w:cstheme="majorHAnsi"/>
            <w:sz w:val="24"/>
            <w:szCs w:val="24"/>
            <w:lang w:val="ro-RO" w:eastAsia="ru-RU" w:bidi="ro-RO"/>
          </w:rPr>
          <w:t>https://www.ccrm.md/ro/decisions</w:t>
        </w:r>
      </w:hyperlink>
      <w:r w:rsidR="00FF56D1">
        <w:rPr>
          <w:rFonts w:asciiTheme="majorHAnsi" w:eastAsia="Times New Roman" w:hAnsiTheme="majorHAnsi" w:cstheme="majorHAnsi"/>
          <w:color w:val="000000"/>
          <w:sz w:val="24"/>
          <w:szCs w:val="24"/>
          <w:lang w:val="ro-RO" w:eastAsia="ru-RU" w:bidi="ro-RO"/>
        </w:rPr>
        <w:t>)</w:t>
      </w:r>
      <w:r w:rsidRPr="002621B1">
        <w:rPr>
          <w:rFonts w:asciiTheme="majorHAnsi" w:eastAsia="Times New Roman" w:hAnsiTheme="majorHAnsi" w:cstheme="majorHAnsi"/>
          <w:color w:val="000000"/>
          <w:sz w:val="24"/>
          <w:szCs w:val="24"/>
          <w:lang w:val="ro-RO" w:eastAsia="ru-RU" w:bidi="ro-RO"/>
        </w:rPr>
        <w:t xml:space="preserve">. </w:t>
      </w:r>
    </w:p>
    <w:p w:rsidR="002621B1" w:rsidRPr="002621B1" w:rsidRDefault="002621B1" w:rsidP="002621B1">
      <w:pPr>
        <w:widowControl w:val="0"/>
        <w:spacing w:after="0" w:line="274" w:lineRule="auto"/>
        <w:jc w:val="center"/>
        <w:rPr>
          <w:rFonts w:asciiTheme="majorHAnsi" w:eastAsia="Times New Roman" w:hAnsiTheme="majorHAnsi" w:cstheme="majorHAnsi"/>
          <w:b/>
          <w:iCs/>
          <w:color w:val="000000"/>
          <w:sz w:val="24"/>
          <w:szCs w:val="24"/>
          <w:lang w:val="ro-RO" w:eastAsia="ru-RU" w:bidi="ro-RO"/>
        </w:rPr>
      </w:pPr>
    </w:p>
    <w:p w:rsidR="0086225F" w:rsidRDefault="0086225F" w:rsidP="002621B1">
      <w:pPr>
        <w:widowControl w:val="0"/>
        <w:spacing w:after="0" w:line="274" w:lineRule="auto"/>
        <w:jc w:val="right"/>
        <w:rPr>
          <w:rFonts w:asciiTheme="majorHAnsi" w:eastAsia="Times New Roman" w:hAnsiTheme="majorHAnsi" w:cstheme="majorHAnsi"/>
          <w:b/>
          <w:iCs/>
          <w:color w:val="000000"/>
          <w:sz w:val="24"/>
          <w:szCs w:val="24"/>
          <w:lang w:val="ro-RO" w:eastAsia="ru-RU" w:bidi="ro-RO"/>
        </w:rPr>
      </w:pPr>
    </w:p>
    <w:p w:rsidR="002621B1" w:rsidRPr="002621B1" w:rsidRDefault="002621B1" w:rsidP="002621B1">
      <w:pPr>
        <w:widowControl w:val="0"/>
        <w:spacing w:after="0" w:line="274" w:lineRule="auto"/>
        <w:jc w:val="right"/>
        <w:rPr>
          <w:rFonts w:asciiTheme="majorHAnsi" w:eastAsia="Times New Roman" w:hAnsiTheme="majorHAnsi" w:cstheme="majorHAnsi"/>
          <w:b/>
          <w:iCs/>
          <w:color w:val="000000"/>
          <w:sz w:val="24"/>
          <w:szCs w:val="24"/>
          <w:lang w:val="ro-RO" w:eastAsia="ru-RU" w:bidi="ro-RO"/>
        </w:rPr>
      </w:pPr>
      <w:r w:rsidRPr="002621B1">
        <w:rPr>
          <w:rFonts w:asciiTheme="majorHAnsi" w:eastAsia="Times New Roman" w:hAnsiTheme="majorHAnsi" w:cstheme="majorHAnsi"/>
          <w:b/>
          <w:iCs/>
          <w:color w:val="000000"/>
          <w:sz w:val="24"/>
          <w:szCs w:val="24"/>
          <w:lang w:val="ro-RO" w:eastAsia="ru-RU" w:bidi="ro-RO"/>
        </w:rPr>
        <w:t>Marian LUPU,</w:t>
      </w:r>
    </w:p>
    <w:p w:rsidR="0072730A" w:rsidRPr="0072730A" w:rsidRDefault="0072730A" w:rsidP="0072730A">
      <w:pPr>
        <w:jc w:val="right"/>
        <w:rPr>
          <w:lang w:val="ro-MD"/>
        </w:rPr>
      </w:pPr>
      <w:proofErr w:type="spellStart"/>
      <w:r>
        <w:rPr>
          <w:rFonts w:asciiTheme="majorHAnsi" w:eastAsia="Courier New" w:hAnsiTheme="majorHAnsi" w:cstheme="majorHAnsi"/>
          <w:b/>
          <w:iCs/>
          <w:color w:val="000000"/>
          <w:sz w:val="24"/>
          <w:szCs w:val="24"/>
          <w:lang w:val="ro-RO" w:eastAsia="ru-RU" w:bidi="ro-RO"/>
        </w:rPr>
        <w:t>Președi</w:t>
      </w:r>
      <w:r>
        <w:rPr>
          <w:rFonts w:asciiTheme="majorHAnsi" w:eastAsia="Courier New" w:hAnsiTheme="majorHAnsi" w:cstheme="majorHAnsi"/>
          <w:b/>
          <w:iCs/>
          <w:color w:val="000000"/>
          <w:sz w:val="24"/>
          <w:szCs w:val="24"/>
          <w:lang w:val="ru-RU" w:eastAsia="ru-RU" w:bidi="ro-RO"/>
        </w:rPr>
        <w:t>nte</w:t>
      </w:r>
      <w:bookmarkStart w:id="0" w:name="_GoBack"/>
      <w:bookmarkEnd w:id="0"/>
      <w:proofErr w:type="spellEnd"/>
    </w:p>
    <w:sectPr w:rsidR="0072730A" w:rsidRPr="0072730A" w:rsidSect="002621B1">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7B" w:rsidRDefault="007D4C7B" w:rsidP="002621B1">
      <w:pPr>
        <w:spacing w:after="0" w:line="240" w:lineRule="auto"/>
      </w:pPr>
      <w:r>
        <w:separator/>
      </w:r>
    </w:p>
  </w:endnote>
  <w:endnote w:type="continuationSeparator" w:id="0">
    <w:p w:rsidR="007D4C7B" w:rsidRDefault="007D4C7B" w:rsidP="002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99502"/>
      <w:docPartObj>
        <w:docPartGallery w:val="Page Numbers (Bottom of Page)"/>
        <w:docPartUnique/>
      </w:docPartObj>
    </w:sdtPr>
    <w:sdtEndPr>
      <w:rPr>
        <w:noProof/>
      </w:rPr>
    </w:sdtEndPr>
    <w:sdtContent>
      <w:p w:rsidR="00DD5E67" w:rsidRDefault="00DD5E67">
        <w:pPr>
          <w:pStyle w:val="Footer"/>
          <w:jc w:val="right"/>
        </w:pPr>
        <w:r w:rsidRPr="00DD5E67">
          <w:rPr>
            <w:sz w:val="20"/>
            <w:szCs w:val="20"/>
          </w:rPr>
          <w:fldChar w:fldCharType="begin"/>
        </w:r>
        <w:r w:rsidRPr="00DD5E67">
          <w:rPr>
            <w:sz w:val="20"/>
            <w:szCs w:val="20"/>
          </w:rPr>
          <w:instrText xml:space="preserve"> PAGE   \* MERGEFORMAT </w:instrText>
        </w:r>
        <w:r w:rsidRPr="00DD5E67">
          <w:rPr>
            <w:sz w:val="20"/>
            <w:szCs w:val="20"/>
          </w:rPr>
          <w:fldChar w:fldCharType="separate"/>
        </w:r>
        <w:r w:rsidR="0072730A">
          <w:rPr>
            <w:noProof/>
            <w:sz w:val="20"/>
            <w:szCs w:val="20"/>
          </w:rPr>
          <w:t>4</w:t>
        </w:r>
        <w:r w:rsidRPr="00DD5E67">
          <w:rPr>
            <w:noProof/>
            <w:sz w:val="20"/>
            <w:szCs w:val="20"/>
          </w:rPr>
          <w:fldChar w:fldCharType="end"/>
        </w:r>
      </w:p>
    </w:sdtContent>
  </w:sdt>
  <w:p w:rsidR="00DD5E67" w:rsidRDefault="00DD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7B" w:rsidRDefault="007D4C7B" w:rsidP="002621B1">
      <w:pPr>
        <w:spacing w:after="0" w:line="240" w:lineRule="auto"/>
      </w:pPr>
      <w:r>
        <w:separator/>
      </w:r>
    </w:p>
  </w:footnote>
  <w:footnote w:type="continuationSeparator" w:id="0">
    <w:p w:rsidR="007D4C7B" w:rsidRDefault="007D4C7B" w:rsidP="002621B1">
      <w:pPr>
        <w:spacing w:after="0" w:line="240" w:lineRule="auto"/>
      </w:pPr>
      <w:r>
        <w:continuationSeparator/>
      </w:r>
    </w:p>
  </w:footnote>
  <w:footnote w:id="1">
    <w:p w:rsidR="002621B1" w:rsidRPr="009235E2" w:rsidRDefault="002621B1" w:rsidP="002621B1">
      <w:pPr>
        <w:pStyle w:val="FootnoteText"/>
        <w:jc w:val="both"/>
        <w:rPr>
          <w:rFonts w:asciiTheme="majorHAnsi" w:eastAsia="Times New Roman" w:hAnsiTheme="majorHAnsi" w:cstheme="majorHAnsi"/>
          <w:sz w:val="16"/>
          <w:szCs w:val="16"/>
        </w:rPr>
      </w:pPr>
      <w:r w:rsidRPr="009235E2">
        <w:rPr>
          <w:rFonts w:asciiTheme="majorHAnsi" w:eastAsia="Times New Roman" w:hAnsiTheme="majorHAnsi" w:cstheme="majorHAnsi"/>
          <w:sz w:val="16"/>
          <w:szCs w:val="16"/>
          <w:vertAlign w:val="superscript"/>
        </w:rPr>
        <w:footnoteRef/>
      </w:r>
      <w:r w:rsidRPr="009235E2">
        <w:rPr>
          <w:rFonts w:asciiTheme="majorHAnsi" w:eastAsia="Times New Roman" w:hAnsiTheme="majorHAnsi" w:cstheme="majorHAnsi"/>
          <w:sz w:val="16"/>
          <w:szCs w:val="16"/>
        </w:rPr>
        <w:t xml:space="preserve"> Legea privind organizarea și funcționarea Curții de Conturi a Republicii Moldova nr.260 din 07.12.2017 (în continuare – Legea nr. 260 din 07.12.2017).</w:t>
      </w:r>
    </w:p>
  </w:footnote>
  <w:footnote w:id="2">
    <w:p w:rsidR="00B63E6A" w:rsidRPr="003209E7" w:rsidRDefault="00B63E6A" w:rsidP="00B63E6A">
      <w:pPr>
        <w:pStyle w:val="FootnoteText"/>
        <w:rPr>
          <w:rFonts w:asciiTheme="majorHAnsi" w:hAnsiTheme="majorHAnsi" w:cstheme="majorHAnsi"/>
          <w:sz w:val="16"/>
          <w:szCs w:val="16"/>
        </w:rPr>
      </w:pPr>
      <w:r w:rsidRPr="003209E7">
        <w:rPr>
          <w:rStyle w:val="FootnoteReference"/>
          <w:rFonts w:asciiTheme="majorHAnsi" w:hAnsiTheme="majorHAnsi" w:cstheme="majorHAnsi"/>
          <w:sz w:val="16"/>
          <w:szCs w:val="16"/>
        </w:rPr>
        <w:footnoteRef/>
      </w:r>
      <w:r w:rsidRPr="003209E7">
        <w:rPr>
          <w:rFonts w:asciiTheme="majorHAnsi" w:hAnsiTheme="majorHAnsi" w:cstheme="majorHAnsi"/>
          <w:sz w:val="16"/>
          <w:szCs w:val="16"/>
        </w:rPr>
        <w:t xml:space="preserve"> </w:t>
      </w:r>
      <w:r w:rsidR="006839A1">
        <w:rPr>
          <w:rFonts w:asciiTheme="majorHAnsi" w:hAnsiTheme="majorHAnsi" w:cstheme="majorHAnsi"/>
          <w:sz w:val="16"/>
          <w:szCs w:val="16"/>
        </w:rPr>
        <w:t xml:space="preserve"> </w:t>
      </w:r>
      <w:r w:rsidRPr="003209E7">
        <w:rPr>
          <w:rFonts w:asciiTheme="majorHAnsi" w:hAnsiTheme="majorHAnsi" w:cstheme="majorHAnsi"/>
          <w:sz w:val="16"/>
          <w:szCs w:val="16"/>
        </w:rPr>
        <w:t>Hotărârea Curții de Conturi nr.62 din 10.12.2020 „Cu privire la aprobarea Programului activității de audit pe anul 2021”, cu modificările ulterioare.</w:t>
      </w:r>
    </w:p>
  </w:footnote>
  <w:footnote w:id="3">
    <w:p w:rsidR="002621B1" w:rsidRPr="00716C19" w:rsidRDefault="002621B1" w:rsidP="00B63E6A">
      <w:pPr>
        <w:spacing w:after="0" w:line="240" w:lineRule="auto"/>
        <w:jc w:val="both"/>
        <w:rPr>
          <w:rFonts w:ascii="Times New Roman" w:eastAsia="Times New Roman" w:hAnsi="Times New Roman" w:cs="Times New Roman"/>
          <w:sz w:val="20"/>
          <w:szCs w:val="20"/>
          <w:lang w:val="ro-RO"/>
        </w:rPr>
      </w:pPr>
      <w:r w:rsidRPr="00716C19">
        <w:rPr>
          <w:rStyle w:val="FootnoteReference1"/>
          <w:rFonts w:asciiTheme="majorHAnsi" w:hAnsiTheme="majorHAnsi" w:cstheme="majorHAnsi"/>
          <w:sz w:val="16"/>
          <w:szCs w:val="16"/>
          <w:lang w:val="ro-RO"/>
        </w:rPr>
        <w:footnoteRef/>
      </w:r>
      <w:r w:rsidR="006839A1">
        <w:rPr>
          <w:rFonts w:asciiTheme="majorHAnsi" w:hAnsiTheme="majorHAnsi" w:cstheme="majorHAnsi"/>
          <w:sz w:val="16"/>
          <w:szCs w:val="16"/>
          <w:lang w:val="ro-RO"/>
        </w:rPr>
        <w:t xml:space="preserve"> </w:t>
      </w:r>
      <w:r w:rsidR="00B63E6A" w:rsidRPr="00716C19">
        <w:rPr>
          <w:rFonts w:asciiTheme="majorHAnsi" w:eastAsia="Times New Roman" w:hAnsiTheme="majorHAnsi" w:cstheme="majorHAnsi"/>
          <w:sz w:val="16"/>
          <w:szCs w:val="16"/>
          <w:lang w:val="ro-RO"/>
        </w:rPr>
        <w:t>Hotărârea Curții de Conturi nr.</w:t>
      </w:r>
      <w:r w:rsidR="00716C19">
        <w:rPr>
          <w:rFonts w:asciiTheme="majorHAnsi" w:eastAsia="Times New Roman" w:hAnsiTheme="majorHAnsi" w:cstheme="majorHAnsi"/>
          <w:sz w:val="16"/>
          <w:szCs w:val="16"/>
          <w:lang w:val="ro-RO"/>
        </w:rPr>
        <w:t xml:space="preserve">2 </w:t>
      </w:r>
      <w:r w:rsidRPr="00716C19">
        <w:rPr>
          <w:rFonts w:asciiTheme="majorHAnsi" w:eastAsia="Times New Roman" w:hAnsiTheme="majorHAnsi" w:cstheme="majorHAnsi"/>
          <w:sz w:val="16"/>
          <w:szCs w:val="16"/>
          <w:lang w:val="ro-RO"/>
        </w:rPr>
        <w:t>din 24.01.2020 „Cu privire la Cadrul Declaraț</w:t>
      </w:r>
      <w:r w:rsidR="00757C04" w:rsidRPr="00716C19">
        <w:rPr>
          <w:rFonts w:asciiTheme="majorHAnsi" w:eastAsia="Times New Roman" w:hAnsiTheme="majorHAnsi" w:cstheme="majorHAnsi"/>
          <w:sz w:val="16"/>
          <w:szCs w:val="16"/>
          <w:lang w:val="ro-RO"/>
        </w:rPr>
        <w:t>iilor Profesionale ale INTOSAI”, îndeosebi: ISSAI 100 „Principii fundamentale pentru auditul sectorului public”; ISSAI 300 „Principii fundamentale ale auditului performanței”; GUID 5100 „Ghid privind auditul sistemelor informaționale”.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6B3"/>
    <w:multiLevelType w:val="multilevel"/>
    <w:tmpl w:val="9394305C"/>
    <w:lvl w:ilvl="0">
      <w:start w:val="1"/>
      <w:numFmt w:val="decimal"/>
      <w:lvlText w:val="%1."/>
      <w:lvlJc w:val="left"/>
      <w:pPr>
        <w:ind w:left="540" w:hanging="360"/>
      </w:pPr>
      <w:rPr>
        <w:rFonts w:hint="default"/>
        <w:b/>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3"/>
    <w:rsid w:val="00003557"/>
    <w:rsid w:val="00017EFF"/>
    <w:rsid w:val="00020986"/>
    <w:rsid w:val="0007663F"/>
    <w:rsid w:val="000940B1"/>
    <w:rsid w:val="000B57FC"/>
    <w:rsid w:val="000E2DFC"/>
    <w:rsid w:val="00156E49"/>
    <w:rsid w:val="00167743"/>
    <w:rsid w:val="00174C62"/>
    <w:rsid w:val="00184C42"/>
    <w:rsid w:val="001D6118"/>
    <w:rsid w:val="002621B1"/>
    <w:rsid w:val="0028623A"/>
    <w:rsid w:val="002B3939"/>
    <w:rsid w:val="002B7D73"/>
    <w:rsid w:val="002C191A"/>
    <w:rsid w:val="002D1F70"/>
    <w:rsid w:val="00325791"/>
    <w:rsid w:val="003A1DD1"/>
    <w:rsid w:val="003E0A33"/>
    <w:rsid w:val="00420011"/>
    <w:rsid w:val="00427543"/>
    <w:rsid w:val="00467105"/>
    <w:rsid w:val="00473038"/>
    <w:rsid w:val="004B2D21"/>
    <w:rsid w:val="004B37A8"/>
    <w:rsid w:val="004D4AE4"/>
    <w:rsid w:val="004F6A41"/>
    <w:rsid w:val="00514047"/>
    <w:rsid w:val="0051687E"/>
    <w:rsid w:val="00572C5E"/>
    <w:rsid w:val="00623738"/>
    <w:rsid w:val="0065592F"/>
    <w:rsid w:val="00663566"/>
    <w:rsid w:val="0066716D"/>
    <w:rsid w:val="006839A1"/>
    <w:rsid w:val="006D383D"/>
    <w:rsid w:val="00716C19"/>
    <w:rsid w:val="0072730A"/>
    <w:rsid w:val="00727CD8"/>
    <w:rsid w:val="00757C04"/>
    <w:rsid w:val="00772F27"/>
    <w:rsid w:val="0078771B"/>
    <w:rsid w:val="007D4C7B"/>
    <w:rsid w:val="007F4C7D"/>
    <w:rsid w:val="00820CC6"/>
    <w:rsid w:val="00840948"/>
    <w:rsid w:val="0086225F"/>
    <w:rsid w:val="00886EC9"/>
    <w:rsid w:val="00891BD2"/>
    <w:rsid w:val="008B275D"/>
    <w:rsid w:val="008B53B1"/>
    <w:rsid w:val="008E7930"/>
    <w:rsid w:val="00953932"/>
    <w:rsid w:val="0096792D"/>
    <w:rsid w:val="00976353"/>
    <w:rsid w:val="009C43FA"/>
    <w:rsid w:val="00A37EEA"/>
    <w:rsid w:val="00A53012"/>
    <w:rsid w:val="00A726FF"/>
    <w:rsid w:val="00AB0F57"/>
    <w:rsid w:val="00AE6C94"/>
    <w:rsid w:val="00AE6F7F"/>
    <w:rsid w:val="00AF1AC7"/>
    <w:rsid w:val="00B166A6"/>
    <w:rsid w:val="00B16C43"/>
    <w:rsid w:val="00B26484"/>
    <w:rsid w:val="00B47EB6"/>
    <w:rsid w:val="00B63E6A"/>
    <w:rsid w:val="00C018D3"/>
    <w:rsid w:val="00C3163E"/>
    <w:rsid w:val="00CA2383"/>
    <w:rsid w:val="00CD5B9D"/>
    <w:rsid w:val="00D35A3E"/>
    <w:rsid w:val="00D55325"/>
    <w:rsid w:val="00DA4FBD"/>
    <w:rsid w:val="00DB4447"/>
    <w:rsid w:val="00DD5E67"/>
    <w:rsid w:val="00E00D2C"/>
    <w:rsid w:val="00E940A7"/>
    <w:rsid w:val="00E97359"/>
    <w:rsid w:val="00EC7AC4"/>
    <w:rsid w:val="00F072F8"/>
    <w:rsid w:val="00F133B2"/>
    <w:rsid w:val="00FD7769"/>
    <w:rsid w:val="00FF53ED"/>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F76D"/>
  <w15:chartTrackingRefBased/>
  <w15:docId w15:val="{81147EB9-CB39-4E33-A960-CBD6D8D7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2621B1"/>
    <w:pPr>
      <w:widowControl w:val="0"/>
      <w:spacing w:after="0" w:line="240" w:lineRule="auto"/>
    </w:pPr>
    <w:rPr>
      <w:rFonts w:ascii="Courier New" w:eastAsia="Courier New" w:hAnsi="Courier New" w:cs="Courier New"/>
      <w:color w:val="000000"/>
      <w:sz w:val="20"/>
      <w:szCs w:val="20"/>
      <w:lang w:val="ro-RO" w:eastAsia="ro-RO" w:bidi="ro-RO"/>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rsid w:val="002621B1"/>
    <w:rPr>
      <w:rFonts w:ascii="Courier New" w:eastAsia="Courier New" w:hAnsi="Courier New" w:cs="Courier New"/>
      <w:color w:val="000000"/>
      <w:sz w:val="20"/>
      <w:szCs w:val="20"/>
      <w:lang w:val="ro-RO" w:eastAsia="ro-RO" w:bidi="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2621B1"/>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2621B1"/>
    <w:rPr>
      <w:vertAlign w:val="superscript"/>
      <w:lang w:val="ro-MD"/>
    </w:rPr>
  </w:style>
  <w:style w:type="paragraph" w:styleId="Header">
    <w:name w:val="header"/>
    <w:basedOn w:val="Normal"/>
    <w:link w:val="HeaderChar"/>
    <w:uiPriority w:val="99"/>
    <w:unhideWhenUsed/>
    <w:rsid w:val="002621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2621B1"/>
  </w:style>
  <w:style w:type="paragraph" w:styleId="Footer">
    <w:name w:val="footer"/>
    <w:basedOn w:val="Normal"/>
    <w:link w:val="FooterChar"/>
    <w:uiPriority w:val="99"/>
    <w:unhideWhenUsed/>
    <w:rsid w:val="002621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2621B1"/>
  </w:style>
  <w:style w:type="character" w:styleId="FootnoteReference">
    <w:name w:val="footnote reference"/>
    <w:basedOn w:val="DefaultParagraphFont"/>
    <w:uiPriority w:val="99"/>
    <w:unhideWhenUsed/>
    <w:rsid w:val="00B63E6A"/>
    <w:rPr>
      <w:vertAlign w:val="superscript"/>
    </w:rPr>
  </w:style>
  <w:style w:type="character" w:styleId="Hyperlink">
    <w:name w:val="Hyperlink"/>
    <w:basedOn w:val="DefaultParagraphFont"/>
    <w:uiPriority w:val="99"/>
    <w:unhideWhenUsed/>
    <w:rsid w:val="00FF56D1"/>
    <w:rPr>
      <w:color w:val="0563C1" w:themeColor="hyperlink"/>
      <w:u w:val="single"/>
    </w:rPr>
  </w:style>
  <w:style w:type="paragraph" w:styleId="BalloonText">
    <w:name w:val="Balloon Text"/>
    <w:basedOn w:val="Normal"/>
    <w:link w:val="BalloonTextChar"/>
    <w:uiPriority w:val="99"/>
    <w:semiHidden/>
    <w:unhideWhenUsed/>
    <w:rsid w:val="00516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1B85-CEC4-4DDB-B42D-CC40C05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1945</Words>
  <Characters>11091</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Balaban-Uncu Natalia</dc:creator>
  <cp:keywords/>
  <dc:description/>
  <cp:lastModifiedBy>Paiu Eugenia</cp:lastModifiedBy>
  <cp:revision>3</cp:revision>
  <dcterms:created xsi:type="dcterms:W3CDTF">2022-05-10T10:05:00Z</dcterms:created>
  <dcterms:modified xsi:type="dcterms:W3CDTF">2022-05-10T10:26:00Z</dcterms:modified>
</cp:coreProperties>
</file>