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143C8" w14:textId="340EBA9C" w:rsidR="009B0AED" w:rsidRPr="000E2055" w:rsidRDefault="009B0AED" w:rsidP="009B0AED">
      <w:pPr>
        <w:spacing w:after="0" w:line="276" w:lineRule="auto"/>
        <w:jc w:val="center"/>
        <w:rPr>
          <w:rFonts w:ascii="Times New Roman" w:eastAsia="Times New Roman" w:hAnsi="Times New Roman" w:cs="Times New Roman"/>
          <w:sz w:val="24"/>
          <w:szCs w:val="24"/>
          <w:lang w:val="ru-MD"/>
        </w:rPr>
      </w:pPr>
      <w:bookmarkStart w:id="0" w:name="_GoBack"/>
      <w:bookmarkEnd w:id="0"/>
      <w:r w:rsidRPr="000E2055">
        <w:rPr>
          <w:rFonts w:ascii="Times New Roman" w:eastAsia="Times New Roman" w:hAnsi="Times New Roman" w:cs="Times New Roman"/>
          <w:noProof/>
          <w:sz w:val="26"/>
          <w:szCs w:val="26"/>
          <w:lang w:val="en-US"/>
        </w:rPr>
        <w:drawing>
          <wp:inline distT="0" distB="0" distL="0" distR="0" wp14:anchorId="445BBA60" wp14:editId="0E09BBC3">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5B0C6AE3" w14:textId="77777777" w:rsidR="00F71B2E" w:rsidRPr="000E2055" w:rsidRDefault="00F71B2E" w:rsidP="00F71B2E">
      <w:pPr>
        <w:pStyle w:val="cn"/>
        <w:spacing w:line="276" w:lineRule="auto"/>
        <w:jc w:val="right"/>
        <w:rPr>
          <w:rFonts w:asciiTheme="majorHAnsi" w:hAnsiTheme="majorHAnsi" w:cstheme="majorHAnsi"/>
          <w:b/>
          <w:sz w:val="28"/>
          <w:szCs w:val="28"/>
          <w:u w:val="single"/>
          <w:lang w:val="ru-MD"/>
        </w:rPr>
      </w:pPr>
      <w:r w:rsidRPr="000E2055">
        <w:rPr>
          <w:rFonts w:asciiTheme="majorHAnsi" w:hAnsiTheme="majorHAnsi" w:cstheme="majorHAnsi"/>
          <w:b/>
          <w:sz w:val="28"/>
          <w:szCs w:val="28"/>
          <w:u w:val="single"/>
          <w:lang w:val="ru-MD"/>
        </w:rPr>
        <w:t>ПЕРЕВОД</w:t>
      </w:r>
    </w:p>
    <w:p w14:paraId="066D7955" w14:textId="77777777" w:rsidR="00F71B2E" w:rsidRPr="000E2055" w:rsidRDefault="00F71B2E" w:rsidP="00F71B2E">
      <w:pPr>
        <w:spacing w:after="0" w:line="276" w:lineRule="auto"/>
        <w:jc w:val="center"/>
        <w:rPr>
          <w:rFonts w:ascii="Times New Roman" w:eastAsia="Times New Roman" w:hAnsi="Times New Roman" w:cs="Times New Roman"/>
          <w:b/>
          <w:bCs/>
          <w:sz w:val="16"/>
          <w:szCs w:val="16"/>
          <w:lang w:val="ru-MD"/>
        </w:rPr>
      </w:pPr>
    </w:p>
    <w:p w14:paraId="30D476D0" w14:textId="77777777" w:rsidR="00F71B2E" w:rsidRPr="000E2055" w:rsidRDefault="00F71B2E" w:rsidP="00F71B2E">
      <w:pPr>
        <w:spacing w:after="0" w:line="276" w:lineRule="auto"/>
        <w:jc w:val="center"/>
        <w:rPr>
          <w:rFonts w:ascii="Calibri Light" w:eastAsia="Times New Roman" w:hAnsi="Calibri Light" w:cs="Calibri Light"/>
          <w:bCs/>
          <w:sz w:val="28"/>
          <w:szCs w:val="28"/>
          <w:lang w:val="ru-MD"/>
        </w:rPr>
      </w:pPr>
      <w:r w:rsidRPr="000E2055">
        <w:rPr>
          <w:rFonts w:ascii="Calibri Light" w:eastAsia="Times New Roman" w:hAnsi="Calibri Light" w:cs="Calibri Light"/>
          <w:bCs/>
          <w:sz w:val="28"/>
          <w:szCs w:val="28"/>
          <w:lang w:val="ru-MD"/>
        </w:rPr>
        <w:t>СЧЕТНАЯ ПАЛАТА РЕСПУБЛИКИ МОЛДОВА</w:t>
      </w:r>
    </w:p>
    <w:p w14:paraId="61DEE799" w14:textId="77777777" w:rsidR="00F71B2E" w:rsidRPr="000E2055" w:rsidRDefault="00F71B2E" w:rsidP="00F71B2E">
      <w:pPr>
        <w:spacing w:after="0" w:line="276" w:lineRule="auto"/>
        <w:jc w:val="center"/>
        <w:rPr>
          <w:rFonts w:ascii="Calibri Light" w:eastAsia="Times New Roman" w:hAnsi="Calibri Light" w:cs="Calibri Light"/>
          <w:bCs/>
          <w:sz w:val="28"/>
          <w:szCs w:val="28"/>
          <w:lang w:val="ru-MD"/>
        </w:rPr>
      </w:pPr>
    </w:p>
    <w:p w14:paraId="3F67B0D9" w14:textId="3716B7C9" w:rsidR="00F71B2E" w:rsidRPr="000E2055" w:rsidRDefault="00F71B2E" w:rsidP="00F71B2E">
      <w:pPr>
        <w:spacing w:after="0" w:line="276" w:lineRule="auto"/>
        <w:jc w:val="center"/>
        <w:rPr>
          <w:rFonts w:ascii="Calibri Light" w:eastAsia="Times New Roman" w:hAnsi="Calibri Light" w:cs="Calibri Light"/>
          <w:b/>
          <w:bCs/>
          <w:sz w:val="28"/>
          <w:szCs w:val="28"/>
          <w:lang w:val="ru-MD"/>
        </w:rPr>
      </w:pPr>
      <w:r w:rsidRPr="000E2055">
        <w:rPr>
          <w:rFonts w:ascii="Calibri Light" w:eastAsia="Times New Roman" w:hAnsi="Calibri Light" w:cs="Calibri Light"/>
          <w:b/>
          <w:bCs/>
          <w:sz w:val="28"/>
          <w:szCs w:val="28"/>
          <w:lang w:val="ru-MD"/>
        </w:rPr>
        <w:t>П О С Т А Н О В Л Е Н И Е №7</w:t>
      </w:r>
    </w:p>
    <w:p w14:paraId="07F84DA0" w14:textId="77777777" w:rsidR="00F71B2E" w:rsidRPr="000E2055" w:rsidRDefault="00F71B2E" w:rsidP="00F71B2E">
      <w:pPr>
        <w:spacing w:after="0" w:line="276" w:lineRule="auto"/>
        <w:jc w:val="center"/>
        <w:rPr>
          <w:rFonts w:ascii="Calibri Light" w:eastAsia="Times New Roman" w:hAnsi="Calibri Light" w:cs="Calibri Light"/>
          <w:bCs/>
          <w:sz w:val="28"/>
          <w:szCs w:val="28"/>
          <w:lang w:val="ru-MD"/>
        </w:rPr>
      </w:pPr>
      <w:r w:rsidRPr="000E2055">
        <w:rPr>
          <w:rFonts w:ascii="Calibri Light" w:eastAsia="Times New Roman" w:hAnsi="Calibri Light" w:cs="Calibri Light"/>
          <w:bCs/>
          <w:sz w:val="28"/>
          <w:szCs w:val="28"/>
          <w:lang w:val="ru-MD"/>
        </w:rPr>
        <w:t>от 22 февраля 2022 года</w:t>
      </w:r>
    </w:p>
    <w:p w14:paraId="5BC6AFF7" w14:textId="77777777" w:rsidR="00F71B2E" w:rsidRPr="000E2055" w:rsidRDefault="00F71B2E" w:rsidP="00F71B2E">
      <w:pPr>
        <w:spacing w:after="0" w:line="276" w:lineRule="auto"/>
        <w:jc w:val="center"/>
        <w:rPr>
          <w:rFonts w:ascii="Times New Roman" w:eastAsia="Times New Roman" w:hAnsi="Times New Roman" w:cs="Times New Roman"/>
          <w:bCs/>
          <w:sz w:val="28"/>
          <w:szCs w:val="28"/>
          <w:lang w:val="ru-MD"/>
        </w:rPr>
      </w:pPr>
    </w:p>
    <w:p w14:paraId="70598373" w14:textId="1F573FFD" w:rsidR="00F71B2E" w:rsidRPr="000E2055" w:rsidRDefault="00F71B2E" w:rsidP="00F71B2E">
      <w:pPr>
        <w:spacing w:after="0" w:line="276" w:lineRule="auto"/>
        <w:jc w:val="center"/>
        <w:rPr>
          <w:rFonts w:asciiTheme="majorHAnsi" w:hAnsiTheme="majorHAnsi"/>
          <w:b/>
          <w:bCs/>
          <w:sz w:val="24"/>
          <w:szCs w:val="24"/>
          <w:lang w:val="ru-MD"/>
        </w:rPr>
      </w:pPr>
      <w:r w:rsidRPr="000E2055">
        <w:rPr>
          <w:rFonts w:asciiTheme="majorHAnsi" w:eastAsia="Times New Roman" w:hAnsiTheme="majorHAnsi" w:cs="Times New Roman"/>
          <w:b/>
          <w:bCs/>
          <w:sz w:val="24"/>
          <w:szCs w:val="24"/>
          <w:lang w:val="ru-MD" w:eastAsia="ru-RU"/>
        </w:rPr>
        <w:t>по Отчету аудита соответствия управления финансовыми средствами, выделенными на организацию и проведение досрочных парламентских выборов от 11 июля 2021 года</w:t>
      </w:r>
    </w:p>
    <w:p w14:paraId="3419CDF0" w14:textId="77777777" w:rsidR="00F71B2E" w:rsidRPr="000E2055" w:rsidRDefault="00F71B2E" w:rsidP="009B0AED">
      <w:pPr>
        <w:spacing w:after="0" w:line="276" w:lineRule="auto"/>
        <w:jc w:val="center"/>
        <w:rPr>
          <w:rFonts w:ascii="Times New Roman" w:eastAsia="Times New Roman" w:hAnsi="Times New Roman" w:cs="Times New Roman"/>
          <w:sz w:val="24"/>
          <w:szCs w:val="24"/>
          <w:lang w:val="ru-MD"/>
        </w:rPr>
      </w:pPr>
    </w:p>
    <w:p w14:paraId="5BD240DF" w14:textId="77777777" w:rsidR="009B0AED" w:rsidRPr="000E2055" w:rsidRDefault="009B0AED" w:rsidP="009B0AED">
      <w:pPr>
        <w:spacing w:after="0" w:line="276" w:lineRule="auto"/>
        <w:jc w:val="center"/>
        <w:rPr>
          <w:rFonts w:ascii="Times New Roman" w:eastAsia="Times New Roman" w:hAnsi="Times New Roman" w:cs="Times New Roman"/>
          <w:b/>
          <w:bCs/>
          <w:sz w:val="16"/>
          <w:szCs w:val="16"/>
          <w:lang w:val="ru-MD"/>
        </w:rPr>
      </w:pPr>
    </w:p>
    <w:p w14:paraId="02E5666D" w14:textId="02BE0293" w:rsidR="009B0AED" w:rsidRPr="000E2055" w:rsidRDefault="00C218F5" w:rsidP="00804EA4">
      <w:pPr>
        <w:spacing w:after="0" w:line="276" w:lineRule="auto"/>
        <w:ind w:firstLine="709"/>
        <w:jc w:val="both"/>
        <w:rPr>
          <w:rFonts w:ascii="Calibri Light" w:hAnsi="Calibri Light" w:cs="Calibri Light"/>
          <w:iCs/>
          <w:sz w:val="24"/>
          <w:szCs w:val="24"/>
          <w:lang w:val="ru-MD"/>
        </w:rPr>
      </w:pPr>
      <w:r w:rsidRPr="000E2055">
        <w:rPr>
          <w:rFonts w:asciiTheme="majorHAnsi" w:hAnsiTheme="majorHAnsi"/>
          <w:sz w:val="24"/>
          <w:szCs w:val="24"/>
          <w:lang w:val="ru-MD"/>
        </w:rPr>
        <w:t>Счетная Палата, в присутствии г-жи Анжелики Караман, председателя Центральной избирательной комиссии; г-на Серджия Одайник, исполняющего обязанности генерального секретаря Министерства иностранных дел и европейской интеграции; г-на Павел Постикэ, вице-председателя Центральной избирательной комиссии, г-на Александра Берлински, секретаря Центральной избирательной комиссии; г-жи Дойны Бордеяну, директора Центра непрерывного образования в избирательной сфере; г-жи Лилианы Войтиковски, начальника Финансово-экономического управления Центральной избирательной комиссии; г-жи Инги Ионесий, начальника Управления институционального менеджмента Министерства иностранных дел и европейской интеграции; г-жи Анджелы Истрати, начальника Отдела бюджета и финансов Министерства иностранных дел и европейской интеграции; г-на Серджиу Стрэтилэ, начальника Службы внутреннего аудита Министерства иностранных дел и европейской интеграции; г-жи Лилианы Якони, начальника Отдела анализа, мониторинга и оценки политик Министерства финансов; г-жи Инны Горя, начальника Отдела финансов публичных органов Министерства финансов; г-жи Инны Дарий, начальника Отдела методологии Министерства финансов; г-жи Оксаны Дубовиченко, главного консультанта Управления политики заработной платы Министерства финансов</w:t>
      </w:r>
      <w:r w:rsidRPr="000E2055">
        <w:rPr>
          <w:rFonts w:ascii="Calibri Light" w:hAnsi="Calibri Light" w:cs="Calibri Light"/>
          <w:iCs/>
          <w:sz w:val="24"/>
          <w:szCs w:val="24"/>
          <w:lang w:val="ru-MD"/>
        </w:rPr>
        <w:t>, а также других должностных лиц, в рамках видео-заседания, организованного в связи с установлением чрезвычайного положения в области общественного здоровья на всей территории Республики Молдова, руководствуясь ст.3 (1), ст.5 (1) a) Закона об организации и функционировании Счетной палаты Республики Молдова №260 от 07.12.2017</w:t>
      </w:r>
      <w:r w:rsidRPr="000E2055">
        <w:rPr>
          <w:rFonts w:ascii="Calibri Light" w:eastAsia="Calibri" w:hAnsi="Calibri Light" w:cs="Calibri Light"/>
          <w:sz w:val="24"/>
          <w:szCs w:val="24"/>
          <w:vertAlign w:val="superscript"/>
          <w:lang w:val="ru-MD"/>
        </w:rPr>
        <w:footnoteReference w:id="1"/>
      </w:r>
      <w:r w:rsidRPr="000E2055">
        <w:rPr>
          <w:rFonts w:ascii="Calibri Light" w:hAnsi="Calibri Light" w:cs="Calibri Light"/>
          <w:iCs/>
          <w:sz w:val="24"/>
          <w:szCs w:val="24"/>
          <w:lang w:val="ru-MD"/>
        </w:rPr>
        <w:t xml:space="preserve"> рассмотрела Отчет аудита соответствия управления финансовыми средствами, </w:t>
      </w:r>
      <w:r w:rsidR="000A0EBE" w:rsidRPr="000E2055">
        <w:rPr>
          <w:rFonts w:ascii="Calibri Light" w:hAnsi="Calibri Light" w:cs="Calibri Light"/>
          <w:bCs/>
          <w:iCs/>
          <w:sz w:val="24"/>
          <w:szCs w:val="24"/>
          <w:lang w:val="ru-MD"/>
        </w:rPr>
        <w:t>выделенными на организацию и проведение досрочных парламентских выборов от 11 июля 2021 года</w:t>
      </w:r>
      <w:r w:rsidR="009B0AED" w:rsidRPr="000E2055">
        <w:rPr>
          <w:rFonts w:asciiTheme="majorHAnsi" w:hAnsiTheme="majorHAnsi"/>
          <w:bCs/>
          <w:sz w:val="24"/>
          <w:szCs w:val="24"/>
          <w:lang w:val="ru-MD" w:eastAsia="ru-RU"/>
        </w:rPr>
        <w:t>.</w:t>
      </w:r>
    </w:p>
    <w:p w14:paraId="35970B63" w14:textId="3737CBF4" w:rsidR="002D3764" w:rsidRPr="000E2055" w:rsidRDefault="000A0EBE" w:rsidP="002D3764">
      <w:pPr>
        <w:spacing w:after="0" w:line="276" w:lineRule="auto"/>
        <w:ind w:firstLine="709"/>
        <w:jc w:val="both"/>
        <w:rPr>
          <w:rFonts w:ascii="Calibri Light" w:hAnsi="Calibri Light" w:cs="Calibri Light"/>
          <w:noProof/>
          <w:sz w:val="24"/>
          <w:szCs w:val="24"/>
          <w:lang w:val="ru-MD" w:eastAsia="ru-RU"/>
        </w:rPr>
      </w:pPr>
      <w:r w:rsidRPr="000E2055">
        <w:rPr>
          <w:rFonts w:ascii="Calibri Light" w:eastAsia="Calibri" w:hAnsi="Calibri Light" w:cs="Calibri Light"/>
          <w:noProof/>
          <w:sz w:val="24"/>
          <w:szCs w:val="24"/>
          <w:lang w:val="ru-MD"/>
        </w:rPr>
        <w:t xml:space="preserve">Миссия внешнего публичного аудита была проведена на основании ст.31 (3) и (6), cт.32 Закона №260 от 07.12.2017 и в соответствии с Программой аудиторской деятельности Счетной </w:t>
      </w:r>
      <w:r w:rsidRPr="000E2055">
        <w:rPr>
          <w:rFonts w:ascii="Calibri Light" w:eastAsia="Calibri" w:hAnsi="Calibri Light" w:cs="Calibri Light"/>
          <w:noProof/>
          <w:sz w:val="24"/>
          <w:szCs w:val="24"/>
          <w:lang w:val="ru-MD"/>
        </w:rPr>
        <w:lastRenderedPageBreak/>
        <w:t>палаты на 2021 год</w:t>
      </w:r>
      <w:r w:rsidRPr="000E2055">
        <w:rPr>
          <w:rFonts w:ascii="Calibri Light" w:eastAsia="Calibri" w:hAnsi="Calibri Light" w:cs="Calibri Light"/>
          <w:noProof/>
          <w:sz w:val="24"/>
          <w:szCs w:val="24"/>
          <w:vertAlign w:val="superscript"/>
          <w:lang w:val="ru-MD"/>
        </w:rPr>
        <w:footnoteReference w:id="2"/>
      </w:r>
      <w:r w:rsidRPr="000E2055">
        <w:rPr>
          <w:rFonts w:ascii="Calibri Light" w:eastAsia="Calibri" w:hAnsi="Calibri Light" w:cs="Calibri Light"/>
          <w:noProof/>
          <w:sz w:val="24"/>
          <w:szCs w:val="24"/>
          <w:lang w:val="ru-MD"/>
        </w:rPr>
        <w:t xml:space="preserve">, с целью оценки соответствия управления и использования финансовых средств, </w:t>
      </w:r>
      <w:r w:rsidRPr="000E2055">
        <w:rPr>
          <w:rFonts w:ascii="Calibri Light" w:hAnsi="Calibri Light" w:cs="Calibri Light"/>
          <w:bCs/>
          <w:iCs/>
          <w:sz w:val="24"/>
          <w:szCs w:val="24"/>
          <w:lang w:val="ru-MD"/>
        </w:rPr>
        <w:t>выделенными на организацию и проведение досрочных парламентских выборов от 11 июля 2021 года</w:t>
      </w:r>
      <w:r w:rsidRPr="000E2055">
        <w:rPr>
          <w:rFonts w:ascii="Calibri Light" w:eastAsia="Calibri" w:hAnsi="Calibri Light" w:cs="Calibri Light"/>
          <w:noProof/>
          <w:sz w:val="24"/>
          <w:szCs w:val="24"/>
          <w:lang w:val="ru-MD"/>
        </w:rPr>
        <w:t xml:space="preserve">, по отношению к положениям применяемой нормативной базы. </w:t>
      </w:r>
    </w:p>
    <w:p w14:paraId="5C577C2B" w14:textId="2CA6B7EA" w:rsidR="000A0EBE" w:rsidRPr="000E2055" w:rsidRDefault="000A0EBE" w:rsidP="000A0EBE">
      <w:pPr>
        <w:spacing w:after="0" w:line="276" w:lineRule="auto"/>
        <w:ind w:firstLine="709"/>
        <w:jc w:val="both"/>
        <w:rPr>
          <w:rFonts w:asciiTheme="majorHAnsi" w:eastAsia="Times New Roman" w:hAnsiTheme="majorHAnsi" w:cs="Times New Roman"/>
          <w:sz w:val="24"/>
          <w:szCs w:val="24"/>
          <w:lang w:val="ru-MD"/>
        </w:rPr>
      </w:pPr>
      <w:r w:rsidRPr="000E2055">
        <w:rPr>
          <w:rFonts w:asciiTheme="majorHAnsi" w:eastAsia="Times New Roman" w:hAnsiTheme="majorHAnsi" w:cs="Times New Roman"/>
          <w:sz w:val="24"/>
          <w:szCs w:val="24"/>
          <w:lang w:val="ru-MD"/>
        </w:rPr>
        <w:t>Внешний публичный аудит проводился в соответствии с Международными стандартами Высших аудиторских учреждений, применяемыми Счетной палатой (ISSAI 100, ISSAI 400 и ISSAI 4000)</w:t>
      </w:r>
      <w:r w:rsidRPr="000E2055">
        <w:rPr>
          <w:rFonts w:ascii="Calibri Light" w:eastAsia="Times New Roman" w:hAnsi="Calibri Light" w:cs="Times New Roman"/>
          <w:sz w:val="24"/>
          <w:szCs w:val="24"/>
          <w:vertAlign w:val="superscript"/>
          <w:lang w:val="ru-MD"/>
        </w:rPr>
        <w:footnoteReference w:id="3"/>
      </w:r>
      <w:r w:rsidRPr="000E2055">
        <w:rPr>
          <w:rFonts w:asciiTheme="majorHAnsi" w:eastAsia="Times New Roman" w:hAnsiTheme="majorHAnsi" w:cs="Times New Roman"/>
          <w:sz w:val="24"/>
          <w:szCs w:val="24"/>
          <w:lang w:val="ru-MD"/>
        </w:rPr>
        <w:t>.</w:t>
      </w:r>
    </w:p>
    <w:p w14:paraId="312FB3A3" w14:textId="77777777" w:rsidR="000A0EBE" w:rsidRPr="000E2055" w:rsidRDefault="000A0EBE" w:rsidP="000A0EBE">
      <w:pPr>
        <w:spacing w:after="0" w:line="276" w:lineRule="auto"/>
        <w:ind w:firstLine="709"/>
        <w:jc w:val="both"/>
        <w:rPr>
          <w:rFonts w:asciiTheme="majorHAnsi" w:eastAsia="Times New Roman" w:hAnsiTheme="majorHAnsi" w:cs="Times New Roman"/>
          <w:sz w:val="24"/>
          <w:szCs w:val="24"/>
          <w:lang w:val="ru-MD"/>
        </w:rPr>
      </w:pPr>
      <w:r w:rsidRPr="000E2055">
        <w:rPr>
          <w:rFonts w:asciiTheme="majorHAnsi" w:eastAsia="Times New Roman" w:hAnsiTheme="majorHAnsi" w:cs="Times New Roman"/>
          <w:sz w:val="24"/>
          <w:szCs w:val="24"/>
          <w:lang w:val="ru-MD"/>
        </w:rPr>
        <w:t>Рассмотрев Отчет аудита, а также объяснения должностных лиц, присутствующих на видео-заседании, Счетная палата</w:t>
      </w:r>
    </w:p>
    <w:p w14:paraId="13448915" w14:textId="46222A2A" w:rsidR="002D3764" w:rsidRPr="000E2055" w:rsidRDefault="000A0EBE" w:rsidP="002D3764">
      <w:pPr>
        <w:spacing w:after="0" w:line="276" w:lineRule="auto"/>
        <w:jc w:val="center"/>
        <w:rPr>
          <w:rFonts w:asciiTheme="majorHAnsi" w:eastAsia="Times New Roman" w:hAnsiTheme="majorHAnsi" w:cs="Times New Roman"/>
          <w:b/>
          <w:bCs/>
          <w:sz w:val="24"/>
          <w:szCs w:val="24"/>
          <w:lang w:val="ru-MD"/>
        </w:rPr>
      </w:pPr>
      <w:r w:rsidRPr="000E2055">
        <w:rPr>
          <w:rFonts w:asciiTheme="majorHAnsi" w:eastAsia="Times New Roman" w:hAnsiTheme="majorHAnsi" w:cs="Times New Roman"/>
          <w:b/>
          <w:bCs/>
          <w:sz w:val="24"/>
          <w:szCs w:val="24"/>
          <w:lang w:val="ru-MD"/>
        </w:rPr>
        <w:t>УСТАНОВИЛА</w:t>
      </w:r>
      <w:r w:rsidR="002D3764" w:rsidRPr="000E2055">
        <w:rPr>
          <w:rFonts w:asciiTheme="majorHAnsi" w:eastAsia="Times New Roman" w:hAnsiTheme="majorHAnsi" w:cs="Times New Roman"/>
          <w:b/>
          <w:bCs/>
          <w:sz w:val="24"/>
          <w:szCs w:val="24"/>
          <w:lang w:val="ru-MD"/>
        </w:rPr>
        <w:t>:</w:t>
      </w:r>
    </w:p>
    <w:p w14:paraId="474BAE70" w14:textId="5DD948A7" w:rsidR="001F0926" w:rsidRPr="000E2055" w:rsidRDefault="000A0EBE" w:rsidP="001F0926">
      <w:pPr>
        <w:spacing w:after="0" w:line="276" w:lineRule="auto"/>
        <w:ind w:firstLine="709"/>
        <w:jc w:val="both"/>
        <w:rPr>
          <w:rFonts w:asciiTheme="majorHAnsi" w:hAnsiTheme="majorHAnsi" w:cstheme="majorHAnsi"/>
          <w:sz w:val="24"/>
          <w:szCs w:val="24"/>
          <w:lang w:val="ru-MD"/>
        </w:rPr>
      </w:pPr>
      <w:r w:rsidRPr="000E2055">
        <w:rPr>
          <w:rFonts w:asciiTheme="majorHAnsi" w:hAnsiTheme="majorHAnsi"/>
          <w:sz w:val="24"/>
          <w:szCs w:val="24"/>
          <w:lang w:val="ru-MD"/>
        </w:rPr>
        <w:t xml:space="preserve">при оценке соответствия управления финансовыми средствами, </w:t>
      </w:r>
      <w:r w:rsidRPr="000E2055">
        <w:rPr>
          <w:rFonts w:ascii="Calibri Light" w:hAnsi="Calibri Light" w:cs="Calibri Light"/>
          <w:bCs/>
          <w:iCs/>
          <w:sz w:val="24"/>
          <w:szCs w:val="24"/>
          <w:lang w:val="ru-MD"/>
        </w:rPr>
        <w:t xml:space="preserve">выделенными на </w:t>
      </w:r>
      <w:r w:rsidR="00C667F3" w:rsidRPr="000E2055">
        <w:rPr>
          <w:rFonts w:ascii="Calibri Light" w:hAnsi="Calibri Light" w:cs="Calibri Light"/>
          <w:bCs/>
          <w:iCs/>
          <w:sz w:val="24"/>
          <w:szCs w:val="24"/>
          <w:lang w:val="ru-MD"/>
        </w:rPr>
        <w:t xml:space="preserve">досрочные </w:t>
      </w:r>
      <w:r w:rsidRPr="000E2055">
        <w:rPr>
          <w:rFonts w:ascii="Calibri Light" w:hAnsi="Calibri Light" w:cs="Calibri Light"/>
          <w:bCs/>
          <w:iCs/>
          <w:sz w:val="24"/>
          <w:szCs w:val="24"/>
          <w:lang w:val="ru-MD"/>
        </w:rPr>
        <w:t>парламентски</w:t>
      </w:r>
      <w:r w:rsidR="00C667F3" w:rsidRPr="000E2055">
        <w:rPr>
          <w:rFonts w:ascii="Calibri Light" w:hAnsi="Calibri Light" w:cs="Calibri Light"/>
          <w:bCs/>
          <w:iCs/>
          <w:sz w:val="24"/>
          <w:szCs w:val="24"/>
          <w:lang w:val="ru-MD"/>
        </w:rPr>
        <w:t>е</w:t>
      </w:r>
      <w:r w:rsidRPr="000E2055">
        <w:rPr>
          <w:rFonts w:ascii="Calibri Light" w:hAnsi="Calibri Light" w:cs="Calibri Light"/>
          <w:bCs/>
          <w:iCs/>
          <w:sz w:val="24"/>
          <w:szCs w:val="24"/>
          <w:lang w:val="ru-MD"/>
        </w:rPr>
        <w:t xml:space="preserve"> выбор</w:t>
      </w:r>
      <w:r w:rsidR="00C667F3" w:rsidRPr="000E2055">
        <w:rPr>
          <w:rFonts w:ascii="Calibri Light" w:hAnsi="Calibri Light" w:cs="Calibri Light"/>
          <w:bCs/>
          <w:iCs/>
          <w:sz w:val="24"/>
          <w:szCs w:val="24"/>
          <w:lang w:val="ru-MD"/>
        </w:rPr>
        <w:t>ы</w:t>
      </w:r>
      <w:r w:rsidRPr="000E2055">
        <w:rPr>
          <w:rFonts w:ascii="Calibri Light" w:hAnsi="Calibri Light" w:cs="Calibri Light"/>
          <w:bCs/>
          <w:iCs/>
          <w:sz w:val="24"/>
          <w:szCs w:val="24"/>
          <w:lang w:val="ru-MD"/>
        </w:rPr>
        <w:t xml:space="preserve"> от 11 июля 2021 года</w:t>
      </w:r>
      <w:r w:rsidRPr="000E2055">
        <w:rPr>
          <w:rFonts w:asciiTheme="majorHAnsi" w:hAnsiTheme="majorHAnsi"/>
          <w:sz w:val="24"/>
          <w:szCs w:val="24"/>
          <w:lang w:val="ru-MD"/>
        </w:rPr>
        <w:t>, с соблюдением принципов, правил и процедур, предусмотренных Законом о публичных финансах и бюджетно-налоговой ответственности, Кодексом о выборах и другими релевантными нормативными актами, были выявлены случаи их несоблюдения в полной мере</w:t>
      </w:r>
      <w:r w:rsidR="001F0926" w:rsidRPr="000E2055">
        <w:rPr>
          <w:rFonts w:asciiTheme="majorHAnsi" w:hAnsiTheme="majorHAnsi" w:cstheme="majorHAnsi"/>
          <w:sz w:val="24"/>
          <w:szCs w:val="24"/>
          <w:lang w:val="ru-MD"/>
        </w:rPr>
        <w:t>.</w:t>
      </w:r>
    </w:p>
    <w:p w14:paraId="3D6FE74A" w14:textId="15C077A4" w:rsidR="001F0926" w:rsidRPr="000E2055" w:rsidRDefault="00C667F3" w:rsidP="001F0926">
      <w:pPr>
        <w:spacing w:after="0" w:line="276" w:lineRule="auto"/>
        <w:ind w:firstLine="709"/>
        <w:jc w:val="both"/>
        <w:rPr>
          <w:rFonts w:asciiTheme="majorHAnsi" w:hAnsiTheme="majorHAnsi" w:cstheme="majorHAnsi"/>
          <w:sz w:val="24"/>
          <w:szCs w:val="24"/>
          <w:lang w:val="ru-MD"/>
        </w:rPr>
      </w:pPr>
      <w:r w:rsidRPr="000E2055">
        <w:rPr>
          <w:rFonts w:asciiTheme="majorHAnsi" w:hAnsiTheme="majorHAnsi" w:cstheme="majorHAnsi"/>
          <w:sz w:val="24"/>
          <w:szCs w:val="24"/>
          <w:lang w:val="ru-MD"/>
        </w:rPr>
        <w:t>Так, внешний публичный аудит отмечает, что в отношении планирования ассигнований согласно утвержденной смете расходов для организации и проведения досрочных парламентских выборов, а также финансирования Центральной избирательной комиссии из резервного фонда Правительства, и Министерства иностранных дел и европейской интеграции из государственного бюджета, были выявлены отклонения от положений Кодекса о выборах и неисполнение в полном объеме ассигнований.</w:t>
      </w:r>
      <w:r w:rsidR="001F0926" w:rsidRPr="000E2055">
        <w:rPr>
          <w:rFonts w:asciiTheme="majorHAnsi" w:hAnsiTheme="majorHAnsi" w:cstheme="majorHAnsi"/>
          <w:sz w:val="24"/>
          <w:szCs w:val="24"/>
          <w:lang w:val="ru-MD"/>
        </w:rPr>
        <w:t xml:space="preserve"> </w:t>
      </w:r>
      <w:r w:rsidR="00675BA0" w:rsidRPr="000E2055">
        <w:rPr>
          <w:rFonts w:asciiTheme="majorHAnsi" w:hAnsiTheme="majorHAnsi" w:cstheme="majorHAnsi"/>
          <w:sz w:val="24"/>
          <w:szCs w:val="24"/>
          <w:lang w:val="ru-MD"/>
        </w:rPr>
        <w:t>Одновременно</w:t>
      </w:r>
      <w:r w:rsidRPr="000E2055">
        <w:rPr>
          <w:rFonts w:asciiTheme="majorHAnsi" w:hAnsiTheme="majorHAnsi" w:cstheme="majorHAnsi"/>
          <w:sz w:val="24"/>
          <w:szCs w:val="24"/>
          <w:lang w:val="ru-MD"/>
        </w:rPr>
        <w:t xml:space="preserve">, </w:t>
      </w:r>
      <w:r w:rsidR="00675BA0" w:rsidRPr="000E2055">
        <w:rPr>
          <w:rFonts w:asciiTheme="majorHAnsi" w:hAnsiTheme="majorHAnsi" w:cstheme="majorHAnsi"/>
          <w:sz w:val="24"/>
          <w:szCs w:val="24"/>
          <w:lang w:val="ru-MD"/>
        </w:rPr>
        <w:t xml:space="preserve">в </w:t>
      </w:r>
      <w:r w:rsidRPr="000E2055">
        <w:rPr>
          <w:rFonts w:asciiTheme="majorHAnsi" w:hAnsiTheme="majorHAnsi" w:cstheme="majorHAnsi"/>
          <w:sz w:val="24"/>
          <w:szCs w:val="24"/>
          <w:lang w:val="ru-MD"/>
        </w:rPr>
        <w:t>процесс</w:t>
      </w:r>
      <w:r w:rsidR="00675BA0" w:rsidRPr="000E2055">
        <w:rPr>
          <w:rFonts w:asciiTheme="majorHAnsi" w:hAnsiTheme="majorHAnsi" w:cstheme="majorHAnsi"/>
          <w:sz w:val="24"/>
          <w:szCs w:val="24"/>
          <w:lang w:val="ru-MD"/>
        </w:rPr>
        <w:t>е</w:t>
      </w:r>
      <w:r w:rsidRPr="000E2055">
        <w:rPr>
          <w:rFonts w:asciiTheme="majorHAnsi" w:hAnsiTheme="majorHAnsi" w:cstheme="majorHAnsi"/>
          <w:sz w:val="24"/>
          <w:szCs w:val="24"/>
          <w:lang w:val="ru-MD"/>
        </w:rPr>
        <w:t xml:space="preserve"> исполнения ассигнований не </w:t>
      </w:r>
      <w:r w:rsidR="00675BA0" w:rsidRPr="000E2055">
        <w:rPr>
          <w:rFonts w:asciiTheme="majorHAnsi" w:hAnsiTheme="majorHAnsi" w:cstheme="majorHAnsi"/>
          <w:sz w:val="24"/>
          <w:szCs w:val="24"/>
          <w:lang w:val="ru-MD"/>
        </w:rPr>
        <w:t xml:space="preserve">были </w:t>
      </w:r>
      <w:r w:rsidRPr="000E2055">
        <w:rPr>
          <w:rFonts w:asciiTheme="majorHAnsi" w:hAnsiTheme="majorHAnsi" w:cstheme="majorHAnsi"/>
          <w:sz w:val="24"/>
          <w:szCs w:val="24"/>
          <w:lang w:val="ru-MD"/>
        </w:rPr>
        <w:t>со</w:t>
      </w:r>
      <w:r w:rsidR="00675BA0" w:rsidRPr="000E2055">
        <w:rPr>
          <w:rFonts w:asciiTheme="majorHAnsi" w:hAnsiTheme="majorHAnsi" w:cstheme="majorHAnsi"/>
          <w:sz w:val="24"/>
          <w:szCs w:val="24"/>
          <w:lang w:val="ru-MD"/>
        </w:rPr>
        <w:t>блюдены</w:t>
      </w:r>
      <w:r w:rsidRPr="000E2055">
        <w:rPr>
          <w:rFonts w:asciiTheme="majorHAnsi" w:hAnsiTheme="majorHAnsi" w:cstheme="majorHAnsi"/>
          <w:sz w:val="24"/>
          <w:szCs w:val="24"/>
          <w:lang w:val="ru-MD"/>
        </w:rPr>
        <w:t xml:space="preserve"> положения нормативной базы </w:t>
      </w:r>
      <w:r w:rsidR="00675BA0" w:rsidRPr="000E2055">
        <w:rPr>
          <w:rFonts w:asciiTheme="majorHAnsi" w:hAnsiTheme="majorHAnsi" w:cstheme="majorHAnsi"/>
          <w:sz w:val="24"/>
          <w:szCs w:val="24"/>
          <w:lang w:val="ru-MD"/>
        </w:rPr>
        <w:t>для</w:t>
      </w:r>
      <w:r w:rsidRPr="000E2055">
        <w:rPr>
          <w:rFonts w:asciiTheme="majorHAnsi" w:hAnsiTheme="majorHAnsi" w:cstheme="majorHAnsi"/>
          <w:sz w:val="24"/>
          <w:szCs w:val="24"/>
          <w:lang w:val="ru-MD"/>
        </w:rPr>
        <w:t xml:space="preserve"> некоторы</w:t>
      </w:r>
      <w:r w:rsidR="00675BA0" w:rsidRPr="000E2055">
        <w:rPr>
          <w:rFonts w:asciiTheme="majorHAnsi" w:hAnsiTheme="majorHAnsi" w:cstheme="majorHAnsi"/>
          <w:sz w:val="24"/>
          <w:szCs w:val="24"/>
          <w:lang w:val="ru-MD"/>
        </w:rPr>
        <w:t>х</w:t>
      </w:r>
      <w:r w:rsidRPr="000E2055">
        <w:rPr>
          <w:rFonts w:asciiTheme="majorHAnsi" w:hAnsiTheme="majorHAnsi" w:cstheme="majorHAnsi"/>
          <w:sz w:val="24"/>
          <w:szCs w:val="24"/>
          <w:lang w:val="ru-MD"/>
        </w:rPr>
        <w:t xml:space="preserve"> категори</w:t>
      </w:r>
      <w:r w:rsidR="00675BA0" w:rsidRPr="000E2055">
        <w:rPr>
          <w:rFonts w:asciiTheme="majorHAnsi" w:hAnsiTheme="majorHAnsi" w:cstheme="majorHAnsi"/>
          <w:sz w:val="24"/>
          <w:szCs w:val="24"/>
          <w:lang w:val="ru-MD"/>
        </w:rPr>
        <w:t>й</w:t>
      </w:r>
      <w:r w:rsidRPr="000E2055">
        <w:rPr>
          <w:rFonts w:asciiTheme="majorHAnsi" w:hAnsiTheme="majorHAnsi" w:cstheme="majorHAnsi"/>
          <w:sz w:val="24"/>
          <w:szCs w:val="24"/>
          <w:lang w:val="ru-MD"/>
        </w:rPr>
        <w:t xml:space="preserve"> расходов, таки</w:t>
      </w:r>
      <w:r w:rsidR="00675BA0" w:rsidRPr="000E2055">
        <w:rPr>
          <w:rFonts w:asciiTheme="majorHAnsi" w:hAnsiTheme="majorHAnsi" w:cstheme="majorHAnsi"/>
          <w:sz w:val="24"/>
          <w:szCs w:val="24"/>
          <w:lang w:val="ru-MD"/>
        </w:rPr>
        <w:t>х</w:t>
      </w:r>
      <w:r w:rsidRPr="000E2055">
        <w:rPr>
          <w:rFonts w:asciiTheme="majorHAnsi" w:hAnsiTheme="majorHAnsi" w:cstheme="majorHAnsi"/>
          <w:sz w:val="24"/>
          <w:szCs w:val="24"/>
          <w:lang w:val="ru-MD"/>
        </w:rPr>
        <w:t xml:space="preserve"> как: выплат</w:t>
      </w:r>
      <w:r w:rsidR="00675BA0" w:rsidRPr="000E2055">
        <w:rPr>
          <w:rFonts w:asciiTheme="majorHAnsi" w:hAnsiTheme="majorHAnsi" w:cstheme="majorHAnsi"/>
          <w:sz w:val="24"/>
          <w:szCs w:val="24"/>
          <w:lang w:val="ru-MD"/>
        </w:rPr>
        <w:t>а</w:t>
      </w:r>
      <w:r w:rsidRPr="000E2055">
        <w:rPr>
          <w:rFonts w:asciiTheme="majorHAnsi" w:hAnsiTheme="majorHAnsi" w:cstheme="majorHAnsi"/>
          <w:sz w:val="24"/>
          <w:szCs w:val="24"/>
          <w:lang w:val="ru-MD"/>
        </w:rPr>
        <w:t xml:space="preserve"> пособий избирательным должностным лицам, оплат</w:t>
      </w:r>
      <w:r w:rsidR="00675BA0" w:rsidRPr="000E2055">
        <w:rPr>
          <w:rFonts w:asciiTheme="majorHAnsi" w:hAnsiTheme="majorHAnsi" w:cstheme="majorHAnsi"/>
          <w:sz w:val="24"/>
          <w:szCs w:val="24"/>
          <w:lang w:val="ru-MD"/>
        </w:rPr>
        <w:t>а</w:t>
      </w:r>
      <w:r w:rsidRPr="000E2055">
        <w:rPr>
          <w:rFonts w:asciiTheme="majorHAnsi" w:hAnsiTheme="majorHAnsi" w:cstheme="majorHAnsi"/>
          <w:sz w:val="24"/>
          <w:szCs w:val="24"/>
          <w:lang w:val="ru-MD"/>
        </w:rPr>
        <w:t xml:space="preserve"> труда сотрудников Центральной избирательной комиссии и </w:t>
      </w:r>
      <w:r w:rsidR="00675BA0" w:rsidRPr="000E2055">
        <w:rPr>
          <w:rFonts w:asciiTheme="majorHAnsi" w:hAnsiTheme="majorHAnsi" w:cstheme="majorHAnsi"/>
          <w:sz w:val="24"/>
          <w:szCs w:val="24"/>
          <w:lang w:val="ru-MD"/>
        </w:rPr>
        <w:t>Ц</w:t>
      </w:r>
      <w:r w:rsidRPr="000E2055">
        <w:rPr>
          <w:rFonts w:asciiTheme="majorHAnsi" w:hAnsiTheme="majorHAnsi" w:cstheme="majorHAnsi"/>
          <w:sz w:val="24"/>
          <w:szCs w:val="24"/>
          <w:lang w:val="ru-MD"/>
        </w:rPr>
        <w:t>ентра непрерывного обучения в избирательной сфере, исполнени</w:t>
      </w:r>
      <w:r w:rsidR="00675BA0" w:rsidRPr="000E2055">
        <w:rPr>
          <w:rFonts w:asciiTheme="majorHAnsi" w:hAnsiTheme="majorHAnsi" w:cstheme="majorHAnsi"/>
          <w:sz w:val="24"/>
          <w:szCs w:val="24"/>
          <w:lang w:val="ru-MD"/>
        </w:rPr>
        <w:t>е</w:t>
      </w:r>
      <w:r w:rsidRPr="000E2055">
        <w:rPr>
          <w:rFonts w:asciiTheme="majorHAnsi" w:hAnsiTheme="majorHAnsi" w:cstheme="majorHAnsi"/>
          <w:sz w:val="24"/>
          <w:szCs w:val="24"/>
          <w:lang w:val="ru-MD"/>
        </w:rPr>
        <w:t xml:space="preserve"> ассигнований на приобретение топлива, канцелярских принадлежностей и других материальных ценностей. Центральная избирательная комиссия, в отсутствие подтверждающих документов, </w:t>
      </w:r>
      <w:r w:rsidR="00675BA0" w:rsidRPr="000E2055">
        <w:rPr>
          <w:rFonts w:asciiTheme="majorHAnsi" w:hAnsiTheme="majorHAnsi" w:cstheme="majorHAnsi"/>
          <w:sz w:val="24"/>
          <w:szCs w:val="24"/>
          <w:lang w:val="ru-MD"/>
        </w:rPr>
        <w:t xml:space="preserve">представила </w:t>
      </w:r>
      <w:r w:rsidRPr="000E2055">
        <w:rPr>
          <w:rFonts w:asciiTheme="majorHAnsi" w:hAnsiTheme="majorHAnsi" w:cstheme="majorHAnsi"/>
          <w:sz w:val="24"/>
          <w:szCs w:val="24"/>
          <w:lang w:val="ru-MD"/>
        </w:rPr>
        <w:t xml:space="preserve">Министерству финансов </w:t>
      </w:r>
      <w:r w:rsidR="00675BA0" w:rsidRPr="000E2055">
        <w:rPr>
          <w:rFonts w:asciiTheme="majorHAnsi" w:hAnsiTheme="majorHAnsi" w:cstheme="majorHAnsi"/>
          <w:sz w:val="24"/>
          <w:szCs w:val="24"/>
          <w:lang w:val="ru-MD"/>
        </w:rPr>
        <w:t xml:space="preserve">ошибочный отчет </w:t>
      </w:r>
      <w:r w:rsidRPr="000E2055">
        <w:rPr>
          <w:rFonts w:asciiTheme="majorHAnsi" w:hAnsiTheme="majorHAnsi" w:cstheme="majorHAnsi"/>
          <w:sz w:val="24"/>
          <w:szCs w:val="24"/>
          <w:lang w:val="ru-MD"/>
        </w:rPr>
        <w:t xml:space="preserve">о </w:t>
      </w:r>
      <w:r w:rsidR="00675BA0" w:rsidRPr="000E2055">
        <w:rPr>
          <w:rFonts w:asciiTheme="majorHAnsi" w:hAnsiTheme="majorHAnsi" w:cstheme="majorHAnsi"/>
          <w:sz w:val="24"/>
          <w:szCs w:val="24"/>
          <w:lang w:val="ru-MD"/>
        </w:rPr>
        <w:t>стоимости антиковидных товаров</w:t>
      </w:r>
      <w:r w:rsidRPr="000E2055">
        <w:rPr>
          <w:rFonts w:asciiTheme="majorHAnsi" w:hAnsiTheme="majorHAnsi" w:cstheme="majorHAnsi"/>
          <w:sz w:val="24"/>
          <w:szCs w:val="24"/>
          <w:lang w:val="ru-MD"/>
        </w:rPr>
        <w:t>, полученн</w:t>
      </w:r>
      <w:r w:rsidR="00675BA0" w:rsidRPr="000E2055">
        <w:rPr>
          <w:rFonts w:asciiTheme="majorHAnsi" w:hAnsiTheme="majorHAnsi" w:cstheme="majorHAnsi"/>
          <w:sz w:val="24"/>
          <w:szCs w:val="24"/>
          <w:lang w:val="ru-MD"/>
        </w:rPr>
        <w:t>ых</w:t>
      </w:r>
      <w:r w:rsidRPr="000E2055">
        <w:rPr>
          <w:rFonts w:asciiTheme="majorHAnsi" w:hAnsiTheme="majorHAnsi" w:cstheme="majorHAnsi"/>
          <w:sz w:val="24"/>
          <w:szCs w:val="24"/>
          <w:lang w:val="ru-MD"/>
        </w:rPr>
        <w:t xml:space="preserve"> бесплатно от Министерства здравоохранения. Кроме того, </w:t>
      </w:r>
      <w:r w:rsidR="00675BA0" w:rsidRPr="000E2055">
        <w:rPr>
          <w:rFonts w:asciiTheme="majorHAnsi" w:hAnsiTheme="majorHAnsi" w:cstheme="majorHAnsi"/>
          <w:sz w:val="24"/>
          <w:szCs w:val="24"/>
          <w:lang w:val="ru-MD"/>
        </w:rPr>
        <w:t>исходя из предписаний Кодекса о выборах, Центральная избирательная комиссия не представила Парламенту отчетность по управлению финансовыми средствами, выделенными на выборы</w:t>
      </w:r>
      <w:r w:rsidR="00D41FB3" w:rsidRPr="000E2055">
        <w:rPr>
          <w:rFonts w:asciiTheme="majorHAnsi" w:hAnsiTheme="majorHAnsi" w:cstheme="majorHAnsi"/>
          <w:sz w:val="24"/>
          <w:szCs w:val="24"/>
          <w:lang w:val="ru-MD"/>
        </w:rPr>
        <w:t xml:space="preserve">. </w:t>
      </w:r>
    </w:p>
    <w:p w14:paraId="292DCF23" w14:textId="44AB7155" w:rsidR="00675BA0" w:rsidRPr="000E2055" w:rsidRDefault="00675BA0" w:rsidP="00675BA0">
      <w:pPr>
        <w:tabs>
          <w:tab w:val="left" w:pos="360"/>
        </w:tabs>
        <w:spacing w:after="0" w:line="276" w:lineRule="auto"/>
        <w:ind w:firstLine="709"/>
        <w:jc w:val="both"/>
        <w:rPr>
          <w:rFonts w:asciiTheme="majorHAnsi" w:eastAsia="Times New Roman" w:hAnsiTheme="majorHAnsi" w:cs="Times New Roman"/>
          <w:iCs/>
          <w:sz w:val="24"/>
          <w:szCs w:val="24"/>
          <w:lang w:val="ru-MD" w:eastAsia="ro-MD"/>
        </w:rPr>
      </w:pPr>
      <w:r w:rsidRPr="000E2055">
        <w:rPr>
          <w:rFonts w:asciiTheme="majorHAnsi" w:eastAsia="Times New Roman" w:hAnsiTheme="majorHAnsi" w:cs="Times New Roman"/>
          <w:iCs/>
          <w:sz w:val="24"/>
          <w:szCs w:val="24"/>
          <w:lang w:val="ru-MD" w:eastAsia="ro-MD"/>
        </w:rPr>
        <w:t>Отмеченные выше ситуации были обусловлены уязвимостями установленного внутреннего управленческого контроля, который не включает и/или только частично включает ключевые инструменты менеджмента, присущие действенной и функциональной системе внутреннего контроля над процессами управления выделенными финансовыми средствами на организацию и проведение выборов.</w:t>
      </w:r>
    </w:p>
    <w:p w14:paraId="5D703BBE" w14:textId="77777777" w:rsidR="00675BA0" w:rsidRPr="000E2055" w:rsidRDefault="00675BA0" w:rsidP="00675BA0">
      <w:pPr>
        <w:tabs>
          <w:tab w:val="left" w:pos="360"/>
        </w:tabs>
        <w:spacing w:after="0" w:line="276" w:lineRule="auto"/>
        <w:ind w:firstLine="709"/>
        <w:jc w:val="both"/>
        <w:rPr>
          <w:rFonts w:asciiTheme="majorHAnsi" w:eastAsia="Times New Roman" w:hAnsiTheme="majorHAnsi" w:cs="Times New Roman"/>
          <w:iCs/>
          <w:sz w:val="24"/>
          <w:szCs w:val="24"/>
          <w:lang w:val="ru-MD" w:eastAsia="ro-MD"/>
        </w:rPr>
      </w:pPr>
      <w:r w:rsidRPr="000E2055">
        <w:rPr>
          <w:rFonts w:asciiTheme="majorHAnsi" w:eastAsia="Times New Roman" w:hAnsiTheme="majorHAnsi" w:cs="Times New Roman"/>
          <w:iCs/>
          <w:sz w:val="24"/>
          <w:szCs w:val="24"/>
          <w:lang w:val="ru-MD" w:eastAsia="ro-MD"/>
        </w:rPr>
        <w:t xml:space="preserve">Исходя из вышеизложенного, на основании ст.14 (2), ст.15 d) и ст.37 (2) Закона №260 от 07.12.2017, Счетная палата </w:t>
      </w:r>
    </w:p>
    <w:p w14:paraId="5EE8219A" w14:textId="121E2416" w:rsidR="002031C1" w:rsidRPr="000E2055" w:rsidRDefault="00B8047A" w:rsidP="002031C1">
      <w:pPr>
        <w:pStyle w:val="cp"/>
        <w:spacing w:line="276" w:lineRule="auto"/>
        <w:rPr>
          <w:rFonts w:asciiTheme="majorHAnsi" w:hAnsiTheme="majorHAnsi"/>
          <w:lang w:val="ru-MD"/>
        </w:rPr>
      </w:pPr>
      <w:r w:rsidRPr="000E2055">
        <w:rPr>
          <w:rFonts w:asciiTheme="majorHAnsi" w:hAnsiTheme="majorHAnsi"/>
          <w:lang w:val="ru-MD"/>
        </w:rPr>
        <w:lastRenderedPageBreak/>
        <w:t>ПОСТАНОВЛЯЕТ</w:t>
      </w:r>
      <w:r w:rsidR="002031C1" w:rsidRPr="000E2055">
        <w:rPr>
          <w:rFonts w:asciiTheme="majorHAnsi" w:hAnsiTheme="majorHAnsi"/>
          <w:lang w:val="ru-MD"/>
        </w:rPr>
        <w:t>:</w:t>
      </w:r>
    </w:p>
    <w:p w14:paraId="0A5E0A8F" w14:textId="30528FA7" w:rsidR="002031C1" w:rsidRPr="000E2055" w:rsidRDefault="00B8047A" w:rsidP="002031C1">
      <w:pPr>
        <w:pStyle w:val="NormalWeb"/>
        <w:numPr>
          <w:ilvl w:val="0"/>
          <w:numId w:val="1"/>
        </w:numPr>
        <w:tabs>
          <w:tab w:val="left" w:pos="993"/>
        </w:tabs>
        <w:spacing w:line="276" w:lineRule="auto"/>
        <w:ind w:left="0" w:firstLine="709"/>
        <w:rPr>
          <w:rFonts w:asciiTheme="majorHAnsi" w:hAnsiTheme="majorHAnsi"/>
          <w:lang w:val="ru-MD"/>
        </w:rPr>
      </w:pPr>
      <w:r w:rsidRPr="000E2055">
        <w:rPr>
          <w:rFonts w:asciiTheme="majorHAnsi" w:hAnsiTheme="majorHAnsi"/>
          <w:lang w:val="ru-MD"/>
        </w:rPr>
        <w:t xml:space="preserve">Утвердить </w:t>
      </w:r>
      <w:r w:rsidRPr="000E2055">
        <w:rPr>
          <w:rFonts w:ascii="Calibri Light" w:hAnsi="Calibri Light" w:cs="Calibri Light"/>
          <w:iCs/>
          <w:lang w:val="ru-MD"/>
        </w:rPr>
        <w:t xml:space="preserve">Отчет аудита соответствия управления финансовыми средствами, </w:t>
      </w:r>
      <w:r w:rsidRPr="000E2055">
        <w:rPr>
          <w:rFonts w:ascii="Calibri Light" w:hAnsi="Calibri Light" w:cs="Calibri Light"/>
          <w:bCs/>
          <w:iCs/>
          <w:lang w:val="ru-MD"/>
        </w:rPr>
        <w:t>выделенными на организацию и проведение досрочных парламентских выборов от 11 июля 2021 года</w:t>
      </w:r>
      <w:r w:rsidR="002031C1" w:rsidRPr="000E2055">
        <w:rPr>
          <w:rFonts w:asciiTheme="majorHAnsi" w:hAnsiTheme="majorHAnsi"/>
          <w:lang w:val="ru-MD"/>
        </w:rPr>
        <w:t xml:space="preserve">, </w:t>
      </w:r>
      <w:r w:rsidRPr="000E2055">
        <w:rPr>
          <w:rFonts w:asciiTheme="majorHAnsi" w:hAnsiTheme="majorHAnsi"/>
          <w:lang w:val="ru-MD"/>
        </w:rPr>
        <w:t>приложенный к настоящему Постановлению</w:t>
      </w:r>
      <w:r w:rsidR="002031C1" w:rsidRPr="000E2055">
        <w:rPr>
          <w:rFonts w:asciiTheme="majorHAnsi" w:hAnsiTheme="majorHAnsi"/>
          <w:lang w:val="ru-MD"/>
        </w:rPr>
        <w:t xml:space="preserve">. </w:t>
      </w:r>
    </w:p>
    <w:p w14:paraId="54C7BBDB" w14:textId="77777777" w:rsidR="002031C1" w:rsidRPr="000E2055" w:rsidRDefault="002031C1" w:rsidP="002031C1">
      <w:pPr>
        <w:pStyle w:val="NormalWeb"/>
        <w:tabs>
          <w:tab w:val="left" w:pos="993"/>
        </w:tabs>
        <w:spacing w:line="276" w:lineRule="auto"/>
        <w:ind w:left="709" w:firstLine="0"/>
        <w:rPr>
          <w:rFonts w:asciiTheme="majorHAnsi" w:hAnsiTheme="majorHAnsi"/>
          <w:lang w:val="ru-MD"/>
        </w:rPr>
      </w:pPr>
    </w:p>
    <w:p w14:paraId="0D7EAB56" w14:textId="482B908B" w:rsidR="002031C1" w:rsidRPr="000E2055" w:rsidRDefault="002031C1" w:rsidP="002031C1">
      <w:pPr>
        <w:pStyle w:val="NormalWeb"/>
        <w:spacing w:line="276" w:lineRule="auto"/>
        <w:ind w:firstLine="709"/>
        <w:rPr>
          <w:rFonts w:asciiTheme="majorHAnsi" w:hAnsiTheme="majorHAnsi"/>
          <w:lang w:val="ru-MD"/>
        </w:rPr>
      </w:pPr>
      <w:r w:rsidRPr="000E2055">
        <w:rPr>
          <w:rFonts w:asciiTheme="majorHAnsi" w:hAnsiTheme="majorHAnsi"/>
          <w:b/>
          <w:bCs/>
          <w:lang w:val="ru-MD"/>
        </w:rPr>
        <w:t>2.</w:t>
      </w:r>
      <w:r w:rsidRPr="000E2055">
        <w:rPr>
          <w:rFonts w:asciiTheme="majorHAnsi" w:hAnsiTheme="majorHAnsi"/>
          <w:lang w:val="ru-MD"/>
        </w:rPr>
        <w:t xml:space="preserve"> </w:t>
      </w:r>
      <w:r w:rsidR="00766EEE" w:rsidRPr="000E2055">
        <w:rPr>
          <w:rFonts w:ascii="Calibri Light" w:hAnsi="Calibri Light" w:cs="Calibri Light"/>
          <w:bCs/>
          <w:noProof/>
          <w:lang w:val="ru-MD"/>
        </w:rPr>
        <w:t>Настоящее Постановление и Отчет аудита направить</w:t>
      </w:r>
      <w:r w:rsidRPr="000E2055">
        <w:rPr>
          <w:rFonts w:asciiTheme="majorHAnsi" w:hAnsiTheme="majorHAnsi"/>
          <w:lang w:val="ru-MD"/>
        </w:rPr>
        <w:t>:</w:t>
      </w:r>
    </w:p>
    <w:p w14:paraId="4F7FAF80" w14:textId="4EA88362" w:rsidR="002031C1" w:rsidRPr="000E2055" w:rsidRDefault="002031C1" w:rsidP="002031C1">
      <w:pPr>
        <w:pStyle w:val="NormalWeb"/>
        <w:spacing w:line="276" w:lineRule="auto"/>
        <w:ind w:firstLine="709"/>
        <w:rPr>
          <w:rFonts w:asciiTheme="majorHAnsi" w:hAnsiTheme="majorHAnsi" w:cstheme="majorHAnsi"/>
          <w:b/>
          <w:lang w:val="ru-MD"/>
        </w:rPr>
      </w:pPr>
      <w:r w:rsidRPr="000E2055">
        <w:rPr>
          <w:rFonts w:asciiTheme="majorHAnsi" w:hAnsiTheme="majorHAnsi" w:cstheme="majorHAnsi"/>
          <w:b/>
          <w:bCs/>
          <w:lang w:val="ru-MD"/>
        </w:rPr>
        <w:t>2.1.</w:t>
      </w:r>
      <w:r w:rsidRPr="000E2055">
        <w:rPr>
          <w:rFonts w:asciiTheme="majorHAnsi" w:hAnsiTheme="majorHAnsi" w:cstheme="majorHAnsi"/>
          <w:bCs/>
          <w:lang w:val="ru-MD"/>
        </w:rPr>
        <w:t xml:space="preserve"> </w:t>
      </w:r>
      <w:r w:rsidR="00766EEE" w:rsidRPr="000E2055">
        <w:rPr>
          <w:rFonts w:ascii="Calibri Light" w:hAnsi="Calibri Light" w:cs="Calibri Light"/>
          <w:b/>
          <w:bCs/>
          <w:lang w:val="ru-MD"/>
        </w:rPr>
        <w:t>Парламенту Республики Молдова</w:t>
      </w:r>
      <w:r w:rsidR="00766EEE" w:rsidRPr="000E2055">
        <w:rPr>
          <w:rFonts w:ascii="Calibri Light" w:hAnsi="Calibri Light" w:cs="Calibri Light"/>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0E2055">
        <w:rPr>
          <w:rFonts w:asciiTheme="majorHAnsi" w:hAnsiTheme="majorHAnsi" w:cstheme="majorHAnsi"/>
          <w:bCs/>
          <w:lang w:val="ru-MD"/>
        </w:rPr>
        <w:t>;</w:t>
      </w:r>
    </w:p>
    <w:p w14:paraId="707C903F" w14:textId="23870E15" w:rsidR="002031C1" w:rsidRPr="000E2055" w:rsidRDefault="002031C1" w:rsidP="002031C1">
      <w:pPr>
        <w:pStyle w:val="NormalWeb"/>
        <w:spacing w:line="276" w:lineRule="auto"/>
        <w:ind w:firstLine="709"/>
        <w:rPr>
          <w:rFonts w:asciiTheme="majorHAnsi" w:hAnsiTheme="majorHAnsi" w:cstheme="majorHAnsi"/>
          <w:bCs/>
          <w:lang w:val="ru-MD"/>
        </w:rPr>
      </w:pPr>
      <w:r w:rsidRPr="000E2055">
        <w:rPr>
          <w:rFonts w:asciiTheme="majorHAnsi" w:hAnsiTheme="majorHAnsi" w:cstheme="majorHAnsi"/>
          <w:b/>
          <w:lang w:val="ru-MD"/>
        </w:rPr>
        <w:t xml:space="preserve">2.2. </w:t>
      </w:r>
      <w:r w:rsidR="00766EEE" w:rsidRPr="000E2055">
        <w:rPr>
          <w:rFonts w:ascii="Calibri Light" w:hAnsi="Calibri Light" w:cs="Calibri Light"/>
          <w:b/>
          <w:bCs/>
          <w:lang w:val="ru-MD"/>
        </w:rPr>
        <w:t>Президенту Республики Молдова</w:t>
      </w:r>
      <w:r w:rsidR="00766EEE" w:rsidRPr="000E2055">
        <w:rPr>
          <w:rFonts w:ascii="Calibri Light" w:hAnsi="Calibri Light" w:cs="Calibri Light"/>
          <w:lang w:val="ru-MD"/>
        </w:rPr>
        <w:t xml:space="preserve"> для информирования</w:t>
      </w:r>
      <w:r w:rsidRPr="000E2055">
        <w:rPr>
          <w:rFonts w:asciiTheme="majorHAnsi" w:hAnsiTheme="majorHAnsi" w:cstheme="majorHAnsi"/>
          <w:bCs/>
          <w:lang w:val="ru-MD"/>
        </w:rPr>
        <w:t>;</w:t>
      </w:r>
    </w:p>
    <w:p w14:paraId="75B6BD6A" w14:textId="7FD0D5EB" w:rsidR="002031C1" w:rsidRPr="000E2055" w:rsidRDefault="002031C1" w:rsidP="002031C1">
      <w:pPr>
        <w:pStyle w:val="NormalWeb"/>
        <w:spacing w:line="276" w:lineRule="auto"/>
        <w:ind w:firstLine="709"/>
        <w:rPr>
          <w:rFonts w:asciiTheme="majorHAnsi" w:hAnsiTheme="majorHAnsi" w:cstheme="majorHAnsi"/>
          <w:bCs/>
          <w:lang w:val="ru-MD"/>
        </w:rPr>
      </w:pPr>
      <w:r w:rsidRPr="000E2055">
        <w:rPr>
          <w:rFonts w:asciiTheme="majorHAnsi" w:hAnsiTheme="majorHAnsi" w:cstheme="majorHAnsi"/>
          <w:b/>
          <w:lang w:val="ru-MD"/>
        </w:rPr>
        <w:t>2.3.</w:t>
      </w:r>
      <w:r w:rsidRPr="000E2055">
        <w:rPr>
          <w:rFonts w:asciiTheme="majorHAnsi" w:hAnsiTheme="majorHAnsi" w:cstheme="majorHAnsi"/>
          <w:lang w:val="ru-MD"/>
        </w:rPr>
        <w:t xml:space="preserve"> </w:t>
      </w:r>
      <w:r w:rsidR="00766EEE" w:rsidRPr="000E2055">
        <w:rPr>
          <w:rFonts w:ascii="Calibri Light" w:hAnsi="Calibri Light" w:cs="Calibri Light"/>
          <w:b/>
          <w:bCs/>
          <w:lang w:val="ru-MD"/>
        </w:rPr>
        <w:t>Правительству Республики Молдова</w:t>
      </w:r>
      <w:r w:rsidR="00766EEE" w:rsidRPr="000E2055">
        <w:rPr>
          <w:rFonts w:ascii="Calibri Light" w:hAnsi="Calibri Light" w:cs="Calibri Light"/>
          <w:lang w:val="ru-MD"/>
        </w:rPr>
        <w:t xml:space="preserve"> для информирования</w:t>
      </w:r>
      <w:r w:rsidR="00766EEE" w:rsidRPr="000E2055">
        <w:rPr>
          <w:rFonts w:asciiTheme="majorHAnsi" w:hAnsiTheme="majorHAnsi" w:cstheme="majorHAnsi"/>
          <w:b/>
          <w:lang w:val="ru-MD"/>
        </w:rPr>
        <w:t xml:space="preserve"> </w:t>
      </w:r>
      <w:r w:rsidR="00766EEE" w:rsidRPr="000E2055">
        <w:rPr>
          <w:rFonts w:ascii="Calibri Light" w:hAnsi="Calibri Light" w:cs="Calibri Light"/>
          <w:lang w:val="ru-MD"/>
        </w:rPr>
        <w:t>и принятия мер по мониторингу обеспечения внедрения аудиторских рекомендаций</w:t>
      </w:r>
      <w:r w:rsidRPr="000E2055">
        <w:rPr>
          <w:rFonts w:asciiTheme="majorHAnsi" w:hAnsiTheme="majorHAnsi" w:cstheme="majorHAnsi"/>
          <w:bCs/>
          <w:lang w:val="ru-MD"/>
        </w:rPr>
        <w:t>;</w:t>
      </w:r>
    </w:p>
    <w:p w14:paraId="7E8D8783" w14:textId="0FDAC34E" w:rsidR="002031C1" w:rsidRPr="000E2055" w:rsidRDefault="002031C1" w:rsidP="002E3DCA">
      <w:pPr>
        <w:pStyle w:val="NormalWeb"/>
        <w:spacing w:line="276" w:lineRule="auto"/>
        <w:ind w:firstLine="709"/>
        <w:rPr>
          <w:rFonts w:asciiTheme="majorHAnsi" w:hAnsiTheme="majorHAnsi" w:cstheme="majorHAnsi"/>
          <w:bCs/>
          <w:lang w:val="ru-MD"/>
        </w:rPr>
      </w:pPr>
      <w:r w:rsidRPr="000E2055">
        <w:rPr>
          <w:rFonts w:asciiTheme="majorHAnsi" w:hAnsiTheme="majorHAnsi" w:cstheme="majorHAnsi"/>
          <w:b/>
          <w:bCs/>
          <w:lang w:val="ru-MD"/>
        </w:rPr>
        <w:t xml:space="preserve">2.4. </w:t>
      </w:r>
      <w:r w:rsidR="00766EEE" w:rsidRPr="000E2055">
        <w:rPr>
          <w:rFonts w:asciiTheme="majorHAnsi" w:hAnsiTheme="majorHAnsi" w:cstheme="majorHAnsi"/>
          <w:b/>
          <w:bCs/>
          <w:lang w:val="ru-MD"/>
        </w:rPr>
        <w:t>Центральной избирательной комиссии, Министерству иностранных дел и европейской интеграции,</w:t>
      </w:r>
      <w:r w:rsidR="00766EEE" w:rsidRPr="000E2055">
        <w:rPr>
          <w:rFonts w:asciiTheme="majorHAnsi" w:hAnsiTheme="majorHAnsi"/>
          <w:b/>
          <w:bCs/>
          <w:lang w:val="ru-MD"/>
        </w:rPr>
        <w:t xml:space="preserve"> Министерству финансов, </w:t>
      </w:r>
      <w:r w:rsidR="00766EEE" w:rsidRPr="000E2055">
        <w:rPr>
          <w:rFonts w:asciiTheme="majorHAnsi" w:hAnsiTheme="majorHAnsi" w:cstheme="majorHAnsi"/>
          <w:b/>
          <w:bCs/>
          <w:lang w:val="ru-MD"/>
        </w:rPr>
        <w:t xml:space="preserve">Центру непрерывного образования в избирательной сфере </w:t>
      </w:r>
      <w:r w:rsidR="00766EEE" w:rsidRPr="000E2055">
        <w:rPr>
          <w:rFonts w:asciiTheme="majorHAnsi" w:hAnsiTheme="majorHAnsi"/>
          <w:bCs/>
          <w:lang w:val="ru-MD"/>
        </w:rPr>
        <w:t>для принятия мер</w:t>
      </w:r>
      <w:r w:rsidR="00766EEE" w:rsidRPr="000E2055">
        <w:rPr>
          <w:rFonts w:asciiTheme="majorHAnsi" w:hAnsiTheme="majorHAnsi"/>
          <w:b/>
          <w:bCs/>
          <w:lang w:val="ru-MD"/>
        </w:rPr>
        <w:t xml:space="preserve"> </w:t>
      </w:r>
      <w:r w:rsidR="00766EEE" w:rsidRPr="000E2055">
        <w:rPr>
          <w:rFonts w:ascii="Calibri Light" w:hAnsi="Calibri Light" w:cs="Calibri Light"/>
          <w:lang w:val="ru-MD"/>
        </w:rPr>
        <w:t>по обеспечению внедрения из Отчета аудита, приложенного к настоящему Постановлению, а также частично исполненных рекомендаций, направленных Постановлением Счетной палаты №76 от 17 декабря 2019 года, а именно</w:t>
      </w:r>
      <w:r w:rsidR="00F11BC0" w:rsidRPr="000E2055">
        <w:rPr>
          <w:rFonts w:asciiTheme="majorHAnsi" w:hAnsiTheme="majorHAnsi" w:cs="Calibri Light"/>
          <w:noProof/>
          <w:lang w:val="ru-MD"/>
        </w:rPr>
        <w:t>:</w:t>
      </w:r>
    </w:p>
    <w:p w14:paraId="16949E1C" w14:textId="712191AA" w:rsidR="003A5BA8" w:rsidRPr="000E2055" w:rsidRDefault="002E3DCA" w:rsidP="003A5BA8">
      <w:pPr>
        <w:spacing w:after="0" w:line="276" w:lineRule="auto"/>
        <w:ind w:firstLine="709"/>
        <w:jc w:val="both"/>
        <w:rPr>
          <w:rFonts w:asciiTheme="majorHAnsi" w:eastAsia="Times New Roman" w:hAnsiTheme="majorHAnsi" w:cstheme="majorHAnsi"/>
          <w:bCs/>
          <w:i/>
          <w:color w:val="000000"/>
          <w:sz w:val="24"/>
          <w:szCs w:val="24"/>
          <w:lang w:val="ru-MD"/>
        </w:rPr>
      </w:pPr>
      <w:r w:rsidRPr="000E2055">
        <w:rPr>
          <w:rFonts w:asciiTheme="majorHAnsi" w:hAnsiTheme="majorHAnsi" w:cstheme="majorHAnsi"/>
          <w:b/>
          <w:noProof/>
          <w:sz w:val="24"/>
          <w:szCs w:val="24"/>
          <w:lang w:val="ru-MD"/>
        </w:rPr>
        <w:t>2.4</w:t>
      </w:r>
      <w:r w:rsidR="007973D4" w:rsidRPr="000E2055">
        <w:rPr>
          <w:rFonts w:asciiTheme="majorHAnsi" w:hAnsiTheme="majorHAnsi" w:cstheme="majorHAnsi"/>
          <w:b/>
          <w:noProof/>
          <w:sz w:val="24"/>
          <w:szCs w:val="24"/>
          <w:lang w:val="ru-MD"/>
        </w:rPr>
        <w:t xml:space="preserve">.1. </w:t>
      </w:r>
      <w:r w:rsidR="00534FF5" w:rsidRPr="000E2055">
        <w:rPr>
          <w:rFonts w:asciiTheme="majorHAnsi" w:hAnsiTheme="majorHAnsi" w:cstheme="majorHAnsi"/>
          <w:noProof/>
          <w:sz w:val="24"/>
          <w:szCs w:val="24"/>
          <w:lang w:val="ru-MD"/>
        </w:rPr>
        <w:t>обеспечение реальной оценки расходов на организацию и проведение выборов, с исключением практики запроса завышенных объемов ассигнований и утверждением конкретных, четко установленных критериев</w:t>
      </w:r>
      <w:r w:rsidR="003A2735" w:rsidRPr="000E2055">
        <w:rPr>
          <w:rFonts w:asciiTheme="majorHAnsi" w:hAnsiTheme="majorHAnsi" w:cstheme="majorHAnsi"/>
          <w:noProof/>
          <w:sz w:val="24"/>
          <w:szCs w:val="24"/>
          <w:lang w:val="ru-MD"/>
        </w:rPr>
        <w:t>;</w:t>
      </w:r>
    </w:p>
    <w:p w14:paraId="5E8252D7" w14:textId="69EFD2BE" w:rsidR="00615393" w:rsidRPr="000E2055" w:rsidRDefault="002E3DCA" w:rsidP="00AC5900">
      <w:pPr>
        <w:spacing w:after="0" w:line="276" w:lineRule="auto"/>
        <w:ind w:firstLine="709"/>
        <w:jc w:val="both"/>
        <w:rPr>
          <w:rFonts w:asciiTheme="majorHAnsi" w:eastAsia="Times New Roman" w:hAnsiTheme="majorHAnsi" w:cstheme="majorHAnsi"/>
          <w:bCs/>
          <w:i/>
          <w:color w:val="000000"/>
          <w:sz w:val="24"/>
          <w:szCs w:val="24"/>
          <w:lang w:val="ru-MD"/>
        </w:rPr>
      </w:pPr>
      <w:r w:rsidRPr="000E2055">
        <w:rPr>
          <w:rFonts w:asciiTheme="majorHAnsi" w:eastAsia="Times New Roman" w:hAnsiTheme="majorHAnsi" w:cstheme="majorHAnsi"/>
          <w:b/>
          <w:bCs/>
          <w:color w:val="000000"/>
          <w:sz w:val="24"/>
          <w:szCs w:val="24"/>
          <w:lang w:val="ru-MD"/>
        </w:rPr>
        <w:t>2.4</w:t>
      </w:r>
      <w:r w:rsidR="003A5BA8" w:rsidRPr="000E2055">
        <w:rPr>
          <w:rFonts w:asciiTheme="majorHAnsi" w:eastAsia="Times New Roman" w:hAnsiTheme="majorHAnsi" w:cstheme="majorHAnsi"/>
          <w:b/>
          <w:bCs/>
          <w:color w:val="000000"/>
          <w:sz w:val="24"/>
          <w:szCs w:val="24"/>
          <w:lang w:val="ru-MD"/>
        </w:rPr>
        <w:t>.2.</w:t>
      </w:r>
      <w:r w:rsidR="003A5BA8" w:rsidRPr="000E2055">
        <w:rPr>
          <w:rFonts w:asciiTheme="majorHAnsi" w:eastAsia="Times New Roman" w:hAnsiTheme="majorHAnsi" w:cstheme="majorHAnsi"/>
          <w:bCs/>
          <w:i/>
          <w:color w:val="000000"/>
          <w:sz w:val="24"/>
          <w:szCs w:val="24"/>
          <w:lang w:val="ru-MD"/>
        </w:rPr>
        <w:t xml:space="preserve"> </w:t>
      </w:r>
      <w:r w:rsidR="00534FF5" w:rsidRPr="000E2055">
        <w:rPr>
          <w:rFonts w:asciiTheme="majorHAnsi" w:eastAsia="Times New Roman" w:hAnsiTheme="majorHAnsi" w:cstheme="majorHAnsi"/>
          <w:bCs/>
          <w:color w:val="000000"/>
          <w:sz w:val="24"/>
          <w:szCs w:val="24"/>
          <w:lang w:val="ru-MD"/>
        </w:rPr>
        <w:t>укрепление контроля и надзора за нижестоящими избирательными органами, в том числе за пределами страны, за процессом использования финансовых средств, выделенных на организацию и проведение выборов, в строгом соответствии с утвержденными бюджетными направлениями и лимитами</w:t>
      </w:r>
      <w:r w:rsidR="003A2735" w:rsidRPr="000E2055">
        <w:rPr>
          <w:rFonts w:asciiTheme="majorHAnsi" w:hAnsiTheme="majorHAnsi" w:cstheme="majorHAnsi"/>
          <w:sz w:val="24"/>
          <w:szCs w:val="24"/>
          <w:lang w:val="ru-MD"/>
        </w:rPr>
        <w:t>;</w:t>
      </w:r>
    </w:p>
    <w:p w14:paraId="48B0E490" w14:textId="044D22CC" w:rsidR="00A52C3E" w:rsidRPr="000E2055" w:rsidRDefault="002E3DCA" w:rsidP="00A52C3E">
      <w:pPr>
        <w:spacing w:after="0" w:line="276" w:lineRule="auto"/>
        <w:ind w:firstLine="709"/>
        <w:jc w:val="both"/>
        <w:rPr>
          <w:rFonts w:asciiTheme="majorHAnsi" w:eastAsia="Times New Roman" w:hAnsiTheme="majorHAnsi" w:cstheme="majorHAnsi"/>
          <w:bCs/>
          <w:i/>
          <w:color w:val="000000"/>
          <w:sz w:val="24"/>
          <w:szCs w:val="24"/>
          <w:lang w:val="ru-MD"/>
        </w:rPr>
      </w:pPr>
      <w:r w:rsidRPr="000E2055">
        <w:rPr>
          <w:rFonts w:asciiTheme="majorHAnsi" w:hAnsiTheme="majorHAnsi" w:cstheme="majorHAnsi"/>
          <w:b/>
          <w:sz w:val="24"/>
          <w:szCs w:val="24"/>
          <w:lang w:val="ru-MD"/>
        </w:rPr>
        <w:t>2.4</w:t>
      </w:r>
      <w:r w:rsidR="00877A75" w:rsidRPr="000E2055">
        <w:rPr>
          <w:rFonts w:asciiTheme="majorHAnsi" w:hAnsiTheme="majorHAnsi" w:cstheme="majorHAnsi"/>
          <w:b/>
          <w:sz w:val="24"/>
          <w:szCs w:val="24"/>
          <w:lang w:val="ru-MD"/>
        </w:rPr>
        <w:t>.3.</w:t>
      </w:r>
      <w:r w:rsidR="00995BB3" w:rsidRPr="000E2055">
        <w:rPr>
          <w:rFonts w:asciiTheme="majorHAnsi" w:hAnsiTheme="majorHAnsi" w:cstheme="majorHAnsi"/>
          <w:i/>
          <w:sz w:val="20"/>
          <w:szCs w:val="20"/>
          <w:lang w:val="ru-MD"/>
        </w:rPr>
        <w:t xml:space="preserve"> </w:t>
      </w:r>
      <w:r w:rsidR="00534FF5" w:rsidRPr="000E2055">
        <w:rPr>
          <w:rFonts w:asciiTheme="majorHAnsi" w:hAnsiTheme="majorHAnsi" w:cstheme="majorHAnsi"/>
          <w:b/>
          <w:bCs/>
          <w:sz w:val="24"/>
          <w:szCs w:val="24"/>
          <w:lang w:val="ru-MD"/>
        </w:rPr>
        <w:t>Министерству финансов</w:t>
      </w:r>
      <w:r w:rsidR="00E93F8A" w:rsidRPr="000E2055">
        <w:rPr>
          <w:rFonts w:asciiTheme="majorHAnsi" w:hAnsiTheme="majorHAnsi" w:cstheme="majorHAnsi"/>
          <w:b/>
          <w:sz w:val="24"/>
          <w:szCs w:val="24"/>
          <w:lang w:val="ru-MD"/>
        </w:rPr>
        <w:t xml:space="preserve"> </w:t>
      </w:r>
      <w:r w:rsidR="00534FF5" w:rsidRPr="000E2055">
        <w:rPr>
          <w:rFonts w:asciiTheme="majorHAnsi" w:hAnsiTheme="majorHAnsi" w:cstheme="majorHAnsi"/>
          <w:sz w:val="24"/>
          <w:szCs w:val="24"/>
          <w:lang w:val="ru-MD"/>
        </w:rPr>
        <w:t>для рассмотрения</w:t>
      </w:r>
      <w:r w:rsidR="00280890" w:rsidRPr="000E2055">
        <w:rPr>
          <w:rFonts w:asciiTheme="majorHAnsi" w:hAnsiTheme="majorHAnsi" w:cstheme="majorHAnsi"/>
          <w:sz w:val="24"/>
          <w:szCs w:val="24"/>
          <w:lang w:val="ru-MD"/>
        </w:rPr>
        <w:t>,</w:t>
      </w:r>
      <w:r w:rsidR="00534FF5" w:rsidRPr="000E2055">
        <w:rPr>
          <w:rFonts w:asciiTheme="majorHAnsi" w:hAnsiTheme="majorHAnsi" w:cstheme="majorHAnsi"/>
          <w:sz w:val="24"/>
          <w:szCs w:val="24"/>
          <w:lang w:val="ru-MD"/>
        </w:rPr>
        <w:t xml:space="preserve"> </w:t>
      </w:r>
      <w:r w:rsidR="00F01953" w:rsidRPr="000E2055">
        <w:rPr>
          <w:rFonts w:asciiTheme="majorHAnsi" w:hAnsiTheme="majorHAnsi" w:cstheme="majorHAnsi"/>
          <w:sz w:val="24"/>
          <w:szCs w:val="24"/>
          <w:lang w:val="ru-MD"/>
        </w:rPr>
        <w:t>согласно</w:t>
      </w:r>
      <w:r w:rsidR="00280890" w:rsidRPr="000E2055">
        <w:rPr>
          <w:rFonts w:asciiTheme="majorHAnsi" w:hAnsiTheme="majorHAnsi" w:cstheme="majorHAnsi"/>
          <w:sz w:val="24"/>
          <w:szCs w:val="24"/>
          <w:lang w:val="ru-MD"/>
        </w:rPr>
        <w:t xml:space="preserve"> </w:t>
      </w:r>
      <w:r w:rsidR="00534FF5" w:rsidRPr="000E2055">
        <w:rPr>
          <w:rFonts w:asciiTheme="majorHAnsi" w:hAnsiTheme="majorHAnsi" w:cstheme="majorHAnsi"/>
          <w:sz w:val="24"/>
          <w:szCs w:val="24"/>
          <w:lang w:val="ru-MD"/>
        </w:rPr>
        <w:t>компетенци</w:t>
      </w:r>
      <w:r w:rsidR="00F01953" w:rsidRPr="000E2055">
        <w:rPr>
          <w:rFonts w:asciiTheme="majorHAnsi" w:hAnsiTheme="majorHAnsi" w:cstheme="majorHAnsi"/>
          <w:sz w:val="24"/>
          <w:szCs w:val="24"/>
          <w:lang w:val="ru-MD"/>
        </w:rPr>
        <w:t>ям</w:t>
      </w:r>
      <w:r w:rsidR="00280890" w:rsidRPr="000E2055">
        <w:rPr>
          <w:rFonts w:asciiTheme="majorHAnsi" w:hAnsiTheme="majorHAnsi" w:cstheme="majorHAnsi"/>
          <w:sz w:val="24"/>
          <w:szCs w:val="24"/>
          <w:lang w:val="ru-MD"/>
        </w:rPr>
        <w:t>,</w:t>
      </w:r>
      <w:r w:rsidR="00534FF5" w:rsidRPr="000E2055">
        <w:rPr>
          <w:rFonts w:asciiTheme="majorHAnsi" w:hAnsiTheme="majorHAnsi" w:cstheme="majorHAnsi"/>
          <w:sz w:val="24"/>
          <w:szCs w:val="24"/>
          <w:lang w:val="ru-MD"/>
        </w:rPr>
        <w:t xml:space="preserve"> бюджетных предложений, представленных Центральной избирательной комиссией, предназначенных для организации и проведения выборов, с целью исключения </w:t>
      </w:r>
      <w:r w:rsidR="00280890" w:rsidRPr="000E2055">
        <w:rPr>
          <w:rFonts w:asciiTheme="majorHAnsi" w:hAnsiTheme="majorHAnsi" w:cstheme="majorHAnsi"/>
          <w:sz w:val="24"/>
          <w:szCs w:val="24"/>
          <w:lang w:val="ru-MD"/>
        </w:rPr>
        <w:t>завышения</w:t>
      </w:r>
      <w:r w:rsidR="00534FF5" w:rsidRPr="000E2055">
        <w:rPr>
          <w:rFonts w:asciiTheme="majorHAnsi" w:hAnsiTheme="majorHAnsi" w:cstheme="majorHAnsi"/>
          <w:sz w:val="24"/>
          <w:szCs w:val="24"/>
          <w:lang w:val="ru-MD"/>
        </w:rPr>
        <w:t xml:space="preserve"> потребностей, с возможным последующим </w:t>
      </w:r>
      <w:r w:rsidR="00A40A29" w:rsidRPr="000E2055">
        <w:rPr>
          <w:rFonts w:asciiTheme="majorHAnsi" w:hAnsiTheme="majorHAnsi" w:cstheme="majorHAnsi"/>
          <w:sz w:val="24"/>
          <w:szCs w:val="24"/>
          <w:lang w:val="ru-MD"/>
        </w:rPr>
        <w:t>уточн</w:t>
      </w:r>
      <w:r w:rsidR="00534FF5" w:rsidRPr="000E2055">
        <w:rPr>
          <w:rFonts w:asciiTheme="majorHAnsi" w:hAnsiTheme="majorHAnsi" w:cstheme="majorHAnsi"/>
          <w:sz w:val="24"/>
          <w:szCs w:val="24"/>
          <w:lang w:val="ru-MD"/>
        </w:rPr>
        <w:t>ением лимита не</w:t>
      </w:r>
      <w:r w:rsidR="00A40A29" w:rsidRPr="000E2055">
        <w:rPr>
          <w:rFonts w:asciiTheme="majorHAnsi" w:hAnsiTheme="majorHAnsi" w:cstheme="majorHAnsi"/>
          <w:sz w:val="24"/>
          <w:szCs w:val="24"/>
          <w:lang w:val="ru-MD"/>
        </w:rPr>
        <w:t>освое</w:t>
      </w:r>
      <w:r w:rsidR="00534FF5" w:rsidRPr="000E2055">
        <w:rPr>
          <w:rFonts w:asciiTheme="majorHAnsi" w:hAnsiTheme="majorHAnsi" w:cstheme="majorHAnsi"/>
          <w:sz w:val="24"/>
          <w:szCs w:val="24"/>
          <w:lang w:val="ru-MD"/>
        </w:rPr>
        <w:t xml:space="preserve">нных </w:t>
      </w:r>
      <w:r w:rsidR="00A40A29" w:rsidRPr="000E2055">
        <w:rPr>
          <w:rFonts w:asciiTheme="majorHAnsi" w:hAnsiTheme="majorHAnsi" w:cstheme="majorHAnsi"/>
          <w:sz w:val="24"/>
          <w:szCs w:val="24"/>
          <w:lang w:val="ru-MD"/>
        </w:rPr>
        <w:t>ассигнован</w:t>
      </w:r>
      <w:r w:rsidR="00534FF5" w:rsidRPr="000E2055">
        <w:rPr>
          <w:rFonts w:asciiTheme="majorHAnsi" w:hAnsiTheme="majorHAnsi" w:cstheme="majorHAnsi"/>
          <w:sz w:val="24"/>
          <w:szCs w:val="24"/>
          <w:lang w:val="ru-MD"/>
        </w:rPr>
        <w:t>ий</w:t>
      </w:r>
      <w:r w:rsidR="00A52C3E" w:rsidRPr="000E2055">
        <w:rPr>
          <w:rFonts w:asciiTheme="majorHAnsi" w:hAnsiTheme="majorHAnsi" w:cstheme="majorHAnsi"/>
          <w:sz w:val="24"/>
          <w:szCs w:val="24"/>
          <w:lang w:val="ru-MD"/>
        </w:rPr>
        <w:t>;</w:t>
      </w:r>
    </w:p>
    <w:p w14:paraId="1C267AC1" w14:textId="71EBDEAB" w:rsidR="00A73E65" w:rsidRPr="000E2055" w:rsidRDefault="00A52C3E" w:rsidP="00A73E65">
      <w:pPr>
        <w:pStyle w:val="NormalWeb"/>
        <w:spacing w:line="276" w:lineRule="auto"/>
        <w:ind w:firstLine="709"/>
        <w:rPr>
          <w:rFonts w:asciiTheme="majorHAnsi" w:hAnsiTheme="majorHAnsi" w:cstheme="majorHAnsi"/>
          <w:lang w:val="ru-MD"/>
        </w:rPr>
      </w:pPr>
      <w:r w:rsidRPr="000E2055">
        <w:rPr>
          <w:rFonts w:asciiTheme="majorHAnsi" w:hAnsiTheme="majorHAnsi" w:cstheme="majorHAnsi"/>
          <w:b/>
          <w:bCs/>
          <w:color w:val="000000"/>
          <w:lang w:val="ru-MD"/>
        </w:rPr>
        <w:t>2.5.</w:t>
      </w:r>
      <w:r w:rsidR="00A73E65" w:rsidRPr="000E2055">
        <w:rPr>
          <w:rFonts w:asciiTheme="majorHAnsi" w:hAnsiTheme="majorHAnsi" w:cstheme="majorHAnsi"/>
          <w:bCs/>
          <w:lang w:val="ru-MD"/>
        </w:rPr>
        <w:t xml:space="preserve"> </w:t>
      </w:r>
      <w:r w:rsidR="00F01953" w:rsidRPr="000E2055">
        <w:rPr>
          <w:rFonts w:ascii="Calibri Light" w:hAnsi="Calibri Light" w:cs="Calibri Light"/>
          <w:b/>
          <w:lang w:val="ru-MD"/>
        </w:rPr>
        <w:t xml:space="preserve">Генеральной прокуратуре </w:t>
      </w:r>
      <w:r w:rsidR="00F01953" w:rsidRPr="000E2055">
        <w:rPr>
          <w:rFonts w:ascii="Calibri Light" w:hAnsi="Calibri Light" w:cs="Calibri Light"/>
          <w:lang w:val="ru-MD"/>
        </w:rPr>
        <w:t>для рассмотрения, согласно компетенциям, констатаций из Отчета аудита</w:t>
      </w:r>
      <w:r w:rsidR="00F01953" w:rsidRPr="000E2055">
        <w:rPr>
          <w:rFonts w:asciiTheme="majorHAnsi" w:hAnsiTheme="majorHAnsi" w:cstheme="majorHAnsi"/>
          <w:b/>
          <w:lang w:val="ru-MD"/>
        </w:rPr>
        <w:t xml:space="preserve"> </w:t>
      </w:r>
      <w:r w:rsidR="00F01953" w:rsidRPr="000E2055">
        <w:rPr>
          <w:rFonts w:asciiTheme="majorHAnsi" w:hAnsiTheme="majorHAnsi" w:cstheme="majorHAnsi"/>
          <w:lang w:val="ru-MD"/>
        </w:rPr>
        <w:t>относительно исполнения расходов окружными избирательными советами</w:t>
      </w:r>
      <w:r w:rsidR="00A73E65" w:rsidRPr="000E2055">
        <w:rPr>
          <w:rFonts w:asciiTheme="majorHAnsi" w:hAnsiTheme="majorHAnsi" w:cstheme="majorHAnsi"/>
          <w:lang w:val="ru-MD"/>
        </w:rPr>
        <w:t>.</w:t>
      </w:r>
    </w:p>
    <w:p w14:paraId="5842794F" w14:textId="77777777" w:rsidR="007973D4" w:rsidRPr="000E2055" w:rsidRDefault="007973D4" w:rsidP="00AC5900">
      <w:pPr>
        <w:spacing w:after="0" w:line="276" w:lineRule="auto"/>
        <w:ind w:firstLine="709"/>
        <w:jc w:val="both"/>
        <w:rPr>
          <w:rFonts w:asciiTheme="majorHAnsi" w:eastAsia="Times New Roman" w:hAnsiTheme="majorHAnsi" w:cstheme="majorHAnsi"/>
          <w:b/>
          <w:bCs/>
          <w:color w:val="000000"/>
          <w:sz w:val="24"/>
          <w:szCs w:val="24"/>
          <w:lang w:val="ru-MD"/>
        </w:rPr>
      </w:pPr>
    </w:p>
    <w:p w14:paraId="09349EA6" w14:textId="18DCA796" w:rsidR="00A50308" w:rsidRPr="000E2055" w:rsidRDefault="00F01953" w:rsidP="00F01953">
      <w:pPr>
        <w:pStyle w:val="ListParagraph"/>
        <w:numPr>
          <w:ilvl w:val="0"/>
          <w:numId w:val="2"/>
        </w:numPr>
        <w:tabs>
          <w:tab w:val="left" w:pos="993"/>
        </w:tabs>
        <w:spacing w:line="276" w:lineRule="auto"/>
        <w:ind w:left="0" w:firstLine="568"/>
        <w:jc w:val="both"/>
        <w:rPr>
          <w:rFonts w:asciiTheme="majorHAnsi" w:hAnsiTheme="majorHAnsi" w:cstheme="majorHAnsi"/>
          <w:sz w:val="24"/>
          <w:szCs w:val="24"/>
          <w:lang w:val="ru-MD" w:bidi="ro-RO"/>
        </w:rPr>
      </w:pPr>
      <w:r w:rsidRPr="000E2055">
        <w:rPr>
          <w:rFonts w:asciiTheme="majorHAnsi" w:hAnsiTheme="majorHAnsi" w:cstheme="majorHAnsi"/>
          <w:sz w:val="24"/>
          <w:szCs w:val="24"/>
          <w:lang w:val="ru-MD" w:bidi="ro-RO"/>
        </w:rPr>
        <w:t>Настоящим Постановлением исключить из режима мониторинга Постановление Счетной палаты №</w:t>
      </w:r>
      <w:r w:rsidR="00A50308" w:rsidRPr="000E2055">
        <w:rPr>
          <w:rFonts w:asciiTheme="majorHAnsi" w:hAnsiTheme="majorHAnsi" w:cstheme="majorHAnsi"/>
          <w:sz w:val="24"/>
          <w:szCs w:val="24"/>
          <w:lang w:val="ru-MD" w:bidi="ro-RO"/>
        </w:rPr>
        <w:t xml:space="preserve">76 </w:t>
      </w:r>
      <w:r w:rsidRPr="000E2055">
        <w:rPr>
          <w:rFonts w:asciiTheme="majorHAnsi" w:hAnsiTheme="majorHAnsi" w:cstheme="majorHAnsi"/>
          <w:sz w:val="24"/>
          <w:szCs w:val="24"/>
          <w:lang w:val="ru-MD" w:bidi="ro-RO"/>
        </w:rPr>
        <w:t>от</w:t>
      </w:r>
      <w:r w:rsidR="00A50308" w:rsidRPr="000E2055">
        <w:rPr>
          <w:rFonts w:asciiTheme="majorHAnsi" w:hAnsiTheme="majorHAnsi" w:cstheme="majorHAnsi"/>
          <w:sz w:val="24"/>
          <w:szCs w:val="24"/>
          <w:lang w:val="ru-MD" w:bidi="ro-RO"/>
        </w:rPr>
        <w:t xml:space="preserve"> 17 </w:t>
      </w:r>
      <w:r w:rsidRPr="000E2055">
        <w:rPr>
          <w:rFonts w:asciiTheme="majorHAnsi" w:hAnsiTheme="majorHAnsi" w:cstheme="majorHAnsi"/>
          <w:sz w:val="24"/>
          <w:szCs w:val="24"/>
          <w:lang w:val="ru-MD" w:bidi="ro-RO"/>
        </w:rPr>
        <w:t>декабря</w:t>
      </w:r>
      <w:r w:rsidR="00A50308" w:rsidRPr="000E2055">
        <w:rPr>
          <w:rFonts w:asciiTheme="majorHAnsi" w:hAnsiTheme="majorHAnsi" w:cstheme="majorHAnsi"/>
          <w:sz w:val="24"/>
          <w:szCs w:val="24"/>
          <w:lang w:val="ru-MD" w:bidi="ro-RO"/>
        </w:rPr>
        <w:t xml:space="preserve"> 2019</w:t>
      </w:r>
      <w:r w:rsidRPr="000E2055">
        <w:rPr>
          <w:rFonts w:asciiTheme="majorHAnsi" w:hAnsiTheme="majorHAnsi" w:cstheme="majorHAnsi"/>
          <w:sz w:val="24"/>
          <w:szCs w:val="24"/>
          <w:lang w:val="ru-MD" w:bidi="ro-RO"/>
        </w:rPr>
        <w:t xml:space="preserve"> года по</w:t>
      </w:r>
      <w:r w:rsidR="00F07AD0" w:rsidRPr="000E2055">
        <w:rPr>
          <w:rFonts w:asciiTheme="majorHAnsi" w:hAnsiTheme="majorHAnsi" w:cstheme="majorHAnsi"/>
          <w:sz w:val="24"/>
          <w:szCs w:val="24"/>
          <w:lang w:val="ru-MD" w:bidi="ro-RO"/>
        </w:rPr>
        <w:t xml:space="preserve"> </w:t>
      </w:r>
      <w:r w:rsidR="000E60AF" w:rsidRPr="000E2055">
        <w:rPr>
          <w:rFonts w:asciiTheme="majorHAnsi" w:hAnsiTheme="majorHAnsi" w:cstheme="majorHAnsi"/>
          <w:bCs/>
          <w:sz w:val="24"/>
          <w:szCs w:val="24"/>
          <w:lang w:val="ru-MD" w:bidi="ro-RO"/>
        </w:rPr>
        <w:t>„</w:t>
      </w:r>
      <w:r w:rsidRPr="000E2055">
        <w:rPr>
          <w:rFonts w:asciiTheme="majorHAnsi" w:hAnsiTheme="majorHAnsi" w:cstheme="majorHAnsi"/>
          <w:bCs/>
          <w:sz w:val="24"/>
          <w:szCs w:val="24"/>
          <w:lang w:val="ru-MD" w:bidi="ro-RO"/>
        </w:rPr>
        <w:t>Отчету аудита об управлении финансовыми средствами, выделенными для парламентских выборов от 24 февраля 2019 года</w:t>
      </w:r>
      <w:r w:rsidR="009D3D77" w:rsidRPr="000E2055">
        <w:rPr>
          <w:rFonts w:asciiTheme="majorHAnsi" w:hAnsiTheme="majorHAnsi" w:cstheme="majorHAnsi"/>
          <w:bCs/>
          <w:sz w:val="24"/>
          <w:szCs w:val="24"/>
          <w:lang w:val="ru-MD" w:bidi="ro-RO"/>
        </w:rPr>
        <w:t>”</w:t>
      </w:r>
      <w:r w:rsidR="00A50308" w:rsidRPr="000E2055">
        <w:rPr>
          <w:rFonts w:asciiTheme="majorHAnsi" w:hAnsiTheme="majorHAnsi" w:cstheme="majorHAnsi"/>
          <w:sz w:val="24"/>
          <w:szCs w:val="24"/>
          <w:lang w:val="ru-MD" w:bidi="ro-RO"/>
        </w:rPr>
        <w:t xml:space="preserve">, </w:t>
      </w:r>
      <w:r w:rsidRPr="000E2055">
        <w:rPr>
          <w:rFonts w:asciiTheme="majorHAnsi" w:hAnsiTheme="majorHAnsi" w:cstheme="majorHAnsi"/>
          <w:sz w:val="24"/>
          <w:szCs w:val="24"/>
          <w:lang w:val="ru-MD" w:bidi="ro-RO"/>
        </w:rPr>
        <w:t>в связи с выполнением на уровне 78,6% направленных рекомендаций, и повторного изложения частично реализованных рекомендаций</w:t>
      </w:r>
      <w:r w:rsidR="00A50308" w:rsidRPr="000E2055">
        <w:rPr>
          <w:rFonts w:asciiTheme="majorHAnsi" w:hAnsiTheme="majorHAnsi" w:cstheme="majorHAnsi"/>
          <w:sz w:val="24"/>
          <w:szCs w:val="24"/>
          <w:lang w:val="ru-MD" w:bidi="ro-RO"/>
        </w:rPr>
        <w:t>.</w:t>
      </w:r>
    </w:p>
    <w:p w14:paraId="42B6FCB4" w14:textId="77777777" w:rsidR="00A50308" w:rsidRPr="000E2055" w:rsidRDefault="00A50308" w:rsidP="00A50308">
      <w:pPr>
        <w:pStyle w:val="ListParagraph"/>
        <w:tabs>
          <w:tab w:val="left" w:pos="993"/>
        </w:tabs>
        <w:spacing w:after="0" w:line="276" w:lineRule="auto"/>
        <w:ind w:left="709"/>
        <w:jc w:val="both"/>
        <w:rPr>
          <w:rFonts w:asciiTheme="majorHAnsi" w:hAnsiTheme="majorHAnsi" w:cstheme="majorHAnsi"/>
          <w:sz w:val="24"/>
          <w:szCs w:val="24"/>
          <w:lang w:val="ru-MD"/>
        </w:rPr>
      </w:pPr>
    </w:p>
    <w:p w14:paraId="01095A4A" w14:textId="4D8AC25D" w:rsidR="002031C1" w:rsidRPr="000E2055" w:rsidRDefault="00F546C7" w:rsidP="002031C1">
      <w:pPr>
        <w:pStyle w:val="ListParagraph"/>
        <w:numPr>
          <w:ilvl w:val="0"/>
          <w:numId w:val="2"/>
        </w:numPr>
        <w:tabs>
          <w:tab w:val="left" w:pos="993"/>
        </w:tabs>
        <w:spacing w:after="0" w:line="276" w:lineRule="auto"/>
        <w:ind w:left="0" w:firstLine="709"/>
        <w:jc w:val="both"/>
        <w:rPr>
          <w:rFonts w:asciiTheme="majorHAnsi" w:hAnsiTheme="majorHAnsi" w:cstheme="majorHAnsi"/>
          <w:sz w:val="24"/>
          <w:szCs w:val="24"/>
          <w:lang w:val="ru-MD"/>
        </w:rPr>
      </w:pPr>
      <w:r w:rsidRPr="000E2055">
        <w:rPr>
          <w:rFonts w:asciiTheme="majorHAnsi" w:hAnsiTheme="majorHAnsi"/>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w:t>
      </w:r>
      <w:r w:rsidRPr="000E2055">
        <w:rPr>
          <w:rFonts w:asciiTheme="majorHAnsi" w:hAnsiTheme="majorHAnsi"/>
          <w:bCs/>
          <w:sz w:val="24"/>
          <w:szCs w:val="24"/>
          <w:lang w:val="ru-MD"/>
        </w:rPr>
        <w:lastRenderedPageBreak/>
        <w:t>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031C1" w:rsidRPr="000E2055">
        <w:rPr>
          <w:rFonts w:asciiTheme="majorHAnsi" w:hAnsiTheme="majorHAnsi" w:cstheme="majorHAnsi"/>
          <w:sz w:val="24"/>
          <w:szCs w:val="24"/>
          <w:lang w:val="ru-MD"/>
        </w:rPr>
        <w:t>.</w:t>
      </w:r>
    </w:p>
    <w:p w14:paraId="5ED974A4" w14:textId="77777777" w:rsidR="004E58DA" w:rsidRPr="000E2055" w:rsidRDefault="004E58DA" w:rsidP="004E58DA">
      <w:pPr>
        <w:pStyle w:val="ListParagraph"/>
        <w:tabs>
          <w:tab w:val="left" w:pos="993"/>
        </w:tabs>
        <w:spacing w:after="0" w:line="276" w:lineRule="auto"/>
        <w:ind w:left="709"/>
        <w:jc w:val="both"/>
        <w:rPr>
          <w:rFonts w:asciiTheme="majorHAnsi" w:hAnsiTheme="majorHAnsi" w:cstheme="majorHAnsi"/>
          <w:sz w:val="24"/>
          <w:szCs w:val="24"/>
          <w:lang w:val="ru-MD"/>
        </w:rPr>
      </w:pPr>
    </w:p>
    <w:p w14:paraId="575C946A" w14:textId="0780815F" w:rsidR="007B72DB" w:rsidRPr="000E2055" w:rsidRDefault="00F546C7" w:rsidP="007B72DB">
      <w:pPr>
        <w:pStyle w:val="NormalWeb"/>
        <w:numPr>
          <w:ilvl w:val="0"/>
          <w:numId w:val="2"/>
        </w:numPr>
        <w:tabs>
          <w:tab w:val="left" w:pos="993"/>
        </w:tabs>
        <w:spacing w:line="276" w:lineRule="auto"/>
        <w:ind w:left="0" w:firstLine="709"/>
        <w:rPr>
          <w:rFonts w:asciiTheme="majorHAnsi" w:hAnsiTheme="majorHAnsi" w:cstheme="majorHAnsi"/>
          <w:bCs/>
          <w:lang w:val="ru-MD"/>
        </w:rPr>
      </w:pPr>
      <w:r w:rsidRPr="000E2055">
        <w:rPr>
          <w:rFonts w:asciiTheme="majorHAnsi" w:hAnsiTheme="majorHAnsi" w:cstheme="majorHAnsi"/>
          <w:bCs/>
          <w:lang w:val="ru-MD"/>
        </w:rPr>
        <w:t xml:space="preserve">О принятых мерах по выполнению подпункта </w:t>
      </w:r>
      <w:r w:rsidRPr="000E2055">
        <w:rPr>
          <w:rFonts w:asciiTheme="majorHAnsi" w:hAnsiTheme="majorHAnsi" w:cstheme="majorHAnsi"/>
          <w:b/>
          <w:bCs/>
          <w:lang w:val="ru-MD"/>
        </w:rPr>
        <w:t>2.4.</w:t>
      </w:r>
      <w:r w:rsidRPr="000E2055">
        <w:rPr>
          <w:rFonts w:asciiTheme="majorHAnsi" w:hAnsiTheme="majorHAnsi" w:cstheme="majorHAnsi"/>
          <w:bCs/>
          <w:lang w:val="ru-MD"/>
        </w:rPr>
        <w:t xml:space="preserve"> настоящего Постановления проинформировать Счетную палату в течение 12 месяцев со опубликования Постановления в Официальном мониторе Республики Молдова</w:t>
      </w:r>
      <w:r w:rsidR="007B72DB" w:rsidRPr="000E2055">
        <w:rPr>
          <w:rFonts w:asciiTheme="majorHAnsi" w:hAnsiTheme="majorHAnsi" w:cstheme="majorHAnsi"/>
          <w:bCs/>
          <w:lang w:val="ru-MD"/>
        </w:rPr>
        <w:t>.</w:t>
      </w:r>
    </w:p>
    <w:p w14:paraId="15B68DD6" w14:textId="77777777" w:rsidR="007B72DB" w:rsidRPr="000E2055" w:rsidRDefault="007B72DB" w:rsidP="007B72DB">
      <w:pPr>
        <w:pStyle w:val="NormalWeb"/>
        <w:spacing w:line="276" w:lineRule="auto"/>
        <w:ind w:left="928" w:firstLine="0"/>
        <w:rPr>
          <w:rFonts w:asciiTheme="majorHAnsi" w:hAnsiTheme="majorHAnsi"/>
          <w:lang w:val="ru-MD"/>
        </w:rPr>
      </w:pPr>
    </w:p>
    <w:p w14:paraId="176C10BA" w14:textId="537F05B8" w:rsidR="007B72DB" w:rsidRPr="000E2055" w:rsidRDefault="004940A0" w:rsidP="007B72DB">
      <w:pPr>
        <w:pStyle w:val="NormalWeb"/>
        <w:spacing w:line="276" w:lineRule="auto"/>
        <w:ind w:firstLine="709"/>
        <w:rPr>
          <w:rFonts w:ascii="Calibri Light" w:hAnsi="Calibri Light" w:cs="Calibri Light"/>
          <w:lang w:val="ru-MD"/>
        </w:rPr>
      </w:pPr>
      <w:r w:rsidRPr="000E2055">
        <w:rPr>
          <w:rFonts w:asciiTheme="majorHAnsi" w:hAnsiTheme="majorHAnsi"/>
          <w:b/>
          <w:lang w:val="ru-MD"/>
        </w:rPr>
        <w:t>6</w:t>
      </w:r>
      <w:r w:rsidR="007B72DB" w:rsidRPr="000E2055">
        <w:rPr>
          <w:rFonts w:asciiTheme="majorHAnsi" w:hAnsiTheme="majorHAnsi"/>
          <w:b/>
          <w:lang w:val="ru-MD"/>
        </w:rPr>
        <w:t>.</w:t>
      </w:r>
      <w:r w:rsidR="007B72DB" w:rsidRPr="000E2055">
        <w:rPr>
          <w:rFonts w:asciiTheme="majorHAnsi" w:hAnsiTheme="majorHAnsi"/>
          <w:lang w:val="ru-MD"/>
        </w:rPr>
        <w:t xml:space="preserve"> </w:t>
      </w:r>
      <w:r w:rsidR="00F546C7" w:rsidRPr="000E2055">
        <w:rPr>
          <w:rFonts w:asciiTheme="majorHAnsi" w:hAnsiTheme="majorHAnsi"/>
          <w:lang w:val="ru-MD"/>
        </w:rPr>
        <w:t xml:space="preserve">Постановление и </w:t>
      </w:r>
      <w:r w:rsidR="00A27CF6" w:rsidRPr="000E2055">
        <w:rPr>
          <w:rFonts w:ascii="Calibri Light" w:hAnsi="Calibri Light" w:cs="Calibri Light"/>
          <w:iCs/>
          <w:lang w:val="ru-MD"/>
        </w:rPr>
        <w:t xml:space="preserve">Отчет аудита соответствия управления финансовыми средствами, </w:t>
      </w:r>
      <w:r w:rsidR="00A27CF6" w:rsidRPr="000E2055">
        <w:rPr>
          <w:rFonts w:ascii="Calibri Light" w:hAnsi="Calibri Light" w:cs="Calibri Light"/>
          <w:bCs/>
          <w:iCs/>
          <w:lang w:val="ru-MD"/>
        </w:rPr>
        <w:t>выделенными на организацию и проведение досрочных парламентских выборов от 11 июля 2021 года</w:t>
      </w:r>
      <w:r w:rsidR="007B72DB" w:rsidRPr="000E2055">
        <w:rPr>
          <w:rFonts w:asciiTheme="majorHAnsi" w:hAnsiTheme="majorHAnsi"/>
          <w:lang w:val="ru-MD"/>
        </w:rPr>
        <w:t xml:space="preserve"> </w:t>
      </w:r>
      <w:r w:rsidR="007B72DB" w:rsidRPr="000E2055">
        <w:rPr>
          <w:rFonts w:ascii="Calibri Light" w:hAnsi="Calibri Light" w:cs="Calibri Light"/>
          <w:lang w:val="ru-MD"/>
        </w:rPr>
        <w:t>(</w:t>
      </w:r>
      <w:r w:rsidR="003307A8" w:rsidRPr="000E2055">
        <w:rPr>
          <w:rFonts w:asciiTheme="majorHAnsi" w:eastAsia="Calibri" w:hAnsiTheme="majorHAnsi" w:cstheme="majorHAnsi"/>
          <w:bCs/>
          <w:color w:val="2E74B5" w:themeColor="accent1" w:themeShade="BF"/>
          <w:u w:val="single"/>
          <w:lang w:val="ru-MD" w:eastAsia="x-none"/>
        </w:rPr>
        <w:t>https://www.ccrm.md/ro/decisions</w:t>
      </w:r>
      <w:r w:rsidR="007B72DB" w:rsidRPr="000E2055">
        <w:rPr>
          <w:rFonts w:ascii="Calibri Light" w:hAnsi="Calibri Light" w:cs="Calibri Light"/>
          <w:lang w:val="ru-MD"/>
        </w:rPr>
        <w:t>).</w:t>
      </w:r>
    </w:p>
    <w:p w14:paraId="27CA7C13" w14:textId="77777777" w:rsidR="007B72DB" w:rsidRPr="000E2055" w:rsidRDefault="007B72DB" w:rsidP="007B72DB">
      <w:pPr>
        <w:pStyle w:val="NormalWeb"/>
        <w:spacing w:line="276" w:lineRule="auto"/>
        <w:rPr>
          <w:rFonts w:asciiTheme="majorHAnsi" w:hAnsiTheme="majorHAnsi"/>
          <w:lang w:val="ru-MD"/>
        </w:rPr>
      </w:pPr>
    </w:p>
    <w:p w14:paraId="307A9FE2" w14:textId="77777777" w:rsidR="00A27CF6" w:rsidRPr="000E2055" w:rsidRDefault="00A27CF6" w:rsidP="00A27CF6">
      <w:pPr>
        <w:spacing w:after="0" w:line="240" w:lineRule="auto"/>
        <w:jc w:val="right"/>
        <w:rPr>
          <w:rFonts w:asciiTheme="majorHAnsi" w:eastAsia="Times New Roman" w:hAnsiTheme="majorHAnsi" w:cs="Times New Roman"/>
          <w:b/>
          <w:sz w:val="24"/>
          <w:szCs w:val="24"/>
          <w:lang w:val="ru-MD"/>
        </w:rPr>
      </w:pPr>
      <w:r w:rsidRPr="000E2055">
        <w:rPr>
          <w:rFonts w:asciiTheme="majorHAnsi" w:eastAsia="Times New Roman" w:hAnsiTheme="majorHAnsi" w:cs="Times New Roman"/>
          <w:b/>
          <w:sz w:val="24"/>
          <w:szCs w:val="24"/>
          <w:lang w:val="ru-MD"/>
        </w:rPr>
        <w:t>Виорел КЕТРАРУ,</w:t>
      </w:r>
    </w:p>
    <w:p w14:paraId="6B5464AF" w14:textId="77777777" w:rsidR="00A27CF6" w:rsidRPr="000E2055" w:rsidRDefault="00A27CF6" w:rsidP="00A27CF6">
      <w:pPr>
        <w:spacing w:after="0" w:line="240" w:lineRule="auto"/>
        <w:jc w:val="right"/>
        <w:rPr>
          <w:rFonts w:asciiTheme="majorHAnsi" w:eastAsia="Times New Roman" w:hAnsiTheme="majorHAnsi" w:cs="Times New Roman"/>
          <w:b/>
          <w:sz w:val="24"/>
          <w:szCs w:val="24"/>
          <w:lang w:val="ru-MD"/>
        </w:rPr>
      </w:pPr>
      <w:r w:rsidRPr="000E2055">
        <w:rPr>
          <w:rFonts w:asciiTheme="majorHAnsi" w:eastAsia="Times New Roman" w:hAnsiTheme="majorHAnsi" w:cs="Times New Roman"/>
          <w:b/>
          <w:sz w:val="24"/>
          <w:szCs w:val="24"/>
          <w:lang w:val="ru-MD"/>
        </w:rPr>
        <w:t>Вице-председатель</w:t>
      </w:r>
    </w:p>
    <w:p w14:paraId="7CDEE954" w14:textId="13E41808" w:rsidR="007C7987" w:rsidRPr="000E2055" w:rsidRDefault="007C7987" w:rsidP="007C7987">
      <w:pPr>
        <w:spacing w:after="0" w:line="240" w:lineRule="auto"/>
        <w:jc w:val="right"/>
        <w:rPr>
          <w:rFonts w:asciiTheme="majorHAnsi" w:eastAsia="Times New Roman" w:hAnsiTheme="majorHAnsi" w:cs="Times New Roman"/>
          <w:b/>
          <w:sz w:val="24"/>
          <w:szCs w:val="24"/>
          <w:lang w:val="ru-MD"/>
        </w:rPr>
      </w:pPr>
    </w:p>
    <w:p w14:paraId="796BC2A9" w14:textId="6C467BCC" w:rsidR="00A27CF6" w:rsidRPr="000E2055" w:rsidRDefault="00A27CF6" w:rsidP="007C7987">
      <w:pPr>
        <w:spacing w:after="0" w:line="240" w:lineRule="auto"/>
        <w:jc w:val="right"/>
        <w:rPr>
          <w:rFonts w:asciiTheme="majorHAnsi" w:eastAsia="Times New Roman" w:hAnsiTheme="majorHAnsi" w:cs="Times New Roman"/>
          <w:b/>
          <w:sz w:val="24"/>
          <w:szCs w:val="24"/>
          <w:lang w:val="ru-MD"/>
        </w:rPr>
      </w:pPr>
    </w:p>
    <w:sectPr w:rsidR="00A27CF6" w:rsidRPr="000E2055" w:rsidSect="008D19A4">
      <w:foot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EAE5" w14:textId="77777777" w:rsidR="000B146D" w:rsidRDefault="000B146D" w:rsidP="009B0AED">
      <w:pPr>
        <w:spacing w:after="0" w:line="240" w:lineRule="auto"/>
      </w:pPr>
      <w:r>
        <w:separator/>
      </w:r>
    </w:p>
  </w:endnote>
  <w:endnote w:type="continuationSeparator" w:id="0">
    <w:p w14:paraId="4C2E79B3" w14:textId="77777777" w:rsidR="000B146D" w:rsidRDefault="000B146D" w:rsidP="009B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95785"/>
      <w:docPartObj>
        <w:docPartGallery w:val="Page Numbers (Bottom of Page)"/>
        <w:docPartUnique/>
      </w:docPartObj>
    </w:sdtPr>
    <w:sdtEndPr>
      <w:rPr>
        <w:noProof/>
      </w:rPr>
    </w:sdtEndPr>
    <w:sdtContent>
      <w:p w14:paraId="587C0A25" w14:textId="4117FDAD" w:rsidR="00035CB4" w:rsidRDefault="00035CB4">
        <w:pPr>
          <w:pStyle w:val="Footer"/>
          <w:jc w:val="right"/>
        </w:pPr>
        <w:r>
          <w:fldChar w:fldCharType="begin"/>
        </w:r>
        <w:r>
          <w:instrText xml:space="preserve"> PAGE   \* MERGEFORMAT </w:instrText>
        </w:r>
        <w:r>
          <w:fldChar w:fldCharType="separate"/>
        </w:r>
        <w:r w:rsidR="0044746C">
          <w:rPr>
            <w:noProof/>
          </w:rPr>
          <w:t>1</w:t>
        </w:r>
        <w:r>
          <w:rPr>
            <w:noProof/>
          </w:rPr>
          <w:fldChar w:fldCharType="end"/>
        </w:r>
      </w:p>
    </w:sdtContent>
  </w:sdt>
  <w:p w14:paraId="299E1A2A" w14:textId="77777777" w:rsidR="00035CB4" w:rsidRDefault="0003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A1C91" w14:textId="77777777" w:rsidR="000B146D" w:rsidRDefault="000B146D" w:rsidP="009B0AED">
      <w:pPr>
        <w:spacing w:after="0" w:line="240" w:lineRule="auto"/>
      </w:pPr>
      <w:r>
        <w:separator/>
      </w:r>
    </w:p>
  </w:footnote>
  <w:footnote w:type="continuationSeparator" w:id="0">
    <w:p w14:paraId="631C5159" w14:textId="77777777" w:rsidR="000B146D" w:rsidRDefault="000B146D" w:rsidP="009B0AED">
      <w:pPr>
        <w:spacing w:after="0" w:line="240" w:lineRule="auto"/>
      </w:pPr>
      <w:r>
        <w:continuationSeparator/>
      </w:r>
    </w:p>
  </w:footnote>
  <w:footnote w:id="1">
    <w:p w14:paraId="5852C32C" w14:textId="77777777" w:rsidR="00C218F5" w:rsidRPr="00533FD3" w:rsidRDefault="00C218F5" w:rsidP="00C218F5">
      <w:pPr>
        <w:pStyle w:val="FootnoteText"/>
        <w:jc w:val="both"/>
        <w:rPr>
          <w:rFonts w:asciiTheme="majorHAnsi" w:eastAsia="Times New Roman" w:hAnsiTheme="majorHAnsi" w:cstheme="majorHAnsi"/>
          <w:lang w:val="ru-MD"/>
        </w:rPr>
      </w:pPr>
      <w:r w:rsidRPr="00533FD3">
        <w:rPr>
          <w:rFonts w:asciiTheme="majorHAnsi" w:eastAsia="Times New Roman" w:hAnsiTheme="majorHAnsi" w:cstheme="majorHAnsi"/>
          <w:vertAlign w:val="superscript"/>
          <w:lang w:val="ru-MD"/>
        </w:rPr>
        <w:footnoteRef/>
      </w:r>
      <w:r w:rsidRPr="00533FD3">
        <w:rPr>
          <w:rFonts w:asciiTheme="majorHAnsi" w:eastAsia="Times New Roman" w:hAnsiTheme="majorHAnsi" w:cstheme="majorHAnsi"/>
          <w:vertAlign w:val="superscript"/>
          <w:lang w:val="ru-MD"/>
        </w:rPr>
        <w:t xml:space="preserve"> </w:t>
      </w:r>
      <w:r w:rsidRPr="00533FD3">
        <w:rPr>
          <w:rFonts w:asciiTheme="majorHAnsi" w:eastAsia="Times New Roman" w:hAnsiTheme="majorHAnsi" w:cstheme="majorHAnsi"/>
          <w:iCs/>
          <w:lang w:val="ru-MD"/>
        </w:rPr>
        <w:t xml:space="preserve">Закон об организации и функционировании Счетной палаты Республики Молдова №260 от 07.12.2017 </w:t>
      </w:r>
      <w:r w:rsidRPr="00533FD3">
        <w:rPr>
          <w:rFonts w:asciiTheme="majorHAnsi" w:eastAsia="Times New Roman" w:hAnsiTheme="majorHAnsi" w:cstheme="majorHAnsi"/>
          <w:lang w:val="ru-MD"/>
        </w:rPr>
        <w:t>(далее – Закон №260 от 07.12.2017).</w:t>
      </w:r>
    </w:p>
  </w:footnote>
  <w:footnote w:id="2">
    <w:p w14:paraId="796AB9AC" w14:textId="77777777" w:rsidR="000A0EBE" w:rsidRPr="00533FD3" w:rsidRDefault="000A0EBE" w:rsidP="000A0EBE">
      <w:pPr>
        <w:pStyle w:val="FootnoteText"/>
        <w:jc w:val="both"/>
        <w:rPr>
          <w:rFonts w:asciiTheme="majorHAnsi" w:eastAsia="Times New Roman" w:hAnsiTheme="majorHAnsi" w:cstheme="majorHAnsi"/>
          <w:lang w:val="ru-MD"/>
        </w:rPr>
      </w:pPr>
      <w:r w:rsidRPr="00533FD3">
        <w:rPr>
          <w:rFonts w:asciiTheme="majorHAnsi" w:hAnsiTheme="majorHAnsi" w:cstheme="majorHAnsi"/>
          <w:vertAlign w:val="superscript"/>
          <w:lang w:val="ru-MD"/>
        </w:rPr>
        <w:footnoteRef/>
      </w:r>
      <w:r w:rsidRPr="00533FD3">
        <w:rPr>
          <w:rFonts w:asciiTheme="majorHAnsi" w:hAnsiTheme="majorHAnsi" w:cstheme="majorHAnsi"/>
          <w:lang w:val="ru-MD"/>
        </w:rPr>
        <w:t xml:space="preserve"> Программа аудиторской деятельности Счетной палаты на 2021 год, утвержденная Постановлением Счетной палаты №62 от 10.12.2020 (с последующими изменениями)</w:t>
      </w:r>
      <w:r w:rsidRPr="00533FD3">
        <w:rPr>
          <w:rFonts w:asciiTheme="majorHAnsi" w:eastAsia="Times New Roman" w:hAnsiTheme="majorHAnsi" w:cstheme="majorHAnsi"/>
          <w:lang w:val="ru-MD"/>
        </w:rPr>
        <w:t>.</w:t>
      </w:r>
    </w:p>
  </w:footnote>
  <w:footnote w:id="3">
    <w:p w14:paraId="6D928C97" w14:textId="77777777" w:rsidR="000A0EBE" w:rsidRPr="00533FD3" w:rsidRDefault="000A0EBE" w:rsidP="000A0EBE">
      <w:pPr>
        <w:spacing w:after="0" w:line="240" w:lineRule="auto"/>
        <w:jc w:val="both"/>
        <w:rPr>
          <w:rFonts w:ascii="Times New Roman" w:eastAsia="Times New Roman" w:hAnsi="Times New Roman" w:cs="Times New Roman"/>
          <w:sz w:val="20"/>
          <w:szCs w:val="20"/>
          <w:lang w:val="ru-MD"/>
        </w:rPr>
      </w:pPr>
      <w:r w:rsidRPr="00533FD3">
        <w:rPr>
          <w:rStyle w:val="FootnoteReference"/>
          <w:rFonts w:asciiTheme="majorHAnsi" w:hAnsiTheme="majorHAnsi" w:cstheme="majorHAnsi"/>
          <w:sz w:val="20"/>
          <w:szCs w:val="20"/>
          <w:lang w:val="ru-MD"/>
        </w:rPr>
        <w:footnoteRef/>
      </w:r>
      <w:r w:rsidRPr="00533FD3">
        <w:rPr>
          <w:rFonts w:asciiTheme="majorHAnsi" w:hAnsiTheme="majorHAnsi" w:cstheme="majorHAnsi"/>
          <w:sz w:val="20"/>
          <w:szCs w:val="20"/>
          <w:lang w:val="ru-MD"/>
        </w:rPr>
        <w:t xml:space="preserve"> Постановление Счетной палаты №2 от 24.01.2020 </w:t>
      </w:r>
      <w:r w:rsidRPr="00533FD3">
        <w:rPr>
          <w:rFonts w:asciiTheme="majorHAnsi" w:eastAsia="Times New Roman" w:hAnsiTheme="majorHAnsi" w:cstheme="majorHAnsi"/>
          <w:sz w:val="20"/>
          <w:szCs w:val="20"/>
          <w:lang w:val="ru-MD"/>
        </w:rPr>
        <w:t>„О Системе</w:t>
      </w:r>
      <w:r w:rsidRPr="00533FD3">
        <w:rPr>
          <w:rFonts w:asciiTheme="majorHAnsi" w:hAnsiTheme="majorHAnsi" w:cstheme="majorHAnsi"/>
          <w:sz w:val="20"/>
          <w:szCs w:val="20"/>
          <w:lang w:val="ru-MD"/>
        </w:rPr>
        <w:t xml:space="preserve"> профессиональных деклараций INTOSAI</w:t>
      </w:r>
      <w:r w:rsidRPr="00533FD3">
        <w:rPr>
          <w:rFonts w:asciiTheme="majorHAnsi" w:eastAsia="Times New Roman" w:hAnsiTheme="majorHAnsi" w:cstheme="majorHAnsi"/>
          <w:sz w:val="20"/>
          <w:szCs w:val="20"/>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BA1"/>
    <w:multiLevelType w:val="hybridMultilevel"/>
    <w:tmpl w:val="8954D51A"/>
    <w:lvl w:ilvl="0" w:tplc="50EA7C5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2290E"/>
    <w:multiLevelType w:val="hybridMultilevel"/>
    <w:tmpl w:val="0332D4CE"/>
    <w:lvl w:ilvl="0" w:tplc="9BC2CF8C">
      <w:start w:val="3"/>
      <w:numFmt w:val="decimal"/>
      <w:lvlText w:val="%1."/>
      <w:lvlJc w:val="left"/>
      <w:pPr>
        <w:ind w:left="928" w:hanging="360"/>
      </w:pPr>
      <w:rPr>
        <w:rFonts w:cstheme="minorBidi"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D9"/>
    <w:rsid w:val="00015405"/>
    <w:rsid w:val="0001598E"/>
    <w:rsid w:val="00024F47"/>
    <w:rsid w:val="00035CB4"/>
    <w:rsid w:val="00036621"/>
    <w:rsid w:val="00040736"/>
    <w:rsid w:val="000A0EBE"/>
    <w:rsid w:val="000B146D"/>
    <w:rsid w:val="000C2174"/>
    <w:rsid w:val="000E2055"/>
    <w:rsid w:val="000E60AF"/>
    <w:rsid w:val="000F5511"/>
    <w:rsid w:val="001140DF"/>
    <w:rsid w:val="001228A2"/>
    <w:rsid w:val="0013142B"/>
    <w:rsid w:val="00155CC8"/>
    <w:rsid w:val="001626C2"/>
    <w:rsid w:val="00194294"/>
    <w:rsid w:val="001E6EC9"/>
    <w:rsid w:val="001F029A"/>
    <w:rsid w:val="001F0926"/>
    <w:rsid w:val="002031C1"/>
    <w:rsid w:val="00280890"/>
    <w:rsid w:val="0028529D"/>
    <w:rsid w:val="002928E6"/>
    <w:rsid w:val="002D3764"/>
    <w:rsid w:val="002D3B7F"/>
    <w:rsid w:val="002E3DCA"/>
    <w:rsid w:val="0030366A"/>
    <w:rsid w:val="003307A8"/>
    <w:rsid w:val="00343B4D"/>
    <w:rsid w:val="00396722"/>
    <w:rsid w:val="003A2735"/>
    <w:rsid w:val="003A5BA8"/>
    <w:rsid w:val="003E3BC0"/>
    <w:rsid w:val="003F54C3"/>
    <w:rsid w:val="00446B44"/>
    <w:rsid w:val="0044746C"/>
    <w:rsid w:val="004851DE"/>
    <w:rsid w:val="00486F21"/>
    <w:rsid w:val="004940A0"/>
    <w:rsid w:val="004E58DA"/>
    <w:rsid w:val="004F2F66"/>
    <w:rsid w:val="00527003"/>
    <w:rsid w:val="00531FD9"/>
    <w:rsid w:val="00534FF5"/>
    <w:rsid w:val="00536693"/>
    <w:rsid w:val="005516CF"/>
    <w:rsid w:val="005560DB"/>
    <w:rsid w:val="005B0D1F"/>
    <w:rsid w:val="005B7609"/>
    <w:rsid w:val="005D2EB7"/>
    <w:rsid w:val="005F02C7"/>
    <w:rsid w:val="00615393"/>
    <w:rsid w:val="00627FCF"/>
    <w:rsid w:val="00647927"/>
    <w:rsid w:val="00663798"/>
    <w:rsid w:val="0067158B"/>
    <w:rsid w:val="00675BA0"/>
    <w:rsid w:val="006A58F3"/>
    <w:rsid w:val="006C0952"/>
    <w:rsid w:val="00723A47"/>
    <w:rsid w:val="00737421"/>
    <w:rsid w:val="00740844"/>
    <w:rsid w:val="00766EEE"/>
    <w:rsid w:val="007973D4"/>
    <w:rsid w:val="007B07CA"/>
    <w:rsid w:val="007B72DB"/>
    <w:rsid w:val="007C1836"/>
    <w:rsid w:val="007C3BD5"/>
    <w:rsid w:val="007C7987"/>
    <w:rsid w:val="007F112E"/>
    <w:rsid w:val="007F5AB0"/>
    <w:rsid w:val="00804EA4"/>
    <w:rsid w:val="008239A4"/>
    <w:rsid w:val="0083063F"/>
    <w:rsid w:val="00862234"/>
    <w:rsid w:val="00877A75"/>
    <w:rsid w:val="00886496"/>
    <w:rsid w:val="0089450B"/>
    <w:rsid w:val="00897A30"/>
    <w:rsid w:val="008D19A4"/>
    <w:rsid w:val="008E603A"/>
    <w:rsid w:val="0092361E"/>
    <w:rsid w:val="00954C90"/>
    <w:rsid w:val="00957E3E"/>
    <w:rsid w:val="00982904"/>
    <w:rsid w:val="00992823"/>
    <w:rsid w:val="00995BB3"/>
    <w:rsid w:val="009B0AED"/>
    <w:rsid w:val="009D3D77"/>
    <w:rsid w:val="00A274C5"/>
    <w:rsid w:val="00A27CF6"/>
    <w:rsid w:val="00A35155"/>
    <w:rsid w:val="00A40A29"/>
    <w:rsid w:val="00A50308"/>
    <w:rsid w:val="00A52C3E"/>
    <w:rsid w:val="00A73E65"/>
    <w:rsid w:val="00A81B5E"/>
    <w:rsid w:val="00A85A60"/>
    <w:rsid w:val="00AC5900"/>
    <w:rsid w:val="00B24740"/>
    <w:rsid w:val="00B34196"/>
    <w:rsid w:val="00B8047A"/>
    <w:rsid w:val="00BD204C"/>
    <w:rsid w:val="00BD63CA"/>
    <w:rsid w:val="00BE2766"/>
    <w:rsid w:val="00C218F5"/>
    <w:rsid w:val="00C6649E"/>
    <w:rsid w:val="00C667F3"/>
    <w:rsid w:val="00C673EF"/>
    <w:rsid w:val="00C94C44"/>
    <w:rsid w:val="00D041A1"/>
    <w:rsid w:val="00D236EE"/>
    <w:rsid w:val="00D41FB3"/>
    <w:rsid w:val="00D428CF"/>
    <w:rsid w:val="00D5325E"/>
    <w:rsid w:val="00D73DE4"/>
    <w:rsid w:val="00D85E37"/>
    <w:rsid w:val="00D94214"/>
    <w:rsid w:val="00DC1E17"/>
    <w:rsid w:val="00DC25F9"/>
    <w:rsid w:val="00DD730C"/>
    <w:rsid w:val="00E07BF5"/>
    <w:rsid w:val="00E475E7"/>
    <w:rsid w:val="00E85DA4"/>
    <w:rsid w:val="00E93F8A"/>
    <w:rsid w:val="00E96C9D"/>
    <w:rsid w:val="00EB2F27"/>
    <w:rsid w:val="00F00C62"/>
    <w:rsid w:val="00F01953"/>
    <w:rsid w:val="00F02309"/>
    <w:rsid w:val="00F027DE"/>
    <w:rsid w:val="00F07AD0"/>
    <w:rsid w:val="00F11BC0"/>
    <w:rsid w:val="00F546C7"/>
    <w:rsid w:val="00F629BA"/>
    <w:rsid w:val="00F6314A"/>
    <w:rsid w:val="00F71B2E"/>
    <w:rsid w:val="00F83BB5"/>
    <w:rsid w:val="00FD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C622"/>
  <w15:chartTrackingRefBased/>
  <w15:docId w15:val="{35D426A2-25D6-45E4-9118-9DC4774B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9B0AED"/>
    <w:pPr>
      <w:spacing w:after="0" w:line="240" w:lineRule="auto"/>
    </w:pPr>
    <w:rPr>
      <w:sz w:val="20"/>
      <w:szCs w:val="20"/>
      <w:lang w:val="en-US"/>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9B0AED"/>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qFormat/>
    <w:rsid w:val="002D376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2D3764"/>
    <w:pPr>
      <w:spacing w:line="240" w:lineRule="exact"/>
    </w:pPr>
    <w:rPr>
      <w:vertAlign w:val="superscript"/>
      <w:lang w:val="en-US"/>
    </w:rPr>
  </w:style>
  <w:style w:type="paragraph" w:styleId="Header">
    <w:name w:val="header"/>
    <w:basedOn w:val="Normal"/>
    <w:link w:val="HeaderChar"/>
    <w:uiPriority w:val="99"/>
    <w:unhideWhenUsed/>
    <w:rsid w:val="00035CB4"/>
    <w:pPr>
      <w:tabs>
        <w:tab w:val="center" w:pos="4844"/>
        <w:tab w:val="right" w:pos="9689"/>
      </w:tabs>
      <w:spacing w:after="0" w:line="240" w:lineRule="auto"/>
    </w:pPr>
  </w:style>
  <w:style w:type="character" w:customStyle="1" w:styleId="HeaderChar">
    <w:name w:val="Header Char"/>
    <w:basedOn w:val="DefaultParagraphFont"/>
    <w:link w:val="Header"/>
    <w:uiPriority w:val="99"/>
    <w:rsid w:val="00035CB4"/>
    <w:rPr>
      <w:lang w:val="ro-RO"/>
    </w:rPr>
  </w:style>
  <w:style w:type="paragraph" w:styleId="Footer">
    <w:name w:val="footer"/>
    <w:basedOn w:val="Normal"/>
    <w:link w:val="FooterChar"/>
    <w:uiPriority w:val="99"/>
    <w:unhideWhenUsed/>
    <w:rsid w:val="00035CB4"/>
    <w:pPr>
      <w:tabs>
        <w:tab w:val="center" w:pos="4844"/>
        <w:tab w:val="right" w:pos="9689"/>
      </w:tabs>
      <w:spacing w:after="0" w:line="240" w:lineRule="auto"/>
    </w:pPr>
  </w:style>
  <w:style w:type="character" w:customStyle="1" w:styleId="FooterChar">
    <w:name w:val="Footer Char"/>
    <w:basedOn w:val="DefaultParagraphFont"/>
    <w:link w:val="Footer"/>
    <w:uiPriority w:val="99"/>
    <w:rsid w:val="00035CB4"/>
    <w:rPr>
      <w:lang w:val="ro-RO"/>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2031C1"/>
    <w:pPr>
      <w:spacing w:after="0" w:line="240" w:lineRule="auto"/>
      <w:ind w:firstLine="567"/>
      <w:jc w:val="both"/>
    </w:pPr>
    <w:rPr>
      <w:rFonts w:ascii="Times New Roman" w:eastAsia="Times New Roman" w:hAnsi="Times New Roman" w:cs="Times New Roman"/>
      <w:sz w:val="24"/>
      <w:szCs w:val="24"/>
      <w:lang w:val="en-US"/>
    </w:rPr>
  </w:style>
  <w:style w:type="paragraph" w:customStyle="1" w:styleId="cp">
    <w:name w:val="cp"/>
    <w:basedOn w:val="Normal"/>
    <w:rsid w:val="002031C1"/>
    <w:pPr>
      <w:spacing w:after="0" w:line="240" w:lineRule="auto"/>
      <w:jc w:val="center"/>
    </w:pPr>
    <w:rPr>
      <w:rFonts w:ascii="Times New Roman" w:eastAsia="Times New Roman" w:hAnsi="Times New Roman" w:cs="Times New Roman"/>
      <w:b/>
      <w:bCs/>
      <w:sz w:val="24"/>
      <w:szCs w:val="24"/>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2031C1"/>
    <w:rPr>
      <w:rFonts w:ascii="Times New Roman" w:eastAsia="Times New Roman" w:hAnsi="Times New Roman" w:cs="Times New Roman"/>
      <w:sz w:val="24"/>
      <w:szCs w:val="24"/>
    </w:rPr>
  </w:style>
  <w:style w:type="paragraph" w:styleId="ListParagraph">
    <w:name w:val="List Paragraph"/>
    <w:basedOn w:val="Normal"/>
    <w:uiPriority w:val="34"/>
    <w:qFormat/>
    <w:rsid w:val="002031C1"/>
    <w:pPr>
      <w:ind w:left="720"/>
      <w:contextualSpacing/>
    </w:pPr>
    <w:rPr>
      <w:lang w:val="en-US"/>
    </w:rPr>
  </w:style>
  <w:style w:type="character" w:styleId="Hyperlink">
    <w:name w:val="Hyperlink"/>
    <w:basedOn w:val="DefaultParagraphFont"/>
    <w:uiPriority w:val="99"/>
    <w:unhideWhenUsed/>
    <w:rsid w:val="007B72DB"/>
    <w:rPr>
      <w:color w:val="0563C1" w:themeColor="hyperlink"/>
      <w:u w:val="single"/>
    </w:rPr>
  </w:style>
  <w:style w:type="character" w:styleId="CommentReference">
    <w:name w:val="annotation reference"/>
    <w:basedOn w:val="DefaultParagraphFont"/>
    <w:uiPriority w:val="99"/>
    <w:semiHidden/>
    <w:unhideWhenUsed/>
    <w:rsid w:val="002D3B7F"/>
    <w:rPr>
      <w:sz w:val="16"/>
      <w:szCs w:val="16"/>
    </w:rPr>
  </w:style>
  <w:style w:type="paragraph" w:styleId="CommentText">
    <w:name w:val="annotation text"/>
    <w:basedOn w:val="Normal"/>
    <w:link w:val="CommentTextChar"/>
    <w:uiPriority w:val="99"/>
    <w:semiHidden/>
    <w:unhideWhenUsed/>
    <w:rsid w:val="002D3B7F"/>
    <w:pPr>
      <w:spacing w:line="240" w:lineRule="auto"/>
    </w:pPr>
    <w:rPr>
      <w:sz w:val="20"/>
      <w:szCs w:val="20"/>
    </w:rPr>
  </w:style>
  <w:style w:type="character" w:customStyle="1" w:styleId="CommentTextChar">
    <w:name w:val="Comment Text Char"/>
    <w:basedOn w:val="DefaultParagraphFont"/>
    <w:link w:val="CommentText"/>
    <w:uiPriority w:val="99"/>
    <w:semiHidden/>
    <w:rsid w:val="002D3B7F"/>
    <w:rPr>
      <w:sz w:val="20"/>
      <w:szCs w:val="20"/>
      <w:lang w:val="ro-RO"/>
    </w:rPr>
  </w:style>
  <w:style w:type="paragraph" w:styleId="CommentSubject">
    <w:name w:val="annotation subject"/>
    <w:basedOn w:val="CommentText"/>
    <w:next w:val="CommentText"/>
    <w:link w:val="CommentSubjectChar"/>
    <w:uiPriority w:val="99"/>
    <w:semiHidden/>
    <w:unhideWhenUsed/>
    <w:rsid w:val="002D3B7F"/>
    <w:rPr>
      <w:b/>
      <w:bCs/>
    </w:rPr>
  </w:style>
  <w:style w:type="character" w:customStyle="1" w:styleId="CommentSubjectChar">
    <w:name w:val="Comment Subject Char"/>
    <w:basedOn w:val="CommentTextChar"/>
    <w:link w:val="CommentSubject"/>
    <w:uiPriority w:val="99"/>
    <w:semiHidden/>
    <w:rsid w:val="002D3B7F"/>
    <w:rPr>
      <w:b/>
      <w:bCs/>
      <w:sz w:val="20"/>
      <w:szCs w:val="20"/>
      <w:lang w:val="ro-RO"/>
    </w:rPr>
  </w:style>
  <w:style w:type="paragraph" w:styleId="BalloonText">
    <w:name w:val="Balloon Text"/>
    <w:basedOn w:val="Normal"/>
    <w:link w:val="BalloonTextChar"/>
    <w:uiPriority w:val="99"/>
    <w:semiHidden/>
    <w:unhideWhenUsed/>
    <w:rsid w:val="002D3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7F"/>
    <w:rPr>
      <w:rFonts w:ascii="Segoe UI" w:hAnsi="Segoe UI" w:cs="Segoe UI"/>
      <w:sz w:val="18"/>
      <w:szCs w:val="18"/>
      <w:lang w:val="ro-RO"/>
    </w:rPr>
  </w:style>
  <w:style w:type="paragraph" w:customStyle="1" w:styleId="cn">
    <w:name w:val="cn"/>
    <w:basedOn w:val="Normal"/>
    <w:rsid w:val="00F71B2E"/>
    <w:pPr>
      <w:spacing w:after="0" w:line="24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62E0-4326-4313-9F86-AE880A89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2</cp:revision>
  <dcterms:created xsi:type="dcterms:W3CDTF">2022-03-09T20:01:00Z</dcterms:created>
  <dcterms:modified xsi:type="dcterms:W3CDTF">2022-03-09T20:01:00Z</dcterms:modified>
</cp:coreProperties>
</file>