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3FD8" w14:textId="77777777" w:rsidR="00E73916" w:rsidRPr="00CD7FE5" w:rsidRDefault="00E73916" w:rsidP="00325F1F">
      <w:pPr>
        <w:tabs>
          <w:tab w:val="left" w:pos="720"/>
        </w:tabs>
        <w:spacing w:after="0" w:line="276" w:lineRule="auto"/>
        <w:jc w:val="right"/>
        <w:rPr>
          <w:rFonts w:asciiTheme="majorHAnsi" w:eastAsia="Times New Roman" w:hAnsiTheme="majorHAnsi" w:cstheme="majorHAnsi"/>
          <w:bCs/>
          <w:szCs w:val="28"/>
          <w:lang w:val="ro-MD"/>
        </w:rPr>
      </w:pPr>
      <w:bookmarkStart w:id="0" w:name="_Toc520882612"/>
      <w:bookmarkStart w:id="1" w:name="_Toc527989131"/>
      <w:bookmarkStart w:id="2" w:name="_GoBack"/>
      <w:bookmarkEnd w:id="2"/>
      <w:r w:rsidRPr="00CD7FE5">
        <w:rPr>
          <w:rFonts w:asciiTheme="majorHAnsi" w:eastAsia="Times New Roman" w:hAnsiTheme="majorHAnsi" w:cstheme="majorHAnsi"/>
          <w:bCs/>
          <w:szCs w:val="28"/>
          <w:lang w:val="ro-MD"/>
        </w:rPr>
        <w:t xml:space="preserve">Anexă </w:t>
      </w:r>
    </w:p>
    <w:p w14:paraId="777A1AC8" w14:textId="77777777" w:rsidR="00E73916" w:rsidRPr="00CD7FE5" w:rsidRDefault="00E73916" w:rsidP="00325F1F">
      <w:pPr>
        <w:tabs>
          <w:tab w:val="left" w:pos="720"/>
        </w:tabs>
        <w:spacing w:after="0" w:line="276" w:lineRule="auto"/>
        <w:jc w:val="right"/>
        <w:rPr>
          <w:rFonts w:asciiTheme="majorHAnsi" w:eastAsia="Times New Roman" w:hAnsiTheme="majorHAnsi" w:cstheme="majorHAnsi"/>
          <w:bCs/>
          <w:szCs w:val="28"/>
          <w:lang w:val="ro-MD"/>
        </w:rPr>
      </w:pPr>
      <w:r w:rsidRPr="00CD7FE5">
        <w:rPr>
          <w:rFonts w:asciiTheme="majorHAnsi" w:eastAsia="Times New Roman" w:hAnsiTheme="majorHAnsi" w:cstheme="majorHAnsi"/>
          <w:bCs/>
          <w:szCs w:val="28"/>
          <w:lang w:val="ro-MD"/>
        </w:rPr>
        <w:t xml:space="preserve">la Hotărârea Curții de Conturi </w:t>
      </w:r>
    </w:p>
    <w:p w14:paraId="22625847" w14:textId="716D74BD" w:rsidR="00E73916" w:rsidRPr="00CD7FE5" w:rsidRDefault="00E73916" w:rsidP="00BE6ED8">
      <w:pPr>
        <w:tabs>
          <w:tab w:val="left" w:pos="720"/>
        </w:tabs>
        <w:spacing w:after="0" w:line="276" w:lineRule="auto"/>
        <w:jc w:val="right"/>
        <w:rPr>
          <w:rFonts w:asciiTheme="majorHAnsi" w:eastAsia="Times New Roman" w:hAnsiTheme="majorHAnsi" w:cstheme="majorHAnsi"/>
          <w:bCs/>
          <w:szCs w:val="28"/>
          <w:lang w:val="ro-MD"/>
        </w:rPr>
      </w:pPr>
      <w:r w:rsidRPr="00CD7FE5">
        <w:rPr>
          <w:rFonts w:asciiTheme="majorHAnsi" w:eastAsia="Times New Roman" w:hAnsiTheme="majorHAnsi" w:cstheme="majorHAnsi"/>
          <w:bCs/>
          <w:szCs w:val="28"/>
          <w:lang w:val="ro-MD"/>
        </w:rPr>
        <w:t xml:space="preserve"> nr</w:t>
      </w:r>
      <w:r w:rsidR="000F4A62" w:rsidRPr="00CD7FE5">
        <w:rPr>
          <w:rFonts w:asciiTheme="majorHAnsi" w:eastAsia="Times New Roman" w:hAnsiTheme="majorHAnsi" w:cstheme="majorHAnsi"/>
          <w:bCs/>
          <w:szCs w:val="28"/>
          <w:lang w:val="ro-MD"/>
        </w:rPr>
        <w:t>.</w:t>
      </w:r>
      <w:r w:rsidR="0059362A">
        <w:rPr>
          <w:rFonts w:asciiTheme="majorHAnsi" w:eastAsia="Times New Roman" w:hAnsiTheme="majorHAnsi" w:cstheme="majorHAnsi"/>
          <w:bCs/>
          <w:szCs w:val="28"/>
          <w:lang w:val="ro-MD"/>
        </w:rPr>
        <w:t>43</w:t>
      </w:r>
      <w:r w:rsidR="000F4A62" w:rsidRPr="00CD7FE5">
        <w:rPr>
          <w:rFonts w:asciiTheme="majorHAnsi" w:eastAsia="Times New Roman" w:hAnsiTheme="majorHAnsi" w:cstheme="majorHAnsi"/>
          <w:bCs/>
          <w:szCs w:val="28"/>
          <w:lang w:val="ro-MD"/>
        </w:rPr>
        <w:t xml:space="preserve"> </w:t>
      </w:r>
      <w:r w:rsidRPr="00CD7FE5">
        <w:rPr>
          <w:rFonts w:asciiTheme="majorHAnsi" w:eastAsia="Times New Roman" w:hAnsiTheme="majorHAnsi" w:cstheme="majorHAnsi"/>
          <w:bCs/>
          <w:szCs w:val="28"/>
          <w:lang w:val="ro-MD"/>
        </w:rPr>
        <w:t xml:space="preserve">din </w:t>
      </w:r>
      <w:r w:rsidR="007903A5" w:rsidRPr="00CD7FE5">
        <w:rPr>
          <w:rFonts w:asciiTheme="majorHAnsi" w:eastAsia="Times New Roman" w:hAnsiTheme="majorHAnsi" w:cstheme="majorHAnsi"/>
          <w:bCs/>
          <w:szCs w:val="28"/>
          <w:lang w:val="ro-MD"/>
        </w:rPr>
        <w:t>2</w:t>
      </w:r>
      <w:r w:rsidR="007C21CB" w:rsidRPr="00CD7FE5">
        <w:rPr>
          <w:rFonts w:asciiTheme="majorHAnsi" w:eastAsia="Times New Roman" w:hAnsiTheme="majorHAnsi" w:cstheme="majorHAnsi"/>
          <w:bCs/>
          <w:szCs w:val="28"/>
          <w:lang w:val="ro-MD"/>
        </w:rPr>
        <w:t>7</w:t>
      </w:r>
      <w:r w:rsidRPr="00CD7FE5">
        <w:rPr>
          <w:rFonts w:asciiTheme="majorHAnsi" w:eastAsia="Times New Roman" w:hAnsiTheme="majorHAnsi" w:cstheme="majorHAnsi"/>
          <w:bCs/>
          <w:szCs w:val="28"/>
          <w:lang w:val="ro-MD"/>
        </w:rPr>
        <w:t xml:space="preserve"> </w:t>
      </w:r>
      <w:r w:rsidR="007903A5" w:rsidRPr="00CD7FE5">
        <w:rPr>
          <w:rFonts w:asciiTheme="majorHAnsi" w:eastAsia="Times New Roman" w:hAnsiTheme="majorHAnsi" w:cstheme="majorHAnsi"/>
          <w:bCs/>
          <w:szCs w:val="28"/>
          <w:lang w:val="ro-MD"/>
        </w:rPr>
        <w:t>iulie</w:t>
      </w:r>
      <w:r w:rsidRPr="00CD7FE5">
        <w:rPr>
          <w:rFonts w:asciiTheme="majorHAnsi" w:eastAsia="Times New Roman" w:hAnsiTheme="majorHAnsi" w:cstheme="majorHAnsi"/>
          <w:bCs/>
          <w:szCs w:val="28"/>
          <w:lang w:val="ro-MD"/>
        </w:rPr>
        <w:t xml:space="preserve"> 20</w:t>
      </w:r>
      <w:r w:rsidR="007903A5" w:rsidRPr="00CD7FE5">
        <w:rPr>
          <w:rFonts w:asciiTheme="majorHAnsi" w:eastAsia="Times New Roman" w:hAnsiTheme="majorHAnsi" w:cstheme="majorHAnsi"/>
          <w:bCs/>
          <w:szCs w:val="28"/>
          <w:lang w:val="ro-MD"/>
        </w:rPr>
        <w:t>2</w:t>
      </w:r>
      <w:r w:rsidR="00BE6ED8">
        <w:rPr>
          <w:rFonts w:asciiTheme="majorHAnsi" w:eastAsia="Times New Roman" w:hAnsiTheme="majorHAnsi" w:cstheme="majorHAnsi"/>
          <w:bCs/>
          <w:szCs w:val="28"/>
          <w:lang w:val="ro-MD"/>
        </w:rPr>
        <w:t>1</w:t>
      </w:r>
    </w:p>
    <w:p w14:paraId="31E16BBE" w14:textId="77777777" w:rsidR="00E73916" w:rsidRPr="00CD7FE5" w:rsidRDefault="00E73916" w:rsidP="00325F1F">
      <w:pPr>
        <w:spacing w:after="0" w:line="276" w:lineRule="auto"/>
        <w:rPr>
          <w:rFonts w:asciiTheme="majorHAnsi" w:hAnsiTheme="majorHAnsi" w:cstheme="majorHAnsi"/>
          <w:lang w:val="ro-MD"/>
        </w:rPr>
      </w:pPr>
    </w:p>
    <w:p w14:paraId="0541E981" w14:textId="77777777" w:rsidR="00E73916" w:rsidRPr="00CD7FE5" w:rsidRDefault="00E73916" w:rsidP="00325F1F">
      <w:pPr>
        <w:spacing w:after="0" w:line="276" w:lineRule="auto"/>
        <w:rPr>
          <w:rFonts w:asciiTheme="majorHAnsi" w:hAnsiTheme="majorHAnsi" w:cstheme="majorHAnsi"/>
          <w:lang w:val="ro-MD"/>
        </w:rPr>
      </w:pPr>
    </w:p>
    <w:p w14:paraId="4CA7BD00" w14:textId="77777777" w:rsidR="00E73916" w:rsidRPr="00CD7FE5" w:rsidRDefault="00E73916" w:rsidP="00325F1F">
      <w:pPr>
        <w:spacing w:after="0" w:line="276" w:lineRule="auto"/>
        <w:jc w:val="center"/>
        <w:rPr>
          <w:rFonts w:asciiTheme="majorHAnsi" w:hAnsiTheme="majorHAnsi" w:cstheme="majorHAnsi"/>
          <w:b/>
          <w:szCs w:val="28"/>
          <w:lang w:val="ro-MD"/>
        </w:rPr>
      </w:pPr>
    </w:p>
    <w:p w14:paraId="5A0A793F" w14:textId="77777777" w:rsidR="00E73916" w:rsidRPr="00CD7FE5" w:rsidRDefault="00E73916" w:rsidP="00325F1F">
      <w:pPr>
        <w:spacing w:after="0" w:line="276" w:lineRule="auto"/>
        <w:jc w:val="center"/>
        <w:rPr>
          <w:rFonts w:asciiTheme="majorHAnsi" w:hAnsiTheme="majorHAnsi" w:cstheme="majorHAnsi"/>
          <w:b/>
          <w:szCs w:val="28"/>
          <w:lang w:val="ro-MD"/>
        </w:rPr>
      </w:pPr>
      <w:r w:rsidRPr="00CD7FE5">
        <w:rPr>
          <w:rFonts w:asciiTheme="majorHAnsi" w:hAnsiTheme="majorHAnsi" w:cstheme="majorHAnsi"/>
          <w:b/>
          <w:noProof/>
          <w:szCs w:val="28"/>
        </w:rPr>
        <w:drawing>
          <wp:inline distT="0" distB="0" distL="0" distR="0" wp14:anchorId="0B367705" wp14:editId="4380A454">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5EDA5454" w14:textId="77777777" w:rsidR="00E73916" w:rsidRPr="00CD7FE5" w:rsidRDefault="00E73916" w:rsidP="00325F1F">
      <w:pPr>
        <w:spacing w:after="0" w:line="276" w:lineRule="auto"/>
        <w:jc w:val="center"/>
        <w:rPr>
          <w:rFonts w:asciiTheme="majorHAnsi" w:hAnsiTheme="majorHAnsi" w:cstheme="majorHAnsi"/>
          <w:b/>
          <w:szCs w:val="28"/>
          <w:lang w:val="ro-MD"/>
        </w:rPr>
      </w:pPr>
    </w:p>
    <w:p w14:paraId="13A6A7D9" w14:textId="77777777" w:rsidR="00E73916" w:rsidRPr="00CD7FE5" w:rsidRDefault="00E73916" w:rsidP="00325F1F">
      <w:pPr>
        <w:spacing w:after="0" w:line="276" w:lineRule="auto"/>
        <w:jc w:val="center"/>
        <w:rPr>
          <w:rFonts w:asciiTheme="majorHAnsi" w:hAnsiTheme="majorHAnsi" w:cstheme="majorHAnsi"/>
          <w:b/>
          <w:szCs w:val="28"/>
          <w:lang w:val="ro-MD"/>
        </w:rPr>
      </w:pPr>
    </w:p>
    <w:p w14:paraId="7B81F1FE" w14:textId="77777777" w:rsidR="00E73916" w:rsidRPr="00CD7FE5" w:rsidRDefault="00E73916" w:rsidP="00325F1F">
      <w:pPr>
        <w:spacing w:after="0" w:line="276" w:lineRule="auto"/>
        <w:jc w:val="center"/>
        <w:rPr>
          <w:rFonts w:asciiTheme="majorHAnsi" w:hAnsiTheme="majorHAnsi" w:cstheme="majorHAnsi"/>
          <w:b/>
          <w:sz w:val="40"/>
          <w:szCs w:val="40"/>
          <w:lang w:val="ro-MD"/>
        </w:rPr>
      </w:pPr>
      <w:r w:rsidRPr="00CD7FE5">
        <w:rPr>
          <w:rFonts w:asciiTheme="majorHAnsi" w:hAnsiTheme="majorHAnsi" w:cstheme="majorHAnsi"/>
          <w:b/>
          <w:sz w:val="40"/>
          <w:szCs w:val="40"/>
          <w:lang w:val="ro-MD"/>
        </w:rPr>
        <w:t>CURTEA DE CONTURI A REPUBLICII MOLDOVA</w:t>
      </w:r>
    </w:p>
    <w:p w14:paraId="432D8606" w14:textId="77777777" w:rsidR="00E73916" w:rsidRPr="00CD7FE5" w:rsidRDefault="00E73916" w:rsidP="00325F1F">
      <w:pPr>
        <w:spacing w:after="0" w:line="276" w:lineRule="auto"/>
        <w:rPr>
          <w:rFonts w:asciiTheme="majorHAnsi" w:hAnsiTheme="majorHAnsi" w:cstheme="majorHAnsi"/>
          <w:lang w:val="ro-MD"/>
        </w:rPr>
      </w:pPr>
    </w:p>
    <w:p w14:paraId="4DDC8BA0" w14:textId="77777777" w:rsidR="00E73916" w:rsidRPr="00CD7FE5"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73916" w:rsidRPr="00CD7FE5" w14:paraId="196237FA" w14:textId="77777777" w:rsidTr="004A4DD4">
        <w:trPr>
          <w:trHeight w:val="435"/>
        </w:trPr>
        <w:tc>
          <w:tcPr>
            <w:tcW w:w="9350" w:type="dxa"/>
          </w:tcPr>
          <w:p w14:paraId="20E5634D" w14:textId="77777777" w:rsidR="00E73916" w:rsidRPr="00CD7FE5" w:rsidRDefault="00E73916" w:rsidP="00325F1F">
            <w:pPr>
              <w:tabs>
                <w:tab w:val="left" w:pos="720"/>
              </w:tabs>
              <w:spacing w:after="0" w:line="276" w:lineRule="auto"/>
              <w:jc w:val="center"/>
              <w:rPr>
                <w:rFonts w:asciiTheme="majorHAnsi" w:hAnsiTheme="majorHAnsi" w:cstheme="majorHAnsi"/>
                <w:sz w:val="18"/>
                <w:szCs w:val="18"/>
                <w:lang w:val="ro-MD"/>
              </w:rPr>
            </w:pPr>
            <w:r w:rsidRPr="00CD7FE5">
              <w:rPr>
                <w:rFonts w:asciiTheme="majorHAnsi" w:hAnsiTheme="majorHAnsi" w:cstheme="majorHAnsi"/>
                <w:sz w:val="18"/>
                <w:szCs w:val="18"/>
                <w:lang w:val="ro-MD"/>
              </w:rPr>
              <w:t xml:space="preserve">MD-2001, mun. Chișinău, bd. Ștefan cel Mare și Sfânt nr.69, tel.: (+373) 22 23 25 79, fax: (+373) 22 23 30 20, </w:t>
            </w:r>
          </w:p>
          <w:p w14:paraId="1B1F4336" w14:textId="77777777" w:rsidR="00E73916" w:rsidRPr="00CD7FE5" w:rsidRDefault="00583451" w:rsidP="00325F1F">
            <w:pPr>
              <w:tabs>
                <w:tab w:val="left" w:pos="720"/>
              </w:tabs>
              <w:spacing w:after="0" w:line="276" w:lineRule="auto"/>
              <w:jc w:val="center"/>
              <w:rPr>
                <w:rFonts w:asciiTheme="majorHAnsi" w:eastAsia="Times New Roman" w:hAnsiTheme="majorHAnsi" w:cstheme="majorHAnsi"/>
                <w:b/>
                <w:bCs/>
                <w:sz w:val="24"/>
                <w:szCs w:val="24"/>
                <w:lang w:val="ro-MD"/>
              </w:rPr>
            </w:pPr>
            <w:hyperlink r:id="rId12" w:history="1">
              <w:r w:rsidR="00E73916" w:rsidRPr="00CD7FE5">
                <w:rPr>
                  <w:rStyle w:val="Hyperlink"/>
                  <w:rFonts w:asciiTheme="majorHAnsi" w:hAnsiTheme="majorHAnsi" w:cstheme="majorHAnsi"/>
                  <w:b/>
                  <w:color w:val="auto"/>
                  <w:sz w:val="18"/>
                  <w:szCs w:val="18"/>
                  <w:lang w:val="ro-MD"/>
                </w:rPr>
                <w:t>www.ccrm.md</w:t>
              </w:r>
            </w:hyperlink>
            <w:r w:rsidR="00E73916" w:rsidRPr="00CD7FE5">
              <w:rPr>
                <w:rStyle w:val="Hyperlink"/>
                <w:rFonts w:asciiTheme="majorHAnsi" w:hAnsiTheme="majorHAnsi" w:cstheme="majorHAnsi"/>
                <w:b/>
                <w:color w:val="auto"/>
                <w:sz w:val="18"/>
                <w:szCs w:val="18"/>
                <w:lang w:val="ro-MD"/>
              </w:rPr>
              <w:t xml:space="preserve">; </w:t>
            </w:r>
            <w:r w:rsidR="00E73916" w:rsidRPr="00CD7FE5">
              <w:rPr>
                <w:rFonts w:asciiTheme="majorHAnsi" w:hAnsiTheme="majorHAnsi" w:cstheme="majorHAnsi"/>
                <w:sz w:val="18"/>
                <w:szCs w:val="18"/>
                <w:lang w:val="ro-MD"/>
              </w:rPr>
              <w:t xml:space="preserve">e-mail: </w:t>
            </w:r>
            <w:hyperlink r:id="rId13" w:history="1">
              <w:r w:rsidR="00E73916" w:rsidRPr="00CD7FE5">
                <w:rPr>
                  <w:rStyle w:val="Hyperlink"/>
                  <w:rFonts w:asciiTheme="majorHAnsi" w:hAnsiTheme="majorHAnsi" w:cstheme="majorHAnsi"/>
                  <w:b/>
                  <w:color w:val="auto"/>
                  <w:sz w:val="18"/>
                  <w:szCs w:val="18"/>
                  <w:lang w:val="ro-MD"/>
                </w:rPr>
                <w:t>ccrm@ccrm.md</w:t>
              </w:r>
            </w:hyperlink>
          </w:p>
        </w:tc>
      </w:tr>
    </w:tbl>
    <w:p w14:paraId="680A1EA0" w14:textId="77777777" w:rsidR="00E73916" w:rsidRPr="00CD7FE5"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6745D1CA" w14:textId="77777777" w:rsidR="00E73916" w:rsidRPr="00CD7FE5"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7C8E2146" w14:textId="77777777" w:rsidR="00E73916" w:rsidRPr="00CD7FE5"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739F7409" w14:textId="77777777" w:rsidR="00E73916" w:rsidRPr="00CD7FE5"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473375FB" w14:textId="77777777" w:rsidR="00E73916" w:rsidRPr="00CD7FE5"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1C41E9A4" w14:textId="77777777" w:rsidR="00E73916" w:rsidRPr="00CD7FE5" w:rsidRDefault="00E73916" w:rsidP="00325F1F">
      <w:pPr>
        <w:tabs>
          <w:tab w:val="left" w:pos="720"/>
        </w:tabs>
        <w:spacing w:after="0" w:line="276" w:lineRule="auto"/>
        <w:jc w:val="center"/>
        <w:rPr>
          <w:rFonts w:asciiTheme="majorHAnsi" w:eastAsia="Times New Roman" w:hAnsiTheme="majorHAnsi" w:cstheme="majorHAnsi"/>
          <w:b/>
          <w:bCs/>
          <w:sz w:val="24"/>
          <w:szCs w:val="24"/>
          <w:lang w:val="ro-MD"/>
        </w:rPr>
      </w:pPr>
    </w:p>
    <w:p w14:paraId="27ACE8AF" w14:textId="77777777" w:rsidR="00E73916" w:rsidRPr="00CD7FE5" w:rsidRDefault="00E73916" w:rsidP="00325F1F">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2F674C94" w14:textId="77777777" w:rsidR="00E73916" w:rsidRPr="00CD7FE5" w:rsidRDefault="00E73916" w:rsidP="00325F1F">
      <w:pPr>
        <w:tabs>
          <w:tab w:val="left" w:pos="720"/>
        </w:tabs>
        <w:spacing w:after="0" w:line="276" w:lineRule="auto"/>
        <w:jc w:val="center"/>
        <w:rPr>
          <w:rFonts w:asciiTheme="majorHAnsi" w:eastAsia="Times New Roman" w:hAnsiTheme="majorHAnsi" w:cstheme="majorHAnsi"/>
          <w:b/>
          <w:bCs/>
          <w:sz w:val="32"/>
          <w:szCs w:val="32"/>
          <w:lang w:val="ro-MD"/>
        </w:rPr>
      </w:pPr>
      <w:r w:rsidRPr="00CD7FE5">
        <w:rPr>
          <w:rFonts w:asciiTheme="majorHAnsi" w:eastAsia="Times New Roman" w:hAnsiTheme="majorHAnsi" w:cstheme="majorHAnsi"/>
          <w:b/>
          <w:bCs/>
          <w:sz w:val="32"/>
          <w:szCs w:val="32"/>
          <w:lang w:val="ro-MD"/>
        </w:rPr>
        <w:t xml:space="preserve">RAPORTUL </w:t>
      </w:r>
    </w:p>
    <w:p w14:paraId="28F19CCA" w14:textId="77777777" w:rsidR="00E73916" w:rsidRPr="00CD7FE5" w:rsidRDefault="00E73916" w:rsidP="00325F1F">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F4CC86" w14:textId="61F10C1F" w:rsidR="00E73916" w:rsidRPr="00CD7FE5" w:rsidRDefault="00E73916" w:rsidP="007C21CB">
      <w:pPr>
        <w:spacing w:after="0" w:line="276" w:lineRule="auto"/>
        <w:jc w:val="center"/>
        <w:rPr>
          <w:rFonts w:asciiTheme="majorHAnsi" w:eastAsia="Times New Roman" w:hAnsiTheme="majorHAnsi" w:cstheme="majorHAnsi"/>
          <w:b/>
          <w:bCs/>
          <w:szCs w:val="28"/>
          <w:lang w:val="ro-MD"/>
        </w:rPr>
      </w:pPr>
      <w:r w:rsidRPr="00CD7FE5">
        <w:rPr>
          <w:rFonts w:asciiTheme="majorHAnsi" w:eastAsia="Times New Roman" w:hAnsiTheme="majorHAnsi" w:cstheme="majorHAnsi"/>
          <w:b/>
          <w:bCs/>
          <w:szCs w:val="28"/>
          <w:lang w:val="ro-MD"/>
        </w:rPr>
        <w:t xml:space="preserve">auditului </w:t>
      </w:r>
      <w:r w:rsidR="00A56834" w:rsidRPr="00CD7FE5">
        <w:rPr>
          <w:rFonts w:asciiTheme="majorHAnsi" w:eastAsia="Times New Roman" w:hAnsiTheme="majorHAnsi" w:cstheme="majorHAnsi"/>
          <w:b/>
          <w:bCs/>
          <w:szCs w:val="28"/>
          <w:lang w:val="ro-MD"/>
        </w:rPr>
        <w:t xml:space="preserve">asupra </w:t>
      </w:r>
      <w:r w:rsidRPr="00CD7FE5">
        <w:rPr>
          <w:rFonts w:asciiTheme="majorHAnsi" w:eastAsia="Times New Roman" w:hAnsiTheme="majorHAnsi" w:cstheme="majorHAnsi"/>
          <w:b/>
          <w:bCs/>
          <w:szCs w:val="28"/>
          <w:lang w:val="ro-MD"/>
        </w:rPr>
        <w:t>rapoartelor financiare consolidate ale Ministerului Educației, Culturii și Cercetăr</w:t>
      </w:r>
      <w:r w:rsidR="007C21CB" w:rsidRPr="00CD7FE5">
        <w:rPr>
          <w:rFonts w:asciiTheme="majorHAnsi" w:eastAsia="Times New Roman" w:hAnsiTheme="majorHAnsi" w:cstheme="majorHAnsi"/>
          <w:b/>
          <w:bCs/>
          <w:szCs w:val="28"/>
          <w:lang w:val="ro-MD"/>
        </w:rPr>
        <w:t>ii încheiate la 31 decembrie 2020</w:t>
      </w:r>
      <w:r w:rsidR="00414134" w:rsidRPr="00CD7FE5">
        <w:rPr>
          <w:rFonts w:asciiTheme="majorHAnsi" w:eastAsia="Times New Roman" w:hAnsiTheme="majorHAnsi" w:cstheme="majorHAnsi"/>
          <w:b/>
          <w:bCs/>
          <w:szCs w:val="28"/>
          <w:lang w:val="ro-MD"/>
        </w:rPr>
        <w:t xml:space="preserve">     </w:t>
      </w:r>
      <w:r w:rsidRPr="00CD7FE5">
        <w:rPr>
          <w:rFonts w:asciiTheme="majorHAnsi" w:eastAsia="Times New Roman" w:hAnsiTheme="majorHAnsi" w:cstheme="majorHAnsi"/>
          <w:b/>
          <w:bCs/>
          <w:szCs w:val="28"/>
          <w:lang w:val="ro-MD"/>
        </w:rPr>
        <w:t xml:space="preserve"> </w:t>
      </w:r>
    </w:p>
    <w:p w14:paraId="4A050944" w14:textId="78FFBA90" w:rsidR="00507320" w:rsidRPr="00CD7FE5" w:rsidRDefault="00507320" w:rsidP="00325F1F">
      <w:pPr>
        <w:spacing w:after="0" w:line="276" w:lineRule="auto"/>
        <w:jc w:val="center"/>
        <w:rPr>
          <w:rFonts w:asciiTheme="majorHAnsi" w:eastAsia="Times New Roman" w:hAnsiTheme="majorHAnsi" w:cstheme="majorHAnsi"/>
          <w:b/>
          <w:bCs/>
          <w:szCs w:val="28"/>
          <w:lang w:val="ro-MD"/>
        </w:rPr>
      </w:pPr>
    </w:p>
    <w:p w14:paraId="5719C2A3" w14:textId="77777777" w:rsidR="00507320" w:rsidRPr="00CD7FE5" w:rsidRDefault="00507320" w:rsidP="00325F1F">
      <w:pPr>
        <w:spacing w:line="276" w:lineRule="auto"/>
        <w:rPr>
          <w:rFonts w:asciiTheme="majorHAnsi" w:eastAsia="Times New Roman" w:hAnsiTheme="majorHAnsi" w:cstheme="majorHAnsi"/>
          <w:szCs w:val="28"/>
          <w:lang w:val="ro-MD"/>
        </w:rPr>
      </w:pPr>
    </w:p>
    <w:p w14:paraId="24BF7176" w14:textId="77777777" w:rsidR="00507320" w:rsidRPr="00CD7FE5" w:rsidRDefault="00507320" w:rsidP="00325F1F">
      <w:pPr>
        <w:spacing w:line="276" w:lineRule="auto"/>
        <w:rPr>
          <w:rFonts w:asciiTheme="majorHAnsi" w:eastAsia="Times New Roman" w:hAnsiTheme="majorHAnsi" w:cstheme="majorHAnsi"/>
          <w:szCs w:val="28"/>
          <w:lang w:val="ro-MD"/>
        </w:rPr>
      </w:pPr>
    </w:p>
    <w:p w14:paraId="77AE71AA" w14:textId="77777777" w:rsidR="00507320" w:rsidRPr="00CD7FE5" w:rsidRDefault="00507320" w:rsidP="00325F1F">
      <w:pPr>
        <w:spacing w:line="276" w:lineRule="auto"/>
        <w:rPr>
          <w:rFonts w:asciiTheme="majorHAnsi" w:eastAsia="Times New Roman" w:hAnsiTheme="majorHAnsi" w:cstheme="majorHAnsi"/>
          <w:szCs w:val="28"/>
          <w:lang w:val="ro-MD"/>
        </w:rPr>
      </w:pPr>
    </w:p>
    <w:p w14:paraId="05A518BB" w14:textId="6644877C" w:rsidR="00507320" w:rsidRPr="00CD7FE5" w:rsidRDefault="00507320" w:rsidP="00325F1F">
      <w:pPr>
        <w:spacing w:line="276" w:lineRule="auto"/>
        <w:jc w:val="right"/>
        <w:rPr>
          <w:rFonts w:asciiTheme="majorHAnsi" w:eastAsia="Times New Roman" w:hAnsiTheme="majorHAnsi" w:cstheme="majorHAnsi"/>
          <w:szCs w:val="28"/>
          <w:lang w:val="ro-MD"/>
        </w:rPr>
      </w:pPr>
    </w:p>
    <w:p w14:paraId="6E0E947C" w14:textId="1F0557D5" w:rsidR="00507320" w:rsidRPr="00CD7FE5" w:rsidRDefault="00507320" w:rsidP="00325F1F">
      <w:pPr>
        <w:spacing w:line="276" w:lineRule="auto"/>
        <w:rPr>
          <w:rFonts w:asciiTheme="majorHAnsi" w:eastAsia="Times New Roman" w:hAnsiTheme="majorHAnsi" w:cstheme="majorHAnsi"/>
          <w:szCs w:val="28"/>
          <w:lang w:val="ro-MD"/>
        </w:rPr>
      </w:pPr>
    </w:p>
    <w:p w14:paraId="2B0738CF" w14:textId="77777777" w:rsidR="006C2E10" w:rsidRPr="00CD7FE5" w:rsidRDefault="006C2E10" w:rsidP="00325F1F">
      <w:pPr>
        <w:spacing w:line="276" w:lineRule="auto"/>
        <w:rPr>
          <w:rFonts w:asciiTheme="majorHAnsi" w:eastAsia="Times New Roman" w:hAnsiTheme="majorHAnsi" w:cstheme="majorHAnsi"/>
          <w:szCs w:val="28"/>
          <w:lang w:val="ro-MD"/>
        </w:rPr>
        <w:sectPr w:rsidR="006C2E10" w:rsidRPr="00CD7FE5" w:rsidSect="00507320">
          <w:footerReference w:type="default" r:id="rId14"/>
          <w:pgSz w:w="11906" w:h="16838" w:code="9"/>
          <w:pgMar w:top="1134" w:right="850" w:bottom="1134" w:left="1701" w:header="720" w:footer="720" w:gutter="0"/>
          <w:cols w:space="720"/>
          <w:titlePg/>
          <w:docGrid w:linePitch="381"/>
        </w:sectPr>
      </w:pPr>
    </w:p>
    <w:p w14:paraId="16898AFC" w14:textId="77777777" w:rsidR="00BB0973" w:rsidRPr="00CD7FE5" w:rsidRDefault="00BB0973" w:rsidP="00325F1F">
      <w:pPr>
        <w:pStyle w:val="ListParagraph"/>
        <w:numPr>
          <w:ilvl w:val="0"/>
          <w:numId w:val="2"/>
        </w:numPr>
        <w:spacing w:line="276" w:lineRule="auto"/>
        <w:ind w:left="0" w:firstLine="0"/>
        <w:jc w:val="left"/>
        <w:outlineLvl w:val="0"/>
        <w:rPr>
          <w:rFonts w:asciiTheme="majorHAnsi" w:hAnsiTheme="majorHAnsi" w:cstheme="majorHAnsi"/>
          <w:b/>
          <w:sz w:val="24"/>
          <w:szCs w:val="24"/>
          <w:lang w:val="ro-MD"/>
        </w:rPr>
      </w:pPr>
      <w:bookmarkStart w:id="3" w:name="_Toc529544629"/>
      <w:r w:rsidRPr="00CD7FE5">
        <w:rPr>
          <w:rFonts w:asciiTheme="majorHAnsi" w:hAnsiTheme="majorHAnsi" w:cstheme="majorHAnsi"/>
          <w:b/>
          <w:sz w:val="24"/>
          <w:szCs w:val="24"/>
          <w:lang w:val="ro-MD"/>
        </w:rPr>
        <w:lastRenderedPageBreak/>
        <w:t>OPINIE CONTRARĂ</w:t>
      </w:r>
      <w:bookmarkEnd w:id="3"/>
      <w:r w:rsidRPr="00CD7FE5">
        <w:rPr>
          <w:rFonts w:asciiTheme="majorHAnsi" w:hAnsiTheme="majorHAnsi" w:cstheme="majorHAnsi"/>
          <w:b/>
          <w:sz w:val="24"/>
          <w:szCs w:val="24"/>
          <w:lang w:val="ro-MD"/>
        </w:rPr>
        <w:t xml:space="preserve"> </w:t>
      </w:r>
    </w:p>
    <w:p w14:paraId="31920258" w14:textId="59A99EB4" w:rsidR="00887B93" w:rsidRPr="00CD7FE5" w:rsidRDefault="00887B93" w:rsidP="00325F1F">
      <w:pPr>
        <w:pStyle w:val="NormalWeb"/>
        <w:spacing w:line="276" w:lineRule="auto"/>
        <w:ind w:firstLine="0"/>
        <w:rPr>
          <w:rFonts w:asciiTheme="majorHAnsi" w:hAnsiTheme="majorHAnsi" w:cstheme="majorHAnsi"/>
          <w:lang w:val="ro-MD"/>
        </w:rPr>
      </w:pPr>
      <w:r w:rsidRPr="00CD7FE5">
        <w:rPr>
          <w:rFonts w:asciiTheme="majorHAnsi" w:hAnsiTheme="majorHAnsi" w:cstheme="minorHAnsi"/>
          <w:lang w:val="ro-MD"/>
        </w:rPr>
        <w:t xml:space="preserve">Am auditat rapoartele financiare consolidate ale Ministerului </w:t>
      </w:r>
      <w:r w:rsidRPr="00CD7FE5">
        <w:rPr>
          <w:rFonts w:asciiTheme="majorHAnsi" w:hAnsiTheme="majorHAnsi" w:cstheme="majorHAnsi"/>
          <w:lang w:val="ro-MD"/>
        </w:rPr>
        <w:t xml:space="preserve">Educației, Culturii și Cercetării (în continuare </w:t>
      </w:r>
      <w:r w:rsidR="00E23D69" w:rsidRPr="00CD7FE5">
        <w:rPr>
          <w:rFonts w:asciiTheme="majorHAnsi" w:hAnsiTheme="majorHAnsi" w:cstheme="majorHAnsi"/>
          <w:lang w:val="ro-MD"/>
        </w:rPr>
        <w:t>–</w:t>
      </w:r>
      <w:r w:rsidRPr="00CD7FE5">
        <w:rPr>
          <w:rFonts w:asciiTheme="majorHAnsi" w:hAnsiTheme="majorHAnsi" w:cstheme="majorHAnsi"/>
          <w:lang w:val="ro-MD"/>
        </w:rPr>
        <w:t xml:space="preserve"> MECC) </w:t>
      </w:r>
      <w:r w:rsidRPr="00CD7FE5">
        <w:rPr>
          <w:rFonts w:asciiTheme="majorHAnsi" w:hAnsiTheme="majorHAnsi" w:cstheme="minorHAnsi"/>
          <w:lang w:val="ro-MD"/>
        </w:rPr>
        <w:t>pentru exerciți</w:t>
      </w:r>
      <w:r w:rsidR="007C21CB" w:rsidRPr="00CD7FE5">
        <w:rPr>
          <w:rFonts w:asciiTheme="majorHAnsi" w:hAnsiTheme="majorHAnsi" w:cstheme="minorHAnsi"/>
          <w:lang w:val="ro-MD"/>
        </w:rPr>
        <w:t>ul încheiat la 31 decembrie 2020</w:t>
      </w:r>
      <w:r w:rsidRPr="00CD7FE5">
        <w:rPr>
          <w:rFonts w:asciiTheme="majorHAnsi" w:hAnsiTheme="majorHAnsi" w:cstheme="minorHAnsi"/>
          <w:lang w:val="ro-MD"/>
        </w:rPr>
        <w:t>, c</w:t>
      </w:r>
      <w:r w:rsidR="00556A2A">
        <w:rPr>
          <w:rFonts w:asciiTheme="majorHAnsi" w:hAnsiTheme="majorHAnsi" w:cstheme="minorHAnsi"/>
          <w:lang w:val="ro-MD"/>
        </w:rPr>
        <w:t>ar</w:t>
      </w:r>
      <w:r w:rsidRPr="00CD7FE5">
        <w:rPr>
          <w:rFonts w:asciiTheme="majorHAnsi" w:hAnsiTheme="majorHAnsi" w:cstheme="minorHAnsi"/>
          <w:lang w:val="ro-MD"/>
        </w:rPr>
        <w:t xml:space="preserve">e cuprind </w:t>
      </w:r>
      <w:r w:rsidRPr="00CD7FE5">
        <w:rPr>
          <w:rFonts w:asciiTheme="majorHAnsi" w:hAnsiTheme="majorHAnsi"/>
          <w:lang w:val="ro-MD"/>
        </w:rPr>
        <w:t>Bilanțul contabil, Raportul privind veniturile și cheltuielile, Raportul privind fluxul mijloacelor bănești, Raportul privind executarea bugetului, Raportul narativ privind executarea bugetului, inclusiv un sumar al politicilor contabile semnificative. În opinia noastră</w:t>
      </w:r>
      <w:r w:rsidRPr="00CD7FE5">
        <w:rPr>
          <w:rFonts w:asciiTheme="majorHAnsi" w:hAnsiTheme="majorHAnsi" w:cstheme="minorHAnsi"/>
          <w:lang w:val="ro-MD"/>
        </w:rPr>
        <w:t>,</w:t>
      </w:r>
      <w:r w:rsidRPr="00CD7FE5">
        <w:rPr>
          <w:lang w:val="ro-MD"/>
        </w:rPr>
        <w:t xml:space="preserve"> </w:t>
      </w:r>
      <w:r w:rsidRPr="00CD7FE5">
        <w:rPr>
          <w:rFonts w:asciiTheme="majorHAnsi" w:hAnsiTheme="majorHAnsi" w:cstheme="minorHAnsi"/>
          <w:lang w:val="ro-MD"/>
        </w:rPr>
        <w:t xml:space="preserve">ținând cont de semnificația aspectelor descrise în secțiunea </w:t>
      </w:r>
      <w:r w:rsidRPr="00CD7FE5">
        <w:rPr>
          <w:rFonts w:asciiTheme="majorHAnsi" w:hAnsiTheme="majorHAnsi" w:cstheme="minorHAnsi"/>
          <w:i/>
          <w:lang w:val="ro-MD"/>
        </w:rPr>
        <w:t>Baza pentru opinia contrară</w:t>
      </w:r>
      <w:r w:rsidRPr="00CD7FE5">
        <w:rPr>
          <w:rFonts w:asciiTheme="majorHAnsi" w:hAnsiTheme="majorHAnsi" w:cstheme="minorHAnsi"/>
          <w:lang w:val="ro-MD"/>
        </w:rPr>
        <w:t>, rapoartele financiare</w:t>
      </w:r>
      <w:r w:rsidRPr="00CD7FE5">
        <w:rPr>
          <w:lang w:val="ro-MD"/>
        </w:rPr>
        <w:t xml:space="preserve"> </w:t>
      </w:r>
      <w:r w:rsidRPr="00CD7FE5">
        <w:rPr>
          <w:rFonts w:asciiTheme="majorHAnsi" w:hAnsiTheme="majorHAnsi" w:cstheme="minorHAnsi"/>
          <w:b/>
          <w:i/>
          <w:lang w:val="ro-MD"/>
        </w:rPr>
        <w:t>nu prezintă o imagine corectă</w:t>
      </w:r>
      <w:r w:rsidRPr="00CD7FE5">
        <w:rPr>
          <w:b/>
          <w:i/>
          <w:lang w:val="ro-MD"/>
        </w:rPr>
        <w:t xml:space="preserve"> </w:t>
      </w:r>
      <w:r w:rsidRPr="00CD7FE5">
        <w:rPr>
          <w:rFonts w:asciiTheme="majorHAnsi" w:hAnsiTheme="majorHAnsi" w:cstheme="minorHAnsi"/>
          <w:b/>
          <w:i/>
          <w:lang w:val="ro-MD"/>
        </w:rPr>
        <w:t>și fidelă</w:t>
      </w:r>
      <w:r w:rsidRPr="00CD7FE5">
        <w:rPr>
          <w:rFonts w:asciiTheme="majorHAnsi" w:hAnsiTheme="majorHAnsi" w:cstheme="minorHAnsi"/>
          <w:lang w:val="ro-MD"/>
        </w:rPr>
        <w:t xml:space="preserve"> în conformitate </w:t>
      </w:r>
      <w:r w:rsidRPr="00CD7FE5">
        <w:rPr>
          <w:rFonts w:asciiTheme="majorHAnsi" w:hAnsiTheme="majorHAnsi" w:cstheme="majorHAnsi"/>
          <w:lang w:val="ro-MD"/>
        </w:rPr>
        <w:t>cu cadrul de raportare financiară aplicabil</w:t>
      </w:r>
      <w:r w:rsidRPr="00CD7FE5">
        <w:rPr>
          <w:rStyle w:val="FootnoteReference"/>
          <w:rFonts w:asciiTheme="majorHAnsi" w:hAnsiTheme="majorHAnsi" w:cstheme="majorHAnsi"/>
          <w:lang w:val="ro-MD"/>
        </w:rPr>
        <w:footnoteReference w:id="1"/>
      </w:r>
      <w:r w:rsidRPr="00CD7FE5">
        <w:rPr>
          <w:rFonts w:asciiTheme="majorHAnsi" w:hAnsiTheme="majorHAnsi" w:cstheme="majorHAnsi"/>
          <w:lang w:val="ro-MD"/>
        </w:rPr>
        <w:t>.</w:t>
      </w:r>
    </w:p>
    <w:p w14:paraId="349A4A39" w14:textId="77777777" w:rsidR="000111F0" w:rsidRPr="00CD7FE5" w:rsidRDefault="000111F0" w:rsidP="00325F1F">
      <w:pPr>
        <w:pStyle w:val="NormalWeb"/>
        <w:spacing w:line="276" w:lineRule="auto"/>
        <w:ind w:firstLine="0"/>
        <w:rPr>
          <w:rFonts w:asciiTheme="majorHAnsi" w:hAnsiTheme="majorHAnsi" w:cstheme="majorHAnsi"/>
          <w:sz w:val="16"/>
          <w:szCs w:val="16"/>
          <w:lang w:val="ro-MD"/>
        </w:rPr>
      </w:pPr>
    </w:p>
    <w:p w14:paraId="56D3DBBD" w14:textId="77777777" w:rsidR="008F1661" w:rsidRPr="00CD7FE5" w:rsidRDefault="00E64BB7" w:rsidP="00325F1F">
      <w:pPr>
        <w:pStyle w:val="ListParagraph"/>
        <w:keepNext/>
        <w:keepLines/>
        <w:numPr>
          <w:ilvl w:val="0"/>
          <w:numId w:val="1"/>
        </w:numPr>
        <w:spacing w:line="276" w:lineRule="auto"/>
        <w:ind w:left="0" w:firstLine="0"/>
        <w:jc w:val="left"/>
        <w:outlineLvl w:val="0"/>
        <w:rPr>
          <w:rFonts w:asciiTheme="majorHAnsi" w:eastAsiaTheme="majorEastAsia" w:hAnsiTheme="majorHAnsi" w:cstheme="majorHAnsi"/>
          <w:b/>
          <w:sz w:val="24"/>
          <w:szCs w:val="24"/>
          <w:lang w:val="ro-MD"/>
        </w:rPr>
      </w:pPr>
      <w:bookmarkStart w:id="4" w:name="_Toc529544630"/>
      <w:r w:rsidRPr="00CD7FE5">
        <w:rPr>
          <w:rFonts w:asciiTheme="majorHAnsi" w:eastAsiaTheme="majorEastAsia" w:hAnsiTheme="majorHAnsi" w:cstheme="majorHAnsi"/>
          <w:b/>
          <w:sz w:val="24"/>
          <w:szCs w:val="24"/>
          <w:lang w:val="ro-MD"/>
        </w:rPr>
        <w:t>BAZA PENTRU</w:t>
      </w:r>
      <w:r w:rsidR="00A81E76" w:rsidRPr="00CD7FE5">
        <w:rPr>
          <w:rFonts w:asciiTheme="majorHAnsi" w:eastAsiaTheme="majorEastAsia" w:hAnsiTheme="majorHAnsi" w:cstheme="majorHAnsi"/>
          <w:b/>
          <w:sz w:val="24"/>
          <w:szCs w:val="24"/>
          <w:lang w:val="ro-MD"/>
        </w:rPr>
        <w:t xml:space="preserve"> OPINI</w:t>
      </w:r>
      <w:bookmarkEnd w:id="0"/>
      <w:bookmarkEnd w:id="1"/>
      <w:r w:rsidR="00A81E76" w:rsidRPr="00CD7FE5">
        <w:rPr>
          <w:rFonts w:asciiTheme="majorHAnsi" w:eastAsiaTheme="majorEastAsia" w:hAnsiTheme="majorHAnsi" w:cstheme="majorHAnsi"/>
          <w:b/>
          <w:sz w:val="24"/>
          <w:szCs w:val="24"/>
          <w:lang w:val="ro-MD"/>
        </w:rPr>
        <w:t>A</w:t>
      </w:r>
      <w:r w:rsidRPr="00CD7FE5">
        <w:rPr>
          <w:rFonts w:asciiTheme="majorHAnsi" w:eastAsiaTheme="majorEastAsia" w:hAnsiTheme="majorHAnsi" w:cstheme="majorHAnsi"/>
          <w:b/>
          <w:sz w:val="24"/>
          <w:szCs w:val="24"/>
          <w:lang w:val="ro-MD"/>
        </w:rPr>
        <w:t xml:space="preserve"> CONTRARĂ</w:t>
      </w:r>
      <w:bookmarkEnd w:id="4"/>
    </w:p>
    <w:p w14:paraId="4109B39B" w14:textId="546A229E" w:rsidR="00E9487B" w:rsidRPr="00CD7FE5" w:rsidRDefault="00E4100B" w:rsidP="00F012CF">
      <w:pPr>
        <w:pStyle w:val="ListParagraph"/>
        <w:spacing w:line="276" w:lineRule="auto"/>
        <w:ind w:left="0"/>
        <w:rPr>
          <w:rFonts w:asciiTheme="majorHAnsi" w:eastAsia="Times New Roman" w:hAnsiTheme="majorHAnsi" w:cstheme="majorHAnsi"/>
          <w:bCs/>
          <w:i/>
          <w:iCs/>
          <w:sz w:val="24"/>
          <w:szCs w:val="24"/>
          <w:lang w:val="ro-MD"/>
        </w:rPr>
      </w:pPr>
      <w:r w:rsidRPr="00CD7FE5">
        <w:rPr>
          <w:rFonts w:asciiTheme="majorHAnsi" w:eastAsia="Times New Roman" w:hAnsiTheme="majorHAnsi" w:cstheme="majorHAnsi"/>
          <w:b/>
          <w:bCs/>
          <w:i/>
          <w:iCs/>
          <w:sz w:val="24"/>
          <w:szCs w:val="24"/>
          <w:lang w:val="ro-MD"/>
        </w:rPr>
        <w:t>2.1</w:t>
      </w:r>
      <w:r w:rsidR="007524BE" w:rsidRPr="00CD7FE5">
        <w:rPr>
          <w:rFonts w:asciiTheme="majorHAnsi" w:eastAsia="Times New Roman" w:hAnsiTheme="majorHAnsi" w:cstheme="majorHAnsi"/>
          <w:b/>
          <w:bCs/>
          <w:i/>
          <w:iCs/>
          <w:sz w:val="24"/>
          <w:szCs w:val="24"/>
          <w:lang w:val="ro-MD"/>
        </w:rPr>
        <w:t>.</w:t>
      </w:r>
      <w:r w:rsidRPr="00CD7FE5">
        <w:rPr>
          <w:rFonts w:asciiTheme="majorHAnsi" w:eastAsia="Times New Roman" w:hAnsiTheme="majorHAnsi" w:cstheme="majorHAnsi"/>
          <w:bCs/>
          <w:i/>
          <w:iCs/>
          <w:sz w:val="24"/>
          <w:szCs w:val="24"/>
          <w:lang w:val="ro-MD"/>
        </w:rPr>
        <w:t xml:space="preserve"> </w:t>
      </w:r>
      <w:r w:rsidR="00556A2A">
        <w:rPr>
          <w:rFonts w:asciiTheme="majorHAnsi" w:eastAsia="Times New Roman" w:hAnsiTheme="majorHAnsi" w:cstheme="majorHAnsi"/>
          <w:bCs/>
          <w:i/>
          <w:iCs/>
          <w:sz w:val="24"/>
          <w:szCs w:val="24"/>
          <w:lang w:val="ro-MD"/>
        </w:rPr>
        <w:t>D</w:t>
      </w:r>
      <w:r w:rsidR="005E30D3" w:rsidRPr="00CD7FE5">
        <w:rPr>
          <w:rFonts w:asciiTheme="majorHAnsi" w:eastAsia="Times New Roman" w:hAnsiTheme="majorHAnsi" w:cstheme="majorHAnsi"/>
          <w:bCs/>
          <w:i/>
          <w:iCs/>
          <w:sz w:val="24"/>
          <w:szCs w:val="24"/>
          <w:lang w:val="ro-MD"/>
        </w:rPr>
        <w:t xml:space="preserve">iminuarea valorii </w:t>
      </w:r>
      <w:r w:rsidR="00D92432" w:rsidRPr="00CD7FE5">
        <w:rPr>
          <w:rFonts w:asciiTheme="majorHAnsi" w:hAnsiTheme="majorHAnsi" w:cstheme="majorHAnsi"/>
          <w:i/>
          <w:sz w:val="24"/>
          <w:lang w:val="ro-MD"/>
        </w:rPr>
        <w:t>contului 371 „T</w:t>
      </w:r>
      <w:r w:rsidR="005E30D3" w:rsidRPr="00CD7FE5">
        <w:rPr>
          <w:rFonts w:asciiTheme="majorHAnsi" w:eastAsia="Times New Roman" w:hAnsiTheme="majorHAnsi" w:cstheme="majorHAnsi"/>
          <w:bCs/>
          <w:i/>
          <w:iCs/>
          <w:sz w:val="24"/>
          <w:szCs w:val="24"/>
          <w:lang w:val="ro-MD"/>
        </w:rPr>
        <w:t>erenuri</w:t>
      </w:r>
      <w:r w:rsidR="00D92432" w:rsidRPr="00CD7FE5">
        <w:rPr>
          <w:rFonts w:asciiTheme="majorHAnsi" w:eastAsia="Times New Roman" w:hAnsiTheme="majorHAnsi" w:cstheme="majorHAnsi"/>
          <w:bCs/>
          <w:i/>
          <w:iCs/>
          <w:sz w:val="24"/>
          <w:szCs w:val="24"/>
          <w:lang w:val="ro-MD"/>
        </w:rPr>
        <w:t>”</w:t>
      </w:r>
      <w:r w:rsidR="005E30D3" w:rsidRPr="00CD7FE5">
        <w:rPr>
          <w:rFonts w:asciiTheme="majorHAnsi" w:eastAsia="Times New Roman" w:hAnsiTheme="majorHAnsi" w:cstheme="majorHAnsi"/>
          <w:bCs/>
          <w:i/>
          <w:iCs/>
          <w:sz w:val="24"/>
          <w:szCs w:val="24"/>
          <w:lang w:val="ro-MD"/>
        </w:rPr>
        <w:t xml:space="preserve"> cu </w:t>
      </w:r>
      <w:r w:rsidR="002079C3">
        <w:rPr>
          <w:rFonts w:asciiTheme="majorHAnsi" w:eastAsia="Times New Roman" w:hAnsiTheme="majorHAnsi" w:cstheme="majorHAnsi"/>
          <w:b/>
          <w:bCs/>
          <w:i/>
          <w:iCs/>
          <w:sz w:val="24"/>
          <w:szCs w:val="24"/>
          <w:lang w:val="ro-MD"/>
        </w:rPr>
        <w:t>484,73</w:t>
      </w:r>
      <w:r w:rsidR="005E30D3" w:rsidRPr="00CD7FE5">
        <w:rPr>
          <w:rFonts w:asciiTheme="majorHAnsi" w:eastAsia="Times New Roman" w:hAnsiTheme="majorHAnsi" w:cstheme="majorHAnsi"/>
          <w:b/>
          <w:bCs/>
          <w:i/>
          <w:iCs/>
          <w:sz w:val="24"/>
          <w:szCs w:val="24"/>
          <w:lang w:val="ro-MD"/>
        </w:rPr>
        <w:t xml:space="preserve"> mil.lei</w:t>
      </w:r>
      <w:r w:rsidR="005E30D3" w:rsidRPr="00CD7FE5">
        <w:rPr>
          <w:rFonts w:asciiTheme="majorHAnsi" w:eastAsia="Times New Roman" w:hAnsiTheme="majorHAnsi" w:cstheme="majorHAnsi"/>
          <w:bCs/>
          <w:i/>
          <w:iCs/>
          <w:sz w:val="24"/>
          <w:szCs w:val="24"/>
          <w:lang w:val="ro-MD"/>
        </w:rPr>
        <w:t xml:space="preserve">, </w:t>
      </w:r>
      <w:r w:rsidR="00E9487B" w:rsidRPr="00CD7FE5">
        <w:rPr>
          <w:rFonts w:asciiTheme="majorHAnsi" w:eastAsia="Times New Roman" w:hAnsiTheme="majorHAnsi" w:cstheme="majorHAnsi"/>
          <w:bCs/>
          <w:i/>
          <w:iCs/>
          <w:sz w:val="24"/>
          <w:szCs w:val="24"/>
          <w:lang w:val="ro-MD"/>
        </w:rPr>
        <w:t>datorită</w:t>
      </w:r>
      <w:r w:rsidR="003D66E6" w:rsidRPr="00CD7FE5">
        <w:rPr>
          <w:rFonts w:asciiTheme="majorHAnsi" w:eastAsia="Times New Roman" w:hAnsiTheme="majorHAnsi" w:cstheme="majorHAnsi"/>
          <w:bCs/>
          <w:i/>
          <w:iCs/>
          <w:sz w:val="24"/>
          <w:szCs w:val="24"/>
          <w:lang w:val="ro-MD"/>
        </w:rPr>
        <w:t>:</w:t>
      </w:r>
      <w:r w:rsidR="00E9487B" w:rsidRPr="00CD7FE5">
        <w:rPr>
          <w:rFonts w:asciiTheme="majorHAnsi" w:eastAsia="Times New Roman" w:hAnsiTheme="majorHAnsi" w:cstheme="majorHAnsi"/>
          <w:bCs/>
          <w:i/>
          <w:iCs/>
          <w:sz w:val="24"/>
          <w:szCs w:val="24"/>
          <w:lang w:val="ro-MD"/>
        </w:rPr>
        <w:t xml:space="preserve"> </w:t>
      </w:r>
      <w:r w:rsidR="002079C3">
        <w:rPr>
          <w:rFonts w:asciiTheme="majorHAnsi" w:hAnsiTheme="majorHAnsi" w:cstheme="majorHAnsi"/>
          <w:i/>
          <w:iCs/>
          <w:sz w:val="24"/>
          <w:szCs w:val="24"/>
          <w:lang w:val="ro-MD"/>
        </w:rPr>
        <w:t>(1</w:t>
      </w:r>
      <w:r w:rsidR="00E9487B" w:rsidRPr="00CD7FE5">
        <w:rPr>
          <w:rFonts w:asciiTheme="majorHAnsi" w:hAnsiTheme="majorHAnsi" w:cstheme="majorHAnsi"/>
          <w:i/>
          <w:iCs/>
          <w:sz w:val="24"/>
          <w:szCs w:val="24"/>
          <w:lang w:val="ro-MD"/>
        </w:rPr>
        <w:t>) lipsei evaluării terenurilor (8</w:t>
      </w:r>
      <w:r w:rsidR="003D66E6" w:rsidRPr="00CD7FE5">
        <w:rPr>
          <w:rFonts w:asciiTheme="majorHAnsi" w:hAnsiTheme="majorHAnsi" w:cstheme="majorHAnsi"/>
          <w:i/>
          <w:iCs/>
          <w:sz w:val="24"/>
          <w:szCs w:val="24"/>
          <w:lang w:val="ro-MD"/>
        </w:rPr>
        <w:t>,</w:t>
      </w:r>
      <w:r w:rsidR="00E9487B" w:rsidRPr="00CD7FE5">
        <w:rPr>
          <w:rFonts w:asciiTheme="majorHAnsi" w:hAnsiTheme="majorHAnsi" w:cstheme="majorHAnsi"/>
          <w:i/>
          <w:iCs/>
          <w:sz w:val="24"/>
          <w:szCs w:val="24"/>
          <w:lang w:val="ro-MD"/>
        </w:rPr>
        <w:t>27 mi</w:t>
      </w:r>
      <w:r w:rsidR="003D66E6" w:rsidRPr="00CD7FE5">
        <w:rPr>
          <w:rFonts w:asciiTheme="majorHAnsi" w:hAnsiTheme="majorHAnsi" w:cstheme="majorHAnsi"/>
          <w:i/>
          <w:iCs/>
          <w:sz w:val="24"/>
          <w:szCs w:val="24"/>
          <w:lang w:val="ro-MD"/>
        </w:rPr>
        <w:t>l.</w:t>
      </w:r>
      <w:r w:rsidR="00E9487B" w:rsidRPr="00CD7FE5">
        <w:rPr>
          <w:rFonts w:asciiTheme="majorHAnsi" w:hAnsiTheme="majorHAnsi" w:cstheme="majorHAnsi"/>
          <w:i/>
          <w:iCs/>
          <w:sz w:val="24"/>
          <w:szCs w:val="24"/>
          <w:lang w:val="ro-MD"/>
        </w:rPr>
        <w:t xml:space="preserve">lei); </w:t>
      </w:r>
      <w:r w:rsidR="002079C3">
        <w:rPr>
          <w:rFonts w:asciiTheme="majorHAnsi" w:hAnsiTheme="majorHAnsi" w:cstheme="majorHAnsi"/>
          <w:i/>
          <w:iCs/>
          <w:sz w:val="24"/>
          <w:szCs w:val="24"/>
          <w:lang w:val="ro-MD"/>
        </w:rPr>
        <w:t>(2</w:t>
      </w:r>
      <w:r w:rsidR="00E9487B" w:rsidRPr="00CD7FE5">
        <w:rPr>
          <w:rFonts w:asciiTheme="majorHAnsi" w:hAnsiTheme="majorHAnsi" w:cstheme="majorHAnsi"/>
          <w:i/>
          <w:iCs/>
          <w:sz w:val="24"/>
          <w:szCs w:val="24"/>
          <w:lang w:val="ro-MD"/>
        </w:rPr>
        <w:t xml:space="preserve">) neînregistrării în evidența contabilă a 180,3 ha </w:t>
      </w:r>
      <w:r w:rsidR="00556A2A">
        <w:rPr>
          <w:rFonts w:asciiTheme="majorHAnsi" w:hAnsiTheme="majorHAnsi" w:cstheme="majorHAnsi"/>
          <w:i/>
          <w:iCs/>
          <w:sz w:val="24"/>
          <w:szCs w:val="24"/>
          <w:lang w:val="ro-MD"/>
        </w:rPr>
        <w:t xml:space="preserve">de </w:t>
      </w:r>
      <w:r w:rsidR="00E9487B" w:rsidRPr="00CD7FE5">
        <w:rPr>
          <w:rFonts w:asciiTheme="majorHAnsi" w:hAnsiTheme="majorHAnsi" w:cstheme="majorHAnsi"/>
          <w:i/>
          <w:iCs/>
          <w:sz w:val="24"/>
          <w:szCs w:val="24"/>
          <w:lang w:val="ro-MD"/>
        </w:rPr>
        <w:t xml:space="preserve">teren agricol și 269,39 ha </w:t>
      </w:r>
      <w:r w:rsidR="00556A2A">
        <w:rPr>
          <w:rFonts w:asciiTheme="majorHAnsi" w:hAnsiTheme="majorHAnsi" w:cstheme="majorHAnsi"/>
          <w:i/>
          <w:iCs/>
          <w:sz w:val="24"/>
          <w:szCs w:val="24"/>
          <w:lang w:val="ro-MD"/>
        </w:rPr>
        <w:t xml:space="preserve">de </w:t>
      </w:r>
      <w:r w:rsidR="00E9487B" w:rsidRPr="00CD7FE5">
        <w:rPr>
          <w:rFonts w:asciiTheme="majorHAnsi" w:hAnsiTheme="majorHAnsi" w:cstheme="majorHAnsi"/>
          <w:i/>
          <w:iCs/>
          <w:sz w:val="24"/>
          <w:szCs w:val="24"/>
          <w:lang w:val="ro-MD"/>
        </w:rPr>
        <w:t>teren pentru construcții (476</w:t>
      </w:r>
      <w:r w:rsidR="003D66E6" w:rsidRPr="00CD7FE5">
        <w:rPr>
          <w:rFonts w:asciiTheme="majorHAnsi" w:hAnsiTheme="majorHAnsi" w:cstheme="majorHAnsi"/>
          <w:i/>
          <w:iCs/>
          <w:sz w:val="24"/>
          <w:szCs w:val="24"/>
          <w:lang w:val="ro-MD"/>
        </w:rPr>
        <w:t>,</w:t>
      </w:r>
      <w:r w:rsidR="00E9487B" w:rsidRPr="00CD7FE5">
        <w:rPr>
          <w:rFonts w:asciiTheme="majorHAnsi" w:hAnsiTheme="majorHAnsi" w:cstheme="majorHAnsi"/>
          <w:i/>
          <w:iCs/>
          <w:sz w:val="24"/>
          <w:szCs w:val="24"/>
          <w:lang w:val="ro-MD"/>
        </w:rPr>
        <w:t>46 mi</w:t>
      </w:r>
      <w:r w:rsidR="003D66E6" w:rsidRPr="00CD7FE5">
        <w:rPr>
          <w:rFonts w:asciiTheme="majorHAnsi" w:hAnsiTheme="majorHAnsi" w:cstheme="majorHAnsi"/>
          <w:i/>
          <w:iCs/>
          <w:sz w:val="24"/>
          <w:szCs w:val="24"/>
          <w:lang w:val="ro-MD"/>
        </w:rPr>
        <w:t>l.</w:t>
      </w:r>
      <w:r w:rsidR="00E9487B" w:rsidRPr="00CD7FE5">
        <w:rPr>
          <w:rFonts w:asciiTheme="majorHAnsi" w:hAnsiTheme="majorHAnsi" w:cstheme="majorHAnsi"/>
          <w:i/>
          <w:iCs/>
          <w:sz w:val="24"/>
          <w:szCs w:val="24"/>
          <w:lang w:val="ro-MD"/>
        </w:rPr>
        <w:t>lei)</w:t>
      </w:r>
      <w:r w:rsidR="008D679F">
        <w:rPr>
          <w:rFonts w:asciiTheme="majorHAnsi" w:hAnsiTheme="majorHAnsi" w:cstheme="majorHAnsi"/>
          <w:i/>
          <w:iCs/>
          <w:sz w:val="24"/>
          <w:szCs w:val="24"/>
          <w:lang w:val="ro-MD"/>
        </w:rPr>
        <w:t>.</w:t>
      </w:r>
      <w:r w:rsidR="00E9487B" w:rsidRPr="00CD7FE5">
        <w:rPr>
          <w:rFonts w:asciiTheme="majorHAnsi" w:eastAsia="Times New Roman" w:hAnsiTheme="majorHAnsi" w:cstheme="majorHAnsi"/>
          <w:bCs/>
          <w:i/>
          <w:iCs/>
          <w:sz w:val="24"/>
          <w:szCs w:val="24"/>
          <w:lang w:val="ro-MD"/>
        </w:rPr>
        <w:t xml:space="preserve"> </w:t>
      </w:r>
    </w:p>
    <w:p w14:paraId="0D349B17" w14:textId="474914EE" w:rsidR="001416CF" w:rsidRPr="00CD7FE5" w:rsidRDefault="00AA2B7B" w:rsidP="002079C3">
      <w:pPr>
        <w:pStyle w:val="ListParagraph"/>
        <w:spacing w:line="276" w:lineRule="auto"/>
        <w:ind w:left="0" w:right="-35"/>
        <w:rPr>
          <w:rFonts w:asciiTheme="majorHAnsi" w:eastAsia="Calibri" w:hAnsiTheme="majorHAnsi" w:cstheme="majorHAnsi"/>
          <w:i/>
          <w:sz w:val="24"/>
          <w:lang w:val="ro-MD"/>
        </w:rPr>
      </w:pPr>
      <w:r w:rsidRPr="00CD7FE5">
        <w:rPr>
          <w:rFonts w:asciiTheme="majorHAnsi" w:eastAsia="Times New Roman" w:hAnsiTheme="majorHAnsi" w:cstheme="majorHAnsi"/>
          <w:b/>
          <w:bCs/>
          <w:i/>
          <w:iCs/>
          <w:sz w:val="24"/>
          <w:szCs w:val="24"/>
          <w:lang w:val="ro-MD"/>
        </w:rPr>
        <w:t>2.2</w:t>
      </w:r>
      <w:r w:rsidR="007524BE" w:rsidRPr="00CD7FE5">
        <w:rPr>
          <w:rFonts w:asciiTheme="majorHAnsi" w:eastAsia="Times New Roman" w:hAnsiTheme="majorHAnsi" w:cstheme="majorHAnsi"/>
          <w:b/>
          <w:bCs/>
          <w:i/>
          <w:iCs/>
          <w:sz w:val="24"/>
          <w:szCs w:val="24"/>
          <w:lang w:val="ro-MD"/>
        </w:rPr>
        <w:t>.</w:t>
      </w:r>
      <w:r w:rsidRPr="00CD7FE5">
        <w:rPr>
          <w:rFonts w:asciiTheme="majorHAnsi" w:eastAsia="Times New Roman" w:hAnsiTheme="majorHAnsi" w:cstheme="majorHAnsi"/>
          <w:b/>
          <w:bCs/>
          <w:i/>
          <w:iCs/>
          <w:sz w:val="24"/>
          <w:szCs w:val="24"/>
          <w:lang w:val="ro-MD"/>
        </w:rPr>
        <w:t xml:space="preserve"> </w:t>
      </w:r>
      <w:r w:rsidR="00556A2A">
        <w:rPr>
          <w:rFonts w:asciiTheme="majorHAnsi" w:hAnsiTheme="majorHAnsi" w:cstheme="majorHAnsi"/>
          <w:i/>
          <w:sz w:val="24"/>
          <w:lang w:val="ro-MD"/>
        </w:rPr>
        <w:t>D</w:t>
      </w:r>
      <w:r w:rsidR="00335500" w:rsidRPr="00CD7FE5">
        <w:rPr>
          <w:rFonts w:asciiTheme="majorHAnsi" w:hAnsiTheme="majorHAnsi" w:cstheme="majorHAnsi"/>
          <w:i/>
          <w:sz w:val="24"/>
          <w:lang w:val="ro-MD"/>
        </w:rPr>
        <w:t>iminu</w:t>
      </w:r>
      <w:r w:rsidR="00BF2122" w:rsidRPr="00CD7FE5">
        <w:rPr>
          <w:rFonts w:asciiTheme="majorHAnsi" w:hAnsiTheme="majorHAnsi" w:cstheme="majorHAnsi"/>
          <w:i/>
          <w:sz w:val="24"/>
          <w:lang w:val="ro-MD"/>
        </w:rPr>
        <w:t xml:space="preserve">area valorii contului </w:t>
      </w:r>
      <w:r w:rsidR="00B9374A" w:rsidRPr="00CD7FE5">
        <w:rPr>
          <w:rFonts w:asciiTheme="majorHAnsi" w:hAnsiTheme="majorHAnsi" w:cstheme="majorHAnsi"/>
          <w:i/>
          <w:sz w:val="24"/>
          <w:lang w:val="ro-MD"/>
        </w:rPr>
        <w:t xml:space="preserve">311 </w:t>
      </w:r>
      <w:r w:rsidR="00BF2122" w:rsidRPr="00CD7FE5">
        <w:rPr>
          <w:rFonts w:asciiTheme="majorHAnsi" w:hAnsiTheme="majorHAnsi" w:cstheme="majorHAnsi"/>
          <w:i/>
          <w:sz w:val="24"/>
          <w:lang w:val="ro-MD"/>
        </w:rPr>
        <w:t>„</w:t>
      </w:r>
      <w:r w:rsidR="00E23D69" w:rsidRPr="00CD7FE5">
        <w:rPr>
          <w:rFonts w:asciiTheme="majorHAnsi" w:hAnsiTheme="majorHAnsi" w:cstheme="majorHAnsi"/>
          <w:i/>
          <w:sz w:val="24"/>
          <w:lang w:val="ro-MD"/>
        </w:rPr>
        <w:t>C</w:t>
      </w:r>
      <w:r w:rsidR="00BF2122" w:rsidRPr="00CD7FE5">
        <w:rPr>
          <w:rFonts w:asciiTheme="majorHAnsi" w:hAnsiTheme="majorHAnsi" w:cstheme="majorHAnsi"/>
          <w:i/>
          <w:sz w:val="24"/>
          <w:lang w:val="ro-MD"/>
        </w:rPr>
        <w:t xml:space="preserve">lădiri” </w:t>
      </w:r>
      <w:r w:rsidR="00BF2122" w:rsidRPr="00CD7FE5">
        <w:rPr>
          <w:rFonts w:asciiTheme="majorHAnsi" w:hAnsiTheme="majorHAnsi" w:cstheme="majorHAnsi"/>
          <w:i/>
          <w:iCs/>
          <w:sz w:val="24"/>
          <w:szCs w:val="24"/>
          <w:lang w:val="ro-MD"/>
        </w:rPr>
        <w:t xml:space="preserve">cu </w:t>
      </w:r>
      <w:r w:rsidR="002079C3">
        <w:rPr>
          <w:rFonts w:asciiTheme="majorHAnsi" w:hAnsiTheme="majorHAnsi" w:cstheme="majorHAnsi"/>
          <w:b/>
          <w:i/>
          <w:sz w:val="24"/>
          <w:lang w:val="ro-MD"/>
        </w:rPr>
        <w:t>1</w:t>
      </w:r>
      <w:r w:rsidR="00D3220E">
        <w:rPr>
          <w:rFonts w:asciiTheme="majorHAnsi" w:hAnsiTheme="majorHAnsi" w:cstheme="majorHAnsi"/>
          <w:b/>
          <w:i/>
          <w:sz w:val="24"/>
          <w:lang w:val="ro-MD"/>
        </w:rPr>
        <w:t>1</w:t>
      </w:r>
      <w:r w:rsidR="002079C3">
        <w:rPr>
          <w:rFonts w:asciiTheme="majorHAnsi" w:hAnsiTheme="majorHAnsi" w:cstheme="majorHAnsi"/>
          <w:b/>
          <w:i/>
          <w:sz w:val="24"/>
          <w:lang w:val="ro-MD"/>
        </w:rPr>
        <w:t>2,</w:t>
      </w:r>
      <w:r w:rsidR="00D3220E">
        <w:rPr>
          <w:rFonts w:asciiTheme="majorHAnsi" w:hAnsiTheme="majorHAnsi" w:cstheme="majorHAnsi"/>
          <w:b/>
          <w:i/>
          <w:sz w:val="24"/>
          <w:lang w:val="ro-MD"/>
        </w:rPr>
        <w:t>74</w:t>
      </w:r>
      <w:r w:rsidR="00BF2122" w:rsidRPr="00CD7FE5">
        <w:rPr>
          <w:rFonts w:asciiTheme="majorHAnsi" w:hAnsiTheme="majorHAnsi" w:cstheme="majorHAnsi"/>
          <w:b/>
          <w:i/>
          <w:sz w:val="24"/>
          <w:lang w:val="ro-MD"/>
        </w:rPr>
        <w:t xml:space="preserve"> mil.lei</w:t>
      </w:r>
      <w:r w:rsidR="00E23D69" w:rsidRPr="00CD7FE5">
        <w:rPr>
          <w:rFonts w:asciiTheme="majorHAnsi" w:hAnsiTheme="majorHAnsi" w:cstheme="majorHAnsi"/>
          <w:b/>
          <w:i/>
          <w:sz w:val="24"/>
          <w:lang w:val="ro-MD"/>
        </w:rPr>
        <w:t>,</w:t>
      </w:r>
      <w:r w:rsidR="00BF2122" w:rsidRPr="00CD7FE5">
        <w:rPr>
          <w:rFonts w:asciiTheme="majorHAnsi" w:hAnsiTheme="majorHAnsi" w:cstheme="majorHAnsi"/>
          <w:i/>
          <w:sz w:val="24"/>
          <w:lang w:val="ro-MD"/>
        </w:rPr>
        <w:t xml:space="preserve"> </w:t>
      </w:r>
      <w:r w:rsidR="001416CF" w:rsidRPr="00CD7FE5">
        <w:rPr>
          <w:rFonts w:asciiTheme="majorHAnsi" w:hAnsiTheme="majorHAnsi" w:cstheme="majorHAnsi"/>
          <w:i/>
          <w:sz w:val="24"/>
          <w:lang w:val="ro-MD"/>
        </w:rPr>
        <w:t>determinată de</w:t>
      </w:r>
      <w:r w:rsidR="001B0D88" w:rsidRPr="00CD7FE5">
        <w:rPr>
          <w:rFonts w:asciiTheme="majorHAnsi" w:hAnsiTheme="majorHAnsi" w:cstheme="majorHAnsi"/>
          <w:i/>
          <w:sz w:val="24"/>
          <w:lang w:val="ro-MD"/>
        </w:rPr>
        <w:t>:</w:t>
      </w:r>
    </w:p>
    <w:p w14:paraId="05EB3FE5" w14:textId="658881B0" w:rsidR="005E30D3" w:rsidRPr="00CD7FE5" w:rsidRDefault="001416CF" w:rsidP="00092F2F">
      <w:pPr>
        <w:pStyle w:val="ListParagraph"/>
        <w:numPr>
          <w:ilvl w:val="0"/>
          <w:numId w:val="32"/>
        </w:numPr>
        <w:spacing w:line="276" w:lineRule="auto"/>
        <w:ind w:left="0" w:firstLine="0"/>
        <w:rPr>
          <w:rFonts w:asciiTheme="majorHAnsi" w:hAnsiTheme="majorHAnsi" w:cstheme="majorHAnsi"/>
          <w:i/>
          <w:iCs/>
          <w:sz w:val="24"/>
          <w:szCs w:val="24"/>
          <w:lang w:val="ro-MD"/>
        </w:rPr>
      </w:pPr>
      <w:r w:rsidRPr="00CD7FE5">
        <w:rPr>
          <w:rFonts w:asciiTheme="majorHAnsi" w:hAnsiTheme="majorHAnsi" w:cstheme="majorHAnsi"/>
          <w:i/>
          <w:sz w:val="24"/>
          <w:lang w:val="ro-MD"/>
        </w:rPr>
        <w:t xml:space="preserve">diminuarea </w:t>
      </w:r>
      <w:r w:rsidRPr="00CD7FE5">
        <w:rPr>
          <w:rFonts w:asciiTheme="majorHAnsi" w:eastAsia="Times New Roman" w:hAnsiTheme="majorHAnsi" w:cstheme="majorHAnsi"/>
          <w:i/>
          <w:color w:val="000000" w:themeColor="text1"/>
          <w:sz w:val="24"/>
          <w:szCs w:val="24"/>
          <w:lang w:val="ro-MD"/>
        </w:rPr>
        <w:t xml:space="preserve">cu cel puțin </w:t>
      </w:r>
      <w:r w:rsidR="002079C3">
        <w:rPr>
          <w:rFonts w:asciiTheme="majorHAnsi" w:eastAsia="Times New Roman" w:hAnsiTheme="majorHAnsi" w:cstheme="majorHAnsi"/>
          <w:i/>
          <w:color w:val="000000" w:themeColor="text1"/>
          <w:sz w:val="24"/>
          <w:szCs w:val="24"/>
          <w:lang w:val="ro-MD"/>
        </w:rPr>
        <w:t>12</w:t>
      </w:r>
      <w:r w:rsidR="00D3220E">
        <w:rPr>
          <w:rFonts w:asciiTheme="majorHAnsi" w:eastAsia="Times New Roman" w:hAnsiTheme="majorHAnsi" w:cstheme="majorHAnsi"/>
          <w:i/>
          <w:color w:val="000000" w:themeColor="text1"/>
          <w:sz w:val="24"/>
          <w:szCs w:val="24"/>
          <w:lang w:val="ro-MD"/>
        </w:rPr>
        <w:t>1</w:t>
      </w:r>
      <w:r w:rsidR="002079C3">
        <w:rPr>
          <w:rFonts w:asciiTheme="majorHAnsi" w:eastAsia="Times New Roman" w:hAnsiTheme="majorHAnsi" w:cstheme="majorHAnsi"/>
          <w:i/>
          <w:color w:val="000000" w:themeColor="text1"/>
          <w:sz w:val="24"/>
          <w:szCs w:val="24"/>
          <w:lang w:val="ro-MD"/>
        </w:rPr>
        <w:t>,</w:t>
      </w:r>
      <w:r w:rsidR="00D3220E">
        <w:rPr>
          <w:rFonts w:asciiTheme="majorHAnsi" w:eastAsia="Times New Roman" w:hAnsiTheme="majorHAnsi" w:cstheme="majorHAnsi"/>
          <w:i/>
          <w:color w:val="000000" w:themeColor="text1"/>
          <w:sz w:val="24"/>
          <w:szCs w:val="24"/>
          <w:lang w:val="ro-MD"/>
        </w:rPr>
        <w:t>74</w:t>
      </w:r>
      <w:r w:rsidRPr="00CD7FE5">
        <w:rPr>
          <w:rFonts w:asciiTheme="majorHAnsi" w:eastAsia="Times New Roman" w:hAnsiTheme="majorHAnsi" w:cstheme="majorHAnsi"/>
          <w:i/>
          <w:color w:val="000000" w:themeColor="text1"/>
          <w:sz w:val="24"/>
          <w:szCs w:val="24"/>
          <w:lang w:val="ro-MD"/>
        </w:rPr>
        <w:t xml:space="preserve"> mil.lei</w:t>
      </w:r>
      <w:r w:rsidR="003C3837">
        <w:rPr>
          <w:rFonts w:asciiTheme="majorHAnsi" w:eastAsia="Times New Roman" w:hAnsiTheme="majorHAnsi" w:cstheme="majorHAnsi"/>
          <w:i/>
          <w:color w:val="000000" w:themeColor="text1"/>
          <w:sz w:val="24"/>
          <w:szCs w:val="24"/>
          <w:lang w:val="ro-MD"/>
        </w:rPr>
        <w:t>,</w:t>
      </w:r>
      <w:r w:rsidRPr="00CD7FE5">
        <w:rPr>
          <w:rFonts w:asciiTheme="majorHAnsi" w:eastAsia="Times New Roman" w:hAnsiTheme="majorHAnsi" w:cstheme="majorHAnsi"/>
          <w:i/>
          <w:color w:val="000000" w:themeColor="text1"/>
          <w:sz w:val="24"/>
          <w:szCs w:val="24"/>
          <w:lang w:val="ro-MD"/>
        </w:rPr>
        <w:t xml:space="preserve"> </w:t>
      </w:r>
      <w:r w:rsidRPr="00CD7FE5">
        <w:rPr>
          <w:rFonts w:asciiTheme="majorHAnsi" w:hAnsiTheme="majorHAnsi" w:cstheme="majorHAnsi"/>
          <w:i/>
          <w:sz w:val="24"/>
          <w:lang w:val="ro-MD"/>
        </w:rPr>
        <w:t xml:space="preserve">ca urmare </w:t>
      </w:r>
      <w:r w:rsidR="00BF2122" w:rsidRPr="00451D75">
        <w:rPr>
          <w:rFonts w:asciiTheme="majorHAnsi" w:hAnsiTheme="majorHAnsi" w:cstheme="majorHAnsi"/>
          <w:i/>
          <w:sz w:val="24"/>
          <w:lang w:val="ro-MD"/>
        </w:rPr>
        <w:t>a</w:t>
      </w:r>
      <w:r w:rsidR="007D7102" w:rsidRPr="00451D75">
        <w:rPr>
          <w:rFonts w:asciiTheme="majorHAnsi" w:hAnsiTheme="majorHAnsi" w:cstheme="majorHAnsi"/>
          <w:i/>
          <w:sz w:val="24"/>
          <w:lang w:val="ro-MD"/>
        </w:rPr>
        <w:t>:</w:t>
      </w:r>
      <w:r w:rsidR="00BF2122" w:rsidRPr="00451D75">
        <w:rPr>
          <w:rFonts w:asciiTheme="majorHAnsi" w:hAnsiTheme="majorHAnsi" w:cstheme="majorHAnsi"/>
          <w:i/>
          <w:sz w:val="24"/>
          <w:lang w:val="ro-MD"/>
        </w:rPr>
        <w:t xml:space="preserve"> </w:t>
      </w:r>
      <w:r w:rsidR="00F56A14" w:rsidRPr="00451D75">
        <w:rPr>
          <w:rFonts w:asciiTheme="majorHAnsi" w:hAnsiTheme="majorHAnsi" w:cstheme="majorHAnsi"/>
          <w:i/>
          <w:sz w:val="24"/>
          <w:lang w:val="ro-MD"/>
        </w:rPr>
        <w:t>(</w:t>
      </w:r>
      <w:r w:rsidR="002079C3" w:rsidRPr="00451D75">
        <w:rPr>
          <w:rFonts w:asciiTheme="majorHAnsi" w:hAnsiTheme="majorHAnsi" w:cstheme="majorHAnsi"/>
          <w:i/>
          <w:sz w:val="24"/>
          <w:lang w:val="ro-MD"/>
        </w:rPr>
        <w:t>1</w:t>
      </w:r>
      <w:r w:rsidR="00F56A14" w:rsidRPr="00451D75">
        <w:rPr>
          <w:rFonts w:asciiTheme="majorHAnsi" w:hAnsiTheme="majorHAnsi" w:cstheme="majorHAnsi"/>
          <w:i/>
          <w:sz w:val="24"/>
          <w:lang w:val="ro-MD"/>
        </w:rPr>
        <w:t>)</w:t>
      </w:r>
      <w:r w:rsidR="0046352F" w:rsidRPr="00CD7FE5">
        <w:rPr>
          <w:rFonts w:asciiTheme="majorHAnsi" w:hAnsiTheme="majorHAnsi" w:cstheme="majorHAnsi"/>
          <w:i/>
          <w:sz w:val="24"/>
          <w:lang w:val="ro-MD"/>
        </w:rPr>
        <w:t xml:space="preserve"> neajustării valorii a </w:t>
      </w:r>
      <w:r w:rsidR="00405683" w:rsidRPr="00CD7FE5">
        <w:rPr>
          <w:rFonts w:asciiTheme="majorHAnsi" w:hAnsiTheme="majorHAnsi" w:cstheme="majorHAnsi"/>
          <w:i/>
          <w:sz w:val="24"/>
          <w:lang w:val="ro-MD"/>
        </w:rPr>
        <w:t>29</w:t>
      </w:r>
      <w:r w:rsidR="0046352F" w:rsidRPr="00CD7FE5">
        <w:rPr>
          <w:rFonts w:asciiTheme="majorHAnsi" w:hAnsiTheme="majorHAnsi" w:cstheme="majorHAnsi"/>
          <w:i/>
          <w:sz w:val="24"/>
          <w:lang w:val="ro-MD"/>
        </w:rPr>
        <w:t xml:space="preserve"> de clădiri administrate de către 12 instituții din subordinea MECC la valoarea cadastrală </w:t>
      </w:r>
      <w:r w:rsidR="00C2186E" w:rsidRPr="00CD7FE5">
        <w:rPr>
          <w:rFonts w:asciiTheme="majorHAnsi" w:hAnsiTheme="majorHAnsi" w:cstheme="majorHAnsi"/>
          <w:i/>
          <w:sz w:val="24"/>
          <w:lang w:val="ro-MD"/>
        </w:rPr>
        <w:t>cu</w:t>
      </w:r>
      <w:r w:rsidR="0046352F" w:rsidRPr="00CD7FE5">
        <w:rPr>
          <w:rFonts w:asciiTheme="majorHAnsi" w:hAnsiTheme="majorHAnsi" w:cstheme="majorHAnsi"/>
          <w:i/>
          <w:sz w:val="24"/>
          <w:lang w:val="ro-MD"/>
        </w:rPr>
        <w:t xml:space="preserve"> 4</w:t>
      </w:r>
      <w:r w:rsidR="00B736DE" w:rsidRPr="00CD7FE5">
        <w:rPr>
          <w:rFonts w:asciiTheme="majorHAnsi" w:hAnsiTheme="majorHAnsi" w:cstheme="majorHAnsi"/>
          <w:i/>
          <w:sz w:val="24"/>
          <w:lang w:val="ro-MD"/>
        </w:rPr>
        <w:t>2</w:t>
      </w:r>
      <w:r w:rsidR="0046352F" w:rsidRPr="00CD7FE5">
        <w:rPr>
          <w:rFonts w:asciiTheme="majorHAnsi" w:hAnsiTheme="majorHAnsi" w:cstheme="majorHAnsi"/>
          <w:i/>
          <w:sz w:val="24"/>
          <w:lang w:val="ro-MD"/>
        </w:rPr>
        <w:t>,</w:t>
      </w:r>
      <w:r w:rsidR="00B736DE" w:rsidRPr="00CD7FE5">
        <w:rPr>
          <w:rFonts w:asciiTheme="majorHAnsi" w:hAnsiTheme="majorHAnsi" w:cstheme="majorHAnsi"/>
          <w:i/>
          <w:sz w:val="24"/>
          <w:lang w:val="ro-MD"/>
        </w:rPr>
        <w:t>5</w:t>
      </w:r>
      <w:r w:rsidR="0046352F" w:rsidRPr="00CD7FE5">
        <w:rPr>
          <w:rFonts w:asciiTheme="majorHAnsi" w:hAnsiTheme="majorHAnsi" w:cstheme="majorHAnsi"/>
          <w:i/>
          <w:sz w:val="24"/>
          <w:lang w:val="ro-MD"/>
        </w:rPr>
        <w:t xml:space="preserve"> mil.lei</w:t>
      </w:r>
      <w:r w:rsidR="006C5107" w:rsidRPr="00CD7FE5">
        <w:rPr>
          <w:rFonts w:asciiTheme="majorHAnsi" w:hAnsiTheme="majorHAnsi" w:cstheme="majorHAnsi"/>
          <w:i/>
          <w:sz w:val="24"/>
          <w:szCs w:val="24"/>
          <w:lang w:val="ro-MD"/>
        </w:rPr>
        <w:t>;</w:t>
      </w:r>
      <w:r w:rsidR="0046352F" w:rsidRPr="00CD7FE5">
        <w:rPr>
          <w:rFonts w:asciiTheme="majorHAnsi" w:hAnsiTheme="majorHAnsi" w:cstheme="majorHAnsi"/>
          <w:i/>
          <w:sz w:val="24"/>
          <w:szCs w:val="24"/>
          <w:lang w:val="ro-MD"/>
        </w:rPr>
        <w:t xml:space="preserve"> </w:t>
      </w:r>
      <w:r w:rsidR="00F80437" w:rsidRPr="00CD7FE5">
        <w:rPr>
          <w:rFonts w:asciiTheme="majorHAnsi" w:hAnsiTheme="majorHAnsi" w:cstheme="majorHAnsi"/>
          <w:i/>
          <w:sz w:val="24"/>
          <w:szCs w:val="24"/>
          <w:lang w:val="ro-MD"/>
        </w:rPr>
        <w:t>(</w:t>
      </w:r>
      <w:r w:rsidR="002079C3">
        <w:rPr>
          <w:rFonts w:asciiTheme="majorHAnsi" w:hAnsiTheme="majorHAnsi" w:cstheme="majorHAnsi"/>
          <w:i/>
          <w:sz w:val="24"/>
          <w:szCs w:val="24"/>
          <w:lang w:val="ro-MD"/>
        </w:rPr>
        <w:t>2</w:t>
      </w:r>
      <w:r w:rsidR="00F80437" w:rsidRPr="00CD7FE5">
        <w:rPr>
          <w:rFonts w:asciiTheme="majorHAnsi" w:hAnsiTheme="majorHAnsi" w:cstheme="majorHAnsi"/>
          <w:i/>
          <w:sz w:val="24"/>
          <w:szCs w:val="24"/>
          <w:lang w:val="ro-MD"/>
        </w:rPr>
        <w:t>)</w:t>
      </w:r>
      <w:r w:rsidR="00F80437" w:rsidRPr="00CD7FE5">
        <w:rPr>
          <w:rFonts w:asciiTheme="majorHAnsi" w:hAnsiTheme="majorHAnsi" w:cstheme="majorHAnsi"/>
          <w:i/>
          <w:lang w:val="ro-MD"/>
        </w:rPr>
        <w:t xml:space="preserve"> </w:t>
      </w:r>
      <w:r w:rsidR="00F80437" w:rsidRPr="00CD7FE5">
        <w:rPr>
          <w:rFonts w:asciiTheme="majorHAnsi" w:hAnsiTheme="majorHAnsi" w:cstheme="majorHAnsi"/>
          <w:i/>
          <w:iCs/>
          <w:sz w:val="24"/>
          <w:szCs w:val="24"/>
          <w:lang w:val="ro-MD"/>
        </w:rPr>
        <w:t xml:space="preserve">nedocumentării corespunzătoare a </w:t>
      </w:r>
      <w:r w:rsidR="00F80437" w:rsidRPr="005B1EFA">
        <w:rPr>
          <w:rFonts w:asciiTheme="majorHAnsi" w:hAnsiTheme="majorHAnsi" w:cstheme="majorHAnsi"/>
          <w:i/>
          <w:iCs/>
          <w:sz w:val="24"/>
          <w:szCs w:val="24"/>
          <w:lang w:val="ro-MD"/>
        </w:rPr>
        <w:t xml:space="preserve">executării lucrărilor </w:t>
      </w:r>
      <w:r w:rsidR="00A352EA" w:rsidRPr="005B1EFA">
        <w:rPr>
          <w:rFonts w:asciiTheme="majorHAnsi" w:hAnsiTheme="majorHAnsi" w:cstheme="majorHAnsi"/>
          <w:i/>
          <w:iCs/>
          <w:sz w:val="24"/>
          <w:szCs w:val="24"/>
          <w:lang w:val="ro-MD"/>
        </w:rPr>
        <w:t xml:space="preserve">finanțate </w:t>
      </w:r>
      <w:r w:rsidR="00F80437" w:rsidRPr="005B1EFA">
        <w:rPr>
          <w:rFonts w:asciiTheme="majorHAnsi" w:hAnsiTheme="majorHAnsi" w:cstheme="majorHAnsi"/>
          <w:i/>
          <w:iCs/>
          <w:sz w:val="24"/>
          <w:szCs w:val="24"/>
          <w:lang w:val="ro-MD"/>
        </w:rPr>
        <w:t>din granturile acordate, fiind majorate alte creanțe ale instituțiilor bugetare (cont 419) cu 1,03 mil.lei</w:t>
      </w:r>
      <w:r w:rsidR="00F80437" w:rsidRPr="005B1EFA">
        <w:rPr>
          <w:rFonts w:asciiTheme="majorHAnsi" w:hAnsiTheme="majorHAnsi" w:cstheme="majorHAnsi"/>
          <w:i/>
          <w:sz w:val="24"/>
          <w:szCs w:val="24"/>
          <w:lang w:val="ro-MD"/>
        </w:rPr>
        <w:t>; (</w:t>
      </w:r>
      <w:r w:rsidR="002079C3" w:rsidRPr="005B1EFA">
        <w:rPr>
          <w:rFonts w:asciiTheme="majorHAnsi" w:hAnsiTheme="majorHAnsi" w:cstheme="majorHAnsi"/>
          <w:i/>
          <w:sz w:val="24"/>
          <w:szCs w:val="24"/>
          <w:lang w:val="ro-MD"/>
        </w:rPr>
        <w:t>3</w:t>
      </w:r>
      <w:r w:rsidR="00F80437" w:rsidRPr="005B1EFA">
        <w:rPr>
          <w:rFonts w:asciiTheme="majorHAnsi" w:hAnsiTheme="majorHAnsi" w:cstheme="majorHAnsi"/>
          <w:i/>
          <w:sz w:val="24"/>
          <w:szCs w:val="24"/>
          <w:lang w:val="ro-MD"/>
        </w:rPr>
        <w:t xml:space="preserve">) </w:t>
      </w:r>
      <w:r w:rsidR="00315A36" w:rsidRPr="005B1EFA">
        <w:rPr>
          <w:rFonts w:asciiTheme="majorHAnsi" w:hAnsiTheme="majorHAnsi" w:cstheme="majorHAnsi"/>
          <w:i/>
          <w:sz w:val="24"/>
          <w:lang w:val="ro-MD"/>
        </w:rPr>
        <w:t>nesoluționării</w:t>
      </w:r>
      <w:r w:rsidR="003A18C0" w:rsidRPr="005B1EFA">
        <w:rPr>
          <w:rFonts w:asciiTheme="majorHAnsi" w:hAnsiTheme="majorHAnsi" w:cstheme="majorHAnsi"/>
          <w:i/>
          <w:sz w:val="24"/>
          <w:lang w:val="ro-MD"/>
        </w:rPr>
        <w:t>,</w:t>
      </w:r>
      <w:r w:rsidR="00315A36" w:rsidRPr="005B1EFA">
        <w:rPr>
          <w:rFonts w:asciiTheme="majorHAnsi" w:hAnsiTheme="majorHAnsi" w:cstheme="majorHAnsi"/>
          <w:i/>
          <w:sz w:val="24"/>
          <w:lang w:val="ro-MD"/>
        </w:rPr>
        <w:t xml:space="preserve"> din anul 2012</w:t>
      </w:r>
      <w:r w:rsidR="003A18C0" w:rsidRPr="005B1EFA">
        <w:rPr>
          <w:rFonts w:asciiTheme="majorHAnsi" w:hAnsiTheme="majorHAnsi" w:cstheme="majorHAnsi"/>
          <w:i/>
          <w:sz w:val="24"/>
          <w:lang w:val="ro-MD"/>
        </w:rPr>
        <w:t>,</w:t>
      </w:r>
      <w:r w:rsidR="00315A36" w:rsidRPr="005B1EFA">
        <w:rPr>
          <w:rFonts w:asciiTheme="majorHAnsi" w:hAnsiTheme="majorHAnsi" w:cstheme="majorHAnsi"/>
          <w:i/>
          <w:sz w:val="24"/>
          <w:lang w:val="ro-MD"/>
        </w:rPr>
        <w:t xml:space="preserve"> a </w:t>
      </w:r>
      <w:r w:rsidR="003A18C0" w:rsidRPr="005B1EFA">
        <w:rPr>
          <w:rFonts w:asciiTheme="majorHAnsi" w:hAnsiTheme="majorHAnsi" w:cstheme="majorHAnsi"/>
          <w:i/>
          <w:sz w:val="24"/>
          <w:lang w:val="ro-MD"/>
        </w:rPr>
        <w:t xml:space="preserve">problemei privind </w:t>
      </w:r>
      <w:r w:rsidR="00315A36" w:rsidRPr="005B1EFA">
        <w:rPr>
          <w:rFonts w:asciiTheme="majorHAnsi" w:hAnsiTheme="majorHAnsi" w:cstheme="majorHAnsi"/>
          <w:i/>
          <w:sz w:val="24"/>
          <w:lang w:val="ro-MD"/>
        </w:rPr>
        <w:t>transmiter</w:t>
      </w:r>
      <w:r w:rsidR="003A18C0" w:rsidRPr="005B1EFA">
        <w:rPr>
          <w:rFonts w:asciiTheme="majorHAnsi" w:hAnsiTheme="majorHAnsi" w:cstheme="majorHAnsi"/>
          <w:i/>
          <w:sz w:val="24"/>
          <w:lang w:val="ro-MD"/>
        </w:rPr>
        <w:t>ea</w:t>
      </w:r>
      <w:r w:rsidR="00315A36" w:rsidRPr="005B1EFA">
        <w:rPr>
          <w:rFonts w:asciiTheme="majorHAnsi" w:hAnsiTheme="majorHAnsi" w:cstheme="majorHAnsi"/>
          <w:i/>
          <w:sz w:val="24"/>
          <w:lang w:val="ro-MD"/>
        </w:rPr>
        <w:t xml:space="preserve"> de la balanța Academiei de Științe a Moldovei la balanța L</w:t>
      </w:r>
      <w:r w:rsidR="00373FC9" w:rsidRPr="005B1EFA">
        <w:rPr>
          <w:rFonts w:asciiTheme="majorHAnsi" w:hAnsiTheme="majorHAnsi" w:cstheme="majorHAnsi"/>
          <w:i/>
          <w:sz w:val="24"/>
          <w:lang w:val="ro-MD"/>
        </w:rPr>
        <w:t>iceului teoretic</w:t>
      </w:r>
      <w:r w:rsidR="00315A36" w:rsidRPr="005B1EFA">
        <w:rPr>
          <w:rFonts w:asciiTheme="majorHAnsi" w:hAnsiTheme="majorHAnsi" w:cstheme="majorHAnsi"/>
          <w:i/>
          <w:sz w:val="24"/>
          <w:lang w:val="ro-MD"/>
        </w:rPr>
        <w:t xml:space="preserve"> „Aristotel” a investițiilor real</w:t>
      </w:r>
      <w:r w:rsidR="00315A36" w:rsidRPr="00CD7FE5">
        <w:rPr>
          <w:rFonts w:asciiTheme="majorHAnsi" w:hAnsiTheme="majorHAnsi" w:cstheme="majorHAnsi"/>
          <w:i/>
          <w:sz w:val="24"/>
          <w:lang w:val="ro-MD"/>
        </w:rPr>
        <w:t>izate (69,86 mil.lei)</w:t>
      </w:r>
      <w:r w:rsidR="00F80437" w:rsidRPr="00CD7FE5">
        <w:rPr>
          <w:rFonts w:asciiTheme="majorHAnsi" w:hAnsiTheme="majorHAnsi" w:cstheme="majorHAnsi"/>
          <w:i/>
          <w:sz w:val="24"/>
          <w:lang w:val="ro-MD"/>
        </w:rPr>
        <w:t xml:space="preserve"> și </w:t>
      </w:r>
      <w:r w:rsidR="00F80437" w:rsidRPr="00CD7FE5">
        <w:rPr>
          <w:rFonts w:asciiTheme="majorHAnsi" w:hAnsiTheme="majorHAnsi" w:cstheme="majorHAnsi"/>
          <w:i/>
          <w:sz w:val="24"/>
          <w:szCs w:val="24"/>
          <w:lang w:val="ro-MD"/>
        </w:rPr>
        <w:t>necapitalizării investițiilor  reflectate la contul 319</w:t>
      </w:r>
      <w:r w:rsidR="007D2B65">
        <w:rPr>
          <w:rFonts w:asciiTheme="majorHAnsi" w:hAnsiTheme="majorHAnsi" w:cstheme="majorHAnsi"/>
          <w:i/>
          <w:sz w:val="24"/>
          <w:szCs w:val="24"/>
          <w:lang w:val="ro-MD"/>
        </w:rPr>
        <w:t xml:space="preserve"> </w:t>
      </w:r>
      <w:r w:rsidR="007D2B65" w:rsidRPr="00CD7FE5">
        <w:rPr>
          <w:rFonts w:asciiTheme="majorHAnsi" w:hAnsiTheme="majorHAnsi" w:cstheme="majorHAnsi"/>
          <w:i/>
          <w:sz w:val="24"/>
          <w:szCs w:val="24"/>
          <w:lang w:val="ro-MD"/>
        </w:rPr>
        <w:t>(8,36 mil.lei)</w:t>
      </w:r>
      <w:r w:rsidR="00315A36" w:rsidRPr="00CD7FE5">
        <w:rPr>
          <w:rFonts w:asciiTheme="majorHAnsi" w:hAnsiTheme="majorHAnsi" w:cstheme="majorHAnsi"/>
          <w:i/>
          <w:sz w:val="24"/>
          <w:lang w:val="ro-MD"/>
        </w:rPr>
        <w:t xml:space="preserve">; </w:t>
      </w:r>
    </w:p>
    <w:p w14:paraId="43503C0C" w14:textId="63F2414A" w:rsidR="00256B1E" w:rsidRPr="00CD7FE5" w:rsidRDefault="00256B1E" w:rsidP="005B1EFA">
      <w:pPr>
        <w:pStyle w:val="ListParagraph"/>
        <w:numPr>
          <w:ilvl w:val="0"/>
          <w:numId w:val="32"/>
        </w:numPr>
        <w:spacing w:line="276" w:lineRule="auto"/>
        <w:ind w:left="0" w:firstLine="0"/>
        <w:rPr>
          <w:rFonts w:asciiTheme="majorHAnsi" w:hAnsiTheme="majorHAnsi" w:cstheme="majorHAnsi"/>
          <w:i/>
          <w:iCs/>
          <w:sz w:val="24"/>
          <w:szCs w:val="24"/>
          <w:lang w:val="ro-MD"/>
        </w:rPr>
      </w:pPr>
      <w:r w:rsidRPr="00CD7FE5">
        <w:rPr>
          <w:rFonts w:asciiTheme="majorHAnsi" w:eastAsia="Times New Roman" w:hAnsiTheme="majorHAnsi" w:cstheme="majorHAnsi"/>
          <w:i/>
          <w:color w:val="000000" w:themeColor="text1"/>
          <w:sz w:val="24"/>
          <w:szCs w:val="24"/>
          <w:lang w:val="ro-MD"/>
        </w:rPr>
        <w:t>majorarea cu cel puțin 9,0 mil.lei</w:t>
      </w:r>
      <w:r w:rsidR="005E14E1">
        <w:rPr>
          <w:rFonts w:asciiTheme="majorHAnsi" w:eastAsia="Times New Roman" w:hAnsiTheme="majorHAnsi" w:cstheme="majorHAnsi"/>
          <w:i/>
          <w:color w:val="000000" w:themeColor="text1"/>
          <w:sz w:val="24"/>
          <w:szCs w:val="24"/>
          <w:lang w:val="ro-MD"/>
        </w:rPr>
        <w:t xml:space="preserve"> -</w:t>
      </w:r>
      <w:r w:rsidRPr="00CD7FE5">
        <w:rPr>
          <w:rFonts w:asciiTheme="majorHAnsi" w:eastAsia="Times New Roman" w:hAnsiTheme="majorHAnsi" w:cstheme="majorHAnsi"/>
          <w:i/>
          <w:color w:val="000000" w:themeColor="text1"/>
          <w:sz w:val="24"/>
          <w:szCs w:val="24"/>
          <w:lang w:val="ro-MD"/>
        </w:rPr>
        <w:t xml:space="preserve"> valoarea reparațiilor capitale efectuate la clădirile care aparțin</w:t>
      </w:r>
      <w:r w:rsidR="005B1EFA">
        <w:rPr>
          <w:rFonts w:asciiTheme="majorHAnsi" w:eastAsia="Times New Roman" w:hAnsiTheme="majorHAnsi" w:cstheme="majorHAnsi"/>
          <w:i/>
          <w:color w:val="000000" w:themeColor="text1"/>
          <w:sz w:val="24"/>
          <w:szCs w:val="24"/>
          <w:lang w:val="ro-MD"/>
        </w:rPr>
        <w:t xml:space="preserve"> autorităților publice locale</w:t>
      </w:r>
      <w:r w:rsidRPr="00CD7FE5">
        <w:rPr>
          <w:rFonts w:asciiTheme="majorHAnsi" w:eastAsia="Times New Roman" w:hAnsiTheme="majorHAnsi" w:cstheme="majorHAnsi"/>
          <w:i/>
          <w:color w:val="000000" w:themeColor="text1"/>
          <w:sz w:val="24"/>
          <w:szCs w:val="24"/>
          <w:lang w:val="ro-MD"/>
        </w:rPr>
        <w:t xml:space="preserve"> </w:t>
      </w:r>
      <w:r w:rsidR="005B1EFA" w:rsidRPr="005B1EFA">
        <w:rPr>
          <w:rFonts w:asciiTheme="majorHAnsi" w:eastAsia="Times New Roman" w:hAnsiTheme="majorHAnsi" w:cstheme="majorHAnsi"/>
          <w:i/>
          <w:color w:val="000000" w:themeColor="text1"/>
          <w:sz w:val="24"/>
          <w:szCs w:val="24"/>
          <w:lang w:val="ro-MD"/>
        </w:rPr>
        <w:t>(</w:t>
      </w:r>
      <w:r w:rsidRPr="005B1EFA">
        <w:rPr>
          <w:rFonts w:asciiTheme="majorHAnsi" w:eastAsia="Times New Roman" w:hAnsiTheme="majorHAnsi" w:cstheme="majorHAnsi"/>
          <w:i/>
          <w:color w:val="000000" w:themeColor="text1"/>
          <w:sz w:val="24"/>
          <w:szCs w:val="24"/>
          <w:lang w:val="ro-MD"/>
        </w:rPr>
        <w:t>APL</w:t>
      </w:r>
      <w:r w:rsidR="005B1EFA" w:rsidRPr="005B1EFA">
        <w:rPr>
          <w:rFonts w:asciiTheme="majorHAnsi" w:eastAsia="Times New Roman" w:hAnsiTheme="majorHAnsi" w:cstheme="majorHAnsi"/>
          <w:i/>
          <w:color w:val="000000" w:themeColor="text1"/>
          <w:sz w:val="24"/>
          <w:szCs w:val="24"/>
          <w:lang w:val="ro-MD"/>
        </w:rPr>
        <w:t>)</w:t>
      </w:r>
      <w:r w:rsidRPr="005B1EFA">
        <w:rPr>
          <w:rFonts w:asciiTheme="majorHAnsi" w:eastAsia="Times New Roman" w:hAnsiTheme="majorHAnsi" w:cstheme="majorHAnsi"/>
          <w:i/>
          <w:color w:val="000000" w:themeColor="text1"/>
          <w:sz w:val="24"/>
          <w:szCs w:val="24"/>
          <w:lang w:val="ro-MD"/>
        </w:rPr>
        <w:t xml:space="preserve"> din</w:t>
      </w:r>
      <w:r w:rsidRPr="00CD7FE5">
        <w:rPr>
          <w:rFonts w:asciiTheme="majorHAnsi" w:eastAsia="Times New Roman" w:hAnsiTheme="majorHAnsi" w:cstheme="majorHAnsi"/>
          <w:i/>
          <w:color w:val="000000" w:themeColor="text1"/>
          <w:sz w:val="24"/>
          <w:szCs w:val="24"/>
          <w:lang w:val="ro-MD"/>
        </w:rPr>
        <w:t xml:space="preserve"> st</w:t>
      </w:r>
      <w:r w:rsidR="003A18C0">
        <w:rPr>
          <w:rFonts w:asciiTheme="majorHAnsi" w:eastAsia="Times New Roman" w:hAnsiTheme="majorHAnsi" w:cstheme="majorHAnsi"/>
          <w:i/>
          <w:color w:val="000000" w:themeColor="text1"/>
          <w:sz w:val="24"/>
          <w:szCs w:val="24"/>
          <w:lang w:val="ro-MD"/>
        </w:rPr>
        <w:t>â</w:t>
      </w:r>
      <w:r w:rsidRPr="00CD7FE5">
        <w:rPr>
          <w:rFonts w:asciiTheme="majorHAnsi" w:eastAsia="Times New Roman" w:hAnsiTheme="majorHAnsi" w:cstheme="majorHAnsi"/>
          <w:i/>
          <w:color w:val="000000" w:themeColor="text1"/>
          <w:sz w:val="24"/>
          <w:szCs w:val="24"/>
          <w:lang w:val="ro-MD"/>
        </w:rPr>
        <w:t>nga Nistrului (Transnistria) (3,02 mil.lei) și  Î</w:t>
      </w:r>
      <w:r w:rsidR="003A18C0">
        <w:rPr>
          <w:rFonts w:asciiTheme="majorHAnsi" w:eastAsia="Times New Roman" w:hAnsiTheme="majorHAnsi" w:cstheme="majorHAnsi"/>
          <w:i/>
          <w:color w:val="000000" w:themeColor="text1"/>
          <w:sz w:val="24"/>
          <w:szCs w:val="24"/>
          <w:lang w:val="ro-MD"/>
        </w:rPr>
        <w:t>.</w:t>
      </w:r>
      <w:r w:rsidRPr="00CD7FE5">
        <w:rPr>
          <w:rFonts w:asciiTheme="majorHAnsi" w:eastAsia="Times New Roman" w:hAnsiTheme="majorHAnsi" w:cstheme="majorHAnsi"/>
          <w:i/>
          <w:color w:val="000000" w:themeColor="text1"/>
          <w:sz w:val="24"/>
          <w:szCs w:val="24"/>
          <w:lang w:val="ro-MD"/>
        </w:rPr>
        <w:t>S</w:t>
      </w:r>
      <w:r w:rsidR="003A18C0">
        <w:rPr>
          <w:rFonts w:asciiTheme="majorHAnsi" w:eastAsia="Times New Roman" w:hAnsiTheme="majorHAnsi" w:cstheme="majorHAnsi"/>
          <w:i/>
          <w:color w:val="000000" w:themeColor="text1"/>
          <w:sz w:val="24"/>
          <w:szCs w:val="24"/>
          <w:lang w:val="ro-MD"/>
        </w:rPr>
        <w:t>.</w:t>
      </w:r>
      <w:r w:rsidRPr="00CD7FE5">
        <w:rPr>
          <w:rFonts w:asciiTheme="majorHAnsi" w:eastAsia="Times New Roman" w:hAnsiTheme="majorHAnsi" w:cstheme="majorHAnsi"/>
          <w:i/>
          <w:color w:val="000000" w:themeColor="text1"/>
          <w:sz w:val="24"/>
          <w:szCs w:val="24"/>
          <w:lang w:val="ro-MD"/>
        </w:rPr>
        <w:t xml:space="preserve"> „</w:t>
      </w:r>
      <w:r w:rsidRPr="003C3837">
        <w:rPr>
          <w:rFonts w:asciiTheme="majorHAnsi" w:eastAsia="Times New Roman" w:hAnsiTheme="majorHAnsi" w:cstheme="majorHAnsi"/>
          <w:i/>
          <w:color w:val="000000" w:themeColor="text1"/>
          <w:sz w:val="24"/>
          <w:szCs w:val="24"/>
          <w:lang w:val="ro-MD"/>
        </w:rPr>
        <w:t>Centru</w:t>
      </w:r>
      <w:r w:rsidR="00F11522" w:rsidRPr="003C3837">
        <w:rPr>
          <w:rFonts w:asciiTheme="majorHAnsi" w:eastAsia="Times New Roman" w:hAnsiTheme="majorHAnsi" w:cstheme="majorHAnsi"/>
          <w:i/>
          <w:color w:val="000000" w:themeColor="text1"/>
          <w:sz w:val="24"/>
          <w:szCs w:val="24"/>
          <w:lang w:val="ro-MD"/>
        </w:rPr>
        <w:t>l</w:t>
      </w:r>
      <w:r w:rsidRPr="003C3837">
        <w:rPr>
          <w:rFonts w:asciiTheme="majorHAnsi" w:eastAsia="Times New Roman" w:hAnsiTheme="majorHAnsi" w:cstheme="majorHAnsi"/>
          <w:i/>
          <w:color w:val="000000" w:themeColor="text1"/>
          <w:sz w:val="24"/>
          <w:szCs w:val="24"/>
          <w:lang w:val="ro-MD"/>
        </w:rPr>
        <w:t xml:space="preserve"> </w:t>
      </w:r>
      <w:r w:rsidR="005E14E1" w:rsidRPr="005B1EFA">
        <w:rPr>
          <w:rFonts w:asciiTheme="majorHAnsi" w:eastAsia="Times New Roman" w:hAnsiTheme="majorHAnsi" w:cstheme="majorHAnsi"/>
          <w:i/>
          <w:color w:val="000000" w:themeColor="text1"/>
          <w:sz w:val="24"/>
          <w:szCs w:val="24"/>
          <w:lang w:val="ro-MD"/>
        </w:rPr>
        <w:t>r</w:t>
      </w:r>
      <w:r w:rsidRPr="003C3837">
        <w:rPr>
          <w:rFonts w:asciiTheme="majorHAnsi" w:eastAsia="Times New Roman" w:hAnsiTheme="majorHAnsi" w:cstheme="majorHAnsi"/>
          <w:i/>
          <w:color w:val="000000" w:themeColor="text1"/>
          <w:sz w:val="24"/>
          <w:szCs w:val="24"/>
          <w:lang w:val="ro-MD"/>
        </w:rPr>
        <w:t>epubican</w:t>
      </w:r>
      <w:r w:rsidRPr="00CD7FE5">
        <w:rPr>
          <w:rFonts w:asciiTheme="majorHAnsi" w:eastAsia="Times New Roman" w:hAnsiTheme="majorHAnsi" w:cstheme="majorHAnsi"/>
          <w:i/>
          <w:color w:val="000000" w:themeColor="text1"/>
          <w:sz w:val="24"/>
          <w:szCs w:val="24"/>
          <w:lang w:val="ro-MD"/>
        </w:rPr>
        <w:t xml:space="preserve"> de reabilitare a invalizilor, veteranilor muncii și </w:t>
      </w:r>
      <w:r w:rsidR="005E14E1">
        <w:rPr>
          <w:rFonts w:asciiTheme="majorHAnsi" w:eastAsia="Times New Roman" w:hAnsiTheme="majorHAnsi" w:cstheme="majorHAnsi"/>
          <w:i/>
          <w:color w:val="000000" w:themeColor="text1"/>
          <w:sz w:val="24"/>
          <w:szCs w:val="24"/>
          <w:lang w:val="ro-MD"/>
        </w:rPr>
        <w:t xml:space="preserve">de </w:t>
      </w:r>
      <w:r w:rsidRPr="00CD7FE5">
        <w:rPr>
          <w:rFonts w:asciiTheme="majorHAnsi" w:eastAsia="Times New Roman" w:hAnsiTheme="majorHAnsi" w:cstheme="majorHAnsi"/>
          <w:i/>
          <w:color w:val="000000" w:themeColor="text1"/>
          <w:sz w:val="24"/>
          <w:szCs w:val="24"/>
          <w:lang w:val="ro-MD"/>
        </w:rPr>
        <w:t>război” din s. Cocieri (1,45 mil.lei) și ca urmare a înregistrării cheltuielilor aferente expertizei tehnice a unei clădiri c</w:t>
      </w:r>
      <w:r w:rsidR="00F11522">
        <w:rPr>
          <w:rFonts w:asciiTheme="majorHAnsi" w:eastAsia="Times New Roman" w:hAnsiTheme="majorHAnsi" w:cstheme="majorHAnsi"/>
          <w:i/>
          <w:color w:val="000000" w:themeColor="text1"/>
          <w:sz w:val="24"/>
          <w:szCs w:val="24"/>
          <w:lang w:val="ro-MD"/>
        </w:rPr>
        <w:t>ar</w:t>
      </w:r>
      <w:r w:rsidRPr="00CD7FE5">
        <w:rPr>
          <w:rFonts w:asciiTheme="majorHAnsi" w:eastAsia="Times New Roman" w:hAnsiTheme="majorHAnsi" w:cstheme="majorHAnsi"/>
          <w:i/>
          <w:color w:val="000000" w:themeColor="text1"/>
          <w:sz w:val="24"/>
          <w:szCs w:val="24"/>
          <w:lang w:val="ro-MD"/>
        </w:rPr>
        <w:t>e trebuie demolat</w:t>
      </w:r>
      <w:r w:rsidR="00F11522">
        <w:rPr>
          <w:rFonts w:asciiTheme="majorHAnsi" w:eastAsia="Times New Roman" w:hAnsiTheme="majorHAnsi" w:cstheme="majorHAnsi"/>
          <w:i/>
          <w:color w:val="000000" w:themeColor="text1"/>
          <w:sz w:val="24"/>
          <w:szCs w:val="24"/>
          <w:lang w:val="ro-MD"/>
        </w:rPr>
        <w:t>ă</w:t>
      </w:r>
      <w:r w:rsidRPr="00CD7FE5">
        <w:rPr>
          <w:rFonts w:asciiTheme="majorHAnsi" w:eastAsia="Times New Roman" w:hAnsiTheme="majorHAnsi" w:cstheme="majorHAnsi"/>
          <w:i/>
          <w:color w:val="000000" w:themeColor="text1"/>
          <w:sz w:val="24"/>
          <w:szCs w:val="24"/>
          <w:lang w:val="ro-MD"/>
        </w:rPr>
        <w:t xml:space="preserve"> (0,01 mil.lei), precum și a nedecontării bunurilor c</w:t>
      </w:r>
      <w:r w:rsidR="00F11522">
        <w:rPr>
          <w:rFonts w:asciiTheme="majorHAnsi" w:eastAsia="Times New Roman" w:hAnsiTheme="majorHAnsi" w:cstheme="majorHAnsi"/>
          <w:i/>
          <w:color w:val="000000" w:themeColor="text1"/>
          <w:sz w:val="24"/>
          <w:szCs w:val="24"/>
          <w:lang w:val="ro-MD"/>
        </w:rPr>
        <w:t>ar</w:t>
      </w:r>
      <w:r w:rsidRPr="00CD7FE5">
        <w:rPr>
          <w:rFonts w:asciiTheme="majorHAnsi" w:eastAsia="Times New Roman" w:hAnsiTheme="majorHAnsi" w:cstheme="majorHAnsi"/>
          <w:i/>
          <w:color w:val="000000" w:themeColor="text1"/>
          <w:sz w:val="24"/>
          <w:szCs w:val="24"/>
          <w:lang w:val="ro-MD"/>
        </w:rPr>
        <w:t xml:space="preserve">e </w:t>
      </w:r>
      <w:r w:rsidRPr="00CD7FE5">
        <w:rPr>
          <w:rFonts w:asciiTheme="majorHAnsi" w:hAnsiTheme="majorHAnsi" w:cstheme="majorHAnsi"/>
          <w:i/>
          <w:sz w:val="24"/>
          <w:szCs w:val="24"/>
          <w:lang w:val="ro-MD"/>
        </w:rPr>
        <w:t>nu aparțin instituțiilor și/sau au fost privatizate</w:t>
      </w:r>
      <w:r w:rsidRPr="00CD7FE5">
        <w:rPr>
          <w:rStyle w:val="FootnoteReference"/>
          <w:rFonts w:asciiTheme="majorHAnsi" w:hAnsiTheme="majorHAnsi" w:cstheme="majorHAnsi"/>
          <w:i/>
          <w:sz w:val="24"/>
          <w:szCs w:val="24"/>
          <w:lang w:val="ro-MD"/>
        </w:rPr>
        <w:footnoteReference w:id="2"/>
      </w:r>
      <w:r w:rsidRPr="00CD7FE5">
        <w:rPr>
          <w:rFonts w:asciiTheme="majorHAnsi" w:hAnsiTheme="majorHAnsi" w:cstheme="majorHAnsi"/>
          <w:i/>
          <w:sz w:val="24"/>
          <w:szCs w:val="24"/>
          <w:lang w:val="ro-MD"/>
        </w:rPr>
        <w:t xml:space="preserve"> (</w:t>
      </w:r>
      <w:r w:rsidR="00C070A2">
        <w:rPr>
          <w:rFonts w:asciiTheme="majorHAnsi" w:hAnsiTheme="majorHAnsi" w:cstheme="majorHAnsi"/>
          <w:i/>
          <w:sz w:val="24"/>
          <w:szCs w:val="24"/>
          <w:lang w:val="ro-MD"/>
        </w:rPr>
        <w:t>4</w:t>
      </w:r>
      <w:r w:rsidRPr="00CD7FE5">
        <w:rPr>
          <w:rFonts w:asciiTheme="majorHAnsi" w:hAnsiTheme="majorHAnsi" w:cstheme="majorHAnsi"/>
          <w:i/>
          <w:sz w:val="24"/>
          <w:szCs w:val="24"/>
          <w:lang w:val="ro-MD"/>
        </w:rPr>
        <w:t>,52 mil.lei)</w:t>
      </w:r>
      <w:r w:rsidR="008D679F">
        <w:rPr>
          <w:rFonts w:asciiTheme="majorHAnsi" w:hAnsiTheme="majorHAnsi" w:cstheme="majorHAnsi"/>
          <w:i/>
          <w:sz w:val="24"/>
          <w:szCs w:val="24"/>
          <w:lang w:val="ro-MD"/>
        </w:rPr>
        <w:t>.</w:t>
      </w:r>
    </w:p>
    <w:p w14:paraId="02AAF49A" w14:textId="5FBFAD7D" w:rsidR="000A7C8F" w:rsidRPr="00CD7FE5" w:rsidRDefault="00A13C85" w:rsidP="00451D75">
      <w:pPr>
        <w:pStyle w:val="ListParagraph"/>
        <w:spacing w:line="276" w:lineRule="auto"/>
        <w:ind w:left="0"/>
        <w:rPr>
          <w:rFonts w:asciiTheme="majorHAnsi" w:eastAsia="Calibri" w:hAnsiTheme="majorHAnsi" w:cstheme="majorHAnsi"/>
          <w:i/>
          <w:sz w:val="24"/>
          <w:lang w:val="ro-MD"/>
        </w:rPr>
      </w:pPr>
      <w:r w:rsidRPr="00451D75">
        <w:rPr>
          <w:rFonts w:asciiTheme="majorHAnsi" w:hAnsiTheme="majorHAnsi" w:cstheme="majorHAnsi"/>
          <w:b/>
          <w:i/>
          <w:iCs/>
          <w:sz w:val="24"/>
          <w:szCs w:val="24"/>
          <w:lang w:val="ro-MD"/>
        </w:rPr>
        <w:t>2.3.</w:t>
      </w:r>
      <w:r w:rsidRPr="00451D75">
        <w:rPr>
          <w:rFonts w:asciiTheme="majorHAnsi" w:hAnsiTheme="majorHAnsi" w:cstheme="majorHAnsi"/>
          <w:i/>
          <w:iCs/>
          <w:sz w:val="24"/>
          <w:szCs w:val="24"/>
          <w:lang w:val="ro-MD"/>
        </w:rPr>
        <w:t xml:space="preserve"> </w:t>
      </w:r>
      <w:r w:rsidR="00556A2A">
        <w:rPr>
          <w:rFonts w:asciiTheme="majorHAnsi" w:hAnsiTheme="majorHAnsi" w:cstheme="majorHAnsi"/>
          <w:i/>
          <w:iCs/>
          <w:sz w:val="24"/>
          <w:szCs w:val="24"/>
          <w:lang w:val="ro-MD"/>
        </w:rPr>
        <w:t>D</w:t>
      </w:r>
      <w:r w:rsidR="00254B7A" w:rsidRPr="00451D75">
        <w:rPr>
          <w:rFonts w:asciiTheme="majorHAnsi" w:hAnsiTheme="majorHAnsi" w:cstheme="majorHAnsi"/>
          <w:i/>
          <w:iCs/>
          <w:sz w:val="24"/>
          <w:szCs w:val="24"/>
          <w:lang w:val="ro-MD"/>
        </w:rPr>
        <w:t>iminuarea</w:t>
      </w:r>
      <w:r w:rsidR="000A7C8F" w:rsidRPr="00CD7FE5">
        <w:rPr>
          <w:rFonts w:asciiTheme="majorHAnsi" w:hAnsiTheme="majorHAnsi" w:cstheme="majorHAnsi"/>
          <w:i/>
          <w:sz w:val="24"/>
          <w:lang w:val="ro-MD"/>
        </w:rPr>
        <w:t xml:space="preserve"> valorii contului </w:t>
      </w:r>
      <w:r w:rsidR="000A7C8F" w:rsidRPr="00CD7FE5">
        <w:rPr>
          <w:rFonts w:asciiTheme="majorHAnsi" w:hAnsiTheme="majorHAnsi" w:cstheme="majorHAnsi"/>
          <w:i/>
          <w:iCs/>
          <w:sz w:val="24"/>
          <w:szCs w:val="24"/>
          <w:lang w:val="ro-MD"/>
        </w:rPr>
        <w:t>415</w:t>
      </w:r>
      <w:r w:rsidR="000A7C8F" w:rsidRPr="00CD7FE5">
        <w:rPr>
          <w:rFonts w:asciiTheme="majorHAnsi" w:hAnsiTheme="majorHAnsi" w:cstheme="majorHAnsi"/>
          <w:i/>
          <w:sz w:val="24"/>
          <w:lang w:val="ro-MD"/>
        </w:rPr>
        <w:t xml:space="preserve"> „</w:t>
      </w:r>
      <w:r w:rsidR="000A7C8F" w:rsidRPr="00CD7FE5">
        <w:rPr>
          <w:rFonts w:asciiTheme="majorHAnsi" w:hAnsiTheme="majorHAnsi" w:cstheme="majorHAnsi"/>
          <w:i/>
          <w:iCs/>
          <w:sz w:val="24"/>
          <w:szCs w:val="24"/>
          <w:lang w:val="ro-MD"/>
        </w:rPr>
        <w:t xml:space="preserve">Acțiuni și alte forme de participare în capital în interiorul țării” cu </w:t>
      </w:r>
      <w:r w:rsidR="00254B7A">
        <w:rPr>
          <w:rFonts w:asciiTheme="majorHAnsi" w:hAnsiTheme="majorHAnsi" w:cstheme="majorHAnsi"/>
          <w:b/>
          <w:i/>
          <w:iCs/>
          <w:sz w:val="24"/>
          <w:szCs w:val="24"/>
          <w:lang w:val="ro-MD"/>
        </w:rPr>
        <w:t>37</w:t>
      </w:r>
      <w:r w:rsidR="00D3220E">
        <w:rPr>
          <w:rFonts w:asciiTheme="majorHAnsi" w:hAnsiTheme="majorHAnsi" w:cstheme="majorHAnsi"/>
          <w:b/>
          <w:i/>
          <w:iCs/>
          <w:sz w:val="24"/>
          <w:szCs w:val="24"/>
          <w:lang w:val="ro-MD"/>
        </w:rPr>
        <w:t>25</w:t>
      </w:r>
      <w:r w:rsidR="00254B7A">
        <w:rPr>
          <w:rFonts w:asciiTheme="majorHAnsi" w:hAnsiTheme="majorHAnsi" w:cstheme="majorHAnsi"/>
          <w:b/>
          <w:i/>
          <w:iCs/>
          <w:sz w:val="24"/>
          <w:szCs w:val="24"/>
          <w:lang w:val="ro-MD"/>
        </w:rPr>
        <w:t>,</w:t>
      </w:r>
      <w:r w:rsidR="00D3220E">
        <w:rPr>
          <w:rFonts w:asciiTheme="majorHAnsi" w:hAnsiTheme="majorHAnsi" w:cstheme="majorHAnsi"/>
          <w:b/>
          <w:i/>
          <w:iCs/>
          <w:sz w:val="24"/>
          <w:szCs w:val="24"/>
          <w:lang w:val="ro-MD"/>
        </w:rPr>
        <w:t>55</w:t>
      </w:r>
      <w:r w:rsidR="000A7C8F" w:rsidRPr="00CD7FE5">
        <w:rPr>
          <w:rFonts w:asciiTheme="majorHAnsi" w:hAnsiTheme="majorHAnsi" w:cstheme="majorHAnsi"/>
          <w:b/>
          <w:i/>
          <w:sz w:val="24"/>
          <w:lang w:val="ro-MD"/>
        </w:rPr>
        <w:t xml:space="preserve"> mil.lei,</w:t>
      </w:r>
      <w:r w:rsidR="000A7C8F" w:rsidRPr="00CD7FE5">
        <w:rPr>
          <w:rFonts w:asciiTheme="majorHAnsi" w:hAnsiTheme="majorHAnsi" w:cstheme="majorHAnsi"/>
          <w:i/>
          <w:sz w:val="24"/>
          <w:lang w:val="ro-MD"/>
        </w:rPr>
        <w:t xml:space="preserve"> determinată de:</w:t>
      </w:r>
    </w:p>
    <w:p w14:paraId="14DEB4E9" w14:textId="303A9E2E" w:rsidR="00E70DFF" w:rsidRPr="00451D75" w:rsidRDefault="000A7C8F" w:rsidP="00092F2F">
      <w:pPr>
        <w:pStyle w:val="ListParagraph"/>
        <w:numPr>
          <w:ilvl w:val="0"/>
          <w:numId w:val="32"/>
        </w:numPr>
        <w:spacing w:line="276" w:lineRule="auto"/>
        <w:ind w:left="0" w:firstLine="0"/>
        <w:rPr>
          <w:rFonts w:ascii="Calibri" w:eastAsia="Times New Roman" w:hAnsi="Calibri" w:cs="Calibri"/>
          <w:i/>
          <w:lang w:val="ro-MD"/>
        </w:rPr>
      </w:pPr>
      <w:r w:rsidRPr="00451D75">
        <w:rPr>
          <w:rFonts w:asciiTheme="majorHAnsi" w:hAnsiTheme="majorHAnsi" w:cstheme="majorHAnsi"/>
          <w:i/>
          <w:iCs/>
          <w:sz w:val="24"/>
          <w:szCs w:val="24"/>
          <w:lang w:val="ro-MD"/>
        </w:rPr>
        <w:t xml:space="preserve">majorarea cu </w:t>
      </w:r>
      <w:r w:rsidR="00254B7A" w:rsidRPr="00451D75">
        <w:rPr>
          <w:rFonts w:asciiTheme="majorHAnsi" w:hAnsiTheme="majorHAnsi" w:cstheme="majorHAnsi"/>
          <w:i/>
          <w:iCs/>
          <w:sz w:val="24"/>
          <w:szCs w:val="24"/>
          <w:lang w:val="ro-MD"/>
        </w:rPr>
        <w:t>113,16</w:t>
      </w:r>
      <w:r w:rsidRPr="00451D75">
        <w:rPr>
          <w:rFonts w:asciiTheme="majorHAnsi" w:hAnsiTheme="majorHAnsi" w:cstheme="majorHAnsi"/>
          <w:i/>
          <w:iCs/>
          <w:sz w:val="24"/>
          <w:szCs w:val="24"/>
          <w:lang w:val="ro-MD"/>
        </w:rPr>
        <w:t xml:space="preserve"> mil.lei, generată de netransmiterea conformă a cotelor de participare în capitalul agenților economici preluate </w:t>
      </w:r>
      <w:r w:rsidRPr="00102B3A">
        <w:rPr>
          <w:rFonts w:asciiTheme="majorHAnsi" w:hAnsiTheme="majorHAnsi" w:cstheme="majorHAnsi"/>
          <w:i/>
          <w:iCs/>
          <w:sz w:val="24"/>
          <w:szCs w:val="24"/>
          <w:lang w:val="ro-MD"/>
        </w:rPr>
        <w:t>de A</w:t>
      </w:r>
      <w:r w:rsidR="00373FC9" w:rsidRPr="005B1EFA">
        <w:rPr>
          <w:rFonts w:asciiTheme="majorHAnsi" w:hAnsiTheme="majorHAnsi" w:cstheme="majorHAnsi"/>
          <w:i/>
          <w:iCs/>
          <w:sz w:val="24"/>
          <w:szCs w:val="24"/>
          <w:lang w:val="ro-MD"/>
        </w:rPr>
        <w:t xml:space="preserve">genția </w:t>
      </w:r>
      <w:r w:rsidRPr="00102B3A">
        <w:rPr>
          <w:rFonts w:asciiTheme="majorHAnsi" w:hAnsiTheme="majorHAnsi" w:cstheme="majorHAnsi"/>
          <w:i/>
          <w:iCs/>
          <w:sz w:val="24"/>
          <w:szCs w:val="24"/>
          <w:lang w:val="ro-MD"/>
        </w:rPr>
        <w:t>P</w:t>
      </w:r>
      <w:r w:rsidR="00373FC9" w:rsidRPr="005B1EFA">
        <w:rPr>
          <w:rFonts w:asciiTheme="majorHAnsi" w:hAnsiTheme="majorHAnsi" w:cstheme="majorHAnsi"/>
          <w:i/>
          <w:iCs/>
          <w:sz w:val="24"/>
          <w:szCs w:val="24"/>
          <w:lang w:val="ro-MD"/>
        </w:rPr>
        <w:t xml:space="preserve">roprietății </w:t>
      </w:r>
      <w:r w:rsidRPr="00102B3A">
        <w:rPr>
          <w:rFonts w:asciiTheme="majorHAnsi" w:hAnsiTheme="majorHAnsi" w:cstheme="majorHAnsi"/>
          <w:i/>
          <w:iCs/>
          <w:sz w:val="24"/>
          <w:szCs w:val="24"/>
          <w:lang w:val="ro-MD"/>
        </w:rPr>
        <w:t>P</w:t>
      </w:r>
      <w:r w:rsidR="00373FC9" w:rsidRPr="00102B3A">
        <w:rPr>
          <w:rFonts w:asciiTheme="majorHAnsi" w:hAnsiTheme="majorHAnsi" w:cstheme="majorHAnsi"/>
          <w:i/>
          <w:iCs/>
          <w:sz w:val="24"/>
          <w:szCs w:val="24"/>
          <w:lang w:val="ro-MD"/>
        </w:rPr>
        <w:t>ublice</w:t>
      </w:r>
      <w:r w:rsidR="00C01385">
        <w:rPr>
          <w:rFonts w:asciiTheme="majorHAnsi" w:hAnsiTheme="majorHAnsi" w:cstheme="majorHAnsi"/>
          <w:i/>
          <w:iCs/>
          <w:sz w:val="24"/>
          <w:szCs w:val="24"/>
          <w:lang w:val="ro-MD"/>
        </w:rPr>
        <w:t xml:space="preserve"> (APP)</w:t>
      </w:r>
      <w:r w:rsidRPr="00102B3A">
        <w:rPr>
          <w:rFonts w:asciiTheme="majorHAnsi" w:hAnsiTheme="majorHAnsi" w:cstheme="majorHAnsi"/>
          <w:i/>
          <w:iCs/>
          <w:sz w:val="24"/>
          <w:szCs w:val="24"/>
          <w:lang w:val="ro-MD"/>
        </w:rPr>
        <w:t xml:space="preserve"> (100</w:t>
      </w:r>
      <w:r w:rsidRPr="00451D75">
        <w:rPr>
          <w:rFonts w:asciiTheme="majorHAnsi" w:hAnsiTheme="majorHAnsi" w:cstheme="majorHAnsi"/>
          <w:i/>
          <w:iCs/>
          <w:sz w:val="24"/>
          <w:szCs w:val="24"/>
          <w:lang w:val="ro-MD"/>
        </w:rPr>
        <w:t>,94 mil.lei)</w:t>
      </w:r>
      <w:r w:rsidR="00254B7A" w:rsidRPr="00451D75">
        <w:rPr>
          <w:rFonts w:asciiTheme="majorHAnsi" w:hAnsiTheme="majorHAnsi" w:cstheme="majorHAnsi"/>
          <w:i/>
          <w:iCs/>
          <w:sz w:val="24"/>
          <w:szCs w:val="24"/>
          <w:lang w:val="ro-MD"/>
        </w:rPr>
        <w:t xml:space="preserve"> și </w:t>
      </w:r>
      <w:r w:rsidR="00E70DFF" w:rsidRPr="00451D75">
        <w:rPr>
          <w:rFonts w:asciiTheme="majorHAnsi" w:hAnsiTheme="majorHAnsi" w:cstheme="majorHAnsi"/>
          <w:i/>
          <w:iCs/>
          <w:sz w:val="24"/>
          <w:szCs w:val="24"/>
          <w:lang w:val="ro-MD"/>
        </w:rPr>
        <w:t xml:space="preserve"> alt</w:t>
      </w:r>
      <w:r w:rsidR="00F11522">
        <w:rPr>
          <w:rFonts w:asciiTheme="majorHAnsi" w:hAnsiTheme="majorHAnsi" w:cstheme="majorHAnsi"/>
          <w:i/>
          <w:iCs/>
          <w:sz w:val="24"/>
          <w:szCs w:val="24"/>
          <w:lang w:val="ro-MD"/>
        </w:rPr>
        <w:t>e</w:t>
      </w:r>
      <w:r w:rsidR="00E70DFF" w:rsidRPr="00451D75">
        <w:rPr>
          <w:rFonts w:asciiTheme="majorHAnsi" w:hAnsiTheme="majorHAnsi" w:cstheme="majorHAnsi"/>
          <w:i/>
          <w:iCs/>
          <w:sz w:val="24"/>
          <w:szCs w:val="24"/>
          <w:lang w:val="ro-MD"/>
        </w:rPr>
        <w:t xml:space="preserve"> majorări (12,22 mil.lei</w:t>
      </w:r>
      <w:r w:rsidR="00254B7A" w:rsidRPr="00451D75">
        <w:rPr>
          <w:rStyle w:val="FootnoteReference"/>
          <w:rFonts w:asciiTheme="majorHAnsi" w:hAnsiTheme="majorHAnsi" w:cstheme="majorHAnsi"/>
          <w:i/>
          <w:iCs/>
          <w:sz w:val="24"/>
          <w:szCs w:val="24"/>
          <w:lang w:val="ro-MD"/>
        </w:rPr>
        <w:footnoteReference w:id="3"/>
      </w:r>
      <w:r w:rsidR="00E70DFF" w:rsidRPr="00451D75">
        <w:rPr>
          <w:rFonts w:asciiTheme="majorHAnsi" w:hAnsiTheme="majorHAnsi" w:cstheme="majorHAnsi"/>
          <w:i/>
          <w:iCs/>
          <w:sz w:val="24"/>
          <w:szCs w:val="24"/>
          <w:lang w:val="ro-MD"/>
        </w:rPr>
        <w:t>);</w:t>
      </w:r>
    </w:p>
    <w:p w14:paraId="14DC82A9" w14:textId="1B04C3BB" w:rsidR="00776542" w:rsidRPr="00092F2F" w:rsidRDefault="000A7C8F" w:rsidP="00092F2F">
      <w:pPr>
        <w:pStyle w:val="ListParagraph"/>
        <w:numPr>
          <w:ilvl w:val="0"/>
          <w:numId w:val="32"/>
        </w:numPr>
        <w:spacing w:line="276" w:lineRule="auto"/>
        <w:ind w:left="0" w:firstLine="0"/>
        <w:rPr>
          <w:rFonts w:ascii="Calibri" w:eastAsia="Times New Roman" w:hAnsi="Calibri" w:cs="Calibri"/>
          <w:i/>
          <w:lang w:val="ro-MD"/>
        </w:rPr>
      </w:pPr>
      <w:r w:rsidRPr="00451D75">
        <w:rPr>
          <w:rFonts w:ascii="Calibri Light" w:hAnsi="Calibri Light" w:cs="Calibri Light"/>
          <w:i/>
          <w:iCs/>
          <w:sz w:val="24"/>
          <w:szCs w:val="24"/>
          <w:lang w:val="ro-MD"/>
        </w:rPr>
        <w:t xml:space="preserve">diminuarea cu </w:t>
      </w:r>
      <w:r w:rsidR="006254FC" w:rsidRPr="00451D75">
        <w:rPr>
          <w:rFonts w:ascii="Calibri Light" w:hAnsi="Calibri Light" w:cs="Calibri Light"/>
          <w:i/>
          <w:iCs/>
          <w:sz w:val="24"/>
          <w:szCs w:val="24"/>
          <w:lang w:val="ro-MD"/>
        </w:rPr>
        <w:t>383</w:t>
      </w:r>
      <w:r w:rsidR="00D3220E">
        <w:rPr>
          <w:rFonts w:ascii="Calibri Light" w:hAnsi="Calibri Light" w:cs="Calibri Light"/>
          <w:i/>
          <w:iCs/>
          <w:sz w:val="24"/>
          <w:szCs w:val="24"/>
          <w:lang w:val="ro-MD"/>
        </w:rPr>
        <w:t>8</w:t>
      </w:r>
      <w:r w:rsidR="006254FC" w:rsidRPr="00451D75">
        <w:rPr>
          <w:rFonts w:ascii="Calibri Light" w:hAnsi="Calibri Light" w:cs="Calibri Light"/>
          <w:i/>
          <w:iCs/>
          <w:sz w:val="24"/>
          <w:szCs w:val="24"/>
          <w:lang w:val="ro-MD"/>
        </w:rPr>
        <w:t>,</w:t>
      </w:r>
      <w:r w:rsidR="00D3220E">
        <w:rPr>
          <w:rFonts w:ascii="Calibri Light" w:hAnsi="Calibri Light" w:cs="Calibri Light"/>
          <w:i/>
          <w:iCs/>
          <w:sz w:val="24"/>
          <w:szCs w:val="24"/>
          <w:lang w:val="ro-MD"/>
        </w:rPr>
        <w:t>71</w:t>
      </w:r>
      <w:r w:rsidRPr="00451D75">
        <w:rPr>
          <w:rFonts w:ascii="Calibri Light" w:hAnsi="Calibri Light" w:cs="Calibri Light"/>
          <w:i/>
          <w:iCs/>
          <w:sz w:val="24"/>
          <w:szCs w:val="24"/>
          <w:lang w:val="ro-MD"/>
        </w:rPr>
        <w:t xml:space="preserve"> mil.lei, ca urmare a</w:t>
      </w:r>
      <w:r w:rsidR="006254FC" w:rsidRPr="00451D75">
        <w:rPr>
          <w:rFonts w:ascii="Calibri Light" w:hAnsi="Calibri Light" w:cs="Calibri Light"/>
          <w:i/>
          <w:iCs/>
          <w:sz w:val="24"/>
          <w:szCs w:val="24"/>
          <w:lang w:val="ro-MD"/>
        </w:rPr>
        <w:t>: (1)</w:t>
      </w:r>
      <w:r w:rsidRPr="00451D75">
        <w:rPr>
          <w:rFonts w:ascii="Calibri Light" w:hAnsi="Calibri Light" w:cs="Calibri Light"/>
          <w:i/>
          <w:iCs/>
          <w:sz w:val="24"/>
          <w:szCs w:val="24"/>
          <w:lang w:val="ro-MD"/>
        </w:rPr>
        <w:t xml:space="preserve"> necapitalizării investițiilor efectuate pe parcursul anilor (34,22 mil. lei)</w:t>
      </w:r>
      <w:r w:rsidRPr="00451D75">
        <w:rPr>
          <w:rStyle w:val="FootnoteReference"/>
          <w:rFonts w:ascii="Calibri Light" w:hAnsi="Calibri Light" w:cs="Calibri Light"/>
          <w:i/>
          <w:iCs/>
          <w:sz w:val="24"/>
          <w:szCs w:val="24"/>
          <w:lang w:val="ro-MD"/>
        </w:rPr>
        <w:footnoteReference w:id="4"/>
      </w:r>
      <w:r w:rsidRPr="00451D75">
        <w:rPr>
          <w:rFonts w:ascii="Calibri Light" w:hAnsi="Calibri Light" w:cs="Calibri Light"/>
          <w:i/>
          <w:iCs/>
          <w:sz w:val="24"/>
          <w:szCs w:val="24"/>
          <w:lang w:val="ro-MD"/>
        </w:rPr>
        <w:t xml:space="preserve">, precum și </w:t>
      </w:r>
      <w:r w:rsidR="00F11522">
        <w:rPr>
          <w:rFonts w:ascii="Calibri Light" w:hAnsi="Calibri Light" w:cs="Calibri Light"/>
          <w:i/>
          <w:iCs/>
          <w:sz w:val="24"/>
          <w:szCs w:val="24"/>
          <w:lang w:val="ro-MD"/>
        </w:rPr>
        <w:t xml:space="preserve">a </w:t>
      </w:r>
      <w:r w:rsidRPr="00A352EA">
        <w:rPr>
          <w:rFonts w:asciiTheme="majorHAnsi" w:hAnsiTheme="majorHAnsi" w:cstheme="majorHAnsi"/>
          <w:i/>
          <w:iCs/>
          <w:sz w:val="24"/>
          <w:szCs w:val="24"/>
          <w:lang w:val="ro-MD"/>
        </w:rPr>
        <w:t>netra</w:t>
      </w:r>
      <w:r w:rsidR="00F11522" w:rsidRPr="00A352EA">
        <w:rPr>
          <w:rFonts w:asciiTheme="majorHAnsi" w:hAnsiTheme="majorHAnsi" w:cstheme="majorHAnsi"/>
          <w:i/>
          <w:iCs/>
          <w:sz w:val="24"/>
          <w:szCs w:val="24"/>
          <w:lang w:val="ro-MD"/>
        </w:rPr>
        <w:t>n</w:t>
      </w:r>
      <w:r w:rsidRPr="00A352EA">
        <w:rPr>
          <w:rFonts w:asciiTheme="majorHAnsi" w:hAnsiTheme="majorHAnsi" w:cstheme="majorHAnsi"/>
          <w:i/>
          <w:iCs/>
          <w:sz w:val="24"/>
          <w:szCs w:val="24"/>
          <w:lang w:val="ro-MD"/>
        </w:rPr>
        <w:t>smiterii fondatorului (</w:t>
      </w:r>
      <w:r w:rsidRPr="00451D75">
        <w:rPr>
          <w:rFonts w:asciiTheme="majorHAnsi" w:hAnsiTheme="majorHAnsi" w:cstheme="majorHAnsi"/>
          <w:i/>
          <w:iCs/>
          <w:sz w:val="24"/>
          <w:szCs w:val="24"/>
          <w:lang w:val="ro-MD"/>
        </w:rPr>
        <w:t xml:space="preserve">MECC) de către MEI a investițiilor statului în infrastructura Colegiului </w:t>
      </w:r>
      <w:r w:rsidRPr="00FD01EC">
        <w:rPr>
          <w:rFonts w:asciiTheme="majorHAnsi" w:hAnsiTheme="majorHAnsi" w:cstheme="majorHAnsi"/>
          <w:i/>
          <w:iCs/>
          <w:sz w:val="24"/>
          <w:szCs w:val="24"/>
          <w:lang w:val="ro-MD"/>
        </w:rPr>
        <w:t>de Inginerie</w:t>
      </w:r>
      <w:r w:rsidRPr="00451D75">
        <w:rPr>
          <w:rFonts w:asciiTheme="majorHAnsi" w:hAnsiTheme="majorHAnsi" w:cstheme="majorHAnsi"/>
          <w:i/>
          <w:iCs/>
          <w:sz w:val="24"/>
          <w:szCs w:val="24"/>
          <w:lang w:val="ro-MD"/>
        </w:rPr>
        <w:t xml:space="preserve"> din or. Strășeni (32,6 mil.lei);</w:t>
      </w:r>
      <w:r w:rsidR="006254FC" w:rsidRPr="00451D75">
        <w:rPr>
          <w:rFonts w:asciiTheme="majorHAnsi" w:hAnsiTheme="majorHAnsi" w:cstheme="majorHAnsi"/>
          <w:i/>
          <w:iCs/>
          <w:sz w:val="24"/>
          <w:szCs w:val="24"/>
          <w:lang w:val="ro-MD"/>
        </w:rPr>
        <w:t xml:space="preserve"> (2) nereflectării în evidența contabilă a MECC a </w:t>
      </w:r>
      <w:r w:rsidR="008E4192" w:rsidRPr="00451D75">
        <w:rPr>
          <w:rFonts w:asciiTheme="majorHAnsi" w:hAnsiTheme="majorHAnsi" w:cstheme="majorHAnsi"/>
          <w:i/>
          <w:iCs/>
          <w:sz w:val="24"/>
          <w:szCs w:val="24"/>
          <w:lang w:val="ro-MD"/>
        </w:rPr>
        <w:t>clădirilor</w:t>
      </w:r>
      <w:r w:rsidR="004B69B2" w:rsidRPr="00451D75">
        <w:rPr>
          <w:rFonts w:asciiTheme="majorHAnsi" w:hAnsiTheme="majorHAnsi" w:cstheme="majorHAnsi"/>
          <w:i/>
          <w:iCs/>
          <w:sz w:val="24"/>
          <w:szCs w:val="24"/>
          <w:lang w:val="ro-MD"/>
        </w:rPr>
        <w:t xml:space="preserve"> </w:t>
      </w:r>
      <w:r w:rsidR="008E4192" w:rsidRPr="00451D75">
        <w:rPr>
          <w:rFonts w:asciiTheme="majorHAnsi" w:hAnsiTheme="majorHAnsi" w:cstheme="majorHAnsi"/>
          <w:i/>
          <w:iCs/>
          <w:sz w:val="24"/>
          <w:szCs w:val="24"/>
          <w:lang w:val="ro-MD"/>
        </w:rPr>
        <w:t>și</w:t>
      </w:r>
      <w:r w:rsidR="006254FC" w:rsidRPr="00451D75">
        <w:rPr>
          <w:rFonts w:asciiTheme="majorHAnsi" w:hAnsiTheme="majorHAnsi" w:cstheme="majorHAnsi"/>
          <w:i/>
          <w:iCs/>
          <w:sz w:val="24"/>
          <w:szCs w:val="24"/>
          <w:lang w:val="ro-MD"/>
        </w:rPr>
        <w:t xml:space="preserve"> terenuri</w:t>
      </w:r>
      <w:r w:rsidR="00FF1B9F">
        <w:rPr>
          <w:rFonts w:asciiTheme="majorHAnsi" w:hAnsiTheme="majorHAnsi" w:cstheme="majorHAnsi"/>
          <w:i/>
          <w:iCs/>
          <w:sz w:val="24"/>
          <w:szCs w:val="24"/>
          <w:lang w:val="ro-MD"/>
        </w:rPr>
        <w:t>lor</w:t>
      </w:r>
      <w:r w:rsidR="004B69B2" w:rsidRPr="00451D75">
        <w:rPr>
          <w:rStyle w:val="FootnoteReference"/>
          <w:rFonts w:asciiTheme="majorHAnsi" w:hAnsiTheme="majorHAnsi" w:cstheme="majorHAnsi"/>
          <w:i/>
          <w:iCs/>
          <w:sz w:val="24"/>
          <w:szCs w:val="24"/>
          <w:lang w:val="ro-MD"/>
        </w:rPr>
        <w:footnoteReference w:id="5"/>
      </w:r>
      <w:r w:rsidR="006254FC" w:rsidRPr="00451D75">
        <w:rPr>
          <w:rFonts w:asciiTheme="majorHAnsi" w:hAnsiTheme="majorHAnsi" w:cstheme="majorHAnsi"/>
          <w:i/>
          <w:iCs/>
          <w:sz w:val="24"/>
          <w:szCs w:val="24"/>
          <w:lang w:val="ro-MD"/>
        </w:rPr>
        <w:t xml:space="preserve"> proprietate publică din </w:t>
      </w:r>
      <w:r w:rsidR="006254FC" w:rsidRPr="00451D75">
        <w:rPr>
          <w:rFonts w:asciiTheme="majorHAnsi" w:hAnsiTheme="majorHAnsi" w:cstheme="majorHAnsi"/>
          <w:i/>
          <w:iCs/>
          <w:sz w:val="24"/>
          <w:szCs w:val="24"/>
          <w:lang w:val="ro-MD"/>
        </w:rPr>
        <w:lastRenderedPageBreak/>
        <w:t>domeniul public, aflate</w:t>
      </w:r>
      <w:r w:rsidR="00FF1B9F">
        <w:rPr>
          <w:rFonts w:asciiTheme="majorHAnsi" w:hAnsiTheme="majorHAnsi" w:cstheme="majorHAnsi"/>
          <w:i/>
          <w:iCs/>
          <w:sz w:val="24"/>
          <w:szCs w:val="24"/>
          <w:lang w:val="ro-MD"/>
        </w:rPr>
        <w:t>,</w:t>
      </w:r>
      <w:r w:rsidR="006254FC" w:rsidRPr="00451D75">
        <w:rPr>
          <w:rFonts w:asciiTheme="majorHAnsi" w:hAnsiTheme="majorHAnsi" w:cstheme="majorHAnsi"/>
          <w:i/>
          <w:iCs/>
          <w:sz w:val="24"/>
          <w:szCs w:val="24"/>
          <w:lang w:val="ro-MD"/>
        </w:rPr>
        <w:t xml:space="preserve"> conform informațiilor prezentate</w:t>
      </w:r>
      <w:r w:rsidR="00FF1B9F">
        <w:rPr>
          <w:rFonts w:asciiTheme="majorHAnsi" w:hAnsiTheme="majorHAnsi" w:cstheme="majorHAnsi"/>
          <w:i/>
          <w:iCs/>
          <w:sz w:val="24"/>
          <w:szCs w:val="24"/>
          <w:lang w:val="ro-MD"/>
        </w:rPr>
        <w:t>,</w:t>
      </w:r>
      <w:r w:rsidR="006254FC" w:rsidRPr="00451D75">
        <w:rPr>
          <w:rFonts w:asciiTheme="majorHAnsi" w:hAnsiTheme="majorHAnsi" w:cstheme="majorHAnsi"/>
          <w:i/>
          <w:iCs/>
          <w:sz w:val="24"/>
          <w:szCs w:val="24"/>
          <w:lang w:val="ro-MD"/>
        </w:rPr>
        <w:t xml:space="preserve"> în folosința entităților </w:t>
      </w:r>
      <w:r w:rsidR="003C3837">
        <w:rPr>
          <w:rFonts w:asciiTheme="majorHAnsi" w:hAnsiTheme="majorHAnsi" w:cstheme="majorHAnsi"/>
          <w:i/>
          <w:iCs/>
          <w:sz w:val="24"/>
          <w:szCs w:val="24"/>
          <w:lang w:val="ro-MD"/>
        </w:rPr>
        <w:t xml:space="preserve">aflate </w:t>
      </w:r>
      <w:r w:rsidR="006254FC" w:rsidRPr="00451D75">
        <w:rPr>
          <w:rFonts w:asciiTheme="majorHAnsi" w:hAnsiTheme="majorHAnsi" w:cstheme="majorHAnsi"/>
          <w:i/>
          <w:iCs/>
          <w:sz w:val="24"/>
          <w:szCs w:val="24"/>
          <w:lang w:val="ro-MD"/>
        </w:rPr>
        <w:t>la autogestiune fondate de MECC (</w:t>
      </w:r>
      <w:r w:rsidR="008E4192" w:rsidRPr="00451D75">
        <w:rPr>
          <w:rFonts w:asciiTheme="majorHAnsi" w:hAnsiTheme="majorHAnsi" w:cstheme="majorHAnsi"/>
          <w:i/>
          <w:iCs/>
          <w:sz w:val="24"/>
          <w:szCs w:val="24"/>
          <w:lang w:val="ro-MD"/>
        </w:rPr>
        <w:t>3</w:t>
      </w:r>
      <w:r w:rsidR="00FF70E2" w:rsidRPr="00451D75">
        <w:rPr>
          <w:rFonts w:asciiTheme="majorHAnsi" w:hAnsiTheme="majorHAnsi" w:cstheme="majorHAnsi"/>
          <w:i/>
          <w:iCs/>
          <w:sz w:val="24"/>
          <w:szCs w:val="24"/>
          <w:lang w:val="ro-MD"/>
        </w:rPr>
        <w:t>764</w:t>
      </w:r>
      <w:r w:rsidR="008E4192" w:rsidRPr="00451D75">
        <w:rPr>
          <w:rFonts w:asciiTheme="majorHAnsi" w:hAnsiTheme="majorHAnsi" w:cstheme="majorHAnsi"/>
          <w:i/>
          <w:iCs/>
          <w:sz w:val="24"/>
          <w:szCs w:val="24"/>
          <w:lang w:val="ro-MD"/>
        </w:rPr>
        <w:t>,48 mil.</w:t>
      </w:r>
      <w:r w:rsidR="008E4192" w:rsidRPr="00092F2F">
        <w:rPr>
          <w:rFonts w:asciiTheme="majorHAnsi" w:hAnsiTheme="majorHAnsi" w:cstheme="majorHAnsi"/>
          <w:i/>
          <w:iCs/>
          <w:sz w:val="24"/>
          <w:szCs w:val="24"/>
          <w:lang w:val="ro-MD"/>
        </w:rPr>
        <w:t>lei</w:t>
      </w:r>
      <w:r w:rsidR="006254FC" w:rsidRPr="00092F2F">
        <w:rPr>
          <w:rFonts w:asciiTheme="majorHAnsi" w:hAnsiTheme="majorHAnsi" w:cstheme="majorHAnsi"/>
          <w:i/>
          <w:iCs/>
          <w:sz w:val="24"/>
          <w:szCs w:val="24"/>
          <w:lang w:val="ro-MD"/>
        </w:rPr>
        <w:t>)</w:t>
      </w:r>
      <w:r w:rsidR="003B19AA" w:rsidRPr="00092F2F">
        <w:rPr>
          <w:rFonts w:asciiTheme="majorHAnsi" w:hAnsiTheme="majorHAnsi" w:cstheme="majorHAnsi"/>
          <w:i/>
          <w:iCs/>
          <w:sz w:val="24"/>
          <w:szCs w:val="24"/>
          <w:lang w:val="ro-MD"/>
        </w:rPr>
        <w:t>;</w:t>
      </w:r>
      <w:r w:rsidR="00D3220E" w:rsidRPr="00092F2F">
        <w:rPr>
          <w:rFonts w:asciiTheme="majorHAnsi" w:hAnsiTheme="majorHAnsi" w:cstheme="majorHAnsi"/>
          <w:i/>
          <w:sz w:val="24"/>
          <w:lang w:val="ro-MD"/>
        </w:rPr>
        <w:t xml:space="preserve"> (3) </w:t>
      </w:r>
      <w:r w:rsidR="00D3220E" w:rsidRPr="00092F2F">
        <w:rPr>
          <w:rFonts w:asciiTheme="majorHAnsi" w:hAnsiTheme="majorHAnsi" w:cstheme="majorHAnsi"/>
          <w:i/>
          <w:sz w:val="24"/>
          <w:szCs w:val="24"/>
          <w:lang w:val="ro-MD"/>
        </w:rPr>
        <w:t xml:space="preserve"> </w:t>
      </w:r>
      <w:r w:rsidR="00D3220E" w:rsidRPr="00092F2F">
        <w:rPr>
          <w:rFonts w:asciiTheme="majorHAnsi" w:eastAsia="Calibri" w:hAnsiTheme="majorHAnsi" w:cstheme="majorHAnsi"/>
          <w:i/>
          <w:iCs/>
          <w:sz w:val="24"/>
          <w:lang w:val="ro-MD"/>
        </w:rPr>
        <w:t>necapitalizării investițiilor efectuate din contul comenzii de stat (7,41 mil.lei)</w:t>
      </w:r>
      <w:r w:rsidR="008D679F">
        <w:rPr>
          <w:rFonts w:asciiTheme="majorHAnsi" w:eastAsia="Calibri" w:hAnsiTheme="majorHAnsi" w:cstheme="majorHAnsi"/>
          <w:i/>
          <w:iCs/>
          <w:sz w:val="24"/>
          <w:lang w:val="ro-MD"/>
        </w:rPr>
        <w:t>.</w:t>
      </w:r>
    </w:p>
    <w:p w14:paraId="262CE692" w14:textId="3344FEC0" w:rsidR="000C68CB" w:rsidRPr="00CD7FE5" w:rsidRDefault="00B9374A" w:rsidP="00451D75">
      <w:pPr>
        <w:spacing w:after="0"/>
        <w:jc w:val="both"/>
        <w:rPr>
          <w:rFonts w:asciiTheme="majorHAnsi" w:hAnsiTheme="majorHAnsi" w:cstheme="majorHAnsi"/>
          <w:color w:val="000000" w:themeColor="text1"/>
          <w:sz w:val="24"/>
          <w:szCs w:val="24"/>
          <w:lang w:val="ro-MD"/>
        </w:rPr>
      </w:pPr>
      <w:r w:rsidRPr="00CD7FE5">
        <w:rPr>
          <w:rFonts w:asciiTheme="majorHAnsi" w:eastAsia="Times New Roman" w:hAnsiTheme="majorHAnsi" w:cstheme="majorHAnsi"/>
          <w:b/>
          <w:bCs/>
          <w:i/>
          <w:iCs/>
          <w:sz w:val="24"/>
          <w:szCs w:val="24"/>
          <w:lang w:val="ro-MD"/>
        </w:rPr>
        <w:t>2.</w:t>
      </w:r>
      <w:r w:rsidR="00451D75">
        <w:rPr>
          <w:rFonts w:asciiTheme="majorHAnsi" w:eastAsia="Times New Roman" w:hAnsiTheme="majorHAnsi" w:cstheme="majorHAnsi"/>
          <w:b/>
          <w:bCs/>
          <w:i/>
          <w:iCs/>
          <w:sz w:val="24"/>
          <w:szCs w:val="24"/>
          <w:lang w:val="ro-MD"/>
        </w:rPr>
        <w:t>4</w:t>
      </w:r>
      <w:r w:rsidRPr="00CD7FE5">
        <w:rPr>
          <w:rFonts w:asciiTheme="majorHAnsi" w:hAnsiTheme="majorHAnsi" w:cstheme="majorHAnsi"/>
          <w:i/>
          <w:iCs/>
          <w:sz w:val="24"/>
          <w:szCs w:val="24"/>
          <w:lang w:val="ro-MD"/>
        </w:rPr>
        <w:t xml:space="preserve">. </w:t>
      </w:r>
      <w:r w:rsidR="00FF1B9F">
        <w:rPr>
          <w:rFonts w:asciiTheme="majorHAnsi" w:hAnsiTheme="majorHAnsi" w:cstheme="majorHAnsi"/>
          <w:i/>
          <w:iCs/>
          <w:color w:val="000000" w:themeColor="text1"/>
          <w:sz w:val="24"/>
          <w:szCs w:val="24"/>
          <w:lang w:val="ro-MD"/>
        </w:rPr>
        <w:t>M</w:t>
      </w:r>
      <w:r w:rsidR="009E70F5" w:rsidRPr="00CD7FE5">
        <w:rPr>
          <w:rFonts w:asciiTheme="majorHAnsi" w:hAnsiTheme="majorHAnsi" w:cstheme="majorHAnsi"/>
          <w:i/>
          <w:iCs/>
          <w:color w:val="000000" w:themeColor="text1"/>
          <w:sz w:val="24"/>
          <w:szCs w:val="24"/>
          <w:lang w:val="ro-MD"/>
        </w:rPr>
        <w:t>ajorarea</w:t>
      </w:r>
      <w:r w:rsidR="009E70F5" w:rsidRPr="00CD7FE5">
        <w:rPr>
          <w:rFonts w:asciiTheme="majorHAnsi" w:hAnsiTheme="majorHAnsi" w:cstheme="majorHAnsi"/>
          <w:i/>
          <w:color w:val="000000" w:themeColor="text1"/>
          <w:sz w:val="24"/>
          <w:szCs w:val="24"/>
          <w:lang w:val="ro-MD"/>
        </w:rPr>
        <w:t xml:space="preserve"> </w:t>
      </w:r>
      <w:r w:rsidR="009E70F5" w:rsidRPr="00CD7FE5">
        <w:rPr>
          <w:rFonts w:asciiTheme="majorHAnsi" w:hAnsiTheme="majorHAnsi" w:cstheme="majorHAnsi"/>
          <w:i/>
          <w:iCs/>
          <w:color w:val="000000" w:themeColor="text1"/>
          <w:sz w:val="24"/>
          <w:szCs w:val="24"/>
          <w:lang w:val="ro-MD"/>
        </w:rPr>
        <w:t xml:space="preserve">cu </w:t>
      </w:r>
      <w:r w:rsidR="009E70F5" w:rsidRPr="00CD7FE5">
        <w:rPr>
          <w:rFonts w:asciiTheme="majorHAnsi" w:hAnsiTheme="majorHAnsi" w:cstheme="majorHAnsi"/>
          <w:b/>
          <w:i/>
          <w:iCs/>
          <w:color w:val="000000" w:themeColor="text1"/>
          <w:sz w:val="24"/>
          <w:szCs w:val="24"/>
          <w:lang w:val="ro-MD"/>
        </w:rPr>
        <w:t>44,18 mil.lei</w:t>
      </w:r>
      <w:r w:rsidR="009E70F5" w:rsidRPr="00CD7FE5">
        <w:rPr>
          <w:rFonts w:asciiTheme="majorHAnsi" w:hAnsiTheme="majorHAnsi" w:cstheme="majorHAnsi"/>
          <w:i/>
          <w:color w:val="000000" w:themeColor="text1"/>
          <w:sz w:val="24"/>
          <w:szCs w:val="24"/>
          <w:lang w:val="ro-MD"/>
        </w:rPr>
        <w:t xml:space="preserve"> a valorii contului </w:t>
      </w:r>
      <w:r w:rsidR="009E70F5" w:rsidRPr="00CD7FE5">
        <w:rPr>
          <w:rFonts w:asciiTheme="majorHAnsi" w:hAnsiTheme="majorHAnsi" w:cstheme="majorHAnsi"/>
          <w:i/>
          <w:iCs/>
          <w:color w:val="000000" w:themeColor="text1"/>
          <w:sz w:val="24"/>
          <w:szCs w:val="24"/>
          <w:lang w:val="ro-MD"/>
        </w:rPr>
        <w:t>319 „Investiții capitale în active în curs de execuție”, ca urmare a evidenței duble a investițiilor realizate la 7 obiecte (14,51 mil.lei)</w:t>
      </w:r>
      <w:r w:rsidR="009E70F5" w:rsidRPr="00CD7FE5">
        <w:rPr>
          <w:rStyle w:val="FootnoteReference"/>
          <w:rFonts w:asciiTheme="majorHAnsi" w:hAnsiTheme="majorHAnsi" w:cstheme="majorHAnsi"/>
          <w:i/>
          <w:iCs/>
          <w:color w:val="000000" w:themeColor="text1"/>
          <w:sz w:val="24"/>
          <w:szCs w:val="24"/>
          <w:lang w:val="ro-MD"/>
        </w:rPr>
        <w:footnoteReference w:id="6"/>
      </w:r>
      <w:r w:rsidR="009E70F5" w:rsidRPr="00CD7FE5">
        <w:rPr>
          <w:rFonts w:asciiTheme="majorHAnsi" w:hAnsiTheme="majorHAnsi" w:cstheme="majorHAnsi"/>
          <w:i/>
          <w:iCs/>
          <w:color w:val="000000" w:themeColor="text1"/>
          <w:sz w:val="24"/>
          <w:szCs w:val="24"/>
          <w:lang w:val="ro-MD"/>
        </w:rPr>
        <w:t xml:space="preserve"> înregistrate și în evidența contabilă a </w:t>
      </w:r>
      <w:r w:rsidR="009E70F5" w:rsidRPr="005B1EFA">
        <w:rPr>
          <w:rFonts w:asciiTheme="majorHAnsi" w:hAnsiTheme="majorHAnsi" w:cstheme="majorHAnsi"/>
          <w:i/>
          <w:iCs/>
          <w:color w:val="000000" w:themeColor="text1"/>
          <w:sz w:val="24"/>
          <w:szCs w:val="24"/>
          <w:lang w:val="ro-MD"/>
        </w:rPr>
        <w:t>APL,</w:t>
      </w:r>
      <w:r w:rsidR="00C2186E" w:rsidRPr="005B1EFA">
        <w:rPr>
          <w:rFonts w:asciiTheme="majorHAnsi" w:hAnsiTheme="majorHAnsi" w:cstheme="majorHAnsi"/>
          <w:i/>
          <w:iCs/>
          <w:color w:val="000000" w:themeColor="text1"/>
          <w:sz w:val="24"/>
          <w:szCs w:val="24"/>
          <w:lang w:val="ro-MD"/>
        </w:rPr>
        <w:t xml:space="preserve"> și </w:t>
      </w:r>
      <w:r w:rsidR="009E70F5" w:rsidRPr="005B1EFA">
        <w:rPr>
          <w:rFonts w:asciiTheme="majorHAnsi" w:hAnsiTheme="majorHAnsi" w:cstheme="majorHAnsi"/>
          <w:i/>
          <w:iCs/>
          <w:color w:val="000000" w:themeColor="text1"/>
          <w:sz w:val="24"/>
          <w:szCs w:val="24"/>
          <w:lang w:val="ro-MD"/>
        </w:rPr>
        <w:t>la 3 obiecte</w:t>
      </w:r>
      <w:r w:rsidR="00092F2F" w:rsidRPr="005B1EFA">
        <w:rPr>
          <w:rFonts w:asciiTheme="majorHAnsi" w:hAnsiTheme="majorHAnsi" w:cstheme="majorHAnsi"/>
          <w:i/>
          <w:iCs/>
          <w:color w:val="000000" w:themeColor="text1"/>
          <w:sz w:val="24"/>
          <w:szCs w:val="24"/>
          <w:lang w:val="ro-MD"/>
        </w:rPr>
        <w:t>,</w:t>
      </w:r>
      <w:r w:rsidR="009E70F5" w:rsidRPr="005B1EFA">
        <w:rPr>
          <w:rFonts w:asciiTheme="majorHAnsi" w:hAnsiTheme="majorHAnsi" w:cstheme="majorHAnsi"/>
          <w:i/>
          <w:iCs/>
          <w:color w:val="000000" w:themeColor="text1"/>
          <w:sz w:val="24"/>
          <w:szCs w:val="24"/>
          <w:lang w:val="ro-MD"/>
        </w:rPr>
        <w:t xml:space="preserve"> vândute de APL (15,47 mil.lei)</w:t>
      </w:r>
      <w:r w:rsidR="009E70F5" w:rsidRPr="005B1EFA">
        <w:rPr>
          <w:rStyle w:val="FootnoteReference"/>
          <w:rFonts w:asciiTheme="majorHAnsi" w:hAnsiTheme="majorHAnsi" w:cstheme="majorHAnsi"/>
          <w:i/>
          <w:iCs/>
          <w:color w:val="000000" w:themeColor="text1"/>
          <w:sz w:val="24"/>
          <w:szCs w:val="24"/>
          <w:lang w:val="ro-MD"/>
        </w:rPr>
        <w:footnoteReference w:id="7"/>
      </w:r>
      <w:r w:rsidR="009E70F5" w:rsidRPr="005B1EFA">
        <w:rPr>
          <w:rFonts w:asciiTheme="majorHAnsi" w:hAnsiTheme="majorHAnsi" w:cstheme="majorHAnsi"/>
          <w:i/>
          <w:iCs/>
          <w:color w:val="000000" w:themeColor="text1"/>
          <w:sz w:val="24"/>
          <w:szCs w:val="24"/>
          <w:lang w:val="ro-MD"/>
        </w:rPr>
        <w:t xml:space="preserve">; </w:t>
      </w:r>
      <w:r w:rsidR="009E70F5" w:rsidRPr="005B1EFA">
        <w:rPr>
          <w:rFonts w:asciiTheme="majorHAnsi" w:hAnsiTheme="majorHAnsi" w:cstheme="majorHAnsi"/>
          <w:i/>
          <w:color w:val="000000" w:themeColor="text1"/>
          <w:sz w:val="24"/>
          <w:szCs w:val="24"/>
          <w:lang w:val="ro-MD"/>
        </w:rPr>
        <w:t>necapitalizării investițiilor realizate la L</w:t>
      </w:r>
      <w:r w:rsidR="00102B3A" w:rsidRPr="005B1EFA">
        <w:rPr>
          <w:rFonts w:asciiTheme="majorHAnsi" w:hAnsiTheme="majorHAnsi" w:cstheme="majorHAnsi"/>
          <w:i/>
          <w:color w:val="000000" w:themeColor="text1"/>
          <w:sz w:val="24"/>
          <w:szCs w:val="24"/>
          <w:lang w:val="ro-MD"/>
        </w:rPr>
        <w:t>iceul teoretic</w:t>
      </w:r>
      <w:r w:rsidR="009E70F5" w:rsidRPr="00FD01EC">
        <w:rPr>
          <w:rFonts w:asciiTheme="majorHAnsi" w:hAnsiTheme="majorHAnsi" w:cstheme="majorHAnsi"/>
          <w:i/>
          <w:color w:val="000000" w:themeColor="text1"/>
          <w:sz w:val="24"/>
          <w:szCs w:val="24"/>
          <w:lang w:val="ro-MD"/>
        </w:rPr>
        <w:t xml:space="preserve"> </w:t>
      </w:r>
      <w:r w:rsidR="00F05107" w:rsidRPr="005B1EFA">
        <w:rPr>
          <w:rFonts w:asciiTheme="majorHAnsi" w:hAnsiTheme="majorHAnsi" w:cstheme="majorHAnsi"/>
          <w:i/>
          <w:color w:val="000000" w:themeColor="text1"/>
          <w:sz w:val="24"/>
          <w:szCs w:val="24"/>
          <w:lang w:val="ro-MD"/>
        </w:rPr>
        <w:t>„</w:t>
      </w:r>
      <w:r w:rsidR="009E70F5" w:rsidRPr="00FD01EC">
        <w:rPr>
          <w:rFonts w:asciiTheme="majorHAnsi" w:hAnsiTheme="majorHAnsi" w:cstheme="majorHAnsi"/>
          <w:i/>
          <w:color w:val="000000" w:themeColor="text1"/>
          <w:sz w:val="24"/>
          <w:szCs w:val="24"/>
          <w:lang w:val="ro-MD"/>
        </w:rPr>
        <w:t>Aristotel</w:t>
      </w:r>
      <w:r w:rsidR="00F05107">
        <w:rPr>
          <w:rFonts w:asciiTheme="majorHAnsi" w:hAnsiTheme="majorHAnsi" w:cstheme="majorHAnsi"/>
          <w:i/>
          <w:color w:val="000000" w:themeColor="text1"/>
          <w:sz w:val="24"/>
          <w:szCs w:val="24"/>
          <w:lang w:val="ro-MD"/>
        </w:rPr>
        <w:t>”</w:t>
      </w:r>
      <w:r w:rsidR="009E70F5" w:rsidRPr="00CD7FE5">
        <w:rPr>
          <w:rFonts w:asciiTheme="majorHAnsi" w:hAnsiTheme="majorHAnsi" w:cstheme="majorHAnsi"/>
          <w:i/>
          <w:color w:val="000000" w:themeColor="text1"/>
          <w:sz w:val="24"/>
          <w:szCs w:val="24"/>
          <w:lang w:val="ro-MD"/>
        </w:rPr>
        <w:t xml:space="preserve"> (8,35 mil.lei); </w:t>
      </w:r>
      <w:r w:rsidR="009E70F5" w:rsidRPr="00CD7FE5">
        <w:rPr>
          <w:rFonts w:asciiTheme="majorHAnsi" w:hAnsiTheme="majorHAnsi" w:cstheme="majorHAnsi"/>
          <w:i/>
          <w:iCs/>
          <w:color w:val="000000" w:themeColor="text1"/>
          <w:sz w:val="24"/>
          <w:szCs w:val="24"/>
          <w:lang w:val="ro-MD"/>
        </w:rPr>
        <w:t>neexecutării lucrărilor de construcție facturate (5,84 mil.lei)</w:t>
      </w:r>
      <w:r w:rsidR="008D679F">
        <w:rPr>
          <w:rFonts w:asciiTheme="majorHAnsi" w:hAnsiTheme="majorHAnsi" w:cstheme="majorHAnsi"/>
          <w:i/>
          <w:iCs/>
          <w:color w:val="000000" w:themeColor="text1"/>
          <w:sz w:val="24"/>
          <w:szCs w:val="24"/>
          <w:lang w:val="ro-MD"/>
        </w:rPr>
        <w:t>.</w:t>
      </w:r>
    </w:p>
    <w:p w14:paraId="61EDFEC6" w14:textId="78EDE73C" w:rsidR="00F331D3" w:rsidRPr="00CD7FE5" w:rsidRDefault="00232FAA" w:rsidP="00451D75">
      <w:pPr>
        <w:spacing w:after="0" w:line="276" w:lineRule="auto"/>
        <w:jc w:val="both"/>
        <w:rPr>
          <w:rFonts w:asciiTheme="majorHAnsi" w:hAnsiTheme="majorHAnsi" w:cstheme="majorHAnsi"/>
          <w:i/>
          <w:sz w:val="24"/>
          <w:szCs w:val="24"/>
          <w:lang w:val="ro-MD"/>
        </w:rPr>
      </w:pPr>
      <w:r w:rsidRPr="00CD7FE5">
        <w:rPr>
          <w:rFonts w:asciiTheme="majorHAnsi" w:hAnsiTheme="majorHAnsi" w:cstheme="majorHAnsi"/>
          <w:b/>
          <w:i/>
          <w:sz w:val="24"/>
          <w:szCs w:val="24"/>
          <w:lang w:val="ro-MD"/>
        </w:rPr>
        <w:t>2.</w:t>
      </w:r>
      <w:r w:rsidR="00451D75">
        <w:rPr>
          <w:rFonts w:asciiTheme="majorHAnsi" w:hAnsiTheme="majorHAnsi" w:cstheme="majorHAnsi"/>
          <w:b/>
          <w:i/>
          <w:sz w:val="24"/>
          <w:szCs w:val="24"/>
          <w:lang w:val="ro-MD"/>
        </w:rPr>
        <w:t>5</w:t>
      </w:r>
      <w:r w:rsidRPr="00CD7FE5">
        <w:rPr>
          <w:rFonts w:asciiTheme="majorHAnsi" w:hAnsiTheme="majorHAnsi" w:cstheme="majorHAnsi"/>
          <w:b/>
          <w:i/>
          <w:sz w:val="24"/>
          <w:szCs w:val="24"/>
          <w:lang w:val="ro-MD"/>
        </w:rPr>
        <w:t>.</w:t>
      </w:r>
      <w:r w:rsidRPr="00CD7FE5">
        <w:rPr>
          <w:rFonts w:asciiTheme="majorHAnsi" w:hAnsiTheme="majorHAnsi" w:cstheme="majorHAnsi"/>
          <w:i/>
          <w:sz w:val="24"/>
          <w:szCs w:val="24"/>
          <w:lang w:val="ro-MD"/>
        </w:rPr>
        <w:t xml:space="preserve"> </w:t>
      </w:r>
      <w:r w:rsidR="00FF1B9F">
        <w:rPr>
          <w:rFonts w:asciiTheme="majorHAnsi" w:hAnsiTheme="majorHAnsi" w:cstheme="majorHAnsi"/>
          <w:i/>
          <w:sz w:val="24"/>
          <w:szCs w:val="24"/>
          <w:lang w:val="ro-MD"/>
        </w:rPr>
        <w:t>D</w:t>
      </w:r>
      <w:r w:rsidR="00F331D3" w:rsidRPr="00CD7FE5">
        <w:rPr>
          <w:rFonts w:asciiTheme="majorHAnsi" w:hAnsiTheme="majorHAnsi" w:cstheme="majorHAnsi"/>
          <w:i/>
          <w:sz w:val="24"/>
          <w:szCs w:val="24"/>
          <w:lang w:val="ro-MD"/>
        </w:rPr>
        <w:t xml:space="preserve">iminuarea valorii contului „Alte mijloace fixe” cu cel puțin </w:t>
      </w:r>
      <w:r w:rsidR="00F331D3" w:rsidRPr="00CD7FE5">
        <w:rPr>
          <w:rFonts w:asciiTheme="majorHAnsi" w:hAnsiTheme="majorHAnsi" w:cstheme="majorHAnsi"/>
          <w:b/>
          <w:i/>
          <w:sz w:val="24"/>
          <w:szCs w:val="24"/>
          <w:lang w:val="ro-MD"/>
        </w:rPr>
        <w:t>148,8 mil.lei</w:t>
      </w:r>
      <w:r w:rsidR="00F331D3" w:rsidRPr="00CD7FE5">
        <w:rPr>
          <w:rFonts w:asciiTheme="majorHAnsi" w:hAnsiTheme="majorHAnsi" w:cstheme="majorHAnsi"/>
          <w:i/>
          <w:sz w:val="24"/>
          <w:szCs w:val="24"/>
          <w:lang w:val="ro-MD"/>
        </w:rPr>
        <w:t>, determinată de:</w:t>
      </w:r>
    </w:p>
    <w:p w14:paraId="0253D91C" w14:textId="60F8F8DB" w:rsidR="00F331D3" w:rsidRPr="00CD7FE5" w:rsidRDefault="00F331D3" w:rsidP="00092F2F">
      <w:pPr>
        <w:pStyle w:val="ListParagraph"/>
        <w:numPr>
          <w:ilvl w:val="0"/>
          <w:numId w:val="35"/>
        </w:numPr>
        <w:spacing w:line="276" w:lineRule="auto"/>
        <w:ind w:left="0" w:firstLine="0"/>
        <w:rPr>
          <w:rFonts w:asciiTheme="majorHAnsi" w:hAnsiTheme="majorHAnsi" w:cstheme="majorHAnsi"/>
          <w:color w:val="000000" w:themeColor="text1"/>
          <w:sz w:val="24"/>
          <w:szCs w:val="24"/>
          <w:lang w:val="ro-MD"/>
        </w:rPr>
      </w:pPr>
      <w:r w:rsidRPr="00CD7FE5">
        <w:rPr>
          <w:rFonts w:asciiTheme="majorHAnsi" w:hAnsiTheme="majorHAnsi" w:cstheme="majorHAnsi"/>
          <w:i/>
          <w:sz w:val="24"/>
          <w:szCs w:val="24"/>
          <w:lang w:val="ro-MD"/>
        </w:rPr>
        <w:t>diminuarea cu 149,15 mil.lei, ca urmare a: (1) neînregistrării ca proprietate a MECC a fondului de manuale încadrat în schema de închiriere (14</w:t>
      </w:r>
      <w:r w:rsidR="00092F2F">
        <w:rPr>
          <w:rFonts w:asciiTheme="majorHAnsi" w:hAnsiTheme="majorHAnsi" w:cstheme="majorHAnsi"/>
          <w:i/>
          <w:sz w:val="24"/>
          <w:szCs w:val="24"/>
          <w:lang w:val="ro-MD"/>
        </w:rPr>
        <w:t>5</w:t>
      </w:r>
      <w:r w:rsidRPr="00CD7FE5">
        <w:rPr>
          <w:rFonts w:asciiTheme="majorHAnsi" w:hAnsiTheme="majorHAnsi" w:cstheme="majorHAnsi"/>
          <w:i/>
          <w:sz w:val="24"/>
          <w:szCs w:val="24"/>
          <w:lang w:val="ro-MD"/>
        </w:rPr>
        <w:t>,89 mil.lei);</w:t>
      </w:r>
      <w:r w:rsidRPr="00CD7FE5">
        <w:rPr>
          <w:rFonts w:asciiTheme="majorHAnsi" w:hAnsiTheme="majorHAnsi" w:cstheme="majorHAnsi"/>
          <w:i/>
          <w:iCs/>
          <w:sz w:val="24"/>
          <w:szCs w:val="24"/>
          <w:lang w:val="ro-MD"/>
        </w:rPr>
        <w:t xml:space="preserve"> (2) clasificării și raportării ca cheltuieli a produselor curriculare tipărite (1,62 mil.lei); (3) neînregistrării ca mijloace fixe a materialului bibliografic tipărit în cadrul efectuării cercetărilor științifice de către instituțiile de cercetări din subordinea MECC (1,65 mil.lei);</w:t>
      </w:r>
    </w:p>
    <w:p w14:paraId="10863D72" w14:textId="76575F5C" w:rsidR="008B4ECB" w:rsidRPr="00CD7FE5" w:rsidRDefault="00F331D3" w:rsidP="00092F2F">
      <w:pPr>
        <w:pStyle w:val="ListParagraph"/>
        <w:numPr>
          <w:ilvl w:val="0"/>
          <w:numId w:val="35"/>
        </w:numPr>
        <w:spacing w:line="276" w:lineRule="auto"/>
        <w:ind w:left="0" w:firstLine="0"/>
        <w:rPr>
          <w:rFonts w:asciiTheme="majorHAnsi" w:hAnsiTheme="majorHAnsi" w:cstheme="majorHAnsi"/>
          <w:i/>
          <w:iCs/>
          <w:sz w:val="24"/>
          <w:szCs w:val="24"/>
          <w:lang w:val="ro-MD"/>
        </w:rPr>
      </w:pPr>
      <w:r w:rsidRPr="00CD7FE5">
        <w:rPr>
          <w:rFonts w:asciiTheme="majorHAnsi" w:hAnsiTheme="majorHAnsi" w:cstheme="majorHAnsi"/>
          <w:i/>
          <w:iCs/>
          <w:sz w:val="24"/>
          <w:szCs w:val="24"/>
          <w:lang w:val="ro-MD"/>
        </w:rPr>
        <w:t>majorarea cu 355,75 mii lei, d</w:t>
      </w:r>
      <w:r w:rsidR="00275BC2">
        <w:rPr>
          <w:rFonts w:asciiTheme="majorHAnsi" w:hAnsiTheme="majorHAnsi" w:cstheme="majorHAnsi"/>
          <w:i/>
          <w:iCs/>
          <w:sz w:val="24"/>
          <w:szCs w:val="24"/>
          <w:lang w:val="ro-MD"/>
        </w:rPr>
        <w:t>atorită</w:t>
      </w:r>
      <w:r w:rsidRPr="00CD7FE5">
        <w:rPr>
          <w:rFonts w:asciiTheme="majorHAnsi" w:hAnsiTheme="majorHAnsi" w:cstheme="majorHAnsi"/>
          <w:i/>
          <w:iCs/>
          <w:sz w:val="24"/>
          <w:szCs w:val="24"/>
          <w:lang w:val="ro-MD"/>
        </w:rPr>
        <w:t xml:space="preserve"> clasificării incorecte a bunurilor culturale</w:t>
      </w:r>
      <w:r w:rsidR="008D679F">
        <w:rPr>
          <w:rFonts w:asciiTheme="majorHAnsi" w:hAnsiTheme="majorHAnsi" w:cstheme="majorHAnsi"/>
          <w:i/>
          <w:iCs/>
          <w:sz w:val="24"/>
          <w:szCs w:val="24"/>
          <w:lang w:val="ro-MD"/>
        </w:rPr>
        <w:t>.</w:t>
      </w:r>
    </w:p>
    <w:p w14:paraId="4C169A8C" w14:textId="54A94913" w:rsidR="00323E6C" w:rsidRPr="00CD7FE5" w:rsidRDefault="00E92238" w:rsidP="00451D75">
      <w:pPr>
        <w:tabs>
          <w:tab w:val="left" w:pos="0"/>
        </w:tabs>
        <w:spacing w:after="0"/>
        <w:jc w:val="both"/>
        <w:rPr>
          <w:rFonts w:asciiTheme="majorHAnsi" w:hAnsiTheme="majorHAnsi" w:cstheme="majorHAnsi"/>
          <w:i/>
          <w:iCs/>
          <w:lang w:val="ro-MD"/>
        </w:rPr>
      </w:pPr>
      <w:r w:rsidRPr="00CD7FE5">
        <w:rPr>
          <w:rFonts w:asciiTheme="majorHAnsi" w:hAnsiTheme="majorHAnsi" w:cstheme="majorHAnsi"/>
          <w:b/>
          <w:i/>
          <w:iCs/>
          <w:sz w:val="24"/>
          <w:szCs w:val="24"/>
          <w:lang w:val="ro-MD"/>
        </w:rPr>
        <w:t>2.</w:t>
      </w:r>
      <w:r w:rsidR="00451D75">
        <w:rPr>
          <w:rFonts w:asciiTheme="majorHAnsi" w:hAnsiTheme="majorHAnsi" w:cstheme="majorHAnsi"/>
          <w:b/>
          <w:i/>
          <w:iCs/>
          <w:sz w:val="24"/>
          <w:szCs w:val="24"/>
          <w:lang w:val="ro-MD"/>
        </w:rPr>
        <w:t>6</w:t>
      </w:r>
      <w:r w:rsidRPr="00CD7FE5">
        <w:rPr>
          <w:rFonts w:asciiTheme="majorHAnsi" w:hAnsiTheme="majorHAnsi" w:cstheme="majorHAnsi"/>
          <w:b/>
          <w:i/>
          <w:iCs/>
          <w:sz w:val="24"/>
          <w:szCs w:val="24"/>
          <w:lang w:val="ro-MD"/>
        </w:rPr>
        <w:t>.</w:t>
      </w:r>
      <w:r w:rsidR="00323E6C" w:rsidRPr="00CD7FE5">
        <w:rPr>
          <w:rFonts w:asciiTheme="majorHAnsi" w:hAnsiTheme="majorHAnsi" w:cstheme="majorHAnsi"/>
          <w:i/>
          <w:iCs/>
          <w:lang w:val="ro-MD"/>
        </w:rPr>
        <w:t xml:space="preserve"> </w:t>
      </w:r>
      <w:r w:rsidR="00FF1B9F">
        <w:rPr>
          <w:rFonts w:asciiTheme="majorHAnsi" w:hAnsiTheme="majorHAnsi" w:cstheme="majorHAnsi"/>
          <w:i/>
          <w:iCs/>
          <w:sz w:val="24"/>
          <w:szCs w:val="24"/>
          <w:lang w:val="ro-MD"/>
        </w:rPr>
        <w:t>D</w:t>
      </w:r>
      <w:r w:rsidR="00323E6C" w:rsidRPr="00CD7FE5">
        <w:rPr>
          <w:rFonts w:asciiTheme="majorHAnsi" w:hAnsiTheme="majorHAnsi" w:cstheme="majorHAnsi"/>
          <w:i/>
          <w:iCs/>
          <w:sz w:val="24"/>
          <w:szCs w:val="24"/>
          <w:lang w:val="ro-MD"/>
        </w:rPr>
        <w:t xml:space="preserve">iminuarea valorii activelor moștenirii culturale (cont 363) cu </w:t>
      </w:r>
      <w:r w:rsidR="00724E4D" w:rsidRPr="00CD7FE5">
        <w:rPr>
          <w:rFonts w:asciiTheme="majorHAnsi" w:hAnsiTheme="majorHAnsi" w:cstheme="majorHAnsi"/>
          <w:i/>
          <w:iCs/>
          <w:sz w:val="24"/>
          <w:szCs w:val="24"/>
          <w:lang w:val="ro-MD"/>
        </w:rPr>
        <w:t xml:space="preserve">cel puțin </w:t>
      </w:r>
      <w:r w:rsidR="00323E6C" w:rsidRPr="00CD7FE5">
        <w:rPr>
          <w:rFonts w:asciiTheme="majorHAnsi" w:hAnsiTheme="majorHAnsi" w:cstheme="majorHAnsi"/>
          <w:b/>
          <w:i/>
          <w:iCs/>
          <w:sz w:val="24"/>
          <w:szCs w:val="24"/>
          <w:lang w:val="ro-MD"/>
        </w:rPr>
        <w:t>181,59 mil.lei</w:t>
      </w:r>
      <w:r w:rsidR="00323E6C" w:rsidRPr="00CD7FE5">
        <w:rPr>
          <w:rFonts w:asciiTheme="majorHAnsi" w:hAnsiTheme="majorHAnsi" w:cstheme="majorHAnsi"/>
          <w:i/>
          <w:iCs/>
          <w:sz w:val="24"/>
          <w:szCs w:val="24"/>
          <w:lang w:val="ro-MD"/>
        </w:rPr>
        <w:t xml:space="preserve">,  din cauza </w:t>
      </w:r>
      <w:r w:rsidR="00323E6C" w:rsidRPr="00CD7FE5">
        <w:rPr>
          <w:rFonts w:asciiTheme="majorHAnsi" w:hAnsiTheme="majorHAnsi" w:cstheme="majorHAnsi"/>
          <w:i/>
          <w:sz w:val="24"/>
          <w:szCs w:val="24"/>
          <w:lang w:val="ro-MD"/>
        </w:rPr>
        <w:t>necontabilizării clădirilor-monumente cu valoarea de cel puțin 180,3 mil.lei</w:t>
      </w:r>
      <w:r w:rsidR="00323E6C" w:rsidRPr="00CD7FE5">
        <w:rPr>
          <w:rStyle w:val="FootnoteReference"/>
          <w:rFonts w:asciiTheme="majorHAnsi" w:hAnsiTheme="majorHAnsi" w:cstheme="majorHAnsi"/>
          <w:i/>
          <w:sz w:val="24"/>
          <w:szCs w:val="24"/>
          <w:lang w:val="ro-MD"/>
        </w:rPr>
        <w:footnoteReference w:id="8"/>
      </w:r>
      <w:r w:rsidR="00323E6C" w:rsidRPr="00CD7FE5">
        <w:rPr>
          <w:rFonts w:asciiTheme="majorHAnsi" w:hAnsiTheme="majorHAnsi" w:cstheme="majorHAnsi"/>
          <w:i/>
          <w:sz w:val="24"/>
          <w:szCs w:val="24"/>
          <w:lang w:val="ro-MD"/>
        </w:rPr>
        <w:t xml:space="preserve"> (2 din 634 de monumente/edificii de cult ocrotite de stat aflate în proprietatea de stat</w:t>
      </w:r>
      <w:r w:rsidR="00323E6C" w:rsidRPr="00CD7FE5">
        <w:rPr>
          <w:rStyle w:val="FootnoteReference"/>
          <w:rFonts w:asciiTheme="majorHAnsi" w:hAnsiTheme="majorHAnsi" w:cstheme="majorHAnsi"/>
          <w:i/>
          <w:sz w:val="24"/>
          <w:szCs w:val="24"/>
          <w:lang w:val="ro-MD"/>
        </w:rPr>
        <w:footnoteReference w:id="9"/>
      </w:r>
      <w:r w:rsidR="00323E6C" w:rsidRPr="00CD7FE5">
        <w:rPr>
          <w:rFonts w:asciiTheme="majorHAnsi" w:hAnsiTheme="majorHAnsi" w:cstheme="majorHAnsi"/>
          <w:i/>
          <w:sz w:val="24"/>
          <w:szCs w:val="24"/>
          <w:lang w:val="ro-MD"/>
        </w:rPr>
        <w:t xml:space="preserve">); </w:t>
      </w:r>
      <w:r w:rsidR="00323E6C" w:rsidRPr="00CD7FE5">
        <w:rPr>
          <w:rFonts w:asciiTheme="majorHAnsi" w:hAnsiTheme="majorHAnsi" w:cstheme="majorHAnsi"/>
          <w:i/>
          <w:iCs/>
          <w:sz w:val="24"/>
          <w:szCs w:val="24"/>
          <w:lang w:val="ro-MD"/>
        </w:rPr>
        <w:t>neînregistrării operelor de artă</w:t>
      </w:r>
      <w:r w:rsidR="00323E6C" w:rsidRPr="00CD7FE5">
        <w:rPr>
          <w:rStyle w:val="FootnoteReference"/>
          <w:rFonts w:asciiTheme="majorHAnsi" w:hAnsiTheme="majorHAnsi" w:cstheme="majorHAnsi"/>
          <w:i/>
          <w:sz w:val="24"/>
          <w:szCs w:val="24"/>
          <w:lang w:val="ro-MD"/>
        </w:rPr>
        <w:footnoteReference w:id="10"/>
      </w:r>
      <w:r w:rsidR="00323E6C" w:rsidRPr="00CD7FE5">
        <w:rPr>
          <w:rFonts w:asciiTheme="majorHAnsi" w:hAnsiTheme="majorHAnsi" w:cstheme="majorHAnsi"/>
          <w:i/>
          <w:iCs/>
          <w:sz w:val="24"/>
          <w:szCs w:val="24"/>
          <w:lang w:val="ro-MD"/>
        </w:rPr>
        <w:t xml:space="preserve"> primite cu titlu gratuit de la MECC (0,53 mil.lei)</w:t>
      </w:r>
      <w:r w:rsidR="00323E6C" w:rsidRPr="00CD7FE5">
        <w:rPr>
          <w:rFonts w:asciiTheme="majorHAnsi" w:hAnsiTheme="majorHAnsi" w:cstheme="majorHAnsi"/>
          <w:i/>
          <w:sz w:val="24"/>
          <w:szCs w:val="24"/>
          <w:lang w:val="ro-MD"/>
        </w:rPr>
        <w:t xml:space="preserve">; </w:t>
      </w:r>
      <w:r w:rsidR="00323E6C" w:rsidRPr="00CD7FE5">
        <w:rPr>
          <w:rFonts w:asciiTheme="majorHAnsi" w:hAnsiTheme="majorHAnsi" w:cstheme="majorHAnsi"/>
          <w:i/>
          <w:iCs/>
          <w:sz w:val="24"/>
          <w:szCs w:val="24"/>
          <w:lang w:val="ro-MD"/>
        </w:rPr>
        <w:t xml:space="preserve">casării neargumentate a bunurilor muzeale </w:t>
      </w:r>
      <w:r w:rsidR="00684923" w:rsidRPr="00CD7FE5">
        <w:rPr>
          <w:rFonts w:asciiTheme="majorHAnsi" w:hAnsiTheme="majorHAnsi" w:cstheme="majorHAnsi"/>
          <w:i/>
          <w:iCs/>
          <w:sz w:val="24"/>
          <w:szCs w:val="24"/>
          <w:lang w:val="ro-MD"/>
        </w:rPr>
        <w:t>mobile procurate (0,14 mil.lei)</w:t>
      </w:r>
      <w:r w:rsidR="00323E6C" w:rsidRPr="00CD7FE5">
        <w:rPr>
          <w:rFonts w:asciiTheme="majorHAnsi" w:hAnsiTheme="majorHAnsi" w:cstheme="majorHAnsi"/>
          <w:i/>
          <w:iCs/>
          <w:sz w:val="24"/>
          <w:szCs w:val="24"/>
          <w:lang w:val="ro-MD"/>
        </w:rPr>
        <w:t>; neînregistrării obiectelor culturale a</w:t>
      </w:r>
      <w:r w:rsidR="008D679F">
        <w:rPr>
          <w:rFonts w:asciiTheme="majorHAnsi" w:hAnsiTheme="majorHAnsi" w:cstheme="majorHAnsi"/>
          <w:i/>
          <w:iCs/>
          <w:sz w:val="24"/>
          <w:szCs w:val="24"/>
          <w:lang w:val="ro-MD"/>
        </w:rPr>
        <w:t>le</w:t>
      </w:r>
      <w:r w:rsidR="00323E6C" w:rsidRPr="00CD7FE5">
        <w:rPr>
          <w:rFonts w:asciiTheme="majorHAnsi" w:hAnsiTheme="majorHAnsi" w:cstheme="majorHAnsi"/>
          <w:i/>
          <w:iCs/>
          <w:sz w:val="24"/>
          <w:szCs w:val="24"/>
          <w:lang w:val="ro-MD"/>
        </w:rPr>
        <w:t xml:space="preserve"> Rezervației cultural-natural</w:t>
      </w:r>
      <w:r w:rsidR="008D679F">
        <w:rPr>
          <w:rFonts w:asciiTheme="majorHAnsi" w:hAnsiTheme="majorHAnsi" w:cstheme="majorHAnsi"/>
          <w:i/>
          <w:iCs/>
          <w:sz w:val="24"/>
          <w:szCs w:val="24"/>
          <w:lang w:val="ro-MD"/>
        </w:rPr>
        <w:t>e</w:t>
      </w:r>
      <w:r w:rsidR="00323E6C" w:rsidRPr="00CD7FE5">
        <w:rPr>
          <w:rFonts w:asciiTheme="majorHAnsi" w:hAnsiTheme="majorHAnsi" w:cstheme="majorHAnsi"/>
          <w:i/>
          <w:iCs/>
          <w:sz w:val="24"/>
          <w:szCs w:val="24"/>
          <w:lang w:val="ro-MD"/>
        </w:rPr>
        <w:t xml:space="preserve"> Orheiul Vechi (0,27 mil.lei); clasificării incorecte a bunurilor culturale (0,36 mil.lei).</w:t>
      </w:r>
    </w:p>
    <w:p w14:paraId="586547DF" w14:textId="1698CFD8" w:rsidR="00506418" w:rsidRPr="00FD01EC" w:rsidRDefault="00E92238" w:rsidP="00451D75">
      <w:pPr>
        <w:pStyle w:val="ListParagraph"/>
        <w:tabs>
          <w:tab w:val="left" w:pos="0"/>
        </w:tabs>
        <w:spacing w:line="276" w:lineRule="auto"/>
        <w:ind w:left="0"/>
        <w:rPr>
          <w:rFonts w:asciiTheme="majorHAnsi" w:hAnsiTheme="majorHAnsi" w:cstheme="majorHAnsi"/>
          <w:i/>
          <w:iCs/>
          <w:color w:val="FF0000"/>
          <w:sz w:val="24"/>
          <w:szCs w:val="24"/>
          <w:lang w:val="ro-MD"/>
        </w:rPr>
      </w:pPr>
      <w:r w:rsidRPr="00CD7FE5">
        <w:rPr>
          <w:rFonts w:asciiTheme="majorHAnsi" w:hAnsiTheme="majorHAnsi" w:cstheme="majorHAnsi"/>
          <w:b/>
          <w:i/>
          <w:iCs/>
          <w:sz w:val="24"/>
          <w:szCs w:val="24"/>
          <w:lang w:val="ro-MD"/>
        </w:rPr>
        <w:t>2.</w:t>
      </w:r>
      <w:r w:rsidR="00451D75">
        <w:rPr>
          <w:rFonts w:asciiTheme="majorHAnsi" w:hAnsiTheme="majorHAnsi" w:cstheme="majorHAnsi"/>
          <w:b/>
          <w:i/>
          <w:iCs/>
          <w:sz w:val="24"/>
          <w:szCs w:val="24"/>
          <w:lang w:val="ro-MD"/>
        </w:rPr>
        <w:t>7</w:t>
      </w:r>
      <w:r w:rsidRPr="00CD7FE5">
        <w:rPr>
          <w:rFonts w:asciiTheme="majorHAnsi" w:hAnsiTheme="majorHAnsi" w:cstheme="majorHAnsi"/>
          <w:i/>
          <w:iCs/>
          <w:sz w:val="24"/>
          <w:szCs w:val="24"/>
          <w:lang w:val="ro-MD"/>
        </w:rPr>
        <w:t>.</w:t>
      </w:r>
      <w:r w:rsidR="00506418" w:rsidRPr="00CD7FE5">
        <w:rPr>
          <w:rFonts w:asciiTheme="majorHAnsi" w:hAnsiTheme="majorHAnsi" w:cstheme="majorHAnsi"/>
          <w:i/>
          <w:iCs/>
          <w:color w:val="FF0000"/>
          <w:sz w:val="24"/>
          <w:szCs w:val="24"/>
          <w:lang w:val="ro-MD"/>
        </w:rPr>
        <w:t xml:space="preserve"> </w:t>
      </w:r>
      <w:r w:rsidR="00FF1B9F">
        <w:rPr>
          <w:rFonts w:asciiTheme="majorHAnsi" w:hAnsiTheme="majorHAnsi" w:cstheme="majorHAnsi"/>
          <w:i/>
          <w:iCs/>
          <w:sz w:val="24"/>
          <w:szCs w:val="24"/>
          <w:lang w:val="ro-MD"/>
        </w:rPr>
        <w:t>D</w:t>
      </w:r>
      <w:r w:rsidR="00506418" w:rsidRPr="00CD7FE5">
        <w:rPr>
          <w:rFonts w:asciiTheme="majorHAnsi" w:hAnsiTheme="majorHAnsi" w:cstheme="majorHAnsi"/>
          <w:i/>
          <w:iCs/>
          <w:sz w:val="24"/>
          <w:szCs w:val="24"/>
          <w:lang w:val="ro-MD"/>
        </w:rPr>
        <w:t xml:space="preserve">iminuarea valorii contului „Active nemateriale” cu </w:t>
      </w:r>
      <w:r w:rsidR="00724E4D" w:rsidRPr="00CD7FE5">
        <w:rPr>
          <w:rFonts w:asciiTheme="majorHAnsi" w:hAnsiTheme="majorHAnsi" w:cstheme="majorHAnsi"/>
          <w:i/>
          <w:iCs/>
          <w:sz w:val="24"/>
          <w:szCs w:val="24"/>
          <w:lang w:val="ro-MD"/>
        </w:rPr>
        <w:t xml:space="preserve">cel puțin </w:t>
      </w:r>
      <w:r w:rsidR="00AC3E5B" w:rsidRPr="00CD7FE5">
        <w:rPr>
          <w:rFonts w:asciiTheme="majorHAnsi" w:hAnsiTheme="majorHAnsi" w:cstheme="majorHAnsi"/>
          <w:b/>
          <w:i/>
          <w:iCs/>
          <w:sz w:val="24"/>
          <w:szCs w:val="24"/>
          <w:lang w:val="ro-MD"/>
        </w:rPr>
        <w:t>177,21</w:t>
      </w:r>
      <w:r w:rsidR="00506418" w:rsidRPr="00CD7FE5">
        <w:rPr>
          <w:rFonts w:asciiTheme="majorHAnsi" w:hAnsiTheme="majorHAnsi" w:cstheme="majorHAnsi"/>
          <w:b/>
          <w:i/>
          <w:iCs/>
          <w:sz w:val="24"/>
          <w:szCs w:val="24"/>
          <w:lang w:val="ro-MD"/>
        </w:rPr>
        <w:t xml:space="preserve"> mil.lei</w:t>
      </w:r>
      <w:r w:rsidR="00506418" w:rsidRPr="00CD7FE5">
        <w:rPr>
          <w:rFonts w:asciiTheme="majorHAnsi" w:hAnsiTheme="majorHAnsi" w:cstheme="majorHAnsi"/>
          <w:i/>
          <w:iCs/>
          <w:sz w:val="24"/>
          <w:szCs w:val="24"/>
          <w:lang w:val="ro-MD"/>
        </w:rPr>
        <w:t>, d</w:t>
      </w:r>
      <w:r w:rsidR="00275BC2">
        <w:rPr>
          <w:rFonts w:asciiTheme="majorHAnsi" w:hAnsiTheme="majorHAnsi" w:cstheme="majorHAnsi"/>
          <w:i/>
          <w:iCs/>
          <w:sz w:val="24"/>
          <w:szCs w:val="24"/>
          <w:lang w:val="ro-MD"/>
        </w:rPr>
        <w:t>atorită</w:t>
      </w:r>
      <w:r w:rsidR="00AC3E5B" w:rsidRPr="00CD7FE5">
        <w:rPr>
          <w:rFonts w:asciiTheme="majorHAnsi" w:hAnsiTheme="majorHAnsi" w:cstheme="majorHAnsi"/>
          <w:i/>
          <w:iCs/>
          <w:sz w:val="24"/>
          <w:szCs w:val="24"/>
          <w:lang w:val="ro-MD"/>
        </w:rPr>
        <w:t>: (1)</w:t>
      </w:r>
      <w:r w:rsidR="00506418" w:rsidRPr="00CD7FE5">
        <w:rPr>
          <w:rFonts w:asciiTheme="majorHAnsi" w:hAnsiTheme="majorHAnsi" w:cstheme="majorHAnsi"/>
          <w:i/>
          <w:iCs/>
          <w:sz w:val="24"/>
          <w:szCs w:val="24"/>
          <w:lang w:val="ro-MD"/>
        </w:rPr>
        <w:t xml:space="preserve"> neînregistrării în anii precedenți ca active nemateriale a rezultatelor cercetărilor științifice (32,84 mil.lei), web-site-</w:t>
      </w:r>
      <w:r w:rsidR="009747C1">
        <w:rPr>
          <w:rFonts w:asciiTheme="majorHAnsi" w:hAnsiTheme="majorHAnsi" w:cstheme="majorHAnsi"/>
          <w:i/>
          <w:iCs/>
          <w:sz w:val="24"/>
          <w:szCs w:val="24"/>
          <w:lang w:val="ro-MD"/>
        </w:rPr>
        <w:t>uri</w:t>
      </w:r>
      <w:r w:rsidR="00506418" w:rsidRPr="00CD7FE5">
        <w:rPr>
          <w:rFonts w:asciiTheme="majorHAnsi" w:hAnsiTheme="majorHAnsi" w:cstheme="majorHAnsi"/>
          <w:i/>
          <w:iCs/>
          <w:sz w:val="24"/>
          <w:szCs w:val="24"/>
          <w:lang w:val="ro-MD"/>
        </w:rPr>
        <w:t>lor și programelor create (0,2 mil.lei)</w:t>
      </w:r>
      <w:r w:rsidR="00506418" w:rsidRPr="00CD7FE5">
        <w:rPr>
          <w:rStyle w:val="FootnoteReference"/>
          <w:rFonts w:asciiTheme="majorHAnsi" w:hAnsiTheme="majorHAnsi" w:cstheme="majorHAnsi"/>
          <w:i/>
          <w:iCs/>
          <w:sz w:val="24"/>
          <w:szCs w:val="24"/>
          <w:lang w:val="ro-MD"/>
        </w:rPr>
        <w:footnoteReference w:id="11"/>
      </w:r>
      <w:r w:rsidR="00506418" w:rsidRPr="00CD7FE5">
        <w:rPr>
          <w:rFonts w:asciiTheme="majorHAnsi" w:hAnsiTheme="majorHAnsi" w:cstheme="majorHAnsi"/>
          <w:i/>
          <w:iCs/>
          <w:sz w:val="24"/>
          <w:szCs w:val="24"/>
          <w:lang w:val="ro-MD"/>
        </w:rPr>
        <w:t xml:space="preserve">, precum și </w:t>
      </w:r>
      <w:r w:rsidR="009747C1">
        <w:rPr>
          <w:rFonts w:asciiTheme="majorHAnsi" w:hAnsiTheme="majorHAnsi" w:cstheme="majorHAnsi"/>
          <w:i/>
          <w:iCs/>
          <w:sz w:val="24"/>
          <w:szCs w:val="24"/>
          <w:lang w:val="ro-MD"/>
        </w:rPr>
        <w:t xml:space="preserve">a </w:t>
      </w:r>
      <w:r w:rsidR="00506418" w:rsidRPr="00CD7FE5">
        <w:rPr>
          <w:rFonts w:asciiTheme="majorHAnsi" w:hAnsiTheme="majorHAnsi" w:cstheme="majorHAnsi"/>
          <w:i/>
          <w:iCs/>
          <w:sz w:val="24"/>
          <w:szCs w:val="24"/>
          <w:lang w:val="ro-MD"/>
        </w:rPr>
        <w:t>elaborării produselor curriculare (14,24 mil.lei);</w:t>
      </w:r>
      <w:r w:rsidR="00AC3E5B" w:rsidRPr="00CD7FE5">
        <w:rPr>
          <w:rFonts w:asciiTheme="majorHAnsi" w:hAnsiTheme="majorHAnsi" w:cstheme="majorHAnsi"/>
          <w:i/>
          <w:iCs/>
          <w:sz w:val="24"/>
          <w:szCs w:val="24"/>
          <w:lang w:val="ro-MD"/>
        </w:rPr>
        <w:t xml:space="preserve"> (2)</w:t>
      </w:r>
      <w:r w:rsidR="003E50D9" w:rsidRPr="00CD7FE5">
        <w:rPr>
          <w:rFonts w:asciiTheme="majorHAnsi" w:hAnsiTheme="majorHAnsi" w:cstheme="majorHAnsi"/>
          <w:i/>
          <w:iCs/>
          <w:sz w:val="24"/>
          <w:szCs w:val="24"/>
          <w:lang w:val="ro-MD"/>
        </w:rPr>
        <w:t xml:space="preserve"> neînregistrării ca active nemateriale a </w:t>
      </w:r>
      <w:r w:rsidR="003E50D9" w:rsidRPr="00FD01EC">
        <w:rPr>
          <w:rFonts w:asciiTheme="majorHAnsi" w:hAnsiTheme="majorHAnsi" w:cstheme="majorHAnsi"/>
          <w:i/>
          <w:iCs/>
          <w:sz w:val="24"/>
          <w:szCs w:val="24"/>
          <w:lang w:val="ro-MD"/>
        </w:rPr>
        <w:t>alocațiilor utilizate pentru efectuarea cercetărilor științifice de către instituțiile de cercetări din subordinea MECC (113</w:t>
      </w:r>
      <w:r w:rsidR="00D8596D" w:rsidRPr="00FD01EC">
        <w:rPr>
          <w:rFonts w:asciiTheme="majorHAnsi" w:hAnsiTheme="majorHAnsi" w:cstheme="majorHAnsi"/>
          <w:i/>
          <w:iCs/>
          <w:sz w:val="24"/>
          <w:szCs w:val="24"/>
          <w:lang w:val="ro-MD"/>
        </w:rPr>
        <w:t>,</w:t>
      </w:r>
      <w:r w:rsidR="003E50D9" w:rsidRPr="00FD01EC">
        <w:rPr>
          <w:rFonts w:asciiTheme="majorHAnsi" w:hAnsiTheme="majorHAnsi" w:cstheme="majorHAnsi"/>
          <w:i/>
          <w:iCs/>
          <w:sz w:val="24"/>
          <w:szCs w:val="24"/>
          <w:lang w:val="ro-MD"/>
        </w:rPr>
        <w:t>72</w:t>
      </w:r>
      <w:r w:rsidR="00D8596D" w:rsidRPr="00FD01EC">
        <w:rPr>
          <w:rFonts w:asciiTheme="majorHAnsi" w:hAnsiTheme="majorHAnsi" w:cstheme="majorHAnsi"/>
          <w:i/>
          <w:iCs/>
          <w:sz w:val="24"/>
          <w:szCs w:val="24"/>
          <w:lang w:val="ro-MD"/>
        </w:rPr>
        <w:t xml:space="preserve"> mil.lei</w:t>
      </w:r>
      <w:r w:rsidR="003E50D9" w:rsidRPr="00FD01EC">
        <w:rPr>
          <w:rFonts w:asciiTheme="majorHAnsi" w:hAnsiTheme="majorHAnsi" w:cstheme="majorHAnsi"/>
          <w:i/>
          <w:iCs/>
          <w:sz w:val="24"/>
          <w:szCs w:val="24"/>
          <w:lang w:val="ro-MD"/>
        </w:rPr>
        <w:t xml:space="preserve"> lei) și, respectiv, a mijloacelor transferate de MECC conform contractelor </w:t>
      </w:r>
      <w:r w:rsidR="00CD7F70">
        <w:rPr>
          <w:rFonts w:asciiTheme="majorHAnsi" w:hAnsiTheme="majorHAnsi" w:cstheme="majorHAnsi"/>
          <w:i/>
          <w:iCs/>
          <w:sz w:val="24"/>
          <w:szCs w:val="24"/>
          <w:lang w:val="ro-MD"/>
        </w:rPr>
        <w:t>semna</w:t>
      </w:r>
      <w:r w:rsidR="003E50D9" w:rsidRPr="00FD01EC">
        <w:rPr>
          <w:rFonts w:asciiTheme="majorHAnsi" w:hAnsiTheme="majorHAnsi" w:cstheme="majorHAnsi"/>
          <w:i/>
          <w:iCs/>
          <w:sz w:val="24"/>
          <w:szCs w:val="24"/>
          <w:lang w:val="ro-MD"/>
        </w:rPr>
        <w:t xml:space="preserve">te cu instituțiile </w:t>
      </w:r>
      <w:r w:rsidR="009747C1" w:rsidRPr="00FD01EC">
        <w:rPr>
          <w:rFonts w:asciiTheme="majorHAnsi" w:hAnsiTheme="majorHAnsi" w:cstheme="majorHAnsi"/>
          <w:i/>
          <w:iCs/>
          <w:sz w:val="24"/>
          <w:szCs w:val="24"/>
          <w:lang w:val="ro-MD"/>
        </w:rPr>
        <w:t xml:space="preserve">aflate </w:t>
      </w:r>
      <w:r w:rsidR="003E50D9" w:rsidRPr="00FD01EC">
        <w:rPr>
          <w:rFonts w:asciiTheme="majorHAnsi" w:hAnsiTheme="majorHAnsi" w:cstheme="majorHAnsi"/>
          <w:i/>
          <w:iCs/>
          <w:sz w:val="24"/>
          <w:szCs w:val="24"/>
          <w:lang w:val="ro-MD"/>
        </w:rPr>
        <w:t>la autogestiune (16</w:t>
      </w:r>
      <w:r w:rsidR="00D8596D" w:rsidRPr="00FD01EC">
        <w:rPr>
          <w:rFonts w:asciiTheme="majorHAnsi" w:hAnsiTheme="majorHAnsi" w:cstheme="majorHAnsi"/>
          <w:i/>
          <w:iCs/>
          <w:sz w:val="24"/>
          <w:szCs w:val="24"/>
          <w:lang w:val="ro-MD"/>
        </w:rPr>
        <w:t>,21 mil.lei)</w:t>
      </w:r>
      <w:r w:rsidR="009747C1" w:rsidRPr="00FD01EC">
        <w:rPr>
          <w:rFonts w:asciiTheme="majorHAnsi" w:hAnsiTheme="majorHAnsi" w:cstheme="majorHAnsi"/>
          <w:i/>
          <w:iCs/>
          <w:sz w:val="24"/>
          <w:szCs w:val="24"/>
          <w:lang w:val="ro-MD"/>
        </w:rPr>
        <w:t>.</w:t>
      </w:r>
      <w:r w:rsidR="00D8596D" w:rsidRPr="00FD01EC">
        <w:rPr>
          <w:rFonts w:asciiTheme="majorHAnsi" w:hAnsiTheme="majorHAnsi" w:cstheme="majorHAnsi"/>
          <w:sz w:val="20"/>
          <w:szCs w:val="20"/>
          <w:lang w:val="ro-MD"/>
        </w:rPr>
        <w:t xml:space="preserve"> </w:t>
      </w:r>
    </w:p>
    <w:p w14:paraId="138E3740" w14:textId="7F6A4BAF" w:rsidR="000B1A2E" w:rsidRPr="00CD7FE5" w:rsidRDefault="00232FAA" w:rsidP="00451D75">
      <w:pPr>
        <w:pStyle w:val="ListParagraph"/>
        <w:tabs>
          <w:tab w:val="left" w:pos="0"/>
        </w:tabs>
        <w:spacing w:line="276" w:lineRule="auto"/>
        <w:ind w:left="0"/>
        <w:rPr>
          <w:rFonts w:asciiTheme="majorHAnsi" w:hAnsiTheme="majorHAnsi" w:cstheme="majorHAnsi"/>
          <w:i/>
          <w:iCs/>
          <w:sz w:val="24"/>
          <w:szCs w:val="24"/>
          <w:lang w:val="ro-MD"/>
        </w:rPr>
      </w:pPr>
      <w:r w:rsidRPr="00FD01EC">
        <w:rPr>
          <w:rFonts w:asciiTheme="majorHAnsi" w:hAnsiTheme="majorHAnsi" w:cstheme="majorHAnsi"/>
          <w:b/>
          <w:i/>
          <w:iCs/>
          <w:sz w:val="24"/>
          <w:szCs w:val="24"/>
          <w:lang w:val="ro-MD"/>
        </w:rPr>
        <w:t>2.</w:t>
      </w:r>
      <w:r w:rsidR="00451D75" w:rsidRPr="00FD01EC">
        <w:rPr>
          <w:rFonts w:asciiTheme="majorHAnsi" w:hAnsiTheme="majorHAnsi" w:cstheme="majorHAnsi"/>
          <w:b/>
          <w:i/>
          <w:iCs/>
          <w:sz w:val="24"/>
          <w:szCs w:val="24"/>
          <w:lang w:val="ro-MD"/>
        </w:rPr>
        <w:t>8</w:t>
      </w:r>
      <w:r w:rsidRPr="00FD01EC">
        <w:rPr>
          <w:rFonts w:asciiTheme="majorHAnsi" w:hAnsiTheme="majorHAnsi" w:cstheme="majorHAnsi"/>
          <w:b/>
          <w:i/>
          <w:iCs/>
          <w:sz w:val="24"/>
          <w:szCs w:val="24"/>
          <w:lang w:val="ro-MD"/>
        </w:rPr>
        <w:t>.</w:t>
      </w:r>
      <w:r w:rsidRPr="00FD01EC">
        <w:rPr>
          <w:rFonts w:asciiTheme="majorHAnsi" w:hAnsiTheme="majorHAnsi" w:cstheme="majorHAnsi"/>
          <w:i/>
          <w:iCs/>
          <w:sz w:val="24"/>
          <w:szCs w:val="24"/>
          <w:lang w:val="ro-MD"/>
        </w:rPr>
        <w:t xml:space="preserve"> </w:t>
      </w:r>
      <w:r w:rsidR="00FF1B9F" w:rsidRPr="00FD01EC">
        <w:rPr>
          <w:rFonts w:asciiTheme="majorHAnsi" w:hAnsiTheme="majorHAnsi" w:cstheme="majorHAnsi"/>
          <w:i/>
          <w:iCs/>
          <w:sz w:val="24"/>
          <w:szCs w:val="24"/>
          <w:lang w:val="ro-MD"/>
        </w:rPr>
        <w:t>D</w:t>
      </w:r>
      <w:r w:rsidR="000B1A2E" w:rsidRPr="00FD01EC">
        <w:rPr>
          <w:rFonts w:asciiTheme="majorHAnsi" w:hAnsiTheme="majorHAnsi" w:cstheme="majorHAnsi"/>
          <w:i/>
          <w:iCs/>
          <w:sz w:val="24"/>
          <w:szCs w:val="24"/>
          <w:lang w:val="ro-MD"/>
        </w:rPr>
        <w:t xml:space="preserve">iminuarea </w:t>
      </w:r>
      <w:r w:rsidR="00275BC2" w:rsidRPr="00FD01EC">
        <w:rPr>
          <w:rFonts w:asciiTheme="majorHAnsi" w:hAnsiTheme="majorHAnsi" w:cstheme="majorHAnsi"/>
          <w:i/>
          <w:iCs/>
          <w:sz w:val="24"/>
          <w:szCs w:val="24"/>
          <w:lang w:val="ro-MD"/>
        </w:rPr>
        <w:t xml:space="preserve">valorii </w:t>
      </w:r>
      <w:r w:rsidR="000B1A2E" w:rsidRPr="00FD01EC">
        <w:rPr>
          <w:rFonts w:asciiTheme="majorHAnsi" w:hAnsiTheme="majorHAnsi" w:cstheme="majorHAnsi"/>
          <w:i/>
          <w:iCs/>
          <w:sz w:val="24"/>
          <w:szCs w:val="24"/>
          <w:lang w:val="ro-MD"/>
        </w:rPr>
        <w:t>contului 419 „Alte creanțe ale instituțiilor bugetare</w:t>
      </w:r>
      <w:r w:rsidR="000B1A2E" w:rsidRPr="00CD7FE5">
        <w:rPr>
          <w:rFonts w:asciiTheme="majorHAnsi" w:hAnsiTheme="majorHAnsi" w:cstheme="majorHAnsi"/>
          <w:i/>
          <w:iCs/>
          <w:sz w:val="24"/>
          <w:szCs w:val="24"/>
          <w:lang w:val="ro-MD"/>
        </w:rPr>
        <w:t xml:space="preserve">” cu </w:t>
      </w:r>
      <w:r w:rsidR="002E66E6" w:rsidRPr="00CD7FE5">
        <w:rPr>
          <w:rFonts w:asciiTheme="majorHAnsi" w:hAnsiTheme="majorHAnsi" w:cstheme="majorHAnsi"/>
          <w:b/>
          <w:i/>
          <w:iCs/>
          <w:sz w:val="24"/>
          <w:szCs w:val="24"/>
          <w:lang w:val="ro-MD"/>
        </w:rPr>
        <w:t>77,16</w:t>
      </w:r>
      <w:r w:rsidR="000B1A2E" w:rsidRPr="00CD7FE5">
        <w:rPr>
          <w:rFonts w:asciiTheme="majorHAnsi" w:hAnsiTheme="majorHAnsi" w:cstheme="majorHAnsi"/>
          <w:b/>
          <w:i/>
          <w:iCs/>
          <w:sz w:val="24"/>
          <w:szCs w:val="24"/>
          <w:lang w:val="ro-MD"/>
        </w:rPr>
        <w:t xml:space="preserve"> mil.lei</w:t>
      </w:r>
      <w:r w:rsidR="000B1A2E" w:rsidRPr="00CD7FE5">
        <w:rPr>
          <w:rFonts w:asciiTheme="majorHAnsi" w:hAnsiTheme="majorHAnsi" w:cstheme="majorHAnsi"/>
          <w:i/>
          <w:iCs/>
          <w:sz w:val="24"/>
          <w:szCs w:val="24"/>
          <w:lang w:val="ro-MD"/>
        </w:rPr>
        <w:t xml:space="preserve">, </w:t>
      </w:r>
      <w:r w:rsidR="004173F1" w:rsidRPr="00CD7FE5">
        <w:rPr>
          <w:rFonts w:asciiTheme="majorHAnsi" w:hAnsiTheme="majorHAnsi" w:cstheme="majorHAnsi"/>
          <w:i/>
          <w:iCs/>
          <w:sz w:val="24"/>
          <w:szCs w:val="24"/>
          <w:lang w:val="ro-MD"/>
        </w:rPr>
        <w:t>determinată de:</w:t>
      </w:r>
    </w:p>
    <w:p w14:paraId="4B229459" w14:textId="1EB40C85" w:rsidR="003C0DB9" w:rsidRPr="00CD7FE5" w:rsidRDefault="00C2186E" w:rsidP="00092F2F">
      <w:pPr>
        <w:pStyle w:val="ListParagraph"/>
        <w:numPr>
          <w:ilvl w:val="0"/>
          <w:numId w:val="24"/>
        </w:numPr>
        <w:spacing w:line="276" w:lineRule="auto"/>
        <w:ind w:left="0" w:firstLine="0"/>
        <w:rPr>
          <w:rFonts w:asciiTheme="majorHAnsi" w:hAnsiTheme="majorHAnsi" w:cstheme="majorHAnsi"/>
          <w:i/>
          <w:iCs/>
          <w:sz w:val="24"/>
          <w:szCs w:val="24"/>
          <w:lang w:val="ro-MD"/>
        </w:rPr>
      </w:pPr>
      <w:r w:rsidRPr="00CD7FE5">
        <w:rPr>
          <w:rFonts w:asciiTheme="majorHAnsi" w:hAnsiTheme="majorHAnsi" w:cstheme="majorHAnsi"/>
          <w:i/>
          <w:iCs/>
          <w:sz w:val="24"/>
          <w:szCs w:val="24"/>
          <w:lang w:val="ro-MD"/>
        </w:rPr>
        <w:t>diminua</w:t>
      </w:r>
      <w:r w:rsidR="00506064" w:rsidRPr="00CD7FE5">
        <w:rPr>
          <w:rFonts w:asciiTheme="majorHAnsi" w:hAnsiTheme="majorHAnsi" w:cstheme="majorHAnsi"/>
          <w:i/>
          <w:iCs/>
          <w:sz w:val="24"/>
          <w:szCs w:val="24"/>
          <w:lang w:val="ro-MD"/>
        </w:rPr>
        <w:t xml:space="preserve">rea </w:t>
      </w:r>
      <w:r w:rsidR="00A84AFD" w:rsidRPr="00CD7FE5">
        <w:rPr>
          <w:rFonts w:asciiTheme="majorHAnsi" w:hAnsiTheme="majorHAnsi" w:cstheme="majorHAnsi"/>
          <w:i/>
          <w:iCs/>
          <w:sz w:val="24"/>
          <w:szCs w:val="24"/>
          <w:lang w:val="ro-MD"/>
        </w:rPr>
        <w:t xml:space="preserve">cu </w:t>
      </w:r>
      <w:r w:rsidR="002E66E6" w:rsidRPr="00CD7FE5">
        <w:rPr>
          <w:rFonts w:asciiTheme="majorHAnsi" w:hAnsiTheme="majorHAnsi" w:cstheme="majorHAnsi"/>
          <w:i/>
          <w:iCs/>
          <w:sz w:val="24"/>
          <w:szCs w:val="24"/>
          <w:lang w:val="ro-MD"/>
        </w:rPr>
        <w:t>84,99</w:t>
      </w:r>
      <w:r w:rsidR="00A84AFD" w:rsidRPr="00CD7FE5">
        <w:rPr>
          <w:rFonts w:asciiTheme="majorHAnsi" w:hAnsiTheme="majorHAnsi" w:cstheme="majorHAnsi"/>
          <w:i/>
          <w:iCs/>
          <w:sz w:val="24"/>
          <w:szCs w:val="24"/>
          <w:lang w:val="ro-MD"/>
        </w:rPr>
        <w:t xml:space="preserve"> mil.lei, ca urmare</w:t>
      </w:r>
      <w:r w:rsidR="005E0586" w:rsidRPr="00CD7FE5">
        <w:rPr>
          <w:rFonts w:asciiTheme="majorHAnsi" w:hAnsiTheme="majorHAnsi" w:cstheme="majorHAnsi"/>
          <w:i/>
          <w:iCs/>
          <w:sz w:val="24"/>
          <w:szCs w:val="24"/>
          <w:lang w:val="ro-MD"/>
        </w:rPr>
        <w:t xml:space="preserve"> a</w:t>
      </w:r>
      <w:r w:rsidR="00A84AFD" w:rsidRPr="00CD7FE5">
        <w:rPr>
          <w:rFonts w:asciiTheme="majorHAnsi" w:hAnsiTheme="majorHAnsi" w:cstheme="majorHAnsi"/>
          <w:i/>
          <w:iCs/>
          <w:sz w:val="24"/>
          <w:szCs w:val="24"/>
          <w:lang w:val="ro-MD"/>
        </w:rPr>
        <w:t xml:space="preserve">: </w:t>
      </w:r>
      <w:r w:rsidR="005E0586" w:rsidRPr="00CD7FE5">
        <w:rPr>
          <w:rFonts w:asciiTheme="majorHAnsi" w:hAnsiTheme="majorHAnsi" w:cstheme="majorHAnsi"/>
          <w:i/>
          <w:iCs/>
          <w:sz w:val="24"/>
          <w:szCs w:val="24"/>
          <w:lang w:val="ro-MD"/>
        </w:rPr>
        <w:t xml:space="preserve">(1) </w:t>
      </w:r>
      <w:r w:rsidR="005E0586" w:rsidRPr="00CD7FE5">
        <w:rPr>
          <w:rFonts w:asciiTheme="majorHAnsi" w:hAnsiTheme="majorHAnsi" w:cstheme="majorHAnsi"/>
          <w:i/>
          <w:iCs/>
          <w:color w:val="000000"/>
          <w:sz w:val="24"/>
          <w:szCs w:val="24"/>
          <w:lang w:val="ro-MD"/>
        </w:rPr>
        <w:t xml:space="preserve">raportării neregulamentare de către instituțiile de învățământ </w:t>
      </w:r>
      <w:r w:rsidR="00427259" w:rsidRPr="00CD7FE5">
        <w:rPr>
          <w:rFonts w:asciiTheme="majorHAnsi" w:hAnsiTheme="majorHAnsi" w:cstheme="majorHAnsi"/>
          <w:i/>
          <w:iCs/>
          <w:color w:val="000000"/>
          <w:sz w:val="24"/>
          <w:szCs w:val="24"/>
          <w:lang w:val="ro-MD"/>
        </w:rPr>
        <w:t>superior</w:t>
      </w:r>
      <w:r w:rsidR="005E0586" w:rsidRPr="00CD7FE5">
        <w:rPr>
          <w:rFonts w:asciiTheme="majorHAnsi" w:hAnsiTheme="majorHAnsi" w:cstheme="majorHAnsi"/>
          <w:i/>
          <w:iCs/>
          <w:color w:val="000000"/>
          <w:sz w:val="24"/>
          <w:szCs w:val="24"/>
          <w:lang w:val="ro-MD"/>
        </w:rPr>
        <w:t xml:space="preserve"> a mijloacelor financiare </w:t>
      </w:r>
      <w:r w:rsidRPr="00CD7FE5">
        <w:rPr>
          <w:rFonts w:asciiTheme="majorHAnsi" w:hAnsiTheme="majorHAnsi" w:cstheme="majorHAnsi"/>
          <w:i/>
          <w:iCs/>
          <w:color w:val="000000"/>
          <w:sz w:val="24"/>
          <w:szCs w:val="24"/>
          <w:lang w:val="ro-MD"/>
        </w:rPr>
        <w:t>aloc</w:t>
      </w:r>
      <w:r w:rsidR="005E0586" w:rsidRPr="00CD7FE5">
        <w:rPr>
          <w:rFonts w:asciiTheme="majorHAnsi" w:hAnsiTheme="majorHAnsi" w:cstheme="majorHAnsi"/>
          <w:i/>
          <w:iCs/>
          <w:color w:val="000000"/>
          <w:sz w:val="24"/>
          <w:szCs w:val="24"/>
          <w:lang w:val="ro-MD"/>
        </w:rPr>
        <w:t>ate și nevalorificate de către acestea până la 31 decembrie 2020 (</w:t>
      </w:r>
      <w:r w:rsidR="002E66E6" w:rsidRPr="00CD7FE5">
        <w:rPr>
          <w:rFonts w:asciiTheme="majorHAnsi" w:hAnsiTheme="majorHAnsi" w:cstheme="majorHAnsi"/>
          <w:bCs/>
          <w:i/>
          <w:iCs/>
          <w:color w:val="000000"/>
          <w:sz w:val="24"/>
          <w:szCs w:val="24"/>
          <w:lang w:val="ro-MD"/>
        </w:rPr>
        <w:t>21,73</w:t>
      </w:r>
      <w:r w:rsidR="005E0586" w:rsidRPr="00CD7FE5">
        <w:rPr>
          <w:rFonts w:asciiTheme="majorHAnsi" w:hAnsiTheme="majorHAnsi" w:cstheme="majorHAnsi"/>
          <w:bCs/>
          <w:i/>
          <w:iCs/>
          <w:color w:val="000000"/>
          <w:sz w:val="24"/>
          <w:szCs w:val="24"/>
          <w:lang w:val="ro-MD"/>
        </w:rPr>
        <w:t xml:space="preserve"> mil.lei</w:t>
      </w:r>
      <w:r w:rsidR="005E0586" w:rsidRPr="00CD7FE5">
        <w:rPr>
          <w:rFonts w:asciiTheme="majorHAnsi" w:hAnsiTheme="majorHAnsi" w:cstheme="majorHAnsi"/>
          <w:i/>
          <w:iCs/>
          <w:color w:val="000000"/>
          <w:sz w:val="24"/>
          <w:szCs w:val="24"/>
          <w:lang w:val="ro-MD"/>
        </w:rPr>
        <w:t xml:space="preserve">), precum și a majorării neregulamentare a alocațiilor bugetare aferente costului programelor de studiu </w:t>
      </w:r>
      <w:r w:rsidR="00427259" w:rsidRPr="00CD7FE5">
        <w:rPr>
          <w:rFonts w:asciiTheme="majorHAnsi" w:hAnsiTheme="majorHAnsi" w:cstheme="majorHAnsi"/>
          <w:i/>
          <w:color w:val="000000"/>
          <w:sz w:val="24"/>
          <w:szCs w:val="24"/>
          <w:lang w:val="ro-MD"/>
        </w:rPr>
        <w:t>în cadrul învățăm</w:t>
      </w:r>
      <w:r w:rsidR="00275BC2">
        <w:rPr>
          <w:rFonts w:asciiTheme="majorHAnsi" w:hAnsiTheme="majorHAnsi" w:cstheme="majorHAnsi"/>
          <w:i/>
          <w:color w:val="000000"/>
          <w:sz w:val="24"/>
          <w:szCs w:val="24"/>
          <w:lang w:val="ro-MD"/>
        </w:rPr>
        <w:t>â</w:t>
      </w:r>
      <w:r w:rsidR="00427259" w:rsidRPr="00CD7FE5">
        <w:rPr>
          <w:rFonts w:asciiTheme="majorHAnsi" w:hAnsiTheme="majorHAnsi" w:cstheme="majorHAnsi"/>
          <w:i/>
          <w:color w:val="000000"/>
          <w:sz w:val="24"/>
          <w:szCs w:val="24"/>
          <w:lang w:val="ro-MD"/>
        </w:rPr>
        <w:t xml:space="preserve">ntului profesional tehnic </w:t>
      </w:r>
      <w:r w:rsidR="005E0586" w:rsidRPr="00CD7FE5">
        <w:rPr>
          <w:rFonts w:asciiTheme="majorHAnsi" w:hAnsiTheme="majorHAnsi" w:cstheme="majorHAnsi"/>
          <w:i/>
          <w:iCs/>
          <w:color w:val="000000"/>
          <w:sz w:val="24"/>
          <w:szCs w:val="24"/>
          <w:lang w:val="ro-MD"/>
        </w:rPr>
        <w:t>(</w:t>
      </w:r>
      <w:r w:rsidR="005E0586" w:rsidRPr="00CD7FE5">
        <w:rPr>
          <w:rFonts w:asciiTheme="majorHAnsi" w:hAnsiTheme="majorHAnsi" w:cstheme="majorHAnsi"/>
          <w:bCs/>
          <w:i/>
          <w:iCs/>
          <w:color w:val="000000"/>
          <w:sz w:val="24"/>
          <w:szCs w:val="24"/>
          <w:lang w:val="ro-MD"/>
        </w:rPr>
        <w:t>54,99 mil.lei</w:t>
      </w:r>
      <w:r w:rsidR="005E0586" w:rsidRPr="00CD7FE5">
        <w:rPr>
          <w:rFonts w:asciiTheme="majorHAnsi" w:hAnsiTheme="majorHAnsi" w:cstheme="majorHAnsi"/>
          <w:i/>
          <w:iCs/>
          <w:color w:val="000000"/>
          <w:sz w:val="24"/>
          <w:szCs w:val="24"/>
          <w:lang w:val="ro-MD"/>
        </w:rPr>
        <w:t xml:space="preserve">); (2) </w:t>
      </w:r>
      <w:r w:rsidR="005D6943" w:rsidRPr="00CD7FE5">
        <w:rPr>
          <w:rFonts w:asciiTheme="majorHAnsi" w:hAnsiTheme="majorHAnsi" w:cstheme="majorHAnsi"/>
          <w:i/>
          <w:iCs/>
          <w:color w:val="000000"/>
          <w:sz w:val="24"/>
          <w:szCs w:val="24"/>
          <w:lang w:val="ro-MD"/>
        </w:rPr>
        <w:t xml:space="preserve">neprestării serviciilor de înregistrare </w:t>
      </w:r>
      <w:r w:rsidR="005D6943" w:rsidRPr="005B1EFA">
        <w:rPr>
          <w:rFonts w:asciiTheme="majorHAnsi" w:hAnsiTheme="majorHAnsi" w:cstheme="majorHAnsi"/>
          <w:i/>
          <w:iCs/>
          <w:color w:val="000000"/>
          <w:sz w:val="24"/>
          <w:szCs w:val="24"/>
          <w:lang w:val="ro-MD"/>
        </w:rPr>
        <w:t>în R</w:t>
      </w:r>
      <w:r w:rsidR="00102B3A" w:rsidRPr="005B1EFA">
        <w:rPr>
          <w:rFonts w:asciiTheme="majorHAnsi" w:hAnsiTheme="majorHAnsi" w:cstheme="majorHAnsi"/>
          <w:i/>
          <w:iCs/>
          <w:color w:val="000000"/>
          <w:sz w:val="24"/>
          <w:szCs w:val="24"/>
          <w:lang w:val="ro-MD"/>
        </w:rPr>
        <w:t>egistrul bunurilor imobile (RBI)</w:t>
      </w:r>
      <w:r w:rsidR="005D6943" w:rsidRPr="00CD7FE5">
        <w:rPr>
          <w:rFonts w:asciiTheme="majorHAnsi" w:hAnsiTheme="majorHAnsi" w:cstheme="majorHAnsi"/>
          <w:i/>
          <w:iCs/>
          <w:color w:val="000000"/>
          <w:sz w:val="24"/>
          <w:szCs w:val="24"/>
          <w:lang w:val="ro-MD"/>
        </w:rPr>
        <w:t xml:space="preserve"> a drepturilor asupra imobil</w:t>
      </w:r>
      <w:r w:rsidR="00275BC2">
        <w:rPr>
          <w:rFonts w:asciiTheme="majorHAnsi" w:hAnsiTheme="majorHAnsi" w:cstheme="majorHAnsi"/>
          <w:i/>
          <w:iCs/>
          <w:color w:val="000000"/>
          <w:sz w:val="24"/>
          <w:szCs w:val="24"/>
          <w:lang w:val="ro-MD"/>
        </w:rPr>
        <w:t>e</w:t>
      </w:r>
      <w:r w:rsidR="005D6943" w:rsidRPr="00CD7FE5">
        <w:rPr>
          <w:rFonts w:asciiTheme="majorHAnsi" w:hAnsiTheme="majorHAnsi" w:cstheme="majorHAnsi"/>
          <w:i/>
          <w:iCs/>
          <w:color w:val="000000"/>
          <w:sz w:val="24"/>
          <w:szCs w:val="24"/>
          <w:lang w:val="ro-MD"/>
        </w:rPr>
        <w:t xml:space="preserve">lor din s.Donici (0,01 mil.lei); (3) nereflectării calculelor </w:t>
      </w:r>
      <w:r w:rsidR="005D6943" w:rsidRPr="00FD01EC">
        <w:rPr>
          <w:rFonts w:asciiTheme="majorHAnsi" w:hAnsiTheme="majorHAnsi" w:cstheme="majorHAnsi"/>
          <w:i/>
          <w:iCs/>
          <w:color w:val="000000"/>
          <w:sz w:val="24"/>
          <w:szCs w:val="24"/>
          <w:lang w:val="ro-MD"/>
        </w:rPr>
        <w:t>plă</w:t>
      </w:r>
      <w:r w:rsidR="007A524C" w:rsidRPr="00FD01EC">
        <w:rPr>
          <w:rFonts w:asciiTheme="majorHAnsi" w:hAnsiTheme="majorHAnsi" w:cstheme="majorHAnsi"/>
          <w:i/>
          <w:iCs/>
          <w:color w:val="000000"/>
          <w:sz w:val="24"/>
          <w:szCs w:val="24"/>
          <w:lang w:val="ro-MD"/>
        </w:rPr>
        <w:t>ț</w:t>
      </w:r>
      <w:r w:rsidR="005D6943" w:rsidRPr="00FD01EC">
        <w:rPr>
          <w:rFonts w:asciiTheme="majorHAnsi" w:hAnsiTheme="majorHAnsi" w:cstheme="majorHAnsi"/>
          <w:i/>
          <w:iCs/>
          <w:color w:val="000000"/>
          <w:sz w:val="24"/>
          <w:szCs w:val="24"/>
          <w:lang w:val="ro-MD"/>
        </w:rPr>
        <w:t>ilor de locațiune pentru</w:t>
      </w:r>
      <w:r w:rsidR="005D6943" w:rsidRPr="00CD7FE5">
        <w:rPr>
          <w:rFonts w:asciiTheme="majorHAnsi" w:hAnsiTheme="majorHAnsi" w:cstheme="majorHAnsi"/>
          <w:i/>
          <w:iCs/>
          <w:color w:val="000000"/>
          <w:sz w:val="24"/>
          <w:szCs w:val="24"/>
          <w:lang w:val="ro-MD"/>
        </w:rPr>
        <w:t xml:space="preserve"> anii 2019 și 2020 (0,02 mil.lei); (4) nerestituirii de către instituțiile de învățăm</w:t>
      </w:r>
      <w:r w:rsidR="00275BC2">
        <w:rPr>
          <w:rFonts w:asciiTheme="majorHAnsi" w:hAnsiTheme="majorHAnsi" w:cstheme="majorHAnsi"/>
          <w:i/>
          <w:iCs/>
          <w:color w:val="000000"/>
          <w:sz w:val="24"/>
          <w:szCs w:val="24"/>
          <w:lang w:val="ro-MD"/>
        </w:rPr>
        <w:t>â</w:t>
      </w:r>
      <w:r w:rsidR="005D6943" w:rsidRPr="00CD7FE5">
        <w:rPr>
          <w:rFonts w:asciiTheme="majorHAnsi" w:hAnsiTheme="majorHAnsi" w:cstheme="majorHAnsi"/>
          <w:i/>
          <w:iCs/>
          <w:color w:val="000000"/>
          <w:sz w:val="24"/>
          <w:szCs w:val="24"/>
          <w:lang w:val="ro-MD"/>
        </w:rPr>
        <w:t>nt profesional tehnic secundar a mijloacelor bănești rămase în sold la 31.12.2019 (1,24 mil.lei); (5) achitării neregulamentare și primirii facturii în anul 2020 pentru serviciile care au fost executate în trimestru</w:t>
      </w:r>
      <w:r w:rsidR="00275BC2">
        <w:rPr>
          <w:rFonts w:asciiTheme="majorHAnsi" w:hAnsiTheme="majorHAnsi" w:cstheme="majorHAnsi"/>
          <w:i/>
          <w:iCs/>
          <w:color w:val="000000"/>
          <w:sz w:val="24"/>
          <w:szCs w:val="24"/>
          <w:lang w:val="ro-MD"/>
        </w:rPr>
        <w:t>l</w:t>
      </w:r>
      <w:r w:rsidR="00934D82" w:rsidRPr="00CD7FE5">
        <w:rPr>
          <w:rFonts w:asciiTheme="majorHAnsi" w:hAnsiTheme="majorHAnsi" w:cstheme="majorHAnsi"/>
          <w:i/>
          <w:iCs/>
          <w:color w:val="000000"/>
          <w:sz w:val="24"/>
          <w:szCs w:val="24"/>
          <w:lang w:val="ro-MD"/>
        </w:rPr>
        <w:t xml:space="preserve"> I</w:t>
      </w:r>
      <w:r w:rsidR="005D6943" w:rsidRPr="00CD7FE5">
        <w:rPr>
          <w:rFonts w:asciiTheme="majorHAnsi" w:hAnsiTheme="majorHAnsi" w:cstheme="majorHAnsi"/>
          <w:i/>
          <w:iCs/>
          <w:color w:val="000000"/>
          <w:sz w:val="24"/>
          <w:szCs w:val="24"/>
          <w:lang w:val="ro-MD"/>
        </w:rPr>
        <w:t xml:space="preserve"> al anului 2021 </w:t>
      </w:r>
      <w:r w:rsidR="005D6943" w:rsidRPr="00CD7FE5">
        <w:rPr>
          <w:rFonts w:asciiTheme="majorHAnsi" w:hAnsiTheme="majorHAnsi" w:cstheme="majorHAnsi"/>
          <w:i/>
          <w:iCs/>
          <w:color w:val="000000"/>
          <w:sz w:val="24"/>
          <w:szCs w:val="24"/>
          <w:lang w:val="ro-MD"/>
        </w:rPr>
        <w:lastRenderedPageBreak/>
        <w:t xml:space="preserve">(0,15 mil.lei); (6) </w:t>
      </w:r>
      <w:r w:rsidR="005D6943" w:rsidRPr="00CD7FE5">
        <w:rPr>
          <w:rFonts w:asciiTheme="majorHAnsi" w:hAnsiTheme="majorHAnsi" w:cstheme="majorHAnsi"/>
          <w:i/>
          <w:iCs/>
          <w:sz w:val="24"/>
          <w:szCs w:val="24"/>
          <w:lang w:val="ro-MD"/>
        </w:rPr>
        <w:t xml:space="preserve">neînregistrării în evidența contabilă </w:t>
      </w:r>
      <w:r w:rsidR="007A524C" w:rsidRPr="00CD7FE5">
        <w:rPr>
          <w:rFonts w:asciiTheme="majorHAnsi" w:hAnsiTheme="majorHAnsi" w:cstheme="majorHAnsi"/>
          <w:i/>
          <w:iCs/>
          <w:sz w:val="24"/>
          <w:szCs w:val="24"/>
          <w:lang w:val="ro-MD"/>
        </w:rPr>
        <w:t>a Institutului de Energetic</w:t>
      </w:r>
      <w:r w:rsidR="00275BC2">
        <w:rPr>
          <w:rFonts w:asciiTheme="majorHAnsi" w:hAnsiTheme="majorHAnsi" w:cstheme="majorHAnsi"/>
          <w:i/>
          <w:iCs/>
          <w:sz w:val="24"/>
          <w:szCs w:val="24"/>
          <w:lang w:val="ro-MD"/>
        </w:rPr>
        <w:t>ă</w:t>
      </w:r>
      <w:r w:rsidR="005D6943" w:rsidRPr="00CD7FE5">
        <w:rPr>
          <w:rFonts w:asciiTheme="majorHAnsi" w:hAnsiTheme="majorHAnsi" w:cstheme="majorHAnsi"/>
          <w:i/>
          <w:iCs/>
          <w:sz w:val="24"/>
          <w:szCs w:val="24"/>
          <w:lang w:val="ro-MD"/>
        </w:rPr>
        <w:t xml:space="preserve"> </w:t>
      </w:r>
      <w:r w:rsidR="007A524C" w:rsidRPr="00CD7FE5">
        <w:rPr>
          <w:rFonts w:asciiTheme="majorHAnsi" w:hAnsiTheme="majorHAnsi" w:cstheme="majorHAnsi"/>
          <w:i/>
          <w:iCs/>
          <w:sz w:val="24"/>
          <w:szCs w:val="24"/>
          <w:lang w:val="ro-MD"/>
        </w:rPr>
        <w:t xml:space="preserve">a </w:t>
      </w:r>
      <w:r w:rsidR="005D6943" w:rsidRPr="00CD7FE5">
        <w:rPr>
          <w:rFonts w:asciiTheme="majorHAnsi" w:hAnsiTheme="majorHAnsi" w:cstheme="majorHAnsi"/>
          <w:i/>
          <w:iCs/>
          <w:sz w:val="24"/>
          <w:szCs w:val="24"/>
          <w:lang w:val="ro-MD"/>
        </w:rPr>
        <w:t>obligațiilor contractuale (0,66 mil.lei); (7) suportării cheltuielilor neregulamentare aferente retribuirii muncii (0,36 mil.lei)</w:t>
      </w:r>
      <w:r w:rsidR="005B6012" w:rsidRPr="00CD7FE5">
        <w:rPr>
          <w:rFonts w:asciiTheme="majorHAnsi" w:hAnsiTheme="majorHAnsi" w:cstheme="majorHAnsi"/>
          <w:i/>
          <w:iCs/>
          <w:sz w:val="24"/>
          <w:szCs w:val="24"/>
          <w:lang w:val="ro-MD"/>
        </w:rPr>
        <w:t xml:space="preserve">; (8) </w:t>
      </w:r>
      <w:r w:rsidR="004C0C6C" w:rsidRPr="00CD7FE5">
        <w:rPr>
          <w:rFonts w:asciiTheme="majorHAnsi" w:hAnsiTheme="majorHAnsi" w:cstheme="majorHAnsi"/>
          <w:i/>
          <w:iCs/>
          <w:sz w:val="24"/>
          <w:szCs w:val="24"/>
          <w:lang w:val="ro-MD"/>
        </w:rPr>
        <w:t>neexecutării lucrărilor de construcție facturate (</w:t>
      </w:r>
      <w:r w:rsidR="002464FB" w:rsidRPr="00CD7FE5">
        <w:rPr>
          <w:rFonts w:asciiTheme="majorHAnsi" w:hAnsiTheme="majorHAnsi" w:cstheme="majorHAnsi"/>
          <w:i/>
          <w:iCs/>
          <w:sz w:val="24"/>
          <w:szCs w:val="24"/>
          <w:lang w:val="ro-MD"/>
        </w:rPr>
        <w:t>5</w:t>
      </w:r>
      <w:r w:rsidR="005B6012" w:rsidRPr="00CD7FE5">
        <w:rPr>
          <w:rFonts w:asciiTheme="majorHAnsi" w:hAnsiTheme="majorHAnsi" w:cstheme="majorHAnsi"/>
          <w:i/>
          <w:iCs/>
          <w:sz w:val="24"/>
          <w:szCs w:val="24"/>
          <w:lang w:val="ro-MD"/>
        </w:rPr>
        <w:t>,</w:t>
      </w:r>
      <w:r w:rsidR="002464FB" w:rsidRPr="00CD7FE5">
        <w:rPr>
          <w:rFonts w:asciiTheme="majorHAnsi" w:hAnsiTheme="majorHAnsi" w:cstheme="majorHAnsi"/>
          <w:i/>
          <w:iCs/>
          <w:sz w:val="24"/>
          <w:szCs w:val="24"/>
          <w:lang w:val="ro-MD"/>
        </w:rPr>
        <w:t>8</w:t>
      </w:r>
      <w:r w:rsidR="005B6012" w:rsidRPr="00CD7FE5">
        <w:rPr>
          <w:rFonts w:asciiTheme="majorHAnsi" w:hAnsiTheme="majorHAnsi" w:cstheme="majorHAnsi"/>
          <w:i/>
          <w:iCs/>
          <w:sz w:val="24"/>
          <w:szCs w:val="24"/>
          <w:lang w:val="ro-MD"/>
        </w:rPr>
        <w:t>4</w:t>
      </w:r>
      <w:r w:rsidR="002464FB" w:rsidRPr="00CD7FE5">
        <w:rPr>
          <w:rFonts w:asciiTheme="majorHAnsi" w:hAnsiTheme="majorHAnsi" w:cstheme="majorHAnsi"/>
          <w:i/>
          <w:iCs/>
          <w:sz w:val="24"/>
          <w:szCs w:val="24"/>
          <w:lang w:val="ro-MD"/>
        </w:rPr>
        <w:t xml:space="preserve"> mi</w:t>
      </w:r>
      <w:r w:rsidR="005B6012" w:rsidRPr="00CD7FE5">
        <w:rPr>
          <w:rFonts w:asciiTheme="majorHAnsi" w:hAnsiTheme="majorHAnsi" w:cstheme="majorHAnsi"/>
          <w:i/>
          <w:iCs/>
          <w:sz w:val="24"/>
          <w:szCs w:val="24"/>
          <w:lang w:val="ro-MD"/>
        </w:rPr>
        <w:t>l.</w:t>
      </w:r>
      <w:r w:rsidR="004C0C6C" w:rsidRPr="00CD7FE5">
        <w:rPr>
          <w:rFonts w:asciiTheme="majorHAnsi" w:hAnsiTheme="majorHAnsi" w:cstheme="majorHAnsi"/>
          <w:i/>
          <w:iCs/>
          <w:sz w:val="24"/>
          <w:szCs w:val="24"/>
          <w:lang w:val="ro-MD"/>
        </w:rPr>
        <w:t xml:space="preserve">lei); </w:t>
      </w:r>
    </w:p>
    <w:p w14:paraId="0E7B73BD" w14:textId="7B21E7FB" w:rsidR="004173F1" w:rsidRPr="00CD7FE5" w:rsidRDefault="004173F1" w:rsidP="00092F2F">
      <w:pPr>
        <w:pStyle w:val="ListParagraph"/>
        <w:numPr>
          <w:ilvl w:val="0"/>
          <w:numId w:val="24"/>
        </w:numPr>
        <w:spacing w:line="276" w:lineRule="auto"/>
        <w:ind w:left="0" w:firstLine="0"/>
        <w:rPr>
          <w:rFonts w:asciiTheme="majorHAnsi" w:hAnsiTheme="majorHAnsi" w:cstheme="majorHAnsi"/>
          <w:i/>
          <w:iCs/>
          <w:sz w:val="24"/>
          <w:szCs w:val="24"/>
          <w:lang w:val="ro-MD"/>
        </w:rPr>
      </w:pPr>
      <w:r w:rsidRPr="00CD7FE5">
        <w:rPr>
          <w:rFonts w:asciiTheme="majorHAnsi" w:hAnsiTheme="majorHAnsi" w:cstheme="majorHAnsi"/>
          <w:i/>
          <w:iCs/>
          <w:sz w:val="24"/>
          <w:szCs w:val="24"/>
          <w:lang w:val="ro-MD"/>
        </w:rPr>
        <w:t>major</w:t>
      </w:r>
      <w:r w:rsidR="00AD2390" w:rsidRPr="00CD7FE5">
        <w:rPr>
          <w:rFonts w:asciiTheme="majorHAnsi" w:hAnsiTheme="majorHAnsi" w:cstheme="majorHAnsi"/>
          <w:i/>
          <w:iCs/>
          <w:sz w:val="24"/>
          <w:szCs w:val="24"/>
          <w:lang w:val="ro-MD"/>
        </w:rPr>
        <w:t>area</w:t>
      </w:r>
      <w:r w:rsidRPr="00CD7FE5">
        <w:rPr>
          <w:rFonts w:asciiTheme="majorHAnsi" w:hAnsiTheme="majorHAnsi" w:cstheme="majorHAnsi"/>
          <w:i/>
          <w:iCs/>
          <w:sz w:val="24"/>
          <w:szCs w:val="24"/>
          <w:lang w:val="ro-MD"/>
        </w:rPr>
        <w:t xml:space="preserve"> cu 7</w:t>
      </w:r>
      <w:r w:rsidR="00435FDC" w:rsidRPr="00CD7FE5">
        <w:rPr>
          <w:rFonts w:asciiTheme="majorHAnsi" w:hAnsiTheme="majorHAnsi" w:cstheme="majorHAnsi"/>
          <w:i/>
          <w:iCs/>
          <w:sz w:val="24"/>
          <w:szCs w:val="24"/>
          <w:lang w:val="ro-MD"/>
        </w:rPr>
        <w:t>,</w:t>
      </w:r>
      <w:r w:rsidR="007A4259" w:rsidRPr="00CD7FE5">
        <w:rPr>
          <w:rFonts w:asciiTheme="majorHAnsi" w:hAnsiTheme="majorHAnsi" w:cstheme="majorHAnsi"/>
          <w:i/>
          <w:iCs/>
          <w:sz w:val="24"/>
          <w:szCs w:val="24"/>
          <w:lang w:val="ro-MD"/>
        </w:rPr>
        <w:t>8</w:t>
      </w:r>
      <w:r w:rsidR="00435FDC" w:rsidRPr="00CD7FE5">
        <w:rPr>
          <w:rFonts w:asciiTheme="majorHAnsi" w:hAnsiTheme="majorHAnsi" w:cstheme="majorHAnsi"/>
          <w:i/>
          <w:iCs/>
          <w:sz w:val="24"/>
          <w:szCs w:val="24"/>
          <w:lang w:val="ro-MD"/>
        </w:rPr>
        <w:t>3</w:t>
      </w:r>
      <w:r w:rsidRPr="00CD7FE5">
        <w:rPr>
          <w:rFonts w:asciiTheme="majorHAnsi" w:hAnsiTheme="majorHAnsi" w:cstheme="majorHAnsi"/>
          <w:i/>
          <w:iCs/>
          <w:sz w:val="24"/>
          <w:szCs w:val="24"/>
          <w:lang w:val="ro-MD"/>
        </w:rPr>
        <w:t xml:space="preserve"> mil.lei</w:t>
      </w:r>
      <w:r w:rsidR="00275BC2">
        <w:rPr>
          <w:rFonts w:asciiTheme="majorHAnsi" w:hAnsiTheme="majorHAnsi" w:cstheme="majorHAnsi"/>
          <w:i/>
          <w:iCs/>
          <w:sz w:val="24"/>
          <w:szCs w:val="24"/>
          <w:lang w:val="ro-MD"/>
        </w:rPr>
        <w:t>,</w:t>
      </w:r>
      <w:r w:rsidRPr="00CD7FE5">
        <w:rPr>
          <w:rFonts w:asciiTheme="majorHAnsi" w:hAnsiTheme="majorHAnsi" w:cstheme="majorHAnsi"/>
          <w:i/>
          <w:iCs/>
          <w:sz w:val="24"/>
          <w:szCs w:val="24"/>
          <w:lang w:val="ro-MD"/>
        </w:rPr>
        <w:t xml:space="preserve"> ca urmare a </w:t>
      </w:r>
      <w:r w:rsidR="00E3053A" w:rsidRPr="00CD7FE5">
        <w:rPr>
          <w:rFonts w:asciiTheme="majorHAnsi" w:hAnsiTheme="majorHAnsi" w:cstheme="majorHAnsi"/>
          <w:i/>
          <w:iCs/>
          <w:sz w:val="24"/>
          <w:szCs w:val="24"/>
          <w:lang w:val="ro-MD"/>
        </w:rPr>
        <w:t>neraportării</w:t>
      </w:r>
      <w:r w:rsidRPr="00CD7FE5">
        <w:rPr>
          <w:rFonts w:asciiTheme="majorHAnsi" w:hAnsiTheme="majorHAnsi" w:cstheme="majorHAnsi"/>
          <w:i/>
          <w:iCs/>
          <w:sz w:val="24"/>
          <w:szCs w:val="24"/>
          <w:lang w:val="ro-MD"/>
        </w:rPr>
        <w:t xml:space="preserve"> investițiilor efectuate </w:t>
      </w:r>
      <w:r w:rsidR="00E3053A" w:rsidRPr="00CD7FE5">
        <w:rPr>
          <w:rFonts w:asciiTheme="majorHAnsi" w:hAnsiTheme="majorHAnsi" w:cstheme="majorHAnsi"/>
          <w:i/>
          <w:iCs/>
          <w:sz w:val="24"/>
          <w:szCs w:val="24"/>
          <w:lang w:val="ro-MD"/>
        </w:rPr>
        <w:t>din granturile anului 20</w:t>
      </w:r>
      <w:r w:rsidR="006D47BC" w:rsidRPr="00CD7FE5">
        <w:rPr>
          <w:rFonts w:asciiTheme="majorHAnsi" w:hAnsiTheme="majorHAnsi" w:cstheme="majorHAnsi"/>
          <w:i/>
          <w:iCs/>
          <w:sz w:val="24"/>
          <w:szCs w:val="24"/>
          <w:lang w:val="ro-MD"/>
        </w:rPr>
        <w:t>20</w:t>
      </w:r>
      <w:r w:rsidR="00414134" w:rsidRPr="00CD7FE5">
        <w:rPr>
          <w:rFonts w:asciiTheme="majorHAnsi" w:hAnsiTheme="majorHAnsi" w:cstheme="majorHAnsi"/>
          <w:i/>
          <w:iCs/>
          <w:sz w:val="24"/>
          <w:szCs w:val="24"/>
          <w:lang w:val="ro-MD"/>
        </w:rPr>
        <w:t xml:space="preserve"> </w:t>
      </w:r>
      <w:r w:rsidR="00E3053A" w:rsidRPr="00CD7FE5">
        <w:rPr>
          <w:rFonts w:asciiTheme="majorHAnsi" w:hAnsiTheme="majorHAnsi" w:cstheme="majorHAnsi"/>
          <w:i/>
          <w:iCs/>
          <w:sz w:val="24"/>
          <w:szCs w:val="24"/>
          <w:lang w:val="ro-MD"/>
        </w:rPr>
        <w:t xml:space="preserve">în bunuri </w:t>
      </w:r>
      <w:r w:rsidRPr="00CD7FE5">
        <w:rPr>
          <w:rFonts w:asciiTheme="majorHAnsi" w:hAnsiTheme="majorHAnsi" w:cstheme="majorHAnsi"/>
          <w:i/>
          <w:iCs/>
          <w:sz w:val="24"/>
          <w:szCs w:val="24"/>
          <w:lang w:val="ro-MD"/>
        </w:rPr>
        <w:t>(</w:t>
      </w:r>
      <w:r w:rsidR="006D47BC" w:rsidRPr="00CD7FE5">
        <w:rPr>
          <w:rFonts w:asciiTheme="majorHAnsi" w:hAnsiTheme="majorHAnsi" w:cstheme="majorHAnsi"/>
          <w:i/>
          <w:iCs/>
          <w:sz w:val="24"/>
          <w:szCs w:val="24"/>
          <w:lang w:val="ro-MD"/>
        </w:rPr>
        <w:t>6</w:t>
      </w:r>
      <w:r w:rsidR="00435FDC" w:rsidRPr="00CD7FE5">
        <w:rPr>
          <w:rFonts w:asciiTheme="majorHAnsi" w:hAnsiTheme="majorHAnsi" w:cstheme="majorHAnsi"/>
          <w:i/>
          <w:iCs/>
          <w:sz w:val="24"/>
          <w:szCs w:val="24"/>
          <w:lang w:val="ro-MD"/>
        </w:rPr>
        <w:t>,</w:t>
      </w:r>
      <w:r w:rsidR="006D47BC" w:rsidRPr="00CD7FE5">
        <w:rPr>
          <w:rFonts w:asciiTheme="majorHAnsi" w:hAnsiTheme="majorHAnsi" w:cstheme="majorHAnsi"/>
          <w:i/>
          <w:iCs/>
          <w:sz w:val="24"/>
          <w:szCs w:val="24"/>
          <w:lang w:val="ro-MD"/>
        </w:rPr>
        <w:t>79</w:t>
      </w:r>
      <w:r w:rsidRPr="00CD7FE5">
        <w:rPr>
          <w:rFonts w:asciiTheme="majorHAnsi" w:hAnsiTheme="majorHAnsi" w:cstheme="majorHAnsi"/>
          <w:i/>
          <w:iCs/>
          <w:sz w:val="24"/>
          <w:szCs w:val="24"/>
          <w:lang w:val="ro-MD"/>
        </w:rPr>
        <w:t xml:space="preserve"> mil.lei)</w:t>
      </w:r>
      <w:r w:rsidR="00E3053A" w:rsidRPr="00CD7FE5">
        <w:rPr>
          <w:rFonts w:asciiTheme="majorHAnsi" w:hAnsiTheme="majorHAnsi" w:cstheme="majorHAnsi"/>
          <w:i/>
          <w:iCs/>
          <w:sz w:val="24"/>
          <w:szCs w:val="24"/>
          <w:lang w:val="ro-MD"/>
        </w:rPr>
        <w:t xml:space="preserve"> și clădiri (</w:t>
      </w:r>
      <w:r w:rsidR="006D47BC" w:rsidRPr="00CD7FE5">
        <w:rPr>
          <w:rFonts w:asciiTheme="majorHAnsi" w:hAnsiTheme="majorHAnsi" w:cstheme="majorHAnsi"/>
          <w:i/>
          <w:iCs/>
          <w:sz w:val="24"/>
          <w:szCs w:val="24"/>
          <w:lang w:val="ro-MD"/>
        </w:rPr>
        <w:t>1</w:t>
      </w:r>
      <w:r w:rsidR="00435FDC" w:rsidRPr="00CD7FE5">
        <w:rPr>
          <w:rFonts w:asciiTheme="majorHAnsi" w:hAnsiTheme="majorHAnsi" w:cstheme="majorHAnsi"/>
          <w:i/>
          <w:iCs/>
          <w:sz w:val="24"/>
          <w:szCs w:val="24"/>
          <w:lang w:val="ro-MD"/>
        </w:rPr>
        <w:t>,</w:t>
      </w:r>
      <w:r w:rsidR="006D47BC" w:rsidRPr="00CD7FE5">
        <w:rPr>
          <w:rFonts w:asciiTheme="majorHAnsi" w:hAnsiTheme="majorHAnsi" w:cstheme="majorHAnsi"/>
          <w:i/>
          <w:iCs/>
          <w:sz w:val="24"/>
          <w:szCs w:val="24"/>
          <w:lang w:val="ro-MD"/>
        </w:rPr>
        <w:t>03</w:t>
      </w:r>
      <w:r w:rsidR="00E3053A" w:rsidRPr="00CD7FE5">
        <w:rPr>
          <w:rFonts w:asciiTheme="majorHAnsi" w:hAnsiTheme="majorHAnsi" w:cstheme="majorHAnsi"/>
          <w:i/>
          <w:iCs/>
          <w:sz w:val="24"/>
          <w:szCs w:val="24"/>
          <w:lang w:val="ro-MD"/>
        </w:rPr>
        <w:t xml:space="preserve"> mil.lei)</w:t>
      </w:r>
      <w:r w:rsidR="00D97EF5">
        <w:rPr>
          <w:rFonts w:asciiTheme="majorHAnsi" w:hAnsiTheme="majorHAnsi" w:cstheme="majorHAnsi"/>
          <w:i/>
          <w:iCs/>
          <w:sz w:val="24"/>
          <w:szCs w:val="24"/>
          <w:lang w:val="ro-MD"/>
        </w:rPr>
        <w:t>.</w:t>
      </w:r>
      <w:r w:rsidRPr="00CD7FE5">
        <w:rPr>
          <w:rFonts w:asciiTheme="majorHAnsi" w:hAnsiTheme="majorHAnsi" w:cstheme="majorHAnsi"/>
          <w:i/>
          <w:iCs/>
          <w:sz w:val="24"/>
          <w:szCs w:val="24"/>
          <w:lang w:val="ro-MD"/>
        </w:rPr>
        <w:t xml:space="preserve"> </w:t>
      </w:r>
    </w:p>
    <w:p w14:paraId="0ED58E03" w14:textId="7D023F6A" w:rsidR="009A0B9A" w:rsidRPr="00CD7FE5" w:rsidRDefault="00451D75" w:rsidP="00451D75">
      <w:pPr>
        <w:pStyle w:val="ListParagraph"/>
        <w:spacing w:line="276" w:lineRule="auto"/>
        <w:ind w:left="0"/>
        <w:rPr>
          <w:rFonts w:asciiTheme="majorHAnsi" w:hAnsiTheme="majorHAnsi" w:cstheme="majorHAnsi"/>
          <w:i/>
          <w:color w:val="000000"/>
          <w:sz w:val="24"/>
          <w:szCs w:val="24"/>
          <w:lang w:val="ro-MD"/>
        </w:rPr>
      </w:pPr>
      <w:r>
        <w:rPr>
          <w:rFonts w:asciiTheme="majorHAnsi" w:hAnsiTheme="majorHAnsi" w:cstheme="majorHAnsi"/>
          <w:b/>
          <w:bCs/>
          <w:i/>
          <w:iCs/>
          <w:sz w:val="24"/>
          <w:szCs w:val="24"/>
          <w:lang w:val="ro-MD"/>
        </w:rPr>
        <w:t>2.9</w:t>
      </w:r>
      <w:r w:rsidR="00DB31DC" w:rsidRPr="00CD7FE5">
        <w:rPr>
          <w:rFonts w:asciiTheme="majorHAnsi" w:hAnsiTheme="majorHAnsi" w:cstheme="majorHAnsi"/>
          <w:b/>
          <w:bCs/>
          <w:i/>
          <w:iCs/>
          <w:sz w:val="24"/>
          <w:szCs w:val="24"/>
          <w:lang w:val="ro-MD"/>
        </w:rPr>
        <w:t>.</w:t>
      </w:r>
      <w:r w:rsidR="00DB31DC" w:rsidRPr="00CD7FE5">
        <w:rPr>
          <w:rFonts w:asciiTheme="majorHAnsi" w:hAnsiTheme="majorHAnsi" w:cstheme="majorHAnsi"/>
          <w:sz w:val="24"/>
          <w:szCs w:val="24"/>
          <w:lang w:val="ro-MD"/>
        </w:rPr>
        <w:t xml:space="preserve"> </w:t>
      </w:r>
      <w:r w:rsidR="00FF1B9F">
        <w:rPr>
          <w:rFonts w:asciiTheme="majorHAnsi" w:hAnsiTheme="majorHAnsi" w:cstheme="majorHAnsi"/>
          <w:i/>
          <w:iCs/>
          <w:sz w:val="24"/>
          <w:szCs w:val="24"/>
          <w:lang w:val="ro-MD"/>
        </w:rPr>
        <w:t>M</w:t>
      </w:r>
      <w:r w:rsidR="009A0B9A" w:rsidRPr="00CD7FE5">
        <w:rPr>
          <w:rFonts w:asciiTheme="majorHAnsi" w:hAnsiTheme="majorHAnsi" w:cstheme="majorHAnsi"/>
          <w:i/>
          <w:color w:val="000000"/>
          <w:sz w:val="24"/>
          <w:szCs w:val="24"/>
          <w:lang w:val="ro-MD"/>
        </w:rPr>
        <w:t>ajorarea cheltuielilor aferente serviciilor educaționale (comanda de stat) și, respectiv</w:t>
      </w:r>
      <w:r w:rsidR="00D97EF5">
        <w:rPr>
          <w:rFonts w:asciiTheme="majorHAnsi" w:hAnsiTheme="majorHAnsi" w:cstheme="majorHAnsi"/>
          <w:i/>
          <w:color w:val="000000"/>
          <w:sz w:val="24"/>
          <w:szCs w:val="24"/>
          <w:lang w:val="ro-MD"/>
        </w:rPr>
        <w:t>,</w:t>
      </w:r>
      <w:r w:rsidR="009A0B9A" w:rsidRPr="00CD7FE5">
        <w:rPr>
          <w:rFonts w:asciiTheme="majorHAnsi" w:hAnsiTheme="majorHAnsi" w:cstheme="majorHAnsi"/>
          <w:i/>
          <w:color w:val="000000"/>
          <w:sz w:val="24"/>
          <w:szCs w:val="24"/>
          <w:lang w:val="ro-MD"/>
        </w:rPr>
        <w:t xml:space="preserve"> diminuarea creanțelor cu </w:t>
      </w:r>
      <w:r w:rsidR="00AA46F2" w:rsidRPr="00CD7FE5">
        <w:rPr>
          <w:rFonts w:asciiTheme="majorHAnsi" w:hAnsiTheme="majorHAnsi" w:cstheme="majorHAnsi"/>
          <w:b/>
          <w:bCs/>
          <w:i/>
          <w:color w:val="000000"/>
          <w:sz w:val="24"/>
          <w:szCs w:val="24"/>
          <w:lang w:val="ro-MD"/>
        </w:rPr>
        <w:t>76,73</w:t>
      </w:r>
      <w:r w:rsidR="009A0B9A" w:rsidRPr="00CD7FE5">
        <w:rPr>
          <w:rFonts w:asciiTheme="majorHAnsi" w:hAnsiTheme="majorHAnsi" w:cstheme="majorHAnsi"/>
          <w:b/>
          <w:bCs/>
          <w:i/>
          <w:color w:val="000000"/>
          <w:sz w:val="24"/>
          <w:szCs w:val="24"/>
          <w:lang w:val="ro-MD"/>
        </w:rPr>
        <w:t xml:space="preserve"> mil.lei</w:t>
      </w:r>
      <w:r w:rsidR="00D97EF5">
        <w:rPr>
          <w:rFonts w:asciiTheme="majorHAnsi" w:hAnsiTheme="majorHAnsi" w:cstheme="majorHAnsi"/>
          <w:b/>
          <w:bCs/>
          <w:i/>
          <w:color w:val="000000"/>
          <w:sz w:val="24"/>
          <w:szCs w:val="24"/>
          <w:lang w:val="ro-MD"/>
        </w:rPr>
        <w:t>,</w:t>
      </w:r>
      <w:r w:rsidR="009A0B9A" w:rsidRPr="00CD7FE5">
        <w:rPr>
          <w:rFonts w:asciiTheme="majorHAnsi" w:hAnsiTheme="majorHAnsi" w:cstheme="majorHAnsi"/>
          <w:i/>
          <w:color w:val="000000"/>
          <w:sz w:val="24"/>
          <w:szCs w:val="24"/>
          <w:lang w:val="ro-MD"/>
        </w:rPr>
        <w:t xml:space="preserve"> ca rezultat al raportării neregulamentare de către instituțiile de învățământ</w:t>
      </w:r>
      <w:r w:rsidR="00083024" w:rsidRPr="00CD7FE5">
        <w:rPr>
          <w:rFonts w:asciiTheme="majorHAnsi" w:hAnsiTheme="majorHAnsi" w:cstheme="majorHAnsi"/>
          <w:i/>
          <w:color w:val="000000"/>
          <w:sz w:val="24"/>
          <w:szCs w:val="24"/>
          <w:lang w:val="ro-MD"/>
        </w:rPr>
        <w:t xml:space="preserve"> superior</w:t>
      </w:r>
      <w:r w:rsidR="009A0B9A" w:rsidRPr="00CD7FE5">
        <w:rPr>
          <w:rFonts w:asciiTheme="majorHAnsi" w:hAnsiTheme="majorHAnsi" w:cstheme="majorHAnsi"/>
          <w:i/>
          <w:color w:val="000000"/>
          <w:sz w:val="24"/>
          <w:szCs w:val="24"/>
          <w:lang w:val="ro-MD"/>
        </w:rPr>
        <w:t xml:space="preserve"> a mijloacelor financiare </w:t>
      </w:r>
      <w:r w:rsidR="00083024" w:rsidRPr="00CD7FE5">
        <w:rPr>
          <w:rFonts w:asciiTheme="majorHAnsi" w:hAnsiTheme="majorHAnsi" w:cstheme="majorHAnsi"/>
          <w:i/>
          <w:color w:val="000000"/>
          <w:sz w:val="24"/>
          <w:szCs w:val="24"/>
          <w:lang w:val="ro-MD"/>
        </w:rPr>
        <w:t>alocate</w:t>
      </w:r>
      <w:r w:rsidR="009A0B9A" w:rsidRPr="00CD7FE5">
        <w:rPr>
          <w:rFonts w:asciiTheme="majorHAnsi" w:hAnsiTheme="majorHAnsi" w:cstheme="majorHAnsi"/>
          <w:i/>
          <w:color w:val="000000"/>
          <w:sz w:val="24"/>
          <w:szCs w:val="24"/>
          <w:lang w:val="ro-MD"/>
        </w:rPr>
        <w:t xml:space="preserve"> și nevalorificate de către acestea până la 31 decembrie 2020 (</w:t>
      </w:r>
      <w:r w:rsidR="00AA46F2" w:rsidRPr="00CD7FE5">
        <w:rPr>
          <w:rFonts w:asciiTheme="majorHAnsi" w:hAnsiTheme="majorHAnsi" w:cstheme="majorHAnsi"/>
          <w:i/>
          <w:color w:val="000000"/>
          <w:sz w:val="24"/>
          <w:szCs w:val="24"/>
          <w:lang w:val="ro-MD"/>
        </w:rPr>
        <w:t>21,73</w:t>
      </w:r>
      <w:r w:rsidR="00083024" w:rsidRPr="00CD7FE5">
        <w:rPr>
          <w:rFonts w:asciiTheme="majorHAnsi" w:hAnsiTheme="majorHAnsi" w:cstheme="majorHAnsi"/>
          <w:i/>
          <w:color w:val="000000"/>
          <w:sz w:val="24"/>
          <w:szCs w:val="24"/>
          <w:lang w:val="ro-MD"/>
        </w:rPr>
        <w:t xml:space="preserve"> mil.</w:t>
      </w:r>
      <w:r w:rsidR="009A0B9A" w:rsidRPr="00CD7FE5">
        <w:rPr>
          <w:rFonts w:asciiTheme="majorHAnsi" w:hAnsiTheme="majorHAnsi" w:cstheme="majorHAnsi"/>
          <w:i/>
          <w:color w:val="000000"/>
          <w:sz w:val="24"/>
          <w:szCs w:val="24"/>
          <w:lang w:val="ro-MD"/>
        </w:rPr>
        <w:t>lei), precum și al majorării  neregulamentare a alocațiilor bugetare aferente costului programelor de studiu</w:t>
      </w:r>
      <w:r w:rsidR="00083024" w:rsidRPr="00CD7FE5">
        <w:rPr>
          <w:rFonts w:asciiTheme="majorHAnsi" w:hAnsiTheme="majorHAnsi" w:cstheme="majorHAnsi"/>
          <w:i/>
          <w:color w:val="000000"/>
          <w:sz w:val="24"/>
          <w:szCs w:val="24"/>
          <w:lang w:val="ro-MD"/>
        </w:rPr>
        <w:t xml:space="preserve"> în cadrul învățăm</w:t>
      </w:r>
      <w:r w:rsidR="003B7797">
        <w:rPr>
          <w:rFonts w:asciiTheme="majorHAnsi" w:hAnsiTheme="majorHAnsi" w:cstheme="majorHAnsi"/>
          <w:i/>
          <w:color w:val="000000"/>
          <w:sz w:val="24"/>
          <w:szCs w:val="24"/>
          <w:lang w:val="ro-MD"/>
        </w:rPr>
        <w:t>â</w:t>
      </w:r>
      <w:r w:rsidR="00083024" w:rsidRPr="00CD7FE5">
        <w:rPr>
          <w:rFonts w:asciiTheme="majorHAnsi" w:hAnsiTheme="majorHAnsi" w:cstheme="majorHAnsi"/>
          <w:i/>
          <w:color w:val="000000"/>
          <w:sz w:val="24"/>
          <w:szCs w:val="24"/>
          <w:lang w:val="ro-MD"/>
        </w:rPr>
        <w:t>ntului profesional tehnic</w:t>
      </w:r>
      <w:r w:rsidR="009A0B9A" w:rsidRPr="00CD7FE5">
        <w:rPr>
          <w:rFonts w:asciiTheme="majorHAnsi" w:hAnsiTheme="majorHAnsi" w:cstheme="majorHAnsi"/>
          <w:i/>
          <w:color w:val="000000"/>
          <w:sz w:val="24"/>
          <w:szCs w:val="24"/>
          <w:lang w:val="ro-MD"/>
        </w:rPr>
        <w:t xml:space="preserve"> (54,99 mil</w:t>
      </w:r>
      <w:r w:rsidR="00083024" w:rsidRPr="00CD7FE5">
        <w:rPr>
          <w:rFonts w:asciiTheme="majorHAnsi" w:hAnsiTheme="majorHAnsi" w:cstheme="majorHAnsi"/>
          <w:i/>
          <w:color w:val="000000"/>
          <w:sz w:val="24"/>
          <w:szCs w:val="24"/>
          <w:lang w:val="ro-MD"/>
        </w:rPr>
        <w:t>.</w:t>
      </w:r>
      <w:r w:rsidR="009A0B9A" w:rsidRPr="00CD7FE5">
        <w:rPr>
          <w:rFonts w:asciiTheme="majorHAnsi" w:hAnsiTheme="majorHAnsi" w:cstheme="majorHAnsi"/>
          <w:i/>
          <w:color w:val="000000"/>
          <w:sz w:val="24"/>
          <w:szCs w:val="24"/>
          <w:lang w:val="ro-MD"/>
        </w:rPr>
        <w:t>lei)</w:t>
      </w:r>
      <w:r w:rsidR="003B7797">
        <w:rPr>
          <w:rFonts w:asciiTheme="majorHAnsi" w:hAnsiTheme="majorHAnsi" w:cstheme="majorHAnsi"/>
          <w:i/>
          <w:color w:val="000000"/>
          <w:sz w:val="24"/>
          <w:szCs w:val="24"/>
          <w:lang w:val="ro-MD"/>
        </w:rPr>
        <w:t>.</w:t>
      </w:r>
    </w:p>
    <w:p w14:paraId="29505159" w14:textId="7B995D86" w:rsidR="005D1A57" w:rsidRPr="00CD7FE5" w:rsidRDefault="005D1A57" w:rsidP="001B38C3">
      <w:pPr>
        <w:pStyle w:val="ListParagraph"/>
        <w:spacing w:line="276" w:lineRule="auto"/>
        <w:ind w:left="0"/>
        <w:rPr>
          <w:rFonts w:asciiTheme="majorHAnsi" w:eastAsia="Times New Roman" w:hAnsiTheme="majorHAnsi" w:cstheme="majorHAnsi"/>
          <w:i/>
          <w:iCs/>
          <w:sz w:val="24"/>
          <w:szCs w:val="24"/>
          <w:lang w:val="ro-MD"/>
        </w:rPr>
      </w:pPr>
      <w:r w:rsidRPr="00CD7FE5">
        <w:rPr>
          <w:rFonts w:asciiTheme="majorHAnsi" w:hAnsiTheme="majorHAnsi" w:cstheme="majorHAnsi"/>
          <w:b/>
          <w:bCs/>
          <w:i/>
          <w:iCs/>
          <w:sz w:val="24"/>
          <w:szCs w:val="24"/>
          <w:lang w:val="ro-MD"/>
        </w:rPr>
        <w:t>2.1</w:t>
      </w:r>
      <w:r w:rsidR="00451D75">
        <w:rPr>
          <w:rFonts w:asciiTheme="majorHAnsi" w:hAnsiTheme="majorHAnsi" w:cstheme="majorHAnsi"/>
          <w:b/>
          <w:bCs/>
          <w:i/>
          <w:iCs/>
          <w:sz w:val="24"/>
          <w:szCs w:val="24"/>
          <w:lang w:val="ro-MD"/>
        </w:rPr>
        <w:t>0</w:t>
      </w:r>
      <w:r w:rsidRPr="00CD7FE5">
        <w:rPr>
          <w:rFonts w:asciiTheme="majorHAnsi" w:hAnsiTheme="majorHAnsi" w:cstheme="majorHAnsi"/>
          <w:b/>
          <w:bCs/>
          <w:i/>
          <w:iCs/>
          <w:sz w:val="24"/>
          <w:szCs w:val="24"/>
          <w:lang w:val="ro-MD"/>
        </w:rPr>
        <w:t>.</w:t>
      </w:r>
      <w:r w:rsidR="00653F8F" w:rsidRPr="00CD7FE5">
        <w:rPr>
          <w:rFonts w:asciiTheme="majorHAnsi" w:eastAsia="Times New Roman" w:hAnsiTheme="majorHAnsi" w:cstheme="majorHAnsi"/>
          <w:lang w:val="ro-MD"/>
        </w:rPr>
        <w:t xml:space="preserve"> </w:t>
      </w:r>
      <w:r w:rsidR="00FF1B9F">
        <w:rPr>
          <w:rFonts w:asciiTheme="majorHAnsi" w:eastAsia="Times New Roman" w:hAnsiTheme="majorHAnsi" w:cstheme="majorHAnsi"/>
          <w:i/>
          <w:iCs/>
          <w:sz w:val="24"/>
          <w:szCs w:val="24"/>
          <w:lang w:val="ro-MD"/>
        </w:rPr>
        <w:t>M</w:t>
      </w:r>
      <w:r w:rsidR="00653F8F" w:rsidRPr="00CD7FE5">
        <w:rPr>
          <w:rFonts w:asciiTheme="majorHAnsi" w:eastAsia="Times New Roman" w:hAnsiTheme="majorHAnsi" w:cstheme="majorHAnsi"/>
          <w:i/>
          <w:iCs/>
          <w:sz w:val="24"/>
          <w:szCs w:val="24"/>
          <w:lang w:val="ro-MD"/>
        </w:rPr>
        <w:t>ajorarea</w:t>
      </w:r>
      <w:r w:rsidR="009E0271" w:rsidRPr="00CD7FE5">
        <w:rPr>
          <w:rFonts w:asciiTheme="majorHAnsi" w:eastAsia="Times New Roman" w:hAnsiTheme="majorHAnsi" w:cstheme="majorHAnsi"/>
          <w:i/>
          <w:iCs/>
          <w:sz w:val="24"/>
          <w:szCs w:val="24"/>
          <w:lang w:val="ro-MD"/>
        </w:rPr>
        <w:t xml:space="preserve"> altor</w:t>
      </w:r>
      <w:r w:rsidR="00653F8F" w:rsidRPr="00CD7FE5">
        <w:rPr>
          <w:rFonts w:asciiTheme="majorHAnsi" w:eastAsia="Times New Roman" w:hAnsiTheme="majorHAnsi" w:cstheme="majorHAnsi"/>
          <w:i/>
          <w:iCs/>
          <w:sz w:val="24"/>
          <w:szCs w:val="24"/>
          <w:lang w:val="ro-MD"/>
        </w:rPr>
        <w:t xml:space="preserve"> cheltuieli</w:t>
      </w:r>
      <w:r w:rsidR="009E0271" w:rsidRPr="00CD7FE5">
        <w:rPr>
          <w:rFonts w:asciiTheme="majorHAnsi" w:eastAsia="Times New Roman" w:hAnsiTheme="majorHAnsi" w:cstheme="majorHAnsi"/>
          <w:i/>
          <w:iCs/>
          <w:sz w:val="24"/>
          <w:szCs w:val="24"/>
          <w:lang w:val="ro-MD"/>
        </w:rPr>
        <w:t xml:space="preserve"> ale instituțiilor bugetare</w:t>
      </w:r>
      <w:r w:rsidR="00A2654C">
        <w:rPr>
          <w:rFonts w:asciiTheme="majorHAnsi" w:eastAsia="Times New Roman" w:hAnsiTheme="majorHAnsi" w:cstheme="majorHAnsi"/>
          <w:i/>
          <w:iCs/>
          <w:sz w:val="24"/>
          <w:szCs w:val="24"/>
          <w:lang w:val="ro-MD"/>
        </w:rPr>
        <w:t xml:space="preserve"> și</w:t>
      </w:r>
      <w:r w:rsidR="00653F8F" w:rsidRPr="00CD7FE5">
        <w:rPr>
          <w:rFonts w:asciiTheme="majorHAnsi" w:eastAsia="Times New Roman" w:hAnsiTheme="majorHAnsi" w:cstheme="majorHAnsi"/>
          <w:i/>
          <w:iCs/>
          <w:sz w:val="24"/>
          <w:szCs w:val="24"/>
          <w:lang w:val="ro-MD"/>
        </w:rPr>
        <w:t>,</w:t>
      </w:r>
      <w:r w:rsidR="00C36552" w:rsidRPr="00CD7FE5">
        <w:rPr>
          <w:rFonts w:asciiTheme="majorHAnsi" w:eastAsia="Times New Roman" w:hAnsiTheme="majorHAnsi" w:cstheme="majorHAnsi"/>
          <w:i/>
          <w:iCs/>
          <w:sz w:val="24"/>
          <w:szCs w:val="24"/>
          <w:lang w:val="ro-MD"/>
        </w:rPr>
        <w:t xml:space="preserve"> </w:t>
      </w:r>
      <w:r w:rsidR="00653F8F" w:rsidRPr="00CD7FE5">
        <w:rPr>
          <w:rFonts w:asciiTheme="majorHAnsi" w:eastAsia="Times New Roman" w:hAnsiTheme="majorHAnsi" w:cstheme="majorHAnsi"/>
          <w:i/>
          <w:iCs/>
          <w:sz w:val="24"/>
          <w:szCs w:val="24"/>
          <w:lang w:val="ro-MD"/>
        </w:rPr>
        <w:t>respectiv</w:t>
      </w:r>
      <w:r w:rsidR="003B7797">
        <w:rPr>
          <w:rFonts w:asciiTheme="majorHAnsi" w:eastAsia="Times New Roman" w:hAnsiTheme="majorHAnsi" w:cstheme="majorHAnsi"/>
          <w:i/>
          <w:iCs/>
          <w:sz w:val="24"/>
          <w:szCs w:val="24"/>
          <w:lang w:val="ro-MD"/>
        </w:rPr>
        <w:t>,</w:t>
      </w:r>
      <w:r w:rsidR="00653F8F" w:rsidRPr="00CD7FE5">
        <w:rPr>
          <w:rFonts w:asciiTheme="majorHAnsi" w:eastAsia="Times New Roman" w:hAnsiTheme="majorHAnsi" w:cstheme="majorHAnsi"/>
          <w:i/>
          <w:iCs/>
          <w:sz w:val="24"/>
          <w:szCs w:val="24"/>
          <w:lang w:val="ro-MD"/>
        </w:rPr>
        <w:t xml:space="preserve"> diminuarea valorii </w:t>
      </w:r>
      <w:r w:rsidR="00653F8F" w:rsidRPr="00CD7FE5">
        <w:rPr>
          <w:rFonts w:asciiTheme="majorHAnsi" w:hAnsiTheme="majorHAnsi" w:cstheme="majorHAnsi"/>
          <w:i/>
          <w:iCs/>
          <w:sz w:val="24"/>
          <w:szCs w:val="24"/>
          <w:lang w:val="ro-MD"/>
        </w:rPr>
        <w:t>acțiunilor și altor forme de participare în capital în interiorul țării</w:t>
      </w:r>
      <w:r w:rsidR="00A2654C">
        <w:rPr>
          <w:rFonts w:asciiTheme="majorHAnsi" w:hAnsiTheme="majorHAnsi" w:cstheme="majorHAnsi"/>
          <w:i/>
          <w:iCs/>
          <w:sz w:val="24"/>
          <w:szCs w:val="24"/>
          <w:lang w:val="ro-MD"/>
        </w:rPr>
        <w:t xml:space="preserve"> cu </w:t>
      </w:r>
      <w:r w:rsidR="00A2654C" w:rsidRPr="00A2654C">
        <w:rPr>
          <w:rFonts w:asciiTheme="majorHAnsi" w:eastAsia="Times New Roman" w:hAnsiTheme="majorHAnsi" w:cstheme="majorHAnsi"/>
          <w:b/>
          <w:bCs/>
          <w:i/>
          <w:iCs/>
          <w:sz w:val="24"/>
          <w:szCs w:val="24"/>
          <w:lang w:val="ro-MD"/>
        </w:rPr>
        <w:t>9,16 mil.lei</w:t>
      </w:r>
      <w:r w:rsidR="00653F8F" w:rsidRPr="00CD7FE5">
        <w:rPr>
          <w:rFonts w:asciiTheme="majorHAnsi" w:hAnsiTheme="majorHAnsi" w:cstheme="majorHAnsi"/>
          <w:i/>
          <w:iCs/>
          <w:sz w:val="24"/>
          <w:szCs w:val="24"/>
          <w:lang w:val="ro-MD"/>
        </w:rPr>
        <w:t xml:space="preserve">, </w:t>
      </w:r>
      <w:r w:rsidR="00653F8F" w:rsidRPr="00CD7FE5">
        <w:rPr>
          <w:rFonts w:asciiTheme="majorHAnsi" w:eastAsia="Times New Roman" w:hAnsiTheme="majorHAnsi" w:cstheme="majorHAnsi"/>
          <w:i/>
          <w:iCs/>
          <w:sz w:val="24"/>
          <w:szCs w:val="24"/>
          <w:lang w:val="ro-MD"/>
        </w:rPr>
        <w:t xml:space="preserve">ca urmare </w:t>
      </w:r>
      <w:r w:rsidR="00653F8F" w:rsidRPr="00CD7FE5">
        <w:rPr>
          <w:rFonts w:asciiTheme="majorHAnsi" w:hAnsiTheme="majorHAnsi" w:cstheme="majorHAnsi"/>
          <w:i/>
          <w:iCs/>
          <w:sz w:val="24"/>
          <w:szCs w:val="24"/>
          <w:lang w:val="ro-MD"/>
        </w:rPr>
        <w:t xml:space="preserve">a </w:t>
      </w:r>
      <w:r w:rsidR="00653F8F" w:rsidRPr="00CD7FE5">
        <w:rPr>
          <w:rFonts w:asciiTheme="majorHAnsi" w:eastAsia="Times New Roman" w:hAnsiTheme="majorHAnsi" w:cstheme="majorHAnsi"/>
          <w:i/>
          <w:iCs/>
          <w:sz w:val="24"/>
          <w:szCs w:val="24"/>
          <w:lang w:val="ro-MD"/>
        </w:rPr>
        <w:t>neînregistrării investițiilor în instituțiile fondate</w:t>
      </w:r>
      <w:r w:rsidR="00653F8F" w:rsidRPr="00CD7FE5">
        <w:rPr>
          <w:rStyle w:val="FootnoteReference"/>
          <w:rFonts w:asciiTheme="majorHAnsi" w:eastAsia="Times New Roman" w:hAnsiTheme="majorHAnsi" w:cstheme="majorHAnsi"/>
          <w:i/>
          <w:iCs/>
          <w:sz w:val="24"/>
          <w:szCs w:val="24"/>
          <w:lang w:val="ro-MD"/>
        </w:rPr>
        <w:footnoteReference w:id="12"/>
      </w:r>
      <w:r w:rsidR="003B7797">
        <w:rPr>
          <w:rFonts w:asciiTheme="majorHAnsi" w:eastAsia="Times New Roman" w:hAnsiTheme="majorHAnsi" w:cstheme="majorHAnsi"/>
          <w:i/>
          <w:iCs/>
          <w:sz w:val="24"/>
          <w:szCs w:val="24"/>
          <w:lang w:val="ro-MD"/>
        </w:rPr>
        <w:t>.</w:t>
      </w:r>
    </w:p>
    <w:p w14:paraId="26D4E17F" w14:textId="28821414" w:rsidR="005C5D6B" w:rsidRPr="00CD7FE5" w:rsidRDefault="00953ABC" w:rsidP="00451D75">
      <w:pPr>
        <w:pStyle w:val="ListParagraph"/>
        <w:tabs>
          <w:tab w:val="left" w:pos="0"/>
        </w:tabs>
        <w:spacing w:line="276" w:lineRule="auto"/>
        <w:ind w:left="0"/>
        <w:rPr>
          <w:rFonts w:asciiTheme="majorHAnsi" w:hAnsiTheme="majorHAnsi" w:cstheme="majorHAnsi"/>
          <w:i/>
          <w:iCs/>
          <w:sz w:val="24"/>
          <w:szCs w:val="24"/>
          <w:lang w:val="ro-MD"/>
        </w:rPr>
      </w:pPr>
      <w:r w:rsidRPr="00CD7FE5">
        <w:rPr>
          <w:rFonts w:asciiTheme="majorHAnsi" w:hAnsiTheme="majorHAnsi" w:cstheme="majorHAnsi"/>
          <w:b/>
          <w:bCs/>
          <w:i/>
          <w:iCs/>
          <w:sz w:val="24"/>
          <w:szCs w:val="24"/>
          <w:lang w:val="ro-MD"/>
        </w:rPr>
        <w:t>2.1</w:t>
      </w:r>
      <w:r w:rsidR="00451D75">
        <w:rPr>
          <w:rFonts w:asciiTheme="majorHAnsi" w:hAnsiTheme="majorHAnsi" w:cstheme="majorHAnsi"/>
          <w:b/>
          <w:bCs/>
          <w:i/>
          <w:iCs/>
          <w:sz w:val="24"/>
          <w:szCs w:val="24"/>
          <w:lang w:val="ro-MD"/>
        </w:rPr>
        <w:t>1</w:t>
      </w:r>
      <w:r w:rsidR="00CC2CC4" w:rsidRPr="00CD7FE5">
        <w:rPr>
          <w:rFonts w:asciiTheme="majorHAnsi" w:hAnsiTheme="majorHAnsi" w:cstheme="majorHAnsi"/>
          <w:b/>
          <w:bCs/>
          <w:i/>
          <w:iCs/>
          <w:sz w:val="24"/>
          <w:szCs w:val="24"/>
          <w:lang w:val="ro-MD"/>
        </w:rPr>
        <w:t>.</w:t>
      </w:r>
      <w:r w:rsidR="00CC2CC4" w:rsidRPr="00CD7FE5">
        <w:rPr>
          <w:rFonts w:asciiTheme="majorHAnsi" w:hAnsiTheme="majorHAnsi" w:cstheme="majorHAnsi"/>
          <w:lang w:val="ro-MD"/>
        </w:rPr>
        <w:t xml:space="preserve"> </w:t>
      </w:r>
      <w:r w:rsidR="00FF1B9F">
        <w:rPr>
          <w:rFonts w:asciiTheme="majorHAnsi" w:hAnsiTheme="majorHAnsi" w:cstheme="majorHAnsi"/>
          <w:i/>
          <w:iCs/>
          <w:sz w:val="24"/>
          <w:szCs w:val="24"/>
          <w:lang w:val="ro-MD"/>
        </w:rPr>
        <w:t>M</w:t>
      </w:r>
      <w:r w:rsidR="005D517C" w:rsidRPr="00CD7FE5">
        <w:rPr>
          <w:rFonts w:asciiTheme="majorHAnsi" w:hAnsiTheme="majorHAnsi" w:cstheme="majorHAnsi"/>
          <w:i/>
          <w:iCs/>
          <w:sz w:val="24"/>
          <w:szCs w:val="24"/>
          <w:lang w:val="ro-MD"/>
        </w:rPr>
        <w:t>ajorarea</w:t>
      </w:r>
      <w:r w:rsidR="005C5D6B" w:rsidRPr="00CD7FE5">
        <w:rPr>
          <w:rFonts w:asciiTheme="majorHAnsi" w:hAnsiTheme="majorHAnsi" w:cstheme="majorHAnsi"/>
          <w:i/>
          <w:iCs/>
          <w:sz w:val="24"/>
          <w:szCs w:val="24"/>
          <w:lang w:val="ro-MD"/>
        </w:rPr>
        <w:t xml:space="preserve"> cheltuielilor aferente serviciilor cu </w:t>
      </w:r>
      <w:r w:rsidR="005C5D6B" w:rsidRPr="00CD7FE5">
        <w:rPr>
          <w:rFonts w:asciiTheme="majorHAnsi" w:hAnsiTheme="majorHAnsi" w:cstheme="majorHAnsi"/>
          <w:b/>
          <w:i/>
          <w:iCs/>
          <w:sz w:val="24"/>
          <w:szCs w:val="24"/>
          <w:lang w:val="ro-MD"/>
        </w:rPr>
        <w:t>26,17 mil.lei</w:t>
      </w:r>
      <w:r w:rsidR="005C5D6B" w:rsidRPr="00CD7FE5">
        <w:rPr>
          <w:rFonts w:asciiTheme="majorHAnsi" w:hAnsiTheme="majorHAnsi" w:cstheme="majorHAnsi"/>
          <w:i/>
          <w:iCs/>
          <w:sz w:val="24"/>
          <w:szCs w:val="24"/>
          <w:lang w:val="ro-MD"/>
        </w:rPr>
        <w:t xml:space="preserve">, </w:t>
      </w:r>
      <w:r w:rsidR="00F6548E" w:rsidRPr="00CD7FE5">
        <w:rPr>
          <w:rFonts w:asciiTheme="majorHAnsi" w:hAnsiTheme="majorHAnsi" w:cstheme="majorHAnsi"/>
          <w:i/>
          <w:iCs/>
          <w:sz w:val="24"/>
          <w:szCs w:val="24"/>
          <w:lang w:val="ro-MD"/>
        </w:rPr>
        <w:t>ca urmare a</w:t>
      </w:r>
      <w:r w:rsidR="005C5D6B" w:rsidRPr="00CD7FE5">
        <w:rPr>
          <w:rFonts w:asciiTheme="majorHAnsi" w:hAnsiTheme="majorHAnsi" w:cstheme="majorHAnsi"/>
          <w:i/>
          <w:iCs/>
          <w:sz w:val="24"/>
          <w:szCs w:val="24"/>
          <w:lang w:val="ro-MD"/>
        </w:rPr>
        <w:t>:</w:t>
      </w:r>
      <w:r w:rsidR="005D517C" w:rsidRPr="00CD7FE5">
        <w:rPr>
          <w:rFonts w:asciiTheme="majorHAnsi" w:hAnsiTheme="majorHAnsi" w:cstheme="majorHAnsi"/>
          <w:i/>
          <w:iCs/>
          <w:sz w:val="24"/>
          <w:szCs w:val="24"/>
          <w:lang w:val="ro-MD"/>
        </w:rPr>
        <w:t xml:space="preserve"> (1) neînregistr</w:t>
      </w:r>
      <w:r w:rsidR="00F6548E" w:rsidRPr="00CD7FE5">
        <w:rPr>
          <w:rFonts w:asciiTheme="majorHAnsi" w:hAnsiTheme="majorHAnsi" w:cstheme="majorHAnsi"/>
          <w:i/>
          <w:iCs/>
          <w:sz w:val="24"/>
          <w:szCs w:val="24"/>
          <w:lang w:val="ro-MD"/>
        </w:rPr>
        <w:t>ării</w:t>
      </w:r>
      <w:r w:rsidR="005D517C" w:rsidRPr="00CD7FE5">
        <w:rPr>
          <w:rFonts w:asciiTheme="majorHAnsi" w:hAnsiTheme="majorHAnsi" w:cstheme="majorHAnsi"/>
          <w:i/>
          <w:iCs/>
          <w:sz w:val="24"/>
          <w:szCs w:val="24"/>
          <w:lang w:val="ro-MD"/>
        </w:rPr>
        <w:t xml:space="preserve"> ca active nemateriale a mijloacelor transferate de MECC conform </w:t>
      </w:r>
      <w:r w:rsidR="005D517C" w:rsidRPr="00FD01EC">
        <w:rPr>
          <w:rFonts w:asciiTheme="majorHAnsi" w:hAnsiTheme="majorHAnsi" w:cstheme="majorHAnsi"/>
          <w:i/>
          <w:iCs/>
          <w:sz w:val="24"/>
          <w:szCs w:val="24"/>
          <w:lang w:val="ro-MD"/>
        </w:rPr>
        <w:t xml:space="preserve">contractelor </w:t>
      </w:r>
      <w:r w:rsidR="00FD01EC" w:rsidRPr="00B4570E">
        <w:rPr>
          <w:rFonts w:asciiTheme="majorHAnsi" w:hAnsiTheme="majorHAnsi" w:cstheme="majorHAnsi"/>
          <w:i/>
          <w:iCs/>
          <w:sz w:val="24"/>
          <w:szCs w:val="24"/>
          <w:lang w:val="ro-MD"/>
        </w:rPr>
        <w:t>semna</w:t>
      </w:r>
      <w:r w:rsidR="005D517C" w:rsidRPr="00FD01EC">
        <w:rPr>
          <w:rFonts w:asciiTheme="majorHAnsi" w:hAnsiTheme="majorHAnsi" w:cstheme="majorHAnsi"/>
          <w:i/>
          <w:iCs/>
          <w:sz w:val="24"/>
          <w:szCs w:val="24"/>
          <w:lang w:val="ro-MD"/>
        </w:rPr>
        <w:t>te cu instituțiile</w:t>
      </w:r>
      <w:r w:rsidR="005D517C" w:rsidRPr="00CD7FE5">
        <w:rPr>
          <w:rFonts w:asciiTheme="majorHAnsi" w:hAnsiTheme="majorHAnsi" w:cstheme="majorHAnsi"/>
          <w:i/>
          <w:iCs/>
          <w:sz w:val="24"/>
          <w:szCs w:val="24"/>
          <w:lang w:val="ro-MD"/>
        </w:rPr>
        <w:t xml:space="preserve"> </w:t>
      </w:r>
      <w:r w:rsidR="005D517C" w:rsidRPr="00FD01EC">
        <w:rPr>
          <w:rFonts w:asciiTheme="majorHAnsi" w:hAnsiTheme="majorHAnsi" w:cstheme="majorHAnsi"/>
          <w:i/>
          <w:iCs/>
          <w:sz w:val="24"/>
          <w:szCs w:val="24"/>
          <w:lang w:val="ro-MD"/>
        </w:rPr>
        <w:t>la autogestiune (16,</w:t>
      </w:r>
      <w:r w:rsidR="005D517C" w:rsidRPr="00CD7FE5">
        <w:rPr>
          <w:rFonts w:asciiTheme="majorHAnsi" w:hAnsiTheme="majorHAnsi" w:cstheme="majorHAnsi"/>
          <w:i/>
          <w:iCs/>
          <w:sz w:val="24"/>
          <w:szCs w:val="24"/>
          <w:lang w:val="ro-MD"/>
        </w:rPr>
        <w:t>21 mil.lei); (2) achit</w:t>
      </w:r>
      <w:r w:rsidR="00F6548E" w:rsidRPr="00CD7FE5">
        <w:rPr>
          <w:rFonts w:asciiTheme="majorHAnsi" w:hAnsiTheme="majorHAnsi" w:cstheme="majorHAnsi"/>
          <w:i/>
          <w:iCs/>
          <w:sz w:val="24"/>
          <w:szCs w:val="24"/>
          <w:lang w:val="ro-MD"/>
        </w:rPr>
        <w:t>ării</w:t>
      </w:r>
      <w:r w:rsidR="005D517C" w:rsidRPr="00CD7FE5">
        <w:rPr>
          <w:rFonts w:asciiTheme="majorHAnsi" w:hAnsiTheme="majorHAnsi" w:cstheme="majorHAnsi"/>
          <w:i/>
          <w:iCs/>
          <w:sz w:val="24"/>
          <w:szCs w:val="24"/>
          <w:lang w:val="ro-MD"/>
        </w:rPr>
        <w:t xml:space="preserve"> neregulamentar</w:t>
      </w:r>
      <w:r w:rsidR="00F6548E" w:rsidRPr="00CD7FE5">
        <w:rPr>
          <w:rFonts w:asciiTheme="majorHAnsi" w:hAnsiTheme="majorHAnsi" w:cstheme="majorHAnsi"/>
          <w:i/>
          <w:iCs/>
          <w:sz w:val="24"/>
          <w:szCs w:val="24"/>
          <w:lang w:val="ro-MD"/>
        </w:rPr>
        <w:t>e</w:t>
      </w:r>
      <w:r w:rsidR="005D517C" w:rsidRPr="00CD7FE5">
        <w:rPr>
          <w:rFonts w:asciiTheme="majorHAnsi" w:hAnsiTheme="majorHAnsi" w:cstheme="majorHAnsi"/>
          <w:i/>
          <w:iCs/>
          <w:sz w:val="24"/>
          <w:szCs w:val="24"/>
          <w:lang w:val="ro-MD"/>
        </w:rPr>
        <w:t xml:space="preserve"> și primirii facturii în anul 2020 pentru serviciile care au fost executate în trimestru</w:t>
      </w:r>
      <w:r w:rsidR="00824A72">
        <w:rPr>
          <w:rFonts w:asciiTheme="majorHAnsi" w:hAnsiTheme="majorHAnsi" w:cstheme="majorHAnsi"/>
          <w:i/>
          <w:iCs/>
          <w:sz w:val="24"/>
          <w:szCs w:val="24"/>
          <w:lang w:val="ro-MD"/>
        </w:rPr>
        <w:t>l I</w:t>
      </w:r>
      <w:r w:rsidR="005D517C" w:rsidRPr="00CD7FE5">
        <w:rPr>
          <w:rFonts w:asciiTheme="majorHAnsi" w:hAnsiTheme="majorHAnsi" w:cstheme="majorHAnsi"/>
          <w:i/>
          <w:iCs/>
          <w:sz w:val="24"/>
          <w:szCs w:val="24"/>
          <w:lang w:val="ro-MD"/>
        </w:rPr>
        <w:t xml:space="preserve"> al anului 2021 (0,15 mil.lei); (3) </w:t>
      </w:r>
      <w:r w:rsidR="0043006C" w:rsidRPr="00CD7FE5">
        <w:rPr>
          <w:rFonts w:asciiTheme="majorHAnsi" w:hAnsiTheme="majorHAnsi" w:cstheme="majorHAnsi"/>
          <w:i/>
          <w:iCs/>
          <w:sz w:val="24"/>
          <w:szCs w:val="24"/>
          <w:lang w:val="ro-MD"/>
        </w:rPr>
        <w:t xml:space="preserve">neînregistrării în evidență a bunurilor materiale </w:t>
      </w:r>
      <w:r w:rsidR="00F6548E" w:rsidRPr="00CD7FE5">
        <w:rPr>
          <w:rFonts w:asciiTheme="majorHAnsi" w:hAnsiTheme="majorHAnsi" w:cstheme="majorHAnsi"/>
          <w:i/>
          <w:iCs/>
          <w:sz w:val="24"/>
          <w:szCs w:val="24"/>
          <w:lang w:val="ro-MD"/>
        </w:rPr>
        <w:t xml:space="preserve">obținute/tipărite </w:t>
      </w:r>
      <w:r w:rsidR="0043006C" w:rsidRPr="00CD7FE5">
        <w:rPr>
          <w:rFonts w:asciiTheme="majorHAnsi" w:hAnsiTheme="majorHAnsi" w:cstheme="majorHAnsi"/>
          <w:i/>
          <w:iCs/>
          <w:sz w:val="24"/>
          <w:szCs w:val="24"/>
          <w:lang w:val="ro-MD"/>
        </w:rPr>
        <w:t>(9,8</w:t>
      </w:r>
      <w:r w:rsidR="00F6548E" w:rsidRPr="00CD7FE5">
        <w:rPr>
          <w:rFonts w:asciiTheme="majorHAnsi" w:hAnsiTheme="majorHAnsi" w:cstheme="majorHAnsi"/>
          <w:i/>
          <w:iCs/>
          <w:sz w:val="24"/>
          <w:szCs w:val="24"/>
          <w:lang w:val="ro-MD"/>
        </w:rPr>
        <w:t>1</w:t>
      </w:r>
      <w:r w:rsidR="0043006C" w:rsidRPr="00CD7FE5">
        <w:rPr>
          <w:rFonts w:asciiTheme="majorHAnsi" w:hAnsiTheme="majorHAnsi" w:cstheme="majorHAnsi"/>
          <w:i/>
          <w:iCs/>
          <w:sz w:val="24"/>
          <w:szCs w:val="24"/>
          <w:lang w:val="ro-MD"/>
        </w:rPr>
        <w:t xml:space="preserve"> mil.lei)</w:t>
      </w:r>
      <w:r w:rsidR="00AD3F09" w:rsidRPr="00CD7FE5">
        <w:rPr>
          <w:rStyle w:val="FootnoteReference"/>
          <w:rFonts w:asciiTheme="majorHAnsi" w:hAnsiTheme="majorHAnsi" w:cstheme="majorHAnsi"/>
          <w:i/>
          <w:iCs/>
          <w:sz w:val="24"/>
          <w:szCs w:val="24"/>
          <w:lang w:val="ro-MD"/>
        </w:rPr>
        <w:footnoteReference w:id="13"/>
      </w:r>
      <w:r w:rsidR="003B7797">
        <w:rPr>
          <w:rFonts w:asciiTheme="majorHAnsi" w:hAnsiTheme="majorHAnsi" w:cstheme="majorHAnsi"/>
          <w:i/>
          <w:iCs/>
          <w:sz w:val="24"/>
          <w:szCs w:val="24"/>
          <w:lang w:val="ro-MD"/>
        </w:rPr>
        <w:t>.</w:t>
      </w:r>
    </w:p>
    <w:p w14:paraId="3BBF75A9" w14:textId="19B8A296" w:rsidR="002A15BE" w:rsidRPr="00CD7FE5" w:rsidRDefault="002A15BE" w:rsidP="007D43F8">
      <w:pPr>
        <w:pStyle w:val="ListParagraph"/>
        <w:tabs>
          <w:tab w:val="left" w:pos="0"/>
        </w:tabs>
        <w:spacing w:line="276" w:lineRule="auto"/>
        <w:ind w:left="0"/>
        <w:rPr>
          <w:rFonts w:asciiTheme="majorHAnsi" w:hAnsiTheme="majorHAnsi" w:cstheme="majorHAnsi"/>
          <w:i/>
          <w:iCs/>
          <w:sz w:val="24"/>
          <w:szCs w:val="24"/>
          <w:lang w:val="ro-MD"/>
        </w:rPr>
      </w:pPr>
      <w:r w:rsidRPr="007D43F8">
        <w:rPr>
          <w:rFonts w:asciiTheme="majorHAnsi" w:hAnsiTheme="majorHAnsi" w:cstheme="majorHAnsi"/>
          <w:b/>
          <w:bCs/>
          <w:i/>
          <w:iCs/>
          <w:sz w:val="24"/>
          <w:szCs w:val="24"/>
          <w:lang w:val="ro-MD"/>
        </w:rPr>
        <w:t>2.1</w:t>
      </w:r>
      <w:r w:rsidR="00451D75" w:rsidRPr="007D43F8">
        <w:rPr>
          <w:rFonts w:asciiTheme="majorHAnsi" w:hAnsiTheme="majorHAnsi" w:cstheme="majorHAnsi"/>
          <w:b/>
          <w:bCs/>
          <w:i/>
          <w:iCs/>
          <w:sz w:val="24"/>
          <w:szCs w:val="24"/>
          <w:lang w:val="ro-MD"/>
        </w:rPr>
        <w:t>2</w:t>
      </w:r>
      <w:r w:rsidRPr="007D43F8">
        <w:rPr>
          <w:rFonts w:asciiTheme="majorHAnsi" w:hAnsiTheme="majorHAnsi" w:cstheme="majorHAnsi"/>
          <w:b/>
          <w:bCs/>
          <w:i/>
          <w:iCs/>
          <w:sz w:val="24"/>
          <w:szCs w:val="24"/>
          <w:lang w:val="ro-MD"/>
        </w:rPr>
        <w:t>.</w:t>
      </w:r>
      <w:r w:rsidRPr="007D43F8">
        <w:rPr>
          <w:rFonts w:asciiTheme="majorHAnsi" w:hAnsiTheme="majorHAnsi" w:cstheme="majorHAnsi"/>
          <w:lang w:val="ro-MD"/>
        </w:rPr>
        <w:t xml:space="preserve"> </w:t>
      </w:r>
      <w:r w:rsidR="00FF1B9F">
        <w:rPr>
          <w:rFonts w:asciiTheme="majorHAnsi" w:hAnsiTheme="majorHAnsi" w:cstheme="majorHAnsi"/>
          <w:i/>
          <w:sz w:val="24"/>
          <w:szCs w:val="24"/>
          <w:lang w:val="ro-MD"/>
        </w:rPr>
        <w:t>D</w:t>
      </w:r>
      <w:r w:rsidR="007D43F8" w:rsidRPr="007D43F8">
        <w:rPr>
          <w:rFonts w:asciiTheme="majorHAnsi" w:hAnsiTheme="majorHAnsi" w:cstheme="majorHAnsi"/>
          <w:i/>
          <w:sz w:val="24"/>
          <w:szCs w:val="24"/>
          <w:lang w:val="ro-MD"/>
        </w:rPr>
        <w:t>iminuarea</w:t>
      </w:r>
      <w:r w:rsidR="007D43F8" w:rsidRPr="00CD7FE5">
        <w:rPr>
          <w:rFonts w:asciiTheme="majorHAnsi" w:hAnsiTheme="majorHAnsi" w:cstheme="majorHAnsi"/>
          <w:i/>
          <w:sz w:val="24"/>
          <w:szCs w:val="24"/>
          <w:lang w:val="ro-MD"/>
        </w:rPr>
        <w:t xml:space="preserve"> </w:t>
      </w:r>
      <w:r w:rsidR="00824A72">
        <w:rPr>
          <w:rFonts w:asciiTheme="majorHAnsi" w:hAnsiTheme="majorHAnsi" w:cstheme="majorHAnsi"/>
          <w:i/>
          <w:sz w:val="24"/>
          <w:szCs w:val="24"/>
          <w:lang w:val="ro-MD"/>
        </w:rPr>
        <w:t xml:space="preserve">valorii </w:t>
      </w:r>
      <w:r w:rsidR="007D43F8" w:rsidRPr="00CD7FE5">
        <w:rPr>
          <w:rFonts w:asciiTheme="majorHAnsi" w:hAnsiTheme="majorHAnsi" w:cstheme="majorHAnsi"/>
          <w:i/>
          <w:sz w:val="24"/>
          <w:szCs w:val="24"/>
          <w:lang w:val="ro-MD"/>
        </w:rPr>
        <w:t xml:space="preserve">contului „Rezultat al instituției publice din anul curent” cu </w:t>
      </w:r>
      <w:r w:rsidR="007D43F8" w:rsidRPr="00CD7FE5">
        <w:rPr>
          <w:rFonts w:asciiTheme="majorHAnsi" w:hAnsiTheme="majorHAnsi" w:cstheme="majorHAnsi"/>
          <w:b/>
          <w:i/>
          <w:sz w:val="24"/>
          <w:szCs w:val="24"/>
          <w:lang w:val="ro-MD"/>
        </w:rPr>
        <w:t xml:space="preserve">248,38 mil.lei </w:t>
      </w:r>
      <w:r w:rsidR="007D43F8" w:rsidRPr="00CD7FE5">
        <w:rPr>
          <w:rFonts w:asciiTheme="majorHAnsi" w:hAnsiTheme="majorHAnsi" w:cstheme="majorHAnsi"/>
          <w:bCs/>
          <w:i/>
          <w:sz w:val="24"/>
          <w:szCs w:val="24"/>
          <w:lang w:val="ro-MD"/>
        </w:rPr>
        <w:t>și a</w:t>
      </w:r>
      <w:r w:rsidR="007D43F8" w:rsidRPr="00CD7FE5">
        <w:rPr>
          <w:rFonts w:asciiTheme="majorHAnsi" w:hAnsiTheme="majorHAnsi" w:cstheme="majorHAnsi"/>
          <w:b/>
          <w:i/>
          <w:sz w:val="24"/>
          <w:szCs w:val="24"/>
          <w:lang w:val="ro-MD"/>
        </w:rPr>
        <w:t xml:space="preserve"> </w:t>
      </w:r>
      <w:r w:rsidR="00824A72" w:rsidRPr="00B4570E">
        <w:rPr>
          <w:rFonts w:asciiTheme="majorHAnsi" w:hAnsiTheme="majorHAnsi" w:cstheme="majorHAnsi"/>
          <w:i/>
          <w:sz w:val="24"/>
          <w:szCs w:val="24"/>
          <w:lang w:val="ro-MD"/>
        </w:rPr>
        <w:t xml:space="preserve">valorii </w:t>
      </w:r>
      <w:r w:rsidR="007D43F8" w:rsidRPr="00106461">
        <w:rPr>
          <w:rFonts w:asciiTheme="majorHAnsi" w:hAnsiTheme="majorHAnsi" w:cstheme="majorHAnsi"/>
          <w:i/>
          <w:sz w:val="24"/>
          <w:szCs w:val="24"/>
          <w:lang w:val="ro-MD"/>
        </w:rPr>
        <w:t>c</w:t>
      </w:r>
      <w:r w:rsidR="007D43F8" w:rsidRPr="00CD7FE5">
        <w:rPr>
          <w:rFonts w:asciiTheme="majorHAnsi" w:hAnsiTheme="majorHAnsi" w:cstheme="majorHAnsi"/>
          <w:i/>
          <w:sz w:val="24"/>
          <w:szCs w:val="24"/>
          <w:lang w:val="ro-MD"/>
        </w:rPr>
        <w:t xml:space="preserve">ontului „Rezultat al instituției publice din anul precedent” cu </w:t>
      </w:r>
      <w:r w:rsidR="007D43F8" w:rsidRPr="00CD7FE5">
        <w:rPr>
          <w:rFonts w:asciiTheme="majorHAnsi" w:hAnsiTheme="majorHAnsi" w:cstheme="majorHAnsi"/>
          <w:b/>
          <w:i/>
          <w:sz w:val="24"/>
          <w:szCs w:val="24"/>
          <w:lang w:val="ro-MD"/>
        </w:rPr>
        <w:t>4727,68 mil.lei</w:t>
      </w:r>
      <w:r w:rsidR="007D43F8" w:rsidRPr="00CD7FE5">
        <w:rPr>
          <w:rFonts w:asciiTheme="majorHAnsi" w:hAnsiTheme="majorHAnsi" w:cstheme="majorHAnsi"/>
          <w:i/>
          <w:sz w:val="24"/>
          <w:szCs w:val="24"/>
          <w:lang w:val="ro-MD"/>
        </w:rPr>
        <w:t xml:space="preserve">, ca urmare a deficiențelor indicate în </w:t>
      </w:r>
      <w:r w:rsidR="00824A72">
        <w:rPr>
          <w:rFonts w:asciiTheme="majorHAnsi" w:hAnsiTheme="majorHAnsi" w:cstheme="majorHAnsi"/>
          <w:i/>
          <w:sz w:val="24"/>
          <w:szCs w:val="24"/>
          <w:lang w:val="ro-MD"/>
        </w:rPr>
        <w:t>B</w:t>
      </w:r>
      <w:r w:rsidR="007D43F8" w:rsidRPr="00CD7FE5">
        <w:rPr>
          <w:rFonts w:asciiTheme="majorHAnsi" w:hAnsiTheme="majorHAnsi" w:cstheme="majorHAnsi"/>
          <w:i/>
          <w:sz w:val="24"/>
          <w:szCs w:val="24"/>
          <w:lang w:val="ro-MD"/>
        </w:rPr>
        <w:t xml:space="preserve">aza pentru opinie și </w:t>
      </w:r>
      <w:r w:rsidR="00824A72">
        <w:rPr>
          <w:rFonts w:asciiTheme="majorHAnsi" w:hAnsiTheme="majorHAnsi" w:cstheme="majorHAnsi"/>
          <w:i/>
          <w:sz w:val="24"/>
          <w:szCs w:val="24"/>
          <w:lang w:val="ro-MD"/>
        </w:rPr>
        <w:t xml:space="preserve">în </w:t>
      </w:r>
      <w:r w:rsidR="007D43F8" w:rsidRPr="00CD7FE5">
        <w:rPr>
          <w:rFonts w:asciiTheme="majorHAnsi" w:hAnsiTheme="majorHAnsi" w:cstheme="majorHAnsi"/>
          <w:i/>
          <w:sz w:val="24"/>
          <w:szCs w:val="24"/>
          <w:lang w:val="ro-MD"/>
        </w:rPr>
        <w:t xml:space="preserve">alte informații din prezentul </w:t>
      </w:r>
      <w:r w:rsidR="00824A72">
        <w:rPr>
          <w:rFonts w:asciiTheme="majorHAnsi" w:hAnsiTheme="majorHAnsi" w:cstheme="majorHAnsi"/>
          <w:i/>
          <w:sz w:val="24"/>
          <w:szCs w:val="24"/>
          <w:lang w:val="ro-MD"/>
        </w:rPr>
        <w:t>R</w:t>
      </w:r>
      <w:r w:rsidR="007D43F8" w:rsidRPr="00CD7FE5">
        <w:rPr>
          <w:rFonts w:asciiTheme="majorHAnsi" w:hAnsiTheme="majorHAnsi" w:cstheme="majorHAnsi"/>
          <w:i/>
          <w:sz w:val="24"/>
          <w:szCs w:val="24"/>
          <w:lang w:val="ro-MD"/>
        </w:rPr>
        <w:t>aport</w:t>
      </w:r>
      <w:r w:rsidR="003B7797">
        <w:rPr>
          <w:rFonts w:asciiTheme="majorHAnsi" w:hAnsiTheme="majorHAnsi" w:cstheme="majorHAnsi"/>
          <w:i/>
          <w:sz w:val="24"/>
          <w:szCs w:val="24"/>
          <w:lang w:val="ro-MD"/>
        </w:rPr>
        <w:t>.</w:t>
      </w:r>
    </w:p>
    <w:p w14:paraId="4F1B250B" w14:textId="3E7E9D10" w:rsidR="006C4F60" w:rsidRPr="00CD7FE5" w:rsidRDefault="006C4F60" w:rsidP="00B4570E">
      <w:pPr>
        <w:pStyle w:val="ListParagraph"/>
        <w:spacing w:line="276" w:lineRule="auto"/>
        <w:ind w:left="0"/>
        <w:rPr>
          <w:rFonts w:asciiTheme="majorHAnsi" w:hAnsiTheme="majorHAnsi" w:cstheme="majorHAnsi"/>
          <w:i/>
          <w:sz w:val="24"/>
          <w:szCs w:val="24"/>
          <w:highlight w:val="yellow"/>
          <w:lang w:val="ro-MD"/>
        </w:rPr>
      </w:pPr>
      <w:r w:rsidRPr="00CD7FE5">
        <w:rPr>
          <w:rFonts w:asciiTheme="majorHAnsi" w:hAnsiTheme="majorHAnsi" w:cstheme="majorHAnsi"/>
          <w:b/>
          <w:i/>
          <w:sz w:val="24"/>
          <w:szCs w:val="24"/>
          <w:lang w:val="ro-MD"/>
        </w:rPr>
        <w:t>2</w:t>
      </w:r>
      <w:r w:rsidR="00953ABC" w:rsidRPr="00CD7FE5">
        <w:rPr>
          <w:rFonts w:asciiTheme="majorHAnsi" w:hAnsiTheme="majorHAnsi" w:cstheme="majorHAnsi"/>
          <w:b/>
          <w:i/>
          <w:sz w:val="24"/>
          <w:szCs w:val="24"/>
          <w:lang w:val="ro-MD"/>
        </w:rPr>
        <w:t>.1</w:t>
      </w:r>
      <w:r w:rsidR="00451D75">
        <w:rPr>
          <w:rFonts w:asciiTheme="majorHAnsi" w:hAnsiTheme="majorHAnsi" w:cstheme="majorHAnsi"/>
          <w:b/>
          <w:i/>
          <w:sz w:val="24"/>
          <w:szCs w:val="24"/>
          <w:lang w:val="ro-MD"/>
        </w:rPr>
        <w:t>3</w:t>
      </w:r>
      <w:r w:rsidRPr="00CD7FE5">
        <w:rPr>
          <w:rFonts w:asciiTheme="majorHAnsi" w:hAnsiTheme="majorHAnsi" w:cstheme="majorHAnsi"/>
          <w:b/>
          <w:i/>
          <w:sz w:val="24"/>
          <w:szCs w:val="24"/>
          <w:lang w:val="ro-MD"/>
        </w:rPr>
        <w:t>.</w:t>
      </w:r>
      <w:r w:rsidRPr="00CD7FE5">
        <w:rPr>
          <w:rFonts w:asciiTheme="majorHAnsi" w:hAnsiTheme="majorHAnsi" w:cstheme="majorHAnsi"/>
          <w:i/>
          <w:sz w:val="24"/>
          <w:szCs w:val="24"/>
          <w:lang w:val="ro-MD"/>
        </w:rPr>
        <w:t xml:space="preserve"> </w:t>
      </w:r>
      <w:r w:rsidR="00FF1B9F">
        <w:rPr>
          <w:rFonts w:asciiTheme="majorHAnsi" w:hAnsiTheme="majorHAnsi" w:cstheme="majorHAnsi"/>
          <w:i/>
          <w:iCs/>
          <w:sz w:val="24"/>
          <w:szCs w:val="24"/>
          <w:lang w:val="ro-MD"/>
        </w:rPr>
        <w:t>C</w:t>
      </w:r>
      <w:r w:rsidR="007D43F8" w:rsidRPr="00CD7FE5">
        <w:rPr>
          <w:rFonts w:asciiTheme="majorHAnsi" w:hAnsiTheme="majorHAnsi" w:cstheme="majorHAnsi"/>
          <w:i/>
          <w:iCs/>
          <w:sz w:val="24"/>
          <w:szCs w:val="24"/>
          <w:lang w:val="ro-MD"/>
        </w:rPr>
        <w:t xml:space="preserve">lasificarea neconformă a bunurilor în valoare de </w:t>
      </w:r>
      <w:r w:rsidR="007D43F8" w:rsidRPr="00CD7FE5">
        <w:rPr>
          <w:rFonts w:asciiTheme="majorHAnsi" w:hAnsiTheme="majorHAnsi" w:cstheme="majorHAnsi"/>
          <w:b/>
          <w:bCs/>
          <w:i/>
          <w:iCs/>
          <w:sz w:val="24"/>
          <w:szCs w:val="24"/>
          <w:lang w:val="ro-MD"/>
        </w:rPr>
        <w:t>13,09</w:t>
      </w:r>
      <w:r w:rsidR="007D43F8" w:rsidRPr="00CD7FE5">
        <w:rPr>
          <w:rFonts w:asciiTheme="majorHAnsi" w:hAnsiTheme="majorHAnsi" w:cstheme="majorHAnsi"/>
          <w:b/>
          <w:i/>
          <w:iCs/>
          <w:sz w:val="24"/>
          <w:szCs w:val="24"/>
          <w:lang w:val="ro-MD"/>
        </w:rPr>
        <w:t xml:space="preserve"> mil.lei</w:t>
      </w:r>
      <w:r w:rsidR="007D43F8" w:rsidRPr="00CD7FE5">
        <w:rPr>
          <w:rFonts w:asciiTheme="majorHAnsi" w:hAnsiTheme="majorHAnsi" w:cstheme="majorHAnsi"/>
          <w:i/>
          <w:iCs/>
          <w:sz w:val="24"/>
          <w:szCs w:val="24"/>
          <w:lang w:val="ro-MD"/>
        </w:rPr>
        <w:t xml:space="preserve"> a dus la denaturarea valorii cont</w:t>
      </w:r>
      <w:r w:rsidR="007D43F8" w:rsidRPr="00B4570E">
        <w:rPr>
          <w:rFonts w:asciiTheme="majorHAnsi" w:hAnsiTheme="majorHAnsi" w:cstheme="majorHAnsi"/>
          <w:i/>
          <w:iCs/>
          <w:sz w:val="24"/>
          <w:szCs w:val="24"/>
          <w:lang w:val="ro-MD"/>
        </w:rPr>
        <w:t>urilor</w:t>
      </w:r>
      <w:r w:rsidR="007D43F8" w:rsidRPr="00CD7FE5">
        <w:rPr>
          <w:rFonts w:asciiTheme="majorHAnsi" w:hAnsiTheme="majorHAnsi" w:cstheme="majorHAnsi"/>
          <w:i/>
          <w:iCs/>
          <w:sz w:val="24"/>
          <w:szCs w:val="24"/>
          <w:lang w:val="ro-MD"/>
        </w:rPr>
        <w:t xml:space="preserve"> </w:t>
      </w:r>
      <w:r w:rsidR="00B4570E">
        <w:rPr>
          <w:rFonts w:asciiTheme="majorHAnsi" w:hAnsiTheme="majorHAnsi" w:cstheme="majorHAnsi"/>
          <w:i/>
          <w:iCs/>
          <w:sz w:val="24"/>
          <w:szCs w:val="24"/>
          <w:lang w:val="ro-MD"/>
        </w:rPr>
        <w:t>de m</w:t>
      </w:r>
      <w:r w:rsidR="007D43F8" w:rsidRPr="00CD7FE5">
        <w:rPr>
          <w:rFonts w:asciiTheme="majorHAnsi" w:hAnsiTheme="majorHAnsi" w:cstheme="majorHAnsi"/>
          <w:i/>
          <w:iCs/>
          <w:sz w:val="24"/>
          <w:szCs w:val="24"/>
          <w:lang w:val="ro-MD"/>
        </w:rPr>
        <w:t>ijloace fixe</w:t>
      </w:r>
      <w:r w:rsidR="007D43F8" w:rsidRPr="00CD7FE5">
        <w:rPr>
          <w:rStyle w:val="FootnoteReference"/>
          <w:rFonts w:asciiTheme="majorHAnsi" w:hAnsiTheme="majorHAnsi" w:cstheme="majorHAnsi"/>
          <w:i/>
          <w:iCs/>
          <w:sz w:val="24"/>
          <w:szCs w:val="24"/>
          <w:lang w:val="ro-MD"/>
        </w:rPr>
        <w:footnoteReference w:id="14"/>
      </w:r>
      <w:r w:rsidR="003B7797">
        <w:rPr>
          <w:rFonts w:asciiTheme="majorHAnsi" w:hAnsiTheme="majorHAnsi" w:cstheme="majorHAnsi"/>
          <w:i/>
          <w:iCs/>
          <w:sz w:val="24"/>
          <w:szCs w:val="24"/>
          <w:lang w:val="ro-MD"/>
        </w:rPr>
        <w:t>.</w:t>
      </w:r>
    </w:p>
    <w:p w14:paraId="38E5A650" w14:textId="1FC8C1FE" w:rsidR="00AC50E8" w:rsidRPr="00CD7FE5" w:rsidRDefault="00953ABC" w:rsidP="007D43F8">
      <w:pPr>
        <w:pStyle w:val="ListParagraph"/>
        <w:spacing w:after="240" w:line="276" w:lineRule="auto"/>
        <w:ind w:left="0"/>
        <w:rPr>
          <w:rFonts w:asciiTheme="majorHAnsi" w:hAnsiTheme="majorHAnsi" w:cstheme="majorHAnsi"/>
          <w:i/>
          <w:iCs/>
          <w:sz w:val="24"/>
          <w:szCs w:val="24"/>
          <w:lang w:val="ro-MD"/>
        </w:rPr>
      </w:pPr>
      <w:r w:rsidRPr="00CD7FE5">
        <w:rPr>
          <w:rFonts w:asciiTheme="majorHAnsi" w:hAnsiTheme="majorHAnsi" w:cstheme="majorHAnsi"/>
          <w:b/>
          <w:i/>
          <w:iCs/>
          <w:sz w:val="24"/>
          <w:szCs w:val="24"/>
          <w:lang w:val="ro-MD"/>
        </w:rPr>
        <w:t>2.1</w:t>
      </w:r>
      <w:r w:rsidR="00451D75">
        <w:rPr>
          <w:rFonts w:asciiTheme="majorHAnsi" w:hAnsiTheme="majorHAnsi" w:cstheme="majorHAnsi"/>
          <w:b/>
          <w:i/>
          <w:iCs/>
          <w:sz w:val="24"/>
          <w:szCs w:val="24"/>
          <w:lang w:val="ro-MD"/>
        </w:rPr>
        <w:t>4</w:t>
      </w:r>
      <w:r w:rsidR="006C4F60" w:rsidRPr="00CD7FE5">
        <w:rPr>
          <w:rFonts w:asciiTheme="majorHAnsi" w:hAnsiTheme="majorHAnsi" w:cstheme="majorHAnsi"/>
          <w:b/>
          <w:i/>
          <w:iCs/>
          <w:sz w:val="24"/>
          <w:szCs w:val="24"/>
          <w:lang w:val="ro-MD"/>
        </w:rPr>
        <w:t>.</w:t>
      </w:r>
      <w:r w:rsidR="006C4F60" w:rsidRPr="00CD7FE5">
        <w:rPr>
          <w:rFonts w:asciiTheme="majorHAnsi" w:hAnsiTheme="majorHAnsi" w:cstheme="majorHAnsi"/>
          <w:i/>
          <w:iCs/>
          <w:sz w:val="24"/>
          <w:szCs w:val="24"/>
          <w:lang w:val="ro-MD"/>
        </w:rPr>
        <w:t xml:space="preserve"> </w:t>
      </w:r>
      <w:r w:rsidR="007D43F8" w:rsidRPr="00CD7FE5">
        <w:rPr>
          <w:rFonts w:asciiTheme="majorHAnsi" w:hAnsiTheme="majorHAnsi" w:cstheme="majorHAnsi"/>
          <w:sz w:val="24"/>
          <w:szCs w:val="24"/>
          <w:lang w:val="ro-MD"/>
        </w:rPr>
        <w:t>Contrar prevederilor</w:t>
      </w:r>
      <w:r w:rsidR="007D43F8" w:rsidRPr="00CD7FE5">
        <w:rPr>
          <w:rFonts w:asciiTheme="majorHAnsi" w:eastAsia="Calibri" w:hAnsiTheme="majorHAnsi" w:cstheme="majorHAnsi"/>
          <w:sz w:val="24"/>
          <w:szCs w:val="24"/>
          <w:lang w:val="ro-MD"/>
        </w:rPr>
        <w:t xml:space="preserve"> Ordinului </w:t>
      </w:r>
      <w:r w:rsidR="00824A72">
        <w:rPr>
          <w:rFonts w:asciiTheme="majorHAnsi" w:eastAsia="Calibri" w:hAnsiTheme="majorHAnsi" w:cstheme="majorHAnsi"/>
          <w:sz w:val="24"/>
          <w:szCs w:val="24"/>
          <w:lang w:val="ro-MD"/>
        </w:rPr>
        <w:t>m</w:t>
      </w:r>
      <w:r w:rsidR="007D43F8" w:rsidRPr="00CD7FE5">
        <w:rPr>
          <w:rFonts w:asciiTheme="majorHAnsi" w:eastAsia="Calibri" w:hAnsiTheme="majorHAnsi" w:cstheme="majorHAnsi"/>
          <w:sz w:val="24"/>
          <w:szCs w:val="24"/>
          <w:lang w:val="ro-MD"/>
        </w:rPr>
        <w:t xml:space="preserve">inistrului </w:t>
      </w:r>
      <w:r w:rsidR="00824A72">
        <w:rPr>
          <w:rFonts w:asciiTheme="majorHAnsi" w:eastAsia="Calibri" w:hAnsiTheme="majorHAnsi" w:cstheme="majorHAnsi"/>
          <w:sz w:val="24"/>
          <w:szCs w:val="24"/>
          <w:lang w:val="ro-MD"/>
        </w:rPr>
        <w:t>f</w:t>
      </w:r>
      <w:r w:rsidR="007D43F8" w:rsidRPr="00CD7FE5">
        <w:rPr>
          <w:rFonts w:asciiTheme="majorHAnsi" w:eastAsia="Calibri" w:hAnsiTheme="majorHAnsi" w:cstheme="majorHAnsi"/>
          <w:sz w:val="24"/>
          <w:szCs w:val="24"/>
          <w:lang w:val="ro-MD"/>
        </w:rPr>
        <w:t>inanțelor nr.164 din 30.12.2016, MECC nu a respectat cerințele de întocmire a  Raportului narativ privind executarea bugetului. Astfel, MECC nu a reflectat și nu a prezentat informația în corespundere cu anexele la O</w:t>
      </w:r>
      <w:r w:rsidR="00824A72">
        <w:rPr>
          <w:rFonts w:asciiTheme="majorHAnsi" w:eastAsia="Calibri" w:hAnsiTheme="majorHAnsi" w:cstheme="majorHAnsi"/>
          <w:sz w:val="24"/>
          <w:szCs w:val="24"/>
          <w:lang w:val="ro-MD"/>
        </w:rPr>
        <w:t>rdinul menționat</w:t>
      </w:r>
      <w:r w:rsidR="007D43F8" w:rsidRPr="00CD7FE5">
        <w:rPr>
          <w:rFonts w:asciiTheme="majorHAnsi" w:eastAsia="Calibri" w:hAnsiTheme="majorHAnsi" w:cstheme="majorHAnsi"/>
          <w:sz w:val="24"/>
          <w:szCs w:val="24"/>
          <w:lang w:val="ro-MD"/>
        </w:rPr>
        <w:t xml:space="preserve">, cum ar fi: </w:t>
      </w:r>
      <w:r w:rsidR="007D43F8" w:rsidRPr="00CD7FE5">
        <w:rPr>
          <w:rFonts w:asciiTheme="majorHAnsi" w:hAnsiTheme="majorHAnsi" w:cstheme="majorHAnsi"/>
          <w:sz w:val="24"/>
          <w:szCs w:val="24"/>
          <w:lang w:val="ro-MD"/>
        </w:rPr>
        <w:t xml:space="preserve">Anexa nr.3 </w:t>
      </w:r>
      <w:r w:rsidR="007D43F8" w:rsidRPr="00CD7FE5">
        <w:rPr>
          <w:rFonts w:asciiTheme="majorHAnsi" w:eastAsia="Times New Roman" w:hAnsiTheme="majorHAnsi" w:cstheme="majorHAnsi"/>
          <w:bCs/>
          <w:sz w:val="24"/>
          <w:szCs w:val="24"/>
          <w:lang w:val="ro-MD"/>
        </w:rPr>
        <w:t>„Descifrarea creanțelor și datoriilor”</w:t>
      </w:r>
      <w:r w:rsidR="007D43F8" w:rsidRPr="00CD7FE5">
        <w:rPr>
          <w:rFonts w:asciiTheme="majorHAnsi" w:eastAsia="Times New Roman" w:hAnsiTheme="majorHAnsi" w:cstheme="majorHAnsi"/>
          <w:sz w:val="24"/>
          <w:szCs w:val="24"/>
          <w:lang w:val="ro-MD"/>
        </w:rPr>
        <w:t xml:space="preserve">; </w:t>
      </w:r>
      <w:r w:rsidR="007D43F8" w:rsidRPr="00CD7FE5">
        <w:rPr>
          <w:rFonts w:asciiTheme="majorHAnsi" w:hAnsiTheme="majorHAnsi" w:cstheme="majorHAnsi"/>
          <w:sz w:val="24"/>
          <w:szCs w:val="24"/>
          <w:lang w:val="ro-MD"/>
        </w:rPr>
        <w:t>Anexa nr.4 „</w:t>
      </w:r>
      <w:r w:rsidR="007D43F8" w:rsidRPr="00CD7FE5">
        <w:rPr>
          <w:rFonts w:asciiTheme="majorHAnsi" w:eastAsia="Times New Roman" w:hAnsiTheme="majorHAnsi" w:cstheme="majorHAnsi"/>
          <w:bCs/>
          <w:sz w:val="24"/>
          <w:szCs w:val="24"/>
          <w:lang w:val="ro-MD"/>
        </w:rPr>
        <w:t>Descifrarea creanțelor cu termen</w:t>
      </w:r>
      <w:r w:rsidR="00824A72">
        <w:rPr>
          <w:rFonts w:asciiTheme="majorHAnsi" w:eastAsia="Times New Roman" w:hAnsiTheme="majorHAnsi" w:cstheme="majorHAnsi"/>
          <w:bCs/>
          <w:sz w:val="24"/>
          <w:szCs w:val="24"/>
          <w:lang w:val="ro-MD"/>
        </w:rPr>
        <w:t>ul</w:t>
      </w:r>
      <w:r w:rsidR="007D43F8" w:rsidRPr="00CD7FE5">
        <w:rPr>
          <w:rFonts w:asciiTheme="majorHAnsi" w:eastAsia="Times New Roman" w:hAnsiTheme="majorHAnsi" w:cstheme="majorHAnsi"/>
          <w:bCs/>
          <w:sz w:val="24"/>
          <w:szCs w:val="24"/>
          <w:lang w:val="ro-MD"/>
        </w:rPr>
        <w:t xml:space="preserve"> expirat și </w:t>
      </w:r>
      <w:r w:rsidR="00824A72">
        <w:rPr>
          <w:rFonts w:asciiTheme="majorHAnsi" w:eastAsia="Times New Roman" w:hAnsiTheme="majorHAnsi" w:cstheme="majorHAnsi"/>
          <w:bCs/>
          <w:sz w:val="24"/>
          <w:szCs w:val="24"/>
          <w:lang w:val="ro-MD"/>
        </w:rPr>
        <w:t xml:space="preserve">a </w:t>
      </w:r>
      <w:r w:rsidR="007D43F8" w:rsidRPr="00CD7FE5">
        <w:rPr>
          <w:rFonts w:asciiTheme="majorHAnsi" w:eastAsia="Times New Roman" w:hAnsiTheme="majorHAnsi" w:cstheme="majorHAnsi"/>
          <w:bCs/>
          <w:sz w:val="24"/>
          <w:szCs w:val="24"/>
          <w:lang w:val="ro-MD"/>
        </w:rPr>
        <w:t>datoriilor cu termen</w:t>
      </w:r>
      <w:r w:rsidR="00824A72">
        <w:rPr>
          <w:rFonts w:asciiTheme="majorHAnsi" w:eastAsia="Times New Roman" w:hAnsiTheme="majorHAnsi" w:cstheme="majorHAnsi"/>
          <w:bCs/>
          <w:sz w:val="24"/>
          <w:szCs w:val="24"/>
          <w:lang w:val="ro-MD"/>
        </w:rPr>
        <w:t>ul</w:t>
      </w:r>
      <w:r w:rsidR="007D43F8" w:rsidRPr="00CD7FE5">
        <w:rPr>
          <w:rFonts w:asciiTheme="majorHAnsi" w:eastAsia="Times New Roman" w:hAnsiTheme="majorHAnsi" w:cstheme="majorHAnsi"/>
          <w:bCs/>
          <w:sz w:val="24"/>
          <w:szCs w:val="24"/>
          <w:lang w:val="ro-MD"/>
        </w:rPr>
        <w:t xml:space="preserve"> de achitare expirat (arierate) transmise organelor de anchetă</w:t>
      </w:r>
      <w:r w:rsidR="007D43F8" w:rsidRPr="00CD7FE5">
        <w:rPr>
          <w:rFonts w:asciiTheme="majorHAnsi" w:hAnsiTheme="majorHAnsi" w:cstheme="majorHAnsi"/>
          <w:sz w:val="24"/>
          <w:szCs w:val="24"/>
          <w:lang w:val="ro-MD"/>
        </w:rPr>
        <w:t>” și Anexa nr.5 „Informație privind executarea cerințelor, recomandărilor cuprinse în Hotărârile/Rapoartele de audit ale Curții de Conturi”</w:t>
      </w:r>
      <w:r w:rsidR="007D43F8" w:rsidRPr="00CD7FE5">
        <w:rPr>
          <w:rFonts w:asciiTheme="majorHAnsi" w:eastAsia="Calibri" w:hAnsiTheme="majorHAnsi" w:cstheme="majorHAnsi"/>
          <w:sz w:val="24"/>
          <w:szCs w:val="24"/>
          <w:lang w:val="ro-MD"/>
        </w:rPr>
        <w:t xml:space="preserve">. Prin urmare, informația </w:t>
      </w:r>
      <w:r w:rsidR="00F87B2F">
        <w:rPr>
          <w:rFonts w:asciiTheme="majorHAnsi" w:eastAsia="Calibri" w:hAnsiTheme="majorHAnsi" w:cstheme="majorHAnsi"/>
          <w:sz w:val="24"/>
          <w:szCs w:val="24"/>
          <w:lang w:val="ro-MD"/>
        </w:rPr>
        <w:t>expusă</w:t>
      </w:r>
      <w:r w:rsidR="007D43F8" w:rsidRPr="00CD7FE5">
        <w:rPr>
          <w:rFonts w:asciiTheme="majorHAnsi" w:eastAsia="Calibri" w:hAnsiTheme="majorHAnsi" w:cstheme="majorHAnsi"/>
          <w:sz w:val="24"/>
          <w:szCs w:val="24"/>
          <w:lang w:val="ro-MD"/>
        </w:rPr>
        <w:t xml:space="preserve"> de MECC în Raportul narativ privind executarea bugetului nu este completă și nu </w:t>
      </w:r>
      <w:r w:rsidR="00F87B2F">
        <w:rPr>
          <w:rFonts w:asciiTheme="majorHAnsi" w:eastAsia="Times New Roman" w:hAnsiTheme="majorHAnsi" w:cstheme="majorHAnsi"/>
          <w:sz w:val="24"/>
          <w:szCs w:val="24"/>
          <w:lang w:val="ro-MD"/>
        </w:rPr>
        <w:t>reflectă</w:t>
      </w:r>
      <w:r w:rsidR="007D43F8" w:rsidRPr="00CD7FE5">
        <w:rPr>
          <w:rFonts w:asciiTheme="majorHAnsi" w:eastAsia="Times New Roman" w:hAnsiTheme="majorHAnsi" w:cstheme="majorHAnsi"/>
          <w:sz w:val="24"/>
          <w:szCs w:val="24"/>
          <w:lang w:val="ro-MD"/>
        </w:rPr>
        <w:t xml:space="preserve"> detali</w:t>
      </w:r>
      <w:r w:rsidR="00F87B2F">
        <w:rPr>
          <w:rFonts w:asciiTheme="majorHAnsi" w:eastAsia="Times New Roman" w:hAnsiTheme="majorHAnsi" w:cstheme="majorHAnsi"/>
          <w:sz w:val="24"/>
          <w:szCs w:val="24"/>
          <w:lang w:val="ro-MD"/>
        </w:rPr>
        <w:t>at</w:t>
      </w:r>
      <w:r w:rsidR="007D43F8" w:rsidRPr="00CD7FE5">
        <w:rPr>
          <w:rFonts w:asciiTheme="majorHAnsi" w:eastAsia="Times New Roman" w:hAnsiTheme="majorHAnsi" w:cstheme="majorHAnsi"/>
          <w:sz w:val="24"/>
          <w:szCs w:val="24"/>
          <w:lang w:val="ro-MD"/>
        </w:rPr>
        <w:t xml:space="preserve"> </w:t>
      </w:r>
      <w:r w:rsidR="00F87B2F">
        <w:rPr>
          <w:rFonts w:asciiTheme="majorHAnsi" w:eastAsia="Times New Roman" w:hAnsiTheme="majorHAnsi" w:cstheme="majorHAnsi"/>
          <w:sz w:val="24"/>
          <w:szCs w:val="24"/>
          <w:lang w:val="ro-MD"/>
        </w:rPr>
        <w:t>datele di</w:t>
      </w:r>
      <w:r w:rsidR="007D43F8" w:rsidRPr="00CD7FE5">
        <w:rPr>
          <w:rFonts w:asciiTheme="majorHAnsi" w:eastAsia="Times New Roman" w:hAnsiTheme="majorHAnsi" w:cstheme="majorHAnsi"/>
          <w:sz w:val="24"/>
          <w:szCs w:val="24"/>
          <w:lang w:val="ro-MD"/>
        </w:rPr>
        <w:t>n rapoartele financiare.</w:t>
      </w:r>
    </w:p>
    <w:p w14:paraId="2DDEFF2E" w14:textId="6CDBABF0" w:rsidR="00967017" w:rsidRPr="00CD7FE5" w:rsidRDefault="00B206E8" w:rsidP="00325F1F">
      <w:pPr>
        <w:tabs>
          <w:tab w:val="left" w:pos="0"/>
        </w:tabs>
        <w:spacing w:after="0" w:line="276" w:lineRule="auto"/>
        <w:contextualSpacing/>
        <w:jc w:val="both"/>
        <w:rPr>
          <w:rFonts w:asciiTheme="majorHAnsi" w:eastAsia="Times New Roman" w:hAnsiTheme="majorHAnsi" w:cstheme="majorHAnsi"/>
          <w:sz w:val="24"/>
          <w:szCs w:val="24"/>
          <w:lang w:val="ro-MD"/>
        </w:rPr>
      </w:pPr>
      <w:r w:rsidRPr="00CD7FE5">
        <w:rPr>
          <w:rFonts w:asciiTheme="majorHAnsi" w:eastAsia="Times New Roman" w:hAnsiTheme="majorHAnsi" w:cstheme="majorHAnsi"/>
          <w:sz w:val="24"/>
          <w:szCs w:val="24"/>
          <w:lang w:val="ro-MD"/>
        </w:rPr>
        <w:t>Am realizat misiunea de audit în conformitate cu Standardele Internaționale ale Instituțiilor Supreme de Audit aplicate de Curtea de Conturi</w:t>
      </w:r>
      <w:r w:rsidRPr="00CD7FE5">
        <w:rPr>
          <w:rStyle w:val="FootnoteReference"/>
          <w:rFonts w:asciiTheme="majorHAnsi" w:eastAsia="Times New Roman" w:hAnsiTheme="majorHAnsi" w:cstheme="majorHAnsi"/>
          <w:sz w:val="24"/>
          <w:szCs w:val="24"/>
          <w:lang w:val="ro-MD"/>
        </w:rPr>
        <w:footnoteReference w:id="15"/>
      </w:r>
      <w:r w:rsidRPr="00CD7FE5">
        <w:rPr>
          <w:rFonts w:asciiTheme="majorHAnsi" w:eastAsia="Times New Roman" w:hAnsiTheme="majorHAnsi" w:cstheme="majorHAnsi"/>
          <w:sz w:val="24"/>
          <w:szCs w:val="24"/>
          <w:lang w:val="ro-MD"/>
        </w:rPr>
        <w:t xml:space="preserve">. Responsabilitățile noastre, potrivit standardelor respective, sunt expuse în secțiunea </w:t>
      </w:r>
      <w:r w:rsidRPr="00CD7FE5">
        <w:rPr>
          <w:rFonts w:asciiTheme="majorHAnsi" w:eastAsia="Times New Roman" w:hAnsiTheme="majorHAnsi" w:cstheme="majorHAnsi"/>
          <w:i/>
          <w:sz w:val="24"/>
          <w:szCs w:val="24"/>
          <w:lang w:val="ro-MD"/>
        </w:rPr>
        <w:t>Responsabilitățile auditorului într-un audit al situațiilor financiare consolidate</w:t>
      </w:r>
      <w:r w:rsidRPr="00CD7FE5">
        <w:rPr>
          <w:rFonts w:asciiTheme="majorHAnsi" w:eastAsia="Times New Roman" w:hAnsiTheme="majorHAnsi" w:cstheme="majorHAnsi"/>
          <w:sz w:val="24"/>
          <w:szCs w:val="24"/>
          <w:lang w:val="ro-MD"/>
        </w:rPr>
        <w:t xml:space="preserve"> din prezentul Raport. Suntem independenți față de instituția auditată și am îndeplinit responsabilitățile de etică conform cerințelor Codului etic al Curții de Conturi. </w:t>
      </w:r>
      <w:r w:rsidRPr="00CD7FE5">
        <w:rPr>
          <w:rFonts w:asciiTheme="majorHAnsi" w:eastAsia="Times New Roman" w:hAnsiTheme="majorHAnsi" w:cstheme="majorHAnsi"/>
          <w:sz w:val="24"/>
          <w:szCs w:val="24"/>
          <w:lang w:val="ro-MD"/>
        </w:rPr>
        <w:lastRenderedPageBreak/>
        <w:t>Considerăm că probele de audit pe care le-am obținut sunt suficiente și adecvate pentru a furniza o bază pentru opinia noastră.</w:t>
      </w:r>
    </w:p>
    <w:p w14:paraId="74B15454" w14:textId="77777777" w:rsidR="00967017" w:rsidRPr="00CD7FE5" w:rsidRDefault="00967017" w:rsidP="00325F1F">
      <w:pPr>
        <w:tabs>
          <w:tab w:val="left" w:pos="0"/>
        </w:tabs>
        <w:spacing w:after="0" w:line="276" w:lineRule="auto"/>
        <w:contextualSpacing/>
        <w:jc w:val="both"/>
        <w:rPr>
          <w:rFonts w:asciiTheme="majorHAnsi" w:eastAsia="Times New Roman" w:hAnsiTheme="majorHAnsi" w:cstheme="majorHAnsi"/>
          <w:sz w:val="16"/>
          <w:szCs w:val="16"/>
          <w:lang w:val="ro-MD"/>
        </w:rPr>
      </w:pPr>
    </w:p>
    <w:p w14:paraId="2E903F7E" w14:textId="77777777" w:rsidR="008D4F50" w:rsidRPr="00CD7FE5" w:rsidRDefault="00FB2AF2" w:rsidP="008D4F50">
      <w:pPr>
        <w:contextualSpacing/>
        <w:rPr>
          <w:rFonts w:asciiTheme="majorHAnsi" w:hAnsiTheme="majorHAnsi" w:cstheme="majorHAnsi"/>
          <w:sz w:val="24"/>
          <w:szCs w:val="24"/>
          <w:lang w:val="ro-MD"/>
        </w:rPr>
      </w:pPr>
      <w:r w:rsidRPr="00CD7FE5">
        <w:rPr>
          <w:rFonts w:asciiTheme="majorHAnsi" w:hAnsiTheme="majorHAnsi" w:cstheme="minorHAnsi"/>
          <w:b/>
          <w:bCs/>
          <w:sz w:val="24"/>
          <w:szCs w:val="24"/>
          <w:lang w:val="ro-MD"/>
        </w:rPr>
        <w:t xml:space="preserve">III. </w:t>
      </w:r>
      <w:r w:rsidR="008D4F50" w:rsidRPr="00CD7FE5">
        <w:rPr>
          <w:rFonts w:asciiTheme="majorHAnsi" w:hAnsiTheme="majorHAnsi" w:cstheme="majorHAnsi"/>
          <w:b/>
          <w:sz w:val="24"/>
          <w:szCs w:val="24"/>
          <w:lang w:val="ro-MD"/>
        </w:rPr>
        <w:t>PARAGRAF DE EVIDENȚIERE A UNOR ASPECTE</w:t>
      </w:r>
      <w:r w:rsidR="008D4F50" w:rsidRPr="00CD7FE5">
        <w:rPr>
          <w:rFonts w:asciiTheme="majorHAnsi" w:hAnsiTheme="majorHAnsi" w:cstheme="majorHAnsi"/>
          <w:sz w:val="24"/>
          <w:szCs w:val="24"/>
          <w:lang w:val="ro-MD"/>
        </w:rPr>
        <w:t xml:space="preserve"> </w:t>
      </w:r>
    </w:p>
    <w:p w14:paraId="148CAB5B" w14:textId="5F8CDAA8" w:rsidR="00484099" w:rsidRPr="00484099" w:rsidRDefault="00484099" w:rsidP="00484099">
      <w:pPr>
        <w:spacing w:after="0"/>
        <w:jc w:val="both"/>
        <w:rPr>
          <w:rFonts w:asciiTheme="majorHAnsi" w:hAnsiTheme="majorHAnsi" w:cstheme="majorHAnsi"/>
          <w:sz w:val="24"/>
          <w:szCs w:val="24"/>
          <w:lang w:val="ro-MD"/>
        </w:rPr>
      </w:pPr>
      <w:r w:rsidRPr="00484099">
        <w:rPr>
          <w:rFonts w:asciiTheme="majorHAnsi" w:hAnsiTheme="majorHAnsi" w:cstheme="majorHAnsi"/>
          <w:sz w:val="24"/>
          <w:szCs w:val="24"/>
          <w:lang w:val="ro-MD"/>
        </w:rPr>
        <w:t xml:space="preserve">Atragem atenția asupra faptului că actualul Plan de </w:t>
      </w:r>
      <w:r w:rsidR="00A0401D">
        <w:rPr>
          <w:rFonts w:asciiTheme="majorHAnsi" w:hAnsiTheme="majorHAnsi" w:cstheme="majorHAnsi"/>
          <w:sz w:val="24"/>
          <w:szCs w:val="24"/>
          <w:lang w:val="ro-MD"/>
        </w:rPr>
        <w:t>c</w:t>
      </w:r>
      <w:r w:rsidRPr="00484099">
        <w:rPr>
          <w:rFonts w:asciiTheme="majorHAnsi" w:hAnsiTheme="majorHAnsi" w:cstheme="majorHAnsi"/>
          <w:sz w:val="24"/>
          <w:szCs w:val="24"/>
          <w:lang w:val="ro-MD"/>
        </w:rPr>
        <w:t>onturi</w:t>
      </w:r>
      <w:r w:rsidR="00C85C57" w:rsidRPr="00C85C57">
        <w:rPr>
          <w:rFonts w:asciiTheme="majorHAnsi" w:hAnsiTheme="majorHAnsi" w:cstheme="majorHAnsi"/>
          <w:sz w:val="24"/>
          <w:szCs w:val="24"/>
          <w:lang w:val="ro-MD"/>
        </w:rPr>
        <w:t>, aprobat</w:t>
      </w:r>
      <w:r w:rsidR="00C85C57" w:rsidRPr="00C85C57">
        <w:rPr>
          <w:rFonts w:asciiTheme="majorHAnsi" w:eastAsia="Times New Roman" w:hAnsiTheme="majorHAnsi" w:cstheme="majorHAnsi"/>
          <w:sz w:val="24"/>
          <w:szCs w:val="24"/>
          <w:lang w:val="ro-MD"/>
        </w:rPr>
        <w:t xml:space="preserve"> prin Ordinul ministrului finanțelor nr.216 din 28.12.2015,</w:t>
      </w:r>
      <w:r w:rsidRPr="00C85C57">
        <w:rPr>
          <w:rFonts w:asciiTheme="majorHAnsi" w:hAnsiTheme="majorHAnsi" w:cstheme="majorHAnsi"/>
          <w:sz w:val="24"/>
          <w:szCs w:val="24"/>
          <w:lang w:val="ro-MD"/>
        </w:rPr>
        <w:t xml:space="preserve"> nu face distincție între bunurile care au fost transmise de </w:t>
      </w:r>
      <w:r w:rsidR="00A0401D">
        <w:rPr>
          <w:rFonts w:asciiTheme="majorHAnsi" w:hAnsiTheme="majorHAnsi" w:cstheme="majorHAnsi"/>
          <w:sz w:val="24"/>
          <w:szCs w:val="24"/>
          <w:lang w:val="ro-MD"/>
        </w:rPr>
        <w:t xml:space="preserve">către </w:t>
      </w:r>
      <w:r w:rsidRPr="00C85C57">
        <w:rPr>
          <w:rFonts w:asciiTheme="majorHAnsi" w:hAnsiTheme="majorHAnsi" w:cstheme="majorHAnsi"/>
          <w:sz w:val="24"/>
          <w:szCs w:val="24"/>
          <w:lang w:val="ro-MD"/>
        </w:rPr>
        <w:t>fondator unei entități cu titlu de proprietate și cele care sunt transmise în gestiune, fo</w:t>
      </w:r>
      <w:r w:rsidRPr="00484099">
        <w:rPr>
          <w:rFonts w:asciiTheme="majorHAnsi" w:hAnsiTheme="majorHAnsi" w:cstheme="majorHAnsi"/>
          <w:sz w:val="24"/>
          <w:szCs w:val="24"/>
          <w:lang w:val="ro-MD"/>
        </w:rPr>
        <w:t xml:space="preserve">losință sau comodat, </w:t>
      </w:r>
      <w:r w:rsidR="00A0401D">
        <w:rPr>
          <w:rFonts w:asciiTheme="majorHAnsi" w:hAnsiTheme="majorHAnsi" w:cstheme="majorHAnsi"/>
          <w:sz w:val="24"/>
          <w:szCs w:val="24"/>
          <w:lang w:val="ro-MD"/>
        </w:rPr>
        <w:t>ai căror</w:t>
      </w:r>
      <w:r w:rsidR="00A0401D" w:rsidRPr="00484099">
        <w:rPr>
          <w:rFonts w:asciiTheme="majorHAnsi" w:hAnsiTheme="majorHAnsi" w:cstheme="majorHAnsi"/>
          <w:sz w:val="24"/>
          <w:szCs w:val="24"/>
          <w:lang w:val="ro-MD"/>
        </w:rPr>
        <w:t xml:space="preserve"> </w:t>
      </w:r>
      <w:r w:rsidRPr="00484099">
        <w:rPr>
          <w:rFonts w:asciiTheme="majorHAnsi" w:hAnsiTheme="majorHAnsi" w:cstheme="majorHAnsi"/>
          <w:sz w:val="24"/>
          <w:szCs w:val="24"/>
          <w:lang w:val="ro-MD"/>
        </w:rPr>
        <w:t>proprietar</w:t>
      </w:r>
      <w:r w:rsidR="00A0401D">
        <w:rPr>
          <w:rFonts w:asciiTheme="majorHAnsi" w:hAnsiTheme="majorHAnsi" w:cstheme="majorHAnsi"/>
          <w:sz w:val="24"/>
          <w:szCs w:val="24"/>
          <w:lang w:val="ro-MD"/>
        </w:rPr>
        <w:t>i</w:t>
      </w:r>
      <w:r w:rsidRPr="00484099">
        <w:rPr>
          <w:rFonts w:asciiTheme="majorHAnsi" w:hAnsiTheme="majorHAnsi" w:cstheme="majorHAnsi"/>
          <w:sz w:val="24"/>
          <w:szCs w:val="24"/>
          <w:lang w:val="ro-MD"/>
        </w:rPr>
        <w:t xml:space="preserve"> real</w:t>
      </w:r>
      <w:r w:rsidR="00A0401D">
        <w:rPr>
          <w:rFonts w:asciiTheme="majorHAnsi" w:hAnsiTheme="majorHAnsi" w:cstheme="majorHAnsi"/>
          <w:sz w:val="24"/>
          <w:szCs w:val="24"/>
          <w:lang w:val="ro-MD"/>
        </w:rPr>
        <w:t>i</w:t>
      </w:r>
      <w:r w:rsidRPr="00484099">
        <w:rPr>
          <w:rFonts w:asciiTheme="majorHAnsi" w:hAnsiTheme="majorHAnsi" w:cstheme="majorHAnsi"/>
          <w:sz w:val="24"/>
          <w:szCs w:val="24"/>
          <w:lang w:val="ro-MD"/>
        </w:rPr>
        <w:t xml:space="preserve"> sunt fondatorul sau alte persoane terțe. Ca urmare, până în prezent nu există o reglementare privind </w:t>
      </w:r>
      <w:r w:rsidR="00A0401D">
        <w:rPr>
          <w:rFonts w:asciiTheme="majorHAnsi" w:hAnsiTheme="majorHAnsi" w:cstheme="majorHAnsi"/>
          <w:sz w:val="24"/>
          <w:szCs w:val="24"/>
          <w:lang w:val="ro-MD"/>
        </w:rPr>
        <w:t>execut</w:t>
      </w:r>
      <w:r w:rsidRPr="00484099">
        <w:rPr>
          <w:rFonts w:asciiTheme="majorHAnsi" w:hAnsiTheme="majorHAnsi" w:cstheme="majorHAnsi"/>
          <w:sz w:val="24"/>
          <w:szCs w:val="24"/>
          <w:lang w:val="ro-MD"/>
        </w:rPr>
        <w:t xml:space="preserve">area prevederilor art.11 alin.(2) </w:t>
      </w:r>
      <w:r w:rsidRPr="00CD4E30">
        <w:rPr>
          <w:rFonts w:asciiTheme="majorHAnsi" w:hAnsiTheme="majorHAnsi" w:cstheme="majorHAnsi"/>
          <w:sz w:val="24"/>
          <w:szCs w:val="24"/>
          <w:lang w:val="ro-MD"/>
        </w:rPr>
        <w:t>din Legea nr.121-XVI din 04.05.2007, prin care urmează a fi asigurată o evidență contabilă distinctă a bunurilor</w:t>
      </w:r>
      <w:r w:rsidRPr="00484099">
        <w:rPr>
          <w:rFonts w:asciiTheme="majorHAnsi" w:hAnsiTheme="majorHAnsi" w:cstheme="majorHAnsi"/>
          <w:sz w:val="24"/>
          <w:szCs w:val="24"/>
          <w:lang w:val="ro-MD"/>
        </w:rPr>
        <w:t xml:space="preserve"> proprietate publică din domeniul public aflate în gestiunea entităților (instituțiilor publice și întreprinderilor) la autogestiune, precum și modul de înregistrare în evidența contabilă la fondator a tranzacțiilor respective.  </w:t>
      </w:r>
    </w:p>
    <w:p w14:paraId="73968F88" w14:textId="56A152A7" w:rsidR="00484099" w:rsidRPr="00484099" w:rsidRDefault="00484099" w:rsidP="00484099">
      <w:pPr>
        <w:spacing w:after="0"/>
        <w:jc w:val="both"/>
        <w:rPr>
          <w:rFonts w:asciiTheme="majorHAnsi" w:hAnsiTheme="majorHAnsi" w:cstheme="majorHAnsi"/>
          <w:sz w:val="24"/>
          <w:szCs w:val="24"/>
          <w:lang w:val="ro-MD"/>
        </w:rPr>
      </w:pPr>
      <w:r w:rsidRPr="00484099">
        <w:rPr>
          <w:rFonts w:asciiTheme="majorHAnsi" w:hAnsiTheme="majorHAnsi" w:cstheme="majorHAnsi"/>
          <w:sz w:val="24"/>
          <w:szCs w:val="24"/>
          <w:lang w:val="ro-MD"/>
        </w:rPr>
        <w:t>Deși</w:t>
      </w:r>
      <w:r w:rsidR="00991029">
        <w:rPr>
          <w:rFonts w:asciiTheme="majorHAnsi" w:hAnsiTheme="majorHAnsi" w:cstheme="majorHAnsi"/>
          <w:sz w:val="24"/>
          <w:szCs w:val="24"/>
          <w:lang w:val="ro-MD"/>
        </w:rPr>
        <w:t xml:space="preserve"> P</w:t>
      </w:r>
      <w:r w:rsidRPr="00484099">
        <w:rPr>
          <w:rFonts w:asciiTheme="majorHAnsi" w:hAnsiTheme="majorHAnsi" w:cstheme="majorHAnsi"/>
          <w:sz w:val="24"/>
          <w:szCs w:val="24"/>
          <w:lang w:val="ro-MD"/>
        </w:rPr>
        <w:t>lanul de conturi include contul 4153 „Investiții în părți legate și nelegate” pentru transmitere în gestiune a bunurilor, acesta nu permite o evidență analitică/distinctă pentru fiecare bun tra</w:t>
      </w:r>
      <w:r w:rsidR="00C768DC">
        <w:rPr>
          <w:rFonts w:asciiTheme="majorHAnsi" w:hAnsiTheme="majorHAnsi" w:cstheme="majorHAnsi"/>
          <w:sz w:val="24"/>
          <w:szCs w:val="24"/>
          <w:lang w:val="ro-MD"/>
        </w:rPr>
        <w:t>n</w:t>
      </w:r>
      <w:r w:rsidRPr="00484099">
        <w:rPr>
          <w:rFonts w:asciiTheme="majorHAnsi" w:hAnsiTheme="majorHAnsi" w:cstheme="majorHAnsi"/>
          <w:sz w:val="24"/>
          <w:szCs w:val="24"/>
          <w:lang w:val="ro-MD"/>
        </w:rPr>
        <w:t>smis în gestiune, ceea ce</w:t>
      </w:r>
      <w:r w:rsidR="00991029">
        <w:rPr>
          <w:rFonts w:asciiTheme="majorHAnsi" w:hAnsiTheme="majorHAnsi" w:cstheme="majorHAnsi"/>
          <w:sz w:val="24"/>
          <w:szCs w:val="24"/>
          <w:lang w:val="ro-MD"/>
        </w:rPr>
        <w:t>,</w:t>
      </w:r>
      <w:r w:rsidRPr="00484099">
        <w:rPr>
          <w:rFonts w:asciiTheme="majorHAnsi" w:hAnsiTheme="majorHAnsi" w:cstheme="majorHAnsi"/>
          <w:sz w:val="24"/>
          <w:szCs w:val="24"/>
          <w:lang w:val="ro-MD"/>
        </w:rPr>
        <w:t xml:space="preserve"> ulterior</w:t>
      </w:r>
      <w:r w:rsidR="00991029">
        <w:rPr>
          <w:rFonts w:asciiTheme="majorHAnsi" w:hAnsiTheme="majorHAnsi" w:cstheme="majorHAnsi"/>
          <w:sz w:val="24"/>
          <w:szCs w:val="24"/>
          <w:lang w:val="ro-MD"/>
        </w:rPr>
        <w:t>,</w:t>
      </w:r>
      <w:r w:rsidRPr="00484099">
        <w:rPr>
          <w:rFonts w:asciiTheme="majorHAnsi" w:hAnsiTheme="majorHAnsi" w:cstheme="majorHAnsi"/>
          <w:sz w:val="24"/>
          <w:szCs w:val="24"/>
          <w:lang w:val="ro-MD"/>
        </w:rPr>
        <w:t xml:space="preserve"> </w:t>
      </w:r>
      <w:r w:rsidR="00991029" w:rsidRPr="00484099">
        <w:rPr>
          <w:rFonts w:asciiTheme="majorHAnsi" w:hAnsiTheme="majorHAnsi" w:cstheme="majorHAnsi"/>
          <w:sz w:val="24"/>
          <w:szCs w:val="24"/>
          <w:lang w:val="ro-MD"/>
        </w:rPr>
        <w:t xml:space="preserve">practic </w:t>
      </w:r>
      <w:r w:rsidRPr="00484099">
        <w:rPr>
          <w:rFonts w:asciiTheme="majorHAnsi" w:hAnsiTheme="majorHAnsi" w:cstheme="majorHAnsi"/>
          <w:sz w:val="24"/>
          <w:szCs w:val="24"/>
          <w:lang w:val="ro-MD"/>
        </w:rPr>
        <w:t>va face imposibil</w:t>
      </w:r>
      <w:r w:rsidR="00991029">
        <w:rPr>
          <w:rFonts w:asciiTheme="majorHAnsi" w:hAnsiTheme="majorHAnsi" w:cstheme="majorHAnsi"/>
          <w:sz w:val="24"/>
          <w:szCs w:val="24"/>
          <w:lang w:val="ro-MD"/>
        </w:rPr>
        <w:t>ă</w:t>
      </w:r>
      <w:r w:rsidRPr="00484099">
        <w:rPr>
          <w:rFonts w:asciiTheme="majorHAnsi" w:hAnsiTheme="majorHAnsi" w:cstheme="majorHAnsi"/>
          <w:sz w:val="24"/>
          <w:szCs w:val="24"/>
          <w:lang w:val="ro-MD"/>
        </w:rPr>
        <w:t xml:space="preserve"> identificarea bunurilor proprietate de stat din domeniul public gestionate de entitățile la autogestiune, inclusiv în cazul restituirii lor.</w:t>
      </w:r>
      <w:r w:rsidR="007A30E8">
        <w:rPr>
          <w:rFonts w:asciiTheme="majorHAnsi" w:hAnsiTheme="majorHAnsi" w:cstheme="majorHAnsi"/>
          <w:sz w:val="24"/>
          <w:szCs w:val="24"/>
          <w:lang w:val="ro-MD"/>
        </w:rPr>
        <w:t xml:space="preserve"> La moment</w:t>
      </w:r>
      <w:r w:rsidR="00991029">
        <w:rPr>
          <w:rFonts w:asciiTheme="majorHAnsi" w:hAnsiTheme="majorHAnsi" w:cstheme="majorHAnsi"/>
          <w:sz w:val="24"/>
          <w:szCs w:val="24"/>
          <w:lang w:val="ro-MD"/>
        </w:rPr>
        <w:t>ul actual,</w:t>
      </w:r>
      <w:r w:rsidR="007A30E8">
        <w:rPr>
          <w:rFonts w:asciiTheme="majorHAnsi" w:hAnsiTheme="majorHAnsi" w:cstheme="majorHAnsi"/>
          <w:sz w:val="24"/>
          <w:szCs w:val="24"/>
          <w:lang w:val="ro-MD"/>
        </w:rPr>
        <w:t xml:space="preserve"> </w:t>
      </w:r>
      <w:r w:rsidR="00991029">
        <w:rPr>
          <w:rFonts w:asciiTheme="majorHAnsi" w:hAnsiTheme="majorHAnsi" w:cstheme="majorHAnsi"/>
          <w:sz w:val="24"/>
          <w:szCs w:val="24"/>
          <w:lang w:val="ro-MD"/>
        </w:rPr>
        <w:t>P</w:t>
      </w:r>
      <w:r w:rsidR="007A30E8">
        <w:rPr>
          <w:rFonts w:asciiTheme="majorHAnsi" w:hAnsiTheme="majorHAnsi" w:cstheme="majorHAnsi"/>
          <w:sz w:val="24"/>
          <w:szCs w:val="24"/>
          <w:lang w:val="ro-MD"/>
        </w:rPr>
        <w:t>lanul de conturi prevede evidența analitică a clădirilor și terenurilor doar la conturile 311 „Clădiri”</w:t>
      </w:r>
      <w:r w:rsidR="007A30E8" w:rsidRPr="007A30E8">
        <w:rPr>
          <w:rFonts w:asciiTheme="majorHAnsi" w:hAnsiTheme="majorHAnsi" w:cstheme="majorHAnsi"/>
          <w:sz w:val="24"/>
          <w:szCs w:val="24"/>
          <w:lang w:val="ro-MD"/>
        </w:rPr>
        <w:t xml:space="preserve"> </w:t>
      </w:r>
      <w:r w:rsidR="007A30E8">
        <w:rPr>
          <w:rFonts w:asciiTheme="majorHAnsi" w:hAnsiTheme="majorHAnsi" w:cstheme="majorHAnsi"/>
          <w:sz w:val="24"/>
          <w:szCs w:val="24"/>
          <w:lang w:val="ro-MD"/>
        </w:rPr>
        <w:t>și  371 „Terenuri”.</w:t>
      </w:r>
    </w:p>
    <w:p w14:paraId="720D4D90" w14:textId="55DC9A2B" w:rsidR="00484099" w:rsidRPr="00484099" w:rsidRDefault="00484099" w:rsidP="00F012CF">
      <w:pPr>
        <w:spacing w:after="0"/>
        <w:jc w:val="both"/>
        <w:rPr>
          <w:rFonts w:asciiTheme="majorHAnsi" w:hAnsiTheme="majorHAnsi" w:cstheme="majorHAnsi"/>
          <w:sz w:val="24"/>
          <w:szCs w:val="24"/>
          <w:lang w:val="ro-MD"/>
        </w:rPr>
      </w:pPr>
      <w:r w:rsidRPr="00484099">
        <w:rPr>
          <w:rFonts w:asciiTheme="majorHAnsi" w:hAnsiTheme="majorHAnsi" w:cstheme="majorHAnsi"/>
          <w:sz w:val="24"/>
          <w:szCs w:val="24"/>
          <w:lang w:val="ro-MD"/>
        </w:rPr>
        <w:t>De asemenea, MECC nu deține o informație exhaustivă și completă privind clădirile și terenurile proprietate publică de stat din domeniul public transmise în gestiune instituțiilor din subordine, care, potrivit art.5 alin.(2) lit.a) din Legea nr.29 din 05.04.2018</w:t>
      </w:r>
      <w:r w:rsidR="00F012CF">
        <w:rPr>
          <w:rStyle w:val="FootnoteReference"/>
          <w:rFonts w:asciiTheme="majorHAnsi" w:hAnsiTheme="majorHAnsi" w:cstheme="majorHAnsi"/>
          <w:sz w:val="24"/>
          <w:szCs w:val="24"/>
          <w:lang w:val="ro-MD"/>
        </w:rPr>
        <w:footnoteReference w:id="16"/>
      </w:r>
      <w:r w:rsidRPr="00484099">
        <w:rPr>
          <w:rFonts w:asciiTheme="majorHAnsi" w:hAnsiTheme="majorHAnsi" w:cstheme="majorHAnsi"/>
          <w:sz w:val="24"/>
          <w:szCs w:val="24"/>
          <w:lang w:val="ro-MD"/>
        </w:rPr>
        <w:t xml:space="preserve">, urmau a fi reflectate în evidența contabilă a MECC. </w:t>
      </w:r>
    </w:p>
    <w:p w14:paraId="03658294" w14:textId="3ACB3CE3" w:rsidR="00484099" w:rsidRPr="00484099" w:rsidRDefault="00484099" w:rsidP="00484099">
      <w:pPr>
        <w:spacing w:after="0"/>
        <w:jc w:val="both"/>
        <w:rPr>
          <w:rFonts w:asciiTheme="majorHAnsi" w:hAnsiTheme="majorHAnsi" w:cstheme="majorHAnsi"/>
          <w:sz w:val="24"/>
          <w:szCs w:val="24"/>
          <w:lang w:val="ro-MD"/>
        </w:rPr>
      </w:pPr>
      <w:r w:rsidRPr="00484099">
        <w:rPr>
          <w:rFonts w:asciiTheme="majorHAnsi" w:hAnsiTheme="majorHAnsi" w:cstheme="majorHAnsi"/>
          <w:sz w:val="24"/>
          <w:szCs w:val="24"/>
          <w:lang w:val="ro-MD"/>
        </w:rPr>
        <w:t xml:space="preserve">Astfel, auditul a constatat că entitățile la autogestiune din subordinea </w:t>
      </w:r>
      <w:r w:rsidRPr="00CD7F70">
        <w:rPr>
          <w:rFonts w:asciiTheme="majorHAnsi" w:hAnsiTheme="majorHAnsi" w:cstheme="majorHAnsi"/>
          <w:sz w:val="24"/>
          <w:szCs w:val="24"/>
          <w:lang w:val="ro-MD"/>
        </w:rPr>
        <w:t xml:space="preserve">MECC </w:t>
      </w:r>
      <w:r w:rsidR="00CD7F70">
        <w:rPr>
          <w:rFonts w:asciiTheme="majorHAnsi" w:hAnsiTheme="majorHAnsi" w:cstheme="majorHAnsi"/>
          <w:sz w:val="24"/>
          <w:szCs w:val="24"/>
          <w:lang w:val="ro-MD"/>
        </w:rPr>
        <w:t>au</w:t>
      </w:r>
      <w:r w:rsidRPr="00CD7F70">
        <w:rPr>
          <w:rFonts w:asciiTheme="majorHAnsi" w:hAnsiTheme="majorHAnsi" w:cstheme="majorHAnsi"/>
          <w:sz w:val="24"/>
          <w:szCs w:val="24"/>
          <w:lang w:val="ro-MD"/>
        </w:rPr>
        <w:t xml:space="preserve"> în folosință</w:t>
      </w:r>
      <w:r w:rsidRPr="00484099">
        <w:rPr>
          <w:rFonts w:asciiTheme="majorHAnsi" w:hAnsiTheme="majorHAnsi" w:cstheme="majorHAnsi"/>
          <w:sz w:val="24"/>
          <w:szCs w:val="24"/>
          <w:lang w:val="ro-MD"/>
        </w:rPr>
        <w:t xml:space="preserve"> 1109 clădiri cu valoare</w:t>
      </w:r>
      <w:r w:rsidR="00991029">
        <w:rPr>
          <w:rFonts w:asciiTheme="majorHAnsi" w:hAnsiTheme="majorHAnsi" w:cstheme="majorHAnsi"/>
          <w:sz w:val="24"/>
          <w:szCs w:val="24"/>
          <w:lang w:val="ro-MD"/>
        </w:rPr>
        <w:t>a</w:t>
      </w:r>
      <w:r w:rsidRPr="00484099">
        <w:rPr>
          <w:rFonts w:asciiTheme="majorHAnsi" w:hAnsiTheme="majorHAnsi" w:cstheme="majorHAnsi"/>
          <w:sz w:val="24"/>
          <w:szCs w:val="24"/>
          <w:lang w:val="ro-MD"/>
        </w:rPr>
        <w:t xml:space="preserve"> inițială de 5278,15 mil.lei și uzur</w:t>
      </w:r>
      <w:r w:rsidR="00991029">
        <w:rPr>
          <w:rFonts w:asciiTheme="majorHAnsi" w:hAnsiTheme="majorHAnsi" w:cstheme="majorHAnsi"/>
          <w:sz w:val="24"/>
          <w:szCs w:val="24"/>
          <w:lang w:val="ro-MD"/>
        </w:rPr>
        <w:t>a</w:t>
      </w:r>
      <w:r w:rsidRPr="00484099">
        <w:rPr>
          <w:rFonts w:asciiTheme="majorHAnsi" w:hAnsiTheme="majorHAnsi" w:cstheme="majorHAnsi"/>
          <w:sz w:val="24"/>
          <w:szCs w:val="24"/>
          <w:lang w:val="ro-MD"/>
        </w:rPr>
        <w:t xml:space="preserve"> de 1441,89 mil</w:t>
      </w:r>
      <w:r w:rsidR="00F012CD">
        <w:rPr>
          <w:rFonts w:asciiTheme="majorHAnsi" w:hAnsiTheme="majorHAnsi" w:cstheme="majorHAnsi"/>
          <w:sz w:val="24"/>
          <w:szCs w:val="24"/>
          <w:lang w:val="ro-MD"/>
        </w:rPr>
        <w:t>.</w:t>
      </w:r>
      <w:r w:rsidRPr="00484099">
        <w:rPr>
          <w:rFonts w:asciiTheme="majorHAnsi" w:hAnsiTheme="majorHAnsi" w:cstheme="majorHAnsi"/>
          <w:sz w:val="24"/>
          <w:szCs w:val="24"/>
          <w:lang w:val="ro-MD"/>
        </w:rPr>
        <w:t xml:space="preserve"> lei, precum și 310 terenuri cu suprafața de 2260,62 ha</w:t>
      </w:r>
      <w:r w:rsidR="00991029">
        <w:rPr>
          <w:rFonts w:asciiTheme="majorHAnsi" w:hAnsiTheme="majorHAnsi" w:cstheme="majorHAnsi"/>
          <w:sz w:val="24"/>
          <w:szCs w:val="24"/>
          <w:lang w:val="ro-MD"/>
        </w:rPr>
        <w:t>,</w:t>
      </w:r>
      <w:r w:rsidRPr="00484099">
        <w:rPr>
          <w:rFonts w:asciiTheme="majorHAnsi" w:hAnsiTheme="majorHAnsi" w:cstheme="majorHAnsi"/>
          <w:sz w:val="24"/>
          <w:szCs w:val="24"/>
          <w:lang w:val="ro-MD"/>
        </w:rPr>
        <w:t xml:space="preserve"> în </w:t>
      </w:r>
      <w:r w:rsidR="00991029">
        <w:rPr>
          <w:rFonts w:asciiTheme="majorHAnsi" w:hAnsiTheme="majorHAnsi" w:cstheme="majorHAnsi"/>
          <w:sz w:val="24"/>
          <w:szCs w:val="24"/>
          <w:lang w:val="ro-MD"/>
        </w:rPr>
        <w:t>valoare</w:t>
      </w:r>
      <w:r w:rsidRPr="00484099">
        <w:rPr>
          <w:rFonts w:asciiTheme="majorHAnsi" w:hAnsiTheme="majorHAnsi" w:cstheme="majorHAnsi"/>
          <w:sz w:val="24"/>
          <w:szCs w:val="24"/>
          <w:lang w:val="ro-MD"/>
        </w:rPr>
        <w:t xml:space="preserve"> de cel puțin 1819,8 mil.lei, din care la contul 415300 sunt reflectate clădiri și terenuri în </w:t>
      </w:r>
      <w:r w:rsidR="00991029">
        <w:rPr>
          <w:rFonts w:asciiTheme="majorHAnsi" w:hAnsiTheme="majorHAnsi" w:cstheme="majorHAnsi"/>
          <w:sz w:val="24"/>
          <w:szCs w:val="24"/>
          <w:lang w:val="ro-MD"/>
        </w:rPr>
        <w:t>valoare</w:t>
      </w:r>
      <w:r w:rsidRPr="00484099">
        <w:rPr>
          <w:rFonts w:asciiTheme="majorHAnsi" w:hAnsiTheme="majorHAnsi" w:cstheme="majorHAnsi"/>
          <w:sz w:val="24"/>
          <w:szCs w:val="24"/>
          <w:lang w:val="ro-MD"/>
        </w:rPr>
        <w:t xml:space="preserve"> de circa 1778,42 mil.lei, care nu pot fi identificate și, respectiv, inventariate.  </w:t>
      </w:r>
    </w:p>
    <w:p w14:paraId="684F2594" w14:textId="492BFD87" w:rsidR="00484099" w:rsidRDefault="00484099" w:rsidP="00943225">
      <w:pPr>
        <w:spacing w:after="0"/>
        <w:rPr>
          <w:rFonts w:asciiTheme="majorHAnsi" w:eastAsia="Times New Roman" w:hAnsiTheme="majorHAnsi" w:cstheme="majorHAnsi"/>
          <w:sz w:val="24"/>
          <w:szCs w:val="24"/>
        </w:rPr>
      </w:pPr>
      <w:r w:rsidRPr="00484099">
        <w:rPr>
          <w:rFonts w:asciiTheme="majorHAnsi" w:hAnsiTheme="majorHAnsi" w:cstheme="majorHAnsi"/>
          <w:sz w:val="24"/>
          <w:szCs w:val="24"/>
          <w:lang w:val="ro-MD"/>
        </w:rPr>
        <w:t>Opinia nu este modificată din cauza acestor aspecte.</w:t>
      </w:r>
      <w:r w:rsidRPr="00484099">
        <w:rPr>
          <w:rFonts w:asciiTheme="majorHAnsi" w:eastAsia="Times New Roman" w:hAnsiTheme="majorHAnsi" w:cstheme="majorHAnsi"/>
          <w:sz w:val="24"/>
          <w:szCs w:val="24"/>
        </w:rPr>
        <w:t xml:space="preserve"> </w:t>
      </w:r>
    </w:p>
    <w:p w14:paraId="37A9EE26" w14:textId="77777777" w:rsidR="00C33AB0" w:rsidRPr="00C33AB0" w:rsidRDefault="00C33AB0" w:rsidP="00943225">
      <w:pPr>
        <w:spacing w:after="0"/>
        <w:rPr>
          <w:rFonts w:asciiTheme="majorHAnsi" w:eastAsia="Times New Roman" w:hAnsiTheme="majorHAnsi" w:cstheme="majorHAnsi"/>
          <w:sz w:val="16"/>
          <w:szCs w:val="16"/>
        </w:rPr>
      </w:pPr>
    </w:p>
    <w:p w14:paraId="6B5B1CFE" w14:textId="46D73916" w:rsidR="00275610" w:rsidRPr="00CD7FE5" w:rsidRDefault="008D4F50" w:rsidP="00325F1F">
      <w:pPr>
        <w:spacing w:after="0" w:line="276" w:lineRule="auto"/>
        <w:rPr>
          <w:rFonts w:asciiTheme="majorHAnsi" w:hAnsiTheme="majorHAnsi" w:cstheme="majorHAnsi"/>
          <w:b/>
          <w:sz w:val="24"/>
          <w:szCs w:val="24"/>
          <w:lang w:val="ro-MD"/>
        </w:rPr>
      </w:pPr>
      <w:r w:rsidRPr="00CD7FE5">
        <w:rPr>
          <w:rFonts w:asciiTheme="majorHAnsi" w:hAnsiTheme="majorHAnsi" w:cstheme="majorHAnsi"/>
          <w:b/>
          <w:bCs/>
          <w:sz w:val="24"/>
          <w:szCs w:val="24"/>
          <w:lang w:val="ro-MD"/>
        </w:rPr>
        <w:t xml:space="preserve">IV </w:t>
      </w:r>
      <w:r w:rsidRPr="00CD7FE5">
        <w:rPr>
          <w:rFonts w:asciiTheme="majorHAnsi" w:hAnsiTheme="majorHAnsi" w:cstheme="majorHAnsi"/>
          <w:b/>
          <w:sz w:val="24"/>
          <w:szCs w:val="24"/>
          <w:lang w:val="ro-MD"/>
        </w:rPr>
        <w:t xml:space="preserve">. </w:t>
      </w:r>
      <w:r w:rsidR="00275610" w:rsidRPr="00CD7FE5">
        <w:rPr>
          <w:rFonts w:asciiTheme="majorHAnsi" w:hAnsiTheme="majorHAnsi" w:cstheme="majorHAnsi"/>
          <w:b/>
          <w:sz w:val="24"/>
          <w:szCs w:val="24"/>
          <w:lang w:val="ro-MD"/>
        </w:rPr>
        <w:t>ASPECTELE-CHEIE DE AUDIT</w:t>
      </w:r>
    </w:p>
    <w:p w14:paraId="2174210E" w14:textId="1C64DAD5" w:rsidR="00275610" w:rsidRPr="00CD7FE5" w:rsidRDefault="00275610" w:rsidP="002C75E4">
      <w:pPr>
        <w:spacing w:after="0" w:line="276" w:lineRule="auto"/>
        <w:jc w:val="both"/>
        <w:rPr>
          <w:rFonts w:asciiTheme="majorHAnsi" w:hAnsiTheme="majorHAnsi" w:cstheme="minorHAnsi"/>
          <w:bCs/>
          <w:sz w:val="24"/>
          <w:szCs w:val="24"/>
          <w:lang w:val="ro-MD"/>
        </w:rPr>
      </w:pPr>
      <w:r w:rsidRPr="00CD7FE5">
        <w:rPr>
          <w:rFonts w:asciiTheme="majorHAnsi" w:hAnsiTheme="majorHAnsi" w:cstheme="majorHAnsi"/>
          <w:sz w:val="24"/>
          <w:szCs w:val="24"/>
          <w:lang w:val="ro-MD"/>
        </w:rPr>
        <w:t xml:space="preserve">Aspectele-cheie de audit sunt acele aspecte care, în baza raționamentului nostru profesional, au avut cea mai mare importanță pentru auditul rapoartelor financiare ale MECC încheiate la </w:t>
      </w:r>
      <w:r w:rsidR="002C75E4" w:rsidRPr="00CD7FE5">
        <w:rPr>
          <w:rFonts w:asciiTheme="majorHAnsi" w:hAnsiTheme="majorHAnsi" w:cstheme="majorHAnsi"/>
          <w:sz w:val="24"/>
          <w:szCs w:val="24"/>
          <w:lang w:val="ro-MD"/>
        </w:rPr>
        <w:t>31 decembrie 2020</w:t>
      </w:r>
      <w:r w:rsidRPr="00CD7FE5">
        <w:rPr>
          <w:rFonts w:asciiTheme="majorHAnsi" w:hAnsiTheme="majorHAnsi" w:cstheme="majorHAnsi"/>
          <w:sz w:val="24"/>
          <w:szCs w:val="24"/>
          <w:lang w:val="ro-MD"/>
        </w:rPr>
        <w:t xml:space="preserve">. </w:t>
      </w:r>
      <w:r w:rsidR="003C781B" w:rsidRPr="00CD7FE5">
        <w:rPr>
          <w:rFonts w:asciiTheme="majorHAnsi" w:eastAsia="Calibri" w:hAnsiTheme="majorHAnsi" w:cstheme="majorHAnsi"/>
          <w:sz w:val="24"/>
          <w:szCs w:val="24"/>
          <w:lang w:val="ro-MD"/>
        </w:rPr>
        <w:t>Aceste aspecte au fost abordate în contextul auditului situațiilor financiare în ansamblu şi în formarea opiniei noastre asupra acestora</w:t>
      </w:r>
      <w:r w:rsidR="000E4682">
        <w:rPr>
          <w:rFonts w:asciiTheme="majorHAnsi" w:eastAsia="Calibri" w:hAnsiTheme="majorHAnsi" w:cstheme="majorHAnsi"/>
          <w:sz w:val="24"/>
          <w:szCs w:val="24"/>
          <w:lang w:val="ro-MD"/>
        </w:rPr>
        <w:t>,</w:t>
      </w:r>
      <w:r w:rsidR="003C781B" w:rsidRPr="00CD7FE5">
        <w:rPr>
          <w:rFonts w:asciiTheme="majorHAnsi" w:eastAsia="Calibri" w:hAnsiTheme="majorHAnsi" w:cstheme="majorHAnsi"/>
          <w:sz w:val="24"/>
          <w:szCs w:val="24"/>
          <w:lang w:val="ro-MD"/>
        </w:rPr>
        <w:t xml:space="preserve"> şi nu oferim o opinie separată cu privire la aceste aspecte. </w:t>
      </w:r>
      <w:r w:rsidR="003C781B" w:rsidRPr="00CD7FE5">
        <w:rPr>
          <w:rFonts w:asciiTheme="majorHAnsi" w:hAnsiTheme="majorHAnsi" w:cstheme="minorHAnsi"/>
          <w:bCs/>
          <w:sz w:val="24"/>
          <w:szCs w:val="24"/>
          <w:lang w:val="ro-MD"/>
        </w:rPr>
        <w:t xml:space="preserve">Cu excepția aspectului descris în </w:t>
      </w:r>
      <w:r w:rsidR="003C781B" w:rsidRPr="00CD7FE5">
        <w:rPr>
          <w:rFonts w:asciiTheme="majorHAnsi" w:eastAsia="Times New Roman" w:hAnsiTheme="majorHAnsi" w:cstheme="majorHAnsi"/>
          <w:color w:val="000000" w:themeColor="text1"/>
          <w:sz w:val="24"/>
          <w:szCs w:val="24"/>
          <w:lang w:val="ro-MD"/>
        </w:rPr>
        <w:t>secțiunea</w:t>
      </w:r>
      <w:r w:rsidR="003C781B" w:rsidRPr="00CD7FE5">
        <w:rPr>
          <w:rFonts w:asciiTheme="majorHAnsi" w:hAnsiTheme="majorHAnsi" w:cstheme="minorHAnsi"/>
          <w:bCs/>
          <w:sz w:val="24"/>
          <w:szCs w:val="24"/>
          <w:lang w:val="ro-MD"/>
        </w:rPr>
        <w:t xml:space="preserve"> </w:t>
      </w:r>
      <w:r w:rsidR="003C781B" w:rsidRPr="00CD7FE5">
        <w:rPr>
          <w:rFonts w:asciiTheme="majorHAnsi" w:hAnsiTheme="majorHAnsi" w:cstheme="minorHAnsi"/>
          <w:bCs/>
          <w:i/>
          <w:sz w:val="24"/>
          <w:szCs w:val="24"/>
          <w:lang w:val="ro-MD"/>
        </w:rPr>
        <w:t>Baza pentru opinia c</w:t>
      </w:r>
      <w:r w:rsidR="007B5D90" w:rsidRPr="00CD7FE5">
        <w:rPr>
          <w:rFonts w:asciiTheme="majorHAnsi" w:hAnsiTheme="majorHAnsi" w:cstheme="minorHAnsi"/>
          <w:bCs/>
          <w:i/>
          <w:sz w:val="24"/>
          <w:szCs w:val="24"/>
          <w:lang w:val="ro-MD"/>
        </w:rPr>
        <w:t>ontrară</w:t>
      </w:r>
      <w:r w:rsidR="003C781B" w:rsidRPr="00CD7FE5">
        <w:rPr>
          <w:rFonts w:asciiTheme="majorHAnsi" w:hAnsiTheme="majorHAnsi" w:cstheme="minorHAnsi"/>
          <w:bCs/>
          <w:sz w:val="24"/>
          <w:szCs w:val="24"/>
          <w:lang w:val="ro-MD"/>
        </w:rPr>
        <w:t>, am determinat că nu mai există alte aspecte-cheie de audit c</w:t>
      </w:r>
      <w:r w:rsidR="000E4682">
        <w:rPr>
          <w:rFonts w:asciiTheme="majorHAnsi" w:hAnsiTheme="majorHAnsi" w:cstheme="minorHAnsi"/>
          <w:bCs/>
          <w:sz w:val="24"/>
          <w:szCs w:val="24"/>
          <w:lang w:val="ro-MD"/>
        </w:rPr>
        <w:t>ar</w:t>
      </w:r>
      <w:r w:rsidR="003C781B" w:rsidRPr="00CD7FE5">
        <w:rPr>
          <w:rFonts w:asciiTheme="majorHAnsi" w:hAnsiTheme="majorHAnsi" w:cstheme="minorHAnsi"/>
          <w:bCs/>
          <w:sz w:val="24"/>
          <w:szCs w:val="24"/>
          <w:lang w:val="ro-MD"/>
        </w:rPr>
        <w:t>e trebuie comunicate în Raportul de audit.</w:t>
      </w:r>
    </w:p>
    <w:p w14:paraId="222CABAF" w14:textId="77777777" w:rsidR="00FB6B43" w:rsidRPr="00CD7FE5" w:rsidRDefault="00FB6B43" w:rsidP="00325F1F">
      <w:pPr>
        <w:spacing w:after="0" w:line="276" w:lineRule="auto"/>
        <w:jc w:val="both"/>
        <w:rPr>
          <w:rFonts w:asciiTheme="majorHAnsi" w:hAnsiTheme="majorHAnsi" w:cstheme="majorHAnsi"/>
          <w:sz w:val="16"/>
          <w:szCs w:val="16"/>
          <w:lang w:val="ro-MD"/>
        </w:rPr>
      </w:pPr>
    </w:p>
    <w:p w14:paraId="77636591" w14:textId="4DA2C6BA" w:rsidR="00275610" w:rsidRPr="00CD7FE5" w:rsidRDefault="00275610" w:rsidP="00325F1F">
      <w:pPr>
        <w:pStyle w:val="Heading1"/>
        <w:spacing w:before="0" w:line="276" w:lineRule="auto"/>
        <w:jc w:val="left"/>
        <w:rPr>
          <w:rFonts w:asciiTheme="majorHAnsi" w:hAnsiTheme="majorHAnsi" w:cstheme="majorHAnsi"/>
          <w:sz w:val="24"/>
          <w:szCs w:val="24"/>
          <w:lang w:val="ro-MD"/>
        </w:rPr>
      </w:pPr>
      <w:r w:rsidRPr="00CD7FE5">
        <w:rPr>
          <w:rFonts w:asciiTheme="majorHAnsi" w:hAnsiTheme="majorHAnsi" w:cstheme="majorHAnsi"/>
          <w:sz w:val="24"/>
          <w:szCs w:val="24"/>
          <w:lang w:val="ro-MD"/>
        </w:rPr>
        <w:t>V. ALTE INFORMAȚII</w:t>
      </w:r>
    </w:p>
    <w:p w14:paraId="58695C99" w14:textId="2A76A50E" w:rsidR="00602787" w:rsidRPr="00CD7FE5" w:rsidRDefault="009C25A7" w:rsidP="00602787">
      <w:pPr>
        <w:spacing w:after="0" w:line="276" w:lineRule="auto"/>
        <w:jc w:val="both"/>
        <w:rPr>
          <w:rFonts w:asciiTheme="majorHAnsi" w:eastAsia="Times New Roman" w:hAnsiTheme="majorHAnsi" w:cstheme="majorHAnsi"/>
          <w:sz w:val="24"/>
          <w:szCs w:val="24"/>
          <w:lang w:val="ro-MD"/>
        </w:rPr>
      </w:pPr>
      <w:r>
        <w:rPr>
          <w:rFonts w:ascii="Calibri Light" w:hAnsi="Calibri Light" w:cs="Calibri Light"/>
          <w:b/>
          <w:sz w:val="24"/>
          <w:szCs w:val="24"/>
          <w:lang w:val="ro-MD"/>
        </w:rPr>
        <w:t>5</w:t>
      </w:r>
      <w:r w:rsidR="004A704A" w:rsidRPr="00CD7FE5">
        <w:rPr>
          <w:rFonts w:ascii="Calibri Light" w:hAnsi="Calibri Light" w:cs="Calibri Light"/>
          <w:b/>
          <w:sz w:val="24"/>
          <w:szCs w:val="24"/>
          <w:lang w:val="ro-MD"/>
        </w:rPr>
        <w:t>.1.</w:t>
      </w:r>
      <w:r w:rsidR="004A704A" w:rsidRPr="00CD7FE5">
        <w:rPr>
          <w:rFonts w:ascii="Calibri Light" w:hAnsi="Calibri Light" w:cs="Calibri Light"/>
          <w:sz w:val="24"/>
          <w:szCs w:val="24"/>
          <w:lang w:val="ro-MD"/>
        </w:rPr>
        <w:t xml:space="preserve"> </w:t>
      </w:r>
      <w:r w:rsidR="00602787" w:rsidRPr="00CD7FE5">
        <w:rPr>
          <w:rFonts w:asciiTheme="majorHAnsi" w:hAnsiTheme="majorHAnsi" w:cstheme="majorHAnsi"/>
          <w:sz w:val="24"/>
          <w:szCs w:val="24"/>
          <w:lang w:val="ro-MD"/>
        </w:rPr>
        <w:t xml:space="preserve">MECC și instituțiile din subordine au suportat neregulamentar cheltuieli aferente retribuirii muncii în sumă de </w:t>
      </w:r>
      <w:r w:rsidR="00602787" w:rsidRPr="00CD7FE5">
        <w:rPr>
          <w:rFonts w:asciiTheme="majorHAnsi" w:hAnsiTheme="majorHAnsi" w:cstheme="majorHAnsi"/>
          <w:b/>
          <w:bCs/>
          <w:i/>
          <w:iCs/>
          <w:sz w:val="24"/>
          <w:szCs w:val="24"/>
          <w:lang w:val="ro-MD"/>
        </w:rPr>
        <w:t>337,72 mii lei</w:t>
      </w:r>
      <w:r w:rsidR="00602787" w:rsidRPr="00CD7FE5">
        <w:rPr>
          <w:rFonts w:asciiTheme="majorHAnsi" w:hAnsiTheme="majorHAnsi" w:cstheme="majorHAnsi"/>
          <w:sz w:val="24"/>
          <w:szCs w:val="24"/>
          <w:lang w:val="ro-MD"/>
        </w:rPr>
        <w:t xml:space="preserve">, ca urmare a: (1) determinării incorecte a clasei de salarizare (56,35 mii lei); (2) majorării salariului de bază cu 6 </w:t>
      </w:r>
      <w:r w:rsidR="00602787" w:rsidRPr="00CD7FE5">
        <w:rPr>
          <w:rFonts w:asciiTheme="majorHAnsi" w:eastAsia="ArialMT" w:hAnsiTheme="majorHAnsi" w:cstheme="majorHAnsi"/>
          <w:sz w:val="24"/>
          <w:szCs w:val="24"/>
          <w:lang w:val="ro-MD" w:eastAsia="ru-RU"/>
        </w:rPr>
        <w:t xml:space="preserve">clase pentru elaborarea politicilor în lipsa prevederilor respective </w:t>
      </w:r>
      <w:r w:rsidR="00602787" w:rsidRPr="00CD7F70">
        <w:rPr>
          <w:rFonts w:asciiTheme="majorHAnsi" w:eastAsia="ArialMT" w:hAnsiTheme="majorHAnsi" w:cstheme="majorHAnsi"/>
          <w:sz w:val="24"/>
          <w:szCs w:val="24"/>
          <w:lang w:val="ro-MD" w:eastAsia="ru-RU"/>
        </w:rPr>
        <w:t>în fișele post</w:t>
      </w:r>
      <w:r w:rsidR="00CD7F70" w:rsidRPr="00CD7F70">
        <w:rPr>
          <w:rFonts w:asciiTheme="majorHAnsi" w:eastAsia="ArialMT" w:hAnsiTheme="majorHAnsi" w:cstheme="majorHAnsi"/>
          <w:sz w:val="24"/>
          <w:szCs w:val="24"/>
          <w:lang w:val="ro-MD" w:eastAsia="ru-RU"/>
        </w:rPr>
        <w:t>ului</w:t>
      </w:r>
      <w:r w:rsidR="00602787" w:rsidRPr="00CD7FE5">
        <w:rPr>
          <w:rFonts w:asciiTheme="majorHAnsi" w:eastAsia="ArialMT" w:hAnsiTheme="majorHAnsi" w:cstheme="majorHAnsi"/>
          <w:sz w:val="24"/>
          <w:szCs w:val="24"/>
          <w:lang w:val="ro-MD" w:eastAsia="ru-RU"/>
        </w:rPr>
        <w:t xml:space="preserve"> (15,89 mii lei); (3) nediminuării salariului de bază cu 5 clase pentru angajații care nu au nivelul de studi</w:t>
      </w:r>
      <w:r w:rsidR="00E41F4A">
        <w:rPr>
          <w:rFonts w:asciiTheme="majorHAnsi" w:eastAsia="ArialMT" w:hAnsiTheme="majorHAnsi" w:cstheme="majorHAnsi"/>
          <w:sz w:val="24"/>
          <w:szCs w:val="24"/>
          <w:lang w:val="ro-MD" w:eastAsia="ru-RU"/>
        </w:rPr>
        <w:t>i</w:t>
      </w:r>
      <w:r w:rsidR="00602787" w:rsidRPr="00CD7FE5">
        <w:rPr>
          <w:rFonts w:asciiTheme="majorHAnsi" w:eastAsia="ArialMT" w:hAnsiTheme="majorHAnsi" w:cstheme="majorHAnsi"/>
          <w:sz w:val="24"/>
          <w:szCs w:val="24"/>
          <w:lang w:val="ro-MD" w:eastAsia="ru-RU"/>
        </w:rPr>
        <w:t xml:space="preserve"> corespunzător pentru ocuparea funcției (13,77 </w:t>
      </w:r>
      <w:r w:rsidR="00602787" w:rsidRPr="00CD7FE5">
        <w:rPr>
          <w:rFonts w:asciiTheme="majorHAnsi" w:eastAsia="ArialMT" w:hAnsiTheme="majorHAnsi" w:cstheme="majorHAnsi"/>
          <w:sz w:val="24"/>
          <w:szCs w:val="24"/>
          <w:lang w:val="ro-MD" w:eastAsia="ru-RU"/>
        </w:rPr>
        <w:lastRenderedPageBreak/>
        <w:t xml:space="preserve">mii lei); (4) determinării incorecte a sporului de performanță (68,15 mii lei); (5) determinării incorecte a </w:t>
      </w:r>
      <w:r w:rsidR="00602787" w:rsidRPr="00CD7FE5">
        <w:rPr>
          <w:rFonts w:asciiTheme="majorHAnsi" w:eastAsia="Calibri" w:hAnsiTheme="majorHAnsi" w:cstheme="majorHAnsi"/>
          <w:sz w:val="24"/>
          <w:szCs w:val="24"/>
          <w:lang w:val="ro-MD"/>
        </w:rPr>
        <w:t xml:space="preserve">suplimentului </w:t>
      </w:r>
      <w:r w:rsidR="00602787" w:rsidRPr="00CD7FE5">
        <w:rPr>
          <w:rFonts w:asciiTheme="majorHAnsi" w:eastAsia="Calibri" w:hAnsiTheme="majorHAnsi" w:cstheme="majorHAnsi"/>
          <w:bCs/>
          <w:sz w:val="24"/>
          <w:szCs w:val="24"/>
          <w:lang w:val="ro-MD"/>
        </w:rPr>
        <w:t xml:space="preserve">pentru </w:t>
      </w:r>
      <w:r w:rsidR="00602787" w:rsidRPr="00CD7F70">
        <w:rPr>
          <w:rFonts w:asciiTheme="majorHAnsi" w:eastAsia="Calibri" w:hAnsiTheme="majorHAnsi" w:cstheme="majorHAnsi"/>
          <w:bCs/>
          <w:sz w:val="24"/>
          <w:szCs w:val="24"/>
          <w:lang w:val="ro-MD"/>
        </w:rPr>
        <w:t xml:space="preserve">cumularea </w:t>
      </w:r>
      <w:r w:rsidR="00602787" w:rsidRPr="00B4570E">
        <w:rPr>
          <w:rFonts w:asciiTheme="majorHAnsi" w:eastAsia="Calibri" w:hAnsiTheme="majorHAnsi" w:cstheme="majorHAnsi"/>
          <w:bCs/>
          <w:sz w:val="24"/>
          <w:szCs w:val="24"/>
          <w:lang w:val="ro-MD"/>
        </w:rPr>
        <w:t xml:space="preserve">atribuțiilor </w:t>
      </w:r>
      <w:r w:rsidR="00E41F4A" w:rsidRPr="00B4570E">
        <w:rPr>
          <w:rFonts w:asciiTheme="majorHAnsi" w:eastAsia="Calibri" w:hAnsiTheme="majorHAnsi" w:cstheme="majorHAnsi"/>
          <w:bCs/>
          <w:sz w:val="24"/>
          <w:szCs w:val="24"/>
          <w:lang w:val="ro-MD"/>
        </w:rPr>
        <w:t>funcției</w:t>
      </w:r>
      <w:r w:rsidR="00602787" w:rsidRPr="00B4570E">
        <w:rPr>
          <w:rFonts w:asciiTheme="majorHAnsi" w:eastAsia="Calibri" w:hAnsiTheme="majorHAnsi" w:cstheme="majorHAnsi"/>
          <w:bCs/>
          <w:sz w:val="24"/>
          <w:szCs w:val="24"/>
          <w:lang w:val="ro-MD"/>
        </w:rPr>
        <w:t xml:space="preserve"> de</w:t>
      </w:r>
      <w:r w:rsidR="00602787" w:rsidRPr="00CD7FE5">
        <w:rPr>
          <w:rFonts w:asciiTheme="majorHAnsi" w:eastAsia="Calibri" w:hAnsiTheme="majorHAnsi" w:cstheme="majorHAnsi"/>
          <w:bCs/>
          <w:sz w:val="24"/>
          <w:szCs w:val="24"/>
          <w:lang w:val="ro-MD"/>
        </w:rPr>
        <w:t xml:space="preserve"> bază cu atribuțiile unei funcții vacante (25,88 mii lei); (6) determinării incorecte a premiului anual pentru anul 2019 (14,41 mii lei); (7) acordării neregulamentare a premiilor unice (3,45 mii lei); (8) suportării cheltuielilor privind retribuirea muncii în lipsa </w:t>
      </w:r>
      <w:r w:rsidR="00602787" w:rsidRPr="00CD7FE5">
        <w:rPr>
          <w:rFonts w:asciiTheme="majorHAnsi" w:eastAsia="Times New Roman" w:hAnsiTheme="majorHAnsi" w:cstheme="majorHAnsi"/>
          <w:sz w:val="24"/>
          <w:szCs w:val="24"/>
          <w:lang w:val="ro-MD"/>
        </w:rPr>
        <w:t xml:space="preserve">documentelor </w:t>
      </w:r>
      <w:r w:rsidR="002D1579" w:rsidRPr="00CD7FE5">
        <w:rPr>
          <w:rFonts w:asciiTheme="majorHAnsi" w:eastAsia="Times New Roman" w:hAnsiTheme="majorHAnsi" w:cstheme="majorHAnsi"/>
          <w:sz w:val="24"/>
          <w:szCs w:val="24"/>
          <w:lang w:val="ro-MD"/>
        </w:rPr>
        <w:t>(Ordinul MECC și Statele de personal aprobate)</w:t>
      </w:r>
      <w:r w:rsidR="002D1579">
        <w:rPr>
          <w:rFonts w:asciiTheme="majorHAnsi" w:eastAsia="Times New Roman" w:hAnsiTheme="majorHAnsi" w:cstheme="majorHAnsi"/>
          <w:sz w:val="24"/>
          <w:szCs w:val="24"/>
          <w:lang w:val="ro-MD"/>
        </w:rPr>
        <w:t xml:space="preserve"> </w:t>
      </w:r>
      <w:r w:rsidR="00602787" w:rsidRPr="00CD7FE5">
        <w:rPr>
          <w:rFonts w:asciiTheme="majorHAnsi" w:eastAsia="Times New Roman" w:hAnsiTheme="majorHAnsi" w:cstheme="majorHAnsi"/>
          <w:sz w:val="24"/>
          <w:szCs w:val="24"/>
          <w:lang w:val="ro-MD"/>
        </w:rPr>
        <w:t>ce atestă dreptul de desfășurare a activităților educaționale la instituții medico-sanitare</w:t>
      </w:r>
      <w:r w:rsidR="002D1579">
        <w:rPr>
          <w:rFonts w:asciiTheme="majorHAnsi" w:eastAsia="Times New Roman" w:hAnsiTheme="majorHAnsi" w:cstheme="majorHAnsi"/>
          <w:sz w:val="24"/>
          <w:szCs w:val="24"/>
          <w:lang w:val="ro-MD"/>
        </w:rPr>
        <w:t xml:space="preserve"> (</w:t>
      </w:r>
      <w:r w:rsidR="00602787" w:rsidRPr="00CD7FE5">
        <w:rPr>
          <w:rFonts w:asciiTheme="majorHAnsi" w:eastAsia="Times New Roman" w:hAnsiTheme="majorHAnsi" w:cstheme="majorHAnsi"/>
          <w:sz w:val="24"/>
          <w:szCs w:val="24"/>
          <w:lang w:val="ro-MD"/>
        </w:rPr>
        <w:t xml:space="preserve">Spitalul de Psihiatrie </w:t>
      </w:r>
      <w:r w:rsidR="00E41F4A">
        <w:rPr>
          <w:rFonts w:asciiTheme="majorHAnsi" w:eastAsia="Times New Roman" w:hAnsiTheme="majorHAnsi" w:cstheme="majorHAnsi"/>
          <w:sz w:val="24"/>
          <w:szCs w:val="24"/>
          <w:lang w:val="ro-MD"/>
        </w:rPr>
        <w:t xml:space="preserve">din </w:t>
      </w:r>
      <w:r w:rsidR="00602787" w:rsidRPr="00CD7FE5">
        <w:rPr>
          <w:rFonts w:asciiTheme="majorHAnsi" w:eastAsia="Times New Roman" w:hAnsiTheme="majorHAnsi" w:cstheme="majorHAnsi"/>
          <w:sz w:val="24"/>
          <w:szCs w:val="24"/>
          <w:lang w:val="ro-MD"/>
        </w:rPr>
        <w:t>mun. Bălți</w:t>
      </w:r>
      <w:r w:rsidR="002D1579">
        <w:rPr>
          <w:rFonts w:asciiTheme="majorHAnsi" w:eastAsia="Times New Roman" w:hAnsiTheme="majorHAnsi" w:cstheme="majorHAnsi"/>
          <w:sz w:val="24"/>
          <w:szCs w:val="24"/>
          <w:lang w:val="ro-MD"/>
        </w:rPr>
        <w:t>)</w:t>
      </w:r>
      <w:r w:rsidR="00602787" w:rsidRPr="00CD7FE5">
        <w:rPr>
          <w:rFonts w:asciiTheme="majorHAnsi" w:eastAsia="Times New Roman" w:hAnsiTheme="majorHAnsi" w:cstheme="majorHAnsi"/>
          <w:sz w:val="24"/>
          <w:szCs w:val="24"/>
          <w:lang w:val="ro-MD"/>
        </w:rPr>
        <w:t>, precum și a documentelor c</w:t>
      </w:r>
      <w:r w:rsidR="00E41F4A">
        <w:rPr>
          <w:rFonts w:asciiTheme="majorHAnsi" w:eastAsia="Times New Roman" w:hAnsiTheme="majorHAnsi" w:cstheme="majorHAnsi"/>
          <w:sz w:val="24"/>
          <w:szCs w:val="24"/>
          <w:lang w:val="ro-MD"/>
        </w:rPr>
        <w:t>ar</w:t>
      </w:r>
      <w:r w:rsidR="00602787" w:rsidRPr="00CD7FE5">
        <w:rPr>
          <w:rFonts w:asciiTheme="majorHAnsi" w:eastAsia="Times New Roman" w:hAnsiTheme="majorHAnsi" w:cstheme="majorHAnsi"/>
          <w:sz w:val="24"/>
          <w:szCs w:val="24"/>
          <w:lang w:val="ro-MD"/>
        </w:rPr>
        <w:t xml:space="preserve">e confirmă desfășurarea acestor activități (tabelele de pontaj contrasemnate de Spitalul de Psihiatrie </w:t>
      </w:r>
      <w:r w:rsidR="00E41F4A">
        <w:rPr>
          <w:rFonts w:asciiTheme="majorHAnsi" w:eastAsia="Times New Roman" w:hAnsiTheme="majorHAnsi" w:cstheme="majorHAnsi"/>
          <w:sz w:val="24"/>
          <w:szCs w:val="24"/>
          <w:lang w:val="ro-MD"/>
        </w:rPr>
        <w:t xml:space="preserve">din </w:t>
      </w:r>
      <w:r w:rsidR="00602787" w:rsidRPr="00CD7FE5">
        <w:rPr>
          <w:rFonts w:asciiTheme="majorHAnsi" w:eastAsia="Times New Roman" w:hAnsiTheme="majorHAnsi" w:cstheme="majorHAnsi"/>
          <w:sz w:val="24"/>
          <w:szCs w:val="24"/>
          <w:lang w:val="ro-MD"/>
        </w:rPr>
        <w:t>mun. Bălți) (139,82 mii lei).</w:t>
      </w:r>
    </w:p>
    <w:p w14:paraId="66F067E3" w14:textId="423F08F8" w:rsidR="0081392B" w:rsidRPr="00CD7FE5" w:rsidRDefault="009C25A7" w:rsidP="007A7F9E">
      <w:pPr>
        <w:spacing w:after="0" w:line="276" w:lineRule="auto"/>
        <w:jc w:val="both"/>
        <w:rPr>
          <w:rFonts w:asciiTheme="majorHAnsi" w:hAnsiTheme="majorHAnsi" w:cstheme="majorHAnsi"/>
          <w:bCs/>
          <w:iCs/>
          <w:color w:val="000000" w:themeColor="text1"/>
          <w:sz w:val="24"/>
          <w:szCs w:val="24"/>
          <w:lang w:val="ro-MD"/>
        </w:rPr>
      </w:pPr>
      <w:r>
        <w:rPr>
          <w:rFonts w:asciiTheme="majorHAnsi" w:hAnsiTheme="majorHAnsi" w:cstheme="majorHAnsi"/>
          <w:b/>
          <w:sz w:val="24"/>
          <w:szCs w:val="24"/>
          <w:lang w:val="ro-MD"/>
        </w:rPr>
        <w:t>5</w:t>
      </w:r>
      <w:r w:rsidR="0081392B" w:rsidRPr="00CD7FE5">
        <w:rPr>
          <w:rFonts w:asciiTheme="majorHAnsi" w:hAnsiTheme="majorHAnsi" w:cstheme="majorHAnsi"/>
          <w:b/>
          <w:sz w:val="24"/>
          <w:szCs w:val="24"/>
          <w:lang w:val="ro-MD"/>
        </w:rPr>
        <w:t>.2.</w:t>
      </w:r>
      <w:r w:rsidR="0081392B" w:rsidRPr="00CD7FE5">
        <w:rPr>
          <w:rFonts w:asciiTheme="majorHAnsi" w:hAnsiTheme="majorHAnsi" w:cstheme="majorHAnsi"/>
          <w:sz w:val="24"/>
          <w:szCs w:val="24"/>
          <w:lang w:val="ro-MD"/>
        </w:rPr>
        <w:t xml:space="preserve"> </w:t>
      </w:r>
      <w:r w:rsidR="0081392B" w:rsidRPr="00CD7FE5">
        <w:rPr>
          <w:rFonts w:asciiTheme="majorHAnsi" w:hAnsiTheme="majorHAnsi" w:cstheme="majorHAnsi"/>
          <w:bCs/>
          <w:iCs/>
          <w:color w:val="000000" w:themeColor="text1"/>
          <w:sz w:val="24"/>
          <w:szCs w:val="24"/>
          <w:lang w:val="ro-MD"/>
        </w:rPr>
        <w:t>Majorarea valorii contului 334 „Medicamente și materiale sanitare” cu 1670,015 mii lei, datorită nedecontării bunurilor eliberate pe parcursul anului 2020.</w:t>
      </w:r>
    </w:p>
    <w:p w14:paraId="0F02018B" w14:textId="4DE069AD" w:rsidR="00427259" w:rsidRPr="00CD7FE5" w:rsidRDefault="009C25A7" w:rsidP="00427259">
      <w:pPr>
        <w:spacing w:after="0" w:line="276" w:lineRule="auto"/>
        <w:jc w:val="both"/>
        <w:rPr>
          <w:rFonts w:asciiTheme="majorHAnsi" w:hAnsiTheme="majorHAnsi" w:cstheme="majorHAnsi"/>
          <w:iCs/>
          <w:sz w:val="24"/>
          <w:szCs w:val="24"/>
          <w:highlight w:val="yellow"/>
          <w:lang w:val="ro-MD"/>
        </w:rPr>
      </w:pPr>
      <w:r>
        <w:rPr>
          <w:rFonts w:asciiTheme="majorHAnsi" w:eastAsia="Times New Roman" w:hAnsiTheme="majorHAnsi" w:cstheme="majorHAnsi"/>
          <w:b/>
          <w:bCs/>
          <w:iCs/>
          <w:sz w:val="24"/>
          <w:szCs w:val="24"/>
          <w:lang w:val="ro-MD"/>
        </w:rPr>
        <w:t>5</w:t>
      </w:r>
      <w:r w:rsidR="00427259" w:rsidRPr="00CD7FE5">
        <w:rPr>
          <w:rFonts w:asciiTheme="majorHAnsi" w:eastAsia="Times New Roman" w:hAnsiTheme="majorHAnsi" w:cstheme="majorHAnsi"/>
          <w:b/>
          <w:bCs/>
          <w:iCs/>
          <w:sz w:val="24"/>
          <w:szCs w:val="24"/>
          <w:lang w:val="ro-MD"/>
        </w:rPr>
        <w:t>.</w:t>
      </w:r>
      <w:r>
        <w:rPr>
          <w:rFonts w:asciiTheme="majorHAnsi" w:eastAsia="Times New Roman" w:hAnsiTheme="majorHAnsi" w:cstheme="majorHAnsi"/>
          <w:b/>
          <w:bCs/>
          <w:iCs/>
          <w:sz w:val="24"/>
          <w:szCs w:val="24"/>
          <w:lang w:val="ro-MD"/>
        </w:rPr>
        <w:t>3</w:t>
      </w:r>
      <w:r w:rsidR="00427259" w:rsidRPr="00CD7FE5">
        <w:rPr>
          <w:rFonts w:asciiTheme="majorHAnsi" w:eastAsia="Times New Roman" w:hAnsiTheme="majorHAnsi" w:cstheme="majorHAnsi"/>
          <w:b/>
          <w:bCs/>
          <w:iCs/>
          <w:sz w:val="24"/>
          <w:szCs w:val="24"/>
          <w:lang w:val="ro-MD"/>
        </w:rPr>
        <w:t xml:space="preserve">. </w:t>
      </w:r>
      <w:r w:rsidR="00427259" w:rsidRPr="00CD7FE5">
        <w:rPr>
          <w:rFonts w:asciiTheme="majorHAnsi" w:eastAsia="Times New Roman" w:hAnsiTheme="majorHAnsi" w:cstheme="majorHAnsi"/>
          <w:iCs/>
          <w:sz w:val="24"/>
          <w:szCs w:val="24"/>
          <w:lang w:val="ro-MD"/>
        </w:rPr>
        <w:t>A</w:t>
      </w:r>
      <w:r w:rsidR="00427259" w:rsidRPr="00CD7FE5">
        <w:rPr>
          <w:rFonts w:asciiTheme="majorHAnsi" w:hAnsiTheme="majorHAnsi" w:cstheme="majorHAnsi"/>
          <w:sz w:val="24"/>
          <w:szCs w:val="24"/>
          <w:lang w:val="ro-MD"/>
        </w:rPr>
        <w:t>uditul nu se poate expune asupra serviciilor prestate de Î.S. Institutul de Dezvoltare a Societății Informaționale</w:t>
      </w:r>
      <w:r w:rsidR="00E41F4A">
        <w:rPr>
          <w:rFonts w:asciiTheme="majorHAnsi" w:hAnsiTheme="majorHAnsi" w:cstheme="majorHAnsi"/>
          <w:sz w:val="24"/>
          <w:szCs w:val="24"/>
          <w:lang w:val="ro-MD"/>
        </w:rPr>
        <w:t>,</w:t>
      </w:r>
      <w:r w:rsidR="00427259" w:rsidRPr="00CD7FE5">
        <w:rPr>
          <w:rFonts w:asciiTheme="majorHAnsi" w:hAnsiTheme="majorHAnsi" w:cstheme="majorHAnsi"/>
          <w:sz w:val="24"/>
          <w:szCs w:val="24"/>
          <w:lang w:val="ro-MD"/>
        </w:rPr>
        <w:t xml:space="preserve"> în valoare de 3,5 mil</w:t>
      </w:r>
      <w:r w:rsidR="00E41F4A">
        <w:rPr>
          <w:rFonts w:asciiTheme="majorHAnsi" w:hAnsiTheme="majorHAnsi" w:cstheme="majorHAnsi"/>
          <w:sz w:val="24"/>
          <w:szCs w:val="24"/>
          <w:lang w:val="ro-MD"/>
        </w:rPr>
        <w:t>.</w:t>
      </w:r>
      <w:r w:rsidR="00427259" w:rsidRPr="00CD7FE5">
        <w:rPr>
          <w:rFonts w:asciiTheme="majorHAnsi" w:hAnsiTheme="majorHAnsi" w:cstheme="majorHAnsi"/>
          <w:sz w:val="24"/>
          <w:szCs w:val="24"/>
          <w:lang w:val="ro-MD"/>
        </w:rPr>
        <w:t xml:space="preserve"> lei</w:t>
      </w:r>
      <w:r w:rsidR="00427259" w:rsidRPr="00CD7FE5">
        <w:rPr>
          <w:rStyle w:val="FootnoteReference"/>
          <w:rFonts w:asciiTheme="majorHAnsi" w:hAnsiTheme="majorHAnsi" w:cstheme="majorHAnsi"/>
          <w:sz w:val="24"/>
          <w:szCs w:val="24"/>
          <w:lang w:val="ro-MD"/>
        </w:rPr>
        <w:footnoteReference w:id="17"/>
      </w:r>
      <w:r w:rsidR="00427259" w:rsidRPr="00CD7FE5">
        <w:rPr>
          <w:rFonts w:asciiTheme="majorHAnsi" w:hAnsiTheme="majorHAnsi" w:cstheme="majorHAnsi"/>
          <w:sz w:val="24"/>
          <w:szCs w:val="24"/>
          <w:lang w:val="ro-MD"/>
        </w:rPr>
        <w:t xml:space="preserve">, deoarece actele de predare-primire a serviciilor informatice nu conțin date exhaustive pentru determinarea volumului </w:t>
      </w:r>
      <w:r w:rsidR="00F81064" w:rsidRPr="00CD7FE5">
        <w:rPr>
          <w:rFonts w:asciiTheme="majorHAnsi" w:hAnsiTheme="majorHAnsi" w:cstheme="majorHAnsi"/>
          <w:sz w:val="24"/>
          <w:szCs w:val="24"/>
          <w:lang w:val="ro-MD"/>
        </w:rPr>
        <w:t>ș</w:t>
      </w:r>
      <w:r w:rsidR="00F81064">
        <w:rPr>
          <w:rFonts w:asciiTheme="majorHAnsi" w:hAnsiTheme="majorHAnsi" w:cstheme="majorHAnsi"/>
          <w:sz w:val="24"/>
          <w:szCs w:val="24"/>
          <w:lang w:val="ro-MD"/>
        </w:rPr>
        <w:t xml:space="preserve">i </w:t>
      </w:r>
      <w:r w:rsidR="00F81064" w:rsidRPr="00CD7FE5">
        <w:rPr>
          <w:rFonts w:asciiTheme="majorHAnsi" w:hAnsiTheme="majorHAnsi" w:cstheme="majorHAnsi"/>
          <w:sz w:val="24"/>
          <w:szCs w:val="24"/>
          <w:lang w:val="ro-MD"/>
        </w:rPr>
        <w:t xml:space="preserve">valorii </w:t>
      </w:r>
      <w:r w:rsidR="00427259" w:rsidRPr="00CD7FE5">
        <w:rPr>
          <w:rFonts w:asciiTheme="majorHAnsi" w:hAnsiTheme="majorHAnsi" w:cstheme="majorHAnsi"/>
          <w:sz w:val="24"/>
          <w:szCs w:val="24"/>
          <w:lang w:val="ro-MD"/>
        </w:rPr>
        <w:t>servici</w:t>
      </w:r>
      <w:r w:rsidR="00F81064">
        <w:rPr>
          <w:rFonts w:asciiTheme="majorHAnsi" w:hAnsiTheme="majorHAnsi" w:cstheme="majorHAnsi"/>
          <w:sz w:val="24"/>
          <w:szCs w:val="24"/>
          <w:lang w:val="ro-MD"/>
        </w:rPr>
        <w:t>ilor</w:t>
      </w:r>
      <w:r w:rsidR="00427259" w:rsidRPr="00CD7FE5">
        <w:rPr>
          <w:rFonts w:asciiTheme="majorHAnsi" w:hAnsiTheme="majorHAnsi" w:cstheme="majorHAnsi"/>
          <w:sz w:val="24"/>
          <w:szCs w:val="24"/>
          <w:lang w:val="ro-MD"/>
        </w:rPr>
        <w:t xml:space="preserve"> </w:t>
      </w:r>
      <w:r w:rsidR="00427259" w:rsidRPr="00106461">
        <w:rPr>
          <w:rFonts w:asciiTheme="majorHAnsi" w:hAnsiTheme="majorHAnsi" w:cstheme="majorHAnsi"/>
          <w:sz w:val="24"/>
          <w:szCs w:val="24"/>
          <w:lang w:val="ro-MD"/>
        </w:rPr>
        <w:t>prestat</w:t>
      </w:r>
      <w:r w:rsidR="00F81064">
        <w:rPr>
          <w:rFonts w:asciiTheme="majorHAnsi" w:hAnsiTheme="majorHAnsi" w:cstheme="majorHAnsi"/>
          <w:sz w:val="24"/>
          <w:szCs w:val="24"/>
          <w:lang w:val="ro-MD"/>
        </w:rPr>
        <w:t>e</w:t>
      </w:r>
      <w:r w:rsidR="00427259" w:rsidRPr="00EA3ABA">
        <w:rPr>
          <w:rFonts w:asciiTheme="majorHAnsi" w:hAnsiTheme="majorHAnsi" w:cstheme="majorHAnsi"/>
          <w:sz w:val="24"/>
          <w:szCs w:val="24"/>
          <w:lang w:val="ro-MD"/>
        </w:rPr>
        <w:t>,</w:t>
      </w:r>
      <w:r w:rsidR="00427259" w:rsidRPr="00626B63">
        <w:rPr>
          <w:rFonts w:asciiTheme="majorHAnsi" w:hAnsiTheme="majorHAnsi" w:cstheme="majorHAnsi"/>
          <w:sz w:val="24"/>
          <w:szCs w:val="24"/>
          <w:lang w:val="ro-MD"/>
        </w:rPr>
        <w:t xml:space="preserve"> fapt</w:t>
      </w:r>
      <w:r w:rsidR="00427259" w:rsidRPr="00CD7FE5">
        <w:rPr>
          <w:rFonts w:asciiTheme="majorHAnsi" w:hAnsiTheme="majorHAnsi" w:cstheme="majorHAnsi"/>
          <w:sz w:val="24"/>
          <w:szCs w:val="24"/>
          <w:lang w:val="ro-MD"/>
        </w:rPr>
        <w:t xml:space="preserve"> menționat și în </w:t>
      </w:r>
      <w:r w:rsidR="00E41F4A">
        <w:rPr>
          <w:rFonts w:asciiTheme="majorHAnsi" w:hAnsiTheme="majorHAnsi" w:cstheme="majorHAnsi"/>
          <w:sz w:val="24"/>
          <w:szCs w:val="24"/>
          <w:lang w:val="ro-MD"/>
        </w:rPr>
        <w:t xml:space="preserve">cadrul </w:t>
      </w:r>
      <w:r w:rsidR="00427259" w:rsidRPr="00CD7FE5">
        <w:rPr>
          <w:rFonts w:asciiTheme="majorHAnsi" w:hAnsiTheme="majorHAnsi" w:cstheme="majorHAnsi"/>
          <w:sz w:val="24"/>
          <w:szCs w:val="24"/>
          <w:lang w:val="ro-MD"/>
        </w:rPr>
        <w:t>auditul</w:t>
      </w:r>
      <w:r w:rsidR="00E41F4A">
        <w:rPr>
          <w:rFonts w:asciiTheme="majorHAnsi" w:hAnsiTheme="majorHAnsi" w:cstheme="majorHAnsi"/>
          <w:sz w:val="24"/>
          <w:szCs w:val="24"/>
          <w:lang w:val="ro-MD"/>
        </w:rPr>
        <w:t>ui</w:t>
      </w:r>
      <w:r w:rsidR="00427259" w:rsidRPr="00CD7FE5">
        <w:rPr>
          <w:rFonts w:asciiTheme="majorHAnsi" w:hAnsiTheme="majorHAnsi" w:cstheme="majorHAnsi"/>
          <w:sz w:val="24"/>
          <w:szCs w:val="24"/>
          <w:lang w:val="ro-MD"/>
        </w:rPr>
        <w:t xml:space="preserve"> precedent.</w:t>
      </w:r>
    </w:p>
    <w:p w14:paraId="78111DED" w14:textId="61188D1C" w:rsidR="00EF423C" w:rsidRDefault="009C25A7" w:rsidP="00EF423C">
      <w:pPr>
        <w:spacing w:after="0" w:line="276" w:lineRule="auto"/>
        <w:jc w:val="both"/>
        <w:rPr>
          <w:rFonts w:asciiTheme="majorHAnsi" w:eastAsia="Times New Roman" w:hAnsiTheme="majorHAnsi" w:cstheme="majorHAnsi"/>
          <w:iCs/>
          <w:sz w:val="24"/>
          <w:szCs w:val="24"/>
          <w:lang w:val="ro-MD"/>
        </w:rPr>
      </w:pPr>
      <w:r>
        <w:rPr>
          <w:rFonts w:asciiTheme="majorHAnsi" w:hAnsiTheme="majorHAnsi" w:cstheme="majorHAnsi"/>
          <w:b/>
          <w:sz w:val="24"/>
          <w:szCs w:val="24"/>
          <w:lang w:val="ro-MD"/>
        </w:rPr>
        <w:t>5</w:t>
      </w:r>
      <w:r w:rsidR="0081392B" w:rsidRPr="00CD7FE5">
        <w:rPr>
          <w:rFonts w:asciiTheme="majorHAnsi" w:hAnsiTheme="majorHAnsi" w:cstheme="majorHAnsi"/>
          <w:b/>
          <w:sz w:val="24"/>
          <w:szCs w:val="24"/>
          <w:lang w:val="ro-MD"/>
        </w:rPr>
        <w:t>.</w:t>
      </w:r>
      <w:r w:rsidR="00427259" w:rsidRPr="00CD7FE5">
        <w:rPr>
          <w:rFonts w:asciiTheme="majorHAnsi" w:hAnsiTheme="majorHAnsi" w:cstheme="majorHAnsi"/>
          <w:b/>
          <w:sz w:val="24"/>
          <w:szCs w:val="24"/>
          <w:lang w:val="ro-MD"/>
        </w:rPr>
        <w:t>4</w:t>
      </w:r>
      <w:r w:rsidR="0081392B" w:rsidRPr="00CD7FE5">
        <w:rPr>
          <w:rFonts w:asciiTheme="majorHAnsi" w:hAnsiTheme="majorHAnsi" w:cstheme="majorHAnsi"/>
          <w:b/>
          <w:sz w:val="24"/>
          <w:szCs w:val="24"/>
          <w:lang w:val="ro-MD"/>
        </w:rPr>
        <w:t>.</w:t>
      </w:r>
      <w:r w:rsidR="0081392B" w:rsidRPr="00CD7FE5">
        <w:rPr>
          <w:rFonts w:asciiTheme="majorHAnsi" w:hAnsiTheme="majorHAnsi" w:cstheme="majorHAnsi"/>
          <w:sz w:val="24"/>
          <w:szCs w:val="24"/>
          <w:lang w:val="ro-MD"/>
        </w:rPr>
        <w:t xml:space="preserve"> </w:t>
      </w:r>
      <w:r w:rsidR="00EF423C" w:rsidRPr="00CD7FE5">
        <w:rPr>
          <w:rFonts w:asciiTheme="majorHAnsi" w:eastAsia="Times New Roman" w:hAnsiTheme="majorHAnsi" w:cstheme="majorHAnsi"/>
          <w:iCs/>
          <w:sz w:val="24"/>
          <w:szCs w:val="24"/>
          <w:lang w:val="ro-MD"/>
        </w:rPr>
        <w:t xml:space="preserve">Auditul este limitat </w:t>
      </w:r>
      <w:r w:rsidR="00F81064" w:rsidRPr="00B4570E">
        <w:rPr>
          <w:rFonts w:asciiTheme="majorHAnsi" w:eastAsia="Times New Roman" w:hAnsiTheme="majorHAnsi" w:cstheme="majorHAnsi"/>
          <w:iCs/>
          <w:sz w:val="24"/>
          <w:szCs w:val="24"/>
          <w:lang w:val="ro-MD"/>
        </w:rPr>
        <w:t xml:space="preserve">în expunerea </w:t>
      </w:r>
      <w:r w:rsidR="00EF423C" w:rsidRPr="00B4570E">
        <w:rPr>
          <w:rFonts w:asciiTheme="majorHAnsi" w:eastAsia="Times New Roman" w:hAnsiTheme="majorHAnsi" w:cstheme="majorHAnsi"/>
          <w:iCs/>
          <w:sz w:val="24"/>
          <w:szCs w:val="24"/>
          <w:lang w:val="ro-MD"/>
        </w:rPr>
        <w:t>asupra cheltuielilor în sumă de 143</w:t>
      </w:r>
      <w:r w:rsidR="00F81064" w:rsidRPr="00B4570E">
        <w:rPr>
          <w:rFonts w:asciiTheme="majorHAnsi" w:eastAsia="Times New Roman" w:hAnsiTheme="majorHAnsi" w:cstheme="majorHAnsi"/>
          <w:iCs/>
          <w:sz w:val="24"/>
          <w:szCs w:val="24"/>
          <w:lang w:val="ro-MD"/>
        </w:rPr>
        <w:t>,0</w:t>
      </w:r>
      <w:r w:rsidR="00EF423C" w:rsidRPr="00B4570E">
        <w:rPr>
          <w:rFonts w:asciiTheme="majorHAnsi" w:eastAsia="Times New Roman" w:hAnsiTheme="majorHAnsi" w:cstheme="majorHAnsi"/>
          <w:iCs/>
          <w:sz w:val="24"/>
          <w:szCs w:val="24"/>
          <w:lang w:val="ro-MD"/>
        </w:rPr>
        <w:t xml:space="preserve"> mii lei</w:t>
      </w:r>
      <w:r w:rsidR="00F81064" w:rsidRPr="00B4570E">
        <w:rPr>
          <w:rFonts w:asciiTheme="majorHAnsi" w:eastAsia="Times New Roman" w:hAnsiTheme="majorHAnsi" w:cstheme="majorHAnsi"/>
          <w:iCs/>
          <w:sz w:val="24"/>
          <w:szCs w:val="24"/>
          <w:lang w:val="ro-MD"/>
        </w:rPr>
        <w:t>,</w:t>
      </w:r>
      <w:r w:rsidR="00EF423C" w:rsidRPr="00B4570E">
        <w:rPr>
          <w:rFonts w:asciiTheme="majorHAnsi" w:eastAsia="Times New Roman" w:hAnsiTheme="majorHAnsi" w:cstheme="majorHAnsi"/>
          <w:iCs/>
          <w:sz w:val="24"/>
          <w:szCs w:val="24"/>
          <w:lang w:val="ro-MD"/>
        </w:rPr>
        <w:t xml:space="preserve"> din cauza întocmirii superficiale a actelor de îndeplinire a lucrărilor și a necorelării plăților cu serviciile juridice real prestate I</w:t>
      </w:r>
      <w:r w:rsidR="00B4570E" w:rsidRPr="00B4570E">
        <w:rPr>
          <w:rFonts w:asciiTheme="majorHAnsi" w:eastAsia="Times New Roman" w:hAnsiTheme="majorHAnsi" w:cstheme="majorHAnsi"/>
          <w:iCs/>
          <w:sz w:val="24"/>
          <w:szCs w:val="24"/>
          <w:lang w:val="ro-MD"/>
        </w:rPr>
        <w:t>nstitutul</w:t>
      </w:r>
      <w:r w:rsidR="002D1579">
        <w:rPr>
          <w:rFonts w:asciiTheme="majorHAnsi" w:eastAsia="Times New Roman" w:hAnsiTheme="majorHAnsi" w:cstheme="majorHAnsi"/>
          <w:iCs/>
          <w:sz w:val="24"/>
          <w:szCs w:val="24"/>
          <w:lang w:val="ro-MD"/>
        </w:rPr>
        <w:t>ui</w:t>
      </w:r>
      <w:r w:rsidR="00B4570E" w:rsidRPr="00B4570E">
        <w:rPr>
          <w:rFonts w:asciiTheme="majorHAnsi" w:eastAsia="Times New Roman" w:hAnsiTheme="majorHAnsi" w:cstheme="majorHAnsi"/>
          <w:iCs/>
          <w:sz w:val="24"/>
          <w:szCs w:val="24"/>
          <w:lang w:val="ro-MD"/>
        </w:rPr>
        <w:t xml:space="preserve"> de </w:t>
      </w:r>
      <w:r w:rsidR="00EF423C" w:rsidRPr="00B4570E">
        <w:rPr>
          <w:rFonts w:asciiTheme="majorHAnsi" w:eastAsia="Times New Roman" w:hAnsiTheme="majorHAnsi" w:cstheme="majorHAnsi"/>
          <w:iCs/>
          <w:sz w:val="24"/>
          <w:szCs w:val="24"/>
          <w:lang w:val="ro-MD"/>
        </w:rPr>
        <w:t>Ș</w:t>
      </w:r>
      <w:r w:rsidR="00B4570E" w:rsidRPr="00B4570E">
        <w:rPr>
          <w:rFonts w:asciiTheme="majorHAnsi" w:eastAsia="Times New Roman" w:hAnsiTheme="majorHAnsi" w:cstheme="majorHAnsi"/>
          <w:iCs/>
          <w:sz w:val="24"/>
          <w:szCs w:val="24"/>
          <w:lang w:val="ro-MD"/>
        </w:rPr>
        <w:t xml:space="preserve">tiințe ale </w:t>
      </w:r>
      <w:r w:rsidR="00EF423C" w:rsidRPr="00B4570E">
        <w:rPr>
          <w:rFonts w:asciiTheme="majorHAnsi" w:eastAsia="Times New Roman" w:hAnsiTheme="majorHAnsi" w:cstheme="majorHAnsi"/>
          <w:iCs/>
          <w:sz w:val="24"/>
          <w:szCs w:val="24"/>
          <w:lang w:val="ro-MD"/>
        </w:rPr>
        <w:t>E</w:t>
      </w:r>
      <w:r w:rsidR="00B4570E" w:rsidRPr="00B4570E">
        <w:rPr>
          <w:rFonts w:asciiTheme="majorHAnsi" w:eastAsia="Times New Roman" w:hAnsiTheme="majorHAnsi" w:cstheme="majorHAnsi"/>
          <w:iCs/>
          <w:sz w:val="24"/>
          <w:szCs w:val="24"/>
          <w:lang w:val="ro-MD"/>
        </w:rPr>
        <w:t>ducației</w:t>
      </w:r>
      <w:r w:rsidR="00EF423C" w:rsidRPr="00CD7FE5">
        <w:rPr>
          <w:rFonts w:asciiTheme="majorHAnsi" w:eastAsia="Times New Roman" w:hAnsiTheme="majorHAnsi" w:cstheme="majorHAnsi"/>
          <w:iCs/>
          <w:sz w:val="24"/>
          <w:szCs w:val="24"/>
          <w:lang w:val="ro-MD"/>
        </w:rPr>
        <w:t>.</w:t>
      </w:r>
    </w:p>
    <w:p w14:paraId="57196381" w14:textId="1EBB1C8C" w:rsidR="006B7FC7" w:rsidRPr="00CD7FE5" w:rsidRDefault="006B7FC7" w:rsidP="006B7FC7">
      <w:pPr>
        <w:spacing w:after="0" w:line="276" w:lineRule="auto"/>
        <w:jc w:val="both"/>
        <w:rPr>
          <w:rFonts w:asciiTheme="majorHAnsi" w:hAnsiTheme="majorHAnsi" w:cstheme="majorHAnsi"/>
          <w:sz w:val="24"/>
          <w:szCs w:val="24"/>
          <w:lang w:val="ro-MD"/>
        </w:rPr>
      </w:pPr>
      <w:r>
        <w:rPr>
          <w:rFonts w:asciiTheme="majorHAnsi" w:hAnsiTheme="majorHAnsi" w:cstheme="majorHAnsi"/>
          <w:b/>
          <w:sz w:val="24"/>
          <w:szCs w:val="24"/>
          <w:lang w:val="ro-MD"/>
        </w:rPr>
        <w:t>5</w:t>
      </w:r>
      <w:r w:rsidRPr="00CD7FE5">
        <w:rPr>
          <w:rFonts w:asciiTheme="majorHAnsi" w:hAnsiTheme="majorHAnsi" w:cstheme="majorHAnsi"/>
          <w:b/>
          <w:sz w:val="24"/>
          <w:szCs w:val="24"/>
          <w:lang w:val="ro-MD"/>
        </w:rPr>
        <w:t>.</w:t>
      </w:r>
      <w:r>
        <w:rPr>
          <w:rFonts w:asciiTheme="majorHAnsi" w:hAnsiTheme="majorHAnsi" w:cstheme="majorHAnsi"/>
          <w:b/>
          <w:sz w:val="24"/>
          <w:szCs w:val="24"/>
          <w:lang w:val="ro-MD"/>
        </w:rPr>
        <w:t>5</w:t>
      </w:r>
      <w:r w:rsidRPr="00CD7FE5">
        <w:rPr>
          <w:rFonts w:asciiTheme="majorHAnsi" w:hAnsiTheme="majorHAnsi" w:cstheme="majorHAnsi"/>
          <w:b/>
          <w:sz w:val="24"/>
          <w:szCs w:val="24"/>
          <w:lang w:val="ro-MD"/>
        </w:rPr>
        <w:t>.</w:t>
      </w:r>
      <w:r w:rsidRPr="00CD7FE5">
        <w:rPr>
          <w:rFonts w:asciiTheme="majorHAnsi" w:hAnsiTheme="majorHAnsi" w:cstheme="majorHAnsi"/>
          <w:sz w:val="24"/>
          <w:szCs w:val="24"/>
          <w:lang w:val="ro-MD"/>
        </w:rPr>
        <w:t xml:space="preserve"> </w:t>
      </w:r>
      <w:r w:rsidRPr="006B7FC7">
        <w:rPr>
          <w:rFonts w:asciiTheme="majorHAnsi" w:hAnsiTheme="majorHAnsi" w:cstheme="majorHAnsi"/>
          <w:sz w:val="24"/>
          <w:szCs w:val="24"/>
          <w:lang w:val="ro-MD"/>
        </w:rPr>
        <w:t>Deși valoarea totală a creanțelor MECC cu termenul de achit</w:t>
      </w:r>
      <w:r w:rsidR="00BE6ED8">
        <w:rPr>
          <w:rFonts w:asciiTheme="majorHAnsi" w:hAnsiTheme="majorHAnsi" w:cstheme="majorHAnsi"/>
          <w:sz w:val="24"/>
          <w:szCs w:val="24"/>
          <w:lang w:val="ro-MD"/>
        </w:rPr>
        <w:t>are expirat la situația din 31.</w:t>
      </w:r>
      <w:r w:rsidRPr="006B7FC7">
        <w:rPr>
          <w:rFonts w:asciiTheme="majorHAnsi" w:hAnsiTheme="majorHAnsi" w:cstheme="majorHAnsi"/>
          <w:sz w:val="24"/>
          <w:szCs w:val="24"/>
          <w:lang w:val="ro-MD"/>
        </w:rPr>
        <w:t>1</w:t>
      </w:r>
      <w:r w:rsidR="00BE6ED8">
        <w:rPr>
          <w:rFonts w:asciiTheme="majorHAnsi" w:hAnsiTheme="majorHAnsi" w:cstheme="majorHAnsi"/>
          <w:sz w:val="24"/>
          <w:szCs w:val="24"/>
          <w:lang w:val="ro-MD"/>
        </w:rPr>
        <w:t>2</w:t>
      </w:r>
      <w:r w:rsidRPr="006B7FC7">
        <w:rPr>
          <w:rFonts w:asciiTheme="majorHAnsi" w:hAnsiTheme="majorHAnsi" w:cstheme="majorHAnsi"/>
          <w:sz w:val="24"/>
          <w:szCs w:val="24"/>
          <w:lang w:val="ro-MD"/>
        </w:rPr>
        <w:t>.2020 constituie 16712,85 mii lei, aceasta nu a fost raportată în FD-044 ca creanțe cu termenul de achitare expirat.</w:t>
      </w:r>
    </w:p>
    <w:p w14:paraId="1F19A1A5" w14:textId="77777777" w:rsidR="00872823" w:rsidRPr="00CD7FE5" w:rsidRDefault="00872823" w:rsidP="00325F1F">
      <w:pPr>
        <w:spacing w:after="0" w:line="276" w:lineRule="auto"/>
        <w:jc w:val="both"/>
        <w:rPr>
          <w:rFonts w:asciiTheme="majorHAnsi" w:hAnsiTheme="majorHAnsi" w:cstheme="majorHAnsi"/>
          <w:b/>
          <w:bCs/>
          <w:sz w:val="16"/>
          <w:szCs w:val="16"/>
          <w:highlight w:val="yellow"/>
          <w:lang w:val="ro-MD"/>
        </w:rPr>
      </w:pPr>
    </w:p>
    <w:p w14:paraId="52187256" w14:textId="3131388B" w:rsidR="00956640" w:rsidRPr="00CD7FE5" w:rsidRDefault="00956640" w:rsidP="00325F1F">
      <w:pPr>
        <w:spacing w:after="0" w:line="276" w:lineRule="auto"/>
        <w:rPr>
          <w:rFonts w:cstheme="minorHAnsi"/>
          <w:b/>
          <w:bCs/>
          <w:sz w:val="24"/>
          <w:szCs w:val="24"/>
          <w:lang w:val="ro-MD"/>
        </w:rPr>
      </w:pPr>
      <w:bookmarkStart w:id="5" w:name="_Toc520708135"/>
      <w:bookmarkStart w:id="6" w:name="_Toc527989153"/>
      <w:bookmarkStart w:id="7" w:name="_Toc528164110"/>
      <w:r w:rsidRPr="00CD7FE5">
        <w:rPr>
          <w:rFonts w:asciiTheme="majorHAnsi" w:hAnsiTheme="majorHAnsi" w:cstheme="majorHAnsi"/>
          <w:b/>
          <w:sz w:val="24"/>
          <w:szCs w:val="24"/>
          <w:lang w:val="ro-MD"/>
        </w:rPr>
        <w:t>V</w:t>
      </w:r>
      <w:r w:rsidR="008D4F50" w:rsidRPr="00CD7FE5">
        <w:rPr>
          <w:rFonts w:asciiTheme="majorHAnsi" w:hAnsiTheme="majorHAnsi" w:cstheme="majorHAnsi"/>
          <w:b/>
          <w:sz w:val="24"/>
          <w:szCs w:val="24"/>
          <w:lang w:val="ro-MD"/>
        </w:rPr>
        <w:t>I</w:t>
      </w:r>
      <w:r w:rsidRPr="00CD7FE5">
        <w:rPr>
          <w:rFonts w:asciiTheme="majorHAnsi" w:hAnsiTheme="majorHAnsi" w:cstheme="majorHAnsi"/>
          <w:b/>
          <w:sz w:val="24"/>
          <w:szCs w:val="24"/>
          <w:lang w:val="ro-MD"/>
        </w:rPr>
        <w:t>. BUNA GUVERNANȚĂ</w:t>
      </w:r>
    </w:p>
    <w:p w14:paraId="6EF1DB3B" w14:textId="78908909" w:rsidR="006A55F2" w:rsidRPr="00CD7FE5" w:rsidRDefault="008D4F50" w:rsidP="006A55F2">
      <w:pPr>
        <w:spacing w:after="0" w:line="276" w:lineRule="auto"/>
        <w:jc w:val="both"/>
        <w:rPr>
          <w:rFonts w:asciiTheme="majorHAnsi" w:hAnsiTheme="majorHAnsi"/>
          <w:sz w:val="24"/>
          <w:szCs w:val="24"/>
          <w:lang w:val="ro-MD"/>
        </w:rPr>
      </w:pPr>
      <w:r w:rsidRPr="00CD7FE5">
        <w:rPr>
          <w:rFonts w:asciiTheme="majorHAnsi" w:hAnsiTheme="majorHAnsi" w:cstheme="majorHAnsi"/>
          <w:b/>
          <w:bCs/>
          <w:sz w:val="24"/>
          <w:szCs w:val="24"/>
          <w:lang w:val="ro-MD"/>
        </w:rPr>
        <w:t>6</w:t>
      </w:r>
      <w:r w:rsidR="00A332A9" w:rsidRPr="00CD7FE5">
        <w:rPr>
          <w:rFonts w:asciiTheme="majorHAnsi" w:hAnsiTheme="majorHAnsi" w:cstheme="majorHAnsi"/>
          <w:b/>
          <w:bCs/>
          <w:sz w:val="24"/>
          <w:szCs w:val="24"/>
          <w:lang w:val="ro-MD"/>
        </w:rPr>
        <w:t>.1.</w:t>
      </w:r>
      <w:r w:rsidR="00A332A9" w:rsidRPr="00CD7FE5">
        <w:rPr>
          <w:rFonts w:asciiTheme="majorHAnsi" w:hAnsiTheme="majorHAnsi" w:cstheme="majorHAnsi"/>
          <w:sz w:val="24"/>
          <w:szCs w:val="24"/>
          <w:lang w:val="ro-MD"/>
        </w:rPr>
        <w:t xml:space="preserve"> </w:t>
      </w:r>
      <w:r w:rsidR="006A55F2" w:rsidRPr="00CD7FE5">
        <w:rPr>
          <w:rFonts w:asciiTheme="majorHAnsi" w:eastAsia="Times New Roman" w:hAnsiTheme="majorHAnsi" w:cstheme="majorHAnsi"/>
          <w:b/>
          <w:iCs/>
          <w:sz w:val="24"/>
          <w:szCs w:val="24"/>
          <w:lang w:val="ro-MD"/>
        </w:rPr>
        <w:t>S</w:t>
      </w:r>
      <w:r w:rsidR="006A55F2" w:rsidRPr="00CD7FE5">
        <w:rPr>
          <w:rFonts w:asciiTheme="majorHAnsi" w:eastAsia="Times New Roman" w:hAnsiTheme="majorHAnsi" w:cstheme="majorHAnsi"/>
          <w:b/>
          <w:sz w:val="24"/>
          <w:szCs w:val="24"/>
          <w:lang w:val="ro-MD"/>
        </w:rPr>
        <w:t xml:space="preserve">istemul de control intern managerial </w:t>
      </w:r>
      <w:r w:rsidR="006A55F2" w:rsidRPr="00CD7FE5">
        <w:rPr>
          <w:rFonts w:asciiTheme="majorHAnsi" w:hAnsiTheme="majorHAnsi" w:cstheme="majorHAnsi"/>
          <w:b/>
          <w:sz w:val="24"/>
          <w:szCs w:val="24"/>
          <w:lang w:val="ro-MD"/>
        </w:rPr>
        <w:t>instituit în cadrul MECC este unul redus și fragmentat</w:t>
      </w:r>
      <w:r w:rsidR="006A55F2" w:rsidRPr="00CD7FE5">
        <w:rPr>
          <w:rFonts w:asciiTheme="majorHAnsi" w:eastAsia="Times New Roman" w:hAnsiTheme="majorHAnsi" w:cstheme="majorHAnsi"/>
          <w:b/>
          <w:sz w:val="24"/>
          <w:szCs w:val="24"/>
          <w:lang w:val="ro-MD" w:eastAsia="ro-MD"/>
        </w:rPr>
        <w:t>.</w:t>
      </w:r>
    </w:p>
    <w:p w14:paraId="4F744E35" w14:textId="77777777" w:rsidR="006A55F2" w:rsidRPr="00CD7FE5" w:rsidRDefault="006A55F2" w:rsidP="006A55F2">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 xml:space="preserve">Un factor </w:t>
      </w:r>
      <w:r w:rsidRPr="00CD7FE5">
        <w:rPr>
          <w:rFonts w:asciiTheme="majorHAnsi" w:hAnsiTheme="majorHAnsi"/>
          <w:sz w:val="24"/>
          <w:szCs w:val="24"/>
          <w:lang w:val="ro-MD"/>
        </w:rPr>
        <w:t>generator de nereguli și denaturări ale situațiilor financiare este s</w:t>
      </w:r>
      <w:r w:rsidRPr="00CD7FE5">
        <w:rPr>
          <w:rFonts w:asciiTheme="majorHAnsi" w:eastAsia="Times New Roman" w:hAnsiTheme="majorHAnsi" w:cstheme="majorHAnsi"/>
          <w:sz w:val="24"/>
          <w:szCs w:val="24"/>
          <w:lang w:val="ro-MD"/>
        </w:rPr>
        <w:t>istemul de control intern managerial din</w:t>
      </w:r>
      <w:r w:rsidRPr="00CD7FE5">
        <w:rPr>
          <w:rFonts w:asciiTheme="majorHAnsi" w:hAnsiTheme="majorHAnsi" w:cstheme="majorHAnsi"/>
          <w:sz w:val="24"/>
          <w:szCs w:val="24"/>
          <w:lang w:val="ro-MD"/>
        </w:rPr>
        <w:t xml:space="preserve"> cadrul MECC. </w:t>
      </w:r>
      <w:r w:rsidRPr="00CD7FE5">
        <w:rPr>
          <w:rFonts w:asciiTheme="majorHAnsi" w:hAnsiTheme="majorHAnsi"/>
          <w:sz w:val="24"/>
          <w:szCs w:val="24"/>
          <w:lang w:val="ro-MD"/>
        </w:rPr>
        <w:t xml:space="preserve">Controlul intern managerial </w:t>
      </w:r>
      <w:r w:rsidRPr="00CD7F70">
        <w:rPr>
          <w:rFonts w:asciiTheme="majorHAnsi" w:hAnsiTheme="majorHAnsi"/>
          <w:sz w:val="24"/>
          <w:szCs w:val="24"/>
          <w:lang w:val="ro-MD"/>
        </w:rPr>
        <w:t>(în continuare – CIM) nu a</w:t>
      </w:r>
      <w:r w:rsidRPr="00CD7FE5">
        <w:rPr>
          <w:rFonts w:asciiTheme="majorHAnsi" w:hAnsiTheme="majorHAnsi"/>
          <w:sz w:val="24"/>
          <w:szCs w:val="24"/>
          <w:lang w:val="ro-MD"/>
        </w:rPr>
        <w:t xml:space="preserve"> </w:t>
      </w:r>
      <w:r w:rsidRPr="00CD7FE5">
        <w:rPr>
          <w:rFonts w:asciiTheme="majorHAnsi" w:hAnsiTheme="majorHAnsi" w:cstheme="majorHAnsi"/>
          <w:sz w:val="24"/>
          <w:szCs w:val="24"/>
          <w:lang w:val="ro-MD"/>
        </w:rPr>
        <w:t>asigurat efectuarea autoevaluării sistemului propriu-zis în termenul stabilit de cadrul regulator</w:t>
      </w:r>
      <w:r w:rsidRPr="00CD7FE5">
        <w:rPr>
          <w:rStyle w:val="FootnoteReference"/>
          <w:rFonts w:asciiTheme="majorHAnsi" w:hAnsiTheme="majorHAnsi" w:cstheme="majorHAnsi"/>
          <w:sz w:val="24"/>
          <w:szCs w:val="24"/>
          <w:lang w:val="ro-MD"/>
        </w:rPr>
        <w:footnoteReference w:id="18"/>
      </w:r>
      <w:r w:rsidRPr="00CD7FE5">
        <w:rPr>
          <w:rFonts w:asciiTheme="majorHAnsi" w:hAnsiTheme="majorHAnsi" w:cstheme="majorHAnsi"/>
          <w:sz w:val="24"/>
          <w:szCs w:val="24"/>
          <w:lang w:val="ro-MD"/>
        </w:rPr>
        <w:t>, ceea ce a condiționat emiterea tardivă a Declarației de răspundere managerială pe anul 2020</w:t>
      </w:r>
      <w:r w:rsidRPr="00CD7FE5">
        <w:rPr>
          <w:rStyle w:val="FootnoteReference"/>
          <w:rFonts w:asciiTheme="majorHAnsi" w:hAnsiTheme="majorHAnsi" w:cstheme="majorHAnsi"/>
          <w:sz w:val="24"/>
          <w:szCs w:val="24"/>
          <w:lang w:val="ro-MD"/>
        </w:rPr>
        <w:footnoteReference w:id="19"/>
      </w:r>
      <w:r w:rsidRPr="00CD7FE5">
        <w:rPr>
          <w:rFonts w:asciiTheme="majorHAnsi" w:hAnsiTheme="majorHAnsi" w:cstheme="majorHAnsi"/>
          <w:sz w:val="24"/>
          <w:szCs w:val="24"/>
          <w:lang w:val="ro-MD"/>
        </w:rPr>
        <w:t>, precum și a Raportului anual consolidat privind controlul intern managerial.</w:t>
      </w:r>
    </w:p>
    <w:p w14:paraId="3BE9371F" w14:textId="77777777" w:rsidR="006A55F2" w:rsidRPr="00CD7FE5" w:rsidRDefault="006A55F2" w:rsidP="006A55F2">
      <w:pPr>
        <w:tabs>
          <w:tab w:val="left" w:pos="993"/>
        </w:tabs>
        <w:spacing w:after="0" w:line="276" w:lineRule="auto"/>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 xml:space="preserve">Evaluarea preliminară a CIM denotă că mediul de control este unul ineficient, fapt confirmat de: </w:t>
      </w:r>
      <w:r w:rsidRPr="00CD7FE5">
        <w:rPr>
          <w:rFonts w:asciiTheme="majorHAnsi" w:eastAsia="Times New Roman" w:hAnsiTheme="majorHAnsi" w:cstheme="majorHAnsi"/>
          <w:sz w:val="24"/>
          <w:szCs w:val="24"/>
          <w:lang w:val="ro-MD" w:eastAsia="ro-MD"/>
        </w:rPr>
        <w:t xml:space="preserve">neconstituirea grupurilor de lucru; neidentificarea și neinițierea descrierii proceselor operaționale; nedefinirea și nedescrierea unor proceduri și acțiuni de control; lipsa procedurilor formalizate, inclusiv a proceselor descrise ale activităților respective; nedesfășurarea activităților privind evaluarea și monitorizarea riscurilor etc. </w:t>
      </w:r>
    </w:p>
    <w:p w14:paraId="7CF4815E" w14:textId="61C91B07" w:rsidR="006A55F2" w:rsidRPr="00CD7FE5" w:rsidRDefault="006A55F2" w:rsidP="006A55F2">
      <w:pPr>
        <w:tabs>
          <w:tab w:val="left" w:pos="993"/>
        </w:tabs>
        <w:spacing w:after="0" w:line="276" w:lineRule="auto"/>
        <w:jc w:val="both"/>
        <w:rPr>
          <w:rFonts w:asciiTheme="majorHAnsi" w:hAnsiTheme="majorHAnsi" w:cstheme="majorHAnsi"/>
          <w:sz w:val="24"/>
          <w:szCs w:val="24"/>
          <w:lang w:val="ro-MD" w:eastAsia="ro-MD"/>
        </w:rPr>
      </w:pPr>
      <w:r w:rsidRPr="00CD7FE5">
        <w:rPr>
          <w:rFonts w:asciiTheme="majorHAnsi" w:hAnsiTheme="majorHAnsi" w:cstheme="majorHAnsi"/>
          <w:sz w:val="24"/>
          <w:szCs w:val="24"/>
          <w:lang w:val="ro-MD" w:eastAsia="ro-MD"/>
        </w:rPr>
        <w:t>Această situație are ca impact evidenț</w:t>
      </w:r>
      <w:r w:rsidR="00F81064">
        <w:rPr>
          <w:rFonts w:asciiTheme="majorHAnsi" w:hAnsiTheme="majorHAnsi" w:cstheme="majorHAnsi"/>
          <w:sz w:val="24"/>
          <w:szCs w:val="24"/>
          <w:lang w:val="ro-MD" w:eastAsia="ro-MD"/>
        </w:rPr>
        <w:t>a</w:t>
      </w:r>
      <w:r w:rsidRPr="00CD7FE5">
        <w:rPr>
          <w:rFonts w:asciiTheme="majorHAnsi" w:hAnsiTheme="majorHAnsi" w:cstheme="majorHAnsi"/>
          <w:sz w:val="24"/>
          <w:szCs w:val="24"/>
          <w:lang w:val="ro-MD" w:eastAsia="ro-MD"/>
        </w:rPr>
        <w:t xml:space="preserve"> contabilă deficitară, ale cărei rezultate sunt reflectate în constatările din </w:t>
      </w:r>
      <w:r w:rsidRPr="00CD7FE5">
        <w:rPr>
          <w:rFonts w:asciiTheme="majorHAnsi" w:hAnsiTheme="majorHAnsi" w:cstheme="majorHAnsi"/>
          <w:i/>
          <w:sz w:val="24"/>
          <w:szCs w:val="24"/>
          <w:lang w:val="ro-MD" w:eastAsia="ro-MD"/>
        </w:rPr>
        <w:t>Baza pentru opinia contrară</w:t>
      </w:r>
      <w:r w:rsidRPr="00CD7FE5">
        <w:rPr>
          <w:rFonts w:asciiTheme="majorHAnsi" w:hAnsiTheme="majorHAnsi" w:cstheme="majorHAnsi"/>
          <w:sz w:val="24"/>
          <w:szCs w:val="24"/>
          <w:lang w:val="ro-MD" w:eastAsia="ro-MD"/>
        </w:rPr>
        <w:t xml:space="preserve"> și din alte secțiuni ale acestui Raport. </w:t>
      </w:r>
    </w:p>
    <w:p w14:paraId="6651CCBA" w14:textId="2FD0D0C6" w:rsidR="006A55F2" w:rsidRPr="00CD7FE5" w:rsidRDefault="008D4F50" w:rsidP="006A55F2">
      <w:pPr>
        <w:pStyle w:val="Heading2"/>
        <w:spacing w:before="0" w:line="276" w:lineRule="auto"/>
        <w:ind w:firstLine="0"/>
        <w:rPr>
          <w:rFonts w:asciiTheme="majorHAnsi" w:hAnsiTheme="majorHAnsi" w:cstheme="majorHAnsi"/>
          <w:b w:val="0"/>
          <w:bCs/>
          <w:sz w:val="24"/>
          <w:szCs w:val="24"/>
          <w:lang w:val="ro-MD"/>
        </w:rPr>
      </w:pPr>
      <w:r w:rsidRPr="00CD7FE5">
        <w:rPr>
          <w:rFonts w:asciiTheme="majorHAnsi" w:hAnsiTheme="majorHAnsi" w:cstheme="majorHAnsi"/>
          <w:bCs/>
          <w:sz w:val="24"/>
          <w:szCs w:val="24"/>
          <w:lang w:val="ro-MD" w:eastAsia="ro-MD"/>
        </w:rPr>
        <w:lastRenderedPageBreak/>
        <w:t>6</w:t>
      </w:r>
      <w:r w:rsidR="006A55F2" w:rsidRPr="00CD7FE5">
        <w:rPr>
          <w:rFonts w:asciiTheme="majorHAnsi" w:hAnsiTheme="majorHAnsi" w:cstheme="majorHAnsi"/>
          <w:bCs/>
          <w:sz w:val="24"/>
          <w:szCs w:val="24"/>
          <w:lang w:val="ro-MD" w:eastAsia="ro-MD"/>
        </w:rPr>
        <w:t xml:space="preserve">.2. </w:t>
      </w:r>
      <w:r w:rsidR="006A55F2" w:rsidRPr="00CD7FE5">
        <w:rPr>
          <w:rFonts w:asciiTheme="majorHAnsi" w:hAnsiTheme="majorHAnsi" w:cstheme="majorHAnsi"/>
          <w:sz w:val="24"/>
          <w:szCs w:val="24"/>
          <w:lang w:val="ro-MD"/>
        </w:rPr>
        <w:t>Auditul intern</w:t>
      </w:r>
      <w:r w:rsidR="006A55F2" w:rsidRPr="00CD7FE5">
        <w:rPr>
          <w:rFonts w:asciiTheme="majorHAnsi" w:hAnsiTheme="majorHAnsi" w:cstheme="majorHAnsi"/>
          <w:b w:val="0"/>
          <w:bCs/>
          <w:sz w:val="24"/>
          <w:szCs w:val="24"/>
          <w:lang w:val="ro-MD"/>
        </w:rPr>
        <w:t xml:space="preserve"> este implementat și funcționează în cadrul structurii administrative centrale a Ministerului. Însă, s</w:t>
      </w:r>
      <w:r w:rsidR="006A55F2" w:rsidRPr="00CD7FE5">
        <w:rPr>
          <w:rFonts w:asciiTheme="majorHAnsi" w:eastAsia="Times New Roman" w:hAnsiTheme="majorHAnsi" w:cstheme="majorHAnsi"/>
          <w:b w:val="0"/>
          <w:bCs/>
          <w:sz w:val="24"/>
          <w:szCs w:val="24"/>
          <w:lang w:val="ro-MD"/>
        </w:rPr>
        <w:t>tructura organizațională a Serviciului Audit Intern (</w:t>
      </w:r>
      <w:r w:rsidR="00F81064">
        <w:rPr>
          <w:rFonts w:asciiTheme="majorHAnsi" w:eastAsia="Times New Roman" w:hAnsiTheme="majorHAnsi" w:cstheme="majorHAnsi"/>
          <w:b w:val="0"/>
          <w:bCs/>
          <w:sz w:val="24"/>
          <w:szCs w:val="24"/>
          <w:lang w:val="ro-MD"/>
        </w:rPr>
        <w:t>1</w:t>
      </w:r>
      <w:r w:rsidR="006A55F2" w:rsidRPr="00CD7FE5">
        <w:rPr>
          <w:rFonts w:asciiTheme="majorHAnsi" w:eastAsia="Times New Roman" w:hAnsiTheme="majorHAnsi" w:cstheme="majorHAnsi"/>
          <w:b w:val="0"/>
          <w:bCs/>
          <w:sz w:val="24"/>
          <w:szCs w:val="24"/>
          <w:lang w:val="ro-MD"/>
        </w:rPr>
        <w:t xml:space="preserve"> funcție ocupată</w:t>
      </w:r>
      <w:r w:rsidR="00F81064">
        <w:rPr>
          <w:rFonts w:asciiTheme="majorHAnsi" w:eastAsia="Times New Roman" w:hAnsiTheme="majorHAnsi" w:cstheme="majorHAnsi"/>
          <w:b w:val="0"/>
          <w:bCs/>
          <w:sz w:val="24"/>
          <w:szCs w:val="24"/>
          <w:lang w:val="ro-MD"/>
        </w:rPr>
        <w:t>,</w:t>
      </w:r>
      <w:r w:rsidR="006A55F2" w:rsidRPr="00CD7FE5">
        <w:rPr>
          <w:rFonts w:asciiTheme="majorHAnsi" w:eastAsia="Times New Roman" w:hAnsiTheme="majorHAnsi" w:cstheme="majorHAnsi"/>
          <w:b w:val="0"/>
          <w:bCs/>
          <w:sz w:val="24"/>
          <w:szCs w:val="24"/>
          <w:lang w:val="ro-MD"/>
        </w:rPr>
        <w:t xml:space="preserve"> din 2 aprobate) nu oferă posibilitatea îndeplinirii corespunzătoare și calitative a sarcinilor și atribuțiilor privind auditarea MECC și entităților din subordine.</w:t>
      </w:r>
    </w:p>
    <w:p w14:paraId="5CFAEBE9" w14:textId="630B493F" w:rsidR="00AB6112" w:rsidRPr="00CD7FE5" w:rsidRDefault="008D4F50" w:rsidP="00AB6112">
      <w:pPr>
        <w:spacing w:after="0" w:line="276" w:lineRule="auto"/>
        <w:ind w:right="-31"/>
        <w:jc w:val="both"/>
        <w:rPr>
          <w:rFonts w:asciiTheme="majorHAnsi" w:hAnsiTheme="majorHAnsi" w:cstheme="majorHAnsi"/>
          <w:sz w:val="24"/>
          <w:szCs w:val="24"/>
          <w:lang w:val="ro-MD"/>
        </w:rPr>
      </w:pPr>
      <w:r w:rsidRPr="00CD7F70">
        <w:rPr>
          <w:rFonts w:asciiTheme="majorHAnsi" w:hAnsiTheme="majorHAnsi" w:cstheme="majorHAnsi"/>
          <w:b/>
          <w:bCs/>
          <w:sz w:val="24"/>
          <w:szCs w:val="24"/>
          <w:lang w:val="ro-MD" w:eastAsia="ro-MD"/>
        </w:rPr>
        <w:t>6</w:t>
      </w:r>
      <w:r w:rsidR="006A55F2" w:rsidRPr="00CD7F70">
        <w:rPr>
          <w:rFonts w:asciiTheme="majorHAnsi" w:hAnsiTheme="majorHAnsi" w:cstheme="majorHAnsi"/>
          <w:b/>
          <w:bCs/>
          <w:sz w:val="24"/>
          <w:szCs w:val="24"/>
          <w:lang w:val="ro-MD" w:eastAsia="ro-MD"/>
        </w:rPr>
        <w:t xml:space="preserve">.3. </w:t>
      </w:r>
      <w:r w:rsidR="00A332A9" w:rsidRPr="00CD7F70">
        <w:rPr>
          <w:rFonts w:asciiTheme="majorHAnsi" w:hAnsiTheme="majorHAnsi" w:cstheme="majorHAnsi"/>
          <w:sz w:val="24"/>
          <w:szCs w:val="24"/>
          <w:lang w:val="ro-MD"/>
        </w:rPr>
        <w:t xml:space="preserve">MECC </w:t>
      </w:r>
      <w:r w:rsidR="00D43C62" w:rsidRPr="00CD7F70">
        <w:rPr>
          <w:rFonts w:asciiTheme="majorHAnsi" w:hAnsiTheme="majorHAnsi" w:cstheme="majorHAnsi"/>
          <w:sz w:val="24"/>
          <w:szCs w:val="24"/>
          <w:lang w:val="ro-MD"/>
        </w:rPr>
        <w:t xml:space="preserve">nu </w:t>
      </w:r>
      <w:r w:rsidR="00AB6112" w:rsidRPr="00CD7F70">
        <w:rPr>
          <w:rFonts w:asciiTheme="majorHAnsi" w:hAnsiTheme="majorHAnsi" w:cstheme="majorHAnsi"/>
          <w:sz w:val="24"/>
          <w:szCs w:val="24"/>
          <w:lang w:val="ro-MD"/>
        </w:rPr>
        <w:t xml:space="preserve">a </w:t>
      </w:r>
      <w:r w:rsidR="00D43C62" w:rsidRPr="00CD7F70">
        <w:rPr>
          <w:rFonts w:asciiTheme="majorHAnsi" w:hAnsiTheme="majorHAnsi" w:cstheme="majorHAnsi"/>
          <w:sz w:val="24"/>
          <w:szCs w:val="24"/>
          <w:lang w:val="ro-MD"/>
        </w:rPr>
        <w:t xml:space="preserve">executat </w:t>
      </w:r>
      <w:r w:rsidR="00A332A9" w:rsidRPr="00CD7F70">
        <w:rPr>
          <w:rFonts w:asciiTheme="majorHAnsi" w:hAnsiTheme="majorHAnsi" w:cstheme="majorHAnsi"/>
          <w:sz w:val="24"/>
          <w:szCs w:val="24"/>
          <w:lang w:val="ro-MD"/>
        </w:rPr>
        <w:t>recomandăril</w:t>
      </w:r>
      <w:r w:rsidR="001F214A" w:rsidRPr="00CD7F70">
        <w:rPr>
          <w:rFonts w:asciiTheme="majorHAnsi" w:hAnsiTheme="majorHAnsi" w:cstheme="majorHAnsi"/>
          <w:sz w:val="24"/>
          <w:szCs w:val="24"/>
          <w:lang w:val="ro-MD"/>
        </w:rPr>
        <w:t>e</w:t>
      </w:r>
      <w:r w:rsidR="00A332A9" w:rsidRPr="00CD7F70">
        <w:rPr>
          <w:rFonts w:asciiTheme="majorHAnsi" w:hAnsiTheme="majorHAnsi" w:cstheme="majorHAnsi"/>
          <w:sz w:val="24"/>
          <w:szCs w:val="24"/>
          <w:lang w:val="ro-MD"/>
        </w:rPr>
        <w:t xml:space="preserve"> </w:t>
      </w:r>
      <w:r w:rsidR="00FC5FD2" w:rsidRPr="00CD7F70">
        <w:rPr>
          <w:rFonts w:asciiTheme="majorHAnsi" w:hAnsiTheme="majorHAnsi" w:cstheme="majorHAnsi"/>
          <w:sz w:val="24"/>
          <w:szCs w:val="24"/>
          <w:lang w:val="ro-MD"/>
        </w:rPr>
        <w:t>înaintate prin H</w:t>
      </w:r>
      <w:r w:rsidR="00CD7F70" w:rsidRPr="00B4570E">
        <w:rPr>
          <w:rFonts w:asciiTheme="majorHAnsi" w:hAnsiTheme="majorHAnsi" w:cstheme="majorHAnsi"/>
          <w:sz w:val="24"/>
          <w:szCs w:val="24"/>
          <w:lang w:val="ro-MD"/>
        </w:rPr>
        <w:t xml:space="preserve">otărârea </w:t>
      </w:r>
      <w:r w:rsidR="00FC5FD2" w:rsidRPr="00CD7F70">
        <w:rPr>
          <w:rFonts w:asciiTheme="majorHAnsi" w:hAnsiTheme="majorHAnsi" w:cstheme="majorHAnsi"/>
          <w:sz w:val="24"/>
          <w:szCs w:val="24"/>
          <w:lang w:val="ro-MD"/>
        </w:rPr>
        <w:t>C</w:t>
      </w:r>
      <w:r w:rsidR="00CD7F70" w:rsidRPr="00B4570E">
        <w:rPr>
          <w:rFonts w:asciiTheme="majorHAnsi" w:hAnsiTheme="majorHAnsi" w:cstheme="majorHAnsi"/>
          <w:sz w:val="24"/>
          <w:szCs w:val="24"/>
          <w:lang w:val="ro-MD"/>
        </w:rPr>
        <w:t xml:space="preserve">urții de </w:t>
      </w:r>
      <w:r w:rsidR="00FC5FD2" w:rsidRPr="00CD7F70">
        <w:rPr>
          <w:rFonts w:asciiTheme="majorHAnsi" w:hAnsiTheme="majorHAnsi" w:cstheme="majorHAnsi"/>
          <w:sz w:val="24"/>
          <w:szCs w:val="24"/>
          <w:lang w:val="ro-MD"/>
        </w:rPr>
        <w:t>C</w:t>
      </w:r>
      <w:r w:rsidR="00CD7F70" w:rsidRPr="00CD7F70">
        <w:rPr>
          <w:rFonts w:asciiTheme="majorHAnsi" w:hAnsiTheme="majorHAnsi" w:cstheme="majorHAnsi"/>
          <w:sz w:val="24"/>
          <w:szCs w:val="24"/>
          <w:lang w:val="ro-MD"/>
        </w:rPr>
        <w:t>onturi</w:t>
      </w:r>
      <w:r w:rsidR="00FC5FD2" w:rsidRPr="00CD7F70">
        <w:rPr>
          <w:rFonts w:asciiTheme="majorHAnsi" w:hAnsiTheme="majorHAnsi" w:cstheme="majorHAnsi"/>
          <w:sz w:val="24"/>
          <w:szCs w:val="24"/>
          <w:lang w:val="ro-MD"/>
        </w:rPr>
        <w:t xml:space="preserve"> nr.32 din 20</w:t>
      </w:r>
      <w:r w:rsidR="000B6145" w:rsidRPr="00CD7F70">
        <w:rPr>
          <w:rFonts w:asciiTheme="majorHAnsi" w:hAnsiTheme="majorHAnsi" w:cstheme="majorHAnsi"/>
          <w:sz w:val="24"/>
          <w:szCs w:val="24"/>
          <w:lang w:val="ro-MD"/>
        </w:rPr>
        <w:t>.0</w:t>
      </w:r>
      <w:r w:rsidR="00FC5FD2" w:rsidRPr="00CD7F70">
        <w:rPr>
          <w:rFonts w:asciiTheme="majorHAnsi" w:hAnsiTheme="majorHAnsi" w:cstheme="majorHAnsi"/>
          <w:sz w:val="24"/>
          <w:szCs w:val="24"/>
          <w:lang w:val="ro-MD"/>
        </w:rPr>
        <w:t>7.2020</w:t>
      </w:r>
      <w:r w:rsidR="00AB6112" w:rsidRPr="00CD7F70">
        <w:rPr>
          <w:rFonts w:asciiTheme="majorHAnsi" w:hAnsiTheme="majorHAnsi" w:cstheme="majorHAnsi"/>
          <w:sz w:val="24"/>
          <w:szCs w:val="24"/>
          <w:lang w:val="ro-MD"/>
        </w:rPr>
        <w:t xml:space="preserve"> (majoritatea cărora au fost reiterate din misiunile</w:t>
      </w:r>
      <w:r w:rsidR="00AB6112" w:rsidRPr="00CD7FE5">
        <w:rPr>
          <w:rFonts w:asciiTheme="majorHAnsi" w:hAnsiTheme="majorHAnsi" w:cstheme="majorHAnsi"/>
          <w:sz w:val="24"/>
          <w:szCs w:val="24"/>
          <w:lang w:val="ro-MD"/>
        </w:rPr>
        <w:t xml:space="preserve"> de audit anterioare)</w:t>
      </w:r>
      <w:r w:rsidR="000E1771" w:rsidRPr="00CD7FE5">
        <w:rPr>
          <w:rFonts w:asciiTheme="majorHAnsi" w:hAnsiTheme="majorHAnsi" w:cstheme="majorHAnsi"/>
          <w:sz w:val="24"/>
          <w:szCs w:val="24"/>
          <w:lang w:val="ro-MD"/>
        </w:rPr>
        <w:t xml:space="preserve">, din </w:t>
      </w:r>
      <w:r w:rsidR="00240E49" w:rsidRPr="00CD7FE5">
        <w:rPr>
          <w:rFonts w:asciiTheme="majorHAnsi" w:hAnsiTheme="majorHAnsi" w:cstheme="majorHAnsi"/>
          <w:sz w:val="24"/>
          <w:szCs w:val="24"/>
          <w:lang w:val="ro-MD"/>
        </w:rPr>
        <w:t>lips</w:t>
      </w:r>
      <w:r w:rsidR="001F214A">
        <w:rPr>
          <w:rFonts w:asciiTheme="majorHAnsi" w:hAnsiTheme="majorHAnsi" w:cstheme="majorHAnsi"/>
          <w:sz w:val="24"/>
          <w:szCs w:val="24"/>
          <w:lang w:val="ro-MD"/>
        </w:rPr>
        <w:t>a</w:t>
      </w:r>
      <w:r w:rsidR="00240E49" w:rsidRPr="00CD7FE5">
        <w:rPr>
          <w:rFonts w:asciiTheme="majorHAnsi" w:hAnsiTheme="majorHAnsi" w:cstheme="majorHAnsi"/>
          <w:sz w:val="24"/>
          <w:szCs w:val="24"/>
          <w:lang w:val="ro-MD"/>
        </w:rPr>
        <w:t xml:space="preserve"> unui sistem de monitorizare a activităților de implementare a recomandărilor noastre, </w:t>
      </w:r>
      <w:r w:rsidR="00A813A9" w:rsidRPr="00CD7FE5">
        <w:rPr>
          <w:rFonts w:asciiTheme="majorHAnsi" w:hAnsiTheme="majorHAnsi" w:cstheme="majorHAnsi"/>
          <w:sz w:val="24"/>
          <w:szCs w:val="24"/>
          <w:lang w:val="ro-MD"/>
        </w:rPr>
        <w:t>inclusiv</w:t>
      </w:r>
      <w:r w:rsidR="00891A48" w:rsidRPr="00CD7FE5">
        <w:rPr>
          <w:rFonts w:asciiTheme="majorHAnsi" w:hAnsiTheme="majorHAnsi" w:cstheme="majorHAnsi"/>
          <w:sz w:val="24"/>
          <w:szCs w:val="24"/>
          <w:lang w:val="ro-MD"/>
        </w:rPr>
        <w:t xml:space="preserve"> din </w:t>
      </w:r>
      <w:r w:rsidR="00180DF9" w:rsidRPr="00CD7FE5">
        <w:rPr>
          <w:rFonts w:asciiTheme="majorHAnsi" w:hAnsiTheme="majorHAnsi" w:cstheme="majorHAnsi"/>
          <w:sz w:val="24"/>
          <w:szCs w:val="24"/>
          <w:lang w:val="ro-MD"/>
        </w:rPr>
        <w:t xml:space="preserve">cauza </w:t>
      </w:r>
      <w:r w:rsidR="000E1771" w:rsidRPr="00CD7FE5">
        <w:rPr>
          <w:rFonts w:asciiTheme="majorHAnsi" w:hAnsiTheme="majorHAnsi" w:cstheme="majorHAnsi"/>
          <w:sz w:val="24"/>
          <w:szCs w:val="24"/>
          <w:lang w:val="ro-MD"/>
        </w:rPr>
        <w:t>capacitățil</w:t>
      </w:r>
      <w:r w:rsidR="00891A48" w:rsidRPr="00CD7FE5">
        <w:rPr>
          <w:rFonts w:asciiTheme="majorHAnsi" w:hAnsiTheme="majorHAnsi" w:cstheme="majorHAnsi"/>
          <w:sz w:val="24"/>
          <w:szCs w:val="24"/>
          <w:lang w:val="ro-MD"/>
        </w:rPr>
        <w:t>or</w:t>
      </w:r>
      <w:r w:rsidR="000E1771" w:rsidRPr="00CD7FE5">
        <w:rPr>
          <w:rFonts w:asciiTheme="majorHAnsi" w:hAnsiTheme="majorHAnsi" w:cstheme="majorHAnsi"/>
          <w:sz w:val="24"/>
          <w:szCs w:val="24"/>
          <w:lang w:val="ro-MD"/>
        </w:rPr>
        <w:t xml:space="preserve"> instituționale reduse</w:t>
      </w:r>
      <w:r w:rsidR="0001423E" w:rsidRPr="00CD7FE5">
        <w:rPr>
          <w:rFonts w:asciiTheme="majorHAnsi" w:hAnsiTheme="majorHAnsi" w:cstheme="majorHAnsi"/>
          <w:sz w:val="24"/>
          <w:szCs w:val="24"/>
          <w:lang w:val="ro-MD"/>
        </w:rPr>
        <w:t>, în special</w:t>
      </w:r>
      <w:r w:rsidR="001F214A">
        <w:rPr>
          <w:rFonts w:asciiTheme="majorHAnsi" w:hAnsiTheme="majorHAnsi" w:cstheme="majorHAnsi"/>
          <w:sz w:val="24"/>
          <w:szCs w:val="24"/>
          <w:lang w:val="ro-MD"/>
        </w:rPr>
        <w:t>,</w:t>
      </w:r>
      <w:r w:rsidR="0001423E" w:rsidRPr="00CD7FE5">
        <w:rPr>
          <w:rFonts w:asciiTheme="majorHAnsi" w:hAnsiTheme="majorHAnsi" w:cstheme="majorHAnsi"/>
          <w:sz w:val="24"/>
          <w:szCs w:val="24"/>
          <w:lang w:val="ro-MD"/>
        </w:rPr>
        <w:t xml:space="preserve"> al</w:t>
      </w:r>
      <w:r w:rsidR="00A813A9" w:rsidRPr="00CD7FE5">
        <w:rPr>
          <w:rFonts w:asciiTheme="majorHAnsi" w:hAnsiTheme="majorHAnsi" w:cstheme="majorHAnsi"/>
          <w:sz w:val="24"/>
          <w:szCs w:val="24"/>
          <w:lang w:val="ro-MD"/>
        </w:rPr>
        <w:t>e</w:t>
      </w:r>
      <w:r w:rsidR="0001423E" w:rsidRPr="00CD7FE5">
        <w:rPr>
          <w:rFonts w:asciiTheme="majorHAnsi" w:hAnsiTheme="majorHAnsi" w:cstheme="majorHAnsi"/>
          <w:sz w:val="24"/>
          <w:szCs w:val="24"/>
          <w:lang w:val="ro-MD"/>
        </w:rPr>
        <w:t xml:space="preserve"> </w:t>
      </w:r>
      <w:r w:rsidR="0001423E" w:rsidRPr="00CD7FE5">
        <w:rPr>
          <w:rFonts w:asciiTheme="majorHAnsi" w:eastAsia="Times New Roman" w:hAnsiTheme="majorHAnsi" w:cstheme="majorHAnsi"/>
          <w:sz w:val="24"/>
          <w:szCs w:val="24"/>
          <w:lang w:val="ro-MD" w:eastAsia="ro-MD"/>
        </w:rPr>
        <w:t>subdiviziunilor financiar-administrativă</w:t>
      </w:r>
      <w:r w:rsidR="000E1771" w:rsidRPr="00CD7FE5">
        <w:rPr>
          <w:rFonts w:asciiTheme="majorHAnsi" w:hAnsiTheme="majorHAnsi" w:cstheme="majorHAnsi"/>
          <w:sz w:val="24"/>
          <w:szCs w:val="24"/>
          <w:lang w:val="ro-MD"/>
        </w:rPr>
        <w:t xml:space="preserve"> </w:t>
      </w:r>
      <w:r w:rsidR="0001423E" w:rsidRPr="00CD7FE5">
        <w:rPr>
          <w:rFonts w:asciiTheme="majorHAnsi" w:eastAsia="Times New Roman" w:hAnsiTheme="majorHAnsi" w:cstheme="majorHAnsi"/>
          <w:sz w:val="24"/>
          <w:szCs w:val="24"/>
          <w:lang w:val="ro-MD" w:eastAsia="ro-MD"/>
        </w:rPr>
        <w:t>(1</w:t>
      </w:r>
      <w:r w:rsidR="003464CA" w:rsidRPr="00CD7FE5">
        <w:rPr>
          <w:rFonts w:asciiTheme="majorHAnsi" w:eastAsia="Times New Roman" w:hAnsiTheme="majorHAnsi" w:cstheme="majorHAnsi"/>
          <w:sz w:val="24"/>
          <w:szCs w:val="24"/>
          <w:lang w:val="ro-MD" w:eastAsia="ro-MD"/>
        </w:rPr>
        <w:t>4</w:t>
      </w:r>
      <w:r w:rsidR="0001423E" w:rsidRPr="00CD7FE5">
        <w:rPr>
          <w:rFonts w:asciiTheme="majorHAnsi" w:eastAsia="Times New Roman" w:hAnsiTheme="majorHAnsi" w:cstheme="majorHAnsi"/>
          <w:sz w:val="24"/>
          <w:szCs w:val="24"/>
          <w:lang w:val="ro-MD" w:eastAsia="ro-MD"/>
        </w:rPr>
        <w:t xml:space="preserve"> unități) </w:t>
      </w:r>
      <w:r w:rsidR="0001423E" w:rsidRPr="00CD7FE5">
        <w:rPr>
          <w:rFonts w:asciiTheme="majorHAnsi" w:hAnsiTheme="majorHAnsi" w:cstheme="majorHAnsi"/>
          <w:sz w:val="24"/>
          <w:szCs w:val="24"/>
          <w:lang w:val="ro-MD"/>
        </w:rPr>
        <w:t>și de audit intern (2 unități)</w:t>
      </w:r>
      <w:r w:rsidR="001F214A">
        <w:rPr>
          <w:rFonts w:asciiTheme="majorHAnsi" w:hAnsiTheme="majorHAnsi" w:cstheme="majorHAnsi"/>
          <w:sz w:val="24"/>
          <w:szCs w:val="24"/>
          <w:lang w:val="ro-MD"/>
        </w:rPr>
        <w:t>, precum</w:t>
      </w:r>
      <w:r w:rsidR="00240E49" w:rsidRPr="00CD7FE5">
        <w:rPr>
          <w:rFonts w:asciiTheme="majorHAnsi" w:hAnsiTheme="majorHAnsi" w:cstheme="majorHAnsi"/>
          <w:sz w:val="24"/>
          <w:szCs w:val="24"/>
          <w:lang w:val="ro-MD"/>
        </w:rPr>
        <w:t xml:space="preserve"> și</w:t>
      </w:r>
      <w:r w:rsidR="0001423E" w:rsidRPr="00CD7FE5">
        <w:rPr>
          <w:rFonts w:asciiTheme="majorHAnsi" w:hAnsiTheme="majorHAnsi" w:cstheme="majorHAnsi"/>
          <w:sz w:val="24"/>
          <w:szCs w:val="24"/>
          <w:lang w:val="ro-MD"/>
        </w:rPr>
        <w:t xml:space="preserve"> </w:t>
      </w:r>
      <w:r w:rsidR="001912F7">
        <w:rPr>
          <w:rFonts w:asciiTheme="majorHAnsi" w:hAnsiTheme="majorHAnsi" w:cstheme="majorHAnsi"/>
          <w:sz w:val="24"/>
          <w:szCs w:val="24"/>
          <w:lang w:val="ro-MD"/>
        </w:rPr>
        <w:t>a</w:t>
      </w:r>
      <w:r w:rsidR="000E1771" w:rsidRPr="00CD7FE5">
        <w:rPr>
          <w:rFonts w:asciiTheme="majorHAnsi" w:hAnsiTheme="majorHAnsi" w:cstheme="majorHAnsi"/>
          <w:sz w:val="24"/>
          <w:szCs w:val="24"/>
          <w:lang w:val="ro-MD"/>
        </w:rPr>
        <w:t xml:space="preserve"> </w:t>
      </w:r>
      <w:r w:rsidR="001912F7">
        <w:rPr>
          <w:rFonts w:asciiTheme="majorHAnsi" w:hAnsiTheme="majorHAnsi" w:cstheme="majorHAnsi"/>
          <w:sz w:val="24"/>
          <w:szCs w:val="24"/>
          <w:lang w:val="ro-MD"/>
        </w:rPr>
        <w:t>ne</w:t>
      </w:r>
      <w:r w:rsidR="000E1771" w:rsidRPr="00CD7FE5">
        <w:rPr>
          <w:rFonts w:asciiTheme="majorHAnsi" w:hAnsiTheme="majorHAnsi" w:cstheme="majorHAnsi"/>
          <w:sz w:val="24"/>
          <w:szCs w:val="24"/>
          <w:lang w:val="ro-MD"/>
        </w:rPr>
        <w:t>monitorizării activității entităților subord</w:t>
      </w:r>
      <w:r w:rsidR="006C5F46" w:rsidRPr="00CD7FE5">
        <w:rPr>
          <w:rFonts w:asciiTheme="majorHAnsi" w:hAnsiTheme="majorHAnsi" w:cstheme="majorHAnsi"/>
          <w:sz w:val="24"/>
          <w:szCs w:val="24"/>
          <w:lang w:val="ro-MD"/>
        </w:rPr>
        <w:t>o</w:t>
      </w:r>
      <w:r w:rsidR="00DE74E9" w:rsidRPr="00CD7FE5">
        <w:rPr>
          <w:rFonts w:asciiTheme="majorHAnsi" w:hAnsiTheme="majorHAnsi" w:cstheme="majorHAnsi"/>
          <w:sz w:val="24"/>
          <w:szCs w:val="24"/>
          <w:lang w:val="ro-MD"/>
        </w:rPr>
        <w:t xml:space="preserve">nate </w:t>
      </w:r>
      <w:r w:rsidR="0001423E" w:rsidRPr="00CD7FE5">
        <w:rPr>
          <w:rFonts w:asciiTheme="majorHAnsi" w:eastAsia="Times New Roman" w:hAnsiTheme="majorHAnsi" w:cstheme="majorHAnsi"/>
          <w:bCs/>
          <w:i/>
          <w:iCs/>
          <w:sz w:val="24"/>
          <w:szCs w:val="24"/>
          <w:lang w:val="ro-MD"/>
        </w:rPr>
        <w:t>(8</w:t>
      </w:r>
      <w:r w:rsidR="00240E49" w:rsidRPr="00CD7FE5">
        <w:rPr>
          <w:rFonts w:asciiTheme="majorHAnsi" w:eastAsia="Times New Roman" w:hAnsiTheme="majorHAnsi" w:cstheme="majorHAnsi"/>
          <w:bCs/>
          <w:i/>
          <w:iCs/>
          <w:sz w:val="24"/>
          <w:szCs w:val="24"/>
          <w:lang w:val="ro-MD"/>
        </w:rPr>
        <w:t>8</w:t>
      </w:r>
      <w:r w:rsidR="0001423E" w:rsidRPr="00CD7FE5">
        <w:rPr>
          <w:rFonts w:asciiTheme="majorHAnsi" w:eastAsia="Times New Roman" w:hAnsiTheme="majorHAnsi" w:cstheme="majorHAnsi"/>
          <w:bCs/>
          <w:i/>
          <w:iCs/>
          <w:sz w:val="24"/>
          <w:szCs w:val="24"/>
          <w:lang w:val="ro-MD"/>
        </w:rPr>
        <w:t xml:space="preserve"> </w:t>
      </w:r>
      <w:r w:rsidR="00A813A9" w:rsidRPr="00CD7FE5">
        <w:rPr>
          <w:rFonts w:asciiTheme="majorHAnsi" w:eastAsia="Times New Roman" w:hAnsiTheme="majorHAnsi" w:cstheme="majorHAnsi"/>
          <w:bCs/>
          <w:i/>
          <w:iCs/>
          <w:sz w:val="24"/>
          <w:szCs w:val="24"/>
          <w:lang w:val="ro-MD"/>
        </w:rPr>
        <w:t xml:space="preserve">de </w:t>
      </w:r>
      <w:r w:rsidR="0001423E" w:rsidRPr="00CD7FE5">
        <w:rPr>
          <w:rFonts w:asciiTheme="majorHAnsi" w:eastAsia="Times New Roman" w:hAnsiTheme="majorHAnsi" w:cstheme="majorHAnsi"/>
          <w:bCs/>
          <w:i/>
          <w:iCs/>
          <w:sz w:val="24"/>
          <w:szCs w:val="24"/>
          <w:lang w:val="ro-MD"/>
        </w:rPr>
        <w:t xml:space="preserve">instituții </w:t>
      </w:r>
      <w:r w:rsidR="00DE74E9" w:rsidRPr="00CD7FE5">
        <w:rPr>
          <w:rFonts w:asciiTheme="majorHAnsi" w:eastAsia="Times New Roman" w:hAnsiTheme="majorHAnsi" w:cstheme="majorHAnsi"/>
          <w:bCs/>
          <w:i/>
          <w:iCs/>
          <w:sz w:val="24"/>
          <w:szCs w:val="24"/>
          <w:lang w:val="ro-MD"/>
        </w:rPr>
        <w:t>bugetare</w:t>
      </w:r>
      <w:r w:rsidR="0001423E" w:rsidRPr="00CD7FE5">
        <w:rPr>
          <w:rFonts w:asciiTheme="majorHAnsi" w:eastAsia="Times New Roman" w:hAnsiTheme="majorHAnsi" w:cstheme="majorHAnsi"/>
          <w:bCs/>
          <w:i/>
          <w:iCs/>
          <w:sz w:val="24"/>
          <w:szCs w:val="24"/>
          <w:lang w:val="ro-MD"/>
        </w:rPr>
        <w:t xml:space="preserve"> și 11</w:t>
      </w:r>
      <w:r w:rsidR="00FC5FD2" w:rsidRPr="00CD7FE5">
        <w:rPr>
          <w:rFonts w:asciiTheme="majorHAnsi" w:eastAsia="Times New Roman" w:hAnsiTheme="majorHAnsi" w:cstheme="majorHAnsi"/>
          <w:bCs/>
          <w:i/>
          <w:iCs/>
          <w:sz w:val="24"/>
          <w:szCs w:val="24"/>
          <w:lang w:val="ro-MD"/>
        </w:rPr>
        <w:t>3</w:t>
      </w:r>
      <w:r w:rsidR="0001423E" w:rsidRPr="00CD7FE5">
        <w:rPr>
          <w:rFonts w:asciiTheme="majorHAnsi" w:eastAsia="Times New Roman" w:hAnsiTheme="majorHAnsi" w:cstheme="majorHAnsi"/>
          <w:bCs/>
          <w:i/>
          <w:iCs/>
          <w:sz w:val="24"/>
          <w:szCs w:val="24"/>
          <w:lang w:val="ro-MD"/>
        </w:rPr>
        <w:t xml:space="preserve"> instituții la autogestiune)</w:t>
      </w:r>
      <w:r w:rsidR="00A332A9" w:rsidRPr="00CD7FE5">
        <w:rPr>
          <w:rFonts w:asciiTheme="majorHAnsi" w:hAnsiTheme="majorHAnsi" w:cstheme="majorHAnsi"/>
          <w:sz w:val="24"/>
          <w:szCs w:val="24"/>
          <w:lang w:val="ro-MD"/>
        </w:rPr>
        <w:t>. Din 1</w:t>
      </w:r>
      <w:r w:rsidR="00FC5FD2" w:rsidRPr="00CD7FE5">
        <w:rPr>
          <w:rFonts w:asciiTheme="majorHAnsi" w:hAnsiTheme="majorHAnsi" w:cstheme="majorHAnsi"/>
          <w:sz w:val="24"/>
          <w:szCs w:val="24"/>
          <w:lang w:val="ro-MD"/>
        </w:rPr>
        <w:t>9</w:t>
      </w:r>
      <w:r w:rsidR="00A332A9" w:rsidRPr="00CD7FE5">
        <w:rPr>
          <w:rFonts w:asciiTheme="majorHAnsi" w:hAnsiTheme="majorHAnsi" w:cstheme="majorHAnsi"/>
          <w:sz w:val="24"/>
          <w:szCs w:val="24"/>
          <w:lang w:val="ro-MD"/>
        </w:rPr>
        <w:t xml:space="preserve"> recomandări înaintate</w:t>
      </w:r>
      <w:r w:rsidR="00A813A9" w:rsidRPr="00CD7FE5">
        <w:rPr>
          <w:rFonts w:asciiTheme="majorHAnsi" w:hAnsiTheme="majorHAnsi" w:cstheme="majorHAnsi"/>
          <w:sz w:val="24"/>
          <w:szCs w:val="24"/>
          <w:lang w:val="ro-MD"/>
        </w:rPr>
        <w:t>,</w:t>
      </w:r>
      <w:r w:rsidR="00A332A9" w:rsidRPr="00CD7FE5">
        <w:rPr>
          <w:rFonts w:asciiTheme="majorHAnsi" w:hAnsiTheme="majorHAnsi" w:cstheme="majorHAnsi"/>
          <w:sz w:val="24"/>
          <w:szCs w:val="24"/>
          <w:lang w:val="ro-MD"/>
        </w:rPr>
        <w:t xml:space="preserve"> </w:t>
      </w:r>
      <w:r w:rsidR="001912F7" w:rsidRPr="00CD7FE5">
        <w:rPr>
          <w:rFonts w:asciiTheme="majorHAnsi" w:hAnsiTheme="majorHAnsi" w:cstheme="majorHAnsi"/>
          <w:sz w:val="24"/>
          <w:szCs w:val="24"/>
          <w:lang w:val="ro-MD"/>
        </w:rPr>
        <w:t xml:space="preserve">6 recomandări </w:t>
      </w:r>
      <w:r w:rsidR="00A332A9" w:rsidRPr="00CD7FE5">
        <w:rPr>
          <w:rFonts w:asciiTheme="majorHAnsi" w:hAnsiTheme="majorHAnsi" w:cstheme="majorHAnsi"/>
          <w:sz w:val="24"/>
          <w:szCs w:val="24"/>
          <w:lang w:val="ro-MD"/>
        </w:rPr>
        <w:t>au fost parțial executat</w:t>
      </w:r>
      <w:r w:rsidR="00280952" w:rsidRPr="00CD7FE5">
        <w:rPr>
          <w:rFonts w:asciiTheme="majorHAnsi" w:hAnsiTheme="majorHAnsi" w:cstheme="majorHAnsi"/>
          <w:sz w:val="24"/>
          <w:szCs w:val="24"/>
          <w:lang w:val="ro-MD"/>
        </w:rPr>
        <w:t>e</w:t>
      </w:r>
      <w:r w:rsidR="00A813A9" w:rsidRPr="00CD7FE5">
        <w:rPr>
          <w:rFonts w:asciiTheme="majorHAnsi" w:hAnsiTheme="majorHAnsi" w:cstheme="majorHAnsi"/>
          <w:sz w:val="24"/>
          <w:szCs w:val="24"/>
          <w:lang w:val="ro-MD"/>
        </w:rPr>
        <w:t>,</w:t>
      </w:r>
      <w:r w:rsidR="00A332A9" w:rsidRPr="00CD7FE5">
        <w:rPr>
          <w:rFonts w:asciiTheme="majorHAnsi" w:hAnsiTheme="majorHAnsi" w:cstheme="majorHAnsi"/>
          <w:sz w:val="24"/>
          <w:szCs w:val="24"/>
          <w:lang w:val="ro-MD"/>
        </w:rPr>
        <w:t xml:space="preserve"> </w:t>
      </w:r>
      <w:r w:rsidR="001912F7">
        <w:rPr>
          <w:rFonts w:asciiTheme="majorHAnsi" w:hAnsiTheme="majorHAnsi" w:cstheme="majorHAnsi"/>
          <w:sz w:val="24"/>
          <w:szCs w:val="24"/>
          <w:lang w:val="ro-MD"/>
        </w:rPr>
        <w:t>iar</w:t>
      </w:r>
      <w:r w:rsidR="00A332A9" w:rsidRPr="00CD7FE5">
        <w:rPr>
          <w:rFonts w:asciiTheme="majorHAnsi" w:hAnsiTheme="majorHAnsi" w:cstheme="majorHAnsi"/>
          <w:sz w:val="24"/>
          <w:szCs w:val="24"/>
          <w:lang w:val="ro-MD"/>
        </w:rPr>
        <w:t xml:space="preserve"> </w:t>
      </w:r>
      <w:r w:rsidR="001912F7" w:rsidRPr="00CD7FE5">
        <w:rPr>
          <w:rFonts w:asciiTheme="majorHAnsi" w:hAnsiTheme="majorHAnsi" w:cstheme="majorHAnsi"/>
          <w:sz w:val="24"/>
          <w:szCs w:val="24"/>
          <w:lang w:val="ro-MD"/>
        </w:rPr>
        <w:t>13</w:t>
      </w:r>
      <w:r w:rsidR="001912F7">
        <w:rPr>
          <w:rFonts w:asciiTheme="majorHAnsi" w:hAnsiTheme="majorHAnsi" w:cstheme="majorHAnsi"/>
          <w:sz w:val="24"/>
          <w:szCs w:val="24"/>
          <w:lang w:val="ro-MD"/>
        </w:rPr>
        <w:t xml:space="preserve"> - </w:t>
      </w:r>
      <w:r w:rsidR="00A332A9" w:rsidRPr="00CD7FE5">
        <w:rPr>
          <w:rFonts w:asciiTheme="majorHAnsi" w:hAnsiTheme="majorHAnsi" w:cstheme="majorHAnsi"/>
          <w:sz w:val="24"/>
          <w:szCs w:val="24"/>
          <w:lang w:val="ro-MD"/>
        </w:rPr>
        <w:t>neexecutate</w:t>
      </w:r>
      <w:r w:rsidR="001912F7">
        <w:rPr>
          <w:rFonts w:asciiTheme="majorHAnsi" w:hAnsiTheme="majorHAnsi" w:cstheme="majorHAnsi"/>
          <w:sz w:val="24"/>
          <w:szCs w:val="24"/>
          <w:lang w:val="ro-MD"/>
        </w:rPr>
        <w:t>. Situația dată</w:t>
      </w:r>
      <w:r w:rsidR="0069698D" w:rsidRPr="00CD7FE5">
        <w:rPr>
          <w:rFonts w:asciiTheme="majorHAnsi" w:hAnsiTheme="majorHAnsi" w:cstheme="majorHAnsi"/>
          <w:sz w:val="24"/>
          <w:szCs w:val="24"/>
          <w:lang w:val="ro-MD"/>
        </w:rPr>
        <w:t xml:space="preserve"> a condiționat persistența unor aspecte care au influențat opinia </w:t>
      </w:r>
      <w:r w:rsidR="001912F7">
        <w:rPr>
          <w:rFonts w:asciiTheme="majorHAnsi" w:hAnsiTheme="majorHAnsi" w:cstheme="majorHAnsi"/>
          <w:sz w:val="24"/>
          <w:szCs w:val="24"/>
          <w:lang w:val="ro-MD"/>
        </w:rPr>
        <w:t>de audit</w:t>
      </w:r>
      <w:r w:rsidR="00A813A9" w:rsidRPr="00CD7FE5">
        <w:rPr>
          <w:rFonts w:asciiTheme="majorHAnsi" w:hAnsiTheme="majorHAnsi" w:cstheme="majorHAnsi"/>
          <w:sz w:val="24"/>
          <w:szCs w:val="24"/>
          <w:lang w:val="ro-MD"/>
        </w:rPr>
        <w:t xml:space="preserve"> și</w:t>
      </w:r>
      <w:r w:rsidR="00106EED" w:rsidRPr="00CD7FE5">
        <w:rPr>
          <w:rFonts w:asciiTheme="majorHAnsi" w:hAnsiTheme="majorHAnsi" w:cstheme="majorHAnsi"/>
          <w:sz w:val="24"/>
          <w:szCs w:val="24"/>
          <w:lang w:val="ro-MD"/>
        </w:rPr>
        <w:t xml:space="preserve"> asupra cărora </w:t>
      </w:r>
      <w:r w:rsidR="00240E49" w:rsidRPr="00CD7FE5">
        <w:rPr>
          <w:rFonts w:asciiTheme="majorHAnsi" w:hAnsiTheme="majorHAnsi" w:cstheme="majorHAnsi"/>
          <w:sz w:val="24"/>
          <w:szCs w:val="24"/>
          <w:lang w:val="ro-MD"/>
        </w:rPr>
        <w:t xml:space="preserve">este </w:t>
      </w:r>
      <w:r w:rsidR="00A813A9" w:rsidRPr="00CD7FE5">
        <w:rPr>
          <w:rFonts w:asciiTheme="majorHAnsi" w:hAnsiTheme="majorHAnsi" w:cstheme="majorHAnsi"/>
          <w:sz w:val="24"/>
          <w:szCs w:val="24"/>
          <w:lang w:val="ro-MD"/>
        </w:rPr>
        <w:t xml:space="preserve">orientată în continuare </w:t>
      </w:r>
      <w:r w:rsidR="00106EED" w:rsidRPr="00CD7FE5">
        <w:rPr>
          <w:rFonts w:asciiTheme="majorHAnsi" w:hAnsiTheme="majorHAnsi" w:cstheme="majorHAnsi"/>
          <w:sz w:val="24"/>
          <w:szCs w:val="24"/>
          <w:lang w:val="ro-MD"/>
        </w:rPr>
        <w:t xml:space="preserve">atenția </w:t>
      </w:r>
      <w:r w:rsidR="00240E49" w:rsidRPr="00CD7FE5">
        <w:rPr>
          <w:rFonts w:asciiTheme="majorHAnsi" w:hAnsiTheme="majorHAnsi" w:cstheme="majorHAnsi"/>
          <w:sz w:val="24"/>
          <w:szCs w:val="24"/>
          <w:lang w:val="ro-MD"/>
        </w:rPr>
        <w:t>noastră</w:t>
      </w:r>
      <w:r w:rsidR="00106EED" w:rsidRPr="00CD7FE5">
        <w:rPr>
          <w:rFonts w:asciiTheme="majorHAnsi" w:hAnsiTheme="majorHAnsi" w:cstheme="majorHAnsi"/>
          <w:sz w:val="24"/>
          <w:szCs w:val="24"/>
          <w:lang w:val="ro-MD"/>
        </w:rPr>
        <w:t>.</w:t>
      </w:r>
      <w:r w:rsidR="00AB6112" w:rsidRPr="00CD7FE5">
        <w:rPr>
          <w:rFonts w:asciiTheme="majorHAnsi" w:hAnsiTheme="majorHAnsi" w:cstheme="majorHAnsi"/>
          <w:sz w:val="24"/>
          <w:szCs w:val="24"/>
          <w:lang w:val="ro-MD"/>
        </w:rPr>
        <w:t xml:space="preserve"> </w:t>
      </w:r>
    </w:p>
    <w:p w14:paraId="78F0BAE2" w14:textId="172FF33E" w:rsidR="00D30A06" w:rsidRPr="00CD7FE5" w:rsidRDefault="008D4F50" w:rsidP="00D30A06">
      <w:pPr>
        <w:spacing w:after="0" w:line="276" w:lineRule="auto"/>
        <w:ind w:right="10"/>
        <w:jc w:val="both"/>
        <w:rPr>
          <w:rFonts w:asciiTheme="majorHAnsi" w:hAnsiTheme="majorHAnsi" w:cstheme="majorHAnsi"/>
          <w:b/>
          <w:caps/>
          <w:sz w:val="24"/>
          <w:szCs w:val="24"/>
          <w:lang w:val="ro-MD"/>
        </w:rPr>
      </w:pPr>
      <w:r w:rsidRPr="00CD7FE5">
        <w:rPr>
          <w:rFonts w:asciiTheme="majorHAnsi" w:eastAsia="Times New Roman" w:hAnsiTheme="majorHAnsi" w:cstheme="majorHAnsi"/>
          <w:b/>
          <w:sz w:val="24"/>
          <w:szCs w:val="24"/>
          <w:lang w:val="ro-MD"/>
        </w:rPr>
        <w:t>6</w:t>
      </w:r>
      <w:r w:rsidR="00D30A06" w:rsidRPr="00CD7FE5">
        <w:rPr>
          <w:rFonts w:asciiTheme="majorHAnsi" w:eastAsia="Times New Roman" w:hAnsiTheme="majorHAnsi" w:cstheme="majorHAnsi"/>
          <w:b/>
          <w:sz w:val="24"/>
          <w:szCs w:val="24"/>
          <w:lang w:val="ro-MD"/>
        </w:rPr>
        <w:t xml:space="preserve">.4. </w:t>
      </w:r>
      <w:r w:rsidR="00D30A06" w:rsidRPr="00CD7FE5">
        <w:rPr>
          <w:rFonts w:asciiTheme="majorHAnsi" w:hAnsiTheme="majorHAnsi" w:cstheme="majorHAnsi"/>
          <w:b/>
          <w:sz w:val="24"/>
          <w:szCs w:val="24"/>
          <w:lang w:val="ro-MD"/>
        </w:rPr>
        <w:t>Cu privire la administrarea patrimoniului de peste hotarele țării</w:t>
      </w:r>
      <w:r w:rsidR="00D30A06" w:rsidRPr="00CD7FE5">
        <w:rPr>
          <w:rFonts w:asciiTheme="majorHAnsi" w:hAnsiTheme="majorHAnsi" w:cstheme="majorHAnsi"/>
          <w:b/>
          <w:caps/>
          <w:sz w:val="24"/>
          <w:szCs w:val="24"/>
          <w:lang w:val="ro-MD"/>
        </w:rPr>
        <w:t xml:space="preserve"> </w:t>
      </w:r>
    </w:p>
    <w:p w14:paraId="463E6D9B" w14:textId="4C675BB6" w:rsidR="00D30A06" w:rsidRPr="00CD7FE5" w:rsidRDefault="00D30A06" w:rsidP="0085370E">
      <w:pPr>
        <w:spacing w:after="0" w:line="276" w:lineRule="auto"/>
        <w:ind w:right="10"/>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 xml:space="preserve">În conformitate cu prevederile Codului </w:t>
      </w:r>
      <w:r w:rsidR="008F1375">
        <w:rPr>
          <w:rFonts w:asciiTheme="majorHAnsi" w:hAnsiTheme="majorHAnsi" w:cstheme="majorHAnsi"/>
          <w:sz w:val="24"/>
          <w:szCs w:val="24"/>
          <w:lang w:val="ro-MD"/>
        </w:rPr>
        <w:t>e</w:t>
      </w:r>
      <w:r w:rsidRPr="00CD7FE5">
        <w:rPr>
          <w:rFonts w:asciiTheme="majorHAnsi" w:hAnsiTheme="majorHAnsi" w:cstheme="majorHAnsi"/>
          <w:sz w:val="24"/>
          <w:szCs w:val="24"/>
          <w:lang w:val="ro-MD"/>
        </w:rPr>
        <w:t>ducației (art.106)</w:t>
      </w:r>
      <w:r w:rsidR="008F1375">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clădirile și terenurile în/pe care își desfășoară activitatea </w:t>
      </w:r>
      <w:r w:rsidRPr="00B4570E">
        <w:rPr>
          <w:rFonts w:asciiTheme="majorHAnsi" w:hAnsiTheme="majorHAnsi" w:cstheme="majorHAnsi"/>
          <w:sz w:val="24"/>
          <w:szCs w:val="24"/>
          <w:lang w:val="ro-MD"/>
        </w:rPr>
        <w:t xml:space="preserve">instituțiile </w:t>
      </w:r>
      <w:r w:rsidR="005C3A06" w:rsidRPr="00B4570E">
        <w:rPr>
          <w:rFonts w:asciiTheme="majorHAnsi" w:hAnsiTheme="majorHAnsi" w:cstheme="majorHAnsi"/>
          <w:sz w:val="24"/>
          <w:szCs w:val="24"/>
          <w:lang w:val="ro-MD"/>
        </w:rPr>
        <w:t xml:space="preserve">publice </w:t>
      </w:r>
      <w:r w:rsidRPr="00B4570E">
        <w:rPr>
          <w:rFonts w:asciiTheme="majorHAnsi" w:hAnsiTheme="majorHAnsi" w:cstheme="majorHAnsi"/>
          <w:sz w:val="24"/>
          <w:szCs w:val="24"/>
          <w:lang w:val="ro-MD"/>
        </w:rPr>
        <w:t>de învățământ</w:t>
      </w:r>
      <w:r w:rsidRPr="00CD7FE5">
        <w:rPr>
          <w:rFonts w:asciiTheme="majorHAnsi" w:hAnsiTheme="majorHAnsi" w:cstheme="majorHAnsi"/>
          <w:sz w:val="24"/>
          <w:szCs w:val="24"/>
          <w:lang w:val="ro-MD"/>
        </w:rPr>
        <w:t xml:space="preserve"> superior fac parte din domeniul public al statului și nu pot fi înstrăinate. Instituțiile </w:t>
      </w:r>
      <w:r w:rsidRPr="00CD7F70">
        <w:rPr>
          <w:rFonts w:asciiTheme="majorHAnsi" w:hAnsiTheme="majorHAnsi" w:cstheme="majorHAnsi"/>
          <w:sz w:val="24"/>
          <w:szCs w:val="24"/>
          <w:lang w:val="ro-MD"/>
        </w:rPr>
        <w:t xml:space="preserve">de învățământ </w:t>
      </w:r>
      <w:r w:rsidR="00CD7F70" w:rsidRPr="00B4570E">
        <w:rPr>
          <w:rFonts w:asciiTheme="majorHAnsi" w:hAnsiTheme="majorHAnsi" w:cstheme="majorHAnsi"/>
          <w:sz w:val="24"/>
          <w:szCs w:val="24"/>
          <w:lang w:val="ro-MD"/>
        </w:rPr>
        <w:t xml:space="preserve">superior </w:t>
      </w:r>
      <w:r w:rsidRPr="00CD7F70">
        <w:rPr>
          <w:rFonts w:asciiTheme="majorHAnsi" w:hAnsiTheme="majorHAnsi" w:cstheme="majorHAnsi"/>
          <w:sz w:val="24"/>
          <w:szCs w:val="24"/>
          <w:lang w:val="ro-MD"/>
        </w:rPr>
        <w:t>din subordinea</w:t>
      </w:r>
      <w:r w:rsidRPr="00CD7FE5">
        <w:rPr>
          <w:rFonts w:asciiTheme="majorHAnsi" w:hAnsiTheme="majorHAnsi" w:cstheme="majorHAnsi"/>
          <w:sz w:val="24"/>
          <w:szCs w:val="24"/>
          <w:lang w:val="ro-MD"/>
        </w:rPr>
        <w:t xml:space="preserve"> MECC </w:t>
      </w:r>
      <w:r w:rsidRPr="00B4570E">
        <w:rPr>
          <w:rFonts w:asciiTheme="majorHAnsi" w:hAnsiTheme="majorHAnsi" w:cstheme="majorHAnsi"/>
          <w:sz w:val="24"/>
          <w:szCs w:val="24"/>
          <w:lang w:val="ro-MD"/>
        </w:rPr>
        <w:t>(USEFS, UTM, USM)</w:t>
      </w:r>
      <w:r w:rsidRPr="00CD7FE5">
        <w:rPr>
          <w:rFonts w:asciiTheme="majorHAnsi" w:hAnsiTheme="majorHAnsi" w:cstheme="majorHAnsi"/>
          <w:sz w:val="24"/>
          <w:szCs w:val="24"/>
          <w:lang w:val="ro-MD"/>
        </w:rPr>
        <w:t xml:space="preserve"> nu au asigurat o gestiune adecvată a patrimoniului public aflat peste hotarele RM. </w:t>
      </w:r>
    </w:p>
    <w:p w14:paraId="63FFB6BD" w14:textId="7BCF5E2A" w:rsidR="00D30A06" w:rsidRPr="00CD7FE5" w:rsidRDefault="00D30A06" w:rsidP="0085370E">
      <w:pPr>
        <w:spacing w:after="0" w:line="276" w:lineRule="auto"/>
        <w:ind w:right="10"/>
        <w:jc w:val="both"/>
        <w:rPr>
          <w:rFonts w:asciiTheme="majorHAnsi" w:hAnsiTheme="majorHAnsi" w:cstheme="majorHAnsi"/>
          <w:sz w:val="24"/>
          <w:szCs w:val="24"/>
          <w:lang w:val="ro-MD"/>
        </w:rPr>
      </w:pPr>
      <w:r w:rsidRPr="00CD7FE5">
        <w:rPr>
          <w:rFonts w:asciiTheme="majorHAnsi" w:hAnsiTheme="majorHAnsi" w:cstheme="majorHAnsi"/>
          <w:b/>
          <w:bCs/>
          <w:sz w:val="24"/>
          <w:szCs w:val="24"/>
          <w:lang w:val="ro-MD"/>
        </w:rPr>
        <w:t>Universitatea de Stat de Educație Fizică și Sport (USEFS)</w:t>
      </w:r>
      <w:r w:rsidRPr="00CD7FE5">
        <w:rPr>
          <w:rFonts w:asciiTheme="majorHAnsi" w:hAnsiTheme="majorHAnsi" w:cstheme="majorHAnsi"/>
          <w:sz w:val="24"/>
          <w:szCs w:val="24"/>
          <w:lang w:val="ro-MD"/>
        </w:rPr>
        <w:t>, având în gestiune Baza de Instruire „Pedagog” din or. Sergheevca, la 13.03.2014</w:t>
      </w:r>
      <w:r w:rsidR="0077051D">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a solicitat de la Ministerul Educației decontarea a 17 căsuțe din lemn și a unui pavilion, date în exploatare în anul 1977, din cauza gradului sporit de </w:t>
      </w:r>
      <w:r w:rsidRPr="00B4570E">
        <w:rPr>
          <w:rFonts w:asciiTheme="majorHAnsi" w:hAnsiTheme="majorHAnsi" w:cstheme="majorHAnsi"/>
          <w:sz w:val="24"/>
          <w:szCs w:val="24"/>
          <w:lang w:val="ro-MD"/>
        </w:rPr>
        <w:t>uzură</w:t>
      </w:r>
      <w:r w:rsidR="0077051D" w:rsidRPr="00B4570E">
        <w:rPr>
          <w:rFonts w:asciiTheme="majorHAnsi" w:hAnsiTheme="majorHAnsi" w:cstheme="majorHAnsi"/>
          <w:sz w:val="24"/>
          <w:szCs w:val="24"/>
          <w:lang w:val="ro-MD"/>
        </w:rPr>
        <w:t xml:space="preserve"> și</w:t>
      </w:r>
      <w:r w:rsidRPr="00B4570E">
        <w:rPr>
          <w:rFonts w:asciiTheme="majorHAnsi" w:hAnsiTheme="majorHAnsi" w:cstheme="majorHAnsi"/>
          <w:sz w:val="24"/>
          <w:szCs w:val="24"/>
          <w:lang w:val="ro-MD"/>
        </w:rPr>
        <w:t xml:space="preserve"> imposibilității reparării acestora</w:t>
      </w:r>
      <w:r w:rsidR="0077051D" w:rsidRPr="00B4570E">
        <w:rPr>
          <w:rFonts w:asciiTheme="majorHAnsi" w:hAnsiTheme="majorHAnsi" w:cstheme="majorHAnsi"/>
          <w:sz w:val="24"/>
          <w:szCs w:val="24"/>
          <w:lang w:val="ro-MD"/>
        </w:rPr>
        <w:t>, precum</w:t>
      </w:r>
      <w:r w:rsidRPr="00B4570E">
        <w:rPr>
          <w:rFonts w:asciiTheme="majorHAnsi" w:hAnsiTheme="majorHAnsi" w:cstheme="majorHAnsi"/>
          <w:sz w:val="24"/>
          <w:szCs w:val="24"/>
          <w:lang w:val="ro-MD"/>
        </w:rPr>
        <w:t xml:space="preserve"> și </w:t>
      </w:r>
      <w:r w:rsidR="0077051D" w:rsidRPr="00B4570E">
        <w:rPr>
          <w:rFonts w:asciiTheme="majorHAnsi" w:hAnsiTheme="majorHAnsi" w:cstheme="majorHAnsi"/>
          <w:sz w:val="24"/>
          <w:szCs w:val="24"/>
          <w:lang w:val="ro-MD"/>
        </w:rPr>
        <w:t xml:space="preserve">a </w:t>
      </w:r>
      <w:r w:rsidRPr="00B4570E">
        <w:rPr>
          <w:rFonts w:asciiTheme="majorHAnsi" w:hAnsiTheme="majorHAnsi" w:cstheme="majorHAnsi"/>
          <w:sz w:val="24"/>
          <w:szCs w:val="24"/>
          <w:lang w:val="ro-MD"/>
        </w:rPr>
        <w:t xml:space="preserve">cheltuielilor mari de întreținere a </w:t>
      </w:r>
      <w:r w:rsidR="0077051D" w:rsidRPr="00B4570E">
        <w:rPr>
          <w:rFonts w:asciiTheme="majorHAnsi" w:hAnsiTheme="majorHAnsi" w:cstheme="majorHAnsi"/>
          <w:sz w:val="24"/>
          <w:szCs w:val="24"/>
          <w:lang w:val="ro-MD"/>
        </w:rPr>
        <w:t>Bazei</w:t>
      </w:r>
      <w:r w:rsidRPr="00B4570E">
        <w:rPr>
          <w:rFonts w:asciiTheme="majorHAnsi" w:hAnsiTheme="majorHAnsi" w:cstheme="majorHAnsi"/>
          <w:sz w:val="24"/>
          <w:szCs w:val="24"/>
          <w:lang w:val="ro-MD"/>
        </w:rPr>
        <w:t xml:space="preserve">. </w:t>
      </w:r>
      <w:r w:rsidR="0077051D">
        <w:rPr>
          <w:rFonts w:asciiTheme="majorHAnsi" w:hAnsiTheme="majorHAnsi" w:cstheme="majorHAnsi"/>
          <w:sz w:val="24"/>
          <w:szCs w:val="24"/>
          <w:lang w:val="ro-MD"/>
        </w:rPr>
        <w:t>M</w:t>
      </w:r>
      <w:r w:rsidRPr="00CD7FE5">
        <w:rPr>
          <w:rFonts w:asciiTheme="majorHAnsi" w:hAnsiTheme="majorHAnsi" w:cstheme="majorHAnsi"/>
          <w:sz w:val="24"/>
          <w:szCs w:val="24"/>
          <w:lang w:val="ro-MD"/>
        </w:rPr>
        <w:t>inisterul</w:t>
      </w:r>
      <w:r w:rsidR="0077051D">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xml:space="preserve"> </w:t>
      </w:r>
      <w:r w:rsidR="0077051D">
        <w:rPr>
          <w:rFonts w:asciiTheme="majorHAnsi" w:hAnsiTheme="majorHAnsi" w:cstheme="majorHAnsi"/>
          <w:sz w:val="24"/>
          <w:szCs w:val="24"/>
          <w:lang w:val="ro-MD"/>
        </w:rPr>
        <w:t>și-a dat a</w:t>
      </w:r>
      <w:r w:rsidR="0077051D" w:rsidRPr="00CD7FE5">
        <w:rPr>
          <w:rFonts w:asciiTheme="majorHAnsi" w:hAnsiTheme="majorHAnsi" w:cstheme="majorHAnsi"/>
          <w:sz w:val="24"/>
          <w:szCs w:val="24"/>
          <w:lang w:val="ro-MD"/>
        </w:rPr>
        <w:t xml:space="preserve">cordul </w:t>
      </w:r>
      <w:r w:rsidRPr="00CD7FE5">
        <w:rPr>
          <w:rFonts w:asciiTheme="majorHAnsi" w:hAnsiTheme="majorHAnsi" w:cstheme="majorHAnsi"/>
          <w:sz w:val="24"/>
          <w:szCs w:val="24"/>
          <w:lang w:val="ro-MD"/>
        </w:rPr>
        <w:t>pentru decontarea bunurilor imobile la 30.01.2015 (</w:t>
      </w:r>
      <w:r w:rsidR="0077051D">
        <w:rPr>
          <w:rFonts w:asciiTheme="majorHAnsi" w:hAnsiTheme="majorHAnsi" w:cstheme="majorHAnsi"/>
          <w:sz w:val="24"/>
          <w:szCs w:val="24"/>
          <w:lang w:val="ro-MD"/>
        </w:rPr>
        <w:t>D</w:t>
      </w:r>
      <w:r w:rsidRPr="00CD7FE5">
        <w:rPr>
          <w:rFonts w:asciiTheme="majorHAnsi" w:hAnsiTheme="majorHAnsi" w:cstheme="majorHAnsi"/>
          <w:sz w:val="24"/>
          <w:szCs w:val="24"/>
          <w:lang w:val="ro-MD"/>
        </w:rPr>
        <w:t>ispoziția nr.25), în baza căruia USEFS a decontat bunurile respective în valoare de 462,54 mii lei. În prezent</w:t>
      </w:r>
      <w:r w:rsidR="0077051D">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xml:space="preserve"> teritoriul </w:t>
      </w:r>
      <w:r w:rsidR="0077051D">
        <w:rPr>
          <w:rFonts w:asciiTheme="majorHAnsi" w:hAnsiTheme="majorHAnsi" w:cstheme="majorHAnsi"/>
          <w:sz w:val="24"/>
          <w:szCs w:val="24"/>
          <w:lang w:val="ro-MD"/>
        </w:rPr>
        <w:t>B</w:t>
      </w:r>
      <w:r w:rsidRPr="00CD7FE5">
        <w:rPr>
          <w:rFonts w:asciiTheme="majorHAnsi" w:hAnsiTheme="majorHAnsi" w:cstheme="majorHAnsi"/>
          <w:sz w:val="24"/>
          <w:szCs w:val="24"/>
          <w:lang w:val="ro-MD"/>
        </w:rPr>
        <w:t xml:space="preserve">azei și căsuțele decontate sunt folosite de </w:t>
      </w:r>
      <w:r w:rsidR="0077051D">
        <w:rPr>
          <w:rFonts w:asciiTheme="majorHAnsi" w:hAnsiTheme="majorHAnsi" w:cstheme="majorHAnsi"/>
          <w:sz w:val="24"/>
          <w:szCs w:val="24"/>
          <w:lang w:val="ro-MD"/>
        </w:rPr>
        <w:t>către B</w:t>
      </w:r>
      <w:r w:rsidRPr="00CD7FE5">
        <w:rPr>
          <w:rFonts w:asciiTheme="majorHAnsi" w:hAnsiTheme="majorHAnsi" w:cstheme="majorHAnsi"/>
          <w:sz w:val="24"/>
          <w:szCs w:val="24"/>
          <w:lang w:val="ro-MD"/>
        </w:rPr>
        <w:t xml:space="preserve">aza de odihnă pentru copii „Ciaika”. </w:t>
      </w:r>
    </w:p>
    <w:p w14:paraId="339539B4" w14:textId="3CDD27DB" w:rsidR="00771C33" w:rsidRPr="00771C33" w:rsidRDefault="00D30A06" w:rsidP="0013783D">
      <w:pPr>
        <w:jc w:val="both"/>
        <w:rPr>
          <w:rFonts w:asciiTheme="majorHAnsi" w:hAnsiTheme="majorHAnsi" w:cstheme="majorHAnsi"/>
          <w:sz w:val="24"/>
          <w:szCs w:val="24"/>
        </w:rPr>
      </w:pPr>
      <w:r w:rsidRPr="00CD7FE5">
        <w:rPr>
          <w:rFonts w:asciiTheme="majorHAnsi" w:hAnsiTheme="majorHAnsi" w:cstheme="majorHAnsi"/>
          <w:sz w:val="24"/>
          <w:szCs w:val="24"/>
          <w:lang w:val="ro-MD"/>
        </w:rPr>
        <w:t xml:space="preserve">Potrivit evidenței contabile a </w:t>
      </w:r>
      <w:r w:rsidRPr="00CD7FE5">
        <w:rPr>
          <w:rFonts w:asciiTheme="majorHAnsi" w:hAnsiTheme="majorHAnsi" w:cstheme="majorHAnsi"/>
          <w:b/>
          <w:bCs/>
          <w:sz w:val="24"/>
          <w:szCs w:val="24"/>
          <w:lang w:val="ro-MD"/>
        </w:rPr>
        <w:t>Universității Tehnice a Moldovei (UTM)</w:t>
      </w:r>
      <w:r w:rsidRPr="00CD7FE5">
        <w:rPr>
          <w:rFonts w:asciiTheme="majorHAnsi" w:hAnsiTheme="majorHAnsi" w:cstheme="majorHAnsi"/>
          <w:sz w:val="24"/>
          <w:szCs w:val="24"/>
          <w:lang w:val="ro-MD"/>
        </w:rPr>
        <w:t>, aceasta are la b</w:t>
      </w:r>
      <w:r w:rsidR="0077051D">
        <w:rPr>
          <w:rFonts w:asciiTheme="majorHAnsi" w:hAnsiTheme="majorHAnsi" w:cstheme="majorHAnsi"/>
          <w:sz w:val="24"/>
          <w:szCs w:val="24"/>
          <w:lang w:val="ro-MD"/>
        </w:rPr>
        <w:t>a</w:t>
      </w:r>
      <w:r w:rsidRPr="00CD7FE5">
        <w:rPr>
          <w:rFonts w:asciiTheme="majorHAnsi" w:hAnsiTheme="majorHAnsi" w:cstheme="majorHAnsi"/>
          <w:sz w:val="24"/>
          <w:szCs w:val="24"/>
          <w:lang w:val="ro-MD"/>
        </w:rPr>
        <w:t>lanț</w:t>
      </w:r>
      <w:r w:rsidR="0077051D">
        <w:rPr>
          <w:rFonts w:asciiTheme="majorHAnsi" w:hAnsiTheme="majorHAnsi" w:cstheme="majorHAnsi"/>
          <w:sz w:val="24"/>
          <w:szCs w:val="24"/>
          <w:lang w:val="ro-MD"/>
        </w:rPr>
        <w:t>ă</w:t>
      </w:r>
      <w:r w:rsidRPr="00CD7FE5">
        <w:rPr>
          <w:rFonts w:asciiTheme="majorHAnsi" w:hAnsiTheme="majorHAnsi" w:cstheme="majorHAnsi"/>
          <w:sz w:val="24"/>
          <w:szCs w:val="24"/>
          <w:lang w:val="ro-MD"/>
        </w:rPr>
        <w:t xml:space="preserve">  </w:t>
      </w:r>
      <w:r w:rsidR="0077051D">
        <w:rPr>
          <w:rFonts w:asciiTheme="majorHAnsi" w:hAnsiTheme="majorHAnsi" w:cstheme="majorHAnsi"/>
          <w:sz w:val="24"/>
          <w:szCs w:val="24"/>
          <w:lang w:val="ro-MD"/>
        </w:rPr>
        <w:t>B</w:t>
      </w:r>
      <w:r w:rsidRPr="00CD7FE5">
        <w:rPr>
          <w:rFonts w:asciiTheme="majorHAnsi" w:hAnsiTheme="majorHAnsi" w:cstheme="majorHAnsi"/>
          <w:sz w:val="24"/>
          <w:szCs w:val="24"/>
          <w:lang w:val="ro-MD"/>
        </w:rPr>
        <w:t xml:space="preserve">aza de odihnă </w:t>
      </w:r>
      <w:r w:rsidRPr="0013783D">
        <w:rPr>
          <w:rFonts w:asciiTheme="majorHAnsi" w:hAnsiTheme="majorHAnsi" w:cstheme="majorHAnsi"/>
          <w:sz w:val="24"/>
          <w:szCs w:val="24"/>
          <w:lang w:val="ro-MD"/>
        </w:rPr>
        <w:t xml:space="preserve">„POLITEH” din </w:t>
      </w:r>
      <w:r w:rsidR="0013783D" w:rsidRPr="0013783D">
        <w:rPr>
          <w:rFonts w:asciiTheme="majorHAnsi" w:hAnsiTheme="majorHAnsi" w:cstheme="majorHAnsi"/>
          <w:sz w:val="24"/>
          <w:szCs w:val="24"/>
          <w:lang w:val="ro-MD"/>
        </w:rPr>
        <w:t>or</w:t>
      </w:r>
      <w:r w:rsidRPr="0013783D">
        <w:rPr>
          <w:rFonts w:asciiTheme="majorHAnsi" w:hAnsiTheme="majorHAnsi" w:cstheme="majorHAnsi"/>
          <w:sz w:val="24"/>
          <w:szCs w:val="24"/>
          <w:lang w:val="ro-MD"/>
        </w:rPr>
        <w:t>. Zatoca, Ucraina, în valoare de 76,68 mii lei. UTM, cu acordul Ministerul</w:t>
      </w:r>
      <w:r w:rsidR="006F5C99" w:rsidRPr="0013783D">
        <w:rPr>
          <w:rFonts w:asciiTheme="majorHAnsi" w:hAnsiTheme="majorHAnsi" w:cstheme="majorHAnsi"/>
          <w:sz w:val="24"/>
          <w:szCs w:val="24"/>
          <w:lang w:val="ro-MD"/>
        </w:rPr>
        <w:t>ui</w:t>
      </w:r>
      <w:r w:rsidRPr="0013783D">
        <w:rPr>
          <w:rFonts w:asciiTheme="majorHAnsi" w:hAnsiTheme="majorHAnsi" w:cstheme="majorHAnsi"/>
          <w:sz w:val="24"/>
          <w:szCs w:val="24"/>
          <w:lang w:val="ro-MD"/>
        </w:rPr>
        <w:t xml:space="preserve"> Învățământului, la 03.12.2001</w:t>
      </w:r>
      <w:r w:rsidR="006F5C99" w:rsidRPr="0013783D">
        <w:rPr>
          <w:rFonts w:asciiTheme="majorHAnsi" w:hAnsiTheme="majorHAnsi" w:cstheme="majorHAnsi"/>
          <w:sz w:val="24"/>
          <w:szCs w:val="24"/>
          <w:lang w:val="ro-MD"/>
        </w:rPr>
        <w:t>,</w:t>
      </w:r>
      <w:r w:rsidRPr="0013783D">
        <w:rPr>
          <w:rFonts w:asciiTheme="majorHAnsi" w:hAnsiTheme="majorHAnsi" w:cstheme="majorHAnsi"/>
          <w:sz w:val="24"/>
          <w:szCs w:val="24"/>
          <w:lang w:val="ro-MD"/>
        </w:rPr>
        <w:t xml:space="preserve"> a transmis </w:t>
      </w:r>
      <w:r w:rsidR="006F5C99" w:rsidRPr="0013783D">
        <w:rPr>
          <w:rFonts w:asciiTheme="majorHAnsi" w:hAnsiTheme="majorHAnsi" w:cstheme="majorHAnsi"/>
          <w:sz w:val="24"/>
          <w:szCs w:val="24"/>
          <w:lang w:val="ro-MD"/>
        </w:rPr>
        <w:t>B</w:t>
      </w:r>
      <w:r w:rsidRPr="0013783D">
        <w:rPr>
          <w:rFonts w:asciiTheme="majorHAnsi" w:hAnsiTheme="majorHAnsi" w:cstheme="majorHAnsi"/>
          <w:sz w:val="24"/>
          <w:szCs w:val="24"/>
          <w:lang w:val="ro-MD"/>
        </w:rPr>
        <w:t>aza</w:t>
      </w:r>
      <w:r w:rsidR="006F5C99" w:rsidRPr="0013783D">
        <w:rPr>
          <w:rFonts w:asciiTheme="majorHAnsi" w:hAnsiTheme="majorHAnsi" w:cstheme="majorHAnsi"/>
          <w:sz w:val="24"/>
          <w:szCs w:val="24"/>
          <w:lang w:val="ro-MD"/>
        </w:rPr>
        <w:t>,</w:t>
      </w:r>
      <w:r w:rsidRPr="0013783D">
        <w:rPr>
          <w:rFonts w:asciiTheme="majorHAnsi" w:hAnsiTheme="majorHAnsi" w:cstheme="majorHAnsi"/>
          <w:sz w:val="24"/>
          <w:szCs w:val="24"/>
          <w:lang w:val="ro-MD"/>
        </w:rPr>
        <w:t xml:space="preserve"> formată din</w:t>
      </w:r>
      <w:r w:rsidR="006F5C99" w:rsidRPr="0013783D">
        <w:rPr>
          <w:rFonts w:asciiTheme="majorHAnsi" w:hAnsiTheme="majorHAnsi" w:cstheme="majorHAnsi"/>
          <w:sz w:val="24"/>
          <w:szCs w:val="24"/>
          <w:lang w:val="ro-MD"/>
        </w:rPr>
        <w:t xml:space="preserve"> </w:t>
      </w:r>
      <w:r w:rsidRPr="0013783D">
        <w:rPr>
          <w:rFonts w:asciiTheme="majorHAnsi" w:hAnsiTheme="majorHAnsi" w:cstheme="majorHAnsi"/>
          <w:sz w:val="24"/>
          <w:szCs w:val="24"/>
          <w:lang w:val="ro-MD"/>
        </w:rPr>
        <w:t>clădiri, instalații, utilaj, alte bunuri materiale</w:t>
      </w:r>
      <w:r w:rsidR="00F5509A" w:rsidRPr="0013783D">
        <w:rPr>
          <w:rFonts w:asciiTheme="majorHAnsi" w:hAnsiTheme="majorHAnsi" w:cstheme="majorHAnsi"/>
          <w:sz w:val="24"/>
          <w:szCs w:val="24"/>
          <w:lang w:val="ro-MD"/>
        </w:rPr>
        <w:t>,</w:t>
      </w:r>
      <w:r w:rsidRPr="0013783D">
        <w:rPr>
          <w:rFonts w:asciiTheme="majorHAnsi" w:hAnsiTheme="majorHAnsi" w:cstheme="majorHAnsi"/>
          <w:sz w:val="24"/>
          <w:szCs w:val="24"/>
          <w:lang w:val="ro-MD"/>
        </w:rPr>
        <w:t xml:space="preserve"> în locațiune unui cetățean a</w:t>
      </w:r>
      <w:r w:rsidR="006F5C99" w:rsidRPr="0013783D">
        <w:rPr>
          <w:rFonts w:asciiTheme="majorHAnsi" w:hAnsiTheme="majorHAnsi" w:cstheme="majorHAnsi"/>
          <w:sz w:val="24"/>
          <w:szCs w:val="24"/>
          <w:lang w:val="ro-MD"/>
        </w:rPr>
        <w:t>l</w:t>
      </w:r>
      <w:r w:rsidRPr="0013783D">
        <w:rPr>
          <w:rFonts w:asciiTheme="majorHAnsi" w:hAnsiTheme="majorHAnsi" w:cstheme="majorHAnsi"/>
          <w:sz w:val="24"/>
          <w:szCs w:val="24"/>
          <w:lang w:val="ro-MD"/>
        </w:rPr>
        <w:t xml:space="preserve"> Ucrainei</w:t>
      </w:r>
      <w:r w:rsidR="006F5C99" w:rsidRPr="0013783D">
        <w:rPr>
          <w:rFonts w:asciiTheme="majorHAnsi" w:hAnsiTheme="majorHAnsi" w:cstheme="majorHAnsi"/>
          <w:sz w:val="24"/>
          <w:szCs w:val="24"/>
          <w:lang w:val="ro-MD"/>
        </w:rPr>
        <w:t>,</w:t>
      </w:r>
      <w:r w:rsidRPr="0013783D">
        <w:rPr>
          <w:rFonts w:asciiTheme="majorHAnsi" w:hAnsiTheme="majorHAnsi" w:cstheme="majorHAnsi"/>
          <w:sz w:val="24"/>
          <w:szCs w:val="24"/>
          <w:lang w:val="ro-MD"/>
        </w:rPr>
        <w:t xml:space="preserve"> pe un termen de 15 ani, care nu a mai fost prelungit după expirarea contractului de locațiune în anul 2016. Ulterior</w:t>
      </w:r>
      <w:r w:rsidR="006F5C99" w:rsidRPr="0013783D">
        <w:rPr>
          <w:rFonts w:asciiTheme="majorHAnsi" w:hAnsiTheme="majorHAnsi" w:cstheme="majorHAnsi"/>
          <w:sz w:val="24"/>
          <w:szCs w:val="24"/>
          <w:lang w:val="ro-MD"/>
        </w:rPr>
        <w:t>,</w:t>
      </w:r>
      <w:r w:rsidRPr="0013783D">
        <w:rPr>
          <w:rFonts w:asciiTheme="majorHAnsi" w:hAnsiTheme="majorHAnsi" w:cstheme="majorHAnsi"/>
          <w:sz w:val="24"/>
          <w:szCs w:val="24"/>
          <w:lang w:val="ro-MD"/>
        </w:rPr>
        <w:t xml:space="preserve"> s-a constatat că Comitetul executiv al or. Z</w:t>
      </w:r>
      <w:r w:rsidRPr="00CD7FE5">
        <w:rPr>
          <w:rFonts w:asciiTheme="majorHAnsi" w:hAnsiTheme="majorHAnsi" w:cstheme="majorHAnsi"/>
          <w:sz w:val="24"/>
          <w:szCs w:val="24"/>
          <w:lang w:val="ro-MD"/>
        </w:rPr>
        <w:t>atoca și cetățeanul indicat a</w:t>
      </w:r>
      <w:r w:rsidR="006F5C99">
        <w:rPr>
          <w:rFonts w:asciiTheme="majorHAnsi" w:hAnsiTheme="majorHAnsi" w:cstheme="majorHAnsi"/>
          <w:sz w:val="24"/>
          <w:szCs w:val="24"/>
          <w:lang w:val="ro-MD"/>
        </w:rPr>
        <w:t>u</w:t>
      </w:r>
      <w:r w:rsidRPr="00CD7FE5">
        <w:rPr>
          <w:rFonts w:asciiTheme="majorHAnsi" w:hAnsiTheme="majorHAnsi" w:cstheme="majorHAnsi"/>
          <w:sz w:val="24"/>
          <w:szCs w:val="24"/>
          <w:lang w:val="ro-MD"/>
        </w:rPr>
        <w:t xml:space="preserve"> semnat un contract de arendă funciară a terenului, </w:t>
      </w:r>
      <w:r w:rsidR="006F5C99">
        <w:rPr>
          <w:rFonts w:asciiTheme="majorHAnsi" w:hAnsiTheme="majorHAnsi" w:cstheme="majorHAnsi"/>
          <w:sz w:val="24"/>
          <w:szCs w:val="24"/>
          <w:lang w:val="ro-MD"/>
        </w:rPr>
        <w:t xml:space="preserve">pe acest teren </w:t>
      </w:r>
      <w:r w:rsidRPr="00CD7FE5">
        <w:rPr>
          <w:rFonts w:asciiTheme="majorHAnsi" w:hAnsiTheme="majorHAnsi" w:cstheme="majorHAnsi"/>
          <w:sz w:val="24"/>
          <w:szCs w:val="24"/>
          <w:lang w:val="ro-MD"/>
        </w:rPr>
        <w:t>fiind construit un complex hotelier</w:t>
      </w:r>
      <w:r w:rsidR="0004022A" w:rsidRPr="00CD7FE5">
        <w:rPr>
          <w:rStyle w:val="FootnoteReference"/>
          <w:rFonts w:asciiTheme="majorHAnsi" w:hAnsiTheme="majorHAnsi" w:cstheme="majorHAnsi"/>
          <w:sz w:val="24"/>
          <w:szCs w:val="24"/>
          <w:lang w:val="ro-MD"/>
        </w:rPr>
        <w:footnoteReference w:id="20"/>
      </w:r>
      <w:r w:rsidR="0004022A" w:rsidRPr="00CD7FE5">
        <w:rPr>
          <w:rFonts w:asciiTheme="majorHAnsi" w:hAnsiTheme="majorHAnsi" w:cstheme="majorHAnsi"/>
          <w:sz w:val="24"/>
          <w:szCs w:val="24"/>
          <w:lang w:val="ro-MD"/>
        </w:rPr>
        <w:t xml:space="preserve"> </w:t>
      </w:r>
      <w:r w:rsidR="0060679C">
        <w:rPr>
          <w:rFonts w:asciiTheme="majorHAnsi" w:hAnsiTheme="majorHAnsi" w:cstheme="majorHAnsi"/>
          <w:sz w:val="24"/>
          <w:szCs w:val="24"/>
          <w:lang w:val="ro-MD"/>
        </w:rPr>
        <w:t xml:space="preserve">format </w:t>
      </w:r>
      <w:r w:rsidR="0004022A" w:rsidRPr="00CD7FE5">
        <w:rPr>
          <w:rFonts w:asciiTheme="majorHAnsi" w:hAnsiTheme="majorHAnsi" w:cstheme="majorHAnsi"/>
          <w:sz w:val="24"/>
          <w:szCs w:val="24"/>
          <w:lang w:val="ro-MD"/>
        </w:rPr>
        <w:t>din 3 blocuri și o piscină</w:t>
      </w:r>
      <w:r w:rsidR="006F5C99">
        <w:rPr>
          <w:rFonts w:asciiTheme="majorHAnsi" w:hAnsiTheme="majorHAnsi" w:cstheme="majorHAnsi"/>
          <w:sz w:val="24"/>
          <w:szCs w:val="24"/>
          <w:lang w:val="ro-MD"/>
        </w:rPr>
        <w:t>,</w:t>
      </w:r>
      <w:r w:rsidR="0004022A" w:rsidRPr="00CD7FE5">
        <w:rPr>
          <w:rFonts w:asciiTheme="majorHAnsi" w:hAnsiTheme="majorHAnsi" w:cstheme="majorHAnsi"/>
          <w:sz w:val="24"/>
          <w:szCs w:val="24"/>
          <w:lang w:val="ro-MD"/>
        </w:rPr>
        <w:t xml:space="preserve"> cu demolarea tuturor construcțiilor c</w:t>
      </w:r>
      <w:r w:rsidR="006F5C99">
        <w:rPr>
          <w:rFonts w:asciiTheme="majorHAnsi" w:hAnsiTheme="majorHAnsi" w:cstheme="majorHAnsi"/>
          <w:sz w:val="24"/>
          <w:szCs w:val="24"/>
          <w:lang w:val="ro-MD"/>
        </w:rPr>
        <w:t>ar</w:t>
      </w:r>
      <w:r w:rsidR="0004022A" w:rsidRPr="00CD7FE5">
        <w:rPr>
          <w:rFonts w:asciiTheme="majorHAnsi" w:hAnsiTheme="majorHAnsi" w:cstheme="majorHAnsi"/>
          <w:sz w:val="24"/>
          <w:szCs w:val="24"/>
          <w:lang w:val="ro-MD"/>
        </w:rPr>
        <w:t>e au aparținut UTM</w:t>
      </w:r>
      <w:r w:rsidR="00771C33">
        <w:rPr>
          <w:rFonts w:asciiTheme="majorHAnsi" w:hAnsiTheme="majorHAnsi" w:cstheme="majorHAnsi"/>
          <w:sz w:val="24"/>
          <w:szCs w:val="24"/>
          <w:lang w:val="ro-MD"/>
        </w:rPr>
        <w:t>,</w:t>
      </w:r>
      <w:r w:rsidR="00771C33" w:rsidRPr="00771C33">
        <w:rPr>
          <w:rFonts w:asciiTheme="majorHAnsi" w:hAnsiTheme="majorHAnsi" w:cstheme="majorHAnsi"/>
          <w:sz w:val="24"/>
          <w:szCs w:val="24"/>
          <w:lang w:val="ro-RO"/>
        </w:rPr>
        <w:t xml:space="preserve"> </w:t>
      </w:r>
      <w:r w:rsidR="006F5C99" w:rsidRPr="00771C33">
        <w:rPr>
          <w:rFonts w:asciiTheme="majorHAnsi" w:hAnsiTheme="majorHAnsi" w:cstheme="majorHAnsi"/>
          <w:sz w:val="24"/>
          <w:szCs w:val="24"/>
          <w:lang w:val="ro-RO"/>
        </w:rPr>
        <w:t>o parte din</w:t>
      </w:r>
      <w:r w:rsidR="006F5C99">
        <w:rPr>
          <w:rFonts w:asciiTheme="majorHAnsi" w:hAnsiTheme="majorHAnsi" w:cstheme="majorHAnsi"/>
          <w:sz w:val="24"/>
          <w:szCs w:val="24"/>
          <w:lang w:val="ro-RO"/>
        </w:rPr>
        <w:t xml:space="preserve">tre </w:t>
      </w:r>
      <w:r w:rsidR="00771C33">
        <w:rPr>
          <w:rFonts w:asciiTheme="majorHAnsi" w:hAnsiTheme="majorHAnsi" w:cstheme="majorHAnsi"/>
          <w:sz w:val="24"/>
          <w:szCs w:val="24"/>
          <w:lang w:val="ro-RO"/>
        </w:rPr>
        <w:t>care</w:t>
      </w:r>
      <w:r w:rsidR="00771C33" w:rsidRPr="00771C33">
        <w:rPr>
          <w:rFonts w:asciiTheme="majorHAnsi" w:hAnsiTheme="majorHAnsi" w:cstheme="majorHAnsi"/>
          <w:sz w:val="24"/>
          <w:szCs w:val="24"/>
          <w:lang w:val="ro-RO"/>
        </w:rPr>
        <w:t xml:space="preserve"> UTM </w:t>
      </w:r>
      <w:r w:rsidR="006F5C99">
        <w:rPr>
          <w:rFonts w:asciiTheme="majorHAnsi" w:hAnsiTheme="majorHAnsi" w:cstheme="majorHAnsi"/>
          <w:sz w:val="24"/>
          <w:szCs w:val="24"/>
          <w:lang w:val="ro-RO"/>
        </w:rPr>
        <w:t>le-</w:t>
      </w:r>
      <w:r w:rsidR="00771C33" w:rsidRPr="00771C33">
        <w:rPr>
          <w:rFonts w:asciiTheme="majorHAnsi" w:hAnsiTheme="majorHAnsi" w:cstheme="majorHAnsi"/>
          <w:sz w:val="24"/>
          <w:szCs w:val="24"/>
          <w:lang w:val="ro-RO"/>
        </w:rPr>
        <w:t xml:space="preserve">a decontat </w:t>
      </w:r>
      <w:r w:rsidR="006F5C99" w:rsidRPr="00771C33">
        <w:rPr>
          <w:rFonts w:asciiTheme="majorHAnsi" w:hAnsiTheme="majorHAnsi" w:cstheme="majorHAnsi"/>
          <w:sz w:val="24"/>
          <w:szCs w:val="24"/>
          <w:lang w:val="ro-RO"/>
        </w:rPr>
        <w:t xml:space="preserve">din evidență </w:t>
      </w:r>
      <w:r w:rsidR="00771C33" w:rsidRPr="00771C33">
        <w:rPr>
          <w:rFonts w:asciiTheme="majorHAnsi" w:hAnsiTheme="majorHAnsi" w:cstheme="majorHAnsi"/>
          <w:sz w:val="24"/>
          <w:szCs w:val="24"/>
          <w:lang w:val="ro-RO"/>
        </w:rPr>
        <w:t>în anul 2015</w:t>
      </w:r>
      <w:r w:rsidRPr="00CD7FE5">
        <w:rPr>
          <w:rFonts w:asciiTheme="majorHAnsi" w:hAnsiTheme="majorHAnsi" w:cstheme="majorHAnsi"/>
          <w:sz w:val="24"/>
          <w:szCs w:val="24"/>
          <w:lang w:val="ro-MD"/>
        </w:rPr>
        <w:t>.</w:t>
      </w:r>
      <w:r w:rsidR="001667A7">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UTM s-a adresat la mai multe autorități din R</w:t>
      </w:r>
      <w:r w:rsidR="00CD7F70">
        <w:rPr>
          <w:rFonts w:asciiTheme="majorHAnsi" w:hAnsiTheme="majorHAnsi" w:cstheme="majorHAnsi"/>
          <w:sz w:val="24"/>
          <w:szCs w:val="24"/>
          <w:lang w:val="ro-MD"/>
        </w:rPr>
        <w:t xml:space="preserve">epublica </w:t>
      </w:r>
      <w:r w:rsidRPr="00CD7FE5">
        <w:rPr>
          <w:rFonts w:asciiTheme="majorHAnsi" w:hAnsiTheme="majorHAnsi" w:cstheme="majorHAnsi"/>
          <w:sz w:val="24"/>
          <w:szCs w:val="24"/>
          <w:lang w:val="ro-MD"/>
        </w:rPr>
        <w:t>M</w:t>
      </w:r>
      <w:r w:rsidR="00CD7F70">
        <w:rPr>
          <w:rFonts w:asciiTheme="majorHAnsi" w:hAnsiTheme="majorHAnsi" w:cstheme="majorHAnsi"/>
          <w:sz w:val="24"/>
          <w:szCs w:val="24"/>
          <w:lang w:val="ro-MD"/>
        </w:rPr>
        <w:t>oldova</w:t>
      </w:r>
      <w:r w:rsidRPr="00CD7FE5">
        <w:rPr>
          <w:rFonts w:asciiTheme="majorHAnsi" w:hAnsiTheme="majorHAnsi" w:cstheme="majorHAnsi"/>
          <w:sz w:val="24"/>
          <w:szCs w:val="24"/>
          <w:lang w:val="ro-MD"/>
        </w:rPr>
        <w:t xml:space="preserve"> privind problema pierderii proprietății publice, </w:t>
      </w:r>
      <w:r w:rsidR="001667A7">
        <w:rPr>
          <w:rFonts w:asciiTheme="majorHAnsi" w:hAnsiTheme="majorHAnsi" w:cstheme="majorHAnsi"/>
          <w:sz w:val="24"/>
          <w:szCs w:val="24"/>
          <w:lang w:val="ro-MD"/>
        </w:rPr>
        <w:t>dar</w:t>
      </w:r>
      <w:r w:rsidRPr="00CD7FE5">
        <w:rPr>
          <w:rFonts w:asciiTheme="majorHAnsi" w:hAnsiTheme="majorHAnsi" w:cstheme="majorHAnsi"/>
          <w:sz w:val="24"/>
          <w:szCs w:val="24"/>
          <w:lang w:val="ro-MD"/>
        </w:rPr>
        <w:t xml:space="preserve"> nu </w:t>
      </w:r>
      <w:r w:rsidR="001667A7">
        <w:rPr>
          <w:rFonts w:asciiTheme="majorHAnsi" w:hAnsiTheme="majorHAnsi" w:cstheme="majorHAnsi"/>
          <w:sz w:val="24"/>
          <w:szCs w:val="24"/>
          <w:lang w:val="ro-MD"/>
        </w:rPr>
        <w:t>și</w:t>
      </w:r>
      <w:r w:rsidRPr="00CD7FE5">
        <w:rPr>
          <w:rFonts w:asciiTheme="majorHAnsi" w:hAnsiTheme="majorHAnsi" w:cstheme="majorHAnsi"/>
          <w:sz w:val="24"/>
          <w:szCs w:val="24"/>
          <w:lang w:val="ro-MD"/>
        </w:rPr>
        <w:t xml:space="preserve"> în instanțele </w:t>
      </w:r>
      <w:r w:rsidR="00F5509A" w:rsidRPr="00CD7FE5">
        <w:rPr>
          <w:rFonts w:asciiTheme="majorHAnsi" w:hAnsiTheme="majorHAnsi" w:cstheme="majorHAnsi"/>
          <w:sz w:val="24"/>
          <w:szCs w:val="24"/>
          <w:lang w:val="ro-MD"/>
        </w:rPr>
        <w:t xml:space="preserve">de judecată </w:t>
      </w:r>
      <w:r w:rsidRPr="00CD7FE5">
        <w:rPr>
          <w:rFonts w:asciiTheme="majorHAnsi" w:hAnsiTheme="majorHAnsi" w:cstheme="majorHAnsi"/>
          <w:sz w:val="24"/>
          <w:szCs w:val="24"/>
          <w:lang w:val="ro-MD"/>
        </w:rPr>
        <w:t xml:space="preserve">din </w:t>
      </w:r>
      <w:r w:rsidRPr="00771C33">
        <w:rPr>
          <w:rFonts w:asciiTheme="majorHAnsi" w:hAnsiTheme="majorHAnsi" w:cstheme="majorHAnsi"/>
          <w:sz w:val="24"/>
          <w:szCs w:val="24"/>
          <w:lang w:val="ro-MD"/>
        </w:rPr>
        <w:t>Ucraina</w:t>
      </w:r>
      <w:r w:rsidR="001667A7">
        <w:rPr>
          <w:rFonts w:asciiTheme="majorHAnsi" w:hAnsiTheme="majorHAnsi" w:cstheme="majorHAnsi"/>
          <w:sz w:val="24"/>
          <w:szCs w:val="24"/>
          <w:lang w:val="ro-MD"/>
        </w:rPr>
        <w:t>,</w:t>
      </w:r>
      <w:r w:rsidRPr="00771C33">
        <w:rPr>
          <w:rFonts w:asciiTheme="majorHAnsi" w:hAnsiTheme="majorHAnsi" w:cstheme="majorHAnsi"/>
          <w:sz w:val="24"/>
          <w:szCs w:val="24"/>
          <w:lang w:val="ro-MD"/>
        </w:rPr>
        <w:t xml:space="preserve"> pentru a recupera de la cetățeanul indicat prejudiciul adus prin demolarea bunurilor UTM</w:t>
      </w:r>
      <w:r w:rsidR="00771C33" w:rsidRPr="00771C33">
        <w:rPr>
          <w:rFonts w:asciiTheme="majorHAnsi" w:hAnsiTheme="majorHAnsi" w:cstheme="majorHAnsi"/>
          <w:sz w:val="24"/>
          <w:szCs w:val="24"/>
          <w:lang w:val="ro-MD"/>
        </w:rPr>
        <w:t>.</w:t>
      </w:r>
    </w:p>
    <w:p w14:paraId="2CF77FB7" w14:textId="5F3562A0" w:rsidR="00D30A06" w:rsidRPr="00CD7FE5" w:rsidRDefault="00D30A06" w:rsidP="0085370E">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b/>
          <w:bCs/>
          <w:sz w:val="24"/>
          <w:szCs w:val="24"/>
          <w:lang w:val="ro-MD"/>
        </w:rPr>
        <w:t>Universitatea de Stat din Moldova (USM)</w:t>
      </w:r>
      <w:r w:rsidR="001667A7">
        <w:rPr>
          <w:rFonts w:asciiTheme="majorHAnsi" w:hAnsiTheme="majorHAnsi" w:cstheme="majorHAnsi"/>
          <w:b/>
          <w:bCs/>
          <w:sz w:val="24"/>
          <w:szCs w:val="24"/>
          <w:lang w:val="ro-MD"/>
        </w:rPr>
        <w:t>,</w:t>
      </w:r>
      <w:r w:rsidRPr="00CD7FE5">
        <w:rPr>
          <w:rFonts w:asciiTheme="majorHAnsi" w:hAnsiTheme="majorHAnsi" w:cstheme="majorHAnsi"/>
          <w:sz w:val="24"/>
          <w:szCs w:val="24"/>
          <w:lang w:val="ro-MD"/>
        </w:rPr>
        <w:t xml:space="preserve"> potrivit evidenței contabile</w:t>
      </w:r>
      <w:r w:rsidR="001667A7">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are la b</w:t>
      </w:r>
      <w:r w:rsidR="001667A7">
        <w:rPr>
          <w:rFonts w:asciiTheme="majorHAnsi" w:hAnsiTheme="majorHAnsi" w:cstheme="majorHAnsi"/>
          <w:sz w:val="24"/>
          <w:szCs w:val="24"/>
          <w:lang w:val="ro-MD"/>
        </w:rPr>
        <w:t>a</w:t>
      </w:r>
      <w:r w:rsidRPr="00CD7FE5">
        <w:rPr>
          <w:rFonts w:asciiTheme="majorHAnsi" w:hAnsiTheme="majorHAnsi" w:cstheme="majorHAnsi"/>
          <w:sz w:val="24"/>
          <w:szCs w:val="24"/>
          <w:lang w:val="ro-MD"/>
        </w:rPr>
        <w:t>lanț</w:t>
      </w:r>
      <w:r w:rsidR="001667A7">
        <w:rPr>
          <w:rFonts w:asciiTheme="majorHAnsi" w:hAnsiTheme="majorHAnsi" w:cstheme="majorHAnsi"/>
          <w:sz w:val="24"/>
          <w:szCs w:val="24"/>
          <w:lang w:val="ro-MD"/>
        </w:rPr>
        <w:t>ă</w:t>
      </w:r>
      <w:r w:rsidRPr="00CD7FE5">
        <w:rPr>
          <w:rFonts w:asciiTheme="majorHAnsi" w:hAnsiTheme="majorHAnsi" w:cstheme="majorHAnsi"/>
          <w:sz w:val="24"/>
          <w:szCs w:val="24"/>
          <w:lang w:val="ro-MD"/>
        </w:rPr>
        <w:t xml:space="preserve"> 2 </w:t>
      </w:r>
      <w:r w:rsidR="001667A7">
        <w:rPr>
          <w:rFonts w:asciiTheme="majorHAnsi" w:hAnsiTheme="majorHAnsi" w:cstheme="majorHAnsi"/>
          <w:sz w:val="24"/>
          <w:szCs w:val="24"/>
          <w:lang w:val="ro-MD"/>
        </w:rPr>
        <w:t>B</w:t>
      </w:r>
      <w:r w:rsidRPr="00CD7FE5">
        <w:rPr>
          <w:rFonts w:asciiTheme="majorHAnsi" w:hAnsiTheme="majorHAnsi" w:cstheme="majorHAnsi"/>
          <w:sz w:val="24"/>
          <w:szCs w:val="24"/>
          <w:lang w:val="ro-MD"/>
        </w:rPr>
        <w:t xml:space="preserve">aze de odihnă: „Dacia”din reg. Odesa, r-nul Chilia, </w:t>
      </w:r>
      <w:r w:rsidRPr="0013783D">
        <w:rPr>
          <w:rFonts w:asciiTheme="majorHAnsi" w:hAnsiTheme="majorHAnsi" w:cstheme="majorHAnsi"/>
          <w:sz w:val="24"/>
          <w:szCs w:val="24"/>
          <w:lang w:val="ro-MD"/>
        </w:rPr>
        <w:t>s.</w:t>
      </w:r>
      <w:r w:rsidRPr="00CD7FE5">
        <w:rPr>
          <w:rFonts w:asciiTheme="majorHAnsi" w:hAnsiTheme="majorHAnsi" w:cstheme="majorHAnsi"/>
          <w:sz w:val="24"/>
          <w:szCs w:val="24"/>
          <w:lang w:val="ro-MD"/>
        </w:rPr>
        <w:t xml:space="preserve"> Primorsc, cu valoarea  de bilanț de 276.59 mii lei, și  „Bugaz” din reg. Odesa, or. Zatoca, str. Primorsc 37, cu valoarea de bilanț de 96,38 mii lei.  </w:t>
      </w:r>
    </w:p>
    <w:p w14:paraId="571A4A76" w14:textId="5C01C29A" w:rsidR="00D30A06" w:rsidRPr="00CD7FE5" w:rsidRDefault="00D30A06" w:rsidP="003E50D9">
      <w:pPr>
        <w:pStyle w:val="ListParagraph"/>
        <w:numPr>
          <w:ilvl w:val="0"/>
          <w:numId w:val="18"/>
        </w:numPr>
        <w:spacing w:line="276" w:lineRule="auto"/>
        <w:ind w:left="0" w:right="-47" w:firstLine="360"/>
        <w:rPr>
          <w:rFonts w:asciiTheme="majorHAnsi" w:eastAsia="Times New Roman" w:hAnsiTheme="majorHAnsi" w:cstheme="majorHAnsi"/>
          <w:b/>
          <w:sz w:val="24"/>
          <w:szCs w:val="24"/>
          <w:lang w:val="ro-MD"/>
        </w:rPr>
      </w:pPr>
      <w:r w:rsidRPr="00CD7FE5">
        <w:rPr>
          <w:rFonts w:asciiTheme="majorHAnsi" w:hAnsiTheme="majorHAnsi" w:cstheme="majorHAnsi"/>
          <w:b/>
          <w:bCs/>
          <w:i/>
          <w:iCs/>
          <w:sz w:val="24"/>
          <w:szCs w:val="24"/>
          <w:lang w:val="ro-MD"/>
        </w:rPr>
        <w:t>Baza de odihnă „Dacia”</w:t>
      </w:r>
      <w:r w:rsidRPr="00CD7FE5">
        <w:rPr>
          <w:rFonts w:asciiTheme="majorHAnsi" w:hAnsiTheme="majorHAnsi" w:cstheme="majorHAnsi"/>
          <w:sz w:val="24"/>
          <w:szCs w:val="24"/>
          <w:lang w:val="ro-MD"/>
        </w:rPr>
        <w:t xml:space="preserve">, înființată în anul 1964, formată din 53 </w:t>
      </w:r>
      <w:r w:rsidR="003B3BC2">
        <w:rPr>
          <w:rFonts w:asciiTheme="majorHAnsi" w:hAnsiTheme="majorHAnsi" w:cstheme="majorHAnsi"/>
          <w:sz w:val="24"/>
          <w:szCs w:val="24"/>
          <w:lang w:val="ro-MD"/>
        </w:rPr>
        <w:t xml:space="preserve">de </w:t>
      </w:r>
      <w:r w:rsidRPr="00CD7FE5">
        <w:rPr>
          <w:rFonts w:asciiTheme="majorHAnsi" w:hAnsiTheme="majorHAnsi" w:cstheme="majorHAnsi"/>
          <w:sz w:val="24"/>
          <w:szCs w:val="24"/>
          <w:lang w:val="ro-MD"/>
        </w:rPr>
        <w:t>căsuțe din lemn și o cantină</w:t>
      </w:r>
      <w:r w:rsidR="003B3BC2">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la 17 iulie 2004 a fost transmisă în locațiune SRL „Odisei” din Ucraina, contract</w:t>
      </w:r>
      <w:r w:rsidR="003B3BC2">
        <w:rPr>
          <w:rFonts w:asciiTheme="majorHAnsi" w:hAnsiTheme="majorHAnsi" w:cstheme="majorHAnsi"/>
          <w:sz w:val="24"/>
          <w:szCs w:val="24"/>
          <w:lang w:val="ro-MD"/>
        </w:rPr>
        <w:t>ul</w:t>
      </w:r>
      <w:r w:rsidRPr="00CD7FE5">
        <w:rPr>
          <w:rFonts w:asciiTheme="majorHAnsi" w:hAnsiTheme="majorHAnsi" w:cstheme="majorHAnsi"/>
          <w:sz w:val="24"/>
          <w:szCs w:val="24"/>
          <w:lang w:val="ro-MD"/>
        </w:rPr>
        <w:t xml:space="preserve"> </w:t>
      </w:r>
      <w:r w:rsidR="003B3BC2">
        <w:rPr>
          <w:rFonts w:asciiTheme="majorHAnsi" w:hAnsiTheme="majorHAnsi" w:cstheme="majorHAnsi"/>
          <w:sz w:val="24"/>
          <w:szCs w:val="24"/>
          <w:lang w:val="ro-MD"/>
        </w:rPr>
        <w:t xml:space="preserve">fiind </w:t>
      </w:r>
      <w:r w:rsidRPr="00CD7FE5">
        <w:rPr>
          <w:rFonts w:asciiTheme="majorHAnsi" w:hAnsiTheme="majorHAnsi" w:cstheme="majorHAnsi"/>
          <w:sz w:val="24"/>
          <w:szCs w:val="24"/>
          <w:lang w:val="ro-MD"/>
        </w:rPr>
        <w:t xml:space="preserve"> prelungit în anul 2014 încă pe o perioadă de 10 ani (conform pct.4.2 din contract), fără închei</w:t>
      </w:r>
      <w:r w:rsidR="003B3BC2">
        <w:rPr>
          <w:rFonts w:asciiTheme="majorHAnsi" w:hAnsiTheme="majorHAnsi" w:cstheme="majorHAnsi"/>
          <w:sz w:val="24"/>
          <w:szCs w:val="24"/>
          <w:lang w:val="ro-MD"/>
        </w:rPr>
        <w:t>ere</w:t>
      </w:r>
      <w:r w:rsidRPr="00CD7FE5">
        <w:rPr>
          <w:rFonts w:asciiTheme="majorHAnsi" w:hAnsiTheme="majorHAnsi" w:cstheme="majorHAnsi"/>
          <w:sz w:val="24"/>
          <w:szCs w:val="24"/>
          <w:lang w:val="ro-MD"/>
        </w:rPr>
        <w:t>a</w:t>
      </w:r>
      <w:r w:rsidR="003B3BC2">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lastRenderedPageBreak/>
        <w:t>un</w:t>
      </w:r>
      <w:r w:rsidR="003B3BC2">
        <w:rPr>
          <w:rFonts w:asciiTheme="majorHAnsi" w:hAnsiTheme="majorHAnsi" w:cstheme="majorHAnsi"/>
          <w:sz w:val="24"/>
          <w:szCs w:val="24"/>
          <w:lang w:val="ro-MD"/>
        </w:rPr>
        <w:t>ui</w:t>
      </w:r>
      <w:r w:rsidRPr="00CD7FE5">
        <w:rPr>
          <w:rFonts w:asciiTheme="majorHAnsi" w:hAnsiTheme="majorHAnsi" w:cstheme="majorHAnsi"/>
          <w:sz w:val="24"/>
          <w:szCs w:val="24"/>
          <w:lang w:val="ro-MD"/>
        </w:rPr>
        <w:t xml:space="preserve"> alt contract. Plata </w:t>
      </w:r>
      <w:r w:rsidR="00106461">
        <w:rPr>
          <w:rFonts w:asciiTheme="majorHAnsi" w:hAnsiTheme="majorHAnsi" w:cstheme="majorHAnsi"/>
          <w:sz w:val="24"/>
          <w:szCs w:val="24"/>
          <w:lang w:val="ro-MD"/>
        </w:rPr>
        <w:t>pentru</w:t>
      </w:r>
      <w:r w:rsidRPr="00CD7FE5">
        <w:rPr>
          <w:rFonts w:asciiTheme="majorHAnsi" w:hAnsiTheme="majorHAnsi" w:cstheme="majorHAnsi"/>
          <w:sz w:val="24"/>
          <w:szCs w:val="24"/>
          <w:lang w:val="ro-MD"/>
        </w:rPr>
        <w:t xml:space="preserve"> arenda </w:t>
      </w:r>
      <w:r w:rsidR="00106461">
        <w:rPr>
          <w:rFonts w:asciiTheme="majorHAnsi" w:hAnsiTheme="majorHAnsi" w:cstheme="majorHAnsi"/>
          <w:sz w:val="24"/>
          <w:szCs w:val="24"/>
          <w:lang w:val="ro-MD"/>
        </w:rPr>
        <w:t>B</w:t>
      </w:r>
      <w:r w:rsidRPr="00CD7FE5">
        <w:rPr>
          <w:rFonts w:asciiTheme="majorHAnsi" w:hAnsiTheme="majorHAnsi" w:cstheme="majorHAnsi"/>
          <w:sz w:val="24"/>
          <w:szCs w:val="24"/>
          <w:lang w:val="ro-MD"/>
        </w:rPr>
        <w:t xml:space="preserve">azei constituie anual 700 $ (pct.5.1 din contract). USM nu are înregistrate </w:t>
      </w:r>
      <w:r w:rsidR="00106461" w:rsidRPr="00CD7FE5">
        <w:rPr>
          <w:rFonts w:asciiTheme="majorHAnsi" w:hAnsiTheme="majorHAnsi" w:cstheme="majorHAnsi"/>
          <w:sz w:val="24"/>
          <w:szCs w:val="24"/>
          <w:lang w:val="ro-MD"/>
        </w:rPr>
        <w:t>în RBI a</w:t>
      </w:r>
      <w:r w:rsidR="00106461">
        <w:rPr>
          <w:rFonts w:asciiTheme="majorHAnsi" w:hAnsiTheme="majorHAnsi" w:cstheme="majorHAnsi"/>
          <w:sz w:val="24"/>
          <w:szCs w:val="24"/>
          <w:lang w:val="ro-MD"/>
        </w:rPr>
        <w:t>l</w:t>
      </w:r>
      <w:r w:rsidR="00106461" w:rsidRPr="00CD7FE5">
        <w:rPr>
          <w:rFonts w:asciiTheme="majorHAnsi" w:hAnsiTheme="majorHAnsi" w:cstheme="majorHAnsi"/>
          <w:sz w:val="24"/>
          <w:szCs w:val="24"/>
          <w:lang w:val="ro-MD"/>
        </w:rPr>
        <w:t xml:space="preserve"> Ucrainei </w:t>
      </w:r>
      <w:r w:rsidRPr="00CD7FE5">
        <w:rPr>
          <w:rFonts w:asciiTheme="majorHAnsi" w:hAnsiTheme="majorHAnsi" w:cstheme="majorHAnsi"/>
          <w:sz w:val="24"/>
          <w:szCs w:val="24"/>
          <w:lang w:val="ro-MD"/>
        </w:rPr>
        <w:t>drepturile asupra bunurilor imobile a</w:t>
      </w:r>
      <w:r w:rsidR="00106461">
        <w:rPr>
          <w:rFonts w:asciiTheme="majorHAnsi" w:hAnsiTheme="majorHAnsi" w:cstheme="majorHAnsi"/>
          <w:sz w:val="24"/>
          <w:szCs w:val="24"/>
          <w:lang w:val="ro-MD"/>
        </w:rPr>
        <w:t>le</w:t>
      </w:r>
      <w:r w:rsidRPr="00CD7FE5">
        <w:rPr>
          <w:rFonts w:asciiTheme="majorHAnsi" w:hAnsiTheme="majorHAnsi" w:cstheme="majorHAnsi"/>
          <w:sz w:val="24"/>
          <w:szCs w:val="24"/>
          <w:lang w:val="ro-MD"/>
        </w:rPr>
        <w:t xml:space="preserve"> </w:t>
      </w:r>
      <w:r w:rsidR="00106461">
        <w:rPr>
          <w:rFonts w:asciiTheme="majorHAnsi" w:hAnsiTheme="majorHAnsi" w:cstheme="majorHAnsi"/>
          <w:sz w:val="24"/>
          <w:szCs w:val="24"/>
          <w:lang w:val="ro-MD"/>
        </w:rPr>
        <w:t>B</w:t>
      </w:r>
      <w:r w:rsidRPr="00CD7FE5">
        <w:rPr>
          <w:rFonts w:asciiTheme="majorHAnsi" w:hAnsiTheme="majorHAnsi" w:cstheme="majorHAnsi"/>
          <w:sz w:val="24"/>
          <w:szCs w:val="24"/>
          <w:lang w:val="ro-MD"/>
        </w:rPr>
        <w:t>azei (deși dreptul de proprietate al R</w:t>
      </w:r>
      <w:r w:rsidR="00CD7F70">
        <w:rPr>
          <w:rFonts w:asciiTheme="majorHAnsi" w:hAnsiTheme="majorHAnsi" w:cstheme="majorHAnsi"/>
          <w:sz w:val="24"/>
          <w:szCs w:val="24"/>
          <w:lang w:val="ro-MD"/>
        </w:rPr>
        <w:t xml:space="preserve">epublicii </w:t>
      </w:r>
      <w:r w:rsidRPr="00CD7FE5">
        <w:rPr>
          <w:rFonts w:asciiTheme="majorHAnsi" w:hAnsiTheme="majorHAnsi" w:cstheme="majorHAnsi"/>
          <w:sz w:val="24"/>
          <w:szCs w:val="24"/>
          <w:lang w:val="ro-MD"/>
        </w:rPr>
        <w:t>M</w:t>
      </w:r>
      <w:r w:rsidR="00CD7F70">
        <w:rPr>
          <w:rFonts w:asciiTheme="majorHAnsi" w:hAnsiTheme="majorHAnsi" w:cstheme="majorHAnsi"/>
          <w:sz w:val="24"/>
          <w:szCs w:val="24"/>
          <w:lang w:val="ro-MD"/>
        </w:rPr>
        <w:t>oldova</w:t>
      </w:r>
      <w:r w:rsidRPr="00CD7FE5">
        <w:rPr>
          <w:rFonts w:asciiTheme="majorHAnsi" w:hAnsiTheme="majorHAnsi" w:cstheme="majorHAnsi"/>
          <w:sz w:val="24"/>
          <w:szCs w:val="24"/>
          <w:lang w:val="ro-MD"/>
        </w:rPr>
        <w:t xml:space="preserve"> asupra acesteia a fost recunoscut de Ucraina) și nici nu a încheiat </w:t>
      </w:r>
      <w:r w:rsidR="00106461" w:rsidRPr="00CD7FE5">
        <w:rPr>
          <w:rFonts w:asciiTheme="majorHAnsi" w:hAnsiTheme="majorHAnsi" w:cstheme="majorHAnsi"/>
          <w:sz w:val="24"/>
          <w:szCs w:val="24"/>
          <w:lang w:val="ro-MD"/>
        </w:rPr>
        <w:t xml:space="preserve">cu administrația locală a or. Vilkovo </w:t>
      </w:r>
      <w:r w:rsidR="00106461">
        <w:rPr>
          <w:rFonts w:asciiTheme="majorHAnsi" w:hAnsiTheme="majorHAnsi" w:cstheme="majorHAnsi"/>
          <w:sz w:val="24"/>
          <w:szCs w:val="24"/>
          <w:lang w:val="ro-MD"/>
        </w:rPr>
        <w:t xml:space="preserve">un </w:t>
      </w:r>
      <w:r w:rsidRPr="00CD7FE5">
        <w:rPr>
          <w:rFonts w:asciiTheme="majorHAnsi" w:hAnsiTheme="majorHAnsi" w:cstheme="majorHAnsi"/>
          <w:sz w:val="24"/>
          <w:szCs w:val="24"/>
          <w:lang w:val="ro-MD"/>
        </w:rPr>
        <w:t xml:space="preserve">contract de arendă a terenului. </w:t>
      </w:r>
      <w:r w:rsidR="00106461">
        <w:rPr>
          <w:rFonts w:asciiTheme="majorHAnsi" w:hAnsiTheme="majorHAnsi" w:cstheme="majorHAnsi"/>
          <w:sz w:val="24"/>
          <w:szCs w:val="24"/>
          <w:lang w:val="ro-MD"/>
        </w:rPr>
        <w:t>USM, d</w:t>
      </w:r>
      <w:r w:rsidRPr="00CD7FE5">
        <w:rPr>
          <w:rFonts w:asciiTheme="majorHAnsi" w:hAnsiTheme="majorHAnsi" w:cstheme="majorHAnsi"/>
          <w:sz w:val="24"/>
          <w:szCs w:val="24"/>
          <w:lang w:val="ro-MD"/>
        </w:rPr>
        <w:t xml:space="preserve">eși înregistrează </w:t>
      </w:r>
      <w:r w:rsidR="00106461" w:rsidRPr="00CD7FE5">
        <w:rPr>
          <w:rFonts w:asciiTheme="majorHAnsi" w:hAnsiTheme="majorHAnsi" w:cstheme="majorHAnsi"/>
          <w:sz w:val="24"/>
          <w:szCs w:val="24"/>
          <w:lang w:val="ro-MD"/>
        </w:rPr>
        <w:t xml:space="preserve">pe conturile bancare </w:t>
      </w:r>
      <w:r w:rsidRPr="00CD7FE5">
        <w:rPr>
          <w:rFonts w:asciiTheme="majorHAnsi" w:hAnsiTheme="majorHAnsi" w:cstheme="majorHAnsi"/>
          <w:sz w:val="24"/>
          <w:szCs w:val="24"/>
          <w:lang w:val="ro-MD"/>
        </w:rPr>
        <w:t xml:space="preserve">mijloace financiare substanțiale, nu a asigurat modernizarea </w:t>
      </w:r>
      <w:r w:rsidR="00106461">
        <w:rPr>
          <w:rFonts w:asciiTheme="majorHAnsi" w:hAnsiTheme="majorHAnsi" w:cstheme="majorHAnsi"/>
          <w:sz w:val="24"/>
          <w:szCs w:val="24"/>
          <w:lang w:val="ro-MD"/>
        </w:rPr>
        <w:t>B</w:t>
      </w:r>
      <w:r w:rsidRPr="00CD7FE5">
        <w:rPr>
          <w:rFonts w:asciiTheme="majorHAnsi" w:hAnsiTheme="majorHAnsi" w:cstheme="majorHAnsi"/>
          <w:sz w:val="24"/>
          <w:szCs w:val="24"/>
          <w:lang w:val="ro-MD"/>
        </w:rPr>
        <w:t>azei de odihnă „Dacia”</w:t>
      </w:r>
      <w:r w:rsidR="00106461">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aceasta </w:t>
      </w:r>
      <w:r w:rsidR="00106461">
        <w:rPr>
          <w:rFonts w:asciiTheme="majorHAnsi" w:hAnsiTheme="majorHAnsi" w:cstheme="majorHAnsi"/>
          <w:sz w:val="24"/>
          <w:szCs w:val="24"/>
          <w:lang w:val="ro-MD"/>
        </w:rPr>
        <w:t>aflându-se</w:t>
      </w:r>
      <w:r w:rsidRPr="00CD7FE5">
        <w:rPr>
          <w:rFonts w:asciiTheme="majorHAnsi" w:hAnsiTheme="majorHAnsi" w:cstheme="majorHAnsi"/>
          <w:sz w:val="24"/>
          <w:szCs w:val="24"/>
          <w:lang w:val="ro-MD"/>
        </w:rPr>
        <w:t xml:space="preserve"> într-o stare de degradare continuă.</w:t>
      </w:r>
    </w:p>
    <w:p w14:paraId="208F9768" w14:textId="7D90D8D5" w:rsidR="00D30A06" w:rsidRPr="00DB3F49" w:rsidRDefault="00D30A06" w:rsidP="003E50D9">
      <w:pPr>
        <w:pStyle w:val="ListParagraph"/>
        <w:numPr>
          <w:ilvl w:val="0"/>
          <w:numId w:val="18"/>
        </w:numPr>
        <w:spacing w:line="276" w:lineRule="auto"/>
        <w:ind w:left="0" w:right="-47" w:firstLine="360"/>
        <w:rPr>
          <w:rFonts w:asciiTheme="majorHAnsi" w:eastAsia="Times New Roman" w:hAnsiTheme="majorHAnsi" w:cstheme="majorHAnsi"/>
          <w:b/>
          <w:sz w:val="24"/>
          <w:szCs w:val="24"/>
          <w:lang w:val="ro-MD"/>
        </w:rPr>
      </w:pPr>
      <w:r w:rsidRPr="00CD7FE5">
        <w:rPr>
          <w:rFonts w:asciiTheme="majorHAnsi" w:hAnsiTheme="majorHAnsi" w:cstheme="majorHAnsi"/>
          <w:b/>
          <w:bCs/>
          <w:i/>
          <w:iCs/>
          <w:sz w:val="24"/>
          <w:szCs w:val="24"/>
          <w:lang w:val="ro-MD"/>
        </w:rPr>
        <w:t>Baza de odihnă „Bugaz”</w:t>
      </w:r>
      <w:r w:rsidRPr="00CD7FE5">
        <w:rPr>
          <w:rFonts w:asciiTheme="majorHAnsi" w:hAnsiTheme="majorHAnsi" w:cstheme="majorHAnsi"/>
          <w:sz w:val="24"/>
          <w:szCs w:val="24"/>
          <w:lang w:val="ro-MD"/>
        </w:rPr>
        <w:t xml:space="preserve"> reprezintă o casă de locuit, donată USM la 04.03.1964, 25 </w:t>
      </w:r>
      <w:r w:rsidR="00106461">
        <w:rPr>
          <w:rFonts w:asciiTheme="majorHAnsi" w:hAnsiTheme="majorHAnsi" w:cstheme="majorHAnsi"/>
          <w:sz w:val="24"/>
          <w:szCs w:val="24"/>
          <w:lang w:val="ro-MD"/>
        </w:rPr>
        <w:t xml:space="preserve">de </w:t>
      </w:r>
      <w:r w:rsidRPr="00CD7FE5">
        <w:rPr>
          <w:rFonts w:asciiTheme="majorHAnsi" w:hAnsiTheme="majorHAnsi" w:cstheme="majorHAnsi"/>
          <w:sz w:val="24"/>
          <w:szCs w:val="24"/>
          <w:lang w:val="ro-MD"/>
        </w:rPr>
        <w:t>căsuțe din lemn</w:t>
      </w:r>
      <w:r w:rsidR="00106461">
        <w:rPr>
          <w:rFonts w:asciiTheme="majorHAnsi" w:hAnsiTheme="majorHAnsi" w:cstheme="majorHAnsi"/>
          <w:sz w:val="24"/>
          <w:szCs w:val="24"/>
          <w:lang w:val="ro-MD"/>
        </w:rPr>
        <w:t>,</w:t>
      </w:r>
      <w:r w:rsidRPr="00CD7FE5">
        <w:rPr>
          <w:rFonts w:asciiTheme="majorHAnsi" w:hAnsiTheme="majorHAnsi" w:cstheme="majorHAnsi"/>
          <w:sz w:val="24"/>
          <w:szCs w:val="24"/>
          <w:lang w:val="ro-MD"/>
        </w:rPr>
        <w:t>  construite în anii 1970 și 1988</w:t>
      </w:r>
      <w:r w:rsidR="00106461">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și 3 depozite. Drepturile de proprietate a</w:t>
      </w:r>
      <w:r w:rsidR="00106461">
        <w:rPr>
          <w:rFonts w:asciiTheme="majorHAnsi" w:hAnsiTheme="majorHAnsi" w:cstheme="majorHAnsi"/>
          <w:sz w:val="24"/>
          <w:szCs w:val="24"/>
          <w:lang w:val="ro-MD"/>
        </w:rPr>
        <w:t>le</w:t>
      </w:r>
      <w:r w:rsidRPr="00CD7FE5">
        <w:rPr>
          <w:rFonts w:asciiTheme="majorHAnsi" w:hAnsiTheme="majorHAnsi" w:cstheme="majorHAnsi"/>
          <w:sz w:val="24"/>
          <w:szCs w:val="24"/>
          <w:lang w:val="ro-MD"/>
        </w:rPr>
        <w:t xml:space="preserve"> USM asupra casei de locuit au fost înregistrate în RBI a</w:t>
      </w:r>
      <w:r w:rsidR="00106461">
        <w:rPr>
          <w:rFonts w:asciiTheme="majorHAnsi" w:hAnsiTheme="majorHAnsi" w:cstheme="majorHAnsi"/>
          <w:sz w:val="24"/>
          <w:szCs w:val="24"/>
          <w:lang w:val="ro-MD"/>
        </w:rPr>
        <w:t>l</w:t>
      </w:r>
      <w:r w:rsidRPr="00CD7FE5">
        <w:rPr>
          <w:rFonts w:asciiTheme="majorHAnsi" w:hAnsiTheme="majorHAnsi" w:cstheme="majorHAnsi"/>
          <w:sz w:val="24"/>
          <w:szCs w:val="24"/>
          <w:lang w:val="ro-MD"/>
        </w:rPr>
        <w:t xml:space="preserve"> Ucrainei la 28.02.2015 (nr. cadastral 9171071). Terenul pe care este amplasată baza de odihnă este proprietate a administrației publice locale din Ucraina, iar USM nu a încheiat contract de arendă a terenului respectiv. Deși persoanele responsabile din cadrul USM au informa</w:t>
      </w:r>
      <w:r w:rsidR="00EA3ABA">
        <w:rPr>
          <w:rFonts w:asciiTheme="majorHAnsi" w:hAnsiTheme="majorHAnsi" w:cstheme="majorHAnsi"/>
          <w:sz w:val="24"/>
          <w:szCs w:val="24"/>
          <w:lang w:val="ro-MD"/>
        </w:rPr>
        <w:t>t</w:t>
      </w:r>
      <w:r w:rsidRPr="00CD7FE5">
        <w:rPr>
          <w:rFonts w:asciiTheme="majorHAnsi" w:hAnsiTheme="majorHAnsi" w:cstheme="majorHAnsi"/>
          <w:sz w:val="24"/>
          <w:szCs w:val="24"/>
          <w:lang w:val="ro-MD"/>
        </w:rPr>
        <w:t xml:space="preserve"> că la momentul </w:t>
      </w:r>
      <w:r w:rsidR="00EA3ABA">
        <w:rPr>
          <w:rFonts w:asciiTheme="majorHAnsi" w:hAnsiTheme="majorHAnsi" w:cstheme="majorHAnsi"/>
          <w:sz w:val="24"/>
          <w:szCs w:val="24"/>
          <w:lang w:val="ro-MD"/>
        </w:rPr>
        <w:t>actual</w:t>
      </w:r>
      <w:r w:rsidRPr="00CD7FE5">
        <w:rPr>
          <w:rFonts w:asciiTheme="majorHAnsi" w:hAnsiTheme="majorHAnsi" w:cstheme="majorHAnsi"/>
          <w:sz w:val="24"/>
          <w:szCs w:val="24"/>
          <w:lang w:val="ro-MD"/>
        </w:rPr>
        <w:t xml:space="preserve"> </w:t>
      </w:r>
      <w:r w:rsidR="00EA3ABA">
        <w:rPr>
          <w:rFonts w:asciiTheme="majorHAnsi" w:hAnsiTheme="majorHAnsi" w:cstheme="majorHAnsi"/>
          <w:sz w:val="24"/>
          <w:szCs w:val="24"/>
          <w:lang w:val="ro-MD"/>
        </w:rPr>
        <w:t>Baza</w:t>
      </w:r>
      <w:r w:rsidRPr="00CD7FE5">
        <w:rPr>
          <w:rFonts w:asciiTheme="majorHAnsi" w:hAnsiTheme="majorHAnsi" w:cstheme="majorHAnsi"/>
          <w:sz w:val="24"/>
          <w:szCs w:val="24"/>
          <w:lang w:val="ro-MD"/>
        </w:rPr>
        <w:t xml:space="preserve"> nu funcționează, auditul a constatat că aceasta este gestionată de persoane neidentificate</w:t>
      </w:r>
      <w:r w:rsidRPr="00CD7FE5">
        <w:rPr>
          <w:rStyle w:val="FootnoteReference"/>
          <w:rFonts w:asciiTheme="majorHAnsi" w:hAnsiTheme="majorHAnsi" w:cstheme="majorHAnsi"/>
          <w:sz w:val="24"/>
          <w:szCs w:val="24"/>
          <w:lang w:val="ro-MD"/>
        </w:rPr>
        <w:footnoteReference w:id="21"/>
      </w:r>
      <w:r w:rsidRPr="00CD7FE5">
        <w:rPr>
          <w:rFonts w:asciiTheme="majorHAnsi" w:hAnsiTheme="majorHAnsi" w:cstheme="majorHAnsi"/>
          <w:sz w:val="24"/>
          <w:szCs w:val="24"/>
          <w:lang w:val="ro-MD"/>
        </w:rPr>
        <w:t>,</w:t>
      </w:r>
      <w:r w:rsidR="00EA3ABA">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prejudiciind interesele financiare ale USM</w:t>
      </w:r>
      <w:r w:rsidRPr="00DB3F49">
        <w:rPr>
          <w:rFonts w:asciiTheme="majorHAnsi" w:hAnsiTheme="majorHAnsi" w:cstheme="majorHAnsi"/>
          <w:sz w:val="24"/>
          <w:szCs w:val="24"/>
          <w:lang w:val="ro-MD"/>
        </w:rPr>
        <w:t>.</w:t>
      </w:r>
      <w:r w:rsidR="00DB3F49" w:rsidRPr="00DB3F49">
        <w:rPr>
          <w:rFonts w:asciiTheme="majorHAnsi" w:hAnsiTheme="majorHAnsi" w:cstheme="majorHAnsi"/>
          <w:sz w:val="24"/>
          <w:szCs w:val="24"/>
          <w:lang w:val="ro-MD"/>
        </w:rPr>
        <w:t xml:space="preserve"> </w:t>
      </w:r>
      <w:r w:rsidR="00DB3F49">
        <w:rPr>
          <w:rFonts w:asciiTheme="majorHAnsi" w:hAnsiTheme="majorHAnsi" w:cstheme="majorHAnsi"/>
          <w:sz w:val="24"/>
          <w:szCs w:val="24"/>
          <w:lang w:val="ro-MD"/>
        </w:rPr>
        <w:t>I</w:t>
      </w:r>
      <w:r w:rsidR="00DB3F49" w:rsidRPr="00DB3F49">
        <w:rPr>
          <w:rFonts w:asciiTheme="majorHAnsi" w:hAnsiTheme="majorHAnsi" w:cstheme="majorHAnsi"/>
          <w:sz w:val="24"/>
          <w:szCs w:val="24"/>
          <w:lang w:val="ro-MD"/>
        </w:rPr>
        <w:t>nventarier</w:t>
      </w:r>
      <w:r w:rsidR="00DB3F49">
        <w:rPr>
          <w:rFonts w:asciiTheme="majorHAnsi" w:hAnsiTheme="majorHAnsi" w:cstheme="majorHAnsi"/>
          <w:sz w:val="24"/>
          <w:szCs w:val="24"/>
          <w:lang w:val="ro-MD"/>
        </w:rPr>
        <w:t xml:space="preserve">ea </w:t>
      </w:r>
      <w:r w:rsidR="00DB3F49" w:rsidRPr="00DB3F49">
        <w:rPr>
          <w:rFonts w:asciiTheme="majorHAnsi" w:hAnsiTheme="majorHAnsi" w:cstheme="majorHAnsi"/>
          <w:sz w:val="24"/>
          <w:szCs w:val="24"/>
          <w:lang w:val="ro-MD"/>
        </w:rPr>
        <w:t>efectuat</w:t>
      </w:r>
      <w:r w:rsidR="00DB3F49">
        <w:rPr>
          <w:rFonts w:asciiTheme="majorHAnsi" w:hAnsiTheme="majorHAnsi" w:cstheme="majorHAnsi"/>
          <w:sz w:val="24"/>
          <w:szCs w:val="24"/>
          <w:lang w:val="ro-MD"/>
        </w:rPr>
        <w:t xml:space="preserve">ă </w:t>
      </w:r>
      <w:r w:rsidR="00DB3F49" w:rsidRPr="00DB3F49">
        <w:rPr>
          <w:rFonts w:asciiTheme="majorHAnsi" w:hAnsiTheme="majorHAnsi" w:cstheme="majorHAnsi"/>
          <w:sz w:val="24"/>
          <w:szCs w:val="24"/>
          <w:lang w:val="ro-MD"/>
        </w:rPr>
        <w:t>la 12</w:t>
      </w:r>
      <w:r w:rsidR="00DB3F49">
        <w:rPr>
          <w:rFonts w:asciiTheme="majorHAnsi" w:hAnsiTheme="majorHAnsi" w:cstheme="majorHAnsi"/>
          <w:sz w:val="24"/>
          <w:szCs w:val="24"/>
          <w:lang w:val="ro-MD"/>
        </w:rPr>
        <w:t>.</w:t>
      </w:r>
      <w:r w:rsidR="00DB3F49" w:rsidRPr="00DB3F49">
        <w:rPr>
          <w:rFonts w:asciiTheme="majorHAnsi" w:hAnsiTheme="majorHAnsi" w:cstheme="majorHAnsi"/>
          <w:sz w:val="24"/>
          <w:szCs w:val="24"/>
          <w:lang w:val="ro-MD"/>
        </w:rPr>
        <w:t>07</w:t>
      </w:r>
      <w:r w:rsidR="00DB3F49">
        <w:rPr>
          <w:rFonts w:asciiTheme="majorHAnsi" w:hAnsiTheme="majorHAnsi" w:cstheme="majorHAnsi"/>
          <w:sz w:val="24"/>
          <w:szCs w:val="24"/>
          <w:lang w:val="ro-MD"/>
        </w:rPr>
        <w:t>.</w:t>
      </w:r>
      <w:r w:rsidR="00DB3F49" w:rsidRPr="00DB3F49">
        <w:rPr>
          <w:rFonts w:asciiTheme="majorHAnsi" w:hAnsiTheme="majorHAnsi" w:cstheme="majorHAnsi"/>
          <w:sz w:val="24"/>
          <w:szCs w:val="24"/>
          <w:lang w:val="ro-MD"/>
        </w:rPr>
        <w:t xml:space="preserve">2021 de reprezentații USM, </w:t>
      </w:r>
      <w:r w:rsidR="00DB3F49">
        <w:rPr>
          <w:rFonts w:asciiTheme="majorHAnsi" w:hAnsiTheme="majorHAnsi" w:cstheme="majorHAnsi"/>
          <w:sz w:val="24"/>
          <w:szCs w:val="24"/>
          <w:lang w:val="ro-MD"/>
        </w:rPr>
        <w:t>d</w:t>
      </w:r>
      <w:r w:rsidR="00DB3F49" w:rsidRPr="00DB3F49">
        <w:rPr>
          <w:rFonts w:asciiTheme="majorHAnsi" w:hAnsiTheme="majorHAnsi" w:cstheme="majorHAnsi"/>
          <w:sz w:val="24"/>
          <w:szCs w:val="24"/>
          <w:lang w:val="ro-MD"/>
        </w:rPr>
        <w:t>e asemenea</w:t>
      </w:r>
      <w:r w:rsidR="00DB3F49">
        <w:rPr>
          <w:rFonts w:asciiTheme="majorHAnsi" w:hAnsiTheme="majorHAnsi" w:cstheme="majorHAnsi"/>
          <w:sz w:val="24"/>
          <w:szCs w:val="24"/>
          <w:lang w:val="ro-MD"/>
        </w:rPr>
        <w:t xml:space="preserve"> </w:t>
      </w:r>
      <w:r w:rsidR="00DB3F49" w:rsidRPr="00DB3F49">
        <w:rPr>
          <w:rFonts w:asciiTheme="majorHAnsi" w:hAnsiTheme="majorHAnsi" w:cstheme="majorHAnsi"/>
          <w:sz w:val="24"/>
          <w:szCs w:val="24"/>
          <w:lang w:val="ro-MD"/>
        </w:rPr>
        <w:t>nu a putut identifica persoanele care desfășoară activitate economică pe teritoriul bazei.</w:t>
      </w:r>
    </w:p>
    <w:p w14:paraId="33B6C657" w14:textId="76A9CFEC" w:rsidR="0013783D" w:rsidRDefault="0013783D" w:rsidP="002D3434">
      <w:pPr>
        <w:spacing w:after="0" w:line="276" w:lineRule="auto"/>
        <w:jc w:val="both"/>
        <w:rPr>
          <w:rFonts w:asciiTheme="majorHAnsi" w:hAnsiTheme="majorHAnsi" w:cstheme="majorHAnsi"/>
          <w:b/>
          <w:bCs/>
          <w:sz w:val="24"/>
          <w:szCs w:val="24"/>
          <w:lang w:val="ro-MD"/>
        </w:rPr>
      </w:pPr>
      <w:r>
        <w:rPr>
          <w:rFonts w:asciiTheme="majorHAnsi" w:hAnsiTheme="majorHAnsi" w:cstheme="majorHAnsi"/>
          <w:b/>
          <w:bCs/>
          <w:sz w:val="24"/>
          <w:szCs w:val="24"/>
          <w:lang w:val="ro-MD"/>
        </w:rPr>
        <w:t>6.5. Cu privire la comanda de stat pentru pregătirea cadrelor</w:t>
      </w:r>
    </w:p>
    <w:p w14:paraId="51679ECB" w14:textId="6FFDBADD" w:rsidR="001D062E" w:rsidRPr="00CD7FE5" w:rsidRDefault="008D4F50" w:rsidP="002D3434">
      <w:pPr>
        <w:spacing w:after="0" w:line="276" w:lineRule="auto"/>
        <w:jc w:val="both"/>
        <w:rPr>
          <w:rFonts w:asciiTheme="majorHAnsi" w:eastAsia="Times New Roman" w:hAnsiTheme="majorHAnsi" w:cstheme="majorHAnsi"/>
          <w:sz w:val="24"/>
          <w:szCs w:val="24"/>
          <w:lang w:val="ro-MD" w:eastAsia="ru-RU"/>
        </w:rPr>
      </w:pPr>
      <w:r w:rsidRPr="00CD7FE5">
        <w:rPr>
          <w:rFonts w:asciiTheme="majorHAnsi" w:hAnsiTheme="majorHAnsi" w:cstheme="majorHAnsi"/>
          <w:b/>
          <w:bCs/>
          <w:sz w:val="24"/>
          <w:szCs w:val="24"/>
          <w:lang w:val="ro-MD"/>
        </w:rPr>
        <w:t>6</w:t>
      </w:r>
      <w:r w:rsidR="006C7763" w:rsidRPr="00CD7FE5">
        <w:rPr>
          <w:rFonts w:asciiTheme="majorHAnsi" w:hAnsiTheme="majorHAnsi" w:cstheme="majorHAnsi"/>
          <w:b/>
          <w:bCs/>
          <w:sz w:val="24"/>
          <w:szCs w:val="24"/>
          <w:lang w:val="ro-MD"/>
        </w:rPr>
        <w:t>.</w:t>
      </w:r>
      <w:r w:rsidR="006C7763" w:rsidRPr="0013783D">
        <w:rPr>
          <w:rFonts w:asciiTheme="majorHAnsi" w:hAnsiTheme="majorHAnsi" w:cstheme="majorHAnsi"/>
          <w:b/>
          <w:bCs/>
          <w:sz w:val="24"/>
          <w:szCs w:val="24"/>
          <w:lang w:val="ro-MD"/>
        </w:rPr>
        <w:t>5</w:t>
      </w:r>
      <w:r w:rsidR="001D062E" w:rsidRPr="0013783D">
        <w:rPr>
          <w:rFonts w:asciiTheme="majorHAnsi" w:hAnsiTheme="majorHAnsi" w:cstheme="majorHAnsi"/>
          <w:b/>
          <w:bCs/>
          <w:sz w:val="24"/>
          <w:szCs w:val="24"/>
          <w:lang w:val="ro-MD"/>
        </w:rPr>
        <w:t>.1.</w:t>
      </w:r>
      <w:r w:rsidR="001D062E" w:rsidRPr="0013783D">
        <w:rPr>
          <w:rFonts w:asciiTheme="majorHAnsi" w:hAnsiTheme="majorHAnsi" w:cstheme="majorHAnsi"/>
          <w:sz w:val="24"/>
          <w:szCs w:val="24"/>
          <w:lang w:val="ro-MD"/>
        </w:rPr>
        <w:t xml:space="preserve"> Serviciile</w:t>
      </w:r>
      <w:r w:rsidR="001D062E" w:rsidRPr="00CD7FE5">
        <w:rPr>
          <w:rFonts w:asciiTheme="majorHAnsi" w:hAnsiTheme="majorHAnsi" w:cstheme="majorHAnsi"/>
          <w:sz w:val="24"/>
          <w:szCs w:val="24"/>
          <w:lang w:val="ro-MD"/>
        </w:rPr>
        <w:t xml:space="preserve"> educaționale pentru realizarea planului de pregătire a cadrelor din învățământul superior (în sumă de 582,576 mil.lei) au fost contractate de către MECC</w:t>
      </w:r>
      <w:r w:rsidR="001D062E" w:rsidRPr="00CD7FE5">
        <w:rPr>
          <w:rFonts w:asciiTheme="majorHAnsi" w:eastAsia="Times New Roman" w:hAnsiTheme="majorHAnsi" w:cstheme="majorHAnsi"/>
          <w:sz w:val="24"/>
          <w:szCs w:val="24"/>
          <w:lang w:val="ro-MD" w:eastAsia="ru-RU"/>
        </w:rPr>
        <w:t xml:space="preserve"> contrar prevederilor </w:t>
      </w:r>
      <w:r w:rsidR="002D3434" w:rsidRPr="00CD7FE5">
        <w:rPr>
          <w:rFonts w:asciiTheme="majorHAnsi" w:eastAsia="Times New Roman" w:hAnsiTheme="majorHAnsi" w:cstheme="majorHAnsi"/>
          <w:sz w:val="24"/>
          <w:szCs w:val="24"/>
          <w:lang w:val="ro-MD" w:eastAsia="ru-RU"/>
        </w:rPr>
        <w:t>art.315</w:t>
      </w:r>
      <w:r w:rsidR="001D062E" w:rsidRPr="00CD7FE5">
        <w:rPr>
          <w:rFonts w:asciiTheme="majorHAnsi" w:eastAsia="Times New Roman" w:hAnsiTheme="majorHAnsi" w:cstheme="majorHAnsi"/>
          <w:sz w:val="24"/>
          <w:szCs w:val="24"/>
          <w:lang w:val="ro-MD" w:eastAsia="ru-RU"/>
        </w:rPr>
        <w:t xml:space="preserve"> din Codul civil, nefiind determinat exact obiectul contractului (tipul, cantitatea și calitatea serviciului).</w:t>
      </w:r>
      <w:r w:rsidR="001D062E" w:rsidRPr="00CD7FE5">
        <w:rPr>
          <w:rFonts w:asciiTheme="majorHAnsi" w:hAnsiTheme="majorHAnsi" w:cstheme="majorHAnsi"/>
          <w:iCs/>
          <w:sz w:val="24"/>
          <w:szCs w:val="24"/>
          <w:lang w:val="ro-MD"/>
        </w:rPr>
        <w:t xml:space="preserve"> În acest sens, lipsesc datele privind </w:t>
      </w:r>
      <w:r w:rsidR="001D062E" w:rsidRPr="0013783D">
        <w:rPr>
          <w:rFonts w:asciiTheme="majorHAnsi" w:hAnsiTheme="majorHAnsi" w:cstheme="majorHAnsi"/>
          <w:iCs/>
          <w:sz w:val="24"/>
          <w:szCs w:val="24"/>
          <w:lang w:val="ro-MD"/>
        </w:rPr>
        <w:t xml:space="preserve">numărul </w:t>
      </w:r>
      <w:r w:rsidR="00043533" w:rsidRPr="0013783D">
        <w:rPr>
          <w:rFonts w:asciiTheme="majorHAnsi" w:eastAsia="Times New Roman" w:hAnsiTheme="majorHAnsi" w:cstheme="majorHAnsi"/>
          <w:sz w:val="24"/>
          <w:szCs w:val="24"/>
          <w:lang w:val="ro-MD" w:eastAsia="ru-RU"/>
        </w:rPr>
        <w:t xml:space="preserve">echivalent </w:t>
      </w:r>
      <w:r w:rsidR="001D062E" w:rsidRPr="0013783D">
        <w:rPr>
          <w:rFonts w:asciiTheme="majorHAnsi" w:hAnsiTheme="majorHAnsi" w:cstheme="majorHAnsi"/>
          <w:iCs/>
          <w:sz w:val="24"/>
          <w:szCs w:val="24"/>
          <w:lang w:val="ro-MD"/>
        </w:rPr>
        <w:t>de studenți</w:t>
      </w:r>
      <w:r w:rsidR="00043533" w:rsidRPr="0013783D">
        <w:rPr>
          <w:rFonts w:asciiTheme="majorHAnsi" w:hAnsiTheme="majorHAnsi" w:cstheme="majorHAnsi"/>
          <w:iCs/>
          <w:sz w:val="24"/>
          <w:szCs w:val="24"/>
          <w:lang w:val="ro-MD"/>
        </w:rPr>
        <w:t>,</w:t>
      </w:r>
      <w:r w:rsidR="001D062E" w:rsidRPr="0013783D">
        <w:rPr>
          <w:rFonts w:asciiTheme="majorHAnsi" w:hAnsiTheme="majorHAnsi" w:cstheme="majorHAnsi"/>
          <w:iCs/>
          <w:sz w:val="24"/>
          <w:szCs w:val="24"/>
          <w:lang w:val="ro-MD"/>
        </w:rPr>
        <w:t xml:space="preserve"> </w:t>
      </w:r>
      <w:r w:rsidR="001D062E" w:rsidRPr="0013783D">
        <w:rPr>
          <w:rFonts w:asciiTheme="majorHAnsi" w:eastAsia="Times New Roman" w:hAnsiTheme="majorHAnsi" w:cstheme="majorHAnsi"/>
          <w:sz w:val="24"/>
          <w:szCs w:val="24"/>
          <w:lang w:val="ro-MD" w:eastAsia="ru-RU"/>
        </w:rPr>
        <w:t>pe cicluri de studii</w:t>
      </w:r>
      <w:r w:rsidR="00043533" w:rsidRPr="0013783D">
        <w:rPr>
          <w:rFonts w:asciiTheme="majorHAnsi" w:eastAsia="Times New Roman" w:hAnsiTheme="majorHAnsi" w:cstheme="majorHAnsi"/>
          <w:sz w:val="24"/>
          <w:szCs w:val="24"/>
          <w:lang w:val="ro-MD" w:eastAsia="ru-RU"/>
        </w:rPr>
        <w:t xml:space="preserve">, </w:t>
      </w:r>
      <w:r w:rsidR="001D062E" w:rsidRPr="0013783D">
        <w:rPr>
          <w:rFonts w:asciiTheme="majorHAnsi" w:eastAsia="Times New Roman" w:hAnsiTheme="majorHAnsi" w:cstheme="majorHAnsi"/>
          <w:sz w:val="24"/>
          <w:szCs w:val="24"/>
          <w:lang w:val="ro-MD" w:eastAsia="ru-RU"/>
        </w:rPr>
        <w:t>finanțați de la bugetul de stat</w:t>
      </w:r>
      <w:r w:rsidR="007B077A" w:rsidRPr="0013783D">
        <w:rPr>
          <w:rFonts w:asciiTheme="majorHAnsi" w:eastAsia="Times New Roman" w:hAnsiTheme="majorHAnsi" w:cstheme="majorHAnsi"/>
          <w:sz w:val="24"/>
          <w:szCs w:val="24"/>
          <w:lang w:val="ro-MD" w:eastAsia="ru-RU"/>
        </w:rPr>
        <w:t>,</w:t>
      </w:r>
      <w:r w:rsidR="001D062E" w:rsidRPr="0013783D">
        <w:rPr>
          <w:rFonts w:asciiTheme="majorHAnsi" w:eastAsia="Times New Roman" w:hAnsiTheme="majorHAnsi" w:cstheme="majorHAnsi"/>
          <w:sz w:val="24"/>
          <w:szCs w:val="24"/>
          <w:lang w:val="ro-MD" w:eastAsia="ru-RU"/>
        </w:rPr>
        <w:t xml:space="preserve"> în conformitate cu planul de admitere prevăzut de comanda de stat.</w:t>
      </w:r>
    </w:p>
    <w:p w14:paraId="0F43B8C7" w14:textId="73B77AB0" w:rsidR="001D062E" w:rsidRPr="00CD7FE5" w:rsidRDefault="001D062E" w:rsidP="0085370E">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Finanțarea instituțiilor de învățământ superior (comanda de stat, cămin, burse) nu este corelată cu numărul de studenți. În timp ce volumul de finanțare este în creștere (</w:t>
      </w:r>
      <w:r w:rsidR="00EE1989">
        <w:rPr>
          <w:rFonts w:asciiTheme="majorHAnsi" w:hAnsiTheme="majorHAnsi" w:cstheme="majorHAnsi"/>
          <w:sz w:val="24"/>
          <w:szCs w:val="24"/>
          <w:lang w:val="ro-MD"/>
        </w:rPr>
        <w:t>a.</w:t>
      </w:r>
      <w:r w:rsidRPr="00CD7FE5">
        <w:rPr>
          <w:rFonts w:asciiTheme="majorHAnsi" w:hAnsiTheme="majorHAnsi" w:cstheme="majorHAnsi"/>
          <w:sz w:val="24"/>
          <w:szCs w:val="24"/>
          <w:lang w:val="ro-MD"/>
        </w:rPr>
        <w:t xml:space="preserve">2018 - 595,2 mil.lei,  </w:t>
      </w:r>
      <w:r w:rsidR="00EE1989">
        <w:rPr>
          <w:rFonts w:asciiTheme="majorHAnsi" w:hAnsiTheme="majorHAnsi" w:cstheme="majorHAnsi"/>
          <w:sz w:val="24"/>
          <w:szCs w:val="24"/>
          <w:lang w:val="ro-MD"/>
        </w:rPr>
        <w:t>a.</w:t>
      </w:r>
      <w:r w:rsidRPr="00CD7FE5">
        <w:rPr>
          <w:rFonts w:asciiTheme="majorHAnsi" w:hAnsiTheme="majorHAnsi" w:cstheme="majorHAnsi"/>
          <w:sz w:val="24"/>
          <w:szCs w:val="24"/>
          <w:lang w:val="ro-MD"/>
        </w:rPr>
        <w:t xml:space="preserve">2019 - 674,9 mil.lei, </w:t>
      </w:r>
      <w:r w:rsidR="00EE1989">
        <w:rPr>
          <w:rFonts w:asciiTheme="majorHAnsi" w:hAnsiTheme="majorHAnsi" w:cstheme="majorHAnsi"/>
          <w:sz w:val="24"/>
          <w:szCs w:val="24"/>
          <w:lang w:val="ro-MD"/>
        </w:rPr>
        <w:t>a.</w:t>
      </w:r>
      <w:r w:rsidRPr="00CD7FE5">
        <w:rPr>
          <w:rFonts w:asciiTheme="majorHAnsi" w:hAnsiTheme="majorHAnsi" w:cstheme="majorHAnsi"/>
          <w:sz w:val="24"/>
          <w:szCs w:val="24"/>
          <w:lang w:val="ro-MD"/>
        </w:rPr>
        <w:t xml:space="preserve"> 2020 - 678,23 mil.lei (+0,56 %), numărul de studenți finanțați de la bugetul de stat este în descreștere cu 896 (5,3 %)</w:t>
      </w:r>
      <w:r w:rsidRPr="00CD7FE5">
        <w:rPr>
          <w:rFonts w:asciiTheme="majorHAnsi" w:hAnsiTheme="majorHAnsi" w:cstheme="majorHAnsi"/>
          <w:b/>
          <w:sz w:val="24"/>
          <w:szCs w:val="24"/>
          <w:lang w:val="ro-MD"/>
        </w:rPr>
        <w:t xml:space="preserve"> </w:t>
      </w:r>
      <w:r w:rsidR="0085370E" w:rsidRPr="00CD7FE5">
        <w:rPr>
          <w:rFonts w:asciiTheme="majorHAnsi" w:hAnsiTheme="majorHAnsi" w:cstheme="majorHAnsi"/>
          <w:b/>
          <w:sz w:val="24"/>
          <w:szCs w:val="24"/>
          <w:lang w:val="ro-MD"/>
        </w:rPr>
        <w:t xml:space="preserve">față de anul precedent </w:t>
      </w:r>
      <w:r w:rsidRPr="00CD7FE5">
        <w:rPr>
          <w:rFonts w:asciiTheme="majorHAnsi" w:hAnsiTheme="majorHAnsi" w:cstheme="majorHAnsi"/>
          <w:sz w:val="24"/>
          <w:szCs w:val="24"/>
          <w:lang w:val="ro-MD"/>
        </w:rPr>
        <w:t>(</w:t>
      </w:r>
      <w:r w:rsidR="00EE1989">
        <w:rPr>
          <w:rFonts w:asciiTheme="majorHAnsi" w:hAnsiTheme="majorHAnsi" w:cstheme="majorHAnsi"/>
          <w:sz w:val="24"/>
          <w:szCs w:val="24"/>
          <w:lang w:val="ro-MD"/>
        </w:rPr>
        <w:t>a.</w:t>
      </w:r>
      <w:r w:rsidRPr="00CD7FE5">
        <w:rPr>
          <w:rFonts w:asciiTheme="majorHAnsi" w:hAnsiTheme="majorHAnsi" w:cstheme="majorHAnsi"/>
          <w:sz w:val="24"/>
          <w:szCs w:val="24"/>
          <w:lang w:val="ro-MD"/>
        </w:rPr>
        <w:t>2018 -17</w:t>
      </w:r>
      <w:r w:rsidR="00EE1989">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xml:space="preserve">740,  </w:t>
      </w:r>
      <w:r w:rsidR="00EE1989">
        <w:rPr>
          <w:rFonts w:asciiTheme="majorHAnsi" w:hAnsiTheme="majorHAnsi" w:cstheme="majorHAnsi"/>
          <w:sz w:val="24"/>
          <w:szCs w:val="24"/>
          <w:lang w:val="ro-MD"/>
        </w:rPr>
        <w:t>a.</w:t>
      </w:r>
      <w:r w:rsidRPr="00CD7FE5">
        <w:rPr>
          <w:rFonts w:asciiTheme="majorHAnsi" w:hAnsiTheme="majorHAnsi" w:cstheme="majorHAnsi"/>
          <w:sz w:val="24"/>
          <w:szCs w:val="24"/>
          <w:lang w:val="ro-MD"/>
        </w:rPr>
        <w:t>2019</w:t>
      </w:r>
      <w:r w:rsidR="005C3A06">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- 16</w:t>
      </w:r>
      <w:r w:rsidR="00EE1989">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xml:space="preserve">855, </w:t>
      </w:r>
      <w:r w:rsidR="00EE1989">
        <w:rPr>
          <w:rFonts w:asciiTheme="majorHAnsi" w:hAnsiTheme="majorHAnsi" w:cstheme="majorHAnsi"/>
          <w:sz w:val="24"/>
          <w:szCs w:val="24"/>
          <w:lang w:val="ro-MD"/>
        </w:rPr>
        <w:t>a.</w:t>
      </w:r>
      <w:r w:rsidRPr="00CD7FE5">
        <w:rPr>
          <w:rFonts w:asciiTheme="majorHAnsi" w:hAnsiTheme="majorHAnsi" w:cstheme="majorHAnsi"/>
          <w:sz w:val="24"/>
          <w:szCs w:val="24"/>
          <w:lang w:val="ro-MD"/>
        </w:rPr>
        <w:t>2020 -15</w:t>
      </w:r>
      <w:r w:rsidR="00EE1989">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xml:space="preserve">959). </w:t>
      </w:r>
      <w:r w:rsidRPr="005C3A06">
        <w:rPr>
          <w:rFonts w:asciiTheme="majorHAnsi" w:hAnsiTheme="majorHAnsi" w:cstheme="majorHAnsi"/>
          <w:sz w:val="24"/>
          <w:szCs w:val="24"/>
          <w:lang w:val="ro-MD"/>
        </w:rPr>
        <w:t xml:space="preserve">Cheltuielile medii </w:t>
      </w:r>
      <w:r w:rsidR="005C3A06">
        <w:rPr>
          <w:rFonts w:asciiTheme="majorHAnsi" w:hAnsiTheme="majorHAnsi" w:cstheme="majorHAnsi"/>
          <w:sz w:val="24"/>
          <w:szCs w:val="24"/>
          <w:lang w:val="ro-MD"/>
        </w:rPr>
        <w:t xml:space="preserve">pentru </w:t>
      </w:r>
      <w:r w:rsidRPr="005C3A06">
        <w:rPr>
          <w:rFonts w:asciiTheme="majorHAnsi" w:hAnsiTheme="majorHAnsi" w:cstheme="majorHAnsi"/>
          <w:sz w:val="24"/>
          <w:szCs w:val="24"/>
          <w:lang w:val="ro-MD"/>
        </w:rPr>
        <w:t xml:space="preserve">pregătirea unui student cu finanțare din buget pe cicluri </w:t>
      </w:r>
      <w:r w:rsidR="005C3A06">
        <w:rPr>
          <w:rFonts w:asciiTheme="majorHAnsi" w:hAnsiTheme="majorHAnsi" w:cstheme="majorHAnsi"/>
          <w:sz w:val="24"/>
          <w:szCs w:val="24"/>
          <w:lang w:val="ro-MD"/>
        </w:rPr>
        <w:t xml:space="preserve">de studii </w:t>
      </w:r>
      <w:r w:rsidRPr="005C3A06">
        <w:rPr>
          <w:rFonts w:asciiTheme="majorHAnsi" w:hAnsiTheme="majorHAnsi" w:cstheme="majorHAnsi"/>
          <w:sz w:val="24"/>
          <w:szCs w:val="24"/>
          <w:lang w:val="ro-MD"/>
        </w:rPr>
        <w:t xml:space="preserve">diferă de cele </w:t>
      </w:r>
      <w:r w:rsidR="005C3A06">
        <w:rPr>
          <w:rFonts w:asciiTheme="majorHAnsi" w:hAnsiTheme="majorHAnsi" w:cstheme="majorHAnsi"/>
          <w:sz w:val="24"/>
          <w:szCs w:val="24"/>
          <w:lang w:val="ro-MD"/>
        </w:rPr>
        <w:t xml:space="preserve">efectuate </w:t>
      </w:r>
      <w:r w:rsidRPr="005C3A06">
        <w:rPr>
          <w:rFonts w:asciiTheme="majorHAnsi" w:hAnsiTheme="majorHAnsi" w:cstheme="majorHAnsi"/>
          <w:sz w:val="24"/>
          <w:szCs w:val="24"/>
          <w:lang w:val="ro-MD"/>
        </w:rPr>
        <w:t>din veniturile proprii</w:t>
      </w:r>
      <w:r w:rsidR="005C3A06">
        <w:rPr>
          <w:rFonts w:asciiTheme="majorHAnsi" w:hAnsiTheme="majorHAnsi" w:cstheme="majorHAnsi"/>
          <w:sz w:val="24"/>
          <w:szCs w:val="24"/>
          <w:lang w:val="ro-MD"/>
        </w:rPr>
        <w:t>. Astfel,</w:t>
      </w:r>
      <w:r w:rsidRPr="005C3A06">
        <w:rPr>
          <w:rFonts w:asciiTheme="majorHAnsi" w:hAnsiTheme="majorHAnsi" w:cstheme="majorHAnsi"/>
          <w:sz w:val="24"/>
          <w:szCs w:val="24"/>
          <w:lang w:val="ro-MD"/>
        </w:rPr>
        <w:t xml:space="preserve"> costul mediu </w:t>
      </w:r>
      <w:r w:rsidR="005C3A06">
        <w:rPr>
          <w:rFonts w:asciiTheme="majorHAnsi" w:hAnsiTheme="majorHAnsi" w:cstheme="majorHAnsi"/>
          <w:sz w:val="24"/>
          <w:szCs w:val="24"/>
          <w:lang w:val="ro-MD"/>
        </w:rPr>
        <w:t>pentru</w:t>
      </w:r>
      <w:r w:rsidRPr="005C3A06">
        <w:rPr>
          <w:rFonts w:asciiTheme="majorHAnsi" w:hAnsiTheme="majorHAnsi" w:cstheme="majorHAnsi"/>
          <w:sz w:val="24"/>
          <w:szCs w:val="24"/>
          <w:lang w:val="ro-MD"/>
        </w:rPr>
        <w:t xml:space="preserve"> un student (</w:t>
      </w:r>
      <w:r w:rsidR="005C3A06">
        <w:rPr>
          <w:rFonts w:asciiTheme="majorHAnsi" w:hAnsiTheme="majorHAnsi" w:cstheme="majorHAnsi"/>
          <w:sz w:val="24"/>
          <w:szCs w:val="24"/>
          <w:lang w:val="ro-MD"/>
        </w:rPr>
        <w:t>la</w:t>
      </w:r>
      <w:r w:rsidRPr="005C3A06">
        <w:rPr>
          <w:rFonts w:asciiTheme="majorHAnsi" w:hAnsiTheme="majorHAnsi" w:cstheme="majorHAnsi"/>
          <w:sz w:val="24"/>
          <w:szCs w:val="24"/>
          <w:lang w:val="ro-MD"/>
        </w:rPr>
        <w:t xml:space="preserve"> ciclul I) din alocațiile bugetare </w:t>
      </w:r>
      <w:r w:rsidR="005C3A06">
        <w:rPr>
          <w:rFonts w:asciiTheme="majorHAnsi" w:hAnsiTheme="majorHAnsi" w:cstheme="majorHAnsi"/>
          <w:sz w:val="24"/>
          <w:szCs w:val="24"/>
          <w:lang w:val="ro-MD"/>
        </w:rPr>
        <w:t>constituie</w:t>
      </w:r>
      <w:r w:rsidRPr="005C3A06">
        <w:rPr>
          <w:rFonts w:asciiTheme="majorHAnsi" w:hAnsiTheme="majorHAnsi" w:cstheme="majorHAnsi"/>
          <w:sz w:val="24"/>
          <w:szCs w:val="24"/>
          <w:lang w:val="ro-MD"/>
        </w:rPr>
        <w:t xml:space="preserve"> de la 34,6 mii lei până la 102,3  mii lei, </w:t>
      </w:r>
      <w:r w:rsidR="005C3A06">
        <w:rPr>
          <w:rFonts w:asciiTheme="majorHAnsi" w:hAnsiTheme="majorHAnsi" w:cstheme="majorHAnsi"/>
          <w:sz w:val="24"/>
          <w:szCs w:val="24"/>
          <w:lang w:val="ro-MD"/>
        </w:rPr>
        <w:t>iar</w:t>
      </w:r>
      <w:r w:rsidRPr="005C3A06">
        <w:rPr>
          <w:rFonts w:asciiTheme="majorHAnsi" w:hAnsiTheme="majorHAnsi" w:cstheme="majorHAnsi"/>
          <w:sz w:val="24"/>
          <w:szCs w:val="24"/>
          <w:lang w:val="ro-MD"/>
        </w:rPr>
        <w:t xml:space="preserve"> din veniturile proprii </w:t>
      </w:r>
      <w:r w:rsidR="005C3A06">
        <w:rPr>
          <w:rFonts w:asciiTheme="majorHAnsi" w:hAnsiTheme="majorHAnsi" w:cstheme="majorHAnsi"/>
          <w:sz w:val="24"/>
          <w:szCs w:val="24"/>
          <w:lang w:val="ro-MD"/>
        </w:rPr>
        <w:t xml:space="preserve">- </w:t>
      </w:r>
      <w:r w:rsidRPr="005C3A06">
        <w:rPr>
          <w:rFonts w:asciiTheme="majorHAnsi" w:hAnsiTheme="majorHAnsi" w:cstheme="majorHAnsi"/>
          <w:sz w:val="24"/>
          <w:szCs w:val="24"/>
          <w:lang w:val="ro-MD"/>
        </w:rPr>
        <w:t>de la 2,6 mii lei până la 15,5 mii lei</w:t>
      </w:r>
      <w:r w:rsidRPr="00CD7FE5">
        <w:rPr>
          <w:rStyle w:val="FootnoteReference"/>
          <w:rFonts w:asciiTheme="majorHAnsi" w:hAnsiTheme="majorHAnsi" w:cstheme="majorHAnsi"/>
          <w:sz w:val="24"/>
          <w:szCs w:val="24"/>
          <w:lang w:val="ro-MD"/>
        </w:rPr>
        <w:footnoteReference w:id="22"/>
      </w:r>
      <w:r w:rsidRPr="00CD7FE5">
        <w:rPr>
          <w:rFonts w:asciiTheme="majorHAnsi" w:hAnsiTheme="majorHAnsi" w:cstheme="majorHAnsi"/>
          <w:sz w:val="24"/>
          <w:szCs w:val="24"/>
          <w:lang w:val="ro-MD"/>
        </w:rPr>
        <w:t>.</w:t>
      </w:r>
    </w:p>
    <w:p w14:paraId="34145467" w14:textId="44D55CEE" w:rsidR="001D062E" w:rsidRPr="00CD7FE5" w:rsidRDefault="001D062E" w:rsidP="00C36552">
      <w:pPr>
        <w:spacing w:after="0" w:line="276" w:lineRule="auto"/>
        <w:jc w:val="both"/>
        <w:rPr>
          <w:rFonts w:asciiTheme="majorHAnsi" w:eastAsia="Times New Roman" w:hAnsiTheme="majorHAnsi" w:cstheme="majorHAnsi"/>
          <w:sz w:val="24"/>
          <w:szCs w:val="24"/>
          <w:lang w:val="ro-MD" w:eastAsia="ru-RU"/>
        </w:rPr>
      </w:pPr>
      <w:r w:rsidRPr="00CD7FE5">
        <w:rPr>
          <w:rFonts w:asciiTheme="majorHAnsi" w:eastAsia="Times New Roman" w:hAnsiTheme="majorHAnsi" w:cstheme="majorHAnsi"/>
          <w:sz w:val="24"/>
          <w:szCs w:val="24"/>
          <w:lang w:val="ro-MD" w:eastAsia="ru-RU"/>
        </w:rPr>
        <w:t>Deși</w:t>
      </w:r>
      <w:r w:rsidR="00437522">
        <w:rPr>
          <w:rFonts w:asciiTheme="majorHAnsi" w:eastAsia="Times New Roman" w:hAnsiTheme="majorHAnsi" w:cstheme="majorHAnsi"/>
          <w:sz w:val="24"/>
          <w:szCs w:val="24"/>
          <w:lang w:val="ro-MD" w:eastAsia="ru-RU"/>
        </w:rPr>
        <w:t>,</w:t>
      </w:r>
      <w:r w:rsidRPr="00CD7FE5">
        <w:rPr>
          <w:rFonts w:asciiTheme="majorHAnsi" w:eastAsia="Times New Roman" w:hAnsiTheme="majorHAnsi" w:cstheme="majorHAnsi"/>
          <w:sz w:val="24"/>
          <w:szCs w:val="24"/>
          <w:lang w:val="ro-MD" w:eastAsia="ru-RU"/>
        </w:rPr>
        <w:t xml:space="preserve"> conform prevederilor art.145 din Codul educației</w:t>
      </w:r>
      <w:r w:rsidR="00C9166E">
        <w:rPr>
          <w:rFonts w:asciiTheme="majorHAnsi" w:eastAsia="Times New Roman" w:hAnsiTheme="majorHAnsi" w:cstheme="majorHAnsi"/>
          <w:sz w:val="24"/>
          <w:szCs w:val="24"/>
          <w:lang w:val="ro-MD" w:eastAsia="ru-RU"/>
        </w:rPr>
        <w:t>,</w:t>
      </w:r>
      <w:r w:rsidRPr="00CD7FE5">
        <w:rPr>
          <w:rFonts w:asciiTheme="majorHAnsi" w:eastAsia="Times New Roman" w:hAnsiTheme="majorHAnsi" w:cstheme="majorHAnsi"/>
          <w:sz w:val="24"/>
          <w:szCs w:val="24"/>
          <w:lang w:val="ro-MD" w:eastAsia="ru-RU"/>
        </w:rPr>
        <w:t xml:space="preserve"> începând cu anul 2015</w:t>
      </w:r>
      <w:r w:rsidR="00C9166E">
        <w:rPr>
          <w:rFonts w:asciiTheme="majorHAnsi" w:eastAsia="Times New Roman" w:hAnsiTheme="majorHAnsi" w:cstheme="majorHAnsi"/>
          <w:sz w:val="24"/>
          <w:szCs w:val="24"/>
          <w:lang w:val="ro-MD" w:eastAsia="ru-RU"/>
        </w:rPr>
        <w:t>,</w:t>
      </w:r>
      <w:r w:rsidRPr="00CD7FE5">
        <w:rPr>
          <w:rFonts w:asciiTheme="majorHAnsi" w:eastAsia="Times New Roman" w:hAnsiTheme="majorHAnsi" w:cstheme="majorHAnsi"/>
          <w:sz w:val="24"/>
          <w:szCs w:val="24"/>
          <w:lang w:val="ro-MD" w:eastAsia="ru-RU"/>
        </w:rPr>
        <w:t xml:space="preserve"> finanțarea bugetară a învățământului superior urma să se efectueze prin finanțare-standard: cost</w:t>
      </w:r>
      <w:r w:rsidR="00B16D87">
        <w:rPr>
          <w:rFonts w:asciiTheme="majorHAnsi" w:eastAsia="Times New Roman" w:hAnsiTheme="majorHAnsi" w:cstheme="majorHAnsi"/>
          <w:sz w:val="24"/>
          <w:szCs w:val="24"/>
          <w:lang w:val="ro-MD" w:eastAsia="ru-RU"/>
        </w:rPr>
        <w:t>-</w:t>
      </w:r>
      <w:r w:rsidRPr="00CD7FE5">
        <w:rPr>
          <w:rFonts w:asciiTheme="majorHAnsi" w:eastAsia="Times New Roman" w:hAnsiTheme="majorHAnsi" w:cstheme="majorHAnsi"/>
          <w:sz w:val="24"/>
          <w:szCs w:val="24"/>
          <w:lang w:val="ro-MD" w:eastAsia="ru-RU"/>
        </w:rPr>
        <w:t>standard per student și coeficient de ajustare, acest termen a fost neconform prelungit succesiv până în anul 2021</w:t>
      </w:r>
      <w:r w:rsidRPr="00CD7FE5">
        <w:rPr>
          <w:rFonts w:asciiTheme="majorHAnsi" w:eastAsia="Times New Roman" w:hAnsiTheme="majorHAnsi" w:cstheme="majorHAnsi"/>
          <w:sz w:val="24"/>
          <w:szCs w:val="24"/>
          <w:vertAlign w:val="superscript"/>
          <w:lang w:val="ro-MD" w:eastAsia="ru-RU"/>
        </w:rPr>
        <w:footnoteReference w:id="23"/>
      </w:r>
      <w:r w:rsidRPr="00CD7FE5">
        <w:rPr>
          <w:rFonts w:asciiTheme="majorHAnsi" w:eastAsia="Times New Roman" w:hAnsiTheme="majorHAnsi" w:cstheme="majorHAnsi"/>
          <w:sz w:val="24"/>
          <w:szCs w:val="24"/>
          <w:lang w:val="ro-MD" w:eastAsia="ru-RU"/>
        </w:rPr>
        <w:t xml:space="preserve">. </w:t>
      </w:r>
    </w:p>
    <w:p w14:paraId="0AF6D068" w14:textId="428FB851" w:rsidR="001D062E" w:rsidRPr="00CD7FE5" w:rsidRDefault="001D062E" w:rsidP="00CD4E30">
      <w:pPr>
        <w:spacing w:after="0" w:line="276" w:lineRule="auto"/>
        <w:jc w:val="both"/>
        <w:rPr>
          <w:rFonts w:asciiTheme="majorHAnsi" w:hAnsiTheme="majorHAnsi" w:cstheme="majorHAnsi"/>
          <w:color w:val="333333"/>
          <w:sz w:val="24"/>
          <w:szCs w:val="24"/>
          <w:lang w:val="ro-MD"/>
        </w:rPr>
      </w:pPr>
      <w:r w:rsidRPr="00CD7FE5">
        <w:rPr>
          <w:rFonts w:asciiTheme="majorHAnsi" w:hAnsiTheme="majorHAnsi" w:cstheme="majorHAnsi"/>
          <w:color w:val="333333"/>
          <w:sz w:val="24"/>
          <w:szCs w:val="24"/>
          <w:lang w:val="ro-MD"/>
        </w:rPr>
        <w:t>MECC a elaborat și aprobat</w:t>
      </w:r>
      <w:r w:rsidR="00C9166E">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prin </w:t>
      </w:r>
      <w:r w:rsidRPr="00944F35">
        <w:rPr>
          <w:rFonts w:asciiTheme="majorHAnsi" w:hAnsiTheme="majorHAnsi" w:cstheme="majorHAnsi"/>
          <w:color w:val="333333"/>
          <w:sz w:val="24"/>
          <w:szCs w:val="24"/>
          <w:lang w:val="ro-MD"/>
        </w:rPr>
        <w:t>H</w:t>
      </w:r>
      <w:r w:rsidR="00944F35" w:rsidRPr="0013783D">
        <w:rPr>
          <w:rFonts w:asciiTheme="majorHAnsi" w:hAnsiTheme="majorHAnsi" w:cstheme="majorHAnsi"/>
          <w:color w:val="333333"/>
          <w:sz w:val="24"/>
          <w:szCs w:val="24"/>
          <w:lang w:val="ro-MD"/>
        </w:rPr>
        <w:t xml:space="preserve">otărârea </w:t>
      </w:r>
      <w:r w:rsidRPr="00944F35">
        <w:rPr>
          <w:rFonts w:asciiTheme="majorHAnsi" w:hAnsiTheme="majorHAnsi" w:cstheme="majorHAnsi"/>
          <w:color w:val="333333"/>
          <w:sz w:val="24"/>
          <w:szCs w:val="24"/>
          <w:lang w:val="ro-MD"/>
        </w:rPr>
        <w:t>G</w:t>
      </w:r>
      <w:r w:rsidR="00944F35" w:rsidRPr="00944F35">
        <w:rPr>
          <w:rFonts w:asciiTheme="majorHAnsi" w:hAnsiTheme="majorHAnsi" w:cstheme="majorHAnsi"/>
          <w:color w:val="333333"/>
          <w:sz w:val="24"/>
          <w:szCs w:val="24"/>
          <w:lang w:val="ro-MD"/>
        </w:rPr>
        <w:t>uvernului</w:t>
      </w:r>
      <w:r w:rsidRPr="00CD7FE5">
        <w:rPr>
          <w:rFonts w:asciiTheme="majorHAnsi" w:hAnsiTheme="majorHAnsi" w:cstheme="majorHAnsi"/>
          <w:color w:val="333333"/>
          <w:sz w:val="24"/>
          <w:szCs w:val="24"/>
          <w:lang w:val="ro-MD"/>
        </w:rPr>
        <w:t xml:space="preserve"> nr.343 din 10.06.2020</w:t>
      </w:r>
      <w:r w:rsidR="00C9166E">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w:t>
      </w:r>
      <w:r w:rsidRPr="00CD7FE5">
        <w:rPr>
          <w:rFonts w:asciiTheme="majorHAnsi" w:hAnsiTheme="majorHAnsi" w:cstheme="majorHAnsi"/>
          <w:b/>
          <w:bCs/>
          <w:color w:val="333333"/>
          <w:sz w:val="24"/>
          <w:szCs w:val="24"/>
          <w:lang w:val="ro-MD"/>
        </w:rPr>
        <w:t xml:space="preserve">Metodologia de finanțare bugetară a instituțiilor publice de învățământ superior, </w:t>
      </w:r>
      <w:r w:rsidRPr="00CD7FE5">
        <w:rPr>
          <w:rFonts w:asciiTheme="majorHAnsi" w:hAnsiTheme="majorHAnsi" w:cstheme="majorHAnsi"/>
          <w:bCs/>
          <w:color w:val="333333"/>
          <w:sz w:val="24"/>
          <w:szCs w:val="24"/>
          <w:lang w:val="ro-MD"/>
        </w:rPr>
        <w:t xml:space="preserve">fără a se conforma </w:t>
      </w:r>
      <w:r w:rsidRPr="00CD7FE5">
        <w:rPr>
          <w:rFonts w:asciiTheme="majorHAnsi" w:hAnsiTheme="majorHAnsi" w:cstheme="majorHAnsi"/>
          <w:sz w:val="24"/>
          <w:szCs w:val="24"/>
          <w:lang w:val="ro-MD"/>
        </w:rPr>
        <w:t xml:space="preserve">recomandărilor anterioare ale Curții de Conturi privind </w:t>
      </w:r>
      <w:r w:rsidRPr="00CD7FE5">
        <w:rPr>
          <w:rFonts w:asciiTheme="majorHAnsi" w:hAnsiTheme="majorHAnsi" w:cstheme="majorHAnsi"/>
          <w:color w:val="333333"/>
          <w:sz w:val="24"/>
          <w:szCs w:val="24"/>
          <w:lang w:val="ro-MD"/>
        </w:rPr>
        <w:t>elaborarea unei metodologii exhaustive privind determinarea costului de studii per student, specializare, ocupație și nivel de studii. Ca urmare</w:t>
      </w:r>
      <w:r w:rsidR="00C9166E">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auditul nu se poate expune asupra conformității determinării costului (de fapt</w:t>
      </w:r>
      <w:r w:rsidR="00C9166E">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a alocațiilor) standard per student pentru finanțarea învățământului superior. De asemenea</w:t>
      </w:r>
      <w:r w:rsidR="00C9166E">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nici informațiile financiare indicate în </w:t>
      </w:r>
      <w:r w:rsidR="00CD4E30">
        <w:rPr>
          <w:rFonts w:asciiTheme="majorHAnsi" w:hAnsiTheme="majorHAnsi" w:cstheme="majorHAnsi"/>
          <w:color w:val="333333"/>
          <w:sz w:val="24"/>
          <w:szCs w:val="24"/>
          <w:lang w:val="ro-MD"/>
        </w:rPr>
        <w:t>R</w:t>
      </w:r>
      <w:r w:rsidRPr="00CD7FE5">
        <w:rPr>
          <w:rFonts w:asciiTheme="majorHAnsi" w:hAnsiTheme="majorHAnsi" w:cstheme="majorHAnsi"/>
          <w:color w:val="333333"/>
          <w:sz w:val="24"/>
          <w:szCs w:val="24"/>
          <w:lang w:val="ro-MD"/>
        </w:rPr>
        <w:t>apoartele</w:t>
      </w:r>
      <w:r w:rsidR="00CD4E30">
        <w:rPr>
          <w:rFonts w:asciiTheme="majorHAnsi" w:hAnsiTheme="majorHAnsi" w:cstheme="majorHAnsi"/>
          <w:color w:val="333333"/>
          <w:sz w:val="24"/>
          <w:szCs w:val="24"/>
          <w:lang w:val="ro-MD"/>
        </w:rPr>
        <w:t xml:space="preserve"> trimestriale/anual</w:t>
      </w:r>
      <w:r w:rsidR="0050198A">
        <w:rPr>
          <w:rFonts w:asciiTheme="majorHAnsi" w:hAnsiTheme="majorHAnsi" w:cstheme="majorHAnsi"/>
          <w:color w:val="333333"/>
          <w:sz w:val="24"/>
          <w:szCs w:val="24"/>
          <w:lang w:val="ro-MD"/>
        </w:rPr>
        <w:t>e</w:t>
      </w:r>
      <w:r w:rsidRPr="00CD7FE5">
        <w:rPr>
          <w:rFonts w:asciiTheme="majorHAnsi" w:hAnsiTheme="majorHAnsi" w:cstheme="majorHAnsi"/>
          <w:color w:val="333333"/>
          <w:sz w:val="24"/>
          <w:szCs w:val="24"/>
          <w:lang w:val="ro-MD"/>
        </w:rPr>
        <w:t xml:space="preserve"> </w:t>
      </w:r>
      <w:r w:rsidR="00CD4E30">
        <w:rPr>
          <w:rFonts w:asciiTheme="majorHAnsi" w:hAnsiTheme="majorHAnsi" w:cstheme="majorHAnsi"/>
          <w:color w:val="333333"/>
          <w:sz w:val="24"/>
          <w:szCs w:val="24"/>
          <w:lang w:val="ro-MD"/>
        </w:rPr>
        <w:t xml:space="preserve">„ag”, aprobate prin </w:t>
      </w:r>
      <w:r w:rsidR="00CD4E30" w:rsidRPr="00CD7FE5">
        <w:rPr>
          <w:rFonts w:asciiTheme="majorHAnsi" w:eastAsia="Calibri" w:hAnsiTheme="majorHAnsi" w:cstheme="majorHAnsi"/>
          <w:sz w:val="24"/>
          <w:szCs w:val="24"/>
          <w:lang w:val="ro-MD"/>
        </w:rPr>
        <w:t xml:space="preserve">Ordinului </w:t>
      </w:r>
      <w:r w:rsidR="00CD4E30">
        <w:rPr>
          <w:rFonts w:asciiTheme="majorHAnsi" w:eastAsia="Calibri" w:hAnsiTheme="majorHAnsi" w:cstheme="majorHAnsi"/>
          <w:sz w:val="24"/>
          <w:szCs w:val="24"/>
          <w:lang w:val="ro-MD"/>
        </w:rPr>
        <w:lastRenderedPageBreak/>
        <w:t>m</w:t>
      </w:r>
      <w:r w:rsidR="00CD4E30" w:rsidRPr="00CD7FE5">
        <w:rPr>
          <w:rFonts w:asciiTheme="majorHAnsi" w:eastAsia="Calibri" w:hAnsiTheme="majorHAnsi" w:cstheme="majorHAnsi"/>
          <w:sz w:val="24"/>
          <w:szCs w:val="24"/>
          <w:lang w:val="ro-MD"/>
        </w:rPr>
        <w:t xml:space="preserve">inistrului </w:t>
      </w:r>
      <w:r w:rsidR="00CD4E30">
        <w:rPr>
          <w:rFonts w:asciiTheme="majorHAnsi" w:eastAsia="Calibri" w:hAnsiTheme="majorHAnsi" w:cstheme="majorHAnsi"/>
          <w:sz w:val="24"/>
          <w:szCs w:val="24"/>
          <w:lang w:val="ro-MD"/>
        </w:rPr>
        <w:t>f</w:t>
      </w:r>
      <w:r w:rsidR="00CD4E30" w:rsidRPr="00CD7FE5">
        <w:rPr>
          <w:rFonts w:asciiTheme="majorHAnsi" w:eastAsia="Calibri" w:hAnsiTheme="majorHAnsi" w:cstheme="majorHAnsi"/>
          <w:sz w:val="24"/>
          <w:szCs w:val="24"/>
          <w:lang w:val="ro-MD"/>
        </w:rPr>
        <w:t>inanțelor</w:t>
      </w:r>
      <w:r w:rsidR="00CD4E30">
        <w:rPr>
          <w:rFonts w:asciiTheme="majorHAnsi" w:hAnsiTheme="majorHAnsi" w:cstheme="majorHAnsi"/>
          <w:color w:val="333333"/>
          <w:sz w:val="24"/>
          <w:szCs w:val="24"/>
          <w:lang w:val="ro-MD"/>
        </w:rPr>
        <w:t xml:space="preserve"> nr.130 din 07.10.2019</w:t>
      </w:r>
      <w:r w:rsidR="0050198A" w:rsidRPr="00CD7FE5">
        <w:rPr>
          <w:rStyle w:val="FootnoteReference"/>
          <w:rFonts w:asciiTheme="majorHAnsi" w:hAnsiTheme="majorHAnsi" w:cstheme="majorHAnsi"/>
          <w:color w:val="333333"/>
          <w:sz w:val="24"/>
          <w:szCs w:val="24"/>
          <w:lang w:val="ro-MD"/>
        </w:rPr>
        <w:footnoteReference w:id="24"/>
      </w:r>
      <w:r w:rsidR="00CD4E30">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nu corespund datelor reflectate în facturi și actele de prestare a serviciilor</w:t>
      </w:r>
      <w:r w:rsidR="00681DF7">
        <w:rPr>
          <w:rFonts w:asciiTheme="majorHAnsi" w:hAnsiTheme="majorHAnsi" w:cstheme="majorHAnsi"/>
          <w:color w:val="333333"/>
          <w:sz w:val="24"/>
          <w:szCs w:val="24"/>
          <w:lang w:val="ro-MD"/>
        </w:rPr>
        <w:t>. P</w:t>
      </w:r>
      <w:r w:rsidRPr="00CD7FE5">
        <w:rPr>
          <w:rFonts w:asciiTheme="majorHAnsi" w:hAnsiTheme="majorHAnsi" w:cstheme="majorHAnsi"/>
          <w:color w:val="333333"/>
          <w:sz w:val="24"/>
          <w:szCs w:val="24"/>
          <w:lang w:val="ro-MD"/>
        </w:rPr>
        <w:t>rin urmare</w:t>
      </w:r>
      <w:r w:rsidR="00681DF7">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datele raportate de către instituțiile de învățământ superior nu oferă o imagine credibilă și poartă doar un caracter informativ.</w:t>
      </w:r>
    </w:p>
    <w:p w14:paraId="39A5E938" w14:textId="5CCFCCBB" w:rsidR="001D062E" w:rsidRPr="00CD7FE5" w:rsidRDefault="001D062E" w:rsidP="00A94E15">
      <w:pPr>
        <w:spacing w:after="0" w:line="276" w:lineRule="auto"/>
        <w:jc w:val="both"/>
        <w:rPr>
          <w:rFonts w:asciiTheme="majorHAnsi" w:hAnsiTheme="majorHAnsi" w:cstheme="majorHAnsi"/>
          <w:color w:val="333333"/>
          <w:sz w:val="24"/>
          <w:szCs w:val="24"/>
          <w:lang w:val="ro-MD"/>
        </w:rPr>
      </w:pPr>
      <w:r w:rsidRPr="00CD7FE5">
        <w:rPr>
          <w:rFonts w:asciiTheme="majorHAnsi" w:hAnsiTheme="majorHAnsi" w:cstheme="majorHAnsi"/>
          <w:color w:val="333333"/>
          <w:sz w:val="24"/>
          <w:szCs w:val="24"/>
          <w:lang w:val="ro-MD"/>
        </w:rPr>
        <w:t>Totodată</w:t>
      </w:r>
      <w:r w:rsidR="00681DF7">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formul</w:t>
      </w:r>
      <w:r w:rsidR="00681DF7">
        <w:rPr>
          <w:rFonts w:asciiTheme="majorHAnsi" w:hAnsiTheme="majorHAnsi" w:cstheme="majorHAnsi"/>
          <w:color w:val="333333"/>
          <w:sz w:val="24"/>
          <w:szCs w:val="24"/>
          <w:lang w:val="ro-MD"/>
        </w:rPr>
        <w:t>a</w:t>
      </w:r>
      <w:r w:rsidRPr="00CD7FE5">
        <w:rPr>
          <w:rFonts w:asciiTheme="majorHAnsi" w:hAnsiTheme="majorHAnsi" w:cstheme="majorHAnsi"/>
          <w:color w:val="333333"/>
          <w:sz w:val="24"/>
          <w:szCs w:val="24"/>
          <w:lang w:val="ro-MD"/>
        </w:rPr>
        <w:t xml:space="preserve"> de finanțare s-a </w:t>
      </w:r>
      <w:r w:rsidR="00681DF7">
        <w:rPr>
          <w:rFonts w:asciiTheme="majorHAnsi" w:hAnsiTheme="majorHAnsi" w:cstheme="majorHAnsi"/>
          <w:color w:val="333333"/>
          <w:sz w:val="24"/>
          <w:szCs w:val="24"/>
          <w:lang w:val="ro-MD"/>
        </w:rPr>
        <w:t>aplicat</w:t>
      </w:r>
      <w:r w:rsidRPr="00CD7FE5">
        <w:rPr>
          <w:rFonts w:asciiTheme="majorHAnsi" w:hAnsiTheme="majorHAnsi" w:cstheme="majorHAnsi"/>
          <w:color w:val="333333"/>
          <w:sz w:val="24"/>
          <w:szCs w:val="24"/>
          <w:lang w:val="ro-MD"/>
        </w:rPr>
        <w:t xml:space="preserve"> începând cu 01.01.2021 și doar pentru studiile de licență și de master,</w:t>
      </w:r>
      <w:r w:rsidR="00681DF7">
        <w:rPr>
          <w:rFonts w:asciiTheme="majorHAnsi" w:hAnsiTheme="majorHAnsi" w:cstheme="majorHAnsi"/>
          <w:color w:val="333333"/>
          <w:sz w:val="24"/>
          <w:szCs w:val="24"/>
          <w:lang w:val="ro-MD"/>
        </w:rPr>
        <w:t xml:space="preserve"> dar</w:t>
      </w:r>
      <w:r w:rsidRPr="00CD7FE5">
        <w:rPr>
          <w:rFonts w:asciiTheme="majorHAnsi" w:hAnsiTheme="majorHAnsi" w:cstheme="majorHAnsi"/>
          <w:color w:val="333333"/>
          <w:sz w:val="24"/>
          <w:szCs w:val="24"/>
          <w:lang w:val="ro-MD"/>
        </w:rPr>
        <w:t xml:space="preserve"> n</w:t>
      </w:r>
      <w:r w:rsidR="00681DF7">
        <w:rPr>
          <w:rFonts w:asciiTheme="majorHAnsi" w:hAnsiTheme="majorHAnsi" w:cstheme="majorHAnsi"/>
          <w:color w:val="333333"/>
          <w:sz w:val="24"/>
          <w:szCs w:val="24"/>
          <w:lang w:val="ro-MD"/>
        </w:rPr>
        <w:t>u și pentru</w:t>
      </w:r>
      <w:r w:rsidRPr="00CD7FE5">
        <w:rPr>
          <w:rFonts w:asciiTheme="majorHAnsi" w:hAnsiTheme="majorHAnsi" w:cstheme="majorHAnsi"/>
          <w:color w:val="333333"/>
          <w:sz w:val="24"/>
          <w:szCs w:val="24"/>
          <w:lang w:val="ro-MD"/>
        </w:rPr>
        <w:t xml:space="preserve"> studiil</w:t>
      </w:r>
      <w:r w:rsidR="00681DF7">
        <w:rPr>
          <w:rFonts w:asciiTheme="majorHAnsi" w:hAnsiTheme="majorHAnsi" w:cstheme="majorHAnsi"/>
          <w:color w:val="333333"/>
          <w:sz w:val="24"/>
          <w:szCs w:val="24"/>
          <w:lang w:val="ro-MD"/>
        </w:rPr>
        <w:t>e</w:t>
      </w:r>
      <w:r w:rsidRPr="00CD7FE5">
        <w:rPr>
          <w:rFonts w:asciiTheme="majorHAnsi" w:hAnsiTheme="majorHAnsi" w:cstheme="majorHAnsi"/>
          <w:color w:val="333333"/>
          <w:sz w:val="24"/>
          <w:szCs w:val="24"/>
          <w:lang w:val="ro-MD"/>
        </w:rPr>
        <w:t xml:space="preserve"> de doctorat și pentru întreținerea căminelor. </w:t>
      </w:r>
      <w:r w:rsidR="0085370E" w:rsidRPr="00CD7FE5">
        <w:rPr>
          <w:rFonts w:asciiTheme="majorHAnsi" w:hAnsiTheme="majorHAnsi" w:cstheme="majorHAnsi"/>
          <w:color w:val="333333"/>
          <w:sz w:val="24"/>
          <w:szCs w:val="24"/>
          <w:lang w:val="ro-MD"/>
        </w:rPr>
        <w:t>Totuși, a</w:t>
      </w:r>
      <w:r w:rsidRPr="00CD7FE5">
        <w:rPr>
          <w:rFonts w:asciiTheme="majorHAnsi" w:hAnsiTheme="majorHAnsi" w:cstheme="majorHAnsi"/>
          <w:color w:val="333333"/>
          <w:sz w:val="24"/>
          <w:szCs w:val="24"/>
          <w:lang w:val="ro-MD"/>
        </w:rPr>
        <w:t xml:space="preserve">plicarea acestei formule de finanțare </w:t>
      </w:r>
      <w:r w:rsidR="00681DF7">
        <w:rPr>
          <w:rFonts w:asciiTheme="majorHAnsi" w:hAnsiTheme="majorHAnsi" w:cstheme="majorHAnsi"/>
          <w:color w:val="333333"/>
          <w:sz w:val="24"/>
          <w:szCs w:val="24"/>
          <w:lang w:val="ro-MD"/>
        </w:rPr>
        <w:t>în</w:t>
      </w:r>
      <w:r w:rsidRPr="00CD7FE5">
        <w:rPr>
          <w:rFonts w:asciiTheme="majorHAnsi" w:hAnsiTheme="majorHAnsi" w:cstheme="majorHAnsi"/>
          <w:color w:val="333333"/>
          <w:sz w:val="24"/>
          <w:szCs w:val="24"/>
          <w:lang w:val="ro-MD"/>
        </w:rPr>
        <w:t xml:space="preserve"> anul 2020 ar fi dus la diminuarea cheltuielilor bugetare pentru finanțarea </w:t>
      </w:r>
      <w:r w:rsidRPr="00CD7FE5">
        <w:rPr>
          <w:rFonts w:asciiTheme="majorHAnsi" w:hAnsiTheme="majorHAnsi" w:cstheme="majorHAnsi"/>
          <w:b/>
          <w:bCs/>
          <w:color w:val="333333"/>
          <w:sz w:val="24"/>
          <w:szCs w:val="24"/>
          <w:lang w:val="ro-MD"/>
        </w:rPr>
        <w:t>învățământului superior</w:t>
      </w:r>
      <w:r w:rsidRPr="00CD7FE5">
        <w:rPr>
          <w:rFonts w:asciiTheme="majorHAnsi" w:hAnsiTheme="majorHAnsi" w:cstheme="majorHAnsi"/>
          <w:color w:val="333333"/>
          <w:sz w:val="24"/>
          <w:szCs w:val="24"/>
          <w:lang w:val="ro-MD"/>
        </w:rPr>
        <w:t xml:space="preserve"> cu suma de 49,886 mil</w:t>
      </w:r>
      <w:r w:rsidR="00681DF7">
        <w:rPr>
          <w:rFonts w:asciiTheme="majorHAnsi" w:hAnsiTheme="majorHAnsi" w:cstheme="majorHAnsi"/>
          <w:color w:val="333333"/>
          <w:sz w:val="24"/>
          <w:szCs w:val="24"/>
          <w:lang w:val="ro-MD"/>
        </w:rPr>
        <w:t>.</w:t>
      </w:r>
      <w:r w:rsidRPr="00CD7FE5">
        <w:rPr>
          <w:rFonts w:asciiTheme="majorHAnsi" w:hAnsiTheme="majorHAnsi" w:cstheme="majorHAnsi"/>
          <w:color w:val="333333"/>
          <w:sz w:val="24"/>
          <w:szCs w:val="24"/>
          <w:lang w:val="ro-MD"/>
        </w:rPr>
        <w:t xml:space="preserve"> lei.</w:t>
      </w:r>
    </w:p>
    <w:p w14:paraId="2CF0CF1A" w14:textId="7C34CCC4" w:rsidR="001D062E" w:rsidRPr="00CD7FE5" w:rsidRDefault="005E38AB" w:rsidP="00A94E15">
      <w:pPr>
        <w:spacing w:after="0" w:line="276" w:lineRule="auto"/>
        <w:jc w:val="both"/>
        <w:rPr>
          <w:rFonts w:asciiTheme="majorHAnsi" w:eastAsia="Times New Roman" w:hAnsiTheme="majorHAnsi" w:cstheme="majorHAnsi"/>
          <w:bCs/>
          <w:color w:val="000000"/>
          <w:sz w:val="24"/>
          <w:szCs w:val="24"/>
          <w:lang w:val="ro-MD"/>
        </w:rPr>
      </w:pPr>
      <w:r w:rsidRPr="00CD7FE5">
        <w:rPr>
          <w:rFonts w:asciiTheme="majorHAnsi" w:hAnsiTheme="majorHAnsi" w:cstheme="majorHAnsi"/>
          <w:color w:val="333333"/>
          <w:sz w:val="24"/>
          <w:szCs w:val="24"/>
          <w:lang w:val="ro-MD"/>
        </w:rPr>
        <w:t>De menționat că pe conturile trezorer</w:t>
      </w:r>
      <w:r w:rsidR="00681DF7">
        <w:rPr>
          <w:rFonts w:asciiTheme="majorHAnsi" w:hAnsiTheme="majorHAnsi" w:cstheme="majorHAnsi"/>
          <w:color w:val="333333"/>
          <w:sz w:val="24"/>
          <w:szCs w:val="24"/>
          <w:lang w:val="ro-MD"/>
        </w:rPr>
        <w:t>i</w:t>
      </w:r>
      <w:r w:rsidRPr="00CD7FE5">
        <w:rPr>
          <w:rFonts w:asciiTheme="majorHAnsi" w:hAnsiTheme="majorHAnsi" w:cstheme="majorHAnsi"/>
          <w:color w:val="333333"/>
          <w:sz w:val="24"/>
          <w:szCs w:val="24"/>
          <w:lang w:val="ro-MD"/>
        </w:rPr>
        <w:t xml:space="preserve">ale ale instituțiilor de învățământ superior la sfârșitul anului 2020 se </w:t>
      </w:r>
      <w:r w:rsidRPr="0013783D">
        <w:rPr>
          <w:rFonts w:asciiTheme="majorHAnsi" w:hAnsiTheme="majorHAnsi" w:cstheme="majorHAnsi"/>
          <w:color w:val="333333"/>
          <w:sz w:val="24"/>
          <w:szCs w:val="24"/>
          <w:lang w:val="ro-MD"/>
        </w:rPr>
        <w:t xml:space="preserve">înregistrau </w:t>
      </w:r>
      <w:r w:rsidR="007B077A" w:rsidRPr="0013783D">
        <w:rPr>
          <w:rFonts w:asciiTheme="majorHAnsi" w:hAnsiTheme="majorHAnsi" w:cstheme="majorHAnsi"/>
          <w:color w:val="333333"/>
          <w:sz w:val="24"/>
          <w:szCs w:val="24"/>
          <w:lang w:val="ro-MD"/>
        </w:rPr>
        <w:t xml:space="preserve">mijloace financiare </w:t>
      </w:r>
      <w:r w:rsidRPr="0013783D">
        <w:rPr>
          <w:rFonts w:asciiTheme="majorHAnsi" w:hAnsiTheme="majorHAnsi" w:cstheme="majorHAnsi"/>
          <w:color w:val="333333"/>
          <w:sz w:val="24"/>
          <w:szCs w:val="24"/>
          <w:lang w:val="ro-MD"/>
        </w:rPr>
        <w:t xml:space="preserve">neutilizate </w:t>
      </w:r>
      <w:r w:rsidR="007B077A" w:rsidRPr="0013783D">
        <w:rPr>
          <w:rFonts w:asciiTheme="majorHAnsi" w:hAnsiTheme="majorHAnsi" w:cstheme="majorHAnsi"/>
          <w:color w:val="333333"/>
          <w:sz w:val="24"/>
          <w:szCs w:val="24"/>
          <w:lang w:val="ro-MD"/>
        </w:rPr>
        <w:t>în sumă totală</w:t>
      </w:r>
      <w:r w:rsidR="007B077A">
        <w:rPr>
          <w:rFonts w:asciiTheme="majorHAnsi" w:hAnsiTheme="majorHAnsi" w:cstheme="majorHAnsi"/>
          <w:color w:val="333333"/>
          <w:sz w:val="24"/>
          <w:szCs w:val="24"/>
          <w:lang w:val="ro-MD"/>
        </w:rPr>
        <w:t xml:space="preserve"> </w:t>
      </w:r>
      <w:r w:rsidRPr="00CD7FE5">
        <w:rPr>
          <w:rFonts w:asciiTheme="majorHAnsi" w:hAnsiTheme="majorHAnsi" w:cstheme="majorHAnsi"/>
          <w:color w:val="333333"/>
          <w:sz w:val="24"/>
          <w:szCs w:val="24"/>
          <w:lang w:val="ro-MD"/>
        </w:rPr>
        <w:t xml:space="preserve">de </w:t>
      </w:r>
      <w:r w:rsidRPr="00CD7FE5">
        <w:rPr>
          <w:rFonts w:asciiTheme="majorHAnsi" w:eastAsia="Times New Roman" w:hAnsiTheme="majorHAnsi" w:cstheme="majorHAnsi"/>
          <w:b/>
          <w:bCs/>
          <w:color w:val="000000"/>
          <w:sz w:val="24"/>
          <w:szCs w:val="24"/>
          <w:lang w:val="ro-MD"/>
        </w:rPr>
        <w:t>21,73 mil</w:t>
      </w:r>
      <w:r w:rsidR="00681DF7">
        <w:rPr>
          <w:rFonts w:asciiTheme="majorHAnsi" w:eastAsia="Times New Roman" w:hAnsiTheme="majorHAnsi" w:cstheme="majorHAnsi"/>
          <w:b/>
          <w:bCs/>
          <w:color w:val="000000"/>
          <w:sz w:val="24"/>
          <w:szCs w:val="24"/>
          <w:lang w:val="ro-MD"/>
        </w:rPr>
        <w:t>.</w:t>
      </w:r>
      <w:r w:rsidRPr="00CD7FE5">
        <w:rPr>
          <w:rFonts w:asciiTheme="majorHAnsi" w:eastAsia="Times New Roman" w:hAnsiTheme="majorHAnsi" w:cstheme="majorHAnsi"/>
          <w:b/>
          <w:bCs/>
          <w:color w:val="000000"/>
          <w:sz w:val="24"/>
          <w:szCs w:val="24"/>
          <w:lang w:val="ro-MD"/>
        </w:rPr>
        <w:t xml:space="preserve"> lei, </w:t>
      </w:r>
      <w:r w:rsidRPr="0013783D">
        <w:rPr>
          <w:rFonts w:asciiTheme="majorHAnsi" w:eastAsia="Times New Roman" w:hAnsiTheme="majorHAnsi" w:cstheme="majorHAnsi"/>
          <w:bCs/>
          <w:color w:val="000000"/>
          <w:sz w:val="24"/>
          <w:szCs w:val="24"/>
          <w:lang w:val="ro-MD"/>
        </w:rPr>
        <w:t>iar p</w:t>
      </w:r>
      <w:r w:rsidR="001D062E" w:rsidRPr="00CD7FE5">
        <w:rPr>
          <w:rFonts w:asciiTheme="majorHAnsi" w:eastAsia="Times New Roman" w:hAnsiTheme="majorHAnsi" w:cstheme="majorHAnsi"/>
          <w:bCs/>
          <w:color w:val="000000"/>
          <w:sz w:val="24"/>
          <w:szCs w:val="24"/>
          <w:lang w:val="ro-MD"/>
        </w:rPr>
        <w:t>otrivit datelor reflectate în situațiile financiare întocmite la 31.12.2020</w:t>
      </w:r>
      <w:r w:rsidR="00681DF7">
        <w:rPr>
          <w:rFonts w:asciiTheme="majorHAnsi" w:eastAsia="Times New Roman" w:hAnsiTheme="majorHAnsi" w:cstheme="majorHAnsi"/>
          <w:bCs/>
          <w:color w:val="000000"/>
          <w:sz w:val="24"/>
          <w:szCs w:val="24"/>
          <w:lang w:val="ro-MD"/>
        </w:rPr>
        <w:t xml:space="preserve">, </w:t>
      </w:r>
      <w:r w:rsidR="001D062E" w:rsidRPr="00CD7FE5">
        <w:rPr>
          <w:rFonts w:asciiTheme="majorHAnsi" w:eastAsia="Times New Roman" w:hAnsiTheme="majorHAnsi" w:cstheme="majorHAnsi"/>
          <w:bCs/>
          <w:color w:val="000000"/>
          <w:sz w:val="24"/>
          <w:szCs w:val="24"/>
          <w:lang w:val="ro-MD"/>
        </w:rPr>
        <w:t>soldul numerarului existent în conturile instituțiilor de învățământ superior constituie</w:t>
      </w:r>
      <w:r w:rsidR="001D062E" w:rsidRPr="00CD7FE5">
        <w:rPr>
          <w:rFonts w:asciiTheme="majorHAnsi" w:eastAsia="Times New Roman" w:hAnsiTheme="majorHAnsi" w:cstheme="majorHAnsi"/>
          <w:b/>
          <w:bCs/>
          <w:color w:val="000000"/>
          <w:sz w:val="24"/>
          <w:szCs w:val="24"/>
          <w:lang w:val="ro-MD"/>
        </w:rPr>
        <w:t xml:space="preserve"> 239,02 mil. lei</w:t>
      </w:r>
      <w:r w:rsidR="001D062E" w:rsidRPr="00CD7FE5">
        <w:rPr>
          <w:rFonts w:asciiTheme="majorHAnsi" w:eastAsia="Times New Roman" w:hAnsiTheme="majorHAnsi" w:cstheme="majorHAnsi"/>
          <w:bCs/>
          <w:color w:val="000000"/>
          <w:sz w:val="24"/>
          <w:szCs w:val="24"/>
          <w:lang w:val="ro-MD"/>
        </w:rPr>
        <w:t>, înregistrând o creștere</w:t>
      </w:r>
      <w:r w:rsidR="0038169D">
        <w:rPr>
          <w:rFonts w:asciiTheme="majorHAnsi" w:eastAsia="Times New Roman" w:hAnsiTheme="majorHAnsi" w:cstheme="majorHAnsi"/>
          <w:bCs/>
          <w:color w:val="000000"/>
          <w:sz w:val="24"/>
          <w:szCs w:val="24"/>
          <w:lang w:val="ro-MD"/>
        </w:rPr>
        <w:t>,</w:t>
      </w:r>
      <w:r w:rsidR="001D062E" w:rsidRPr="00CD7FE5">
        <w:rPr>
          <w:rFonts w:asciiTheme="majorHAnsi" w:eastAsia="Times New Roman" w:hAnsiTheme="majorHAnsi" w:cstheme="majorHAnsi"/>
          <w:bCs/>
          <w:color w:val="000000"/>
          <w:sz w:val="24"/>
          <w:szCs w:val="24"/>
          <w:lang w:val="ro-MD"/>
        </w:rPr>
        <w:t xml:space="preserve">  în comparație cu anul 2019</w:t>
      </w:r>
      <w:r w:rsidR="0038169D">
        <w:rPr>
          <w:rFonts w:asciiTheme="majorHAnsi" w:eastAsia="Times New Roman" w:hAnsiTheme="majorHAnsi" w:cstheme="majorHAnsi"/>
          <w:bCs/>
          <w:color w:val="000000"/>
          <w:sz w:val="24"/>
          <w:szCs w:val="24"/>
          <w:lang w:val="ro-MD"/>
        </w:rPr>
        <w:t>,</w:t>
      </w:r>
      <w:r w:rsidR="001D062E" w:rsidRPr="00CD7FE5">
        <w:rPr>
          <w:rFonts w:asciiTheme="majorHAnsi" w:eastAsia="Times New Roman" w:hAnsiTheme="majorHAnsi" w:cstheme="majorHAnsi"/>
          <w:bCs/>
          <w:color w:val="000000"/>
          <w:sz w:val="24"/>
          <w:szCs w:val="24"/>
          <w:lang w:val="ro-MD"/>
        </w:rPr>
        <w:t xml:space="preserve"> cu </w:t>
      </w:r>
      <w:r w:rsidR="001D062E" w:rsidRPr="00CD7FE5">
        <w:rPr>
          <w:rFonts w:asciiTheme="majorHAnsi" w:eastAsia="Times New Roman" w:hAnsiTheme="majorHAnsi" w:cstheme="majorHAnsi"/>
          <w:b/>
          <w:bCs/>
          <w:color w:val="000000"/>
          <w:sz w:val="24"/>
          <w:szCs w:val="24"/>
          <w:lang w:val="ro-MD"/>
        </w:rPr>
        <w:t>54,77 mil</w:t>
      </w:r>
      <w:r w:rsidR="0038169D">
        <w:rPr>
          <w:rFonts w:asciiTheme="majorHAnsi" w:eastAsia="Times New Roman" w:hAnsiTheme="majorHAnsi" w:cstheme="majorHAnsi"/>
          <w:b/>
          <w:bCs/>
          <w:color w:val="000000"/>
          <w:sz w:val="24"/>
          <w:szCs w:val="24"/>
          <w:lang w:val="ro-MD"/>
        </w:rPr>
        <w:t>.</w:t>
      </w:r>
      <w:r w:rsidR="001D062E" w:rsidRPr="00CD7FE5">
        <w:rPr>
          <w:rFonts w:asciiTheme="majorHAnsi" w:eastAsia="Times New Roman" w:hAnsiTheme="majorHAnsi" w:cstheme="majorHAnsi"/>
          <w:b/>
          <w:bCs/>
          <w:color w:val="000000"/>
          <w:sz w:val="24"/>
          <w:szCs w:val="24"/>
          <w:lang w:val="ro-MD"/>
        </w:rPr>
        <w:t xml:space="preserve"> lei</w:t>
      </w:r>
      <w:r w:rsidR="001D062E" w:rsidRPr="00CD7FE5">
        <w:rPr>
          <w:rFonts w:asciiTheme="majorHAnsi" w:eastAsia="Times New Roman" w:hAnsiTheme="majorHAnsi" w:cstheme="majorHAnsi"/>
          <w:bCs/>
          <w:color w:val="000000"/>
          <w:sz w:val="24"/>
          <w:szCs w:val="24"/>
          <w:lang w:val="ro-MD"/>
        </w:rPr>
        <w:t xml:space="preserve">, </w:t>
      </w:r>
      <w:r w:rsidR="0038169D">
        <w:rPr>
          <w:rFonts w:asciiTheme="majorHAnsi" w:eastAsia="Times New Roman" w:hAnsiTheme="majorHAnsi" w:cstheme="majorHAnsi"/>
          <w:bCs/>
          <w:color w:val="000000"/>
          <w:sz w:val="24"/>
          <w:szCs w:val="24"/>
          <w:lang w:val="ro-MD"/>
        </w:rPr>
        <w:t>fapt</w:t>
      </w:r>
      <w:r w:rsidR="001D062E" w:rsidRPr="00CD7FE5">
        <w:rPr>
          <w:rFonts w:asciiTheme="majorHAnsi" w:eastAsia="Times New Roman" w:hAnsiTheme="majorHAnsi" w:cstheme="majorHAnsi"/>
          <w:bCs/>
          <w:color w:val="000000"/>
          <w:sz w:val="24"/>
          <w:szCs w:val="24"/>
          <w:lang w:val="ro-MD"/>
        </w:rPr>
        <w:t xml:space="preserve"> ce </w:t>
      </w:r>
      <w:r w:rsidR="0038169D">
        <w:rPr>
          <w:rFonts w:asciiTheme="majorHAnsi" w:eastAsia="Times New Roman" w:hAnsiTheme="majorHAnsi" w:cstheme="majorHAnsi"/>
          <w:bCs/>
          <w:color w:val="000000"/>
          <w:sz w:val="24"/>
          <w:szCs w:val="24"/>
          <w:lang w:val="ro-MD"/>
        </w:rPr>
        <w:t>relev</w:t>
      </w:r>
      <w:r w:rsidR="001D062E" w:rsidRPr="00CD7FE5">
        <w:rPr>
          <w:rFonts w:asciiTheme="majorHAnsi" w:eastAsia="Times New Roman" w:hAnsiTheme="majorHAnsi" w:cstheme="majorHAnsi"/>
          <w:bCs/>
          <w:color w:val="000000"/>
          <w:sz w:val="24"/>
          <w:szCs w:val="24"/>
          <w:lang w:val="ro-MD"/>
        </w:rPr>
        <w:t>ă utilizarea neconformă a sumei de 49,89 mil.lei</w:t>
      </w:r>
      <w:r w:rsidR="0038169D">
        <w:rPr>
          <w:rFonts w:asciiTheme="majorHAnsi" w:eastAsia="Times New Roman" w:hAnsiTheme="majorHAnsi" w:cstheme="majorHAnsi"/>
          <w:bCs/>
          <w:color w:val="000000"/>
          <w:sz w:val="24"/>
          <w:szCs w:val="24"/>
          <w:lang w:val="ro-MD"/>
        </w:rPr>
        <w:t>,</w:t>
      </w:r>
      <w:r w:rsidR="001D062E" w:rsidRPr="00CD7FE5">
        <w:rPr>
          <w:rFonts w:asciiTheme="majorHAnsi" w:eastAsia="Times New Roman" w:hAnsiTheme="majorHAnsi" w:cstheme="majorHAnsi"/>
          <w:bCs/>
          <w:color w:val="000000"/>
          <w:sz w:val="24"/>
          <w:szCs w:val="24"/>
          <w:lang w:val="ro-MD"/>
        </w:rPr>
        <w:t xml:space="preserve"> alocat</w:t>
      </w:r>
      <w:r w:rsidR="0038169D">
        <w:rPr>
          <w:rFonts w:asciiTheme="majorHAnsi" w:eastAsia="Times New Roman" w:hAnsiTheme="majorHAnsi" w:cstheme="majorHAnsi"/>
          <w:bCs/>
          <w:color w:val="000000"/>
          <w:sz w:val="24"/>
          <w:szCs w:val="24"/>
          <w:lang w:val="ro-MD"/>
        </w:rPr>
        <w:t>ă</w:t>
      </w:r>
      <w:r w:rsidR="001D062E" w:rsidRPr="00CD7FE5">
        <w:rPr>
          <w:rFonts w:asciiTheme="majorHAnsi" w:eastAsia="Times New Roman" w:hAnsiTheme="majorHAnsi" w:cstheme="majorHAnsi"/>
          <w:bCs/>
          <w:color w:val="000000"/>
          <w:sz w:val="24"/>
          <w:szCs w:val="24"/>
          <w:lang w:val="ro-MD"/>
        </w:rPr>
        <w:t xml:space="preserve"> din bugetul de stat pentru </w:t>
      </w:r>
      <w:r w:rsidR="001D062E" w:rsidRPr="00CD7FE5">
        <w:rPr>
          <w:rFonts w:asciiTheme="majorHAnsi" w:hAnsiTheme="majorHAnsi" w:cstheme="majorHAnsi"/>
          <w:color w:val="333333"/>
          <w:sz w:val="24"/>
          <w:szCs w:val="24"/>
          <w:lang w:val="ro-MD"/>
        </w:rPr>
        <w:t xml:space="preserve">finanțarea </w:t>
      </w:r>
      <w:r w:rsidR="001D062E" w:rsidRPr="00CD7FE5">
        <w:rPr>
          <w:rFonts w:asciiTheme="majorHAnsi" w:hAnsiTheme="majorHAnsi" w:cstheme="majorHAnsi"/>
          <w:b/>
          <w:bCs/>
          <w:color w:val="333333"/>
          <w:sz w:val="24"/>
          <w:szCs w:val="24"/>
          <w:lang w:val="ro-MD"/>
        </w:rPr>
        <w:t xml:space="preserve">învățământului superior, </w:t>
      </w:r>
      <w:r w:rsidR="001D062E" w:rsidRPr="0013783D">
        <w:rPr>
          <w:rFonts w:asciiTheme="majorHAnsi" w:hAnsiTheme="majorHAnsi" w:cstheme="majorHAnsi"/>
          <w:bCs/>
          <w:color w:val="333333"/>
          <w:sz w:val="24"/>
          <w:szCs w:val="24"/>
          <w:lang w:val="ro-MD"/>
        </w:rPr>
        <w:t xml:space="preserve">precum și </w:t>
      </w:r>
      <w:r w:rsidR="001D062E" w:rsidRPr="00626B63">
        <w:rPr>
          <w:rFonts w:asciiTheme="majorHAnsi" w:eastAsia="Times New Roman" w:hAnsiTheme="majorHAnsi" w:cstheme="majorHAnsi"/>
          <w:bCs/>
          <w:color w:val="000000"/>
          <w:sz w:val="24"/>
          <w:szCs w:val="24"/>
          <w:lang w:val="ro-MD"/>
        </w:rPr>
        <w:t>supraevaluarea</w:t>
      </w:r>
      <w:r w:rsidR="001D062E" w:rsidRPr="00CD7FE5">
        <w:rPr>
          <w:rFonts w:asciiTheme="majorHAnsi" w:eastAsia="Times New Roman" w:hAnsiTheme="majorHAnsi" w:cstheme="majorHAnsi"/>
          <w:bCs/>
          <w:color w:val="000000"/>
          <w:sz w:val="24"/>
          <w:szCs w:val="24"/>
          <w:lang w:val="ro-MD"/>
        </w:rPr>
        <w:t xml:space="preserve"> cheltuielilor pentru realizarea comenzii de stat.  </w:t>
      </w:r>
    </w:p>
    <w:p w14:paraId="700AC513" w14:textId="10A068C0" w:rsidR="001D062E" w:rsidRPr="00CD7FE5" w:rsidRDefault="001D062E" w:rsidP="00A94E15">
      <w:pPr>
        <w:spacing w:after="0" w:line="276" w:lineRule="auto"/>
        <w:jc w:val="both"/>
        <w:rPr>
          <w:rFonts w:asciiTheme="majorHAnsi" w:eastAsia="Times New Roman" w:hAnsiTheme="majorHAnsi" w:cstheme="majorHAnsi"/>
          <w:bCs/>
          <w:color w:val="000000"/>
          <w:sz w:val="24"/>
          <w:szCs w:val="24"/>
          <w:lang w:val="ro-MD"/>
        </w:rPr>
      </w:pPr>
      <w:r w:rsidRPr="00CD7FE5">
        <w:rPr>
          <w:rFonts w:asciiTheme="majorHAnsi" w:eastAsia="Times New Roman" w:hAnsiTheme="majorHAnsi" w:cstheme="majorHAnsi"/>
          <w:bCs/>
          <w:color w:val="000000"/>
          <w:sz w:val="24"/>
          <w:szCs w:val="24"/>
          <w:lang w:val="ro-MD"/>
        </w:rPr>
        <w:t>MECC nu</w:t>
      </w:r>
      <w:r w:rsidR="00192A38">
        <w:rPr>
          <w:rFonts w:asciiTheme="majorHAnsi" w:eastAsia="Times New Roman" w:hAnsiTheme="majorHAnsi" w:cstheme="majorHAnsi"/>
          <w:bCs/>
          <w:color w:val="000000"/>
          <w:sz w:val="24"/>
          <w:szCs w:val="24"/>
          <w:lang w:val="ro-MD"/>
        </w:rPr>
        <w:t>-</w:t>
      </w:r>
      <w:r w:rsidRPr="00CD7FE5">
        <w:rPr>
          <w:rFonts w:asciiTheme="majorHAnsi" w:eastAsia="Times New Roman" w:hAnsiTheme="majorHAnsi" w:cstheme="majorHAnsi"/>
          <w:bCs/>
          <w:color w:val="000000"/>
          <w:sz w:val="24"/>
          <w:szCs w:val="24"/>
          <w:lang w:val="ro-MD"/>
        </w:rPr>
        <w:t>și îndeplinește drepturile sale de fondator</w:t>
      </w:r>
      <w:r w:rsidR="00192A38">
        <w:rPr>
          <w:rFonts w:asciiTheme="majorHAnsi" w:eastAsia="Times New Roman" w:hAnsiTheme="majorHAnsi" w:cstheme="majorHAnsi"/>
          <w:bCs/>
          <w:color w:val="000000"/>
          <w:sz w:val="24"/>
          <w:szCs w:val="24"/>
          <w:lang w:val="ro-MD"/>
        </w:rPr>
        <w:t>,</w:t>
      </w:r>
      <w:r w:rsidRPr="00CD7FE5">
        <w:rPr>
          <w:rFonts w:asciiTheme="majorHAnsi" w:eastAsia="Times New Roman" w:hAnsiTheme="majorHAnsi" w:cstheme="majorHAnsi"/>
          <w:bCs/>
          <w:color w:val="000000"/>
          <w:sz w:val="24"/>
          <w:szCs w:val="24"/>
          <w:lang w:val="ro-MD"/>
        </w:rPr>
        <w:t xml:space="preserve"> specificate în pct. 4.4. din contractul de prestare a serviciilor</w:t>
      </w:r>
      <w:r w:rsidR="00192A38">
        <w:rPr>
          <w:rFonts w:asciiTheme="majorHAnsi" w:eastAsia="Times New Roman" w:hAnsiTheme="majorHAnsi" w:cstheme="majorHAnsi"/>
          <w:bCs/>
          <w:color w:val="000000"/>
          <w:sz w:val="24"/>
          <w:szCs w:val="24"/>
          <w:lang w:val="ro-MD"/>
        </w:rPr>
        <w:t>,</w:t>
      </w:r>
      <w:r w:rsidRPr="00CD7FE5">
        <w:rPr>
          <w:rFonts w:asciiTheme="majorHAnsi" w:eastAsia="Times New Roman" w:hAnsiTheme="majorHAnsi" w:cstheme="majorHAnsi"/>
          <w:bCs/>
          <w:color w:val="000000"/>
          <w:sz w:val="24"/>
          <w:szCs w:val="24"/>
          <w:lang w:val="ro-MD"/>
        </w:rPr>
        <w:t xml:space="preserve"> c</w:t>
      </w:r>
      <w:r w:rsidR="00192A38">
        <w:rPr>
          <w:rFonts w:asciiTheme="majorHAnsi" w:eastAsia="Times New Roman" w:hAnsiTheme="majorHAnsi" w:cstheme="majorHAnsi"/>
          <w:bCs/>
          <w:color w:val="000000"/>
          <w:sz w:val="24"/>
          <w:szCs w:val="24"/>
          <w:lang w:val="ro-MD"/>
        </w:rPr>
        <w:t>ar</w:t>
      </w:r>
      <w:r w:rsidRPr="00CD7FE5">
        <w:rPr>
          <w:rFonts w:asciiTheme="majorHAnsi" w:eastAsia="Times New Roman" w:hAnsiTheme="majorHAnsi" w:cstheme="majorHAnsi"/>
          <w:bCs/>
          <w:color w:val="000000"/>
          <w:sz w:val="24"/>
          <w:szCs w:val="24"/>
          <w:lang w:val="ro-MD"/>
        </w:rPr>
        <w:t xml:space="preserve">e prevede verificarea volumului, calității și costului serviciilor (inclusiv prin intermediul unui audit extern), precum și gestionarea mijloacelor financiare în corespundere cu clauzele contractuale. </w:t>
      </w:r>
    </w:p>
    <w:p w14:paraId="68376D2D" w14:textId="268F8F34" w:rsidR="001D062E" w:rsidRPr="00CD7FE5" w:rsidRDefault="001D062E" w:rsidP="00A94E15">
      <w:pPr>
        <w:spacing w:after="0" w:line="276" w:lineRule="auto"/>
        <w:jc w:val="both"/>
        <w:rPr>
          <w:rFonts w:asciiTheme="majorHAnsi" w:eastAsia="Times New Roman" w:hAnsiTheme="majorHAnsi" w:cstheme="majorHAnsi"/>
          <w:sz w:val="24"/>
          <w:szCs w:val="24"/>
          <w:lang w:val="ro-MD"/>
        </w:rPr>
      </w:pPr>
      <w:r w:rsidRPr="00CD7FE5">
        <w:rPr>
          <w:rFonts w:asciiTheme="majorHAnsi" w:hAnsiTheme="majorHAnsi" w:cstheme="majorHAnsi"/>
          <w:iCs/>
          <w:sz w:val="24"/>
          <w:szCs w:val="24"/>
          <w:lang w:val="ro-MD"/>
        </w:rPr>
        <w:t>Cu toate că finanțarea instituțiilor de învățământ superior</w:t>
      </w:r>
      <w:r w:rsidR="00192A38">
        <w:rPr>
          <w:rFonts w:asciiTheme="majorHAnsi" w:hAnsiTheme="majorHAnsi" w:cstheme="majorHAnsi"/>
          <w:iCs/>
          <w:sz w:val="24"/>
          <w:szCs w:val="24"/>
          <w:lang w:val="ro-MD"/>
        </w:rPr>
        <w:t>,</w:t>
      </w:r>
      <w:r w:rsidRPr="00CD7FE5">
        <w:rPr>
          <w:rFonts w:asciiTheme="majorHAnsi" w:hAnsiTheme="majorHAnsi" w:cstheme="majorHAnsi"/>
          <w:iCs/>
          <w:sz w:val="24"/>
          <w:szCs w:val="24"/>
          <w:lang w:val="ro-MD"/>
        </w:rPr>
        <w:t xml:space="preserve"> conform noii metodologii de finanțare</w:t>
      </w:r>
      <w:r w:rsidR="00192A38">
        <w:rPr>
          <w:rFonts w:asciiTheme="majorHAnsi" w:hAnsiTheme="majorHAnsi" w:cstheme="majorHAnsi"/>
          <w:iCs/>
          <w:sz w:val="24"/>
          <w:szCs w:val="24"/>
          <w:lang w:val="ro-MD"/>
        </w:rPr>
        <w:t>,</w:t>
      </w:r>
      <w:r w:rsidRPr="00CD7FE5">
        <w:rPr>
          <w:rFonts w:asciiTheme="majorHAnsi" w:hAnsiTheme="majorHAnsi" w:cstheme="majorHAnsi"/>
          <w:iCs/>
          <w:sz w:val="24"/>
          <w:szCs w:val="24"/>
          <w:lang w:val="ro-MD"/>
        </w:rPr>
        <w:t xml:space="preserve"> se efectuează în baza numărului de </w:t>
      </w:r>
      <w:r w:rsidRPr="0013783D">
        <w:rPr>
          <w:rFonts w:asciiTheme="majorHAnsi" w:hAnsiTheme="majorHAnsi" w:cstheme="majorHAnsi"/>
          <w:iCs/>
          <w:sz w:val="24"/>
          <w:szCs w:val="24"/>
          <w:lang w:val="ro-MD"/>
        </w:rPr>
        <w:t>studenți echivalen</w:t>
      </w:r>
      <w:r w:rsidR="00B85ABC" w:rsidRPr="0013783D">
        <w:rPr>
          <w:rFonts w:asciiTheme="majorHAnsi" w:hAnsiTheme="majorHAnsi" w:cstheme="majorHAnsi"/>
          <w:iCs/>
          <w:sz w:val="24"/>
          <w:szCs w:val="24"/>
          <w:lang w:val="ro-MD"/>
        </w:rPr>
        <w:t>t</w:t>
      </w:r>
      <w:r w:rsidR="00E31A52">
        <w:rPr>
          <w:rFonts w:asciiTheme="majorHAnsi" w:hAnsiTheme="majorHAnsi" w:cstheme="majorHAnsi"/>
          <w:iCs/>
          <w:sz w:val="24"/>
          <w:szCs w:val="24"/>
          <w:lang w:val="ro-MD"/>
        </w:rPr>
        <w:t>, î</w:t>
      </w:r>
      <w:r w:rsidRPr="0013783D">
        <w:rPr>
          <w:rFonts w:asciiTheme="majorHAnsi" w:hAnsiTheme="majorHAnsi" w:cstheme="majorHAnsi"/>
          <w:iCs/>
          <w:sz w:val="24"/>
          <w:szCs w:val="24"/>
          <w:lang w:val="ro-MD"/>
        </w:rPr>
        <w:t>n facturi și actele de prestări servicii nu este reflectat numărul studenților real instruiți pentru fiecare specialitate</w:t>
      </w:r>
      <w:r w:rsidRPr="00CD7FE5">
        <w:rPr>
          <w:rFonts w:asciiTheme="majorHAnsi" w:hAnsiTheme="majorHAnsi" w:cstheme="majorHAnsi"/>
          <w:iCs/>
          <w:sz w:val="24"/>
          <w:szCs w:val="24"/>
          <w:lang w:val="ro-MD"/>
        </w:rPr>
        <w:t>, și n</w:t>
      </w:r>
      <w:r w:rsidR="00192A38">
        <w:rPr>
          <w:rFonts w:asciiTheme="majorHAnsi" w:hAnsiTheme="majorHAnsi" w:cstheme="majorHAnsi"/>
          <w:iCs/>
          <w:sz w:val="24"/>
          <w:szCs w:val="24"/>
          <w:lang w:val="ro-MD"/>
        </w:rPr>
        <w:t>ici</w:t>
      </w:r>
      <w:r w:rsidRPr="00CD7FE5">
        <w:rPr>
          <w:rFonts w:asciiTheme="majorHAnsi" w:hAnsiTheme="majorHAnsi" w:cstheme="majorHAnsi"/>
          <w:iCs/>
          <w:sz w:val="24"/>
          <w:szCs w:val="24"/>
          <w:lang w:val="ro-MD"/>
        </w:rPr>
        <w:t xml:space="preserve"> anexată lista studenților instruiți . </w:t>
      </w:r>
    </w:p>
    <w:p w14:paraId="31643A2E" w14:textId="4E1B2709" w:rsidR="001D062E" w:rsidRPr="00CD7FE5" w:rsidRDefault="001D062E" w:rsidP="00137ED7">
      <w:pPr>
        <w:spacing w:after="0" w:line="276" w:lineRule="auto"/>
        <w:jc w:val="both"/>
        <w:rPr>
          <w:rFonts w:asciiTheme="majorHAnsi" w:hAnsiTheme="majorHAnsi" w:cstheme="majorHAnsi"/>
          <w:iCs/>
          <w:sz w:val="24"/>
          <w:szCs w:val="24"/>
          <w:lang w:val="ro-MD"/>
        </w:rPr>
      </w:pPr>
      <w:r w:rsidRPr="00CD7FE5">
        <w:rPr>
          <w:rFonts w:asciiTheme="majorHAnsi" w:hAnsiTheme="majorHAnsi" w:cstheme="majorHAnsi"/>
          <w:sz w:val="24"/>
          <w:szCs w:val="24"/>
          <w:lang w:val="ro-MD"/>
        </w:rPr>
        <w:t xml:space="preserve">Mai mult </w:t>
      </w:r>
      <w:r w:rsidR="00192A38">
        <w:rPr>
          <w:rFonts w:asciiTheme="majorHAnsi" w:hAnsiTheme="majorHAnsi" w:cstheme="majorHAnsi"/>
          <w:sz w:val="24"/>
          <w:szCs w:val="24"/>
          <w:lang w:val="ro-MD"/>
        </w:rPr>
        <w:t>decât</w:t>
      </w:r>
      <w:r w:rsidRPr="00CD7FE5">
        <w:rPr>
          <w:rFonts w:asciiTheme="majorHAnsi" w:hAnsiTheme="majorHAnsi" w:cstheme="majorHAnsi"/>
          <w:sz w:val="24"/>
          <w:szCs w:val="24"/>
          <w:lang w:val="ro-MD"/>
        </w:rPr>
        <w:t xml:space="preserve"> atât,</w:t>
      </w:r>
      <w:r w:rsidRPr="00CD7FE5">
        <w:rPr>
          <w:rFonts w:asciiTheme="majorHAnsi" w:hAnsiTheme="majorHAnsi" w:cstheme="majorHAnsi"/>
          <w:iCs/>
          <w:sz w:val="24"/>
          <w:szCs w:val="24"/>
          <w:lang w:val="ro-MD"/>
        </w:rPr>
        <w:t xml:space="preserve"> auditul a constatat că MECC nu deține informații exhaustive cu privire la numărul </w:t>
      </w:r>
      <w:r w:rsidR="00137ED7" w:rsidRPr="00CD7FE5">
        <w:rPr>
          <w:rFonts w:asciiTheme="majorHAnsi" w:hAnsiTheme="majorHAnsi" w:cstheme="majorHAnsi"/>
          <w:iCs/>
          <w:sz w:val="24"/>
          <w:szCs w:val="24"/>
          <w:lang w:val="ro-MD"/>
        </w:rPr>
        <w:t xml:space="preserve">fizic </w:t>
      </w:r>
      <w:r w:rsidRPr="00CD7FE5">
        <w:rPr>
          <w:rFonts w:asciiTheme="majorHAnsi" w:hAnsiTheme="majorHAnsi" w:cstheme="majorHAnsi"/>
          <w:iCs/>
          <w:sz w:val="24"/>
          <w:szCs w:val="24"/>
          <w:lang w:val="ro-MD"/>
        </w:rPr>
        <w:t>de studenți finanțați de la bugetul de stat. Astfel, în urma solicitării informației  privi</w:t>
      </w:r>
      <w:r w:rsidR="00192A38">
        <w:rPr>
          <w:rFonts w:asciiTheme="majorHAnsi" w:hAnsiTheme="majorHAnsi" w:cstheme="majorHAnsi"/>
          <w:iCs/>
          <w:sz w:val="24"/>
          <w:szCs w:val="24"/>
          <w:lang w:val="ro-MD"/>
        </w:rPr>
        <w:t>nd</w:t>
      </w:r>
      <w:r w:rsidRPr="00CD7FE5">
        <w:rPr>
          <w:rFonts w:asciiTheme="majorHAnsi" w:hAnsiTheme="majorHAnsi" w:cstheme="majorHAnsi"/>
          <w:iCs/>
          <w:sz w:val="24"/>
          <w:szCs w:val="24"/>
          <w:lang w:val="ro-MD"/>
        </w:rPr>
        <w:t xml:space="preserve"> numărul fizic și </w:t>
      </w:r>
      <w:r w:rsidR="00192A38">
        <w:rPr>
          <w:rFonts w:asciiTheme="majorHAnsi" w:hAnsiTheme="majorHAnsi" w:cstheme="majorHAnsi"/>
          <w:iCs/>
          <w:sz w:val="24"/>
          <w:szCs w:val="24"/>
          <w:lang w:val="ro-MD"/>
        </w:rPr>
        <w:t xml:space="preserve">cel </w:t>
      </w:r>
      <w:r w:rsidRPr="00CD7FE5">
        <w:rPr>
          <w:rFonts w:asciiTheme="majorHAnsi" w:hAnsiTheme="majorHAnsi" w:cstheme="majorHAnsi"/>
          <w:iCs/>
          <w:sz w:val="24"/>
          <w:szCs w:val="24"/>
          <w:lang w:val="ro-MD"/>
        </w:rPr>
        <w:t>echivalen</w:t>
      </w:r>
      <w:r w:rsidR="00F5509A" w:rsidRPr="00CD7FE5">
        <w:rPr>
          <w:rFonts w:asciiTheme="majorHAnsi" w:hAnsiTheme="majorHAnsi" w:cstheme="majorHAnsi"/>
          <w:iCs/>
          <w:sz w:val="24"/>
          <w:szCs w:val="24"/>
          <w:lang w:val="ro-MD"/>
        </w:rPr>
        <w:t>t</w:t>
      </w:r>
      <w:r w:rsidRPr="00CD7FE5">
        <w:rPr>
          <w:rFonts w:asciiTheme="majorHAnsi" w:hAnsiTheme="majorHAnsi" w:cstheme="majorHAnsi"/>
          <w:iCs/>
          <w:sz w:val="24"/>
          <w:szCs w:val="24"/>
          <w:lang w:val="ro-MD"/>
        </w:rPr>
        <w:t xml:space="preserve"> </w:t>
      </w:r>
      <w:r w:rsidR="00F5509A" w:rsidRPr="00CD7FE5">
        <w:rPr>
          <w:rFonts w:asciiTheme="majorHAnsi" w:hAnsiTheme="majorHAnsi" w:cstheme="majorHAnsi"/>
          <w:iCs/>
          <w:sz w:val="24"/>
          <w:szCs w:val="24"/>
          <w:lang w:val="ro-MD"/>
        </w:rPr>
        <w:t xml:space="preserve">de studenți </w:t>
      </w:r>
      <w:r w:rsidRPr="00CD7FE5">
        <w:rPr>
          <w:rFonts w:asciiTheme="majorHAnsi" w:hAnsiTheme="majorHAnsi" w:cstheme="majorHAnsi"/>
          <w:iCs/>
          <w:sz w:val="24"/>
          <w:szCs w:val="24"/>
          <w:lang w:val="ro-MD"/>
        </w:rPr>
        <w:t>existenți la situația din 01.10.2019</w:t>
      </w:r>
      <w:r w:rsidR="00192A38">
        <w:rPr>
          <w:rFonts w:asciiTheme="majorHAnsi" w:hAnsiTheme="majorHAnsi" w:cstheme="majorHAnsi"/>
          <w:iCs/>
          <w:sz w:val="24"/>
          <w:szCs w:val="24"/>
          <w:lang w:val="ro-MD"/>
        </w:rPr>
        <w:t>,</w:t>
      </w:r>
      <w:r w:rsidRPr="00CD7FE5">
        <w:rPr>
          <w:rFonts w:asciiTheme="majorHAnsi" w:hAnsiTheme="majorHAnsi" w:cstheme="majorHAnsi"/>
          <w:iCs/>
          <w:sz w:val="24"/>
          <w:szCs w:val="24"/>
          <w:lang w:val="ro-MD"/>
        </w:rPr>
        <w:t xml:space="preserve"> MECC a prezentat 2 răspunsuri</w:t>
      </w:r>
      <w:r w:rsidR="00192A38">
        <w:rPr>
          <w:rFonts w:asciiTheme="majorHAnsi" w:hAnsiTheme="majorHAnsi" w:cstheme="majorHAnsi"/>
          <w:iCs/>
          <w:sz w:val="24"/>
          <w:szCs w:val="24"/>
          <w:lang w:val="ro-MD"/>
        </w:rPr>
        <w:t>,</w:t>
      </w:r>
      <w:r w:rsidRPr="00CD7FE5">
        <w:rPr>
          <w:rFonts w:asciiTheme="majorHAnsi" w:hAnsiTheme="majorHAnsi" w:cstheme="majorHAnsi"/>
          <w:iCs/>
          <w:sz w:val="24"/>
          <w:szCs w:val="24"/>
          <w:lang w:val="ro-MD"/>
        </w:rPr>
        <w:t xml:space="preserve"> cu date diferite, în răspunsul din 13.04.2021 indic</w:t>
      </w:r>
      <w:r w:rsidR="00B85ABC">
        <w:rPr>
          <w:rFonts w:asciiTheme="majorHAnsi" w:hAnsiTheme="majorHAnsi" w:cstheme="majorHAnsi"/>
          <w:iCs/>
          <w:sz w:val="24"/>
          <w:szCs w:val="24"/>
          <w:lang w:val="ro-MD"/>
        </w:rPr>
        <w:t>ându-se</w:t>
      </w:r>
      <w:r w:rsidRPr="00CD7FE5">
        <w:rPr>
          <w:rFonts w:asciiTheme="majorHAnsi" w:hAnsiTheme="majorHAnsi" w:cstheme="majorHAnsi"/>
          <w:iCs/>
          <w:sz w:val="24"/>
          <w:szCs w:val="24"/>
          <w:lang w:val="ro-MD"/>
        </w:rPr>
        <w:t xml:space="preserve"> 16</w:t>
      </w:r>
      <w:r w:rsidR="00B85ABC">
        <w:rPr>
          <w:rFonts w:asciiTheme="majorHAnsi" w:hAnsiTheme="majorHAnsi" w:cstheme="majorHAnsi"/>
          <w:iCs/>
          <w:sz w:val="24"/>
          <w:szCs w:val="24"/>
          <w:lang w:val="ro-MD"/>
        </w:rPr>
        <w:t xml:space="preserve"> </w:t>
      </w:r>
      <w:r w:rsidRPr="00CD7FE5">
        <w:rPr>
          <w:rFonts w:asciiTheme="majorHAnsi" w:hAnsiTheme="majorHAnsi" w:cstheme="majorHAnsi"/>
          <w:iCs/>
          <w:sz w:val="24"/>
          <w:szCs w:val="24"/>
          <w:lang w:val="ro-MD"/>
        </w:rPr>
        <w:t xml:space="preserve">840 </w:t>
      </w:r>
      <w:r w:rsidR="00B85ABC">
        <w:rPr>
          <w:rFonts w:asciiTheme="majorHAnsi" w:hAnsiTheme="majorHAnsi" w:cstheme="majorHAnsi"/>
          <w:iCs/>
          <w:sz w:val="24"/>
          <w:szCs w:val="24"/>
          <w:lang w:val="ro-MD"/>
        </w:rPr>
        <w:t xml:space="preserve">de </w:t>
      </w:r>
      <w:r w:rsidRPr="00CD7FE5">
        <w:rPr>
          <w:rFonts w:asciiTheme="majorHAnsi" w:hAnsiTheme="majorHAnsi" w:cstheme="majorHAnsi"/>
          <w:iCs/>
          <w:sz w:val="24"/>
          <w:szCs w:val="24"/>
          <w:lang w:val="ro-MD"/>
        </w:rPr>
        <w:t>studenți, iar în răspunsul din 18.05.2021 – 16</w:t>
      </w:r>
      <w:r w:rsidR="00B85ABC">
        <w:rPr>
          <w:rFonts w:asciiTheme="majorHAnsi" w:hAnsiTheme="majorHAnsi" w:cstheme="majorHAnsi"/>
          <w:iCs/>
          <w:sz w:val="24"/>
          <w:szCs w:val="24"/>
          <w:lang w:val="ro-MD"/>
        </w:rPr>
        <w:t xml:space="preserve"> </w:t>
      </w:r>
      <w:r w:rsidRPr="00CD7FE5">
        <w:rPr>
          <w:rFonts w:asciiTheme="majorHAnsi" w:hAnsiTheme="majorHAnsi" w:cstheme="majorHAnsi"/>
          <w:iCs/>
          <w:sz w:val="24"/>
          <w:szCs w:val="24"/>
          <w:lang w:val="ro-MD"/>
        </w:rPr>
        <w:t xml:space="preserve">461 </w:t>
      </w:r>
      <w:r w:rsidR="00B85ABC">
        <w:rPr>
          <w:rFonts w:asciiTheme="majorHAnsi" w:hAnsiTheme="majorHAnsi" w:cstheme="majorHAnsi"/>
          <w:iCs/>
          <w:sz w:val="24"/>
          <w:szCs w:val="24"/>
          <w:lang w:val="ro-MD"/>
        </w:rPr>
        <w:t xml:space="preserve">de </w:t>
      </w:r>
      <w:r w:rsidRPr="00CD7FE5">
        <w:rPr>
          <w:rFonts w:asciiTheme="majorHAnsi" w:hAnsiTheme="majorHAnsi" w:cstheme="majorHAnsi"/>
          <w:iCs/>
          <w:sz w:val="24"/>
          <w:szCs w:val="24"/>
          <w:lang w:val="ro-MD"/>
        </w:rPr>
        <w:t>stud</w:t>
      </w:r>
      <w:r w:rsidR="008735D5" w:rsidRPr="00CD7FE5">
        <w:rPr>
          <w:rFonts w:asciiTheme="majorHAnsi" w:hAnsiTheme="majorHAnsi" w:cstheme="majorHAnsi"/>
          <w:iCs/>
          <w:sz w:val="24"/>
          <w:szCs w:val="24"/>
          <w:lang w:val="ro-MD"/>
        </w:rPr>
        <w:t xml:space="preserve">enți, </w:t>
      </w:r>
      <w:r w:rsidR="00B85ABC">
        <w:rPr>
          <w:rFonts w:asciiTheme="majorHAnsi" w:hAnsiTheme="majorHAnsi" w:cstheme="majorHAnsi"/>
          <w:iCs/>
          <w:sz w:val="24"/>
          <w:szCs w:val="24"/>
          <w:lang w:val="ro-MD"/>
        </w:rPr>
        <w:t xml:space="preserve">sau </w:t>
      </w:r>
      <w:r w:rsidR="008735D5" w:rsidRPr="00CD7FE5">
        <w:rPr>
          <w:rFonts w:asciiTheme="majorHAnsi" w:hAnsiTheme="majorHAnsi" w:cstheme="majorHAnsi"/>
          <w:iCs/>
          <w:sz w:val="24"/>
          <w:szCs w:val="24"/>
          <w:lang w:val="ro-MD"/>
        </w:rPr>
        <w:t>cu 37</w:t>
      </w:r>
      <w:r w:rsidRPr="00CD7FE5">
        <w:rPr>
          <w:rFonts w:asciiTheme="majorHAnsi" w:hAnsiTheme="majorHAnsi" w:cstheme="majorHAnsi"/>
          <w:iCs/>
          <w:sz w:val="24"/>
          <w:szCs w:val="24"/>
          <w:lang w:val="ro-MD"/>
        </w:rPr>
        <w:t xml:space="preserve">9 </w:t>
      </w:r>
      <w:r w:rsidR="00B85ABC">
        <w:rPr>
          <w:rFonts w:asciiTheme="majorHAnsi" w:hAnsiTheme="majorHAnsi" w:cstheme="majorHAnsi"/>
          <w:iCs/>
          <w:sz w:val="24"/>
          <w:szCs w:val="24"/>
          <w:lang w:val="ro-MD"/>
        </w:rPr>
        <w:t xml:space="preserve">de </w:t>
      </w:r>
      <w:r w:rsidRPr="00CD7FE5">
        <w:rPr>
          <w:rFonts w:asciiTheme="majorHAnsi" w:hAnsiTheme="majorHAnsi" w:cstheme="majorHAnsi"/>
          <w:iCs/>
          <w:sz w:val="24"/>
          <w:szCs w:val="24"/>
          <w:lang w:val="ro-MD"/>
        </w:rPr>
        <w:t xml:space="preserve">studenți mai puțin. </w:t>
      </w:r>
    </w:p>
    <w:p w14:paraId="6D18C096" w14:textId="61D5C168" w:rsidR="001D062E" w:rsidRPr="00CD7FE5" w:rsidRDefault="00B85ABC" w:rsidP="0013783D">
      <w:pPr>
        <w:spacing w:after="0" w:line="276" w:lineRule="auto"/>
        <w:jc w:val="both"/>
        <w:rPr>
          <w:rFonts w:asciiTheme="majorHAnsi" w:hAnsiTheme="majorHAnsi" w:cstheme="majorHAnsi"/>
          <w:iCs/>
          <w:sz w:val="24"/>
          <w:szCs w:val="24"/>
          <w:lang w:val="ro-MD"/>
        </w:rPr>
      </w:pPr>
      <w:r>
        <w:rPr>
          <w:rFonts w:asciiTheme="majorHAnsi" w:hAnsiTheme="majorHAnsi" w:cstheme="majorHAnsi"/>
          <w:iCs/>
          <w:sz w:val="24"/>
          <w:szCs w:val="24"/>
          <w:lang w:val="ro-MD"/>
        </w:rPr>
        <w:t>O s</w:t>
      </w:r>
      <w:r w:rsidR="001D062E" w:rsidRPr="00CD7FE5">
        <w:rPr>
          <w:rFonts w:asciiTheme="majorHAnsi" w:hAnsiTheme="majorHAnsi" w:cstheme="majorHAnsi"/>
          <w:iCs/>
          <w:sz w:val="24"/>
          <w:szCs w:val="24"/>
          <w:lang w:val="ro-MD"/>
        </w:rPr>
        <w:t xml:space="preserve">ituație similară se constată și </w:t>
      </w:r>
      <w:r>
        <w:rPr>
          <w:rFonts w:asciiTheme="majorHAnsi" w:hAnsiTheme="majorHAnsi" w:cstheme="majorHAnsi"/>
          <w:iCs/>
          <w:sz w:val="24"/>
          <w:szCs w:val="24"/>
          <w:lang w:val="ro-MD"/>
        </w:rPr>
        <w:t>referitor la</w:t>
      </w:r>
      <w:r w:rsidR="001D062E" w:rsidRPr="00CD7FE5">
        <w:rPr>
          <w:rFonts w:asciiTheme="majorHAnsi" w:hAnsiTheme="majorHAnsi" w:cstheme="majorHAnsi"/>
          <w:iCs/>
          <w:sz w:val="24"/>
          <w:szCs w:val="24"/>
          <w:lang w:val="ro-MD"/>
        </w:rPr>
        <w:t xml:space="preserve"> confirmarea cheltuielilor aferente burselor acordate studenților și subvenționării costului </w:t>
      </w:r>
      <w:r>
        <w:rPr>
          <w:rFonts w:asciiTheme="majorHAnsi" w:hAnsiTheme="majorHAnsi" w:cstheme="majorHAnsi"/>
          <w:iCs/>
          <w:sz w:val="24"/>
          <w:szCs w:val="24"/>
          <w:lang w:val="ro-MD"/>
        </w:rPr>
        <w:t xml:space="preserve">pentru </w:t>
      </w:r>
      <w:r w:rsidR="001D062E" w:rsidRPr="00CD7FE5">
        <w:rPr>
          <w:rFonts w:asciiTheme="majorHAnsi" w:hAnsiTheme="majorHAnsi" w:cstheme="majorHAnsi"/>
          <w:iCs/>
          <w:sz w:val="24"/>
          <w:szCs w:val="24"/>
          <w:lang w:val="ro-MD"/>
        </w:rPr>
        <w:t xml:space="preserve">chirie în cămine. </w:t>
      </w:r>
      <w:r w:rsidR="001D062E" w:rsidRPr="0013783D">
        <w:rPr>
          <w:rFonts w:asciiTheme="majorHAnsi" w:hAnsiTheme="majorHAnsi" w:cstheme="majorHAnsi"/>
          <w:iCs/>
          <w:sz w:val="24"/>
          <w:szCs w:val="24"/>
          <w:lang w:val="ro-MD"/>
        </w:rPr>
        <w:t>Astfel</w:t>
      </w:r>
      <w:r w:rsidRPr="0013783D">
        <w:rPr>
          <w:rFonts w:asciiTheme="majorHAnsi" w:hAnsiTheme="majorHAnsi" w:cstheme="majorHAnsi"/>
          <w:iCs/>
          <w:sz w:val="24"/>
          <w:szCs w:val="24"/>
          <w:lang w:val="ro-MD"/>
        </w:rPr>
        <w:t>,</w:t>
      </w:r>
      <w:r w:rsidR="001D062E" w:rsidRPr="0013783D">
        <w:rPr>
          <w:rFonts w:asciiTheme="majorHAnsi" w:hAnsiTheme="majorHAnsi" w:cstheme="majorHAnsi"/>
          <w:iCs/>
          <w:sz w:val="24"/>
          <w:szCs w:val="24"/>
          <w:lang w:val="ro-MD"/>
        </w:rPr>
        <w:t xml:space="preserve"> facturile respective nu sunt însoțite de acte de prestare a serviciilor</w:t>
      </w:r>
      <w:r w:rsidRPr="0013783D">
        <w:rPr>
          <w:rFonts w:asciiTheme="majorHAnsi" w:hAnsiTheme="majorHAnsi" w:cstheme="majorHAnsi"/>
          <w:iCs/>
          <w:sz w:val="24"/>
          <w:szCs w:val="24"/>
          <w:lang w:val="ro-MD"/>
        </w:rPr>
        <w:t>,</w:t>
      </w:r>
      <w:r w:rsidR="001D062E" w:rsidRPr="0013783D">
        <w:rPr>
          <w:rFonts w:asciiTheme="majorHAnsi" w:hAnsiTheme="majorHAnsi" w:cstheme="majorHAnsi"/>
          <w:iCs/>
          <w:sz w:val="24"/>
          <w:szCs w:val="24"/>
          <w:lang w:val="ro-MD"/>
        </w:rPr>
        <w:t xml:space="preserve"> cu indicarea categoriei bursei, numărul</w:t>
      </w:r>
      <w:r w:rsidRPr="0013783D">
        <w:rPr>
          <w:rFonts w:asciiTheme="majorHAnsi" w:hAnsiTheme="majorHAnsi" w:cstheme="majorHAnsi"/>
          <w:iCs/>
          <w:sz w:val="24"/>
          <w:szCs w:val="24"/>
          <w:lang w:val="ro-MD"/>
        </w:rPr>
        <w:t>ui</w:t>
      </w:r>
      <w:r w:rsidR="001D062E" w:rsidRPr="0013783D">
        <w:rPr>
          <w:rFonts w:asciiTheme="majorHAnsi" w:hAnsiTheme="majorHAnsi" w:cstheme="majorHAnsi"/>
          <w:iCs/>
          <w:sz w:val="24"/>
          <w:szCs w:val="24"/>
          <w:lang w:val="ro-MD"/>
        </w:rPr>
        <w:t xml:space="preserve"> de bursieri și </w:t>
      </w:r>
      <w:r w:rsidRPr="0013783D">
        <w:rPr>
          <w:rFonts w:asciiTheme="majorHAnsi" w:hAnsiTheme="majorHAnsi" w:cstheme="majorHAnsi"/>
          <w:iCs/>
          <w:sz w:val="24"/>
          <w:szCs w:val="24"/>
          <w:lang w:val="ro-MD"/>
        </w:rPr>
        <w:t xml:space="preserve">a </w:t>
      </w:r>
      <w:r w:rsidR="001D062E" w:rsidRPr="0013783D">
        <w:rPr>
          <w:rFonts w:asciiTheme="majorHAnsi" w:hAnsiTheme="majorHAnsi" w:cstheme="majorHAnsi"/>
          <w:iCs/>
          <w:sz w:val="24"/>
          <w:szCs w:val="24"/>
          <w:lang w:val="ro-MD"/>
        </w:rPr>
        <w:t>sum</w:t>
      </w:r>
      <w:r w:rsidRPr="0013783D">
        <w:rPr>
          <w:rFonts w:asciiTheme="majorHAnsi" w:hAnsiTheme="majorHAnsi" w:cstheme="majorHAnsi"/>
          <w:iCs/>
          <w:sz w:val="24"/>
          <w:szCs w:val="24"/>
          <w:lang w:val="ro-MD"/>
        </w:rPr>
        <w:t>ei</w:t>
      </w:r>
      <w:r w:rsidR="001D062E" w:rsidRPr="0013783D">
        <w:rPr>
          <w:rFonts w:asciiTheme="majorHAnsi" w:hAnsiTheme="majorHAnsi" w:cstheme="majorHAnsi"/>
          <w:iCs/>
          <w:sz w:val="24"/>
          <w:szCs w:val="24"/>
          <w:lang w:val="ro-MD"/>
        </w:rPr>
        <w:t xml:space="preserve"> distribuit</w:t>
      </w:r>
      <w:r w:rsidRPr="0013783D">
        <w:rPr>
          <w:rFonts w:asciiTheme="majorHAnsi" w:hAnsiTheme="majorHAnsi" w:cstheme="majorHAnsi"/>
          <w:iCs/>
          <w:sz w:val="24"/>
          <w:szCs w:val="24"/>
          <w:lang w:val="ro-MD"/>
        </w:rPr>
        <w:t>e</w:t>
      </w:r>
      <w:r w:rsidR="001D062E" w:rsidRPr="0013783D">
        <w:rPr>
          <w:rFonts w:asciiTheme="majorHAnsi" w:hAnsiTheme="majorHAnsi" w:cstheme="majorHAnsi"/>
          <w:iCs/>
          <w:sz w:val="24"/>
          <w:szCs w:val="24"/>
          <w:lang w:val="ro-MD"/>
        </w:rPr>
        <w:t xml:space="preserve"> etc., și, respectiv, </w:t>
      </w:r>
      <w:r w:rsidR="0013783D" w:rsidRPr="0013783D">
        <w:rPr>
          <w:rFonts w:asciiTheme="majorHAnsi" w:hAnsiTheme="majorHAnsi" w:cstheme="majorHAnsi"/>
          <w:iCs/>
          <w:sz w:val="24"/>
          <w:szCs w:val="24"/>
          <w:lang w:val="ro-MD"/>
        </w:rPr>
        <w:t>nu reflectă</w:t>
      </w:r>
      <w:r w:rsidR="001D062E" w:rsidRPr="0013783D">
        <w:rPr>
          <w:rFonts w:asciiTheme="majorHAnsi" w:hAnsiTheme="majorHAnsi" w:cstheme="majorHAnsi"/>
          <w:iCs/>
          <w:sz w:val="24"/>
          <w:szCs w:val="24"/>
          <w:lang w:val="ro-MD"/>
        </w:rPr>
        <w:t xml:space="preserve"> numărul studenților cazați, costul subvenționat de stat și sum</w:t>
      </w:r>
      <w:r w:rsidR="0013783D" w:rsidRPr="0013783D">
        <w:rPr>
          <w:rFonts w:asciiTheme="majorHAnsi" w:hAnsiTheme="majorHAnsi" w:cstheme="majorHAnsi"/>
          <w:iCs/>
          <w:sz w:val="24"/>
          <w:szCs w:val="24"/>
          <w:lang w:val="ro-MD"/>
        </w:rPr>
        <w:t>a</w:t>
      </w:r>
      <w:r w:rsidR="001D062E" w:rsidRPr="0013783D">
        <w:rPr>
          <w:rFonts w:asciiTheme="majorHAnsi" w:hAnsiTheme="majorHAnsi" w:cstheme="majorHAnsi"/>
          <w:iCs/>
          <w:sz w:val="24"/>
          <w:szCs w:val="24"/>
          <w:lang w:val="ro-MD"/>
        </w:rPr>
        <w:t xml:space="preserve"> alocat</w:t>
      </w:r>
      <w:r w:rsidR="0013783D" w:rsidRPr="0013783D">
        <w:rPr>
          <w:rFonts w:asciiTheme="majorHAnsi" w:hAnsiTheme="majorHAnsi" w:cstheme="majorHAnsi"/>
          <w:iCs/>
          <w:sz w:val="24"/>
          <w:szCs w:val="24"/>
          <w:lang w:val="ro-MD"/>
        </w:rPr>
        <w:t>ă</w:t>
      </w:r>
      <w:r w:rsidR="001D062E" w:rsidRPr="0013783D">
        <w:rPr>
          <w:rFonts w:asciiTheme="majorHAnsi" w:hAnsiTheme="majorHAnsi" w:cstheme="majorHAnsi"/>
          <w:iCs/>
          <w:sz w:val="24"/>
          <w:szCs w:val="24"/>
          <w:lang w:val="ro-MD"/>
        </w:rPr>
        <w:t xml:space="preserve">, </w:t>
      </w:r>
      <w:r w:rsidR="00C62E1E" w:rsidRPr="0013783D">
        <w:rPr>
          <w:rFonts w:asciiTheme="majorHAnsi" w:hAnsiTheme="majorHAnsi" w:cstheme="majorHAnsi"/>
          <w:iCs/>
          <w:sz w:val="24"/>
          <w:szCs w:val="24"/>
          <w:lang w:val="ro-MD"/>
        </w:rPr>
        <w:t>nefiind</w:t>
      </w:r>
      <w:r w:rsidR="001D062E" w:rsidRPr="0013783D">
        <w:rPr>
          <w:rFonts w:asciiTheme="majorHAnsi" w:hAnsiTheme="majorHAnsi" w:cstheme="majorHAnsi"/>
          <w:iCs/>
          <w:sz w:val="24"/>
          <w:szCs w:val="24"/>
          <w:lang w:val="ro-MD"/>
        </w:rPr>
        <w:t xml:space="preserve"> anexată </w:t>
      </w:r>
      <w:r w:rsidR="00C62E1E" w:rsidRPr="0013783D">
        <w:rPr>
          <w:rFonts w:asciiTheme="majorHAnsi" w:hAnsiTheme="majorHAnsi" w:cstheme="majorHAnsi"/>
          <w:iCs/>
          <w:sz w:val="24"/>
          <w:szCs w:val="24"/>
          <w:lang w:val="ro-MD"/>
        </w:rPr>
        <w:t xml:space="preserve">și </w:t>
      </w:r>
      <w:r w:rsidR="001D062E" w:rsidRPr="0013783D">
        <w:rPr>
          <w:rFonts w:asciiTheme="majorHAnsi" w:hAnsiTheme="majorHAnsi" w:cstheme="majorHAnsi"/>
          <w:iCs/>
          <w:sz w:val="24"/>
          <w:szCs w:val="24"/>
          <w:lang w:val="ro-MD"/>
        </w:rPr>
        <w:t xml:space="preserve">lista studenților bursieri </w:t>
      </w:r>
      <w:r w:rsidR="008426E0" w:rsidRPr="0013783D">
        <w:rPr>
          <w:rFonts w:asciiTheme="majorHAnsi" w:hAnsiTheme="majorHAnsi" w:cstheme="majorHAnsi"/>
          <w:iCs/>
          <w:sz w:val="24"/>
          <w:szCs w:val="24"/>
          <w:lang w:val="ro-MD"/>
        </w:rPr>
        <w:t xml:space="preserve">și a celor </w:t>
      </w:r>
      <w:r w:rsidR="001D062E" w:rsidRPr="0013783D">
        <w:rPr>
          <w:rFonts w:asciiTheme="majorHAnsi" w:hAnsiTheme="majorHAnsi" w:cstheme="majorHAnsi"/>
          <w:iCs/>
          <w:sz w:val="24"/>
          <w:szCs w:val="24"/>
          <w:lang w:val="ro-MD"/>
        </w:rPr>
        <w:t>cazați în cămine.</w:t>
      </w:r>
      <w:r w:rsidR="001D062E" w:rsidRPr="00CD7FE5">
        <w:rPr>
          <w:rFonts w:asciiTheme="majorHAnsi" w:hAnsiTheme="majorHAnsi" w:cstheme="majorHAnsi"/>
          <w:iCs/>
          <w:sz w:val="24"/>
          <w:szCs w:val="24"/>
          <w:lang w:val="ro-MD"/>
        </w:rPr>
        <w:t xml:space="preserve">  </w:t>
      </w:r>
    </w:p>
    <w:p w14:paraId="69A13E70" w14:textId="27EEBE04" w:rsidR="001D062E" w:rsidRPr="00CD7FE5" w:rsidRDefault="008D4F50" w:rsidP="006C7763">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b/>
          <w:iCs/>
          <w:sz w:val="24"/>
          <w:szCs w:val="24"/>
          <w:lang w:val="ro-MD"/>
        </w:rPr>
        <w:t>6</w:t>
      </w:r>
      <w:r w:rsidR="001D062E" w:rsidRPr="00CD7FE5">
        <w:rPr>
          <w:rFonts w:asciiTheme="majorHAnsi" w:hAnsiTheme="majorHAnsi" w:cstheme="majorHAnsi"/>
          <w:b/>
          <w:iCs/>
          <w:sz w:val="24"/>
          <w:szCs w:val="24"/>
          <w:lang w:val="ro-MD"/>
        </w:rPr>
        <w:t>.</w:t>
      </w:r>
      <w:r w:rsidR="006C7763" w:rsidRPr="00CD7FE5">
        <w:rPr>
          <w:rFonts w:asciiTheme="majorHAnsi" w:hAnsiTheme="majorHAnsi" w:cstheme="majorHAnsi"/>
          <w:b/>
          <w:iCs/>
          <w:sz w:val="24"/>
          <w:szCs w:val="24"/>
          <w:lang w:val="ro-MD"/>
        </w:rPr>
        <w:t>5</w:t>
      </w:r>
      <w:r w:rsidR="001D062E" w:rsidRPr="00CD7FE5">
        <w:rPr>
          <w:rFonts w:asciiTheme="majorHAnsi" w:hAnsiTheme="majorHAnsi" w:cstheme="majorHAnsi"/>
          <w:b/>
          <w:iCs/>
          <w:sz w:val="24"/>
          <w:szCs w:val="24"/>
          <w:lang w:val="ro-MD"/>
        </w:rPr>
        <w:t>.2</w:t>
      </w:r>
      <w:r w:rsidR="006E6FA2">
        <w:rPr>
          <w:rFonts w:asciiTheme="majorHAnsi" w:hAnsiTheme="majorHAnsi" w:cstheme="majorHAnsi"/>
          <w:b/>
          <w:iCs/>
          <w:sz w:val="24"/>
          <w:szCs w:val="24"/>
          <w:lang w:val="ro-MD"/>
        </w:rPr>
        <w:t xml:space="preserve">. </w:t>
      </w:r>
      <w:r w:rsidR="001D062E" w:rsidRPr="00CD7FE5">
        <w:rPr>
          <w:rFonts w:asciiTheme="majorHAnsi" w:hAnsiTheme="majorHAnsi" w:cstheme="majorHAnsi"/>
          <w:bCs/>
          <w:i/>
          <w:sz w:val="24"/>
          <w:szCs w:val="24"/>
          <w:lang w:val="ro-MD"/>
        </w:rPr>
        <w:t xml:space="preserve"> Procesul de planificare și executare a mijloacelor financiare pentru finanțarea </w:t>
      </w:r>
      <w:r w:rsidR="001D062E" w:rsidRPr="00CD7FE5">
        <w:rPr>
          <w:rFonts w:asciiTheme="majorHAnsi" w:hAnsiTheme="majorHAnsi" w:cstheme="majorHAnsi"/>
          <w:i/>
          <w:sz w:val="24"/>
          <w:szCs w:val="24"/>
          <w:lang w:val="ro-MD"/>
        </w:rPr>
        <w:t xml:space="preserve">instituțiilor de învățământ profesional tehnic din subordine </w:t>
      </w:r>
      <w:r w:rsidR="001D062E" w:rsidRPr="00CD7FE5">
        <w:rPr>
          <w:rFonts w:asciiTheme="majorHAnsi" w:hAnsiTheme="majorHAnsi" w:cstheme="majorHAnsi"/>
          <w:bCs/>
          <w:i/>
          <w:sz w:val="24"/>
          <w:szCs w:val="24"/>
          <w:lang w:val="ro-MD"/>
        </w:rPr>
        <w:t>nu a fost realizat regulamentar</w:t>
      </w:r>
      <w:r w:rsidR="001D062E" w:rsidRPr="00CD7FE5">
        <w:rPr>
          <w:rStyle w:val="FootnoteReference"/>
          <w:rFonts w:asciiTheme="majorHAnsi" w:hAnsiTheme="majorHAnsi" w:cstheme="majorHAnsi"/>
          <w:sz w:val="24"/>
          <w:szCs w:val="24"/>
          <w:lang w:val="ro-MD"/>
        </w:rPr>
        <w:footnoteReference w:id="25"/>
      </w:r>
      <w:r w:rsidR="001D062E" w:rsidRPr="00CD7FE5">
        <w:rPr>
          <w:rFonts w:asciiTheme="majorHAnsi" w:hAnsiTheme="majorHAnsi" w:cstheme="majorHAnsi"/>
          <w:bCs/>
          <w:i/>
          <w:sz w:val="24"/>
          <w:szCs w:val="24"/>
          <w:lang w:val="ro-MD"/>
        </w:rPr>
        <w:t xml:space="preserve">. </w:t>
      </w:r>
      <w:r w:rsidR="001D062E" w:rsidRPr="00CD7FE5">
        <w:rPr>
          <w:rFonts w:asciiTheme="majorHAnsi" w:hAnsiTheme="majorHAnsi" w:cstheme="majorHAnsi"/>
          <w:bCs/>
          <w:sz w:val="24"/>
          <w:szCs w:val="24"/>
          <w:lang w:val="ro-MD"/>
        </w:rPr>
        <w:t>MECC nu a aprobat</w:t>
      </w:r>
      <w:r w:rsidR="001D062E" w:rsidRPr="00CD7FE5">
        <w:rPr>
          <w:rStyle w:val="FootnoteReference"/>
          <w:rFonts w:asciiTheme="majorHAnsi" w:hAnsiTheme="majorHAnsi" w:cstheme="majorHAnsi"/>
          <w:bCs/>
          <w:sz w:val="24"/>
          <w:szCs w:val="24"/>
          <w:lang w:val="ro-MD"/>
        </w:rPr>
        <w:footnoteReference w:id="26"/>
      </w:r>
      <w:r w:rsidR="001D062E" w:rsidRPr="00CD7FE5">
        <w:rPr>
          <w:rFonts w:asciiTheme="majorHAnsi" w:hAnsiTheme="majorHAnsi" w:cstheme="majorHAnsi"/>
          <w:bCs/>
          <w:sz w:val="24"/>
          <w:szCs w:val="24"/>
          <w:lang w:val="ro-MD"/>
        </w:rPr>
        <w:t xml:space="preserve"> costul mediu de instruire aplicat la planificarea și precizarea alocațiilor bugetare. </w:t>
      </w:r>
    </w:p>
    <w:p w14:paraId="69E549F1" w14:textId="2BA14505" w:rsidR="001D062E" w:rsidRPr="00CD7FE5" w:rsidRDefault="001D062E" w:rsidP="00A94E15">
      <w:pPr>
        <w:pStyle w:val="NormalWeb"/>
        <w:spacing w:line="276" w:lineRule="auto"/>
        <w:ind w:firstLine="0"/>
        <w:rPr>
          <w:rFonts w:asciiTheme="majorHAnsi" w:hAnsiTheme="majorHAnsi" w:cstheme="majorHAnsi"/>
          <w:lang w:val="ro-MD"/>
        </w:rPr>
      </w:pPr>
      <w:r w:rsidRPr="00CD7FE5">
        <w:rPr>
          <w:rFonts w:asciiTheme="majorHAnsi" w:hAnsiTheme="majorHAnsi" w:cstheme="majorHAnsi"/>
          <w:lang w:val="ro-MD"/>
        </w:rPr>
        <w:t xml:space="preserve">La alocarea suplimentară a mijloacelor bugetare către instituțiile de învățământ profesional tehnic, MECC nu a ținut cont de prevederile pct.11 din </w:t>
      </w:r>
      <w:r w:rsidRPr="00CD7FE5">
        <w:rPr>
          <w:rFonts w:asciiTheme="majorHAnsi" w:hAnsiTheme="majorHAnsi" w:cstheme="majorHAnsi"/>
          <w:bCs/>
          <w:lang w:val="ro-MD"/>
        </w:rPr>
        <w:t xml:space="preserve">Regulamentul aprobat prin </w:t>
      </w:r>
      <w:r w:rsidRPr="00373FC9">
        <w:rPr>
          <w:rFonts w:asciiTheme="majorHAnsi" w:hAnsiTheme="majorHAnsi" w:cstheme="majorHAnsi"/>
          <w:bCs/>
          <w:lang w:val="ro-MD"/>
        </w:rPr>
        <w:t>H</w:t>
      </w:r>
      <w:r w:rsidR="00102B3A">
        <w:rPr>
          <w:rFonts w:asciiTheme="majorHAnsi" w:hAnsiTheme="majorHAnsi" w:cstheme="majorHAnsi"/>
          <w:bCs/>
          <w:lang w:val="ro-MD"/>
        </w:rPr>
        <w:t xml:space="preserve">otărârea </w:t>
      </w:r>
      <w:r w:rsidRPr="00373FC9">
        <w:rPr>
          <w:rFonts w:asciiTheme="majorHAnsi" w:hAnsiTheme="majorHAnsi" w:cstheme="majorHAnsi"/>
          <w:bCs/>
          <w:lang w:val="ro-MD"/>
        </w:rPr>
        <w:t>G</w:t>
      </w:r>
      <w:r w:rsidR="00102B3A">
        <w:rPr>
          <w:rFonts w:asciiTheme="majorHAnsi" w:hAnsiTheme="majorHAnsi" w:cstheme="majorHAnsi"/>
          <w:bCs/>
          <w:lang w:val="ro-MD"/>
        </w:rPr>
        <w:t xml:space="preserve">uvernului </w:t>
      </w:r>
      <w:r w:rsidRPr="00CD7FE5">
        <w:rPr>
          <w:rFonts w:asciiTheme="majorHAnsi" w:hAnsiTheme="majorHAnsi" w:cstheme="majorHAnsi"/>
          <w:bCs/>
          <w:lang w:val="ro-MD"/>
        </w:rPr>
        <w:t xml:space="preserve"> nr.1077 din 23.09.2016 și </w:t>
      </w:r>
      <w:r w:rsidRPr="00CD7FE5">
        <w:rPr>
          <w:rFonts w:asciiTheme="majorHAnsi" w:hAnsiTheme="majorHAnsi" w:cstheme="majorHAnsi"/>
          <w:lang w:val="ro-MD"/>
        </w:rPr>
        <w:t xml:space="preserve">nu a ajustat costul mediu de instruire inițial aplicat, mijloacele fiind alocate reieșind din necesitățile determinate de fiecare instituție, dar nejustificate documentar. </w:t>
      </w:r>
    </w:p>
    <w:p w14:paraId="1C529B0A" w14:textId="5E82A0C1" w:rsidR="001D062E" w:rsidRPr="00CD7FE5" w:rsidRDefault="001D062E" w:rsidP="00E727D0">
      <w:pPr>
        <w:pStyle w:val="FootnoteText"/>
        <w:spacing w:line="276" w:lineRule="auto"/>
        <w:jc w:val="both"/>
        <w:rPr>
          <w:rFonts w:asciiTheme="majorHAnsi" w:hAnsiTheme="majorHAnsi" w:cstheme="majorHAnsi"/>
          <w:sz w:val="24"/>
          <w:szCs w:val="24"/>
          <w:lang w:val="ro-MD"/>
        </w:rPr>
      </w:pPr>
      <w:r w:rsidRPr="00CD7FE5">
        <w:rPr>
          <w:rFonts w:asciiTheme="majorHAnsi" w:eastAsia="Times New Roman" w:hAnsiTheme="majorHAnsi" w:cstheme="majorHAnsi"/>
          <w:sz w:val="24"/>
          <w:szCs w:val="24"/>
          <w:lang w:val="ro-MD"/>
        </w:rPr>
        <w:lastRenderedPageBreak/>
        <w:t xml:space="preserve">De exemplu, deși alocațiile anuale pentru programele de studii din învățământul profesional tehnic post secundar (colegii și centre de excelență) au fost aprobate pentru 8744 </w:t>
      </w:r>
      <w:r w:rsidR="00210159">
        <w:rPr>
          <w:rFonts w:asciiTheme="majorHAnsi" w:eastAsia="Times New Roman" w:hAnsiTheme="majorHAnsi" w:cstheme="majorHAnsi"/>
          <w:sz w:val="24"/>
          <w:szCs w:val="24"/>
          <w:lang w:val="ro-MD"/>
        </w:rPr>
        <w:t xml:space="preserve">de </w:t>
      </w:r>
      <w:r w:rsidRPr="00CD7FE5">
        <w:rPr>
          <w:rFonts w:asciiTheme="majorHAnsi" w:eastAsia="Times New Roman" w:hAnsiTheme="majorHAnsi" w:cstheme="majorHAnsi"/>
          <w:sz w:val="24"/>
          <w:szCs w:val="24"/>
          <w:lang w:val="ro-MD"/>
        </w:rPr>
        <w:t>elevi</w:t>
      </w:r>
      <w:r w:rsidR="006E6FA2">
        <w:rPr>
          <w:rFonts w:asciiTheme="majorHAnsi" w:eastAsia="Times New Roman" w:hAnsiTheme="majorHAnsi" w:cstheme="majorHAnsi"/>
          <w:sz w:val="24"/>
          <w:szCs w:val="24"/>
          <w:lang w:val="ro-MD"/>
        </w:rPr>
        <w:t>,</w:t>
      </w:r>
      <w:r w:rsidRPr="00CD7FE5">
        <w:rPr>
          <w:rFonts w:asciiTheme="majorHAnsi" w:eastAsia="Times New Roman" w:hAnsiTheme="majorHAnsi" w:cstheme="majorHAnsi"/>
          <w:sz w:val="24"/>
          <w:szCs w:val="24"/>
          <w:lang w:val="ro-MD"/>
        </w:rPr>
        <w:t xml:space="preserve"> în sumă de 236,79 mil.lei, pe parcursul anului 2020 aceste alocații au fost suplimentate cu </w:t>
      </w:r>
      <w:r w:rsidRPr="00CD7FE5">
        <w:rPr>
          <w:rFonts w:asciiTheme="majorHAnsi" w:eastAsia="Times New Roman" w:hAnsiTheme="majorHAnsi" w:cstheme="majorHAnsi"/>
          <w:b/>
          <w:sz w:val="24"/>
          <w:szCs w:val="24"/>
          <w:lang w:val="ro-MD"/>
        </w:rPr>
        <w:t>56</w:t>
      </w:r>
      <w:r w:rsidR="00E37D09">
        <w:rPr>
          <w:rFonts w:asciiTheme="majorHAnsi" w:eastAsia="Times New Roman" w:hAnsiTheme="majorHAnsi" w:cstheme="majorHAnsi"/>
          <w:b/>
          <w:sz w:val="24"/>
          <w:szCs w:val="24"/>
          <w:lang w:val="ro-MD"/>
        </w:rPr>
        <w:t>,</w:t>
      </w:r>
      <w:r w:rsidRPr="00CD7FE5">
        <w:rPr>
          <w:rFonts w:asciiTheme="majorHAnsi" w:eastAsia="Times New Roman" w:hAnsiTheme="majorHAnsi" w:cstheme="majorHAnsi"/>
          <w:b/>
          <w:sz w:val="24"/>
          <w:szCs w:val="24"/>
          <w:lang w:val="ro-MD"/>
        </w:rPr>
        <w:t>32 mi</w:t>
      </w:r>
      <w:r w:rsidR="00E37D09">
        <w:rPr>
          <w:rFonts w:asciiTheme="majorHAnsi" w:eastAsia="Times New Roman" w:hAnsiTheme="majorHAnsi" w:cstheme="majorHAnsi"/>
          <w:b/>
          <w:sz w:val="24"/>
          <w:szCs w:val="24"/>
          <w:lang w:val="ro-MD"/>
        </w:rPr>
        <w:t>l.</w:t>
      </w:r>
      <w:r w:rsidRPr="00CD7FE5">
        <w:rPr>
          <w:rFonts w:asciiTheme="majorHAnsi" w:eastAsia="Times New Roman" w:hAnsiTheme="majorHAnsi" w:cstheme="majorHAnsi"/>
          <w:b/>
          <w:sz w:val="24"/>
          <w:szCs w:val="24"/>
          <w:lang w:val="ro-MD"/>
        </w:rPr>
        <w:t xml:space="preserve"> lei</w:t>
      </w:r>
      <w:r w:rsidR="00210159">
        <w:rPr>
          <w:rFonts w:asciiTheme="majorHAnsi" w:eastAsia="Times New Roman" w:hAnsiTheme="majorHAnsi" w:cstheme="majorHAnsi"/>
          <w:b/>
          <w:sz w:val="24"/>
          <w:szCs w:val="24"/>
          <w:lang w:val="ro-MD"/>
        </w:rPr>
        <w:t xml:space="preserve">, </w:t>
      </w:r>
      <w:r w:rsidRPr="00CD7FE5">
        <w:rPr>
          <w:rFonts w:asciiTheme="majorHAnsi" w:eastAsia="Times New Roman" w:hAnsiTheme="majorHAnsi" w:cstheme="majorHAnsi"/>
          <w:b/>
          <w:sz w:val="24"/>
          <w:szCs w:val="24"/>
          <w:lang w:val="ro-MD"/>
        </w:rPr>
        <w:t xml:space="preserve"> </w:t>
      </w:r>
      <w:r w:rsidRPr="00C01385">
        <w:rPr>
          <w:rFonts w:asciiTheme="majorHAnsi" w:eastAsia="Times New Roman" w:hAnsiTheme="majorHAnsi" w:cstheme="majorHAnsi"/>
          <w:bCs/>
          <w:sz w:val="24"/>
          <w:szCs w:val="24"/>
          <w:lang w:val="ro-MD"/>
        </w:rPr>
        <w:t xml:space="preserve">deși numărul de elevi </w:t>
      </w:r>
      <w:r w:rsidRPr="00C01385">
        <w:rPr>
          <w:rFonts w:asciiTheme="majorHAnsi" w:hAnsiTheme="majorHAnsi" w:cstheme="majorHAnsi"/>
          <w:bCs/>
          <w:sz w:val="24"/>
          <w:szCs w:val="24"/>
          <w:lang w:val="ro-MD"/>
        </w:rPr>
        <w:t xml:space="preserve">la 01.10.2020 </w:t>
      </w:r>
      <w:r w:rsidRPr="00C01385">
        <w:rPr>
          <w:rFonts w:asciiTheme="majorHAnsi" w:eastAsia="Times New Roman" w:hAnsiTheme="majorHAnsi" w:cstheme="majorHAnsi"/>
          <w:bCs/>
          <w:sz w:val="24"/>
          <w:szCs w:val="24"/>
          <w:lang w:val="ro-MD"/>
        </w:rPr>
        <w:t xml:space="preserve">s-a </w:t>
      </w:r>
      <w:r w:rsidRPr="0013783D">
        <w:rPr>
          <w:rFonts w:asciiTheme="majorHAnsi" w:eastAsia="Times New Roman" w:hAnsiTheme="majorHAnsi" w:cstheme="majorHAnsi"/>
          <w:sz w:val="24"/>
          <w:szCs w:val="24"/>
          <w:lang w:val="ro-MD"/>
        </w:rPr>
        <w:t xml:space="preserve">majorat doar cu </w:t>
      </w:r>
      <w:r w:rsidRPr="0013783D">
        <w:rPr>
          <w:rFonts w:asciiTheme="majorHAnsi" w:eastAsia="Times New Roman" w:hAnsiTheme="majorHAnsi" w:cstheme="majorHAnsi"/>
          <w:b/>
          <w:sz w:val="24"/>
          <w:szCs w:val="24"/>
          <w:lang w:val="ro-MD"/>
        </w:rPr>
        <w:t xml:space="preserve">87 </w:t>
      </w:r>
      <w:r w:rsidR="00210159" w:rsidRPr="0013783D">
        <w:rPr>
          <w:rFonts w:asciiTheme="majorHAnsi" w:eastAsia="Times New Roman" w:hAnsiTheme="majorHAnsi" w:cstheme="majorHAnsi"/>
          <w:b/>
          <w:sz w:val="24"/>
          <w:szCs w:val="24"/>
          <w:lang w:val="ro-MD"/>
        </w:rPr>
        <w:t xml:space="preserve">de </w:t>
      </w:r>
      <w:r w:rsidR="00E727D0" w:rsidRPr="0013783D">
        <w:rPr>
          <w:rFonts w:asciiTheme="majorHAnsi" w:eastAsia="Times New Roman" w:hAnsiTheme="majorHAnsi" w:cstheme="majorHAnsi"/>
          <w:b/>
          <w:sz w:val="24"/>
          <w:szCs w:val="24"/>
          <w:lang w:val="ro-MD"/>
        </w:rPr>
        <w:t>elevi</w:t>
      </w:r>
      <w:r w:rsidRPr="0013783D">
        <w:rPr>
          <w:rStyle w:val="FootnoteReference"/>
          <w:rFonts w:asciiTheme="majorHAnsi" w:eastAsia="Times New Roman" w:hAnsiTheme="majorHAnsi" w:cstheme="majorHAnsi"/>
          <w:b/>
          <w:sz w:val="24"/>
          <w:szCs w:val="24"/>
          <w:lang w:val="ro-MD"/>
        </w:rPr>
        <w:footnoteReference w:id="27"/>
      </w:r>
      <w:r w:rsidRPr="00CD7FE5">
        <w:rPr>
          <w:rFonts w:asciiTheme="majorHAnsi" w:hAnsiTheme="majorHAnsi" w:cstheme="majorHAnsi"/>
          <w:sz w:val="24"/>
          <w:szCs w:val="24"/>
          <w:lang w:val="ro-MD"/>
        </w:rPr>
        <w:t>. Efectuând recalculul alocațiilor reieșind din numărul actualizat de elevi, auditul a constatat că</w:t>
      </w:r>
      <w:r w:rsidR="00210159">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3D0B7E" w:rsidRPr="00CD7FE5">
        <w:rPr>
          <w:rFonts w:asciiTheme="majorHAnsi" w:hAnsiTheme="majorHAnsi" w:cstheme="majorHAnsi"/>
          <w:sz w:val="24"/>
          <w:szCs w:val="24"/>
          <w:lang w:val="ro-MD"/>
        </w:rPr>
        <w:t>potrivit</w:t>
      </w:r>
      <w:r w:rsidRPr="00CD7FE5">
        <w:rPr>
          <w:rFonts w:asciiTheme="majorHAnsi" w:hAnsiTheme="majorHAnsi" w:cstheme="majorHAnsi"/>
          <w:sz w:val="24"/>
          <w:szCs w:val="24"/>
          <w:lang w:val="ro-MD"/>
        </w:rPr>
        <w:t xml:space="preserve"> formulei de finanțare</w:t>
      </w:r>
      <w:r w:rsidR="00210159">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alocațiile bugetare trebuiau să fie suplimentate doar cu circa 1324,67 mii lei, sau cu circa 54998,48 mii lei mai puțin, </w:t>
      </w:r>
      <w:r w:rsidR="00210159">
        <w:rPr>
          <w:rFonts w:asciiTheme="majorHAnsi" w:hAnsiTheme="majorHAnsi" w:cstheme="majorHAnsi"/>
          <w:sz w:val="24"/>
          <w:szCs w:val="24"/>
          <w:lang w:val="ro-MD"/>
        </w:rPr>
        <w:t>acestea</w:t>
      </w:r>
      <w:r w:rsidRPr="00CD7FE5">
        <w:rPr>
          <w:rFonts w:asciiTheme="majorHAnsi" w:hAnsiTheme="majorHAnsi" w:cstheme="majorHAnsi"/>
          <w:sz w:val="24"/>
          <w:szCs w:val="24"/>
          <w:lang w:val="ro-MD"/>
        </w:rPr>
        <w:t xml:space="preserve"> reprez</w:t>
      </w:r>
      <w:r w:rsidR="00210159">
        <w:rPr>
          <w:rFonts w:asciiTheme="majorHAnsi" w:hAnsiTheme="majorHAnsi" w:cstheme="majorHAnsi"/>
          <w:sz w:val="24"/>
          <w:szCs w:val="24"/>
          <w:lang w:val="ro-MD"/>
        </w:rPr>
        <w:t>entând</w:t>
      </w:r>
      <w:r w:rsidRPr="00CD7FE5">
        <w:rPr>
          <w:rFonts w:asciiTheme="majorHAnsi" w:hAnsiTheme="majorHAnsi" w:cstheme="majorHAnsi"/>
          <w:sz w:val="24"/>
          <w:szCs w:val="24"/>
          <w:lang w:val="ro-MD"/>
        </w:rPr>
        <w:t xml:space="preserve"> cheltuieli neconforme și nejustificate suportate de MECC. </w:t>
      </w:r>
    </w:p>
    <w:p w14:paraId="2812851C" w14:textId="0DF0D73A" w:rsidR="001D062E" w:rsidRPr="00CD7FE5" w:rsidRDefault="001D062E" w:rsidP="00A94E15">
      <w:pPr>
        <w:pStyle w:val="FootnoteText"/>
        <w:spacing w:line="276" w:lineRule="auto"/>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 xml:space="preserve">De menționat </w:t>
      </w:r>
      <w:r w:rsidRPr="00CD7FE5">
        <w:rPr>
          <w:rFonts w:asciiTheme="majorHAnsi" w:eastAsia="Calibri" w:hAnsiTheme="majorHAnsi" w:cstheme="majorHAnsi"/>
          <w:sz w:val="24"/>
          <w:szCs w:val="24"/>
          <w:lang w:val="ro-MD"/>
        </w:rPr>
        <w:t xml:space="preserve">că instituțiile de învățământ profesional tehnic au raportat la conturile lor de decontare sume semnificative de mijloace bănești neutilizate pentru serviciile educaționale prestate MECC, care la situația din 31.12.2020 însumau </w:t>
      </w:r>
      <w:r w:rsidRPr="00C01385">
        <w:rPr>
          <w:rFonts w:asciiTheme="majorHAnsi" w:eastAsia="Calibri" w:hAnsiTheme="majorHAnsi" w:cstheme="majorHAnsi"/>
          <w:b/>
          <w:bCs/>
          <w:sz w:val="24"/>
          <w:szCs w:val="24"/>
          <w:lang w:val="ro-MD"/>
        </w:rPr>
        <w:t>64,98 mil.lei</w:t>
      </w:r>
      <w:r w:rsidRPr="00CD7FE5">
        <w:rPr>
          <w:rFonts w:asciiTheme="majorHAnsi" w:eastAsia="Calibri" w:hAnsiTheme="majorHAnsi" w:cstheme="majorHAnsi"/>
          <w:sz w:val="24"/>
          <w:szCs w:val="24"/>
          <w:lang w:val="ro-MD"/>
        </w:rPr>
        <w:t xml:space="preserve"> (</w:t>
      </w:r>
      <w:r w:rsidR="00944F35" w:rsidRPr="0013783D">
        <w:rPr>
          <w:rFonts w:asciiTheme="majorHAnsi" w:eastAsia="Calibri" w:hAnsiTheme="majorHAnsi" w:cstheme="majorHAnsi"/>
          <w:bCs/>
          <w:sz w:val="24"/>
          <w:szCs w:val="24"/>
          <w:lang w:val="ro-MD"/>
        </w:rPr>
        <w:t xml:space="preserve">instituțiile de învățământ </w:t>
      </w:r>
      <w:r w:rsidRPr="0013783D">
        <w:rPr>
          <w:rFonts w:asciiTheme="majorHAnsi" w:hAnsiTheme="majorHAnsi" w:cstheme="majorHAnsi"/>
          <w:bCs/>
          <w:sz w:val="24"/>
          <w:szCs w:val="24"/>
          <w:lang w:val="ro-MD"/>
        </w:rPr>
        <w:t>profesional tehnic secundar – 17,69 mil</w:t>
      </w:r>
      <w:r w:rsidR="00210159" w:rsidRPr="0013783D">
        <w:rPr>
          <w:rFonts w:asciiTheme="majorHAnsi" w:hAnsiTheme="majorHAnsi" w:cstheme="majorHAnsi"/>
          <w:bCs/>
          <w:sz w:val="24"/>
          <w:szCs w:val="24"/>
          <w:lang w:val="ro-MD"/>
        </w:rPr>
        <w:t>.</w:t>
      </w:r>
      <w:r w:rsidRPr="0013783D">
        <w:rPr>
          <w:rFonts w:asciiTheme="majorHAnsi" w:hAnsiTheme="majorHAnsi" w:cstheme="majorHAnsi"/>
          <w:bCs/>
          <w:sz w:val="24"/>
          <w:szCs w:val="24"/>
          <w:lang w:val="ro-MD"/>
        </w:rPr>
        <w:t>lei</w:t>
      </w:r>
      <w:r w:rsidR="00F71F43" w:rsidRPr="0013783D">
        <w:rPr>
          <w:rFonts w:asciiTheme="majorHAnsi" w:hAnsiTheme="majorHAnsi" w:cstheme="majorHAnsi"/>
          <w:bCs/>
          <w:sz w:val="24"/>
          <w:szCs w:val="24"/>
          <w:lang w:val="ro-MD"/>
        </w:rPr>
        <w:t>,</w:t>
      </w:r>
      <w:r w:rsidRPr="0013783D">
        <w:rPr>
          <w:rFonts w:asciiTheme="majorHAnsi" w:hAnsiTheme="majorHAnsi" w:cstheme="majorHAnsi"/>
          <w:bCs/>
          <w:sz w:val="24"/>
          <w:szCs w:val="24"/>
          <w:lang w:val="ro-MD"/>
        </w:rPr>
        <w:t xml:space="preserve"> și postsecundar – 47,29 mil.lei)</w:t>
      </w:r>
      <w:r w:rsidRPr="0013783D">
        <w:rPr>
          <w:rFonts w:asciiTheme="majorHAnsi" w:eastAsia="Calibri" w:hAnsiTheme="majorHAnsi" w:cstheme="majorHAnsi"/>
          <w:bCs/>
          <w:sz w:val="24"/>
          <w:szCs w:val="24"/>
          <w:lang w:val="ro-MD"/>
        </w:rPr>
        <w:t>, inclusiv soldul nevalorificat din contul tr</w:t>
      </w:r>
      <w:r w:rsidR="005B0B8A" w:rsidRPr="0013783D">
        <w:rPr>
          <w:rFonts w:asciiTheme="majorHAnsi" w:eastAsia="Calibri" w:hAnsiTheme="majorHAnsi" w:cstheme="majorHAnsi"/>
          <w:bCs/>
          <w:sz w:val="24"/>
          <w:szCs w:val="24"/>
          <w:lang w:val="ro-MD"/>
        </w:rPr>
        <w:t xml:space="preserve">ezorerial </w:t>
      </w:r>
      <w:r w:rsidRPr="0013783D">
        <w:rPr>
          <w:rFonts w:asciiTheme="majorHAnsi" w:eastAsia="Calibri" w:hAnsiTheme="majorHAnsi" w:cstheme="majorHAnsi"/>
          <w:bCs/>
          <w:sz w:val="24"/>
          <w:szCs w:val="24"/>
          <w:lang w:val="ro-MD"/>
        </w:rPr>
        <w:t xml:space="preserve">– </w:t>
      </w:r>
      <w:r w:rsidRPr="00C01385">
        <w:rPr>
          <w:rFonts w:asciiTheme="majorHAnsi" w:eastAsia="Calibri" w:hAnsiTheme="majorHAnsi" w:cstheme="majorHAnsi"/>
          <w:b/>
          <w:sz w:val="24"/>
          <w:szCs w:val="24"/>
          <w:lang w:val="ro-MD"/>
        </w:rPr>
        <w:t>15,29 mil.lei</w:t>
      </w:r>
      <w:r w:rsidRPr="0013783D">
        <w:rPr>
          <w:rFonts w:asciiTheme="majorHAnsi" w:eastAsia="Calibri" w:hAnsiTheme="majorHAnsi" w:cstheme="majorHAnsi"/>
          <w:bCs/>
          <w:sz w:val="24"/>
          <w:szCs w:val="24"/>
          <w:lang w:val="ro-MD"/>
        </w:rPr>
        <w:t xml:space="preserve"> (</w:t>
      </w:r>
      <w:r w:rsidR="00944F35" w:rsidRPr="0013783D">
        <w:rPr>
          <w:rFonts w:asciiTheme="majorHAnsi" w:eastAsia="Calibri" w:hAnsiTheme="majorHAnsi" w:cstheme="majorHAnsi"/>
          <w:bCs/>
          <w:sz w:val="24"/>
          <w:szCs w:val="24"/>
          <w:lang w:val="ro-MD"/>
        </w:rPr>
        <w:t xml:space="preserve">instituțiile de învățământ </w:t>
      </w:r>
      <w:r w:rsidRPr="0013783D">
        <w:rPr>
          <w:rFonts w:asciiTheme="majorHAnsi" w:hAnsiTheme="majorHAnsi" w:cstheme="majorHAnsi"/>
          <w:bCs/>
          <w:sz w:val="24"/>
          <w:szCs w:val="24"/>
          <w:lang w:val="ro-MD"/>
        </w:rPr>
        <w:t>profesional tehnic secundar – 5,31 mil</w:t>
      </w:r>
      <w:r w:rsidR="00F71F43" w:rsidRPr="0013783D">
        <w:rPr>
          <w:rFonts w:asciiTheme="majorHAnsi" w:hAnsiTheme="majorHAnsi" w:cstheme="majorHAnsi"/>
          <w:bCs/>
          <w:sz w:val="24"/>
          <w:szCs w:val="24"/>
          <w:lang w:val="ro-MD"/>
        </w:rPr>
        <w:t>.</w:t>
      </w:r>
      <w:r w:rsidRPr="0013783D">
        <w:rPr>
          <w:rFonts w:asciiTheme="majorHAnsi" w:hAnsiTheme="majorHAnsi" w:cstheme="majorHAnsi"/>
          <w:bCs/>
          <w:sz w:val="24"/>
          <w:szCs w:val="24"/>
          <w:lang w:val="ro-MD"/>
        </w:rPr>
        <w:t xml:space="preserve"> lei</w:t>
      </w:r>
      <w:r w:rsidR="00F71F43" w:rsidRPr="0013783D">
        <w:rPr>
          <w:rFonts w:asciiTheme="majorHAnsi" w:hAnsiTheme="majorHAnsi" w:cstheme="majorHAnsi"/>
          <w:bCs/>
          <w:sz w:val="24"/>
          <w:szCs w:val="24"/>
          <w:lang w:val="ro-MD"/>
        </w:rPr>
        <w:t>,</w:t>
      </w:r>
      <w:r w:rsidRPr="0013783D">
        <w:rPr>
          <w:rFonts w:asciiTheme="majorHAnsi" w:hAnsiTheme="majorHAnsi" w:cstheme="majorHAnsi"/>
          <w:bCs/>
          <w:sz w:val="24"/>
          <w:szCs w:val="24"/>
          <w:lang w:val="ro-MD"/>
        </w:rPr>
        <w:t xml:space="preserve"> și postsecundar – 9,88 mil.lei)</w:t>
      </w:r>
      <w:r w:rsidRPr="00CD7FE5">
        <w:rPr>
          <w:rFonts w:asciiTheme="majorHAnsi" w:hAnsiTheme="majorHAnsi" w:cstheme="majorHAnsi"/>
          <w:b/>
          <w:sz w:val="24"/>
          <w:szCs w:val="24"/>
          <w:lang w:val="ro-MD"/>
        </w:rPr>
        <w:t>.</w:t>
      </w:r>
    </w:p>
    <w:p w14:paraId="698938AB" w14:textId="5EEC4587" w:rsidR="001D062E" w:rsidRPr="00CD7FE5" w:rsidRDefault="008D4F50" w:rsidP="007F79E9">
      <w:pPr>
        <w:pStyle w:val="NormalWeb"/>
        <w:spacing w:line="276" w:lineRule="auto"/>
        <w:ind w:firstLine="0"/>
        <w:rPr>
          <w:rFonts w:asciiTheme="majorHAnsi" w:hAnsiTheme="majorHAnsi" w:cstheme="majorHAnsi"/>
          <w:bCs/>
          <w:highlight w:val="yellow"/>
          <w:lang w:val="ro-MD"/>
        </w:rPr>
      </w:pPr>
      <w:r w:rsidRPr="00CD7FE5">
        <w:rPr>
          <w:rFonts w:asciiTheme="majorHAnsi" w:hAnsiTheme="majorHAnsi" w:cstheme="majorHAnsi"/>
          <w:b/>
          <w:iCs/>
          <w:lang w:val="ro-MD"/>
        </w:rPr>
        <w:t>6</w:t>
      </w:r>
      <w:r w:rsidR="006C7763" w:rsidRPr="00CD7FE5">
        <w:rPr>
          <w:rFonts w:asciiTheme="majorHAnsi" w:hAnsiTheme="majorHAnsi" w:cstheme="majorHAnsi"/>
          <w:b/>
          <w:iCs/>
          <w:lang w:val="ro-MD"/>
        </w:rPr>
        <w:t>.5</w:t>
      </w:r>
      <w:r w:rsidR="001D062E" w:rsidRPr="00CD7FE5">
        <w:rPr>
          <w:rFonts w:asciiTheme="majorHAnsi" w:hAnsiTheme="majorHAnsi" w:cstheme="majorHAnsi"/>
          <w:b/>
          <w:iCs/>
          <w:lang w:val="ro-MD"/>
        </w:rPr>
        <w:t>.3</w:t>
      </w:r>
      <w:r w:rsidR="00F71F43">
        <w:rPr>
          <w:rFonts w:asciiTheme="majorHAnsi" w:hAnsiTheme="majorHAnsi" w:cstheme="majorHAnsi"/>
          <w:b/>
          <w:iCs/>
          <w:lang w:val="ro-MD"/>
        </w:rPr>
        <w:t>.</w:t>
      </w:r>
      <w:r w:rsidR="001D062E" w:rsidRPr="00CD7FE5">
        <w:rPr>
          <w:rFonts w:asciiTheme="majorHAnsi" w:hAnsiTheme="majorHAnsi" w:cstheme="majorHAnsi"/>
          <w:b/>
          <w:iCs/>
          <w:lang w:val="ro-MD"/>
        </w:rPr>
        <w:t xml:space="preserve">  </w:t>
      </w:r>
      <w:r w:rsidR="001D062E" w:rsidRPr="00CD7FE5">
        <w:rPr>
          <w:rFonts w:asciiTheme="majorHAnsi" w:hAnsiTheme="majorHAnsi" w:cstheme="majorHAnsi"/>
          <w:bCs/>
          <w:i/>
          <w:lang w:val="ro-MD"/>
        </w:rPr>
        <w:t>C</w:t>
      </w:r>
      <w:r w:rsidR="001D062E" w:rsidRPr="00CD7FE5">
        <w:rPr>
          <w:rFonts w:asciiTheme="majorHAnsi" w:eastAsia="Calibri" w:hAnsiTheme="majorHAnsi" w:cstheme="majorHAnsi"/>
          <w:i/>
          <w:lang w:val="ro-MD"/>
        </w:rPr>
        <w:t>heltuielile executate în cadrul procesului de studii/instruire aferente alocațiilor bugetare și veniturilor proprii nu se utilizează și nu se raportează proporțional numărului de locuri bugetare și în bază de contract existente în cadrul ciclurilor de studii din învățământul superior și cel profesional tehnic.</w:t>
      </w:r>
      <w:r w:rsidR="001D062E" w:rsidRPr="00CD7FE5">
        <w:rPr>
          <w:rFonts w:asciiTheme="majorHAnsi" w:eastAsia="Calibri" w:hAnsiTheme="majorHAnsi" w:cstheme="majorHAnsi"/>
          <w:b/>
          <w:i/>
          <w:lang w:val="ro-MD"/>
        </w:rPr>
        <w:t xml:space="preserve"> </w:t>
      </w:r>
      <w:r w:rsidR="001D062E" w:rsidRPr="00CD7FE5">
        <w:rPr>
          <w:rFonts w:asciiTheme="majorHAnsi" w:eastAsia="Calibri" w:hAnsiTheme="majorHAnsi" w:cstheme="majorHAnsi"/>
          <w:lang w:val="ro-MD"/>
        </w:rPr>
        <w:t xml:space="preserve">Ca urmare, nu se determină corect costul per student/elev aferent comenzii de stat și în bază de contract, iar o parte din cheltuielile pentru locurile de studii în bază de contract, ca regulă, sunt acoperite din contul alocațiilor bugetare, ceea ce contravine prevederilor art.145 alin.(3) din Codul educației, prin care se reglementează că </w:t>
      </w:r>
      <w:r w:rsidR="001D062E" w:rsidRPr="00626B63">
        <w:rPr>
          <w:rFonts w:asciiTheme="majorHAnsi" w:eastAsia="Calibri" w:hAnsiTheme="majorHAnsi" w:cstheme="majorHAnsi"/>
          <w:lang w:val="ro-MD"/>
        </w:rPr>
        <w:t>costul-standard per</w:t>
      </w:r>
      <w:r w:rsidR="001D062E" w:rsidRPr="00CD7FE5">
        <w:rPr>
          <w:rFonts w:asciiTheme="majorHAnsi" w:eastAsia="Calibri" w:hAnsiTheme="majorHAnsi" w:cstheme="majorHAnsi"/>
          <w:lang w:val="ro-MD"/>
        </w:rPr>
        <w:t xml:space="preserve"> student/elev constituie baza pentru calcularea taxelor de studii.</w:t>
      </w:r>
      <w:r w:rsidR="00B16D87">
        <w:rPr>
          <w:rFonts w:asciiTheme="majorHAnsi" w:eastAsia="Calibri" w:hAnsiTheme="majorHAnsi" w:cstheme="majorHAnsi"/>
          <w:lang w:val="ro-MD"/>
        </w:rPr>
        <w:t xml:space="preserve"> P</w:t>
      </w:r>
      <w:r w:rsidR="001D062E" w:rsidRPr="00CD7FE5">
        <w:rPr>
          <w:rFonts w:asciiTheme="majorHAnsi" w:eastAsia="Calibri" w:hAnsiTheme="majorHAnsi" w:cstheme="majorHAnsi"/>
          <w:lang w:val="ro-MD"/>
        </w:rPr>
        <w:t>otrivit pct.2 din H</w:t>
      </w:r>
      <w:r w:rsidR="00102B3A">
        <w:rPr>
          <w:rFonts w:asciiTheme="majorHAnsi" w:eastAsia="Calibri" w:hAnsiTheme="majorHAnsi" w:cstheme="majorHAnsi"/>
          <w:lang w:val="ro-MD"/>
        </w:rPr>
        <w:t xml:space="preserve">otărârea </w:t>
      </w:r>
      <w:r w:rsidR="001D062E" w:rsidRPr="00CD7FE5">
        <w:rPr>
          <w:rFonts w:asciiTheme="majorHAnsi" w:eastAsia="Calibri" w:hAnsiTheme="majorHAnsi" w:cstheme="majorHAnsi"/>
          <w:lang w:val="ro-MD"/>
        </w:rPr>
        <w:t>G</w:t>
      </w:r>
      <w:r w:rsidR="00102B3A">
        <w:rPr>
          <w:rFonts w:asciiTheme="majorHAnsi" w:eastAsia="Calibri" w:hAnsiTheme="majorHAnsi" w:cstheme="majorHAnsi"/>
          <w:lang w:val="ro-MD"/>
        </w:rPr>
        <w:t>uvernului</w:t>
      </w:r>
      <w:r w:rsidR="001D062E" w:rsidRPr="00CD7FE5">
        <w:rPr>
          <w:rFonts w:asciiTheme="majorHAnsi" w:eastAsia="Calibri" w:hAnsiTheme="majorHAnsi" w:cstheme="majorHAnsi"/>
          <w:lang w:val="ro-MD"/>
        </w:rPr>
        <w:t xml:space="preserve"> nr.649 din 10.07.2018</w:t>
      </w:r>
      <w:r w:rsidR="001D062E" w:rsidRPr="00CD7FE5">
        <w:rPr>
          <w:rStyle w:val="FootnoteReference"/>
          <w:rFonts w:asciiTheme="majorHAnsi" w:eastAsia="Calibri" w:hAnsiTheme="majorHAnsi" w:cstheme="majorHAnsi"/>
          <w:lang w:val="ro-MD"/>
        </w:rPr>
        <w:footnoteReference w:id="28"/>
      </w:r>
      <w:r w:rsidR="001D062E" w:rsidRPr="00CD7FE5">
        <w:rPr>
          <w:rFonts w:asciiTheme="majorHAnsi" w:eastAsia="Calibri" w:hAnsiTheme="majorHAnsi" w:cstheme="majorHAnsi"/>
          <w:lang w:val="ro-MD"/>
        </w:rPr>
        <w:t xml:space="preserve"> și pct.2 din H</w:t>
      </w:r>
      <w:r w:rsidR="00742843">
        <w:rPr>
          <w:rFonts w:asciiTheme="majorHAnsi" w:eastAsia="Calibri" w:hAnsiTheme="majorHAnsi" w:cstheme="majorHAnsi"/>
          <w:lang w:val="ro-MD"/>
        </w:rPr>
        <w:t xml:space="preserve">otărârea </w:t>
      </w:r>
      <w:r w:rsidR="001D062E" w:rsidRPr="00CD7FE5">
        <w:rPr>
          <w:rFonts w:asciiTheme="majorHAnsi" w:eastAsia="Calibri" w:hAnsiTheme="majorHAnsi" w:cstheme="majorHAnsi"/>
          <w:lang w:val="ro-MD"/>
        </w:rPr>
        <w:t>G</w:t>
      </w:r>
      <w:r w:rsidR="00742843">
        <w:rPr>
          <w:rFonts w:asciiTheme="majorHAnsi" w:eastAsia="Calibri" w:hAnsiTheme="majorHAnsi" w:cstheme="majorHAnsi"/>
          <w:lang w:val="ro-MD"/>
        </w:rPr>
        <w:t>uvernului</w:t>
      </w:r>
      <w:r w:rsidR="001D062E" w:rsidRPr="00CD7FE5">
        <w:rPr>
          <w:rFonts w:asciiTheme="majorHAnsi" w:eastAsia="Calibri" w:hAnsiTheme="majorHAnsi" w:cstheme="majorHAnsi"/>
          <w:lang w:val="ro-MD"/>
        </w:rPr>
        <w:t xml:space="preserve"> nr.345 din 18.07.2019</w:t>
      </w:r>
      <w:r w:rsidR="001D062E" w:rsidRPr="00CD7FE5">
        <w:rPr>
          <w:rStyle w:val="FootnoteReference"/>
          <w:rFonts w:asciiTheme="majorHAnsi" w:eastAsia="Calibri" w:hAnsiTheme="majorHAnsi" w:cstheme="majorHAnsi"/>
          <w:lang w:val="ro-MD"/>
        </w:rPr>
        <w:footnoteReference w:id="29"/>
      </w:r>
      <w:r w:rsidR="001D062E" w:rsidRPr="00CD7FE5">
        <w:rPr>
          <w:rFonts w:asciiTheme="majorHAnsi" w:eastAsia="Calibri" w:hAnsiTheme="majorHAnsi" w:cstheme="majorHAnsi"/>
          <w:lang w:val="ro-MD"/>
        </w:rPr>
        <w:t xml:space="preserve">, </w:t>
      </w:r>
      <w:r w:rsidR="00B16D87" w:rsidRPr="00CD7FE5">
        <w:rPr>
          <w:rFonts w:asciiTheme="majorHAnsi" w:eastAsia="Calibri" w:hAnsiTheme="majorHAnsi" w:cstheme="majorHAnsi"/>
          <w:lang w:val="ro-MD"/>
        </w:rPr>
        <w:t xml:space="preserve">MECC </w:t>
      </w:r>
      <w:r w:rsidR="001D062E" w:rsidRPr="00CD7FE5">
        <w:rPr>
          <w:rFonts w:asciiTheme="majorHAnsi" w:eastAsia="Calibri" w:hAnsiTheme="majorHAnsi" w:cstheme="majorHAnsi"/>
          <w:lang w:val="ro-MD"/>
        </w:rPr>
        <w:t xml:space="preserve">urma să asigure </w:t>
      </w:r>
      <w:r w:rsidR="001D062E" w:rsidRPr="00CD7FE5">
        <w:rPr>
          <w:rFonts w:asciiTheme="majorHAnsi" w:hAnsiTheme="majorHAnsi" w:cstheme="majorHAnsi"/>
          <w:lang w:val="ro-MD"/>
        </w:rPr>
        <w:t>utilizarea alocațiilor din bugetul de stat doar pentru pregătirea cadrelor de specialitate cu finanțare bugetară (comanda de stat).</w:t>
      </w:r>
    </w:p>
    <w:p w14:paraId="504FEC7C" w14:textId="11A4F9D9" w:rsidR="001D062E" w:rsidRPr="00CD7FE5" w:rsidRDefault="00B16D87" w:rsidP="00A94E15">
      <w:pPr>
        <w:pStyle w:val="ListParagraph"/>
        <w:shd w:val="clear" w:color="auto" w:fill="FFFFFF" w:themeFill="background1"/>
        <w:spacing w:line="276" w:lineRule="auto"/>
        <w:ind w:left="0"/>
        <w:rPr>
          <w:rFonts w:asciiTheme="majorHAnsi" w:hAnsiTheme="majorHAnsi" w:cstheme="majorHAnsi"/>
          <w:i/>
          <w:iCs/>
          <w:sz w:val="24"/>
          <w:szCs w:val="24"/>
          <w:highlight w:val="yellow"/>
          <w:lang w:val="ro-MD"/>
        </w:rPr>
      </w:pPr>
      <w:r>
        <w:rPr>
          <w:rFonts w:asciiTheme="majorHAnsi" w:eastAsia="Calibri" w:hAnsiTheme="majorHAnsi" w:cstheme="majorHAnsi"/>
          <w:i/>
          <w:iCs/>
          <w:sz w:val="24"/>
          <w:szCs w:val="24"/>
          <w:lang w:val="ro-MD"/>
        </w:rPr>
        <w:t>U</w:t>
      </w:r>
      <w:r w:rsidR="001D062E" w:rsidRPr="00CD7FE5">
        <w:rPr>
          <w:rFonts w:asciiTheme="majorHAnsi" w:eastAsia="Calibri" w:hAnsiTheme="majorHAnsi" w:cstheme="majorHAnsi"/>
          <w:i/>
          <w:iCs/>
          <w:sz w:val="24"/>
          <w:szCs w:val="24"/>
          <w:lang w:val="ro-MD"/>
        </w:rPr>
        <w:t>rmare compensării neregulamentare a costurilor aferente studiilor în bază de contract,</w:t>
      </w:r>
      <w:r w:rsidR="001D062E" w:rsidRPr="00CD7FE5">
        <w:rPr>
          <w:rFonts w:asciiTheme="majorHAnsi" w:hAnsiTheme="majorHAnsi" w:cstheme="majorHAnsi"/>
          <w:bCs/>
          <w:i/>
          <w:iCs/>
          <w:sz w:val="24"/>
          <w:szCs w:val="24"/>
          <w:lang w:val="ro-MD"/>
        </w:rPr>
        <w:t xml:space="preserve"> cheltuielile aferente serviciilor pentru </w:t>
      </w:r>
      <w:r w:rsidR="001D062E" w:rsidRPr="00944F35">
        <w:rPr>
          <w:rFonts w:asciiTheme="majorHAnsi" w:hAnsiTheme="majorHAnsi" w:cstheme="majorHAnsi"/>
          <w:bCs/>
          <w:i/>
          <w:iCs/>
          <w:sz w:val="24"/>
          <w:szCs w:val="24"/>
          <w:lang w:val="ro-MD"/>
        </w:rPr>
        <w:t xml:space="preserve">realizarea planului </w:t>
      </w:r>
      <w:r w:rsidR="00944F35" w:rsidRPr="00C01385">
        <w:rPr>
          <w:rFonts w:asciiTheme="majorHAnsi" w:hAnsiTheme="majorHAnsi" w:cstheme="majorHAnsi"/>
          <w:bCs/>
          <w:i/>
          <w:iCs/>
          <w:sz w:val="24"/>
          <w:szCs w:val="24"/>
          <w:lang w:val="ro-MD"/>
        </w:rPr>
        <w:t>(c</w:t>
      </w:r>
      <w:r w:rsidR="001D062E" w:rsidRPr="00944F35">
        <w:rPr>
          <w:rFonts w:asciiTheme="majorHAnsi" w:hAnsiTheme="majorHAnsi" w:cstheme="majorHAnsi"/>
          <w:bCs/>
          <w:i/>
          <w:iCs/>
          <w:sz w:val="24"/>
          <w:szCs w:val="24"/>
          <w:lang w:val="ro-MD"/>
        </w:rPr>
        <w:t>omenzii de stat</w:t>
      </w:r>
      <w:r w:rsidR="00944F35" w:rsidRPr="00944F35">
        <w:rPr>
          <w:rFonts w:asciiTheme="majorHAnsi" w:hAnsiTheme="majorHAnsi" w:cstheme="majorHAnsi"/>
          <w:bCs/>
          <w:i/>
          <w:iCs/>
          <w:sz w:val="24"/>
          <w:szCs w:val="24"/>
          <w:lang w:val="ro-MD"/>
        </w:rPr>
        <w:t>)</w:t>
      </w:r>
      <w:r w:rsidR="001D062E" w:rsidRPr="00944F35">
        <w:rPr>
          <w:rFonts w:asciiTheme="majorHAnsi" w:eastAsia="Calibri" w:hAnsiTheme="majorHAnsi" w:cstheme="majorHAnsi"/>
          <w:i/>
          <w:iCs/>
          <w:sz w:val="24"/>
          <w:szCs w:val="24"/>
          <w:lang w:val="ro-MD"/>
        </w:rPr>
        <w:t xml:space="preserve"> au</w:t>
      </w:r>
      <w:r w:rsidR="001D062E" w:rsidRPr="00CD7FE5">
        <w:rPr>
          <w:rFonts w:asciiTheme="majorHAnsi" w:eastAsia="Calibri" w:hAnsiTheme="majorHAnsi" w:cstheme="majorHAnsi"/>
          <w:i/>
          <w:iCs/>
          <w:sz w:val="24"/>
          <w:szCs w:val="24"/>
          <w:lang w:val="ro-MD"/>
        </w:rPr>
        <w:t xml:space="preserve"> fost </w:t>
      </w:r>
      <w:r w:rsidR="001D062E" w:rsidRPr="00CD7FE5">
        <w:rPr>
          <w:rFonts w:asciiTheme="majorHAnsi" w:hAnsiTheme="majorHAnsi" w:cstheme="majorHAnsi"/>
          <w:bCs/>
          <w:i/>
          <w:iCs/>
          <w:sz w:val="24"/>
          <w:szCs w:val="24"/>
          <w:lang w:val="ro-MD"/>
        </w:rPr>
        <w:t xml:space="preserve">supraevaluate </w:t>
      </w:r>
      <w:r w:rsidR="001D062E" w:rsidRPr="00CD7FE5">
        <w:rPr>
          <w:rFonts w:asciiTheme="majorHAnsi" w:eastAsia="Calibri" w:hAnsiTheme="majorHAnsi" w:cstheme="majorHAnsi"/>
          <w:i/>
          <w:iCs/>
          <w:sz w:val="24"/>
          <w:szCs w:val="24"/>
          <w:lang w:val="ro-MD"/>
        </w:rPr>
        <w:t>cu circa 329,92 mil</w:t>
      </w:r>
      <w:r>
        <w:rPr>
          <w:rFonts w:asciiTheme="majorHAnsi" w:eastAsia="Calibri" w:hAnsiTheme="majorHAnsi" w:cstheme="majorHAnsi"/>
          <w:i/>
          <w:iCs/>
          <w:sz w:val="24"/>
          <w:szCs w:val="24"/>
          <w:lang w:val="ro-MD"/>
        </w:rPr>
        <w:t>.</w:t>
      </w:r>
      <w:r w:rsidR="001D062E" w:rsidRPr="00CD7FE5">
        <w:rPr>
          <w:rFonts w:asciiTheme="majorHAnsi" w:eastAsia="Calibri" w:hAnsiTheme="majorHAnsi" w:cstheme="majorHAnsi"/>
          <w:i/>
          <w:iCs/>
          <w:sz w:val="24"/>
          <w:szCs w:val="24"/>
          <w:lang w:val="ro-MD"/>
        </w:rPr>
        <w:t xml:space="preserve"> lei</w:t>
      </w:r>
      <w:r w:rsidR="001D062E" w:rsidRPr="00CD7FE5">
        <w:rPr>
          <w:rStyle w:val="FootnoteReference"/>
          <w:rFonts w:asciiTheme="majorHAnsi" w:eastAsia="Calibri" w:hAnsiTheme="majorHAnsi" w:cstheme="majorHAnsi"/>
          <w:i/>
          <w:iCs/>
          <w:sz w:val="24"/>
          <w:szCs w:val="24"/>
          <w:lang w:val="ro-MD"/>
        </w:rPr>
        <w:footnoteReference w:id="30"/>
      </w:r>
      <w:r>
        <w:rPr>
          <w:rFonts w:asciiTheme="majorHAnsi" w:eastAsia="Calibri" w:hAnsiTheme="majorHAnsi" w:cstheme="majorHAnsi"/>
          <w:i/>
          <w:iCs/>
          <w:sz w:val="24"/>
          <w:szCs w:val="24"/>
          <w:lang w:val="ro-MD"/>
        </w:rPr>
        <w:t>. O s</w:t>
      </w:r>
      <w:r w:rsidR="001D062E" w:rsidRPr="00CD7FE5">
        <w:rPr>
          <w:rFonts w:asciiTheme="majorHAnsi" w:eastAsia="Calibri" w:hAnsiTheme="majorHAnsi" w:cstheme="majorHAnsi"/>
          <w:i/>
          <w:iCs/>
          <w:sz w:val="24"/>
          <w:szCs w:val="24"/>
          <w:lang w:val="ro-MD"/>
        </w:rPr>
        <w:t>ituație similară a fost constatată și în anii precedenți, doar în anul 2019 acestea constitui</w:t>
      </w:r>
      <w:r>
        <w:rPr>
          <w:rFonts w:asciiTheme="majorHAnsi" w:eastAsia="Calibri" w:hAnsiTheme="majorHAnsi" w:cstheme="majorHAnsi"/>
          <w:i/>
          <w:iCs/>
          <w:sz w:val="24"/>
          <w:szCs w:val="24"/>
          <w:lang w:val="ro-MD"/>
        </w:rPr>
        <w:t>nd</w:t>
      </w:r>
      <w:r w:rsidR="001D062E" w:rsidRPr="00CD7FE5">
        <w:rPr>
          <w:rFonts w:asciiTheme="majorHAnsi" w:eastAsia="Calibri" w:hAnsiTheme="majorHAnsi" w:cstheme="majorHAnsi"/>
          <w:i/>
          <w:iCs/>
          <w:sz w:val="24"/>
          <w:szCs w:val="24"/>
          <w:lang w:val="ro-MD"/>
        </w:rPr>
        <w:t xml:space="preserve"> 391,7 mil.lei</w:t>
      </w:r>
      <w:r w:rsidR="001D062E" w:rsidRPr="00CD7FE5">
        <w:rPr>
          <w:rFonts w:asciiTheme="majorHAnsi" w:eastAsia="Calibri" w:hAnsiTheme="majorHAnsi" w:cstheme="majorHAnsi"/>
          <w:i/>
          <w:iCs/>
          <w:sz w:val="24"/>
          <w:szCs w:val="24"/>
          <w:vertAlign w:val="superscript"/>
          <w:lang w:val="ro-MD"/>
        </w:rPr>
        <w:footnoteReference w:id="31"/>
      </w:r>
      <w:r w:rsidR="001D062E" w:rsidRPr="00CD7FE5">
        <w:rPr>
          <w:rFonts w:asciiTheme="majorHAnsi" w:eastAsia="Calibri" w:hAnsiTheme="majorHAnsi" w:cstheme="majorHAnsi"/>
          <w:i/>
          <w:iCs/>
          <w:sz w:val="24"/>
          <w:szCs w:val="24"/>
          <w:lang w:val="ro-MD"/>
        </w:rPr>
        <w:t>.</w:t>
      </w:r>
    </w:p>
    <w:p w14:paraId="25302E42" w14:textId="2A719218" w:rsidR="001D062E" w:rsidRPr="00CD7FE5" w:rsidRDefault="008D4F50" w:rsidP="007F79E9">
      <w:pPr>
        <w:pStyle w:val="ListParagraph"/>
        <w:spacing w:line="276" w:lineRule="auto"/>
        <w:ind w:left="0"/>
        <w:rPr>
          <w:rFonts w:asciiTheme="majorHAnsi" w:eastAsia="Calibri" w:hAnsiTheme="majorHAnsi" w:cstheme="majorHAnsi"/>
          <w:sz w:val="24"/>
          <w:szCs w:val="24"/>
          <w:highlight w:val="yellow"/>
          <w:lang w:val="ro-MD"/>
        </w:rPr>
      </w:pPr>
      <w:r w:rsidRPr="00CD7FE5">
        <w:rPr>
          <w:rFonts w:asciiTheme="majorHAnsi" w:eastAsia="Calibri" w:hAnsiTheme="majorHAnsi" w:cstheme="majorHAnsi"/>
          <w:b/>
          <w:bCs/>
          <w:iCs/>
          <w:sz w:val="24"/>
          <w:szCs w:val="24"/>
          <w:lang w:val="ro-MD"/>
        </w:rPr>
        <w:t>6</w:t>
      </w:r>
      <w:r w:rsidR="006C7763" w:rsidRPr="00CD7FE5">
        <w:rPr>
          <w:rFonts w:asciiTheme="majorHAnsi" w:eastAsia="Calibri" w:hAnsiTheme="majorHAnsi" w:cstheme="majorHAnsi"/>
          <w:b/>
          <w:bCs/>
          <w:iCs/>
          <w:sz w:val="24"/>
          <w:szCs w:val="24"/>
          <w:lang w:val="ro-MD"/>
        </w:rPr>
        <w:t>.5</w:t>
      </w:r>
      <w:r w:rsidR="001D062E" w:rsidRPr="00CD7FE5">
        <w:rPr>
          <w:rFonts w:asciiTheme="majorHAnsi" w:eastAsia="Calibri" w:hAnsiTheme="majorHAnsi" w:cstheme="majorHAnsi"/>
          <w:b/>
          <w:bCs/>
          <w:iCs/>
          <w:sz w:val="24"/>
          <w:szCs w:val="24"/>
          <w:lang w:val="ro-MD"/>
        </w:rPr>
        <w:t xml:space="preserve">.4. </w:t>
      </w:r>
      <w:r w:rsidR="001D062E" w:rsidRPr="00CD7FE5">
        <w:rPr>
          <w:rFonts w:asciiTheme="majorHAnsi" w:eastAsia="Calibri" w:hAnsiTheme="majorHAnsi" w:cstheme="majorHAnsi"/>
          <w:bCs/>
          <w:iCs/>
          <w:sz w:val="24"/>
          <w:szCs w:val="24"/>
          <w:lang w:val="ro-MD"/>
        </w:rPr>
        <w:t xml:space="preserve">În anul 2020 MECC nu a întreprins măsuri </w:t>
      </w:r>
      <w:r w:rsidR="001D062E" w:rsidRPr="00CD7FE5">
        <w:rPr>
          <w:rFonts w:asciiTheme="majorHAnsi" w:eastAsia="Times New Roman" w:hAnsiTheme="majorHAnsi" w:cstheme="majorHAnsi"/>
          <w:bCs/>
          <w:sz w:val="24"/>
          <w:szCs w:val="24"/>
          <w:lang w:val="ro-MD"/>
        </w:rPr>
        <w:t>p</w:t>
      </w:r>
      <w:r w:rsidR="0040416C">
        <w:rPr>
          <w:rFonts w:asciiTheme="majorHAnsi" w:eastAsia="Times New Roman" w:hAnsiTheme="majorHAnsi" w:cstheme="majorHAnsi"/>
          <w:bCs/>
          <w:sz w:val="24"/>
          <w:szCs w:val="24"/>
          <w:lang w:val="ro-MD"/>
        </w:rPr>
        <w:t>rivind</w:t>
      </w:r>
      <w:r w:rsidR="001D062E" w:rsidRPr="00CD7FE5">
        <w:rPr>
          <w:rFonts w:asciiTheme="majorHAnsi" w:eastAsia="Times New Roman" w:hAnsiTheme="majorHAnsi" w:cstheme="majorHAnsi"/>
          <w:bCs/>
          <w:sz w:val="24"/>
          <w:szCs w:val="24"/>
          <w:lang w:val="ro-MD"/>
        </w:rPr>
        <w:t xml:space="preserve"> elaborarea</w:t>
      </w:r>
      <w:r w:rsidR="001D062E" w:rsidRPr="00CD7FE5">
        <w:rPr>
          <w:rFonts w:asciiTheme="majorHAnsi" w:eastAsia="Times New Roman" w:hAnsiTheme="majorHAnsi" w:cstheme="majorHAnsi"/>
          <w:sz w:val="24"/>
          <w:szCs w:val="24"/>
          <w:lang w:val="ro-MD" w:eastAsia="ru-RU"/>
        </w:rPr>
        <w:t xml:space="preserve"> Metodologiei de restituire la bugetul de stat a cheltuielilor pentru instruire, c</w:t>
      </w:r>
      <w:r w:rsidR="00B16D87">
        <w:rPr>
          <w:rFonts w:asciiTheme="majorHAnsi" w:eastAsia="Times New Roman" w:hAnsiTheme="majorHAnsi" w:cstheme="majorHAnsi"/>
          <w:sz w:val="24"/>
          <w:szCs w:val="24"/>
          <w:lang w:val="ro-MD" w:eastAsia="ru-RU"/>
        </w:rPr>
        <w:t>ar</w:t>
      </w:r>
      <w:r w:rsidR="001D062E" w:rsidRPr="00CD7FE5">
        <w:rPr>
          <w:rFonts w:asciiTheme="majorHAnsi" w:eastAsia="Times New Roman" w:hAnsiTheme="majorHAnsi" w:cstheme="majorHAnsi"/>
          <w:sz w:val="24"/>
          <w:szCs w:val="24"/>
          <w:lang w:val="ro-MD" w:eastAsia="ru-RU"/>
        </w:rPr>
        <w:t xml:space="preserve">e urma să fie aprobată în modul stabilit de </w:t>
      </w:r>
      <w:r w:rsidR="00B16D87">
        <w:rPr>
          <w:rFonts w:asciiTheme="majorHAnsi" w:eastAsia="Times New Roman" w:hAnsiTheme="majorHAnsi" w:cstheme="majorHAnsi"/>
          <w:sz w:val="24"/>
          <w:szCs w:val="24"/>
          <w:lang w:val="ro-MD" w:eastAsia="ru-RU"/>
        </w:rPr>
        <w:t xml:space="preserve">către </w:t>
      </w:r>
      <w:r w:rsidR="001D062E" w:rsidRPr="00CD7FE5">
        <w:rPr>
          <w:rFonts w:asciiTheme="majorHAnsi" w:eastAsia="Times New Roman" w:hAnsiTheme="majorHAnsi" w:cstheme="majorHAnsi"/>
          <w:sz w:val="24"/>
          <w:szCs w:val="24"/>
          <w:lang w:val="ro-MD" w:eastAsia="ru-RU"/>
        </w:rPr>
        <w:t>Guvern</w:t>
      </w:r>
      <w:r w:rsidR="001D062E" w:rsidRPr="00CD7FE5">
        <w:rPr>
          <w:rFonts w:asciiTheme="majorHAnsi" w:hAnsiTheme="majorHAnsi" w:cstheme="majorHAnsi"/>
          <w:sz w:val="24"/>
          <w:szCs w:val="24"/>
          <w:vertAlign w:val="superscript"/>
          <w:lang w:val="ro-MD" w:eastAsia="ru-RU"/>
        </w:rPr>
        <w:footnoteReference w:id="32"/>
      </w:r>
      <w:r w:rsidR="0040416C">
        <w:rPr>
          <w:rFonts w:asciiTheme="majorHAnsi" w:eastAsia="Times New Roman" w:hAnsiTheme="majorHAnsi" w:cstheme="majorHAnsi"/>
          <w:sz w:val="24"/>
          <w:szCs w:val="24"/>
          <w:lang w:val="ro-MD" w:eastAsia="ru-RU"/>
        </w:rPr>
        <w:t>,</w:t>
      </w:r>
      <w:r w:rsidR="001D062E" w:rsidRPr="00CD7FE5">
        <w:rPr>
          <w:rFonts w:asciiTheme="majorHAnsi" w:eastAsia="Times New Roman" w:hAnsiTheme="majorHAnsi" w:cstheme="majorHAnsi"/>
          <w:sz w:val="24"/>
          <w:szCs w:val="24"/>
          <w:lang w:val="ro-MD" w:eastAsia="ru-RU"/>
        </w:rPr>
        <w:t xml:space="preserve"> </w:t>
      </w:r>
      <w:r w:rsidR="0040416C">
        <w:rPr>
          <w:rFonts w:asciiTheme="majorHAnsi" w:eastAsia="Calibri" w:hAnsiTheme="majorHAnsi" w:cstheme="majorHAnsi"/>
          <w:bCs/>
          <w:iCs/>
          <w:sz w:val="24"/>
          <w:szCs w:val="24"/>
          <w:lang w:val="ro-MD"/>
        </w:rPr>
        <w:t>în scopul</w:t>
      </w:r>
      <w:r w:rsidR="001D062E" w:rsidRPr="00CD7FE5">
        <w:rPr>
          <w:rFonts w:asciiTheme="majorHAnsi" w:eastAsia="Calibri" w:hAnsiTheme="majorHAnsi" w:cstheme="majorHAnsi"/>
          <w:bCs/>
          <w:iCs/>
          <w:sz w:val="24"/>
          <w:szCs w:val="24"/>
          <w:lang w:val="ro-MD"/>
        </w:rPr>
        <w:t xml:space="preserve"> asigur</w:t>
      </w:r>
      <w:r w:rsidR="0040416C">
        <w:rPr>
          <w:rFonts w:asciiTheme="majorHAnsi" w:eastAsia="Calibri" w:hAnsiTheme="majorHAnsi" w:cstheme="majorHAnsi"/>
          <w:bCs/>
          <w:iCs/>
          <w:sz w:val="24"/>
          <w:szCs w:val="24"/>
          <w:lang w:val="ro-MD"/>
        </w:rPr>
        <w:t>ării</w:t>
      </w:r>
      <w:r w:rsidR="001D062E" w:rsidRPr="00CD7FE5">
        <w:rPr>
          <w:rFonts w:asciiTheme="majorHAnsi" w:eastAsia="Calibri" w:hAnsiTheme="majorHAnsi" w:cstheme="majorHAnsi"/>
          <w:sz w:val="24"/>
          <w:szCs w:val="24"/>
          <w:lang w:val="ro-MD"/>
        </w:rPr>
        <w:t xml:space="preserve"> restituir</w:t>
      </w:r>
      <w:r w:rsidR="0040416C">
        <w:rPr>
          <w:rFonts w:asciiTheme="majorHAnsi" w:eastAsia="Calibri" w:hAnsiTheme="majorHAnsi" w:cstheme="majorHAnsi"/>
          <w:sz w:val="24"/>
          <w:szCs w:val="24"/>
          <w:lang w:val="ro-MD"/>
        </w:rPr>
        <w:t>ii</w:t>
      </w:r>
      <w:r w:rsidR="001D062E" w:rsidRPr="00CD7FE5">
        <w:rPr>
          <w:rFonts w:asciiTheme="majorHAnsi" w:eastAsia="Calibri" w:hAnsiTheme="majorHAnsi" w:cstheme="majorHAnsi"/>
          <w:sz w:val="24"/>
          <w:szCs w:val="24"/>
          <w:lang w:val="ro-MD"/>
        </w:rPr>
        <w:t xml:space="preserve"> la bugetul de stat a cheltuielilor suportate pentru instruirea studenților care au refuzat plasarea obligatorie în câmpul muncii și a celor exmatriculați</w:t>
      </w:r>
      <w:r w:rsidR="0040416C">
        <w:rPr>
          <w:rFonts w:asciiTheme="majorHAnsi" w:eastAsia="Calibri" w:hAnsiTheme="majorHAnsi" w:cstheme="majorHAnsi"/>
          <w:sz w:val="24"/>
          <w:szCs w:val="24"/>
          <w:lang w:val="ro-MD"/>
        </w:rPr>
        <w:t>. A</w:t>
      </w:r>
      <w:r w:rsidR="005E38AB" w:rsidRPr="00CD7FE5">
        <w:rPr>
          <w:rFonts w:asciiTheme="majorHAnsi" w:eastAsia="Calibri" w:hAnsiTheme="majorHAnsi" w:cstheme="majorHAnsi"/>
          <w:sz w:val="24"/>
          <w:szCs w:val="24"/>
          <w:lang w:val="ro-MD"/>
        </w:rPr>
        <w:t>stfel</w:t>
      </w:r>
      <w:r w:rsidR="0040416C">
        <w:rPr>
          <w:rFonts w:asciiTheme="majorHAnsi" w:eastAsia="Calibri" w:hAnsiTheme="majorHAnsi" w:cstheme="majorHAnsi"/>
          <w:sz w:val="24"/>
          <w:szCs w:val="24"/>
          <w:lang w:val="ro-MD"/>
        </w:rPr>
        <w:t>,</w:t>
      </w:r>
      <w:r w:rsidR="005E38AB" w:rsidRPr="00CD7FE5">
        <w:rPr>
          <w:rFonts w:asciiTheme="majorHAnsi" w:eastAsia="Calibri" w:hAnsiTheme="majorHAnsi" w:cstheme="majorHAnsi"/>
          <w:sz w:val="24"/>
          <w:szCs w:val="24"/>
          <w:lang w:val="ro-MD"/>
        </w:rPr>
        <w:t xml:space="preserve"> auditul constată menținerea </w:t>
      </w:r>
      <w:r w:rsidR="0048796C" w:rsidRPr="00CD7FE5">
        <w:rPr>
          <w:rFonts w:asciiTheme="majorHAnsi" w:eastAsia="Calibri" w:hAnsiTheme="majorHAnsi" w:cstheme="majorHAnsi"/>
          <w:sz w:val="24"/>
          <w:szCs w:val="24"/>
          <w:lang w:val="ro-MD"/>
        </w:rPr>
        <w:t>deficiențelor reflectate în rapoartele de audit precedente</w:t>
      </w:r>
      <w:r w:rsidR="001D062E" w:rsidRPr="00CD7FE5">
        <w:rPr>
          <w:rFonts w:asciiTheme="majorHAnsi" w:eastAsia="Calibri" w:hAnsiTheme="majorHAnsi" w:cstheme="majorHAnsi"/>
          <w:sz w:val="24"/>
          <w:szCs w:val="24"/>
          <w:lang w:val="ro-MD"/>
        </w:rPr>
        <w:t>.</w:t>
      </w:r>
    </w:p>
    <w:p w14:paraId="446B7251" w14:textId="40734A9F" w:rsidR="001D062E" w:rsidRPr="00CD7FE5" w:rsidRDefault="008D4F50" w:rsidP="00573EBD">
      <w:pPr>
        <w:spacing w:after="0" w:line="276" w:lineRule="auto"/>
        <w:jc w:val="both"/>
        <w:rPr>
          <w:rFonts w:asciiTheme="majorHAnsi" w:eastAsia="Calibri" w:hAnsiTheme="majorHAnsi" w:cstheme="majorHAnsi"/>
          <w:sz w:val="24"/>
          <w:szCs w:val="24"/>
          <w:lang w:val="ro-MD"/>
        </w:rPr>
      </w:pPr>
      <w:r w:rsidRPr="00CD7FE5">
        <w:rPr>
          <w:rFonts w:asciiTheme="majorHAnsi" w:hAnsiTheme="majorHAnsi" w:cstheme="majorHAnsi"/>
          <w:b/>
          <w:bCs/>
          <w:iCs/>
          <w:sz w:val="24"/>
          <w:szCs w:val="24"/>
          <w:shd w:val="clear" w:color="auto" w:fill="FFFFFF" w:themeFill="background1"/>
          <w:lang w:val="ro-MD"/>
        </w:rPr>
        <w:t>6</w:t>
      </w:r>
      <w:r w:rsidR="006C7763" w:rsidRPr="00CD7FE5">
        <w:rPr>
          <w:rFonts w:asciiTheme="majorHAnsi" w:hAnsiTheme="majorHAnsi" w:cstheme="majorHAnsi"/>
          <w:b/>
          <w:bCs/>
          <w:iCs/>
          <w:sz w:val="24"/>
          <w:szCs w:val="24"/>
          <w:shd w:val="clear" w:color="auto" w:fill="FFFFFF" w:themeFill="background1"/>
          <w:lang w:val="ro-MD"/>
        </w:rPr>
        <w:t>.5</w:t>
      </w:r>
      <w:r w:rsidR="001D062E" w:rsidRPr="00CD7FE5">
        <w:rPr>
          <w:rFonts w:asciiTheme="majorHAnsi" w:hAnsiTheme="majorHAnsi" w:cstheme="majorHAnsi"/>
          <w:b/>
          <w:bCs/>
          <w:iCs/>
          <w:sz w:val="24"/>
          <w:szCs w:val="24"/>
          <w:shd w:val="clear" w:color="auto" w:fill="FFFFFF" w:themeFill="background1"/>
          <w:lang w:val="ro-MD"/>
        </w:rPr>
        <w:t xml:space="preserve">.5. </w:t>
      </w:r>
      <w:r w:rsidR="001D062E" w:rsidRPr="00CD7FE5">
        <w:rPr>
          <w:rFonts w:asciiTheme="majorHAnsi" w:hAnsiTheme="majorHAnsi" w:cstheme="majorHAnsi"/>
          <w:bCs/>
          <w:iCs/>
          <w:sz w:val="24"/>
          <w:szCs w:val="24"/>
          <w:shd w:val="clear" w:color="auto" w:fill="FFFFFF" w:themeFill="background1"/>
          <w:lang w:val="ro-MD"/>
        </w:rPr>
        <w:t>MECC nu a revizuit</w:t>
      </w:r>
      <w:r w:rsidR="001D062E" w:rsidRPr="00CD7FE5">
        <w:rPr>
          <w:rFonts w:asciiTheme="majorHAnsi" w:hAnsiTheme="majorHAnsi" w:cstheme="majorHAnsi"/>
          <w:b/>
          <w:bCs/>
          <w:iCs/>
          <w:sz w:val="24"/>
          <w:szCs w:val="24"/>
          <w:shd w:val="clear" w:color="auto" w:fill="FFFFFF" w:themeFill="background1"/>
          <w:lang w:val="ro-MD"/>
        </w:rPr>
        <w:t xml:space="preserve"> </w:t>
      </w:r>
      <w:r w:rsidR="001D062E" w:rsidRPr="00CD7FE5">
        <w:rPr>
          <w:rFonts w:asciiTheme="majorHAnsi" w:eastAsia="Calibri" w:hAnsiTheme="majorHAnsi" w:cstheme="majorHAnsi"/>
          <w:sz w:val="24"/>
          <w:szCs w:val="24"/>
          <w:lang w:val="ro-MD"/>
        </w:rPr>
        <w:t>Hotărârile Guvern</w:t>
      </w:r>
      <w:r w:rsidR="0040416C">
        <w:rPr>
          <w:rFonts w:asciiTheme="majorHAnsi" w:eastAsia="Calibri" w:hAnsiTheme="majorHAnsi" w:cstheme="majorHAnsi"/>
          <w:sz w:val="24"/>
          <w:szCs w:val="24"/>
          <w:lang w:val="ro-MD"/>
        </w:rPr>
        <w:t>ului</w:t>
      </w:r>
      <w:r w:rsidR="001D062E" w:rsidRPr="00CD7FE5">
        <w:rPr>
          <w:rStyle w:val="FootnoteReference"/>
          <w:rFonts w:asciiTheme="majorHAnsi" w:eastAsia="Calibri" w:hAnsiTheme="majorHAnsi" w:cstheme="majorHAnsi"/>
          <w:sz w:val="24"/>
          <w:szCs w:val="24"/>
          <w:lang w:val="ro-MD"/>
        </w:rPr>
        <w:footnoteReference w:id="33"/>
      </w:r>
      <w:r w:rsidR="001D062E" w:rsidRPr="00CD7FE5">
        <w:rPr>
          <w:rFonts w:asciiTheme="majorHAnsi" w:eastAsia="Calibri" w:hAnsiTheme="majorHAnsi" w:cstheme="majorHAnsi"/>
          <w:sz w:val="24"/>
          <w:szCs w:val="24"/>
          <w:lang w:val="ro-MD"/>
        </w:rPr>
        <w:t xml:space="preserve"> privind </w:t>
      </w:r>
      <w:r w:rsidR="0040416C">
        <w:rPr>
          <w:rFonts w:asciiTheme="majorHAnsi" w:hAnsiTheme="majorHAnsi" w:cstheme="majorHAnsi"/>
          <w:sz w:val="24"/>
          <w:szCs w:val="24"/>
          <w:shd w:val="clear" w:color="auto" w:fill="FFFFFF" w:themeFill="background1"/>
          <w:lang w:val="ro-MD"/>
        </w:rPr>
        <w:t>t</w:t>
      </w:r>
      <w:r w:rsidR="001D062E" w:rsidRPr="00CD7FE5">
        <w:rPr>
          <w:rFonts w:asciiTheme="majorHAnsi" w:hAnsiTheme="majorHAnsi" w:cstheme="majorHAnsi"/>
          <w:sz w:val="24"/>
          <w:szCs w:val="24"/>
          <w:shd w:val="clear" w:color="auto" w:fill="FFFFFF" w:themeFill="background1"/>
          <w:lang w:val="ro-MD"/>
        </w:rPr>
        <w:t xml:space="preserve">axele de studii </w:t>
      </w:r>
      <w:r w:rsidR="001D062E" w:rsidRPr="00CD7FE5">
        <w:rPr>
          <w:rFonts w:asciiTheme="majorHAnsi" w:eastAsia="Calibri" w:hAnsiTheme="majorHAnsi" w:cstheme="majorHAnsi"/>
          <w:sz w:val="24"/>
          <w:szCs w:val="24"/>
          <w:lang w:val="ro-MD"/>
        </w:rPr>
        <w:t xml:space="preserve">în </w:t>
      </w:r>
      <w:r w:rsidR="00373FC9">
        <w:rPr>
          <w:rFonts w:asciiTheme="majorHAnsi" w:eastAsia="Calibri" w:hAnsiTheme="majorHAnsi" w:cstheme="majorHAnsi"/>
          <w:sz w:val="24"/>
          <w:szCs w:val="24"/>
          <w:lang w:val="ro-MD"/>
        </w:rPr>
        <w:t xml:space="preserve">instituțiile de </w:t>
      </w:r>
      <w:r w:rsidR="001D062E" w:rsidRPr="00CD7FE5">
        <w:rPr>
          <w:rFonts w:asciiTheme="majorHAnsi" w:eastAsia="Calibri" w:hAnsiTheme="majorHAnsi" w:cstheme="majorHAnsi"/>
          <w:sz w:val="24"/>
          <w:szCs w:val="24"/>
          <w:lang w:val="ro-MD"/>
        </w:rPr>
        <w:t>învățământ profesional tehnic postsecundar și nonterțiar, care</w:t>
      </w:r>
      <w:r w:rsidR="0040416C">
        <w:rPr>
          <w:rFonts w:asciiTheme="majorHAnsi" w:eastAsia="Calibri" w:hAnsiTheme="majorHAnsi" w:cstheme="majorHAnsi"/>
          <w:sz w:val="24"/>
          <w:szCs w:val="24"/>
          <w:lang w:val="ro-MD"/>
        </w:rPr>
        <w:t>,</w:t>
      </w:r>
      <w:r w:rsidR="001D062E" w:rsidRPr="00CD7FE5">
        <w:rPr>
          <w:rFonts w:asciiTheme="majorHAnsi" w:eastAsia="Calibri" w:hAnsiTheme="majorHAnsi" w:cstheme="majorHAnsi"/>
          <w:sz w:val="24"/>
          <w:szCs w:val="24"/>
          <w:lang w:val="ro-MD"/>
        </w:rPr>
        <w:t xml:space="preserve"> </w:t>
      </w:r>
      <w:r w:rsidR="001D062E" w:rsidRPr="00CD7FE5">
        <w:rPr>
          <w:rFonts w:asciiTheme="majorHAnsi" w:hAnsiTheme="majorHAnsi" w:cstheme="majorHAnsi"/>
          <w:sz w:val="24"/>
          <w:szCs w:val="24"/>
          <w:lang w:val="ro-MD"/>
        </w:rPr>
        <w:t>începând cu anul 2019</w:t>
      </w:r>
      <w:r w:rsidR="001D062E" w:rsidRPr="00373FC9">
        <w:rPr>
          <w:rFonts w:asciiTheme="majorHAnsi" w:hAnsiTheme="majorHAnsi" w:cstheme="majorHAnsi"/>
          <w:sz w:val="24"/>
          <w:szCs w:val="24"/>
          <w:lang w:val="ro-MD"/>
        </w:rPr>
        <w:t xml:space="preserve">, </w:t>
      </w:r>
      <w:r w:rsidR="0040416C" w:rsidRPr="00373FC9">
        <w:rPr>
          <w:rFonts w:asciiTheme="majorHAnsi" w:eastAsia="Calibri" w:hAnsiTheme="majorHAnsi" w:cstheme="majorHAnsi"/>
          <w:sz w:val="24"/>
          <w:szCs w:val="24"/>
          <w:lang w:val="ro-MD"/>
        </w:rPr>
        <w:t xml:space="preserve">au trecut </w:t>
      </w:r>
      <w:r w:rsidR="001D062E" w:rsidRPr="00373FC9">
        <w:rPr>
          <w:rFonts w:asciiTheme="majorHAnsi" w:hAnsiTheme="majorHAnsi" w:cstheme="majorHAnsi"/>
          <w:sz w:val="24"/>
          <w:szCs w:val="24"/>
          <w:lang w:val="ro-MD"/>
        </w:rPr>
        <w:lastRenderedPageBreak/>
        <w:t>la activitate în regim de autogestiune financiar-economică</w:t>
      </w:r>
      <w:r w:rsidR="001D062E" w:rsidRPr="00373FC9">
        <w:rPr>
          <w:rStyle w:val="FootnoteReference"/>
          <w:rFonts w:asciiTheme="majorHAnsi" w:hAnsiTheme="majorHAnsi" w:cstheme="majorHAnsi"/>
          <w:sz w:val="24"/>
          <w:szCs w:val="24"/>
          <w:lang w:val="ro-MD"/>
        </w:rPr>
        <w:footnoteReference w:id="34"/>
      </w:r>
      <w:r w:rsidR="001D062E" w:rsidRPr="00373FC9">
        <w:rPr>
          <w:rFonts w:asciiTheme="majorHAnsi" w:hAnsiTheme="majorHAnsi" w:cstheme="majorHAnsi"/>
          <w:sz w:val="24"/>
          <w:szCs w:val="24"/>
          <w:lang w:val="ro-MD"/>
        </w:rPr>
        <w:t xml:space="preserve">. </w:t>
      </w:r>
      <w:r w:rsidR="001D062E" w:rsidRPr="00373FC9">
        <w:rPr>
          <w:rFonts w:asciiTheme="majorHAnsi" w:eastAsia="Calibri" w:hAnsiTheme="majorHAnsi" w:cstheme="majorHAnsi"/>
          <w:sz w:val="24"/>
          <w:szCs w:val="24"/>
          <w:lang w:val="ro-MD"/>
        </w:rPr>
        <w:t>Aceste taxe nu corespund costului</w:t>
      </w:r>
      <w:r w:rsidR="001D062E" w:rsidRPr="00CD7FE5">
        <w:rPr>
          <w:rFonts w:asciiTheme="majorHAnsi" w:eastAsia="Calibri" w:hAnsiTheme="majorHAnsi" w:cstheme="majorHAnsi"/>
          <w:sz w:val="24"/>
          <w:szCs w:val="24"/>
          <w:lang w:val="ro-MD"/>
        </w:rPr>
        <w:t xml:space="preserve"> real </w:t>
      </w:r>
      <w:r w:rsidR="0040416C" w:rsidRPr="00CD7FE5">
        <w:rPr>
          <w:rFonts w:asciiTheme="majorHAnsi" w:eastAsia="Calibri" w:hAnsiTheme="majorHAnsi" w:cstheme="majorHAnsi"/>
          <w:sz w:val="24"/>
          <w:szCs w:val="24"/>
          <w:lang w:val="ro-MD"/>
        </w:rPr>
        <w:t xml:space="preserve">de instruire </w:t>
      </w:r>
      <w:r w:rsidR="001D062E" w:rsidRPr="00CD7FE5">
        <w:rPr>
          <w:rFonts w:asciiTheme="majorHAnsi" w:eastAsia="Calibri" w:hAnsiTheme="majorHAnsi" w:cstheme="majorHAnsi"/>
          <w:sz w:val="24"/>
          <w:szCs w:val="24"/>
          <w:lang w:val="ro-MD"/>
        </w:rPr>
        <w:t>suportat</w:t>
      </w:r>
      <w:r w:rsidR="0040416C">
        <w:rPr>
          <w:rFonts w:asciiTheme="majorHAnsi" w:eastAsia="Calibri" w:hAnsiTheme="majorHAnsi" w:cstheme="majorHAnsi"/>
          <w:sz w:val="24"/>
          <w:szCs w:val="24"/>
          <w:lang w:val="ro-MD"/>
        </w:rPr>
        <w:t>,</w:t>
      </w:r>
      <w:r w:rsidR="001D062E" w:rsidRPr="00CD7FE5">
        <w:rPr>
          <w:rFonts w:asciiTheme="majorHAnsi" w:eastAsia="Calibri" w:hAnsiTheme="majorHAnsi" w:cstheme="majorHAnsi"/>
          <w:sz w:val="24"/>
          <w:szCs w:val="24"/>
          <w:lang w:val="ro-MD"/>
        </w:rPr>
        <w:t xml:space="preserve"> constituind de la 3,6 mii lei până la 8,5 mii lei per instituție, meserie/profesie, o cauză fiind și lipsa </w:t>
      </w:r>
      <w:r w:rsidR="001D062E" w:rsidRPr="00CD7FE5">
        <w:rPr>
          <w:rFonts w:asciiTheme="majorHAnsi" w:hAnsiTheme="majorHAnsi" w:cstheme="majorHAnsi"/>
          <w:bCs/>
          <w:iCs/>
          <w:sz w:val="24"/>
          <w:szCs w:val="24"/>
          <w:lang w:val="ro-MD"/>
        </w:rPr>
        <w:t>metodologi</w:t>
      </w:r>
      <w:r w:rsidR="00626B63">
        <w:rPr>
          <w:rFonts w:asciiTheme="majorHAnsi" w:hAnsiTheme="majorHAnsi" w:cstheme="majorHAnsi"/>
          <w:bCs/>
          <w:iCs/>
          <w:sz w:val="24"/>
          <w:szCs w:val="24"/>
          <w:lang w:val="ro-MD"/>
        </w:rPr>
        <w:t>e</w:t>
      </w:r>
      <w:r w:rsidR="001D062E" w:rsidRPr="00CD7FE5">
        <w:rPr>
          <w:rFonts w:asciiTheme="majorHAnsi" w:hAnsiTheme="majorHAnsi" w:cstheme="majorHAnsi"/>
          <w:bCs/>
          <w:iCs/>
          <w:sz w:val="24"/>
          <w:szCs w:val="24"/>
          <w:lang w:val="ro-MD"/>
        </w:rPr>
        <w:t>i de determinare a costului de studiere a unei meserii</w:t>
      </w:r>
      <w:r w:rsidR="0040416C">
        <w:rPr>
          <w:rFonts w:asciiTheme="majorHAnsi" w:hAnsiTheme="majorHAnsi" w:cstheme="majorHAnsi"/>
          <w:bCs/>
          <w:iCs/>
          <w:sz w:val="24"/>
          <w:szCs w:val="24"/>
          <w:lang w:val="ro-MD"/>
        </w:rPr>
        <w:t>,</w:t>
      </w:r>
      <w:r w:rsidR="001D062E" w:rsidRPr="00CD7FE5">
        <w:rPr>
          <w:rFonts w:asciiTheme="majorHAnsi" w:hAnsiTheme="majorHAnsi" w:cstheme="majorHAnsi"/>
          <w:bCs/>
          <w:iCs/>
          <w:sz w:val="24"/>
          <w:szCs w:val="24"/>
          <w:lang w:val="ro-MD"/>
        </w:rPr>
        <w:t xml:space="preserve"> aprobată regulamentar</w:t>
      </w:r>
      <w:r w:rsidR="001D062E" w:rsidRPr="00CD7FE5">
        <w:rPr>
          <w:rStyle w:val="FootnoteReference"/>
          <w:rFonts w:asciiTheme="majorHAnsi" w:eastAsia="Calibri" w:hAnsiTheme="majorHAnsi" w:cstheme="majorHAnsi"/>
          <w:sz w:val="24"/>
          <w:szCs w:val="24"/>
          <w:lang w:val="ro-MD"/>
        </w:rPr>
        <w:footnoteReference w:id="35"/>
      </w:r>
      <w:r w:rsidR="001D062E" w:rsidRPr="00CD7FE5">
        <w:rPr>
          <w:rFonts w:asciiTheme="majorHAnsi" w:hAnsiTheme="majorHAnsi" w:cstheme="majorHAnsi"/>
          <w:bCs/>
          <w:iCs/>
          <w:sz w:val="24"/>
          <w:szCs w:val="24"/>
          <w:lang w:val="ro-MD"/>
        </w:rPr>
        <w:t>.</w:t>
      </w:r>
    </w:p>
    <w:p w14:paraId="56CD9D82" w14:textId="56EED592" w:rsidR="00B06123" w:rsidRPr="00CD7FE5" w:rsidRDefault="008D4F50" w:rsidP="00624E66">
      <w:pPr>
        <w:spacing w:after="0" w:line="276" w:lineRule="auto"/>
        <w:jc w:val="both"/>
        <w:rPr>
          <w:rFonts w:asciiTheme="majorHAnsi" w:hAnsiTheme="majorHAnsi" w:cstheme="majorHAnsi"/>
          <w:sz w:val="24"/>
          <w:szCs w:val="24"/>
          <w:highlight w:val="yellow"/>
          <w:lang w:val="ro-MD"/>
        </w:rPr>
      </w:pPr>
      <w:r w:rsidRPr="00CD7FE5">
        <w:rPr>
          <w:rFonts w:asciiTheme="majorHAnsi" w:hAnsiTheme="majorHAnsi" w:cstheme="majorHAnsi"/>
          <w:b/>
          <w:bCs/>
          <w:sz w:val="24"/>
          <w:szCs w:val="24"/>
          <w:lang w:val="ro-MD"/>
        </w:rPr>
        <w:t>6</w:t>
      </w:r>
      <w:r w:rsidR="006C7763" w:rsidRPr="00CD7FE5">
        <w:rPr>
          <w:rFonts w:asciiTheme="majorHAnsi" w:hAnsiTheme="majorHAnsi" w:cstheme="majorHAnsi"/>
          <w:b/>
          <w:bCs/>
          <w:sz w:val="24"/>
          <w:szCs w:val="24"/>
          <w:lang w:val="ro-MD"/>
        </w:rPr>
        <w:t>.5</w:t>
      </w:r>
      <w:r w:rsidR="001D062E" w:rsidRPr="00CD7FE5">
        <w:rPr>
          <w:rFonts w:asciiTheme="majorHAnsi" w:hAnsiTheme="majorHAnsi" w:cstheme="majorHAnsi"/>
          <w:b/>
          <w:bCs/>
          <w:sz w:val="24"/>
          <w:szCs w:val="24"/>
          <w:lang w:val="ro-MD"/>
        </w:rPr>
        <w:t>.6.</w:t>
      </w:r>
      <w:r w:rsidR="001D062E" w:rsidRPr="00CD7FE5">
        <w:rPr>
          <w:rFonts w:asciiTheme="majorHAnsi" w:hAnsiTheme="majorHAnsi" w:cstheme="majorHAnsi"/>
          <w:sz w:val="24"/>
          <w:szCs w:val="24"/>
          <w:lang w:val="ro-MD"/>
        </w:rPr>
        <w:t xml:space="preserve"> </w:t>
      </w:r>
      <w:r w:rsidR="00626B63">
        <w:rPr>
          <w:rFonts w:asciiTheme="majorHAnsi" w:hAnsiTheme="majorHAnsi" w:cstheme="majorHAnsi"/>
          <w:sz w:val="24"/>
          <w:szCs w:val="24"/>
          <w:lang w:val="ro-MD"/>
        </w:rPr>
        <w:t xml:space="preserve"> </w:t>
      </w:r>
      <w:r w:rsidR="001D062E" w:rsidRPr="00CD7FE5">
        <w:rPr>
          <w:rFonts w:asciiTheme="majorHAnsi" w:hAnsiTheme="majorHAnsi" w:cstheme="majorHAnsi"/>
          <w:sz w:val="24"/>
          <w:szCs w:val="24"/>
          <w:lang w:val="ro-MD"/>
        </w:rPr>
        <w:t>MECC nu a stabilit în mod regulamentar modul de finanțare a instituțiilor de învățământ secundar general (licee/gimnazii), care sunt direct subordonate și finanțate de către</w:t>
      </w:r>
      <w:r w:rsidR="00626B63">
        <w:rPr>
          <w:rFonts w:asciiTheme="majorHAnsi" w:hAnsiTheme="majorHAnsi" w:cstheme="majorHAnsi"/>
          <w:sz w:val="24"/>
          <w:szCs w:val="24"/>
          <w:lang w:val="ro-MD"/>
        </w:rPr>
        <w:t xml:space="preserve"> minister și </w:t>
      </w:r>
      <w:r w:rsidR="001D062E" w:rsidRPr="00CD7FE5">
        <w:rPr>
          <w:rFonts w:asciiTheme="majorHAnsi" w:hAnsiTheme="majorHAnsi" w:cstheme="majorHAnsi"/>
          <w:sz w:val="24"/>
          <w:szCs w:val="24"/>
          <w:lang w:val="ro-MD"/>
        </w:rPr>
        <w:t xml:space="preserve"> care</w:t>
      </w:r>
      <w:r w:rsidR="00626B63">
        <w:rPr>
          <w:rFonts w:asciiTheme="majorHAnsi" w:hAnsiTheme="majorHAnsi" w:cstheme="majorHAnsi"/>
          <w:sz w:val="24"/>
          <w:szCs w:val="24"/>
          <w:lang w:val="ro-MD"/>
        </w:rPr>
        <w:t>,</w:t>
      </w:r>
      <w:r w:rsidR="001D062E" w:rsidRPr="00CD7FE5">
        <w:rPr>
          <w:rFonts w:asciiTheme="majorHAnsi" w:hAnsiTheme="majorHAnsi" w:cstheme="majorHAnsi"/>
          <w:sz w:val="24"/>
          <w:szCs w:val="24"/>
          <w:lang w:val="ro-MD"/>
        </w:rPr>
        <w:t xml:space="preserve"> </w:t>
      </w:r>
      <w:r w:rsidR="00626B63">
        <w:rPr>
          <w:rFonts w:asciiTheme="majorHAnsi" w:hAnsiTheme="majorHAnsi" w:cstheme="majorHAnsi"/>
          <w:sz w:val="24"/>
          <w:szCs w:val="24"/>
          <w:lang w:val="ro-MD"/>
        </w:rPr>
        <w:t>potrivit</w:t>
      </w:r>
      <w:r w:rsidR="001D062E" w:rsidRPr="00CD7FE5">
        <w:rPr>
          <w:rFonts w:asciiTheme="majorHAnsi" w:hAnsiTheme="majorHAnsi" w:cstheme="majorHAnsi"/>
          <w:sz w:val="24"/>
          <w:szCs w:val="24"/>
          <w:lang w:val="ro-MD"/>
        </w:rPr>
        <w:t xml:space="preserve"> prevederilor art.145 alin.(1) din Codul educației</w:t>
      </w:r>
      <w:r w:rsidR="00626B63">
        <w:rPr>
          <w:rFonts w:asciiTheme="majorHAnsi" w:hAnsiTheme="majorHAnsi" w:cstheme="majorHAnsi"/>
          <w:sz w:val="24"/>
          <w:szCs w:val="24"/>
          <w:lang w:val="ro-MD"/>
        </w:rPr>
        <w:t>,</w:t>
      </w:r>
      <w:r w:rsidR="001D062E" w:rsidRPr="00CD7FE5">
        <w:rPr>
          <w:rFonts w:asciiTheme="majorHAnsi" w:hAnsiTheme="majorHAnsi" w:cstheme="majorHAnsi"/>
          <w:sz w:val="24"/>
          <w:szCs w:val="24"/>
          <w:lang w:val="ro-MD"/>
        </w:rPr>
        <w:t xml:space="preserve"> urmau a fi finanțate prin cost</w:t>
      </w:r>
      <w:r w:rsidR="00B16D87">
        <w:rPr>
          <w:rFonts w:asciiTheme="majorHAnsi" w:hAnsiTheme="majorHAnsi" w:cstheme="majorHAnsi"/>
          <w:sz w:val="24"/>
          <w:szCs w:val="24"/>
          <w:lang w:val="ro-MD"/>
        </w:rPr>
        <w:t>-</w:t>
      </w:r>
      <w:r w:rsidR="001D062E" w:rsidRPr="00CD7FE5">
        <w:rPr>
          <w:rFonts w:asciiTheme="majorHAnsi" w:hAnsiTheme="majorHAnsi" w:cstheme="majorHAnsi"/>
          <w:sz w:val="24"/>
          <w:szCs w:val="24"/>
          <w:lang w:val="ro-MD"/>
        </w:rPr>
        <w:t>standard per elev și coeficient de ajustare</w:t>
      </w:r>
      <w:r w:rsidR="00626B63">
        <w:rPr>
          <w:rFonts w:asciiTheme="majorHAnsi" w:hAnsiTheme="majorHAnsi" w:cstheme="majorHAnsi"/>
          <w:sz w:val="24"/>
          <w:szCs w:val="24"/>
          <w:lang w:val="ro-MD"/>
        </w:rPr>
        <w:t>,</w:t>
      </w:r>
      <w:r w:rsidR="001D062E" w:rsidRPr="00CD7FE5">
        <w:rPr>
          <w:rFonts w:asciiTheme="majorHAnsi" w:hAnsiTheme="majorHAnsi" w:cstheme="majorHAnsi"/>
          <w:sz w:val="24"/>
          <w:szCs w:val="24"/>
          <w:lang w:val="ro-MD"/>
        </w:rPr>
        <w:t xml:space="preserve"> și nici nu a aplicat prin analogie </w:t>
      </w:r>
      <w:r w:rsidR="001D062E" w:rsidRPr="00CD7FE5">
        <w:rPr>
          <w:rFonts w:asciiTheme="majorHAnsi" w:eastAsia="Times New Roman" w:hAnsiTheme="majorHAnsi" w:cstheme="majorHAnsi"/>
          <w:sz w:val="24"/>
          <w:szCs w:val="24"/>
          <w:lang w:val="ro-MD"/>
        </w:rPr>
        <w:t>prevederile H</w:t>
      </w:r>
      <w:r w:rsidR="00742843">
        <w:rPr>
          <w:rFonts w:asciiTheme="majorHAnsi" w:eastAsia="Times New Roman" w:hAnsiTheme="majorHAnsi" w:cstheme="majorHAnsi"/>
          <w:sz w:val="24"/>
          <w:szCs w:val="24"/>
          <w:lang w:val="ro-MD"/>
        </w:rPr>
        <w:t xml:space="preserve">otărârii </w:t>
      </w:r>
      <w:r w:rsidR="001D062E" w:rsidRPr="00CD7FE5">
        <w:rPr>
          <w:rFonts w:asciiTheme="majorHAnsi" w:eastAsia="Times New Roman" w:hAnsiTheme="majorHAnsi" w:cstheme="majorHAnsi"/>
          <w:sz w:val="24"/>
          <w:szCs w:val="24"/>
          <w:lang w:val="ro-MD"/>
        </w:rPr>
        <w:t>G</w:t>
      </w:r>
      <w:r w:rsidR="00742843">
        <w:rPr>
          <w:rFonts w:asciiTheme="majorHAnsi" w:eastAsia="Times New Roman" w:hAnsiTheme="majorHAnsi" w:cstheme="majorHAnsi"/>
          <w:sz w:val="24"/>
          <w:szCs w:val="24"/>
          <w:lang w:val="ro-MD"/>
        </w:rPr>
        <w:t>uvernului</w:t>
      </w:r>
      <w:r w:rsidR="001D062E" w:rsidRPr="00CD7FE5">
        <w:rPr>
          <w:rFonts w:asciiTheme="majorHAnsi" w:eastAsia="Times New Roman" w:hAnsiTheme="majorHAnsi" w:cstheme="majorHAnsi"/>
          <w:sz w:val="24"/>
          <w:szCs w:val="24"/>
          <w:lang w:val="ro-MD"/>
        </w:rPr>
        <w:t xml:space="preserve"> nr.868 din 08.10.2014</w:t>
      </w:r>
      <w:r w:rsidR="001D062E" w:rsidRPr="00CD7FE5">
        <w:rPr>
          <w:rFonts w:asciiTheme="majorHAnsi" w:eastAsia="Times New Roman" w:hAnsiTheme="majorHAnsi" w:cstheme="majorHAnsi"/>
          <w:sz w:val="24"/>
          <w:szCs w:val="24"/>
          <w:vertAlign w:val="superscript"/>
          <w:lang w:val="ro-MD"/>
        </w:rPr>
        <w:footnoteReference w:id="36"/>
      </w:r>
      <w:r w:rsidR="001D062E" w:rsidRPr="00CD7FE5">
        <w:rPr>
          <w:rFonts w:asciiTheme="majorHAnsi" w:eastAsia="Times New Roman" w:hAnsiTheme="majorHAnsi" w:cstheme="majorHAnsi"/>
          <w:sz w:val="24"/>
          <w:szCs w:val="24"/>
          <w:lang w:val="ro-MD"/>
        </w:rPr>
        <w:t xml:space="preserve"> și ale Notelor metodologice de elaborare și aprobare a bugetului, emise de Ministerul Finanțelor</w:t>
      </w:r>
      <w:r w:rsidR="001D062E" w:rsidRPr="00CD7FE5">
        <w:rPr>
          <w:rFonts w:asciiTheme="majorHAnsi" w:eastAsia="Times New Roman" w:hAnsiTheme="majorHAnsi" w:cstheme="majorHAnsi"/>
          <w:iCs/>
          <w:sz w:val="24"/>
          <w:szCs w:val="24"/>
          <w:vertAlign w:val="superscript"/>
          <w:lang w:val="ro-MD"/>
        </w:rPr>
        <w:footnoteReference w:id="37"/>
      </w:r>
      <w:r w:rsidR="001D062E" w:rsidRPr="00CD7FE5">
        <w:rPr>
          <w:rFonts w:asciiTheme="majorHAnsi" w:hAnsiTheme="majorHAnsi" w:cstheme="majorHAnsi"/>
          <w:sz w:val="24"/>
          <w:szCs w:val="24"/>
          <w:lang w:val="ro-MD"/>
        </w:rPr>
        <w:t xml:space="preserve">. </w:t>
      </w:r>
      <w:r w:rsidR="00B06123" w:rsidRPr="00CD7FE5">
        <w:rPr>
          <w:rFonts w:asciiTheme="majorHAnsi" w:hAnsiTheme="majorHAnsi" w:cstheme="majorHAnsi"/>
          <w:b/>
          <w:sz w:val="24"/>
          <w:highlight w:val="yellow"/>
          <w:lang w:val="ro-MD"/>
        </w:rPr>
        <w:t xml:space="preserve"> </w:t>
      </w:r>
    </w:p>
    <w:p w14:paraId="106B5E48" w14:textId="45AAED7F" w:rsidR="00B80CD9" w:rsidRPr="00CD7FE5" w:rsidRDefault="008D4F50" w:rsidP="003B1B86">
      <w:pPr>
        <w:spacing w:after="0" w:line="276" w:lineRule="auto"/>
        <w:jc w:val="both"/>
        <w:rPr>
          <w:rFonts w:asciiTheme="majorHAnsi" w:eastAsia="Times New Roman" w:hAnsiTheme="majorHAnsi" w:cstheme="majorHAnsi"/>
          <w:sz w:val="24"/>
          <w:szCs w:val="24"/>
          <w:lang w:val="ro-MD"/>
        </w:rPr>
      </w:pPr>
      <w:r w:rsidRPr="00CD7FE5">
        <w:rPr>
          <w:rFonts w:asciiTheme="majorHAnsi" w:hAnsiTheme="majorHAnsi" w:cstheme="majorHAnsi"/>
          <w:b/>
          <w:bCs/>
          <w:sz w:val="24"/>
          <w:szCs w:val="24"/>
          <w:lang w:val="ro-MD"/>
        </w:rPr>
        <w:t>6</w:t>
      </w:r>
      <w:r w:rsidR="009432C1" w:rsidRPr="00CD7FE5">
        <w:rPr>
          <w:rFonts w:asciiTheme="majorHAnsi" w:hAnsiTheme="majorHAnsi" w:cstheme="majorHAnsi"/>
          <w:b/>
          <w:bCs/>
          <w:sz w:val="24"/>
          <w:szCs w:val="24"/>
          <w:lang w:val="ro-MD"/>
        </w:rPr>
        <w:t>.</w:t>
      </w:r>
      <w:r w:rsidR="00B06123" w:rsidRPr="00CD7FE5">
        <w:rPr>
          <w:rFonts w:asciiTheme="majorHAnsi" w:hAnsiTheme="majorHAnsi" w:cstheme="majorHAnsi"/>
          <w:b/>
          <w:bCs/>
          <w:sz w:val="24"/>
          <w:szCs w:val="24"/>
          <w:lang w:val="ro-MD"/>
        </w:rPr>
        <w:t>6</w:t>
      </w:r>
      <w:r w:rsidR="009432C1" w:rsidRPr="00CD7FE5">
        <w:rPr>
          <w:rFonts w:asciiTheme="majorHAnsi" w:hAnsiTheme="majorHAnsi" w:cstheme="majorHAnsi"/>
          <w:sz w:val="24"/>
          <w:szCs w:val="24"/>
          <w:lang w:val="ro-MD"/>
        </w:rPr>
        <w:t>.</w:t>
      </w:r>
      <w:r w:rsidR="009432C1" w:rsidRPr="00CD7FE5">
        <w:rPr>
          <w:rFonts w:asciiTheme="majorHAnsi" w:hAnsiTheme="majorHAnsi" w:cstheme="majorHAnsi"/>
          <w:i/>
          <w:sz w:val="24"/>
          <w:szCs w:val="24"/>
          <w:lang w:val="ro-MD"/>
        </w:rPr>
        <w:t xml:space="preserve"> </w:t>
      </w:r>
      <w:r w:rsidR="00B80CD9" w:rsidRPr="00CD7FE5">
        <w:rPr>
          <w:rFonts w:asciiTheme="majorHAnsi" w:hAnsiTheme="majorHAnsi" w:cstheme="majorHAnsi"/>
          <w:sz w:val="24"/>
          <w:szCs w:val="24"/>
          <w:lang w:val="ro-MD"/>
        </w:rPr>
        <w:t>Ca și în anii precedenți</w:t>
      </w:r>
      <w:r w:rsidR="00A45668">
        <w:rPr>
          <w:rFonts w:asciiTheme="majorHAnsi" w:hAnsiTheme="majorHAnsi" w:cstheme="majorHAnsi"/>
          <w:sz w:val="24"/>
          <w:szCs w:val="24"/>
          <w:lang w:val="ro-MD"/>
        </w:rPr>
        <w:t>,</w:t>
      </w:r>
      <w:r w:rsidR="00B80CD9" w:rsidRPr="00CD7FE5">
        <w:rPr>
          <w:rFonts w:asciiTheme="majorHAnsi" w:hAnsiTheme="majorHAnsi" w:cstheme="majorHAnsi"/>
          <w:sz w:val="24"/>
          <w:szCs w:val="24"/>
          <w:lang w:val="ro-MD"/>
        </w:rPr>
        <w:t xml:space="preserve"> subsidiile pentru susținerea activității organizațiilor teatral-concertistice</w:t>
      </w:r>
      <w:r w:rsidR="00A45668">
        <w:rPr>
          <w:rFonts w:asciiTheme="majorHAnsi" w:hAnsiTheme="majorHAnsi" w:cstheme="majorHAnsi"/>
          <w:sz w:val="24"/>
          <w:szCs w:val="24"/>
          <w:lang w:val="ro-MD"/>
        </w:rPr>
        <w:t>,</w:t>
      </w:r>
      <w:r w:rsidR="00B80CD9" w:rsidRPr="00CD7FE5">
        <w:rPr>
          <w:rFonts w:asciiTheme="majorHAnsi" w:hAnsiTheme="majorHAnsi" w:cstheme="majorHAnsi"/>
          <w:sz w:val="24"/>
          <w:szCs w:val="24"/>
          <w:lang w:val="ro-MD"/>
        </w:rPr>
        <w:t xml:space="preserve"> în sumă de 175</w:t>
      </w:r>
      <w:r w:rsidR="00CD5870" w:rsidRPr="00CD7FE5">
        <w:rPr>
          <w:rFonts w:asciiTheme="majorHAnsi" w:hAnsiTheme="majorHAnsi" w:cstheme="majorHAnsi"/>
          <w:sz w:val="24"/>
          <w:szCs w:val="24"/>
          <w:lang w:val="ro-MD"/>
        </w:rPr>
        <w:t>,</w:t>
      </w:r>
      <w:r w:rsidR="00B80CD9" w:rsidRPr="00CD7FE5">
        <w:rPr>
          <w:rFonts w:asciiTheme="majorHAnsi" w:hAnsiTheme="majorHAnsi" w:cstheme="majorHAnsi"/>
          <w:sz w:val="24"/>
          <w:szCs w:val="24"/>
          <w:lang w:val="ro-MD"/>
        </w:rPr>
        <w:t>621 mi</w:t>
      </w:r>
      <w:r w:rsidR="00CD5870" w:rsidRPr="00CD7FE5">
        <w:rPr>
          <w:rFonts w:asciiTheme="majorHAnsi" w:hAnsiTheme="majorHAnsi" w:cstheme="majorHAnsi"/>
          <w:sz w:val="24"/>
          <w:szCs w:val="24"/>
          <w:lang w:val="ro-MD"/>
        </w:rPr>
        <w:t>l.</w:t>
      </w:r>
      <w:r w:rsidR="00B80CD9" w:rsidRPr="00CD7FE5">
        <w:rPr>
          <w:rFonts w:asciiTheme="majorHAnsi" w:hAnsiTheme="majorHAnsi" w:cstheme="majorHAnsi"/>
          <w:sz w:val="24"/>
          <w:szCs w:val="24"/>
          <w:lang w:val="ro-MD"/>
        </w:rPr>
        <w:t xml:space="preserve"> lei</w:t>
      </w:r>
      <w:r w:rsidR="00A45668">
        <w:rPr>
          <w:rFonts w:asciiTheme="majorHAnsi" w:hAnsiTheme="majorHAnsi" w:cstheme="majorHAnsi"/>
          <w:sz w:val="24"/>
          <w:szCs w:val="24"/>
          <w:lang w:val="ro-MD"/>
        </w:rPr>
        <w:t>,</w:t>
      </w:r>
      <w:r w:rsidR="00B80CD9" w:rsidRPr="00CD7FE5">
        <w:rPr>
          <w:rFonts w:asciiTheme="majorHAnsi" w:hAnsiTheme="majorHAnsi" w:cstheme="majorHAnsi"/>
          <w:sz w:val="24"/>
          <w:szCs w:val="24"/>
          <w:lang w:val="ro-MD"/>
        </w:rPr>
        <w:t xml:space="preserve"> au fost acordate în lipsa proceduri</w:t>
      </w:r>
      <w:r w:rsidR="00A45668">
        <w:rPr>
          <w:rFonts w:asciiTheme="majorHAnsi" w:hAnsiTheme="majorHAnsi" w:cstheme="majorHAnsi"/>
          <w:sz w:val="24"/>
          <w:szCs w:val="24"/>
          <w:lang w:val="ro-MD"/>
        </w:rPr>
        <w:t>lor</w:t>
      </w:r>
      <w:r w:rsidR="00B80CD9" w:rsidRPr="00CD7FE5">
        <w:rPr>
          <w:rFonts w:asciiTheme="majorHAnsi" w:hAnsiTheme="majorHAnsi" w:cstheme="majorHAnsi"/>
          <w:sz w:val="24"/>
          <w:szCs w:val="24"/>
          <w:lang w:val="ro-MD"/>
        </w:rPr>
        <w:t xml:space="preserve"> de control intern privind confirmarea utilizării conform destinației a subsidiilor, corelării mărimii acestora cu indicatorii de activitate stabiliți de cadrul normativ, fapt </w:t>
      </w:r>
      <w:r w:rsidR="000F1BEA">
        <w:rPr>
          <w:rFonts w:asciiTheme="majorHAnsi" w:hAnsiTheme="majorHAnsi" w:cstheme="majorHAnsi"/>
          <w:sz w:val="24"/>
          <w:szCs w:val="24"/>
          <w:lang w:val="ro-MD"/>
        </w:rPr>
        <w:t>mențion</w:t>
      </w:r>
      <w:r w:rsidR="00B80CD9" w:rsidRPr="00CD7FE5">
        <w:rPr>
          <w:rFonts w:asciiTheme="majorHAnsi" w:hAnsiTheme="majorHAnsi" w:cstheme="majorHAnsi"/>
          <w:sz w:val="24"/>
          <w:szCs w:val="24"/>
          <w:lang w:val="ro-MD"/>
        </w:rPr>
        <w:t xml:space="preserve">at și </w:t>
      </w:r>
      <w:r w:rsidR="000F1BEA">
        <w:rPr>
          <w:rFonts w:asciiTheme="majorHAnsi" w:hAnsiTheme="majorHAnsi" w:cstheme="majorHAnsi"/>
          <w:sz w:val="24"/>
          <w:szCs w:val="24"/>
          <w:lang w:val="ro-MD"/>
        </w:rPr>
        <w:t>de</w:t>
      </w:r>
      <w:r w:rsidR="00B80CD9" w:rsidRPr="00CD7FE5">
        <w:rPr>
          <w:rFonts w:asciiTheme="majorHAnsi" w:hAnsiTheme="majorHAnsi" w:cstheme="majorHAnsi"/>
          <w:sz w:val="24"/>
          <w:szCs w:val="24"/>
          <w:lang w:val="ro-MD"/>
        </w:rPr>
        <w:t xml:space="preserve"> auditurile pe anii 2017, 2018 și 2019.</w:t>
      </w:r>
      <w:r w:rsidR="00E07E46" w:rsidRPr="00CD7FE5">
        <w:rPr>
          <w:rFonts w:asciiTheme="majorHAnsi" w:hAnsiTheme="majorHAnsi" w:cstheme="majorHAnsi"/>
          <w:sz w:val="24"/>
          <w:szCs w:val="24"/>
          <w:lang w:val="ro-MD"/>
        </w:rPr>
        <w:t xml:space="preserve"> </w:t>
      </w:r>
      <w:r w:rsidR="00B80CD9" w:rsidRPr="00CD7FE5">
        <w:rPr>
          <w:rFonts w:asciiTheme="majorHAnsi" w:hAnsiTheme="majorHAnsi" w:cstheme="majorHAnsi"/>
          <w:sz w:val="24"/>
          <w:szCs w:val="24"/>
          <w:lang w:val="ro-MD"/>
        </w:rPr>
        <w:t>Contrar recomandărilor Curții de Conturi</w:t>
      </w:r>
      <w:r w:rsidR="000F1BEA">
        <w:rPr>
          <w:rFonts w:asciiTheme="majorHAnsi" w:hAnsiTheme="majorHAnsi" w:cstheme="majorHAnsi"/>
          <w:sz w:val="24"/>
          <w:szCs w:val="24"/>
          <w:lang w:val="ro-MD"/>
        </w:rPr>
        <w:t>,</w:t>
      </w:r>
      <w:r w:rsidR="00B80CD9" w:rsidRPr="00CD7FE5">
        <w:rPr>
          <w:rFonts w:asciiTheme="majorHAnsi" w:hAnsiTheme="majorHAnsi" w:cstheme="majorHAnsi"/>
          <w:sz w:val="24"/>
          <w:szCs w:val="24"/>
          <w:lang w:val="ro-MD"/>
        </w:rPr>
        <w:t xml:space="preserve"> </w:t>
      </w:r>
      <w:r w:rsidR="00B80CD9" w:rsidRPr="00CD7FE5">
        <w:rPr>
          <w:rFonts w:asciiTheme="majorHAnsi" w:eastAsia="Times New Roman" w:hAnsiTheme="majorHAnsi" w:cstheme="majorHAnsi"/>
          <w:sz w:val="24"/>
          <w:szCs w:val="24"/>
          <w:lang w:val="ro-MD"/>
        </w:rPr>
        <w:t>MECC nu a asigurat elaborarea și aprobarea reglementărilor privind modul de susținere financiară a teatrelor, circurilor și organizațiilor concertistice</w:t>
      </w:r>
      <w:r w:rsidR="005B2EF1">
        <w:rPr>
          <w:rFonts w:asciiTheme="majorHAnsi" w:eastAsia="Times New Roman" w:hAnsiTheme="majorHAnsi" w:cstheme="majorHAnsi"/>
          <w:sz w:val="24"/>
          <w:szCs w:val="24"/>
          <w:lang w:val="ro-MD"/>
        </w:rPr>
        <w:t>, precum</w:t>
      </w:r>
      <w:r w:rsidR="00B80CD9" w:rsidRPr="00CD7FE5">
        <w:rPr>
          <w:rFonts w:asciiTheme="majorHAnsi" w:eastAsia="Times New Roman" w:hAnsiTheme="majorHAnsi" w:cstheme="majorHAnsi"/>
          <w:sz w:val="24"/>
          <w:szCs w:val="24"/>
          <w:lang w:val="ro-MD"/>
        </w:rPr>
        <w:t xml:space="preserve"> și corel</w:t>
      </w:r>
      <w:r w:rsidR="000F1BEA">
        <w:rPr>
          <w:rFonts w:asciiTheme="majorHAnsi" w:eastAsia="Times New Roman" w:hAnsiTheme="majorHAnsi" w:cstheme="majorHAnsi"/>
          <w:sz w:val="24"/>
          <w:szCs w:val="24"/>
          <w:lang w:val="ro-MD"/>
        </w:rPr>
        <w:t>area</w:t>
      </w:r>
      <w:r w:rsidR="00B80CD9" w:rsidRPr="00CD7FE5">
        <w:rPr>
          <w:rFonts w:asciiTheme="majorHAnsi" w:eastAsia="Times New Roman" w:hAnsiTheme="majorHAnsi" w:cstheme="majorHAnsi"/>
          <w:sz w:val="24"/>
          <w:szCs w:val="24"/>
          <w:lang w:val="ro-MD"/>
        </w:rPr>
        <w:t xml:space="preserve"> susținerii financiare cu activitățile desfășurate de acestea. </w:t>
      </w:r>
      <w:r w:rsidR="00B80CD9" w:rsidRPr="00CD7FE5">
        <w:rPr>
          <w:rFonts w:asciiTheme="majorHAnsi" w:hAnsiTheme="majorHAnsi" w:cstheme="majorHAnsi"/>
          <w:sz w:val="24"/>
          <w:szCs w:val="24"/>
          <w:lang w:val="ro-MD"/>
        </w:rPr>
        <w:t>Astfel, prevederile art. 17 din Legea nr.</w:t>
      </w:r>
      <w:r w:rsidR="00B80CD9" w:rsidRPr="00C01385">
        <w:rPr>
          <w:rFonts w:asciiTheme="majorHAnsi" w:hAnsiTheme="majorHAnsi" w:cstheme="majorHAnsi"/>
          <w:sz w:val="24"/>
          <w:szCs w:val="24"/>
          <w:lang w:val="ro-MD"/>
        </w:rPr>
        <w:t xml:space="preserve">1421 din 31.10.2002 privind principiile de subvenționare a organizațiilor teatral-concertistice au fost abrogate de la 01.01.2019, </w:t>
      </w:r>
      <w:r w:rsidR="00CD5870" w:rsidRPr="00C01385">
        <w:rPr>
          <w:rFonts w:asciiTheme="majorHAnsi" w:hAnsiTheme="majorHAnsi" w:cstheme="majorHAnsi"/>
          <w:sz w:val="24"/>
          <w:szCs w:val="24"/>
          <w:lang w:val="ro-MD"/>
        </w:rPr>
        <w:t xml:space="preserve">iar </w:t>
      </w:r>
      <w:r w:rsidR="00587FED" w:rsidRPr="00C01385">
        <w:rPr>
          <w:rFonts w:asciiTheme="majorHAnsi" w:hAnsiTheme="majorHAnsi" w:cstheme="majorHAnsi"/>
          <w:sz w:val="24"/>
          <w:szCs w:val="24"/>
          <w:lang w:val="ro-MD"/>
        </w:rPr>
        <w:t>prevederile</w:t>
      </w:r>
      <w:r w:rsidR="00B80CD9" w:rsidRPr="00C01385">
        <w:rPr>
          <w:rFonts w:asciiTheme="majorHAnsi" w:hAnsiTheme="majorHAnsi" w:cstheme="majorHAnsi"/>
          <w:sz w:val="24"/>
          <w:szCs w:val="24"/>
          <w:lang w:val="ro-MD"/>
        </w:rPr>
        <w:t xml:space="preserve">  Regulamentul</w:t>
      </w:r>
      <w:r w:rsidR="000F1BEA" w:rsidRPr="00C01385">
        <w:rPr>
          <w:rFonts w:asciiTheme="majorHAnsi" w:hAnsiTheme="majorHAnsi" w:cstheme="majorHAnsi"/>
          <w:sz w:val="24"/>
          <w:szCs w:val="24"/>
          <w:lang w:val="ro-MD"/>
        </w:rPr>
        <w:t>ui</w:t>
      </w:r>
      <w:r w:rsidR="00B80CD9" w:rsidRPr="00C01385">
        <w:rPr>
          <w:rFonts w:asciiTheme="majorHAnsi" w:hAnsiTheme="majorHAnsi" w:cstheme="majorHAnsi"/>
          <w:sz w:val="24"/>
          <w:szCs w:val="24"/>
          <w:lang w:val="ro-MD"/>
        </w:rPr>
        <w:t xml:space="preserve"> aprobat prin H</w:t>
      </w:r>
      <w:r w:rsidR="00742843" w:rsidRPr="00C01385">
        <w:rPr>
          <w:rFonts w:asciiTheme="majorHAnsi" w:hAnsiTheme="majorHAnsi" w:cstheme="majorHAnsi"/>
          <w:sz w:val="24"/>
          <w:szCs w:val="24"/>
          <w:lang w:val="ro-MD"/>
        </w:rPr>
        <w:t xml:space="preserve">otărârea </w:t>
      </w:r>
      <w:r w:rsidR="00B80CD9" w:rsidRPr="00C01385">
        <w:rPr>
          <w:rFonts w:asciiTheme="majorHAnsi" w:hAnsiTheme="majorHAnsi" w:cstheme="majorHAnsi"/>
          <w:sz w:val="24"/>
          <w:szCs w:val="24"/>
          <w:lang w:val="ro-MD"/>
        </w:rPr>
        <w:t>G</w:t>
      </w:r>
      <w:r w:rsidR="00742843" w:rsidRPr="00C01385">
        <w:rPr>
          <w:rFonts w:asciiTheme="majorHAnsi" w:hAnsiTheme="majorHAnsi" w:cstheme="majorHAnsi"/>
          <w:sz w:val="24"/>
          <w:szCs w:val="24"/>
          <w:lang w:val="ro-MD"/>
        </w:rPr>
        <w:t>uvernului</w:t>
      </w:r>
      <w:r w:rsidR="00B80CD9" w:rsidRPr="00C01385">
        <w:rPr>
          <w:rFonts w:asciiTheme="majorHAnsi" w:hAnsiTheme="majorHAnsi" w:cstheme="majorHAnsi"/>
          <w:sz w:val="24"/>
          <w:szCs w:val="24"/>
          <w:lang w:val="ro-MD"/>
        </w:rPr>
        <w:t xml:space="preserve"> nr.1242 din 15.10.2003</w:t>
      </w:r>
      <w:r w:rsidR="003B1B86" w:rsidRPr="00C01385">
        <w:rPr>
          <w:rFonts w:asciiTheme="majorHAnsi" w:hAnsiTheme="majorHAnsi" w:cstheme="majorHAnsi"/>
          <w:sz w:val="24"/>
          <w:szCs w:val="24"/>
          <w:lang w:val="ro-MD"/>
        </w:rPr>
        <w:t>, prin care se face trimitere la Legea nr.1421/2002,</w:t>
      </w:r>
      <w:r w:rsidR="00B80CD9" w:rsidRPr="00C01385">
        <w:rPr>
          <w:rFonts w:asciiTheme="majorHAnsi" w:hAnsiTheme="majorHAnsi" w:cstheme="majorHAnsi"/>
          <w:sz w:val="24"/>
          <w:szCs w:val="24"/>
          <w:lang w:val="ro-MD"/>
        </w:rPr>
        <w:t xml:space="preserve"> nu au fost modificate. Ca urmare, repartizarea alocațiilor financiare instituțiilor publice teatral-concertistice </w:t>
      </w:r>
      <w:r w:rsidR="003B1B86" w:rsidRPr="00C01385">
        <w:rPr>
          <w:rFonts w:asciiTheme="majorHAnsi" w:hAnsiTheme="majorHAnsi" w:cstheme="majorHAnsi"/>
          <w:sz w:val="24"/>
          <w:szCs w:val="24"/>
          <w:lang w:val="ro-MD"/>
        </w:rPr>
        <w:t>urma a fi</w:t>
      </w:r>
      <w:r w:rsidR="00B80CD9" w:rsidRPr="00C01385">
        <w:rPr>
          <w:rFonts w:asciiTheme="majorHAnsi" w:hAnsiTheme="majorHAnsi" w:cstheme="majorHAnsi"/>
          <w:sz w:val="24"/>
          <w:szCs w:val="24"/>
          <w:lang w:val="ro-MD"/>
        </w:rPr>
        <w:t xml:space="preserve"> efectuat</w:t>
      </w:r>
      <w:r w:rsidR="00322A8F" w:rsidRPr="00C01385">
        <w:rPr>
          <w:rFonts w:asciiTheme="majorHAnsi" w:hAnsiTheme="majorHAnsi" w:cstheme="majorHAnsi"/>
          <w:sz w:val="24"/>
          <w:szCs w:val="24"/>
          <w:lang w:val="ro-MD"/>
        </w:rPr>
        <w:t>ă</w:t>
      </w:r>
      <w:r w:rsidR="00B80CD9" w:rsidRPr="00C01385">
        <w:rPr>
          <w:rFonts w:asciiTheme="majorHAnsi" w:hAnsiTheme="majorHAnsi" w:cstheme="majorHAnsi"/>
          <w:sz w:val="24"/>
          <w:szCs w:val="24"/>
          <w:lang w:val="ro-MD"/>
        </w:rPr>
        <w:t xml:space="preserve"> conform pct.37 din Regulamentul aprobat prin H</w:t>
      </w:r>
      <w:r w:rsidR="00742843" w:rsidRPr="00C01385">
        <w:rPr>
          <w:rFonts w:asciiTheme="majorHAnsi" w:hAnsiTheme="majorHAnsi" w:cstheme="majorHAnsi"/>
          <w:sz w:val="24"/>
          <w:szCs w:val="24"/>
          <w:lang w:val="ro-MD"/>
        </w:rPr>
        <w:t xml:space="preserve">otărârea </w:t>
      </w:r>
      <w:r w:rsidR="00B80CD9" w:rsidRPr="00C01385">
        <w:rPr>
          <w:rFonts w:asciiTheme="majorHAnsi" w:hAnsiTheme="majorHAnsi" w:cstheme="majorHAnsi"/>
          <w:sz w:val="24"/>
          <w:szCs w:val="24"/>
          <w:lang w:val="ro-MD"/>
        </w:rPr>
        <w:t>G</w:t>
      </w:r>
      <w:r w:rsidR="00742843" w:rsidRPr="00C01385">
        <w:rPr>
          <w:rFonts w:asciiTheme="majorHAnsi" w:hAnsiTheme="majorHAnsi" w:cstheme="majorHAnsi"/>
          <w:sz w:val="24"/>
          <w:szCs w:val="24"/>
          <w:lang w:val="ro-MD"/>
        </w:rPr>
        <w:t>uvernului</w:t>
      </w:r>
      <w:r w:rsidR="00B80CD9" w:rsidRPr="00C01385">
        <w:rPr>
          <w:rFonts w:asciiTheme="majorHAnsi" w:hAnsiTheme="majorHAnsi" w:cstheme="majorHAnsi"/>
          <w:sz w:val="24"/>
          <w:szCs w:val="24"/>
          <w:lang w:val="ro-MD"/>
        </w:rPr>
        <w:t xml:space="preserve"> nr.1242</w:t>
      </w:r>
      <w:r w:rsidR="003B1B86" w:rsidRPr="00C01385">
        <w:rPr>
          <w:rFonts w:asciiTheme="majorHAnsi" w:hAnsiTheme="majorHAnsi" w:cstheme="majorHAnsi"/>
          <w:sz w:val="24"/>
          <w:szCs w:val="24"/>
          <w:lang w:val="ro-MD"/>
        </w:rPr>
        <w:t>/2003</w:t>
      </w:r>
      <w:r w:rsidR="00B80CD9" w:rsidRPr="00C01385">
        <w:rPr>
          <w:rFonts w:asciiTheme="majorHAnsi" w:hAnsiTheme="majorHAnsi" w:cstheme="majorHAnsi"/>
          <w:sz w:val="24"/>
          <w:szCs w:val="24"/>
          <w:lang w:val="ro-MD"/>
        </w:rPr>
        <w:t>:</w:t>
      </w:r>
      <w:r w:rsidR="00B80CD9" w:rsidRPr="00CD7FE5">
        <w:rPr>
          <w:rFonts w:asciiTheme="majorHAnsi" w:hAnsiTheme="majorHAnsi" w:cstheme="majorHAnsi"/>
          <w:sz w:val="24"/>
          <w:szCs w:val="24"/>
          <w:lang w:val="ro-MD"/>
        </w:rPr>
        <w:t xml:space="preserve"> pentru instituțiile </w:t>
      </w:r>
      <w:r w:rsidR="00B80CD9" w:rsidRPr="004E1A28">
        <w:rPr>
          <w:rFonts w:asciiTheme="majorHAnsi" w:hAnsiTheme="majorHAnsi" w:cstheme="majorHAnsi"/>
          <w:sz w:val="24"/>
          <w:szCs w:val="24"/>
          <w:lang w:val="ro-MD"/>
        </w:rPr>
        <w:t>cu statut național – în proporție de 80% față de cheltuielile totale</w:t>
      </w:r>
      <w:r w:rsidR="007919F7" w:rsidRPr="004E1A28">
        <w:rPr>
          <w:rFonts w:asciiTheme="majorHAnsi" w:hAnsiTheme="majorHAnsi" w:cstheme="majorHAnsi"/>
          <w:sz w:val="24"/>
          <w:szCs w:val="24"/>
          <w:lang w:val="ro-MD"/>
        </w:rPr>
        <w:t>;</w:t>
      </w:r>
      <w:r w:rsidR="00B80CD9" w:rsidRPr="004E1A28">
        <w:rPr>
          <w:rFonts w:asciiTheme="majorHAnsi" w:hAnsiTheme="majorHAnsi" w:cstheme="majorHAnsi"/>
          <w:sz w:val="24"/>
          <w:szCs w:val="24"/>
          <w:lang w:val="ro-MD"/>
        </w:rPr>
        <w:t xml:space="preserve"> pentru restul instituțiilor – în proporție de 60% din cheltuielile </w:t>
      </w:r>
      <w:r w:rsidR="00CD5870" w:rsidRPr="004E1A28">
        <w:rPr>
          <w:rFonts w:asciiTheme="majorHAnsi" w:hAnsiTheme="majorHAnsi" w:cstheme="majorHAnsi"/>
          <w:sz w:val="24"/>
          <w:szCs w:val="24"/>
          <w:lang w:val="ro-MD"/>
        </w:rPr>
        <w:t>instituție</w:t>
      </w:r>
      <w:r w:rsidR="00B80CD9" w:rsidRPr="004E1A28">
        <w:rPr>
          <w:rFonts w:asciiTheme="majorHAnsi" w:hAnsiTheme="majorHAnsi" w:cstheme="majorHAnsi"/>
          <w:sz w:val="24"/>
          <w:szCs w:val="24"/>
          <w:lang w:val="ro-MD"/>
        </w:rPr>
        <w:t>i, precum și în conformitate cu calculele normativelor</w:t>
      </w:r>
      <w:r w:rsidR="00B80CD9" w:rsidRPr="00CD7FE5">
        <w:rPr>
          <w:rFonts w:asciiTheme="majorHAnsi" w:hAnsiTheme="majorHAnsi" w:cstheme="majorHAnsi"/>
          <w:sz w:val="24"/>
          <w:szCs w:val="24"/>
          <w:lang w:val="ro-MD"/>
        </w:rPr>
        <w:t xml:space="preserve"> de cheltuieli, aprobate de Guvern. Contrar celor indicate, în anul 2020, la determinarea subvențiilor s-au luat ca bază cheltuielile de personal și cotele procentuale stabilite în legislație, dar nu cheltuielile totale ale instituțiilor, precum prevede cadrul normativ.</w:t>
      </w:r>
      <w:r w:rsidR="00B80CD9" w:rsidRPr="00CD7FE5">
        <w:rPr>
          <w:rFonts w:asciiTheme="majorHAnsi" w:eastAsia="Times New Roman" w:hAnsiTheme="majorHAnsi" w:cstheme="majorHAnsi"/>
          <w:sz w:val="24"/>
          <w:szCs w:val="24"/>
          <w:lang w:val="ro-MD"/>
        </w:rPr>
        <w:t xml:space="preserve"> </w:t>
      </w:r>
    </w:p>
    <w:p w14:paraId="020CB099" w14:textId="4965F069" w:rsidR="00B80CD9" w:rsidRPr="00CD7FE5" w:rsidRDefault="007919F7" w:rsidP="00A94E15">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U</w:t>
      </w:r>
      <w:r w:rsidR="00B80CD9" w:rsidRPr="00CD7FE5">
        <w:rPr>
          <w:rFonts w:asciiTheme="majorHAnsi" w:hAnsiTheme="majorHAnsi" w:cstheme="majorHAnsi"/>
          <w:sz w:val="24"/>
          <w:szCs w:val="24"/>
          <w:lang w:val="ro-MD"/>
        </w:rPr>
        <w:t>rmare</w:t>
      </w:r>
      <w:r w:rsidR="004E1A28">
        <w:rPr>
          <w:rFonts w:asciiTheme="majorHAnsi" w:hAnsiTheme="majorHAnsi" w:cstheme="majorHAnsi"/>
          <w:sz w:val="24"/>
          <w:szCs w:val="24"/>
          <w:lang w:val="ro-MD"/>
        </w:rPr>
        <w:t xml:space="preserve"> celor relatate</w:t>
      </w:r>
      <w:r w:rsidR="00B80CD9" w:rsidRPr="00CD7FE5">
        <w:rPr>
          <w:rFonts w:asciiTheme="majorHAnsi" w:hAnsiTheme="majorHAnsi" w:cstheme="majorHAnsi"/>
          <w:sz w:val="24"/>
          <w:szCs w:val="24"/>
          <w:lang w:val="ro-MD"/>
        </w:rPr>
        <w:t>, auditul nu se poate expune asupra regularității cheltuielilor efectuate aferente subsidiilor pentru susținerea activității organizațiilor teatral-concertistice.</w:t>
      </w:r>
    </w:p>
    <w:p w14:paraId="3BDF9927" w14:textId="344445E5" w:rsidR="00B80CD9" w:rsidRPr="00CD7FE5" w:rsidRDefault="00B80CD9" w:rsidP="00A94E15">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MECC nu a elaborat principii de subvenționare a publicațiilor periodice, precum și a altor instituții culturale de stat</w:t>
      </w:r>
      <w:r w:rsidR="004E1A28">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în valoare de 3609,6 mii lei. Astfel, în anul 2020</w:t>
      </w:r>
      <w:r w:rsidR="004E1A28">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pentru publicațiile periodice pentru copii </w:t>
      </w:r>
      <w:r w:rsidR="004E1A28">
        <w:rPr>
          <w:rFonts w:asciiTheme="majorHAnsi" w:hAnsiTheme="majorHAnsi" w:cstheme="majorHAnsi"/>
          <w:sz w:val="24"/>
          <w:szCs w:val="24"/>
          <w:lang w:val="ro-MD"/>
        </w:rPr>
        <w:t>s-</w:t>
      </w:r>
      <w:r w:rsidRPr="00CD7FE5">
        <w:rPr>
          <w:rFonts w:asciiTheme="majorHAnsi" w:hAnsiTheme="majorHAnsi" w:cstheme="majorHAnsi"/>
          <w:sz w:val="24"/>
          <w:szCs w:val="24"/>
          <w:lang w:val="ro-MD"/>
        </w:rPr>
        <w:t>au alocat 1937,5 mii lei</w:t>
      </w:r>
      <w:r w:rsidR="004E1A28">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pentru Muzeul de Istorie a Evreilor – 1499,3 mii lei; </w:t>
      </w:r>
      <w:r w:rsidR="004E1A28">
        <w:rPr>
          <w:rFonts w:asciiTheme="majorHAnsi" w:hAnsiTheme="majorHAnsi" w:cstheme="majorHAnsi"/>
          <w:sz w:val="24"/>
          <w:szCs w:val="24"/>
          <w:lang w:val="ro-MD"/>
        </w:rPr>
        <w:t xml:space="preserve">pentru </w:t>
      </w:r>
      <w:r w:rsidRPr="00CD7FE5">
        <w:rPr>
          <w:rFonts w:asciiTheme="majorHAnsi" w:hAnsiTheme="majorHAnsi" w:cstheme="majorHAnsi"/>
          <w:sz w:val="24"/>
          <w:szCs w:val="24"/>
          <w:lang w:val="ro-MD"/>
        </w:rPr>
        <w:t>Fondul Special de Manuale – 172,8 mii lei.</w:t>
      </w:r>
    </w:p>
    <w:p w14:paraId="715B47D8" w14:textId="6C3A5CB6" w:rsidR="00B80CD9" w:rsidRPr="006B7FC7" w:rsidRDefault="00B80CD9" w:rsidP="001303D9">
      <w:pPr>
        <w:spacing w:after="0" w:line="276" w:lineRule="auto"/>
        <w:jc w:val="both"/>
        <w:rPr>
          <w:rFonts w:asciiTheme="majorHAnsi" w:hAnsiTheme="majorHAnsi" w:cstheme="majorHAnsi"/>
          <w:sz w:val="24"/>
          <w:szCs w:val="24"/>
          <w:lang w:val="ro-MD"/>
        </w:rPr>
      </w:pPr>
      <w:r w:rsidRPr="006B7FC7">
        <w:rPr>
          <w:rFonts w:asciiTheme="majorHAnsi" w:hAnsiTheme="majorHAnsi" w:cstheme="majorHAnsi"/>
          <w:sz w:val="24"/>
          <w:szCs w:val="24"/>
          <w:lang w:val="ro-MD"/>
        </w:rPr>
        <w:t>Menționăm că valoarea creanțelor aferentă subsidiilor acordate organizațiilor obștești (253000) pentru anul 2020 constituie 62503,38 mii lei</w:t>
      </w:r>
      <w:r w:rsidR="00E937DB" w:rsidRPr="006B7FC7">
        <w:rPr>
          <w:rFonts w:asciiTheme="majorHAnsi" w:hAnsiTheme="majorHAnsi" w:cstheme="majorHAnsi"/>
          <w:sz w:val="24"/>
          <w:szCs w:val="24"/>
          <w:lang w:val="ro-MD"/>
        </w:rPr>
        <w:t>,</w:t>
      </w:r>
      <w:r w:rsidRPr="006B7FC7">
        <w:rPr>
          <w:rFonts w:asciiTheme="majorHAnsi" w:hAnsiTheme="majorHAnsi" w:cstheme="majorHAnsi"/>
          <w:sz w:val="24"/>
          <w:szCs w:val="24"/>
          <w:lang w:val="ro-MD"/>
        </w:rPr>
        <w:t xml:space="preserve"> din care 16584,11 mii lei sunt ale </w:t>
      </w:r>
      <w:r w:rsidR="00C01385" w:rsidRPr="006B7FC7">
        <w:rPr>
          <w:rFonts w:asciiTheme="majorHAnsi" w:hAnsiTheme="majorHAnsi" w:cstheme="majorHAnsi"/>
          <w:sz w:val="24"/>
          <w:szCs w:val="24"/>
          <w:lang w:val="ro-MD"/>
        </w:rPr>
        <w:t>Comitetul Național Olimpic și Sportiv (</w:t>
      </w:r>
      <w:r w:rsidRPr="006B7FC7">
        <w:rPr>
          <w:rFonts w:asciiTheme="majorHAnsi" w:hAnsiTheme="majorHAnsi" w:cstheme="majorHAnsi"/>
          <w:sz w:val="24"/>
          <w:szCs w:val="24"/>
          <w:lang w:val="ro-MD"/>
        </w:rPr>
        <w:t>CNOS</w:t>
      </w:r>
      <w:r w:rsidR="00C01385" w:rsidRPr="006B7FC7">
        <w:rPr>
          <w:rFonts w:asciiTheme="majorHAnsi" w:hAnsiTheme="majorHAnsi" w:cstheme="majorHAnsi"/>
          <w:sz w:val="24"/>
          <w:szCs w:val="24"/>
          <w:lang w:val="ro-MD"/>
        </w:rPr>
        <w:t>)</w:t>
      </w:r>
      <w:r w:rsidR="00E937DB" w:rsidRPr="006B7FC7">
        <w:rPr>
          <w:rFonts w:asciiTheme="majorHAnsi" w:hAnsiTheme="majorHAnsi" w:cstheme="majorHAnsi"/>
          <w:sz w:val="24"/>
          <w:szCs w:val="24"/>
          <w:lang w:val="ro-MD"/>
        </w:rPr>
        <w:t>,</w:t>
      </w:r>
      <w:r w:rsidRPr="006B7FC7">
        <w:rPr>
          <w:rFonts w:asciiTheme="majorHAnsi" w:hAnsiTheme="majorHAnsi" w:cstheme="majorHAnsi"/>
          <w:sz w:val="24"/>
          <w:szCs w:val="24"/>
          <w:lang w:val="ro-MD"/>
        </w:rPr>
        <w:t xml:space="preserve"> aferente utilizării subsidiilor contrar destinației.</w:t>
      </w:r>
      <w:r w:rsidR="00E937DB" w:rsidRPr="006B7FC7">
        <w:rPr>
          <w:rFonts w:asciiTheme="majorHAnsi" w:hAnsiTheme="majorHAnsi" w:cstheme="majorHAnsi"/>
          <w:sz w:val="24"/>
          <w:szCs w:val="24"/>
          <w:lang w:val="ro-MD"/>
        </w:rPr>
        <w:t xml:space="preserve"> Abia</w:t>
      </w:r>
      <w:r w:rsidRPr="006B7FC7">
        <w:rPr>
          <w:rFonts w:asciiTheme="majorHAnsi" w:hAnsiTheme="majorHAnsi" w:cstheme="majorHAnsi"/>
          <w:sz w:val="24"/>
          <w:szCs w:val="24"/>
          <w:lang w:val="ro-MD"/>
        </w:rPr>
        <w:t xml:space="preserve"> în anul 2021 MECC a depu</w:t>
      </w:r>
      <w:r w:rsidR="006B7FC7" w:rsidRPr="006B7FC7">
        <w:rPr>
          <w:rFonts w:asciiTheme="majorHAnsi" w:hAnsiTheme="majorHAnsi" w:cstheme="majorHAnsi"/>
          <w:sz w:val="24"/>
          <w:szCs w:val="24"/>
          <w:lang w:val="ro-MD"/>
        </w:rPr>
        <w:t>s</w:t>
      </w:r>
      <w:r w:rsidRPr="006B7FC7">
        <w:rPr>
          <w:rFonts w:asciiTheme="majorHAnsi" w:hAnsiTheme="majorHAnsi" w:cstheme="majorHAnsi"/>
          <w:sz w:val="24"/>
          <w:szCs w:val="24"/>
          <w:lang w:val="ro-MD"/>
        </w:rPr>
        <w:t xml:space="preserve"> o cerere </w:t>
      </w:r>
      <w:r w:rsidR="006B7FC7" w:rsidRPr="006B7FC7">
        <w:rPr>
          <w:rFonts w:asciiTheme="majorHAnsi" w:hAnsiTheme="majorHAnsi" w:cstheme="majorHAnsi"/>
          <w:sz w:val="24"/>
          <w:szCs w:val="24"/>
          <w:lang w:val="ro-MD"/>
        </w:rPr>
        <w:t xml:space="preserve">de chemare </w:t>
      </w:r>
      <w:r w:rsidRPr="006B7FC7">
        <w:rPr>
          <w:rFonts w:asciiTheme="majorHAnsi" w:hAnsiTheme="majorHAnsi" w:cstheme="majorHAnsi"/>
          <w:sz w:val="24"/>
          <w:szCs w:val="24"/>
          <w:lang w:val="ro-MD"/>
        </w:rPr>
        <w:t xml:space="preserve">în judecată </w:t>
      </w:r>
      <w:r w:rsidR="00E937DB" w:rsidRPr="006B7FC7">
        <w:rPr>
          <w:rFonts w:asciiTheme="majorHAnsi" w:hAnsiTheme="majorHAnsi" w:cstheme="majorHAnsi"/>
          <w:sz w:val="24"/>
          <w:szCs w:val="24"/>
          <w:lang w:val="ro-MD"/>
        </w:rPr>
        <w:t xml:space="preserve">privind </w:t>
      </w:r>
      <w:r w:rsidRPr="006B7FC7">
        <w:rPr>
          <w:rFonts w:asciiTheme="majorHAnsi" w:hAnsiTheme="majorHAnsi" w:cstheme="majorHAnsi"/>
          <w:sz w:val="24"/>
          <w:szCs w:val="24"/>
          <w:lang w:val="ro-MD"/>
        </w:rPr>
        <w:t xml:space="preserve">recuperarea </w:t>
      </w:r>
      <w:r w:rsidR="00E937DB" w:rsidRPr="006B7FC7">
        <w:rPr>
          <w:rFonts w:asciiTheme="majorHAnsi" w:hAnsiTheme="majorHAnsi" w:cstheme="majorHAnsi"/>
          <w:sz w:val="24"/>
          <w:szCs w:val="24"/>
          <w:lang w:val="ro-MD"/>
        </w:rPr>
        <w:t xml:space="preserve">sumei de </w:t>
      </w:r>
      <w:r w:rsidRPr="006B7FC7">
        <w:rPr>
          <w:rFonts w:asciiTheme="majorHAnsi" w:hAnsiTheme="majorHAnsi" w:cstheme="majorHAnsi"/>
          <w:sz w:val="24"/>
          <w:szCs w:val="24"/>
          <w:lang w:val="ro-MD"/>
        </w:rPr>
        <w:t>11604,0 mii lei</w:t>
      </w:r>
      <w:r w:rsidR="00E937DB" w:rsidRPr="006B7FC7">
        <w:rPr>
          <w:rFonts w:asciiTheme="majorHAnsi" w:hAnsiTheme="majorHAnsi" w:cstheme="majorHAnsi"/>
          <w:sz w:val="24"/>
          <w:szCs w:val="24"/>
          <w:lang w:val="ro-MD"/>
        </w:rPr>
        <w:t>,</w:t>
      </w:r>
      <w:r w:rsidRPr="006B7FC7">
        <w:rPr>
          <w:rFonts w:asciiTheme="majorHAnsi" w:hAnsiTheme="majorHAnsi" w:cstheme="majorHAnsi"/>
          <w:sz w:val="24"/>
          <w:szCs w:val="24"/>
          <w:lang w:val="ro-MD"/>
        </w:rPr>
        <w:t xml:space="preserve"> aferent</w:t>
      </w:r>
      <w:r w:rsidR="00E937DB" w:rsidRPr="006B7FC7">
        <w:rPr>
          <w:rFonts w:asciiTheme="majorHAnsi" w:hAnsiTheme="majorHAnsi" w:cstheme="majorHAnsi"/>
          <w:sz w:val="24"/>
          <w:szCs w:val="24"/>
          <w:lang w:val="ro-MD"/>
        </w:rPr>
        <w:t>ă</w:t>
      </w:r>
      <w:r w:rsidRPr="006B7FC7">
        <w:rPr>
          <w:rFonts w:asciiTheme="majorHAnsi" w:hAnsiTheme="majorHAnsi" w:cstheme="majorHAnsi"/>
          <w:sz w:val="24"/>
          <w:szCs w:val="24"/>
          <w:lang w:val="ro-MD"/>
        </w:rPr>
        <w:t xml:space="preserve"> creanțelor CNOS formate </w:t>
      </w:r>
      <w:r w:rsidR="006B7FC7" w:rsidRPr="006B7FC7">
        <w:rPr>
          <w:rFonts w:asciiTheme="majorHAnsi" w:hAnsiTheme="majorHAnsi" w:cstheme="majorHAnsi"/>
          <w:sz w:val="24"/>
          <w:szCs w:val="24"/>
          <w:lang w:val="ro-MD"/>
        </w:rPr>
        <w:t>începînd cu</w:t>
      </w:r>
      <w:r w:rsidRPr="006B7FC7">
        <w:rPr>
          <w:rFonts w:asciiTheme="majorHAnsi" w:hAnsiTheme="majorHAnsi" w:cstheme="majorHAnsi"/>
          <w:sz w:val="24"/>
          <w:szCs w:val="24"/>
          <w:lang w:val="ro-MD"/>
        </w:rPr>
        <w:t xml:space="preserve"> anul 2016. </w:t>
      </w:r>
    </w:p>
    <w:p w14:paraId="5DDC4168" w14:textId="0AC3EF02" w:rsidR="007A65F5" w:rsidRPr="00CD7FE5" w:rsidRDefault="008D4F50" w:rsidP="007A65F5">
      <w:pPr>
        <w:spacing w:after="0" w:line="276" w:lineRule="auto"/>
        <w:ind w:right="-47"/>
        <w:jc w:val="both"/>
        <w:rPr>
          <w:rFonts w:asciiTheme="majorHAnsi" w:hAnsiTheme="majorHAnsi" w:cstheme="majorHAnsi"/>
          <w:sz w:val="24"/>
          <w:szCs w:val="24"/>
          <w:lang w:val="ro-MD"/>
        </w:rPr>
      </w:pPr>
      <w:r w:rsidRPr="00CD7FE5">
        <w:rPr>
          <w:rFonts w:asciiTheme="majorHAnsi" w:eastAsia="Times New Roman" w:hAnsiTheme="majorHAnsi" w:cstheme="majorHAnsi"/>
          <w:b/>
          <w:sz w:val="24"/>
          <w:szCs w:val="24"/>
          <w:lang w:val="ro-MD"/>
        </w:rPr>
        <w:lastRenderedPageBreak/>
        <w:t>6</w:t>
      </w:r>
      <w:r w:rsidR="009432C1" w:rsidRPr="00CD7FE5">
        <w:rPr>
          <w:rFonts w:asciiTheme="majorHAnsi" w:eastAsia="Times New Roman" w:hAnsiTheme="majorHAnsi" w:cstheme="majorHAnsi"/>
          <w:b/>
          <w:sz w:val="24"/>
          <w:szCs w:val="24"/>
          <w:lang w:val="ro-MD"/>
        </w:rPr>
        <w:t>.</w:t>
      </w:r>
      <w:r w:rsidR="00B06123" w:rsidRPr="00CD7FE5">
        <w:rPr>
          <w:rFonts w:asciiTheme="majorHAnsi" w:eastAsia="Times New Roman" w:hAnsiTheme="majorHAnsi" w:cstheme="majorHAnsi"/>
          <w:b/>
          <w:sz w:val="24"/>
          <w:szCs w:val="24"/>
          <w:lang w:val="ro-MD"/>
        </w:rPr>
        <w:t>7</w:t>
      </w:r>
      <w:r w:rsidR="009432C1" w:rsidRPr="00CD7FE5">
        <w:rPr>
          <w:rFonts w:asciiTheme="majorHAnsi" w:eastAsia="Times New Roman" w:hAnsiTheme="majorHAnsi" w:cstheme="majorHAnsi"/>
          <w:b/>
          <w:sz w:val="24"/>
          <w:szCs w:val="24"/>
          <w:lang w:val="ro-MD"/>
        </w:rPr>
        <w:t>.</w:t>
      </w:r>
      <w:r w:rsidR="00030172" w:rsidRPr="00CD7FE5">
        <w:rPr>
          <w:rFonts w:asciiTheme="majorHAnsi" w:eastAsia="Times New Roman" w:hAnsiTheme="majorHAnsi" w:cstheme="majorHAnsi"/>
          <w:b/>
          <w:sz w:val="24"/>
          <w:szCs w:val="24"/>
          <w:lang w:val="ro-MD"/>
        </w:rPr>
        <w:t xml:space="preserve"> </w:t>
      </w:r>
      <w:r w:rsidR="007A65F5" w:rsidRPr="00CD7FE5">
        <w:rPr>
          <w:rFonts w:asciiTheme="majorHAnsi" w:hAnsiTheme="majorHAnsi" w:cstheme="majorHAnsi"/>
          <w:i/>
          <w:iCs/>
          <w:sz w:val="24"/>
          <w:szCs w:val="24"/>
          <w:lang w:val="ro-MD"/>
        </w:rPr>
        <w:t>MECC nu deține informația privind modul de utilizare ulterioară a rezultatelor cercetărilor științifice</w:t>
      </w:r>
      <w:r w:rsidR="007A65F5" w:rsidRPr="00CD7FE5">
        <w:rPr>
          <w:rFonts w:asciiTheme="majorHAnsi" w:hAnsiTheme="majorHAnsi" w:cstheme="majorHAnsi"/>
          <w:sz w:val="24"/>
          <w:szCs w:val="24"/>
          <w:lang w:val="ro-MD"/>
        </w:rPr>
        <w:t xml:space="preserve">. </w:t>
      </w:r>
      <w:r w:rsidR="004B751C">
        <w:rPr>
          <w:rFonts w:asciiTheme="majorHAnsi" w:hAnsiTheme="majorHAnsi" w:cstheme="majorHAnsi"/>
          <w:sz w:val="24"/>
          <w:szCs w:val="24"/>
          <w:lang w:val="ro-MD"/>
        </w:rPr>
        <w:t>A</w:t>
      </w:r>
      <w:r w:rsidR="004B751C" w:rsidRPr="00CD7FE5">
        <w:rPr>
          <w:rFonts w:asciiTheme="majorHAnsi" w:hAnsiTheme="majorHAnsi" w:cstheme="majorHAnsi"/>
          <w:sz w:val="24"/>
          <w:szCs w:val="24"/>
          <w:lang w:val="ro-MD"/>
        </w:rPr>
        <w:t>ceste instituții nu dispun nici de informații exhaustive cu privire la activele nemateriale obținute.</w:t>
      </w:r>
      <w:r w:rsidR="004B751C">
        <w:rPr>
          <w:rFonts w:asciiTheme="majorHAnsi" w:hAnsiTheme="majorHAnsi" w:cstheme="majorHAnsi"/>
          <w:sz w:val="24"/>
          <w:szCs w:val="24"/>
          <w:lang w:val="ro-MD"/>
        </w:rPr>
        <w:t xml:space="preserve"> </w:t>
      </w:r>
      <w:r w:rsidR="007A65F5" w:rsidRPr="00CD7FE5">
        <w:rPr>
          <w:rFonts w:asciiTheme="majorHAnsi" w:hAnsiTheme="majorHAnsi" w:cstheme="majorHAnsi"/>
          <w:sz w:val="24"/>
          <w:szCs w:val="24"/>
          <w:lang w:val="ro-MD"/>
        </w:rPr>
        <w:t xml:space="preserve">Mai mult decât atât, MECC și 18 instituții de cercetări științifice din subordine au ignorat cu desăvârșire recomandările anterioare ale </w:t>
      </w:r>
      <w:r w:rsidR="00CD7F70">
        <w:rPr>
          <w:rFonts w:asciiTheme="majorHAnsi" w:hAnsiTheme="majorHAnsi" w:cstheme="majorHAnsi"/>
          <w:sz w:val="24"/>
          <w:szCs w:val="24"/>
          <w:lang w:val="ro-MD"/>
        </w:rPr>
        <w:t>Curții de Conturi</w:t>
      </w:r>
      <w:r w:rsidR="007A65F5" w:rsidRPr="00CD7FE5">
        <w:rPr>
          <w:rFonts w:asciiTheme="majorHAnsi" w:hAnsiTheme="majorHAnsi" w:cstheme="majorHAnsi"/>
          <w:sz w:val="24"/>
          <w:szCs w:val="24"/>
          <w:lang w:val="ro-MD"/>
        </w:rPr>
        <w:t xml:space="preserve"> privind înregistrarea ca active nemateriale a cheltuielilor suportate pentru cercetările științifice, care în anul 2019 au constituit </w:t>
      </w:r>
      <w:r w:rsidR="004B751C">
        <w:rPr>
          <w:rFonts w:asciiTheme="majorHAnsi" w:hAnsiTheme="majorHAnsi" w:cstheme="majorHAnsi"/>
          <w:sz w:val="24"/>
          <w:szCs w:val="24"/>
          <w:lang w:val="ro-MD"/>
        </w:rPr>
        <w:t xml:space="preserve">circa </w:t>
      </w:r>
      <w:r w:rsidR="007A65F5" w:rsidRPr="00CD7FE5">
        <w:rPr>
          <w:rFonts w:asciiTheme="majorHAnsi" w:hAnsiTheme="majorHAnsi" w:cstheme="majorHAnsi"/>
          <w:sz w:val="24"/>
          <w:szCs w:val="24"/>
          <w:lang w:val="ro-MD"/>
        </w:rPr>
        <w:t>259,61 mil.lei</w:t>
      </w:r>
      <w:r w:rsidR="004B751C">
        <w:rPr>
          <w:rFonts w:asciiTheme="majorHAnsi" w:hAnsiTheme="majorHAnsi" w:cstheme="majorHAnsi"/>
          <w:sz w:val="24"/>
          <w:szCs w:val="24"/>
          <w:lang w:val="ro-MD"/>
        </w:rPr>
        <w:t xml:space="preserve"> și în anul 2020 - </w:t>
      </w:r>
      <w:r w:rsidR="004B751C" w:rsidRPr="004B751C">
        <w:rPr>
          <w:rFonts w:asciiTheme="majorHAnsi" w:hAnsiTheme="majorHAnsi" w:cstheme="majorHAnsi"/>
          <w:sz w:val="24"/>
          <w:szCs w:val="24"/>
          <w:lang w:val="ro-MD"/>
        </w:rPr>
        <w:t>113,72 mil.lei lei</w:t>
      </w:r>
      <w:r w:rsidR="007A65F5" w:rsidRPr="00CD7FE5">
        <w:rPr>
          <w:rFonts w:asciiTheme="majorHAnsi" w:hAnsiTheme="majorHAnsi" w:cstheme="majorHAnsi"/>
          <w:sz w:val="24"/>
          <w:szCs w:val="24"/>
          <w:lang w:val="ro-MD"/>
        </w:rPr>
        <w:t xml:space="preserve">. </w:t>
      </w:r>
    </w:p>
    <w:p w14:paraId="65C61203" w14:textId="46121221" w:rsidR="007A65F5" w:rsidRPr="00CD7FE5" w:rsidRDefault="004B751C" w:rsidP="007A65F5">
      <w:pPr>
        <w:spacing w:after="0" w:line="276" w:lineRule="auto"/>
        <w:ind w:right="-47"/>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De</w:t>
      </w:r>
      <w:r>
        <w:rPr>
          <w:rFonts w:asciiTheme="majorHAnsi" w:hAnsiTheme="majorHAnsi" w:cstheme="majorHAnsi"/>
          <w:sz w:val="24"/>
          <w:szCs w:val="24"/>
          <w:lang w:val="ro-MD"/>
        </w:rPr>
        <w:t xml:space="preserve">și </w:t>
      </w:r>
      <w:r w:rsidRPr="00CD7FE5">
        <w:rPr>
          <w:rFonts w:asciiTheme="majorHAnsi" w:hAnsiTheme="majorHAnsi" w:cstheme="majorHAnsi"/>
          <w:sz w:val="24"/>
          <w:szCs w:val="24"/>
          <w:lang w:val="ro-MD"/>
        </w:rPr>
        <w:t xml:space="preserve">toate instituțiile de cercetări științifice prezintă </w:t>
      </w:r>
      <w:r w:rsidRPr="00C01385">
        <w:rPr>
          <w:rFonts w:asciiTheme="majorHAnsi" w:hAnsiTheme="majorHAnsi" w:cstheme="majorHAnsi"/>
          <w:sz w:val="24"/>
          <w:szCs w:val="24"/>
          <w:lang w:val="ro-MD"/>
        </w:rPr>
        <w:t>Agenți</w:t>
      </w:r>
      <w:r>
        <w:rPr>
          <w:rFonts w:asciiTheme="majorHAnsi" w:hAnsiTheme="majorHAnsi" w:cstheme="majorHAnsi"/>
          <w:sz w:val="24"/>
          <w:szCs w:val="24"/>
          <w:lang w:val="ro-MD"/>
        </w:rPr>
        <w:t>ei</w:t>
      </w:r>
      <w:r w:rsidRPr="00C01385">
        <w:rPr>
          <w:rFonts w:asciiTheme="majorHAnsi" w:hAnsiTheme="majorHAnsi" w:cstheme="majorHAnsi"/>
          <w:sz w:val="24"/>
          <w:szCs w:val="24"/>
          <w:lang w:val="ro-MD"/>
        </w:rPr>
        <w:t xml:space="preserve"> Național</w:t>
      </w:r>
      <w:r>
        <w:rPr>
          <w:rFonts w:asciiTheme="majorHAnsi" w:hAnsiTheme="majorHAnsi" w:cstheme="majorHAnsi"/>
          <w:sz w:val="24"/>
          <w:szCs w:val="24"/>
          <w:lang w:val="ro-MD"/>
        </w:rPr>
        <w:t>e</w:t>
      </w:r>
      <w:r w:rsidRPr="00C01385">
        <w:rPr>
          <w:rFonts w:asciiTheme="majorHAnsi" w:hAnsiTheme="majorHAnsi" w:cstheme="majorHAnsi"/>
          <w:sz w:val="24"/>
          <w:szCs w:val="24"/>
          <w:lang w:val="ro-MD"/>
        </w:rPr>
        <w:t xml:space="preserve"> pentru Cercetare și Dezvoltare</w:t>
      </w:r>
      <w:r w:rsidRPr="00CD7FE5">
        <w:rPr>
          <w:rFonts w:asciiTheme="majorHAnsi" w:hAnsiTheme="majorHAnsi" w:cstheme="majorHAnsi"/>
          <w:sz w:val="24"/>
          <w:szCs w:val="24"/>
          <w:lang w:val="ro-MD"/>
        </w:rPr>
        <w:t xml:space="preserve"> rapoarte financiare privind cheltuielile efectuate p</w:t>
      </w:r>
      <w:r>
        <w:rPr>
          <w:rFonts w:asciiTheme="majorHAnsi" w:hAnsiTheme="majorHAnsi" w:cstheme="majorHAnsi"/>
          <w:sz w:val="24"/>
          <w:szCs w:val="24"/>
          <w:lang w:val="ro-MD"/>
        </w:rPr>
        <w:t>entru</w:t>
      </w:r>
      <w:r w:rsidRPr="00CD7FE5">
        <w:rPr>
          <w:rFonts w:asciiTheme="majorHAnsi" w:hAnsiTheme="majorHAnsi" w:cstheme="majorHAnsi"/>
          <w:sz w:val="24"/>
          <w:szCs w:val="24"/>
          <w:lang w:val="ro-MD"/>
        </w:rPr>
        <w:t xml:space="preserve"> executarea fiecărui proiect de cercetare și inovare, cu descifrarea cheltuielilor pe cod ECO și cu anexarea copiilor facturil</w:t>
      </w:r>
      <w:r>
        <w:rPr>
          <w:rFonts w:asciiTheme="majorHAnsi" w:hAnsiTheme="majorHAnsi" w:cstheme="majorHAnsi"/>
          <w:sz w:val="24"/>
          <w:szCs w:val="24"/>
          <w:lang w:val="ro-MD"/>
        </w:rPr>
        <w:t>or și documentelor confirmative, v</w:t>
      </w:r>
      <w:r w:rsidR="007A65F5" w:rsidRPr="00CD7FE5">
        <w:rPr>
          <w:rFonts w:asciiTheme="majorHAnsi" w:hAnsiTheme="majorHAnsi" w:cstheme="majorHAnsi"/>
          <w:sz w:val="24"/>
          <w:szCs w:val="24"/>
          <w:lang w:val="ro-MD"/>
        </w:rPr>
        <w:t xml:space="preserve">aloarea activelor nemateriale deținute de </w:t>
      </w:r>
      <w:r w:rsidR="00E937DB">
        <w:rPr>
          <w:rFonts w:asciiTheme="majorHAnsi" w:hAnsiTheme="majorHAnsi" w:cstheme="majorHAnsi"/>
          <w:sz w:val="24"/>
          <w:szCs w:val="24"/>
          <w:lang w:val="ro-MD"/>
        </w:rPr>
        <w:t xml:space="preserve">către </w:t>
      </w:r>
      <w:r w:rsidR="007A65F5" w:rsidRPr="00CD7FE5">
        <w:rPr>
          <w:rFonts w:asciiTheme="majorHAnsi" w:hAnsiTheme="majorHAnsi" w:cstheme="majorHAnsi"/>
          <w:sz w:val="24"/>
          <w:szCs w:val="24"/>
          <w:lang w:val="ro-MD"/>
        </w:rPr>
        <w:t xml:space="preserve">aceste instituții, </w:t>
      </w:r>
      <w:r w:rsidR="00D50C44">
        <w:rPr>
          <w:rFonts w:asciiTheme="majorHAnsi" w:hAnsiTheme="majorHAnsi" w:cstheme="majorHAnsi"/>
          <w:sz w:val="24"/>
          <w:szCs w:val="24"/>
          <w:lang w:val="ro-MD"/>
        </w:rPr>
        <w:t xml:space="preserve">la sfârșitul </w:t>
      </w:r>
      <w:r w:rsidR="007A65F5" w:rsidRPr="00CD7FE5">
        <w:rPr>
          <w:rFonts w:asciiTheme="majorHAnsi" w:hAnsiTheme="majorHAnsi" w:cstheme="majorHAnsi"/>
          <w:sz w:val="24"/>
          <w:szCs w:val="24"/>
          <w:lang w:val="ro-MD"/>
        </w:rPr>
        <w:t>anul</w:t>
      </w:r>
      <w:r w:rsidR="00D50C44">
        <w:rPr>
          <w:rFonts w:asciiTheme="majorHAnsi" w:hAnsiTheme="majorHAnsi" w:cstheme="majorHAnsi"/>
          <w:sz w:val="24"/>
          <w:szCs w:val="24"/>
          <w:lang w:val="ro-MD"/>
        </w:rPr>
        <w:t>ui</w:t>
      </w:r>
      <w:r w:rsidR="007A65F5" w:rsidRPr="00CD7FE5">
        <w:rPr>
          <w:rFonts w:asciiTheme="majorHAnsi" w:hAnsiTheme="majorHAnsi" w:cstheme="majorHAnsi"/>
          <w:sz w:val="24"/>
          <w:szCs w:val="24"/>
          <w:lang w:val="ro-MD"/>
        </w:rPr>
        <w:t xml:space="preserve"> 2020 a constituit 2365,96 mii lei, comparativ cu 2116,23 mii lei </w:t>
      </w:r>
      <w:r w:rsidR="00E937DB">
        <w:rPr>
          <w:rFonts w:asciiTheme="majorHAnsi" w:hAnsiTheme="majorHAnsi" w:cstheme="majorHAnsi"/>
          <w:sz w:val="24"/>
          <w:szCs w:val="24"/>
          <w:lang w:val="ro-MD"/>
        </w:rPr>
        <w:t xml:space="preserve">- </w:t>
      </w:r>
      <w:r w:rsidR="007A65F5" w:rsidRPr="00CD7FE5">
        <w:rPr>
          <w:rFonts w:asciiTheme="majorHAnsi" w:hAnsiTheme="majorHAnsi" w:cstheme="majorHAnsi"/>
          <w:sz w:val="24"/>
          <w:szCs w:val="24"/>
          <w:lang w:val="ro-MD"/>
        </w:rPr>
        <w:t xml:space="preserve">înregistrate la începutul anului. </w:t>
      </w:r>
    </w:p>
    <w:p w14:paraId="7AADF81E" w14:textId="2FEC85EA" w:rsidR="007A65F5" w:rsidRPr="00CD7FE5" w:rsidRDefault="00D50C44" w:rsidP="007A65F5">
      <w:pPr>
        <w:spacing w:after="0" w:line="276" w:lineRule="auto"/>
        <w:ind w:right="-47"/>
        <w:jc w:val="both"/>
        <w:rPr>
          <w:rFonts w:asciiTheme="majorHAnsi" w:hAnsiTheme="majorHAnsi" w:cstheme="majorHAnsi"/>
          <w:sz w:val="24"/>
          <w:szCs w:val="24"/>
          <w:lang w:val="ro-MD"/>
        </w:rPr>
      </w:pPr>
      <w:r>
        <w:rPr>
          <w:rFonts w:asciiTheme="majorHAnsi" w:hAnsiTheme="majorHAnsi" w:cstheme="majorHAnsi"/>
          <w:sz w:val="24"/>
          <w:szCs w:val="24"/>
          <w:lang w:val="ro-MD"/>
        </w:rPr>
        <w:t>De menționat că, î</w:t>
      </w:r>
      <w:r w:rsidR="007A65F5" w:rsidRPr="00CD7FE5">
        <w:rPr>
          <w:rFonts w:asciiTheme="majorHAnsi" w:hAnsiTheme="majorHAnsi" w:cstheme="majorHAnsi"/>
          <w:sz w:val="24"/>
          <w:szCs w:val="24"/>
          <w:lang w:val="ro-MD"/>
        </w:rPr>
        <w:t xml:space="preserve">n anul 2020, 10 instituții au achitat Agenției de Stat pentru Proprietatea Intelectuală </w:t>
      </w:r>
      <w:r w:rsidR="00E937DB">
        <w:rPr>
          <w:rFonts w:asciiTheme="majorHAnsi" w:hAnsiTheme="majorHAnsi" w:cstheme="majorHAnsi"/>
          <w:sz w:val="24"/>
          <w:szCs w:val="24"/>
          <w:lang w:val="ro-MD"/>
        </w:rPr>
        <w:t xml:space="preserve">suma de </w:t>
      </w:r>
      <w:r w:rsidR="007A65F5" w:rsidRPr="00CD7FE5">
        <w:rPr>
          <w:rFonts w:asciiTheme="majorHAnsi" w:hAnsiTheme="majorHAnsi" w:cstheme="majorHAnsi"/>
          <w:sz w:val="24"/>
          <w:szCs w:val="24"/>
          <w:lang w:val="ro-MD"/>
        </w:rPr>
        <w:t>51,4 mii lei</w:t>
      </w:r>
      <w:r w:rsidR="007A65F5" w:rsidRPr="00CD7FE5">
        <w:rPr>
          <w:rStyle w:val="FootnoteReference"/>
          <w:rFonts w:asciiTheme="majorHAnsi" w:hAnsiTheme="majorHAnsi" w:cstheme="majorHAnsi"/>
          <w:sz w:val="24"/>
          <w:szCs w:val="24"/>
          <w:lang w:val="ro-MD"/>
        </w:rPr>
        <w:footnoteReference w:id="38"/>
      </w:r>
      <w:r w:rsidR="007A65F5" w:rsidRPr="00CD7FE5">
        <w:rPr>
          <w:rFonts w:asciiTheme="majorHAnsi" w:hAnsiTheme="majorHAnsi" w:cstheme="majorHAnsi"/>
          <w:sz w:val="24"/>
          <w:szCs w:val="24"/>
          <w:lang w:val="ro-MD"/>
        </w:rPr>
        <w:t xml:space="preserve"> pentru examinarea cererilor de înregistrare a brevetelor. </w:t>
      </w:r>
    </w:p>
    <w:p w14:paraId="7247FC8A" w14:textId="019E7DE3" w:rsidR="008C5241" w:rsidRPr="00CD7FE5" w:rsidRDefault="008D4F50" w:rsidP="00E27226">
      <w:pPr>
        <w:tabs>
          <w:tab w:val="left" w:pos="284"/>
        </w:tabs>
        <w:spacing w:after="0" w:line="276" w:lineRule="auto"/>
        <w:ind w:right="-64"/>
        <w:jc w:val="both"/>
        <w:rPr>
          <w:rFonts w:asciiTheme="majorHAnsi" w:eastAsia="Times New Roman" w:hAnsiTheme="majorHAnsi" w:cstheme="majorHAnsi"/>
          <w:b/>
          <w:bCs/>
          <w:sz w:val="24"/>
          <w:szCs w:val="24"/>
          <w:highlight w:val="yellow"/>
          <w:lang w:val="ro-MD"/>
        </w:rPr>
      </w:pPr>
      <w:r w:rsidRPr="00CD7FE5">
        <w:rPr>
          <w:rFonts w:asciiTheme="majorHAnsi" w:eastAsia="Times New Roman" w:hAnsiTheme="majorHAnsi" w:cstheme="majorHAnsi"/>
          <w:b/>
          <w:bCs/>
          <w:sz w:val="24"/>
          <w:szCs w:val="24"/>
          <w:lang w:val="ro-MD"/>
        </w:rPr>
        <w:t>6</w:t>
      </w:r>
      <w:r w:rsidR="00626136" w:rsidRPr="00CD7FE5">
        <w:rPr>
          <w:rFonts w:asciiTheme="majorHAnsi" w:eastAsia="Times New Roman" w:hAnsiTheme="majorHAnsi" w:cstheme="majorHAnsi"/>
          <w:b/>
          <w:bCs/>
          <w:sz w:val="24"/>
          <w:szCs w:val="24"/>
          <w:lang w:val="ro-MD"/>
        </w:rPr>
        <w:t>.8</w:t>
      </w:r>
      <w:r w:rsidR="00530105" w:rsidRPr="00CD7FE5">
        <w:rPr>
          <w:rFonts w:asciiTheme="majorHAnsi" w:eastAsia="Times New Roman" w:hAnsiTheme="majorHAnsi" w:cstheme="majorHAnsi"/>
          <w:b/>
          <w:bCs/>
          <w:sz w:val="24"/>
          <w:szCs w:val="24"/>
          <w:lang w:val="ro-MD"/>
        </w:rPr>
        <w:t xml:space="preserve">. </w:t>
      </w:r>
      <w:r w:rsidR="00E27226" w:rsidRPr="00CD7FE5">
        <w:rPr>
          <w:rFonts w:asciiTheme="majorHAnsi" w:hAnsiTheme="majorHAnsi" w:cstheme="majorHAnsi"/>
          <w:sz w:val="24"/>
          <w:szCs w:val="24"/>
          <w:lang w:val="ro-MD"/>
        </w:rPr>
        <w:t xml:space="preserve">MECC nu a întreprins măsuri </w:t>
      </w:r>
      <w:r w:rsidR="00AF0F9B">
        <w:rPr>
          <w:rFonts w:asciiTheme="majorHAnsi" w:hAnsiTheme="majorHAnsi" w:cstheme="majorHAnsi"/>
          <w:sz w:val="24"/>
          <w:szCs w:val="24"/>
          <w:lang w:val="ro-MD"/>
        </w:rPr>
        <w:t>privind</w:t>
      </w:r>
      <w:r w:rsidR="00E27226" w:rsidRPr="00CD7FE5">
        <w:rPr>
          <w:rFonts w:asciiTheme="majorHAnsi" w:hAnsiTheme="majorHAnsi" w:cstheme="majorHAnsi"/>
          <w:sz w:val="24"/>
          <w:szCs w:val="24"/>
          <w:lang w:val="ro-MD"/>
        </w:rPr>
        <w:t xml:space="preserve"> revizui</w:t>
      </w:r>
      <w:r w:rsidR="00AF0F9B">
        <w:rPr>
          <w:rFonts w:asciiTheme="majorHAnsi" w:hAnsiTheme="majorHAnsi" w:cstheme="majorHAnsi"/>
          <w:sz w:val="24"/>
          <w:szCs w:val="24"/>
          <w:lang w:val="ro-MD"/>
        </w:rPr>
        <w:t>rea</w:t>
      </w:r>
      <w:r w:rsidR="00E27226" w:rsidRPr="00CD7FE5">
        <w:rPr>
          <w:rFonts w:asciiTheme="majorHAnsi" w:hAnsiTheme="majorHAnsi" w:cstheme="majorHAnsi"/>
          <w:sz w:val="24"/>
          <w:szCs w:val="24"/>
          <w:lang w:val="ro-MD"/>
        </w:rPr>
        <w:t xml:space="preserve"> normel</w:t>
      </w:r>
      <w:r w:rsidR="00AF0F9B">
        <w:rPr>
          <w:rFonts w:asciiTheme="majorHAnsi" w:hAnsiTheme="majorHAnsi" w:cstheme="majorHAnsi"/>
          <w:sz w:val="24"/>
          <w:szCs w:val="24"/>
          <w:lang w:val="ro-MD"/>
        </w:rPr>
        <w:t>or</w:t>
      </w:r>
      <w:r w:rsidR="00E27226" w:rsidRPr="00CD7FE5">
        <w:rPr>
          <w:rFonts w:asciiTheme="majorHAnsi" w:hAnsiTheme="majorHAnsi" w:cstheme="majorHAnsi"/>
          <w:sz w:val="24"/>
          <w:szCs w:val="24"/>
          <w:lang w:val="ro-MD"/>
        </w:rPr>
        <w:t xml:space="preserve"> pentru alimentația elevilor din instituțiile de învățăm</w:t>
      </w:r>
      <w:r w:rsidR="00AF0F9B">
        <w:rPr>
          <w:rFonts w:asciiTheme="majorHAnsi" w:hAnsiTheme="majorHAnsi" w:cstheme="majorHAnsi"/>
          <w:sz w:val="24"/>
          <w:szCs w:val="24"/>
          <w:lang w:val="ro-MD"/>
        </w:rPr>
        <w:t>â</w:t>
      </w:r>
      <w:r w:rsidR="00E27226" w:rsidRPr="00CD7FE5">
        <w:rPr>
          <w:rFonts w:asciiTheme="majorHAnsi" w:hAnsiTheme="majorHAnsi" w:cstheme="majorHAnsi"/>
          <w:sz w:val="24"/>
          <w:szCs w:val="24"/>
          <w:lang w:val="ro-MD"/>
        </w:rPr>
        <w:t xml:space="preserve">nt profesional tehnic în </w:t>
      </w:r>
      <w:r w:rsidR="00AF0F9B">
        <w:rPr>
          <w:rFonts w:asciiTheme="majorHAnsi" w:hAnsiTheme="majorHAnsi" w:cstheme="majorHAnsi"/>
          <w:sz w:val="24"/>
          <w:szCs w:val="24"/>
          <w:lang w:val="ro-MD"/>
        </w:rPr>
        <w:t>funcție de faptul</w:t>
      </w:r>
      <w:r w:rsidR="00E27226" w:rsidRPr="00CD7FE5">
        <w:rPr>
          <w:rFonts w:asciiTheme="majorHAnsi" w:hAnsiTheme="majorHAnsi" w:cstheme="majorHAnsi"/>
          <w:sz w:val="24"/>
          <w:szCs w:val="24"/>
          <w:lang w:val="ro-MD"/>
        </w:rPr>
        <w:t xml:space="preserve"> dacă dispun sau nu de cantine proprii. Respectiv</w:t>
      </w:r>
      <w:r w:rsidR="00AF0F9B">
        <w:rPr>
          <w:rFonts w:asciiTheme="majorHAnsi" w:hAnsiTheme="majorHAnsi" w:cstheme="majorHAnsi"/>
          <w:sz w:val="24"/>
          <w:szCs w:val="24"/>
          <w:lang w:val="ro-MD"/>
        </w:rPr>
        <w:t>,</w:t>
      </w:r>
      <w:r w:rsidR="00E27226" w:rsidRPr="00CD7FE5">
        <w:rPr>
          <w:rFonts w:asciiTheme="majorHAnsi" w:hAnsiTheme="majorHAnsi" w:cstheme="majorHAnsi"/>
          <w:sz w:val="24"/>
          <w:szCs w:val="24"/>
          <w:lang w:val="ro-MD"/>
        </w:rPr>
        <w:t xml:space="preserve"> problemele identificate în raportul </w:t>
      </w:r>
      <w:r w:rsidR="00E27226" w:rsidRPr="00C01385">
        <w:rPr>
          <w:rFonts w:asciiTheme="majorHAnsi" w:hAnsiTheme="majorHAnsi" w:cstheme="majorHAnsi"/>
          <w:sz w:val="24"/>
          <w:szCs w:val="24"/>
          <w:lang w:val="ro-MD"/>
        </w:rPr>
        <w:t xml:space="preserve">precedent </w:t>
      </w:r>
      <w:r w:rsidR="005B4BD7" w:rsidRPr="00C01385">
        <w:rPr>
          <w:rFonts w:asciiTheme="majorHAnsi" w:hAnsiTheme="majorHAnsi" w:cstheme="majorHAnsi"/>
          <w:sz w:val="24"/>
          <w:szCs w:val="24"/>
          <w:lang w:val="ro-MD"/>
        </w:rPr>
        <w:t>se mențin</w:t>
      </w:r>
      <w:r w:rsidR="00E27226" w:rsidRPr="00CD7FE5">
        <w:rPr>
          <w:rFonts w:asciiTheme="majorHAnsi" w:hAnsiTheme="majorHAnsi" w:cstheme="majorHAnsi"/>
          <w:sz w:val="24"/>
          <w:szCs w:val="24"/>
          <w:lang w:val="ro-MD"/>
        </w:rPr>
        <w:t>. P</w:t>
      </w:r>
      <w:r w:rsidR="00530105" w:rsidRPr="00CD7FE5">
        <w:rPr>
          <w:rFonts w:asciiTheme="majorHAnsi" w:eastAsia="Calibri" w:hAnsiTheme="majorHAnsi" w:cstheme="majorHAnsi"/>
          <w:sz w:val="24"/>
          <w:szCs w:val="24"/>
          <w:lang w:val="ro-MD"/>
        </w:rPr>
        <w:t>lanificarea cheltuielilor pentru alimentarea gratuită a elevilor din unitățile de învățământ profesional tehnic secundar</w:t>
      </w:r>
      <w:r w:rsidR="00530105" w:rsidRPr="00CD7FE5">
        <w:rPr>
          <w:rFonts w:asciiTheme="majorHAnsi" w:eastAsia="Calibri" w:hAnsiTheme="majorHAnsi" w:cstheme="majorHAnsi"/>
          <w:sz w:val="24"/>
          <w:szCs w:val="24"/>
          <w:vertAlign w:val="superscript"/>
          <w:lang w:val="ro-MD"/>
        </w:rPr>
        <w:footnoteReference w:id="39"/>
      </w:r>
      <w:r w:rsidR="00530105" w:rsidRPr="00CD7FE5">
        <w:rPr>
          <w:rFonts w:asciiTheme="majorHAnsi" w:eastAsia="Calibri" w:hAnsiTheme="majorHAnsi" w:cstheme="majorHAnsi"/>
          <w:sz w:val="24"/>
          <w:szCs w:val="24"/>
          <w:lang w:val="ro-MD"/>
        </w:rPr>
        <w:t xml:space="preserve"> </w:t>
      </w:r>
      <w:r w:rsidR="00E27226" w:rsidRPr="00CD7FE5">
        <w:rPr>
          <w:rFonts w:asciiTheme="majorHAnsi" w:eastAsia="Calibri" w:hAnsiTheme="majorHAnsi" w:cstheme="majorHAnsi"/>
          <w:sz w:val="24"/>
          <w:szCs w:val="24"/>
          <w:lang w:val="ro-MD"/>
        </w:rPr>
        <w:t>pentr</w:t>
      </w:r>
      <w:r w:rsidR="006B7D72" w:rsidRPr="00CD7FE5">
        <w:rPr>
          <w:rFonts w:asciiTheme="majorHAnsi" w:eastAsia="Calibri" w:hAnsiTheme="majorHAnsi" w:cstheme="majorHAnsi"/>
          <w:sz w:val="24"/>
          <w:szCs w:val="24"/>
          <w:lang w:val="ro-MD"/>
        </w:rPr>
        <w:t>u</w:t>
      </w:r>
      <w:r w:rsidR="00E27226" w:rsidRPr="00CD7FE5">
        <w:rPr>
          <w:rFonts w:asciiTheme="majorHAnsi" w:eastAsia="Calibri" w:hAnsiTheme="majorHAnsi" w:cstheme="majorHAnsi"/>
          <w:sz w:val="24"/>
          <w:szCs w:val="24"/>
          <w:lang w:val="ro-MD"/>
        </w:rPr>
        <w:t xml:space="preserve"> anul 2020 </w:t>
      </w:r>
      <w:r w:rsidR="00530105" w:rsidRPr="00CD7FE5">
        <w:rPr>
          <w:rFonts w:asciiTheme="majorHAnsi" w:eastAsia="Calibri" w:hAnsiTheme="majorHAnsi" w:cstheme="majorHAnsi"/>
          <w:sz w:val="24"/>
          <w:szCs w:val="24"/>
          <w:lang w:val="ro-MD"/>
        </w:rPr>
        <w:t xml:space="preserve">s-a efectuat neconform și neuniform. Astfel, dacă pentru 7 instituții s-au planificat și s-au alocat mijloace doar pentru alimentație, atunci pentru 40 de instituții s-au planificat și s-au alocat suplimentar mijloace financiare pentru întreținerea cantinelor, </w:t>
      </w:r>
      <w:r w:rsidR="004C55AF">
        <w:rPr>
          <w:rFonts w:asciiTheme="majorHAnsi" w:hAnsiTheme="majorHAnsi" w:cstheme="majorHAnsi"/>
          <w:iCs/>
          <w:sz w:val="24"/>
          <w:szCs w:val="24"/>
          <w:lang w:val="ro-MD"/>
        </w:rPr>
        <w:t>fapt</w:t>
      </w:r>
      <w:r w:rsidR="00530105" w:rsidRPr="00CD7FE5">
        <w:rPr>
          <w:rFonts w:asciiTheme="majorHAnsi" w:hAnsiTheme="majorHAnsi" w:cstheme="majorHAnsi"/>
          <w:iCs/>
          <w:sz w:val="24"/>
          <w:szCs w:val="24"/>
          <w:lang w:val="ro-MD"/>
        </w:rPr>
        <w:t xml:space="preserve"> c</w:t>
      </w:r>
      <w:r w:rsidR="004C55AF">
        <w:rPr>
          <w:rFonts w:asciiTheme="majorHAnsi" w:hAnsiTheme="majorHAnsi" w:cstheme="majorHAnsi"/>
          <w:iCs/>
          <w:sz w:val="24"/>
          <w:szCs w:val="24"/>
          <w:lang w:val="ro-MD"/>
        </w:rPr>
        <w:t>ar</w:t>
      </w:r>
      <w:r w:rsidR="00530105" w:rsidRPr="00CD7FE5">
        <w:rPr>
          <w:rFonts w:asciiTheme="majorHAnsi" w:hAnsiTheme="majorHAnsi" w:cstheme="majorHAnsi"/>
          <w:iCs/>
          <w:sz w:val="24"/>
          <w:szCs w:val="24"/>
          <w:lang w:val="ro-MD"/>
        </w:rPr>
        <w:t>e a cond</w:t>
      </w:r>
      <w:r w:rsidR="00AF0F9B">
        <w:rPr>
          <w:rFonts w:asciiTheme="majorHAnsi" w:hAnsiTheme="majorHAnsi" w:cstheme="majorHAnsi"/>
          <w:iCs/>
          <w:sz w:val="24"/>
          <w:szCs w:val="24"/>
          <w:lang w:val="ro-MD"/>
        </w:rPr>
        <w:t>iționat</w:t>
      </w:r>
      <w:r w:rsidR="00530105" w:rsidRPr="00CD7FE5">
        <w:rPr>
          <w:rFonts w:asciiTheme="majorHAnsi" w:hAnsiTheme="majorHAnsi" w:cstheme="majorHAnsi"/>
          <w:iCs/>
          <w:sz w:val="24"/>
          <w:szCs w:val="24"/>
          <w:lang w:val="ro-MD"/>
        </w:rPr>
        <w:t xml:space="preserve"> supraevaluarea </w:t>
      </w:r>
      <w:r w:rsidR="00530105" w:rsidRPr="00C01385">
        <w:rPr>
          <w:rFonts w:asciiTheme="majorHAnsi" w:hAnsiTheme="majorHAnsi" w:cstheme="majorHAnsi"/>
          <w:iCs/>
          <w:sz w:val="24"/>
          <w:szCs w:val="24"/>
          <w:lang w:val="ro-MD"/>
        </w:rPr>
        <w:t xml:space="preserve">cheltuielilor </w:t>
      </w:r>
      <w:r w:rsidR="00AF0F9B" w:rsidRPr="00C01385">
        <w:rPr>
          <w:rFonts w:asciiTheme="majorHAnsi" w:hAnsiTheme="majorHAnsi" w:cstheme="majorHAnsi"/>
          <w:iCs/>
          <w:sz w:val="24"/>
          <w:szCs w:val="24"/>
          <w:lang w:val="ro-MD"/>
        </w:rPr>
        <w:t>cu</w:t>
      </w:r>
      <w:r w:rsidR="00530105" w:rsidRPr="00C01385">
        <w:rPr>
          <w:rFonts w:asciiTheme="majorHAnsi" w:hAnsiTheme="majorHAnsi" w:cstheme="majorHAnsi"/>
          <w:iCs/>
          <w:sz w:val="24"/>
          <w:szCs w:val="24"/>
          <w:lang w:val="ro-MD"/>
        </w:rPr>
        <w:t xml:space="preserve"> sum</w:t>
      </w:r>
      <w:r w:rsidR="00AF0F9B" w:rsidRPr="00C01385">
        <w:rPr>
          <w:rFonts w:asciiTheme="majorHAnsi" w:hAnsiTheme="majorHAnsi" w:cstheme="majorHAnsi"/>
          <w:iCs/>
          <w:sz w:val="24"/>
          <w:szCs w:val="24"/>
          <w:lang w:val="ro-MD"/>
        </w:rPr>
        <w:t>a</w:t>
      </w:r>
      <w:r w:rsidR="00530105" w:rsidRPr="00C01385">
        <w:rPr>
          <w:rFonts w:asciiTheme="majorHAnsi" w:hAnsiTheme="majorHAnsi" w:cstheme="majorHAnsi"/>
          <w:iCs/>
          <w:sz w:val="24"/>
          <w:szCs w:val="24"/>
          <w:lang w:val="ro-MD"/>
        </w:rPr>
        <w:t xml:space="preserve"> totală</w:t>
      </w:r>
      <w:r w:rsidR="00530105" w:rsidRPr="00CD7FE5">
        <w:rPr>
          <w:rFonts w:asciiTheme="majorHAnsi" w:hAnsiTheme="majorHAnsi" w:cstheme="majorHAnsi"/>
          <w:iCs/>
          <w:sz w:val="24"/>
          <w:szCs w:val="24"/>
          <w:lang w:val="ro-MD"/>
        </w:rPr>
        <w:t xml:space="preserve"> de </w:t>
      </w:r>
      <w:r w:rsidR="00530105" w:rsidRPr="00CD7FE5">
        <w:rPr>
          <w:rFonts w:asciiTheme="majorHAnsi" w:hAnsiTheme="majorHAnsi" w:cstheme="majorHAnsi"/>
          <w:b/>
          <w:iCs/>
          <w:sz w:val="24"/>
          <w:szCs w:val="24"/>
          <w:lang w:val="ro-MD"/>
        </w:rPr>
        <w:t>12,13 mil.lei</w:t>
      </w:r>
      <w:r w:rsidR="00530105" w:rsidRPr="00CD7FE5">
        <w:rPr>
          <w:rFonts w:asciiTheme="majorHAnsi" w:hAnsiTheme="majorHAnsi" w:cstheme="majorHAnsi"/>
          <w:iCs/>
          <w:sz w:val="24"/>
          <w:szCs w:val="24"/>
          <w:lang w:val="ro-MD"/>
        </w:rPr>
        <w:t>.</w:t>
      </w:r>
      <w:r w:rsidR="00875AC1" w:rsidRPr="00CD7FE5">
        <w:rPr>
          <w:rFonts w:asciiTheme="majorHAnsi" w:hAnsiTheme="majorHAnsi" w:cstheme="majorHAnsi"/>
          <w:iCs/>
          <w:sz w:val="24"/>
          <w:szCs w:val="24"/>
          <w:lang w:val="ro-MD"/>
        </w:rPr>
        <w:t xml:space="preserve"> Situați</w:t>
      </w:r>
      <w:r w:rsidR="00AF0F9B">
        <w:rPr>
          <w:rFonts w:asciiTheme="majorHAnsi" w:hAnsiTheme="majorHAnsi" w:cstheme="majorHAnsi"/>
          <w:iCs/>
          <w:sz w:val="24"/>
          <w:szCs w:val="24"/>
          <w:lang w:val="ro-MD"/>
        </w:rPr>
        <w:t>i</w:t>
      </w:r>
      <w:r w:rsidR="00875AC1" w:rsidRPr="00CD7FE5">
        <w:rPr>
          <w:rFonts w:asciiTheme="majorHAnsi" w:hAnsiTheme="majorHAnsi" w:cstheme="majorHAnsi"/>
          <w:iCs/>
          <w:sz w:val="24"/>
          <w:szCs w:val="24"/>
          <w:lang w:val="ro-MD"/>
        </w:rPr>
        <w:t xml:space="preserve"> similar</w:t>
      </w:r>
      <w:r w:rsidR="00AF0F9B">
        <w:rPr>
          <w:rFonts w:asciiTheme="majorHAnsi" w:hAnsiTheme="majorHAnsi" w:cstheme="majorHAnsi"/>
          <w:iCs/>
          <w:sz w:val="24"/>
          <w:szCs w:val="24"/>
          <w:lang w:val="ro-MD"/>
        </w:rPr>
        <w:t>e</w:t>
      </w:r>
      <w:r w:rsidR="00875AC1" w:rsidRPr="00CD7FE5">
        <w:rPr>
          <w:rFonts w:asciiTheme="majorHAnsi" w:hAnsiTheme="majorHAnsi" w:cstheme="majorHAnsi"/>
          <w:iCs/>
          <w:sz w:val="24"/>
          <w:szCs w:val="24"/>
          <w:lang w:val="ro-MD"/>
        </w:rPr>
        <w:t xml:space="preserve"> </w:t>
      </w:r>
      <w:r w:rsidR="00AF0F9B">
        <w:rPr>
          <w:rFonts w:asciiTheme="majorHAnsi" w:hAnsiTheme="majorHAnsi" w:cstheme="majorHAnsi"/>
          <w:iCs/>
          <w:sz w:val="24"/>
          <w:szCs w:val="24"/>
          <w:lang w:val="ro-MD"/>
        </w:rPr>
        <w:t>s-au atestat</w:t>
      </w:r>
      <w:r w:rsidR="00875AC1" w:rsidRPr="00CD7FE5">
        <w:rPr>
          <w:rFonts w:asciiTheme="majorHAnsi" w:hAnsiTheme="majorHAnsi" w:cstheme="majorHAnsi"/>
          <w:iCs/>
          <w:sz w:val="24"/>
          <w:szCs w:val="24"/>
          <w:lang w:val="ro-MD"/>
        </w:rPr>
        <w:t xml:space="preserve"> și </w:t>
      </w:r>
      <w:r w:rsidR="00EF7DE4" w:rsidRPr="00CD7FE5">
        <w:rPr>
          <w:rFonts w:asciiTheme="majorHAnsi" w:hAnsiTheme="majorHAnsi" w:cstheme="majorHAnsi"/>
          <w:iCs/>
          <w:sz w:val="24"/>
          <w:szCs w:val="24"/>
          <w:lang w:val="ro-MD"/>
        </w:rPr>
        <w:t xml:space="preserve">în </w:t>
      </w:r>
      <w:r w:rsidR="00875AC1" w:rsidRPr="00CD7FE5">
        <w:rPr>
          <w:rFonts w:asciiTheme="majorHAnsi" w:hAnsiTheme="majorHAnsi" w:cstheme="majorHAnsi"/>
          <w:iCs/>
          <w:sz w:val="24"/>
          <w:szCs w:val="24"/>
          <w:lang w:val="ro-MD"/>
        </w:rPr>
        <w:t>perioad</w:t>
      </w:r>
      <w:r w:rsidR="00EF7DE4" w:rsidRPr="00CD7FE5">
        <w:rPr>
          <w:rFonts w:asciiTheme="majorHAnsi" w:hAnsiTheme="majorHAnsi" w:cstheme="majorHAnsi"/>
          <w:iCs/>
          <w:sz w:val="24"/>
          <w:szCs w:val="24"/>
          <w:lang w:val="ro-MD"/>
        </w:rPr>
        <w:t>ele</w:t>
      </w:r>
      <w:r w:rsidR="00875AC1" w:rsidRPr="00CD7FE5">
        <w:rPr>
          <w:rFonts w:asciiTheme="majorHAnsi" w:hAnsiTheme="majorHAnsi" w:cstheme="majorHAnsi"/>
          <w:iCs/>
          <w:sz w:val="24"/>
          <w:szCs w:val="24"/>
          <w:lang w:val="ro-MD"/>
        </w:rPr>
        <w:t xml:space="preserve"> precede</w:t>
      </w:r>
      <w:r w:rsidR="00EF7DE4" w:rsidRPr="00CD7FE5">
        <w:rPr>
          <w:rFonts w:asciiTheme="majorHAnsi" w:hAnsiTheme="majorHAnsi" w:cstheme="majorHAnsi"/>
          <w:iCs/>
          <w:sz w:val="24"/>
          <w:szCs w:val="24"/>
          <w:lang w:val="ro-MD"/>
        </w:rPr>
        <w:t>nte</w:t>
      </w:r>
      <w:r w:rsidR="00875AC1" w:rsidRPr="00CD7FE5">
        <w:rPr>
          <w:rFonts w:asciiTheme="majorHAnsi" w:hAnsiTheme="majorHAnsi" w:cstheme="majorHAnsi"/>
          <w:iCs/>
          <w:sz w:val="24"/>
          <w:szCs w:val="24"/>
          <w:lang w:val="ro-MD"/>
        </w:rPr>
        <w:t>.</w:t>
      </w:r>
    </w:p>
    <w:p w14:paraId="5BA759B0" w14:textId="3D86343D" w:rsidR="00DC7D13" w:rsidRPr="00373FC9" w:rsidRDefault="008D4F50" w:rsidP="001B3285">
      <w:pPr>
        <w:spacing w:after="0" w:line="276" w:lineRule="auto"/>
        <w:jc w:val="both"/>
        <w:rPr>
          <w:rFonts w:asciiTheme="majorHAnsi" w:eastAsia="Times New Roman" w:hAnsiTheme="majorHAnsi" w:cstheme="majorHAnsi"/>
          <w:iCs/>
          <w:sz w:val="24"/>
          <w:szCs w:val="24"/>
          <w:lang w:val="ro-MD"/>
        </w:rPr>
      </w:pPr>
      <w:r w:rsidRPr="00CD7FE5">
        <w:rPr>
          <w:rFonts w:asciiTheme="majorHAnsi" w:hAnsiTheme="majorHAnsi" w:cstheme="majorHAnsi"/>
          <w:b/>
          <w:bCs/>
          <w:sz w:val="24"/>
          <w:szCs w:val="24"/>
          <w:lang w:val="ro-MD"/>
        </w:rPr>
        <w:t>6</w:t>
      </w:r>
      <w:r w:rsidR="00E27226" w:rsidRPr="00CD7FE5">
        <w:rPr>
          <w:rFonts w:asciiTheme="majorHAnsi" w:hAnsiTheme="majorHAnsi" w:cstheme="majorHAnsi"/>
          <w:b/>
          <w:bCs/>
          <w:sz w:val="24"/>
          <w:szCs w:val="24"/>
          <w:lang w:val="ro-MD"/>
        </w:rPr>
        <w:t>.9</w:t>
      </w:r>
      <w:r w:rsidR="004949B5" w:rsidRPr="00CD7FE5">
        <w:rPr>
          <w:rFonts w:asciiTheme="majorHAnsi" w:hAnsiTheme="majorHAnsi" w:cstheme="majorHAnsi"/>
          <w:b/>
          <w:bCs/>
          <w:sz w:val="24"/>
          <w:szCs w:val="24"/>
          <w:lang w:val="ro-MD"/>
        </w:rPr>
        <w:t>.</w:t>
      </w:r>
      <w:r w:rsidR="004949B5" w:rsidRPr="00CD7FE5">
        <w:rPr>
          <w:rFonts w:asciiTheme="majorHAnsi" w:eastAsia="Times New Roman" w:hAnsiTheme="majorHAnsi" w:cstheme="majorHAnsi"/>
          <w:i/>
          <w:sz w:val="24"/>
          <w:szCs w:val="24"/>
          <w:lang w:val="ro-MD"/>
        </w:rPr>
        <w:t xml:space="preserve"> </w:t>
      </w:r>
      <w:r w:rsidR="004949B5" w:rsidRPr="00CD7FE5">
        <w:rPr>
          <w:rFonts w:asciiTheme="majorHAnsi" w:eastAsia="Times New Roman" w:hAnsiTheme="majorHAnsi" w:cstheme="majorHAnsi"/>
          <w:iCs/>
          <w:sz w:val="24"/>
          <w:szCs w:val="24"/>
          <w:lang w:val="ro-MD"/>
        </w:rPr>
        <w:t xml:space="preserve">MECC nu a asigurat delimitarea și înregistrarea conformă a proprietății publice gestionate de entitățile din subordine. </w:t>
      </w:r>
      <w:r w:rsidR="004949B5" w:rsidRPr="00CD7FE5">
        <w:rPr>
          <w:rFonts w:asciiTheme="majorHAnsi" w:hAnsiTheme="majorHAnsi" w:cstheme="majorHAnsi"/>
          <w:sz w:val="24"/>
          <w:szCs w:val="24"/>
          <w:lang w:val="ro-MD"/>
        </w:rPr>
        <w:t>Auditul precedent</w:t>
      </w:r>
      <w:r w:rsidR="004949B5" w:rsidRPr="00CD7FE5">
        <w:rPr>
          <w:rStyle w:val="FootnoteReference"/>
          <w:rFonts w:asciiTheme="majorHAnsi" w:hAnsiTheme="majorHAnsi" w:cstheme="majorHAnsi"/>
          <w:sz w:val="24"/>
          <w:szCs w:val="24"/>
          <w:lang w:val="ro-MD"/>
        </w:rPr>
        <w:footnoteReference w:id="40"/>
      </w:r>
      <w:r w:rsidR="004949B5" w:rsidRPr="00CD7FE5">
        <w:rPr>
          <w:rFonts w:asciiTheme="majorHAnsi" w:hAnsiTheme="majorHAnsi" w:cstheme="majorHAnsi"/>
          <w:sz w:val="24"/>
          <w:szCs w:val="24"/>
          <w:lang w:val="ro-MD"/>
        </w:rPr>
        <w:t xml:space="preserve"> a menționat despre lipsa unor date exhaustive privind bunurile imobile proprietate publică a statului din gestiunea instituțiilor din cadrul MECC, situație </w:t>
      </w:r>
      <w:r w:rsidR="00AF0F9B">
        <w:rPr>
          <w:rFonts w:asciiTheme="majorHAnsi" w:hAnsiTheme="majorHAnsi" w:cstheme="majorHAnsi"/>
          <w:sz w:val="24"/>
          <w:szCs w:val="24"/>
          <w:lang w:val="ro-MD"/>
        </w:rPr>
        <w:t>determi</w:t>
      </w:r>
      <w:r w:rsidR="004949B5" w:rsidRPr="00CD7FE5">
        <w:rPr>
          <w:rFonts w:asciiTheme="majorHAnsi" w:hAnsiTheme="majorHAnsi" w:cstheme="majorHAnsi"/>
          <w:sz w:val="24"/>
          <w:szCs w:val="24"/>
          <w:lang w:val="ro-MD"/>
        </w:rPr>
        <w:t xml:space="preserve">nată de </w:t>
      </w:r>
      <w:r w:rsidR="004949B5" w:rsidRPr="00373FC9">
        <w:rPr>
          <w:rFonts w:asciiTheme="majorHAnsi" w:hAnsiTheme="majorHAnsi" w:cstheme="majorHAnsi"/>
          <w:sz w:val="24"/>
          <w:szCs w:val="24"/>
          <w:lang w:val="ro-MD"/>
        </w:rPr>
        <w:t>neactualizarea H</w:t>
      </w:r>
      <w:r w:rsidR="00742843">
        <w:rPr>
          <w:rFonts w:asciiTheme="majorHAnsi" w:hAnsiTheme="majorHAnsi" w:cstheme="majorHAnsi"/>
          <w:sz w:val="24"/>
          <w:szCs w:val="24"/>
          <w:lang w:val="ro-MD"/>
        </w:rPr>
        <w:t xml:space="preserve">otărârii </w:t>
      </w:r>
      <w:r w:rsidR="004949B5" w:rsidRPr="00373FC9">
        <w:rPr>
          <w:rFonts w:asciiTheme="majorHAnsi" w:hAnsiTheme="majorHAnsi" w:cstheme="majorHAnsi"/>
          <w:sz w:val="24"/>
          <w:szCs w:val="24"/>
          <w:lang w:val="ro-MD"/>
        </w:rPr>
        <w:t>G</w:t>
      </w:r>
      <w:r w:rsidR="00742843">
        <w:rPr>
          <w:rFonts w:asciiTheme="majorHAnsi" w:hAnsiTheme="majorHAnsi" w:cstheme="majorHAnsi"/>
          <w:sz w:val="24"/>
          <w:szCs w:val="24"/>
          <w:lang w:val="ro-MD"/>
        </w:rPr>
        <w:t>uvernului</w:t>
      </w:r>
      <w:r w:rsidR="004949B5" w:rsidRPr="00373FC9">
        <w:rPr>
          <w:rFonts w:asciiTheme="majorHAnsi" w:hAnsiTheme="majorHAnsi" w:cstheme="majorHAnsi"/>
          <w:sz w:val="24"/>
          <w:szCs w:val="24"/>
          <w:lang w:val="ro-MD"/>
        </w:rPr>
        <w:t xml:space="preserve"> nr.351 din 23.03.2005</w:t>
      </w:r>
      <w:r w:rsidR="004949B5" w:rsidRPr="00373FC9">
        <w:rPr>
          <w:rStyle w:val="FootnoteReference"/>
          <w:rFonts w:asciiTheme="majorHAnsi" w:hAnsiTheme="majorHAnsi" w:cstheme="majorHAnsi"/>
          <w:sz w:val="24"/>
          <w:szCs w:val="24"/>
          <w:lang w:val="ro-MD"/>
        </w:rPr>
        <w:footnoteReference w:id="41"/>
      </w:r>
      <w:r w:rsidR="004949B5" w:rsidRPr="00373FC9">
        <w:rPr>
          <w:rFonts w:asciiTheme="majorHAnsi" w:hAnsiTheme="majorHAnsi" w:cstheme="majorHAnsi"/>
          <w:sz w:val="24"/>
          <w:szCs w:val="24"/>
          <w:lang w:val="ro-MD"/>
        </w:rPr>
        <w:t>. Doar 36 din 88 de instituții din subordine și 93 din 1</w:t>
      </w:r>
      <w:r w:rsidR="00CF6636" w:rsidRPr="00373FC9">
        <w:rPr>
          <w:rFonts w:asciiTheme="majorHAnsi" w:hAnsiTheme="majorHAnsi" w:cstheme="majorHAnsi"/>
          <w:sz w:val="24"/>
          <w:szCs w:val="24"/>
          <w:lang w:val="ro-MD"/>
        </w:rPr>
        <w:t>1</w:t>
      </w:r>
      <w:r w:rsidR="00F26798" w:rsidRPr="00373FC9">
        <w:rPr>
          <w:rFonts w:asciiTheme="majorHAnsi" w:hAnsiTheme="majorHAnsi" w:cstheme="majorHAnsi"/>
          <w:sz w:val="24"/>
          <w:szCs w:val="24"/>
          <w:lang w:val="ro-MD"/>
        </w:rPr>
        <w:t>3</w:t>
      </w:r>
      <w:r w:rsidR="004949B5" w:rsidRPr="00373FC9">
        <w:rPr>
          <w:rFonts w:asciiTheme="majorHAnsi" w:hAnsiTheme="majorHAnsi" w:cstheme="majorHAnsi"/>
          <w:sz w:val="24"/>
          <w:szCs w:val="24"/>
          <w:lang w:val="ro-MD"/>
        </w:rPr>
        <w:t xml:space="preserve"> entități </w:t>
      </w:r>
      <w:r w:rsidR="00AF0F9B" w:rsidRPr="00373FC9">
        <w:rPr>
          <w:rFonts w:asciiTheme="majorHAnsi" w:hAnsiTheme="majorHAnsi" w:cstheme="majorHAnsi"/>
          <w:sz w:val="24"/>
          <w:szCs w:val="24"/>
          <w:lang w:val="ro-MD"/>
        </w:rPr>
        <w:t>al căror</w:t>
      </w:r>
      <w:r w:rsidR="004949B5" w:rsidRPr="00373FC9">
        <w:rPr>
          <w:rFonts w:asciiTheme="majorHAnsi" w:hAnsiTheme="majorHAnsi" w:cstheme="majorHAnsi"/>
          <w:sz w:val="24"/>
          <w:szCs w:val="24"/>
          <w:lang w:val="ro-MD"/>
        </w:rPr>
        <w:t xml:space="preserve"> </w:t>
      </w:r>
      <w:r w:rsidR="00AF0F9B" w:rsidRPr="00373FC9">
        <w:rPr>
          <w:rFonts w:asciiTheme="majorHAnsi" w:hAnsiTheme="majorHAnsi" w:cstheme="majorHAnsi"/>
          <w:sz w:val="24"/>
          <w:szCs w:val="24"/>
          <w:lang w:val="ro-MD"/>
        </w:rPr>
        <w:t xml:space="preserve">fondator </w:t>
      </w:r>
      <w:r w:rsidR="004C55AF" w:rsidRPr="00373FC9">
        <w:rPr>
          <w:rFonts w:asciiTheme="majorHAnsi" w:hAnsiTheme="majorHAnsi" w:cstheme="majorHAnsi"/>
          <w:sz w:val="24"/>
          <w:szCs w:val="24"/>
          <w:lang w:val="ro-MD"/>
        </w:rPr>
        <w:t xml:space="preserve">este </w:t>
      </w:r>
      <w:r w:rsidR="004949B5" w:rsidRPr="00373FC9">
        <w:rPr>
          <w:rFonts w:asciiTheme="majorHAnsi" w:eastAsia="Times New Roman" w:hAnsiTheme="majorHAnsi" w:cstheme="majorHAnsi"/>
          <w:sz w:val="24"/>
          <w:szCs w:val="24"/>
          <w:lang w:val="ro-MD"/>
        </w:rPr>
        <w:t>MECC</w:t>
      </w:r>
      <w:r w:rsidR="004949B5" w:rsidRPr="00373FC9">
        <w:rPr>
          <w:rFonts w:asciiTheme="majorHAnsi" w:hAnsiTheme="majorHAnsi" w:cstheme="majorHAnsi"/>
          <w:sz w:val="24"/>
          <w:szCs w:val="24"/>
          <w:lang w:val="ro-MD"/>
        </w:rPr>
        <w:t xml:space="preserve"> se regăsesc în H</w:t>
      </w:r>
      <w:r w:rsidR="00742843">
        <w:rPr>
          <w:rFonts w:asciiTheme="majorHAnsi" w:hAnsiTheme="majorHAnsi" w:cstheme="majorHAnsi"/>
          <w:sz w:val="24"/>
          <w:szCs w:val="24"/>
          <w:lang w:val="ro-MD"/>
        </w:rPr>
        <w:t xml:space="preserve">otărârea </w:t>
      </w:r>
      <w:r w:rsidR="004949B5" w:rsidRPr="00373FC9">
        <w:rPr>
          <w:rFonts w:asciiTheme="majorHAnsi" w:hAnsiTheme="majorHAnsi" w:cstheme="majorHAnsi"/>
          <w:sz w:val="24"/>
          <w:szCs w:val="24"/>
          <w:lang w:val="ro-MD"/>
        </w:rPr>
        <w:t>G</w:t>
      </w:r>
      <w:r w:rsidR="00742843">
        <w:rPr>
          <w:rFonts w:asciiTheme="majorHAnsi" w:hAnsiTheme="majorHAnsi" w:cstheme="majorHAnsi"/>
          <w:sz w:val="24"/>
          <w:szCs w:val="24"/>
          <w:lang w:val="ro-MD"/>
        </w:rPr>
        <w:t>uvernului</w:t>
      </w:r>
      <w:r w:rsidR="004949B5" w:rsidRPr="00373FC9">
        <w:rPr>
          <w:rFonts w:asciiTheme="majorHAnsi" w:hAnsiTheme="majorHAnsi" w:cstheme="majorHAnsi"/>
          <w:sz w:val="24"/>
          <w:szCs w:val="24"/>
          <w:lang w:val="ro-MD"/>
        </w:rPr>
        <w:t xml:space="preserve"> nr.351/2005, ceea ce denotă lipsa unei imagini fidele a situației reale a bunurilor proprietate a statului transmise în administrarea instituțiilor din cadrul </w:t>
      </w:r>
      <w:r w:rsidR="004949B5" w:rsidRPr="00373FC9">
        <w:rPr>
          <w:rFonts w:asciiTheme="majorHAnsi" w:eastAsia="Times New Roman" w:hAnsiTheme="majorHAnsi" w:cstheme="majorHAnsi"/>
          <w:sz w:val="24"/>
          <w:szCs w:val="24"/>
          <w:lang w:val="ro-MD"/>
        </w:rPr>
        <w:t>MECC</w:t>
      </w:r>
      <w:r w:rsidR="004949B5" w:rsidRPr="00373FC9">
        <w:rPr>
          <w:rFonts w:asciiTheme="majorHAnsi" w:hAnsiTheme="majorHAnsi" w:cstheme="majorHAnsi"/>
          <w:sz w:val="24"/>
          <w:szCs w:val="24"/>
          <w:lang w:val="ro-MD"/>
        </w:rPr>
        <w:t>.</w:t>
      </w:r>
      <w:r w:rsidR="001B3285" w:rsidRPr="00373FC9">
        <w:rPr>
          <w:rFonts w:asciiTheme="majorHAnsi" w:hAnsiTheme="majorHAnsi" w:cstheme="majorHAnsi"/>
          <w:sz w:val="24"/>
          <w:szCs w:val="24"/>
          <w:lang w:val="ro-MD"/>
        </w:rPr>
        <w:t xml:space="preserve"> </w:t>
      </w:r>
      <w:r w:rsidR="004949B5" w:rsidRPr="00373FC9">
        <w:rPr>
          <w:rFonts w:asciiTheme="majorHAnsi" w:eastAsia="Times New Roman" w:hAnsiTheme="majorHAnsi" w:cstheme="majorHAnsi"/>
          <w:iCs/>
          <w:sz w:val="24"/>
          <w:szCs w:val="24"/>
          <w:lang w:val="ro-MD"/>
        </w:rPr>
        <w:t>Astfel</w:t>
      </w:r>
      <w:r w:rsidR="001126F0" w:rsidRPr="00373FC9">
        <w:rPr>
          <w:rFonts w:asciiTheme="majorHAnsi" w:eastAsia="Times New Roman" w:hAnsiTheme="majorHAnsi" w:cstheme="majorHAnsi"/>
          <w:iCs/>
          <w:sz w:val="24"/>
          <w:szCs w:val="24"/>
          <w:lang w:val="ro-MD"/>
        </w:rPr>
        <w:t>,</w:t>
      </w:r>
      <w:r w:rsidR="004949B5" w:rsidRPr="00373FC9">
        <w:rPr>
          <w:rFonts w:asciiTheme="majorHAnsi" w:eastAsia="Times New Roman" w:hAnsiTheme="majorHAnsi" w:cstheme="majorHAnsi"/>
          <w:iCs/>
          <w:sz w:val="24"/>
          <w:szCs w:val="24"/>
          <w:lang w:val="ro-MD"/>
        </w:rPr>
        <w:t xml:space="preserve"> </w:t>
      </w:r>
    </w:p>
    <w:p w14:paraId="6C9C5A9E" w14:textId="32EFF05D" w:rsidR="00DC7D13" w:rsidRPr="00373FC9" w:rsidRDefault="00DC7D13" w:rsidP="00224541">
      <w:pPr>
        <w:pStyle w:val="ListParagraph"/>
        <w:numPr>
          <w:ilvl w:val="0"/>
          <w:numId w:val="36"/>
        </w:numPr>
        <w:spacing w:after="160"/>
        <w:ind w:left="0" w:right="-40" w:firstLine="0"/>
        <w:rPr>
          <w:rFonts w:asciiTheme="majorHAnsi" w:hAnsiTheme="majorHAnsi" w:cstheme="majorHAnsi"/>
          <w:sz w:val="24"/>
          <w:szCs w:val="24"/>
          <w:lang w:val="ro-MD"/>
        </w:rPr>
      </w:pPr>
      <w:r w:rsidRPr="00373FC9">
        <w:rPr>
          <w:rFonts w:asciiTheme="majorHAnsi" w:hAnsiTheme="majorHAnsi" w:cstheme="majorHAnsi"/>
          <w:sz w:val="24"/>
          <w:szCs w:val="24"/>
          <w:lang w:val="ro-MD"/>
        </w:rPr>
        <w:t>21 de instituții au la evidență 190 de clădiri cu valoarea de bilanț de 117.373,33 mii lei</w:t>
      </w:r>
      <w:r w:rsidR="005B4BD7" w:rsidRPr="00373FC9">
        <w:rPr>
          <w:rFonts w:asciiTheme="majorHAnsi" w:hAnsiTheme="majorHAnsi" w:cstheme="majorHAnsi"/>
          <w:sz w:val="24"/>
          <w:szCs w:val="24"/>
          <w:lang w:val="ro-MD"/>
        </w:rPr>
        <w:t>,</w:t>
      </w:r>
      <w:r w:rsidRPr="00373FC9">
        <w:rPr>
          <w:rFonts w:asciiTheme="majorHAnsi" w:hAnsiTheme="majorHAnsi" w:cstheme="majorHAnsi"/>
          <w:sz w:val="24"/>
          <w:szCs w:val="24"/>
          <w:lang w:val="ro-MD"/>
        </w:rPr>
        <w:t xml:space="preserve"> care nu sunt înregistrate în RBI;</w:t>
      </w:r>
    </w:p>
    <w:p w14:paraId="454D52B7" w14:textId="5991CA42" w:rsidR="00DC7D13" w:rsidRPr="00CD7FE5" w:rsidRDefault="00DC7D13" w:rsidP="00224541">
      <w:pPr>
        <w:pStyle w:val="ListParagraph"/>
        <w:numPr>
          <w:ilvl w:val="0"/>
          <w:numId w:val="36"/>
        </w:numPr>
        <w:spacing w:after="160"/>
        <w:ind w:left="0" w:right="-40" w:firstLine="0"/>
        <w:rPr>
          <w:rFonts w:asciiTheme="majorHAnsi" w:hAnsiTheme="majorHAnsi" w:cstheme="majorHAnsi"/>
          <w:sz w:val="24"/>
          <w:szCs w:val="24"/>
          <w:lang w:val="ro-MD"/>
        </w:rPr>
      </w:pPr>
      <w:r w:rsidRPr="00CD7FE5">
        <w:rPr>
          <w:rFonts w:asciiTheme="majorHAnsi" w:hAnsiTheme="majorHAnsi" w:cstheme="majorHAnsi"/>
          <w:sz w:val="24"/>
          <w:szCs w:val="24"/>
          <w:lang w:val="ro-MD"/>
        </w:rPr>
        <w:t>MECC și 5 instituții administrează 37 de clădiri care nu s</w:t>
      </w:r>
      <w:r w:rsidR="00B7324A">
        <w:rPr>
          <w:rFonts w:asciiTheme="majorHAnsi" w:hAnsiTheme="majorHAnsi" w:cstheme="majorHAnsi"/>
          <w:sz w:val="24"/>
          <w:szCs w:val="24"/>
          <w:lang w:val="ro-MD"/>
        </w:rPr>
        <w:t xml:space="preserve">unt înregistrate </w:t>
      </w:r>
      <w:r w:rsidRPr="00CD7FE5">
        <w:rPr>
          <w:rFonts w:asciiTheme="majorHAnsi" w:hAnsiTheme="majorHAnsi" w:cstheme="majorHAnsi"/>
          <w:sz w:val="24"/>
          <w:szCs w:val="24"/>
          <w:lang w:val="ro-MD"/>
        </w:rPr>
        <w:t xml:space="preserve">în </w:t>
      </w:r>
      <w:r w:rsidR="00B7324A">
        <w:rPr>
          <w:rFonts w:asciiTheme="majorHAnsi" w:hAnsiTheme="majorHAnsi" w:cstheme="majorHAnsi"/>
          <w:sz w:val="24"/>
          <w:szCs w:val="24"/>
          <w:lang w:val="ro-MD"/>
        </w:rPr>
        <w:t xml:space="preserve">evidența </w:t>
      </w:r>
      <w:r w:rsidRPr="00CD7FE5">
        <w:rPr>
          <w:rFonts w:asciiTheme="majorHAnsi" w:hAnsiTheme="majorHAnsi" w:cstheme="majorHAnsi"/>
          <w:sz w:val="24"/>
          <w:szCs w:val="24"/>
          <w:lang w:val="ro-MD"/>
        </w:rPr>
        <w:t xml:space="preserve"> contabil</w:t>
      </w:r>
      <w:r w:rsidR="00B7324A">
        <w:rPr>
          <w:rFonts w:asciiTheme="majorHAnsi" w:hAnsiTheme="majorHAnsi" w:cstheme="majorHAnsi"/>
          <w:sz w:val="24"/>
          <w:szCs w:val="24"/>
          <w:lang w:val="ro-MD"/>
        </w:rPr>
        <w:t>ă</w:t>
      </w:r>
      <w:r w:rsidRPr="00CD7FE5">
        <w:rPr>
          <w:rFonts w:asciiTheme="majorHAnsi" w:hAnsiTheme="majorHAnsi" w:cstheme="majorHAnsi"/>
          <w:sz w:val="24"/>
          <w:szCs w:val="24"/>
          <w:lang w:val="ro-MD"/>
        </w:rPr>
        <w:t xml:space="preserve"> și nici în RBI;</w:t>
      </w:r>
    </w:p>
    <w:p w14:paraId="426AFEF0" w14:textId="3B375C15" w:rsidR="00DC7D13" w:rsidRPr="00CD7FE5" w:rsidRDefault="00DC7D13" w:rsidP="00224541">
      <w:pPr>
        <w:pStyle w:val="ListParagraph"/>
        <w:numPr>
          <w:ilvl w:val="0"/>
          <w:numId w:val="36"/>
        </w:numPr>
        <w:spacing w:after="160"/>
        <w:ind w:left="0" w:right="-40" w:firstLine="0"/>
        <w:rPr>
          <w:rFonts w:asciiTheme="majorHAnsi" w:hAnsiTheme="majorHAnsi" w:cstheme="majorHAnsi"/>
          <w:sz w:val="24"/>
          <w:szCs w:val="24"/>
          <w:lang w:val="ro-MD"/>
        </w:rPr>
      </w:pPr>
      <w:r w:rsidRPr="00CD7FE5">
        <w:rPr>
          <w:rFonts w:asciiTheme="majorHAnsi" w:hAnsiTheme="majorHAnsi" w:cstheme="majorHAnsi"/>
          <w:sz w:val="24"/>
          <w:szCs w:val="24"/>
          <w:lang w:val="ro-MD"/>
        </w:rPr>
        <w:t>MECC nu a asigurat delimitarea și înregistrarea conformă a proprietății publice gestionate de entitățile din subordine aflate la autogestiune.</w:t>
      </w:r>
      <w:r w:rsidRPr="00CD7FE5">
        <w:rPr>
          <w:sz w:val="24"/>
          <w:szCs w:val="24"/>
          <w:lang w:val="ro-MD"/>
        </w:rPr>
        <w:t xml:space="preserve"> </w:t>
      </w:r>
      <w:r w:rsidRPr="00CD7FE5">
        <w:rPr>
          <w:rFonts w:asciiTheme="majorHAnsi" w:hAnsiTheme="majorHAnsi" w:cstheme="majorHAnsi"/>
          <w:sz w:val="24"/>
          <w:szCs w:val="24"/>
          <w:lang w:val="ro-MD"/>
        </w:rPr>
        <w:t>Astfel, 4</w:t>
      </w:r>
      <w:r w:rsidRPr="00CD7FE5">
        <w:rPr>
          <w:rStyle w:val="FootnoteReference"/>
          <w:rFonts w:asciiTheme="majorHAnsi" w:hAnsiTheme="majorHAnsi" w:cstheme="majorHAnsi"/>
          <w:sz w:val="24"/>
          <w:szCs w:val="24"/>
          <w:lang w:val="ro-MD"/>
        </w:rPr>
        <w:footnoteReference w:id="42"/>
      </w:r>
      <w:r w:rsidRPr="00CD7FE5">
        <w:rPr>
          <w:rFonts w:asciiTheme="majorHAnsi" w:hAnsiTheme="majorHAnsi" w:cstheme="majorHAnsi"/>
          <w:sz w:val="24"/>
          <w:szCs w:val="24"/>
          <w:lang w:val="ro-MD"/>
        </w:rPr>
        <w:t xml:space="preserve"> clădiri</w:t>
      </w:r>
      <w:r w:rsidR="005B2E26">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5B2E26">
        <w:rPr>
          <w:rFonts w:asciiTheme="majorHAnsi" w:hAnsiTheme="majorHAnsi" w:cstheme="majorHAnsi"/>
          <w:sz w:val="24"/>
          <w:szCs w:val="24"/>
          <w:lang w:val="ro-MD"/>
        </w:rPr>
        <w:t>în</w:t>
      </w:r>
      <w:r w:rsidRPr="00CD7FE5">
        <w:rPr>
          <w:rFonts w:asciiTheme="majorHAnsi" w:hAnsiTheme="majorHAnsi" w:cstheme="majorHAnsi"/>
          <w:sz w:val="24"/>
          <w:szCs w:val="24"/>
          <w:lang w:val="ro-MD"/>
        </w:rPr>
        <w:t xml:space="preserve"> valoare de 4,66 mil.lei</w:t>
      </w:r>
      <w:r w:rsidR="005B2E26">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sunt </w:t>
      </w:r>
      <w:r w:rsidRPr="00CD7FE5">
        <w:rPr>
          <w:rFonts w:asciiTheme="majorHAnsi" w:hAnsiTheme="majorHAnsi" w:cstheme="majorHAnsi"/>
          <w:sz w:val="24"/>
          <w:szCs w:val="24"/>
          <w:lang w:val="ro-MD"/>
        </w:rPr>
        <w:lastRenderedPageBreak/>
        <w:t>înregistrate ca proprietate a APL. Totodată, 380</w:t>
      </w:r>
      <w:r w:rsidR="005B2E26">
        <w:rPr>
          <w:rFonts w:asciiTheme="majorHAnsi" w:hAnsiTheme="majorHAnsi" w:cstheme="majorHAnsi"/>
          <w:sz w:val="24"/>
          <w:szCs w:val="24"/>
          <w:lang w:val="ro-MD"/>
        </w:rPr>
        <w:t xml:space="preserve"> de</w:t>
      </w:r>
      <w:r w:rsidRPr="00CD7FE5">
        <w:rPr>
          <w:rFonts w:asciiTheme="majorHAnsi" w:hAnsiTheme="majorHAnsi" w:cstheme="majorHAnsi"/>
          <w:sz w:val="24"/>
          <w:szCs w:val="24"/>
          <w:lang w:val="ro-MD"/>
        </w:rPr>
        <w:t xml:space="preserve"> clădiri și construcții cu valoare</w:t>
      </w:r>
      <w:r w:rsidR="005B2E26">
        <w:rPr>
          <w:rFonts w:asciiTheme="majorHAnsi" w:hAnsiTheme="majorHAnsi" w:cstheme="majorHAnsi"/>
          <w:sz w:val="24"/>
          <w:szCs w:val="24"/>
          <w:lang w:val="ro-MD"/>
        </w:rPr>
        <w:t>a</w:t>
      </w:r>
      <w:r w:rsidRPr="00CD7FE5">
        <w:rPr>
          <w:rFonts w:asciiTheme="majorHAnsi" w:hAnsiTheme="majorHAnsi" w:cstheme="majorHAnsi"/>
          <w:sz w:val="24"/>
          <w:szCs w:val="24"/>
          <w:lang w:val="ro-MD"/>
        </w:rPr>
        <w:t xml:space="preserve"> de cel puțin 1.085,5 mil.lei nu au înregistrate </w:t>
      </w:r>
      <w:r w:rsidR="00037E82" w:rsidRPr="00CD7FE5">
        <w:rPr>
          <w:rFonts w:asciiTheme="majorHAnsi" w:hAnsiTheme="majorHAnsi" w:cstheme="majorHAnsi"/>
          <w:sz w:val="24"/>
          <w:szCs w:val="24"/>
          <w:lang w:val="ro-MD"/>
        </w:rPr>
        <w:t xml:space="preserve">în RBI </w:t>
      </w:r>
      <w:r w:rsidRPr="00CD7FE5">
        <w:rPr>
          <w:rFonts w:asciiTheme="majorHAnsi" w:hAnsiTheme="majorHAnsi" w:cstheme="majorHAnsi"/>
          <w:sz w:val="24"/>
          <w:szCs w:val="24"/>
          <w:lang w:val="ro-MD"/>
        </w:rPr>
        <w:t>drepturile de proprietate.</w:t>
      </w:r>
    </w:p>
    <w:p w14:paraId="26E2986A" w14:textId="445326C0" w:rsidR="00AA1209" w:rsidRPr="00CD7FE5" w:rsidRDefault="00DC7D13" w:rsidP="00224541">
      <w:pPr>
        <w:pStyle w:val="ListParagraph"/>
        <w:numPr>
          <w:ilvl w:val="0"/>
          <w:numId w:val="36"/>
        </w:numPr>
        <w:spacing w:line="276" w:lineRule="auto"/>
        <w:ind w:left="0" w:right="-40" w:firstLine="0"/>
        <w:rPr>
          <w:rFonts w:asciiTheme="majorHAnsi" w:eastAsia="Times New Roman" w:hAnsiTheme="majorHAnsi" w:cstheme="majorHAnsi"/>
          <w:iCs/>
          <w:sz w:val="24"/>
          <w:szCs w:val="24"/>
          <w:lang w:val="ro-MD"/>
        </w:rPr>
      </w:pPr>
      <w:r w:rsidRPr="00CD7FE5">
        <w:rPr>
          <w:rFonts w:asciiTheme="majorHAnsi" w:hAnsiTheme="majorHAnsi" w:cstheme="majorHAnsi"/>
          <w:sz w:val="24"/>
          <w:szCs w:val="24"/>
          <w:lang w:val="ro-MD"/>
        </w:rPr>
        <w:t xml:space="preserve">Institutul de Energetică a afirmat că cele 9 clădiri </w:t>
      </w:r>
      <w:r w:rsidR="00037E82">
        <w:rPr>
          <w:rFonts w:asciiTheme="majorHAnsi" w:hAnsiTheme="majorHAnsi" w:cstheme="majorHAnsi"/>
          <w:sz w:val="24"/>
          <w:szCs w:val="24"/>
          <w:lang w:val="ro-MD"/>
        </w:rPr>
        <w:t xml:space="preserve">pe </w:t>
      </w:r>
      <w:r w:rsidRPr="00CD7FE5">
        <w:rPr>
          <w:rFonts w:asciiTheme="majorHAnsi" w:hAnsiTheme="majorHAnsi" w:cstheme="majorHAnsi"/>
          <w:sz w:val="24"/>
          <w:szCs w:val="24"/>
          <w:lang w:val="ro-MD"/>
        </w:rPr>
        <w:t xml:space="preserve">care le </w:t>
      </w:r>
      <w:r w:rsidR="00037E82">
        <w:rPr>
          <w:rFonts w:asciiTheme="majorHAnsi" w:hAnsiTheme="majorHAnsi" w:cstheme="majorHAnsi"/>
          <w:sz w:val="24"/>
          <w:szCs w:val="24"/>
          <w:lang w:val="ro-MD"/>
        </w:rPr>
        <w:t xml:space="preserve">are înregistrate </w:t>
      </w:r>
      <w:r w:rsidRPr="00CD7FE5">
        <w:rPr>
          <w:rFonts w:asciiTheme="majorHAnsi" w:hAnsiTheme="majorHAnsi" w:cstheme="majorHAnsi"/>
          <w:sz w:val="24"/>
          <w:szCs w:val="24"/>
          <w:lang w:val="ro-MD"/>
        </w:rPr>
        <w:t>în evidența contabilă nu</w:t>
      </w:r>
      <w:r w:rsidR="00037E82">
        <w:rPr>
          <w:rFonts w:asciiTheme="majorHAnsi" w:hAnsiTheme="majorHAnsi" w:cstheme="majorHAnsi"/>
          <w:sz w:val="24"/>
          <w:szCs w:val="24"/>
          <w:lang w:val="ro-MD"/>
        </w:rPr>
        <w:t>-i</w:t>
      </w:r>
      <w:r w:rsidRPr="00CD7FE5">
        <w:rPr>
          <w:rFonts w:asciiTheme="majorHAnsi" w:hAnsiTheme="majorHAnsi" w:cstheme="majorHAnsi"/>
          <w:sz w:val="24"/>
          <w:szCs w:val="24"/>
          <w:lang w:val="ro-MD"/>
        </w:rPr>
        <w:t xml:space="preserve"> aparțin. În urma verificărilor, </w:t>
      </w:r>
      <w:r w:rsidR="00037E82">
        <w:rPr>
          <w:rFonts w:asciiTheme="majorHAnsi" w:hAnsiTheme="majorHAnsi" w:cstheme="majorHAnsi"/>
          <w:sz w:val="24"/>
          <w:szCs w:val="24"/>
          <w:lang w:val="ro-MD"/>
        </w:rPr>
        <w:t xml:space="preserve">s-a constatat că </w:t>
      </w:r>
      <w:r w:rsidR="008F6405" w:rsidRPr="00CD7FE5">
        <w:rPr>
          <w:rFonts w:asciiTheme="majorHAnsi" w:hAnsiTheme="majorHAnsi" w:cstheme="majorHAnsi"/>
          <w:sz w:val="24"/>
          <w:szCs w:val="24"/>
          <w:lang w:val="ro-MD"/>
        </w:rPr>
        <w:t xml:space="preserve">doar </w:t>
      </w:r>
      <w:r w:rsidRPr="00CD7FE5">
        <w:rPr>
          <w:rFonts w:asciiTheme="majorHAnsi" w:hAnsiTheme="majorHAnsi" w:cstheme="majorHAnsi"/>
          <w:sz w:val="24"/>
          <w:szCs w:val="24"/>
          <w:lang w:val="ro-MD"/>
        </w:rPr>
        <w:t>clădirea 0100118.124.01 (</w:t>
      </w:r>
      <w:r w:rsidR="00037E82">
        <w:rPr>
          <w:rFonts w:asciiTheme="majorHAnsi" w:hAnsiTheme="majorHAnsi" w:cstheme="majorHAnsi"/>
          <w:sz w:val="24"/>
          <w:szCs w:val="24"/>
          <w:lang w:val="ro-MD"/>
        </w:rPr>
        <w:t xml:space="preserve">cu </w:t>
      </w:r>
      <w:r w:rsidRPr="00CD7FE5">
        <w:rPr>
          <w:rFonts w:asciiTheme="majorHAnsi" w:hAnsiTheme="majorHAnsi" w:cstheme="majorHAnsi"/>
          <w:sz w:val="24"/>
          <w:szCs w:val="24"/>
          <w:lang w:val="ro-MD"/>
        </w:rPr>
        <w:t xml:space="preserve">valoarea de bilanț </w:t>
      </w:r>
      <w:r w:rsidR="00037E82">
        <w:rPr>
          <w:rFonts w:asciiTheme="majorHAnsi" w:hAnsiTheme="majorHAnsi" w:cstheme="majorHAnsi"/>
          <w:sz w:val="24"/>
          <w:szCs w:val="24"/>
          <w:lang w:val="ro-MD"/>
        </w:rPr>
        <w:t xml:space="preserve">de </w:t>
      </w:r>
      <w:r w:rsidRPr="00CD7FE5">
        <w:rPr>
          <w:rFonts w:asciiTheme="majorHAnsi" w:hAnsiTheme="majorHAnsi" w:cstheme="majorHAnsi"/>
          <w:sz w:val="24"/>
          <w:szCs w:val="24"/>
          <w:lang w:val="ro-MD"/>
        </w:rPr>
        <w:t>65</w:t>
      </w:r>
      <w:r w:rsidR="00037E82">
        <w:rPr>
          <w:rFonts w:asciiTheme="majorHAnsi" w:hAnsiTheme="majorHAnsi" w:cstheme="majorHAnsi"/>
          <w:sz w:val="24"/>
          <w:szCs w:val="24"/>
          <w:lang w:val="ro-MD"/>
        </w:rPr>
        <w:t>,0</w:t>
      </w:r>
      <w:r w:rsidRPr="00CD7FE5">
        <w:rPr>
          <w:rFonts w:asciiTheme="majorHAnsi" w:hAnsiTheme="majorHAnsi" w:cstheme="majorHAnsi"/>
          <w:sz w:val="24"/>
          <w:szCs w:val="24"/>
          <w:lang w:val="ro-MD"/>
        </w:rPr>
        <w:t xml:space="preserve"> mii lei, suprafața la sol </w:t>
      </w:r>
      <w:r w:rsidR="00037E82">
        <w:rPr>
          <w:rFonts w:asciiTheme="majorHAnsi" w:hAnsiTheme="majorHAnsi" w:cstheme="majorHAnsi"/>
          <w:sz w:val="24"/>
          <w:szCs w:val="24"/>
          <w:lang w:val="ro-MD"/>
        </w:rPr>
        <w:t xml:space="preserve">de </w:t>
      </w:r>
      <w:r w:rsidRPr="00CD7FE5">
        <w:rPr>
          <w:rFonts w:asciiTheme="majorHAnsi" w:hAnsiTheme="majorHAnsi" w:cstheme="majorHAnsi"/>
          <w:sz w:val="24"/>
          <w:szCs w:val="24"/>
          <w:lang w:val="ro-MD"/>
        </w:rPr>
        <w:t>989,8 m</w:t>
      </w:r>
      <w:r w:rsidRPr="00C01385">
        <w:rPr>
          <w:rFonts w:asciiTheme="majorHAnsi" w:hAnsiTheme="majorHAnsi" w:cstheme="majorHAnsi"/>
          <w:sz w:val="24"/>
          <w:szCs w:val="24"/>
          <w:vertAlign w:val="superscript"/>
          <w:lang w:val="ro-MD"/>
        </w:rPr>
        <w:t>2</w:t>
      </w:r>
      <w:r w:rsidRPr="00CD7FE5">
        <w:rPr>
          <w:rFonts w:asciiTheme="majorHAnsi" w:hAnsiTheme="majorHAnsi" w:cstheme="majorHAnsi"/>
          <w:sz w:val="24"/>
          <w:szCs w:val="24"/>
          <w:lang w:val="ro-MD"/>
        </w:rPr>
        <w:t xml:space="preserve">) de facto aparține </w:t>
      </w:r>
      <w:r w:rsidR="00AA1209" w:rsidRPr="00CD7FE5">
        <w:rPr>
          <w:rFonts w:asciiTheme="majorHAnsi" w:hAnsiTheme="majorHAnsi" w:cstheme="majorHAnsi"/>
          <w:sz w:val="24"/>
          <w:szCs w:val="24"/>
          <w:lang w:val="ro-MD"/>
        </w:rPr>
        <w:t>unei persoane fizice</w:t>
      </w:r>
      <w:r w:rsidRPr="00CD7FE5">
        <w:rPr>
          <w:rFonts w:asciiTheme="majorHAnsi" w:hAnsiTheme="majorHAnsi" w:cstheme="majorHAnsi"/>
          <w:sz w:val="24"/>
          <w:szCs w:val="24"/>
          <w:lang w:val="ro-MD"/>
        </w:rPr>
        <w:t>, iar restul clădirilor nu au înregistrări privind proprietarul</w:t>
      </w:r>
      <w:r w:rsidR="008F6405" w:rsidRPr="00CD7FE5">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gestionarul </w:t>
      </w:r>
      <w:r w:rsidR="00037E82">
        <w:rPr>
          <w:rFonts w:asciiTheme="majorHAnsi" w:hAnsiTheme="majorHAnsi" w:cstheme="majorHAnsi"/>
          <w:sz w:val="24"/>
          <w:szCs w:val="24"/>
          <w:lang w:val="ro-MD"/>
        </w:rPr>
        <w:t>lor</w:t>
      </w:r>
      <w:r w:rsidRPr="00CD7FE5">
        <w:rPr>
          <w:rFonts w:asciiTheme="majorHAnsi" w:hAnsiTheme="majorHAnsi" w:cstheme="majorHAnsi"/>
          <w:sz w:val="24"/>
          <w:szCs w:val="24"/>
          <w:lang w:val="ro-MD"/>
        </w:rPr>
        <w:t xml:space="preserve"> (valoarea de bilanț 2,35 mil.</w:t>
      </w:r>
      <w:r w:rsidR="00401620" w:rsidRPr="00CD7FE5">
        <w:rPr>
          <w:rFonts w:asciiTheme="majorHAnsi" w:hAnsiTheme="majorHAnsi" w:cstheme="majorHAnsi"/>
          <w:sz w:val="24"/>
          <w:szCs w:val="24"/>
          <w:lang w:val="ro-MD"/>
        </w:rPr>
        <w:t>lei);</w:t>
      </w:r>
    </w:p>
    <w:p w14:paraId="3F8D8663" w14:textId="4F1B4FEF" w:rsidR="00DC7D13" w:rsidRPr="00CD7FE5" w:rsidRDefault="00DC7D13" w:rsidP="00224541">
      <w:pPr>
        <w:pStyle w:val="ListParagraph"/>
        <w:numPr>
          <w:ilvl w:val="0"/>
          <w:numId w:val="36"/>
        </w:numPr>
        <w:spacing w:line="276" w:lineRule="auto"/>
        <w:ind w:left="0" w:right="-40" w:firstLine="0"/>
        <w:rPr>
          <w:rFonts w:asciiTheme="majorHAnsi" w:eastAsia="Times New Roman" w:hAnsiTheme="majorHAnsi" w:cstheme="majorHAnsi"/>
          <w:iCs/>
          <w:sz w:val="24"/>
          <w:szCs w:val="24"/>
          <w:lang w:val="ro-MD"/>
        </w:rPr>
      </w:pPr>
      <w:r w:rsidRPr="00CD7FE5">
        <w:rPr>
          <w:rFonts w:asciiTheme="majorHAnsi" w:hAnsiTheme="majorHAnsi" w:cstheme="majorHAnsi"/>
          <w:sz w:val="24"/>
          <w:szCs w:val="24"/>
          <w:lang w:val="ro-MD"/>
        </w:rPr>
        <w:t xml:space="preserve">MECC și 8 </w:t>
      </w:r>
      <w:r w:rsidR="00037E82">
        <w:rPr>
          <w:rFonts w:asciiTheme="majorHAnsi" w:hAnsiTheme="majorHAnsi" w:cstheme="majorHAnsi"/>
          <w:sz w:val="24"/>
          <w:szCs w:val="24"/>
          <w:lang w:val="ro-MD"/>
        </w:rPr>
        <w:t>i</w:t>
      </w:r>
      <w:r w:rsidRPr="00CD7FE5">
        <w:rPr>
          <w:rFonts w:asciiTheme="majorHAnsi" w:hAnsiTheme="majorHAnsi" w:cstheme="majorHAnsi"/>
          <w:sz w:val="24"/>
          <w:szCs w:val="24"/>
          <w:lang w:val="ro-MD"/>
        </w:rPr>
        <w:t xml:space="preserve">nstituții nu au asigurat înregistrarea dreptului de folosință asupra a 36 de clădiri (valoarea de bilanț 109.748,68 mii lei) care se află în folosința </w:t>
      </w:r>
      <w:r w:rsidR="006079B8">
        <w:rPr>
          <w:rFonts w:asciiTheme="majorHAnsi" w:hAnsiTheme="majorHAnsi" w:cstheme="majorHAnsi"/>
          <w:sz w:val="24"/>
          <w:szCs w:val="24"/>
          <w:lang w:val="ro-MD"/>
        </w:rPr>
        <w:t>lor</w:t>
      </w:r>
      <w:r w:rsidRPr="00CD7FE5">
        <w:rPr>
          <w:rFonts w:asciiTheme="majorHAnsi" w:hAnsiTheme="majorHAnsi" w:cstheme="majorHAnsi"/>
          <w:sz w:val="24"/>
          <w:szCs w:val="24"/>
          <w:lang w:val="ro-MD"/>
        </w:rPr>
        <w:t xml:space="preserve">, ca urmare a transmiterii în subordinea MECC a unor </w:t>
      </w:r>
      <w:r w:rsidRPr="00C01385">
        <w:rPr>
          <w:rFonts w:asciiTheme="majorHAnsi" w:hAnsiTheme="majorHAnsi" w:cstheme="majorHAnsi"/>
          <w:sz w:val="24"/>
          <w:szCs w:val="24"/>
          <w:lang w:val="ro-MD"/>
        </w:rPr>
        <w:t xml:space="preserve">instituții </w:t>
      </w:r>
      <w:r w:rsidR="006079B8" w:rsidRPr="00C01385">
        <w:rPr>
          <w:rFonts w:asciiTheme="majorHAnsi" w:hAnsiTheme="majorHAnsi" w:cstheme="majorHAnsi"/>
          <w:sz w:val="24"/>
          <w:szCs w:val="24"/>
          <w:lang w:val="ro-MD"/>
        </w:rPr>
        <w:t>di</w:t>
      </w:r>
      <w:r w:rsidRPr="00C01385">
        <w:rPr>
          <w:rFonts w:asciiTheme="majorHAnsi" w:hAnsiTheme="majorHAnsi" w:cstheme="majorHAnsi"/>
          <w:sz w:val="24"/>
          <w:szCs w:val="24"/>
          <w:lang w:val="ro-MD"/>
        </w:rPr>
        <w:t>n subordinea</w:t>
      </w:r>
      <w:r w:rsidRPr="00CD7FE5">
        <w:rPr>
          <w:rFonts w:asciiTheme="majorHAnsi" w:hAnsiTheme="majorHAnsi" w:cstheme="majorHAnsi"/>
          <w:sz w:val="24"/>
          <w:szCs w:val="24"/>
          <w:lang w:val="ro-MD"/>
        </w:rPr>
        <w:t xml:space="preserve"> altor autorități</w:t>
      </w:r>
      <w:r w:rsidR="00401620" w:rsidRPr="00CD7FE5">
        <w:rPr>
          <w:rFonts w:asciiTheme="majorHAnsi" w:hAnsiTheme="majorHAnsi" w:cstheme="majorHAnsi"/>
          <w:sz w:val="24"/>
          <w:szCs w:val="24"/>
          <w:lang w:val="ro-MD"/>
        </w:rPr>
        <w:t>;</w:t>
      </w:r>
    </w:p>
    <w:p w14:paraId="038C0E46" w14:textId="4CC15458" w:rsidR="00AE31CC" w:rsidRPr="00C01385" w:rsidRDefault="00AE31CC" w:rsidP="00224541">
      <w:pPr>
        <w:pStyle w:val="ListParagraph"/>
        <w:numPr>
          <w:ilvl w:val="0"/>
          <w:numId w:val="36"/>
        </w:numPr>
        <w:spacing w:line="276" w:lineRule="auto"/>
        <w:ind w:left="0" w:right="-40" w:firstLine="0"/>
        <w:rPr>
          <w:rFonts w:asciiTheme="majorHAnsi" w:eastAsia="Times New Roman" w:hAnsiTheme="majorHAnsi" w:cstheme="majorHAnsi"/>
          <w:iCs/>
          <w:sz w:val="24"/>
          <w:szCs w:val="24"/>
          <w:lang w:val="ro-MD"/>
        </w:rPr>
      </w:pPr>
      <w:r w:rsidRPr="00CD7FE5">
        <w:rPr>
          <w:rFonts w:asciiTheme="majorHAnsi" w:hAnsiTheme="majorHAnsi" w:cstheme="majorHAnsi"/>
          <w:sz w:val="24"/>
          <w:szCs w:val="24"/>
          <w:lang w:val="ro-MD"/>
        </w:rPr>
        <w:t>Proprietari a</w:t>
      </w:r>
      <w:r w:rsidR="006079B8">
        <w:rPr>
          <w:rFonts w:asciiTheme="majorHAnsi" w:hAnsiTheme="majorHAnsi" w:cstheme="majorHAnsi"/>
          <w:sz w:val="24"/>
          <w:szCs w:val="24"/>
          <w:lang w:val="ro-MD"/>
        </w:rPr>
        <w:t>i</w:t>
      </w:r>
      <w:r w:rsidRPr="00CD7FE5">
        <w:rPr>
          <w:rFonts w:asciiTheme="majorHAnsi" w:hAnsiTheme="majorHAnsi" w:cstheme="majorHAnsi"/>
          <w:sz w:val="24"/>
          <w:szCs w:val="24"/>
          <w:lang w:val="ro-MD"/>
        </w:rPr>
        <w:t xml:space="preserve"> 5 terenuri cu suprafața de 2,98 ha</w:t>
      </w:r>
      <w:r w:rsidRPr="00CD7FE5">
        <w:rPr>
          <w:rStyle w:val="FootnoteReference"/>
          <w:rFonts w:asciiTheme="majorHAnsi" w:hAnsiTheme="majorHAnsi" w:cstheme="majorHAnsi"/>
          <w:sz w:val="24"/>
          <w:szCs w:val="24"/>
          <w:lang w:val="ro-MD"/>
        </w:rPr>
        <w:footnoteReference w:id="43"/>
      </w:r>
      <w:r w:rsidR="006079B8">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raportate de 4 instituții din subordinea MECC (Conform e-Cadastru)</w:t>
      </w:r>
      <w:r w:rsidR="006079B8">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6079B8" w:rsidRPr="00373FC9">
        <w:rPr>
          <w:rFonts w:asciiTheme="majorHAnsi" w:hAnsiTheme="majorHAnsi" w:cstheme="majorHAnsi"/>
          <w:sz w:val="24"/>
          <w:szCs w:val="24"/>
          <w:lang w:val="ro-MD"/>
        </w:rPr>
        <w:t>sunt</w:t>
      </w:r>
      <w:r w:rsidRPr="00373FC9">
        <w:rPr>
          <w:rFonts w:asciiTheme="majorHAnsi" w:hAnsiTheme="majorHAnsi" w:cstheme="majorHAnsi"/>
          <w:sz w:val="24"/>
          <w:szCs w:val="24"/>
          <w:lang w:val="ro-MD"/>
        </w:rPr>
        <w:t xml:space="preserve"> APL.</w:t>
      </w:r>
      <w:r w:rsidRPr="00CD7FE5">
        <w:rPr>
          <w:rFonts w:asciiTheme="majorHAnsi" w:hAnsiTheme="majorHAnsi" w:cstheme="majorHAnsi"/>
          <w:sz w:val="24"/>
          <w:szCs w:val="24"/>
          <w:lang w:val="ro-MD"/>
        </w:rPr>
        <w:t xml:space="preserve"> În același timp, acestea se regăsesc în „Lista terenurilor proprietate publică a statului, domeniul public, din administrarea Agenției Proprietății Publice”</w:t>
      </w:r>
      <w:r w:rsidR="006079B8">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xml:space="preserve"> conform H</w:t>
      </w:r>
      <w:r w:rsidR="00742843">
        <w:rPr>
          <w:rFonts w:asciiTheme="majorHAnsi" w:hAnsiTheme="majorHAnsi" w:cstheme="majorHAnsi"/>
          <w:sz w:val="24"/>
          <w:szCs w:val="24"/>
          <w:lang w:val="ro-MD"/>
        </w:rPr>
        <w:t xml:space="preserve">otărârii </w:t>
      </w:r>
      <w:r w:rsidRPr="00C01385">
        <w:rPr>
          <w:rFonts w:asciiTheme="majorHAnsi" w:hAnsiTheme="majorHAnsi" w:cstheme="majorHAnsi"/>
          <w:sz w:val="24"/>
          <w:szCs w:val="24"/>
          <w:lang w:val="ro-MD"/>
        </w:rPr>
        <w:t>G</w:t>
      </w:r>
      <w:r w:rsidR="00742843" w:rsidRPr="00C01385">
        <w:rPr>
          <w:rFonts w:asciiTheme="majorHAnsi" w:hAnsiTheme="majorHAnsi" w:cstheme="majorHAnsi"/>
          <w:sz w:val="24"/>
          <w:szCs w:val="24"/>
          <w:lang w:val="ro-MD"/>
        </w:rPr>
        <w:t>uvernului</w:t>
      </w:r>
      <w:r w:rsidRPr="00C01385">
        <w:rPr>
          <w:rFonts w:asciiTheme="majorHAnsi" w:hAnsiTheme="majorHAnsi" w:cstheme="majorHAnsi"/>
          <w:sz w:val="24"/>
          <w:szCs w:val="24"/>
          <w:lang w:val="ro-MD"/>
        </w:rPr>
        <w:t xml:space="preserve"> </w:t>
      </w:r>
      <w:r w:rsidR="006079B8" w:rsidRPr="00C01385">
        <w:rPr>
          <w:rFonts w:asciiTheme="majorHAnsi" w:hAnsiTheme="majorHAnsi" w:cstheme="majorHAnsi"/>
          <w:sz w:val="24"/>
          <w:szCs w:val="24"/>
          <w:lang w:val="ro-MD"/>
        </w:rPr>
        <w:t>nr.</w:t>
      </w:r>
      <w:r w:rsidRPr="00C01385">
        <w:rPr>
          <w:rFonts w:asciiTheme="majorHAnsi" w:hAnsiTheme="majorHAnsi" w:cstheme="majorHAnsi"/>
          <w:sz w:val="24"/>
          <w:szCs w:val="24"/>
          <w:lang w:val="ro-MD"/>
        </w:rPr>
        <w:t>161/2019;</w:t>
      </w:r>
    </w:p>
    <w:p w14:paraId="7768F69D" w14:textId="6EFD61B4" w:rsidR="00AE31CC" w:rsidRPr="00CD7FE5" w:rsidRDefault="001A6184" w:rsidP="00224541">
      <w:pPr>
        <w:pStyle w:val="ListParagraph"/>
        <w:numPr>
          <w:ilvl w:val="0"/>
          <w:numId w:val="36"/>
        </w:numPr>
        <w:spacing w:line="276" w:lineRule="auto"/>
        <w:ind w:left="0" w:right="-40" w:firstLine="0"/>
        <w:rPr>
          <w:rFonts w:asciiTheme="majorHAnsi" w:eastAsia="Times New Roman" w:hAnsiTheme="majorHAnsi" w:cstheme="majorHAnsi"/>
          <w:iCs/>
          <w:sz w:val="24"/>
          <w:szCs w:val="24"/>
          <w:lang w:val="ro-MD"/>
        </w:rPr>
      </w:pPr>
      <w:r w:rsidRPr="00CD7FE5">
        <w:rPr>
          <w:rFonts w:asciiTheme="majorHAnsi" w:hAnsiTheme="majorHAnsi" w:cstheme="majorHAnsi"/>
          <w:sz w:val="24"/>
          <w:szCs w:val="24"/>
          <w:lang w:val="ro-MD"/>
        </w:rPr>
        <w:t>Proprietari a</w:t>
      </w:r>
      <w:r w:rsidR="006079B8">
        <w:rPr>
          <w:rFonts w:asciiTheme="majorHAnsi" w:hAnsiTheme="majorHAnsi" w:cstheme="majorHAnsi"/>
          <w:sz w:val="24"/>
          <w:szCs w:val="24"/>
          <w:lang w:val="ro-MD"/>
        </w:rPr>
        <w:t>i</w:t>
      </w:r>
      <w:r w:rsidRPr="00CD7FE5">
        <w:rPr>
          <w:rFonts w:asciiTheme="majorHAnsi" w:hAnsiTheme="majorHAnsi" w:cstheme="majorHAnsi"/>
          <w:sz w:val="24"/>
          <w:szCs w:val="24"/>
          <w:lang w:val="ro-MD"/>
        </w:rPr>
        <w:t xml:space="preserve"> 11 terenuri cu suprafața de 6,66 ha, neincluse în H</w:t>
      </w:r>
      <w:r w:rsidR="00742843">
        <w:rPr>
          <w:rFonts w:asciiTheme="majorHAnsi" w:hAnsiTheme="majorHAnsi" w:cstheme="majorHAnsi"/>
          <w:sz w:val="24"/>
          <w:szCs w:val="24"/>
          <w:lang w:val="ro-MD"/>
        </w:rPr>
        <w:t xml:space="preserve">otărârea </w:t>
      </w:r>
      <w:r w:rsidRPr="00CD7FE5">
        <w:rPr>
          <w:rFonts w:asciiTheme="majorHAnsi" w:hAnsiTheme="majorHAnsi" w:cstheme="majorHAnsi"/>
          <w:sz w:val="24"/>
          <w:szCs w:val="24"/>
          <w:lang w:val="ro-MD"/>
        </w:rPr>
        <w:t>G</w:t>
      </w:r>
      <w:r w:rsidR="00742843">
        <w:rPr>
          <w:rFonts w:asciiTheme="majorHAnsi" w:hAnsiTheme="majorHAnsi" w:cstheme="majorHAnsi"/>
          <w:sz w:val="24"/>
          <w:szCs w:val="24"/>
          <w:lang w:val="ro-MD"/>
        </w:rPr>
        <w:t xml:space="preserve">uvernului </w:t>
      </w:r>
      <w:r w:rsidRPr="00CD7FE5">
        <w:rPr>
          <w:rFonts w:asciiTheme="majorHAnsi" w:hAnsiTheme="majorHAnsi" w:cstheme="majorHAnsi"/>
          <w:sz w:val="24"/>
          <w:szCs w:val="24"/>
          <w:lang w:val="ro-MD"/>
        </w:rPr>
        <w:t xml:space="preserve"> </w:t>
      </w:r>
      <w:r w:rsidR="006079B8">
        <w:rPr>
          <w:rFonts w:asciiTheme="majorHAnsi" w:hAnsiTheme="majorHAnsi" w:cstheme="majorHAnsi"/>
          <w:sz w:val="24"/>
          <w:szCs w:val="24"/>
          <w:lang w:val="ro-MD"/>
        </w:rPr>
        <w:t>nr.</w:t>
      </w:r>
      <w:r w:rsidRPr="00CD7FE5">
        <w:rPr>
          <w:rFonts w:asciiTheme="majorHAnsi" w:hAnsiTheme="majorHAnsi" w:cstheme="majorHAnsi"/>
          <w:sz w:val="24"/>
          <w:szCs w:val="24"/>
          <w:lang w:val="ro-MD"/>
        </w:rPr>
        <w:t>161/2019 (</w:t>
      </w:r>
      <w:r w:rsidR="006079B8">
        <w:rPr>
          <w:rFonts w:asciiTheme="majorHAnsi" w:hAnsiTheme="majorHAnsi" w:cstheme="majorHAnsi"/>
          <w:sz w:val="24"/>
          <w:szCs w:val="24"/>
          <w:lang w:val="ro-MD"/>
        </w:rPr>
        <w:t>c</w:t>
      </w:r>
      <w:r w:rsidRPr="00CD7FE5">
        <w:rPr>
          <w:rFonts w:asciiTheme="majorHAnsi" w:hAnsiTheme="majorHAnsi" w:cstheme="majorHAnsi"/>
          <w:sz w:val="24"/>
          <w:szCs w:val="24"/>
          <w:lang w:val="ro-MD"/>
        </w:rPr>
        <w:t xml:space="preserve">onform e-Cadastru) </w:t>
      </w:r>
      <w:r w:rsidR="006079B8">
        <w:rPr>
          <w:rFonts w:asciiTheme="majorHAnsi" w:hAnsiTheme="majorHAnsi" w:cstheme="majorHAnsi"/>
          <w:sz w:val="24"/>
          <w:szCs w:val="24"/>
          <w:lang w:val="ro-MD"/>
        </w:rPr>
        <w:t>sunt</w:t>
      </w:r>
      <w:r w:rsidRPr="00CD7FE5">
        <w:rPr>
          <w:rFonts w:asciiTheme="majorHAnsi" w:hAnsiTheme="majorHAnsi" w:cstheme="majorHAnsi"/>
          <w:sz w:val="24"/>
          <w:szCs w:val="24"/>
          <w:lang w:val="ro-MD"/>
        </w:rPr>
        <w:t xml:space="preserve"> APL</w:t>
      </w:r>
      <w:r w:rsidR="006079B8">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deși acestea sunt aferente clădirilor proprietate d</w:t>
      </w:r>
      <w:r w:rsidR="00FD15CE" w:rsidRPr="00CD7FE5">
        <w:rPr>
          <w:rFonts w:asciiTheme="majorHAnsi" w:hAnsiTheme="majorHAnsi" w:cstheme="majorHAnsi"/>
          <w:sz w:val="24"/>
          <w:szCs w:val="24"/>
          <w:lang w:val="ro-MD"/>
        </w:rPr>
        <w:t>e stat</w:t>
      </w:r>
      <w:r w:rsidR="008F6405" w:rsidRPr="00CD7FE5">
        <w:rPr>
          <w:rFonts w:asciiTheme="majorHAnsi" w:hAnsiTheme="majorHAnsi" w:cstheme="majorHAnsi"/>
          <w:sz w:val="24"/>
          <w:szCs w:val="24"/>
          <w:lang w:val="ro-MD"/>
        </w:rPr>
        <w:t xml:space="preserve"> din subordinea MECC</w:t>
      </w:r>
      <w:r w:rsidR="00FD15CE" w:rsidRPr="00CD7FE5">
        <w:rPr>
          <w:rFonts w:asciiTheme="majorHAnsi" w:hAnsiTheme="majorHAnsi" w:cstheme="majorHAnsi"/>
          <w:sz w:val="24"/>
          <w:szCs w:val="24"/>
          <w:lang w:val="ro-MD"/>
        </w:rPr>
        <w:t>;</w:t>
      </w:r>
    </w:p>
    <w:p w14:paraId="5D9BA1E4" w14:textId="198DEA2F" w:rsidR="001A6184" w:rsidRPr="00CD7FE5" w:rsidRDefault="001A6184" w:rsidP="00224541">
      <w:pPr>
        <w:pStyle w:val="ListParagraph"/>
        <w:numPr>
          <w:ilvl w:val="0"/>
          <w:numId w:val="36"/>
        </w:numPr>
        <w:spacing w:line="276" w:lineRule="auto"/>
        <w:ind w:left="0" w:right="-40" w:firstLine="0"/>
        <w:rPr>
          <w:rFonts w:asciiTheme="majorHAnsi" w:eastAsia="Times New Roman" w:hAnsiTheme="majorHAnsi" w:cstheme="majorHAnsi"/>
          <w:iCs/>
          <w:sz w:val="24"/>
          <w:szCs w:val="24"/>
          <w:lang w:val="ro-MD"/>
        </w:rPr>
      </w:pPr>
      <w:r w:rsidRPr="00CD7FE5">
        <w:rPr>
          <w:rFonts w:asciiTheme="majorHAnsi" w:hAnsiTheme="majorHAnsi" w:cstheme="majorHAnsi"/>
          <w:sz w:val="24"/>
          <w:szCs w:val="24"/>
          <w:lang w:val="ro-MD"/>
        </w:rPr>
        <w:t xml:space="preserve">8 terenuri cu suprafața de 10,78 ha aferente clădirilor </w:t>
      </w:r>
      <w:r w:rsidR="006079B8">
        <w:rPr>
          <w:rFonts w:asciiTheme="majorHAnsi" w:hAnsiTheme="majorHAnsi" w:cstheme="majorHAnsi"/>
          <w:sz w:val="24"/>
          <w:szCs w:val="24"/>
          <w:lang w:val="ro-MD"/>
        </w:rPr>
        <w:t>i</w:t>
      </w:r>
      <w:r w:rsidRPr="00CD7FE5">
        <w:rPr>
          <w:rFonts w:asciiTheme="majorHAnsi" w:hAnsiTheme="majorHAnsi" w:cstheme="majorHAnsi"/>
          <w:sz w:val="24"/>
          <w:szCs w:val="24"/>
          <w:lang w:val="ro-MD"/>
        </w:rPr>
        <w:t xml:space="preserve">nstituțiilor MECC nu </w:t>
      </w:r>
      <w:r w:rsidR="00FD15CE" w:rsidRPr="00CD7FE5">
        <w:rPr>
          <w:rFonts w:asciiTheme="majorHAnsi" w:hAnsiTheme="majorHAnsi" w:cstheme="majorHAnsi"/>
          <w:sz w:val="24"/>
          <w:szCs w:val="24"/>
          <w:lang w:val="ro-MD"/>
        </w:rPr>
        <w:t>sunt înregistrate în e-Cadastru;</w:t>
      </w:r>
    </w:p>
    <w:p w14:paraId="523EE75C" w14:textId="0041D2B5" w:rsidR="001A6184" w:rsidRPr="00CD7FE5" w:rsidRDefault="001A6184" w:rsidP="00224541">
      <w:pPr>
        <w:pStyle w:val="ListParagraph"/>
        <w:numPr>
          <w:ilvl w:val="0"/>
          <w:numId w:val="36"/>
        </w:numPr>
        <w:spacing w:line="276" w:lineRule="auto"/>
        <w:ind w:left="0" w:right="-40" w:firstLine="0"/>
        <w:rPr>
          <w:rFonts w:asciiTheme="majorHAnsi" w:eastAsia="Times New Roman" w:hAnsiTheme="majorHAnsi" w:cstheme="majorHAnsi"/>
          <w:iCs/>
          <w:sz w:val="24"/>
          <w:szCs w:val="24"/>
          <w:lang w:val="ro-MD"/>
        </w:rPr>
      </w:pPr>
      <w:r w:rsidRPr="00CD7FE5">
        <w:rPr>
          <w:rFonts w:asciiTheme="majorHAnsi" w:hAnsiTheme="majorHAnsi" w:cstheme="majorHAnsi"/>
          <w:sz w:val="24"/>
          <w:szCs w:val="24"/>
          <w:lang w:val="ro-MD"/>
        </w:rPr>
        <w:t xml:space="preserve">Instituțiile MECC nu au înregistrate la </w:t>
      </w:r>
      <w:r w:rsidR="006079B8">
        <w:rPr>
          <w:rFonts w:asciiTheme="majorHAnsi" w:hAnsiTheme="majorHAnsi" w:cstheme="majorHAnsi"/>
          <w:sz w:val="24"/>
          <w:szCs w:val="24"/>
          <w:lang w:val="ro-MD"/>
        </w:rPr>
        <w:t xml:space="preserve">organul </w:t>
      </w:r>
      <w:r w:rsidRPr="00CD7FE5">
        <w:rPr>
          <w:rFonts w:asciiTheme="majorHAnsi" w:hAnsiTheme="majorHAnsi" w:cstheme="majorHAnsi"/>
          <w:sz w:val="24"/>
          <w:szCs w:val="24"/>
          <w:lang w:val="ro-MD"/>
        </w:rPr>
        <w:t>cadastr</w:t>
      </w:r>
      <w:r w:rsidR="006079B8">
        <w:rPr>
          <w:rFonts w:asciiTheme="majorHAnsi" w:hAnsiTheme="majorHAnsi" w:cstheme="majorHAnsi"/>
          <w:sz w:val="24"/>
          <w:szCs w:val="24"/>
          <w:lang w:val="ro-MD"/>
        </w:rPr>
        <w:t>al</w:t>
      </w:r>
      <w:r w:rsidRPr="00CD7FE5">
        <w:rPr>
          <w:rFonts w:asciiTheme="majorHAnsi" w:hAnsiTheme="majorHAnsi" w:cstheme="majorHAnsi"/>
          <w:sz w:val="24"/>
          <w:szCs w:val="24"/>
          <w:lang w:val="ro-MD"/>
        </w:rPr>
        <w:t xml:space="preserve"> drepturile de folosință a 35 </w:t>
      </w:r>
      <w:r w:rsidR="006079B8">
        <w:rPr>
          <w:rFonts w:asciiTheme="majorHAnsi" w:hAnsiTheme="majorHAnsi" w:cstheme="majorHAnsi"/>
          <w:sz w:val="24"/>
          <w:szCs w:val="24"/>
          <w:lang w:val="ro-MD"/>
        </w:rPr>
        <w:t xml:space="preserve">de </w:t>
      </w:r>
      <w:r w:rsidRPr="00CD7FE5">
        <w:rPr>
          <w:rFonts w:asciiTheme="majorHAnsi" w:hAnsiTheme="majorHAnsi" w:cstheme="majorHAnsi"/>
          <w:sz w:val="24"/>
          <w:szCs w:val="24"/>
          <w:lang w:val="ro-MD"/>
        </w:rPr>
        <w:t>terenuri cu suprafața de 522,95 ha, o parte din</w:t>
      </w:r>
      <w:r w:rsidR="006079B8">
        <w:rPr>
          <w:rFonts w:asciiTheme="majorHAnsi" w:hAnsiTheme="majorHAnsi" w:cstheme="majorHAnsi"/>
          <w:sz w:val="24"/>
          <w:szCs w:val="24"/>
          <w:lang w:val="ro-MD"/>
        </w:rPr>
        <w:t>tre</w:t>
      </w:r>
      <w:r w:rsidRPr="00CD7FE5">
        <w:rPr>
          <w:rFonts w:asciiTheme="majorHAnsi" w:hAnsiTheme="majorHAnsi" w:cstheme="majorHAnsi"/>
          <w:sz w:val="24"/>
          <w:szCs w:val="24"/>
          <w:lang w:val="ro-MD"/>
        </w:rPr>
        <w:t xml:space="preserve"> ele </w:t>
      </w:r>
      <w:r w:rsidR="00951EE4">
        <w:rPr>
          <w:rFonts w:asciiTheme="majorHAnsi" w:hAnsiTheme="majorHAnsi" w:cstheme="majorHAnsi"/>
          <w:sz w:val="24"/>
          <w:szCs w:val="24"/>
          <w:lang w:val="ro-MD"/>
        </w:rPr>
        <w:t>fiind</w:t>
      </w:r>
      <w:r w:rsidRPr="00CD7FE5">
        <w:rPr>
          <w:rFonts w:asciiTheme="majorHAnsi" w:hAnsiTheme="majorHAnsi" w:cstheme="majorHAnsi"/>
          <w:sz w:val="24"/>
          <w:szCs w:val="24"/>
          <w:lang w:val="ro-MD"/>
        </w:rPr>
        <w:t xml:space="preserve"> înregistrate după instituții lichidate sau care au transmis drepturile de fonda</w:t>
      </w:r>
      <w:r w:rsidR="00FD15CE" w:rsidRPr="00CD7FE5">
        <w:rPr>
          <w:rFonts w:asciiTheme="majorHAnsi" w:hAnsiTheme="majorHAnsi" w:cstheme="majorHAnsi"/>
          <w:sz w:val="24"/>
          <w:szCs w:val="24"/>
          <w:lang w:val="ro-MD"/>
        </w:rPr>
        <w:t>tor al instituțiilor către MECC;</w:t>
      </w:r>
    </w:p>
    <w:p w14:paraId="4C39FD57" w14:textId="699DBF3E" w:rsidR="001A6184" w:rsidRPr="00CD7FE5" w:rsidRDefault="001A6184" w:rsidP="00224541">
      <w:pPr>
        <w:pStyle w:val="ListParagraph"/>
        <w:numPr>
          <w:ilvl w:val="0"/>
          <w:numId w:val="36"/>
        </w:numPr>
        <w:spacing w:line="276" w:lineRule="auto"/>
        <w:ind w:left="0" w:right="-40" w:firstLine="0"/>
        <w:rPr>
          <w:rFonts w:asciiTheme="majorHAnsi" w:eastAsia="Times New Roman" w:hAnsiTheme="majorHAnsi" w:cstheme="majorHAnsi"/>
          <w:iCs/>
          <w:sz w:val="24"/>
          <w:szCs w:val="24"/>
          <w:lang w:val="ro-MD"/>
        </w:rPr>
      </w:pPr>
      <w:r w:rsidRPr="00CD7FE5">
        <w:rPr>
          <w:rFonts w:asciiTheme="majorHAnsi" w:eastAsia="Times New Roman" w:hAnsiTheme="majorHAnsi" w:cstheme="majorHAnsi"/>
          <w:color w:val="000000"/>
          <w:sz w:val="24"/>
          <w:szCs w:val="24"/>
          <w:lang w:val="ro-MD"/>
        </w:rPr>
        <w:t>MECC nu a asigurat delimitarea și înregistrarea conformă a proprietății publice gestionate de entitățile din subordine aflate la autogestiune.</w:t>
      </w:r>
      <w:r w:rsidRPr="00CD7FE5">
        <w:rPr>
          <w:rFonts w:asciiTheme="majorHAnsi" w:hAnsiTheme="majorHAnsi" w:cstheme="majorHAnsi"/>
          <w:sz w:val="24"/>
          <w:szCs w:val="24"/>
          <w:lang w:val="ro-MD"/>
        </w:rPr>
        <w:t xml:space="preserve"> </w:t>
      </w:r>
      <w:r w:rsidRPr="00CD7FE5">
        <w:rPr>
          <w:rFonts w:asciiTheme="majorHAnsi" w:eastAsia="Times New Roman" w:hAnsiTheme="majorHAnsi" w:cstheme="majorHAnsi"/>
          <w:color w:val="000000"/>
          <w:sz w:val="24"/>
          <w:szCs w:val="24"/>
          <w:lang w:val="ro-MD"/>
        </w:rPr>
        <w:t xml:space="preserve">Astfel, 41 </w:t>
      </w:r>
      <w:r w:rsidR="00951EE4">
        <w:rPr>
          <w:rFonts w:asciiTheme="majorHAnsi" w:eastAsia="Times New Roman" w:hAnsiTheme="majorHAnsi" w:cstheme="majorHAnsi"/>
          <w:color w:val="000000"/>
          <w:sz w:val="24"/>
          <w:szCs w:val="24"/>
          <w:lang w:val="ro-MD"/>
        </w:rPr>
        <w:t xml:space="preserve">de </w:t>
      </w:r>
      <w:r w:rsidRPr="00CD7FE5">
        <w:rPr>
          <w:rFonts w:asciiTheme="majorHAnsi" w:eastAsia="Times New Roman" w:hAnsiTheme="majorHAnsi" w:cstheme="majorHAnsi"/>
          <w:color w:val="000000"/>
          <w:sz w:val="24"/>
          <w:szCs w:val="24"/>
          <w:lang w:val="ro-MD"/>
        </w:rPr>
        <w:t xml:space="preserve">terenuri </w:t>
      </w:r>
      <w:r w:rsidR="00951EE4">
        <w:rPr>
          <w:rFonts w:asciiTheme="majorHAnsi" w:eastAsia="Times New Roman" w:hAnsiTheme="majorHAnsi" w:cstheme="majorHAnsi"/>
          <w:color w:val="000000"/>
          <w:sz w:val="24"/>
          <w:szCs w:val="24"/>
          <w:lang w:val="ro-MD"/>
        </w:rPr>
        <w:t xml:space="preserve">cu suprafața </w:t>
      </w:r>
      <w:r w:rsidRPr="00CD7FE5">
        <w:rPr>
          <w:rFonts w:asciiTheme="majorHAnsi" w:eastAsia="Times New Roman" w:hAnsiTheme="majorHAnsi" w:cstheme="majorHAnsi"/>
          <w:color w:val="000000"/>
          <w:sz w:val="24"/>
          <w:szCs w:val="24"/>
          <w:lang w:val="ro-MD"/>
        </w:rPr>
        <w:t xml:space="preserve">de 52,1 ha </w:t>
      </w:r>
      <w:r w:rsidR="007822FD">
        <w:rPr>
          <w:rFonts w:asciiTheme="majorHAnsi" w:eastAsia="Times New Roman" w:hAnsiTheme="majorHAnsi" w:cstheme="majorHAnsi"/>
          <w:color w:val="000000"/>
          <w:sz w:val="24"/>
          <w:szCs w:val="24"/>
          <w:lang w:val="ro-MD"/>
        </w:rPr>
        <w:t xml:space="preserve">și </w:t>
      </w:r>
      <w:r w:rsidRPr="00CD7FE5">
        <w:rPr>
          <w:rFonts w:asciiTheme="majorHAnsi" w:eastAsia="Times New Roman" w:hAnsiTheme="majorHAnsi" w:cstheme="majorHAnsi"/>
          <w:color w:val="000000"/>
          <w:sz w:val="24"/>
          <w:szCs w:val="24"/>
          <w:lang w:val="ro-MD"/>
        </w:rPr>
        <w:t xml:space="preserve"> valoare</w:t>
      </w:r>
      <w:r w:rsidR="007822FD">
        <w:rPr>
          <w:rFonts w:asciiTheme="majorHAnsi" w:eastAsia="Times New Roman" w:hAnsiTheme="majorHAnsi" w:cstheme="majorHAnsi"/>
          <w:color w:val="000000"/>
          <w:sz w:val="24"/>
          <w:szCs w:val="24"/>
          <w:lang w:val="ro-MD"/>
        </w:rPr>
        <w:t>a</w:t>
      </w:r>
      <w:r w:rsidRPr="00CD7FE5">
        <w:rPr>
          <w:rFonts w:asciiTheme="majorHAnsi" w:eastAsia="Times New Roman" w:hAnsiTheme="majorHAnsi" w:cstheme="majorHAnsi"/>
          <w:color w:val="000000"/>
          <w:sz w:val="24"/>
          <w:szCs w:val="24"/>
          <w:lang w:val="ro-MD"/>
        </w:rPr>
        <w:t xml:space="preserve"> totală de 106,77 mil.lei sunt înregistrate ca proprietate a APL. Totodată, 13 terenuri </w:t>
      </w:r>
      <w:r w:rsidR="007822FD">
        <w:rPr>
          <w:rFonts w:asciiTheme="majorHAnsi" w:eastAsia="Times New Roman" w:hAnsiTheme="majorHAnsi" w:cstheme="majorHAnsi"/>
          <w:color w:val="000000"/>
          <w:sz w:val="24"/>
          <w:szCs w:val="24"/>
          <w:lang w:val="ro-MD"/>
        </w:rPr>
        <w:t xml:space="preserve">cu suprafața </w:t>
      </w:r>
      <w:r w:rsidRPr="00CD7FE5">
        <w:rPr>
          <w:rFonts w:asciiTheme="majorHAnsi" w:eastAsia="Times New Roman" w:hAnsiTheme="majorHAnsi" w:cstheme="majorHAnsi"/>
          <w:color w:val="000000"/>
          <w:sz w:val="24"/>
          <w:szCs w:val="24"/>
          <w:lang w:val="ro-MD"/>
        </w:rPr>
        <w:t xml:space="preserve">de 48,43 ha </w:t>
      </w:r>
      <w:r w:rsidR="007822FD">
        <w:rPr>
          <w:rFonts w:asciiTheme="majorHAnsi" w:eastAsia="Times New Roman" w:hAnsiTheme="majorHAnsi" w:cstheme="majorHAnsi"/>
          <w:color w:val="000000"/>
          <w:sz w:val="24"/>
          <w:szCs w:val="24"/>
          <w:lang w:val="ro-MD"/>
        </w:rPr>
        <w:t>și</w:t>
      </w:r>
      <w:r w:rsidRPr="00CD7FE5">
        <w:rPr>
          <w:rFonts w:asciiTheme="majorHAnsi" w:eastAsia="Times New Roman" w:hAnsiTheme="majorHAnsi" w:cstheme="majorHAnsi"/>
          <w:color w:val="000000"/>
          <w:sz w:val="24"/>
          <w:szCs w:val="24"/>
          <w:lang w:val="ro-MD"/>
        </w:rPr>
        <w:t xml:space="preserve"> valoarea totală de 21,08 mil.lei nu au înregistrate drepturile de proprietate în Registrul Bunurilor </w:t>
      </w:r>
      <w:r w:rsidR="007822FD">
        <w:rPr>
          <w:rFonts w:asciiTheme="majorHAnsi" w:eastAsia="Times New Roman" w:hAnsiTheme="majorHAnsi" w:cstheme="majorHAnsi"/>
          <w:color w:val="000000"/>
          <w:sz w:val="24"/>
          <w:szCs w:val="24"/>
          <w:lang w:val="ro-MD"/>
        </w:rPr>
        <w:t>I</w:t>
      </w:r>
      <w:r w:rsidRPr="00CD7FE5">
        <w:rPr>
          <w:rFonts w:asciiTheme="majorHAnsi" w:eastAsia="Times New Roman" w:hAnsiTheme="majorHAnsi" w:cstheme="majorHAnsi"/>
          <w:color w:val="000000"/>
          <w:sz w:val="24"/>
          <w:szCs w:val="24"/>
          <w:lang w:val="ro-MD"/>
        </w:rPr>
        <w:t>mobile.</w:t>
      </w:r>
    </w:p>
    <w:p w14:paraId="0CDDB126" w14:textId="36A2A0ED" w:rsidR="006D71BB" w:rsidRPr="00CD7FE5" w:rsidRDefault="008D4F50" w:rsidP="00C01385">
      <w:pPr>
        <w:spacing w:after="0" w:line="276" w:lineRule="auto"/>
        <w:jc w:val="both"/>
        <w:rPr>
          <w:rFonts w:asciiTheme="majorHAnsi" w:hAnsiTheme="majorHAnsi" w:cstheme="majorHAnsi"/>
          <w:sz w:val="24"/>
          <w:szCs w:val="24"/>
          <w:lang w:val="ro-MD"/>
        </w:rPr>
      </w:pPr>
      <w:r w:rsidRPr="00CD7FE5">
        <w:rPr>
          <w:rFonts w:asciiTheme="majorHAnsi" w:eastAsia="Times New Roman" w:hAnsiTheme="majorHAnsi" w:cstheme="majorHAnsi"/>
          <w:b/>
          <w:bCs/>
          <w:iCs/>
          <w:sz w:val="24"/>
          <w:szCs w:val="24"/>
          <w:lang w:val="ro-MD"/>
        </w:rPr>
        <w:t>6</w:t>
      </w:r>
      <w:r w:rsidR="0047004E" w:rsidRPr="00CD7FE5">
        <w:rPr>
          <w:rFonts w:asciiTheme="majorHAnsi" w:eastAsia="Times New Roman" w:hAnsiTheme="majorHAnsi" w:cstheme="majorHAnsi"/>
          <w:b/>
          <w:bCs/>
          <w:iCs/>
          <w:sz w:val="24"/>
          <w:szCs w:val="24"/>
          <w:lang w:val="ro-MD"/>
        </w:rPr>
        <w:t>.1</w:t>
      </w:r>
      <w:r w:rsidR="007367FB" w:rsidRPr="00CD7FE5">
        <w:rPr>
          <w:rFonts w:asciiTheme="majorHAnsi" w:eastAsia="Times New Roman" w:hAnsiTheme="majorHAnsi" w:cstheme="majorHAnsi"/>
          <w:b/>
          <w:bCs/>
          <w:iCs/>
          <w:sz w:val="24"/>
          <w:szCs w:val="24"/>
          <w:lang w:val="ro-MD"/>
        </w:rPr>
        <w:t>0</w:t>
      </w:r>
      <w:r w:rsidR="006079B8">
        <w:rPr>
          <w:rFonts w:asciiTheme="majorHAnsi" w:eastAsia="Times New Roman" w:hAnsiTheme="majorHAnsi" w:cstheme="majorHAnsi"/>
          <w:b/>
          <w:bCs/>
          <w:iCs/>
          <w:sz w:val="24"/>
          <w:szCs w:val="24"/>
          <w:lang w:val="ro-MD"/>
        </w:rPr>
        <w:t xml:space="preserve">. </w:t>
      </w:r>
      <w:r w:rsidR="009546D1" w:rsidRPr="00CD7FE5">
        <w:rPr>
          <w:rFonts w:asciiTheme="majorHAnsi" w:hAnsiTheme="majorHAnsi" w:cstheme="majorHAnsi"/>
          <w:sz w:val="24"/>
          <w:szCs w:val="24"/>
          <w:lang w:val="ro-MD"/>
        </w:rPr>
        <w:t>Pe parcursul anului 2018</w:t>
      </w:r>
      <w:r w:rsidR="006D71BB" w:rsidRPr="00CD7FE5">
        <w:rPr>
          <w:rFonts w:asciiTheme="majorHAnsi" w:hAnsiTheme="majorHAnsi" w:cstheme="majorHAnsi"/>
          <w:sz w:val="24"/>
          <w:szCs w:val="24"/>
          <w:lang w:val="ro-MD"/>
        </w:rPr>
        <w:t>,</w:t>
      </w:r>
      <w:r w:rsidR="009546D1" w:rsidRPr="00CD7FE5">
        <w:rPr>
          <w:rFonts w:asciiTheme="majorHAnsi" w:hAnsiTheme="majorHAnsi" w:cstheme="majorHAnsi"/>
          <w:sz w:val="24"/>
          <w:szCs w:val="24"/>
          <w:lang w:val="ro-MD"/>
        </w:rPr>
        <w:t xml:space="preserve"> potrivit pct.3 și Anexei nr.1 </w:t>
      </w:r>
      <w:r w:rsidR="009546D1" w:rsidRPr="00373FC9">
        <w:rPr>
          <w:rFonts w:asciiTheme="majorHAnsi" w:hAnsiTheme="majorHAnsi" w:cstheme="majorHAnsi"/>
          <w:sz w:val="24"/>
          <w:szCs w:val="24"/>
          <w:lang w:val="ro-MD"/>
        </w:rPr>
        <w:t>din H</w:t>
      </w:r>
      <w:r w:rsidR="00742843">
        <w:rPr>
          <w:rFonts w:asciiTheme="majorHAnsi" w:hAnsiTheme="majorHAnsi" w:cstheme="majorHAnsi"/>
          <w:sz w:val="24"/>
          <w:szCs w:val="24"/>
          <w:lang w:val="ro-MD"/>
        </w:rPr>
        <w:t xml:space="preserve">otărârea </w:t>
      </w:r>
      <w:r w:rsidR="009546D1" w:rsidRPr="00373FC9">
        <w:rPr>
          <w:rFonts w:asciiTheme="majorHAnsi" w:hAnsiTheme="majorHAnsi" w:cstheme="majorHAnsi"/>
          <w:sz w:val="24"/>
          <w:szCs w:val="24"/>
          <w:lang w:val="ro-MD"/>
        </w:rPr>
        <w:t>G</w:t>
      </w:r>
      <w:r w:rsidR="00742843">
        <w:rPr>
          <w:rFonts w:asciiTheme="majorHAnsi" w:hAnsiTheme="majorHAnsi" w:cstheme="majorHAnsi"/>
          <w:sz w:val="24"/>
          <w:szCs w:val="24"/>
          <w:lang w:val="ro-MD"/>
        </w:rPr>
        <w:t>uvernului</w:t>
      </w:r>
      <w:r w:rsidR="009546D1" w:rsidRPr="00373FC9">
        <w:rPr>
          <w:rFonts w:asciiTheme="majorHAnsi" w:hAnsiTheme="majorHAnsi" w:cstheme="majorHAnsi"/>
          <w:sz w:val="24"/>
          <w:szCs w:val="24"/>
          <w:lang w:val="ro-MD"/>
        </w:rPr>
        <w:t xml:space="preserve"> nr.806 din 01.08.2018</w:t>
      </w:r>
      <w:r w:rsidR="009546D1" w:rsidRPr="00373FC9">
        <w:rPr>
          <w:rStyle w:val="FootnoteReference"/>
          <w:rFonts w:asciiTheme="majorHAnsi" w:hAnsiTheme="majorHAnsi" w:cstheme="majorHAnsi"/>
          <w:sz w:val="24"/>
          <w:szCs w:val="24"/>
          <w:lang w:val="ro-MD"/>
        </w:rPr>
        <w:footnoteReference w:id="44"/>
      </w:r>
      <w:r w:rsidR="006D71BB" w:rsidRPr="00373FC9">
        <w:rPr>
          <w:rFonts w:asciiTheme="majorHAnsi" w:hAnsiTheme="majorHAnsi" w:cstheme="majorHAnsi"/>
          <w:sz w:val="24"/>
          <w:szCs w:val="24"/>
          <w:lang w:val="ro-MD"/>
        </w:rPr>
        <w:t>,</w:t>
      </w:r>
      <w:r w:rsidR="009546D1" w:rsidRPr="00373FC9">
        <w:rPr>
          <w:rFonts w:asciiTheme="majorHAnsi" w:hAnsiTheme="majorHAnsi" w:cstheme="majorHAnsi"/>
          <w:sz w:val="24"/>
          <w:szCs w:val="24"/>
          <w:lang w:val="ro-MD"/>
        </w:rPr>
        <w:t xml:space="preserve"> în termen de 30</w:t>
      </w:r>
      <w:r w:rsidR="006D71BB" w:rsidRPr="00373FC9">
        <w:rPr>
          <w:rFonts w:asciiTheme="majorHAnsi" w:hAnsiTheme="majorHAnsi" w:cstheme="majorHAnsi"/>
          <w:sz w:val="24"/>
          <w:szCs w:val="24"/>
          <w:lang w:val="ro-MD"/>
        </w:rPr>
        <w:t xml:space="preserve"> de</w:t>
      </w:r>
      <w:r w:rsidR="009546D1" w:rsidRPr="00373FC9">
        <w:rPr>
          <w:rFonts w:asciiTheme="majorHAnsi" w:hAnsiTheme="majorHAnsi" w:cstheme="majorHAnsi"/>
          <w:sz w:val="24"/>
          <w:szCs w:val="24"/>
          <w:lang w:val="ro-MD"/>
        </w:rPr>
        <w:t xml:space="preserve"> zile de la data publicării hotărârii în cauză (10.08.2018)</w:t>
      </w:r>
      <w:r w:rsidR="006079B8" w:rsidRPr="00373FC9">
        <w:rPr>
          <w:rFonts w:asciiTheme="majorHAnsi" w:hAnsiTheme="majorHAnsi" w:cstheme="majorHAnsi"/>
          <w:sz w:val="24"/>
          <w:szCs w:val="24"/>
          <w:lang w:val="ro-MD"/>
        </w:rPr>
        <w:t>,</w:t>
      </w:r>
      <w:r w:rsidR="009546D1" w:rsidRPr="00373FC9">
        <w:rPr>
          <w:rFonts w:asciiTheme="majorHAnsi" w:hAnsiTheme="majorHAnsi" w:cstheme="majorHAnsi"/>
          <w:sz w:val="24"/>
          <w:szCs w:val="24"/>
          <w:lang w:val="ro-MD"/>
        </w:rPr>
        <w:t xml:space="preserve"> urmau a fi transmise către APP 17 instituții (15 întreprinderi de stat și 2 societăți pe acțiuni)</w:t>
      </w:r>
      <w:r w:rsidR="009546D1" w:rsidRPr="00373FC9">
        <w:rPr>
          <w:rStyle w:val="FootnoteReference"/>
          <w:rFonts w:asciiTheme="majorHAnsi" w:hAnsiTheme="majorHAnsi" w:cstheme="majorHAnsi"/>
          <w:sz w:val="24"/>
          <w:szCs w:val="24"/>
          <w:lang w:val="ro-MD"/>
        </w:rPr>
        <w:footnoteReference w:id="45"/>
      </w:r>
      <w:r w:rsidR="009546D1" w:rsidRPr="00373FC9">
        <w:rPr>
          <w:rFonts w:asciiTheme="majorHAnsi" w:hAnsiTheme="majorHAnsi" w:cstheme="majorHAnsi"/>
          <w:sz w:val="24"/>
          <w:szCs w:val="24"/>
          <w:lang w:val="ro-MD"/>
        </w:rPr>
        <w:t xml:space="preserve"> din subordinea MECC</w:t>
      </w:r>
      <w:r w:rsidR="00AF0A6D" w:rsidRPr="00373FC9">
        <w:rPr>
          <w:rFonts w:asciiTheme="majorHAnsi" w:hAnsiTheme="majorHAnsi" w:cstheme="majorHAnsi"/>
          <w:sz w:val="24"/>
          <w:szCs w:val="24"/>
          <w:lang w:val="ro-MD"/>
        </w:rPr>
        <w:t>, dar ministerul până în prezent nu le-a transmis către APP, printr-un act de transmitere</w:t>
      </w:r>
      <w:r w:rsidR="00AF0A6D" w:rsidRPr="00CD7FE5">
        <w:rPr>
          <w:rFonts w:asciiTheme="majorHAnsi" w:hAnsiTheme="majorHAnsi" w:cstheme="majorHAnsi"/>
          <w:sz w:val="24"/>
          <w:szCs w:val="24"/>
          <w:lang w:val="ro-MD"/>
        </w:rPr>
        <w:t>-predare și/sau factură</w:t>
      </w:r>
      <w:r w:rsidR="009546D1" w:rsidRPr="00CD7FE5">
        <w:rPr>
          <w:rFonts w:asciiTheme="majorHAnsi" w:hAnsiTheme="majorHAnsi" w:cstheme="majorHAnsi"/>
          <w:sz w:val="24"/>
          <w:szCs w:val="24"/>
          <w:lang w:val="ro-MD"/>
        </w:rPr>
        <w:t xml:space="preserve">, </w:t>
      </w:r>
      <w:r w:rsidR="00AF0A6D">
        <w:rPr>
          <w:rFonts w:asciiTheme="majorHAnsi" w:hAnsiTheme="majorHAnsi" w:cstheme="majorHAnsi"/>
          <w:sz w:val="24"/>
          <w:szCs w:val="24"/>
          <w:lang w:val="ro-MD"/>
        </w:rPr>
        <w:t xml:space="preserve">astfel </w:t>
      </w:r>
      <w:r w:rsidR="009546D1" w:rsidRPr="00CD7FE5">
        <w:rPr>
          <w:rFonts w:asciiTheme="majorHAnsi" w:hAnsiTheme="majorHAnsi" w:cstheme="majorHAnsi"/>
          <w:sz w:val="24"/>
          <w:szCs w:val="24"/>
          <w:lang w:val="ro-MD"/>
        </w:rPr>
        <w:t xml:space="preserve">nerespectând prevederile pct.3 </w:t>
      </w:r>
      <w:r w:rsidR="009546D1" w:rsidRPr="00373FC9">
        <w:rPr>
          <w:rFonts w:asciiTheme="majorHAnsi" w:hAnsiTheme="majorHAnsi" w:cstheme="majorHAnsi"/>
          <w:sz w:val="24"/>
          <w:szCs w:val="24"/>
          <w:lang w:val="ro-MD"/>
        </w:rPr>
        <w:t>din H</w:t>
      </w:r>
      <w:r w:rsidR="00742843">
        <w:rPr>
          <w:rFonts w:asciiTheme="majorHAnsi" w:hAnsiTheme="majorHAnsi" w:cstheme="majorHAnsi"/>
          <w:sz w:val="24"/>
          <w:szCs w:val="24"/>
          <w:lang w:val="ro-MD"/>
        </w:rPr>
        <w:t xml:space="preserve">otărârea </w:t>
      </w:r>
      <w:r w:rsidR="009546D1" w:rsidRPr="00373FC9">
        <w:rPr>
          <w:rFonts w:asciiTheme="majorHAnsi" w:hAnsiTheme="majorHAnsi" w:cstheme="majorHAnsi"/>
          <w:sz w:val="24"/>
          <w:szCs w:val="24"/>
          <w:lang w:val="ro-MD"/>
        </w:rPr>
        <w:t>G</w:t>
      </w:r>
      <w:r w:rsidR="00742843">
        <w:rPr>
          <w:rFonts w:asciiTheme="majorHAnsi" w:hAnsiTheme="majorHAnsi" w:cstheme="majorHAnsi"/>
          <w:sz w:val="24"/>
          <w:szCs w:val="24"/>
          <w:lang w:val="ro-MD"/>
        </w:rPr>
        <w:t>uvernului</w:t>
      </w:r>
      <w:r w:rsidR="009546D1" w:rsidRPr="00373FC9">
        <w:rPr>
          <w:rFonts w:asciiTheme="majorHAnsi" w:hAnsiTheme="majorHAnsi" w:cstheme="majorHAnsi"/>
          <w:sz w:val="24"/>
          <w:szCs w:val="24"/>
          <w:lang w:val="ro-MD"/>
        </w:rPr>
        <w:t xml:space="preserve"> menționată</w:t>
      </w:r>
      <w:r w:rsidR="009546D1" w:rsidRPr="00CD7FE5">
        <w:rPr>
          <w:rFonts w:asciiTheme="majorHAnsi" w:hAnsiTheme="majorHAnsi" w:cstheme="majorHAnsi"/>
          <w:sz w:val="24"/>
          <w:szCs w:val="24"/>
          <w:lang w:val="ro-MD"/>
        </w:rPr>
        <w:t xml:space="preserve"> și </w:t>
      </w:r>
      <w:r w:rsidR="00AF0A6D">
        <w:rPr>
          <w:rFonts w:asciiTheme="majorHAnsi" w:hAnsiTheme="majorHAnsi" w:cstheme="majorHAnsi"/>
          <w:sz w:val="24"/>
          <w:szCs w:val="24"/>
          <w:lang w:val="ro-MD"/>
        </w:rPr>
        <w:t xml:space="preserve">ale </w:t>
      </w:r>
      <w:r w:rsidR="009546D1" w:rsidRPr="00CD7FE5">
        <w:rPr>
          <w:rFonts w:asciiTheme="majorHAnsi" w:hAnsiTheme="majorHAnsi" w:cstheme="majorHAnsi"/>
          <w:sz w:val="24"/>
          <w:szCs w:val="24"/>
          <w:lang w:val="ro-MD"/>
        </w:rPr>
        <w:t>pct.5 din Anexa nr.1 l</w:t>
      </w:r>
      <w:r w:rsidR="006D71BB" w:rsidRPr="00CD7FE5">
        <w:rPr>
          <w:rFonts w:asciiTheme="majorHAnsi" w:hAnsiTheme="majorHAnsi" w:cstheme="majorHAnsi"/>
          <w:sz w:val="24"/>
          <w:szCs w:val="24"/>
          <w:lang w:val="ro-MD"/>
        </w:rPr>
        <w:t>a</w:t>
      </w:r>
      <w:r w:rsidR="009546D1" w:rsidRPr="00CD7FE5">
        <w:rPr>
          <w:rFonts w:asciiTheme="majorHAnsi" w:hAnsiTheme="majorHAnsi" w:cstheme="majorHAnsi"/>
          <w:sz w:val="24"/>
          <w:szCs w:val="24"/>
          <w:lang w:val="ro-MD"/>
        </w:rPr>
        <w:t xml:space="preserve"> H</w:t>
      </w:r>
      <w:r w:rsidR="00742843">
        <w:rPr>
          <w:rFonts w:asciiTheme="majorHAnsi" w:hAnsiTheme="majorHAnsi" w:cstheme="majorHAnsi"/>
          <w:sz w:val="24"/>
          <w:szCs w:val="24"/>
          <w:lang w:val="ro-MD"/>
        </w:rPr>
        <w:t xml:space="preserve">otărârea </w:t>
      </w:r>
      <w:r w:rsidR="009546D1" w:rsidRPr="00CD7FE5">
        <w:rPr>
          <w:rFonts w:asciiTheme="majorHAnsi" w:hAnsiTheme="majorHAnsi" w:cstheme="majorHAnsi"/>
          <w:sz w:val="24"/>
          <w:szCs w:val="24"/>
          <w:lang w:val="ro-MD"/>
        </w:rPr>
        <w:t>G</w:t>
      </w:r>
      <w:r w:rsidR="00742843">
        <w:rPr>
          <w:rFonts w:asciiTheme="majorHAnsi" w:hAnsiTheme="majorHAnsi" w:cstheme="majorHAnsi"/>
          <w:sz w:val="24"/>
          <w:szCs w:val="24"/>
          <w:lang w:val="ro-MD"/>
        </w:rPr>
        <w:t>uvernului</w:t>
      </w:r>
      <w:r w:rsidR="009546D1" w:rsidRPr="00CD7FE5">
        <w:rPr>
          <w:rFonts w:asciiTheme="majorHAnsi" w:hAnsiTheme="majorHAnsi" w:cstheme="majorHAnsi"/>
          <w:sz w:val="24"/>
          <w:szCs w:val="24"/>
          <w:lang w:val="ro-MD"/>
        </w:rPr>
        <w:t xml:space="preserve"> nr.901 din 31.12.2015</w:t>
      </w:r>
      <w:r w:rsidR="009546D1" w:rsidRPr="00CD7FE5">
        <w:rPr>
          <w:rStyle w:val="FootnoteReference"/>
          <w:rFonts w:asciiTheme="majorHAnsi" w:hAnsiTheme="majorHAnsi" w:cstheme="majorHAnsi"/>
          <w:sz w:val="24"/>
          <w:szCs w:val="24"/>
          <w:lang w:val="ro-MD"/>
        </w:rPr>
        <w:footnoteReference w:id="46"/>
      </w:r>
      <w:r w:rsidR="009546D1" w:rsidRPr="00CD7FE5">
        <w:rPr>
          <w:rFonts w:asciiTheme="majorHAnsi" w:hAnsiTheme="majorHAnsi" w:cstheme="majorHAnsi"/>
          <w:sz w:val="24"/>
          <w:szCs w:val="24"/>
          <w:lang w:val="ro-MD"/>
        </w:rPr>
        <w:t xml:space="preserve">. </w:t>
      </w:r>
      <w:r w:rsidR="00AF0A6D">
        <w:rPr>
          <w:rFonts w:asciiTheme="majorHAnsi" w:hAnsiTheme="majorHAnsi" w:cstheme="majorHAnsi"/>
          <w:sz w:val="24"/>
          <w:szCs w:val="24"/>
          <w:lang w:val="ro-MD"/>
        </w:rPr>
        <w:t>M</w:t>
      </w:r>
      <w:r w:rsidR="009546D1" w:rsidRPr="00CD7FE5">
        <w:rPr>
          <w:rFonts w:asciiTheme="majorHAnsi" w:hAnsiTheme="majorHAnsi" w:cstheme="majorHAnsi"/>
          <w:sz w:val="24"/>
          <w:szCs w:val="24"/>
          <w:lang w:val="ro-MD"/>
        </w:rPr>
        <w:t>enționăm că atât APP</w:t>
      </w:r>
      <w:r w:rsidR="006D71BB" w:rsidRPr="00CD7FE5">
        <w:rPr>
          <w:rFonts w:asciiTheme="majorHAnsi" w:hAnsiTheme="majorHAnsi" w:cstheme="majorHAnsi"/>
          <w:sz w:val="24"/>
          <w:szCs w:val="24"/>
          <w:lang w:val="ro-MD"/>
        </w:rPr>
        <w:t>,</w:t>
      </w:r>
      <w:r w:rsidR="009546D1" w:rsidRPr="00CD7FE5">
        <w:rPr>
          <w:rFonts w:asciiTheme="majorHAnsi" w:hAnsiTheme="majorHAnsi" w:cstheme="majorHAnsi"/>
          <w:sz w:val="24"/>
          <w:szCs w:val="24"/>
          <w:lang w:val="ro-MD"/>
        </w:rPr>
        <w:t xml:space="preserve"> cât și MECC au reflectat în evidența contabilă și au raportat la finele anului </w:t>
      </w:r>
      <w:r w:rsidR="005C7262" w:rsidRPr="00CD7FE5">
        <w:rPr>
          <w:rFonts w:asciiTheme="majorHAnsi" w:hAnsiTheme="majorHAnsi" w:cstheme="majorHAnsi"/>
          <w:sz w:val="24"/>
          <w:szCs w:val="24"/>
          <w:lang w:val="ro-MD"/>
        </w:rPr>
        <w:t xml:space="preserve">2020 </w:t>
      </w:r>
      <w:r w:rsidR="009546D1" w:rsidRPr="00CD7FE5">
        <w:rPr>
          <w:rFonts w:asciiTheme="majorHAnsi" w:hAnsiTheme="majorHAnsi" w:cstheme="majorHAnsi"/>
          <w:sz w:val="24"/>
          <w:szCs w:val="24"/>
          <w:lang w:val="ro-MD"/>
        </w:rPr>
        <w:t xml:space="preserve">aportul în capitalul social la </w:t>
      </w:r>
      <w:r w:rsidR="00E92BF0" w:rsidRPr="00CD7FE5">
        <w:rPr>
          <w:rFonts w:asciiTheme="majorHAnsi" w:hAnsiTheme="majorHAnsi" w:cstheme="majorHAnsi"/>
          <w:sz w:val="24"/>
          <w:szCs w:val="24"/>
          <w:lang w:val="ro-MD"/>
        </w:rPr>
        <w:t>8</w:t>
      </w:r>
      <w:r w:rsidR="009546D1" w:rsidRPr="00CD7FE5">
        <w:rPr>
          <w:rFonts w:asciiTheme="majorHAnsi" w:hAnsiTheme="majorHAnsi" w:cstheme="majorHAnsi"/>
          <w:sz w:val="24"/>
          <w:szCs w:val="24"/>
          <w:lang w:val="ro-MD"/>
        </w:rPr>
        <w:t xml:space="preserve"> instituții</w:t>
      </w:r>
      <w:r w:rsidR="009546D1" w:rsidRPr="00CD7FE5">
        <w:rPr>
          <w:rStyle w:val="FootnoteReference"/>
          <w:rFonts w:asciiTheme="majorHAnsi" w:hAnsiTheme="majorHAnsi" w:cstheme="majorHAnsi"/>
          <w:sz w:val="24"/>
          <w:szCs w:val="24"/>
          <w:lang w:val="ro-MD"/>
        </w:rPr>
        <w:footnoteReference w:id="47"/>
      </w:r>
      <w:r w:rsidR="00AF0A6D">
        <w:rPr>
          <w:rFonts w:asciiTheme="majorHAnsi" w:hAnsiTheme="majorHAnsi" w:cstheme="majorHAnsi"/>
          <w:sz w:val="24"/>
          <w:szCs w:val="24"/>
          <w:lang w:val="ro-MD"/>
        </w:rPr>
        <w:t>,</w:t>
      </w:r>
      <w:r w:rsidR="009546D1" w:rsidRPr="00CD7FE5">
        <w:rPr>
          <w:rFonts w:asciiTheme="majorHAnsi" w:hAnsiTheme="majorHAnsi" w:cstheme="majorHAnsi"/>
          <w:sz w:val="24"/>
          <w:szCs w:val="24"/>
          <w:lang w:val="ro-MD"/>
        </w:rPr>
        <w:t xml:space="preserve"> în valoare de </w:t>
      </w:r>
      <w:r w:rsidR="009546D1" w:rsidRPr="00CD7FE5">
        <w:rPr>
          <w:rFonts w:asciiTheme="majorHAnsi" w:hAnsiTheme="majorHAnsi" w:cstheme="majorHAnsi"/>
          <w:bCs/>
          <w:sz w:val="24"/>
          <w:szCs w:val="24"/>
          <w:lang w:val="ro-MD"/>
        </w:rPr>
        <w:t>1</w:t>
      </w:r>
      <w:r w:rsidR="00F063C8" w:rsidRPr="00CD7FE5">
        <w:rPr>
          <w:rFonts w:asciiTheme="majorHAnsi" w:hAnsiTheme="majorHAnsi" w:cstheme="majorHAnsi"/>
          <w:bCs/>
          <w:sz w:val="24"/>
          <w:szCs w:val="24"/>
          <w:lang w:val="ro-MD"/>
        </w:rPr>
        <w:t>00</w:t>
      </w:r>
      <w:r w:rsidR="009546D1" w:rsidRPr="00CD7FE5">
        <w:rPr>
          <w:rFonts w:asciiTheme="majorHAnsi" w:hAnsiTheme="majorHAnsi" w:cstheme="majorHAnsi"/>
          <w:bCs/>
          <w:sz w:val="24"/>
          <w:szCs w:val="24"/>
          <w:lang w:val="ro-MD"/>
        </w:rPr>
        <w:t>,</w:t>
      </w:r>
      <w:r w:rsidR="00F063C8" w:rsidRPr="00CD7FE5">
        <w:rPr>
          <w:rFonts w:asciiTheme="majorHAnsi" w:hAnsiTheme="majorHAnsi" w:cstheme="majorHAnsi"/>
          <w:bCs/>
          <w:sz w:val="24"/>
          <w:szCs w:val="24"/>
          <w:lang w:val="ro-MD"/>
        </w:rPr>
        <w:t>93</w:t>
      </w:r>
      <w:r w:rsidR="009546D1" w:rsidRPr="00CD7FE5">
        <w:rPr>
          <w:rFonts w:asciiTheme="majorHAnsi" w:hAnsiTheme="majorHAnsi" w:cstheme="majorHAnsi"/>
          <w:bCs/>
          <w:sz w:val="24"/>
          <w:szCs w:val="24"/>
          <w:lang w:val="ro-MD"/>
        </w:rPr>
        <w:t>6 mil.lei,</w:t>
      </w:r>
      <w:r w:rsidR="009546D1" w:rsidRPr="00CD7FE5">
        <w:rPr>
          <w:rFonts w:asciiTheme="majorHAnsi" w:hAnsiTheme="majorHAnsi" w:cstheme="majorHAnsi"/>
          <w:sz w:val="24"/>
          <w:szCs w:val="24"/>
          <w:lang w:val="ro-MD"/>
        </w:rPr>
        <w:t xml:space="preserve"> </w:t>
      </w:r>
      <w:r w:rsidR="009546D1" w:rsidRPr="00CD7FE5">
        <w:rPr>
          <w:rFonts w:asciiTheme="majorHAnsi" w:hAnsiTheme="majorHAnsi" w:cstheme="majorHAnsi"/>
          <w:i/>
          <w:iCs/>
          <w:sz w:val="24"/>
          <w:szCs w:val="24"/>
          <w:lang w:val="ro-MD"/>
        </w:rPr>
        <w:t xml:space="preserve">ceea ce a dus la majorarea valorii activelor proprietate de </w:t>
      </w:r>
      <w:r w:rsidR="009546D1" w:rsidRPr="00373FC9">
        <w:rPr>
          <w:rFonts w:asciiTheme="majorHAnsi" w:hAnsiTheme="majorHAnsi" w:cstheme="majorHAnsi"/>
          <w:i/>
          <w:iCs/>
          <w:sz w:val="24"/>
          <w:szCs w:val="24"/>
          <w:lang w:val="ro-MD"/>
        </w:rPr>
        <w:t xml:space="preserve">stat </w:t>
      </w:r>
      <w:r w:rsidR="00373FC9">
        <w:rPr>
          <w:rFonts w:asciiTheme="majorHAnsi" w:hAnsiTheme="majorHAnsi" w:cstheme="majorHAnsi"/>
          <w:i/>
          <w:iCs/>
          <w:sz w:val="24"/>
          <w:szCs w:val="24"/>
          <w:lang w:val="ro-MD"/>
        </w:rPr>
        <w:t>cu</w:t>
      </w:r>
      <w:r w:rsidR="009546D1" w:rsidRPr="00373FC9">
        <w:rPr>
          <w:rFonts w:asciiTheme="majorHAnsi" w:hAnsiTheme="majorHAnsi" w:cstheme="majorHAnsi"/>
          <w:i/>
          <w:iCs/>
          <w:sz w:val="24"/>
          <w:szCs w:val="24"/>
          <w:lang w:val="ro-MD"/>
        </w:rPr>
        <w:t xml:space="preserve"> </w:t>
      </w:r>
      <w:r w:rsidR="006D71BB" w:rsidRPr="00373FC9">
        <w:rPr>
          <w:rFonts w:asciiTheme="majorHAnsi" w:hAnsiTheme="majorHAnsi" w:cstheme="majorHAnsi"/>
          <w:i/>
          <w:iCs/>
          <w:sz w:val="24"/>
          <w:szCs w:val="24"/>
          <w:lang w:val="ro-MD"/>
        </w:rPr>
        <w:t xml:space="preserve">aceeași </w:t>
      </w:r>
      <w:r w:rsidR="00373FC9">
        <w:rPr>
          <w:rFonts w:asciiTheme="majorHAnsi" w:hAnsiTheme="majorHAnsi" w:cstheme="majorHAnsi"/>
          <w:i/>
          <w:iCs/>
          <w:sz w:val="24"/>
          <w:szCs w:val="24"/>
          <w:lang w:val="ro-MD"/>
        </w:rPr>
        <w:t>sumă</w:t>
      </w:r>
      <w:r w:rsidR="009546D1" w:rsidRPr="00CD7FE5">
        <w:rPr>
          <w:rFonts w:asciiTheme="majorHAnsi" w:hAnsiTheme="majorHAnsi" w:cstheme="majorHAnsi"/>
          <w:i/>
          <w:iCs/>
          <w:sz w:val="24"/>
          <w:szCs w:val="24"/>
          <w:lang w:val="ro-MD"/>
        </w:rPr>
        <w:t>.</w:t>
      </w:r>
      <w:r w:rsidR="009546D1" w:rsidRPr="00CD7FE5">
        <w:rPr>
          <w:rFonts w:asciiTheme="majorHAnsi" w:hAnsiTheme="majorHAnsi" w:cstheme="majorHAnsi"/>
          <w:sz w:val="24"/>
          <w:szCs w:val="24"/>
          <w:lang w:val="ro-MD"/>
        </w:rPr>
        <w:t xml:space="preserve"> </w:t>
      </w:r>
    </w:p>
    <w:p w14:paraId="61B29333" w14:textId="180482BC" w:rsidR="00844A15" w:rsidRPr="00CD7FE5" w:rsidRDefault="00844A15" w:rsidP="003447A5">
      <w:pPr>
        <w:tabs>
          <w:tab w:val="left" w:pos="0"/>
        </w:tabs>
        <w:spacing w:after="0" w:line="276" w:lineRule="auto"/>
        <w:contextualSpacing/>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lastRenderedPageBreak/>
        <w:t>De</w:t>
      </w:r>
      <w:r w:rsidR="00607C4A" w:rsidRPr="00CD7FE5">
        <w:rPr>
          <w:rFonts w:asciiTheme="majorHAnsi" w:hAnsiTheme="majorHAnsi" w:cstheme="majorHAnsi"/>
          <w:sz w:val="24"/>
          <w:szCs w:val="24"/>
          <w:lang w:val="ro-MD"/>
        </w:rPr>
        <w:t>și</w:t>
      </w:r>
      <w:r w:rsidR="00D10713">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607C4A" w:rsidRPr="00CD7FE5">
        <w:rPr>
          <w:rFonts w:asciiTheme="majorHAnsi" w:hAnsiTheme="majorHAnsi" w:cstheme="majorHAnsi"/>
          <w:sz w:val="24"/>
          <w:szCs w:val="24"/>
          <w:lang w:val="ro-MD"/>
        </w:rPr>
        <w:t>potrivit H</w:t>
      </w:r>
      <w:r w:rsidR="00742843">
        <w:rPr>
          <w:rFonts w:asciiTheme="majorHAnsi" w:hAnsiTheme="majorHAnsi" w:cstheme="majorHAnsi"/>
          <w:sz w:val="24"/>
          <w:szCs w:val="24"/>
          <w:lang w:val="ro-MD"/>
        </w:rPr>
        <w:t xml:space="preserve">otărârii </w:t>
      </w:r>
      <w:r w:rsidR="00607C4A" w:rsidRPr="00CD7FE5">
        <w:rPr>
          <w:rFonts w:asciiTheme="majorHAnsi" w:hAnsiTheme="majorHAnsi" w:cstheme="majorHAnsi"/>
          <w:sz w:val="24"/>
          <w:szCs w:val="24"/>
          <w:lang w:val="ro-MD"/>
        </w:rPr>
        <w:t>G</w:t>
      </w:r>
      <w:r w:rsidR="00742843">
        <w:rPr>
          <w:rFonts w:asciiTheme="majorHAnsi" w:hAnsiTheme="majorHAnsi" w:cstheme="majorHAnsi"/>
          <w:sz w:val="24"/>
          <w:szCs w:val="24"/>
          <w:lang w:val="ro-MD"/>
        </w:rPr>
        <w:t>uvernului</w:t>
      </w:r>
      <w:r w:rsidR="00607C4A" w:rsidRPr="00CD7FE5">
        <w:rPr>
          <w:rFonts w:asciiTheme="majorHAnsi" w:hAnsiTheme="majorHAnsi" w:cstheme="majorHAnsi"/>
          <w:sz w:val="24"/>
          <w:szCs w:val="24"/>
          <w:lang w:val="ro-MD"/>
        </w:rPr>
        <w:t xml:space="preserve"> nr.529 din 06.11.2019, SRL „Arena Națională” a fost transmisă, cu titlu gratuit, din administrarea MECC în administrarea APP, </w:t>
      </w:r>
      <w:r w:rsidRPr="00CD7FE5">
        <w:rPr>
          <w:rFonts w:asciiTheme="majorHAnsi" w:hAnsiTheme="majorHAnsi" w:cstheme="majorHAnsi"/>
          <w:sz w:val="24"/>
          <w:szCs w:val="24"/>
          <w:lang w:val="ro-MD"/>
        </w:rPr>
        <w:t>MECC nu a transmis APP cheltuielile aferente elaborării studiului de fezabilitate cu privire la construcția Arenei sportive, în sumă de 80,0 mii lei</w:t>
      </w:r>
      <w:r w:rsidR="00A150DE" w:rsidRPr="00B7324A">
        <w:rPr>
          <w:rStyle w:val="FootnoteReference"/>
          <w:rFonts w:asciiTheme="majorHAnsi" w:hAnsiTheme="majorHAnsi" w:cstheme="majorHAnsi"/>
          <w:bCs/>
          <w:iCs/>
          <w:sz w:val="24"/>
          <w:szCs w:val="24"/>
          <w:lang w:val="ro-MD"/>
        </w:rPr>
        <w:footnoteReference w:id="48"/>
      </w:r>
      <w:r w:rsidR="00607C4A" w:rsidRPr="00CD7FE5">
        <w:rPr>
          <w:rFonts w:asciiTheme="majorHAnsi" w:hAnsiTheme="majorHAnsi" w:cstheme="majorHAnsi"/>
          <w:sz w:val="24"/>
          <w:szCs w:val="24"/>
          <w:lang w:val="ro-MD"/>
        </w:rPr>
        <w:t>, care</w:t>
      </w:r>
      <w:r w:rsidR="00D10713">
        <w:rPr>
          <w:rFonts w:asciiTheme="majorHAnsi" w:hAnsiTheme="majorHAnsi" w:cstheme="majorHAnsi"/>
          <w:sz w:val="24"/>
          <w:szCs w:val="24"/>
          <w:lang w:val="ro-MD"/>
        </w:rPr>
        <w:t>,</w:t>
      </w:r>
      <w:r w:rsidR="00607C4A" w:rsidRPr="00CD7FE5">
        <w:rPr>
          <w:rFonts w:asciiTheme="majorHAnsi" w:hAnsiTheme="majorHAnsi" w:cstheme="majorHAnsi"/>
          <w:sz w:val="24"/>
          <w:szCs w:val="24"/>
          <w:lang w:val="ro-MD"/>
        </w:rPr>
        <w:t xml:space="preserve"> </w:t>
      </w:r>
      <w:r w:rsidR="00092ABC">
        <w:rPr>
          <w:rFonts w:asciiTheme="majorHAnsi" w:hAnsiTheme="majorHAnsi" w:cstheme="majorHAnsi"/>
          <w:sz w:val="24"/>
          <w:szCs w:val="24"/>
          <w:lang w:val="ro-MD"/>
        </w:rPr>
        <w:t>potrivit</w:t>
      </w:r>
      <w:r w:rsidR="00607C4A" w:rsidRPr="00CD7FE5">
        <w:rPr>
          <w:rFonts w:asciiTheme="majorHAnsi" w:hAnsiTheme="majorHAnsi" w:cstheme="majorHAnsi"/>
          <w:sz w:val="24"/>
          <w:szCs w:val="24"/>
          <w:lang w:val="ro-MD"/>
        </w:rPr>
        <w:t xml:space="preserve"> recomandării auditului precedent</w:t>
      </w:r>
      <w:r w:rsidR="00D10713">
        <w:rPr>
          <w:rFonts w:asciiTheme="majorHAnsi" w:hAnsiTheme="majorHAnsi" w:cstheme="majorHAnsi"/>
          <w:sz w:val="24"/>
          <w:szCs w:val="24"/>
          <w:lang w:val="ro-MD"/>
        </w:rPr>
        <w:t>,</w:t>
      </w:r>
      <w:r w:rsidR="00607C4A" w:rsidRPr="00CD7FE5">
        <w:rPr>
          <w:rFonts w:asciiTheme="majorHAnsi" w:hAnsiTheme="majorHAnsi" w:cstheme="majorHAnsi"/>
          <w:sz w:val="24"/>
          <w:szCs w:val="24"/>
          <w:lang w:val="ro-MD"/>
        </w:rPr>
        <w:t xml:space="preserve"> urmau a fi transmise în capitalul SRL „Arena Națională”</w:t>
      </w:r>
      <w:r w:rsidR="00A150DE" w:rsidRPr="00CD7FE5">
        <w:rPr>
          <w:rFonts w:asciiTheme="majorHAnsi" w:hAnsiTheme="majorHAnsi" w:cstheme="majorHAnsi"/>
          <w:sz w:val="24"/>
          <w:szCs w:val="24"/>
          <w:lang w:val="ro-MD"/>
        </w:rPr>
        <w:t>.</w:t>
      </w:r>
    </w:p>
    <w:p w14:paraId="1EC1C056" w14:textId="6959F315" w:rsidR="00874E7D" w:rsidRPr="00CD7FE5" w:rsidRDefault="008D4F50" w:rsidP="003447A5">
      <w:pPr>
        <w:tabs>
          <w:tab w:val="left" w:pos="0"/>
        </w:tabs>
        <w:spacing w:after="0" w:line="276" w:lineRule="auto"/>
        <w:contextualSpacing/>
        <w:jc w:val="both"/>
        <w:rPr>
          <w:rFonts w:asciiTheme="majorHAnsi" w:hAnsiTheme="majorHAnsi" w:cstheme="majorHAnsi"/>
          <w:sz w:val="24"/>
          <w:szCs w:val="24"/>
          <w:lang w:val="ro-MD"/>
        </w:rPr>
      </w:pPr>
      <w:r w:rsidRPr="00CD7FE5">
        <w:rPr>
          <w:rFonts w:asciiTheme="majorHAnsi" w:hAnsiTheme="majorHAnsi" w:cstheme="majorHAnsi"/>
          <w:b/>
          <w:bCs/>
          <w:sz w:val="24"/>
          <w:szCs w:val="24"/>
          <w:lang w:val="ro-MD"/>
        </w:rPr>
        <w:t>6</w:t>
      </w:r>
      <w:r w:rsidR="0017330F" w:rsidRPr="00CD7FE5">
        <w:rPr>
          <w:rFonts w:asciiTheme="majorHAnsi" w:hAnsiTheme="majorHAnsi" w:cstheme="majorHAnsi"/>
          <w:b/>
          <w:bCs/>
          <w:sz w:val="24"/>
          <w:szCs w:val="24"/>
          <w:lang w:val="ro-MD"/>
        </w:rPr>
        <w:t>.1</w:t>
      </w:r>
      <w:r w:rsidR="00BA1ACC" w:rsidRPr="00CD7FE5">
        <w:rPr>
          <w:rFonts w:asciiTheme="majorHAnsi" w:hAnsiTheme="majorHAnsi" w:cstheme="majorHAnsi"/>
          <w:b/>
          <w:bCs/>
          <w:sz w:val="24"/>
          <w:szCs w:val="24"/>
          <w:lang w:val="ro-MD"/>
        </w:rPr>
        <w:t>1</w:t>
      </w:r>
      <w:r w:rsidR="0017330F" w:rsidRPr="00CD7FE5">
        <w:rPr>
          <w:rFonts w:asciiTheme="majorHAnsi" w:hAnsiTheme="majorHAnsi" w:cstheme="majorHAnsi"/>
          <w:b/>
          <w:bCs/>
          <w:sz w:val="24"/>
          <w:szCs w:val="24"/>
          <w:lang w:val="ro-MD"/>
        </w:rPr>
        <w:t>.</w:t>
      </w:r>
      <w:r w:rsidR="00874E7D" w:rsidRPr="00CD7FE5">
        <w:rPr>
          <w:rFonts w:asciiTheme="majorHAnsi" w:hAnsiTheme="majorHAnsi" w:cstheme="majorHAnsi"/>
          <w:sz w:val="24"/>
          <w:szCs w:val="24"/>
          <w:lang w:val="ro-MD"/>
        </w:rPr>
        <w:t xml:space="preserve"> </w:t>
      </w:r>
      <w:r w:rsidR="005812BF" w:rsidRPr="00CD7FE5">
        <w:rPr>
          <w:rFonts w:asciiTheme="majorHAnsi" w:hAnsiTheme="majorHAnsi" w:cstheme="majorHAnsi"/>
          <w:sz w:val="24"/>
          <w:szCs w:val="24"/>
          <w:lang w:val="ro-MD"/>
        </w:rPr>
        <w:t>MECC nu a asigurat monitorizarea utilizării conform destinației a granturilor</w:t>
      </w:r>
      <w:r w:rsidR="00092ABC">
        <w:rPr>
          <w:rFonts w:asciiTheme="majorHAnsi" w:hAnsiTheme="majorHAnsi" w:cstheme="majorHAnsi"/>
          <w:sz w:val="24"/>
          <w:szCs w:val="24"/>
          <w:lang w:val="ro-MD"/>
        </w:rPr>
        <w:t xml:space="preserve"> </w:t>
      </w:r>
      <w:r w:rsidR="004357E9">
        <w:rPr>
          <w:rFonts w:asciiTheme="majorHAnsi" w:hAnsiTheme="majorHAnsi" w:cstheme="majorHAnsi"/>
          <w:sz w:val="24"/>
          <w:szCs w:val="24"/>
          <w:lang w:val="ro-MD"/>
        </w:rPr>
        <w:t>acordate instituțiilor din subordine</w:t>
      </w:r>
      <w:r w:rsidR="005812BF" w:rsidRPr="00CD7FE5">
        <w:rPr>
          <w:rFonts w:asciiTheme="majorHAnsi" w:hAnsiTheme="majorHAnsi" w:cstheme="majorHAnsi"/>
          <w:sz w:val="24"/>
          <w:szCs w:val="24"/>
          <w:lang w:val="ro-MD"/>
        </w:rPr>
        <w:t>. A</w:t>
      </w:r>
      <w:r w:rsidR="002A251A" w:rsidRPr="00CD7FE5">
        <w:rPr>
          <w:rFonts w:asciiTheme="majorHAnsi" w:hAnsiTheme="majorHAnsi" w:cstheme="majorHAnsi"/>
          <w:sz w:val="24"/>
          <w:szCs w:val="24"/>
          <w:lang w:val="ro-MD"/>
        </w:rPr>
        <w:t xml:space="preserve">stfel, </w:t>
      </w:r>
      <w:r w:rsidR="00092ABC">
        <w:rPr>
          <w:rFonts w:asciiTheme="majorHAnsi" w:hAnsiTheme="majorHAnsi" w:cstheme="majorHAnsi"/>
          <w:sz w:val="24"/>
          <w:szCs w:val="24"/>
          <w:lang w:val="ro-MD"/>
        </w:rPr>
        <w:t xml:space="preserve">au fost </w:t>
      </w:r>
      <w:r w:rsidR="005812BF" w:rsidRPr="00CD7FE5">
        <w:rPr>
          <w:rFonts w:asciiTheme="majorHAnsi" w:hAnsiTheme="majorHAnsi" w:cstheme="majorHAnsi"/>
          <w:sz w:val="24"/>
          <w:szCs w:val="24"/>
          <w:lang w:val="ro-MD"/>
        </w:rPr>
        <w:t>constatate granturi utilizate contrar destinației în valoare de 1,15 mil.lei</w:t>
      </w:r>
      <w:r w:rsidR="005812BF" w:rsidRPr="00CD7FE5">
        <w:rPr>
          <w:rStyle w:val="FootnoteReference"/>
          <w:rFonts w:asciiTheme="majorHAnsi" w:hAnsiTheme="majorHAnsi" w:cstheme="majorHAnsi"/>
          <w:sz w:val="24"/>
          <w:szCs w:val="24"/>
          <w:lang w:val="ro-MD"/>
        </w:rPr>
        <w:footnoteReference w:id="49"/>
      </w:r>
      <w:r w:rsidR="002F1BF6" w:rsidRPr="00CD7FE5">
        <w:rPr>
          <w:rFonts w:asciiTheme="majorHAnsi" w:hAnsiTheme="majorHAnsi" w:cstheme="majorHAnsi"/>
          <w:sz w:val="24"/>
          <w:szCs w:val="24"/>
          <w:lang w:val="ro-MD"/>
        </w:rPr>
        <w:t>.</w:t>
      </w:r>
    </w:p>
    <w:p w14:paraId="55DD1943" w14:textId="48BEB49E" w:rsidR="00430652" w:rsidRPr="00CD7FE5" w:rsidRDefault="008D4F50" w:rsidP="003447A5">
      <w:pPr>
        <w:spacing w:after="0" w:line="276" w:lineRule="auto"/>
        <w:jc w:val="both"/>
        <w:rPr>
          <w:rFonts w:asciiTheme="majorHAnsi" w:hAnsiTheme="majorHAnsi" w:cstheme="majorHAnsi"/>
          <w:sz w:val="24"/>
          <w:szCs w:val="24"/>
          <w:lang w:val="ro-MD"/>
        </w:rPr>
      </w:pPr>
      <w:r w:rsidRPr="00CD7FE5">
        <w:rPr>
          <w:rFonts w:asciiTheme="majorHAnsi" w:eastAsia="Times New Roman" w:hAnsiTheme="majorHAnsi" w:cstheme="majorHAnsi"/>
          <w:b/>
          <w:sz w:val="24"/>
          <w:szCs w:val="24"/>
          <w:lang w:val="ro-MD"/>
        </w:rPr>
        <w:t>6</w:t>
      </w:r>
      <w:r w:rsidR="00BA1ACC" w:rsidRPr="00CD7FE5">
        <w:rPr>
          <w:rFonts w:asciiTheme="majorHAnsi" w:eastAsia="Times New Roman" w:hAnsiTheme="majorHAnsi" w:cstheme="majorHAnsi"/>
          <w:b/>
          <w:sz w:val="24"/>
          <w:szCs w:val="24"/>
          <w:lang w:val="ro-MD"/>
        </w:rPr>
        <w:t>.12.</w:t>
      </w:r>
      <w:r w:rsidR="00BA1ACC" w:rsidRPr="00CD7FE5">
        <w:rPr>
          <w:rFonts w:asciiTheme="majorHAnsi" w:eastAsia="Times New Roman" w:hAnsiTheme="majorHAnsi" w:cstheme="majorHAnsi"/>
          <w:sz w:val="24"/>
          <w:szCs w:val="24"/>
          <w:lang w:val="ro-MD"/>
        </w:rPr>
        <w:t xml:space="preserve"> De asemenea</w:t>
      </w:r>
      <w:r w:rsidR="00092ABC">
        <w:rPr>
          <w:rFonts w:asciiTheme="majorHAnsi" w:eastAsia="Times New Roman" w:hAnsiTheme="majorHAnsi" w:cstheme="majorHAnsi"/>
          <w:sz w:val="24"/>
          <w:szCs w:val="24"/>
          <w:lang w:val="ro-MD"/>
        </w:rPr>
        <w:t>,</w:t>
      </w:r>
      <w:r w:rsidR="00BA1ACC" w:rsidRPr="00CD7FE5">
        <w:rPr>
          <w:rFonts w:asciiTheme="majorHAnsi" w:eastAsia="Times New Roman" w:hAnsiTheme="majorHAnsi" w:cstheme="majorHAnsi"/>
          <w:sz w:val="24"/>
          <w:szCs w:val="24"/>
          <w:lang w:val="ro-MD"/>
        </w:rPr>
        <w:t xml:space="preserve"> </w:t>
      </w:r>
      <w:r w:rsidR="00430652" w:rsidRPr="00CD7FE5">
        <w:rPr>
          <w:rFonts w:asciiTheme="majorHAnsi" w:hAnsiTheme="majorHAnsi" w:cstheme="majorHAnsi"/>
          <w:sz w:val="24"/>
          <w:szCs w:val="24"/>
          <w:lang w:val="ro-MD"/>
        </w:rPr>
        <w:t xml:space="preserve">MECC nu asigură monitorizarea instituțiilor din subordine. Astfel, auditul </w:t>
      </w:r>
      <w:r w:rsidR="00B43821" w:rsidRPr="00CD7FE5">
        <w:rPr>
          <w:rFonts w:asciiTheme="majorHAnsi" w:hAnsiTheme="majorHAnsi" w:cstheme="majorHAnsi"/>
          <w:sz w:val="24"/>
          <w:szCs w:val="24"/>
          <w:lang w:val="ro-MD"/>
        </w:rPr>
        <w:t xml:space="preserve">a depistat </w:t>
      </w:r>
      <w:r w:rsidR="003F0A90" w:rsidRPr="00CD7FE5">
        <w:rPr>
          <w:rFonts w:asciiTheme="majorHAnsi" w:hAnsiTheme="majorHAnsi" w:cstheme="majorHAnsi"/>
          <w:sz w:val="24"/>
          <w:szCs w:val="24"/>
          <w:lang w:val="ro-MD"/>
        </w:rPr>
        <w:t xml:space="preserve">deficiențe grave </w:t>
      </w:r>
      <w:r w:rsidR="00B43821" w:rsidRPr="00CD7FE5">
        <w:rPr>
          <w:rFonts w:asciiTheme="majorHAnsi" w:hAnsiTheme="majorHAnsi" w:cstheme="majorHAnsi"/>
          <w:sz w:val="24"/>
          <w:szCs w:val="24"/>
          <w:lang w:val="ro-MD"/>
        </w:rPr>
        <w:t>la unele instituții, cum ar fi:</w:t>
      </w:r>
    </w:p>
    <w:p w14:paraId="6164BB63" w14:textId="6530D011" w:rsidR="003848DB" w:rsidRPr="00CD7FE5" w:rsidRDefault="00B43821" w:rsidP="003447A5">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bCs/>
          <w:i/>
          <w:iCs/>
          <w:sz w:val="24"/>
          <w:szCs w:val="24"/>
          <w:lang w:val="ro-MD"/>
        </w:rPr>
        <w:t>Școala internat</w:t>
      </w:r>
      <w:r w:rsidR="003E5A4A" w:rsidRPr="00CD7FE5">
        <w:rPr>
          <w:rFonts w:asciiTheme="majorHAnsi" w:hAnsiTheme="majorHAnsi" w:cstheme="majorHAnsi"/>
          <w:bCs/>
          <w:i/>
          <w:iCs/>
          <w:sz w:val="24"/>
          <w:szCs w:val="24"/>
          <w:lang w:val="ro-MD"/>
        </w:rPr>
        <w:t xml:space="preserve"> specializată</w:t>
      </w:r>
      <w:r w:rsidRPr="00CD7FE5">
        <w:rPr>
          <w:rFonts w:asciiTheme="majorHAnsi" w:hAnsiTheme="majorHAnsi" w:cstheme="majorHAnsi"/>
          <w:bCs/>
          <w:i/>
          <w:iCs/>
          <w:sz w:val="24"/>
          <w:szCs w:val="24"/>
          <w:lang w:val="ro-MD"/>
        </w:rPr>
        <w:t xml:space="preserve"> pentru copii orbi și slab văzători din mun. Bălți</w:t>
      </w:r>
      <w:r w:rsidR="003E5A4A" w:rsidRPr="00CD7FE5">
        <w:rPr>
          <w:rFonts w:asciiTheme="majorHAnsi" w:hAnsiTheme="majorHAnsi" w:cstheme="majorHAnsi"/>
          <w:bCs/>
          <w:sz w:val="24"/>
          <w:szCs w:val="24"/>
          <w:lang w:val="ro-MD"/>
        </w:rPr>
        <w:t xml:space="preserve"> nu a asigurat</w:t>
      </w:r>
      <w:r w:rsidR="003E5A4A" w:rsidRPr="00CD7FE5">
        <w:rPr>
          <w:rFonts w:asciiTheme="majorHAnsi" w:hAnsiTheme="majorHAnsi" w:cstheme="majorHAnsi"/>
          <w:lang w:val="ro-MD"/>
        </w:rPr>
        <w:t xml:space="preserve"> </w:t>
      </w:r>
      <w:r w:rsidR="003E5A4A" w:rsidRPr="00CD7FE5">
        <w:rPr>
          <w:rFonts w:asciiTheme="majorHAnsi" w:hAnsiTheme="majorHAnsi" w:cstheme="majorHAnsi"/>
          <w:sz w:val="24"/>
          <w:szCs w:val="24"/>
          <w:lang w:val="ro-MD"/>
        </w:rPr>
        <w:t>întocmirea și prezentarea oportună, completă și corectă a documentelor primare</w:t>
      </w:r>
      <w:r w:rsidR="000016F1">
        <w:rPr>
          <w:rFonts w:asciiTheme="majorHAnsi" w:hAnsiTheme="majorHAnsi" w:cstheme="majorHAnsi"/>
          <w:sz w:val="24"/>
          <w:szCs w:val="24"/>
          <w:lang w:val="ro-MD"/>
        </w:rPr>
        <w:t xml:space="preserve"> și</w:t>
      </w:r>
      <w:r w:rsidR="003E5A4A" w:rsidRPr="00CD7FE5">
        <w:rPr>
          <w:rFonts w:asciiTheme="majorHAnsi" w:hAnsiTheme="majorHAnsi" w:cstheme="majorHAnsi"/>
          <w:sz w:val="24"/>
          <w:szCs w:val="24"/>
          <w:lang w:val="ro-MD"/>
        </w:rPr>
        <w:t xml:space="preserve"> a registrelor contabile</w:t>
      </w:r>
      <w:r w:rsidR="006967E0">
        <w:rPr>
          <w:rFonts w:asciiTheme="majorHAnsi" w:hAnsiTheme="majorHAnsi" w:cstheme="majorHAnsi"/>
          <w:sz w:val="24"/>
          <w:szCs w:val="24"/>
          <w:lang w:val="ro-MD"/>
        </w:rPr>
        <w:t>.</w:t>
      </w:r>
      <w:r w:rsidR="003E5A4A" w:rsidRPr="00CD7FE5">
        <w:rPr>
          <w:rFonts w:asciiTheme="majorHAnsi" w:hAnsiTheme="majorHAnsi" w:cstheme="majorHAnsi"/>
          <w:sz w:val="24"/>
          <w:szCs w:val="24"/>
          <w:lang w:val="ro-MD"/>
        </w:rPr>
        <w:t xml:space="preserve"> </w:t>
      </w:r>
      <w:r w:rsidR="003848DB" w:rsidRPr="00CD7FE5">
        <w:rPr>
          <w:rFonts w:asciiTheme="majorHAnsi" w:hAnsiTheme="majorHAnsi" w:cstheme="majorHAnsi"/>
          <w:sz w:val="24"/>
          <w:szCs w:val="24"/>
          <w:lang w:val="ro-MD"/>
        </w:rPr>
        <w:t xml:space="preserve">Valorile din Rapoartele </w:t>
      </w:r>
      <w:r w:rsidR="006967E0">
        <w:rPr>
          <w:rFonts w:asciiTheme="majorHAnsi" w:hAnsiTheme="majorHAnsi" w:cstheme="majorHAnsi"/>
          <w:sz w:val="24"/>
          <w:szCs w:val="24"/>
          <w:lang w:val="ro-MD"/>
        </w:rPr>
        <w:t>f</w:t>
      </w:r>
      <w:r w:rsidR="003848DB" w:rsidRPr="00CD7FE5">
        <w:rPr>
          <w:rFonts w:asciiTheme="majorHAnsi" w:hAnsiTheme="majorHAnsi" w:cstheme="majorHAnsi"/>
          <w:sz w:val="24"/>
          <w:szCs w:val="24"/>
          <w:lang w:val="ro-MD"/>
        </w:rPr>
        <w:t xml:space="preserve">inanciare, Cartea </w:t>
      </w:r>
      <w:r w:rsidR="006967E0">
        <w:rPr>
          <w:rFonts w:asciiTheme="majorHAnsi" w:hAnsiTheme="majorHAnsi" w:cstheme="majorHAnsi"/>
          <w:sz w:val="24"/>
          <w:szCs w:val="24"/>
          <w:lang w:val="ro-MD"/>
        </w:rPr>
        <w:t>m</w:t>
      </w:r>
      <w:r w:rsidR="003848DB" w:rsidRPr="00CD7FE5">
        <w:rPr>
          <w:rFonts w:asciiTheme="majorHAnsi" w:hAnsiTheme="majorHAnsi" w:cstheme="majorHAnsi"/>
          <w:sz w:val="24"/>
          <w:szCs w:val="24"/>
          <w:lang w:val="ro-MD"/>
        </w:rPr>
        <w:t>are, Evidența analitică nu coincid, o cauză fiind și ținerea manuală a evidenței contabile.</w:t>
      </w:r>
      <w:r w:rsidR="003F0A90" w:rsidRPr="00CD7FE5">
        <w:rPr>
          <w:rFonts w:asciiTheme="majorHAnsi" w:hAnsiTheme="majorHAnsi" w:cstheme="majorHAnsi"/>
          <w:sz w:val="24"/>
          <w:szCs w:val="24"/>
          <w:lang w:val="ro-MD"/>
        </w:rPr>
        <w:t xml:space="preserve"> </w:t>
      </w:r>
      <w:r w:rsidR="003848DB" w:rsidRPr="00CD7FE5">
        <w:rPr>
          <w:rFonts w:asciiTheme="majorHAnsi" w:hAnsiTheme="majorHAnsi" w:cstheme="majorHAnsi"/>
          <w:sz w:val="24"/>
          <w:szCs w:val="24"/>
          <w:lang w:val="ro-MD"/>
        </w:rPr>
        <w:t xml:space="preserve">Cheltuielile efective din FD–044 și soldurile </w:t>
      </w:r>
      <w:r w:rsidR="002E3936" w:rsidRPr="00CD7FE5">
        <w:rPr>
          <w:rFonts w:asciiTheme="majorHAnsi" w:hAnsiTheme="majorHAnsi" w:cstheme="majorHAnsi"/>
          <w:sz w:val="24"/>
          <w:szCs w:val="24"/>
          <w:lang w:val="ro-MD"/>
        </w:rPr>
        <w:t>din bilanțul contabil (</w:t>
      </w:r>
      <w:r w:rsidR="003848DB" w:rsidRPr="00CD7FE5">
        <w:rPr>
          <w:rFonts w:asciiTheme="majorHAnsi" w:hAnsiTheme="majorHAnsi" w:cstheme="majorHAnsi"/>
          <w:sz w:val="24"/>
          <w:szCs w:val="24"/>
          <w:lang w:val="ro-MD"/>
        </w:rPr>
        <w:t>FD-041</w:t>
      </w:r>
      <w:r w:rsidR="002E3936" w:rsidRPr="00CD7FE5">
        <w:rPr>
          <w:rFonts w:asciiTheme="majorHAnsi" w:hAnsiTheme="majorHAnsi" w:cstheme="majorHAnsi"/>
          <w:sz w:val="24"/>
          <w:szCs w:val="24"/>
          <w:lang w:val="ro-MD"/>
        </w:rPr>
        <w:t>)</w:t>
      </w:r>
      <w:r w:rsidR="003848DB" w:rsidRPr="00CD7FE5">
        <w:rPr>
          <w:rFonts w:asciiTheme="majorHAnsi" w:hAnsiTheme="majorHAnsi" w:cstheme="majorHAnsi"/>
          <w:sz w:val="24"/>
          <w:szCs w:val="24"/>
          <w:lang w:val="ro-MD"/>
        </w:rPr>
        <w:t xml:space="preserve"> nu corespund cu </w:t>
      </w:r>
      <w:r w:rsidR="002E3936" w:rsidRPr="00CD7FE5">
        <w:rPr>
          <w:rFonts w:asciiTheme="majorHAnsi" w:hAnsiTheme="majorHAnsi" w:cstheme="majorHAnsi"/>
          <w:sz w:val="24"/>
          <w:szCs w:val="24"/>
          <w:lang w:val="ro-MD"/>
        </w:rPr>
        <w:t xml:space="preserve">soldurile din </w:t>
      </w:r>
      <w:r w:rsidR="002E3936" w:rsidRPr="00CD7FE5">
        <w:rPr>
          <w:rFonts w:asciiTheme="majorHAnsi" w:eastAsia="Times New Roman" w:hAnsiTheme="majorHAnsi" w:cstheme="majorHAnsi"/>
          <w:bCs/>
          <w:color w:val="000000"/>
          <w:sz w:val="24"/>
          <w:szCs w:val="24"/>
          <w:lang w:val="ro-MD"/>
        </w:rPr>
        <w:t xml:space="preserve">descifrarea analitică și </w:t>
      </w:r>
      <w:r w:rsidR="003848DB" w:rsidRPr="00CD7FE5">
        <w:rPr>
          <w:rFonts w:asciiTheme="majorHAnsi" w:hAnsiTheme="majorHAnsi" w:cstheme="majorHAnsi"/>
          <w:sz w:val="24"/>
          <w:szCs w:val="24"/>
          <w:lang w:val="ro-MD"/>
        </w:rPr>
        <w:t>Notele contabile.</w:t>
      </w:r>
      <w:r w:rsidR="003F0A90" w:rsidRPr="00CD7FE5">
        <w:rPr>
          <w:rFonts w:asciiTheme="majorHAnsi" w:hAnsiTheme="majorHAnsi" w:cstheme="majorHAnsi"/>
          <w:sz w:val="24"/>
          <w:szCs w:val="24"/>
          <w:lang w:val="ro-MD"/>
        </w:rPr>
        <w:t xml:space="preserve"> </w:t>
      </w:r>
      <w:r w:rsidR="003848DB" w:rsidRPr="00CD7FE5">
        <w:rPr>
          <w:rFonts w:asciiTheme="majorHAnsi" w:hAnsiTheme="majorHAnsi" w:cstheme="majorHAnsi"/>
          <w:sz w:val="24"/>
          <w:szCs w:val="24"/>
          <w:lang w:val="ro-MD"/>
        </w:rPr>
        <w:t>Cartea mare nu este definitivată, lipsesc înregistrările</w:t>
      </w:r>
      <w:r w:rsidR="003F0A90" w:rsidRPr="00CD7FE5">
        <w:rPr>
          <w:rFonts w:asciiTheme="majorHAnsi" w:hAnsiTheme="majorHAnsi" w:cstheme="majorHAnsi"/>
          <w:sz w:val="24"/>
          <w:szCs w:val="24"/>
          <w:lang w:val="ro-MD"/>
        </w:rPr>
        <w:t xml:space="preserve"> din luna august</w:t>
      </w:r>
      <w:r w:rsidR="006967E0">
        <w:rPr>
          <w:rFonts w:asciiTheme="majorHAnsi" w:hAnsiTheme="majorHAnsi" w:cstheme="majorHAnsi"/>
          <w:sz w:val="24"/>
          <w:szCs w:val="24"/>
          <w:lang w:val="ro-MD"/>
        </w:rPr>
        <w:t>,</w:t>
      </w:r>
      <w:r w:rsidR="003F0A90" w:rsidRPr="00CD7FE5">
        <w:rPr>
          <w:rFonts w:asciiTheme="majorHAnsi" w:hAnsiTheme="majorHAnsi" w:cstheme="majorHAnsi"/>
          <w:sz w:val="24"/>
          <w:szCs w:val="24"/>
          <w:lang w:val="ro-MD"/>
        </w:rPr>
        <w:t xml:space="preserve"> sau acestea nu sunt corecte</w:t>
      </w:r>
      <w:r w:rsidR="003848DB" w:rsidRPr="00CD7FE5">
        <w:rPr>
          <w:rFonts w:asciiTheme="majorHAnsi" w:hAnsiTheme="majorHAnsi" w:cstheme="majorHAnsi"/>
          <w:sz w:val="24"/>
          <w:szCs w:val="24"/>
          <w:lang w:val="ro-MD"/>
        </w:rPr>
        <w:t>.</w:t>
      </w:r>
      <w:r w:rsidR="003F0A90" w:rsidRPr="00CD7FE5">
        <w:rPr>
          <w:rFonts w:asciiTheme="majorHAnsi" w:hAnsiTheme="majorHAnsi" w:cstheme="majorHAnsi"/>
          <w:sz w:val="24"/>
          <w:szCs w:val="24"/>
          <w:lang w:val="ro-MD"/>
        </w:rPr>
        <w:t xml:space="preserve"> </w:t>
      </w:r>
      <w:r w:rsidR="003848DB" w:rsidRPr="00CD7FE5">
        <w:rPr>
          <w:rFonts w:asciiTheme="majorHAnsi" w:hAnsiTheme="majorHAnsi" w:cstheme="majorHAnsi"/>
          <w:sz w:val="24"/>
          <w:szCs w:val="24"/>
          <w:lang w:val="ro-MD"/>
        </w:rPr>
        <w:t>Majoritatea Ordinelor directorului nu sunt semnate.</w:t>
      </w:r>
      <w:r w:rsidR="003F0A90" w:rsidRPr="00CD7FE5">
        <w:rPr>
          <w:rFonts w:asciiTheme="majorHAnsi" w:hAnsiTheme="majorHAnsi" w:cstheme="majorHAnsi"/>
          <w:sz w:val="24"/>
          <w:szCs w:val="24"/>
          <w:lang w:val="ro-MD"/>
        </w:rPr>
        <w:t xml:space="preserve"> </w:t>
      </w:r>
      <w:r w:rsidR="006967E0">
        <w:rPr>
          <w:rFonts w:asciiTheme="majorHAnsi" w:hAnsiTheme="majorHAnsi" w:cstheme="majorHAnsi"/>
          <w:bCs/>
          <w:sz w:val="24"/>
          <w:szCs w:val="24"/>
          <w:lang w:val="ro-MD"/>
        </w:rPr>
        <w:t>Clădirea</w:t>
      </w:r>
      <w:r w:rsidR="006967E0" w:rsidRPr="00CD7FE5">
        <w:rPr>
          <w:rFonts w:asciiTheme="majorHAnsi" w:hAnsiTheme="majorHAnsi" w:cstheme="majorHAnsi"/>
          <w:bCs/>
          <w:sz w:val="24"/>
          <w:szCs w:val="24"/>
          <w:lang w:val="ro-MD"/>
        </w:rPr>
        <w:t xml:space="preserve"> </w:t>
      </w:r>
      <w:r w:rsidR="006967E0" w:rsidRPr="00CD7FE5">
        <w:rPr>
          <w:rFonts w:asciiTheme="majorHAnsi" w:hAnsiTheme="majorHAnsi" w:cstheme="majorHAnsi"/>
          <w:sz w:val="24"/>
          <w:szCs w:val="24"/>
          <w:lang w:val="ro-MD"/>
        </w:rPr>
        <w:t>școlii</w:t>
      </w:r>
      <w:r w:rsidR="006967E0" w:rsidRPr="00CD7FE5">
        <w:rPr>
          <w:rFonts w:asciiTheme="majorHAnsi" w:hAnsiTheme="majorHAnsi" w:cstheme="majorHAnsi"/>
          <w:bCs/>
          <w:sz w:val="24"/>
          <w:szCs w:val="24"/>
          <w:lang w:val="ro-MD"/>
        </w:rPr>
        <w:t xml:space="preserve"> </w:t>
      </w:r>
      <w:r w:rsidR="006967E0">
        <w:rPr>
          <w:rFonts w:asciiTheme="majorHAnsi" w:hAnsiTheme="majorHAnsi" w:cstheme="majorHAnsi"/>
          <w:bCs/>
          <w:sz w:val="24"/>
          <w:szCs w:val="24"/>
          <w:lang w:val="ro-MD"/>
        </w:rPr>
        <w:t>este î</w:t>
      </w:r>
      <w:r w:rsidR="001409B5" w:rsidRPr="00CD7FE5">
        <w:rPr>
          <w:rFonts w:asciiTheme="majorHAnsi" w:hAnsiTheme="majorHAnsi" w:cstheme="majorHAnsi"/>
          <w:bCs/>
          <w:sz w:val="24"/>
          <w:szCs w:val="24"/>
          <w:lang w:val="ro-MD"/>
        </w:rPr>
        <w:t>nregistra</w:t>
      </w:r>
      <w:r w:rsidR="006967E0">
        <w:rPr>
          <w:rFonts w:asciiTheme="majorHAnsi" w:hAnsiTheme="majorHAnsi" w:cstheme="majorHAnsi"/>
          <w:bCs/>
          <w:sz w:val="24"/>
          <w:szCs w:val="24"/>
          <w:lang w:val="ro-MD"/>
        </w:rPr>
        <w:t>tă</w:t>
      </w:r>
      <w:r w:rsidR="001409B5" w:rsidRPr="00CD7FE5">
        <w:rPr>
          <w:rFonts w:asciiTheme="majorHAnsi" w:hAnsiTheme="majorHAnsi" w:cstheme="majorHAnsi"/>
          <w:bCs/>
          <w:sz w:val="24"/>
          <w:szCs w:val="24"/>
          <w:lang w:val="ro-MD"/>
        </w:rPr>
        <w:t xml:space="preserve"> eronat în RBI</w:t>
      </w:r>
      <w:r w:rsidR="006967E0">
        <w:rPr>
          <w:rFonts w:asciiTheme="majorHAnsi" w:hAnsiTheme="majorHAnsi" w:cstheme="majorHAnsi"/>
          <w:bCs/>
          <w:sz w:val="24"/>
          <w:szCs w:val="24"/>
          <w:lang w:val="ro-MD"/>
        </w:rPr>
        <w:t xml:space="preserve"> </w:t>
      </w:r>
      <w:r w:rsidR="001409B5" w:rsidRPr="00CD7FE5">
        <w:rPr>
          <w:rFonts w:asciiTheme="majorHAnsi" w:hAnsiTheme="majorHAnsi" w:cstheme="majorHAnsi"/>
          <w:bCs/>
          <w:sz w:val="24"/>
          <w:szCs w:val="24"/>
          <w:lang w:val="ro-MD"/>
        </w:rPr>
        <w:t xml:space="preserve"> ca proprietate a UAT mun. Bălți</w:t>
      </w:r>
      <w:r w:rsidR="006967E0">
        <w:rPr>
          <w:rFonts w:asciiTheme="majorHAnsi" w:hAnsiTheme="majorHAnsi" w:cstheme="majorHAnsi"/>
          <w:bCs/>
          <w:sz w:val="24"/>
          <w:szCs w:val="24"/>
          <w:lang w:val="ro-MD"/>
        </w:rPr>
        <w:t>, dar</w:t>
      </w:r>
      <w:r w:rsidR="001409B5" w:rsidRPr="00CD7FE5">
        <w:rPr>
          <w:rFonts w:asciiTheme="majorHAnsi" w:hAnsiTheme="majorHAnsi" w:cstheme="majorHAnsi"/>
          <w:bCs/>
          <w:sz w:val="24"/>
          <w:szCs w:val="24"/>
          <w:lang w:val="ro-MD"/>
        </w:rPr>
        <w:t xml:space="preserve"> </w:t>
      </w:r>
      <w:r w:rsidR="006967E0" w:rsidRPr="00CD7FE5">
        <w:rPr>
          <w:rFonts w:asciiTheme="majorHAnsi" w:hAnsiTheme="majorHAnsi" w:cstheme="majorHAnsi"/>
          <w:bCs/>
          <w:sz w:val="24"/>
          <w:szCs w:val="24"/>
          <w:lang w:val="ro-MD"/>
        </w:rPr>
        <w:t xml:space="preserve">de fapt </w:t>
      </w:r>
      <w:r w:rsidR="001409B5" w:rsidRPr="00CD7FE5">
        <w:rPr>
          <w:rFonts w:asciiTheme="majorHAnsi" w:hAnsiTheme="majorHAnsi" w:cstheme="majorHAnsi"/>
          <w:bCs/>
          <w:sz w:val="24"/>
          <w:szCs w:val="24"/>
          <w:lang w:val="ro-MD"/>
        </w:rPr>
        <w:t xml:space="preserve">constituie proprietate de stat și este înregistrată în evidența contabilă a </w:t>
      </w:r>
      <w:r w:rsidR="004659FB" w:rsidRPr="00CD7FE5">
        <w:rPr>
          <w:rFonts w:asciiTheme="majorHAnsi" w:hAnsiTheme="majorHAnsi" w:cstheme="majorHAnsi"/>
          <w:bCs/>
          <w:sz w:val="24"/>
          <w:szCs w:val="24"/>
          <w:lang w:val="ro-MD"/>
        </w:rPr>
        <w:t>școlii</w:t>
      </w:r>
      <w:r w:rsidR="001409B5" w:rsidRPr="00CD7FE5">
        <w:rPr>
          <w:rFonts w:asciiTheme="majorHAnsi" w:hAnsiTheme="majorHAnsi" w:cstheme="majorHAnsi"/>
          <w:bCs/>
          <w:sz w:val="24"/>
          <w:szCs w:val="24"/>
          <w:lang w:val="ro-MD"/>
        </w:rPr>
        <w:t>,</w:t>
      </w:r>
      <w:r w:rsidR="006967E0">
        <w:rPr>
          <w:rFonts w:asciiTheme="majorHAnsi" w:hAnsiTheme="majorHAnsi" w:cstheme="majorHAnsi"/>
          <w:bCs/>
          <w:sz w:val="24"/>
          <w:szCs w:val="24"/>
          <w:lang w:val="ro-MD"/>
        </w:rPr>
        <w:t xml:space="preserve"> astfel</w:t>
      </w:r>
      <w:r w:rsidR="001409B5" w:rsidRPr="00CD7FE5">
        <w:rPr>
          <w:rFonts w:asciiTheme="majorHAnsi" w:hAnsiTheme="majorHAnsi" w:cstheme="majorHAnsi"/>
          <w:bCs/>
          <w:sz w:val="24"/>
          <w:szCs w:val="24"/>
          <w:lang w:val="ro-MD"/>
        </w:rPr>
        <w:t xml:space="preserve"> </w:t>
      </w:r>
      <w:r w:rsidR="004659FB" w:rsidRPr="00CD7FE5">
        <w:rPr>
          <w:rFonts w:asciiTheme="majorHAnsi" w:hAnsiTheme="majorHAnsi" w:cstheme="majorHAnsi"/>
          <w:bCs/>
          <w:sz w:val="24"/>
          <w:szCs w:val="24"/>
          <w:lang w:val="ro-MD"/>
        </w:rPr>
        <w:t>încălcându-se</w:t>
      </w:r>
      <w:r w:rsidR="001409B5" w:rsidRPr="00CD7FE5">
        <w:rPr>
          <w:rFonts w:asciiTheme="majorHAnsi" w:hAnsiTheme="majorHAnsi" w:cstheme="majorHAnsi"/>
          <w:bCs/>
          <w:sz w:val="24"/>
          <w:szCs w:val="24"/>
          <w:lang w:val="ro-MD"/>
        </w:rPr>
        <w:t xml:space="preserve"> prevederile art. 8 al </w:t>
      </w:r>
      <w:r w:rsidR="001409B5" w:rsidRPr="00CD7FE5">
        <w:rPr>
          <w:rFonts w:asciiTheme="majorHAnsi" w:eastAsia="Times New Roman" w:hAnsiTheme="majorHAnsi" w:cstheme="majorHAnsi"/>
          <w:sz w:val="24"/>
          <w:szCs w:val="24"/>
          <w:lang w:val="ro-MD"/>
        </w:rPr>
        <w:t>Legii privind delimitarea proprietății publice nr.29 din 05.04.2018.</w:t>
      </w:r>
      <w:r w:rsidR="003F0A90" w:rsidRPr="00CD7FE5">
        <w:rPr>
          <w:rFonts w:asciiTheme="majorHAnsi" w:eastAsia="Times New Roman" w:hAnsiTheme="majorHAnsi" w:cstheme="majorHAnsi"/>
          <w:sz w:val="24"/>
          <w:szCs w:val="24"/>
          <w:lang w:val="ro-MD"/>
        </w:rPr>
        <w:t xml:space="preserve"> </w:t>
      </w:r>
      <w:r w:rsidR="003848DB" w:rsidRPr="00CD7FE5">
        <w:rPr>
          <w:rFonts w:asciiTheme="majorHAnsi" w:hAnsiTheme="majorHAnsi" w:cstheme="majorHAnsi"/>
          <w:sz w:val="24"/>
          <w:szCs w:val="24"/>
          <w:lang w:val="ro-MD"/>
        </w:rPr>
        <w:t xml:space="preserve">Decontarea bunurilor materiale se efectuează fără a </w:t>
      </w:r>
      <w:r w:rsidR="006967E0">
        <w:rPr>
          <w:rFonts w:asciiTheme="majorHAnsi" w:hAnsiTheme="majorHAnsi" w:cstheme="majorHAnsi"/>
          <w:sz w:val="24"/>
          <w:szCs w:val="24"/>
          <w:lang w:val="ro-MD"/>
        </w:rPr>
        <w:t xml:space="preserve">se </w:t>
      </w:r>
      <w:r w:rsidR="003848DB" w:rsidRPr="00CD7FE5">
        <w:rPr>
          <w:rFonts w:asciiTheme="majorHAnsi" w:hAnsiTheme="majorHAnsi" w:cstheme="majorHAnsi"/>
          <w:sz w:val="24"/>
          <w:szCs w:val="24"/>
          <w:lang w:val="ro-MD"/>
        </w:rPr>
        <w:t xml:space="preserve"> indica modul, locul și normativul utilizării.</w:t>
      </w:r>
      <w:r w:rsidR="003F0A90" w:rsidRPr="00CD7FE5">
        <w:rPr>
          <w:rFonts w:asciiTheme="majorHAnsi" w:hAnsiTheme="majorHAnsi" w:cstheme="majorHAnsi"/>
          <w:sz w:val="24"/>
          <w:szCs w:val="24"/>
          <w:lang w:val="ro-MD"/>
        </w:rPr>
        <w:t xml:space="preserve"> </w:t>
      </w:r>
      <w:r w:rsidR="003848DB" w:rsidRPr="00CD7FE5">
        <w:rPr>
          <w:rFonts w:asciiTheme="majorHAnsi" w:hAnsiTheme="majorHAnsi" w:cstheme="majorHAnsi"/>
          <w:sz w:val="24"/>
          <w:szCs w:val="24"/>
          <w:lang w:val="ro-MD"/>
        </w:rPr>
        <w:t xml:space="preserve">Casarea produselor alimentare se </w:t>
      </w:r>
      <w:r w:rsidR="006967E0">
        <w:rPr>
          <w:rFonts w:asciiTheme="majorHAnsi" w:hAnsiTheme="majorHAnsi" w:cstheme="majorHAnsi"/>
          <w:sz w:val="24"/>
          <w:szCs w:val="24"/>
          <w:lang w:val="ro-MD"/>
        </w:rPr>
        <w:t>realiz</w:t>
      </w:r>
      <w:r w:rsidR="003848DB" w:rsidRPr="00CD7FE5">
        <w:rPr>
          <w:rFonts w:asciiTheme="majorHAnsi" w:hAnsiTheme="majorHAnsi" w:cstheme="majorHAnsi"/>
          <w:sz w:val="24"/>
          <w:szCs w:val="24"/>
          <w:lang w:val="ro-MD"/>
        </w:rPr>
        <w:t xml:space="preserve">ează în lipsa actelor de casare, </w:t>
      </w:r>
      <w:r w:rsidR="006967E0">
        <w:rPr>
          <w:rFonts w:asciiTheme="majorHAnsi" w:hAnsiTheme="majorHAnsi" w:cstheme="majorHAnsi"/>
          <w:sz w:val="24"/>
          <w:szCs w:val="24"/>
          <w:lang w:val="ro-MD"/>
        </w:rPr>
        <w:t xml:space="preserve">dar și a </w:t>
      </w:r>
      <w:r w:rsidR="003848DB" w:rsidRPr="00CD7FE5">
        <w:rPr>
          <w:rFonts w:asciiTheme="majorHAnsi" w:hAnsiTheme="majorHAnsi" w:cstheme="majorHAnsi"/>
          <w:sz w:val="24"/>
          <w:szCs w:val="24"/>
          <w:lang w:val="ro-MD"/>
        </w:rPr>
        <w:t>Comisiei, efectuându-se doar</w:t>
      </w:r>
      <w:r w:rsidR="00B134B5" w:rsidRPr="00CD7FE5">
        <w:rPr>
          <w:rFonts w:asciiTheme="majorHAnsi" w:hAnsiTheme="majorHAnsi" w:cstheme="majorHAnsi"/>
          <w:sz w:val="24"/>
          <w:szCs w:val="24"/>
          <w:lang w:val="ro-MD"/>
        </w:rPr>
        <w:t xml:space="preserve"> în baza ordinului directorului, etc.</w:t>
      </w:r>
    </w:p>
    <w:p w14:paraId="2EC782CF" w14:textId="06AF0C4A" w:rsidR="003D4797" w:rsidRPr="00CD7FE5" w:rsidRDefault="003D4797" w:rsidP="003447A5">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La momentul verificării</w:t>
      </w:r>
      <w:r w:rsidR="00F76591">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F76591">
        <w:rPr>
          <w:rFonts w:asciiTheme="majorHAnsi" w:hAnsiTheme="majorHAnsi" w:cstheme="majorHAnsi"/>
          <w:sz w:val="24"/>
          <w:szCs w:val="24"/>
          <w:lang w:val="ro-MD"/>
        </w:rPr>
        <w:t>ș</w:t>
      </w:r>
      <w:r w:rsidRPr="00CD7FE5">
        <w:rPr>
          <w:rFonts w:asciiTheme="majorHAnsi" w:hAnsiTheme="majorHAnsi" w:cstheme="majorHAnsi"/>
          <w:sz w:val="24"/>
          <w:szCs w:val="24"/>
          <w:lang w:val="ro-MD"/>
        </w:rPr>
        <w:t xml:space="preserve">coala avea </w:t>
      </w:r>
      <w:r w:rsidR="00816EF1">
        <w:rPr>
          <w:rFonts w:asciiTheme="majorHAnsi" w:hAnsiTheme="majorHAnsi" w:cstheme="majorHAnsi"/>
          <w:sz w:val="24"/>
          <w:szCs w:val="24"/>
          <w:lang w:val="ro-MD"/>
        </w:rPr>
        <w:t>numai</w:t>
      </w:r>
      <w:r w:rsidRPr="00CD7FE5">
        <w:rPr>
          <w:rFonts w:asciiTheme="majorHAnsi" w:hAnsiTheme="majorHAnsi" w:cstheme="majorHAnsi"/>
          <w:sz w:val="24"/>
          <w:szCs w:val="24"/>
          <w:lang w:val="ro-MD"/>
        </w:rPr>
        <w:t xml:space="preserve"> 15 elevi </w:t>
      </w:r>
      <w:r w:rsidR="00F76591">
        <w:rPr>
          <w:rFonts w:asciiTheme="majorHAnsi" w:hAnsiTheme="majorHAnsi" w:cstheme="majorHAnsi"/>
          <w:sz w:val="24"/>
          <w:szCs w:val="24"/>
          <w:lang w:val="ro-MD"/>
        </w:rPr>
        <w:t>în</w:t>
      </w:r>
      <w:r w:rsidRPr="00CD7FE5">
        <w:rPr>
          <w:rFonts w:asciiTheme="majorHAnsi" w:hAnsiTheme="majorHAnsi" w:cstheme="majorHAnsi"/>
          <w:sz w:val="24"/>
          <w:szCs w:val="24"/>
          <w:lang w:val="ro-MD"/>
        </w:rPr>
        <w:t xml:space="preserve"> clasa a 9</w:t>
      </w:r>
      <w:r w:rsidR="00F76591">
        <w:rPr>
          <w:rFonts w:asciiTheme="majorHAnsi" w:hAnsiTheme="majorHAnsi" w:cstheme="majorHAnsi"/>
          <w:sz w:val="24"/>
          <w:szCs w:val="24"/>
          <w:lang w:val="ro-MD"/>
        </w:rPr>
        <w:t>-a</w:t>
      </w:r>
      <w:r w:rsidRPr="00CD7FE5">
        <w:rPr>
          <w:rFonts w:asciiTheme="majorHAnsi" w:hAnsiTheme="majorHAnsi" w:cstheme="majorHAnsi"/>
          <w:sz w:val="24"/>
          <w:szCs w:val="24"/>
          <w:lang w:val="ro-MD"/>
        </w:rPr>
        <w:t>, din</w:t>
      </w:r>
      <w:r w:rsidR="00F76591">
        <w:rPr>
          <w:rFonts w:asciiTheme="majorHAnsi" w:hAnsiTheme="majorHAnsi" w:cstheme="majorHAnsi"/>
          <w:sz w:val="24"/>
          <w:szCs w:val="24"/>
          <w:lang w:val="ro-MD"/>
        </w:rPr>
        <w:t>tre</w:t>
      </w:r>
      <w:r w:rsidRPr="00CD7FE5">
        <w:rPr>
          <w:rFonts w:asciiTheme="majorHAnsi" w:hAnsiTheme="majorHAnsi" w:cstheme="majorHAnsi"/>
          <w:sz w:val="24"/>
          <w:szCs w:val="24"/>
          <w:lang w:val="ro-MD"/>
        </w:rPr>
        <w:t xml:space="preserve"> care doar 5 </w:t>
      </w:r>
      <w:r w:rsidR="00F76591">
        <w:rPr>
          <w:rFonts w:asciiTheme="majorHAnsi" w:hAnsiTheme="majorHAnsi" w:cstheme="majorHAnsi"/>
          <w:sz w:val="24"/>
          <w:szCs w:val="24"/>
          <w:lang w:val="ro-MD"/>
        </w:rPr>
        <w:t xml:space="preserve">elevi </w:t>
      </w:r>
      <w:r w:rsidRPr="00CD7FE5">
        <w:rPr>
          <w:rFonts w:asciiTheme="majorHAnsi" w:hAnsiTheme="majorHAnsi" w:cstheme="majorHAnsi"/>
          <w:sz w:val="24"/>
          <w:szCs w:val="24"/>
          <w:lang w:val="ro-MD"/>
        </w:rPr>
        <w:t xml:space="preserve">cu </w:t>
      </w:r>
      <w:r w:rsidR="00F76591">
        <w:rPr>
          <w:rFonts w:asciiTheme="majorHAnsi" w:hAnsiTheme="majorHAnsi" w:cstheme="majorHAnsi"/>
          <w:sz w:val="24"/>
          <w:szCs w:val="24"/>
          <w:lang w:val="ro-MD"/>
        </w:rPr>
        <w:t>vederea pierdută</w:t>
      </w:r>
      <w:r w:rsidR="00F76591" w:rsidRPr="00CD7FE5">
        <w:rPr>
          <w:rFonts w:asciiTheme="majorHAnsi" w:hAnsiTheme="majorHAnsi" w:cstheme="majorHAnsi"/>
          <w:sz w:val="24"/>
          <w:szCs w:val="24"/>
          <w:lang w:val="ro-MD"/>
        </w:rPr>
        <w:t xml:space="preserve"> </w:t>
      </w:r>
      <w:r w:rsidR="00F76591">
        <w:rPr>
          <w:rFonts w:asciiTheme="majorHAnsi" w:hAnsiTheme="majorHAnsi" w:cstheme="majorHAnsi"/>
          <w:sz w:val="24"/>
          <w:szCs w:val="24"/>
          <w:lang w:val="ro-MD"/>
        </w:rPr>
        <w:t>complet</w:t>
      </w:r>
      <w:r w:rsidR="00F76591" w:rsidRPr="00CD7FE5">
        <w:rPr>
          <w:rFonts w:asciiTheme="majorHAnsi" w:hAnsiTheme="majorHAnsi" w:cstheme="majorHAnsi"/>
          <w:sz w:val="24"/>
          <w:szCs w:val="24"/>
          <w:lang w:val="ro-MD"/>
        </w:rPr>
        <w:t xml:space="preserve"> </w:t>
      </w:r>
      <w:r w:rsidRPr="00CD7FE5">
        <w:rPr>
          <w:rFonts w:asciiTheme="majorHAnsi" w:hAnsiTheme="majorHAnsi" w:cstheme="majorHAnsi"/>
          <w:sz w:val="24"/>
          <w:szCs w:val="24"/>
          <w:lang w:val="ro-MD"/>
        </w:rPr>
        <w:t xml:space="preserve">(orbi), iar </w:t>
      </w:r>
      <w:r w:rsidR="00816EF1" w:rsidRPr="00CD7FE5">
        <w:rPr>
          <w:rFonts w:asciiTheme="majorHAnsi" w:hAnsiTheme="majorHAnsi" w:cstheme="majorHAnsi"/>
          <w:sz w:val="24"/>
          <w:szCs w:val="24"/>
          <w:lang w:val="ro-MD"/>
        </w:rPr>
        <w:t>personal</w:t>
      </w:r>
      <w:r w:rsidR="00816EF1">
        <w:rPr>
          <w:rFonts w:asciiTheme="majorHAnsi" w:hAnsiTheme="majorHAnsi" w:cstheme="majorHAnsi"/>
          <w:sz w:val="24"/>
          <w:szCs w:val="24"/>
          <w:lang w:val="ro-MD"/>
        </w:rPr>
        <w:t>ul</w:t>
      </w:r>
      <w:r w:rsidR="00816EF1" w:rsidRPr="00CD7FE5">
        <w:rPr>
          <w:rFonts w:asciiTheme="majorHAnsi" w:hAnsiTheme="majorHAnsi" w:cstheme="majorHAnsi"/>
          <w:sz w:val="24"/>
          <w:szCs w:val="24"/>
          <w:lang w:val="ro-MD"/>
        </w:rPr>
        <w:t xml:space="preserve"> </w:t>
      </w:r>
      <w:r w:rsidR="00816EF1">
        <w:rPr>
          <w:rFonts w:asciiTheme="majorHAnsi" w:hAnsiTheme="majorHAnsi" w:cstheme="majorHAnsi"/>
          <w:sz w:val="24"/>
          <w:szCs w:val="24"/>
          <w:lang w:val="ro-MD"/>
        </w:rPr>
        <w:t>era</w:t>
      </w:r>
      <w:r w:rsidRPr="00CD7FE5">
        <w:rPr>
          <w:rFonts w:asciiTheme="majorHAnsi" w:hAnsiTheme="majorHAnsi" w:cstheme="majorHAnsi"/>
          <w:sz w:val="24"/>
          <w:szCs w:val="24"/>
          <w:lang w:val="ro-MD"/>
        </w:rPr>
        <w:t xml:space="preserve"> constitui</w:t>
      </w:r>
      <w:r w:rsidR="00816EF1">
        <w:rPr>
          <w:rFonts w:asciiTheme="majorHAnsi" w:hAnsiTheme="majorHAnsi" w:cstheme="majorHAnsi"/>
          <w:sz w:val="24"/>
          <w:szCs w:val="24"/>
          <w:lang w:val="ro-MD"/>
        </w:rPr>
        <w:t>t din</w:t>
      </w:r>
      <w:r w:rsidRPr="00CD7FE5">
        <w:rPr>
          <w:rFonts w:asciiTheme="majorHAnsi" w:hAnsiTheme="majorHAnsi" w:cstheme="majorHAnsi"/>
          <w:sz w:val="24"/>
          <w:szCs w:val="24"/>
          <w:lang w:val="ro-MD"/>
        </w:rPr>
        <w:t xml:space="preserve"> 44 </w:t>
      </w:r>
      <w:r w:rsidR="00F76591">
        <w:rPr>
          <w:rFonts w:asciiTheme="majorHAnsi" w:hAnsiTheme="majorHAnsi" w:cstheme="majorHAnsi"/>
          <w:sz w:val="24"/>
          <w:szCs w:val="24"/>
          <w:lang w:val="ro-MD"/>
        </w:rPr>
        <w:t xml:space="preserve">de </w:t>
      </w:r>
      <w:r w:rsidRPr="00CD7FE5">
        <w:rPr>
          <w:rFonts w:asciiTheme="majorHAnsi" w:hAnsiTheme="majorHAnsi" w:cstheme="majorHAnsi"/>
          <w:sz w:val="24"/>
          <w:szCs w:val="24"/>
          <w:lang w:val="ro-MD"/>
        </w:rPr>
        <w:t xml:space="preserve">unități. După absolvirea </w:t>
      </w:r>
      <w:r w:rsidR="00F76591">
        <w:rPr>
          <w:rFonts w:asciiTheme="majorHAnsi" w:hAnsiTheme="majorHAnsi" w:cstheme="majorHAnsi"/>
          <w:sz w:val="24"/>
          <w:szCs w:val="24"/>
          <w:lang w:val="ro-MD"/>
        </w:rPr>
        <w:t xml:space="preserve">de către acești copii a </w:t>
      </w:r>
      <w:r w:rsidRPr="00CD7FE5">
        <w:rPr>
          <w:rFonts w:asciiTheme="majorHAnsi" w:hAnsiTheme="majorHAnsi" w:cstheme="majorHAnsi"/>
          <w:sz w:val="24"/>
          <w:szCs w:val="24"/>
          <w:lang w:val="ro-MD"/>
        </w:rPr>
        <w:t>școlii în vara anului 2021, aceasta</w:t>
      </w:r>
      <w:r w:rsidR="00816EF1">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816EF1">
        <w:rPr>
          <w:rFonts w:asciiTheme="majorHAnsi" w:hAnsiTheme="majorHAnsi" w:cstheme="majorHAnsi"/>
          <w:sz w:val="24"/>
          <w:szCs w:val="24"/>
          <w:lang w:val="ro-MD"/>
        </w:rPr>
        <w:t>ne</w:t>
      </w:r>
      <w:r w:rsidRPr="00CD7FE5">
        <w:rPr>
          <w:rFonts w:asciiTheme="majorHAnsi" w:hAnsiTheme="majorHAnsi" w:cstheme="majorHAnsi"/>
          <w:sz w:val="24"/>
          <w:szCs w:val="24"/>
          <w:lang w:val="ro-MD"/>
        </w:rPr>
        <w:t>dispun</w:t>
      </w:r>
      <w:r w:rsidR="00816EF1">
        <w:rPr>
          <w:rFonts w:asciiTheme="majorHAnsi" w:hAnsiTheme="majorHAnsi" w:cstheme="majorHAnsi"/>
          <w:sz w:val="24"/>
          <w:szCs w:val="24"/>
          <w:lang w:val="ro-MD"/>
        </w:rPr>
        <w:t>ând</w:t>
      </w:r>
      <w:r w:rsidRPr="00CD7FE5">
        <w:rPr>
          <w:rFonts w:asciiTheme="majorHAnsi" w:hAnsiTheme="majorHAnsi" w:cstheme="majorHAnsi"/>
          <w:sz w:val="24"/>
          <w:szCs w:val="24"/>
          <w:lang w:val="ro-MD"/>
        </w:rPr>
        <w:t xml:space="preserve"> de copii</w:t>
      </w:r>
      <w:r w:rsidR="00816EF1">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816EF1" w:rsidRPr="00CD7FE5">
        <w:rPr>
          <w:rFonts w:asciiTheme="majorHAnsi" w:hAnsiTheme="majorHAnsi" w:cstheme="majorHAnsi"/>
          <w:sz w:val="24"/>
          <w:szCs w:val="24"/>
          <w:lang w:val="ro-MD"/>
        </w:rPr>
        <w:t xml:space="preserve">nu va mai </w:t>
      </w:r>
      <w:r w:rsidRPr="00CD7FE5">
        <w:rPr>
          <w:rFonts w:asciiTheme="majorHAnsi" w:hAnsiTheme="majorHAnsi" w:cstheme="majorHAnsi"/>
          <w:sz w:val="24"/>
          <w:szCs w:val="24"/>
          <w:lang w:val="ro-MD"/>
        </w:rPr>
        <w:t>activa</w:t>
      </w:r>
      <w:r w:rsidR="00816EF1">
        <w:rPr>
          <w:rFonts w:asciiTheme="majorHAnsi" w:hAnsiTheme="majorHAnsi" w:cstheme="majorHAnsi"/>
          <w:sz w:val="24"/>
          <w:szCs w:val="24"/>
          <w:lang w:val="ro-MD"/>
        </w:rPr>
        <w:t>. Angajații au fost</w:t>
      </w:r>
      <w:r w:rsidRPr="00CD7FE5">
        <w:rPr>
          <w:rFonts w:asciiTheme="majorHAnsi" w:hAnsiTheme="majorHAnsi" w:cstheme="majorHAnsi"/>
          <w:sz w:val="24"/>
          <w:szCs w:val="24"/>
          <w:lang w:val="ro-MD"/>
        </w:rPr>
        <w:t xml:space="preserve"> preîntâmpina</w:t>
      </w:r>
      <w:r w:rsidR="00816EF1">
        <w:rPr>
          <w:rFonts w:asciiTheme="majorHAnsi" w:hAnsiTheme="majorHAnsi" w:cstheme="majorHAnsi"/>
          <w:sz w:val="24"/>
          <w:szCs w:val="24"/>
          <w:lang w:val="ro-MD"/>
        </w:rPr>
        <w:t>ți</w:t>
      </w:r>
      <w:r w:rsidRPr="00CD7FE5">
        <w:rPr>
          <w:rFonts w:asciiTheme="majorHAnsi" w:hAnsiTheme="majorHAnsi" w:cstheme="majorHAnsi"/>
          <w:sz w:val="24"/>
          <w:szCs w:val="24"/>
          <w:lang w:val="ro-MD"/>
        </w:rPr>
        <w:t xml:space="preserve"> </w:t>
      </w:r>
      <w:r w:rsidR="00816EF1">
        <w:rPr>
          <w:rFonts w:asciiTheme="majorHAnsi" w:hAnsiTheme="majorHAnsi" w:cstheme="majorHAnsi"/>
          <w:sz w:val="24"/>
          <w:szCs w:val="24"/>
          <w:lang w:val="ro-MD"/>
        </w:rPr>
        <w:t>despre</w:t>
      </w:r>
      <w:r w:rsidRPr="00CD7FE5">
        <w:rPr>
          <w:rFonts w:asciiTheme="majorHAnsi" w:hAnsiTheme="majorHAnsi" w:cstheme="majorHAnsi"/>
          <w:sz w:val="24"/>
          <w:szCs w:val="24"/>
          <w:lang w:val="ro-MD"/>
        </w:rPr>
        <w:t xml:space="preserve"> posibila </w:t>
      </w:r>
      <w:r w:rsidR="00353343" w:rsidRPr="00CD7FE5">
        <w:rPr>
          <w:rFonts w:asciiTheme="majorHAnsi" w:hAnsiTheme="majorHAnsi" w:cstheme="majorHAnsi"/>
          <w:sz w:val="24"/>
          <w:szCs w:val="24"/>
          <w:lang w:val="ro-MD"/>
        </w:rPr>
        <w:t>reducere a statelor</w:t>
      </w:r>
      <w:r w:rsidR="000A7650" w:rsidRPr="00CD7FE5">
        <w:rPr>
          <w:rFonts w:asciiTheme="majorHAnsi" w:hAnsiTheme="majorHAnsi" w:cstheme="majorHAnsi"/>
          <w:sz w:val="24"/>
          <w:szCs w:val="24"/>
          <w:lang w:val="ro-MD"/>
        </w:rPr>
        <w:t xml:space="preserve"> de personal, </w:t>
      </w:r>
      <w:r w:rsidR="00816EF1">
        <w:rPr>
          <w:rFonts w:asciiTheme="majorHAnsi" w:hAnsiTheme="majorHAnsi" w:cstheme="majorHAnsi"/>
          <w:sz w:val="24"/>
          <w:szCs w:val="24"/>
          <w:lang w:val="ro-MD"/>
        </w:rPr>
        <w:t xml:space="preserve">dar </w:t>
      </w:r>
      <w:r w:rsidR="000A7650" w:rsidRPr="00CD7FE5">
        <w:rPr>
          <w:rFonts w:asciiTheme="majorHAnsi" w:hAnsiTheme="majorHAnsi" w:cstheme="majorHAnsi"/>
          <w:sz w:val="24"/>
          <w:szCs w:val="24"/>
          <w:lang w:val="ro-MD"/>
        </w:rPr>
        <w:t>MECC nu a i</w:t>
      </w:r>
      <w:r w:rsidR="00353343" w:rsidRPr="00CD7FE5">
        <w:rPr>
          <w:rFonts w:asciiTheme="majorHAnsi" w:hAnsiTheme="majorHAnsi" w:cstheme="majorHAnsi"/>
          <w:sz w:val="24"/>
          <w:szCs w:val="24"/>
          <w:lang w:val="ro-MD"/>
        </w:rPr>
        <w:t>ntervenit pentru revizuirea bugetului</w:t>
      </w:r>
      <w:r w:rsidR="000A7650" w:rsidRPr="00CD7FE5">
        <w:rPr>
          <w:rFonts w:asciiTheme="majorHAnsi" w:hAnsiTheme="majorHAnsi" w:cstheme="majorHAnsi"/>
          <w:sz w:val="24"/>
          <w:szCs w:val="24"/>
          <w:lang w:val="ro-MD"/>
        </w:rPr>
        <w:t xml:space="preserve"> instituției pe anul 2021</w:t>
      </w:r>
      <w:r w:rsidR="00816EF1">
        <w:rPr>
          <w:rFonts w:asciiTheme="majorHAnsi" w:hAnsiTheme="majorHAnsi" w:cstheme="majorHAnsi"/>
          <w:sz w:val="24"/>
          <w:szCs w:val="24"/>
          <w:lang w:val="ro-MD"/>
        </w:rPr>
        <w:t>, astfel</w:t>
      </w:r>
      <w:r w:rsidR="000A7650" w:rsidRPr="00CD7FE5">
        <w:rPr>
          <w:rFonts w:asciiTheme="majorHAnsi" w:hAnsiTheme="majorHAnsi" w:cstheme="majorHAnsi"/>
          <w:sz w:val="24"/>
          <w:szCs w:val="24"/>
          <w:lang w:val="ro-MD"/>
        </w:rPr>
        <w:t xml:space="preserve"> existâ</w:t>
      </w:r>
      <w:r w:rsidR="00353343" w:rsidRPr="00CD7FE5">
        <w:rPr>
          <w:rFonts w:asciiTheme="majorHAnsi" w:hAnsiTheme="majorHAnsi" w:cstheme="majorHAnsi"/>
          <w:sz w:val="24"/>
          <w:szCs w:val="24"/>
          <w:lang w:val="ro-MD"/>
        </w:rPr>
        <w:t>nd riscul de utilizare neargumentată a mijloacelor bugetare.</w:t>
      </w:r>
    </w:p>
    <w:p w14:paraId="5E58DF88" w14:textId="4657F273" w:rsidR="00062518" w:rsidRPr="00CD7FE5" w:rsidRDefault="00062518" w:rsidP="003447A5">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sz w:val="24"/>
          <w:szCs w:val="24"/>
          <w:lang w:val="ro-MD"/>
        </w:rPr>
        <w:t>De asemenea</w:t>
      </w:r>
      <w:r w:rsidR="00816EF1">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MECC nu a ajustat cadrul normativ aferent activității </w:t>
      </w:r>
      <w:r w:rsidRPr="00CD7FE5">
        <w:rPr>
          <w:rFonts w:asciiTheme="majorHAnsi" w:hAnsiTheme="majorHAnsi" w:cstheme="majorHAnsi"/>
          <w:i/>
          <w:iCs/>
          <w:sz w:val="24"/>
          <w:szCs w:val="24"/>
          <w:lang w:val="ro-MD"/>
        </w:rPr>
        <w:t>Agenției Naționale pentru Curriculum și Evaluare</w:t>
      </w:r>
      <w:r w:rsidR="00970BD4">
        <w:rPr>
          <w:rFonts w:asciiTheme="majorHAnsi" w:hAnsiTheme="majorHAnsi" w:cstheme="majorHAnsi"/>
          <w:i/>
          <w:iCs/>
          <w:sz w:val="24"/>
          <w:szCs w:val="24"/>
          <w:lang w:val="ro-MD"/>
        </w:rPr>
        <w:t xml:space="preserve"> (ANCE)</w:t>
      </w:r>
      <w:r w:rsidRPr="00CD7FE5">
        <w:rPr>
          <w:rFonts w:asciiTheme="majorHAnsi" w:hAnsiTheme="majorHAnsi" w:cstheme="majorHAnsi"/>
          <w:sz w:val="24"/>
          <w:szCs w:val="24"/>
          <w:lang w:val="ro-MD"/>
        </w:rPr>
        <w:t xml:space="preserve">. Chiar dacă </w:t>
      </w:r>
      <w:r w:rsidRPr="00970BD4">
        <w:rPr>
          <w:rFonts w:asciiTheme="majorHAnsi" w:hAnsiTheme="majorHAnsi" w:cstheme="majorHAnsi"/>
          <w:sz w:val="24"/>
          <w:szCs w:val="24"/>
          <w:lang w:val="ro-MD"/>
        </w:rPr>
        <w:t>în H</w:t>
      </w:r>
      <w:r w:rsidR="00742843" w:rsidRPr="00970BD4">
        <w:rPr>
          <w:rFonts w:asciiTheme="majorHAnsi" w:hAnsiTheme="majorHAnsi" w:cstheme="majorHAnsi"/>
          <w:sz w:val="24"/>
          <w:szCs w:val="24"/>
          <w:lang w:val="ro-MD"/>
        </w:rPr>
        <w:t xml:space="preserve">otărârea </w:t>
      </w:r>
      <w:r w:rsidRPr="00970BD4">
        <w:rPr>
          <w:rFonts w:asciiTheme="majorHAnsi" w:hAnsiTheme="majorHAnsi" w:cstheme="majorHAnsi"/>
          <w:sz w:val="24"/>
          <w:szCs w:val="24"/>
          <w:lang w:val="ro-MD"/>
        </w:rPr>
        <w:t>G</w:t>
      </w:r>
      <w:r w:rsidR="00742843" w:rsidRPr="00970BD4">
        <w:rPr>
          <w:rFonts w:asciiTheme="majorHAnsi" w:hAnsiTheme="majorHAnsi" w:cstheme="majorHAnsi"/>
          <w:sz w:val="24"/>
          <w:szCs w:val="24"/>
          <w:lang w:val="ro-MD"/>
        </w:rPr>
        <w:t>uvernului</w:t>
      </w:r>
      <w:r w:rsidRPr="00970BD4">
        <w:rPr>
          <w:rFonts w:asciiTheme="majorHAnsi" w:hAnsiTheme="majorHAnsi" w:cstheme="majorHAnsi"/>
          <w:sz w:val="24"/>
          <w:szCs w:val="24"/>
          <w:lang w:val="ro-MD"/>
        </w:rPr>
        <w:t xml:space="preserve"> nr. 72/2015</w:t>
      </w:r>
      <w:r w:rsidRPr="00CD7FE5">
        <w:rPr>
          <w:rFonts w:asciiTheme="majorHAnsi" w:hAnsiTheme="majorHAnsi" w:cstheme="majorHAnsi"/>
          <w:sz w:val="24"/>
          <w:szCs w:val="24"/>
          <w:lang w:val="ro-MD"/>
        </w:rPr>
        <w:t xml:space="preserve"> </w:t>
      </w:r>
      <w:r w:rsidR="00A26A1A">
        <w:rPr>
          <w:rFonts w:asciiTheme="majorHAnsi" w:hAnsiTheme="majorHAnsi" w:cstheme="majorHAnsi"/>
          <w:sz w:val="24"/>
          <w:szCs w:val="24"/>
          <w:lang w:val="ro-MD"/>
        </w:rPr>
        <w:t>se</w:t>
      </w:r>
      <w:r w:rsidRPr="00CD7FE5">
        <w:rPr>
          <w:rFonts w:asciiTheme="majorHAnsi" w:hAnsiTheme="majorHAnsi" w:cstheme="majorHAnsi"/>
          <w:sz w:val="24"/>
          <w:szCs w:val="24"/>
          <w:lang w:val="ro-MD"/>
        </w:rPr>
        <w:t xml:space="preserve"> mențion</w:t>
      </w:r>
      <w:r w:rsidR="00A26A1A">
        <w:rPr>
          <w:rFonts w:asciiTheme="majorHAnsi" w:hAnsiTheme="majorHAnsi" w:cstheme="majorHAnsi"/>
          <w:sz w:val="24"/>
          <w:szCs w:val="24"/>
          <w:lang w:val="ro-MD"/>
        </w:rPr>
        <w:t>ează</w:t>
      </w:r>
      <w:r w:rsidRPr="00CD7FE5">
        <w:rPr>
          <w:rFonts w:asciiTheme="majorHAnsi" w:hAnsiTheme="majorHAnsi" w:cstheme="majorHAnsi"/>
          <w:sz w:val="24"/>
          <w:szCs w:val="24"/>
          <w:lang w:val="ro-MD"/>
        </w:rPr>
        <w:t xml:space="preserve"> că Direcția de dezvoltare curriculară în învățământul gimnazial și liceal și Direcția de dezvoltare curriculară în educați</w:t>
      </w:r>
      <w:r w:rsidR="00816EF1">
        <w:rPr>
          <w:rFonts w:asciiTheme="majorHAnsi" w:hAnsiTheme="majorHAnsi" w:cstheme="majorHAnsi"/>
          <w:sz w:val="24"/>
          <w:szCs w:val="24"/>
          <w:lang w:val="ro-MD"/>
        </w:rPr>
        <w:t xml:space="preserve">a </w:t>
      </w:r>
      <w:r w:rsidRPr="00CD7FE5">
        <w:rPr>
          <w:rFonts w:asciiTheme="majorHAnsi" w:hAnsiTheme="majorHAnsi" w:cstheme="majorHAnsi"/>
          <w:sz w:val="24"/>
          <w:szCs w:val="24"/>
          <w:lang w:val="ro-MD"/>
        </w:rPr>
        <w:t xml:space="preserve">timpurie și </w:t>
      </w:r>
      <w:r w:rsidR="00A26A1A">
        <w:rPr>
          <w:rFonts w:asciiTheme="majorHAnsi" w:hAnsiTheme="majorHAnsi" w:cstheme="majorHAnsi"/>
          <w:sz w:val="24"/>
          <w:szCs w:val="24"/>
          <w:lang w:val="ro-MD"/>
        </w:rPr>
        <w:t xml:space="preserve">în </w:t>
      </w:r>
      <w:r w:rsidRPr="00CD7FE5">
        <w:rPr>
          <w:rFonts w:asciiTheme="majorHAnsi" w:hAnsiTheme="majorHAnsi" w:cstheme="majorHAnsi"/>
          <w:sz w:val="24"/>
          <w:szCs w:val="24"/>
          <w:lang w:val="ro-MD"/>
        </w:rPr>
        <w:t>învățământ</w:t>
      </w:r>
      <w:r w:rsidR="00816EF1">
        <w:rPr>
          <w:rFonts w:asciiTheme="majorHAnsi" w:hAnsiTheme="majorHAnsi" w:cstheme="majorHAnsi"/>
          <w:sz w:val="24"/>
          <w:szCs w:val="24"/>
          <w:lang w:val="ro-MD"/>
        </w:rPr>
        <w:t>ul</w:t>
      </w:r>
      <w:r w:rsidRPr="00CD7FE5">
        <w:rPr>
          <w:rFonts w:asciiTheme="majorHAnsi" w:hAnsiTheme="majorHAnsi" w:cstheme="majorHAnsi"/>
          <w:sz w:val="24"/>
          <w:szCs w:val="24"/>
          <w:lang w:val="ro-MD"/>
        </w:rPr>
        <w:t xml:space="preserve"> primar </w:t>
      </w:r>
      <w:r w:rsidR="00A26A1A">
        <w:rPr>
          <w:rFonts w:asciiTheme="majorHAnsi" w:hAnsiTheme="majorHAnsi" w:cstheme="majorHAnsi"/>
          <w:sz w:val="24"/>
          <w:szCs w:val="24"/>
          <w:lang w:val="ro-MD"/>
        </w:rPr>
        <w:t>sunt</w:t>
      </w:r>
      <w:r w:rsidRPr="00CD7FE5">
        <w:rPr>
          <w:rFonts w:asciiTheme="majorHAnsi" w:hAnsiTheme="majorHAnsi" w:cstheme="majorHAnsi"/>
          <w:sz w:val="24"/>
          <w:szCs w:val="24"/>
          <w:lang w:val="ro-MD"/>
        </w:rPr>
        <w:t xml:space="preserve"> structuri ale Agenției Naționale pentru Curriculum și Evaluare, MECC a delegat atribuțiile respective nu ANCE</w:t>
      </w:r>
      <w:r w:rsidR="00A26A1A">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dar Direcției Învățământ General din cadrul MECC. Astfel</w:t>
      </w:r>
      <w:r w:rsidR="001758C2" w:rsidRPr="00CD7FE5">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din 43</w:t>
      </w:r>
      <w:r w:rsidR="00A26A1A">
        <w:rPr>
          <w:rFonts w:asciiTheme="majorHAnsi" w:hAnsiTheme="majorHAnsi" w:cstheme="majorHAnsi"/>
          <w:sz w:val="24"/>
          <w:szCs w:val="24"/>
          <w:lang w:val="ro-MD"/>
        </w:rPr>
        <w:t xml:space="preserve"> de</w:t>
      </w:r>
      <w:r w:rsidRPr="00CD7FE5">
        <w:rPr>
          <w:rFonts w:asciiTheme="majorHAnsi" w:hAnsiTheme="majorHAnsi" w:cstheme="majorHAnsi"/>
          <w:sz w:val="24"/>
          <w:szCs w:val="24"/>
          <w:lang w:val="ro-MD"/>
        </w:rPr>
        <w:t xml:space="preserve"> unități de personal</w:t>
      </w:r>
      <w:r w:rsidR="00E43890">
        <w:rPr>
          <w:rFonts w:asciiTheme="majorHAnsi" w:hAnsiTheme="majorHAnsi" w:cstheme="majorHAnsi"/>
          <w:sz w:val="24"/>
          <w:szCs w:val="24"/>
          <w:lang w:val="ro-MD"/>
        </w:rPr>
        <w:t xml:space="preserve"> ale ANCE</w:t>
      </w:r>
      <w:r w:rsidR="00A26A1A">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A26A1A" w:rsidRPr="00CD7FE5">
        <w:rPr>
          <w:rFonts w:asciiTheme="majorHAnsi" w:hAnsiTheme="majorHAnsi" w:cstheme="majorHAnsi"/>
          <w:sz w:val="24"/>
          <w:szCs w:val="24"/>
          <w:lang w:val="ro-MD"/>
        </w:rPr>
        <w:t xml:space="preserve">32 </w:t>
      </w:r>
      <w:r w:rsidR="00A26A1A">
        <w:rPr>
          <w:rFonts w:asciiTheme="majorHAnsi" w:hAnsiTheme="majorHAnsi" w:cstheme="majorHAnsi"/>
          <w:sz w:val="24"/>
          <w:szCs w:val="24"/>
          <w:lang w:val="ro-MD"/>
        </w:rPr>
        <w:t xml:space="preserve">de </w:t>
      </w:r>
      <w:r w:rsidR="00A26A1A" w:rsidRPr="00CD7FE5">
        <w:rPr>
          <w:rFonts w:asciiTheme="majorHAnsi" w:hAnsiTheme="majorHAnsi" w:cstheme="majorHAnsi"/>
          <w:sz w:val="24"/>
          <w:szCs w:val="24"/>
          <w:lang w:val="ro-MD"/>
        </w:rPr>
        <w:t xml:space="preserve">unități </w:t>
      </w:r>
      <w:r w:rsidRPr="00CD7FE5">
        <w:rPr>
          <w:rFonts w:asciiTheme="majorHAnsi" w:hAnsiTheme="majorHAnsi" w:cstheme="majorHAnsi"/>
          <w:sz w:val="24"/>
          <w:szCs w:val="24"/>
          <w:lang w:val="ro-MD"/>
        </w:rPr>
        <w:t>sunt permanent vacante</w:t>
      </w:r>
      <w:r w:rsidR="001758C2" w:rsidRPr="00CD7FE5">
        <w:rPr>
          <w:rFonts w:asciiTheme="majorHAnsi" w:hAnsiTheme="majorHAnsi" w:cstheme="majorHAnsi"/>
          <w:sz w:val="24"/>
          <w:szCs w:val="24"/>
          <w:lang w:val="ro-MD"/>
        </w:rPr>
        <w:t>.</w:t>
      </w:r>
      <w:r w:rsidRPr="00CD7FE5">
        <w:rPr>
          <w:rFonts w:asciiTheme="majorHAnsi" w:hAnsiTheme="majorHAnsi" w:cstheme="majorHAnsi"/>
          <w:sz w:val="24"/>
          <w:szCs w:val="24"/>
          <w:lang w:val="ro-MD"/>
        </w:rPr>
        <w:t xml:space="preserve"> </w:t>
      </w:r>
      <w:r w:rsidR="003D4797" w:rsidRPr="00CD7FE5">
        <w:rPr>
          <w:rFonts w:asciiTheme="majorHAnsi" w:hAnsiTheme="majorHAnsi" w:cstheme="majorHAnsi"/>
          <w:sz w:val="24"/>
          <w:szCs w:val="24"/>
          <w:lang w:val="ro-MD"/>
        </w:rPr>
        <w:t xml:space="preserve"> </w:t>
      </w:r>
    </w:p>
    <w:p w14:paraId="5033ECDD" w14:textId="1ECDBE90" w:rsidR="00E21373" w:rsidRPr="00CD7FE5" w:rsidRDefault="008D4F50" w:rsidP="008D4F50">
      <w:pPr>
        <w:spacing w:after="0" w:line="276" w:lineRule="auto"/>
        <w:jc w:val="both"/>
        <w:rPr>
          <w:rFonts w:asciiTheme="majorHAnsi" w:hAnsiTheme="majorHAnsi" w:cstheme="majorHAnsi"/>
          <w:color w:val="000000"/>
          <w:sz w:val="24"/>
          <w:szCs w:val="24"/>
          <w:lang w:val="ro-MD"/>
        </w:rPr>
      </w:pPr>
      <w:r w:rsidRPr="00CD7FE5">
        <w:rPr>
          <w:rFonts w:asciiTheme="majorHAnsi" w:hAnsiTheme="majorHAnsi" w:cstheme="majorHAnsi"/>
          <w:b/>
          <w:bCs/>
          <w:sz w:val="24"/>
          <w:szCs w:val="24"/>
          <w:lang w:val="ro-MD"/>
        </w:rPr>
        <w:t>6</w:t>
      </w:r>
      <w:r w:rsidR="00FB4067" w:rsidRPr="00CD7FE5">
        <w:rPr>
          <w:rFonts w:asciiTheme="majorHAnsi" w:hAnsiTheme="majorHAnsi" w:cstheme="majorHAnsi"/>
          <w:b/>
          <w:bCs/>
          <w:sz w:val="24"/>
          <w:szCs w:val="24"/>
          <w:lang w:val="ro-MD"/>
        </w:rPr>
        <w:t>.1</w:t>
      </w:r>
      <w:r w:rsidRPr="00CD7FE5">
        <w:rPr>
          <w:rFonts w:asciiTheme="majorHAnsi" w:hAnsiTheme="majorHAnsi" w:cstheme="majorHAnsi"/>
          <w:b/>
          <w:bCs/>
          <w:sz w:val="24"/>
          <w:szCs w:val="24"/>
          <w:lang w:val="ro-MD"/>
        </w:rPr>
        <w:t>3</w:t>
      </w:r>
      <w:r w:rsidR="00EE3039" w:rsidRPr="00CD7FE5">
        <w:rPr>
          <w:rFonts w:asciiTheme="majorHAnsi" w:hAnsiTheme="majorHAnsi" w:cstheme="majorHAnsi"/>
          <w:b/>
          <w:bCs/>
          <w:sz w:val="24"/>
          <w:szCs w:val="24"/>
          <w:lang w:val="ro-MD"/>
        </w:rPr>
        <w:t>.</w:t>
      </w:r>
      <w:r w:rsidR="00EE3039" w:rsidRPr="00CD7FE5">
        <w:rPr>
          <w:rFonts w:asciiTheme="majorHAnsi" w:hAnsiTheme="majorHAnsi" w:cstheme="majorHAnsi"/>
          <w:sz w:val="24"/>
          <w:szCs w:val="24"/>
          <w:lang w:val="ro-MD"/>
        </w:rPr>
        <w:t xml:space="preserve"> </w:t>
      </w:r>
      <w:r w:rsidR="0070752E" w:rsidRPr="00CD7FE5">
        <w:rPr>
          <w:rFonts w:asciiTheme="majorHAnsi" w:eastAsia="Times New Roman" w:hAnsiTheme="majorHAnsi" w:cstheme="majorHAnsi"/>
          <w:sz w:val="24"/>
          <w:szCs w:val="24"/>
          <w:lang w:val="ro-MD"/>
        </w:rPr>
        <w:t>Se ia act că, pe parcursul misiunii de audit</w:t>
      </w:r>
      <w:r w:rsidR="00A26A1A">
        <w:rPr>
          <w:rFonts w:asciiTheme="majorHAnsi" w:eastAsia="Times New Roman" w:hAnsiTheme="majorHAnsi" w:cstheme="majorHAnsi"/>
          <w:sz w:val="24"/>
          <w:szCs w:val="24"/>
          <w:lang w:val="ro-MD"/>
        </w:rPr>
        <w:t>,</w:t>
      </w:r>
      <w:r w:rsidR="00430682" w:rsidRPr="00CD7FE5">
        <w:rPr>
          <w:rFonts w:asciiTheme="majorHAnsi" w:eastAsia="Times New Roman" w:hAnsiTheme="majorHAnsi" w:cstheme="majorHAnsi"/>
          <w:sz w:val="24"/>
          <w:szCs w:val="24"/>
          <w:lang w:val="ro-MD"/>
        </w:rPr>
        <w:t xml:space="preserve"> MECC și instituțiile din subordine</w:t>
      </w:r>
      <w:r w:rsidR="00430682" w:rsidRPr="00CD7FE5">
        <w:rPr>
          <w:rStyle w:val="FootnoteReference"/>
          <w:rFonts w:asciiTheme="majorHAnsi" w:eastAsia="Times New Roman" w:hAnsiTheme="majorHAnsi" w:cstheme="majorHAnsi"/>
          <w:sz w:val="24"/>
          <w:szCs w:val="24"/>
          <w:lang w:val="ro-MD"/>
        </w:rPr>
        <w:footnoteReference w:id="50"/>
      </w:r>
      <w:r w:rsidR="00430682" w:rsidRPr="00CD7FE5">
        <w:rPr>
          <w:rFonts w:asciiTheme="majorHAnsi" w:eastAsia="Times New Roman" w:hAnsiTheme="majorHAnsi" w:cstheme="majorHAnsi"/>
          <w:sz w:val="24"/>
          <w:szCs w:val="24"/>
          <w:lang w:val="ro-MD"/>
        </w:rPr>
        <w:t xml:space="preserve"> au efectuat corectări financiar-contabile de </w:t>
      </w:r>
      <w:r w:rsidR="006A22E7" w:rsidRPr="00CD7FE5">
        <w:rPr>
          <w:rFonts w:asciiTheme="majorHAnsi" w:eastAsia="Times New Roman" w:hAnsiTheme="majorHAnsi" w:cstheme="majorHAnsi"/>
          <w:sz w:val="24"/>
          <w:szCs w:val="24"/>
          <w:lang w:val="ro-MD"/>
        </w:rPr>
        <w:t xml:space="preserve">630,84 mii </w:t>
      </w:r>
      <w:r w:rsidR="00430682" w:rsidRPr="00CD7FE5">
        <w:rPr>
          <w:rFonts w:asciiTheme="majorHAnsi" w:eastAsia="Times New Roman" w:hAnsiTheme="majorHAnsi" w:cstheme="majorHAnsi"/>
          <w:sz w:val="24"/>
          <w:szCs w:val="24"/>
          <w:lang w:val="ro-MD"/>
        </w:rPr>
        <w:t>lei</w:t>
      </w:r>
      <w:r w:rsidR="00FE00CB" w:rsidRPr="00CD7FE5">
        <w:rPr>
          <w:rFonts w:asciiTheme="majorHAnsi" w:hAnsiTheme="majorHAnsi" w:cstheme="majorHAnsi"/>
          <w:color w:val="000000"/>
          <w:sz w:val="24"/>
          <w:szCs w:val="24"/>
          <w:lang w:val="ro-MD"/>
        </w:rPr>
        <w:t>.</w:t>
      </w:r>
      <w:r w:rsidR="00E21373" w:rsidRPr="00CD7FE5">
        <w:rPr>
          <w:rFonts w:asciiTheme="majorHAnsi" w:hAnsiTheme="majorHAnsi" w:cstheme="majorHAnsi"/>
          <w:color w:val="000000"/>
          <w:sz w:val="24"/>
          <w:szCs w:val="24"/>
          <w:lang w:val="ro-MD"/>
        </w:rPr>
        <w:t xml:space="preserve"> </w:t>
      </w:r>
    </w:p>
    <w:p w14:paraId="274D20B0" w14:textId="7E71A71C" w:rsidR="00185952" w:rsidRPr="00CD7FE5" w:rsidRDefault="00185952" w:rsidP="00325F1F">
      <w:pPr>
        <w:spacing w:after="0" w:line="276" w:lineRule="auto"/>
        <w:ind w:right="-47" w:firstLine="567"/>
        <w:jc w:val="both"/>
        <w:rPr>
          <w:rFonts w:asciiTheme="majorHAnsi" w:hAnsiTheme="majorHAnsi" w:cstheme="majorHAnsi"/>
          <w:sz w:val="24"/>
          <w:szCs w:val="24"/>
          <w:lang w:val="ro-MD"/>
        </w:rPr>
      </w:pPr>
    </w:p>
    <w:p w14:paraId="704D29E4" w14:textId="20CFA757" w:rsidR="001701DF" w:rsidRPr="00CD7FE5" w:rsidRDefault="00956640" w:rsidP="00325F1F">
      <w:pPr>
        <w:pStyle w:val="Heading1"/>
        <w:spacing w:before="0" w:line="276" w:lineRule="auto"/>
        <w:jc w:val="left"/>
        <w:rPr>
          <w:rFonts w:asciiTheme="majorHAnsi" w:eastAsia="Times New Roman" w:hAnsiTheme="majorHAnsi" w:cstheme="majorHAnsi"/>
          <w:sz w:val="24"/>
          <w:szCs w:val="24"/>
          <w:lang w:val="ro-MD"/>
        </w:rPr>
      </w:pPr>
      <w:bookmarkStart w:id="8" w:name="_Toc529544634"/>
      <w:r w:rsidRPr="00CD7FE5">
        <w:rPr>
          <w:rFonts w:asciiTheme="majorHAnsi" w:eastAsia="Times New Roman" w:hAnsiTheme="majorHAnsi" w:cstheme="majorHAnsi"/>
          <w:sz w:val="24"/>
          <w:szCs w:val="24"/>
          <w:lang w:val="ro-MD"/>
        </w:rPr>
        <w:lastRenderedPageBreak/>
        <w:t>V</w:t>
      </w:r>
      <w:r w:rsidR="001070B9" w:rsidRPr="00CD7FE5">
        <w:rPr>
          <w:rFonts w:asciiTheme="majorHAnsi" w:eastAsia="Times New Roman" w:hAnsiTheme="majorHAnsi" w:cstheme="majorHAnsi"/>
          <w:sz w:val="24"/>
          <w:szCs w:val="24"/>
          <w:lang w:val="ro-MD"/>
        </w:rPr>
        <w:t>I</w:t>
      </w:r>
      <w:r w:rsidRPr="00CD7FE5">
        <w:rPr>
          <w:rFonts w:asciiTheme="majorHAnsi" w:eastAsia="Times New Roman" w:hAnsiTheme="majorHAnsi" w:cstheme="majorHAnsi"/>
          <w:sz w:val="24"/>
          <w:szCs w:val="24"/>
          <w:lang w:val="ro-MD"/>
        </w:rPr>
        <w:t>I</w:t>
      </w:r>
      <w:r w:rsidR="002176D3" w:rsidRPr="00CD7FE5">
        <w:rPr>
          <w:rFonts w:asciiTheme="majorHAnsi" w:eastAsia="Times New Roman" w:hAnsiTheme="majorHAnsi" w:cstheme="majorHAnsi"/>
          <w:sz w:val="24"/>
          <w:szCs w:val="24"/>
          <w:lang w:val="ro-MD"/>
        </w:rPr>
        <w:t xml:space="preserve">. </w:t>
      </w:r>
      <w:r w:rsidR="001701DF" w:rsidRPr="00CD7FE5">
        <w:rPr>
          <w:rFonts w:asciiTheme="majorHAnsi" w:eastAsia="Times New Roman" w:hAnsiTheme="majorHAnsi" w:cstheme="majorHAnsi"/>
          <w:sz w:val="24"/>
          <w:szCs w:val="24"/>
          <w:lang w:val="ro-MD"/>
        </w:rPr>
        <w:t xml:space="preserve">RESPONSABILITĂȚILE CONDUCERII PENTRU </w:t>
      </w:r>
      <w:r w:rsidR="00E1788F" w:rsidRPr="00CD7FE5">
        <w:rPr>
          <w:rFonts w:asciiTheme="majorHAnsi" w:eastAsia="Times New Roman" w:hAnsiTheme="majorHAnsi" w:cstheme="majorHAnsi"/>
          <w:sz w:val="24"/>
          <w:szCs w:val="24"/>
          <w:lang w:val="ro-MD"/>
        </w:rPr>
        <w:t>RAPOARTE</w:t>
      </w:r>
      <w:r w:rsidR="00E45F15" w:rsidRPr="00CD7FE5">
        <w:rPr>
          <w:rFonts w:asciiTheme="majorHAnsi" w:eastAsia="Times New Roman" w:hAnsiTheme="majorHAnsi" w:cstheme="majorHAnsi"/>
          <w:sz w:val="24"/>
          <w:szCs w:val="24"/>
          <w:lang w:val="ro-MD"/>
        </w:rPr>
        <w:t>LE</w:t>
      </w:r>
      <w:r w:rsidR="001701DF" w:rsidRPr="00CD7FE5">
        <w:rPr>
          <w:rFonts w:asciiTheme="majorHAnsi" w:eastAsia="Times New Roman" w:hAnsiTheme="majorHAnsi" w:cstheme="majorHAnsi"/>
          <w:sz w:val="24"/>
          <w:szCs w:val="24"/>
          <w:lang w:val="ro-MD"/>
        </w:rPr>
        <w:t xml:space="preserve"> FINANCIARE</w:t>
      </w:r>
      <w:bookmarkEnd w:id="5"/>
      <w:bookmarkEnd w:id="6"/>
      <w:bookmarkEnd w:id="7"/>
      <w:bookmarkEnd w:id="8"/>
    </w:p>
    <w:p w14:paraId="0C334DDE" w14:textId="230863B7" w:rsidR="008D036D" w:rsidRPr="00CD7FE5" w:rsidRDefault="008D036D" w:rsidP="00325F1F">
      <w:pPr>
        <w:spacing w:after="0" w:line="276" w:lineRule="auto"/>
        <w:jc w:val="both"/>
        <w:rPr>
          <w:rFonts w:asciiTheme="majorHAnsi" w:hAnsiTheme="majorHAnsi" w:cstheme="majorHAnsi"/>
          <w:sz w:val="24"/>
          <w:szCs w:val="24"/>
          <w:lang w:val="ro-MD"/>
        </w:rPr>
      </w:pPr>
      <w:r w:rsidRPr="00CD7FE5">
        <w:rPr>
          <w:rFonts w:asciiTheme="majorHAnsi" w:hAnsiTheme="majorHAnsi" w:cstheme="majorHAnsi"/>
          <w:bCs/>
          <w:sz w:val="24"/>
          <w:szCs w:val="24"/>
          <w:lang w:val="ro-MD"/>
        </w:rPr>
        <w:t>Ministrul</w:t>
      </w:r>
      <w:r w:rsidRPr="00CD7FE5">
        <w:rPr>
          <w:rFonts w:asciiTheme="majorHAnsi" w:hAnsiTheme="majorHAnsi" w:cstheme="majorHAnsi"/>
          <w:sz w:val="24"/>
          <w:szCs w:val="24"/>
          <w:lang w:val="ro-MD"/>
        </w:rPr>
        <w:t xml:space="preserve"> </w:t>
      </w:r>
      <w:r w:rsidRPr="00CD7FE5">
        <w:rPr>
          <w:rFonts w:asciiTheme="majorHAnsi" w:hAnsiTheme="majorHAnsi" w:cstheme="majorHAnsi"/>
          <w:bCs/>
          <w:sz w:val="24"/>
          <w:szCs w:val="24"/>
          <w:lang w:val="ro-MD"/>
        </w:rPr>
        <w:t>educației, culturii și cercetării,</w:t>
      </w:r>
      <w:r w:rsidRPr="00CD7FE5">
        <w:rPr>
          <w:rFonts w:asciiTheme="majorHAnsi" w:hAnsiTheme="majorHAnsi" w:cstheme="majorHAnsi"/>
          <w:sz w:val="24"/>
          <w:szCs w:val="24"/>
          <w:lang w:val="ro-MD"/>
        </w:rPr>
        <w:t xml:space="preserve"> în calitate de conducător al organului central de specialitate al administrației publice, este responsabil de întocmirea și semnarea rapoartelor financiare </w:t>
      </w:r>
      <w:r w:rsidRPr="00CD7FE5">
        <w:rPr>
          <w:rFonts w:asciiTheme="majorHAnsi" w:hAnsiTheme="majorHAnsi" w:cstheme="majorHAnsi"/>
          <w:i/>
          <w:sz w:val="24"/>
          <w:szCs w:val="24"/>
          <w:lang w:val="ro-MD"/>
        </w:rPr>
        <w:t>consolidate</w:t>
      </w:r>
      <w:r w:rsidRPr="00CD7FE5">
        <w:rPr>
          <w:rFonts w:asciiTheme="majorHAnsi" w:hAnsiTheme="majorHAnsi" w:cstheme="majorHAnsi"/>
          <w:sz w:val="24"/>
          <w:szCs w:val="24"/>
          <w:vertAlign w:val="superscript"/>
          <w:lang w:val="ro-MD"/>
        </w:rPr>
        <w:footnoteReference w:id="51"/>
      </w:r>
      <w:r w:rsidRPr="00CD7FE5">
        <w:rPr>
          <w:rFonts w:asciiTheme="majorHAnsi" w:hAnsiTheme="majorHAnsi" w:cstheme="majorHAnsi"/>
          <w:sz w:val="24"/>
          <w:szCs w:val="24"/>
          <w:lang w:val="ro-MD"/>
        </w:rPr>
        <w:t xml:space="preserve"> în conformitate cu cadrul de raportare financiară aplicabil, precum și de organizarea sistemului de control intern</w:t>
      </w:r>
      <w:r w:rsidRPr="00CD7FE5">
        <w:rPr>
          <w:rFonts w:asciiTheme="majorHAnsi" w:hAnsiTheme="majorHAnsi" w:cstheme="majorHAnsi"/>
          <w:sz w:val="24"/>
          <w:szCs w:val="24"/>
          <w:vertAlign w:val="superscript"/>
          <w:lang w:val="ro-MD"/>
        </w:rPr>
        <w:footnoteReference w:id="52"/>
      </w:r>
      <w:r w:rsidRPr="00CD7FE5">
        <w:rPr>
          <w:rFonts w:asciiTheme="majorHAnsi" w:hAnsiTheme="majorHAnsi" w:cstheme="majorHAnsi"/>
          <w:sz w:val="24"/>
          <w:szCs w:val="24"/>
          <w:lang w:val="ro-MD"/>
        </w:rPr>
        <w:t>, 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w:t>
      </w:r>
    </w:p>
    <w:p w14:paraId="13E62A84" w14:textId="77777777" w:rsidR="00430682" w:rsidRPr="00CD7FE5" w:rsidRDefault="00430682" w:rsidP="00325F1F">
      <w:pPr>
        <w:spacing w:after="0" w:line="276" w:lineRule="auto"/>
        <w:jc w:val="both"/>
        <w:rPr>
          <w:rFonts w:asciiTheme="majorHAnsi" w:hAnsiTheme="majorHAnsi" w:cstheme="majorHAnsi"/>
          <w:bCs/>
          <w:sz w:val="24"/>
          <w:szCs w:val="24"/>
          <w:lang w:val="ro-MD"/>
        </w:rPr>
      </w:pPr>
    </w:p>
    <w:p w14:paraId="3200479C" w14:textId="3F17F1CD" w:rsidR="001701DF" w:rsidRPr="00CD7FE5" w:rsidRDefault="001701DF" w:rsidP="00325F1F">
      <w:pPr>
        <w:pStyle w:val="Heading1"/>
        <w:tabs>
          <w:tab w:val="left" w:pos="0"/>
        </w:tabs>
        <w:spacing w:before="0" w:line="276" w:lineRule="auto"/>
        <w:jc w:val="left"/>
        <w:rPr>
          <w:rFonts w:asciiTheme="majorHAnsi" w:hAnsiTheme="majorHAnsi" w:cstheme="majorHAnsi"/>
          <w:sz w:val="24"/>
          <w:szCs w:val="24"/>
          <w:lang w:val="ro-MD"/>
        </w:rPr>
      </w:pPr>
      <w:bookmarkStart w:id="9" w:name="_Toc506212738"/>
      <w:bookmarkStart w:id="10" w:name="_Toc517946648"/>
      <w:bookmarkStart w:id="11" w:name="_Toc519878943"/>
      <w:bookmarkStart w:id="12" w:name="_Toc527989154"/>
      <w:bookmarkStart w:id="13" w:name="_Toc528164111"/>
      <w:bookmarkStart w:id="14" w:name="_Toc529544635"/>
      <w:r w:rsidRPr="00CD7FE5">
        <w:rPr>
          <w:rFonts w:asciiTheme="majorHAnsi" w:hAnsiTheme="majorHAnsi" w:cstheme="majorHAnsi"/>
          <w:sz w:val="24"/>
          <w:szCs w:val="24"/>
          <w:lang w:val="ro-MD"/>
        </w:rPr>
        <w:t>V</w:t>
      </w:r>
      <w:r w:rsidR="00956640" w:rsidRPr="00CD7FE5">
        <w:rPr>
          <w:rFonts w:asciiTheme="majorHAnsi" w:hAnsiTheme="majorHAnsi" w:cstheme="majorHAnsi"/>
          <w:sz w:val="24"/>
          <w:szCs w:val="24"/>
          <w:lang w:val="ro-MD"/>
        </w:rPr>
        <w:t>I</w:t>
      </w:r>
      <w:r w:rsidR="001070B9" w:rsidRPr="00CD7FE5">
        <w:rPr>
          <w:rFonts w:asciiTheme="majorHAnsi" w:hAnsiTheme="majorHAnsi" w:cstheme="majorHAnsi"/>
          <w:sz w:val="24"/>
          <w:szCs w:val="24"/>
          <w:lang w:val="ro-MD"/>
        </w:rPr>
        <w:t>I</w:t>
      </w:r>
      <w:r w:rsidR="00510A39" w:rsidRPr="00CD7FE5">
        <w:rPr>
          <w:rFonts w:asciiTheme="majorHAnsi" w:hAnsiTheme="majorHAnsi" w:cstheme="majorHAnsi"/>
          <w:sz w:val="24"/>
          <w:szCs w:val="24"/>
          <w:lang w:val="ro-MD"/>
        </w:rPr>
        <w:t>I</w:t>
      </w:r>
      <w:r w:rsidRPr="00CD7FE5">
        <w:rPr>
          <w:rFonts w:asciiTheme="majorHAnsi" w:hAnsiTheme="majorHAnsi" w:cstheme="majorHAnsi"/>
          <w:sz w:val="24"/>
          <w:szCs w:val="24"/>
          <w:lang w:val="ro-MD"/>
        </w:rPr>
        <w:t>. RESPONSABILITĂȚILE AUDITORULUI</w:t>
      </w:r>
      <w:bookmarkEnd w:id="9"/>
      <w:bookmarkEnd w:id="10"/>
      <w:r w:rsidRPr="00CD7FE5">
        <w:rPr>
          <w:rFonts w:asciiTheme="majorHAnsi" w:hAnsiTheme="majorHAnsi" w:cstheme="majorHAnsi"/>
          <w:sz w:val="24"/>
          <w:szCs w:val="24"/>
          <w:lang w:val="ro-MD"/>
        </w:rPr>
        <w:t xml:space="preserve"> ÎNTR-UN AUDIT AL </w:t>
      </w:r>
      <w:r w:rsidR="00E1788F" w:rsidRPr="00CD7FE5">
        <w:rPr>
          <w:rFonts w:asciiTheme="majorHAnsi" w:hAnsiTheme="majorHAnsi" w:cstheme="majorHAnsi"/>
          <w:sz w:val="24"/>
          <w:szCs w:val="24"/>
          <w:lang w:val="ro-MD"/>
        </w:rPr>
        <w:t>RAPOARTE</w:t>
      </w:r>
      <w:r w:rsidR="00E45F15" w:rsidRPr="00CD7FE5">
        <w:rPr>
          <w:rFonts w:asciiTheme="majorHAnsi" w:hAnsiTheme="majorHAnsi" w:cstheme="majorHAnsi"/>
          <w:sz w:val="24"/>
          <w:szCs w:val="24"/>
          <w:lang w:val="ro-MD"/>
        </w:rPr>
        <w:t xml:space="preserve">LOR </w:t>
      </w:r>
      <w:r w:rsidRPr="00CD7FE5">
        <w:rPr>
          <w:rFonts w:asciiTheme="majorHAnsi" w:hAnsiTheme="majorHAnsi" w:cstheme="majorHAnsi"/>
          <w:sz w:val="24"/>
          <w:szCs w:val="24"/>
          <w:lang w:val="ro-MD"/>
        </w:rPr>
        <w:t>FINANCIARE</w:t>
      </w:r>
      <w:bookmarkEnd w:id="11"/>
      <w:bookmarkEnd w:id="12"/>
      <w:bookmarkEnd w:id="13"/>
      <w:bookmarkEnd w:id="14"/>
    </w:p>
    <w:p w14:paraId="0D10CAB4" w14:textId="77777777" w:rsidR="008D036D" w:rsidRPr="00CD7FE5" w:rsidRDefault="008D036D" w:rsidP="00325F1F">
      <w:pPr>
        <w:autoSpaceDE w:val="0"/>
        <w:autoSpaceDN w:val="0"/>
        <w:adjustRightInd w:val="0"/>
        <w:spacing w:after="0" w:line="276" w:lineRule="auto"/>
        <w:jc w:val="both"/>
        <w:rPr>
          <w:rFonts w:asciiTheme="majorHAnsi" w:hAnsiTheme="majorHAnsi" w:cstheme="minorHAnsi"/>
          <w:sz w:val="24"/>
          <w:szCs w:val="24"/>
          <w:lang w:val="ro-MD"/>
        </w:rPr>
      </w:pPr>
      <w:r w:rsidRPr="00CD7FE5">
        <w:rPr>
          <w:rFonts w:asciiTheme="majorHAnsi" w:hAnsiTheme="majorHAnsi" w:cstheme="min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583D1289" w14:textId="77777777" w:rsidR="008D036D" w:rsidRPr="00CD7FE5" w:rsidRDefault="008D036D" w:rsidP="00325F1F">
      <w:pPr>
        <w:autoSpaceDE w:val="0"/>
        <w:autoSpaceDN w:val="0"/>
        <w:adjustRightInd w:val="0"/>
        <w:spacing w:after="0" w:line="276" w:lineRule="auto"/>
        <w:jc w:val="both"/>
        <w:rPr>
          <w:rFonts w:asciiTheme="majorHAnsi" w:hAnsiTheme="majorHAnsi" w:cstheme="minorHAnsi"/>
          <w:sz w:val="24"/>
          <w:szCs w:val="24"/>
          <w:lang w:val="ro-MD"/>
        </w:rPr>
      </w:pPr>
      <w:r w:rsidRPr="00CD7FE5">
        <w:rPr>
          <w:rFonts w:asciiTheme="majorHAnsi" w:hAnsiTheme="majorHAnsi" w:cstheme="min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59BA5D4B" w14:textId="31221AA8" w:rsidR="008D036D" w:rsidRPr="00CD7FE5" w:rsidRDefault="008D036D" w:rsidP="00325F1F">
      <w:pPr>
        <w:spacing w:after="0" w:line="276" w:lineRule="auto"/>
        <w:jc w:val="both"/>
        <w:rPr>
          <w:rFonts w:asciiTheme="majorHAnsi" w:hAnsiTheme="majorHAnsi" w:cstheme="minorHAnsi"/>
          <w:sz w:val="24"/>
          <w:szCs w:val="24"/>
          <w:lang w:val="ro-MD"/>
        </w:rPr>
      </w:pPr>
      <w:r w:rsidRPr="00CD7FE5">
        <w:rPr>
          <w:rFonts w:asciiTheme="majorHAnsi" w:hAnsiTheme="majorHAnsi" w:cstheme="minorHAnsi"/>
          <w:sz w:val="24"/>
          <w:szCs w:val="24"/>
          <w:lang w:val="ro-MD"/>
        </w:rPr>
        <w:t xml:space="preserve">O descriere suplimentară a responsabilităților auditorului într-un audit al rapoartelor financiare este plasată pe site-ul Curţii de Conturi, la adresa: </w:t>
      </w:r>
      <w:r w:rsidRPr="00CD7FE5">
        <w:rPr>
          <w:rFonts w:asciiTheme="majorHAnsi" w:hAnsiTheme="majorHAnsi" w:cstheme="majorHAnsi"/>
          <w:i/>
          <w:color w:val="2E74B5" w:themeColor="accent1" w:themeShade="BF"/>
          <w:sz w:val="24"/>
          <w:szCs w:val="24"/>
          <w:u w:val="single"/>
          <w:lang w:val="ro-MD"/>
        </w:rPr>
        <w:t>http://www.ccrm.md/activitatea-curtii-de-conturi-1-25</w:t>
      </w:r>
      <w:r w:rsidRPr="00CD7FE5">
        <w:rPr>
          <w:rFonts w:asciiTheme="majorHAnsi" w:hAnsiTheme="majorHAnsi" w:cstheme="majorHAnsi"/>
          <w:i/>
          <w:sz w:val="24"/>
          <w:szCs w:val="24"/>
          <w:lang w:val="ro-MD"/>
        </w:rPr>
        <w:t>.</w:t>
      </w:r>
      <w:r w:rsidRPr="00CD7FE5">
        <w:rPr>
          <w:rFonts w:asciiTheme="majorHAnsi" w:hAnsiTheme="majorHAnsi" w:cstheme="minorHAnsi"/>
          <w:sz w:val="24"/>
          <w:szCs w:val="24"/>
          <w:lang w:val="ro-MD"/>
        </w:rPr>
        <w:t xml:space="preserve"> Această descriere face parte din </w:t>
      </w:r>
      <w:r w:rsidR="004D0E4A" w:rsidRPr="00CD7FE5">
        <w:rPr>
          <w:rFonts w:asciiTheme="majorHAnsi" w:hAnsiTheme="majorHAnsi" w:cstheme="minorHAnsi"/>
          <w:sz w:val="24"/>
          <w:szCs w:val="24"/>
          <w:lang w:val="ro-MD"/>
        </w:rPr>
        <w:t>R</w:t>
      </w:r>
      <w:r w:rsidRPr="00CD7FE5">
        <w:rPr>
          <w:rFonts w:asciiTheme="majorHAnsi" w:hAnsiTheme="majorHAnsi" w:cstheme="minorHAnsi"/>
          <w:sz w:val="24"/>
          <w:szCs w:val="24"/>
          <w:lang w:val="ro-MD"/>
        </w:rPr>
        <w:t>aportul nostru de audit.</w:t>
      </w:r>
    </w:p>
    <w:p w14:paraId="3CBADC36" w14:textId="77777777" w:rsidR="00A467AC" w:rsidRPr="00CD7FE5" w:rsidRDefault="00A467AC" w:rsidP="00325F1F">
      <w:pPr>
        <w:pStyle w:val="NormalWeb"/>
        <w:spacing w:line="276" w:lineRule="auto"/>
        <w:ind w:firstLine="0"/>
        <w:rPr>
          <w:rFonts w:asciiTheme="majorHAnsi" w:hAnsiTheme="majorHAnsi" w:cstheme="majorHAnsi"/>
          <w:i/>
          <w:iCs/>
          <w:sz w:val="20"/>
          <w:szCs w:val="20"/>
          <w:lang w:val="ro-MD"/>
        </w:rPr>
      </w:pPr>
    </w:p>
    <w:p w14:paraId="6261C9A0" w14:textId="549930BC" w:rsidR="00F73536" w:rsidRPr="00CD7FE5" w:rsidRDefault="00F73536" w:rsidP="00323D5F">
      <w:pPr>
        <w:pStyle w:val="NormalWeb"/>
        <w:spacing w:line="276" w:lineRule="auto"/>
        <w:ind w:firstLine="0"/>
        <w:rPr>
          <w:rFonts w:asciiTheme="majorHAnsi" w:hAnsiTheme="majorHAnsi" w:cstheme="majorHAnsi"/>
          <w:i/>
          <w:iCs/>
          <w:sz w:val="20"/>
          <w:szCs w:val="20"/>
          <w:lang w:val="ro-MD"/>
        </w:rPr>
      </w:pPr>
      <w:r w:rsidRPr="00970BD4">
        <w:rPr>
          <w:rFonts w:asciiTheme="majorHAnsi" w:hAnsiTheme="majorHAnsi" w:cstheme="majorHAnsi"/>
          <w:b/>
          <w:i/>
          <w:iCs/>
          <w:sz w:val="20"/>
          <w:szCs w:val="20"/>
          <w:lang w:val="ro-MD"/>
        </w:rPr>
        <w:t>Notă:</w:t>
      </w:r>
      <w:r w:rsidRPr="00CD7FE5">
        <w:rPr>
          <w:rFonts w:asciiTheme="majorHAnsi" w:hAnsiTheme="majorHAnsi" w:cstheme="majorHAnsi"/>
          <w:i/>
          <w:iCs/>
          <w:sz w:val="20"/>
          <w:szCs w:val="20"/>
          <w:lang w:val="ro-MD"/>
        </w:rPr>
        <w:t xml:space="preserve"> Prezentul Raport de audit a fost întocmit în baza probelor acumulate de către echipa de audit, în următoarea componență: auditorii publici principali</w:t>
      </w:r>
      <w:r w:rsidR="00A26A1A">
        <w:rPr>
          <w:rFonts w:asciiTheme="majorHAnsi" w:hAnsiTheme="majorHAnsi" w:cstheme="majorHAnsi"/>
          <w:i/>
          <w:iCs/>
          <w:sz w:val="20"/>
          <w:szCs w:val="20"/>
          <w:lang w:val="ro-MD"/>
        </w:rPr>
        <w:t xml:space="preserve"> -</w:t>
      </w:r>
      <w:r w:rsidRPr="00CD7FE5">
        <w:rPr>
          <w:rFonts w:asciiTheme="majorHAnsi" w:hAnsiTheme="majorHAnsi" w:cstheme="majorHAnsi"/>
          <w:i/>
          <w:iCs/>
          <w:sz w:val="20"/>
          <w:szCs w:val="20"/>
          <w:lang w:val="ro-MD"/>
        </w:rPr>
        <w:t xml:space="preserve"> </w:t>
      </w:r>
      <w:r w:rsidR="00323D5F" w:rsidRPr="00CD7FE5">
        <w:rPr>
          <w:rFonts w:asciiTheme="majorHAnsi" w:hAnsiTheme="majorHAnsi" w:cstheme="majorHAnsi"/>
          <w:i/>
          <w:iCs/>
          <w:sz w:val="20"/>
          <w:szCs w:val="20"/>
          <w:lang w:val="ro-MD"/>
        </w:rPr>
        <w:t>Ana</w:t>
      </w:r>
      <w:r w:rsidRPr="00CD7FE5">
        <w:rPr>
          <w:rFonts w:asciiTheme="majorHAnsi" w:hAnsiTheme="majorHAnsi" w:cstheme="majorHAnsi"/>
          <w:i/>
          <w:iCs/>
          <w:sz w:val="20"/>
          <w:szCs w:val="20"/>
          <w:lang w:val="ro-MD"/>
        </w:rPr>
        <w:t xml:space="preserve"> </w:t>
      </w:r>
      <w:r w:rsidR="00323D5F" w:rsidRPr="00CD7FE5">
        <w:rPr>
          <w:rFonts w:asciiTheme="majorHAnsi" w:hAnsiTheme="majorHAnsi" w:cstheme="majorHAnsi"/>
          <w:i/>
          <w:iCs/>
          <w:sz w:val="20"/>
          <w:szCs w:val="20"/>
          <w:lang w:val="ro-MD"/>
        </w:rPr>
        <w:t>DIACONU</w:t>
      </w:r>
      <w:r w:rsidRPr="00CD7FE5">
        <w:rPr>
          <w:rFonts w:asciiTheme="majorHAnsi" w:hAnsiTheme="majorHAnsi" w:cstheme="majorHAnsi"/>
          <w:i/>
          <w:iCs/>
          <w:sz w:val="20"/>
          <w:szCs w:val="20"/>
          <w:lang w:val="ro-MD"/>
        </w:rPr>
        <w:t xml:space="preserve">, </w:t>
      </w:r>
      <w:r w:rsidR="00323D5F" w:rsidRPr="00CD7FE5">
        <w:rPr>
          <w:rFonts w:asciiTheme="majorHAnsi" w:hAnsiTheme="majorHAnsi" w:cstheme="majorHAnsi"/>
          <w:i/>
          <w:iCs/>
          <w:sz w:val="20"/>
          <w:szCs w:val="20"/>
          <w:lang w:val="ro-MD"/>
        </w:rPr>
        <w:t xml:space="preserve">Alla LEAȘOC, </w:t>
      </w:r>
      <w:r w:rsidRPr="00CD7FE5">
        <w:rPr>
          <w:rFonts w:asciiTheme="majorHAnsi" w:hAnsiTheme="majorHAnsi" w:cstheme="majorHAnsi"/>
          <w:i/>
          <w:iCs/>
          <w:sz w:val="20"/>
          <w:szCs w:val="20"/>
          <w:lang w:val="ro-MD"/>
        </w:rPr>
        <w:t>Dorin CIUBOTARU</w:t>
      </w:r>
      <w:r w:rsidR="00A467AC" w:rsidRPr="00CD7FE5">
        <w:rPr>
          <w:rFonts w:asciiTheme="majorHAnsi" w:hAnsiTheme="majorHAnsi" w:cstheme="majorHAnsi"/>
          <w:i/>
          <w:iCs/>
          <w:sz w:val="20"/>
          <w:szCs w:val="20"/>
          <w:lang w:val="ro-MD"/>
        </w:rPr>
        <w:t>, Tatiana UNGUREANU</w:t>
      </w:r>
      <w:r w:rsidRPr="00CD7FE5">
        <w:rPr>
          <w:rFonts w:asciiTheme="majorHAnsi" w:hAnsiTheme="majorHAnsi" w:cstheme="majorHAnsi"/>
          <w:i/>
          <w:iCs/>
          <w:sz w:val="20"/>
          <w:szCs w:val="20"/>
          <w:lang w:val="ro-MD"/>
        </w:rPr>
        <w:t>; auditor</w:t>
      </w:r>
      <w:r w:rsidR="00A26A1A">
        <w:rPr>
          <w:rFonts w:asciiTheme="majorHAnsi" w:hAnsiTheme="majorHAnsi" w:cstheme="majorHAnsi"/>
          <w:i/>
          <w:iCs/>
          <w:sz w:val="20"/>
          <w:szCs w:val="20"/>
          <w:lang w:val="ro-MD"/>
        </w:rPr>
        <w:t>ul</w:t>
      </w:r>
      <w:r w:rsidRPr="00CD7FE5">
        <w:rPr>
          <w:rFonts w:asciiTheme="majorHAnsi" w:hAnsiTheme="majorHAnsi" w:cstheme="majorHAnsi"/>
          <w:i/>
          <w:iCs/>
          <w:sz w:val="20"/>
          <w:szCs w:val="20"/>
          <w:lang w:val="ro-MD"/>
        </w:rPr>
        <w:t xml:space="preserve"> public superior</w:t>
      </w:r>
      <w:r w:rsidR="00A26A1A">
        <w:rPr>
          <w:rFonts w:asciiTheme="majorHAnsi" w:hAnsiTheme="majorHAnsi" w:cstheme="majorHAnsi"/>
          <w:i/>
          <w:iCs/>
          <w:sz w:val="20"/>
          <w:szCs w:val="20"/>
          <w:lang w:val="ro-MD"/>
        </w:rPr>
        <w:t xml:space="preserve">, </w:t>
      </w:r>
      <w:r w:rsidR="00323D5F" w:rsidRPr="00CD7FE5">
        <w:rPr>
          <w:rFonts w:asciiTheme="majorHAnsi" w:hAnsiTheme="majorHAnsi" w:cstheme="majorHAnsi"/>
          <w:i/>
          <w:iCs/>
          <w:sz w:val="20"/>
          <w:szCs w:val="20"/>
          <w:lang w:val="ro-MD"/>
        </w:rPr>
        <w:t>Igor CĂLUGĂREANU</w:t>
      </w:r>
      <w:r w:rsidRPr="00CD7FE5">
        <w:rPr>
          <w:rFonts w:asciiTheme="majorHAnsi" w:hAnsiTheme="majorHAnsi" w:cstheme="majorHAnsi"/>
          <w:i/>
          <w:iCs/>
          <w:sz w:val="20"/>
          <w:szCs w:val="20"/>
          <w:lang w:val="ro-MD"/>
        </w:rPr>
        <w:t>; auditor</w:t>
      </w:r>
      <w:r w:rsidR="00A26A1A">
        <w:rPr>
          <w:rFonts w:asciiTheme="majorHAnsi" w:hAnsiTheme="majorHAnsi" w:cstheme="majorHAnsi"/>
          <w:i/>
          <w:iCs/>
          <w:sz w:val="20"/>
          <w:szCs w:val="20"/>
          <w:lang w:val="ro-MD"/>
        </w:rPr>
        <w:t>ul</w:t>
      </w:r>
      <w:r w:rsidRPr="00CD7FE5">
        <w:rPr>
          <w:rFonts w:asciiTheme="majorHAnsi" w:hAnsiTheme="majorHAnsi" w:cstheme="majorHAnsi"/>
          <w:i/>
          <w:iCs/>
          <w:sz w:val="20"/>
          <w:szCs w:val="20"/>
          <w:lang w:val="ro-MD"/>
        </w:rPr>
        <w:t xml:space="preserve"> public</w:t>
      </w:r>
      <w:r w:rsidR="00A26A1A">
        <w:rPr>
          <w:rFonts w:asciiTheme="majorHAnsi" w:hAnsiTheme="majorHAnsi" w:cstheme="majorHAnsi"/>
          <w:i/>
          <w:iCs/>
          <w:sz w:val="20"/>
          <w:szCs w:val="20"/>
          <w:lang w:val="ro-MD"/>
        </w:rPr>
        <w:t>,</w:t>
      </w:r>
      <w:r w:rsidRPr="00CD7FE5">
        <w:rPr>
          <w:rFonts w:asciiTheme="majorHAnsi" w:hAnsiTheme="majorHAnsi" w:cstheme="majorHAnsi"/>
          <w:i/>
          <w:iCs/>
          <w:sz w:val="20"/>
          <w:szCs w:val="20"/>
          <w:lang w:val="ro-MD"/>
        </w:rPr>
        <w:t xml:space="preserve"> Sergiu MÎȚĂ.</w:t>
      </w:r>
    </w:p>
    <w:p w14:paraId="5C80E2DA" w14:textId="77777777" w:rsidR="00F73536" w:rsidRPr="00CD7FE5" w:rsidRDefault="00F73536" w:rsidP="00325F1F">
      <w:pPr>
        <w:pStyle w:val="ListParagraph"/>
        <w:spacing w:line="276" w:lineRule="auto"/>
        <w:ind w:left="0" w:firstLine="720"/>
        <w:contextualSpacing w:val="0"/>
        <w:rPr>
          <w:rFonts w:asciiTheme="majorHAnsi" w:hAnsiTheme="majorHAnsi" w:cstheme="majorHAnsi"/>
          <w:b/>
          <w:bCs/>
          <w:i/>
          <w:sz w:val="24"/>
          <w:szCs w:val="24"/>
          <w:lang w:val="ro-MD"/>
        </w:rPr>
      </w:pPr>
    </w:p>
    <w:p w14:paraId="578BBC55" w14:textId="77777777" w:rsidR="00F73536" w:rsidRPr="00CD7FE5" w:rsidRDefault="00F73536" w:rsidP="00325F1F">
      <w:pPr>
        <w:spacing w:after="0" w:line="276" w:lineRule="auto"/>
        <w:jc w:val="both"/>
        <w:rPr>
          <w:rFonts w:asciiTheme="majorHAnsi" w:eastAsia="Times New Roman" w:hAnsiTheme="majorHAnsi" w:cs="Times New Roman"/>
          <w:b/>
          <w:i/>
          <w:sz w:val="24"/>
          <w:szCs w:val="24"/>
          <w:lang w:val="ro-MD" w:eastAsia="ro-MD"/>
        </w:rPr>
      </w:pPr>
      <w:r w:rsidRPr="00CD7FE5">
        <w:rPr>
          <w:rFonts w:asciiTheme="majorHAnsi" w:eastAsia="Times New Roman" w:hAnsiTheme="majorHAnsi" w:cs="Times New Roman"/>
          <w:b/>
          <w:i/>
          <w:sz w:val="24"/>
          <w:szCs w:val="24"/>
          <w:lang w:val="ro-MD" w:eastAsia="ro-MD"/>
        </w:rPr>
        <w:t>Responsabili de întocmirea Raportului de audit:</w:t>
      </w:r>
    </w:p>
    <w:p w14:paraId="26C4DB60" w14:textId="13EF8CE2" w:rsidR="00F73536" w:rsidRPr="00CD7FE5" w:rsidRDefault="003149BF" w:rsidP="00325F1F">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w:t>
      </w:r>
      <w:r w:rsidR="00F73536" w:rsidRPr="00CD7FE5">
        <w:rPr>
          <w:rFonts w:asciiTheme="majorHAnsi" w:eastAsia="Times New Roman" w:hAnsiTheme="majorHAnsi" w:cs="Times New Roman"/>
          <w:sz w:val="24"/>
          <w:szCs w:val="24"/>
          <w:lang w:val="ro-MD" w:eastAsia="ro-MD"/>
        </w:rPr>
        <w:t>eful echipei de audit,</w:t>
      </w:r>
    </w:p>
    <w:p w14:paraId="6920CB30" w14:textId="0145BF51" w:rsidR="00F73536" w:rsidRPr="00CD7FE5" w:rsidRDefault="003149BF" w:rsidP="007C21CB">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w:t>
      </w:r>
      <w:r w:rsidR="00F73536" w:rsidRPr="00CD7FE5">
        <w:rPr>
          <w:rFonts w:asciiTheme="majorHAnsi" w:eastAsia="Times New Roman" w:hAnsiTheme="majorHAnsi" w:cs="Times New Roman"/>
          <w:sz w:val="24"/>
          <w:szCs w:val="24"/>
          <w:lang w:val="ro-MD" w:eastAsia="ro-MD"/>
        </w:rPr>
        <w:t>ef</w:t>
      </w:r>
      <w:r>
        <w:rPr>
          <w:rFonts w:asciiTheme="majorHAnsi" w:eastAsia="Times New Roman" w:hAnsiTheme="majorHAnsi" w:cs="Times New Roman"/>
          <w:sz w:val="24"/>
          <w:szCs w:val="24"/>
          <w:lang w:val="ro-MD" w:eastAsia="ro-MD"/>
        </w:rPr>
        <w:t>ul</w:t>
      </w:r>
      <w:r w:rsidR="00F73536" w:rsidRPr="00CD7FE5">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D</w:t>
      </w:r>
      <w:r w:rsidR="00F73536" w:rsidRPr="00CD7FE5">
        <w:rPr>
          <w:rFonts w:asciiTheme="majorHAnsi" w:eastAsia="Times New Roman" w:hAnsiTheme="majorHAnsi" w:cs="Times New Roman"/>
          <w:sz w:val="24"/>
          <w:szCs w:val="24"/>
          <w:lang w:val="ro-MD" w:eastAsia="ro-MD"/>
        </w:rPr>
        <w:t>irecți</w:t>
      </w:r>
      <w:r>
        <w:rPr>
          <w:rFonts w:asciiTheme="majorHAnsi" w:eastAsia="Times New Roman" w:hAnsiTheme="majorHAnsi" w:cs="Times New Roman"/>
          <w:sz w:val="24"/>
          <w:szCs w:val="24"/>
          <w:lang w:val="ro-MD" w:eastAsia="ro-MD"/>
        </w:rPr>
        <w:t>ei</w:t>
      </w:r>
      <w:r w:rsidR="00F73536" w:rsidRPr="00CD7FE5">
        <w:rPr>
          <w:rFonts w:asciiTheme="majorHAnsi" w:eastAsia="Times New Roman" w:hAnsiTheme="majorHAnsi" w:cs="Times New Roman"/>
          <w:sz w:val="24"/>
          <w:szCs w:val="24"/>
          <w:lang w:val="ro-MD" w:eastAsia="ro-MD"/>
        </w:rPr>
        <w:t xml:space="preserve"> audit I din cadrul </w:t>
      </w:r>
    </w:p>
    <w:p w14:paraId="38551461" w14:textId="77777777" w:rsidR="00EA0E9C" w:rsidRDefault="00F73536" w:rsidP="00F16FC1">
      <w:pPr>
        <w:spacing w:after="0" w:line="276" w:lineRule="auto"/>
        <w:jc w:val="both"/>
        <w:rPr>
          <w:rFonts w:asciiTheme="majorHAnsi" w:hAnsiTheme="majorHAnsi" w:cs="Times New Roman"/>
          <w:sz w:val="24"/>
          <w:szCs w:val="24"/>
          <w:lang w:val="ro-MD"/>
        </w:rPr>
      </w:pPr>
      <w:r w:rsidRPr="00CD7FE5">
        <w:rPr>
          <w:rFonts w:asciiTheme="majorHAnsi" w:hAnsiTheme="majorHAnsi" w:cs="Times New Roman"/>
          <w:sz w:val="24"/>
          <w:szCs w:val="24"/>
          <w:lang w:val="ro-MD"/>
        </w:rPr>
        <w:t>Direcției generale de audit V</w:t>
      </w:r>
      <w:r w:rsidRPr="00CD7FE5">
        <w:rPr>
          <w:rFonts w:asciiTheme="majorHAnsi" w:hAnsiTheme="majorHAnsi" w:cs="Times New Roman"/>
          <w:sz w:val="24"/>
          <w:szCs w:val="24"/>
          <w:lang w:val="ro-MD"/>
        </w:rPr>
        <w:tab/>
      </w:r>
      <w:r w:rsidRPr="00CD7FE5">
        <w:rPr>
          <w:rFonts w:asciiTheme="majorHAnsi" w:hAnsiTheme="majorHAnsi" w:cs="Times New Roman"/>
          <w:sz w:val="24"/>
          <w:szCs w:val="24"/>
          <w:lang w:val="ro-MD"/>
        </w:rPr>
        <w:tab/>
      </w:r>
      <w:r w:rsidR="00F16FC1" w:rsidRPr="00CD7FE5">
        <w:rPr>
          <w:rFonts w:asciiTheme="majorHAnsi" w:hAnsiTheme="majorHAnsi" w:cs="Times New Roman"/>
          <w:sz w:val="24"/>
          <w:szCs w:val="24"/>
          <w:lang w:val="ro-MD"/>
        </w:rPr>
        <w:t xml:space="preserve">                        </w:t>
      </w:r>
    </w:p>
    <w:p w14:paraId="2A1FDE0F" w14:textId="288CB052" w:rsidR="00F73536" w:rsidRPr="00CD7FE5" w:rsidRDefault="007C21CB" w:rsidP="00F16FC1">
      <w:pPr>
        <w:spacing w:after="0" w:line="276" w:lineRule="auto"/>
        <w:jc w:val="both"/>
        <w:rPr>
          <w:rFonts w:asciiTheme="majorHAnsi" w:eastAsia="Times New Roman" w:hAnsiTheme="majorHAnsi" w:cs="Times New Roman"/>
          <w:sz w:val="24"/>
          <w:szCs w:val="24"/>
          <w:lang w:val="ro-MD" w:eastAsia="ro-MD"/>
        </w:rPr>
      </w:pPr>
      <w:r w:rsidRPr="00CD7FE5">
        <w:rPr>
          <w:rFonts w:asciiTheme="majorHAnsi" w:hAnsiTheme="majorHAnsi" w:cs="Times New Roman"/>
          <w:sz w:val="24"/>
          <w:szCs w:val="24"/>
          <w:lang w:val="ro-MD"/>
        </w:rPr>
        <w:t>Nadejda</w:t>
      </w:r>
      <w:r w:rsidR="00F73536" w:rsidRPr="00CD7FE5">
        <w:rPr>
          <w:rFonts w:asciiTheme="majorHAnsi" w:hAnsiTheme="majorHAnsi" w:cs="Times New Roman"/>
          <w:sz w:val="24"/>
          <w:szCs w:val="24"/>
          <w:lang w:val="ro-MD"/>
        </w:rPr>
        <w:t xml:space="preserve"> </w:t>
      </w:r>
      <w:r w:rsidRPr="00CD7FE5">
        <w:rPr>
          <w:rFonts w:asciiTheme="majorHAnsi" w:hAnsiTheme="majorHAnsi" w:cs="Times New Roman"/>
          <w:b/>
          <w:sz w:val="24"/>
          <w:szCs w:val="24"/>
          <w:lang w:val="ro-MD"/>
        </w:rPr>
        <w:t>IONIȚĂ</w:t>
      </w:r>
      <w:r w:rsidR="00F73536" w:rsidRPr="00CD7FE5">
        <w:rPr>
          <w:rFonts w:asciiTheme="majorHAnsi" w:hAnsiTheme="majorHAnsi" w:cs="Times New Roman"/>
          <w:sz w:val="24"/>
          <w:szCs w:val="24"/>
          <w:lang w:val="ro-MD"/>
        </w:rPr>
        <w:t xml:space="preserve"> </w:t>
      </w:r>
    </w:p>
    <w:p w14:paraId="3D515D8A" w14:textId="77777777" w:rsidR="000A0E2D" w:rsidRPr="00CD7FE5" w:rsidRDefault="000A0E2D" w:rsidP="00325F1F">
      <w:pPr>
        <w:tabs>
          <w:tab w:val="left" w:pos="7513"/>
        </w:tabs>
        <w:spacing w:after="0" w:line="276" w:lineRule="auto"/>
        <w:rPr>
          <w:rFonts w:asciiTheme="majorHAnsi" w:eastAsia="Times New Roman" w:hAnsiTheme="majorHAnsi" w:cstheme="majorHAnsi"/>
          <w:b/>
          <w:i/>
          <w:iCs/>
          <w:sz w:val="24"/>
          <w:szCs w:val="24"/>
          <w:lang w:val="ro-MD"/>
        </w:rPr>
      </w:pPr>
    </w:p>
    <w:p w14:paraId="2396B553" w14:textId="0ADC37B2" w:rsidR="00F73536" w:rsidRPr="00CD7FE5" w:rsidRDefault="00F73536" w:rsidP="00325F1F">
      <w:pPr>
        <w:tabs>
          <w:tab w:val="left" w:pos="7513"/>
        </w:tabs>
        <w:spacing w:after="0" w:line="276" w:lineRule="auto"/>
        <w:rPr>
          <w:rFonts w:asciiTheme="majorHAnsi" w:eastAsia="Times New Roman" w:hAnsiTheme="majorHAnsi" w:cstheme="majorHAnsi"/>
          <w:b/>
          <w:i/>
          <w:iCs/>
          <w:sz w:val="24"/>
          <w:szCs w:val="24"/>
          <w:lang w:val="ro-MD"/>
        </w:rPr>
      </w:pPr>
      <w:r w:rsidRPr="00CD7FE5">
        <w:rPr>
          <w:rFonts w:asciiTheme="majorHAnsi" w:eastAsia="Times New Roman" w:hAnsiTheme="majorHAnsi" w:cstheme="majorHAnsi"/>
          <w:b/>
          <w:i/>
          <w:iCs/>
          <w:sz w:val="24"/>
          <w:szCs w:val="24"/>
          <w:lang w:val="ro-MD"/>
        </w:rPr>
        <w:t xml:space="preserve">Responsabil de monitorizarea și asigurarea calității auditului: </w:t>
      </w:r>
    </w:p>
    <w:p w14:paraId="52920777" w14:textId="77777777" w:rsidR="00EA0E9C" w:rsidRDefault="003149BF" w:rsidP="00325F1F">
      <w:pPr>
        <w:tabs>
          <w:tab w:val="left" w:pos="7513"/>
        </w:tabs>
        <w:spacing w:after="0" w:line="276" w:lineRule="auto"/>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ș</w:t>
      </w:r>
      <w:r w:rsidR="00F73536" w:rsidRPr="00CD7FE5">
        <w:rPr>
          <w:rFonts w:asciiTheme="majorHAnsi" w:eastAsia="Times New Roman" w:hAnsiTheme="majorHAnsi" w:cstheme="majorHAnsi"/>
          <w:bCs/>
          <w:sz w:val="24"/>
          <w:szCs w:val="24"/>
          <w:lang w:val="ro-MD"/>
        </w:rPr>
        <w:t>eful Direcției generale de audit V</w:t>
      </w:r>
      <w:r w:rsidR="00414134" w:rsidRPr="00CD7FE5">
        <w:rPr>
          <w:rFonts w:asciiTheme="majorHAnsi" w:eastAsia="Times New Roman" w:hAnsiTheme="majorHAnsi" w:cstheme="majorHAnsi"/>
          <w:bCs/>
          <w:sz w:val="24"/>
          <w:szCs w:val="24"/>
          <w:lang w:val="ro-MD"/>
        </w:rPr>
        <w:t xml:space="preserve">                             </w:t>
      </w:r>
    </w:p>
    <w:p w14:paraId="67B6FCC1" w14:textId="07D00665" w:rsidR="00F73536" w:rsidRPr="00CD7FE5" w:rsidRDefault="00F73536" w:rsidP="00325F1F">
      <w:pPr>
        <w:tabs>
          <w:tab w:val="left" w:pos="7513"/>
        </w:tabs>
        <w:spacing w:after="0" w:line="276" w:lineRule="auto"/>
        <w:rPr>
          <w:rFonts w:asciiTheme="majorHAnsi" w:eastAsia="Times New Roman" w:hAnsiTheme="majorHAnsi" w:cstheme="majorHAnsi"/>
          <w:b/>
          <w:bCs/>
          <w:iCs/>
          <w:sz w:val="24"/>
          <w:szCs w:val="24"/>
          <w:lang w:val="ro-MD"/>
        </w:rPr>
      </w:pPr>
      <w:r w:rsidRPr="00CD7FE5">
        <w:rPr>
          <w:rFonts w:asciiTheme="majorHAnsi" w:eastAsia="Times New Roman" w:hAnsiTheme="majorHAnsi" w:cstheme="majorHAnsi"/>
          <w:bCs/>
          <w:iCs/>
          <w:sz w:val="24"/>
          <w:szCs w:val="24"/>
          <w:lang w:val="ro-MD"/>
        </w:rPr>
        <w:t xml:space="preserve">Sergiu </w:t>
      </w:r>
      <w:r w:rsidRPr="00CD7FE5">
        <w:rPr>
          <w:rFonts w:asciiTheme="majorHAnsi" w:eastAsia="Times New Roman" w:hAnsiTheme="majorHAnsi" w:cstheme="majorHAnsi"/>
          <w:b/>
          <w:bCs/>
          <w:iCs/>
          <w:sz w:val="24"/>
          <w:szCs w:val="24"/>
          <w:lang w:val="ro-MD"/>
        </w:rPr>
        <w:t>ȘTIRBU</w:t>
      </w:r>
    </w:p>
    <w:sectPr w:rsidR="00F73536" w:rsidRPr="00CD7FE5" w:rsidSect="005450A0">
      <w:pgSz w:w="11906" w:h="16838" w:code="9"/>
      <w:pgMar w:top="900" w:right="850" w:bottom="1134" w:left="1701" w:header="72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A910" w14:textId="77777777" w:rsidR="00583451" w:rsidRDefault="00583451" w:rsidP="00627652">
      <w:pPr>
        <w:spacing w:after="0" w:line="240" w:lineRule="auto"/>
      </w:pPr>
      <w:r>
        <w:separator/>
      </w:r>
    </w:p>
  </w:endnote>
  <w:endnote w:type="continuationSeparator" w:id="0">
    <w:p w14:paraId="7467163D" w14:textId="77777777" w:rsidR="00583451" w:rsidRDefault="00583451" w:rsidP="0062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0139"/>
      <w:docPartObj>
        <w:docPartGallery w:val="Page Numbers (Bottom of Page)"/>
        <w:docPartUnique/>
      </w:docPartObj>
    </w:sdtPr>
    <w:sdtEndPr>
      <w:rPr>
        <w:noProof/>
        <w:sz w:val="20"/>
      </w:rPr>
    </w:sdtEndPr>
    <w:sdtContent>
      <w:p w14:paraId="00413151" w14:textId="065135DF" w:rsidR="00970BD4" w:rsidRPr="004C443F" w:rsidRDefault="00970BD4">
        <w:pPr>
          <w:pStyle w:val="Footer"/>
          <w:jc w:val="right"/>
          <w:rPr>
            <w:sz w:val="20"/>
          </w:rPr>
        </w:pPr>
        <w:r w:rsidRPr="004C443F">
          <w:rPr>
            <w:sz w:val="20"/>
          </w:rPr>
          <w:fldChar w:fldCharType="begin"/>
        </w:r>
        <w:r w:rsidRPr="004C443F">
          <w:rPr>
            <w:sz w:val="20"/>
          </w:rPr>
          <w:instrText xml:space="preserve"> PAGE   \* MERGEFORMAT </w:instrText>
        </w:r>
        <w:r w:rsidRPr="004C443F">
          <w:rPr>
            <w:sz w:val="20"/>
          </w:rPr>
          <w:fldChar w:fldCharType="separate"/>
        </w:r>
        <w:r w:rsidR="00C33ECB">
          <w:rPr>
            <w:noProof/>
            <w:sz w:val="20"/>
          </w:rPr>
          <w:t>15</w:t>
        </w:r>
        <w:r w:rsidRPr="004C443F">
          <w:rPr>
            <w:noProof/>
            <w:sz w:val="20"/>
          </w:rPr>
          <w:fldChar w:fldCharType="end"/>
        </w:r>
      </w:p>
    </w:sdtContent>
  </w:sdt>
  <w:p w14:paraId="600DA493" w14:textId="77777777" w:rsidR="00970BD4" w:rsidRDefault="0097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45242" w14:textId="77777777" w:rsidR="00583451" w:rsidRDefault="00583451" w:rsidP="00627652">
      <w:pPr>
        <w:spacing w:after="0" w:line="240" w:lineRule="auto"/>
      </w:pPr>
      <w:r>
        <w:separator/>
      </w:r>
    </w:p>
  </w:footnote>
  <w:footnote w:type="continuationSeparator" w:id="0">
    <w:p w14:paraId="66042FA1" w14:textId="77777777" w:rsidR="00583451" w:rsidRDefault="00583451" w:rsidP="00627652">
      <w:pPr>
        <w:spacing w:after="0" w:line="240" w:lineRule="auto"/>
      </w:pPr>
      <w:r>
        <w:continuationSeparator/>
      </w:r>
    </w:p>
  </w:footnote>
  <w:footnote w:id="1">
    <w:p w14:paraId="34945296" w14:textId="11D56D42" w:rsidR="00970BD4" w:rsidRPr="00C2186E" w:rsidRDefault="00970BD4" w:rsidP="00D540D7">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Legea contabilității nr.</w:t>
      </w:r>
      <w:r w:rsidRPr="00C2186E">
        <w:rPr>
          <w:rFonts w:asciiTheme="majorHAnsi" w:eastAsia="Times New Roman" w:hAnsiTheme="majorHAnsi" w:cstheme="majorHAnsi"/>
          <w:sz w:val="16"/>
          <w:szCs w:val="16"/>
          <w:lang w:val="ro-MD"/>
        </w:rPr>
        <w:t>113-XVI din 27.04.2007;</w:t>
      </w:r>
      <w:r w:rsidRPr="00C2186E">
        <w:rPr>
          <w:rFonts w:asciiTheme="majorHAnsi" w:hAnsiTheme="majorHAnsi" w:cstheme="majorHAnsi"/>
          <w:sz w:val="16"/>
          <w:szCs w:val="16"/>
          <w:lang w:val="ro-MD"/>
        </w:rPr>
        <w:t xml:space="preserve"> </w:t>
      </w:r>
      <w:r w:rsidRPr="00C2186E">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finanțelor nr.216 din 28.12.2015; </w:t>
      </w:r>
      <w:r w:rsidR="007D2B65" w:rsidRPr="009F4A4B">
        <w:rPr>
          <w:rFonts w:asciiTheme="majorHAnsi" w:eastAsia="Times New Roman" w:hAnsiTheme="majorHAnsi" w:cstheme="majorHAnsi"/>
          <w:sz w:val="16"/>
          <w:szCs w:val="16"/>
          <w:lang w:val="ro-MD"/>
        </w:rPr>
        <w:t>Ordinul ministrului finanțelor nr.16</w:t>
      </w:r>
      <w:r w:rsidR="007D2B65">
        <w:rPr>
          <w:rFonts w:asciiTheme="majorHAnsi" w:eastAsia="Times New Roman" w:hAnsiTheme="majorHAnsi" w:cstheme="majorHAnsi"/>
          <w:sz w:val="16"/>
          <w:szCs w:val="16"/>
          <w:lang w:val="ro-MD"/>
        </w:rPr>
        <w:t>8</w:t>
      </w:r>
      <w:r w:rsidR="007D2B65" w:rsidRPr="009F4A4B">
        <w:rPr>
          <w:rFonts w:asciiTheme="majorHAnsi" w:eastAsia="Times New Roman" w:hAnsiTheme="majorHAnsi" w:cstheme="majorHAnsi"/>
          <w:sz w:val="16"/>
          <w:szCs w:val="16"/>
          <w:lang w:val="ro-MD"/>
        </w:rPr>
        <w:t xml:space="preserve"> din </w:t>
      </w:r>
      <w:r w:rsidR="007D2B65">
        <w:rPr>
          <w:rFonts w:asciiTheme="majorHAnsi" w:eastAsia="Times New Roman" w:hAnsiTheme="majorHAnsi" w:cstheme="majorHAnsi"/>
          <w:sz w:val="16"/>
          <w:szCs w:val="16"/>
          <w:lang w:val="ro-MD"/>
        </w:rPr>
        <w:t>23</w:t>
      </w:r>
      <w:r w:rsidR="007D2B65" w:rsidRPr="009F4A4B">
        <w:rPr>
          <w:rFonts w:asciiTheme="majorHAnsi" w:eastAsia="Times New Roman" w:hAnsiTheme="majorHAnsi" w:cstheme="majorHAnsi"/>
          <w:sz w:val="16"/>
          <w:szCs w:val="16"/>
          <w:lang w:val="ro-MD"/>
        </w:rPr>
        <w:t>.12.20</w:t>
      </w:r>
      <w:r w:rsidR="007D2B65">
        <w:rPr>
          <w:rFonts w:asciiTheme="majorHAnsi" w:eastAsia="Times New Roman" w:hAnsiTheme="majorHAnsi" w:cstheme="majorHAnsi"/>
          <w:sz w:val="16"/>
          <w:szCs w:val="16"/>
          <w:lang w:val="ro-MD"/>
        </w:rPr>
        <w:t>20</w:t>
      </w:r>
      <w:r w:rsidR="007D2B65" w:rsidRPr="009F4A4B">
        <w:rPr>
          <w:rFonts w:asciiTheme="majorHAnsi" w:eastAsia="Times New Roman" w:hAnsiTheme="majorHAnsi" w:cstheme="majorHAnsi"/>
          <w:sz w:val="16"/>
          <w:szCs w:val="16"/>
          <w:lang w:val="ro-MD"/>
        </w:rPr>
        <w:t xml:space="preserve"> „Cu privire la aprobarea termenelor de prezentare a rapoartelor financiare pe</w:t>
      </w:r>
      <w:r w:rsidR="007D2B65">
        <w:rPr>
          <w:rFonts w:asciiTheme="majorHAnsi" w:eastAsia="Times New Roman" w:hAnsiTheme="majorHAnsi" w:cstheme="majorHAnsi"/>
          <w:sz w:val="16"/>
          <w:szCs w:val="16"/>
          <w:lang w:val="ro-MD"/>
        </w:rPr>
        <w:t>ntru</w:t>
      </w:r>
      <w:r w:rsidR="007D2B65" w:rsidRPr="009F4A4B">
        <w:rPr>
          <w:rFonts w:asciiTheme="majorHAnsi" w:eastAsia="Times New Roman" w:hAnsiTheme="majorHAnsi" w:cstheme="majorHAnsi"/>
          <w:sz w:val="16"/>
          <w:szCs w:val="16"/>
          <w:lang w:val="ro-MD"/>
        </w:rPr>
        <w:t xml:space="preserve"> anul 20</w:t>
      </w:r>
      <w:r w:rsidR="007D2B65">
        <w:rPr>
          <w:rFonts w:asciiTheme="majorHAnsi" w:eastAsia="Times New Roman" w:hAnsiTheme="majorHAnsi" w:cstheme="majorHAnsi"/>
          <w:sz w:val="16"/>
          <w:szCs w:val="16"/>
          <w:lang w:val="ro-MD"/>
        </w:rPr>
        <w:t>20</w:t>
      </w:r>
      <w:r w:rsidR="007D2B65" w:rsidRPr="009F4A4B">
        <w:rPr>
          <w:rFonts w:asciiTheme="majorHAnsi" w:eastAsia="Times New Roman" w:hAnsiTheme="majorHAnsi" w:cstheme="majorHAnsi"/>
          <w:sz w:val="16"/>
          <w:szCs w:val="16"/>
          <w:lang w:val="ro-MD"/>
        </w:rPr>
        <w:t xml:space="preserve">”; </w:t>
      </w:r>
      <w:r w:rsidRPr="00C2186E">
        <w:rPr>
          <w:rFonts w:asciiTheme="majorHAnsi" w:eastAsia="Times New Roman" w:hAnsiTheme="majorHAnsi" w:cstheme="majorHAnsi"/>
          <w:sz w:val="16"/>
          <w:szCs w:val="16"/>
          <w:lang w:val="ro-MD"/>
        </w:rPr>
        <w:t xml:space="preserve"> Ordinul ministrului finanțelor nr.164 din 30.12.2016 „Cu privire la aprobarea Cerințelor la întocmirea Raportului narativ privind executarea bugetelor autorităților/instituțiilor bugetare”.</w:t>
      </w:r>
    </w:p>
  </w:footnote>
  <w:footnote w:id="2">
    <w:p w14:paraId="77A35132" w14:textId="55F46C82" w:rsidR="00970BD4" w:rsidRPr="00C2186E" w:rsidRDefault="00970BD4" w:rsidP="005B1EFA">
      <w:pPr>
        <w:spacing w:after="0" w:line="240" w:lineRule="auto"/>
        <w:jc w:val="both"/>
        <w:rPr>
          <w:rFonts w:asciiTheme="majorHAnsi" w:eastAsia="Calibri" w:hAnsiTheme="majorHAnsi" w:cstheme="majorHAnsi"/>
          <w: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Institutul Național de Cercetări Economice (imobil privatizat în anul 2009</w:t>
      </w:r>
      <w:r>
        <w:rPr>
          <w:rFonts w:asciiTheme="majorHAnsi" w:hAnsiTheme="majorHAnsi" w:cstheme="majorHAnsi"/>
          <w:sz w:val="16"/>
          <w:szCs w:val="16"/>
          <w:lang w:val="ro-MD"/>
        </w:rPr>
        <w:t xml:space="preserve"> - </w:t>
      </w:r>
      <w:r w:rsidRPr="00C2186E">
        <w:rPr>
          <w:rFonts w:asciiTheme="majorHAnsi" w:hAnsiTheme="majorHAnsi" w:cstheme="majorHAnsi"/>
          <w:sz w:val="16"/>
          <w:szCs w:val="16"/>
          <w:lang w:val="ro-MD"/>
        </w:rPr>
        <w:t xml:space="preserve">1618,7 mii lei); </w:t>
      </w:r>
      <w:r w:rsidRPr="005B1EFA">
        <w:rPr>
          <w:rFonts w:asciiTheme="majorHAnsi" w:hAnsiTheme="majorHAnsi" w:cstheme="majorHAnsi"/>
          <w:sz w:val="16"/>
          <w:szCs w:val="16"/>
          <w:lang w:val="ro-MD"/>
        </w:rPr>
        <w:t>Școala republicană de</w:t>
      </w:r>
      <w:r w:rsidRPr="00C2186E">
        <w:rPr>
          <w:rFonts w:asciiTheme="majorHAnsi" w:hAnsiTheme="majorHAnsi" w:cstheme="majorHAnsi"/>
          <w:sz w:val="16"/>
          <w:szCs w:val="16"/>
          <w:lang w:val="ro-MD"/>
        </w:rPr>
        <w:t xml:space="preserve"> Hipism și Pentatlon Modern (20 apartamente – 2898,4 mii lei).</w:t>
      </w:r>
    </w:p>
  </w:footnote>
  <w:footnote w:id="3">
    <w:p w14:paraId="009DE73F" w14:textId="2D4B694F" w:rsidR="00970BD4" w:rsidRPr="008C5B67" w:rsidRDefault="00970BD4">
      <w:pPr>
        <w:pStyle w:val="FootnoteText"/>
        <w:rPr>
          <w:rFonts w:asciiTheme="majorHAnsi" w:hAnsiTheme="majorHAnsi" w:cstheme="majorHAnsi"/>
          <w:sz w:val="16"/>
          <w:szCs w:val="16"/>
          <w:lang w:val="ro-MD"/>
        </w:rPr>
      </w:pPr>
      <w:r w:rsidRPr="00254B7A">
        <w:rPr>
          <w:rStyle w:val="FootnoteReference"/>
          <w:rFonts w:asciiTheme="majorHAnsi" w:hAnsiTheme="majorHAnsi" w:cstheme="majorHAnsi"/>
          <w:sz w:val="16"/>
          <w:szCs w:val="16"/>
        </w:rPr>
        <w:footnoteRef/>
      </w:r>
      <w:r w:rsidRPr="00254B7A">
        <w:rPr>
          <w:rFonts w:asciiTheme="majorHAnsi" w:hAnsiTheme="majorHAnsi" w:cstheme="majorHAnsi"/>
          <w:sz w:val="16"/>
          <w:szCs w:val="16"/>
        </w:rPr>
        <w:t xml:space="preserve"> </w:t>
      </w:r>
      <w:r w:rsidRPr="008C5B67">
        <w:rPr>
          <w:rFonts w:asciiTheme="majorHAnsi" w:hAnsiTheme="majorHAnsi" w:cstheme="majorHAnsi"/>
          <w:sz w:val="16"/>
          <w:szCs w:val="16"/>
          <w:lang w:val="ro-MD"/>
        </w:rPr>
        <w:t>Neexcluderea acțiunilor de tezaur nedepuse în capitalul social al S</w:t>
      </w:r>
      <w:r>
        <w:rPr>
          <w:rFonts w:asciiTheme="majorHAnsi" w:hAnsiTheme="majorHAnsi" w:cstheme="majorHAnsi"/>
          <w:sz w:val="16"/>
          <w:szCs w:val="16"/>
          <w:lang w:val="ro-MD"/>
        </w:rPr>
        <w:t>.</w:t>
      </w:r>
      <w:r w:rsidRPr="008C5B67">
        <w:rPr>
          <w:rFonts w:asciiTheme="majorHAnsi" w:hAnsiTheme="majorHAnsi" w:cstheme="majorHAnsi"/>
          <w:sz w:val="16"/>
          <w:szCs w:val="16"/>
          <w:lang w:val="ro-MD"/>
        </w:rPr>
        <w:t>A</w:t>
      </w:r>
      <w:r>
        <w:rPr>
          <w:rFonts w:asciiTheme="majorHAnsi" w:hAnsiTheme="majorHAnsi" w:cstheme="majorHAnsi"/>
          <w:sz w:val="16"/>
          <w:szCs w:val="16"/>
          <w:lang w:val="ro-MD"/>
        </w:rPr>
        <w:t>.</w:t>
      </w:r>
      <w:r w:rsidRPr="008C5B67">
        <w:rPr>
          <w:rFonts w:asciiTheme="majorHAnsi" w:hAnsiTheme="majorHAnsi" w:cstheme="majorHAnsi"/>
          <w:sz w:val="16"/>
          <w:szCs w:val="16"/>
          <w:lang w:val="ro-MD"/>
        </w:rPr>
        <w:t xml:space="preserve"> „Circul din Chișinău” (11,64 mil.lei) și neexcluder</w:t>
      </w:r>
      <w:r>
        <w:rPr>
          <w:rFonts w:asciiTheme="majorHAnsi" w:hAnsiTheme="majorHAnsi" w:cstheme="majorHAnsi"/>
          <w:sz w:val="16"/>
          <w:szCs w:val="16"/>
          <w:lang w:val="ro-MD"/>
        </w:rPr>
        <w:t>ea</w:t>
      </w:r>
      <w:r w:rsidRPr="008C5B67">
        <w:rPr>
          <w:rFonts w:asciiTheme="majorHAnsi" w:hAnsiTheme="majorHAnsi" w:cstheme="majorHAnsi"/>
          <w:sz w:val="16"/>
          <w:szCs w:val="16"/>
          <w:lang w:val="ro-MD"/>
        </w:rPr>
        <w:t xml:space="preserve"> valorii studiilor achitate în avans</w:t>
      </w:r>
      <w:r>
        <w:rPr>
          <w:rFonts w:asciiTheme="majorHAnsi" w:hAnsiTheme="majorHAnsi" w:cstheme="majorHAnsi"/>
          <w:sz w:val="16"/>
          <w:szCs w:val="16"/>
          <w:lang w:val="ro-MD"/>
        </w:rPr>
        <w:t>,</w:t>
      </w:r>
      <w:r w:rsidRPr="008C5B67">
        <w:rPr>
          <w:rFonts w:asciiTheme="majorHAnsi" w:hAnsiTheme="majorHAnsi" w:cstheme="majorHAnsi"/>
          <w:sz w:val="16"/>
          <w:szCs w:val="16"/>
          <w:lang w:val="ro-MD"/>
        </w:rPr>
        <w:t xml:space="preserve"> acordate în </w:t>
      </w:r>
      <w:r>
        <w:rPr>
          <w:rFonts w:asciiTheme="majorHAnsi" w:hAnsiTheme="majorHAnsi" w:cstheme="majorHAnsi"/>
          <w:sz w:val="16"/>
          <w:szCs w:val="16"/>
          <w:lang w:val="ro-MD"/>
        </w:rPr>
        <w:t xml:space="preserve">anul </w:t>
      </w:r>
      <w:r w:rsidRPr="008C5B67">
        <w:rPr>
          <w:rFonts w:asciiTheme="majorHAnsi" w:hAnsiTheme="majorHAnsi" w:cstheme="majorHAnsi"/>
          <w:sz w:val="16"/>
          <w:szCs w:val="16"/>
          <w:lang w:val="ro-MD"/>
        </w:rPr>
        <w:t>2012</w:t>
      </w:r>
      <w:r>
        <w:rPr>
          <w:rFonts w:asciiTheme="majorHAnsi" w:hAnsiTheme="majorHAnsi" w:cstheme="majorHAnsi"/>
          <w:sz w:val="16"/>
          <w:szCs w:val="16"/>
          <w:lang w:val="ro-MD"/>
        </w:rPr>
        <w:t>,</w:t>
      </w:r>
      <w:r w:rsidRPr="008C5B67">
        <w:rPr>
          <w:rFonts w:asciiTheme="majorHAnsi" w:hAnsiTheme="majorHAnsi" w:cstheme="majorHAnsi"/>
          <w:sz w:val="16"/>
          <w:szCs w:val="16"/>
          <w:lang w:val="ro-MD"/>
        </w:rPr>
        <w:t xml:space="preserve"> depuse în capitalul social al Institutului de Relații Internaționale din Moldova (0,58 mil.lei).</w:t>
      </w:r>
    </w:p>
  </w:footnote>
  <w:footnote w:id="4">
    <w:p w14:paraId="623BD165" w14:textId="491042FF" w:rsidR="00970BD4" w:rsidRPr="008C5B67" w:rsidRDefault="00970BD4" w:rsidP="008C5B67">
      <w:pPr>
        <w:pStyle w:val="FootnoteText"/>
        <w:jc w:val="both"/>
        <w:rPr>
          <w:rFonts w:asciiTheme="majorHAnsi" w:hAnsiTheme="majorHAnsi" w:cstheme="majorHAnsi"/>
          <w:sz w:val="16"/>
          <w:szCs w:val="16"/>
          <w:lang w:val="ro-MD"/>
        </w:rPr>
      </w:pPr>
      <w:r w:rsidRPr="008C5B67">
        <w:rPr>
          <w:rStyle w:val="FootnoteReference"/>
          <w:rFonts w:asciiTheme="majorHAnsi" w:hAnsiTheme="majorHAnsi" w:cstheme="majorHAnsi"/>
          <w:sz w:val="16"/>
          <w:szCs w:val="16"/>
          <w:lang w:val="ro-MD"/>
        </w:rPr>
        <w:footnoteRef/>
      </w:r>
      <w:r w:rsidRPr="008C5B67">
        <w:rPr>
          <w:rFonts w:asciiTheme="majorHAnsi" w:hAnsiTheme="majorHAnsi" w:cstheme="majorHAnsi"/>
          <w:sz w:val="16"/>
          <w:szCs w:val="16"/>
          <w:lang w:val="ro-MD"/>
        </w:rPr>
        <w:t xml:space="preserve"> Cu majorarea </w:t>
      </w:r>
      <w:r>
        <w:rPr>
          <w:rFonts w:asciiTheme="majorHAnsi" w:hAnsiTheme="majorHAnsi" w:cstheme="majorHAnsi"/>
          <w:sz w:val="16"/>
          <w:szCs w:val="16"/>
          <w:lang w:val="ro-MD"/>
        </w:rPr>
        <w:t xml:space="preserve">valorii </w:t>
      </w:r>
      <w:r w:rsidRPr="008C5B67">
        <w:rPr>
          <w:rFonts w:asciiTheme="majorHAnsi" w:hAnsiTheme="majorHAnsi" w:cstheme="majorHAnsi"/>
          <w:sz w:val="16"/>
          <w:szCs w:val="16"/>
          <w:lang w:val="ro-MD"/>
        </w:rPr>
        <w:t xml:space="preserve">contului „Alte creanțe ale instituțiilor bugetare” (6,56 mil.lei), diminuarea </w:t>
      </w:r>
      <w:r>
        <w:rPr>
          <w:rFonts w:asciiTheme="majorHAnsi" w:hAnsiTheme="majorHAnsi" w:cstheme="majorHAnsi"/>
          <w:sz w:val="16"/>
          <w:szCs w:val="16"/>
          <w:lang w:val="ro-MD"/>
        </w:rPr>
        <w:t xml:space="preserve">valorii </w:t>
      </w:r>
      <w:r w:rsidRPr="008C5B67">
        <w:rPr>
          <w:rFonts w:asciiTheme="majorHAnsi" w:hAnsiTheme="majorHAnsi" w:cstheme="majorHAnsi"/>
          <w:sz w:val="16"/>
          <w:szCs w:val="16"/>
          <w:lang w:val="ro-MD"/>
        </w:rPr>
        <w:t xml:space="preserve">contului „Corectarea rezultatelor anilor precedenți ale instituțiilor bugetare” (19,85 mil.lei), majorarea </w:t>
      </w:r>
      <w:r>
        <w:rPr>
          <w:rFonts w:asciiTheme="majorHAnsi" w:hAnsiTheme="majorHAnsi" w:cstheme="majorHAnsi"/>
          <w:sz w:val="16"/>
          <w:szCs w:val="16"/>
          <w:lang w:val="ro-MD"/>
        </w:rPr>
        <w:t xml:space="preserve">valorii </w:t>
      </w:r>
      <w:r w:rsidRPr="008C5B67">
        <w:rPr>
          <w:rFonts w:asciiTheme="majorHAnsi" w:hAnsiTheme="majorHAnsi" w:cstheme="majorHAnsi"/>
          <w:sz w:val="16"/>
          <w:szCs w:val="16"/>
          <w:lang w:val="ro-MD"/>
        </w:rPr>
        <w:t xml:space="preserve">contului „Comanda de stat” (1,02 mil.lei). </w:t>
      </w:r>
    </w:p>
  </w:footnote>
  <w:footnote w:id="5">
    <w:p w14:paraId="5A20714B" w14:textId="11D973C2" w:rsidR="00970BD4" w:rsidRPr="00B54F8D" w:rsidRDefault="00970BD4" w:rsidP="00F94C73">
      <w:pPr>
        <w:pStyle w:val="FootnoteText"/>
        <w:jc w:val="both"/>
        <w:rPr>
          <w:rFonts w:asciiTheme="majorHAnsi" w:hAnsiTheme="majorHAnsi" w:cstheme="majorHAnsi"/>
          <w:sz w:val="16"/>
          <w:szCs w:val="16"/>
          <w:lang w:val="ro-RO"/>
        </w:rPr>
      </w:pPr>
      <w:r w:rsidRPr="00B54F8D">
        <w:rPr>
          <w:rStyle w:val="FootnoteReference"/>
          <w:rFonts w:asciiTheme="majorHAnsi" w:hAnsiTheme="majorHAnsi" w:cstheme="majorHAnsi"/>
          <w:sz w:val="16"/>
          <w:szCs w:val="16"/>
        </w:rPr>
        <w:footnoteRef/>
      </w:r>
      <w:r w:rsidRPr="005B1EFA">
        <w:rPr>
          <w:rFonts w:asciiTheme="majorHAnsi" w:hAnsiTheme="majorHAnsi" w:cstheme="majorHAnsi"/>
          <w:sz w:val="16"/>
          <w:szCs w:val="16"/>
          <w:lang w:val="ro-MD"/>
        </w:rPr>
        <w:t xml:space="preserve"> </w:t>
      </w:r>
      <w:r w:rsidRPr="00B54F8D">
        <w:rPr>
          <w:rFonts w:asciiTheme="majorHAnsi" w:hAnsiTheme="majorHAnsi" w:cstheme="majorHAnsi"/>
          <w:sz w:val="16"/>
          <w:szCs w:val="16"/>
          <w:lang w:val="ro-MD"/>
        </w:rPr>
        <w:t>1109 clădiri și construcții cu valoarea inițială de circa 5278,15 mil.lei și uzura acestora de 1441,89 mil.lei</w:t>
      </w:r>
      <w:r>
        <w:rPr>
          <w:rFonts w:asciiTheme="majorHAnsi" w:hAnsiTheme="majorHAnsi" w:cstheme="majorHAnsi"/>
          <w:sz w:val="16"/>
          <w:szCs w:val="16"/>
          <w:lang w:val="ro-MD"/>
        </w:rPr>
        <w:t xml:space="preserve">, precum și </w:t>
      </w:r>
      <w:r w:rsidRPr="003E1BCC">
        <w:rPr>
          <w:rFonts w:asciiTheme="majorHAnsi" w:hAnsiTheme="majorHAnsi" w:cstheme="majorHAnsi"/>
          <w:sz w:val="16"/>
          <w:szCs w:val="16"/>
          <w:lang w:val="ro-MD"/>
        </w:rPr>
        <w:t>310 terenuri cu suprafața de 2260,62 ha (1819,8 mil.lei)</w:t>
      </w:r>
      <w:r>
        <w:rPr>
          <w:rFonts w:asciiTheme="majorHAnsi" w:hAnsiTheme="majorHAnsi" w:cstheme="majorHAnsi"/>
          <w:sz w:val="16"/>
          <w:szCs w:val="16"/>
          <w:lang w:val="ro-MD"/>
        </w:rPr>
        <w:t xml:space="preserve">, dintre care clădiri și terenuri cu valoarea de </w:t>
      </w:r>
      <w:r w:rsidR="002F6E4E" w:rsidRPr="002F6E4E">
        <w:rPr>
          <w:rFonts w:asciiTheme="majorHAnsi" w:hAnsiTheme="majorHAnsi" w:cstheme="majorHAnsi"/>
          <w:sz w:val="16"/>
          <w:szCs w:val="16"/>
          <w:lang w:val="ro-MD"/>
        </w:rPr>
        <w:t>1778,42</w:t>
      </w:r>
      <w:r w:rsidR="002F6E4E">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mil.lei sunt înregistrate </w:t>
      </w:r>
      <w:r w:rsidR="007D2B65">
        <w:rPr>
          <w:rFonts w:asciiTheme="majorHAnsi" w:hAnsiTheme="majorHAnsi" w:cstheme="majorHAnsi"/>
          <w:sz w:val="16"/>
          <w:szCs w:val="16"/>
          <w:lang w:val="ro-MD"/>
        </w:rPr>
        <w:t xml:space="preserve">sintetic </w:t>
      </w:r>
      <w:r>
        <w:rPr>
          <w:rFonts w:asciiTheme="majorHAnsi" w:hAnsiTheme="majorHAnsi" w:cstheme="majorHAnsi"/>
          <w:sz w:val="16"/>
          <w:szCs w:val="16"/>
          <w:lang w:val="ro-MD"/>
        </w:rPr>
        <w:t>de MECC la contul 415.</w:t>
      </w:r>
    </w:p>
  </w:footnote>
  <w:footnote w:id="6">
    <w:p w14:paraId="30459EEB" w14:textId="48F222BF" w:rsidR="00970BD4" w:rsidRPr="008C5B67" w:rsidRDefault="00970BD4" w:rsidP="009E70F5">
      <w:pPr>
        <w:pStyle w:val="FootnoteText"/>
        <w:jc w:val="both"/>
        <w:rPr>
          <w:rFonts w:asciiTheme="majorHAnsi" w:hAnsiTheme="majorHAnsi" w:cstheme="majorHAnsi"/>
          <w:sz w:val="16"/>
          <w:szCs w:val="16"/>
          <w:lang w:val="ro-MD"/>
        </w:rPr>
      </w:pPr>
      <w:r w:rsidRPr="005B1EFA">
        <w:rPr>
          <w:rStyle w:val="FootnoteReference"/>
          <w:rFonts w:asciiTheme="majorHAnsi" w:hAnsiTheme="majorHAnsi" w:cstheme="majorHAnsi"/>
          <w:sz w:val="16"/>
          <w:szCs w:val="16"/>
          <w:lang w:val="ro-MD"/>
        </w:rPr>
        <w:footnoteRef/>
      </w:r>
      <w:r w:rsidRPr="005B1EFA">
        <w:rPr>
          <w:rFonts w:asciiTheme="majorHAnsi" w:hAnsiTheme="majorHAnsi" w:cstheme="majorHAnsi"/>
          <w:sz w:val="16"/>
          <w:szCs w:val="16"/>
          <w:lang w:val="ro-MD"/>
        </w:rPr>
        <w:t xml:space="preserve"> APL s. Cobani, Glodeni: școala – 2145,0 mii lei; APL or. Strășeni, grădinița de copii – 1600,7 mii lei; APL s. Răcești, Șoldănești – 2246,2 mii lei; APL s. Ruseștii Noi, Ialoveni – 1808,9 mii lei; APL s. Andrușul de Sus, Cahul – 484,5 mii lei; APL s. Cerlina, Soroca – 254,8 mii lei; APL s. Delacău, Anenii Noi – 5944,7 mii lei.</w:t>
      </w:r>
    </w:p>
  </w:footnote>
  <w:footnote w:id="7">
    <w:p w14:paraId="79EE79AE" w14:textId="6EF99C03" w:rsidR="00970BD4" w:rsidRPr="008C5B67" w:rsidRDefault="00970BD4" w:rsidP="009E70F5">
      <w:pPr>
        <w:pStyle w:val="FootnoteText"/>
        <w:jc w:val="both"/>
        <w:rPr>
          <w:rFonts w:asciiTheme="majorHAnsi" w:hAnsiTheme="majorHAnsi" w:cstheme="majorHAnsi"/>
          <w:sz w:val="16"/>
          <w:szCs w:val="16"/>
          <w:lang w:val="ro-MD"/>
        </w:rPr>
      </w:pPr>
      <w:r w:rsidRPr="008C5B67">
        <w:rPr>
          <w:rStyle w:val="FootnoteReference"/>
          <w:rFonts w:asciiTheme="majorHAnsi" w:hAnsiTheme="majorHAnsi" w:cstheme="majorHAnsi"/>
          <w:sz w:val="16"/>
          <w:szCs w:val="16"/>
          <w:lang w:val="ro-MD"/>
        </w:rPr>
        <w:footnoteRef/>
      </w:r>
      <w:r w:rsidRPr="008C5B67">
        <w:rPr>
          <w:rFonts w:asciiTheme="majorHAnsi" w:hAnsiTheme="majorHAnsi" w:cstheme="majorHAnsi"/>
          <w:sz w:val="16"/>
          <w:szCs w:val="16"/>
          <w:lang w:val="ro-MD"/>
        </w:rPr>
        <w:t xml:space="preserve"> APL or. Râșcani: grădinița de copii – 3355,4 mii lei,</w:t>
      </w:r>
      <w:r>
        <w:rPr>
          <w:rFonts w:asciiTheme="majorHAnsi" w:hAnsiTheme="majorHAnsi" w:cstheme="majorHAnsi"/>
          <w:sz w:val="16"/>
          <w:szCs w:val="16"/>
          <w:lang w:val="ro-MD"/>
        </w:rPr>
        <w:t xml:space="preserve"> </w:t>
      </w:r>
      <w:r w:rsidRPr="008C5B67">
        <w:rPr>
          <w:rFonts w:asciiTheme="majorHAnsi" w:hAnsiTheme="majorHAnsi" w:cstheme="majorHAnsi"/>
          <w:sz w:val="16"/>
          <w:szCs w:val="16"/>
          <w:lang w:val="ro-MD"/>
        </w:rPr>
        <w:t>școala – 6493,8 mii lei; APL Sireți, r-nul Strășeni: școala – 5622,0 mii lei.</w:t>
      </w:r>
    </w:p>
  </w:footnote>
  <w:footnote w:id="8">
    <w:p w14:paraId="1A33B94A" w14:textId="77DD67D0" w:rsidR="00970BD4" w:rsidRPr="008C5B67" w:rsidRDefault="00970BD4" w:rsidP="00323E6C">
      <w:pPr>
        <w:pStyle w:val="FootnoteText"/>
        <w:rPr>
          <w:rFonts w:asciiTheme="majorHAnsi" w:hAnsiTheme="majorHAnsi" w:cstheme="majorHAnsi"/>
          <w:sz w:val="16"/>
          <w:szCs w:val="16"/>
          <w:lang w:val="ro-MD"/>
        </w:rPr>
      </w:pPr>
      <w:r w:rsidRPr="008C5B67">
        <w:rPr>
          <w:rStyle w:val="FootnoteReference"/>
          <w:rFonts w:asciiTheme="majorHAnsi" w:hAnsiTheme="majorHAnsi" w:cstheme="majorHAnsi"/>
          <w:sz w:val="16"/>
          <w:szCs w:val="16"/>
          <w:lang w:val="ro-MD"/>
        </w:rPr>
        <w:footnoteRef/>
      </w:r>
      <w:r w:rsidRPr="008C5B67">
        <w:rPr>
          <w:rFonts w:asciiTheme="majorHAnsi" w:hAnsiTheme="majorHAnsi" w:cstheme="majorHAnsi"/>
          <w:sz w:val="16"/>
          <w:szCs w:val="16"/>
          <w:lang w:val="ro-MD"/>
        </w:rPr>
        <w:t xml:space="preserve"> Complexul Monastic „Căpriana” – 87,8 mil.lei</w:t>
      </w:r>
      <w:r>
        <w:rPr>
          <w:rFonts w:asciiTheme="majorHAnsi" w:hAnsiTheme="majorHAnsi" w:cstheme="majorHAnsi"/>
          <w:sz w:val="16"/>
          <w:szCs w:val="16"/>
          <w:lang w:val="ro-MD"/>
        </w:rPr>
        <w:t>;</w:t>
      </w:r>
      <w:r w:rsidRPr="008C5B67">
        <w:rPr>
          <w:rFonts w:asciiTheme="majorHAnsi" w:hAnsiTheme="majorHAnsi" w:cstheme="majorHAnsi"/>
          <w:sz w:val="16"/>
          <w:szCs w:val="16"/>
          <w:lang w:val="ro-MD"/>
        </w:rPr>
        <w:t xml:space="preserve"> Complexul Monastic „Curchi” – 92,5 mil.lei.</w:t>
      </w:r>
    </w:p>
  </w:footnote>
  <w:footnote w:id="9">
    <w:p w14:paraId="4D5809D9" w14:textId="03E4A049" w:rsidR="00970BD4" w:rsidRPr="00C2186E" w:rsidRDefault="00970BD4" w:rsidP="00323E6C">
      <w:pPr>
        <w:pStyle w:val="FootnoteText"/>
        <w:jc w:val="both"/>
        <w:rPr>
          <w:rFonts w:asciiTheme="majorHAnsi" w:hAnsiTheme="majorHAnsi" w:cstheme="majorHAnsi"/>
          <w:sz w:val="16"/>
          <w:szCs w:val="16"/>
          <w:lang w:val="ro-MD"/>
        </w:rPr>
      </w:pPr>
      <w:r w:rsidRPr="00106461">
        <w:rPr>
          <w:rStyle w:val="FootnoteReference"/>
          <w:rFonts w:asciiTheme="majorHAnsi" w:hAnsiTheme="majorHAnsi" w:cstheme="majorHAnsi"/>
          <w:sz w:val="16"/>
          <w:szCs w:val="16"/>
          <w:lang w:val="ro-MD"/>
        </w:rPr>
        <w:footnoteRef/>
      </w:r>
      <w:r w:rsidRPr="00106461">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106461">
        <w:rPr>
          <w:rFonts w:asciiTheme="majorHAnsi" w:hAnsiTheme="majorHAnsi" w:cstheme="majorHAnsi"/>
          <w:sz w:val="16"/>
          <w:szCs w:val="16"/>
          <w:lang w:val="ro-MD"/>
        </w:rPr>
        <w:t>H</w:t>
      </w:r>
      <w:r w:rsidRPr="005B1EFA">
        <w:rPr>
          <w:rFonts w:asciiTheme="majorHAnsi" w:hAnsiTheme="majorHAnsi" w:cstheme="majorHAnsi"/>
          <w:sz w:val="16"/>
          <w:szCs w:val="16"/>
          <w:lang w:val="ro-MD"/>
        </w:rPr>
        <w:t xml:space="preserve">otărârea </w:t>
      </w:r>
      <w:r w:rsidRPr="00106461">
        <w:rPr>
          <w:rFonts w:asciiTheme="majorHAnsi" w:hAnsiTheme="majorHAnsi" w:cstheme="majorHAnsi"/>
          <w:sz w:val="16"/>
          <w:szCs w:val="16"/>
          <w:lang w:val="ro-MD"/>
        </w:rPr>
        <w:t>G</w:t>
      </w:r>
      <w:r>
        <w:rPr>
          <w:rFonts w:asciiTheme="majorHAnsi" w:hAnsiTheme="majorHAnsi" w:cstheme="majorHAnsi"/>
          <w:sz w:val="16"/>
          <w:szCs w:val="16"/>
          <w:lang w:val="ro-MD"/>
        </w:rPr>
        <w:t xml:space="preserve">uvernului </w:t>
      </w:r>
      <w:r w:rsidRPr="00106461">
        <w:rPr>
          <w:rFonts w:asciiTheme="majorHAnsi" w:hAnsiTheme="majorHAnsi" w:cstheme="majorHAnsi"/>
          <w:sz w:val="16"/>
          <w:szCs w:val="16"/>
          <w:lang w:val="ro-MD"/>
        </w:rPr>
        <w:t xml:space="preserve"> nr.7</w:t>
      </w:r>
      <w:r w:rsidRPr="00C2186E">
        <w:rPr>
          <w:rFonts w:asciiTheme="majorHAnsi" w:hAnsiTheme="majorHAnsi" w:cstheme="majorHAnsi"/>
          <w:sz w:val="16"/>
          <w:szCs w:val="16"/>
          <w:lang w:val="ro-MD"/>
        </w:rPr>
        <w:t xml:space="preserve">40 din 11.06.2002 „Cu privire la edificiile </w:t>
      </w:r>
      <w:r w:rsidRPr="00FD01EC">
        <w:rPr>
          <w:rFonts w:asciiTheme="majorHAnsi" w:hAnsiTheme="majorHAnsi" w:cstheme="majorHAnsi"/>
          <w:sz w:val="16"/>
          <w:szCs w:val="16"/>
          <w:lang w:val="ro-MD"/>
        </w:rPr>
        <w:t>și l</w:t>
      </w:r>
      <w:r w:rsidRPr="005B1EFA">
        <w:rPr>
          <w:rFonts w:asciiTheme="majorHAnsi" w:hAnsiTheme="majorHAnsi" w:cstheme="majorHAnsi"/>
          <w:sz w:val="16"/>
          <w:szCs w:val="16"/>
          <w:lang w:val="ro-MD"/>
        </w:rPr>
        <w:t>ă</w:t>
      </w:r>
      <w:r w:rsidRPr="00FD01EC">
        <w:rPr>
          <w:rFonts w:asciiTheme="majorHAnsi" w:hAnsiTheme="majorHAnsi" w:cstheme="majorHAnsi"/>
          <w:sz w:val="16"/>
          <w:szCs w:val="16"/>
          <w:lang w:val="ro-MD"/>
        </w:rPr>
        <w:t>cașurile de</w:t>
      </w:r>
      <w:r w:rsidRPr="00C2186E">
        <w:rPr>
          <w:rFonts w:asciiTheme="majorHAnsi" w:hAnsiTheme="majorHAnsi" w:cstheme="majorHAnsi"/>
          <w:sz w:val="16"/>
          <w:szCs w:val="16"/>
          <w:lang w:val="ro-MD"/>
        </w:rPr>
        <w:t xml:space="preserve"> cult”.</w:t>
      </w:r>
    </w:p>
  </w:footnote>
  <w:footnote w:id="10">
    <w:p w14:paraId="457EABFD" w14:textId="77777777" w:rsidR="00970BD4" w:rsidRPr="00C2186E" w:rsidRDefault="00970BD4" w:rsidP="00323E6C">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Muzeul Național de Artă al Moldovei.</w:t>
      </w:r>
    </w:p>
  </w:footnote>
  <w:footnote w:id="11">
    <w:p w14:paraId="4C6CCA1F" w14:textId="77777777" w:rsidR="00970BD4" w:rsidRPr="00CF05CF" w:rsidRDefault="00970BD4" w:rsidP="00506418">
      <w:pPr>
        <w:pStyle w:val="FootnoteText"/>
        <w:rPr>
          <w:rStyle w:val="Strong"/>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Institutul Biblioteca Ştiinţifică „Andrei Lupan” (0,14 mil.lei) și </w:t>
      </w:r>
      <w:r w:rsidRPr="00C2186E">
        <w:rPr>
          <w:rFonts w:asciiTheme="majorHAnsi" w:eastAsia="Times New Roman" w:hAnsiTheme="majorHAnsi" w:cstheme="majorHAnsi"/>
          <w:bCs/>
          <w:sz w:val="16"/>
          <w:szCs w:val="16"/>
          <w:lang w:val="ro-MD"/>
        </w:rPr>
        <w:t>Institutul de Genetică, Fiziologie și Protecție a Plantelor (0,06 mil.lei).</w:t>
      </w:r>
      <w:r w:rsidRPr="00C2186E">
        <w:rPr>
          <w:rFonts w:asciiTheme="majorHAnsi" w:hAnsiTheme="majorHAnsi" w:cstheme="majorHAnsi"/>
          <w:sz w:val="16"/>
          <w:szCs w:val="16"/>
          <w:lang w:val="ro-MD"/>
        </w:rPr>
        <w:t xml:space="preserve"> </w:t>
      </w:r>
    </w:p>
  </w:footnote>
  <w:footnote w:id="12">
    <w:p w14:paraId="6462B119" w14:textId="4AE9436A" w:rsidR="00970BD4" w:rsidRPr="00C2186E" w:rsidRDefault="00970BD4" w:rsidP="00A2654C">
      <w:pPr>
        <w:pStyle w:val="FootnoteText"/>
        <w:jc w:val="both"/>
        <w:rPr>
          <w:rFonts w:asciiTheme="majorHAnsi" w:hAnsiTheme="majorHAnsi" w:cstheme="majorHAnsi"/>
          <w:sz w:val="16"/>
          <w:szCs w:val="16"/>
          <w:lang w:val="ro-RO"/>
        </w:rPr>
      </w:pPr>
      <w:r w:rsidRPr="00C2186E">
        <w:rPr>
          <w:rStyle w:val="FootnoteReference"/>
          <w:rFonts w:asciiTheme="majorHAnsi" w:hAnsiTheme="majorHAnsi" w:cstheme="majorHAnsi"/>
          <w:sz w:val="16"/>
          <w:szCs w:val="16"/>
        </w:rPr>
        <w:footnoteRef/>
      </w:r>
      <w:r w:rsidRPr="00C2186E">
        <w:rPr>
          <w:rFonts w:asciiTheme="majorHAnsi" w:hAnsiTheme="majorHAnsi" w:cstheme="majorHAnsi"/>
          <w:sz w:val="16"/>
          <w:szCs w:val="16"/>
        </w:rPr>
        <w:t xml:space="preserve"> </w:t>
      </w:r>
      <w:r w:rsidRPr="00C2186E">
        <w:rPr>
          <w:rFonts w:asciiTheme="majorHAnsi" w:eastAsia="Times New Roman" w:hAnsiTheme="majorHAnsi" w:cstheme="majorHAnsi"/>
          <w:sz w:val="16"/>
          <w:szCs w:val="16"/>
        </w:rPr>
        <w:t xml:space="preserve">Colegiul de Inginerie din </w:t>
      </w:r>
      <w:r>
        <w:rPr>
          <w:rFonts w:asciiTheme="majorHAnsi" w:eastAsia="Times New Roman" w:hAnsiTheme="majorHAnsi" w:cstheme="majorHAnsi"/>
          <w:sz w:val="16"/>
          <w:szCs w:val="16"/>
        </w:rPr>
        <w:t>or.</w:t>
      </w:r>
      <w:r w:rsidRPr="00C2186E">
        <w:rPr>
          <w:rFonts w:asciiTheme="majorHAnsi" w:eastAsia="Times New Roman" w:hAnsiTheme="majorHAnsi" w:cstheme="majorHAnsi"/>
          <w:sz w:val="16"/>
          <w:szCs w:val="16"/>
        </w:rPr>
        <w:t xml:space="preserve">Strășeni </w:t>
      </w:r>
      <w:r>
        <w:rPr>
          <w:rFonts w:asciiTheme="majorHAnsi" w:eastAsia="Times New Roman" w:hAnsiTheme="majorHAnsi" w:cstheme="majorHAnsi"/>
          <w:sz w:val="16"/>
          <w:szCs w:val="16"/>
        </w:rPr>
        <w:t>–</w:t>
      </w:r>
      <w:r w:rsidRPr="00C2186E">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9005,71</w:t>
      </w:r>
      <w:r w:rsidRPr="00C2186E">
        <w:rPr>
          <w:rFonts w:asciiTheme="majorHAnsi" w:eastAsia="Times New Roman" w:hAnsiTheme="majorHAnsi" w:cstheme="majorHAnsi"/>
          <w:sz w:val="16"/>
          <w:szCs w:val="16"/>
        </w:rPr>
        <w:t xml:space="preserve"> mii lei; Academia de Muzică, Teatru și Arte Plastice - 40,55 mii lei; Muzeul de Istorie a Evreilor din </w:t>
      </w:r>
      <w:r w:rsidRPr="00CD7F70">
        <w:rPr>
          <w:rFonts w:asciiTheme="majorHAnsi" w:eastAsia="Times New Roman" w:hAnsiTheme="majorHAnsi" w:cstheme="majorHAnsi"/>
          <w:sz w:val="16"/>
          <w:szCs w:val="16"/>
        </w:rPr>
        <w:t>R</w:t>
      </w:r>
      <w:r>
        <w:rPr>
          <w:rFonts w:asciiTheme="majorHAnsi" w:eastAsia="Times New Roman" w:hAnsiTheme="majorHAnsi" w:cstheme="majorHAnsi"/>
          <w:sz w:val="16"/>
          <w:szCs w:val="16"/>
        </w:rPr>
        <w:t xml:space="preserve">epublica </w:t>
      </w:r>
      <w:r w:rsidRPr="00CD7F70">
        <w:rPr>
          <w:rFonts w:asciiTheme="majorHAnsi" w:eastAsia="Times New Roman" w:hAnsiTheme="majorHAnsi" w:cstheme="majorHAnsi"/>
          <w:sz w:val="16"/>
          <w:szCs w:val="16"/>
        </w:rPr>
        <w:t>M</w:t>
      </w:r>
      <w:r>
        <w:rPr>
          <w:rFonts w:asciiTheme="majorHAnsi" w:eastAsia="Times New Roman" w:hAnsiTheme="majorHAnsi" w:cstheme="majorHAnsi"/>
          <w:sz w:val="16"/>
          <w:szCs w:val="16"/>
        </w:rPr>
        <w:t>oldova</w:t>
      </w:r>
      <w:r w:rsidRPr="00C2186E">
        <w:rPr>
          <w:rFonts w:asciiTheme="majorHAnsi" w:eastAsia="Times New Roman" w:hAnsiTheme="majorHAnsi" w:cstheme="majorHAnsi"/>
          <w:sz w:val="16"/>
          <w:szCs w:val="16"/>
        </w:rPr>
        <w:t xml:space="preserve"> - 110,10 mii lei</w:t>
      </w:r>
      <w:r>
        <w:rPr>
          <w:rFonts w:asciiTheme="majorHAnsi" w:eastAsia="Times New Roman" w:hAnsiTheme="majorHAnsi" w:cstheme="majorHAnsi"/>
          <w:sz w:val="16"/>
          <w:szCs w:val="16"/>
        </w:rPr>
        <w:t>.</w:t>
      </w:r>
    </w:p>
  </w:footnote>
  <w:footnote w:id="13">
    <w:p w14:paraId="6BADBC88" w14:textId="6B697954" w:rsidR="00970BD4" w:rsidRPr="00C2186E" w:rsidRDefault="00970BD4" w:rsidP="00B4570E">
      <w:pPr>
        <w:pStyle w:val="FootnoteText"/>
        <w:jc w:val="both"/>
        <w:rPr>
          <w:rFonts w:asciiTheme="majorHAnsi" w:hAnsiTheme="majorHAnsi" w:cstheme="majorHAnsi"/>
          <w:sz w:val="16"/>
          <w:szCs w:val="16"/>
          <w:lang w:val="ro-RO"/>
        </w:rPr>
      </w:pPr>
      <w:r w:rsidRPr="00B4570E">
        <w:rPr>
          <w:rStyle w:val="FootnoteReference"/>
          <w:rFonts w:asciiTheme="majorHAnsi" w:hAnsiTheme="majorHAnsi" w:cstheme="majorHAnsi"/>
          <w:sz w:val="16"/>
          <w:szCs w:val="16"/>
        </w:rPr>
        <w:footnoteRef/>
      </w:r>
      <w:r w:rsidRPr="00B4570E">
        <w:rPr>
          <w:rFonts w:asciiTheme="majorHAnsi" w:hAnsiTheme="majorHAnsi" w:cstheme="majorHAnsi"/>
          <w:sz w:val="16"/>
          <w:szCs w:val="16"/>
        </w:rPr>
        <w:t xml:space="preserve"> Cont</w:t>
      </w:r>
      <w:r>
        <w:rPr>
          <w:rFonts w:asciiTheme="majorHAnsi" w:hAnsiTheme="majorHAnsi" w:cstheme="majorHAnsi"/>
          <w:sz w:val="16"/>
          <w:szCs w:val="16"/>
        </w:rPr>
        <w:t>ul</w:t>
      </w:r>
      <w:r w:rsidRPr="00B4570E">
        <w:rPr>
          <w:rFonts w:asciiTheme="majorHAnsi" w:hAnsiTheme="majorHAnsi" w:cstheme="majorHAnsi"/>
          <w:sz w:val="16"/>
          <w:szCs w:val="16"/>
        </w:rPr>
        <w:t xml:space="preserve"> 317</w:t>
      </w:r>
      <w:r w:rsidRPr="00C2186E">
        <w:rPr>
          <w:rFonts w:asciiTheme="majorHAnsi" w:hAnsiTheme="majorHAnsi" w:cstheme="majorHAnsi"/>
          <w:sz w:val="16"/>
          <w:szCs w:val="16"/>
        </w:rPr>
        <w:t xml:space="preserve"> – 7586,4 mii lei; c</w:t>
      </w:r>
      <w:r>
        <w:rPr>
          <w:rFonts w:asciiTheme="majorHAnsi" w:hAnsiTheme="majorHAnsi" w:cstheme="majorHAnsi"/>
          <w:sz w:val="16"/>
          <w:szCs w:val="16"/>
        </w:rPr>
        <w:t xml:space="preserve">ontul </w:t>
      </w:r>
      <w:r w:rsidRPr="00C2186E">
        <w:rPr>
          <w:rFonts w:asciiTheme="majorHAnsi" w:hAnsiTheme="majorHAnsi" w:cstheme="majorHAnsi"/>
          <w:sz w:val="16"/>
          <w:szCs w:val="16"/>
        </w:rPr>
        <w:t>318 – 1646,6 mii lei; c</w:t>
      </w:r>
      <w:r>
        <w:rPr>
          <w:rFonts w:asciiTheme="majorHAnsi" w:hAnsiTheme="majorHAnsi" w:cstheme="majorHAnsi"/>
          <w:sz w:val="16"/>
          <w:szCs w:val="16"/>
        </w:rPr>
        <w:t xml:space="preserve">ontul </w:t>
      </w:r>
      <w:r w:rsidRPr="00C2186E">
        <w:rPr>
          <w:rFonts w:asciiTheme="majorHAnsi" w:hAnsiTheme="majorHAnsi" w:cstheme="majorHAnsi"/>
          <w:sz w:val="16"/>
          <w:szCs w:val="16"/>
        </w:rPr>
        <w:t>314 – 105,84 mii lei; c</w:t>
      </w:r>
      <w:r>
        <w:rPr>
          <w:rFonts w:asciiTheme="majorHAnsi" w:hAnsiTheme="majorHAnsi" w:cstheme="majorHAnsi"/>
          <w:sz w:val="16"/>
          <w:szCs w:val="16"/>
        </w:rPr>
        <w:t xml:space="preserve">ontul </w:t>
      </w:r>
      <w:r w:rsidRPr="00C2186E">
        <w:rPr>
          <w:rFonts w:asciiTheme="majorHAnsi" w:hAnsiTheme="majorHAnsi" w:cstheme="majorHAnsi"/>
          <w:sz w:val="16"/>
          <w:szCs w:val="16"/>
        </w:rPr>
        <w:t>335 – 439,75 mii lei (239,85+199,9); c</w:t>
      </w:r>
      <w:r>
        <w:rPr>
          <w:rFonts w:asciiTheme="majorHAnsi" w:hAnsiTheme="majorHAnsi" w:cstheme="majorHAnsi"/>
          <w:sz w:val="16"/>
          <w:szCs w:val="16"/>
        </w:rPr>
        <w:t xml:space="preserve">ontul </w:t>
      </w:r>
      <w:r w:rsidRPr="00C2186E">
        <w:rPr>
          <w:rFonts w:asciiTheme="majorHAnsi" w:hAnsiTheme="majorHAnsi" w:cstheme="majorHAnsi"/>
          <w:sz w:val="16"/>
          <w:szCs w:val="16"/>
        </w:rPr>
        <w:t>336 – 2,99 mii lei; c</w:t>
      </w:r>
      <w:r>
        <w:rPr>
          <w:rFonts w:asciiTheme="majorHAnsi" w:hAnsiTheme="majorHAnsi" w:cstheme="majorHAnsi"/>
          <w:sz w:val="16"/>
          <w:szCs w:val="16"/>
        </w:rPr>
        <w:t xml:space="preserve">ontul </w:t>
      </w:r>
      <w:r w:rsidRPr="00C2186E">
        <w:rPr>
          <w:rFonts w:asciiTheme="majorHAnsi" w:hAnsiTheme="majorHAnsi" w:cstheme="majorHAnsi"/>
          <w:sz w:val="16"/>
          <w:szCs w:val="16"/>
        </w:rPr>
        <w:t>339 – 30</w:t>
      </w:r>
      <w:r>
        <w:rPr>
          <w:rFonts w:asciiTheme="majorHAnsi" w:hAnsiTheme="majorHAnsi" w:cstheme="majorHAnsi"/>
          <w:sz w:val="16"/>
          <w:szCs w:val="16"/>
        </w:rPr>
        <w:t>,0</w:t>
      </w:r>
      <w:r w:rsidRPr="00C2186E">
        <w:rPr>
          <w:rFonts w:asciiTheme="majorHAnsi" w:hAnsiTheme="majorHAnsi" w:cstheme="majorHAnsi"/>
          <w:sz w:val="16"/>
          <w:szCs w:val="16"/>
        </w:rPr>
        <w:t xml:space="preserve"> mii lei</w:t>
      </w:r>
      <w:r>
        <w:rPr>
          <w:rFonts w:asciiTheme="majorHAnsi" w:hAnsiTheme="majorHAnsi" w:cstheme="majorHAnsi"/>
          <w:sz w:val="16"/>
          <w:szCs w:val="16"/>
        </w:rPr>
        <w:t>.</w:t>
      </w:r>
      <w:r w:rsidRPr="00C2186E">
        <w:rPr>
          <w:rFonts w:asciiTheme="majorHAnsi" w:hAnsiTheme="majorHAnsi" w:cstheme="majorHAnsi"/>
          <w:sz w:val="16"/>
          <w:szCs w:val="16"/>
        </w:rPr>
        <w:t xml:space="preserve"> </w:t>
      </w:r>
    </w:p>
  </w:footnote>
  <w:footnote w:id="14">
    <w:p w14:paraId="53B822E6" w14:textId="6147F1F0" w:rsidR="00970BD4" w:rsidRPr="00C2186E" w:rsidRDefault="00970BD4" w:rsidP="00B4570E">
      <w:pPr>
        <w:pStyle w:val="FootnoteText"/>
        <w:jc w:val="both"/>
        <w:rPr>
          <w:rFonts w:asciiTheme="majorHAnsi" w:eastAsia="Times New Roman" w:hAnsiTheme="majorHAnsi" w:cstheme="majorHAnsi"/>
          <w:bCs/>
          <w:iCs/>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Diminuarea </w:t>
      </w:r>
      <w:r>
        <w:rPr>
          <w:rFonts w:asciiTheme="majorHAnsi" w:hAnsiTheme="majorHAnsi" w:cstheme="majorHAnsi"/>
          <w:sz w:val="16"/>
          <w:szCs w:val="16"/>
          <w:lang w:val="ro-MD"/>
        </w:rPr>
        <w:t xml:space="preserve">valorii </w:t>
      </w:r>
      <w:r w:rsidRPr="00C2186E">
        <w:rPr>
          <w:rFonts w:asciiTheme="majorHAnsi" w:hAnsiTheme="majorHAnsi" w:cstheme="majorHAnsi"/>
          <w:sz w:val="16"/>
          <w:szCs w:val="16"/>
          <w:lang w:val="ro-MD"/>
        </w:rPr>
        <w:t>contu</w:t>
      </w:r>
      <w:r>
        <w:rPr>
          <w:rFonts w:asciiTheme="majorHAnsi" w:hAnsiTheme="majorHAnsi" w:cstheme="majorHAnsi"/>
          <w:sz w:val="16"/>
          <w:szCs w:val="16"/>
          <w:lang w:val="ro-MD"/>
        </w:rPr>
        <w:t>lui</w:t>
      </w:r>
      <w:r w:rsidRPr="00C2186E">
        <w:rPr>
          <w:rFonts w:asciiTheme="majorHAnsi" w:eastAsia="Times New Roman" w:hAnsiTheme="majorHAnsi" w:cstheme="majorHAnsi"/>
          <w:bCs/>
          <w:iCs/>
          <w:sz w:val="16"/>
          <w:szCs w:val="16"/>
          <w:lang w:val="ro-MD"/>
        </w:rPr>
        <w:t xml:space="preserve">„Clădiri” (13,09 mil.lei), </w:t>
      </w:r>
      <w:r>
        <w:rPr>
          <w:rFonts w:asciiTheme="majorHAnsi" w:eastAsia="Times New Roman" w:hAnsiTheme="majorHAnsi" w:cstheme="majorHAnsi"/>
          <w:bCs/>
          <w:iCs/>
          <w:sz w:val="16"/>
          <w:szCs w:val="16"/>
          <w:lang w:val="ro-MD"/>
        </w:rPr>
        <w:t>m</w:t>
      </w:r>
      <w:r w:rsidRPr="00C2186E">
        <w:rPr>
          <w:rFonts w:asciiTheme="majorHAnsi" w:eastAsia="Times New Roman" w:hAnsiTheme="majorHAnsi" w:cstheme="majorHAnsi"/>
          <w:bCs/>
          <w:iCs/>
          <w:sz w:val="16"/>
          <w:szCs w:val="16"/>
          <w:lang w:val="ro-MD"/>
        </w:rPr>
        <w:t xml:space="preserve">ajorarea </w:t>
      </w:r>
      <w:r>
        <w:rPr>
          <w:rFonts w:asciiTheme="majorHAnsi" w:eastAsia="Times New Roman" w:hAnsiTheme="majorHAnsi" w:cstheme="majorHAnsi"/>
          <w:bCs/>
          <w:iCs/>
          <w:sz w:val="16"/>
          <w:szCs w:val="16"/>
          <w:lang w:val="ro-MD"/>
        </w:rPr>
        <w:t xml:space="preserve">valorii </w:t>
      </w:r>
      <w:r w:rsidRPr="00C2186E">
        <w:rPr>
          <w:rFonts w:asciiTheme="majorHAnsi" w:eastAsia="Times New Roman" w:hAnsiTheme="majorHAnsi" w:cstheme="majorHAnsi"/>
          <w:bCs/>
          <w:iCs/>
          <w:sz w:val="16"/>
          <w:szCs w:val="16"/>
          <w:lang w:val="ro-MD"/>
        </w:rPr>
        <w:t>contu</w:t>
      </w:r>
      <w:r>
        <w:rPr>
          <w:rFonts w:asciiTheme="majorHAnsi" w:eastAsia="Times New Roman" w:hAnsiTheme="majorHAnsi" w:cstheme="majorHAnsi"/>
          <w:bCs/>
          <w:iCs/>
          <w:sz w:val="16"/>
          <w:szCs w:val="16"/>
          <w:lang w:val="ro-MD"/>
        </w:rPr>
        <w:t>lui</w:t>
      </w:r>
      <w:r w:rsidRPr="00C2186E">
        <w:rPr>
          <w:rFonts w:asciiTheme="majorHAnsi" w:eastAsia="Times New Roman" w:hAnsiTheme="majorHAnsi" w:cstheme="majorHAnsi"/>
          <w:bCs/>
          <w:iCs/>
          <w:sz w:val="16"/>
          <w:szCs w:val="16"/>
          <w:lang w:val="ro-MD"/>
        </w:rPr>
        <w:t>„Construcții speciale” (13,09 mil.lei).</w:t>
      </w:r>
    </w:p>
  </w:footnote>
  <w:footnote w:id="15">
    <w:p w14:paraId="6588FBE2" w14:textId="59E88578" w:rsidR="00970BD4" w:rsidRPr="00C2186E" w:rsidRDefault="00970BD4" w:rsidP="00414134">
      <w:pPr>
        <w:pStyle w:val="FootnoteText"/>
        <w:jc w:val="both"/>
        <w:rPr>
          <w:rFonts w:asciiTheme="majorHAnsi" w:hAnsiTheme="majorHAnsi" w:cstheme="majorHAnsi"/>
          <w:sz w:val="16"/>
          <w:szCs w:val="16"/>
          <w:lang w:val="ro-MD"/>
        </w:rPr>
      </w:pPr>
      <w:r w:rsidRPr="00C2186E">
        <w:rPr>
          <w:rFonts w:asciiTheme="majorHAnsi" w:hAnsiTheme="majorHAnsi" w:cstheme="majorHAnsi"/>
          <w:sz w:val="16"/>
          <w:szCs w:val="16"/>
          <w:vertAlign w:val="superscript"/>
          <w:lang w:val="ro-MD"/>
        </w:rPr>
        <w:footnoteRef/>
      </w:r>
      <w:r w:rsidRPr="00C2186E">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16">
    <w:p w14:paraId="792DEB06" w14:textId="70CFBDB2" w:rsidR="00970BD4" w:rsidRPr="00B4570E" w:rsidRDefault="00970BD4">
      <w:pPr>
        <w:pStyle w:val="FootnoteText"/>
        <w:rPr>
          <w:rFonts w:ascii="Calibri Light" w:hAnsi="Calibri Light"/>
          <w:sz w:val="16"/>
          <w:szCs w:val="16"/>
          <w:lang w:val="ro-RO"/>
        </w:rPr>
      </w:pPr>
      <w:r w:rsidRPr="00B4570E">
        <w:rPr>
          <w:rStyle w:val="FootnoteReference"/>
          <w:rFonts w:ascii="Calibri Light" w:hAnsi="Calibri Light"/>
          <w:sz w:val="16"/>
          <w:szCs w:val="16"/>
        </w:rPr>
        <w:footnoteRef/>
      </w:r>
      <w:r w:rsidRPr="00B4570E">
        <w:rPr>
          <w:rFonts w:ascii="Calibri Light" w:hAnsi="Calibri Light"/>
          <w:sz w:val="16"/>
          <w:szCs w:val="16"/>
        </w:rPr>
        <w:t xml:space="preserve"> </w:t>
      </w:r>
      <w:r w:rsidRPr="00106461">
        <w:rPr>
          <w:rFonts w:ascii="Calibri Light" w:hAnsi="Calibri Light" w:cs="Calibri Light"/>
          <w:sz w:val="16"/>
          <w:szCs w:val="16"/>
          <w:lang w:val="ro-MD"/>
        </w:rPr>
        <w:t xml:space="preserve">Legea </w:t>
      </w:r>
      <w:r w:rsidRPr="0023217E">
        <w:rPr>
          <w:rFonts w:ascii="Calibri Light" w:hAnsi="Calibri Light" w:cs="Calibri Light"/>
          <w:sz w:val="16"/>
          <w:szCs w:val="16"/>
          <w:lang w:val="ro-MD"/>
        </w:rPr>
        <w:t>privind delimitarea proprietății publice</w:t>
      </w:r>
      <w:r w:rsidRPr="00106461">
        <w:rPr>
          <w:rFonts w:ascii="Calibri Light" w:hAnsi="Calibri Light" w:cs="Calibri Light"/>
          <w:sz w:val="16"/>
          <w:szCs w:val="16"/>
          <w:lang w:val="ro-MD"/>
        </w:rPr>
        <w:t xml:space="preserve"> nr.29 din 05.04.2018</w:t>
      </w:r>
      <w:r w:rsidRPr="00EA3ABA">
        <w:rPr>
          <w:rFonts w:ascii="Calibri Light" w:hAnsi="Calibri Light" w:cs="Calibri Light"/>
          <w:sz w:val="16"/>
          <w:szCs w:val="16"/>
          <w:lang w:val="ro-MD"/>
        </w:rPr>
        <w:t>.</w:t>
      </w:r>
    </w:p>
  </w:footnote>
  <w:footnote w:id="17">
    <w:p w14:paraId="5B01DC6E" w14:textId="18712B77" w:rsidR="00970BD4" w:rsidRPr="00C2186E" w:rsidRDefault="00970BD4" w:rsidP="00427259">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1,47 mil</w:t>
      </w:r>
      <w:r>
        <w:rPr>
          <w:rFonts w:asciiTheme="majorHAnsi" w:hAnsiTheme="majorHAnsi" w:cstheme="majorHAnsi"/>
          <w:sz w:val="16"/>
          <w:szCs w:val="16"/>
          <w:lang w:val="ro-MD"/>
        </w:rPr>
        <w:t>. lei -</w:t>
      </w:r>
      <w:r w:rsidRPr="00C2186E">
        <w:rPr>
          <w:rFonts w:asciiTheme="majorHAnsi" w:hAnsiTheme="majorHAnsi" w:cstheme="majorHAnsi"/>
          <w:sz w:val="16"/>
          <w:szCs w:val="16"/>
          <w:lang w:val="ro-MD"/>
        </w:rPr>
        <w:t xml:space="preserve"> serviciile prestate MECC</w:t>
      </w: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care au fost atribuite la codul ECO 222990 „Servicii neatribuite altor alin</w:t>
      </w:r>
      <w:r>
        <w:rPr>
          <w:rFonts w:asciiTheme="majorHAnsi" w:hAnsiTheme="majorHAnsi" w:cstheme="majorHAnsi"/>
          <w:sz w:val="16"/>
          <w:szCs w:val="16"/>
          <w:lang w:val="ro-MD"/>
        </w:rPr>
        <w:t>e</w:t>
      </w:r>
      <w:r w:rsidRPr="00C2186E">
        <w:rPr>
          <w:rFonts w:asciiTheme="majorHAnsi" w:hAnsiTheme="majorHAnsi" w:cstheme="majorHAnsi"/>
          <w:sz w:val="16"/>
          <w:szCs w:val="16"/>
          <w:lang w:val="ro-MD"/>
        </w:rPr>
        <w:t>ate”</w:t>
      </w:r>
      <w:r>
        <w:rPr>
          <w:rFonts w:asciiTheme="majorHAnsi" w:hAnsiTheme="majorHAnsi" w:cstheme="majorHAnsi"/>
          <w:sz w:val="16"/>
          <w:szCs w:val="16"/>
          <w:lang w:val="ro-MD"/>
        </w:rPr>
        <w:t>,</w:t>
      </w:r>
      <w:r w:rsidRPr="00C2186E">
        <w:rPr>
          <w:rFonts w:asciiTheme="majorHAnsi" w:hAnsiTheme="majorHAnsi" w:cstheme="majorHAnsi"/>
          <w:sz w:val="16"/>
          <w:szCs w:val="16"/>
          <w:lang w:val="ro-MD"/>
        </w:rPr>
        <w:t xml:space="preserve"> și 2,03 mil lei </w:t>
      </w:r>
      <w:r>
        <w:rPr>
          <w:rFonts w:asciiTheme="majorHAnsi" w:hAnsiTheme="majorHAnsi" w:cstheme="majorHAnsi"/>
          <w:sz w:val="16"/>
          <w:szCs w:val="16"/>
          <w:lang w:val="ro-MD"/>
        </w:rPr>
        <w:t xml:space="preserve">- </w:t>
      </w:r>
      <w:r w:rsidRPr="00C2186E">
        <w:rPr>
          <w:rFonts w:asciiTheme="majorHAnsi" w:hAnsiTheme="majorHAnsi" w:cstheme="majorHAnsi"/>
          <w:sz w:val="16"/>
          <w:szCs w:val="16"/>
          <w:lang w:val="ro-MD"/>
        </w:rPr>
        <w:t>servicii prestate altor instituții din subordina MECC, atribuite la codul ECO 222210 „Servicii informaționale”</w:t>
      </w:r>
    </w:p>
  </w:footnote>
  <w:footnote w:id="18">
    <w:p w14:paraId="5401BCC2" w14:textId="51D227DD" w:rsidR="00970BD4" w:rsidRPr="00C2186E" w:rsidRDefault="00970BD4" w:rsidP="006A55F2">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Pct.14 din Regulamentul privind autoevaluarea, raportarea sistemului de control intern managerial și emiterea Declarației de răspundere managerială, aprobat prin Ordinul </w:t>
      </w:r>
      <w:r>
        <w:rPr>
          <w:rFonts w:asciiTheme="majorHAnsi" w:hAnsiTheme="majorHAnsi" w:cstheme="majorHAnsi"/>
          <w:sz w:val="16"/>
          <w:szCs w:val="16"/>
          <w:lang w:val="ro-MD"/>
        </w:rPr>
        <w:t>M</w:t>
      </w:r>
      <w:r w:rsidRPr="00C2186E">
        <w:rPr>
          <w:rFonts w:asciiTheme="majorHAnsi" w:hAnsiTheme="majorHAnsi" w:cstheme="majorHAnsi"/>
          <w:sz w:val="16"/>
          <w:szCs w:val="16"/>
          <w:lang w:val="ro-MD"/>
        </w:rPr>
        <w:t>inist</w:t>
      </w:r>
      <w:r>
        <w:rPr>
          <w:rFonts w:asciiTheme="majorHAnsi" w:hAnsiTheme="majorHAnsi" w:cstheme="majorHAnsi"/>
          <w:sz w:val="16"/>
          <w:szCs w:val="16"/>
          <w:lang w:val="ro-MD"/>
        </w:rPr>
        <w:t>e</w:t>
      </w:r>
      <w:r w:rsidRPr="00C2186E">
        <w:rPr>
          <w:rFonts w:asciiTheme="majorHAnsi" w:hAnsiTheme="majorHAnsi" w:cstheme="majorHAnsi"/>
          <w:sz w:val="16"/>
          <w:szCs w:val="16"/>
          <w:lang w:val="ro-MD"/>
        </w:rPr>
        <w:t xml:space="preserve">rului </w:t>
      </w:r>
      <w:r>
        <w:rPr>
          <w:rFonts w:asciiTheme="majorHAnsi" w:hAnsiTheme="majorHAnsi" w:cstheme="majorHAnsi"/>
          <w:sz w:val="16"/>
          <w:szCs w:val="16"/>
          <w:lang w:val="ro-MD"/>
        </w:rPr>
        <w:t>F</w:t>
      </w:r>
      <w:r w:rsidRPr="00C2186E">
        <w:rPr>
          <w:rFonts w:asciiTheme="majorHAnsi" w:hAnsiTheme="majorHAnsi" w:cstheme="majorHAnsi"/>
          <w:sz w:val="16"/>
          <w:szCs w:val="16"/>
          <w:lang w:val="ro-MD"/>
        </w:rPr>
        <w:t>inanțelor nr.4 din 09.01.2019 (în continuare – Regulamentul aprobat prin Ordinul M</w:t>
      </w:r>
      <w:r>
        <w:rPr>
          <w:rFonts w:asciiTheme="majorHAnsi" w:hAnsiTheme="majorHAnsi" w:cstheme="majorHAnsi"/>
          <w:sz w:val="16"/>
          <w:szCs w:val="16"/>
          <w:lang w:val="ro-MD"/>
        </w:rPr>
        <w:t xml:space="preserve">inisterului </w:t>
      </w:r>
      <w:r w:rsidRPr="00C2186E">
        <w:rPr>
          <w:rFonts w:asciiTheme="majorHAnsi" w:hAnsiTheme="majorHAnsi" w:cstheme="majorHAnsi"/>
          <w:sz w:val="16"/>
          <w:szCs w:val="16"/>
          <w:lang w:val="ro-MD"/>
        </w:rPr>
        <w:t>F</w:t>
      </w:r>
      <w:r>
        <w:rPr>
          <w:rFonts w:asciiTheme="majorHAnsi" w:hAnsiTheme="majorHAnsi" w:cstheme="majorHAnsi"/>
          <w:sz w:val="16"/>
          <w:szCs w:val="16"/>
          <w:lang w:val="ro-MD"/>
        </w:rPr>
        <w:t>inanțelor</w:t>
      </w:r>
      <w:r w:rsidRPr="00C2186E">
        <w:rPr>
          <w:rFonts w:asciiTheme="majorHAnsi" w:hAnsiTheme="majorHAnsi" w:cstheme="majorHAnsi"/>
          <w:sz w:val="16"/>
          <w:szCs w:val="16"/>
          <w:lang w:val="ro-MD"/>
        </w:rPr>
        <w:t xml:space="preserve"> nr.4 din 09.01.2019).</w:t>
      </w:r>
    </w:p>
  </w:footnote>
  <w:footnote w:id="19">
    <w:p w14:paraId="61B331A5" w14:textId="577F978F" w:rsidR="00970BD4" w:rsidRPr="00C2186E" w:rsidRDefault="00970BD4" w:rsidP="006A55F2">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Pct.30 din Regulamentul aprobat prin Ordinul M</w:t>
      </w:r>
      <w:r>
        <w:rPr>
          <w:rFonts w:asciiTheme="majorHAnsi" w:hAnsiTheme="majorHAnsi" w:cstheme="majorHAnsi"/>
          <w:sz w:val="16"/>
          <w:szCs w:val="16"/>
          <w:lang w:val="ro-MD"/>
        </w:rPr>
        <w:t xml:space="preserve">inisterului </w:t>
      </w:r>
      <w:r w:rsidRPr="00C2186E">
        <w:rPr>
          <w:rFonts w:asciiTheme="majorHAnsi" w:hAnsiTheme="majorHAnsi" w:cstheme="majorHAnsi"/>
          <w:sz w:val="16"/>
          <w:szCs w:val="16"/>
          <w:lang w:val="ro-MD"/>
        </w:rPr>
        <w:t>F</w:t>
      </w:r>
      <w:r>
        <w:rPr>
          <w:rFonts w:asciiTheme="majorHAnsi" w:hAnsiTheme="majorHAnsi" w:cstheme="majorHAnsi"/>
          <w:sz w:val="16"/>
          <w:szCs w:val="16"/>
          <w:lang w:val="ro-MD"/>
        </w:rPr>
        <w:t>inanțelor</w:t>
      </w:r>
      <w:r w:rsidRPr="00C2186E">
        <w:rPr>
          <w:rFonts w:asciiTheme="majorHAnsi" w:hAnsiTheme="majorHAnsi" w:cstheme="majorHAnsi"/>
          <w:sz w:val="16"/>
          <w:szCs w:val="16"/>
          <w:lang w:val="ro-MD"/>
        </w:rPr>
        <w:t xml:space="preserve"> nr.4 din 09.01.2019.</w:t>
      </w:r>
    </w:p>
  </w:footnote>
  <w:footnote w:id="20">
    <w:p w14:paraId="20D8E2D6" w14:textId="51BA2261" w:rsidR="00970BD4" w:rsidRPr="00C2186E" w:rsidRDefault="00970BD4" w:rsidP="0013783D">
      <w:pPr>
        <w:pStyle w:val="FootnoteText"/>
        <w:jc w:val="both"/>
        <w:rPr>
          <w:rFonts w:asciiTheme="majorHAnsi" w:hAnsiTheme="majorHAnsi" w:cstheme="majorHAnsi"/>
          <w:sz w:val="16"/>
          <w:szCs w:val="16"/>
          <w:lang w:val="ro-RO"/>
        </w:rPr>
      </w:pPr>
      <w:r w:rsidRPr="00C2186E">
        <w:rPr>
          <w:rStyle w:val="FootnoteReference"/>
          <w:rFonts w:asciiTheme="majorHAnsi" w:hAnsiTheme="majorHAnsi" w:cstheme="majorHAnsi"/>
          <w:sz w:val="16"/>
          <w:szCs w:val="16"/>
        </w:rPr>
        <w:footnoteRef/>
      </w:r>
      <w:r w:rsidRPr="00C2186E">
        <w:rPr>
          <w:rFonts w:asciiTheme="majorHAnsi" w:hAnsiTheme="majorHAnsi" w:cstheme="majorHAnsi"/>
          <w:sz w:val="16"/>
          <w:szCs w:val="16"/>
        </w:rPr>
        <w:t xml:space="preserve">  S</w:t>
      </w:r>
      <w:r>
        <w:rPr>
          <w:rFonts w:asciiTheme="majorHAnsi" w:hAnsiTheme="majorHAnsi" w:cstheme="majorHAnsi"/>
          <w:sz w:val="16"/>
          <w:szCs w:val="16"/>
        </w:rPr>
        <w:t>ite-</w:t>
      </w:r>
      <w:r w:rsidRPr="00C2186E">
        <w:rPr>
          <w:rFonts w:asciiTheme="majorHAnsi" w:hAnsiTheme="majorHAnsi" w:cstheme="majorHAnsi"/>
          <w:sz w:val="16"/>
          <w:szCs w:val="16"/>
        </w:rPr>
        <w:t>ul oficia</w:t>
      </w:r>
      <w:r>
        <w:rPr>
          <w:rFonts w:asciiTheme="majorHAnsi" w:hAnsiTheme="majorHAnsi" w:cstheme="majorHAnsi"/>
          <w:sz w:val="16"/>
          <w:szCs w:val="16"/>
        </w:rPr>
        <w:t>l</w:t>
      </w:r>
      <w:r w:rsidRPr="00C2186E">
        <w:rPr>
          <w:rFonts w:asciiTheme="majorHAnsi" w:hAnsiTheme="majorHAnsi" w:cstheme="majorHAnsi"/>
          <w:sz w:val="16"/>
          <w:szCs w:val="16"/>
        </w:rPr>
        <w:t xml:space="preserve">: </w:t>
      </w:r>
      <w:r w:rsidRPr="00C2186E">
        <w:rPr>
          <w:rFonts w:asciiTheme="majorHAnsi" w:hAnsiTheme="majorHAnsi" w:cstheme="majorHAnsi"/>
          <w:sz w:val="16"/>
          <w:szCs w:val="16"/>
          <w:lang w:val="ro-RO"/>
        </w:rPr>
        <w:t xml:space="preserve">admiral-zatoka.com; </w:t>
      </w:r>
      <w:r w:rsidRPr="00C2186E">
        <w:rPr>
          <w:rFonts w:asciiTheme="majorHAnsi" w:hAnsiTheme="majorHAnsi" w:cstheme="majorHAnsi"/>
          <w:sz w:val="16"/>
          <w:szCs w:val="16"/>
          <w:lang w:val="ro-MD"/>
        </w:rPr>
        <w:t xml:space="preserve">Chiria </w:t>
      </w:r>
      <w:r>
        <w:rPr>
          <w:rFonts w:asciiTheme="majorHAnsi" w:hAnsiTheme="majorHAnsi" w:cstheme="majorHAnsi"/>
          <w:sz w:val="16"/>
          <w:szCs w:val="16"/>
          <w:lang w:val="ro-MD"/>
        </w:rPr>
        <w:t>pentru o</w:t>
      </w:r>
      <w:r w:rsidRPr="00C2186E">
        <w:rPr>
          <w:rFonts w:asciiTheme="majorHAnsi" w:hAnsiTheme="majorHAnsi" w:cstheme="majorHAnsi"/>
          <w:sz w:val="16"/>
          <w:szCs w:val="16"/>
          <w:lang w:val="ro-MD"/>
        </w:rPr>
        <w:t xml:space="preserve"> no</w:t>
      </w:r>
      <w:r>
        <w:rPr>
          <w:rFonts w:asciiTheme="majorHAnsi" w:hAnsiTheme="majorHAnsi" w:cstheme="majorHAnsi"/>
          <w:sz w:val="16"/>
          <w:szCs w:val="16"/>
          <w:lang w:val="ro-MD"/>
        </w:rPr>
        <w:t>apte</w:t>
      </w:r>
      <w:r w:rsidRPr="00C2186E">
        <w:rPr>
          <w:rFonts w:asciiTheme="majorHAnsi" w:hAnsiTheme="majorHAnsi" w:cstheme="majorHAnsi"/>
          <w:sz w:val="16"/>
          <w:szCs w:val="16"/>
          <w:lang w:val="ro-MD"/>
        </w:rPr>
        <w:t xml:space="preserve"> de cazare constituie de la 650 până la 2400 </w:t>
      </w:r>
      <w:r w:rsidR="0060679C">
        <w:rPr>
          <w:rFonts w:asciiTheme="majorHAnsi" w:hAnsiTheme="majorHAnsi" w:cstheme="majorHAnsi"/>
          <w:sz w:val="16"/>
          <w:szCs w:val="16"/>
          <w:lang w:val="ro-MD"/>
        </w:rPr>
        <w:t>h</w:t>
      </w:r>
      <w:r w:rsidRPr="00C2186E">
        <w:rPr>
          <w:rFonts w:asciiTheme="majorHAnsi" w:hAnsiTheme="majorHAnsi" w:cstheme="majorHAnsi"/>
          <w:sz w:val="16"/>
          <w:szCs w:val="16"/>
          <w:lang w:val="ro-MD"/>
        </w:rPr>
        <w:t>rivne</w:t>
      </w:r>
      <w:r>
        <w:rPr>
          <w:rFonts w:asciiTheme="majorHAnsi" w:hAnsiTheme="majorHAnsi" w:cstheme="majorHAnsi"/>
          <w:sz w:val="16"/>
          <w:szCs w:val="16"/>
          <w:lang w:val="ro-MD"/>
        </w:rPr>
        <w:t>/</w:t>
      </w:r>
      <w:r w:rsidRPr="00C2186E">
        <w:rPr>
          <w:rFonts w:asciiTheme="majorHAnsi" w:hAnsiTheme="majorHAnsi" w:cstheme="majorHAnsi"/>
          <w:sz w:val="16"/>
          <w:szCs w:val="16"/>
          <w:lang w:val="ro-MD"/>
        </w:rPr>
        <w:t>o persoană (circa de la 422 până la 1560 MD</w:t>
      </w:r>
      <w:r>
        <w:rPr>
          <w:rFonts w:asciiTheme="majorHAnsi" w:hAnsiTheme="majorHAnsi" w:cstheme="majorHAnsi"/>
          <w:sz w:val="16"/>
          <w:szCs w:val="16"/>
          <w:lang w:val="ro-MD"/>
        </w:rPr>
        <w:t>L</w:t>
      </w:r>
      <w:r w:rsidRPr="00C2186E">
        <w:rPr>
          <w:rFonts w:asciiTheme="majorHAnsi" w:hAnsiTheme="majorHAnsi" w:cstheme="majorHAnsi"/>
          <w:sz w:val="16"/>
          <w:szCs w:val="16"/>
          <w:lang w:val="ro-MD"/>
        </w:rPr>
        <w:t>).</w:t>
      </w:r>
    </w:p>
  </w:footnote>
  <w:footnote w:id="21">
    <w:p w14:paraId="3D2C9D36" w14:textId="426F693E" w:rsidR="00970BD4" w:rsidRPr="00C2186E" w:rsidRDefault="00970BD4" w:rsidP="0013783D">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rPr>
        <w:footnoteRef/>
      </w:r>
      <w:r w:rsidRPr="00C2186E">
        <w:rPr>
          <w:rFonts w:asciiTheme="majorHAnsi" w:hAnsiTheme="majorHAnsi" w:cstheme="majorHAnsi"/>
          <w:sz w:val="16"/>
          <w:szCs w:val="16"/>
        </w:rPr>
        <w:t xml:space="preserve"> </w:t>
      </w:r>
      <w:r w:rsidRPr="00C2186E">
        <w:rPr>
          <w:rFonts w:asciiTheme="majorHAnsi" w:hAnsiTheme="majorHAnsi" w:cstheme="majorHAnsi"/>
          <w:sz w:val="16"/>
          <w:szCs w:val="16"/>
          <w:lang w:val="ro-MD"/>
        </w:rPr>
        <w:t xml:space="preserve">Chiria </w:t>
      </w:r>
      <w:r>
        <w:rPr>
          <w:rFonts w:asciiTheme="majorHAnsi" w:hAnsiTheme="majorHAnsi" w:cstheme="majorHAnsi"/>
          <w:sz w:val="16"/>
          <w:szCs w:val="16"/>
          <w:lang w:val="ro-MD"/>
        </w:rPr>
        <w:t>pentru o</w:t>
      </w:r>
      <w:r w:rsidRPr="00C2186E">
        <w:rPr>
          <w:rFonts w:asciiTheme="majorHAnsi" w:hAnsiTheme="majorHAnsi" w:cstheme="majorHAnsi"/>
          <w:sz w:val="16"/>
          <w:szCs w:val="16"/>
          <w:lang w:val="ro-MD"/>
        </w:rPr>
        <w:t xml:space="preserve"> n</w:t>
      </w:r>
      <w:r>
        <w:rPr>
          <w:rFonts w:asciiTheme="majorHAnsi" w:hAnsiTheme="majorHAnsi" w:cstheme="majorHAnsi"/>
          <w:sz w:val="16"/>
          <w:szCs w:val="16"/>
          <w:lang w:val="ro-MD"/>
        </w:rPr>
        <w:t>oapte</w:t>
      </w:r>
      <w:r w:rsidRPr="00C2186E">
        <w:rPr>
          <w:rFonts w:asciiTheme="majorHAnsi" w:hAnsiTheme="majorHAnsi" w:cstheme="majorHAnsi"/>
          <w:sz w:val="16"/>
          <w:szCs w:val="16"/>
          <w:lang w:val="ro-MD"/>
        </w:rPr>
        <w:t xml:space="preserve"> de cazare constituie 200 </w:t>
      </w:r>
      <w:r w:rsidR="0050198A">
        <w:rPr>
          <w:rFonts w:asciiTheme="majorHAnsi" w:hAnsiTheme="majorHAnsi" w:cstheme="majorHAnsi"/>
          <w:sz w:val="16"/>
          <w:szCs w:val="16"/>
          <w:lang w:val="ro-MD"/>
        </w:rPr>
        <w:t>h</w:t>
      </w:r>
      <w:r w:rsidRPr="00C2186E">
        <w:rPr>
          <w:rFonts w:asciiTheme="majorHAnsi" w:hAnsiTheme="majorHAnsi" w:cstheme="majorHAnsi"/>
          <w:sz w:val="16"/>
          <w:szCs w:val="16"/>
          <w:lang w:val="ro-MD"/>
        </w:rPr>
        <w:t>rivne</w:t>
      </w:r>
      <w:r>
        <w:rPr>
          <w:rFonts w:asciiTheme="majorHAnsi" w:hAnsiTheme="majorHAnsi" w:cstheme="majorHAnsi"/>
          <w:sz w:val="16"/>
          <w:szCs w:val="16"/>
          <w:lang w:val="ro-MD"/>
        </w:rPr>
        <w:t>/</w:t>
      </w:r>
      <w:r w:rsidRPr="00C2186E">
        <w:rPr>
          <w:rFonts w:asciiTheme="majorHAnsi" w:hAnsiTheme="majorHAnsi" w:cstheme="majorHAnsi"/>
          <w:sz w:val="16"/>
          <w:szCs w:val="16"/>
          <w:lang w:val="ro-MD"/>
        </w:rPr>
        <w:t>persoană (circa 130 MD</w:t>
      </w:r>
      <w:r>
        <w:rPr>
          <w:rFonts w:asciiTheme="majorHAnsi" w:hAnsiTheme="majorHAnsi" w:cstheme="majorHAnsi"/>
          <w:sz w:val="16"/>
          <w:szCs w:val="16"/>
          <w:lang w:val="ro-MD"/>
        </w:rPr>
        <w:t>L</w:t>
      </w:r>
      <w:r w:rsidRPr="00C2186E">
        <w:rPr>
          <w:rFonts w:asciiTheme="majorHAnsi" w:hAnsiTheme="majorHAnsi" w:cstheme="majorHAnsi"/>
          <w:sz w:val="16"/>
          <w:szCs w:val="16"/>
          <w:lang w:val="ro-MD"/>
        </w:rPr>
        <w:t>).</w:t>
      </w:r>
    </w:p>
  </w:footnote>
  <w:footnote w:id="22">
    <w:p w14:paraId="1E0E82A1" w14:textId="77777777" w:rsidR="00970BD4" w:rsidRPr="00C2186E" w:rsidRDefault="00970BD4" w:rsidP="0013783D">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O situație analogică se atestă și la cilul II „Master” și ciclul III „Doctorat”.</w:t>
      </w:r>
    </w:p>
  </w:footnote>
  <w:footnote w:id="23">
    <w:p w14:paraId="2DB61FF3" w14:textId="02F26A23" w:rsidR="00970BD4" w:rsidRPr="00C2186E" w:rsidRDefault="00970BD4" w:rsidP="0013783D">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w:t>
      </w:r>
      <w:r w:rsidRPr="00F012CD">
        <w:rPr>
          <w:rFonts w:asciiTheme="majorHAnsi" w:hAnsiTheme="majorHAnsi" w:cstheme="majorHAnsi"/>
          <w:bCs/>
          <w:sz w:val="16"/>
          <w:szCs w:val="16"/>
          <w:lang w:val="ro-MD"/>
        </w:rPr>
        <w:t>H</w:t>
      </w:r>
      <w:r w:rsidRPr="0013783D">
        <w:rPr>
          <w:rFonts w:asciiTheme="majorHAnsi" w:hAnsiTheme="majorHAnsi" w:cstheme="majorHAnsi"/>
          <w:bCs/>
          <w:sz w:val="16"/>
          <w:szCs w:val="16"/>
          <w:lang w:val="ro-MD"/>
        </w:rPr>
        <w:t xml:space="preserve">otărârea </w:t>
      </w:r>
      <w:r w:rsidRPr="00F012CD">
        <w:rPr>
          <w:rFonts w:asciiTheme="majorHAnsi" w:hAnsiTheme="majorHAnsi" w:cstheme="majorHAnsi"/>
          <w:bCs/>
          <w:sz w:val="16"/>
          <w:szCs w:val="16"/>
          <w:lang w:val="ro-MD"/>
        </w:rPr>
        <w:t>Guvernulu</w:t>
      </w:r>
      <w:r>
        <w:rPr>
          <w:rFonts w:asciiTheme="majorHAnsi" w:hAnsiTheme="majorHAnsi" w:cstheme="majorHAnsi"/>
          <w:bCs/>
          <w:sz w:val="16"/>
          <w:szCs w:val="16"/>
          <w:lang w:val="ro-MD"/>
        </w:rPr>
        <w:t>i</w:t>
      </w:r>
      <w:r w:rsidRPr="00C2186E">
        <w:rPr>
          <w:rFonts w:asciiTheme="majorHAnsi" w:hAnsiTheme="majorHAnsi" w:cstheme="majorHAnsi"/>
          <w:bCs/>
          <w:sz w:val="16"/>
          <w:szCs w:val="16"/>
          <w:lang w:val="ro-MD"/>
        </w:rPr>
        <w:t xml:space="preserve"> nr.343 din 10.06.2020 „Cu privire la aprobarea Metodologiei de finanțare bugetară a instituțiilor publice de învățământ superior”</w:t>
      </w:r>
      <w:r>
        <w:rPr>
          <w:rFonts w:asciiTheme="majorHAnsi" w:hAnsiTheme="majorHAnsi" w:cstheme="majorHAnsi"/>
          <w:bCs/>
          <w:sz w:val="16"/>
          <w:szCs w:val="16"/>
          <w:lang w:val="ro-MD"/>
        </w:rPr>
        <w:t>.</w:t>
      </w:r>
    </w:p>
  </w:footnote>
  <w:footnote w:id="24">
    <w:p w14:paraId="1E9EDD22" w14:textId="77777777" w:rsidR="0050198A" w:rsidRPr="00C2186E" w:rsidRDefault="0050198A" w:rsidP="0050198A">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w:t>
      </w:r>
      <w:r w:rsidRPr="00944F35">
        <w:rPr>
          <w:rFonts w:asciiTheme="majorHAnsi" w:hAnsiTheme="majorHAnsi" w:cstheme="majorHAnsi"/>
          <w:sz w:val="16"/>
          <w:szCs w:val="16"/>
          <w:lang w:val="ro-MD"/>
        </w:rPr>
        <w:t>Ordinul M</w:t>
      </w:r>
      <w:r w:rsidRPr="0013783D">
        <w:rPr>
          <w:rFonts w:asciiTheme="majorHAnsi" w:hAnsiTheme="majorHAnsi" w:cstheme="majorHAnsi"/>
          <w:sz w:val="16"/>
          <w:szCs w:val="16"/>
          <w:lang w:val="ro-MD"/>
        </w:rPr>
        <w:t xml:space="preserve">inisterului </w:t>
      </w:r>
      <w:r w:rsidRPr="00944F35">
        <w:rPr>
          <w:rFonts w:asciiTheme="majorHAnsi" w:hAnsiTheme="majorHAnsi" w:cstheme="majorHAnsi"/>
          <w:sz w:val="16"/>
          <w:szCs w:val="16"/>
          <w:lang w:val="ro-MD"/>
        </w:rPr>
        <w:t>Finanțelor</w:t>
      </w:r>
      <w:r w:rsidRPr="00C2186E">
        <w:rPr>
          <w:rFonts w:asciiTheme="majorHAnsi" w:hAnsiTheme="majorHAnsi" w:cstheme="majorHAnsi"/>
          <w:sz w:val="16"/>
          <w:szCs w:val="16"/>
          <w:lang w:val="ro-MD"/>
        </w:rPr>
        <w:t xml:space="preserve">  </w:t>
      </w:r>
      <w:r>
        <w:rPr>
          <w:rFonts w:asciiTheme="majorHAnsi" w:hAnsiTheme="majorHAnsi" w:cstheme="majorHAnsi"/>
          <w:sz w:val="16"/>
          <w:szCs w:val="16"/>
          <w:lang w:val="ro-MD"/>
        </w:rPr>
        <w:t>nr.</w:t>
      </w:r>
      <w:r w:rsidRPr="00C2186E">
        <w:rPr>
          <w:rFonts w:asciiTheme="majorHAnsi" w:hAnsiTheme="majorHAnsi" w:cstheme="majorHAnsi"/>
          <w:sz w:val="16"/>
          <w:szCs w:val="16"/>
          <w:lang w:val="ro-MD"/>
        </w:rPr>
        <w:t>130 din 07.10.2019 „Cu privire la aprobarea unor Rapoarte trimestriale/anuale”</w:t>
      </w:r>
      <w:r>
        <w:rPr>
          <w:rFonts w:asciiTheme="majorHAnsi" w:hAnsiTheme="majorHAnsi" w:cstheme="majorHAnsi"/>
          <w:sz w:val="16"/>
          <w:szCs w:val="16"/>
          <w:lang w:val="ro-MD"/>
        </w:rPr>
        <w:t>.</w:t>
      </w:r>
    </w:p>
  </w:footnote>
  <w:footnote w:id="25">
    <w:p w14:paraId="42612491" w14:textId="7CAD1607" w:rsidR="00970BD4" w:rsidRPr="00C2186E" w:rsidRDefault="00970BD4" w:rsidP="001D062E">
      <w:pPr>
        <w:pStyle w:val="FootnoteText"/>
        <w:jc w:val="both"/>
        <w:rPr>
          <w:rFonts w:asciiTheme="majorHAnsi" w:hAnsiTheme="majorHAnsi" w:cstheme="majorHAnsi"/>
          <w:bCs/>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w:t>
      </w:r>
      <w:r w:rsidRPr="00373FC9">
        <w:rPr>
          <w:rFonts w:asciiTheme="majorHAnsi" w:hAnsiTheme="majorHAnsi" w:cstheme="majorHAnsi"/>
          <w:bCs/>
          <w:sz w:val="16"/>
          <w:szCs w:val="16"/>
          <w:lang w:val="ro-MD"/>
        </w:rPr>
        <w:t>H</w:t>
      </w:r>
      <w:r>
        <w:rPr>
          <w:rFonts w:asciiTheme="majorHAnsi" w:hAnsiTheme="majorHAnsi" w:cstheme="majorHAnsi"/>
          <w:bCs/>
          <w:sz w:val="16"/>
          <w:szCs w:val="16"/>
          <w:lang w:val="ro-MD"/>
        </w:rPr>
        <w:t xml:space="preserve">otărârea </w:t>
      </w:r>
      <w:r w:rsidRPr="00373FC9">
        <w:rPr>
          <w:rFonts w:asciiTheme="majorHAnsi" w:hAnsiTheme="majorHAnsi" w:cstheme="majorHAnsi"/>
          <w:bCs/>
          <w:sz w:val="16"/>
          <w:szCs w:val="16"/>
          <w:lang w:val="ro-MD"/>
        </w:rPr>
        <w:t>G</w:t>
      </w:r>
      <w:r>
        <w:rPr>
          <w:rFonts w:asciiTheme="majorHAnsi" w:hAnsiTheme="majorHAnsi" w:cstheme="majorHAnsi"/>
          <w:bCs/>
          <w:sz w:val="16"/>
          <w:szCs w:val="16"/>
          <w:lang w:val="ro-MD"/>
        </w:rPr>
        <w:t>uvernului</w:t>
      </w:r>
      <w:r w:rsidRPr="00C2186E">
        <w:rPr>
          <w:rFonts w:asciiTheme="majorHAnsi" w:hAnsiTheme="majorHAnsi" w:cstheme="majorHAnsi"/>
          <w:bCs/>
          <w:sz w:val="16"/>
          <w:szCs w:val="16"/>
          <w:lang w:val="ro-MD"/>
        </w:rPr>
        <w:t xml:space="preserve"> nr.1077 din 23.09.2016 „Cu privire la finanțarea în bază de cost per elev a instituțiilor publice de învățământ profesional tehnic”. </w:t>
      </w:r>
    </w:p>
  </w:footnote>
  <w:footnote w:id="26">
    <w:p w14:paraId="23C4AA17" w14:textId="0D7EFE7D" w:rsidR="00970BD4" w:rsidRPr="00C2186E" w:rsidRDefault="00970BD4" w:rsidP="001D062E">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Ordinul MECC nr.1828 din 10.12.2018 „Cu privire la determinarea costului mediu de instruire conform H</w:t>
      </w:r>
      <w:r>
        <w:rPr>
          <w:rFonts w:asciiTheme="majorHAnsi" w:hAnsiTheme="majorHAnsi" w:cstheme="majorHAnsi"/>
          <w:sz w:val="16"/>
          <w:szCs w:val="16"/>
          <w:lang w:val="ro-MD"/>
        </w:rPr>
        <w:t xml:space="preserve">otărârii </w:t>
      </w:r>
      <w:r w:rsidRPr="00C2186E">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C2186E">
        <w:rPr>
          <w:rFonts w:asciiTheme="majorHAnsi" w:hAnsiTheme="majorHAnsi" w:cstheme="majorHAnsi"/>
          <w:sz w:val="16"/>
          <w:szCs w:val="16"/>
          <w:lang w:val="ro-MD"/>
        </w:rPr>
        <w:t xml:space="preserve"> nr.1077 din 23.09.2016 pe anul 2019”.</w:t>
      </w:r>
    </w:p>
  </w:footnote>
  <w:footnote w:id="27">
    <w:p w14:paraId="4ABDFEE9" w14:textId="722FD0FE" w:rsidR="00970BD4" w:rsidRPr="00C2186E" w:rsidRDefault="00970BD4" w:rsidP="001D062E">
      <w:pPr>
        <w:pStyle w:val="FootnoteText"/>
        <w:rPr>
          <w:rFonts w:asciiTheme="majorHAnsi" w:hAnsiTheme="majorHAnsi" w:cstheme="majorHAnsi"/>
          <w:sz w:val="16"/>
          <w:szCs w:val="16"/>
          <w:lang w:val="ro-MD"/>
        </w:rPr>
      </w:pPr>
      <w:r w:rsidRPr="00C2186E">
        <w:rPr>
          <w:rStyle w:val="FootnoteReference"/>
          <w:rFonts w:asciiTheme="majorHAnsi" w:hAnsiTheme="majorHAnsi" w:cstheme="majorHAnsi"/>
          <w:sz w:val="16"/>
          <w:szCs w:val="16"/>
        </w:rPr>
        <w:footnoteRef/>
      </w:r>
      <w:r w:rsidRPr="00C2186E">
        <w:rPr>
          <w:rFonts w:asciiTheme="majorHAnsi" w:hAnsiTheme="majorHAnsi" w:cstheme="majorHAnsi"/>
          <w:sz w:val="16"/>
          <w:szCs w:val="16"/>
        </w:rPr>
        <w:t xml:space="preserve"> </w:t>
      </w:r>
      <w:r w:rsidRPr="00C2186E">
        <w:rPr>
          <w:rFonts w:asciiTheme="majorHAnsi" w:hAnsiTheme="majorHAnsi" w:cstheme="majorHAnsi"/>
          <w:sz w:val="16"/>
          <w:szCs w:val="16"/>
          <w:lang w:val="ro-MD"/>
        </w:rPr>
        <w:t>Din 28 de instituții</w:t>
      </w:r>
      <w:r>
        <w:rPr>
          <w:rFonts w:asciiTheme="majorHAnsi" w:hAnsiTheme="majorHAnsi" w:cstheme="majorHAnsi"/>
          <w:sz w:val="16"/>
          <w:szCs w:val="16"/>
          <w:lang w:val="ro-MD"/>
        </w:rPr>
        <w:t>,</w:t>
      </w:r>
      <w:r w:rsidRPr="00C2186E">
        <w:rPr>
          <w:rFonts w:asciiTheme="majorHAnsi" w:hAnsiTheme="majorHAnsi" w:cstheme="majorHAnsi"/>
          <w:sz w:val="16"/>
          <w:szCs w:val="16"/>
          <w:lang w:val="ro-MD"/>
        </w:rPr>
        <w:t xml:space="preserve"> la 14 s-a majorat cu 289</w:t>
      </w:r>
      <w:r>
        <w:rPr>
          <w:rFonts w:asciiTheme="majorHAnsi" w:hAnsiTheme="majorHAnsi" w:cstheme="majorHAnsi"/>
          <w:sz w:val="16"/>
          <w:szCs w:val="16"/>
          <w:lang w:val="ro-MD"/>
        </w:rPr>
        <w:t xml:space="preserve"> de</w:t>
      </w:r>
      <w:r w:rsidRPr="00C2186E">
        <w:rPr>
          <w:rFonts w:asciiTheme="majorHAnsi" w:hAnsiTheme="majorHAnsi" w:cstheme="majorHAnsi"/>
          <w:sz w:val="16"/>
          <w:szCs w:val="16"/>
          <w:lang w:val="ro-MD"/>
        </w:rPr>
        <w:t xml:space="preserve"> studenți, la 12 - s-a diminuat cu 202 studenți, la 2 – a rămas același. </w:t>
      </w:r>
    </w:p>
  </w:footnote>
  <w:footnote w:id="28">
    <w:p w14:paraId="75E90037" w14:textId="41F360D0" w:rsidR="00970BD4" w:rsidRPr="00373FC9" w:rsidRDefault="00970BD4" w:rsidP="001D062E">
      <w:pPr>
        <w:spacing w:after="0" w:line="240" w:lineRule="auto"/>
        <w:ind w:right="-2"/>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w:t>
      </w:r>
      <w:r w:rsidRPr="00373FC9">
        <w:rPr>
          <w:rFonts w:asciiTheme="majorHAnsi" w:hAnsiTheme="majorHAnsi" w:cstheme="majorHAnsi"/>
          <w:sz w:val="16"/>
          <w:szCs w:val="16"/>
          <w:lang w:val="ro-MD"/>
        </w:rPr>
        <w:t>H</w:t>
      </w:r>
      <w:r>
        <w:rPr>
          <w:rFonts w:asciiTheme="majorHAnsi" w:hAnsiTheme="majorHAnsi" w:cstheme="majorHAnsi"/>
          <w:sz w:val="16"/>
          <w:szCs w:val="16"/>
          <w:lang w:val="ro-MD"/>
        </w:rPr>
        <w:t xml:space="preserve">otărârea </w:t>
      </w:r>
      <w:r w:rsidRPr="00373FC9">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373FC9">
        <w:rPr>
          <w:rFonts w:asciiTheme="majorHAnsi" w:hAnsiTheme="majorHAnsi" w:cstheme="majorHAnsi"/>
          <w:sz w:val="16"/>
          <w:szCs w:val="16"/>
          <w:lang w:val="ro-MD"/>
        </w:rPr>
        <w:t xml:space="preserve"> nr.649 din 10.07.2018 „Cu privire la planurile (comanda de stat) de pregătire a cadrelor pe specialități şi domenii generale de studii, cu finanțare de la bugetul de stat, în instituțiile de învățământ superior pentru anul de studii 2018-2019”.</w:t>
      </w:r>
    </w:p>
  </w:footnote>
  <w:footnote w:id="29">
    <w:p w14:paraId="06BA3A71" w14:textId="0D670D79" w:rsidR="00970BD4" w:rsidRPr="00373FC9" w:rsidRDefault="00970BD4" w:rsidP="001D062E">
      <w:pPr>
        <w:spacing w:after="0" w:line="240" w:lineRule="auto"/>
        <w:ind w:right="-2"/>
        <w:jc w:val="both"/>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H</w:t>
      </w:r>
      <w:r>
        <w:rPr>
          <w:rFonts w:asciiTheme="majorHAnsi" w:hAnsiTheme="majorHAnsi" w:cstheme="majorHAnsi"/>
          <w:sz w:val="16"/>
          <w:szCs w:val="16"/>
          <w:lang w:val="ro-MD"/>
        </w:rPr>
        <w:t xml:space="preserve">otărârea </w:t>
      </w:r>
      <w:r w:rsidRPr="00373FC9">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373FC9">
        <w:rPr>
          <w:rFonts w:asciiTheme="majorHAnsi" w:hAnsiTheme="majorHAnsi" w:cstheme="majorHAnsi"/>
          <w:sz w:val="16"/>
          <w:szCs w:val="16"/>
          <w:lang w:val="ro-MD"/>
        </w:rPr>
        <w:t xml:space="preserve"> nr.345 din 18.07.2019 „Cu privire la planurile (comanda de stat) de pregătire a cadrelor de specialitate pe domenii generale de studiu, cu finanțare de la bugetul de stat, în instituțiile de învățământ superior pentru anul de studii 2019-2020”.</w:t>
      </w:r>
    </w:p>
  </w:footnote>
  <w:footnote w:id="30">
    <w:p w14:paraId="3160A94A" w14:textId="31604F12" w:rsidR="00970BD4" w:rsidRPr="00373FC9" w:rsidRDefault="00970BD4" w:rsidP="001D062E">
      <w:pPr>
        <w:pStyle w:val="FootnoteText"/>
        <w:rPr>
          <w:rFonts w:asciiTheme="majorHAnsi" w:hAnsiTheme="majorHAnsi" w:cstheme="majorHAnsi"/>
          <w:sz w:val="16"/>
          <w:szCs w:val="16"/>
        </w:rPr>
      </w:pPr>
      <w:r w:rsidRPr="00373FC9">
        <w:rPr>
          <w:rStyle w:val="FootnoteReference"/>
          <w:rFonts w:asciiTheme="majorHAnsi" w:hAnsiTheme="majorHAnsi" w:cstheme="majorHAnsi"/>
          <w:sz w:val="16"/>
          <w:szCs w:val="16"/>
        </w:rPr>
        <w:footnoteRef/>
      </w:r>
      <w:r w:rsidRPr="00373FC9">
        <w:rPr>
          <w:rFonts w:asciiTheme="majorHAnsi" w:hAnsiTheme="majorHAnsi" w:cstheme="majorHAnsi"/>
          <w:sz w:val="16"/>
          <w:szCs w:val="16"/>
        </w:rPr>
        <w:t xml:space="preserve"> </w:t>
      </w:r>
      <w:r w:rsidRPr="00373FC9">
        <w:rPr>
          <w:rFonts w:asciiTheme="majorHAnsi" w:hAnsiTheme="majorHAnsi" w:cstheme="majorHAnsi"/>
          <w:sz w:val="16"/>
          <w:szCs w:val="16"/>
          <w:lang w:val="ro-MD"/>
        </w:rPr>
        <w:t>Instituțiile din învățământul: superior – 225,64 mil.lei, profesional tehnic secundar – 13,85 mil. lei, și postsecundar – 90,43 mil.lei.</w:t>
      </w:r>
    </w:p>
  </w:footnote>
  <w:footnote w:id="31">
    <w:p w14:paraId="644B441D" w14:textId="4C2DD82D" w:rsidR="00970BD4" w:rsidRPr="00373FC9" w:rsidRDefault="00970BD4" w:rsidP="001D062E">
      <w:pPr>
        <w:pStyle w:val="FootnoteText"/>
        <w:jc w:val="both"/>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Instituțiile din învățământul: superior – 237,7 mil.lei, profesional tehnic postsecundar și nonterțiar – 154,0 mil.lei. </w:t>
      </w:r>
    </w:p>
  </w:footnote>
  <w:footnote w:id="32">
    <w:p w14:paraId="3680EA45" w14:textId="2B60E5CA" w:rsidR="00970BD4" w:rsidRPr="00373FC9" w:rsidRDefault="00970BD4" w:rsidP="001D062E">
      <w:pPr>
        <w:pStyle w:val="FootnoteText"/>
        <w:jc w:val="both"/>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w:t>
      </w:r>
      <w:r w:rsidRPr="00373FC9">
        <w:rPr>
          <w:rFonts w:asciiTheme="majorHAnsi" w:eastAsia="Times New Roman" w:hAnsiTheme="majorHAnsi" w:cstheme="majorHAnsi"/>
          <w:sz w:val="16"/>
          <w:szCs w:val="16"/>
          <w:lang w:val="ro-MD" w:eastAsia="ru-RU"/>
        </w:rPr>
        <w:t>Pct.4 din H</w:t>
      </w:r>
      <w:r>
        <w:rPr>
          <w:rFonts w:asciiTheme="majorHAnsi" w:eastAsia="Times New Roman" w:hAnsiTheme="majorHAnsi" w:cstheme="majorHAnsi"/>
          <w:sz w:val="16"/>
          <w:szCs w:val="16"/>
          <w:lang w:val="ro-MD" w:eastAsia="ru-RU"/>
        </w:rPr>
        <w:t xml:space="preserve">otărârea </w:t>
      </w:r>
      <w:r w:rsidRPr="00373FC9">
        <w:rPr>
          <w:rFonts w:asciiTheme="majorHAnsi" w:eastAsia="Times New Roman" w:hAnsiTheme="majorHAnsi" w:cstheme="majorHAnsi"/>
          <w:sz w:val="16"/>
          <w:szCs w:val="16"/>
          <w:lang w:val="ro-MD" w:eastAsia="ru-RU"/>
        </w:rPr>
        <w:t>G</w:t>
      </w:r>
      <w:r>
        <w:rPr>
          <w:rFonts w:asciiTheme="majorHAnsi" w:eastAsia="Times New Roman" w:hAnsiTheme="majorHAnsi" w:cstheme="majorHAnsi"/>
          <w:sz w:val="16"/>
          <w:szCs w:val="16"/>
          <w:lang w:val="ro-MD" w:eastAsia="ru-RU"/>
        </w:rPr>
        <w:t>uvernului</w:t>
      </w:r>
      <w:r w:rsidRPr="00373FC9">
        <w:rPr>
          <w:rFonts w:asciiTheme="majorHAnsi" w:eastAsia="Times New Roman" w:hAnsiTheme="majorHAnsi" w:cstheme="majorHAnsi"/>
          <w:sz w:val="16"/>
          <w:szCs w:val="16"/>
          <w:lang w:val="ro-MD" w:eastAsia="ru-RU"/>
        </w:rPr>
        <w:t xml:space="preserve"> nr.923 din 04.09.2001 „Cu privire la plasarea în câmpul muncii a absolvenţilor instituţiilor de învăţământ superior şi profesional tehnic postsecundar şi postsecundar nonterţiar de stat”.</w:t>
      </w:r>
    </w:p>
  </w:footnote>
  <w:footnote w:id="33">
    <w:p w14:paraId="0AA83BD3" w14:textId="3F5C4D4D" w:rsidR="00970BD4" w:rsidRPr="00373FC9" w:rsidRDefault="00970BD4" w:rsidP="001D062E">
      <w:pPr>
        <w:spacing w:after="0" w:line="240" w:lineRule="auto"/>
        <w:ind w:right="-2"/>
        <w:jc w:val="both"/>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H</w:t>
      </w:r>
      <w:r>
        <w:rPr>
          <w:rFonts w:asciiTheme="majorHAnsi" w:hAnsiTheme="majorHAnsi" w:cstheme="majorHAnsi"/>
          <w:sz w:val="16"/>
          <w:szCs w:val="16"/>
          <w:lang w:val="ro-MD"/>
        </w:rPr>
        <w:t xml:space="preserve">otărârea </w:t>
      </w:r>
      <w:r w:rsidRPr="00373FC9">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373FC9">
        <w:rPr>
          <w:rFonts w:asciiTheme="majorHAnsi" w:hAnsiTheme="majorHAnsi" w:cstheme="majorHAnsi"/>
          <w:sz w:val="16"/>
          <w:szCs w:val="16"/>
          <w:lang w:val="ro-MD"/>
        </w:rPr>
        <w:t xml:space="preserve"> nr.872 din 21.12.2015 „Cu privire la lucrările şi serviciile contra plată, mărimea tarifelor la servicii, modul de formare şi utilizare a veniturilor colectate de către autoritățile/instituțiile subordonate Ministerului Educației, Culturii şi Cercetării”. H</w:t>
      </w:r>
      <w:r>
        <w:rPr>
          <w:rFonts w:asciiTheme="majorHAnsi" w:hAnsiTheme="majorHAnsi" w:cstheme="majorHAnsi"/>
          <w:sz w:val="16"/>
          <w:szCs w:val="16"/>
          <w:lang w:val="ro-MD"/>
        </w:rPr>
        <w:t xml:space="preserve">otărârea </w:t>
      </w:r>
      <w:r w:rsidRPr="00373FC9">
        <w:rPr>
          <w:rFonts w:asciiTheme="majorHAnsi" w:hAnsiTheme="majorHAnsi" w:cstheme="majorHAnsi"/>
          <w:sz w:val="16"/>
          <w:szCs w:val="16"/>
          <w:lang w:val="ro-MD"/>
        </w:rPr>
        <w:t>G</w:t>
      </w:r>
      <w:r>
        <w:rPr>
          <w:rFonts w:asciiTheme="majorHAnsi" w:hAnsiTheme="majorHAnsi" w:cstheme="majorHAnsi"/>
          <w:sz w:val="16"/>
          <w:szCs w:val="16"/>
          <w:lang w:val="ro-MD"/>
        </w:rPr>
        <w:t xml:space="preserve">uvernului </w:t>
      </w:r>
      <w:r w:rsidRPr="00373FC9">
        <w:rPr>
          <w:rFonts w:asciiTheme="majorHAnsi" w:hAnsiTheme="majorHAnsi" w:cstheme="majorHAnsi"/>
          <w:sz w:val="16"/>
          <w:szCs w:val="16"/>
          <w:lang w:val="ro-MD"/>
        </w:rPr>
        <w:t xml:space="preserve"> nr.1311 din 12.12.2005 „Cu privire la aprobarea nomenclatoarelor serviciilor cu plată prestate de către Ministerul Educaţiei, Culturii şi Cercetării şi instituțiile subordonate”.</w:t>
      </w:r>
    </w:p>
  </w:footnote>
  <w:footnote w:id="34">
    <w:p w14:paraId="730BD08F" w14:textId="3E5BBAD4" w:rsidR="00970BD4" w:rsidRPr="00373FC9" w:rsidRDefault="00970BD4" w:rsidP="001D062E">
      <w:pPr>
        <w:pStyle w:val="FootnoteText"/>
        <w:jc w:val="both"/>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Legea bugetului de stat pe anul 2019 nr.303 din 30.11.2018 și pct.4 din H</w:t>
      </w:r>
      <w:r>
        <w:rPr>
          <w:rFonts w:asciiTheme="majorHAnsi" w:hAnsiTheme="majorHAnsi" w:cstheme="majorHAnsi"/>
          <w:sz w:val="16"/>
          <w:szCs w:val="16"/>
          <w:lang w:val="ro-MD"/>
        </w:rPr>
        <w:t xml:space="preserve">otărârea </w:t>
      </w:r>
      <w:r w:rsidRPr="00373FC9">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373FC9">
        <w:rPr>
          <w:rFonts w:asciiTheme="majorHAnsi" w:hAnsiTheme="majorHAnsi" w:cstheme="majorHAnsi"/>
          <w:sz w:val="16"/>
          <w:szCs w:val="16"/>
          <w:lang w:val="ro-MD"/>
        </w:rPr>
        <w:t xml:space="preserve"> nr.1077 din 23.09.2016 „Cu privire la finanțarea în </w:t>
      </w:r>
      <w:r w:rsidRPr="00C01385">
        <w:rPr>
          <w:rFonts w:asciiTheme="majorHAnsi" w:hAnsiTheme="majorHAnsi" w:cstheme="majorHAnsi"/>
          <w:sz w:val="16"/>
          <w:szCs w:val="16"/>
          <w:lang w:val="ro-MD"/>
        </w:rPr>
        <w:t>bază de cost per</w:t>
      </w:r>
      <w:r w:rsidRPr="00373FC9">
        <w:rPr>
          <w:rFonts w:asciiTheme="majorHAnsi" w:hAnsiTheme="majorHAnsi" w:cstheme="majorHAnsi"/>
          <w:sz w:val="16"/>
          <w:szCs w:val="16"/>
          <w:lang w:val="ro-MD"/>
        </w:rPr>
        <w:t xml:space="preserve"> elev a instituțiilor publice de învățământ profesional tehnic” (cu modificările și completările ulterioare).</w:t>
      </w:r>
    </w:p>
  </w:footnote>
  <w:footnote w:id="35">
    <w:p w14:paraId="274D0605" w14:textId="7B188BC7" w:rsidR="00970BD4" w:rsidRPr="00C2186E" w:rsidRDefault="00970BD4" w:rsidP="001D062E">
      <w:pPr>
        <w:pStyle w:val="NormalWeb"/>
        <w:ind w:firstLine="0"/>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Pct.10 din Anexa nr.3 la H</w:t>
      </w:r>
      <w:r>
        <w:rPr>
          <w:rFonts w:asciiTheme="majorHAnsi" w:hAnsiTheme="majorHAnsi" w:cstheme="majorHAnsi"/>
          <w:sz w:val="16"/>
          <w:szCs w:val="16"/>
          <w:lang w:val="ro-MD"/>
        </w:rPr>
        <w:t xml:space="preserve">otărârea </w:t>
      </w:r>
      <w:r w:rsidRPr="00373FC9">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373FC9">
        <w:rPr>
          <w:rFonts w:asciiTheme="majorHAnsi" w:hAnsiTheme="majorHAnsi" w:cstheme="majorHAnsi"/>
          <w:sz w:val="16"/>
          <w:szCs w:val="16"/>
          <w:lang w:val="ro-MD"/>
        </w:rPr>
        <w:t xml:space="preserve"> nr.872 din 21.12.2015.</w:t>
      </w:r>
    </w:p>
  </w:footnote>
  <w:footnote w:id="36">
    <w:p w14:paraId="50ECC243" w14:textId="66D0055F" w:rsidR="00970BD4" w:rsidRPr="00C2186E" w:rsidRDefault="00970BD4" w:rsidP="001D062E">
      <w:pPr>
        <w:pStyle w:val="FootnoteText"/>
        <w:jc w:val="both"/>
        <w:rPr>
          <w:rFonts w:asciiTheme="majorHAnsi" w:hAnsiTheme="majorHAnsi" w:cstheme="majorHAnsi"/>
          <w:bCs/>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w:t>
      </w:r>
      <w:r w:rsidRPr="00373FC9">
        <w:rPr>
          <w:rFonts w:asciiTheme="majorHAnsi" w:hAnsiTheme="majorHAnsi" w:cstheme="majorHAnsi"/>
          <w:bCs/>
          <w:iCs/>
          <w:sz w:val="16"/>
          <w:szCs w:val="16"/>
          <w:lang w:val="ro-MD"/>
        </w:rPr>
        <w:t>H</w:t>
      </w:r>
      <w:r>
        <w:rPr>
          <w:rFonts w:asciiTheme="majorHAnsi" w:hAnsiTheme="majorHAnsi" w:cstheme="majorHAnsi"/>
          <w:bCs/>
          <w:iCs/>
          <w:sz w:val="16"/>
          <w:szCs w:val="16"/>
          <w:lang w:val="ro-MD"/>
        </w:rPr>
        <w:t xml:space="preserve">otărârea </w:t>
      </w:r>
      <w:r w:rsidRPr="00373FC9">
        <w:rPr>
          <w:rFonts w:asciiTheme="majorHAnsi" w:hAnsiTheme="majorHAnsi" w:cstheme="majorHAnsi"/>
          <w:bCs/>
          <w:iCs/>
          <w:sz w:val="16"/>
          <w:szCs w:val="16"/>
          <w:lang w:val="ro-MD"/>
        </w:rPr>
        <w:t>G</w:t>
      </w:r>
      <w:r>
        <w:rPr>
          <w:rFonts w:asciiTheme="majorHAnsi" w:hAnsiTheme="majorHAnsi" w:cstheme="majorHAnsi"/>
          <w:bCs/>
          <w:iCs/>
          <w:sz w:val="16"/>
          <w:szCs w:val="16"/>
          <w:lang w:val="ro-MD"/>
        </w:rPr>
        <w:t>uvernului</w:t>
      </w:r>
      <w:r w:rsidRPr="00C2186E">
        <w:rPr>
          <w:rFonts w:asciiTheme="majorHAnsi" w:hAnsiTheme="majorHAnsi" w:cstheme="majorHAnsi"/>
          <w:bCs/>
          <w:iCs/>
          <w:sz w:val="16"/>
          <w:szCs w:val="16"/>
          <w:lang w:val="ro-MD"/>
        </w:rPr>
        <w:t xml:space="preserve"> nr.868 din 08.10.2014</w:t>
      </w:r>
      <w:r w:rsidRPr="00C2186E">
        <w:rPr>
          <w:rFonts w:asciiTheme="majorHAnsi" w:hAnsiTheme="majorHAnsi" w:cstheme="majorHAnsi"/>
          <w:bCs/>
          <w:sz w:val="16"/>
          <w:szCs w:val="16"/>
          <w:lang w:val="ro-MD"/>
        </w:rPr>
        <w:t xml:space="preserve"> „Privind finanțarea în bază de cost</w:t>
      </w:r>
      <w:r>
        <w:rPr>
          <w:rFonts w:asciiTheme="majorHAnsi" w:hAnsiTheme="majorHAnsi" w:cstheme="majorHAnsi"/>
          <w:bCs/>
          <w:sz w:val="16"/>
          <w:szCs w:val="16"/>
          <w:lang w:val="ro-MD"/>
        </w:rPr>
        <w:t>-</w:t>
      </w:r>
      <w:r w:rsidRPr="00C2186E">
        <w:rPr>
          <w:rFonts w:asciiTheme="majorHAnsi" w:hAnsiTheme="majorHAnsi" w:cstheme="majorHAnsi"/>
          <w:bCs/>
          <w:sz w:val="16"/>
          <w:szCs w:val="16"/>
          <w:lang w:val="ro-MD"/>
        </w:rPr>
        <w:t>standard per elev a instituțiilor de învățământ primar și secundar general din subordinea autorităților publice locale de nivelul al doilea”</w:t>
      </w:r>
      <w:r w:rsidRPr="00C2186E">
        <w:rPr>
          <w:rFonts w:asciiTheme="majorHAnsi" w:hAnsiTheme="majorHAnsi" w:cstheme="majorHAnsi"/>
          <w:bCs/>
          <w:iCs/>
          <w:sz w:val="16"/>
          <w:szCs w:val="16"/>
          <w:lang w:val="ro-MD"/>
        </w:rPr>
        <w:t>.</w:t>
      </w:r>
    </w:p>
  </w:footnote>
  <w:footnote w:id="37">
    <w:p w14:paraId="25E55304" w14:textId="77777777" w:rsidR="00970BD4" w:rsidRPr="00C2186E" w:rsidRDefault="00970BD4" w:rsidP="001D062E">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w:t>
      </w:r>
      <w:r w:rsidRPr="00C2186E">
        <w:rPr>
          <w:rFonts w:asciiTheme="majorHAnsi" w:hAnsiTheme="majorHAnsi" w:cstheme="majorHAnsi"/>
          <w:iCs/>
          <w:sz w:val="16"/>
          <w:szCs w:val="16"/>
          <w:lang w:val="ro-MD"/>
        </w:rPr>
        <w:t>Circulara Ministerului Finanțelor nr.06/2-07 din 04.11.2019.</w:t>
      </w:r>
    </w:p>
  </w:footnote>
  <w:footnote w:id="38">
    <w:p w14:paraId="556B4161" w14:textId="44C28B67" w:rsidR="00970BD4" w:rsidRPr="00373FC9" w:rsidRDefault="00970BD4" w:rsidP="007A65F5">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Institutul de Energetică – 1,98 mii lei; Institutul de Chimie – 6,23 mii lei; Institutul de Zoologie – 1,81 mii lei; Grădina Botanică – 0,4 mii lei; Institutul de Fizică Aplicată – 2,15 mii lei; Institutul de Fiziologie și Sanocreatologie – 4,21 mii lei; Institutul de Inginerie Electronică și Nanotehnologii – 0,3 mii lei; Institutul de Microbiologie și Biotehnologie - 3,56 mii lei; Centrul Republican pentru Copii și Tineret – 4,79 mii lei; Institutul de Genetică, </w:t>
      </w:r>
      <w:r w:rsidRPr="00373FC9">
        <w:rPr>
          <w:rFonts w:asciiTheme="majorHAnsi" w:hAnsiTheme="majorHAnsi" w:cstheme="majorHAnsi"/>
          <w:sz w:val="16"/>
          <w:szCs w:val="16"/>
          <w:lang w:val="ro-MD"/>
        </w:rPr>
        <w:t>Fiziologie și Protecți</w:t>
      </w:r>
      <w:r>
        <w:rPr>
          <w:rFonts w:asciiTheme="majorHAnsi" w:hAnsiTheme="majorHAnsi" w:cstheme="majorHAnsi"/>
          <w:sz w:val="16"/>
          <w:szCs w:val="16"/>
          <w:lang w:val="ro-MD"/>
        </w:rPr>
        <w:t xml:space="preserve">e </w:t>
      </w:r>
      <w:r w:rsidRPr="00373FC9">
        <w:rPr>
          <w:rFonts w:asciiTheme="majorHAnsi" w:hAnsiTheme="majorHAnsi" w:cstheme="majorHAnsi"/>
          <w:sz w:val="16"/>
          <w:szCs w:val="16"/>
          <w:lang w:val="ro-MD"/>
        </w:rPr>
        <w:t>a Plantelor – 22,82 mii lei.</w:t>
      </w:r>
    </w:p>
  </w:footnote>
  <w:footnote w:id="39">
    <w:p w14:paraId="37BD1362" w14:textId="2918C220" w:rsidR="00970BD4" w:rsidRPr="00373FC9" w:rsidRDefault="00970BD4" w:rsidP="00530105">
      <w:pPr>
        <w:pStyle w:val="FootnoteText"/>
        <w:jc w:val="both"/>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H</w:t>
      </w:r>
      <w:r>
        <w:rPr>
          <w:rFonts w:asciiTheme="majorHAnsi" w:hAnsiTheme="majorHAnsi" w:cstheme="majorHAnsi"/>
          <w:sz w:val="16"/>
          <w:szCs w:val="16"/>
          <w:lang w:val="ro-MD"/>
        </w:rPr>
        <w:t xml:space="preserve">otărârea </w:t>
      </w:r>
      <w:r w:rsidRPr="00373FC9">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373FC9">
        <w:rPr>
          <w:rFonts w:asciiTheme="majorHAnsi" w:hAnsiTheme="majorHAnsi" w:cstheme="majorHAnsi"/>
          <w:sz w:val="16"/>
          <w:szCs w:val="16"/>
          <w:lang w:val="ro-MD"/>
        </w:rPr>
        <w:t xml:space="preserve"> nr.266 din 14.03.2006 „Cu privire la alimentația gratuită a elevilor din sistemul de învățământ secundar profesional”.</w:t>
      </w:r>
    </w:p>
  </w:footnote>
  <w:footnote w:id="40">
    <w:p w14:paraId="567EA6A7" w14:textId="0CAE7C5C" w:rsidR="00970BD4" w:rsidRPr="00373FC9" w:rsidRDefault="00970BD4" w:rsidP="00C01385">
      <w:pPr>
        <w:pStyle w:val="FootnoteText"/>
        <w:tabs>
          <w:tab w:val="left" w:pos="7062"/>
        </w:tabs>
        <w:jc w:val="both"/>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Raportul de audit aprobat prin Hotărârea Curții de Conturi nr.47 din 30.05.2019.</w:t>
      </w:r>
      <w:r w:rsidRPr="00373FC9">
        <w:rPr>
          <w:rFonts w:asciiTheme="majorHAnsi" w:hAnsiTheme="majorHAnsi" w:cstheme="majorHAnsi"/>
          <w:sz w:val="16"/>
          <w:szCs w:val="16"/>
          <w:lang w:val="ro-MD"/>
        </w:rPr>
        <w:tab/>
      </w:r>
    </w:p>
  </w:footnote>
  <w:footnote w:id="41">
    <w:p w14:paraId="53CC3A1F" w14:textId="5BA138D6" w:rsidR="00970BD4" w:rsidRPr="00373FC9" w:rsidRDefault="00970BD4" w:rsidP="004949B5">
      <w:pPr>
        <w:pStyle w:val="FootnoteText"/>
        <w:jc w:val="both"/>
        <w:rPr>
          <w:rFonts w:asciiTheme="majorHAnsi" w:hAnsiTheme="majorHAnsi" w:cstheme="majorHAnsi"/>
          <w:sz w:val="16"/>
          <w:szCs w:val="16"/>
          <w:lang w:val="ro-MD"/>
        </w:rPr>
      </w:pPr>
      <w:r w:rsidRPr="00373FC9">
        <w:rPr>
          <w:rStyle w:val="FootnoteReference"/>
          <w:rFonts w:asciiTheme="majorHAnsi" w:hAnsiTheme="majorHAnsi" w:cstheme="majorHAnsi"/>
          <w:sz w:val="16"/>
          <w:szCs w:val="16"/>
          <w:lang w:val="ro-MD"/>
        </w:rPr>
        <w:footnoteRef/>
      </w:r>
      <w:r w:rsidRPr="00373FC9">
        <w:rPr>
          <w:rFonts w:asciiTheme="majorHAnsi" w:hAnsiTheme="majorHAnsi" w:cstheme="majorHAnsi"/>
          <w:sz w:val="16"/>
          <w:szCs w:val="16"/>
          <w:lang w:val="ro-MD"/>
        </w:rPr>
        <w:t xml:space="preserve"> H</w:t>
      </w:r>
      <w:r>
        <w:rPr>
          <w:rFonts w:asciiTheme="majorHAnsi" w:hAnsiTheme="majorHAnsi" w:cstheme="majorHAnsi"/>
          <w:sz w:val="16"/>
          <w:szCs w:val="16"/>
          <w:lang w:val="ro-MD"/>
        </w:rPr>
        <w:t xml:space="preserve">otărârea </w:t>
      </w:r>
      <w:r w:rsidRPr="00373FC9">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373FC9">
        <w:rPr>
          <w:rFonts w:asciiTheme="majorHAnsi" w:hAnsiTheme="majorHAnsi" w:cstheme="majorHAnsi"/>
          <w:sz w:val="16"/>
          <w:szCs w:val="16"/>
          <w:lang w:val="ro-MD"/>
        </w:rPr>
        <w:t xml:space="preserve"> nr.351 din 23.03.2005 „Cu privire la aprobarea listelor bunurilor imobile proprietate publică a statului și la transmiterea unor bunuri imobile”.</w:t>
      </w:r>
    </w:p>
  </w:footnote>
  <w:footnote w:id="42">
    <w:p w14:paraId="1571EE2A" w14:textId="79478AF6" w:rsidR="00970BD4" w:rsidRPr="00970BD4" w:rsidRDefault="00970BD4" w:rsidP="00970BD4">
      <w:pPr>
        <w:pStyle w:val="FootnoteText"/>
        <w:jc w:val="both"/>
        <w:rPr>
          <w:rFonts w:asciiTheme="majorHAnsi" w:hAnsiTheme="majorHAnsi" w:cstheme="majorHAnsi"/>
          <w:sz w:val="16"/>
          <w:szCs w:val="16"/>
          <w:lang w:val="ro-MD"/>
        </w:rPr>
      </w:pPr>
      <w:r w:rsidRPr="00970BD4">
        <w:rPr>
          <w:rStyle w:val="FootnoteReference"/>
          <w:rFonts w:asciiTheme="majorHAnsi" w:hAnsiTheme="majorHAnsi" w:cstheme="majorHAnsi"/>
          <w:sz w:val="16"/>
          <w:szCs w:val="16"/>
          <w:lang w:val="ro-MD"/>
        </w:rPr>
        <w:footnoteRef/>
      </w:r>
      <w:r w:rsidRPr="00970BD4">
        <w:rPr>
          <w:rFonts w:asciiTheme="majorHAnsi" w:hAnsiTheme="majorHAnsi" w:cstheme="majorHAnsi"/>
          <w:sz w:val="16"/>
          <w:szCs w:val="16"/>
          <w:lang w:val="ro-MD"/>
        </w:rPr>
        <w:t xml:space="preserve"> ȘcoalaProfesională (ȘP). com</w:t>
      </w:r>
      <w:r w:rsidRPr="00373FC9">
        <w:rPr>
          <w:rFonts w:asciiTheme="majorHAnsi" w:hAnsiTheme="majorHAnsi" w:cstheme="majorHAnsi"/>
          <w:sz w:val="16"/>
          <w:szCs w:val="16"/>
          <w:lang w:val="ro-MD"/>
        </w:rPr>
        <w:t>. Cuhureștii de Sus, r-nul Florești – 2 clădiri (492 mii lei</w:t>
      </w:r>
      <w:r w:rsidRPr="00970BD4">
        <w:rPr>
          <w:rFonts w:asciiTheme="majorHAnsi" w:hAnsiTheme="majorHAnsi" w:cstheme="majorHAnsi"/>
          <w:sz w:val="16"/>
          <w:szCs w:val="16"/>
          <w:lang w:val="ro-MD"/>
        </w:rPr>
        <w:t>); Ș.P. or. Ceadâr-Lunga – 1 clădire (59,8 mii lei); Universitatea Tehnică a Moldovei – 1 clădire (4,1 mil. lei).</w:t>
      </w:r>
    </w:p>
  </w:footnote>
  <w:footnote w:id="43">
    <w:p w14:paraId="344447E6" w14:textId="125DDDAE" w:rsidR="00970BD4" w:rsidRPr="00970BD4" w:rsidRDefault="00970BD4" w:rsidP="00AE31CC">
      <w:pPr>
        <w:pStyle w:val="FootnoteText"/>
        <w:rPr>
          <w:rFonts w:asciiTheme="majorHAnsi" w:hAnsiTheme="majorHAnsi" w:cstheme="majorHAnsi"/>
          <w:sz w:val="16"/>
          <w:szCs w:val="16"/>
          <w:lang w:val="ro-MD"/>
        </w:rPr>
      </w:pPr>
      <w:r w:rsidRPr="00970BD4">
        <w:rPr>
          <w:rStyle w:val="FootnoteReference"/>
          <w:rFonts w:asciiTheme="majorHAnsi" w:hAnsiTheme="majorHAnsi" w:cstheme="majorHAnsi"/>
          <w:sz w:val="16"/>
          <w:szCs w:val="16"/>
          <w:lang w:val="ro-MD"/>
        </w:rPr>
        <w:footnoteRef/>
      </w:r>
      <w:r w:rsidRPr="00970BD4">
        <w:rPr>
          <w:rFonts w:asciiTheme="majorHAnsi" w:hAnsiTheme="majorHAnsi" w:cstheme="majorHAnsi"/>
          <w:sz w:val="16"/>
          <w:szCs w:val="16"/>
          <w:lang w:val="ro-MD"/>
        </w:rPr>
        <w:t xml:space="preserve"> </w:t>
      </w:r>
      <w:r w:rsidRPr="00970BD4">
        <w:rPr>
          <w:rFonts w:asciiTheme="majorHAnsi" w:eastAsia="Times New Roman" w:hAnsiTheme="majorHAnsi" w:cstheme="majorHAnsi"/>
          <w:color w:val="000000"/>
          <w:sz w:val="16"/>
          <w:szCs w:val="16"/>
          <w:lang w:val="ro-MD"/>
        </w:rPr>
        <w:t>15344 (0100416.132 - 0,12 ha; 0100416.135 - 0,75 ha); 15354 (6030219.160 - 1,29 ha); 15353 (0502312.028 - 0,10 ha); 15369 (6237201.200 - 0,72 ha).</w:t>
      </w:r>
    </w:p>
  </w:footnote>
  <w:footnote w:id="44">
    <w:p w14:paraId="03C252A1" w14:textId="48AAEA4A" w:rsidR="00970BD4" w:rsidRPr="00970BD4" w:rsidRDefault="00970BD4" w:rsidP="009546D1">
      <w:pPr>
        <w:pStyle w:val="FootnoteText"/>
        <w:jc w:val="both"/>
        <w:rPr>
          <w:rFonts w:asciiTheme="majorHAnsi" w:hAnsiTheme="majorHAnsi" w:cstheme="majorHAnsi"/>
          <w:sz w:val="16"/>
          <w:szCs w:val="16"/>
          <w:lang w:val="ro-MD"/>
        </w:rPr>
      </w:pPr>
      <w:r w:rsidRPr="00970BD4">
        <w:rPr>
          <w:rStyle w:val="FootnoteReference"/>
          <w:rFonts w:asciiTheme="majorHAnsi" w:hAnsiTheme="majorHAnsi" w:cstheme="majorHAnsi"/>
          <w:sz w:val="16"/>
          <w:szCs w:val="16"/>
          <w:lang w:val="ro-MD"/>
        </w:rPr>
        <w:footnoteRef/>
      </w:r>
      <w:r w:rsidRPr="00970BD4">
        <w:rPr>
          <w:rFonts w:asciiTheme="majorHAnsi" w:hAnsiTheme="majorHAnsi" w:cstheme="majorHAnsi"/>
          <w:sz w:val="16"/>
          <w:szCs w:val="16"/>
          <w:lang w:val="ro-MD"/>
        </w:rPr>
        <w:t xml:space="preserve"> Hotărârea Guvernului nr.806 din 01.08.2018 „Cu privire la modificarea unor hotărâri ale Guvernului”.</w:t>
      </w:r>
    </w:p>
  </w:footnote>
  <w:footnote w:id="45">
    <w:p w14:paraId="50E89DE3" w14:textId="1C21B9C2" w:rsidR="00970BD4" w:rsidRPr="00C2186E" w:rsidRDefault="00970BD4" w:rsidP="009546D1">
      <w:pPr>
        <w:pStyle w:val="FootnoteText"/>
        <w:jc w:val="both"/>
        <w:rPr>
          <w:rFonts w:asciiTheme="majorHAnsi" w:hAnsiTheme="majorHAnsi" w:cstheme="majorHAnsi"/>
          <w:sz w:val="16"/>
          <w:szCs w:val="16"/>
          <w:lang w:val="ro-MD"/>
        </w:rPr>
      </w:pPr>
      <w:r w:rsidRPr="00970BD4">
        <w:rPr>
          <w:rStyle w:val="FootnoteReference"/>
          <w:rFonts w:asciiTheme="majorHAnsi" w:hAnsiTheme="majorHAnsi" w:cstheme="majorHAnsi"/>
          <w:sz w:val="16"/>
          <w:szCs w:val="16"/>
          <w:lang w:val="ro-MD"/>
        </w:rPr>
        <w:footnoteRef/>
      </w:r>
      <w:r w:rsidRPr="00970BD4">
        <w:rPr>
          <w:rFonts w:asciiTheme="majorHAnsi" w:hAnsiTheme="majorHAnsi" w:cstheme="majorHAnsi"/>
          <w:sz w:val="16"/>
          <w:szCs w:val="16"/>
          <w:lang w:val="ro-MD"/>
        </w:rPr>
        <w:t xml:space="preserve"> Î.S. Manej de atletică ușoară; Î.S. de Producere și Comerț „Didactica”; Î.S. Centrul Științific Metodic și Editorial „Universul Pedagogic”; Î.S. Combinatul Poligrafic din Chișinău; Î.S. Firma Editorial-poligrafică „Tipografia Centrală”; Î.S. Editura de Stat „Cartea Moldovei”; Î</w:t>
      </w:r>
      <w:r w:rsidRPr="00C2186E">
        <w:rPr>
          <w:rFonts w:asciiTheme="majorHAnsi" w:hAnsiTheme="majorHAnsi" w:cstheme="majorHAnsi"/>
          <w:sz w:val="16"/>
          <w:szCs w:val="16"/>
          <w:lang w:val="ro-MD"/>
        </w:rPr>
        <w:t>.S. Editura Didactică de Stat „Lumina”; Î.S. Studioul „Arta-Cinema”; Î.S. Hotelul „Zarea”; Î.S. Revista „Sud-Est”; Î.S. „Gaudeamus-Cinema”; Î.S. Publicația periodică Revista social-culturală „Moldova”; Î.S. Asociația de arte și creație artistică „Interarta”; Î.S. „Agenția Cinemavideo din Strășeni”; Î.S. „Registrul Cinematografic”; S</w:t>
      </w:r>
      <w:r>
        <w:rPr>
          <w:rFonts w:asciiTheme="majorHAnsi" w:hAnsiTheme="majorHAnsi" w:cstheme="majorHAnsi"/>
          <w:sz w:val="16"/>
          <w:szCs w:val="16"/>
          <w:lang w:val="ro-MD"/>
        </w:rPr>
        <w:t>.</w:t>
      </w:r>
      <w:r w:rsidRPr="00C2186E">
        <w:rPr>
          <w:rFonts w:asciiTheme="majorHAnsi" w:hAnsiTheme="majorHAnsi" w:cstheme="majorHAnsi"/>
          <w:sz w:val="16"/>
          <w:szCs w:val="16"/>
          <w:lang w:val="ro-MD"/>
        </w:rPr>
        <w:t>A</w:t>
      </w:r>
      <w:r>
        <w:rPr>
          <w:rFonts w:asciiTheme="majorHAnsi" w:hAnsiTheme="majorHAnsi" w:cstheme="majorHAnsi"/>
          <w:sz w:val="16"/>
          <w:szCs w:val="16"/>
          <w:lang w:val="ro-MD"/>
        </w:rPr>
        <w:t>.</w:t>
      </w:r>
      <w:r w:rsidRPr="00C2186E">
        <w:rPr>
          <w:rFonts w:asciiTheme="majorHAnsi" w:hAnsiTheme="majorHAnsi" w:cstheme="majorHAnsi"/>
          <w:sz w:val="16"/>
          <w:szCs w:val="16"/>
          <w:lang w:val="ro-MD"/>
        </w:rPr>
        <w:t xml:space="preserve"> „Moldcinema”; S</w:t>
      </w:r>
      <w:r>
        <w:rPr>
          <w:rFonts w:asciiTheme="majorHAnsi" w:hAnsiTheme="majorHAnsi" w:cstheme="majorHAnsi"/>
          <w:sz w:val="16"/>
          <w:szCs w:val="16"/>
          <w:lang w:val="ro-MD"/>
        </w:rPr>
        <w:t>.</w:t>
      </w:r>
      <w:r w:rsidRPr="00C2186E">
        <w:rPr>
          <w:rFonts w:asciiTheme="majorHAnsi" w:hAnsiTheme="majorHAnsi" w:cstheme="majorHAnsi"/>
          <w:sz w:val="16"/>
          <w:szCs w:val="16"/>
          <w:lang w:val="ro-MD"/>
        </w:rPr>
        <w:t>A</w:t>
      </w:r>
      <w:r>
        <w:rPr>
          <w:rFonts w:asciiTheme="majorHAnsi" w:hAnsiTheme="majorHAnsi" w:cstheme="majorHAnsi"/>
          <w:sz w:val="16"/>
          <w:szCs w:val="16"/>
          <w:lang w:val="ro-MD"/>
        </w:rPr>
        <w:t>.</w:t>
      </w:r>
      <w:r w:rsidRPr="00C2186E">
        <w:rPr>
          <w:rFonts w:asciiTheme="majorHAnsi" w:hAnsiTheme="majorHAnsi" w:cstheme="majorHAnsi"/>
          <w:sz w:val="16"/>
          <w:szCs w:val="16"/>
          <w:lang w:val="ro-MD"/>
        </w:rPr>
        <w:t xml:space="preserve"> „Moldova</w:t>
      </w:r>
      <w:r>
        <w:rPr>
          <w:rFonts w:asciiTheme="majorHAnsi" w:hAnsiTheme="majorHAnsi" w:cstheme="majorHAnsi"/>
          <w:sz w:val="16"/>
          <w:szCs w:val="16"/>
          <w:lang w:val="ro-MD"/>
        </w:rPr>
        <w:t>-f</w:t>
      </w:r>
      <w:r w:rsidRPr="00C2186E">
        <w:rPr>
          <w:rFonts w:asciiTheme="majorHAnsi" w:hAnsiTheme="majorHAnsi" w:cstheme="majorHAnsi"/>
          <w:sz w:val="16"/>
          <w:szCs w:val="16"/>
          <w:lang w:val="ro-MD"/>
        </w:rPr>
        <w:t xml:space="preserve">ilm”. </w:t>
      </w:r>
    </w:p>
  </w:footnote>
  <w:footnote w:id="46">
    <w:p w14:paraId="06FDFE89" w14:textId="56267806" w:rsidR="00970BD4" w:rsidRPr="00C2186E" w:rsidRDefault="00970BD4" w:rsidP="009546D1">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H</w:t>
      </w:r>
      <w:r>
        <w:rPr>
          <w:rFonts w:asciiTheme="majorHAnsi" w:hAnsiTheme="majorHAnsi" w:cstheme="majorHAnsi"/>
          <w:sz w:val="16"/>
          <w:szCs w:val="16"/>
          <w:lang w:val="ro-MD"/>
        </w:rPr>
        <w:t xml:space="preserve">otărârea </w:t>
      </w:r>
      <w:r w:rsidRPr="00C2186E">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C2186E">
        <w:rPr>
          <w:rFonts w:asciiTheme="majorHAnsi" w:hAnsiTheme="majorHAnsi" w:cstheme="majorHAnsi"/>
          <w:sz w:val="16"/>
          <w:szCs w:val="16"/>
          <w:lang w:val="ro-MD"/>
        </w:rPr>
        <w:t xml:space="preserve"> nr.901 din 31.12.2015 „</w:t>
      </w:r>
      <w:r>
        <w:rPr>
          <w:rFonts w:asciiTheme="majorHAnsi" w:hAnsiTheme="majorHAnsi" w:cstheme="majorHAnsi"/>
          <w:sz w:val="16"/>
          <w:szCs w:val="16"/>
          <w:lang w:val="ro-MD"/>
        </w:rPr>
        <w:t>P</w:t>
      </w:r>
      <w:r w:rsidRPr="00C2186E">
        <w:rPr>
          <w:rFonts w:asciiTheme="majorHAnsi" w:hAnsiTheme="majorHAnsi" w:cstheme="majorHAnsi"/>
          <w:sz w:val="16"/>
          <w:szCs w:val="16"/>
          <w:lang w:val="ro-MD"/>
        </w:rPr>
        <w:t>entru aprobarea Regulamentului cu privire la modul de transmitere a bunurilor proprietate publică”.</w:t>
      </w:r>
    </w:p>
  </w:footnote>
  <w:footnote w:id="47">
    <w:p w14:paraId="591A84EA" w14:textId="31F3D0FB" w:rsidR="00970BD4" w:rsidRPr="00C2186E" w:rsidRDefault="00970BD4" w:rsidP="00E92BF0">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Î.S. Hotelul „Zarea”; Î.S. Editura de Stat „</w:t>
      </w:r>
      <w:r w:rsidRPr="00970BD4">
        <w:rPr>
          <w:rFonts w:asciiTheme="majorHAnsi" w:hAnsiTheme="majorHAnsi" w:cstheme="majorHAnsi"/>
          <w:sz w:val="16"/>
          <w:szCs w:val="16"/>
          <w:lang w:val="ro-MD"/>
        </w:rPr>
        <w:t>Cartea Moldovei”;</w:t>
      </w:r>
      <w:r w:rsidRPr="00C2186E">
        <w:rPr>
          <w:rFonts w:asciiTheme="majorHAnsi" w:hAnsiTheme="majorHAnsi" w:cstheme="majorHAnsi"/>
          <w:sz w:val="16"/>
          <w:szCs w:val="16"/>
          <w:lang w:val="ro-MD"/>
        </w:rPr>
        <w:t xml:space="preserve"> Editura Didactică de Stat „Lumina”; Î.S. „Combinatul Poligrafic”; Î.S. Firma Editorial-Poligrafică „Tipografia Centrală”; S</w:t>
      </w:r>
      <w:r w:rsidRPr="00A352EA">
        <w:rPr>
          <w:rFonts w:asciiTheme="majorHAnsi" w:hAnsiTheme="majorHAnsi" w:cstheme="majorHAnsi"/>
          <w:sz w:val="16"/>
          <w:szCs w:val="16"/>
          <w:lang w:val="ro-MD"/>
        </w:rPr>
        <w:t>.A. „Moldova-film”;</w:t>
      </w:r>
      <w:r w:rsidRPr="00C2186E">
        <w:rPr>
          <w:rFonts w:asciiTheme="majorHAnsi" w:hAnsiTheme="majorHAnsi" w:cstheme="majorHAnsi"/>
          <w:sz w:val="16"/>
          <w:szCs w:val="16"/>
          <w:lang w:val="ro-MD"/>
        </w:rPr>
        <w:t xml:space="preserve"> S.A. „Moldcinema”; Î</w:t>
      </w:r>
      <w:r>
        <w:rPr>
          <w:rFonts w:asciiTheme="majorHAnsi" w:hAnsiTheme="majorHAnsi" w:cstheme="majorHAnsi"/>
          <w:sz w:val="16"/>
          <w:szCs w:val="16"/>
          <w:lang w:val="ro-MD"/>
        </w:rPr>
        <w:t>.</w:t>
      </w:r>
      <w:r w:rsidRPr="00C2186E">
        <w:rPr>
          <w:rFonts w:asciiTheme="majorHAnsi" w:hAnsiTheme="majorHAnsi" w:cstheme="majorHAnsi"/>
          <w:sz w:val="16"/>
          <w:szCs w:val="16"/>
          <w:lang w:val="ro-MD"/>
        </w:rPr>
        <w:t>S</w:t>
      </w:r>
      <w:r>
        <w:rPr>
          <w:rFonts w:asciiTheme="majorHAnsi" w:hAnsiTheme="majorHAnsi" w:cstheme="majorHAnsi"/>
          <w:sz w:val="16"/>
          <w:szCs w:val="16"/>
          <w:lang w:val="ro-MD"/>
        </w:rPr>
        <w:t>.</w:t>
      </w:r>
      <w:r w:rsidRPr="00C2186E">
        <w:rPr>
          <w:rFonts w:asciiTheme="majorHAnsi" w:hAnsiTheme="majorHAnsi" w:cstheme="majorHAnsi"/>
          <w:sz w:val="16"/>
          <w:szCs w:val="16"/>
          <w:lang w:val="ro-MD"/>
        </w:rPr>
        <w:t xml:space="preserve"> Centrul Științific și Editorial „Universul Pedagogic”.</w:t>
      </w:r>
    </w:p>
  </w:footnote>
  <w:footnote w:id="48">
    <w:p w14:paraId="6A8DD88D" w14:textId="1CD76C07" w:rsidR="00970BD4" w:rsidRPr="00C2186E" w:rsidRDefault="00970BD4" w:rsidP="00870B63">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Pct. 3.7. din Raportul auditului rapoartelor financiare ale Ministerului Educației, Culturii și Cercetării încheiate la 31 decembrie 2018, aprobat prin Hotărârea Curții de Conturi nr.48 din 30 mai 2019: „înregistrate la contul „Servicii neatribuite altor alineate”, dar care urmau a fi atribuite la investiții în curs de execuție (contul 319), iar ulterior transmise SRL „Arena Națională”, cu majorarea valorii investițiilor (contul 415)”.</w:t>
      </w:r>
    </w:p>
  </w:footnote>
  <w:footnote w:id="49">
    <w:p w14:paraId="0777403A" w14:textId="5BDC81D6" w:rsidR="00970BD4" w:rsidRPr="00C2186E" w:rsidRDefault="00970BD4" w:rsidP="005812BF">
      <w:pPr>
        <w:pStyle w:val="FootnoteText"/>
        <w:rPr>
          <w:rFonts w:asciiTheme="majorHAnsi" w:hAnsiTheme="majorHAnsi" w:cstheme="majorHAnsi"/>
          <w:sz w:val="16"/>
          <w:szCs w:val="16"/>
          <w:lang w:val="ro-RO"/>
        </w:rPr>
      </w:pPr>
      <w:r w:rsidRPr="00C2186E">
        <w:rPr>
          <w:rStyle w:val="FootnoteReference"/>
          <w:rFonts w:asciiTheme="majorHAnsi" w:hAnsiTheme="majorHAnsi" w:cstheme="majorHAnsi"/>
          <w:sz w:val="16"/>
          <w:szCs w:val="16"/>
        </w:rPr>
        <w:footnoteRef/>
      </w:r>
      <w:r w:rsidRPr="00C2186E">
        <w:rPr>
          <w:rFonts w:asciiTheme="majorHAnsi" w:hAnsiTheme="majorHAnsi" w:cstheme="majorHAnsi"/>
          <w:sz w:val="16"/>
          <w:szCs w:val="16"/>
        </w:rPr>
        <w:t xml:space="preserve"> </w:t>
      </w:r>
      <w:r w:rsidRPr="00C2186E">
        <w:rPr>
          <w:rFonts w:asciiTheme="majorHAnsi" w:hAnsiTheme="majorHAnsi" w:cstheme="majorHAnsi"/>
          <w:sz w:val="16"/>
          <w:szCs w:val="16"/>
          <w:lang w:val="ro-MD"/>
        </w:rPr>
        <w:t xml:space="preserve">Teatrul Național de Operă și Balet </w:t>
      </w:r>
      <w:r>
        <w:rPr>
          <w:rFonts w:asciiTheme="majorHAnsi" w:hAnsiTheme="majorHAnsi" w:cstheme="majorHAnsi"/>
          <w:sz w:val="16"/>
          <w:szCs w:val="16"/>
          <w:lang w:val="ro-MD"/>
        </w:rPr>
        <w:t>„</w:t>
      </w:r>
      <w:r w:rsidRPr="00C2186E">
        <w:rPr>
          <w:rFonts w:asciiTheme="majorHAnsi" w:hAnsiTheme="majorHAnsi" w:cstheme="majorHAnsi"/>
          <w:sz w:val="16"/>
          <w:szCs w:val="16"/>
          <w:lang w:val="ro-MD"/>
        </w:rPr>
        <w:t>M</w:t>
      </w:r>
      <w:r>
        <w:rPr>
          <w:rFonts w:asciiTheme="majorHAnsi" w:hAnsiTheme="majorHAnsi" w:cstheme="majorHAnsi"/>
          <w:sz w:val="16"/>
          <w:szCs w:val="16"/>
          <w:lang w:val="ro-MD"/>
        </w:rPr>
        <w:t>aria</w:t>
      </w:r>
      <w:r w:rsidRPr="00C2186E">
        <w:rPr>
          <w:rFonts w:asciiTheme="majorHAnsi" w:hAnsiTheme="majorHAnsi" w:cstheme="majorHAnsi"/>
          <w:sz w:val="16"/>
          <w:szCs w:val="16"/>
          <w:lang w:val="ro-MD"/>
        </w:rPr>
        <w:t xml:space="preserve"> B</w:t>
      </w:r>
      <w:r>
        <w:rPr>
          <w:rFonts w:asciiTheme="majorHAnsi" w:hAnsiTheme="majorHAnsi" w:cstheme="majorHAnsi"/>
          <w:sz w:val="16"/>
          <w:szCs w:val="16"/>
          <w:lang w:val="ro-MD"/>
        </w:rPr>
        <w:t>ieșu”</w:t>
      </w:r>
      <w:r w:rsidRPr="00C2186E">
        <w:rPr>
          <w:rFonts w:asciiTheme="majorHAnsi" w:hAnsiTheme="majorHAnsi" w:cstheme="majorHAnsi"/>
          <w:sz w:val="16"/>
          <w:szCs w:val="16"/>
          <w:lang w:val="ro-MD"/>
        </w:rPr>
        <w:t xml:space="preserve"> - 1,0 mil.lei; Ansamblul Național Academic de Dans Populare </w:t>
      </w:r>
      <w:r>
        <w:rPr>
          <w:rFonts w:asciiTheme="majorHAnsi" w:hAnsiTheme="majorHAnsi" w:cstheme="majorHAnsi"/>
          <w:sz w:val="16"/>
          <w:szCs w:val="16"/>
          <w:lang w:val="ro-MD"/>
        </w:rPr>
        <w:t>„</w:t>
      </w:r>
      <w:r w:rsidRPr="00C2186E">
        <w:rPr>
          <w:rFonts w:asciiTheme="majorHAnsi" w:hAnsiTheme="majorHAnsi" w:cstheme="majorHAnsi"/>
          <w:sz w:val="16"/>
          <w:szCs w:val="16"/>
          <w:lang w:val="ro-MD"/>
        </w:rPr>
        <w:t>J</w:t>
      </w:r>
      <w:r>
        <w:rPr>
          <w:rFonts w:asciiTheme="majorHAnsi" w:hAnsiTheme="majorHAnsi" w:cstheme="majorHAnsi"/>
          <w:sz w:val="16"/>
          <w:szCs w:val="16"/>
          <w:lang w:val="ro-MD"/>
        </w:rPr>
        <w:t>oc”</w:t>
      </w:r>
      <w:r w:rsidRPr="00C2186E">
        <w:rPr>
          <w:rFonts w:asciiTheme="majorHAnsi" w:hAnsiTheme="majorHAnsi" w:cstheme="majorHAnsi"/>
          <w:sz w:val="16"/>
          <w:szCs w:val="16"/>
          <w:lang w:val="ro-MD"/>
        </w:rPr>
        <w:t xml:space="preserve"> – 0,15 mil.lei</w:t>
      </w:r>
      <w:r>
        <w:rPr>
          <w:rFonts w:asciiTheme="majorHAnsi" w:hAnsiTheme="majorHAnsi" w:cstheme="majorHAnsi"/>
          <w:sz w:val="16"/>
          <w:szCs w:val="16"/>
          <w:lang w:val="ro-MD"/>
        </w:rPr>
        <w:t>.</w:t>
      </w:r>
    </w:p>
  </w:footnote>
  <w:footnote w:id="50">
    <w:p w14:paraId="797264EB" w14:textId="45BB19F4" w:rsidR="00970BD4" w:rsidRPr="00C2186E" w:rsidRDefault="00970BD4" w:rsidP="006A22E7">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Muzeul Na</w:t>
      </w:r>
      <w:r w:rsidRPr="00C2186E">
        <w:rPr>
          <w:rFonts w:asciiTheme="majorHAnsi" w:hAnsiTheme="majorHAnsi" w:cstheme="majorHAnsi"/>
          <w:sz w:val="16"/>
          <w:szCs w:val="16"/>
          <w:lang w:val="ro-RO"/>
        </w:rPr>
        <w:t xml:space="preserve">țional de Artă a Moldovei și Institutul de Genetică, </w:t>
      </w:r>
      <w:r w:rsidRPr="00F012CD">
        <w:rPr>
          <w:rFonts w:asciiTheme="majorHAnsi" w:hAnsiTheme="majorHAnsi" w:cstheme="majorHAnsi"/>
          <w:sz w:val="16"/>
          <w:szCs w:val="16"/>
          <w:lang w:val="ro-RO"/>
        </w:rPr>
        <w:t>F</w:t>
      </w:r>
      <w:r>
        <w:rPr>
          <w:rFonts w:asciiTheme="majorHAnsi" w:hAnsiTheme="majorHAnsi" w:cstheme="majorHAnsi"/>
          <w:sz w:val="16"/>
          <w:szCs w:val="16"/>
          <w:lang w:val="ro-RO"/>
        </w:rPr>
        <w:t>i</w:t>
      </w:r>
      <w:r w:rsidRPr="00F012CD">
        <w:rPr>
          <w:rFonts w:asciiTheme="majorHAnsi" w:hAnsiTheme="majorHAnsi" w:cstheme="majorHAnsi"/>
          <w:sz w:val="16"/>
          <w:szCs w:val="16"/>
          <w:lang w:val="ro-RO"/>
        </w:rPr>
        <w:t>zio</w:t>
      </w:r>
      <w:r w:rsidRPr="00C2186E">
        <w:rPr>
          <w:rFonts w:asciiTheme="majorHAnsi" w:hAnsiTheme="majorHAnsi" w:cstheme="majorHAnsi"/>
          <w:sz w:val="16"/>
          <w:szCs w:val="16"/>
          <w:lang w:val="ro-RO"/>
        </w:rPr>
        <w:t>logie și Protecți</w:t>
      </w:r>
      <w:r>
        <w:rPr>
          <w:rFonts w:asciiTheme="majorHAnsi" w:hAnsiTheme="majorHAnsi" w:cstheme="majorHAnsi"/>
          <w:sz w:val="16"/>
          <w:szCs w:val="16"/>
          <w:lang w:val="ro-RO"/>
        </w:rPr>
        <w:t xml:space="preserve">e </w:t>
      </w:r>
      <w:r w:rsidRPr="00C2186E">
        <w:rPr>
          <w:rFonts w:asciiTheme="majorHAnsi" w:hAnsiTheme="majorHAnsi" w:cstheme="majorHAnsi"/>
          <w:sz w:val="16"/>
          <w:szCs w:val="16"/>
          <w:lang w:val="ro-RO"/>
        </w:rPr>
        <w:t>a Plantelor</w:t>
      </w:r>
      <w:r w:rsidRPr="00C2186E">
        <w:rPr>
          <w:rFonts w:asciiTheme="majorHAnsi" w:eastAsia="Times New Roman" w:hAnsiTheme="majorHAnsi" w:cstheme="majorHAnsi"/>
          <w:bCs/>
          <w:sz w:val="16"/>
          <w:szCs w:val="16"/>
          <w:lang w:val="ro-MD"/>
        </w:rPr>
        <w:t>.</w:t>
      </w:r>
    </w:p>
  </w:footnote>
  <w:footnote w:id="51">
    <w:p w14:paraId="2045027B" w14:textId="59A6294E" w:rsidR="00970BD4" w:rsidRPr="00C2186E" w:rsidRDefault="00970BD4" w:rsidP="004D0E4A">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Art.37 alin.(5) din Legea contabilității nr.113-XVI din 27.04.2007; pct.1.4.1.3. din Anexa nr.1 la Ordinul ministrului finanțelor nr.216 din 28.12.2015; art.21 din Legea finanțelor publice și responsabilității bugetar-fiscale nr.181 din 25.07.2014</w:t>
      </w:r>
      <w:r w:rsidRPr="00C2186E">
        <w:rPr>
          <w:rFonts w:asciiTheme="majorHAnsi" w:eastAsia="Times New Roman" w:hAnsiTheme="majorHAnsi" w:cstheme="majorHAnsi"/>
          <w:bCs/>
          <w:color w:val="000000"/>
          <w:sz w:val="16"/>
          <w:szCs w:val="16"/>
          <w:lang w:val="ro-MD"/>
        </w:rPr>
        <w:t xml:space="preserve">; </w:t>
      </w:r>
      <w:r>
        <w:rPr>
          <w:rFonts w:asciiTheme="majorHAnsi" w:eastAsia="Times New Roman" w:hAnsiTheme="majorHAnsi" w:cstheme="majorHAnsi"/>
          <w:bCs/>
          <w:color w:val="000000"/>
          <w:sz w:val="16"/>
          <w:szCs w:val="16"/>
          <w:lang w:val="ro-MD"/>
        </w:rPr>
        <w:t>Hotărârea Guvernului</w:t>
      </w:r>
      <w:r w:rsidRPr="00C2186E">
        <w:rPr>
          <w:rFonts w:asciiTheme="majorHAnsi" w:eastAsia="Times New Roman" w:hAnsiTheme="majorHAnsi" w:cstheme="majorHAnsi"/>
          <w:bCs/>
          <w:color w:val="000000"/>
          <w:sz w:val="16"/>
          <w:szCs w:val="16"/>
          <w:lang w:val="ro-MD"/>
        </w:rPr>
        <w:t xml:space="preserve"> nr.691 din 30.08.2017 „Cu privire la organizarea și funcționarea Ministerului Educației, Culturii și Cercetării”</w:t>
      </w:r>
      <w:r w:rsidRPr="00C2186E">
        <w:rPr>
          <w:rFonts w:asciiTheme="majorHAnsi" w:hAnsiTheme="majorHAnsi" w:cstheme="majorHAnsi"/>
          <w:sz w:val="16"/>
          <w:szCs w:val="16"/>
          <w:lang w:val="ro-MD"/>
        </w:rPr>
        <w:t>.</w:t>
      </w:r>
    </w:p>
  </w:footnote>
  <w:footnote w:id="52">
    <w:p w14:paraId="127CEB73" w14:textId="7C7E7A57" w:rsidR="00970BD4" w:rsidRPr="00C2186E" w:rsidRDefault="00970BD4" w:rsidP="004D0E4A">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Art.13 alin.(2) din Legea contabilității nr.113-XVI din 27.04.2007.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DC762A8E"/>
    <w:lvl w:ilvl="0" w:tplc="05BC7A44">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15:restartNumberingAfterBreak="0">
    <w:nsid w:val="0C293F3F"/>
    <w:multiLevelType w:val="hybridMultilevel"/>
    <w:tmpl w:val="6A0268A2"/>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4" w15:restartNumberingAfterBreak="0">
    <w:nsid w:val="12E0459B"/>
    <w:multiLevelType w:val="hybridMultilevel"/>
    <w:tmpl w:val="A11E82C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E3A29"/>
    <w:multiLevelType w:val="multilevel"/>
    <w:tmpl w:val="FD646FA4"/>
    <w:lvl w:ilvl="0">
      <w:start w:val="2"/>
      <w:numFmt w:val="decimal"/>
      <w:lvlText w:val="%1"/>
      <w:lvlJc w:val="left"/>
      <w:pPr>
        <w:ind w:left="0" w:firstLine="0"/>
      </w:pPr>
      <w:rPr>
        <w:rFonts w:eastAsiaTheme="minorHAnsi" w:hint="default"/>
      </w:rPr>
    </w:lvl>
    <w:lvl w:ilvl="1">
      <w:start w:val="2"/>
      <w:numFmt w:val="decimal"/>
      <w:lvlText w:val="%1.%2"/>
      <w:lvlJc w:val="left"/>
      <w:pPr>
        <w:ind w:left="0" w:firstLine="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360" w:hanging="36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720" w:hanging="72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150629AC"/>
    <w:multiLevelType w:val="hybridMultilevel"/>
    <w:tmpl w:val="E3F83800"/>
    <w:lvl w:ilvl="0" w:tplc="0409000D">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15:restartNumberingAfterBreak="0">
    <w:nsid w:val="15382DAB"/>
    <w:multiLevelType w:val="hybridMultilevel"/>
    <w:tmpl w:val="D4543B5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30FA2"/>
    <w:multiLevelType w:val="hybridMultilevel"/>
    <w:tmpl w:val="DDE8C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43003D"/>
    <w:multiLevelType w:val="hybridMultilevel"/>
    <w:tmpl w:val="AEA0D37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8AA6A7F"/>
    <w:multiLevelType w:val="hybridMultilevel"/>
    <w:tmpl w:val="B818E68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1BEE2C5D"/>
    <w:multiLevelType w:val="hybridMultilevel"/>
    <w:tmpl w:val="524A782A"/>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70279"/>
    <w:multiLevelType w:val="hybridMultilevel"/>
    <w:tmpl w:val="347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53436"/>
    <w:multiLevelType w:val="hybridMultilevel"/>
    <w:tmpl w:val="39B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C7311"/>
    <w:multiLevelType w:val="hybridMultilevel"/>
    <w:tmpl w:val="5B8A35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A87B8A"/>
    <w:multiLevelType w:val="hybridMultilevel"/>
    <w:tmpl w:val="42366CDE"/>
    <w:lvl w:ilvl="0" w:tplc="0409000B">
      <w:start w:val="1"/>
      <w:numFmt w:val="bullet"/>
      <w:lvlText w:val=""/>
      <w:lvlJc w:val="left"/>
      <w:pPr>
        <w:ind w:left="9008" w:hanging="360"/>
      </w:pPr>
      <w:rPr>
        <w:rFonts w:ascii="Wingdings" w:hAnsi="Wingdings" w:hint="default"/>
      </w:rPr>
    </w:lvl>
    <w:lvl w:ilvl="1" w:tplc="04090003" w:tentative="1">
      <w:start w:val="1"/>
      <w:numFmt w:val="bullet"/>
      <w:lvlText w:val="o"/>
      <w:lvlJc w:val="left"/>
      <w:pPr>
        <w:ind w:left="9728" w:hanging="360"/>
      </w:pPr>
      <w:rPr>
        <w:rFonts w:ascii="Courier New" w:hAnsi="Courier New" w:cs="Courier New" w:hint="default"/>
      </w:rPr>
    </w:lvl>
    <w:lvl w:ilvl="2" w:tplc="04090005" w:tentative="1">
      <w:start w:val="1"/>
      <w:numFmt w:val="bullet"/>
      <w:lvlText w:val=""/>
      <w:lvlJc w:val="left"/>
      <w:pPr>
        <w:ind w:left="10448" w:hanging="360"/>
      </w:pPr>
      <w:rPr>
        <w:rFonts w:ascii="Wingdings" w:hAnsi="Wingdings" w:hint="default"/>
      </w:rPr>
    </w:lvl>
    <w:lvl w:ilvl="3" w:tplc="04090001" w:tentative="1">
      <w:start w:val="1"/>
      <w:numFmt w:val="bullet"/>
      <w:lvlText w:val=""/>
      <w:lvlJc w:val="left"/>
      <w:pPr>
        <w:ind w:left="11168" w:hanging="360"/>
      </w:pPr>
      <w:rPr>
        <w:rFonts w:ascii="Symbol" w:hAnsi="Symbol" w:hint="default"/>
      </w:rPr>
    </w:lvl>
    <w:lvl w:ilvl="4" w:tplc="04090003" w:tentative="1">
      <w:start w:val="1"/>
      <w:numFmt w:val="bullet"/>
      <w:lvlText w:val="o"/>
      <w:lvlJc w:val="left"/>
      <w:pPr>
        <w:ind w:left="11888" w:hanging="360"/>
      </w:pPr>
      <w:rPr>
        <w:rFonts w:ascii="Courier New" w:hAnsi="Courier New" w:cs="Courier New" w:hint="default"/>
      </w:rPr>
    </w:lvl>
    <w:lvl w:ilvl="5" w:tplc="04090005" w:tentative="1">
      <w:start w:val="1"/>
      <w:numFmt w:val="bullet"/>
      <w:lvlText w:val=""/>
      <w:lvlJc w:val="left"/>
      <w:pPr>
        <w:ind w:left="12608" w:hanging="360"/>
      </w:pPr>
      <w:rPr>
        <w:rFonts w:ascii="Wingdings" w:hAnsi="Wingdings" w:hint="default"/>
      </w:rPr>
    </w:lvl>
    <w:lvl w:ilvl="6" w:tplc="04090001" w:tentative="1">
      <w:start w:val="1"/>
      <w:numFmt w:val="bullet"/>
      <w:lvlText w:val=""/>
      <w:lvlJc w:val="left"/>
      <w:pPr>
        <w:ind w:left="13328" w:hanging="360"/>
      </w:pPr>
      <w:rPr>
        <w:rFonts w:ascii="Symbol" w:hAnsi="Symbol" w:hint="default"/>
      </w:rPr>
    </w:lvl>
    <w:lvl w:ilvl="7" w:tplc="04090003" w:tentative="1">
      <w:start w:val="1"/>
      <w:numFmt w:val="bullet"/>
      <w:lvlText w:val="o"/>
      <w:lvlJc w:val="left"/>
      <w:pPr>
        <w:ind w:left="14048" w:hanging="360"/>
      </w:pPr>
      <w:rPr>
        <w:rFonts w:ascii="Courier New" w:hAnsi="Courier New" w:cs="Courier New" w:hint="default"/>
      </w:rPr>
    </w:lvl>
    <w:lvl w:ilvl="8" w:tplc="04090005" w:tentative="1">
      <w:start w:val="1"/>
      <w:numFmt w:val="bullet"/>
      <w:lvlText w:val=""/>
      <w:lvlJc w:val="left"/>
      <w:pPr>
        <w:ind w:left="14768" w:hanging="360"/>
      </w:pPr>
      <w:rPr>
        <w:rFonts w:ascii="Wingdings" w:hAnsi="Wingdings" w:hint="default"/>
      </w:rPr>
    </w:lvl>
  </w:abstractNum>
  <w:abstractNum w:abstractNumId="16" w15:restartNumberingAfterBreak="0">
    <w:nsid w:val="2E826E40"/>
    <w:multiLevelType w:val="hybridMultilevel"/>
    <w:tmpl w:val="F67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97A46"/>
    <w:multiLevelType w:val="hybridMultilevel"/>
    <w:tmpl w:val="3C5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80052"/>
    <w:multiLevelType w:val="hybridMultilevel"/>
    <w:tmpl w:val="ED6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580A"/>
    <w:multiLevelType w:val="multilevel"/>
    <w:tmpl w:val="A1188610"/>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0E18DA"/>
    <w:multiLevelType w:val="hybridMultilevel"/>
    <w:tmpl w:val="357AD0F8"/>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E2C7DE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036B5"/>
    <w:multiLevelType w:val="hybridMultilevel"/>
    <w:tmpl w:val="E604DF54"/>
    <w:lvl w:ilvl="0" w:tplc="7624C41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2" w15:restartNumberingAfterBreak="0">
    <w:nsid w:val="4C6F7184"/>
    <w:multiLevelType w:val="hybridMultilevel"/>
    <w:tmpl w:val="5D9ED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9352F"/>
    <w:multiLevelType w:val="hybridMultilevel"/>
    <w:tmpl w:val="16BEF664"/>
    <w:lvl w:ilvl="0" w:tplc="9E2C7DE4">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4FC511D7"/>
    <w:multiLevelType w:val="hybridMultilevel"/>
    <w:tmpl w:val="3EFA7BB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5014D"/>
    <w:multiLevelType w:val="hybridMultilevel"/>
    <w:tmpl w:val="50BA4A2A"/>
    <w:lvl w:ilvl="0" w:tplc="77127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F0795"/>
    <w:multiLevelType w:val="hybridMultilevel"/>
    <w:tmpl w:val="2334E816"/>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53213"/>
    <w:multiLevelType w:val="hybridMultilevel"/>
    <w:tmpl w:val="024A0972"/>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8089F"/>
    <w:multiLevelType w:val="hybridMultilevel"/>
    <w:tmpl w:val="C898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C48DB"/>
    <w:multiLevelType w:val="hybridMultilevel"/>
    <w:tmpl w:val="CECAC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164B98"/>
    <w:multiLevelType w:val="hybridMultilevel"/>
    <w:tmpl w:val="A9EE96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B228B9"/>
    <w:multiLevelType w:val="multilevel"/>
    <w:tmpl w:val="081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0D2EA0"/>
    <w:multiLevelType w:val="hybridMultilevel"/>
    <w:tmpl w:val="708288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C00AE"/>
    <w:multiLevelType w:val="multilevel"/>
    <w:tmpl w:val="64129F8C"/>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num>
  <w:num w:numId="5">
    <w:abstractNumId w:val="34"/>
  </w:num>
  <w:num w:numId="6">
    <w:abstractNumId w:val="6"/>
  </w:num>
  <w:num w:numId="7">
    <w:abstractNumId w:val="29"/>
  </w:num>
  <w:num w:numId="8">
    <w:abstractNumId w:val="2"/>
  </w:num>
  <w:num w:numId="9">
    <w:abstractNumId w:val="32"/>
  </w:num>
  <w:num w:numId="10">
    <w:abstractNumId w:val="14"/>
  </w:num>
  <w:num w:numId="11">
    <w:abstractNumId w:val="13"/>
  </w:num>
  <w:num w:numId="12">
    <w:abstractNumId w:val="26"/>
  </w:num>
  <w:num w:numId="13">
    <w:abstractNumId w:val="11"/>
  </w:num>
  <w:num w:numId="14">
    <w:abstractNumId w:val="20"/>
  </w:num>
  <w:num w:numId="15">
    <w:abstractNumId w:val="9"/>
  </w:num>
  <w:num w:numId="16">
    <w:abstractNumId w:val="30"/>
  </w:num>
  <w:num w:numId="17">
    <w:abstractNumId w:val="0"/>
  </w:num>
  <w:num w:numId="18">
    <w:abstractNumId w:val="7"/>
  </w:num>
  <w:num w:numId="19">
    <w:abstractNumId w:val="5"/>
  </w:num>
  <w:num w:numId="20">
    <w:abstractNumId w:val="19"/>
  </w:num>
  <w:num w:numId="21">
    <w:abstractNumId w:val="15"/>
  </w:num>
  <w:num w:numId="22">
    <w:abstractNumId w:val="22"/>
  </w:num>
  <w:num w:numId="23">
    <w:abstractNumId w:val="18"/>
  </w:num>
  <w:num w:numId="24">
    <w:abstractNumId w:val="4"/>
  </w:num>
  <w:num w:numId="25">
    <w:abstractNumId w:val="10"/>
  </w:num>
  <w:num w:numId="26">
    <w:abstractNumId w:val="16"/>
  </w:num>
  <w:num w:numId="27">
    <w:abstractNumId w:val="28"/>
  </w:num>
  <w:num w:numId="28">
    <w:abstractNumId w:val="8"/>
  </w:num>
  <w:num w:numId="29">
    <w:abstractNumId w:val="17"/>
  </w:num>
  <w:num w:numId="30">
    <w:abstractNumId w:val="21"/>
  </w:num>
  <w:num w:numId="31">
    <w:abstractNumId w:val="12"/>
  </w:num>
  <w:num w:numId="32">
    <w:abstractNumId w:val="33"/>
  </w:num>
  <w:num w:numId="33">
    <w:abstractNumId w:val="25"/>
  </w:num>
  <w:num w:numId="34">
    <w:abstractNumId w:val="27"/>
  </w:num>
  <w:num w:numId="35">
    <w:abstractNumId w:val="24"/>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CE"/>
    <w:rsid w:val="000016C6"/>
    <w:rsid w:val="000016F1"/>
    <w:rsid w:val="00001DD9"/>
    <w:rsid w:val="000034EB"/>
    <w:rsid w:val="000048CA"/>
    <w:rsid w:val="00010067"/>
    <w:rsid w:val="000107F1"/>
    <w:rsid w:val="00010889"/>
    <w:rsid w:val="000111F0"/>
    <w:rsid w:val="000121FB"/>
    <w:rsid w:val="00012E70"/>
    <w:rsid w:val="00013B86"/>
    <w:rsid w:val="0001423E"/>
    <w:rsid w:val="00016C2A"/>
    <w:rsid w:val="00016D1D"/>
    <w:rsid w:val="000206E1"/>
    <w:rsid w:val="00020848"/>
    <w:rsid w:val="00021521"/>
    <w:rsid w:val="00021702"/>
    <w:rsid w:val="00021E3D"/>
    <w:rsid w:val="00023C0C"/>
    <w:rsid w:val="0002418A"/>
    <w:rsid w:val="000254F7"/>
    <w:rsid w:val="000270EA"/>
    <w:rsid w:val="000271FE"/>
    <w:rsid w:val="00027C94"/>
    <w:rsid w:val="00030172"/>
    <w:rsid w:val="000302EC"/>
    <w:rsid w:val="00030696"/>
    <w:rsid w:val="00030E5C"/>
    <w:rsid w:val="000316B1"/>
    <w:rsid w:val="00031AD0"/>
    <w:rsid w:val="00031BF4"/>
    <w:rsid w:val="0003234A"/>
    <w:rsid w:val="00032E86"/>
    <w:rsid w:val="000355F9"/>
    <w:rsid w:val="00035F41"/>
    <w:rsid w:val="00037E82"/>
    <w:rsid w:val="000400E8"/>
    <w:rsid w:val="0004022A"/>
    <w:rsid w:val="00041228"/>
    <w:rsid w:val="000413E4"/>
    <w:rsid w:val="00041653"/>
    <w:rsid w:val="0004196A"/>
    <w:rsid w:val="00043533"/>
    <w:rsid w:val="00045E74"/>
    <w:rsid w:val="00050210"/>
    <w:rsid w:val="0005164B"/>
    <w:rsid w:val="0005248A"/>
    <w:rsid w:val="00054091"/>
    <w:rsid w:val="00054D93"/>
    <w:rsid w:val="00060FC3"/>
    <w:rsid w:val="000613B8"/>
    <w:rsid w:val="00062518"/>
    <w:rsid w:val="000630FC"/>
    <w:rsid w:val="0006496A"/>
    <w:rsid w:val="00064DF6"/>
    <w:rsid w:val="00065C55"/>
    <w:rsid w:val="00065EF7"/>
    <w:rsid w:val="00070D8F"/>
    <w:rsid w:val="00072AC8"/>
    <w:rsid w:val="0007318B"/>
    <w:rsid w:val="00073E47"/>
    <w:rsid w:val="000744BE"/>
    <w:rsid w:val="000746D8"/>
    <w:rsid w:val="000761C0"/>
    <w:rsid w:val="000774C2"/>
    <w:rsid w:val="000778E2"/>
    <w:rsid w:val="00080944"/>
    <w:rsid w:val="0008100D"/>
    <w:rsid w:val="000811E4"/>
    <w:rsid w:val="00081C24"/>
    <w:rsid w:val="000821C7"/>
    <w:rsid w:val="0008280F"/>
    <w:rsid w:val="00083024"/>
    <w:rsid w:val="000834AF"/>
    <w:rsid w:val="00085D8E"/>
    <w:rsid w:val="000869C4"/>
    <w:rsid w:val="00086FB4"/>
    <w:rsid w:val="00087056"/>
    <w:rsid w:val="000909D2"/>
    <w:rsid w:val="00091AD9"/>
    <w:rsid w:val="00092953"/>
    <w:rsid w:val="00092ABC"/>
    <w:rsid w:val="00092F2F"/>
    <w:rsid w:val="00092F5C"/>
    <w:rsid w:val="00093C2D"/>
    <w:rsid w:val="00093EDE"/>
    <w:rsid w:val="00097487"/>
    <w:rsid w:val="000A0E2D"/>
    <w:rsid w:val="000A18FC"/>
    <w:rsid w:val="000A3ADD"/>
    <w:rsid w:val="000A511C"/>
    <w:rsid w:val="000A61BA"/>
    <w:rsid w:val="000A6598"/>
    <w:rsid w:val="000A6B02"/>
    <w:rsid w:val="000A7650"/>
    <w:rsid w:val="000A7C8F"/>
    <w:rsid w:val="000B0C8A"/>
    <w:rsid w:val="000B0E79"/>
    <w:rsid w:val="000B17E1"/>
    <w:rsid w:val="000B1953"/>
    <w:rsid w:val="000B1A2E"/>
    <w:rsid w:val="000B21C1"/>
    <w:rsid w:val="000B2B40"/>
    <w:rsid w:val="000B35C8"/>
    <w:rsid w:val="000B4F55"/>
    <w:rsid w:val="000B5E2F"/>
    <w:rsid w:val="000B6145"/>
    <w:rsid w:val="000C0793"/>
    <w:rsid w:val="000C0F41"/>
    <w:rsid w:val="000C1128"/>
    <w:rsid w:val="000C3944"/>
    <w:rsid w:val="000C4BF8"/>
    <w:rsid w:val="000C5CA6"/>
    <w:rsid w:val="000C68CB"/>
    <w:rsid w:val="000C72A7"/>
    <w:rsid w:val="000D1275"/>
    <w:rsid w:val="000D151A"/>
    <w:rsid w:val="000D2AC0"/>
    <w:rsid w:val="000D2BFE"/>
    <w:rsid w:val="000D4446"/>
    <w:rsid w:val="000D47E1"/>
    <w:rsid w:val="000D4D99"/>
    <w:rsid w:val="000D4F60"/>
    <w:rsid w:val="000E1771"/>
    <w:rsid w:val="000E1BCA"/>
    <w:rsid w:val="000E1BE9"/>
    <w:rsid w:val="000E1C62"/>
    <w:rsid w:val="000E2B3D"/>
    <w:rsid w:val="000E32A6"/>
    <w:rsid w:val="000E3BFE"/>
    <w:rsid w:val="000E422C"/>
    <w:rsid w:val="000E4682"/>
    <w:rsid w:val="000E54F2"/>
    <w:rsid w:val="000E60E8"/>
    <w:rsid w:val="000E63CE"/>
    <w:rsid w:val="000F1A94"/>
    <w:rsid w:val="000F1BEA"/>
    <w:rsid w:val="000F2545"/>
    <w:rsid w:val="000F3810"/>
    <w:rsid w:val="000F4A62"/>
    <w:rsid w:val="000F50A4"/>
    <w:rsid w:val="000F660B"/>
    <w:rsid w:val="000F755E"/>
    <w:rsid w:val="001004F4"/>
    <w:rsid w:val="00101F9C"/>
    <w:rsid w:val="00102312"/>
    <w:rsid w:val="001026A3"/>
    <w:rsid w:val="00102B38"/>
    <w:rsid w:val="00102B3A"/>
    <w:rsid w:val="00102CD1"/>
    <w:rsid w:val="00103221"/>
    <w:rsid w:val="0010371F"/>
    <w:rsid w:val="001057F9"/>
    <w:rsid w:val="00106461"/>
    <w:rsid w:val="00106931"/>
    <w:rsid w:val="00106A75"/>
    <w:rsid w:val="00106EED"/>
    <w:rsid w:val="001070B9"/>
    <w:rsid w:val="001108CD"/>
    <w:rsid w:val="00111EA0"/>
    <w:rsid w:val="00112068"/>
    <w:rsid w:val="001126F0"/>
    <w:rsid w:val="00113246"/>
    <w:rsid w:val="001135C4"/>
    <w:rsid w:val="00113CA8"/>
    <w:rsid w:val="00115D43"/>
    <w:rsid w:val="00116169"/>
    <w:rsid w:val="001164DC"/>
    <w:rsid w:val="00116B83"/>
    <w:rsid w:val="00117530"/>
    <w:rsid w:val="00121EA1"/>
    <w:rsid w:val="00122012"/>
    <w:rsid w:val="001224C7"/>
    <w:rsid w:val="00124D2E"/>
    <w:rsid w:val="001253A5"/>
    <w:rsid w:val="001254DB"/>
    <w:rsid w:val="001303D9"/>
    <w:rsid w:val="00130C48"/>
    <w:rsid w:val="00131A7B"/>
    <w:rsid w:val="00131B25"/>
    <w:rsid w:val="00131E61"/>
    <w:rsid w:val="001320E4"/>
    <w:rsid w:val="00133279"/>
    <w:rsid w:val="001335D3"/>
    <w:rsid w:val="0013370A"/>
    <w:rsid w:val="00133A62"/>
    <w:rsid w:val="00133B00"/>
    <w:rsid w:val="0013566B"/>
    <w:rsid w:val="001356E7"/>
    <w:rsid w:val="00135D64"/>
    <w:rsid w:val="0013783D"/>
    <w:rsid w:val="00137ED7"/>
    <w:rsid w:val="00140736"/>
    <w:rsid w:val="001409B5"/>
    <w:rsid w:val="001416CF"/>
    <w:rsid w:val="0014178F"/>
    <w:rsid w:val="001421A7"/>
    <w:rsid w:val="00143F94"/>
    <w:rsid w:val="0014416C"/>
    <w:rsid w:val="00146135"/>
    <w:rsid w:val="00147DE7"/>
    <w:rsid w:val="001517A7"/>
    <w:rsid w:val="00151E8A"/>
    <w:rsid w:val="001538DD"/>
    <w:rsid w:val="001540BC"/>
    <w:rsid w:val="00154477"/>
    <w:rsid w:val="001549EA"/>
    <w:rsid w:val="00155435"/>
    <w:rsid w:val="00155474"/>
    <w:rsid w:val="00157A3E"/>
    <w:rsid w:val="00162F6C"/>
    <w:rsid w:val="00164D47"/>
    <w:rsid w:val="0016559C"/>
    <w:rsid w:val="001665FF"/>
    <w:rsid w:val="001667A7"/>
    <w:rsid w:val="00167E85"/>
    <w:rsid w:val="001701DF"/>
    <w:rsid w:val="00172E6C"/>
    <w:rsid w:val="0017330F"/>
    <w:rsid w:val="001751E7"/>
    <w:rsid w:val="001758C2"/>
    <w:rsid w:val="00175E0D"/>
    <w:rsid w:val="0017652D"/>
    <w:rsid w:val="00176AD7"/>
    <w:rsid w:val="00176E74"/>
    <w:rsid w:val="00177B91"/>
    <w:rsid w:val="00177BDB"/>
    <w:rsid w:val="001801E8"/>
    <w:rsid w:val="001807E5"/>
    <w:rsid w:val="00180DF9"/>
    <w:rsid w:val="00182817"/>
    <w:rsid w:val="00182F79"/>
    <w:rsid w:val="00183216"/>
    <w:rsid w:val="00183563"/>
    <w:rsid w:val="00183C2D"/>
    <w:rsid w:val="00185952"/>
    <w:rsid w:val="001901E8"/>
    <w:rsid w:val="0019045F"/>
    <w:rsid w:val="001912F7"/>
    <w:rsid w:val="00192A38"/>
    <w:rsid w:val="00194C2B"/>
    <w:rsid w:val="00195B07"/>
    <w:rsid w:val="00196558"/>
    <w:rsid w:val="001A0C62"/>
    <w:rsid w:val="001A37BA"/>
    <w:rsid w:val="001A6184"/>
    <w:rsid w:val="001A63FE"/>
    <w:rsid w:val="001A6965"/>
    <w:rsid w:val="001A757B"/>
    <w:rsid w:val="001A763D"/>
    <w:rsid w:val="001B0265"/>
    <w:rsid w:val="001B09F8"/>
    <w:rsid w:val="001B0D88"/>
    <w:rsid w:val="001B231C"/>
    <w:rsid w:val="001B3285"/>
    <w:rsid w:val="001B37FC"/>
    <w:rsid w:val="001B38C3"/>
    <w:rsid w:val="001B3AEF"/>
    <w:rsid w:val="001B50E5"/>
    <w:rsid w:val="001B52CA"/>
    <w:rsid w:val="001B6368"/>
    <w:rsid w:val="001C1403"/>
    <w:rsid w:val="001C22C1"/>
    <w:rsid w:val="001C23A2"/>
    <w:rsid w:val="001C23E3"/>
    <w:rsid w:val="001C2B4D"/>
    <w:rsid w:val="001C2FA2"/>
    <w:rsid w:val="001C3AAE"/>
    <w:rsid w:val="001C4600"/>
    <w:rsid w:val="001C47E4"/>
    <w:rsid w:val="001C5122"/>
    <w:rsid w:val="001D0234"/>
    <w:rsid w:val="001D062E"/>
    <w:rsid w:val="001D20EB"/>
    <w:rsid w:val="001D3395"/>
    <w:rsid w:val="001D4232"/>
    <w:rsid w:val="001D47E4"/>
    <w:rsid w:val="001D4C2E"/>
    <w:rsid w:val="001D582C"/>
    <w:rsid w:val="001D63FA"/>
    <w:rsid w:val="001E0F4C"/>
    <w:rsid w:val="001E18C6"/>
    <w:rsid w:val="001E2EE3"/>
    <w:rsid w:val="001E3E86"/>
    <w:rsid w:val="001E408A"/>
    <w:rsid w:val="001E434D"/>
    <w:rsid w:val="001E4765"/>
    <w:rsid w:val="001E4ACB"/>
    <w:rsid w:val="001E4C2C"/>
    <w:rsid w:val="001E64C8"/>
    <w:rsid w:val="001F00A4"/>
    <w:rsid w:val="001F214A"/>
    <w:rsid w:val="001F21A4"/>
    <w:rsid w:val="001F6C84"/>
    <w:rsid w:val="001F7B67"/>
    <w:rsid w:val="002008F5"/>
    <w:rsid w:val="00202E35"/>
    <w:rsid w:val="00202ED6"/>
    <w:rsid w:val="00203CC2"/>
    <w:rsid w:val="00205124"/>
    <w:rsid w:val="00206A16"/>
    <w:rsid w:val="0020789B"/>
    <w:rsid w:val="002079C3"/>
    <w:rsid w:val="00207A19"/>
    <w:rsid w:val="00207C12"/>
    <w:rsid w:val="00210159"/>
    <w:rsid w:val="0021113F"/>
    <w:rsid w:val="00211180"/>
    <w:rsid w:val="00212336"/>
    <w:rsid w:val="00212337"/>
    <w:rsid w:val="002125E2"/>
    <w:rsid w:val="00215605"/>
    <w:rsid w:val="00215920"/>
    <w:rsid w:val="00215C5E"/>
    <w:rsid w:val="00216B78"/>
    <w:rsid w:val="00216F1B"/>
    <w:rsid w:val="002176D3"/>
    <w:rsid w:val="002205F5"/>
    <w:rsid w:val="00221F6A"/>
    <w:rsid w:val="00223312"/>
    <w:rsid w:val="00224541"/>
    <w:rsid w:val="00224B4F"/>
    <w:rsid w:val="00226F28"/>
    <w:rsid w:val="00230CF5"/>
    <w:rsid w:val="00232FAA"/>
    <w:rsid w:val="00234C54"/>
    <w:rsid w:val="00234F07"/>
    <w:rsid w:val="00235F67"/>
    <w:rsid w:val="0023624B"/>
    <w:rsid w:val="00237087"/>
    <w:rsid w:val="00237FDD"/>
    <w:rsid w:val="00240115"/>
    <w:rsid w:val="00240E49"/>
    <w:rsid w:val="00241538"/>
    <w:rsid w:val="00241D3F"/>
    <w:rsid w:val="0024510E"/>
    <w:rsid w:val="0024550E"/>
    <w:rsid w:val="00246350"/>
    <w:rsid w:val="002464FB"/>
    <w:rsid w:val="00247508"/>
    <w:rsid w:val="00247A16"/>
    <w:rsid w:val="0025087E"/>
    <w:rsid w:val="00250E7F"/>
    <w:rsid w:val="00251FDB"/>
    <w:rsid w:val="002536B1"/>
    <w:rsid w:val="00253996"/>
    <w:rsid w:val="00254B7A"/>
    <w:rsid w:val="00254EDE"/>
    <w:rsid w:val="0025524A"/>
    <w:rsid w:val="00255A6A"/>
    <w:rsid w:val="00256764"/>
    <w:rsid w:val="00256B1E"/>
    <w:rsid w:val="0025799B"/>
    <w:rsid w:val="00257A2F"/>
    <w:rsid w:val="002613F5"/>
    <w:rsid w:val="0026155C"/>
    <w:rsid w:val="002632CD"/>
    <w:rsid w:val="0026385E"/>
    <w:rsid w:val="0026457D"/>
    <w:rsid w:val="0026518C"/>
    <w:rsid w:val="00265EA0"/>
    <w:rsid w:val="00267DBC"/>
    <w:rsid w:val="00270D59"/>
    <w:rsid w:val="00272333"/>
    <w:rsid w:val="00273804"/>
    <w:rsid w:val="00273D05"/>
    <w:rsid w:val="002742F2"/>
    <w:rsid w:val="002751B6"/>
    <w:rsid w:val="00275610"/>
    <w:rsid w:val="00275BC2"/>
    <w:rsid w:val="00275F8D"/>
    <w:rsid w:val="00277051"/>
    <w:rsid w:val="0027706D"/>
    <w:rsid w:val="00277858"/>
    <w:rsid w:val="002800C3"/>
    <w:rsid w:val="00280952"/>
    <w:rsid w:val="00281449"/>
    <w:rsid w:val="00282643"/>
    <w:rsid w:val="00283356"/>
    <w:rsid w:val="002848AF"/>
    <w:rsid w:val="00284D17"/>
    <w:rsid w:val="00285192"/>
    <w:rsid w:val="00285C34"/>
    <w:rsid w:val="00287C6E"/>
    <w:rsid w:val="002901AE"/>
    <w:rsid w:val="00294AE8"/>
    <w:rsid w:val="002961BB"/>
    <w:rsid w:val="002965F4"/>
    <w:rsid w:val="00297A2C"/>
    <w:rsid w:val="002A03CD"/>
    <w:rsid w:val="002A0868"/>
    <w:rsid w:val="002A15BE"/>
    <w:rsid w:val="002A251A"/>
    <w:rsid w:val="002A362E"/>
    <w:rsid w:val="002A382E"/>
    <w:rsid w:val="002A404D"/>
    <w:rsid w:val="002A4648"/>
    <w:rsid w:val="002A5223"/>
    <w:rsid w:val="002A78FA"/>
    <w:rsid w:val="002B0065"/>
    <w:rsid w:val="002B1BB1"/>
    <w:rsid w:val="002B2002"/>
    <w:rsid w:val="002B27B6"/>
    <w:rsid w:val="002B3EC3"/>
    <w:rsid w:val="002B4146"/>
    <w:rsid w:val="002B43CF"/>
    <w:rsid w:val="002B43D3"/>
    <w:rsid w:val="002B4D8B"/>
    <w:rsid w:val="002C2299"/>
    <w:rsid w:val="002C3888"/>
    <w:rsid w:val="002C53FA"/>
    <w:rsid w:val="002C5FE8"/>
    <w:rsid w:val="002C6B8F"/>
    <w:rsid w:val="002C75E4"/>
    <w:rsid w:val="002D0384"/>
    <w:rsid w:val="002D1579"/>
    <w:rsid w:val="002D1808"/>
    <w:rsid w:val="002D2183"/>
    <w:rsid w:val="002D2359"/>
    <w:rsid w:val="002D25B5"/>
    <w:rsid w:val="002D3434"/>
    <w:rsid w:val="002D3F0A"/>
    <w:rsid w:val="002D70EE"/>
    <w:rsid w:val="002E02CF"/>
    <w:rsid w:val="002E14DF"/>
    <w:rsid w:val="002E1E0B"/>
    <w:rsid w:val="002E1E54"/>
    <w:rsid w:val="002E2449"/>
    <w:rsid w:val="002E3936"/>
    <w:rsid w:val="002E39B3"/>
    <w:rsid w:val="002E470A"/>
    <w:rsid w:val="002E47C0"/>
    <w:rsid w:val="002E598F"/>
    <w:rsid w:val="002E5AC1"/>
    <w:rsid w:val="002E66E6"/>
    <w:rsid w:val="002E722D"/>
    <w:rsid w:val="002E76DA"/>
    <w:rsid w:val="002F0243"/>
    <w:rsid w:val="002F094F"/>
    <w:rsid w:val="002F0C4F"/>
    <w:rsid w:val="002F0F69"/>
    <w:rsid w:val="002F1341"/>
    <w:rsid w:val="002F164F"/>
    <w:rsid w:val="002F1654"/>
    <w:rsid w:val="002F1A3B"/>
    <w:rsid w:val="002F1BF6"/>
    <w:rsid w:val="002F21FA"/>
    <w:rsid w:val="002F34B7"/>
    <w:rsid w:val="002F4B30"/>
    <w:rsid w:val="002F4CB8"/>
    <w:rsid w:val="002F690D"/>
    <w:rsid w:val="002F6E4E"/>
    <w:rsid w:val="00302EBD"/>
    <w:rsid w:val="00303A56"/>
    <w:rsid w:val="003043C6"/>
    <w:rsid w:val="003047A7"/>
    <w:rsid w:val="003049F5"/>
    <w:rsid w:val="003060E0"/>
    <w:rsid w:val="003067B3"/>
    <w:rsid w:val="0030680C"/>
    <w:rsid w:val="00306D06"/>
    <w:rsid w:val="00306F1E"/>
    <w:rsid w:val="003101AD"/>
    <w:rsid w:val="00311593"/>
    <w:rsid w:val="003122DE"/>
    <w:rsid w:val="003142F0"/>
    <w:rsid w:val="003149BF"/>
    <w:rsid w:val="003153FA"/>
    <w:rsid w:val="00315A36"/>
    <w:rsid w:val="00317D7B"/>
    <w:rsid w:val="00320AB5"/>
    <w:rsid w:val="0032191B"/>
    <w:rsid w:val="00322A8F"/>
    <w:rsid w:val="00323D5F"/>
    <w:rsid w:val="00323E6C"/>
    <w:rsid w:val="003252C1"/>
    <w:rsid w:val="00325F1F"/>
    <w:rsid w:val="003313D6"/>
    <w:rsid w:val="00333875"/>
    <w:rsid w:val="00333B9B"/>
    <w:rsid w:val="00334611"/>
    <w:rsid w:val="003352AA"/>
    <w:rsid w:val="00335500"/>
    <w:rsid w:val="003356C9"/>
    <w:rsid w:val="00335EB2"/>
    <w:rsid w:val="00336204"/>
    <w:rsid w:val="003363EF"/>
    <w:rsid w:val="003371CC"/>
    <w:rsid w:val="00337438"/>
    <w:rsid w:val="00337F2E"/>
    <w:rsid w:val="00341E0A"/>
    <w:rsid w:val="00342A17"/>
    <w:rsid w:val="00343145"/>
    <w:rsid w:val="00343623"/>
    <w:rsid w:val="003447A5"/>
    <w:rsid w:val="003464CA"/>
    <w:rsid w:val="003476FF"/>
    <w:rsid w:val="00347737"/>
    <w:rsid w:val="003478E4"/>
    <w:rsid w:val="00347EB3"/>
    <w:rsid w:val="0035103A"/>
    <w:rsid w:val="00351203"/>
    <w:rsid w:val="0035311E"/>
    <w:rsid w:val="0035313D"/>
    <w:rsid w:val="00353343"/>
    <w:rsid w:val="003543C9"/>
    <w:rsid w:val="00354E5C"/>
    <w:rsid w:val="00357284"/>
    <w:rsid w:val="0036011E"/>
    <w:rsid w:val="003614BA"/>
    <w:rsid w:val="003614CD"/>
    <w:rsid w:val="00366496"/>
    <w:rsid w:val="003702BA"/>
    <w:rsid w:val="0037033D"/>
    <w:rsid w:val="00371DFB"/>
    <w:rsid w:val="00371E07"/>
    <w:rsid w:val="00372574"/>
    <w:rsid w:val="00373269"/>
    <w:rsid w:val="00373364"/>
    <w:rsid w:val="0037352A"/>
    <w:rsid w:val="00373C39"/>
    <w:rsid w:val="00373FC9"/>
    <w:rsid w:val="00374165"/>
    <w:rsid w:val="003768C5"/>
    <w:rsid w:val="0038040D"/>
    <w:rsid w:val="0038049A"/>
    <w:rsid w:val="00380AEA"/>
    <w:rsid w:val="0038169D"/>
    <w:rsid w:val="0038182C"/>
    <w:rsid w:val="00382F04"/>
    <w:rsid w:val="00383709"/>
    <w:rsid w:val="003846A2"/>
    <w:rsid w:val="003848DB"/>
    <w:rsid w:val="00385759"/>
    <w:rsid w:val="003859C8"/>
    <w:rsid w:val="00386671"/>
    <w:rsid w:val="00391599"/>
    <w:rsid w:val="00391895"/>
    <w:rsid w:val="00394DE9"/>
    <w:rsid w:val="00395B38"/>
    <w:rsid w:val="0039660A"/>
    <w:rsid w:val="00396EAE"/>
    <w:rsid w:val="00397ACC"/>
    <w:rsid w:val="003A0600"/>
    <w:rsid w:val="003A187D"/>
    <w:rsid w:val="003A18C0"/>
    <w:rsid w:val="003A2826"/>
    <w:rsid w:val="003A3120"/>
    <w:rsid w:val="003A575C"/>
    <w:rsid w:val="003B08ED"/>
    <w:rsid w:val="003B19AA"/>
    <w:rsid w:val="003B1B86"/>
    <w:rsid w:val="003B3BC2"/>
    <w:rsid w:val="003B404B"/>
    <w:rsid w:val="003B480A"/>
    <w:rsid w:val="003B4B7A"/>
    <w:rsid w:val="003B4C55"/>
    <w:rsid w:val="003B5BE7"/>
    <w:rsid w:val="003B5C35"/>
    <w:rsid w:val="003B624E"/>
    <w:rsid w:val="003B6794"/>
    <w:rsid w:val="003B6840"/>
    <w:rsid w:val="003B7797"/>
    <w:rsid w:val="003C0DB9"/>
    <w:rsid w:val="003C1314"/>
    <w:rsid w:val="003C24B8"/>
    <w:rsid w:val="003C2799"/>
    <w:rsid w:val="003C27AC"/>
    <w:rsid w:val="003C3837"/>
    <w:rsid w:val="003C3909"/>
    <w:rsid w:val="003C3FE3"/>
    <w:rsid w:val="003C6395"/>
    <w:rsid w:val="003C6615"/>
    <w:rsid w:val="003C6A8F"/>
    <w:rsid w:val="003C7314"/>
    <w:rsid w:val="003C7597"/>
    <w:rsid w:val="003C77DD"/>
    <w:rsid w:val="003C781B"/>
    <w:rsid w:val="003C7E82"/>
    <w:rsid w:val="003D0B7E"/>
    <w:rsid w:val="003D14DF"/>
    <w:rsid w:val="003D26D2"/>
    <w:rsid w:val="003D4797"/>
    <w:rsid w:val="003D4A29"/>
    <w:rsid w:val="003D570D"/>
    <w:rsid w:val="003D6338"/>
    <w:rsid w:val="003D655E"/>
    <w:rsid w:val="003D66E6"/>
    <w:rsid w:val="003D6FA0"/>
    <w:rsid w:val="003D7AE8"/>
    <w:rsid w:val="003E092B"/>
    <w:rsid w:val="003E1842"/>
    <w:rsid w:val="003E1BCC"/>
    <w:rsid w:val="003E252C"/>
    <w:rsid w:val="003E38C8"/>
    <w:rsid w:val="003E3F88"/>
    <w:rsid w:val="003E448E"/>
    <w:rsid w:val="003E50D9"/>
    <w:rsid w:val="003E56C6"/>
    <w:rsid w:val="003E5909"/>
    <w:rsid w:val="003E5A4A"/>
    <w:rsid w:val="003E7EFA"/>
    <w:rsid w:val="003F0A90"/>
    <w:rsid w:val="003F3B4A"/>
    <w:rsid w:val="003F3D72"/>
    <w:rsid w:val="003F5532"/>
    <w:rsid w:val="003F6498"/>
    <w:rsid w:val="00401620"/>
    <w:rsid w:val="0040416C"/>
    <w:rsid w:val="00405683"/>
    <w:rsid w:val="00405DD2"/>
    <w:rsid w:val="004073B4"/>
    <w:rsid w:val="004078AC"/>
    <w:rsid w:val="00407D14"/>
    <w:rsid w:val="00407EE4"/>
    <w:rsid w:val="00410369"/>
    <w:rsid w:val="0041069C"/>
    <w:rsid w:val="00410C31"/>
    <w:rsid w:val="0041101D"/>
    <w:rsid w:val="00411A92"/>
    <w:rsid w:val="00411B7B"/>
    <w:rsid w:val="004121F3"/>
    <w:rsid w:val="00412639"/>
    <w:rsid w:val="004128C4"/>
    <w:rsid w:val="00413781"/>
    <w:rsid w:val="00413BFE"/>
    <w:rsid w:val="00413DE1"/>
    <w:rsid w:val="00414134"/>
    <w:rsid w:val="00415C93"/>
    <w:rsid w:val="004173F1"/>
    <w:rsid w:val="00417DE1"/>
    <w:rsid w:val="004200BC"/>
    <w:rsid w:val="00422313"/>
    <w:rsid w:val="00424947"/>
    <w:rsid w:val="00425B81"/>
    <w:rsid w:val="004261A4"/>
    <w:rsid w:val="00426280"/>
    <w:rsid w:val="0042648C"/>
    <w:rsid w:val="00427259"/>
    <w:rsid w:val="004279B4"/>
    <w:rsid w:val="00427AC1"/>
    <w:rsid w:val="0043006C"/>
    <w:rsid w:val="00430652"/>
    <w:rsid w:val="00430682"/>
    <w:rsid w:val="00430AC2"/>
    <w:rsid w:val="00431883"/>
    <w:rsid w:val="004325D5"/>
    <w:rsid w:val="004337BF"/>
    <w:rsid w:val="00433829"/>
    <w:rsid w:val="0043448C"/>
    <w:rsid w:val="004357E9"/>
    <w:rsid w:val="00435C7F"/>
    <w:rsid w:val="00435FDC"/>
    <w:rsid w:val="00437522"/>
    <w:rsid w:val="00437C85"/>
    <w:rsid w:val="0044151C"/>
    <w:rsid w:val="00443752"/>
    <w:rsid w:val="00444E6B"/>
    <w:rsid w:val="0044528E"/>
    <w:rsid w:val="00446E21"/>
    <w:rsid w:val="00447A1B"/>
    <w:rsid w:val="00447BF3"/>
    <w:rsid w:val="00447E83"/>
    <w:rsid w:val="0045010F"/>
    <w:rsid w:val="00450AA3"/>
    <w:rsid w:val="00450DB7"/>
    <w:rsid w:val="00451D75"/>
    <w:rsid w:val="00451FEF"/>
    <w:rsid w:val="004537CC"/>
    <w:rsid w:val="004541EC"/>
    <w:rsid w:val="0045601E"/>
    <w:rsid w:val="00457A2C"/>
    <w:rsid w:val="00460218"/>
    <w:rsid w:val="00462782"/>
    <w:rsid w:val="0046298D"/>
    <w:rsid w:val="0046352F"/>
    <w:rsid w:val="00463D72"/>
    <w:rsid w:val="00465050"/>
    <w:rsid w:val="004656B4"/>
    <w:rsid w:val="004657DB"/>
    <w:rsid w:val="0046596C"/>
    <w:rsid w:val="004659FB"/>
    <w:rsid w:val="004668E1"/>
    <w:rsid w:val="0046799B"/>
    <w:rsid w:val="0047004E"/>
    <w:rsid w:val="004719A8"/>
    <w:rsid w:val="00471B5C"/>
    <w:rsid w:val="00472171"/>
    <w:rsid w:val="00472CF0"/>
    <w:rsid w:val="00472D1B"/>
    <w:rsid w:val="00475A03"/>
    <w:rsid w:val="004768B5"/>
    <w:rsid w:val="00476E3D"/>
    <w:rsid w:val="004777C5"/>
    <w:rsid w:val="004802D7"/>
    <w:rsid w:val="00480636"/>
    <w:rsid w:val="0048118B"/>
    <w:rsid w:val="0048227D"/>
    <w:rsid w:val="00483146"/>
    <w:rsid w:val="004833D2"/>
    <w:rsid w:val="00483A54"/>
    <w:rsid w:val="00484099"/>
    <w:rsid w:val="00485DF2"/>
    <w:rsid w:val="00486180"/>
    <w:rsid w:val="0048796C"/>
    <w:rsid w:val="00487A15"/>
    <w:rsid w:val="004910B3"/>
    <w:rsid w:val="00493B75"/>
    <w:rsid w:val="00494268"/>
    <w:rsid w:val="004949B5"/>
    <w:rsid w:val="004953A7"/>
    <w:rsid w:val="00495A60"/>
    <w:rsid w:val="004976DE"/>
    <w:rsid w:val="004A0151"/>
    <w:rsid w:val="004A1590"/>
    <w:rsid w:val="004A195B"/>
    <w:rsid w:val="004A2579"/>
    <w:rsid w:val="004A2CAC"/>
    <w:rsid w:val="004A2F8C"/>
    <w:rsid w:val="004A3558"/>
    <w:rsid w:val="004A3687"/>
    <w:rsid w:val="004A4C9E"/>
    <w:rsid w:val="004A4DD4"/>
    <w:rsid w:val="004A4F8D"/>
    <w:rsid w:val="004A5190"/>
    <w:rsid w:val="004A704A"/>
    <w:rsid w:val="004B0B9C"/>
    <w:rsid w:val="004B0CBD"/>
    <w:rsid w:val="004B245F"/>
    <w:rsid w:val="004B266A"/>
    <w:rsid w:val="004B27D1"/>
    <w:rsid w:val="004B391B"/>
    <w:rsid w:val="004B50BB"/>
    <w:rsid w:val="004B534B"/>
    <w:rsid w:val="004B5F4D"/>
    <w:rsid w:val="004B6641"/>
    <w:rsid w:val="004B69B2"/>
    <w:rsid w:val="004B751C"/>
    <w:rsid w:val="004C0C6C"/>
    <w:rsid w:val="004C1A2F"/>
    <w:rsid w:val="004C26B6"/>
    <w:rsid w:val="004C3AFF"/>
    <w:rsid w:val="004C443F"/>
    <w:rsid w:val="004C55AF"/>
    <w:rsid w:val="004C68A7"/>
    <w:rsid w:val="004C6DDB"/>
    <w:rsid w:val="004C72D8"/>
    <w:rsid w:val="004C7566"/>
    <w:rsid w:val="004C7E44"/>
    <w:rsid w:val="004D0303"/>
    <w:rsid w:val="004D05D7"/>
    <w:rsid w:val="004D0E4A"/>
    <w:rsid w:val="004D300D"/>
    <w:rsid w:val="004D33B5"/>
    <w:rsid w:val="004D46B0"/>
    <w:rsid w:val="004D753B"/>
    <w:rsid w:val="004D7CCF"/>
    <w:rsid w:val="004E053D"/>
    <w:rsid w:val="004E0DD8"/>
    <w:rsid w:val="004E1A28"/>
    <w:rsid w:val="004E3BAE"/>
    <w:rsid w:val="004E4EC2"/>
    <w:rsid w:val="004E690B"/>
    <w:rsid w:val="004E70F8"/>
    <w:rsid w:val="004F01B2"/>
    <w:rsid w:val="004F09C1"/>
    <w:rsid w:val="004F1890"/>
    <w:rsid w:val="004F23B2"/>
    <w:rsid w:val="004F34A0"/>
    <w:rsid w:val="004F43A3"/>
    <w:rsid w:val="004F4CD0"/>
    <w:rsid w:val="004F7A19"/>
    <w:rsid w:val="00500B34"/>
    <w:rsid w:val="005018B4"/>
    <w:rsid w:val="0050198A"/>
    <w:rsid w:val="00501E64"/>
    <w:rsid w:val="005025A2"/>
    <w:rsid w:val="00502673"/>
    <w:rsid w:val="005043A5"/>
    <w:rsid w:val="005048CE"/>
    <w:rsid w:val="00504A62"/>
    <w:rsid w:val="00506064"/>
    <w:rsid w:val="00506418"/>
    <w:rsid w:val="00506A70"/>
    <w:rsid w:val="00507320"/>
    <w:rsid w:val="00507E41"/>
    <w:rsid w:val="00510193"/>
    <w:rsid w:val="00510A39"/>
    <w:rsid w:val="00511917"/>
    <w:rsid w:val="00511DA7"/>
    <w:rsid w:val="0051275D"/>
    <w:rsid w:val="00512E50"/>
    <w:rsid w:val="005145B2"/>
    <w:rsid w:val="005147E6"/>
    <w:rsid w:val="005163BF"/>
    <w:rsid w:val="00516E41"/>
    <w:rsid w:val="00520D2F"/>
    <w:rsid w:val="00521271"/>
    <w:rsid w:val="00521B97"/>
    <w:rsid w:val="00521F26"/>
    <w:rsid w:val="00522001"/>
    <w:rsid w:val="00522232"/>
    <w:rsid w:val="00523CC6"/>
    <w:rsid w:val="005268DC"/>
    <w:rsid w:val="00527DC8"/>
    <w:rsid w:val="00530105"/>
    <w:rsid w:val="00531A15"/>
    <w:rsid w:val="00532B36"/>
    <w:rsid w:val="00533DCB"/>
    <w:rsid w:val="005345ED"/>
    <w:rsid w:val="0053629B"/>
    <w:rsid w:val="005366D0"/>
    <w:rsid w:val="005374AE"/>
    <w:rsid w:val="00537DD8"/>
    <w:rsid w:val="005404CC"/>
    <w:rsid w:val="00540FA7"/>
    <w:rsid w:val="005449DD"/>
    <w:rsid w:val="00545082"/>
    <w:rsid w:val="005450A0"/>
    <w:rsid w:val="0054543E"/>
    <w:rsid w:val="0055022E"/>
    <w:rsid w:val="0055135B"/>
    <w:rsid w:val="005514CE"/>
    <w:rsid w:val="00551CF4"/>
    <w:rsid w:val="00552C39"/>
    <w:rsid w:val="00553BE1"/>
    <w:rsid w:val="005541CA"/>
    <w:rsid w:val="0055573E"/>
    <w:rsid w:val="00555D28"/>
    <w:rsid w:val="00556A2A"/>
    <w:rsid w:val="00556B14"/>
    <w:rsid w:val="00556BC7"/>
    <w:rsid w:val="00561F5C"/>
    <w:rsid w:val="0056220B"/>
    <w:rsid w:val="005633B5"/>
    <w:rsid w:val="00563FA4"/>
    <w:rsid w:val="00564C91"/>
    <w:rsid w:val="0056718F"/>
    <w:rsid w:val="00572461"/>
    <w:rsid w:val="00573EBD"/>
    <w:rsid w:val="00575A2F"/>
    <w:rsid w:val="0057610B"/>
    <w:rsid w:val="00580397"/>
    <w:rsid w:val="005804DF"/>
    <w:rsid w:val="005812BF"/>
    <w:rsid w:val="00582C14"/>
    <w:rsid w:val="00583451"/>
    <w:rsid w:val="00583A54"/>
    <w:rsid w:val="00584934"/>
    <w:rsid w:val="005867FC"/>
    <w:rsid w:val="00587722"/>
    <w:rsid w:val="00587AE8"/>
    <w:rsid w:val="00587FE2"/>
    <w:rsid w:val="00587FED"/>
    <w:rsid w:val="00590DB2"/>
    <w:rsid w:val="00591EEB"/>
    <w:rsid w:val="0059362A"/>
    <w:rsid w:val="00593DC9"/>
    <w:rsid w:val="00594862"/>
    <w:rsid w:val="005954C9"/>
    <w:rsid w:val="00595C47"/>
    <w:rsid w:val="00595FFE"/>
    <w:rsid w:val="005966ED"/>
    <w:rsid w:val="005968A8"/>
    <w:rsid w:val="00596CFB"/>
    <w:rsid w:val="005A1F14"/>
    <w:rsid w:val="005A2FE8"/>
    <w:rsid w:val="005A6084"/>
    <w:rsid w:val="005A612F"/>
    <w:rsid w:val="005A69D6"/>
    <w:rsid w:val="005A6ACB"/>
    <w:rsid w:val="005B0001"/>
    <w:rsid w:val="005B0B8A"/>
    <w:rsid w:val="005B1EFA"/>
    <w:rsid w:val="005B2E26"/>
    <w:rsid w:val="005B2EF1"/>
    <w:rsid w:val="005B4A62"/>
    <w:rsid w:val="005B4BD7"/>
    <w:rsid w:val="005B4D04"/>
    <w:rsid w:val="005B5031"/>
    <w:rsid w:val="005B5BAC"/>
    <w:rsid w:val="005B5F13"/>
    <w:rsid w:val="005B5FA5"/>
    <w:rsid w:val="005B6012"/>
    <w:rsid w:val="005B7DE4"/>
    <w:rsid w:val="005C1794"/>
    <w:rsid w:val="005C2B54"/>
    <w:rsid w:val="005C305F"/>
    <w:rsid w:val="005C31FB"/>
    <w:rsid w:val="005C3A06"/>
    <w:rsid w:val="005C5D6B"/>
    <w:rsid w:val="005C69CD"/>
    <w:rsid w:val="005C7262"/>
    <w:rsid w:val="005C7475"/>
    <w:rsid w:val="005C7B3C"/>
    <w:rsid w:val="005D0C70"/>
    <w:rsid w:val="005D1A57"/>
    <w:rsid w:val="005D29C9"/>
    <w:rsid w:val="005D3E8E"/>
    <w:rsid w:val="005D4E0D"/>
    <w:rsid w:val="005D5117"/>
    <w:rsid w:val="005D517C"/>
    <w:rsid w:val="005D60D4"/>
    <w:rsid w:val="005D64ED"/>
    <w:rsid w:val="005D6943"/>
    <w:rsid w:val="005D7B98"/>
    <w:rsid w:val="005D7D56"/>
    <w:rsid w:val="005E0511"/>
    <w:rsid w:val="005E0586"/>
    <w:rsid w:val="005E14E1"/>
    <w:rsid w:val="005E2184"/>
    <w:rsid w:val="005E2FED"/>
    <w:rsid w:val="005E30D3"/>
    <w:rsid w:val="005E326C"/>
    <w:rsid w:val="005E38AB"/>
    <w:rsid w:val="005E3CA5"/>
    <w:rsid w:val="005E78AE"/>
    <w:rsid w:val="005F316C"/>
    <w:rsid w:val="005F37DA"/>
    <w:rsid w:val="005F3C59"/>
    <w:rsid w:val="005F492F"/>
    <w:rsid w:val="005F53C7"/>
    <w:rsid w:val="005F5E58"/>
    <w:rsid w:val="005F728A"/>
    <w:rsid w:val="005F7467"/>
    <w:rsid w:val="006006E2"/>
    <w:rsid w:val="00602787"/>
    <w:rsid w:val="00602805"/>
    <w:rsid w:val="0060321C"/>
    <w:rsid w:val="0060428A"/>
    <w:rsid w:val="006049D4"/>
    <w:rsid w:val="0060504C"/>
    <w:rsid w:val="006059E9"/>
    <w:rsid w:val="00606188"/>
    <w:rsid w:val="00606781"/>
    <w:rsid w:val="0060679C"/>
    <w:rsid w:val="006079B8"/>
    <w:rsid w:val="00607C4A"/>
    <w:rsid w:val="00610295"/>
    <w:rsid w:val="00612EFF"/>
    <w:rsid w:val="00614F6A"/>
    <w:rsid w:val="00615B68"/>
    <w:rsid w:val="00616E2E"/>
    <w:rsid w:val="00617410"/>
    <w:rsid w:val="00617AE6"/>
    <w:rsid w:val="00617FB1"/>
    <w:rsid w:val="0062005A"/>
    <w:rsid w:val="00621B50"/>
    <w:rsid w:val="00622023"/>
    <w:rsid w:val="0062292C"/>
    <w:rsid w:val="006231DE"/>
    <w:rsid w:val="006234DB"/>
    <w:rsid w:val="00623FC0"/>
    <w:rsid w:val="00624CE1"/>
    <w:rsid w:val="00624E66"/>
    <w:rsid w:val="006252DF"/>
    <w:rsid w:val="006254FC"/>
    <w:rsid w:val="00626136"/>
    <w:rsid w:val="00626B63"/>
    <w:rsid w:val="00626E94"/>
    <w:rsid w:val="00626FD1"/>
    <w:rsid w:val="00627652"/>
    <w:rsid w:val="00630B01"/>
    <w:rsid w:val="00631C29"/>
    <w:rsid w:val="00632349"/>
    <w:rsid w:val="006323D0"/>
    <w:rsid w:val="006328C4"/>
    <w:rsid w:val="0063329A"/>
    <w:rsid w:val="006345A6"/>
    <w:rsid w:val="0063491B"/>
    <w:rsid w:val="0063512B"/>
    <w:rsid w:val="00636625"/>
    <w:rsid w:val="00636722"/>
    <w:rsid w:val="00636E34"/>
    <w:rsid w:val="00637321"/>
    <w:rsid w:val="00637499"/>
    <w:rsid w:val="00641744"/>
    <w:rsid w:val="00641A3D"/>
    <w:rsid w:val="0064285D"/>
    <w:rsid w:val="00642BBC"/>
    <w:rsid w:val="006446AF"/>
    <w:rsid w:val="00644BEC"/>
    <w:rsid w:val="00645453"/>
    <w:rsid w:val="00645F9F"/>
    <w:rsid w:val="00651268"/>
    <w:rsid w:val="00652992"/>
    <w:rsid w:val="00652D41"/>
    <w:rsid w:val="00653F8F"/>
    <w:rsid w:val="0065411A"/>
    <w:rsid w:val="0065430F"/>
    <w:rsid w:val="006547DB"/>
    <w:rsid w:val="0065552F"/>
    <w:rsid w:val="00660B76"/>
    <w:rsid w:val="00660ED6"/>
    <w:rsid w:val="00661DDB"/>
    <w:rsid w:val="00662CB9"/>
    <w:rsid w:val="006636B7"/>
    <w:rsid w:val="006640DE"/>
    <w:rsid w:val="006644E6"/>
    <w:rsid w:val="00664C14"/>
    <w:rsid w:val="00664E54"/>
    <w:rsid w:val="00666005"/>
    <w:rsid w:val="0066745D"/>
    <w:rsid w:val="00667785"/>
    <w:rsid w:val="0066782A"/>
    <w:rsid w:val="00667F1A"/>
    <w:rsid w:val="00670251"/>
    <w:rsid w:val="00670969"/>
    <w:rsid w:val="00671084"/>
    <w:rsid w:val="00671EC1"/>
    <w:rsid w:val="00672FF8"/>
    <w:rsid w:val="00673E85"/>
    <w:rsid w:val="00674901"/>
    <w:rsid w:val="00675988"/>
    <w:rsid w:val="00675C1A"/>
    <w:rsid w:val="00677CA8"/>
    <w:rsid w:val="006805F5"/>
    <w:rsid w:val="006816DC"/>
    <w:rsid w:val="00681DF7"/>
    <w:rsid w:val="006840EF"/>
    <w:rsid w:val="00684588"/>
    <w:rsid w:val="00684923"/>
    <w:rsid w:val="006868FD"/>
    <w:rsid w:val="00690025"/>
    <w:rsid w:val="006912F5"/>
    <w:rsid w:val="006914FA"/>
    <w:rsid w:val="0069173E"/>
    <w:rsid w:val="00691910"/>
    <w:rsid w:val="006946C2"/>
    <w:rsid w:val="006967E0"/>
    <w:rsid w:val="0069698D"/>
    <w:rsid w:val="00697575"/>
    <w:rsid w:val="006A1E2D"/>
    <w:rsid w:val="006A22E7"/>
    <w:rsid w:val="006A55F2"/>
    <w:rsid w:val="006A64DF"/>
    <w:rsid w:val="006A729F"/>
    <w:rsid w:val="006A7DEF"/>
    <w:rsid w:val="006B13DE"/>
    <w:rsid w:val="006B2741"/>
    <w:rsid w:val="006B2FFD"/>
    <w:rsid w:val="006B3E48"/>
    <w:rsid w:val="006B498B"/>
    <w:rsid w:val="006B4A51"/>
    <w:rsid w:val="006B4C75"/>
    <w:rsid w:val="006B6D27"/>
    <w:rsid w:val="006B72F8"/>
    <w:rsid w:val="006B7579"/>
    <w:rsid w:val="006B7D72"/>
    <w:rsid w:val="006B7FC7"/>
    <w:rsid w:val="006C0319"/>
    <w:rsid w:val="006C07FB"/>
    <w:rsid w:val="006C08AD"/>
    <w:rsid w:val="006C09C4"/>
    <w:rsid w:val="006C2044"/>
    <w:rsid w:val="006C2A90"/>
    <w:rsid w:val="006C2E10"/>
    <w:rsid w:val="006C3AA5"/>
    <w:rsid w:val="006C4F60"/>
    <w:rsid w:val="006C5107"/>
    <w:rsid w:val="006C5AC7"/>
    <w:rsid w:val="006C5F46"/>
    <w:rsid w:val="006C626C"/>
    <w:rsid w:val="006C6775"/>
    <w:rsid w:val="006C7763"/>
    <w:rsid w:val="006D1586"/>
    <w:rsid w:val="006D3597"/>
    <w:rsid w:val="006D3947"/>
    <w:rsid w:val="006D47BC"/>
    <w:rsid w:val="006D4E8F"/>
    <w:rsid w:val="006D5A84"/>
    <w:rsid w:val="006D5E8C"/>
    <w:rsid w:val="006D71BB"/>
    <w:rsid w:val="006D72DC"/>
    <w:rsid w:val="006D7DF0"/>
    <w:rsid w:val="006E05D3"/>
    <w:rsid w:val="006E39A5"/>
    <w:rsid w:val="006E3D41"/>
    <w:rsid w:val="006E3D80"/>
    <w:rsid w:val="006E445C"/>
    <w:rsid w:val="006E55BD"/>
    <w:rsid w:val="006E5E6D"/>
    <w:rsid w:val="006E6FA2"/>
    <w:rsid w:val="006E70E6"/>
    <w:rsid w:val="006E7745"/>
    <w:rsid w:val="006E7B4A"/>
    <w:rsid w:val="006F0044"/>
    <w:rsid w:val="006F2D3C"/>
    <w:rsid w:val="006F35BE"/>
    <w:rsid w:val="006F394B"/>
    <w:rsid w:val="006F54FE"/>
    <w:rsid w:val="006F5C99"/>
    <w:rsid w:val="006F5D61"/>
    <w:rsid w:val="006F6374"/>
    <w:rsid w:val="006F639B"/>
    <w:rsid w:val="006F7E99"/>
    <w:rsid w:val="00700D24"/>
    <w:rsid w:val="00701605"/>
    <w:rsid w:val="00703CC8"/>
    <w:rsid w:val="0070437A"/>
    <w:rsid w:val="00705F75"/>
    <w:rsid w:val="007063E3"/>
    <w:rsid w:val="0070752E"/>
    <w:rsid w:val="00710D50"/>
    <w:rsid w:val="00711534"/>
    <w:rsid w:val="00711613"/>
    <w:rsid w:val="00711933"/>
    <w:rsid w:val="00712B47"/>
    <w:rsid w:val="007133DE"/>
    <w:rsid w:val="007138D8"/>
    <w:rsid w:val="00713A55"/>
    <w:rsid w:val="007143A3"/>
    <w:rsid w:val="007149DC"/>
    <w:rsid w:val="0071526D"/>
    <w:rsid w:val="00715F33"/>
    <w:rsid w:val="00717C5C"/>
    <w:rsid w:val="00720319"/>
    <w:rsid w:val="007209D4"/>
    <w:rsid w:val="00720A53"/>
    <w:rsid w:val="00721E7E"/>
    <w:rsid w:val="0072333F"/>
    <w:rsid w:val="0072334C"/>
    <w:rsid w:val="00723604"/>
    <w:rsid w:val="007236DC"/>
    <w:rsid w:val="007240C2"/>
    <w:rsid w:val="00724E4D"/>
    <w:rsid w:val="00725D27"/>
    <w:rsid w:val="00725D46"/>
    <w:rsid w:val="00726629"/>
    <w:rsid w:val="00727244"/>
    <w:rsid w:val="007301F9"/>
    <w:rsid w:val="00730662"/>
    <w:rsid w:val="00730E67"/>
    <w:rsid w:val="007313AA"/>
    <w:rsid w:val="0073281E"/>
    <w:rsid w:val="00733990"/>
    <w:rsid w:val="00734301"/>
    <w:rsid w:val="0073440D"/>
    <w:rsid w:val="00734BC1"/>
    <w:rsid w:val="00734FC3"/>
    <w:rsid w:val="00735BDC"/>
    <w:rsid w:val="00735F74"/>
    <w:rsid w:val="007367FB"/>
    <w:rsid w:val="00740DD2"/>
    <w:rsid w:val="0074113D"/>
    <w:rsid w:val="00741B6D"/>
    <w:rsid w:val="00742843"/>
    <w:rsid w:val="0074293F"/>
    <w:rsid w:val="007437E8"/>
    <w:rsid w:val="00743B0C"/>
    <w:rsid w:val="00744AC3"/>
    <w:rsid w:val="00744AE1"/>
    <w:rsid w:val="00745904"/>
    <w:rsid w:val="00745BBF"/>
    <w:rsid w:val="007477C1"/>
    <w:rsid w:val="00750203"/>
    <w:rsid w:val="0075026A"/>
    <w:rsid w:val="007509E3"/>
    <w:rsid w:val="00750DF3"/>
    <w:rsid w:val="00751188"/>
    <w:rsid w:val="007524BE"/>
    <w:rsid w:val="007537A1"/>
    <w:rsid w:val="00754C51"/>
    <w:rsid w:val="007610A8"/>
    <w:rsid w:val="00761B70"/>
    <w:rsid w:val="007622E6"/>
    <w:rsid w:val="007624C7"/>
    <w:rsid w:val="00764054"/>
    <w:rsid w:val="00764A8E"/>
    <w:rsid w:val="007652F0"/>
    <w:rsid w:val="00766024"/>
    <w:rsid w:val="00766895"/>
    <w:rsid w:val="00767063"/>
    <w:rsid w:val="00770075"/>
    <w:rsid w:val="0077051D"/>
    <w:rsid w:val="00771457"/>
    <w:rsid w:val="00771BC2"/>
    <w:rsid w:val="00771C33"/>
    <w:rsid w:val="00771CC4"/>
    <w:rsid w:val="00773898"/>
    <w:rsid w:val="00773D97"/>
    <w:rsid w:val="00774981"/>
    <w:rsid w:val="00774B2A"/>
    <w:rsid w:val="00774F38"/>
    <w:rsid w:val="00776542"/>
    <w:rsid w:val="00776B00"/>
    <w:rsid w:val="00780F03"/>
    <w:rsid w:val="007811C6"/>
    <w:rsid w:val="007822FD"/>
    <w:rsid w:val="007829FC"/>
    <w:rsid w:val="00787FE7"/>
    <w:rsid w:val="007903A5"/>
    <w:rsid w:val="00790F51"/>
    <w:rsid w:val="007919F7"/>
    <w:rsid w:val="0079215A"/>
    <w:rsid w:val="00792DBC"/>
    <w:rsid w:val="00794776"/>
    <w:rsid w:val="00794DB0"/>
    <w:rsid w:val="0079533F"/>
    <w:rsid w:val="007953A8"/>
    <w:rsid w:val="007954B4"/>
    <w:rsid w:val="00795A65"/>
    <w:rsid w:val="007A2DC7"/>
    <w:rsid w:val="007A30E8"/>
    <w:rsid w:val="007A3435"/>
    <w:rsid w:val="007A36F9"/>
    <w:rsid w:val="007A40A4"/>
    <w:rsid w:val="007A4259"/>
    <w:rsid w:val="007A524C"/>
    <w:rsid w:val="007A5AFB"/>
    <w:rsid w:val="007A5E94"/>
    <w:rsid w:val="007A65D1"/>
    <w:rsid w:val="007A65F5"/>
    <w:rsid w:val="007A7488"/>
    <w:rsid w:val="007A7F9E"/>
    <w:rsid w:val="007B077A"/>
    <w:rsid w:val="007B0F26"/>
    <w:rsid w:val="007B12FE"/>
    <w:rsid w:val="007B1BCE"/>
    <w:rsid w:val="007B25D8"/>
    <w:rsid w:val="007B2671"/>
    <w:rsid w:val="007B2C15"/>
    <w:rsid w:val="007B2D9C"/>
    <w:rsid w:val="007B35EF"/>
    <w:rsid w:val="007B3C26"/>
    <w:rsid w:val="007B3CE1"/>
    <w:rsid w:val="007B4A79"/>
    <w:rsid w:val="007B5D90"/>
    <w:rsid w:val="007B7094"/>
    <w:rsid w:val="007C0479"/>
    <w:rsid w:val="007C10FD"/>
    <w:rsid w:val="007C1AA5"/>
    <w:rsid w:val="007C1FF0"/>
    <w:rsid w:val="007C2116"/>
    <w:rsid w:val="007C21CB"/>
    <w:rsid w:val="007C288B"/>
    <w:rsid w:val="007C2BE4"/>
    <w:rsid w:val="007C52E4"/>
    <w:rsid w:val="007C5DE4"/>
    <w:rsid w:val="007C6309"/>
    <w:rsid w:val="007C68B1"/>
    <w:rsid w:val="007C6E2E"/>
    <w:rsid w:val="007C6E35"/>
    <w:rsid w:val="007C704F"/>
    <w:rsid w:val="007C716D"/>
    <w:rsid w:val="007C787D"/>
    <w:rsid w:val="007D05F7"/>
    <w:rsid w:val="007D1025"/>
    <w:rsid w:val="007D15DA"/>
    <w:rsid w:val="007D2B65"/>
    <w:rsid w:val="007D33C9"/>
    <w:rsid w:val="007D3C4A"/>
    <w:rsid w:val="007D3EAE"/>
    <w:rsid w:val="007D43F8"/>
    <w:rsid w:val="007D4C37"/>
    <w:rsid w:val="007D66F9"/>
    <w:rsid w:val="007D6D1F"/>
    <w:rsid w:val="007D7102"/>
    <w:rsid w:val="007D7515"/>
    <w:rsid w:val="007D7FD2"/>
    <w:rsid w:val="007E1191"/>
    <w:rsid w:val="007E190C"/>
    <w:rsid w:val="007E226D"/>
    <w:rsid w:val="007E2B4E"/>
    <w:rsid w:val="007E43D4"/>
    <w:rsid w:val="007E4F0E"/>
    <w:rsid w:val="007E512E"/>
    <w:rsid w:val="007E52CC"/>
    <w:rsid w:val="007E69EA"/>
    <w:rsid w:val="007F00D7"/>
    <w:rsid w:val="007F1327"/>
    <w:rsid w:val="007F139A"/>
    <w:rsid w:val="007F2CDB"/>
    <w:rsid w:val="007F4A6E"/>
    <w:rsid w:val="007F5308"/>
    <w:rsid w:val="007F5467"/>
    <w:rsid w:val="007F6719"/>
    <w:rsid w:val="007F694A"/>
    <w:rsid w:val="007F70ED"/>
    <w:rsid w:val="007F79DB"/>
    <w:rsid w:val="007F79E9"/>
    <w:rsid w:val="007F7C26"/>
    <w:rsid w:val="008002B3"/>
    <w:rsid w:val="008013A1"/>
    <w:rsid w:val="00801638"/>
    <w:rsid w:val="008028D7"/>
    <w:rsid w:val="0080346C"/>
    <w:rsid w:val="008039FD"/>
    <w:rsid w:val="00804B09"/>
    <w:rsid w:val="008051DE"/>
    <w:rsid w:val="0080533E"/>
    <w:rsid w:val="008057C3"/>
    <w:rsid w:val="008075AE"/>
    <w:rsid w:val="00807FFB"/>
    <w:rsid w:val="0081392B"/>
    <w:rsid w:val="00814458"/>
    <w:rsid w:val="00816EF1"/>
    <w:rsid w:val="008170B5"/>
    <w:rsid w:val="00821A30"/>
    <w:rsid w:val="0082249E"/>
    <w:rsid w:val="008224DC"/>
    <w:rsid w:val="00822568"/>
    <w:rsid w:val="00822A17"/>
    <w:rsid w:val="00823E11"/>
    <w:rsid w:val="00824593"/>
    <w:rsid w:val="00824A72"/>
    <w:rsid w:val="008257E0"/>
    <w:rsid w:val="00830EB6"/>
    <w:rsid w:val="00831613"/>
    <w:rsid w:val="00831E79"/>
    <w:rsid w:val="00832F4B"/>
    <w:rsid w:val="0083598D"/>
    <w:rsid w:val="00835A51"/>
    <w:rsid w:val="008369AE"/>
    <w:rsid w:val="008376F7"/>
    <w:rsid w:val="00840008"/>
    <w:rsid w:val="0084000A"/>
    <w:rsid w:val="00840324"/>
    <w:rsid w:val="00841818"/>
    <w:rsid w:val="008426E0"/>
    <w:rsid w:val="00842D8D"/>
    <w:rsid w:val="00844A15"/>
    <w:rsid w:val="008458CD"/>
    <w:rsid w:val="00845EE9"/>
    <w:rsid w:val="008468D6"/>
    <w:rsid w:val="00847133"/>
    <w:rsid w:val="008472C5"/>
    <w:rsid w:val="0085035B"/>
    <w:rsid w:val="00850930"/>
    <w:rsid w:val="00850FC0"/>
    <w:rsid w:val="0085370E"/>
    <w:rsid w:val="00853D5E"/>
    <w:rsid w:val="00854E06"/>
    <w:rsid w:val="008554A6"/>
    <w:rsid w:val="00855595"/>
    <w:rsid w:val="00855EAE"/>
    <w:rsid w:val="00856891"/>
    <w:rsid w:val="00856D48"/>
    <w:rsid w:val="00857A35"/>
    <w:rsid w:val="00860B00"/>
    <w:rsid w:val="00860CEA"/>
    <w:rsid w:val="008611AB"/>
    <w:rsid w:val="00862038"/>
    <w:rsid w:val="00863024"/>
    <w:rsid w:val="008638FC"/>
    <w:rsid w:val="0086398D"/>
    <w:rsid w:val="00863D7F"/>
    <w:rsid w:val="00864385"/>
    <w:rsid w:val="00864806"/>
    <w:rsid w:val="0086537B"/>
    <w:rsid w:val="00865FA3"/>
    <w:rsid w:val="008705CE"/>
    <w:rsid w:val="00870B63"/>
    <w:rsid w:val="00870E48"/>
    <w:rsid w:val="00871340"/>
    <w:rsid w:val="00871575"/>
    <w:rsid w:val="00872823"/>
    <w:rsid w:val="008728C3"/>
    <w:rsid w:val="008735D5"/>
    <w:rsid w:val="0087384A"/>
    <w:rsid w:val="00874E7D"/>
    <w:rsid w:val="00875AC1"/>
    <w:rsid w:val="00875EED"/>
    <w:rsid w:val="008812A8"/>
    <w:rsid w:val="00885478"/>
    <w:rsid w:val="00887B93"/>
    <w:rsid w:val="00890298"/>
    <w:rsid w:val="0089045F"/>
    <w:rsid w:val="00890B01"/>
    <w:rsid w:val="0089107C"/>
    <w:rsid w:val="008912F9"/>
    <w:rsid w:val="00891A48"/>
    <w:rsid w:val="00894811"/>
    <w:rsid w:val="00894D62"/>
    <w:rsid w:val="0089540A"/>
    <w:rsid w:val="00896714"/>
    <w:rsid w:val="008978A5"/>
    <w:rsid w:val="00897981"/>
    <w:rsid w:val="008A1898"/>
    <w:rsid w:val="008A1C36"/>
    <w:rsid w:val="008A1FE2"/>
    <w:rsid w:val="008A2FB7"/>
    <w:rsid w:val="008A31D4"/>
    <w:rsid w:val="008A33EE"/>
    <w:rsid w:val="008A5409"/>
    <w:rsid w:val="008A54DC"/>
    <w:rsid w:val="008A7FE9"/>
    <w:rsid w:val="008B0A93"/>
    <w:rsid w:val="008B0B9B"/>
    <w:rsid w:val="008B1449"/>
    <w:rsid w:val="008B1752"/>
    <w:rsid w:val="008B4ECB"/>
    <w:rsid w:val="008B582D"/>
    <w:rsid w:val="008B5A5A"/>
    <w:rsid w:val="008B7013"/>
    <w:rsid w:val="008B776C"/>
    <w:rsid w:val="008B77A2"/>
    <w:rsid w:val="008B7993"/>
    <w:rsid w:val="008C183B"/>
    <w:rsid w:val="008C1BF2"/>
    <w:rsid w:val="008C3323"/>
    <w:rsid w:val="008C3672"/>
    <w:rsid w:val="008C5241"/>
    <w:rsid w:val="008C5B67"/>
    <w:rsid w:val="008C6D78"/>
    <w:rsid w:val="008D036D"/>
    <w:rsid w:val="008D0A9C"/>
    <w:rsid w:val="008D1146"/>
    <w:rsid w:val="008D2B52"/>
    <w:rsid w:val="008D2D13"/>
    <w:rsid w:val="008D36D6"/>
    <w:rsid w:val="008D4F50"/>
    <w:rsid w:val="008D6500"/>
    <w:rsid w:val="008D673D"/>
    <w:rsid w:val="008D679F"/>
    <w:rsid w:val="008D6931"/>
    <w:rsid w:val="008D6E4A"/>
    <w:rsid w:val="008D7B85"/>
    <w:rsid w:val="008D7CDC"/>
    <w:rsid w:val="008E0A70"/>
    <w:rsid w:val="008E1F3F"/>
    <w:rsid w:val="008E2562"/>
    <w:rsid w:val="008E3218"/>
    <w:rsid w:val="008E3CEA"/>
    <w:rsid w:val="008E3F4C"/>
    <w:rsid w:val="008E4192"/>
    <w:rsid w:val="008E4B7E"/>
    <w:rsid w:val="008E59E2"/>
    <w:rsid w:val="008F01A0"/>
    <w:rsid w:val="008F1375"/>
    <w:rsid w:val="008F1661"/>
    <w:rsid w:val="008F2482"/>
    <w:rsid w:val="008F4455"/>
    <w:rsid w:val="008F5155"/>
    <w:rsid w:val="008F6405"/>
    <w:rsid w:val="008F7471"/>
    <w:rsid w:val="008F7CFC"/>
    <w:rsid w:val="0090059D"/>
    <w:rsid w:val="00903D20"/>
    <w:rsid w:val="00904465"/>
    <w:rsid w:val="00905CD4"/>
    <w:rsid w:val="009075B8"/>
    <w:rsid w:val="00911F90"/>
    <w:rsid w:val="0091208D"/>
    <w:rsid w:val="0091639B"/>
    <w:rsid w:val="0091686D"/>
    <w:rsid w:val="00921938"/>
    <w:rsid w:val="00921D3E"/>
    <w:rsid w:val="009226E6"/>
    <w:rsid w:val="00923568"/>
    <w:rsid w:val="00924458"/>
    <w:rsid w:val="0092469C"/>
    <w:rsid w:val="00925131"/>
    <w:rsid w:val="00925F2B"/>
    <w:rsid w:val="00926E98"/>
    <w:rsid w:val="009279B3"/>
    <w:rsid w:val="00930749"/>
    <w:rsid w:val="00931030"/>
    <w:rsid w:val="009310AF"/>
    <w:rsid w:val="00932226"/>
    <w:rsid w:val="00932397"/>
    <w:rsid w:val="0093243D"/>
    <w:rsid w:val="009324A6"/>
    <w:rsid w:val="0093402A"/>
    <w:rsid w:val="00934C65"/>
    <w:rsid w:val="00934D82"/>
    <w:rsid w:val="009366F0"/>
    <w:rsid w:val="00936C47"/>
    <w:rsid w:val="00941794"/>
    <w:rsid w:val="00941ABB"/>
    <w:rsid w:val="00942667"/>
    <w:rsid w:val="00942A8F"/>
    <w:rsid w:val="00943225"/>
    <w:rsid w:val="009432C1"/>
    <w:rsid w:val="00943C38"/>
    <w:rsid w:val="00944F35"/>
    <w:rsid w:val="00946035"/>
    <w:rsid w:val="00946DAC"/>
    <w:rsid w:val="00951EE4"/>
    <w:rsid w:val="00952891"/>
    <w:rsid w:val="00952FF0"/>
    <w:rsid w:val="00953ABC"/>
    <w:rsid w:val="0095438C"/>
    <w:rsid w:val="009546D1"/>
    <w:rsid w:val="00956640"/>
    <w:rsid w:val="00957603"/>
    <w:rsid w:val="00961597"/>
    <w:rsid w:val="00962311"/>
    <w:rsid w:val="00962BEB"/>
    <w:rsid w:val="00962E96"/>
    <w:rsid w:val="00965A76"/>
    <w:rsid w:val="00965C38"/>
    <w:rsid w:val="00966C74"/>
    <w:rsid w:val="00966DDD"/>
    <w:rsid w:val="00966E06"/>
    <w:rsid w:val="00966EDF"/>
    <w:rsid w:val="00967017"/>
    <w:rsid w:val="00970BD4"/>
    <w:rsid w:val="00971516"/>
    <w:rsid w:val="00971660"/>
    <w:rsid w:val="0097362C"/>
    <w:rsid w:val="009736FC"/>
    <w:rsid w:val="00973A0B"/>
    <w:rsid w:val="00973C63"/>
    <w:rsid w:val="009747C1"/>
    <w:rsid w:val="00976A21"/>
    <w:rsid w:val="009809C1"/>
    <w:rsid w:val="00980CE4"/>
    <w:rsid w:val="00982C86"/>
    <w:rsid w:val="00983D35"/>
    <w:rsid w:val="00984B9B"/>
    <w:rsid w:val="00987453"/>
    <w:rsid w:val="00991029"/>
    <w:rsid w:val="00993B0B"/>
    <w:rsid w:val="00994C71"/>
    <w:rsid w:val="0099753F"/>
    <w:rsid w:val="009A0B9A"/>
    <w:rsid w:val="009A11B0"/>
    <w:rsid w:val="009A2DEB"/>
    <w:rsid w:val="009A379A"/>
    <w:rsid w:val="009A3B2D"/>
    <w:rsid w:val="009A4900"/>
    <w:rsid w:val="009A4DCE"/>
    <w:rsid w:val="009A522C"/>
    <w:rsid w:val="009A5232"/>
    <w:rsid w:val="009A5953"/>
    <w:rsid w:val="009A7560"/>
    <w:rsid w:val="009B0E02"/>
    <w:rsid w:val="009B2C3D"/>
    <w:rsid w:val="009B2E7B"/>
    <w:rsid w:val="009B313D"/>
    <w:rsid w:val="009B3BCC"/>
    <w:rsid w:val="009B473C"/>
    <w:rsid w:val="009B4921"/>
    <w:rsid w:val="009B5101"/>
    <w:rsid w:val="009B571B"/>
    <w:rsid w:val="009C25A7"/>
    <w:rsid w:val="009C2829"/>
    <w:rsid w:val="009C2CF9"/>
    <w:rsid w:val="009C3DDC"/>
    <w:rsid w:val="009C4C42"/>
    <w:rsid w:val="009C5BC0"/>
    <w:rsid w:val="009C733B"/>
    <w:rsid w:val="009C772E"/>
    <w:rsid w:val="009D1599"/>
    <w:rsid w:val="009D1927"/>
    <w:rsid w:val="009D1F29"/>
    <w:rsid w:val="009D2754"/>
    <w:rsid w:val="009D4D17"/>
    <w:rsid w:val="009D508C"/>
    <w:rsid w:val="009D605F"/>
    <w:rsid w:val="009D6DE9"/>
    <w:rsid w:val="009D7F0D"/>
    <w:rsid w:val="009E0271"/>
    <w:rsid w:val="009E0918"/>
    <w:rsid w:val="009E12DC"/>
    <w:rsid w:val="009E1578"/>
    <w:rsid w:val="009E27A5"/>
    <w:rsid w:val="009E3403"/>
    <w:rsid w:val="009E3BDC"/>
    <w:rsid w:val="009E4DB1"/>
    <w:rsid w:val="009E6746"/>
    <w:rsid w:val="009E70F5"/>
    <w:rsid w:val="009F1650"/>
    <w:rsid w:val="009F2096"/>
    <w:rsid w:val="009F2101"/>
    <w:rsid w:val="009F26DB"/>
    <w:rsid w:val="009F275A"/>
    <w:rsid w:val="009F421C"/>
    <w:rsid w:val="009F480D"/>
    <w:rsid w:val="009F59A5"/>
    <w:rsid w:val="009F7A08"/>
    <w:rsid w:val="009F7CDF"/>
    <w:rsid w:val="00A0013D"/>
    <w:rsid w:val="00A00684"/>
    <w:rsid w:val="00A022CB"/>
    <w:rsid w:val="00A02D4A"/>
    <w:rsid w:val="00A030DD"/>
    <w:rsid w:val="00A0401D"/>
    <w:rsid w:val="00A04829"/>
    <w:rsid w:val="00A048E0"/>
    <w:rsid w:val="00A05090"/>
    <w:rsid w:val="00A053ED"/>
    <w:rsid w:val="00A05776"/>
    <w:rsid w:val="00A05EC5"/>
    <w:rsid w:val="00A10302"/>
    <w:rsid w:val="00A10533"/>
    <w:rsid w:val="00A110E9"/>
    <w:rsid w:val="00A134C4"/>
    <w:rsid w:val="00A13906"/>
    <w:rsid w:val="00A13C85"/>
    <w:rsid w:val="00A14377"/>
    <w:rsid w:val="00A150B9"/>
    <w:rsid w:val="00A150DE"/>
    <w:rsid w:val="00A1578C"/>
    <w:rsid w:val="00A15E0A"/>
    <w:rsid w:val="00A168BC"/>
    <w:rsid w:val="00A179D6"/>
    <w:rsid w:val="00A217ED"/>
    <w:rsid w:val="00A22038"/>
    <w:rsid w:val="00A22094"/>
    <w:rsid w:val="00A23971"/>
    <w:rsid w:val="00A23FE7"/>
    <w:rsid w:val="00A245DF"/>
    <w:rsid w:val="00A247BD"/>
    <w:rsid w:val="00A252B2"/>
    <w:rsid w:val="00A2566D"/>
    <w:rsid w:val="00A261BA"/>
    <w:rsid w:val="00A2654C"/>
    <w:rsid w:val="00A26A1A"/>
    <w:rsid w:val="00A27C35"/>
    <w:rsid w:val="00A332A9"/>
    <w:rsid w:val="00A335F3"/>
    <w:rsid w:val="00A352EA"/>
    <w:rsid w:val="00A36143"/>
    <w:rsid w:val="00A36224"/>
    <w:rsid w:val="00A372B3"/>
    <w:rsid w:val="00A37404"/>
    <w:rsid w:val="00A374AB"/>
    <w:rsid w:val="00A41B54"/>
    <w:rsid w:val="00A42426"/>
    <w:rsid w:val="00A42471"/>
    <w:rsid w:val="00A429FD"/>
    <w:rsid w:val="00A42E26"/>
    <w:rsid w:val="00A43B1C"/>
    <w:rsid w:val="00A44B1B"/>
    <w:rsid w:val="00A450F8"/>
    <w:rsid w:val="00A45668"/>
    <w:rsid w:val="00A467AC"/>
    <w:rsid w:val="00A47AEB"/>
    <w:rsid w:val="00A5505A"/>
    <w:rsid w:val="00A552E3"/>
    <w:rsid w:val="00A554D7"/>
    <w:rsid w:val="00A563C9"/>
    <w:rsid w:val="00A565A6"/>
    <w:rsid w:val="00A56834"/>
    <w:rsid w:val="00A57259"/>
    <w:rsid w:val="00A60399"/>
    <w:rsid w:val="00A6044F"/>
    <w:rsid w:val="00A613A6"/>
    <w:rsid w:val="00A62B3D"/>
    <w:rsid w:val="00A62C0F"/>
    <w:rsid w:val="00A63B5F"/>
    <w:rsid w:val="00A63FC7"/>
    <w:rsid w:val="00A64409"/>
    <w:rsid w:val="00A64746"/>
    <w:rsid w:val="00A64B9C"/>
    <w:rsid w:val="00A65CF5"/>
    <w:rsid w:val="00A662B0"/>
    <w:rsid w:val="00A66EE7"/>
    <w:rsid w:val="00A71345"/>
    <w:rsid w:val="00A73247"/>
    <w:rsid w:val="00A7565A"/>
    <w:rsid w:val="00A75ED1"/>
    <w:rsid w:val="00A767AC"/>
    <w:rsid w:val="00A767E9"/>
    <w:rsid w:val="00A7753F"/>
    <w:rsid w:val="00A813A9"/>
    <w:rsid w:val="00A8193A"/>
    <w:rsid w:val="00A81E76"/>
    <w:rsid w:val="00A833E6"/>
    <w:rsid w:val="00A839EA"/>
    <w:rsid w:val="00A84481"/>
    <w:rsid w:val="00A84AFD"/>
    <w:rsid w:val="00A85636"/>
    <w:rsid w:val="00A90354"/>
    <w:rsid w:val="00A90362"/>
    <w:rsid w:val="00A9215D"/>
    <w:rsid w:val="00A94280"/>
    <w:rsid w:val="00A94DA9"/>
    <w:rsid w:val="00A94E15"/>
    <w:rsid w:val="00A962D8"/>
    <w:rsid w:val="00A965BE"/>
    <w:rsid w:val="00A972D2"/>
    <w:rsid w:val="00A9731C"/>
    <w:rsid w:val="00A97421"/>
    <w:rsid w:val="00A97E1A"/>
    <w:rsid w:val="00AA1209"/>
    <w:rsid w:val="00AA1819"/>
    <w:rsid w:val="00AA19BE"/>
    <w:rsid w:val="00AA2B7B"/>
    <w:rsid w:val="00AA46F2"/>
    <w:rsid w:val="00AA661C"/>
    <w:rsid w:val="00AA67D5"/>
    <w:rsid w:val="00AA7BA5"/>
    <w:rsid w:val="00AB16D1"/>
    <w:rsid w:val="00AB2018"/>
    <w:rsid w:val="00AB2883"/>
    <w:rsid w:val="00AB3B77"/>
    <w:rsid w:val="00AB3E31"/>
    <w:rsid w:val="00AB55E8"/>
    <w:rsid w:val="00AB5D4D"/>
    <w:rsid w:val="00AB6112"/>
    <w:rsid w:val="00AB6A56"/>
    <w:rsid w:val="00AB6B1E"/>
    <w:rsid w:val="00AB7295"/>
    <w:rsid w:val="00AB7C89"/>
    <w:rsid w:val="00AC00C4"/>
    <w:rsid w:val="00AC0257"/>
    <w:rsid w:val="00AC28D0"/>
    <w:rsid w:val="00AC3E5B"/>
    <w:rsid w:val="00AC40BC"/>
    <w:rsid w:val="00AC4201"/>
    <w:rsid w:val="00AC4CA0"/>
    <w:rsid w:val="00AC50E8"/>
    <w:rsid w:val="00AD00EF"/>
    <w:rsid w:val="00AD0458"/>
    <w:rsid w:val="00AD04BE"/>
    <w:rsid w:val="00AD2390"/>
    <w:rsid w:val="00AD3F09"/>
    <w:rsid w:val="00AD4127"/>
    <w:rsid w:val="00AD4404"/>
    <w:rsid w:val="00AD4487"/>
    <w:rsid w:val="00AD4793"/>
    <w:rsid w:val="00AD4FD7"/>
    <w:rsid w:val="00AD592A"/>
    <w:rsid w:val="00AD7017"/>
    <w:rsid w:val="00AE012A"/>
    <w:rsid w:val="00AE0F22"/>
    <w:rsid w:val="00AE25B1"/>
    <w:rsid w:val="00AE2D5C"/>
    <w:rsid w:val="00AE2F6B"/>
    <w:rsid w:val="00AE31CC"/>
    <w:rsid w:val="00AE3DF5"/>
    <w:rsid w:val="00AE45E3"/>
    <w:rsid w:val="00AE5022"/>
    <w:rsid w:val="00AE62E9"/>
    <w:rsid w:val="00AE6A6E"/>
    <w:rsid w:val="00AE6D86"/>
    <w:rsid w:val="00AE77AD"/>
    <w:rsid w:val="00AE790D"/>
    <w:rsid w:val="00AF0A6D"/>
    <w:rsid w:val="00AF0F32"/>
    <w:rsid w:val="00AF0F9B"/>
    <w:rsid w:val="00AF3653"/>
    <w:rsid w:val="00AF4FDB"/>
    <w:rsid w:val="00AF64D2"/>
    <w:rsid w:val="00AF6B7E"/>
    <w:rsid w:val="00AF7317"/>
    <w:rsid w:val="00B002ED"/>
    <w:rsid w:val="00B01B38"/>
    <w:rsid w:val="00B0319A"/>
    <w:rsid w:val="00B05F70"/>
    <w:rsid w:val="00B05FD6"/>
    <w:rsid w:val="00B06123"/>
    <w:rsid w:val="00B068EB"/>
    <w:rsid w:val="00B06998"/>
    <w:rsid w:val="00B06B96"/>
    <w:rsid w:val="00B10B23"/>
    <w:rsid w:val="00B10D86"/>
    <w:rsid w:val="00B10EB8"/>
    <w:rsid w:val="00B112B0"/>
    <w:rsid w:val="00B11314"/>
    <w:rsid w:val="00B11972"/>
    <w:rsid w:val="00B134B5"/>
    <w:rsid w:val="00B143B1"/>
    <w:rsid w:val="00B14BD4"/>
    <w:rsid w:val="00B16D87"/>
    <w:rsid w:val="00B1799C"/>
    <w:rsid w:val="00B17BCB"/>
    <w:rsid w:val="00B206E8"/>
    <w:rsid w:val="00B2177B"/>
    <w:rsid w:val="00B21A97"/>
    <w:rsid w:val="00B21E1F"/>
    <w:rsid w:val="00B2382B"/>
    <w:rsid w:val="00B23AB6"/>
    <w:rsid w:val="00B24218"/>
    <w:rsid w:val="00B24369"/>
    <w:rsid w:val="00B24612"/>
    <w:rsid w:val="00B24E5D"/>
    <w:rsid w:val="00B25351"/>
    <w:rsid w:val="00B25755"/>
    <w:rsid w:val="00B263C3"/>
    <w:rsid w:val="00B273BE"/>
    <w:rsid w:val="00B30958"/>
    <w:rsid w:val="00B30ECC"/>
    <w:rsid w:val="00B3156B"/>
    <w:rsid w:val="00B323DC"/>
    <w:rsid w:val="00B324E0"/>
    <w:rsid w:val="00B32692"/>
    <w:rsid w:val="00B32787"/>
    <w:rsid w:val="00B32AE6"/>
    <w:rsid w:val="00B33374"/>
    <w:rsid w:val="00B34256"/>
    <w:rsid w:val="00B34EAB"/>
    <w:rsid w:val="00B37557"/>
    <w:rsid w:val="00B375CB"/>
    <w:rsid w:val="00B40731"/>
    <w:rsid w:val="00B41FB3"/>
    <w:rsid w:val="00B42906"/>
    <w:rsid w:val="00B43196"/>
    <w:rsid w:val="00B43821"/>
    <w:rsid w:val="00B43A37"/>
    <w:rsid w:val="00B43EF0"/>
    <w:rsid w:val="00B4570E"/>
    <w:rsid w:val="00B4615C"/>
    <w:rsid w:val="00B467CE"/>
    <w:rsid w:val="00B5056C"/>
    <w:rsid w:val="00B51578"/>
    <w:rsid w:val="00B517BB"/>
    <w:rsid w:val="00B519C2"/>
    <w:rsid w:val="00B52C13"/>
    <w:rsid w:val="00B541CE"/>
    <w:rsid w:val="00B5462D"/>
    <w:rsid w:val="00B54F8D"/>
    <w:rsid w:val="00B5679A"/>
    <w:rsid w:val="00B57F24"/>
    <w:rsid w:val="00B6002B"/>
    <w:rsid w:val="00B60925"/>
    <w:rsid w:val="00B62954"/>
    <w:rsid w:val="00B651BF"/>
    <w:rsid w:val="00B65B94"/>
    <w:rsid w:val="00B6651E"/>
    <w:rsid w:val="00B67DF2"/>
    <w:rsid w:val="00B70099"/>
    <w:rsid w:val="00B715E2"/>
    <w:rsid w:val="00B720D3"/>
    <w:rsid w:val="00B728D6"/>
    <w:rsid w:val="00B7324A"/>
    <w:rsid w:val="00B736DE"/>
    <w:rsid w:val="00B73DFE"/>
    <w:rsid w:val="00B74B60"/>
    <w:rsid w:val="00B74FE1"/>
    <w:rsid w:val="00B753A0"/>
    <w:rsid w:val="00B77571"/>
    <w:rsid w:val="00B77BFF"/>
    <w:rsid w:val="00B80CD9"/>
    <w:rsid w:val="00B81F80"/>
    <w:rsid w:val="00B82E03"/>
    <w:rsid w:val="00B835A4"/>
    <w:rsid w:val="00B8423C"/>
    <w:rsid w:val="00B847C2"/>
    <w:rsid w:val="00B85ABC"/>
    <w:rsid w:val="00B86703"/>
    <w:rsid w:val="00B90C91"/>
    <w:rsid w:val="00B91306"/>
    <w:rsid w:val="00B9374A"/>
    <w:rsid w:val="00B93AFA"/>
    <w:rsid w:val="00B94037"/>
    <w:rsid w:val="00B94D7B"/>
    <w:rsid w:val="00B9637C"/>
    <w:rsid w:val="00B96BA2"/>
    <w:rsid w:val="00BA0585"/>
    <w:rsid w:val="00BA1149"/>
    <w:rsid w:val="00BA1ACC"/>
    <w:rsid w:val="00BA3176"/>
    <w:rsid w:val="00BA41FB"/>
    <w:rsid w:val="00BA4CFE"/>
    <w:rsid w:val="00BA5693"/>
    <w:rsid w:val="00BA5FAD"/>
    <w:rsid w:val="00BA6275"/>
    <w:rsid w:val="00BA6C46"/>
    <w:rsid w:val="00BA71F3"/>
    <w:rsid w:val="00BA7898"/>
    <w:rsid w:val="00BB0526"/>
    <w:rsid w:val="00BB0973"/>
    <w:rsid w:val="00BB4497"/>
    <w:rsid w:val="00BB4B75"/>
    <w:rsid w:val="00BB6CF4"/>
    <w:rsid w:val="00BC0844"/>
    <w:rsid w:val="00BC0B72"/>
    <w:rsid w:val="00BC1551"/>
    <w:rsid w:val="00BC2844"/>
    <w:rsid w:val="00BC2AB9"/>
    <w:rsid w:val="00BC3856"/>
    <w:rsid w:val="00BC3F77"/>
    <w:rsid w:val="00BC4B4B"/>
    <w:rsid w:val="00BC583F"/>
    <w:rsid w:val="00BC6B61"/>
    <w:rsid w:val="00BC6BB9"/>
    <w:rsid w:val="00BC7D22"/>
    <w:rsid w:val="00BD1393"/>
    <w:rsid w:val="00BD1D5D"/>
    <w:rsid w:val="00BD3C36"/>
    <w:rsid w:val="00BD3C52"/>
    <w:rsid w:val="00BD3EFF"/>
    <w:rsid w:val="00BD4BEA"/>
    <w:rsid w:val="00BD518A"/>
    <w:rsid w:val="00BD5414"/>
    <w:rsid w:val="00BD6024"/>
    <w:rsid w:val="00BD65B2"/>
    <w:rsid w:val="00BD6A32"/>
    <w:rsid w:val="00BD6AE0"/>
    <w:rsid w:val="00BD72E8"/>
    <w:rsid w:val="00BE1283"/>
    <w:rsid w:val="00BE1DC5"/>
    <w:rsid w:val="00BE21AB"/>
    <w:rsid w:val="00BE23EF"/>
    <w:rsid w:val="00BE2E26"/>
    <w:rsid w:val="00BE2E29"/>
    <w:rsid w:val="00BE3023"/>
    <w:rsid w:val="00BE3721"/>
    <w:rsid w:val="00BE6445"/>
    <w:rsid w:val="00BE6ED8"/>
    <w:rsid w:val="00BE7172"/>
    <w:rsid w:val="00BE7910"/>
    <w:rsid w:val="00BF2122"/>
    <w:rsid w:val="00BF277B"/>
    <w:rsid w:val="00BF2C43"/>
    <w:rsid w:val="00BF37AB"/>
    <w:rsid w:val="00BF3832"/>
    <w:rsid w:val="00BF5990"/>
    <w:rsid w:val="00BF6F5B"/>
    <w:rsid w:val="00BF7593"/>
    <w:rsid w:val="00BF7A96"/>
    <w:rsid w:val="00C01385"/>
    <w:rsid w:val="00C0149D"/>
    <w:rsid w:val="00C02E2A"/>
    <w:rsid w:val="00C037BD"/>
    <w:rsid w:val="00C05AF8"/>
    <w:rsid w:val="00C065AE"/>
    <w:rsid w:val="00C06A17"/>
    <w:rsid w:val="00C070A2"/>
    <w:rsid w:val="00C10C28"/>
    <w:rsid w:val="00C11291"/>
    <w:rsid w:val="00C119A4"/>
    <w:rsid w:val="00C12957"/>
    <w:rsid w:val="00C1469A"/>
    <w:rsid w:val="00C15446"/>
    <w:rsid w:val="00C15AB4"/>
    <w:rsid w:val="00C16E40"/>
    <w:rsid w:val="00C17778"/>
    <w:rsid w:val="00C17A8D"/>
    <w:rsid w:val="00C20522"/>
    <w:rsid w:val="00C2186E"/>
    <w:rsid w:val="00C228B0"/>
    <w:rsid w:val="00C22B71"/>
    <w:rsid w:val="00C23049"/>
    <w:rsid w:val="00C23FCD"/>
    <w:rsid w:val="00C2495E"/>
    <w:rsid w:val="00C31D41"/>
    <w:rsid w:val="00C31FD6"/>
    <w:rsid w:val="00C32271"/>
    <w:rsid w:val="00C32EB9"/>
    <w:rsid w:val="00C330EA"/>
    <w:rsid w:val="00C33312"/>
    <w:rsid w:val="00C33AB0"/>
    <w:rsid w:val="00C33BF3"/>
    <w:rsid w:val="00C33ECB"/>
    <w:rsid w:val="00C34384"/>
    <w:rsid w:val="00C35071"/>
    <w:rsid w:val="00C35AE6"/>
    <w:rsid w:val="00C36552"/>
    <w:rsid w:val="00C36DDF"/>
    <w:rsid w:val="00C36F10"/>
    <w:rsid w:val="00C37168"/>
    <w:rsid w:val="00C37835"/>
    <w:rsid w:val="00C4136E"/>
    <w:rsid w:val="00C424DE"/>
    <w:rsid w:val="00C45941"/>
    <w:rsid w:val="00C45E67"/>
    <w:rsid w:val="00C463B9"/>
    <w:rsid w:val="00C4768B"/>
    <w:rsid w:val="00C47BE6"/>
    <w:rsid w:val="00C50E26"/>
    <w:rsid w:val="00C5267D"/>
    <w:rsid w:val="00C5292B"/>
    <w:rsid w:val="00C52E06"/>
    <w:rsid w:val="00C53432"/>
    <w:rsid w:val="00C5381F"/>
    <w:rsid w:val="00C53AFC"/>
    <w:rsid w:val="00C5498E"/>
    <w:rsid w:val="00C551EB"/>
    <w:rsid w:val="00C55696"/>
    <w:rsid w:val="00C57CE2"/>
    <w:rsid w:val="00C57F7A"/>
    <w:rsid w:val="00C60623"/>
    <w:rsid w:val="00C61CBD"/>
    <w:rsid w:val="00C62E1E"/>
    <w:rsid w:val="00C62E63"/>
    <w:rsid w:val="00C64C98"/>
    <w:rsid w:val="00C64CBF"/>
    <w:rsid w:val="00C6658F"/>
    <w:rsid w:val="00C6676F"/>
    <w:rsid w:val="00C66DD3"/>
    <w:rsid w:val="00C673EB"/>
    <w:rsid w:val="00C70770"/>
    <w:rsid w:val="00C70A17"/>
    <w:rsid w:val="00C72737"/>
    <w:rsid w:val="00C73B3E"/>
    <w:rsid w:val="00C73EEB"/>
    <w:rsid w:val="00C74351"/>
    <w:rsid w:val="00C74AC3"/>
    <w:rsid w:val="00C7624B"/>
    <w:rsid w:val="00C768DC"/>
    <w:rsid w:val="00C779ED"/>
    <w:rsid w:val="00C80384"/>
    <w:rsid w:val="00C811F2"/>
    <w:rsid w:val="00C81F5A"/>
    <w:rsid w:val="00C820F3"/>
    <w:rsid w:val="00C8314B"/>
    <w:rsid w:val="00C83267"/>
    <w:rsid w:val="00C85C57"/>
    <w:rsid w:val="00C85CBE"/>
    <w:rsid w:val="00C869C5"/>
    <w:rsid w:val="00C86AC6"/>
    <w:rsid w:val="00C90201"/>
    <w:rsid w:val="00C902DF"/>
    <w:rsid w:val="00C90F01"/>
    <w:rsid w:val="00C914EF"/>
    <w:rsid w:val="00C9166E"/>
    <w:rsid w:val="00C91B16"/>
    <w:rsid w:val="00C91B37"/>
    <w:rsid w:val="00C9257E"/>
    <w:rsid w:val="00C93F0E"/>
    <w:rsid w:val="00C94842"/>
    <w:rsid w:val="00C96DB0"/>
    <w:rsid w:val="00C97669"/>
    <w:rsid w:val="00C97A96"/>
    <w:rsid w:val="00CA133E"/>
    <w:rsid w:val="00CA5A11"/>
    <w:rsid w:val="00CA652C"/>
    <w:rsid w:val="00CA687D"/>
    <w:rsid w:val="00CA7B28"/>
    <w:rsid w:val="00CB1576"/>
    <w:rsid w:val="00CB1671"/>
    <w:rsid w:val="00CB2BF7"/>
    <w:rsid w:val="00CB7865"/>
    <w:rsid w:val="00CB79FF"/>
    <w:rsid w:val="00CC16EF"/>
    <w:rsid w:val="00CC2CC4"/>
    <w:rsid w:val="00CC3779"/>
    <w:rsid w:val="00CC4E4E"/>
    <w:rsid w:val="00CC5080"/>
    <w:rsid w:val="00CC6618"/>
    <w:rsid w:val="00CD0E4E"/>
    <w:rsid w:val="00CD297B"/>
    <w:rsid w:val="00CD4C61"/>
    <w:rsid w:val="00CD4D6E"/>
    <w:rsid w:val="00CD4E30"/>
    <w:rsid w:val="00CD5273"/>
    <w:rsid w:val="00CD52A5"/>
    <w:rsid w:val="00CD5870"/>
    <w:rsid w:val="00CD5B9C"/>
    <w:rsid w:val="00CD5FA6"/>
    <w:rsid w:val="00CD78D2"/>
    <w:rsid w:val="00CD7B3F"/>
    <w:rsid w:val="00CD7F70"/>
    <w:rsid w:val="00CD7FE5"/>
    <w:rsid w:val="00CE029D"/>
    <w:rsid w:val="00CE0E88"/>
    <w:rsid w:val="00CE1209"/>
    <w:rsid w:val="00CE4392"/>
    <w:rsid w:val="00CE4710"/>
    <w:rsid w:val="00CF05CF"/>
    <w:rsid w:val="00CF3955"/>
    <w:rsid w:val="00CF397B"/>
    <w:rsid w:val="00CF4080"/>
    <w:rsid w:val="00CF46E2"/>
    <w:rsid w:val="00CF5E62"/>
    <w:rsid w:val="00CF6636"/>
    <w:rsid w:val="00CF6C71"/>
    <w:rsid w:val="00CF746F"/>
    <w:rsid w:val="00CF7D93"/>
    <w:rsid w:val="00D0117D"/>
    <w:rsid w:val="00D021E4"/>
    <w:rsid w:val="00D02489"/>
    <w:rsid w:val="00D02EFA"/>
    <w:rsid w:val="00D042BC"/>
    <w:rsid w:val="00D04B90"/>
    <w:rsid w:val="00D071A3"/>
    <w:rsid w:val="00D07619"/>
    <w:rsid w:val="00D10713"/>
    <w:rsid w:val="00D1260F"/>
    <w:rsid w:val="00D158E4"/>
    <w:rsid w:val="00D17372"/>
    <w:rsid w:val="00D17A38"/>
    <w:rsid w:val="00D2198C"/>
    <w:rsid w:val="00D22DB4"/>
    <w:rsid w:val="00D25339"/>
    <w:rsid w:val="00D258BB"/>
    <w:rsid w:val="00D2596C"/>
    <w:rsid w:val="00D27704"/>
    <w:rsid w:val="00D30A06"/>
    <w:rsid w:val="00D30EFE"/>
    <w:rsid w:val="00D31312"/>
    <w:rsid w:val="00D3220E"/>
    <w:rsid w:val="00D3239E"/>
    <w:rsid w:val="00D337D2"/>
    <w:rsid w:val="00D3390B"/>
    <w:rsid w:val="00D33C5C"/>
    <w:rsid w:val="00D34593"/>
    <w:rsid w:val="00D3473B"/>
    <w:rsid w:val="00D34BAC"/>
    <w:rsid w:val="00D34BB5"/>
    <w:rsid w:val="00D3577F"/>
    <w:rsid w:val="00D35EC4"/>
    <w:rsid w:val="00D36320"/>
    <w:rsid w:val="00D377A7"/>
    <w:rsid w:val="00D40CAF"/>
    <w:rsid w:val="00D43663"/>
    <w:rsid w:val="00D43C62"/>
    <w:rsid w:val="00D44707"/>
    <w:rsid w:val="00D46E26"/>
    <w:rsid w:val="00D47831"/>
    <w:rsid w:val="00D50424"/>
    <w:rsid w:val="00D50C44"/>
    <w:rsid w:val="00D531A7"/>
    <w:rsid w:val="00D540D7"/>
    <w:rsid w:val="00D544B5"/>
    <w:rsid w:val="00D559E2"/>
    <w:rsid w:val="00D55BC2"/>
    <w:rsid w:val="00D55C7D"/>
    <w:rsid w:val="00D609EA"/>
    <w:rsid w:val="00D6252A"/>
    <w:rsid w:val="00D625F1"/>
    <w:rsid w:val="00D6337F"/>
    <w:rsid w:val="00D637CD"/>
    <w:rsid w:val="00D66A8C"/>
    <w:rsid w:val="00D67261"/>
    <w:rsid w:val="00D7014E"/>
    <w:rsid w:val="00D71710"/>
    <w:rsid w:val="00D72FDB"/>
    <w:rsid w:val="00D758EB"/>
    <w:rsid w:val="00D76D6A"/>
    <w:rsid w:val="00D77B6D"/>
    <w:rsid w:val="00D80E98"/>
    <w:rsid w:val="00D81D7C"/>
    <w:rsid w:val="00D8232D"/>
    <w:rsid w:val="00D8301A"/>
    <w:rsid w:val="00D8596D"/>
    <w:rsid w:val="00D85C36"/>
    <w:rsid w:val="00D87D79"/>
    <w:rsid w:val="00D87DFD"/>
    <w:rsid w:val="00D90811"/>
    <w:rsid w:val="00D9104F"/>
    <w:rsid w:val="00D911E2"/>
    <w:rsid w:val="00D92432"/>
    <w:rsid w:val="00D92E25"/>
    <w:rsid w:val="00D93DE1"/>
    <w:rsid w:val="00D96D01"/>
    <w:rsid w:val="00D97EF5"/>
    <w:rsid w:val="00DA23F4"/>
    <w:rsid w:val="00DA2968"/>
    <w:rsid w:val="00DA3607"/>
    <w:rsid w:val="00DA4651"/>
    <w:rsid w:val="00DA5898"/>
    <w:rsid w:val="00DA6C7C"/>
    <w:rsid w:val="00DB14CA"/>
    <w:rsid w:val="00DB1D1D"/>
    <w:rsid w:val="00DB31DC"/>
    <w:rsid w:val="00DB3AF8"/>
    <w:rsid w:val="00DB3F49"/>
    <w:rsid w:val="00DB4433"/>
    <w:rsid w:val="00DB6640"/>
    <w:rsid w:val="00DB6AB1"/>
    <w:rsid w:val="00DC007B"/>
    <w:rsid w:val="00DC0E95"/>
    <w:rsid w:val="00DC37AF"/>
    <w:rsid w:val="00DC4C2B"/>
    <w:rsid w:val="00DC5960"/>
    <w:rsid w:val="00DC7D13"/>
    <w:rsid w:val="00DD0373"/>
    <w:rsid w:val="00DD059C"/>
    <w:rsid w:val="00DD07B5"/>
    <w:rsid w:val="00DD24CE"/>
    <w:rsid w:val="00DD3DCA"/>
    <w:rsid w:val="00DD406F"/>
    <w:rsid w:val="00DD458C"/>
    <w:rsid w:val="00DD5589"/>
    <w:rsid w:val="00DD5A92"/>
    <w:rsid w:val="00DD60C9"/>
    <w:rsid w:val="00DD67FD"/>
    <w:rsid w:val="00DD6F89"/>
    <w:rsid w:val="00DD73F2"/>
    <w:rsid w:val="00DD7BAD"/>
    <w:rsid w:val="00DD7F6B"/>
    <w:rsid w:val="00DE293D"/>
    <w:rsid w:val="00DE377C"/>
    <w:rsid w:val="00DE3AE2"/>
    <w:rsid w:val="00DE4356"/>
    <w:rsid w:val="00DE448F"/>
    <w:rsid w:val="00DE613B"/>
    <w:rsid w:val="00DE6BAF"/>
    <w:rsid w:val="00DE6BBD"/>
    <w:rsid w:val="00DE74E9"/>
    <w:rsid w:val="00DF085E"/>
    <w:rsid w:val="00DF0F43"/>
    <w:rsid w:val="00DF1625"/>
    <w:rsid w:val="00DF1D47"/>
    <w:rsid w:val="00DF1E73"/>
    <w:rsid w:val="00DF2477"/>
    <w:rsid w:val="00DF26D8"/>
    <w:rsid w:val="00DF36E3"/>
    <w:rsid w:val="00DF3C7F"/>
    <w:rsid w:val="00DF5F9A"/>
    <w:rsid w:val="00DF64F5"/>
    <w:rsid w:val="00DF6D4B"/>
    <w:rsid w:val="00DF70CB"/>
    <w:rsid w:val="00E000F2"/>
    <w:rsid w:val="00E00AC1"/>
    <w:rsid w:val="00E00C2D"/>
    <w:rsid w:val="00E02A3B"/>
    <w:rsid w:val="00E04138"/>
    <w:rsid w:val="00E04195"/>
    <w:rsid w:val="00E04DBE"/>
    <w:rsid w:val="00E05643"/>
    <w:rsid w:val="00E0684A"/>
    <w:rsid w:val="00E07CA0"/>
    <w:rsid w:val="00E07E46"/>
    <w:rsid w:val="00E12268"/>
    <w:rsid w:val="00E12642"/>
    <w:rsid w:val="00E126E2"/>
    <w:rsid w:val="00E13395"/>
    <w:rsid w:val="00E14103"/>
    <w:rsid w:val="00E15792"/>
    <w:rsid w:val="00E15839"/>
    <w:rsid w:val="00E16590"/>
    <w:rsid w:val="00E1788F"/>
    <w:rsid w:val="00E17F94"/>
    <w:rsid w:val="00E200E1"/>
    <w:rsid w:val="00E21373"/>
    <w:rsid w:val="00E21EB5"/>
    <w:rsid w:val="00E223DC"/>
    <w:rsid w:val="00E22696"/>
    <w:rsid w:val="00E22AFA"/>
    <w:rsid w:val="00E23D69"/>
    <w:rsid w:val="00E23EF8"/>
    <w:rsid w:val="00E245C2"/>
    <w:rsid w:val="00E256D1"/>
    <w:rsid w:val="00E25D6C"/>
    <w:rsid w:val="00E27062"/>
    <w:rsid w:val="00E27226"/>
    <w:rsid w:val="00E27E5A"/>
    <w:rsid w:val="00E3053A"/>
    <w:rsid w:val="00E30769"/>
    <w:rsid w:val="00E31A52"/>
    <w:rsid w:val="00E31E53"/>
    <w:rsid w:val="00E32616"/>
    <w:rsid w:val="00E32E07"/>
    <w:rsid w:val="00E3408E"/>
    <w:rsid w:val="00E3471E"/>
    <w:rsid w:val="00E36241"/>
    <w:rsid w:val="00E36DCB"/>
    <w:rsid w:val="00E37D09"/>
    <w:rsid w:val="00E40315"/>
    <w:rsid w:val="00E40D5A"/>
    <w:rsid w:val="00E4100B"/>
    <w:rsid w:val="00E41B14"/>
    <w:rsid w:val="00E41F4A"/>
    <w:rsid w:val="00E421EA"/>
    <w:rsid w:val="00E43890"/>
    <w:rsid w:val="00E454B5"/>
    <w:rsid w:val="00E45578"/>
    <w:rsid w:val="00E4571D"/>
    <w:rsid w:val="00E45D9F"/>
    <w:rsid w:val="00E45F15"/>
    <w:rsid w:val="00E4660A"/>
    <w:rsid w:val="00E47A38"/>
    <w:rsid w:val="00E50375"/>
    <w:rsid w:val="00E51839"/>
    <w:rsid w:val="00E52851"/>
    <w:rsid w:val="00E5521F"/>
    <w:rsid w:val="00E55A3C"/>
    <w:rsid w:val="00E55AE6"/>
    <w:rsid w:val="00E60485"/>
    <w:rsid w:val="00E60823"/>
    <w:rsid w:val="00E619BF"/>
    <w:rsid w:val="00E62891"/>
    <w:rsid w:val="00E64883"/>
    <w:rsid w:val="00E64BB7"/>
    <w:rsid w:val="00E66F89"/>
    <w:rsid w:val="00E67EA2"/>
    <w:rsid w:val="00E70911"/>
    <w:rsid w:val="00E70C2E"/>
    <w:rsid w:val="00E70DFF"/>
    <w:rsid w:val="00E727D0"/>
    <w:rsid w:val="00E73916"/>
    <w:rsid w:val="00E76C98"/>
    <w:rsid w:val="00E80FED"/>
    <w:rsid w:val="00E82231"/>
    <w:rsid w:val="00E830DB"/>
    <w:rsid w:val="00E83709"/>
    <w:rsid w:val="00E83943"/>
    <w:rsid w:val="00E83AF0"/>
    <w:rsid w:val="00E83C2E"/>
    <w:rsid w:val="00E83FCC"/>
    <w:rsid w:val="00E854F7"/>
    <w:rsid w:val="00E8750C"/>
    <w:rsid w:val="00E90772"/>
    <w:rsid w:val="00E92238"/>
    <w:rsid w:val="00E92BF0"/>
    <w:rsid w:val="00E92C5A"/>
    <w:rsid w:val="00E937DB"/>
    <w:rsid w:val="00E93930"/>
    <w:rsid w:val="00E9487B"/>
    <w:rsid w:val="00E94A15"/>
    <w:rsid w:val="00E94DEE"/>
    <w:rsid w:val="00E95C53"/>
    <w:rsid w:val="00EA0086"/>
    <w:rsid w:val="00EA0500"/>
    <w:rsid w:val="00EA0E9C"/>
    <w:rsid w:val="00EA1411"/>
    <w:rsid w:val="00EA385C"/>
    <w:rsid w:val="00EA3ABA"/>
    <w:rsid w:val="00EA4CD5"/>
    <w:rsid w:val="00EA585A"/>
    <w:rsid w:val="00EA5A3C"/>
    <w:rsid w:val="00EA6276"/>
    <w:rsid w:val="00EA6511"/>
    <w:rsid w:val="00EA65C7"/>
    <w:rsid w:val="00EA70C2"/>
    <w:rsid w:val="00EB1AE9"/>
    <w:rsid w:val="00EB3180"/>
    <w:rsid w:val="00EB3BE0"/>
    <w:rsid w:val="00EB4CF9"/>
    <w:rsid w:val="00EB6C54"/>
    <w:rsid w:val="00EB7BDC"/>
    <w:rsid w:val="00EC0E0E"/>
    <w:rsid w:val="00EC155E"/>
    <w:rsid w:val="00EC181E"/>
    <w:rsid w:val="00EC1F8D"/>
    <w:rsid w:val="00EC2572"/>
    <w:rsid w:val="00EC27E2"/>
    <w:rsid w:val="00EC2DE6"/>
    <w:rsid w:val="00EC373F"/>
    <w:rsid w:val="00EC66ED"/>
    <w:rsid w:val="00ED4027"/>
    <w:rsid w:val="00ED5C1F"/>
    <w:rsid w:val="00EE04AD"/>
    <w:rsid w:val="00EE05B0"/>
    <w:rsid w:val="00EE1989"/>
    <w:rsid w:val="00EE1B35"/>
    <w:rsid w:val="00EE2156"/>
    <w:rsid w:val="00EE26DF"/>
    <w:rsid w:val="00EE3039"/>
    <w:rsid w:val="00EE3110"/>
    <w:rsid w:val="00EE4008"/>
    <w:rsid w:val="00EF21E8"/>
    <w:rsid w:val="00EF3052"/>
    <w:rsid w:val="00EF3724"/>
    <w:rsid w:val="00EF423C"/>
    <w:rsid w:val="00EF716E"/>
    <w:rsid w:val="00EF7DE4"/>
    <w:rsid w:val="00F00892"/>
    <w:rsid w:val="00F0128A"/>
    <w:rsid w:val="00F012CD"/>
    <w:rsid w:val="00F012CF"/>
    <w:rsid w:val="00F01E58"/>
    <w:rsid w:val="00F02B99"/>
    <w:rsid w:val="00F0302D"/>
    <w:rsid w:val="00F035F2"/>
    <w:rsid w:val="00F03A64"/>
    <w:rsid w:val="00F04C0E"/>
    <w:rsid w:val="00F05107"/>
    <w:rsid w:val="00F057F8"/>
    <w:rsid w:val="00F063C8"/>
    <w:rsid w:val="00F106CD"/>
    <w:rsid w:val="00F10A71"/>
    <w:rsid w:val="00F11522"/>
    <w:rsid w:val="00F12C55"/>
    <w:rsid w:val="00F12FCB"/>
    <w:rsid w:val="00F131A9"/>
    <w:rsid w:val="00F1330E"/>
    <w:rsid w:val="00F14130"/>
    <w:rsid w:val="00F16932"/>
    <w:rsid w:val="00F16FC1"/>
    <w:rsid w:val="00F2016D"/>
    <w:rsid w:val="00F2105E"/>
    <w:rsid w:val="00F21131"/>
    <w:rsid w:val="00F2147E"/>
    <w:rsid w:val="00F21C5C"/>
    <w:rsid w:val="00F22AED"/>
    <w:rsid w:val="00F22E6B"/>
    <w:rsid w:val="00F22F57"/>
    <w:rsid w:val="00F239E3"/>
    <w:rsid w:val="00F26798"/>
    <w:rsid w:val="00F31F13"/>
    <w:rsid w:val="00F321AC"/>
    <w:rsid w:val="00F32586"/>
    <w:rsid w:val="00F325CF"/>
    <w:rsid w:val="00F331D3"/>
    <w:rsid w:val="00F353EF"/>
    <w:rsid w:val="00F35617"/>
    <w:rsid w:val="00F35995"/>
    <w:rsid w:val="00F35B8A"/>
    <w:rsid w:val="00F37223"/>
    <w:rsid w:val="00F372C1"/>
    <w:rsid w:val="00F37569"/>
    <w:rsid w:val="00F40505"/>
    <w:rsid w:val="00F42033"/>
    <w:rsid w:val="00F4334C"/>
    <w:rsid w:val="00F43D26"/>
    <w:rsid w:val="00F44EC5"/>
    <w:rsid w:val="00F44ED3"/>
    <w:rsid w:val="00F51588"/>
    <w:rsid w:val="00F51FD0"/>
    <w:rsid w:val="00F52599"/>
    <w:rsid w:val="00F5272C"/>
    <w:rsid w:val="00F54554"/>
    <w:rsid w:val="00F5509A"/>
    <w:rsid w:val="00F5571D"/>
    <w:rsid w:val="00F55C1A"/>
    <w:rsid w:val="00F55EA1"/>
    <w:rsid w:val="00F56A14"/>
    <w:rsid w:val="00F61A3A"/>
    <w:rsid w:val="00F62340"/>
    <w:rsid w:val="00F6312F"/>
    <w:rsid w:val="00F6548E"/>
    <w:rsid w:val="00F66E01"/>
    <w:rsid w:val="00F66F2B"/>
    <w:rsid w:val="00F704CA"/>
    <w:rsid w:val="00F70929"/>
    <w:rsid w:val="00F70EB2"/>
    <w:rsid w:val="00F71155"/>
    <w:rsid w:val="00F71F43"/>
    <w:rsid w:val="00F72AE5"/>
    <w:rsid w:val="00F73536"/>
    <w:rsid w:val="00F760D1"/>
    <w:rsid w:val="00F76591"/>
    <w:rsid w:val="00F76CDD"/>
    <w:rsid w:val="00F772EE"/>
    <w:rsid w:val="00F774B5"/>
    <w:rsid w:val="00F774CD"/>
    <w:rsid w:val="00F77820"/>
    <w:rsid w:val="00F80437"/>
    <w:rsid w:val="00F81064"/>
    <w:rsid w:val="00F818E6"/>
    <w:rsid w:val="00F818ED"/>
    <w:rsid w:val="00F854BE"/>
    <w:rsid w:val="00F879D6"/>
    <w:rsid w:val="00F87B2F"/>
    <w:rsid w:val="00F87E5A"/>
    <w:rsid w:val="00F909D2"/>
    <w:rsid w:val="00F90A23"/>
    <w:rsid w:val="00F90C89"/>
    <w:rsid w:val="00F914C4"/>
    <w:rsid w:val="00F94C73"/>
    <w:rsid w:val="00F95455"/>
    <w:rsid w:val="00F95C1C"/>
    <w:rsid w:val="00F960E1"/>
    <w:rsid w:val="00F971ED"/>
    <w:rsid w:val="00FA078A"/>
    <w:rsid w:val="00FA0915"/>
    <w:rsid w:val="00FA21AF"/>
    <w:rsid w:val="00FA32DA"/>
    <w:rsid w:val="00FA3A27"/>
    <w:rsid w:val="00FA5677"/>
    <w:rsid w:val="00FA6978"/>
    <w:rsid w:val="00FA7322"/>
    <w:rsid w:val="00FA7CBC"/>
    <w:rsid w:val="00FB0002"/>
    <w:rsid w:val="00FB0D0A"/>
    <w:rsid w:val="00FB0F2D"/>
    <w:rsid w:val="00FB1196"/>
    <w:rsid w:val="00FB20EF"/>
    <w:rsid w:val="00FB2AF2"/>
    <w:rsid w:val="00FB2CFB"/>
    <w:rsid w:val="00FB3499"/>
    <w:rsid w:val="00FB3B1B"/>
    <w:rsid w:val="00FB4067"/>
    <w:rsid w:val="00FB42D6"/>
    <w:rsid w:val="00FB4601"/>
    <w:rsid w:val="00FB4AB5"/>
    <w:rsid w:val="00FB538C"/>
    <w:rsid w:val="00FB5773"/>
    <w:rsid w:val="00FB600A"/>
    <w:rsid w:val="00FB60C4"/>
    <w:rsid w:val="00FB6132"/>
    <w:rsid w:val="00FB620F"/>
    <w:rsid w:val="00FB6B43"/>
    <w:rsid w:val="00FB7A92"/>
    <w:rsid w:val="00FB7A9A"/>
    <w:rsid w:val="00FC0D3C"/>
    <w:rsid w:val="00FC19D3"/>
    <w:rsid w:val="00FC1E36"/>
    <w:rsid w:val="00FC2BED"/>
    <w:rsid w:val="00FC34E2"/>
    <w:rsid w:val="00FC3657"/>
    <w:rsid w:val="00FC415C"/>
    <w:rsid w:val="00FC5FD2"/>
    <w:rsid w:val="00FC6D56"/>
    <w:rsid w:val="00FC7489"/>
    <w:rsid w:val="00FC7B31"/>
    <w:rsid w:val="00FC7C32"/>
    <w:rsid w:val="00FD01EC"/>
    <w:rsid w:val="00FD0679"/>
    <w:rsid w:val="00FD1497"/>
    <w:rsid w:val="00FD15CE"/>
    <w:rsid w:val="00FD4EA1"/>
    <w:rsid w:val="00FD565C"/>
    <w:rsid w:val="00FD5AAB"/>
    <w:rsid w:val="00FE00CB"/>
    <w:rsid w:val="00FE0E32"/>
    <w:rsid w:val="00FE0E61"/>
    <w:rsid w:val="00FE1A89"/>
    <w:rsid w:val="00FE1E92"/>
    <w:rsid w:val="00FE3150"/>
    <w:rsid w:val="00FE461E"/>
    <w:rsid w:val="00FE65BA"/>
    <w:rsid w:val="00FF0169"/>
    <w:rsid w:val="00FF039B"/>
    <w:rsid w:val="00FF07B1"/>
    <w:rsid w:val="00FF12EE"/>
    <w:rsid w:val="00FF1B9F"/>
    <w:rsid w:val="00FF21B4"/>
    <w:rsid w:val="00FF2AFC"/>
    <w:rsid w:val="00FF4A90"/>
    <w:rsid w:val="00FF7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21F80"/>
  <w15:docId w15:val="{9AC0B39E-51BD-4C59-B58C-6AE9FA4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4B"/>
    <w:rPr>
      <w:rFonts w:ascii="Times New Roman" w:hAnsi="Times New Roman"/>
      <w:sz w:val="28"/>
    </w:rPr>
  </w:style>
  <w:style w:type="paragraph" w:styleId="Heading1">
    <w:name w:val="heading 1"/>
    <w:basedOn w:val="Normal"/>
    <w:next w:val="Normal"/>
    <w:link w:val="Heading1Char"/>
    <w:uiPriority w:val="9"/>
    <w:qFormat/>
    <w:rsid w:val="000034E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701DF"/>
    <w:pPr>
      <w:keepNext/>
      <w:keepLines/>
      <w:spacing w:before="40" w:after="0" w:line="240" w:lineRule="auto"/>
      <w:ind w:firstLine="706"/>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70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0099"/>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semiHidden/>
    <w:unhideWhenUsed/>
    <w:qFormat/>
    <w:rsid w:val="00B70099"/>
    <w:pPr>
      <w:keepNext/>
      <w:keepLines/>
      <w:spacing w:before="40" w:after="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semiHidden/>
    <w:unhideWhenUsed/>
    <w:qFormat/>
    <w:rsid w:val="00B70099"/>
    <w:pPr>
      <w:keepNext/>
      <w:keepLines/>
      <w:spacing w:before="40" w:after="0"/>
      <w:outlineLvl w:val="5"/>
    </w:pPr>
    <w:rPr>
      <w:rFonts w:asciiTheme="majorHAnsi" w:eastAsiaTheme="majorEastAsia" w:hAnsiTheme="majorHAnsi" w:cstheme="majorBidi"/>
      <w:color w:val="1F4D78" w:themeColor="accent1" w:themeShade="7F"/>
      <w:sz w:val="22"/>
    </w:rPr>
  </w:style>
  <w:style w:type="paragraph" w:styleId="Heading7">
    <w:name w:val="heading 7"/>
    <w:basedOn w:val="Normal"/>
    <w:next w:val="Normal"/>
    <w:link w:val="Heading7Char"/>
    <w:uiPriority w:val="9"/>
    <w:semiHidden/>
    <w:unhideWhenUsed/>
    <w:qFormat/>
    <w:rsid w:val="00B70099"/>
    <w:pPr>
      <w:keepNext/>
      <w:keepLines/>
      <w:spacing w:before="40" w:after="0"/>
      <w:outlineLvl w:val="6"/>
    </w:pPr>
    <w:rPr>
      <w:rFonts w:asciiTheme="majorHAnsi" w:eastAsiaTheme="majorEastAsia" w:hAnsiTheme="majorHAnsi" w:cstheme="majorBidi"/>
      <w:i/>
      <w:iCs/>
      <w:color w:val="1F4D78" w:themeColor="accent1" w:themeShade="7F"/>
      <w:sz w:val="22"/>
    </w:rPr>
  </w:style>
  <w:style w:type="paragraph" w:styleId="Heading8">
    <w:name w:val="heading 8"/>
    <w:basedOn w:val="Normal"/>
    <w:next w:val="Normal"/>
    <w:link w:val="Heading8Char"/>
    <w:uiPriority w:val="9"/>
    <w:semiHidden/>
    <w:unhideWhenUsed/>
    <w:qFormat/>
    <w:rsid w:val="00B700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00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8F1661"/>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8F1661"/>
    <w:pPr>
      <w:widowControl w:val="0"/>
      <w:shd w:val="clear" w:color="auto" w:fill="FFFFFF"/>
      <w:spacing w:after="0" w:line="274" w:lineRule="exact"/>
      <w:jc w:val="both"/>
    </w:pPr>
    <w:rPr>
      <w:rFonts w:eastAsia="Times New Roman" w:cs="Times New Roman"/>
    </w:r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nhideWhenUsed/>
    <w:qFormat/>
    <w:rsid w:val="00627652"/>
    <w:pPr>
      <w:spacing w:after="0" w:line="240" w:lineRule="auto"/>
    </w:pPr>
    <w:rPr>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rsid w:val="00627652"/>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62765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E3CEA"/>
    <w:pPr>
      <w:spacing w:after="0" w:line="240" w:lineRule="exact"/>
      <w:jc w:val="both"/>
    </w:pPr>
    <w:rPr>
      <w:vertAlign w:val="superscript"/>
    </w:rPr>
  </w:style>
  <w:style w:type="table" w:styleId="TableGrid">
    <w:name w:val="Table Grid"/>
    <w:basedOn w:val="TableNormal"/>
    <w:uiPriority w:val="39"/>
    <w:rsid w:val="008E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9E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509E3"/>
  </w:style>
  <w:style w:type="paragraph" w:styleId="Footer">
    <w:name w:val="footer"/>
    <w:basedOn w:val="Normal"/>
    <w:link w:val="FooterChar"/>
    <w:uiPriority w:val="99"/>
    <w:unhideWhenUsed/>
    <w:rsid w:val="007509E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509E3"/>
  </w:style>
  <w:style w:type="character" w:customStyle="1" w:styleId="Heading2Char">
    <w:name w:val="Heading 2 Char"/>
    <w:basedOn w:val="DefaultParagraphFont"/>
    <w:link w:val="Heading2"/>
    <w:uiPriority w:val="9"/>
    <w:rsid w:val="001701DF"/>
    <w:rPr>
      <w:rFonts w:ascii="Times New Roman" w:eastAsiaTheme="majorEastAsia" w:hAnsi="Times New Roman" w:cstheme="majorBidi"/>
      <w:b/>
      <w:sz w:val="28"/>
      <w:szCs w:val="26"/>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Stil3"/>
    <w:basedOn w:val="Normal"/>
    <w:link w:val="ListParagraphChar"/>
    <w:uiPriority w:val="34"/>
    <w:qFormat/>
    <w:rsid w:val="001701DF"/>
    <w:pPr>
      <w:spacing w:after="0"/>
      <w:ind w:left="720"/>
      <w:contextualSpacing/>
      <w:jc w:val="both"/>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1701DF"/>
    <w:rPr>
      <w:rFonts w:ascii="Times New Roman" w:hAnsi="Times New Roman"/>
      <w:sz w:val="28"/>
    </w:rPr>
  </w:style>
  <w:style w:type="paragraph" w:styleId="BalloonText">
    <w:name w:val="Balloon Text"/>
    <w:basedOn w:val="Normal"/>
    <w:link w:val="BalloonTextChar"/>
    <w:uiPriority w:val="99"/>
    <w:semiHidden/>
    <w:unhideWhenUsed/>
    <w:rsid w:val="0021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D3"/>
    <w:rPr>
      <w:rFonts w:ascii="Segoe UI" w:hAnsi="Segoe UI" w:cs="Segoe UI"/>
      <w:sz w:val="18"/>
      <w:szCs w:val="18"/>
    </w:rPr>
  </w:style>
  <w:style w:type="paragraph" w:customStyle="1" w:styleId="rg">
    <w:name w:val="rg"/>
    <w:basedOn w:val="Normal"/>
    <w:rsid w:val="00FB60C4"/>
    <w:pPr>
      <w:spacing w:after="0" w:line="240" w:lineRule="auto"/>
      <w:jc w:val="right"/>
    </w:pPr>
    <w:rPr>
      <w:rFonts w:eastAsia="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BB0973"/>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BB0973"/>
    <w:pPr>
      <w:spacing w:after="0" w:line="240" w:lineRule="auto"/>
      <w:ind w:firstLine="567"/>
      <w:jc w:val="both"/>
    </w:pPr>
    <w:rPr>
      <w:rFonts w:eastAsia="Times New Roman" w:cs="Times New Roman"/>
      <w:sz w:val="24"/>
      <w:szCs w:val="24"/>
    </w:rPr>
  </w:style>
  <w:style w:type="paragraph" w:customStyle="1" w:styleId="tt">
    <w:name w:val="tt"/>
    <w:basedOn w:val="Normal"/>
    <w:rsid w:val="001108CD"/>
    <w:pPr>
      <w:spacing w:after="0" w:line="240" w:lineRule="auto"/>
      <w:jc w:val="center"/>
    </w:pPr>
    <w:rPr>
      <w:rFonts w:eastAsia="Times New Roman" w:cs="Times New Roman"/>
      <w:b/>
      <w:bCs/>
      <w:sz w:val="24"/>
      <w:szCs w:val="24"/>
    </w:rPr>
  </w:style>
  <w:style w:type="paragraph" w:customStyle="1" w:styleId="cn">
    <w:name w:val="cn"/>
    <w:basedOn w:val="Normal"/>
    <w:rsid w:val="001108CD"/>
    <w:pPr>
      <w:spacing w:after="0" w:line="240" w:lineRule="auto"/>
      <w:jc w:val="center"/>
    </w:pPr>
    <w:rPr>
      <w:rFonts w:eastAsia="Times New Roman" w:cs="Times New Roman"/>
      <w:sz w:val="24"/>
      <w:szCs w:val="24"/>
    </w:rPr>
  </w:style>
  <w:style w:type="character" w:customStyle="1" w:styleId="Heading1Char">
    <w:name w:val="Heading 1 Char"/>
    <w:basedOn w:val="DefaultParagraphFont"/>
    <w:link w:val="Heading1"/>
    <w:uiPriority w:val="9"/>
    <w:rsid w:val="000034EB"/>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8F7471"/>
    <w:pPr>
      <w:outlineLvl w:val="9"/>
    </w:pPr>
  </w:style>
  <w:style w:type="paragraph" w:styleId="TOC1">
    <w:name w:val="toc 1"/>
    <w:basedOn w:val="Normal"/>
    <w:next w:val="Normal"/>
    <w:autoRedefine/>
    <w:uiPriority w:val="39"/>
    <w:unhideWhenUsed/>
    <w:rsid w:val="00CD0E4E"/>
    <w:pPr>
      <w:tabs>
        <w:tab w:val="right" w:leader="dot" w:pos="9345"/>
      </w:tabs>
      <w:spacing w:after="0"/>
    </w:pPr>
  </w:style>
  <w:style w:type="paragraph" w:styleId="TOC2">
    <w:name w:val="toc 2"/>
    <w:basedOn w:val="Normal"/>
    <w:next w:val="Normal"/>
    <w:autoRedefine/>
    <w:uiPriority w:val="39"/>
    <w:unhideWhenUsed/>
    <w:rsid w:val="008F7471"/>
    <w:pPr>
      <w:spacing w:after="100"/>
      <w:ind w:left="220"/>
    </w:pPr>
  </w:style>
  <w:style w:type="character" w:styleId="Hyperlink">
    <w:name w:val="Hyperlink"/>
    <w:basedOn w:val="DefaultParagraphFont"/>
    <w:uiPriority w:val="99"/>
    <w:unhideWhenUsed/>
    <w:rsid w:val="008F7471"/>
    <w:rPr>
      <w:color w:val="0563C1" w:themeColor="hyperlink"/>
      <w:u w:val="single"/>
    </w:rPr>
  </w:style>
  <w:style w:type="paragraph" w:customStyle="1" w:styleId="Style21">
    <w:name w:val="Style21"/>
    <w:basedOn w:val="Normal"/>
    <w:uiPriority w:val="99"/>
    <w:rsid w:val="001F21A4"/>
    <w:pPr>
      <w:widowControl w:val="0"/>
      <w:autoSpaceDE w:val="0"/>
      <w:autoSpaceDN w:val="0"/>
      <w:adjustRightInd w:val="0"/>
      <w:spacing w:after="0" w:line="314" w:lineRule="exact"/>
      <w:ind w:firstLine="571"/>
      <w:jc w:val="both"/>
    </w:pPr>
    <w:rPr>
      <w:rFonts w:eastAsia="Times New Roman" w:cs="Times New Roman"/>
      <w:sz w:val="24"/>
      <w:szCs w:val="24"/>
      <w:lang w:val="ru-RU" w:eastAsia="ru-RU"/>
    </w:rPr>
  </w:style>
  <w:style w:type="character" w:styleId="CommentReference">
    <w:name w:val="annotation reference"/>
    <w:basedOn w:val="DefaultParagraphFont"/>
    <w:uiPriority w:val="99"/>
    <w:semiHidden/>
    <w:unhideWhenUsed/>
    <w:rsid w:val="00447A1B"/>
    <w:rPr>
      <w:sz w:val="16"/>
      <w:szCs w:val="16"/>
    </w:rPr>
  </w:style>
  <w:style w:type="paragraph" w:styleId="CommentText">
    <w:name w:val="annotation text"/>
    <w:basedOn w:val="Normal"/>
    <w:link w:val="CommentTextChar"/>
    <w:uiPriority w:val="99"/>
    <w:unhideWhenUsed/>
    <w:rsid w:val="00447A1B"/>
    <w:pPr>
      <w:spacing w:line="240" w:lineRule="auto"/>
    </w:pPr>
    <w:rPr>
      <w:sz w:val="20"/>
      <w:szCs w:val="20"/>
    </w:rPr>
  </w:style>
  <w:style w:type="character" w:customStyle="1" w:styleId="CommentTextChar">
    <w:name w:val="Comment Text Char"/>
    <w:basedOn w:val="DefaultParagraphFont"/>
    <w:link w:val="CommentText"/>
    <w:uiPriority w:val="99"/>
    <w:rsid w:val="00447A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7A1B"/>
    <w:rPr>
      <w:b/>
      <w:bCs/>
    </w:rPr>
  </w:style>
  <w:style w:type="character" w:customStyle="1" w:styleId="CommentSubjectChar">
    <w:name w:val="Comment Subject Char"/>
    <w:basedOn w:val="CommentTextChar"/>
    <w:link w:val="CommentSubject"/>
    <w:uiPriority w:val="99"/>
    <w:semiHidden/>
    <w:rsid w:val="00447A1B"/>
    <w:rPr>
      <w:rFonts w:ascii="Times New Roman" w:hAnsi="Times New Roman"/>
      <w:b/>
      <w:bCs/>
      <w:sz w:val="20"/>
      <w:szCs w:val="20"/>
    </w:rPr>
  </w:style>
  <w:style w:type="character" w:customStyle="1" w:styleId="Heading3Char">
    <w:name w:val="Heading 3 Char"/>
    <w:basedOn w:val="DefaultParagraphFont"/>
    <w:link w:val="Heading3"/>
    <w:uiPriority w:val="9"/>
    <w:rsid w:val="00B700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00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00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00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00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00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0099"/>
    <w:rPr>
      <w:rFonts w:asciiTheme="majorHAnsi" w:eastAsiaTheme="majorEastAsia" w:hAnsiTheme="majorHAnsi" w:cstheme="majorBidi"/>
      <w:i/>
      <w:iCs/>
      <w:color w:val="272727" w:themeColor="text1" w:themeTint="D8"/>
      <w:sz w:val="21"/>
      <w:szCs w:val="21"/>
    </w:rPr>
  </w:style>
  <w:style w:type="paragraph" w:customStyle="1" w:styleId="Default">
    <w:name w:val="Default"/>
    <w:rsid w:val="00B70099"/>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B70099"/>
    <w:pPr>
      <w:spacing w:after="120" w:line="240" w:lineRule="auto"/>
    </w:pPr>
    <w:rPr>
      <w:rFonts w:eastAsia="Times New Roman" w:cs="Times New Roman"/>
      <w:sz w:val="16"/>
      <w:szCs w:val="16"/>
      <w:lang w:val="ru-RU" w:eastAsia="ru-RU"/>
    </w:rPr>
  </w:style>
  <w:style w:type="character" w:customStyle="1" w:styleId="BodyText3Char">
    <w:name w:val="Body Text 3 Char"/>
    <w:basedOn w:val="DefaultParagraphFont"/>
    <w:link w:val="BodyText3"/>
    <w:uiPriority w:val="99"/>
    <w:rsid w:val="00B70099"/>
    <w:rPr>
      <w:rFonts w:ascii="Times New Roman" w:eastAsia="Times New Roman" w:hAnsi="Times New Roman" w:cs="Times New Roman"/>
      <w:sz w:val="16"/>
      <w:szCs w:val="16"/>
      <w:lang w:val="ru-RU" w:eastAsia="ru-RU"/>
    </w:rPr>
  </w:style>
  <w:style w:type="paragraph" w:styleId="NoSpacing">
    <w:name w:val="No Spacing"/>
    <w:uiPriority w:val="1"/>
    <w:qFormat/>
    <w:rsid w:val="00B70099"/>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styleId="PageNumber">
    <w:name w:val="page number"/>
    <w:basedOn w:val="DefaultParagraphFont"/>
    <w:uiPriority w:val="99"/>
    <w:semiHidden/>
    <w:unhideWhenUsed/>
    <w:rsid w:val="00B70099"/>
  </w:style>
  <w:style w:type="paragraph" w:styleId="TOC3">
    <w:name w:val="toc 3"/>
    <w:basedOn w:val="Normal"/>
    <w:next w:val="Normal"/>
    <w:autoRedefine/>
    <w:uiPriority w:val="39"/>
    <w:unhideWhenUsed/>
    <w:rsid w:val="00B70099"/>
    <w:pPr>
      <w:spacing w:after="0" w:line="240" w:lineRule="auto"/>
      <w:ind w:left="220"/>
    </w:pPr>
    <w:rPr>
      <w:rFonts w:asciiTheme="minorHAnsi" w:hAnsiTheme="minorHAnsi"/>
      <w:sz w:val="20"/>
      <w:szCs w:val="20"/>
    </w:rPr>
  </w:style>
  <w:style w:type="paragraph" w:styleId="TOC4">
    <w:name w:val="toc 4"/>
    <w:basedOn w:val="Normal"/>
    <w:next w:val="Normal"/>
    <w:autoRedefine/>
    <w:uiPriority w:val="39"/>
    <w:unhideWhenUsed/>
    <w:rsid w:val="00B70099"/>
    <w:pPr>
      <w:spacing w:after="0" w:line="240" w:lineRule="auto"/>
      <w:ind w:left="440"/>
    </w:pPr>
    <w:rPr>
      <w:rFonts w:asciiTheme="minorHAnsi" w:hAnsiTheme="minorHAnsi"/>
      <w:sz w:val="20"/>
      <w:szCs w:val="20"/>
    </w:rPr>
  </w:style>
  <w:style w:type="paragraph" w:styleId="TOC5">
    <w:name w:val="toc 5"/>
    <w:basedOn w:val="Normal"/>
    <w:next w:val="Normal"/>
    <w:autoRedefine/>
    <w:uiPriority w:val="39"/>
    <w:unhideWhenUsed/>
    <w:rsid w:val="00B70099"/>
    <w:pPr>
      <w:spacing w:after="0" w:line="240" w:lineRule="auto"/>
      <w:ind w:left="660"/>
    </w:pPr>
    <w:rPr>
      <w:rFonts w:asciiTheme="minorHAnsi" w:hAnsiTheme="minorHAnsi"/>
      <w:sz w:val="20"/>
      <w:szCs w:val="20"/>
    </w:rPr>
  </w:style>
  <w:style w:type="paragraph" w:styleId="TOC6">
    <w:name w:val="toc 6"/>
    <w:basedOn w:val="Normal"/>
    <w:next w:val="Normal"/>
    <w:autoRedefine/>
    <w:uiPriority w:val="39"/>
    <w:unhideWhenUsed/>
    <w:rsid w:val="00B70099"/>
    <w:pPr>
      <w:spacing w:after="0" w:line="240" w:lineRule="auto"/>
      <w:ind w:left="880"/>
    </w:pPr>
    <w:rPr>
      <w:rFonts w:asciiTheme="minorHAnsi" w:hAnsiTheme="minorHAnsi"/>
      <w:sz w:val="20"/>
      <w:szCs w:val="20"/>
    </w:rPr>
  </w:style>
  <w:style w:type="paragraph" w:styleId="TOC7">
    <w:name w:val="toc 7"/>
    <w:basedOn w:val="Normal"/>
    <w:next w:val="Normal"/>
    <w:autoRedefine/>
    <w:uiPriority w:val="39"/>
    <w:unhideWhenUsed/>
    <w:rsid w:val="00B70099"/>
    <w:pPr>
      <w:spacing w:after="0" w:line="240" w:lineRule="auto"/>
      <w:ind w:left="1100"/>
    </w:pPr>
    <w:rPr>
      <w:rFonts w:asciiTheme="minorHAnsi" w:hAnsiTheme="minorHAnsi"/>
      <w:sz w:val="20"/>
      <w:szCs w:val="20"/>
    </w:rPr>
  </w:style>
  <w:style w:type="paragraph" w:styleId="TOC8">
    <w:name w:val="toc 8"/>
    <w:basedOn w:val="Normal"/>
    <w:next w:val="Normal"/>
    <w:autoRedefine/>
    <w:uiPriority w:val="39"/>
    <w:unhideWhenUsed/>
    <w:rsid w:val="00B70099"/>
    <w:pPr>
      <w:spacing w:after="0" w:line="240" w:lineRule="auto"/>
      <w:ind w:left="1320"/>
    </w:pPr>
    <w:rPr>
      <w:rFonts w:asciiTheme="minorHAnsi" w:hAnsiTheme="minorHAnsi"/>
      <w:sz w:val="20"/>
      <w:szCs w:val="20"/>
    </w:rPr>
  </w:style>
  <w:style w:type="paragraph" w:styleId="TOC9">
    <w:name w:val="toc 9"/>
    <w:basedOn w:val="Normal"/>
    <w:next w:val="Normal"/>
    <w:autoRedefine/>
    <w:uiPriority w:val="39"/>
    <w:unhideWhenUsed/>
    <w:rsid w:val="00B70099"/>
    <w:pPr>
      <w:spacing w:after="0" w:line="240" w:lineRule="auto"/>
      <w:ind w:left="1540"/>
    </w:pPr>
    <w:rPr>
      <w:rFonts w:asciiTheme="minorHAnsi" w:hAnsiTheme="minorHAnsi"/>
      <w:sz w:val="20"/>
      <w:szCs w:val="20"/>
    </w:rPr>
  </w:style>
  <w:style w:type="paragraph" w:styleId="Revision">
    <w:name w:val="Revision"/>
    <w:hidden/>
    <w:uiPriority w:val="99"/>
    <w:semiHidden/>
    <w:rsid w:val="00B70099"/>
    <w:pPr>
      <w:spacing w:after="0" w:line="240" w:lineRule="auto"/>
    </w:pPr>
    <w:rPr>
      <w:szCs w:val="24"/>
    </w:rPr>
  </w:style>
  <w:style w:type="paragraph" w:customStyle="1" w:styleId="m7679177646322962650msolistparagraph">
    <w:name w:val="m_7679177646322962650msolistparagraph"/>
    <w:basedOn w:val="Normal"/>
    <w:rsid w:val="00B70099"/>
    <w:pPr>
      <w:spacing w:before="100" w:beforeAutospacing="1" w:after="100" w:afterAutospacing="1" w:line="240" w:lineRule="auto"/>
    </w:pPr>
    <w:rPr>
      <w:rFonts w:eastAsia="Times New Roman" w:cs="Times New Roman"/>
      <w:sz w:val="24"/>
      <w:szCs w:val="24"/>
    </w:rPr>
  </w:style>
  <w:style w:type="character" w:customStyle="1" w:styleId="highlight">
    <w:name w:val="highlight"/>
    <w:basedOn w:val="DefaultParagraphFont"/>
    <w:rsid w:val="00B70099"/>
  </w:style>
  <w:style w:type="character" w:styleId="Strong">
    <w:name w:val="Strong"/>
    <w:basedOn w:val="DefaultParagraphFont"/>
    <w:uiPriority w:val="22"/>
    <w:qFormat/>
    <w:rsid w:val="00B70099"/>
    <w:rPr>
      <w:b/>
      <w:bCs/>
    </w:rPr>
  </w:style>
  <w:style w:type="character" w:customStyle="1" w:styleId="st">
    <w:name w:val="st"/>
    <w:basedOn w:val="DefaultParagraphFont"/>
    <w:rsid w:val="00B70099"/>
  </w:style>
  <w:style w:type="character" w:styleId="Emphasis">
    <w:name w:val="Emphasis"/>
    <w:basedOn w:val="DefaultParagraphFont"/>
    <w:uiPriority w:val="20"/>
    <w:qFormat/>
    <w:rsid w:val="00B70099"/>
    <w:rPr>
      <w:i/>
      <w:iCs/>
    </w:rPr>
  </w:style>
  <w:style w:type="character" w:customStyle="1" w:styleId="docheader">
    <w:name w:val="doc_header"/>
    <w:basedOn w:val="DefaultParagraphFont"/>
    <w:rsid w:val="00B70099"/>
  </w:style>
  <w:style w:type="table" w:customStyle="1" w:styleId="-551">
    <w:name w:val="Таблица-сетка 5 темная — акцент 51"/>
    <w:basedOn w:val="TableNormal"/>
    <w:uiPriority w:val="50"/>
    <w:rsid w:val="00B700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41">
    <w:name w:val="Таблица простая 41"/>
    <w:basedOn w:val="TableNormal"/>
    <w:uiPriority w:val="44"/>
    <w:rsid w:val="00B70099"/>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TableNormal"/>
    <w:uiPriority w:val="42"/>
    <w:rsid w:val="00B700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B70099"/>
  </w:style>
  <w:style w:type="numbering" w:styleId="111111">
    <w:name w:val="Outline List 2"/>
    <w:basedOn w:val="NoList"/>
    <w:uiPriority w:val="99"/>
    <w:semiHidden/>
    <w:unhideWhenUsed/>
    <w:rsid w:val="00B70099"/>
    <w:pPr>
      <w:numPr>
        <w:numId w:val="4"/>
      </w:numPr>
    </w:pPr>
  </w:style>
  <w:style w:type="character" w:styleId="FollowedHyperlink">
    <w:name w:val="FollowedHyperlink"/>
    <w:basedOn w:val="DefaultParagraphFont"/>
    <w:uiPriority w:val="99"/>
    <w:semiHidden/>
    <w:unhideWhenUsed/>
    <w:rsid w:val="00B70099"/>
    <w:rPr>
      <w:color w:val="800080"/>
      <w:u w:val="single"/>
    </w:rPr>
  </w:style>
  <w:style w:type="paragraph" w:customStyle="1" w:styleId="msonormal0">
    <w:name w:val="msonormal"/>
    <w:basedOn w:val="Normal"/>
    <w:rsid w:val="00B70099"/>
    <w:pPr>
      <w:spacing w:before="100" w:beforeAutospacing="1" w:after="100" w:afterAutospacing="1" w:line="240" w:lineRule="auto"/>
    </w:pPr>
    <w:rPr>
      <w:rFonts w:eastAsia="Times New Roman" w:cs="Times New Roman"/>
      <w:sz w:val="24"/>
      <w:szCs w:val="24"/>
    </w:rPr>
  </w:style>
  <w:style w:type="paragraph" w:customStyle="1" w:styleId="xl65">
    <w:name w:val="xl65"/>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66">
    <w:name w:val="xl6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67">
    <w:name w:val="xl6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68">
    <w:name w:val="xl6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69">
    <w:name w:val="xl6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70">
    <w:name w:val="xl70"/>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1">
    <w:name w:val="xl71"/>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72">
    <w:name w:val="xl7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73">
    <w:name w:val="xl7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4">
    <w:name w:val="xl7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5">
    <w:name w:val="xl7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rPr>
  </w:style>
  <w:style w:type="paragraph" w:customStyle="1" w:styleId="xl76">
    <w:name w:val="xl7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7">
    <w:name w:val="xl7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8">
    <w:name w:val="xl7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9">
    <w:name w:val="xl7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80">
    <w:name w:val="xl80"/>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1">
    <w:name w:val="xl81"/>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2">
    <w:name w:val="xl8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0"/>
      <w:szCs w:val="20"/>
    </w:rPr>
  </w:style>
  <w:style w:type="paragraph" w:customStyle="1" w:styleId="xl83">
    <w:name w:val="xl8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4">
    <w:name w:val="xl8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5">
    <w:name w:val="xl8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86">
    <w:name w:val="xl8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7">
    <w:name w:val="xl8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8">
    <w:name w:val="xl8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9">
    <w:name w:val="xl8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90">
    <w:name w:val="xl90"/>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91">
    <w:name w:val="xl91"/>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92">
    <w:name w:val="xl9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93">
    <w:name w:val="xl9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94">
    <w:name w:val="xl9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5">
    <w:name w:val="xl9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6">
    <w:name w:val="xl9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7">
    <w:name w:val="xl9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8">
    <w:name w:val="xl9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9">
    <w:name w:val="xl9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rPr>
  </w:style>
  <w:style w:type="paragraph" w:customStyle="1" w:styleId="xl100">
    <w:name w:val="xl100"/>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01">
    <w:name w:val="xl101"/>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02">
    <w:name w:val="xl102"/>
    <w:basedOn w:val="Normal"/>
    <w:rsid w:val="00B70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4">
    <w:name w:val="xl104"/>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0"/>
      <w:szCs w:val="20"/>
    </w:rPr>
  </w:style>
  <w:style w:type="paragraph" w:customStyle="1" w:styleId="xl105">
    <w:name w:val="xl105"/>
    <w:basedOn w:val="Normal"/>
    <w:rsid w:val="00B70099"/>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6">
    <w:name w:val="xl106"/>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7">
    <w:name w:val="xl107"/>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8">
    <w:name w:val="xl108"/>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9">
    <w:name w:val="xl10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10">
    <w:name w:val="xl110"/>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11">
    <w:name w:val="xl111"/>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2">
    <w:name w:val="xl112"/>
    <w:basedOn w:val="Normal"/>
    <w:rsid w:val="00B70099"/>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3">
    <w:name w:val="xl113"/>
    <w:basedOn w:val="Normal"/>
    <w:rsid w:val="00B70099"/>
    <w:pP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4">
    <w:name w:val="xl114"/>
    <w:basedOn w:val="Normal"/>
    <w:rsid w:val="00B700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5">
    <w:name w:val="xl115"/>
    <w:basedOn w:val="Normal"/>
    <w:rsid w:val="00B7009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eastAsia="Times New Roman" w:cs="Times New Roman"/>
      <w:sz w:val="20"/>
      <w:szCs w:val="20"/>
    </w:rPr>
  </w:style>
  <w:style w:type="paragraph" w:customStyle="1" w:styleId="xl116">
    <w:name w:val="xl116"/>
    <w:basedOn w:val="Normal"/>
    <w:rsid w:val="00B7009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pPr>
    <w:rPr>
      <w:rFonts w:eastAsia="Times New Roman" w:cs="Times New Roman"/>
      <w:sz w:val="20"/>
      <w:szCs w:val="20"/>
    </w:rPr>
  </w:style>
  <w:style w:type="paragraph" w:customStyle="1" w:styleId="xl117">
    <w:name w:val="xl117"/>
    <w:basedOn w:val="Normal"/>
    <w:rsid w:val="00B7009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eastAsia="Times New Roman" w:cs="Times New Roman"/>
      <w:sz w:val="20"/>
      <w:szCs w:val="20"/>
    </w:rPr>
  </w:style>
  <w:style w:type="paragraph" w:customStyle="1" w:styleId="xl118">
    <w:name w:val="xl118"/>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9">
    <w:name w:val="xl11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8"/>
    </w:rPr>
  </w:style>
  <w:style w:type="paragraph" w:styleId="BodyText">
    <w:name w:val="Body Text"/>
    <w:basedOn w:val="Normal"/>
    <w:link w:val="BodyTextChar"/>
    <w:uiPriority w:val="99"/>
    <w:semiHidden/>
    <w:unhideWhenUsed/>
    <w:rsid w:val="00016D1D"/>
    <w:pPr>
      <w:spacing w:after="120"/>
    </w:pPr>
  </w:style>
  <w:style w:type="character" w:customStyle="1" w:styleId="BodyTextChar">
    <w:name w:val="Body Text Char"/>
    <w:basedOn w:val="DefaultParagraphFont"/>
    <w:link w:val="BodyText"/>
    <w:uiPriority w:val="99"/>
    <w:semiHidden/>
    <w:rsid w:val="00016D1D"/>
    <w:rPr>
      <w:rFonts w:ascii="Times New Roman" w:hAnsi="Times New Roman"/>
      <w:sz w:val="28"/>
    </w:rPr>
  </w:style>
  <w:style w:type="character" w:customStyle="1" w:styleId="a">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basedOn w:val="DefaultParagraphFont"/>
    <w:uiPriority w:val="34"/>
    <w:qFormat/>
    <w:locked/>
    <w:rsid w:val="0080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9980">
      <w:bodyDiv w:val="1"/>
      <w:marLeft w:val="0"/>
      <w:marRight w:val="0"/>
      <w:marTop w:val="0"/>
      <w:marBottom w:val="0"/>
      <w:divBdr>
        <w:top w:val="none" w:sz="0" w:space="0" w:color="auto"/>
        <w:left w:val="none" w:sz="0" w:space="0" w:color="auto"/>
        <w:bottom w:val="none" w:sz="0" w:space="0" w:color="auto"/>
        <w:right w:val="none" w:sz="0" w:space="0" w:color="auto"/>
      </w:divBdr>
    </w:div>
    <w:div w:id="85925561">
      <w:bodyDiv w:val="1"/>
      <w:marLeft w:val="0"/>
      <w:marRight w:val="0"/>
      <w:marTop w:val="0"/>
      <w:marBottom w:val="0"/>
      <w:divBdr>
        <w:top w:val="none" w:sz="0" w:space="0" w:color="auto"/>
        <w:left w:val="none" w:sz="0" w:space="0" w:color="auto"/>
        <w:bottom w:val="none" w:sz="0" w:space="0" w:color="auto"/>
        <w:right w:val="none" w:sz="0" w:space="0" w:color="auto"/>
      </w:divBdr>
    </w:div>
    <w:div w:id="173885245">
      <w:bodyDiv w:val="1"/>
      <w:marLeft w:val="0"/>
      <w:marRight w:val="0"/>
      <w:marTop w:val="0"/>
      <w:marBottom w:val="0"/>
      <w:divBdr>
        <w:top w:val="none" w:sz="0" w:space="0" w:color="auto"/>
        <w:left w:val="none" w:sz="0" w:space="0" w:color="auto"/>
        <w:bottom w:val="none" w:sz="0" w:space="0" w:color="auto"/>
        <w:right w:val="none" w:sz="0" w:space="0" w:color="auto"/>
      </w:divBdr>
    </w:div>
    <w:div w:id="258176019">
      <w:bodyDiv w:val="1"/>
      <w:marLeft w:val="0"/>
      <w:marRight w:val="0"/>
      <w:marTop w:val="0"/>
      <w:marBottom w:val="0"/>
      <w:divBdr>
        <w:top w:val="none" w:sz="0" w:space="0" w:color="auto"/>
        <w:left w:val="none" w:sz="0" w:space="0" w:color="auto"/>
        <w:bottom w:val="none" w:sz="0" w:space="0" w:color="auto"/>
        <w:right w:val="none" w:sz="0" w:space="0" w:color="auto"/>
      </w:divBdr>
    </w:div>
    <w:div w:id="274337508">
      <w:bodyDiv w:val="1"/>
      <w:marLeft w:val="0"/>
      <w:marRight w:val="0"/>
      <w:marTop w:val="0"/>
      <w:marBottom w:val="0"/>
      <w:divBdr>
        <w:top w:val="none" w:sz="0" w:space="0" w:color="auto"/>
        <w:left w:val="none" w:sz="0" w:space="0" w:color="auto"/>
        <w:bottom w:val="none" w:sz="0" w:space="0" w:color="auto"/>
        <w:right w:val="none" w:sz="0" w:space="0" w:color="auto"/>
      </w:divBdr>
    </w:div>
    <w:div w:id="317421555">
      <w:bodyDiv w:val="1"/>
      <w:marLeft w:val="0"/>
      <w:marRight w:val="0"/>
      <w:marTop w:val="0"/>
      <w:marBottom w:val="0"/>
      <w:divBdr>
        <w:top w:val="none" w:sz="0" w:space="0" w:color="auto"/>
        <w:left w:val="none" w:sz="0" w:space="0" w:color="auto"/>
        <w:bottom w:val="none" w:sz="0" w:space="0" w:color="auto"/>
        <w:right w:val="none" w:sz="0" w:space="0" w:color="auto"/>
      </w:divBdr>
    </w:div>
    <w:div w:id="382487974">
      <w:bodyDiv w:val="1"/>
      <w:marLeft w:val="0"/>
      <w:marRight w:val="0"/>
      <w:marTop w:val="0"/>
      <w:marBottom w:val="0"/>
      <w:divBdr>
        <w:top w:val="none" w:sz="0" w:space="0" w:color="auto"/>
        <w:left w:val="none" w:sz="0" w:space="0" w:color="auto"/>
        <w:bottom w:val="none" w:sz="0" w:space="0" w:color="auto"/>
        <w:right w:val="none" w:sz="0" w:space="0" w:color="auto"/>
      </w:divBdr>
    </w:div>
    <w:div w:id="392772851">
      <w:bodyDiv w:val="1"/>
      <w:marLeft w:val="0"/>
      <w:marRight w:val="0"/>
      <w:marTop w:val="0"/>
      <w:marBottom w:val="0"/>
      <w:divBdr>
        <w:top w:val="none" w:sz="0" w:space="0" w:color="auto"/>
        <w:left w:val="none" w:sz="0" w:space="0" w:color="auto"/>
        <w:bottom w:val="none" w:sz="0" w:space="0" w:color="auto"/>
        <w:right w:val="none" w:sz="0" w:space="0" w:color="auto"/>
      </w:divBdr>
    </w:div>
    <w:div w:id="410926842">
      <w:bodyDiv w:val="1"/>
      <w:marLeft w:val="0"/>
      <w:marRight w:val="0"/>
      <w:marTop w:val="0"/>
      <w:marBottom w:val="0"/>
      <w:divBdr>
        <w:top w:val="none" w:sz="0" w:space="0" w:color="auto"/>
        <w:left w:val="none" w:sz="0" w:space="0" w:color="auto"/>
        <w:bottom w:val="none" w:sz="0" w:space="0" w:color="auto"/>
        <w:right w:val="none" w:sz="0" w:space="0" w:color="auto"/>
      </w:divBdr>
    </w:div>
    <w:div w:id="444273926">
      <w:bodyDiv w:val="1"/>
      <w:marLeft w:val="0"/>
      <w:marRight w:val="0"/>
      <w:marTop w:val="0"/>
      <w:marBottom w:val="0"/>
      <w:divBdr>
        <w:top w:val="none" w:sz="0" w:space="0" w:color="auto"/>
        <w:left w:val="none" w:sz="0" w:space="0" w:color="auto"/>
        <w:bottom w:val="none" w:sz="0" w:space="0" w:color="auto"/>
        <w:right w:val="none" w:sz="0" w:space="0" w:color="auto"/>
      </w:divBdr>
    </w:div>
    <w:div w:id="505708182">
      <w:bodyDiv w:val="1"/>
      <w:marLeft w:val="0"/>
      <w:marRight w:val="0"/>
      <w:marTop w:val="0"/>
      <w:marBottom w:val="0"/>
      <w:divBdr>
        <w:top w:val="none" w:sz="0" w:space="0" w:color="auto"/>
        <w:left w:val="none" w:sz="0" w:space="0" w:color="auto"/>
        <w:bottom w:val="none" w:sz="0" w:space="0" w:color="auto"/>
        <w:right w:val="none" w:sz="0" w:space="0" w:color="auto"/>
      </w:divBdr>
    </w:div>
    <w:div w:id="645162329">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853688456">
      <w:bodyDiv w:val="1"/>
      <w:marLeft w:val="0"/>
      <w:marRight w:val="0"/>
      <w:marTop w:val="0"/>
      <w:marBottom w:val="0"/>
      <w:divBdr>
        <w:top w:val="none" w:sz="0" w:space="0" w:color="auto"/>
        <w:left w:val="none" w:sz="0" w:space="0" w:color="auto"/>
        <w:bottom w:val="none" w:sz="0" w:space="0" w:color="auto"/>
        <w:right w:val="none" w:sz="0" w:space="0" w:color="auto"/>
      </w:divBdr>
    </w:div>
    <w:div w:id="914557630">
      <w:bodyDiv w:val="1"/>
      <w:marLeft w:val="0"/>
      <w:marRight w:val="0"/>
      <w:marTop w:val="0"/>
      <w:marBottom w:val="0"/>
      <w:divBdr>
        <w:top w:val="none" w:sz="0" w:space="0" w:color="auto"/>
        <w:left w:val="none" w:sz="0" w:space="0" w:color="auto"/>
        <w:bottom w:val="none" w:sz="0" w:space="0" w:color="auto"/>
        <w:right w:val="none" w:sz="0" w:space="0" w:color="auto"/>
      </w:divBdr>
    </w:div>
    <w:div w:id="957419512">
      <w:bodyDiv w:val="1"/>
      <w:marLeft w:val="0"/>
      <w:marRight w:val="0"/>
      <w:marTop w:val="0"/>
      <w:marBottom w:val="0"/>
      <w:divBdr>
        <w:top w:val="none" w:sz="0" w:space="0" w:color="auto"/>
        <w:left w:val="none" w:sz="0" w:space="0" w:color="auto"/>
        <w:bottom w:val="none" w:sz="0" w:space="0" w:color="auto"/>
        <w:right w:val="none" w:sz="0" w:space="0" w:color="auto"/>
      </w:divBdr>
    </w:div>
    <w:div w:id="1306933936">
      <w:bodyDiv w:val="1"/>
      <w:marLeft w:val="0"/>
      <w:marRight w:val="0"/>
      <w:marTop w:val="0"/>
      <w:marBottom w:val="0"/>
      <w:divBdr>
        <w:top w:val="none" w:sz="0" w:space="0" w:color="auto"/>
        <w:left w:val="none" w:sz="0" w:space="0" w:color="auto"/>
        <w:bottom w:val="none" w:sz="0" w:space="0" w:color="auto"/>
        <w:right w:val="none" w:sz="0" w:space="0" w:color="auto"/>
      </w:divBdr>
    </w:div>
    <w:div w:id="1431002076">
      <w:bodyDiv w:val="1"/>
      <w:marLeft w:val="0"/>
      <w:marRight w:val="0"/>
      <w:marTop w:val="0"/>
      <w:marBottom w:val="0"/>
      <w:divBdr>
        <w:top w:val="none" w:sz="0" w:space="0" w:color="auto"/>
        <w:left w:val="none" w:sz="0" w:space="0" w:color="auto"/>
        <w:bottom w:val="none" w:sz="0" w:space="0" w:color="auto"/>
        <w:right w:val="none" w:sz="0" w:space="0" w:color="auto"/>
      </w:divBdr>
    </w:div>
    <w:div w:id="1499728730">
      <w:bodyDiv w:val="1"/>
      <w:marLeft w:val="0"/>
      <w:marRight w:val="0"/>
      <w:marTop w:val="0"/>
      <w:marBottom w:val="0"/>
      <w:divBdr>
        <w:top w:val="none" w:sz="0" w:space="0" w:color="auto"/>
        <w:left w:val="none" w:sz="0" w:space="0" w:color="auto"/>
        <w:bottom w:val="none" w:sz="0" w:space="0" w:color="auto"/>
        <w:right w:val="none" w:sz="0" w:space="0" w:color="auto"/>
      </w:divBdr>
    </w:div>
    <w:div w:id="1505046049">
      <w:bodyDiv w:val="1"/>
      <w:marLeft w:val="0"/>
      <w:marRight w:val="0"/>
      <w:marTop w:val="0"/>
      <w:marBottom w:val="0"/>
      <w:divBdr>
        <w:top w:val="none" w:sz="0" w:space="0" w:color="auto"/>
        <w:left w:val="none" w:sz="0" w:space="0" w:color="auto"/>
        <w:bottom w:val="none" w:sz="0" w:space="0" w:color="auto"/>
        <w:right w:val="none" w:sz="0" w:space="0" w:color="auto"/>
      </w:divBdr>
    </w:div>
    <w:div w:id="1550411624">
      <w:bodyDiv w:val="1"/>
      <w:marLeft w:val="0"/>
      <w:marRight w:val="0"/>
      <w:marTop w:val="0"/>
      <w:marBottom w:val="0"/>
      <w:divBdr>
        <w:top w:val="none" w:sz="0" w:space="0" w:color="auto"/>
        <w:left w:val="none" w:sz="0" w:space="0" w:color="auto"/>
        <w:bottom w:val="none" w:sz="0" w:space="0" w:color="auto"/>
        <w:right w:val="none" w:sz="0" w:space="0" w:color="auto"/>
      </w:divBdr>
    </w:div>
    <w:div w:id="1575168328">
      <w:bodyDiv w:val="1"/>
      <w:marLeft w:val="0"/>
      <w:marRight w:val="0"/>
      <w:marTop w:val="0"/>
      <w:marBottom w:val="0"/>
      <w:divBdr>
        <w:top w:val="none" w:sz="0" w:space="0" w:color="auto"/>
        <w:left w:val="none" w:sz="0" w:space="0" w:color="auto"/>
        <w:bottom w:val="none" w:sz="0" w:space="0" w:color="auto"/>
        <w:right w:val="none" w:sz="0" w:space="0" w:color="auto"/>
      </w:divBdr>
    </w:div>
    <w:div w:id="1586256855">
      <w:bodyDiv w:val="1"/>
      <w:marLeft w:val="0"/>
      <w:marRight w:val="0"/>
      <w:marTop w:val="0"/>
      <w:marBottom w:val="0"/>
      <w:divBdr>
        <w:top w:val="none" w:sz="0" w:space="0" w:color="auto"/>
        <w:left w:val="none" w:sz="0" w:space="0" w:color="auto"/>
        <w:bottom w:val="none" w:sz="0" w:space="0" w:color="auto"/>
        <w:right w:val="none" w:sz="0" w:space="0" w:color="auto"/>
      </w:divBdr>
    </w:div>
    <w:div w:id="1935431390">
      <w:bodyDiv w:val="1"/>
      <w:marLeft w:val="0"/>
      <w:marRight w:val="0"/>
      <w:marTop w:val="0"/>
      <w:marBottom w:val="0"/>
      <w:divBdr>
        <w:top w:val="none" w:sz="0" w:space="0" w:color="auto"/>
        <w:left w:val="none" w:sz="0" w:space="0" w:color="auto"/>
        <w:bottom w:val="none" w:sz="0" w:space="0" w:color="auto"/>
        <w:right w:val="none" w:sz="0" w:space="0" w:color="auto"/>
      </w:divBdr>
    </w:div>
    <w:div w:id="1959097781">
      <w:bodyDiv w:val="1"/>
      <w:marLeft w:val="0"/>
      <w:marRight w:val="0"/>
      <w:marTop w:val="0"/>
      <w:marBottom w:val="0"/>
      <w:divBdr>
        <w:top w:val="none" w:sz="0" w:space="0" w:color="auto"/>
        <w:left w:val="none" w:sz="0" w:space="0" w:color="auto"/>
        <w:bottom w:val="none" w:sz="0" w:space="0" w:color="auto"/>
        <w:right w:val="none" w:sz="0" w:space="0" w:color="auto"/>
      </w:divBdr>
    </w:div>
    <w:div w:id="2067488521">
      <w:bodyDiv w:val="1"/>
      <w:marLeft w:val="0"/>
      <w:marRight w:val="0"/>
      <w:marTop w:val="0"/>
      <w:marBottom w:val="0"/>
      <w:divBdr>
        <w:top w:val="none" w:sz="0" w:space="0" w:color="auto"/>
        <w:left w:val="none" w:sz="0" w:space="0" w:color="auto"/>
        <w:bottom w:val="none" w:sz="0" w:space="0" w:color="auto"/>
        <w:right w:val="none" w:sz="0" w:space="0" w:color="auto"/>
      </w:divBdr>
    </w:div>
    <w:div w:id="2089691356">
      <w:bodyDiv w:val="1"/>
      <w:marLeft w:val="0"/>
      <w:marRight w:val="0"/>
      <w:marTop w:val="0"/>
      <w:marBottom w:val="0"/>
      <w:divBdr>
        <w:top w:val="none" w:sz="0" w:space="0" w:color="auto"/>
        <w:left w:val="none" w:sz="0" w:space="0" w:color="auto"/>
        <w:bottom w:val="none" w:sz="0" w:space="0" w:color="auto"/>
        <w:right w:val="none" w:sz="0" w:space="0" w:color="auto"/>
      </w:divBdr>
    </w:div>
    <w:div w:id="21079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BB218529B044391A435B698344688" ma:contentTypeVersion="" ma:contentTypeDescription="Create a new document." ma:contentTypeScope="" ma:versionID="c471add7f15e899e9e8306be7553eedc">
  <xsd:schema xmlns:xsd="http://www.w3.org/2001/XMLSchema" xmlns:xs="http://www.w3.org/2001/XMLSchema" xmlns:p="http://schemas.microsoft.com/office/2006/metadata/properties" xmlns:ns1="http://schemas.microsoft.com/sharepoint/v3" targetNamespace="http://schemas.microsoft.com/office/2006/metadata/properties" ma:root="true" ma:fieldsID="3c9c78f3932963f605fda8c813b5d038" ns1:_="">
    <xsd:import namespace="http://schemas.microsoft.com/sharepoint/v3"/>
    <xsd:element name="properties">
      <xsd:complexType>
        <xsd:sequence>
          <xsd:element name="documentManagement">
            <xsd:complexType>
              <xsd:all>
                <xsd:element ref="ns1:RoutingPrior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8" ma:displayName="Priority" ma:description="" ma:internalName="RoutingPrior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Priority xmlns="http://schemas.microsoft.com/sharepoint/v3">1</Routing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9149-C594-4161-83A3-AF983580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D4F7E-FA73-4262-B71F-A81B0E7CFA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5D146C-44DA-4D68-B01B-F2EEC10DFC46}">
  <ds:schemaRefs>
    <ds:schemaRef ds:uri="http://schemas.microsoft.com/sharepoint/v3/contenttype/forms"/>
  </ds:schemaRefs>
</ds:datastoreItem>
</file>

<file path=customXml/itemProps4.xml><?xml version="1.0" encoding="utf-8"?>
<ds:datastoreItem xmlns:ds="http://schemas.openxmlformats.org/officeDocument/2006/customXml" ds:itemID="{76CF3794-0AB3-4407-85B3-48F32C2A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7001</Words>
  <Characters>39910</Characters>
  <Application>Microsoft Office Word</Application>
  <DocSecurity>0</DocSecurity>
  <Lines>332</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Ştirbu Sergiu</dc:creator>
  <cp:lastModifiedBy>Paiu Eugenia</cp:lastModifiedBy>
  <cp:revision>2</cp:revision>
  <cp:lastPrinted>2021-07-19T08:23:00Z</cp:lastPrinted>
  <dcterms:created xsi:type="dcterms:W3CDTF">2021-10-04T11:06:00Z</dcterms:created>
  <dcterms:modified xsi:type="dcterms:W3CDTF">2021-10-04T11:06:00Z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0x010100294BB218529B044391A435B698344688</vt:lpwstr>
  </property>
</Properties>
</file>