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580C" w14:textId="77777777" w:rsidR="00081558" w:rsidRDefault="00081558" w:rsidP="00813016">
      <w:pPr>
        <w:tabs>
          <w:tab w:val="left" w:pos="720"/>
        </w:tabs>
        <w:spacing w:after="0" w:line="276" w:lineRule="auto"/>
        <w:rPr>
          <w:rFonts w:eastAsia="Times New Roman" w:cs="Times New Roman"/>
          <w:bCs/>
          <w:szCs w:val="24"/>
          <w:lang w:val="ro-MD"/>
        </w:rPr>
      </w:pPr>
      <w:bookmarkStart w:id="0" w:name="_GoBack"/>
      <w:bookmarkEnd w:id="0"/>
    </w:p>
    <w:p w14:paraId="46569DCA" w14:textId="5FBBC61E" w:rsidR="00E85DB7" w:rsidRPr="003610FB" w:rsidRDefault="00E85DB7" w:rsidP="009C5EF3">
      <w:pPr>
        <w:tabs>
          <w:tab w:val="left" w:pos="720"/>
        </w:tabs>
        <w:spacing w:after="0" w:line="276" w:lineRule="auto"/>
        <w:jc w:val="right"/>
        <w:rPr>
          <w:rFonts w:eastAsia="Times New Roman" w:cs="Times New Roman"/>
          <w:bCs/>
          <w:szCs w:val="24"/>
          <w:lang w:val="ro-MD"/>
        </w:rPr>
      </w:pPr>
      <w:r w:rsidRPr="003610FB">
        <w:rPr>
          <w:rFonts w:eastAsia="Times New Roman" w:cs="Times New Roman"/>
          <w:bCs/>
          <w:szCs w:val="24"/>
          <w:lang w:val="ro-MD"/>
        </w:rPr>
        <w:t>Anexă</w:t>
      </w:r>
    </w:p>
    <w:p w14:paraId="03F0345D" w14:textId="3CEEE08B" w:rsidR="00E85DB7" w:rsidRPr="003610FB" w:rsidRDefault="00E85DB7" w:rsidP="009C5EF3">
      <w:pPr>
        <w:tabs>
          <w:tab w:val="left" w:pos="720"/>
        </w:tabs>
        <w:spacing w:after="0" w:line="276" w:lineRule="auto"/>
        <w:jc w:val="right"/>
        <w:rPr>
          <w:rFonts w:eastAsia="Times New Roman" w:cs="Times New Roman"/>
          <w:bCs/>
          <w:szCs w:val="24"/>
          <w:lang w:val="ro-MD"/>
        </w:rPr>
      </w:pPr>
      <w:r w:rsidRPr="003610FB">
        <w:rPr>
          <w:rFonts w:eastAsia="Times New Roman" w:cs="Times New Roman"/>
          <w:bCs/>
          <w:szCs w:val="24"/>
          <w:lang w:val="ro-MD"/>
        </w:rPr>
        <w:t>la Hotărârea Curții de Conturi</w:t>
      </w:r>
    </w:p>
    <w:p w14:paraId="31158F6E" w14:textId="59332708" w:rsidR="00E85DB7" w:rsidRPr="003610FB" w:rsidRDefault="00E85DB7" w:rsidP="009C5EF3">
      <w:pPr>
        <w:tabs>
          <w:tab w:val="left" w:pos="720"/>
        </w:tabs>
        <w:spacing w:after="0" w:line="276" w:lineRule="auto"/>
        <w:jc w:val="right"/>
        <w:rPr>
          <w:rFonts w:eastAsia="Times New Roman" w:cs="Times New Roman"/>
          <w:bCs/>
          <w:color w:val="1F4E79" w:themeColor="accent1" w:themeShade="80"/>
          <w:szCs w:val="24"/>
          <w:lang w:val="ro-MD"/>
        </w:rPr>
      </w:pPr>
      <w:r w:rsidRPr="003610FB">
        <w:rPr>
          <w:rFonts w:eastAsia="Times New Roman" w:cs="Times New Roman"/>
          <w:bCs/>
          <w:szCs w:val="24"/>
          <w:lang w:val="ro-MD"/>
        </w:rPr>
        <w:t>nr.</w:t>
      </w:r>
      <w:r w:rsidR="00581E3B">
        <w:rPr>
          <w:rFonts w:eastAsia="Times New Roman" w:cs="Times New Roman"/>
          <w:bCs/>
          <w:szCs w:val="24"/>
          <w:lang w:val="ro-MD"/>
        </w:rPr>
        <w:t>31</w:t>
      </w:r>
      <w:r w:rsidR="00F50B57">
        <w:rPr>
          <w:rFonts w:eastAsia="Times New Roman" w:cs="Times New Roman"/>
          <w:bCs/>
          <w:szCs w:val="24"/>
          <w:lang w:val="ro-MD"/>
        </w:rPr>
        <w:t xml:space="preserve"> </w:t>
      </w:r>
      <w:r w:rsidR="009A4497">
        <w:rPr>
          <w:rFonts w:eastAsia="Times New Roman" w:cs="Times New Roman"/>
          <w:bCs/>
          <w:szCs w:val="24"/>
          <w:lang w:val="ro-MD"/>
        </w:rPr>
        <w:t>din</w:t>
      </w:r>
      <w:r w:rsidR="00F85A9B">
        <w:rPr>
          <w:rFonts w:eastAsia="Times New Roman" w:cs="Times New Roman"/>
          <w:bCs/>
          <w:szCs w:val="24"/>
          <w:lang w:val="ro-MD"/>
        </w:rPr>
        <w:t xml:space="preserve"> 28 </w:t>
      </w:r>
      <w:r w:rsidR="00AF21BF">
        <w:rPr>
          <w:rFonts w:eastAsia="Times New Roman" w:cs="Times New Roman"/>
          <w:bCs/>
          <w:szCs w:val="24"/>
          <w:lang w:val="ro-MD"/>
        </w:rPr>
        <w:t>iu</w:t>
      </w:r>
      <w:r w:rsidR="00F50B57">
        <w:rPr>
          <w:rFonts w:eastAsia="Times New Roman" w:cs="Times New Roman"/>
          <w:bCs/>
          <w:szCs w:val="24"/>
          <w:lang w:val="ro-MD"/>
        </w:rPr>
        <w:t xml:space="preserve">nie </w:t>
      </w:r>
      <w:r>
        <w:rPr>
          <w:rFonts w:eastAsia="Times New Roman" w:cs="Times New Roman"/>
          <w:bCs/>
          <w:szCs w:val="24"/>
          <w:lang w:val="ro-MD"/>
        </w:rPr>
        <w:t>202</w:t>
      </w:r>
      <w:r w:rsidR="00F50B57">
        <w:rPr>
          <w:rFonts w:eastAsia="Times New Roman" w:cs="Times New Roman"/>
          <w:bCs/>
          <w:szCs w:val="24"/>
          <w:lang w:val="ro-MD"/>
        </w:rPr>
        <w:t>1</w:t>
      </w:r>
    </w:p>
    <w:p w14:paraId="232C38EB" w14:textId="77777777" w:rsidR="00E85DB7" w:rsidRPr="003610FB" w:rsidRDefault="00E85DB7" w:rsidP="009C5EF3">
      <w:pPr>
        <w:spacing w:after="0" w:line="276" w:lineRule="auto"/>
        <w:jc w:val="right"/>
        <w:rPr>
          <w:rFonts w:cs="Times New Roman"/>
          <w:szCs w:val="24"/>
          <w:lang w:val="ro-MD"/>
        </w:rPr>
      </w:pPr>
    </w:p>
    <w:p w14:paraId="72904D8F" w14:textId="77777777" w:rsidR="00E85DB7" w:rsidRPr="003610FB" w:rsidRDefault="00E85DB7" w:rsidP="009C5EF3">
      <w:pPr>
        <w:spacing w:after="0" w:line="276" w:lineRule="auto"/>
        <w:jc w:val="center"/>
        <w:rPr>
          <w:rFonts w:cs="Times New Roman"/>
          <w:lang w:val="ro-MD"/>
        </w:rPr>
      </w:pPr>
    </w:p>
    <w:p w14:paraId="24FC5E03" w14:textId="77777777" w:rsidR="00E85DB7" w:rsidRPr="003610FB" w:rsidRDefault="00E85DB7" w:rsidP="009C5EF3">
      <w:pPr>
        <w:spacing w:after="0" w:line="276" w:lineRule="auto"/>
        <w:jc w:val="center"/>
        <w:rPr>
          <w:rFonts w:cs="Times New Roman"/>
          <w:lang w:val="ro-MD"/>
        </w:rPr>
      </w:pPr>
    </w:p>
    <w:p w14:paraId="00AF64B2" w14:textId="77777777" w:rsidR="00E85DB7" w:rsidRPr="003610FB" w:rsidRDefault="00E85DB7" w:rsidP="009C5EF3">
      <w:pPr>
        <w:spacing w:after="0" w:line="276" w:lineRule="auto"/>
        <w:jc w:val="center"/>
        <w:rPr>
          <w:rFonts w:cs="Times New Roman"/>
          <w:lang w:val="ro-MD"/>
        </w:rPr>
      </w:pPr>
    </w:p>
    <w:p w14:paraId="63B6BEB4" w14:textId="77777777" w:rsidR="00E85DB7" w:rsidRPr="003610FB" w:rsidRDefault="00E85DB7" w:rsidP="009C5EF3">
      <w:pPr>
        <w:spacing w:after="0" w:line="276" w:lineRule="auto"/>
        <w:jc w:val="center"/>
        <w:rPr>
          <w:rFonts w:cs="Times New Roman"/>
          <w:b/>
          <w:sz w:val="28"/>
          <w:szCs w:val="28"/>
          <w:lang w:val="ro-MD"/>
        </w:rPr>
      </w:pPr>
      <w:r w:rsidRPr="00B478A5">
        <w:rPr>
          <w:rFonts w:cs="Times New Roman"/>
          <w:b/>
          <w:noProof/>
          <w:sz w:val="28"/>
          <w:szCs w:val="28"/>
          <w:lang w:val="ru-RU" w:eastAsia="ru-RU"/>
        </w:rPr>
        <w:drawing>
          <wp:inline distT="0" distB="0" distL="0" distR="0" wp14:anchorId="0A861DDC" wp14:editId="563448ED">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14:paraId="74BEE883" w14:textId="77777777" w:rsidR="00E85DB7" w:rsidRPr="003610FB" w:rsidRDefault="00E85DB7" w:rsidP="009C5EF3">
      <w:pPr>
        <w:spacing w:after="0" w:line="276" w:lineRule="auto"/>
        <w:jc w:val="center"/>
        <w:rPr>
          <w:rFonts w:cs="Times New Roman"/>
          <w:b/>
          <w:sz w:val="28"/>
          <w:szCs w:val="28"/>
          <w:lang w:val="ro-MD"/>
        </w:rPr>
      </w:pPr>
    </w:p>
    <w:p w14:paraId="5AEAEF30" w14:textId="77777777" w:rsidR="00E85DB7" w:rsidRPr="003610FB" w:rsidRDefault="00E85DB7" w:rsidP="009C5EF3">
      <w:pPr>
        <w:spacing w:after="0" w:line="276" w:lineRule="auto"/>
        <w:jc w:val="center"/>
        <w:rPr>
          <w:rFonts w:cs="Times New Roman"/>
          <w:b/>
          <w:sz w:val="28"/>
          <w:szCs w:val="28"/>
          <w:lang w:val="ro-MD"/>
        </w:rPr>
      </w:pPr>
    </w:p>
    <w:p w14:paraId="01E6D92F" w14:textId="77777777" w:rsidR="00E85DB7" w:rsidRPr="003610FB" w:rsidRDefault="00E85DB7" w:rsidP="009C5EF3">
      <w:pPr>
        <w:spacing w:after="0" w:line="276" w:lineRule="auto"/>
        <w:jc w:val="center"/>
        <w:rPr>
          <w:rFonts w:cs="Times New Roman"/>
          <w:b/>
          <w:sz w:val="28"/>
          <w:szCs w:val="28"/>
          <w:lang w:val="ro-MD"/>
        </w:rPr>
      </w:pPr>
    </w:p>
    <w:p w14:paraId="1026A443" w14:textId="77777777" w:rsidR="00E85DB7" w:rsidRPr="003610FB" w:rsidRDefault="00E85DB7" w:rsidP="009C5EF3">
      <w:pPr>
        <w:spacing w:after="0" w:line="276" w:lineRule="auto"/>
        <w:jc w:val="center"/>
        <w:rPr>
          <w:rFonts w:cs="Times New Roman"/>
          <w:b/>
          <w:sz w:val="28"/>
          <w:szCs w:val="28"/>
          <w:lang w:val="ro-MD"/>
        </w:rPr>
      </w:pPr>
    </w:p>
    <w:p w14:paraId="35785D0F" w14:textId="77777777" w:rsidR="00E85DB7" w:rsidRPr="003610FB" w:rsidRDefault="00E85DB7" w:rsidP="009C5EF3">
      <w:pPr>
        <w:spacing w:after="0" w:line="276" w:lineRule="auto"/>
        <w:jc w:val="center"/>
        <w:rPr>
          <w:rFonts w:cs="Times New Roman"/>
          <w:b/>
          <w:sz w:val="28"/>
          <w:szCs w:val="28"/>
          <w:lang w:val="ro-MD"/>
        </w:rPr>
      </w:pPr>
      <w:r w:rsidRPr="003610FB">
        <w:rPr>
          <w:rFonts w:cs="Times New Roman"/>
          <w:b/>
          <w:sz w:val="28"/>
          <w:szCs w:val="28"/>
          <w:lang w:val="ro-MD"/>
        </w:rPr>
        <w:t>CURTEA DE CONTURI A REPUBLICII MOLDOVA</w:t>
      </w:r>
    </w:p>
    <w:p w14:paraId="6596D433" w14:textId="77777777" w:rsidR="00E85DB7" w:rsidRPr="003610FB" w:rsidRDefault="00E85DB7" w:rsidP="009C5EF3">
      <w:pPr>
        <w:spacing w:after="0" w:line="276" w:lineRule="auto"/>
        <w:jc w:val="center"/>
        <w:rPr>
          <w:rFonts w:cs="Times New Roman"/>
          <w:lang w:val="ro-MD"/>
        </w:rPr>
      </w:pPr>
    </w:p>
    <w:p w14:paraId="66579ADE" w14:textId="77777777" w:rsidR="00E85DB7" w:rsidRPr="003610FB"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49DD1788" w14:textId="77777777" w:rsidR="00E85DB7" w:rsidRPr="003610FB"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85DB7" w:rsidRPr="003610FB" w14:paraId="256CA91B" w14:textId="77777777" w:rsidTr="0048672D">
        <w:trPr>
          <w:trHeight w:val="435"/>
        </w:trPr>
        <w:tc>
          <w:tcPr>
            <w:tcW w:w="9350" w:type="dxa"/>
          </w:tcPr>
          <w:p w14:paraId="41DC90ED" w14:textId="09CFF281" w:rsidR="00E85DB7" w:rsidRPr="003610FB" w:rsidRDefault="00E85DB7" w:rsidP="009C5EF3">
            <w:pPr>
              <w:tabs>
                <w:tab w:val="left" w:pos="720"/>
              </w:tabs>
              <w:spacing w:line="276" w:lineRule="auto"/>
              <w:jc w:val="center"/>
              <w:rPr>
                <w:rFonts w:cs="Times New Roman"/>
                <w:b/>
                <w:color w:val="0563C1" w:themeColor="hyperlink"/>
                <w:sz w:val="18"/>
                <w:szCs w:val="18"/>
                <w:u w:val="single"/>
                <w:lang w:val="ro-MD"/>
              </w:rPr>
            </w:pPr>
            <w:r w:rsidRPr="003610FB">
              <w:rPr>
                <w:rFonts w:cs="Times New Roman"/>
                <w:sz w:val="18"/>
                <w:szCs w:val="18"/>
                <w:lang w:val="ro-MD"/>
              </w:rPr>
              <w:t xml:space="preserve">MD-2001, mun. Chișinău, bd. Ștefan cel Mare și Sfânt </w:t>
            </w:r>
            <w:r w:rsidRPr="003610FB">
              <w:rPr>
                <w:rFonts w:cs="Times New Roman"/>
                <w:sz w:val="18"/>
                <w:szCs w:val="18"/>
              </w:rPr>
              <w:t>nr.</w:t>
            </w:r>
            <w:r w:rsidRPr="003610FB">
              <w:rPr>
                <w:rFonts w:cs="Times New Roman"/>
                <w:sz w:val="18"/>
                <w:szCs w:val="18"/>
                <w:lang w:val="ro-MD"/>
              </w:rPr>
              <w:t>69, tel.: (+373</w:t>
            </w:r>
            <w:r w:rsidR="000C5D6A">
              <w:rPr>
                <w:rFonts w:cs="Times New Roman"/>
                <w:sz w:val="18"/>
                <w:szCs w:val="18"/>
                <w:lang w:val="ro-MD"/>
              </w:rPr>
              <w:t xml:space="preserve"> 22</w:t>
            </w:r>
            <w:r w:rsidRPr="003610FB">
              <w:rPr>
                <w:rFonts w:cs="Times New Roman"/>
                <w:sz w:val="18"/>
                <w:szCs w:val="18"/>
                <w:lang w:val="ro-MD"/>
              </w:rPr>
              <w:t>) 2</w:t>
            </w:r>
            <w:r w:rsidR="000C5D6A">
              <w:rPr>
                <w:rFonts w:cs="Times New Roman"/>
                <w:sz w:val="18"/>
                <w:szCs w:val="18"/>
                <w:lang w:val="ro-MD"/>
              </w:rPr>
              <w:t>6</w:t>
            </w:r>
            <w:r w:rsidRPr="003610FB">
              <w:rPr>
                <w:rFonts w:cs="Times New Roman"/>
                <w:sz w:val="18"/>
                <w:szCs w:val="18"/>
                <w:lang w:val="ro-MD"/>
              </w:rPr>
              <w:t xml:space="preserve"> </w:t>
            </w:r>
            <w:r w:rsidR="000C5D6A">
              <w:rPr>
                <w:rFonts w:cs="Times New Roman"/>
                <w:sz w:val="18"/>
                <w:szCs w:val="18"/>
                <w:lang w:val="ro-MD"/>
              </w:rPr>
              <w:t>60</w:t>
            </w:r>
            <w:r w:rsidRPr="003610FB">
              <w:rPr>
                <w:rFonts w:cs="Times New Roman"/>
                <w:sz w:val="18"/>
                <w:szCs w:val="18"/>
                <w:lang w:val="ro-MD"/>
              </w:rPr>
              <w:t xml:space="preserve"> </w:t>
            </w:r>
            <w:r w:rsidR="000C5D6A">
              <w:rPr>
                <w:rFonts w:cs="Times New Roman"/>
                <w:sz w:val="18"/>
                <w:szCs w:val="18"/>
                <w:lang w:val="ro-MD"/>
              </w:rPr>
              <w:t>02</w:t>
            </w:r>
            <w:r w:rsidRPr="003610FB">
              <w:rPr>
                <w:rFonts w:cs="Times New Roman"/>
                <w:sz w:val="18"/>
                <w:szCs w:val="18"/>
                <w:lang w:val="ro-MD"/>
              </w:rPr>
              <w:t>, fax: (+373</w:t>
            </w:r>
            <w:r w:rsidR="000C5D6A">
              <w:rPr>
                <w:rFonts w:cs="Times New Roman"/>
                <w:sz w:val="18"/>
                <w:szCs w:val="18"/>
                <w:lang w:val="ro-MD"/>
              </w:rPr>
              <w:t xml:space="preserve"> 22</w:t>
            </w:r>
            <w:r w:rsidRPr="003610FB">
              <w:rPr>
                <w:rFonts w:cs="Times New Roman"/>
                <w:sz w:val="18"/>
                <w:szCs w:val="18"/>
                <w:lang w:val="ro-MD"/>
              </w:rPr>
              <w:t>) 2</w:t>
            </w:r>
            <w:r w:rsidR="000C5D6A">
              <w:rPr>
                <w:rFonts w:cs="Times New Roman"/>
                <w:sz w:val="18"/>
                <w:szCs w:val="18"/>
                <w:lang w:val="ro-MD"/>
              </w:rPr>
              <w:t>6</w:t>
            </w:r>
            <w:r w:rsidRPr="003610FB">
              <w:rPr>
                <w:rFonts w:cs="Times New Roman"/>
                <w:sz w:val="18"/>
                <w:szCs w:val="18"/>
                <w:lang w:val="ro-MD"/>
              </w:rPr>
              <w:t xml:space="preserve"> </w:t>
            </w:r>
            <w:r w:rsidR="000C5D6A">
              <w:rPr>
                <w:rFonts w:cs="Times New Roman"/>
                <w:sz w:val="18"/>
                <w:szCs w:val="18"/>
                <w:lang w:val="ro-MD"/>
              </w:rPr>
              <w:t>61</w:t>
            </w:r>
            <w:r w:rsidRPr="003610FB">
              <w:rPr>
                <w:rFonts w:cs="Times New Roman"/>
                <w:sz w:val="18"/>
                <w:szCs w:val="18"/>
                <w:lang w:val="ro-MD"/>
              </w:rPr>
              <w:t xml:space="preserve"> </w:t>
            </w:r>
            <w:r w:rsidR="000C5D6A">
              <w:rPr>
                <w:rFonts w:cs="Times New Roman"/>
                <w:sz w:val="18"/>
                <w:szCs w:val="18"/>
                <w:lang w:val="ro-MD"/>
              </w:rPr>
              <w:t>0</w:t>
            </w:r>
            <w:r w:rsidRPr="003610FB">
              <w:rPr>
                <w:rFonts w:cs="Times New Roman"/>
                <w:sz w:val="18"/>
                <w:szCs w:val="18"/>
                <w:lang w:val="ro-MD"/>
              </w:rPr>
              <w:t xml:space="preserve">0, </w:t>
            </w:r>
            <w:r w:rsidRPr="003610FB">
              <w:rPr>
                <w:rFonts w:cs="Times New Roman"/>
                <w:b/>
                <w:color w:val="0070C0"/>
                <w:sz w:val="18"/>
                <w:szCs w:val="18"/>
                <w:lang w:val="ro-MD"/>
              </w:rPr>
              <w:t>www.ccrm.md</w:t>
            </w:r>
            <w:r w:rsidRPr="003610FB">
              <w:rPr>
                <w:rFonts w:cs="Times New Roman"/>
                <w:b/>
                <w:color w:val="0070C0"/>
                <w:sz w:val="18"/>
                <w:szCs w:val="18"/>
                <w:u w:val="single"/>
                <w:lang w:val="ro-MD"/>
              </w:rPr>
              <w:t>;</w:t>
            </w:r>
          </w:p>
          <w:p w14:paraId="45B0A9BE" w14:textId="77777777" w:rsidR="00E85DB7" w:rsidRPr="003610FB" w:rsidRDefault="00E85DB7" w:rsidP="009C5EF3">
            <w:pPr>
              <w:tabs>
                <w:tab w:val="left" w:pos="720"/>
              </w:tabs>
              <w:spacing w:line="276" w:lineRule="auto"/>
              <w:jc w:val="center"/>
              <w:rPr>
                <w:rFonts w:eastAsia="Times New Roman" w:cs="Times New Roman"/>
                <w:b/>
                <w:bCs/>
                <w:color w:val="1F4E79" w:themeColor="accent1" w:themeShade="80"/>
                <w:szCs w:val="24"/>
                <w:lang w:val="ro-MD"/>
              </w:rPr>
            </w:pPr>
            <w:r w:rsidRPr="003610FB">
              <w:rPr>
                <w:rFonts w:cs="Times New Roman"/>
                <w:sz w:val="18"/>
                <w:szCs w:val="18"/>
                <w:lang w:val="ro-MD"/>
              </w:rPr>
              <w:t xml:space="preserve">e-mail: </w:t>
            </w:r>
            <w:hyperlink r:id="rId9" w:history="1">
              <w:r w:rsidRPr="003610FB">
                <w:rPr>
                  <w:rFonts w:cs="Times New Roman"/>
                  <w:b/>
                  <w:color w:val="0563C1" w:themeColor="hyperlink"/>
                  <w:sz w:val="18"/>
                  <w:szCs w:val="18"/>
                  <w:u w:val="single"/>
                  <w:lang w:val="ro-MD"/>
                </w:rPr>
                <w:t>ccrm@ccrm.md</w:t>
              </w:r>
            </w:hyperlink>
          </w:p>
        </w:tc>
      </w:tr>
    </w:tbl>
    <w:p w14:paraId="54A0246F" w14:textId="77777777" w:rsidR="00E85DB7" w:rsidRPr="003610FB"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1EA295EF" w14:textId="77777777" w:rsidR="00E85DB7" w:rsidRPr="003610FB"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5E5EC2F8" w14:textId="77777777" w:rsidR="00E85DB7" w:rsidRPr="003610FB" w:rsidRDefault="00E85DB7" w:rsidP="009C5EF3">
      <w:pPr>
        <w:tabs>
          <w:tab w:val="left" w:pos="720"/>
        </w:tabs>
        <w:spacing w:after="0" w:line="276" w:lineRule="auto"/>
        <w:ind w:firstLine="720"/>
        <w:jc w:val="center"/>
        <w:rPr>
          <w:rFonts w:eastAsia="Times New Roman" w:cs="Times New Roman"/>
          <w:b/>
          <w:bCs/>
          <w:sz w:val="32"/>
          <w:szCs w:val="32"/>
          <w:lang w:val="ro-MD"/>
        </w:rPr>
      </w:pPr>
    </w:p>
    <w:p w14:paraId="746A996E" w14:textId="3328F9CE" w:rsidR="00E85DB7" w:rsidRPr="009C5EF3" w:rsidRDefault="00E85DB7" w:rsidP="009C5EF3">
      <w:pPr>
        <w:tabs>
          <w:tab w:val="left" w:pos="720"/>
        </w:tabs>
        <w:spacing w:after="0" w:line="276" w:lineRule="auto"/>
        <w:jc w:val="center"/>
        <w:rPr>
          <w:rFonts w:eastAsia="Times New Roman" w:cs="Times New Roman"/>
          <w:b/>
          <w:bCs/>
          <w:sz w:val="28"/>
          <w:szCs w:val="28"/>
          <w:lang w:val="ro-MD"/>
        </w:rPr>
      </w:pPr>
      <w:r w:rsidRPr="009C5EF3">
        <w:rPr>
          <w:rFonts w:eastAsia="Times New Roman" w:cs="Times New Roman"/>
          <w:b/>
          <w:bCs/>
          <w:sz w:val="28"/>
          <w:szCs w:val="28"/>
          <w:lang w:val="ro-MD"/>
        </w:rPr>
        <w:t>RAPORTUL</w:t>
      </w:r>
    </w:p>
    <w:p w14:paraId="388CFC09" w14:textId="0DD2C08C" w:rsidR="00E85DB7" w:rsidRPr="009C5EF3" w:rsidRDefault="00E85DB7" w:rsidP="009C5EF3">
      <w:pPr>
        <w:tabs>
          <w:tab w:val="left" w:pos="0"/>
        </w:tabs>
        <w:spacing w:after="0" w:line="276" w:lineRule="auto"/>
        <w:jc w:val="center"/>
        <w:rPr>
          <w:rFonts w:eastAsia="Times New Roman" w:cs="Times New Roman"/>
          <w:b/>
          <w:bCs/>
          <w:sz w:val="28"/>
          <w:szCs w:val="28"/>
          <w:lang w:val="ro-MD"/>
        </w:rPr>
      </w:pPr>
      <w:r w:rsidRPr="009C5EF3">
        <w:rPr>
          <w:rFonts w:eastAsia="Times New Roman" w:cs="Times New Roman"/>
          <w:b/>
          <w:bCs/>
          <w:sz w:val="28"/>
          <w:szCs w:val="28"/>
          <w:lang w:val="ro-MD"/>
        </w:rPr>
        <w:t xml:space="preserve">auditului </w:t>
      </w:r>
      <w:r w:rsidR="000C5D6A" w:rsidRPr="009C5EF3">
        <w:rPr>
          <w:rFonts w:eastAsia="Times New Roman" w:cs="Times New Roman"/>
          <w:b/>
          <w:bCs/>
          <w:sz w:val="28"/>
          <w:szCs w:val="28"/>
          <w:lang w:val="ro-MD"/>
        </w:rPr>
        <w:t xml:space="preserve">conformității </w:t>
      </w:r>
      <w:r w:rsidR="009D3B5A">
        <w:rPr>
          <w:rFonts w:eastAsia="Times New Roman" w:cs="Times New Roman"/>
          <w:b/>
          <w:bCs/>
          <w:sz w:val="28"/>
          <w:szCs w:val="28"/>
          <w:lang w:val="ro-MD"/>
        </w:rPr>
        <w:t xml:space="preserve">asupra </w:t>
      </w:r>
      <w:r w:rsidR="00F0269A" w:rsidRPr="009C5EF3">
        <w:rPr>
          <w:rFonts w:eastAsia="Times New Roman" w:cs="Times New Roman"/>
          <w:b/>
          <w:bCs/>
          <w:sz w:val="28"/>
          <w:szCs w:val="28"/>
          <w:lang w:val="ro-MD"/>
        </w:rPr>
        <w:t>managementului datoriei de stat, garanțiilor de stat și recreditării de stat în anul 20</w:t>
      </w:r>
      <w:r w:rsidR="000C5D6A" w:rsidRPr="009C5EF3">
        <w:rPr>
          <w:rFonts w:eastAsia="Times New Roman" w:cs="Times New Roman"/>
          <w:b/>
          <w:bCs/>
          <w:sz w:val="28"/>
          <w:szCs w:val="28"/>
          <w:lang w:val="ro-MD"/>
        </w:rPr>
        <w:t>20</w:t>
      </w:r>
    </w:p>
    <w:p w14:paraId="13ADAE7A" w14:textId="77777777" w:rsidR="00E85DB7" w:rsidRPr="003610FB" w:rsidRDefault="00E85DB7" w:rsidP="00FB1205">
      <w:pPr>
        <w:tabs>
          <w:tab w:val="left" w:pos="720"/>
        </w:tabs>
        <w:spacing w:after="0" w:line="276" w:lineRule="auto"/>
        <w:ind w:firstLine="720"/>
        <w:jc w:val="both"/>
        <w:rPr>
          <w:rFonts w:eastAsia="Times New Roman" w:cs="Times New Roman"/>
          <w:b/>
          <w:bCs/>
          <w:sz w:val="32"/>
          <w:szCs w:val="32"/>
          <w:lang w:val="ro-MD"/>
        </w:rPr>
      </w:pPr>
    </w:p>
    <w:p w14:paraId="090B438F" w14:textId="77777777" w:rsidR="00E85DB7" w:rsidRPr="003610FB" w:rsidRDefault="00E85DB7" w:rsidP="00FB1205">
      <w:pPr>
        <w:tabs>
          <w:tab w:val="left" w:pos="720"/>
        </w:tabs>
        <w:spacing w:after="0" w:line="276" w:lineRule="auto"/>
        <w:ind w:firstLine="720"/>
        <w:jc w:val="both"/>
        <w:rPr>
          <w:rFonts w:eastAsia="Times New Roman" w:cs="Times New Roman"/>
          <w:b/>
          <w:bCs/>
          <w:sz w:val="32"/>
          <w:szCs w:val="32"/>
          <w:lang w:val="ro-MD"/>
        </w:rPr>
      </w:pPr>
    </w:p>
    <w:p w14:paraId="102B7222" w14:textId="77777777" w:rsidR="00C8468E" w:rsidRPr="00E85DB7" w:rsidRDefault="00C8468E"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6DC64A21" w14:textId="77777777" w:rsidR="00E85DB7"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6B16D4A3" w14:textId="77777777" w:rsidR="00E85DB7"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65E86CC5" w14:textId="350225A3" w:rsidR="00E85DB7"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E6AB8B2" w14:textId="6AC46B33" w:rsidR="0002458B" w:rsidRDefault="0002458B"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0A1AFA3" w14:textId="77777777" w:rsidR="002A08B8" w:rsidRDefault="002A08B8"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BF31B74" w14:textId="45DD6E3C" w:rsidR="002A08B8" w:rsidRDefault="002A08B8" w:rsidP="00081558">
      <w:pPr>
        <w:tabs>
          <w:tab w:val="left" w:pos="1164"/>
        </w:tabs>
        <w:spacing w:after="0" w:line="240" w:lineRule="auto"/>
        <w:jc w:val="both"/>
        <w:rPr>
          <w:rFonts w:ascii="Times New Roman" w:eastAsia="Times New Roman" w:hAnsi="Times New Roman" w:cs="Times New Roman"/>
          <w:sz w:val="28"/>
          <w:szCs w:val="24"/>
          <w:lang w:eastAsia="ro-RO"/>
        </w:rPr>
      </w:pPr>
    </w:p>
    <w:p w14:paraId="28710C1B" w14:textId="77777777" w:rsidR="002A08B8" w:rsidRDefault="002A08B8"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sdt>
      <w:sdtPr>
        <w:rPr>
          <w:rFonts w:eastAsiaTheme="minorHAnsi" w:cstheme="minorBidi"/>
          <w:b w:val="0"/>
          <w:sz w:val="24"/>
          <w:szCs w:val="22"/>
        </w:rPr>
        <w:id w:val="1520422300"/>
        <w:docPartObj>
          <w:docPartGallery w:val="Table of Contents"/>
          <w:docPartUnique/>
        </w:docPartObj>
      </w:sdtPr>
      <w:sdtEndPr>
        <w:rPr>
          <w:bCs/>
          <w:noProof/>
        </w:rPr>
      </w:sdtEndPr>
      <w:sdtContent>
        <w:p w14:paraId="368AF3D9" w14:textId="12BFBF6B" w:rsidR="00FD6262" w:rsidRPr="001435C5" w:rsidRDefault="00FD6262" w:rsidP="00FB1205">
          <w:pPr>
            <w:pStyle w:val="ae"/>
            <w:numPr>
              <w:ilvl w:val="0"/>
              <w:numId w:val="0"/>
            </w:numPr>
            <w:ind w:left="432" w:hanging="432"/>
            <w:jc w:val="both"/>
          </w:pPr>
          <w:r w:rsidRPr="001435C5">
            <w:t>CUPRINS</w:t>
          </w:r>
        </w:p>
        <w:p w14:paraId="585F51C0" w14:textId="5B518BD5" w:rsidR="00C2291F" w:rsidRDefault="00FD6262">
          <w:pPr>
            <w:pStyle w:val="11"/>
            <w:tabs>
              <w:tab w:val="right" w:leader="dot" w:pos="9345"/>
            </w:tabs>
            <w:rPr>
              <w:rFonts w:asciiTheme="minorHAnsi" w:eastAsiaTheme="minorEastAsia" w:hAnsiTheme="minorHAnsi"/>
              <w:noProof/>
              <w:sz w:val="22"/>
            </w:rPr>
          </w:pPr>
          <w:r w:rsidRPr="00751428">
            <w:rPr>
              <w:b/>
            </w:rPr>
            <w:fldChar w:fldCharType="begin"/>
          </w:r>
          <w:r w:rsidRPr="00751428">
            <w:rPr>
              <w:b/>
            </w:rPr>
            <w:instrText xml:space="preserve"> TOC \o "1-3" \h \z \u </w:instrText>
          </w:r>
          <w:r w:rsidRPr="00751428">
            <w:rPr>
              <w:b/>
            </w:rPr>
            <w:fldChar w:fldCharType="separate"/>
          </w:r>
          <w:hyperlink w:anchor="_Toc75436439" w:history="1">
            <w:r w:rsidR="00C2291F" w:rsidRPr="0001165E">
              <w:rPr>
                <w:rStyle w:val="af"/>
                <w:noProof/>
                <w:lang w:val="ro-RO"/>
              </w:rPr>
              <w:t xml:space="preserve">LISTA </w:t>
            </w:r>
            <w:r w:rsidR="00C2291F" w:rsidRPr="0001165E">
              <w:rPr>
                <w:rStyle w:val="af"/>
                <w:noProof/>
              </w:rPr>
              <w:t>ACRONIMELOR</w:t>
            </w:r>
            <w:r w:rsidR="00C2291F">
              <w:rPr>
                <w:noProof/>
                <w:webHidden/>
              </w:rPr>
              <w:tab/>
            </w:r>
            <w:r w:rsidR="00C2291F">
              <w:rPr>
                <w:noProof/>
                <w:webHidden/>
              </w:rPr>
              <w:fldChar w:fldCharType="begin"/>
            </w:r>
            <w:r w:rsidR="00C2291F">
              <w:rPr>
                <w:noProof/>
                <w:webHidden/>
              </w:rPr>
              <w:instrText xml:space="preserve"> PAGEREF _Toc75436439 \h </w:instrText>
            </w:r>
            <w:r w:rsidR="00C2291F">
              <w:rPr>
                <w:noProof/>
                <w:webHidden/>
              </w:rPr>
            </w:r>
            <w:r w:rsidR="00C2291F">
              <w:rPr>
                <w:noProof/>
                <w:webHidden/>
              </w:rPr>
              <w:fldChar w:fldCharType="separate"/>
            </w:r>
            <w:r w:rsidR="00326E97">
              <w:rPr>
                <w:noProof/>
                <w:webHidden/>
              </w:rPr>
              <w:t>3</w:t>
            </w:r>
            <w:r w:rsidR="00C2291F">
              <w:rPr>
                <w:noProof/>
                <w:webHidden/>
              </w:rPr>
              <w:fldChar w:fldCharType="end"/>
            </w:r>
          </w:hyperlink>
        </w:p>
        <w:p w14:paraId="5BD02457" w14:textId="5730829A" w:rsidR="00C2291F" w:rsidRDefault="00D159B6">
          <w:pPr>
            <w:pStyle w:val="11"/>
            <w:tabs>
              <w:tab w:val="right" w:leader="dot" w:pos="9345"/>
            </w:tabs>
            <w:rPr>
              <w:rFonts w:asciiTheme="minorHAnsi" w:eastAsiaTheme="minorEastAsia" w:hAnsiTheme="minorHAnsi"/>
              <w:noProof/>
              <w:sz w:val="22"/>
            </w:rPr>
          </w:pPr>
          <w:hyperlink w:anchor="_Toc75436440" w:history="1">
            <w:r w:rsidR="00C2291F" w:rsidRPr="0001165E">
              <w:rPr>
                <w:rStyle w:val="af"/>
                <w:noProof/>
              </w:rPr>
              <w:t>GLOSAR</w:t>
            </w:r>
            <w:r w:rsidR="00C2291F">
              <w:rPr>
                <w:noProof/>
                <w:webHidden/>
              </w:rPr>
              <w:tab/>
            </w:r>
            <w:r w:rsidR="00C2291F">
              <w:rPr>
                <w:noProof/>
                <w:webHidden/>
              </w:rPr>
              <w:fldChar w:fldCharType="begin"/>
            </w:r>
            <w:r w:rsidR="00C2291F">
              <w:rPr>
                <w:noProof/>
                <w:webHidden/>
              </w:rPr>
              <w:instrText xml:space="preserve"> PAGEREF _Toc75436440 \h </w:instrText>
            </w:r>
            <w:r w:rsidR="00C2291F">
              <w:rPr>
                <w:noProof/>
                <w:webHidden/>
              </w:rPr>
            </w:r>
            <w:r w:rsidR="00C2291F">
              <w:rPr>
                <w:noProof/>
                <w:webHidden/>
              </w:rPr>
              <w:fldChar w:fldCharType="separate"/>
            </w:r>
            <w:r w:rsidR="00326E97">
              <w:rPr>
                <w:noProof/>
                <w:webHidden/>
              </w:rPr>
              <w:t>4</w:t>
            </w:r>
            <w:r w:rsidR="00C2291F">
              <w:rPr>
                <w:noProof/>
                <w:webHidden/>
              </w:rPr>
              <w:fldChar w:fldCharType="end"/>
            </w:r>
          </w:hyperlink>
        </w:p>
        <w:p w14:paraId="5B0F0588" w14:textId="11814428" w:rsidR="00C2291F" w:rsidRDefault="00D159B6">
          <w:pPr>
            <w:pStyle w:val="11"/>
            <w:tabs>
              <w:tab w:val="left" w:pos="440"/>
              <w:tab w:val="right" w:leader="dot" w:pos="9345"/>
            </w:tabs>
            <w:rPr>
              <w:rFonts w:asciiTheme="minorHAnsi" w:eastAsiaTheme="minorEastAsia" w:hAnsiTheme="minorHAnsi"/>
              <w:noProof/>
              <w:sz w:val="22"/>
            </w:rPr>
          </w:pPr>
          <w:hyperlink w:anchor="_Toc75436441" w:history="1">
            <w:r w:rsidR="00C2291F" w:rsidRPr="0001165E">
              <w:rPr>
                <w:rStyle w:val="af"/>
                <w:rFonts w:eastAsia="Times New Roman"/>
                <w:noProof/>
                <w:lang w:val="ro-MD" w:eastAsia="ru-RU"/>
              </w:rPr>
              <w:t>I.</w:t>
            </w:r>
            <w:r w:rsidR="00C2291F">
              <w:rPr>
                <w:rFonts w:asciiTheme="minorHAnsi" w:eastAsiaTheme="minorEastAsia" w:hAnsiTheme="minorHAnsi"/>
                <w:noProof/>
                <w:sz w:val="22"/>
              </w:rPr>
              <w:tab/>
            </w:r>
            <w:r w:rsidR="00C2291F" w:rsidRPr="0001165E">
              <w:rPr>
                <w:rStyle w:val="af"/>
                <w:rFonts w:eastAsia="Times New Roman"/>
                <w:noProof/>
                <w:lang w:val="ro-MD" w:eastAsia="ru-RU"/>
              </w:rPr>
              <w:t>SINTEZA</w:t>
            </w:r>
            <w:r w:rsidR="00C2291F">
              <w:rPr>
                <w:noProof/>
                <w:webHidden/>
              </w:rPr>
              <w:tab/>
            </w:r>
            <w:r w:rsidR="00C2291F">
              <w:rPr>
                <w:noProof/>
                <w:webHidden/>
              </w:rPr>
              <w:fldChar w:fldCharType="begin"/>
            </w:r>
            <w:r w:rsidR="00C2291F">
              <w:rPr>
                <w:noProof/>
                <w:webHidden/>
              </w:rPr>
              <w:instrText xml:space="preserve"> PAGEREF _Toc75436441 \h </w:instrText>
            </w:r>
            <w:r w:rsidR="00C2291F">
              <w:rPr>
                <w:noProof/>
                <w:webHidden/>
              </w:rPr>
            </w:r>
            <w:r w:rsidR="00C2291F">
              <w:rPr>
                <w:noProof/>
                <w:webHidden/>
              </w:rPr>
              <w:fldChar w:fldCharType="separate"/>
            </w:r>
            <w:r w:rsidR="00326E97">
              <w:rPr>
                <w:noProof/>
                <w:webHidden/>
              </w:rPr>
              <w:t>6</w:t>
            </w:r>
            <w:r w:rsidR="00C2291F">
              <w:rPr>
                <w:noProof/>
                <w:webHidden/>
              </w:rPr>
              <w:fldChar w:fldCharType="end"/>
            </w:r>
          </w:hyperlink>
        </w:p>
        <w:p w14:paraId="6A5409C5" w14:textId="237A0F6E" w:rsidR="00C2291F" w:rsidRDefault="00D159B6">
          <w:pPr>
            <w:pStyle w:val="11"/>
            <w:tabs>
              <w:tab w:val="left" w:pos="440"/>
              <w:tab w:val="right" w:leader="dot" w:pos="9345"/>
            </w:tabs>
            <w:rPr>
              <w:rFonts w:asciiTheme="minorHAnsi" w:eastAsiaTheme="minorEastAsia" w:hAnsiTheme="minorHAnsi"/>
              <w:noProof/>
              <w:sz w:val="22"/>
            </w:rPr>
          </w:pPr>
          <w:hyperlink w:anchor="_Toc75436442" w:history="1">
            <w:r w:rsidR="00C2291F" w:rsidRPr="0001165E">
              <w:rPr>
                <w:rStyle w:val="af"/>
                <w:rFonts w:eastAsia="Times New Roman"/>
                <w:noProof/>
                <w:lang w:val="ro-MD" w:eastAsia="ru-RU"/>
              </w:rPr>
              <w:t>II.</w:t>
            </w:r>
            <w:r w:rsidR="00C2291F">
              <w:rPr>
                <w:rFonts w:asciiTheme="minorHAnsi" w:eastAsiaTheme="minorEastAsia" w:hAnsiTheme="minorHAnsi"/>
                <w:noProof/>
                <w:sz w:val="22"/>
              </w:rPr>
              <w:tab/>
            </w:r>
            <w:r w:rsidR="00C2291F" w:rsidRPr="0001165E">
              <w:rPr>
                <w:rStyle w:val="af"/>
                <w:rFonts w:eastAsia="Times New Roman"/>
                <w:noProof/>
                <w:lang w:val="ro-MD" w:eastAsia="ru-RU"/>
              </w:rPr>
              <w:t>PREZENTARE GENERALĂ</w:t>
            </w:r>
            <w:r w:rsidR="00C2291F">
              <w:rPr>
                <w:noProof/>
                <w:webHidden/>
              </w:rPr>
              <w:tab/>
            </w:r>
            <w:r w:rsidR="00C2291F">
              <w:rPr>
                <w:noProof/>
                <w:webHidden/>
              </w:rPr>
              <w:fldChar w:fldCharType="begin"/>
            </w:r>
            <w:r w:rsidR="00C2291F">
              <w:rPr>
                <w:noProof/>
                <w:webHidden/>
              </w:rPr>
              <w:instrText xml:space="preserve"> PAGEREF _Toc75436442 \h </w:instrText>
            </w:r>
            <w:r w:rsidR="00C2291F">
              <w:rPr>
                <w:noProof/>
                <w:webHidden/>
              </w:rPr>
            </w:r>
            <w:r w:rsidR="00C2291F">
              <w:rPr>
                <w:noProof/>
                <w:webHidden/>
              </w:rPr>
              <w:fldChar w:fldCharType="separate"/>
            </w:r>
            <w:r w:rsidR="00326E97">
              <w:rPr>
                <w:noProof/>
                <w:webHidden/>
              </w:rPr>
              <w:t>9</w:t>
            </w:r>
            <w:r w:rsidR="00C2291F">
              <w:rPr>
                <w:noProof/>
                <w:webHidden/>
              </w:rPr>
              <w:fldChar w:fldCharType="end"/>
            </w:r>
          </w:hyperlink>
        </w:p>
        <w:p w14:paraId="3507C2D4" w14:textId="77ECF70E" w:rsidR="00C2291F" w:rsidRDefault="00D159B6">
          <w:pPr>
            <w:pStyle w:val="11"/>
            <w:tabs>
              <w:tab w:val="left" w:pos="660"/>
              <w:tab w:val="right" w:leader="dot" w:pos="9345"/>
            </w:tabs>
            <w:rPr>
              <w:rFonts w:asciiTheme="minorHAnsi" w:eastAsiaTheme="minorEastAsia" w:hAnsiTheme="minorHAnsi"/>
              <w:noProof/>
              <w:sz w:val="22"/>
            </w:rPr>
          </w:pPr>
          <w:hyperlink w:anchor="_Toc75436443" w:history="1">
            <w:r w:rsidR="00C2291F" w:rsidRPr="0001165E">
              <w:rPr>
                <w:rStyle w:val="af"/>
                <w:rFonts w:eastAsia="Times New Roman"/>
                <w:noProof/>
                <w:lang w:val="ro-MD" w:eastAsia="ru-RU"/>
              </w:rPr>
              <w:t>III.</w:t>
            </w:r>
            <w:r w:rsidR="00C2291F">
              <w:rPr>
                <w:rFonts w:asciiTheme="minorHAnsi" w:eastAsiaTheme="minorEastAsia" w:hAnsiTheme="minorHAnsi"/>
                <w:noProof/>
                <w:sz w:val="22"/>
              </w:rPr>
              <w:tab/>
            </w:r>
            <w:r w:rsidR="00C2291F" w:rsidRPr="0001165E">
              <w:rPr>
                <w:rStyle w:val="af"/>
                <w:rFonts w:eastAsia="Times New Roman"/>
                <w:noProof/>
                <w:lang w:val="ro-MD" w:eastAsia="ru-RU"/>
              </w:rPr>
              <w:t>SFERA ȘI ABORDAREA DE AUDIT</w:t>
            </w:r>
            <w:r w:rsidR="00C2291F">
              <w:rPr>
                <w:noProof/>
                <w:webHidden/>
              </w:rPr>
              <w:tab/>
            </w:r>
            <w:r w:rsidR="00C2291F">
              <w:rPr>
                <w:noProof/>
                <w:webHidden/>
              </w:rPr>
              <w:fldChar w:fldCharType="begin"/>
            </w:r>
            <w:r w:rsidR="00C2291F">
              <w:rPr>
                <w:noProof/>
                <w:webHidden/>
              </w:rPr>
              <w:instrText xml:space="preserve"> PAGEREF _Toc75436443 \h </w:instrText>
            </w:r>
            <w:r w:rsidR="00C2291F">
              <w:rPr>
                <w:noProof/>
                <w:webHidden/>
              </w:rPr>
            </w:r>
            <w:r w:rsidR="00C2291F">
              <w:rPr>
                <w:noProof/>
                <w:webHidden/>
              </w:rPr>
              <w:fldChar w:fldCharType="separate"/>
            </w:r>
            <w:r w:rsidR="00326E97">
              <w:rPr>
                <w:noProof/>
                <w:webHidden/>
              </w:rPr>
              <w:t>10</w:t>
            </w:r>
            <w:r w:rsidR="00C2291F">
              <w:rPr>
                <w:noProof/>
                <w:webHidden/>
              </w:rPr>
              <w:fldChar w:fldCharType="end"/>
            </w:r>
          </w:hyperlink>
        </w:p>
        <w:p w14:paraId="05CA06F3" w14:textId="121A67FA" w:rsidR="00C2291F" w:rsidRDefault="00D159B6">
          <w:pPr>
            <w:pStyle w:val="21"/>
            <w:rPr>
              <w:rFonts w:asciiTheme="minorHAnsi" w:eastAsiaTheme="minorEastAsia" w:hAnsiTheme="minorHAnsi" w:cstheme="minorBidi"/>
              <w:bCs w:val="0"/>
              <w:sz w:val="22"/>
              <w:lang w:val="en-US" w:eastAsia="en-US"/>
            </w:rPr>
          </w:pPr>
          <w:hyperlink w:anchor="_Toc75436444" w:history="1">
            <w:r w:rsidR="00C2291F" w:rsidRPr="0001165E">
              <w:rPr>
                <w:rStyle w:val="af"/>
              </w:rPr>
              <w:t>3.1.</w:t>
            </w:r>
            <w:r w:rsidR="00C2291F">
              <w:rPr>
                <w:rFonts w:asciiTheme="minorHAnsi" w:eastAsiaTheme="minorEastAsia" w:hAnsiTheme="minorHAnsi" w:cstheme="minorBidi"/>
                <w:bCs w:val="0"/>
                <w:sz w:val="22"/>
                <w:lang w:val="en-US" w:eastAsia="en-US"/>
              </w:rPr>
              <w:tab/>
            </w:r>
            <w:r w:rsidR="00C2291F" w:rsidRPr="0001165E">
              <w:rPr>
                <w:rStyle w:val="af"/>
              </w:rPr>
              <w:t>Mandatul legal și scopul auditului</w:t>
            </w:r>
            <w:r w:rsidR="00C2291F">
              <w:rPr>
                <w:webHidden/>
              </w:rPr>
              <w:tab/>
            </w:r>
            <w:r w:rsidR="00C2291F">
              <w:rPr>
                <w:webHidden/>
              </w:rPr>
              <w:fldChar w:fldCharType="begin"/>
            </w:r>
            <w:r w:rsidR="00C2291F">
              <w:rPr>
                <w:webHidden/>
              </w:rPr>
              <w:instrText xml:space="preserve"> PAGEREF _Toc75436444 \h </w:instrText>
            </w:r>
            <w:r w:rsidR="00C2291F">
              <w:rPr>
                <w:webHidden/>
              </w:rPr>
            </w:r>
            <w:r w:rsidR="00C2291F">
              <w:rPr>
                <w:webHidden/>
              </w:rPr>
              <w:fldChar w:fldCharType="separate"/>
            </w:r>
            <w:r w:rsidR="00326E97">
              <w:rPr>
                <w:webHidden/>
              </w:rPr>
              <w:t>10</w:t>
            </w:r>
            <w:r w:rsidR="00C2291F">
              <w:rPr>
                <w:webHidden/>
              </w:rPr>
              <w:fldChar w:fldCharType="end"/>
            </w:r>
          </w:hyperlink>
        </w:p>
        <w:p w14:paraId="32795A24" w14:textId="7E10E23B" w:rsidR="00C2291F" w:rsidRDefault="00D159B6">
          <w:pPr>
            <w:pStyle w:val="21"/>
            <w:rPr>
              <w:rFonts w:asciiTheme="minorHAnsi" w:eastAsiaTheme="minorEastAsia" w:hAnsiTheme="minorHAnsi" w:cstheme="minorBidi"/>
              <w:bCs w:val="0"/>
              <w:sz w:val="22"/>
              <w:lang w:val="en-US" w:eastAsia="en-US"/>
            </w:rPr>
          </w:pPr>
          <w:hyperlink w:anchor="_Toc75436445" w:history="1">
            <w:r w:rsidR="00C2291F" w:rsidRPr="0001165E">
              <w:rPr>
                <w:rStyle w:val="af"/>
              </w:rPr>
              <w:t>3.2.</w:t>
            </w:r>
            <w:r w:rsidR="00C2291F">
              <w:rPr>
                <w:rFonts w:asciiTheme="minorHAnsi" w:eastAsiaTheme="minorEastAsia" w:hAnsiTheme="minorHAnsi" w:cstheme="minorBidi"/>
                <w:bCs w:val="0"/>
                <w:sz w:val="22"/>
                <w:lang w:val="en-US" w:eastAsia="en-US"/>
              </w:rPr>
              <w:tab/>
            </w:r>
            <w:r w:rsidR="00C2291F" w:rsidRPr="0001165E">
              <w:rPr>
                <w:rStyle w:val="af"/>
              </w:rPr>
              <w:t>Abordarea auditului</w:t>
            </w:r>
            <w:r w:rsidR="00C2291F">
              <w:rPr>
                <w:webHidden/>
              </w:rPr>
              <w:tab/>
            </w:r>
            <w:r w:rsidR="00C2291F">
              <w:rPr>
                <w:webHidden/>
              </w:rPr>
              <w:fldChar w:fldCharType="begin"/>
            </w:r>
            <w:r w:rsidR="00C2291F">
              <w:rPr>
                <w:webHidden/>
              </w:rPr>
              <w:instrText xml:space="preserve"> PAGEREF _Toc75436445 \h </w:instrText>
            </w:r>
            <w:r w:rsidR="00C2291F">
              <w:rPr>
                <w:webHidden/>
              </w:rPr>
            </w:r>
            <w:r w:rsidR="00C2291F">
              <w:rPr>
                <w:webHidden/>
              </w:rPr>
              <w:fldChar w:fldCharType="separate"/>
            </w:r>
            <w:r w:rsidR="00326E97">
              <w:rPr>
                <w:webHidden/>
              </w:rPr>
              <w:t>10</w:t>
            </w:r>
            <w:r w:rsidR="00C2291F">
              <w:rPr>
                <w:webHidden/>
              </w:rPr>
              <w:fldChar w:fldCharType="end"/>
            </w:r>
          </w:hyperlink>
        </w:p>
        <w:p w14:paraId="7483E3F4" w14:textId="420B1583" w:rsidR="00C2291F" w:rsidRDefault="00D159B6">
          <w:pPr>
            <w:pStyle w:val="11"/>
            <w:tabs>
              <w:tab w:val="left" w:pos="660"/>
              <w:tab w:val="right" w:leader="dot" w:pos="9345"/>
            </w:tabs>
            <w:rPr>
              <w:rFonts w:asciiTheme="minorHAnsi" w:eastAsiaTheme="minorEastAsia" w:hAnsiTheme="minorHAnsi"/>
              <w:noProof/>
              <w:sz w:val="22"/>
            </w:rPr>
          </w:pPr>
          <w:hyperlink w:anchor="_Toc75436446" w:history="1">
            <w:r w:rsidR="00C2291F" w:rsidRPr="0001165E">
              <w:rPr>
                <w:rStyle w:val="af"/>
                <w:rFonts w:eastAsia="Times New Roman"/>
                <w:noProof/>
                <w:lang w:val="ro-MD" w:eastAsia="ru-RU"/>
              </w:rPr>
              <w:t>IV.</w:t>
            </w:r>
            <w:r w:rsidR="00C2291F">
              <w:rPr>
                <w:rFonts w:asciiTheme="minorHAnsi" w:eastAsiaTheme="minorEastAsia" w:hAnsiTheme="minorHAnsi"/>
                <w:noProof/>
                <w:sz w:val="22"/>
              </w:rPr>
              <w:tab/>
            </w:r>
            <w:r w:rsidR="00C2291F" w:rsidRPr="0001165E">
              <w:rPr>
                <w:rStyle w:val="af"/>
                <w:rFonts w:eastAsia="Times New Roman"/>
                <w:noProof/>
                <w:lang w:val="ro-MD" w:eastAsia="ru-RU"/>
              </w:rPr>
              <w:t>CONSTATĂRI</w:t>
            </w:r>
            <w:r w:rsidR="00C2291F">
              <w:rPr>
                <w:noProof/>
                <w:webHidden/>
              </w:rPr>
              <w:tab/>
            </w:r>
            <w:r w:rsidR="00C2291F">
              <w:rPr>
                <w:noProof/>
                <w:webHidden/>
              </w:rPr>
              <w:fldChar w:fldCharType="begin"/>
            </w:r>
            <w:r w:rsidR="00C2291F">
              <w:rPr>
                <w:noProof/>
                <w:webHidden/>
              </w:rPr>
              <w:instrText xml:space="preserve"> PAGEREF _Toc75436446 \h </w:instrText>
            </w:r>
            <w:r w:rsidR="00C2291F">
              <w:rPr>
                <w:noProof/>
                <w:webHidden/>
              </w:rPr>
            </w:r>
            <w:r w:rsidR="00C2291F">
              <w:rPr>
                <w:noProof/>
                <w:webHidden/>
              </w:rPr>
              <w:fldChar w:fldCharType="separate"/>
            </w:r>
            <w:r w:rsidR="00326E97">
              <w:rPr>
                <w:noProof/>
                <w:webHidden/>
              </w:rPr>
              <w:t>11</w:t>
            </w:r>
            <w:r w:rsidR="00C2291F">
              <w:rPr>
                <w:noProof/>
                <w:webHidden/>
              </w:rPr>
              <w:fldChar w:fldCharType="end"/>
            </w:r>
          </w:hyperlink>
        </w:p>
        <w:p w14:paraId="02CCEF6C" w14:textId="7EB37EDC" w:rsidR="00C2291F" w:rsidRDefault="00D159B6">
          <w:pPr>
            <w:pStyle w:val="21"/>
            <w:rPr>
              <w:rFonts w:asciiTheme="minorHAnsi" w:eastAsiaTheme="minorEastAsia" w:hAnsiTheme="minorHAnsi" w:cstheme="minorBidi"/>
              <w:bCs w:val="0"/>
              <w:sz w:val="22"/>
              <w:lang w:val="en-US" w:eastAsia="en-US"/>
            </w:rPr>
          </w:pPr>
          <w:hyperlink w:anchor="_Toc75436447" w:history="1">
            <w:r w:rsidR="00C2291F" w:rsidRPr="0001165E">
              <w:rPr>
                <w:rStyle w:val="af"/>
              </w:rPr>
              <w:t>4.1.</w:t>
            </w:r>
            <w:r w:rsidR="00C2291F">
              <w:rPr>
                <w:rFonts w:asciiTheme="minorHAnsi" w:eastAsiaTheme="minorEastAsia" w:hAnsiTheme="minorHAnsi" w:cstheme="minorBidi"/>
                <w:bCs w:val="0"/>
                <w:sz w:val="22"/>
                <w:lang w:val="en-US" w:eastAsia="en-US"/>
              </w:rPr>
              <w:tab/>
            </w:r>
            <w:r w:rsidR="00C2291F" w:rsidRPr="0001165E">
              <w:rPr>
                <w:rStyle w:val="af"/>
              </w:rPr>
              <w:t>Obiectivul specific I. Analiza structurii portofoliului datoriei de stat și conformității onorării obligațiunilor statului privind deservirea datoriei prin prisma Legii bugetare anuale și Programului „Managementul datoriei de stat pe termen mediu (2020-2022)”.</w:t>
            </w:r>
            <w:r w:rsidR="00C2291F">
              <w:rPr>
                <w:webHidden/>
              </w:rPr>
              <w:tab/>
            </w:r>
            <w:r w:rsidR="00C2291F">
              <w:rPr>
                <w:webHidden/>
              </w:rPr>
              <w:fldChar w:fldCharType="begin"/>
            </w:r>
            <w:r w:rsidR="00C2291F">
              <w:rPr>
                <w:webHidden/>
              </w:rPr>
              <w:instrText xml:space="preserve"> PAGEREF _Toc75436447 \h </w:instrText>
            </w:r>
            <w:r w:rsidR="00C2291F">
              <w:rPr>
                <w:webHidden/>
              </w:rPr>
            </w:r>
            <w:r w:rsidR="00C2291F">
              <w:rPr>
                <w:webHidden/>
              </w:rPr>
              <w:fldChar w:fldCharType="separate"/>
            </w:r>
            <w:r w:rsidR="00326E97">
              <w:rPr>
                <w:webHidden/>
              </w:rPr>
              <w:t>11</w:t>
            </w:r>
            <w:r w:rsidR="00C2291F">
              <w:rPr>
                <w:webHidden/>
              </w:rPr>
              <w:fldChar w:fldCharType="end"/>
            </w:r>
          </w:hyperlink>
        </w:p>
        <w:p w14:paraId="0B09A561" w14:textId="4D1B93B9" w:rsidR="00C2291F" w:rsidRDefault="00D159B6">
          <w:pPr>
            <w:pStyle w:val="31"/>
            <w:rPr>
              <w:rFonts w:asciiTheme="minorHAnsi" w:hAnsiTheme="minorHAnsi" w:cstheme="minorBidi"/>
              <w:sz w:val="22"/>
            </w:rPr>
          </w:pPr>
          <w:hyperlink w:anchor="_Toc75436448" w:history="1">
            <w:r w:rsidR="00C2291F" w:rsidRPr="0001165E">
              <w:rPr>
                <w:rStyle w:val="af"/>
              </w:rPr>
              <w:t>4.1.1.</w:t>
            </w:r>
            <w:r w:rsidR="00C2291F">
              <w:rPr>
                <w:rFonts w:asciiTheme="minorHAnsi" w:hAnsiTheme="minorHAnsi" w:cstheme="minorBidi"/>
                <w:sz w:val="22"/>
              </w:rPr>
              <w:tab/>
            </w:r>
            <w:r w:rsidR="00C2291F" w:rsidRPr="0001165E">
              <w:rPr>
                <w:rStyle w:val="af"/>
              </w:rPr>
              <w:t>Deși s-a înregistrat o creștere semnificativă a soldului datoriei de stat, acesta s-a încadrat în limitele plafonului prevăzut de Legea bugetară anuală, însă cu mici excepții de la limitele aprobate de Programul „Managementul datoriei de stat pe termen mediu (2020-2022)”.</w:t>
            </w:r>
            <w:r w:rsidR="00C2291F">
              <w:rPr>
                <w:webHidden/>
              </w:rPr>
              <w:tab/>
            </w:r>
            <w:r w:rsidR="00463ED4">
              <w:rPr>
                <w:webHidden/>
              </w:rPr>
              <w:tab/>
            </w:r>
            <w:r w:rsidR="00C2291F">
              <w:rPr>
                <w:webHidden/>
              </w:rPr>
              <w:fldChar w:fldCharType="begin"/>
            </w:r>
            <w:r w:rsidR="00C2291F">
              <w:rPr>
                <w:webHidden/>
              </w:rPr>
              <w:instrText xml:space="preserve"> PAGEREF _Toc75436448 \h </w:instrText>
            </w:r>
            <w:r w:rsidR="00C2291F">
              <w:rPr>
                <w:webHidden/>
              </w:rPr>
            </w:r>
            <w:r w:rsidR="00C2291F">
              <w:rPr>
                <w:webHidden/>
              </w:rPr>
              <w:fldChar w:fldCharType="separate"/>
            </w:r>
            <w:r w:rsidR="00326E97">
              <w:rPr>
                <w:webHidden/>
              </w:rPr>
              <w:t>12</w:t>
            </w:r>
            <w:r w:rsidR="00C2291F">
              <w:rPr>
                <w:webHidden/>
              </w:rPr>
              <w:fldChar w:fldCharType="end"/>
            </w:r>
          </w:hyperlink>
        </w:p>
        <w:p w14:paraId="0C1A34FD" w14:textId="0FAC287A" w:rsidR="00C2291F" w:rsidRDefault="00D159B6">
          <w:pPr>
            <w:pStyle w:val="31"/>
            <w:rPr>
              <w:rFonts w:asciiTheme="minorHAnsi" w:hAnsiTheme="minorHAnsi" w:cstheme="minorBidi"/>
              <w:sz w:val="22"/>
            </w:rPr>
          </w:pPr>
          <w:hyperlink w:anchor="_Toc75436449" w:history="1">
            <w:r w:rsidR="00C2291F" w:rsidRPr="0001165E">
              <w:rPr>
                <w:rStyle w:val="af"/>
              </w:rPr>
              <w:t>4.1.2.</w:t>
            </w:r>
            <w:r w:rsidR="00C2291F">
              <w:rPr>
                <w:rFonts w:asciiTheme="minorHAnsi" w:hAnsiTheme="minorHAnsi" w:cstheme="minorBidi"/>
                <w:sz w:val="22"/>
              </w:rPr>
              <w:tab/>
            </w:r>
            <w:r w:rsidR="00C2291F" w:rsidRPr="0001165E">
              <w:rPr>
                <w:rStyle w:val="af"/>
              </w:rPr>
              <w:t>Datoria de stat internă a crescut din contul emisiunii nete a VMS pe piața primară, iar sectorul bancar rămâne în continuare principalul investitor în VMS.</w:t>
            </w:r>
            <w:r w:rsidR="00C2291F">
              <w:rPr>
                <w:webHidden/>
              </w:rPr>
              <w:tab/>
            </w:r>
            <w:r w:rsidR="00C2291F">
              <w:rPr>
                <w:webHidden/>
              </w:rPr>
              <w:fldChar w:fldCharType="begin"/>
            </w:r>
            <w:r w:rsidR="00C2291F">
              <w:rPr>
                <w:webHidden/>
              </w:rPr>
              <w:instrText xml:space="preserve"> PAGEREF _Toc75436449 \h </w:instrText>
            </w:r>
            <w:r w:rsidR="00C2291F">
              <w:rPr>
                <w:webHidden/>
              </w:rPr>
            </w:r>
            <w:r w:rsidR="00C2291F">
              <w:rPr>
                <w:webHidden/>
              </w:rPr>
              <w:fldChar w:fldCharType="separate"/>
            </w:r>
            <w:r w:rsidR="00326E97">
              <w:rPr>
                <w:webHidden/>
              </w:rPr>
              <w:t>16</w:t>
            </w:r>
            <w:r w:rsidR="00C2291F">
              <w:rPr>
                <w:webHidden/>
              </w:rPr>
              <w:fldChar w:fldCharType="end"/>
            </w:r>
          </w:hyperlink>
        </w:p>
        <w:p w14:paraId="646F8199" w14:textId="500E4783" w:rsidR="00C2291F" w:rsidRDefault="00D159B6">
          <w:pPr>
            <w:pStyle w:val="31"/>
            <w:rPr>
              <w:rFonts w:asciiTheme="minorHAnsi" w:hAnsiTheme="minorHAnsi" w:cstheme="minorBidi"/>
              <w:sz w:val="22"/>
            </w:rPr>
          </w:pPr>
          <w:hyperlink w:anchor="_Toc75436450" w:history="1">
            <w:r w:rsidR="00C2291F" w:rsidRPr="0001165E">
              <w:rPr>
                <w:rStyle w:val="af"/>
                <w:lang w:val="ro-RO"/>
              </w:rPr>
              <w:t>4.1.3.</w:t>
            </w:r>
            <w:r w:rsidR="00C2291F">
              <w:rPr>
                <w:rFonts w:asciiTheme="minorHAnsi" w:hAnsiTheme="minorHAnsi" w:cstheme="minorBidi"/>
                <w:sz w:val="22"/>
              </w:rPr>
              <w:tab/>
            </w:r>
            <w:r w:rsidR="00C2291F" w:rsidRPr="0001165E">
              <w:rPr>
                <w:rStyle w:val="af"/>
                <w:lang w:val="ro-RO"/>
              </w:rPr>
              <w:t>Soldul datoriei de stat externe, deși se încadrează în limitele stabilite de Legea bugetară anuală, înregistrează o creștere semnificativă, determinată de finanțarea externă netă pozitivă și evoluția cursului de schimb al monedei naționale în raport cu dolarul SUA.</w:t>
            </w:r>
            <w:r w:rsidR="00C2291F">
              <w:rPr>
                <w:webHidden/>
              </w:rPr>
              <w:tab/>
            </w:r>
            <w:r w:rsidR="00C2291F">
              <w:rPr>
                <w:webHidden/>
              </w:rPr>
              <w:fldChar w:fldCharType="begin"/>
            </w:r>
            <w:r w:rsidR="00C2291F">
              <w:rPr>
                <w:webHidden/>
              </w:rPr>
              <w:instrText xml:space="preserve"> PAGEREF _Toc75436450 \h </w:instrText>
            </w:r>
            <w:r w:rsidR="00C2291F">
              <w:rPr>
                <w:webHidden/>
              </w:rPr>
            </w:r>
            <w:r w:rsidR="00C2291F">
              <w:rPr>
                <w:webHidden/>
              </w:rPr>
              <w:fldChar w:fldCharType="separate"/>
            </w:r>
            <w:r w:rsidR="00326E97">
              <w:rPr>
                <w:webHidden/>
              </w:rPr>
              <w:t>22</w:t>
            </w:r>
            <w:r w:rsidR="00C2291F">
              <w:rPr>
                <w:webHidden/>
              </w:rPr>
              <w:fldChar w:fldCharType="end"/>
            </w:r>
          </w:hyperlink>
        </w:p>
        <w:p w14:paraId="24CBC844" w14:textId="26B2DCCC" w:rsidR="00C2291F" w:rsidRDefault="00D159B6">
          <w:pPr>
            <w:pStyle w:val="21"/>
            <w:rPr>
              <w:rFonts w:asciiTheme="minorHAnsi" w:eastAsiaTheme="minorEastAsia" w:hAnsiTheme="minorHAnsi" w:cstheme="minorBidi"/>
              <w:bCs w:val="0"/>
              <w:sz w:val="22"/>
              <w:lang w:val="en-US" w:eastAsia="en-US"/>
            </w:rPr>
          </w:pPr>
          <w:hyperlink w:anchor="_Toc75436451" w:history="1">
            <w:r w:rsidR="00C2291F" w:rsidRPr="0001165E">
              <w:rPr>
                <w:rStyle w:val="af"/>
              </w:rPr>
              <w:t>4.2.</w:t>
            </w:r>
            <w:r w:rsidR="00C2291F">
              <w:rPr>
                <w:rFonts w:asciiTheme="minorHAnsi" w:eastAsiaTheme="minorEastAsia" w:hAnsiTheme="minorHAnsi" w:cstheme="minorBidi"/>
                <w:bCs w:val="0"/>
                <w:sz w:val="22"/>
                <w:lang w:val="en-US" w:eastAsia="en-US"/>
              </w:rPr>
              <w:tab/>
            </w:r>
            <w:r w:rsidR="00C2291F" w:rsidRPr="0001165E">
              <w:rPr>
                <w:rStyle w:val="af"/>
              </w:rPr>
              <w:t>Obiectivul specific nr.II. Evaluarea conformității acordării garanțiilor de stat</w:t>
            </w:r>
            <w:r w:rsidR="00C2291F">
              <w:rPr>
                <w:webHidden/>
              </w:rPr>
              <w:tab/>
            </w:r>
            <w:r w:rsidR="00C2291F">
              <w:rPr>
                <w:webHidden/>
              </w:rPr>
              <w:fldChar w:fldCharType="begin"/>
            </w:r>
            <w:r w:rsidR="00C2291F">
              <w:rPr>
                <w:webHidden/>
              </w:rPr>
              <w:instrText xml:space="preserve"> PAGEREF _Toc75436451 \h </w:instrText>
            </w:r>
            <w:r w:rsidR="00C2291F">
              <w:rPr>
                <w:webHidden/>
              </w:rPr>
            </w:r>
            <w:r w:rsidR="00C2291F">
              <w:rPr>
                <w:webHidden/>
              </w:rPr>
              <w:fldChar w:fldCharType="separate"/>
            </w:r>
            <w:r w:rsidR="00326E97">
              <w:rPr>
                <w:webHidden/>
              </w:rPr>
              <w:t>25</w:t>
            </w:r>
            <w:r w:rsidR="00C2291F">
              <w:rPr>
                <w:webHidden/>
              </w:rPr>
              <w:fldChar w:fldCharType="end"/>
            </w:r>
          </w:hyperlink>
        </w:p>
        <w:p w14:paraId="38CEAB0D" w14:textId="7E71B9EC" w:rsidR="00C2291F" w:rsidRDefault="00D159B6">
          <w:pPr>
            <w:pStyle w:val="31"/>
            <w:rPr>
              <w:rFonts w:asciiTheme="minorHAnsi" w:hAnsiTheme="minorHAnsi" w:cstheme="minorBidi"/>
              <w:sz w:val="22"/>
            </w:rPr>
          </w:pPr>
          <w:hyperlink w:anchor="_Toc75436452" w:history="1">
            <w:r w:rsidR="00C2291F" w:rsidRPr="0001165E">
              <w:rPr>
                <w:rStyle w:val="af"/>
              </w:rPr>
              <w:t>4.2.1.</w:t>
            </w:r>
            <w:r w:rsidR="00C2291F">
              <w:rPr>
                <w:rFonts w:asciiTheme="minorHAnsi" w:hAnsiTheme="minorHAnsi" w:cstheme="minorBidi"/>
                <w:sz w:val="22"/>
              </w:rPr>
              <w:tab/>
            </w:r>
            <w:r w:rsidR="00C2291F" w:rsidRPr="0001165E">
              <w:rPr>
                <w:rStyle w:val="af"/>
              </w:rPr>
              <w:t>În anul 2020 a fost înregistrat primul caz de onorare/activare a garanției de stat acordată în cadrul Programului de stat „Prima casă”.</w:t>
            </w:r>
            <w:r w:rsidR="00C2291F">
              <w:rPr>
                <w:webHidden/>
              </w:rPr>
              <w:tab/>
            </w:r>
            <w:r w:rsidR="00C2291F">
              <w:rPr>
                <w:webHidden/>
              </w:rPr>
              <w:fldChar w:fldCharType="begin"/>
            </w:r>
            <w:r w:rsidR="00C2291F">
              <w:rPr>
                <w:webHidden/>
              </w:rPr>
              <w:instrText xml:space="preserve"> PAGEREF _Toc75436452 \h </w:instrText>
            </w:r>
            <w:r w:rsidR="00C2291F">
              <w:rPr>
                <w:webHidden/>
              </w:rPr>
            </w:r>
            <w:r w:rsidR="00C2291F">
              <w:rPr>
                <w:webHidden/>
              </w:rPr>
              <w:fldChar w:fldCharType="separate"/>
            </w:r>
            <w:r w:rsidR="00326E97">
              <w:rPr>
                <w:webHidden/>
              </w:rPr>
              <w:t>26</w:t>
            </w:r>
            <w:r w:rsidR="00C2291F">
              <w:rPr>
                <w:webHidden/>
              </w:rPr>
              <w:fldChar w:fldCharType="end"/>
            </w:r>
          </w:hyperlink>
        </w:p>
        <w:p w14:paraId="6B84DD19" w14:textId="6A5396D5" w:rsidR="00C2291F" w:rsidRDefault="00D159B6">
          <w:pPr>
            <w:pStyle w:val="31"/>
            <w:rPr>
              <w:rFonts w:asciiTheme="minorHAnsi" w:hAnsiTheme="minorHAnsi" w:cstheme="minorBidi"/>
              <w:sz w:val="22"/>
            </w:rPr>
          </w:pPr>
          <w:hyperlink w:anchor="_Toc75436453" w:history="1">
            <w:r w:rsidR="00C2291F" w:rsidRPr="0001165E">
              <w:rPr>
                <w:rStyle w:val="af"/>
              </w:rPr>
              <w:t>4.2.2.</w:t>
            </w:r>
            <w:r w:rsidR="00C2291F">
              <w:rPr>
                <w:rFonts w:asciiTheme="minorHAnsi" w:hAnsiTheme="minorHAnsi" w:cstheme="minorBidi"/>
                <w:sz w:val="22"/>
              </w:rPr>
              <w:tab/>
            </w:r>
            <w:r w:rsidR="00C2291F" w:rsidRPr="0001165E">
              <w:rPr>
                <w:rStyle w:val="af"/>
              </w:rPr>
              <w:t>Datoriile debitorilor garantați față de Ministerul Finanțelor sunt în întregime cu termenul de achitare expirat.</w:t>
            </w:r>
            <w:r w:rsidR="00C2291F">
              <w:rPr>
                <w:webHidden/>
              </w:rPr>
              <w:tab/>
            </w:r>
            <w:r w:rsidR="00C2291F">
              <w:rPr>
                <w:webHidden/>
              </w:rPr>
              <w:fldChar w:fldCharType="begin"/>
            </w:r>
            <w:r w:rsidR="00C2291F">
              <w:rPr>
                <w:webHidden/>
              </w:rPr>
              <w:instrText xml:space="preserve"> PAGEREF _Toc75436453 \h </w:instrText>
            </w:r>
            <w:r w:rsidR="00C2291F">
              <w:rPr>
                <w:webHidden/>
              </w:rPr>
            </w:r>
            <w:r w:rsidR="00C2291F">
              <w:rPr>
                <w:webHidden/>
              </w:rPr>
              <w:fldChar w:fldCharType="separate"/>
            </w:r>
            <w:r w:rsidR="00326E97">
              <w:rPr>
                <w:webHidden/>
              </w:rPr>
              <w:t>27</w:t>
            </w:r>
            <w:r w:rsidR="00C2291F">
              <w:rPr>
                <w:webHidden/>
              </w:rPr>
              <w:fldChar w:fldCharType="end"/>
            </w:r>
          </w:hyperlink>
        </w:p>
        <w:p w14:paraId="6322FDF1" w14:textId="3B9685C6" w:rsidR="00C2291F" w:rsidRDefault="00D159B6">
          <w:pPr>
            <w:pStyle w:val="21"/>
            <w:rPr>
              <w:rFonts w:asciiTheme="minorHAnsi" w:eastAsiaTheme="minorEastAsia" w:hAnsiTheme="minorHAnsi" w:cstheme="minorBidi"/>
              <w:bCs w:val="0"/>
              <w:sz w:val="22"/>
              <w:lang w:val="en-US" w:eastAsia="en-US"/>
            </w:rPr>
          </w:pPr>
          <w:hyperlink w:anchor="_Toc75436454" w:history="1">
            <w:r w:rsidR="00C2291F" w:rsidRPr="0001165E">
              <w:rPr>
                <w:rStyle w:val="af"/>
              </w:rPr>
              <w:t>4.3.</w:t>
            </w:r>
            <w:r w:rsidR="00C2291F">
              <w:rPr>
                <w:rFonts w:asciiTheme="minorHAnsi" w:eastAsiaTheme="minorEastAsia" w:hAnsiTheme="minorHAnsi" w:cstheme="minorBidi"/>
                <w:bCs w:val="0"/>
                <w:sz w:val="22"/>
                <w:lang w:val="en-US" w:eastAsia="en-US"/>
              </w:rPr>
              <w:tab/>
            </w:r>
            <w:r w:rsidR="00C2291F" w:rsidRPr="0001165E">
              <w:rPr>
                <w:rStyle w:val="af"/>
              </w:rPr>
              <w:t>Obiectivul specific III. Evaluarea conformității administrării și monitorizării împrumuturilor recreditate de stat</w:t>
            </w:r>
            <w:r w:rsidR="00C2291F">
              <w:rPr>
                <w:webHidden/>
              </w:rPr>
              <w:tab/>
            </w:r>
            <w:r w:rsidR="00C2291F">
              <w:rPr>
                <w:webHidden/>
              </w:rPr>
              <w:fldChar w:fldCharType="begin"/>
            </w:r>
            <w:r w:rsidR="00C2291F">
              <w:rPr>
                <w:webHidden/>
              </w:rPr>
              <w:instrText xml:space="preserve"> PAGEREF _Toc75436454 \h </w:instrText>
            </w:r>
            <w:r w:rsidR="00C2291F">
              <w:rPr>
                <w:webHidden/>
              </w:rPr>
            </w:r>
            <w:r w:rsidR="00C2291F">
              <w:rPr>
                <w:webHidden/>
              </w:rPr>
              <w:fldChar w:fldCharType="separate"/>
            </w:r>
            <w:r w:rsidR="00326E97">
              <w:rPr>
                <w:webHidden/>
              </w:rPr>
              <w:t>27</w:t>
            </w:r>
            <w:r w:rsidR="00C2291F">
              <w:rPr>
                <w:webHidden/>
              </w:rPr>
              <w:fldChar w:fldCharType="end"/>
            </w:r>
          </w:hyperlink>
        </w:p>
        <w:p w14:paraId="5074FC1D" w14:textId="6D91D70C" w:rsidR="00C2291F" w:rsidRDefault="00D159B6">
          <w:pPr>
            <w:pStyle w:val="31"/>
            <w:rPr>
              <w:rFonts w:asciiTheme="minorHAnsi" w:hAnsiTheme="minorHAnsi" w:cstheme="minorBidi"/>
              <w:sz w:val="22"/>
            </w:rPr>
          </w:pPr>
          <w:hyperlink w:anchor="_Toc75436455" w:history="1">
            <w:r w:rsidR="00C2291F" w:rsidRPr="0001165E">
              <w:rPr>
                <w:rStyle w:val="af"/>
              </w:rPr>
              <w:t>4.3.1.</w:t>
            </w:r>
            <w:r w:rsidR="00C2291F">
              <w:rPr>
                <w:rFonts w:asciiTheme="minorHAnsi" w:hAnsiTheme="minorHAnsi" w:cstheme="minorBidi"/>
                <w:sz w:val="22"/>
              </w:rPr>
              <w:tab/>
            </w:r>
            <w:r w:rsidR="00C2291F" w:rsidRPr="0001165E">
              <w:rPr>
                <w:rStyle w:val="af"/>
              </w:rPr>
              <w:t>Mijloacele financiare îndreptate spre recreditarea de stat au sporit, 64,4 % din total fiind direcționate prin intermediul OGP AE.</w:t>
            </w:r>
            <w:r w:rsidR="00C2291F">
              <w:rPr>
                <w:webHidden/>
              </w:rPr>
              <w:tab/>
            </w:r>
            <w:r w:rsidR="00C2291F">
              <w:rPr>
                <w:webHidden/>
              </w:rPr>
              <w:fldChar w:fldCharType="begin"/>
            </w:r>
            <w:r w:rsidR="00C2291F">
              <w:rPr>
                <w:webHidden/>
              </w:rPr>
              <w:instrText xml:space="preserve"> PAGEREF _Toc75436455 \h </w:instrText>
            </w:r>
            <w:r w:rsidR="00C2291F">
              <w:rPr>
                <w:webHidden/>
              </w:rPr>
            </w:r>
            <w:r w:rsidR="00C2291F">
              <w:rPr>
                <w:webHidden/>
              </w:rPr>
              <w:fldChar w:fldCharType="separate"/>
            </w:r>
            <w:r w:rsidR="00326E97">
              <w:rPr>
                <w:webHidden/>
              </w:rPr>
              <w:t>27</w:t>
            </w:r>
            <w:r w:rsidR="00C2291F">
              <w:rPr>
                <w:webHidden/>
              </w:rPr>
              <w:fldChar w:fldCharType="end"/>
            </w:r>
          </w:hyperlink>
        </w:p>
        <w:p w14:paraId="32F8BE27" w14:textId="3B1BF2AF" w:rsidR="00C2291F" w:rsidRDefault="00D159B6">
          <w:pPr>
            <w:pStyle w:val="21"/>
            <w:rPr>
              <w:rFonts w:asciiTheme="minorHAnsi" w:eastAsiaTheme="minorEastAsia" w:hAnsiTheme="minorHAnsi" w:cstheme="minorBidi"/>
              <w:bCs w:val="0"/>
              <w:sz w:val="22"/>
              <w:lang w:val="en-US" w:eastAsia="en-US"/>
            </w:rPr>
          </w:pPr>
          <w:hyperlink w:anchor="_Toc75436456" w:history="1">
            <w:r w:rsidR="00C2291F" w:rsidRPr="0001165E">
              <w:rPr>
                <w:rStyle w:val="af"/>
              </w:rPr>
              <w:t>4.4.</w:t>
            </w:r>
            <w:r w:rsidR="00C2291F">
              <w:rPr>
                <w:rFonts w:asciiTheme="minorHAnsi" w:eastAsiaTheme="minorEastAsia" w:hAnsiTheme="minorHAnsi" w:cstheme="minorBidi"/>
                <w:bCs w:val="0"/>
                <w:sz w:val="22"/>
                <w:lang w:val="en-US" w:eastAsia="en-US"/>
              </w:rPr>
              <w:tab/>
            </w:r>
            <w:r w:rsidR="00C2291F" w:rsidRPr="0001165E">
              <w:rPr>
                <w:rStyle w:val="af"/>
              </w:rPr>
              <w:t>Măsurile întreprinse în vederea implementării recomandărilor precedente ale Curții de Conturi</w:t>
            </w:r>
            <w:r w:rsidR="00C2291F">
              <w:rPr>
                <w:webHidden/>
              </w:rPr>
              <w:tab/>
            </w:r>
            <w:r w:rsidR="00463ED4">
              <w:rPr>
                <w:webHidden/>
              </w:rPr>
              <w:tab/>
            </w:r>
            <w:r w:rsidR="00C2291F">
              <w:rPr>
                <w:webHidden/>
              </w:rPr>
              <w:fldChar w:fldCharType="begin"/>
            </w:r>
            <w:r w:rsidR="00C2291F">
              <w:rPr>
                <w:webHidden/>
              </w:rPr>
              <w:instrText xml:space="preserve"> PAGEREF _Toc75436456 \h </w:instrText>
            </w:r>
            <w:r w:rsidR="00C2291F">
              <w:rPr>
                <w:webHidden/>
              </w:rPr>
            </w:r>
            <w:r w:rsidR="00C2291F">
              <w:rPr>
                <w:webHidden/>
              </w:rPr>
              <w:fldChar w:fldCharType="separate"/>
            </w:r>
            <w:r w:rsidR="00326E97">
              <w:rPr>
                <w:webHidden/>
              </w:rPr>
              <w:t>30</w:t>
            </w:r>
            <w:r w:rsidR="00C2291F">
              <w:rPr>
                <w:webHidden/>
              </w:rPr>
              <w:fldChar w:fldCharType="end"/>
            </w:r>
          </w:hyperlink>
        </w:p>
        <w:p w14:paraId="0BA39AF0" w14:textId="5E4E3695" w:rsidR="00C2291F" w:rsidRDefault="00D159B6">
          <w:pPr>
            <w:pStyle w:val="11"/>
            <w:tabs>
              <w:tab w:val="left" w:pos="440"/>
              <w:tab w:val="right" w:leader="dot" w:pos="9345"/>
            </w:tabs>
            <w:rPr>
              <w:rFonts w:asciiTheme="minorHAnsi" w:eastAsiaTheme="minorEastAsia" w:hAnsiTheme="minorHAnsi"/>
              <w:noProof/>
              <w:sz w:val="22"/>
            </w:rPr>
          </w:pPr>
          <w:hyperlink w:anchor="_Toc75436457" w:history="1">
            <w:r w:rsidR="00C2291F" w:rsidRPr="0001165E">
              <w:rPr>
                <w:rStyle w:val="af"/>
                <w:noProof/>
              </w:rPr>
              <w:t>V.</w:t>
            </w:r>
            <w:r w:rsidR="00C2291F">
              <w:rPr>
                <w:rFonts w:asciiTheme="minorHAnsi" w:eastAsiaTheme="minorEastAsia" w:hAnsiTheme="minorHAnsi"/>
                <w:noProof/>
                <w:sz w:val="22"/>
              </w:rPr>
              <w:tab/>
            </w:r>
            <w:r w:rsidR="00C2291F" w:rsidRPr="0001165E">
              <w:rPr>
                <w:rStyle w:val="af"/>
                <w:noProof/>
              </w:rPr>
              <w:t>CONCLUZIA GENERALĂ</w:t>
            </w:r>
            <w:r w:rsidR="00C2291F">
              <w:rPr>
                <w:noProof/>
                <w:webHidden/>
              </w:rPr>
              <w:tab/>
            </w:r>
            <w:r w:rsidR="00C2291F">
              <w:rPr>
                <w:noProof/>
                <w:webHidden/>
              </w:rPr>
              <w:fldChar w:fldCharType="begin"/>
            </w:r>
            <w:r w:rsidR="00C2291F">
              <w:rPr>
                <w:noProof/>
                <w:webHidden/>
              </w:rPr>
              <w:instrText xml:space="preserve"> PAGEREF _Toc75436457 \h </w:instrText>
            </w:r>
            <w:r w:rsidR="00C2291F">
              <w:rPr>
                <w:noProof/>
                <w:webHidden/>
              </w:rPr>
            </w:r>
            <w:r w:rsidR="00C2291F">
              <w:rPr>
                <w:noProof/>
                <w:webHidden/>
              </w:rPr>
              <w:fldChar w:fldCharType="separate"/>
            </w:r>
            <w:r w:rsidR="00326E97">
              <w:rPr>
                <w:noProof/>
                <w:webHidden/>
              </w:rPr>
              <w:t>31</w:t>
            </w:r>
            <w:r w:rsidR="00C2291F">
              <w:rPr>
                <w:noProof/>
                <w:webHidden/>
              </w:rPr>
              <w:fldChar w:fldCharType="end"/>
            </w:r>
          </w:hyperlink>
        </w:p>
        <w:p w14:paraId="1E7BA894" w14:textId="45DBF903" w:rsidR="00C2291F" w:rsidRDefault="00D159B6">
          <w:pPr>
            <w:pStyle w:val="11"/>
            <w:tabs>
              <w:tab w:val="left" w:pos="660"/>
              <w:tab w:val="right" w:leader="dot" w:pos="9345"/>
            </w:tabs>
            <w:rPr>
              <w:rFonts w:asciiTheme="minorHAnsi" w:eastAsiaTheme="minorEastAsia" w:hAnsiTheme="minorHAnsi"/>
              <w:noProof/>
              <w:sz w:val="22"/>
            </w:rPr>
          </w:pPr>
          <w:hyperlink w:anchor="_Toc75436458" w:history="1">
            <w:r w:rsidR="00C2291F" w:rsidRPr="0001165E">
              <w:rPr>
                <w:rStyle w:val="af"/>
                <w:noProof/>
              </w:rPr>
              <w:t>VI.</w:t>
            </w:r>
            <w:r w:rsidR="00C2291F">
              <w:rPr>
                <w:rFonts w:asciiTheme="minorHAnsi" w:eastAsiaTheme="minorEastAsia" w:hAnsiTheme="minorHAnsi"/>
                <w:noProof/>
                <w:sz w:val="22"/>
              </w:rPr>
              <w:tab/>
            </w:r>
            <w:r w:rsidR="00C2291F" w:rsidRPr="0001165E">
              <w:rPr>
                <w:rStyle w:val="af"/>
                <w:noProof/>
              </w:rPr>
              <w:t>RECOMANDĂRI MINISTERULUI FINANȚELOR</w:t>
            </w:r>
            <w:r w:rsidR="00C2291F">
              <w:rPr>
                <w:noProof/>
                <w:webHidden/>
              </w:rPr>
              <w:tab/>
            </w:r>
            <w:r w:rsidR="00C2291F">
              <w:rPr>
                <w:noProof/>
                <w:webHidden/>
              </w:rPr>
              <w:fldChar w:fldCharType="begin"/>
            </w:r>
            <w:r w:rsidR="00C2291F">
              <w:rPr>
                <w:noProof/>
                <w:webHidden/>
              </w:rPr>
              <w:instrText xml:space="preserve"> PAGEREF _Toc75436458 \h </w:instrText>
            </w:r>
            <w:r w:rsidR="00C2291F">
              <w:rPr>
                <w:noProof/>
                <w:webHidden/>
              </w:rPr>
            </w:r>
            <w:r w:rsidR="00C2291F">
              <w:rPr>
                <w:noProof/>
                <w:webHidden/>
              </w:rPr>
              <w:fldChar w:fldCharType="separate"/>
            </w:r>
            <w:r w:rsidR="00326E97">
              <w:rPr>
                <w:noProof/>
                <w:webHidden/>
              </w:rPr>
              <w:t>32</w:t>
            </w:r>
            <w:r w:rsidR="00C2291F">
              <w:rPr>
                <w:noProof/>
                <w:webHidden/>
              </w:rPr>
              <w:fldChar w:fldCharType="end"/>
            </w:r>
          </w:hyperlink>
        </w:p>
        <w:p w14:paraId="08FF02DF" w14:textId="6F939C3C" w:rsidR="00C2291F" w:rsidRDefault="00D159B6">
          <w:pPr>
            <w:pStyle w:val="11"/>
            <w:tabs>
              <w:tab w:val="right" w:leader="dot" w:pos="9345"/>
            </w:tabs>
            <w:rPr>
              <w:rFonts w:asciiTheme="minorHAnsi" w:eastAsiaTheme="minorEastAsia" w:hAnsiTheme="minorHAnsi"/>
              <w:noProof/>
              <w:sz w:val="22"/>
            </w:rPr>
          </w:pPr>
          <w:hyperlink w:anchor="_Toc75436459" w:history="1">
            <w:r w:rsidR="00C2291F" w:rsidRPr="0001165E">
              <w:rPr>
                <w:rStyle w:val="af"/>
                <w:noProof/>
                <w:lang w:val="ro-RO" w:eastAsia="ru-RU"/>
              </w:rPr>
              <w:t>Semnăturile echipei de audit</w:t>
            </w:r>
            <w:r w:rsidR="00C2291F">
              <w:rPr>
                <w:noProof/>
                <w:webHidden/>
              </w:rPr>
              <w:tab/>
            </w:r>
            <w:r w:rsidR="00C2291F">
              <w:rPr>
                <w:noProof/>
                <w:webHidden/>
              </w:rPr>
              <w:fldChar w:fldCharType="begin"/>
            </w:r>
            <w:r w:rsidR="00C2291F">
              <w:rPr>
                <w:noProof/>
                <w:webHidden/>
              </w:rPr>
              <w:instrText xml:space="preserve"> PAGEREF _Toc75436459 \h </w:instrText>
            </w:r>
            <w:r w:rsidR="00C2291F">
              <w:rPr>
                <w:noProof/>
                <w:webHidden/>
              </w:rPr>
            </w:r>
            <w:r w:rsidR="00C2291F">
              <w:rPr>
                <w:noProof/>
                <w:webHidden/>
              </w:rPr>
              <w:fldChar w:fldCharType="separate"/>
            </w:r>
            <w:r w:rsidR="00326E97">
              <w:rPr>
                <w:noProof/>
                <w:webHidden/>
              </w:rPr>
              <w:t>32</w:t>
            </w:r>
            <w:r w:rsidR="00C2291F">
              <w:rPr>
                <w:noProof/>
                <w:webHidden/>
              </w:rPr>
              <w:fldChar w:fldCharType="end"/>
            </w:r>
          </w:hyperlink>
        </w:p>
        <w:p w14:paraId="3A1DD4F7" w14:textId="2C517075" w:rsidR="00C2291F" w:rsidRDefault="00D159B6">
          <w:pPr>
            <w:pStyle w:val="11"/>
            <w:tabs>
              <w:tab w:val="right" w:leader="dot" w:pos="9345"/>
            </w:tabs>
            <w:rPr>
              <w:rFonts w:asciiTheme="minorHAnsi" w:eastAsiaTheme="minorEastAsia" w:hAnsiTheme="minorHAnsi"/>
              <w:noProof/>
              <w:sz w:val="22"/>
            </w:rPr>
          </w:pPr>
          <w:hyperlink w:anchor="_Toc75436460" w:history="1">
            <w:r w:rsidR="00C2291F" w:rsidRPr="0001165E">
              <w:rPr>
                <w:rStyle w:val="af"/>
                <w:noProof/>
              </w:rPr>
              <w:t>ANEXE</w:t>
            </w:r>
            <w:r w:rsidR="00C2291F">
              <w:rPr>
                <w:noProof/>
                <w:webHidden/>
              </w:rPr>
              <w:tab/>
            </w:r>
            <w:r w:rsidR="00C2291F">
              <w:rPr>
                <w:noProof/>
                <w:webHidden/>
              </w:rPr>
              <w:fldChar w:fldCharType="begin"/>
            </w:r>
            <w:r w:rsidR="00C2291F">
              <w:rPr>
                <w:noProof/>
                <w:webHidden/>
              </w:rPr>
              <w:instrText xml:space="preserve"> PAGEREF _Toc75436460 \h </w:instrText>
            </w:r>
            <w:r w:rsidR="00C2291F">
              <w:rPr>
                <w:noProof/>
                <w:webHidden/>
              </w:rPr>
            </w:r>
            <w:r w:rsidR="00C2291F">
              <w:rPr>
                <w:noProof/>
                <w:webHidden/>
              </w:rPr>
              <w:fldChar w:fldCharType="separate"/>
            </w:r>
            <w:r w:rsidR="00326E97">
              <w:rPr>
                <w:noProof/>
                <w:webHidden/>
              </w:rPr>
              <w:t>33</w:t>
            </w:r>
            <w:r w:rsidR="00C2291F">
              <w:rPr>
                <w:noProof/>
                <w:webHidden/>
              </w:rPr>
              <w:fldChar w:fldCharType="end"/>
            </w:r>
          </w:hyperlink>
        </w:p>
        <w:p w14:paraId="0BB989BA" w14:textId="5404D4AA" w:rsidR="00FD6262" w:rsidRDefault="00FD6262" w:rsidP="00FB1205">
          <w:pPr>
            <w:jc w:val="both"/>
          </w:pPr>
          <w:r w:rsidRPr="00751428">
            <w:rPr>
              <w:b/>
              <w:bCs/>
              <w:noProof/>
            </w:rPr>
            <w:fldChar w:fldCharType="end"/>
          </w:r>
        </w:p>
      </w:sdtContent>
    </w:sdt>
    <w:p w14:paraId="2F77E6DE" w14:textId="267393C3" w:rsidR="00CC270F" w:rsidRDefault="00CA279B" w:rsidP="009C5EF3">
      <w:pPr>
        <w:pStyle w:val="1"/>
        <w:numPr>
          <w:ilvl w:val="0"/>
          <w:numId w:val="0"/>
        </w:numPr>
        <w:ind w:left="432" w:hanging="290"/>
        <w:jc w:val="both"/>
      </w:pPr>
      <w:bookmarkStart w:id="1" w:name="_Toc47012264"/>
      <w:bookmarkStart w:id="2" w:name="_Toc75436439"/>
      <w:r>
        <w:rPr>
          <w:lang w:val="ro-RO"/>
        </w:rPr>
        <w:t>L</w:t>
      </w:r>
      <w:r w:rsidR="00CC270F" w:rsidRPr="002550F7">
        <w:rPr>
          <w:lang w:val="ro-RO"/>
        </w:rPr>
        <w:t xml:space="preserve">ISTA </w:t>
      </w:r>
      <w:r w:rsidR="00CC270F" w:rsidRPr="004E5F9C">
        <w:t>ACRONIMELOR</w:t>
      </w:r>
      <w:bookmarkEnd w:id="1"/>
      <w:bookmarkEnd w:id="2"/>
    </w:p>
    <w:p w14:paraId="3AF85DCE" w14:textId="77777777" w:rsidR="009C5EF3" w:rsidRPr="009C5EF3" w:rsidRDefault="009C5EF3" w:rsidP="009C5EF3"/>
    <w:tbl>
      <w:tblPr>
        <w:tblW w:w="0" w:type="auto"/>
        <w:tblLook w:val="04A0" w:firstRow="1" w:lastRow="0" w:firstColumn="1" w:lastColumn="0" w:noHBand="0" w:noVBand="1"/>
      </w:tblPr>
      <w:tblGrid>
        <w:gridCol w:w="1620"/>
        <w:gridCol w:w="7380"/>
      </w:tblGrid>
      <w:tr w:rsidR="00CC270F" w:rsidRPr="002550F7" w14:paraId="6007D902" w14:textId="77777777" w:rsidTr="00B71350">
        <w:tc>
          <w:tcPr>
            <w:tcW w:w="1620" w:type="dxa"/>
          </w:tcPr>
          <w:p w14:paraId="25E09E1A" w14:textId="77777777" w:rsidR="00CC270F" w:rsidRPr="002550F7" w:rsidRDefault="003160B2" w:rsidP="00FB1205">
            <w:pPr>
              <w:spacing w:after="0" w:line="240" w:lineRule="auto"/>
              <w:jc w:val="both"/>
              <w:rPr>
                <w:rFonts w:cstheme="majorHAnsi"/>
                <w:bCs/>
                <w:szCs w:val="24"/>
                <w:lang w:val="ro-RO"/>
              </w:rPr>
            </w:pPr>
            <w:r>
              <w:rPr>
                <w:rFonts w:cstheme="majorHAnsi"/>
                <w:bCs/>
                <w:szCs w:val="24"/>
                <w:lang w:val="ro-RO"/>
              </w:rPr>
              <w:t>AID</w:t>
            </w:r>
          </w:p>
        </w:tc>
        <w:tc>
          <w:tcPr>
            <w:tcW w:w="7380" w:type="dxa"/>
          </w:tcPr>
          <w:p w14:paraId="351E21EA" w14:textId="77777777" w:rsidR="00CC270F" w:rsidRPr="002550F7" w:rsidRDefault="003160B2" w:rsidP="00FB1205">
            <w:pPr>
              <w:spacing w:after="0" w:line="240" w:lineRule="auto"/>
              <w:jc w:val="both"/>
              <w:rPr>
                <w:rFonts w:cstheme="majorHAnsi"/>
                <w:bCs/>
                <w:szCs w:val="24"/>
                <w:lang w:val="ro-RO"/>
              </w:rPr>
            </w:pPr>
            <w:r>
              <w:rPr>
                <w:rFonts w:cstheme="majorHAnsi"/>
                <w:bCs/>
                <w:szCs w:val="24"/>
                <w:lang w:val="ro-RO"/>
              </w:rPr>
              <w:t>Asociația Internațională de Dezvoltare</w:t>
            </w:r>
          </w:p>
        </w:tc>
      </w:tr>
      <w:tr w:rsidR="00B32646" w:rsidRPr="002550F7" w14:paraId="1A4B42B1" w14:textId="77777777" w:rsidTr="00B71350">
        <w:tc>
          <w:tcPr>
            <w:tcW w:w="1620" w:type="dxa"/>
          </w:tcPr>
          <w:p w14:paraId="281D1B1D" w14:textId="77777777" w:rsidR="00B32646" w:rsidRDefault="00B32646" w:rsidP="00FB1205">
            <w:pPr>
              <w:spacing w:after="0" w:line="240" w:lineRule="auto"/>
              <w:jc w:val="both"/>
              <w:rPr>
                <w:rFonts w:cstheme="majorHAnsi"/>
                <w:bCs/>
                <w:szCs w:val="24"/>
                <w:lang w:val="ro-RO"/>
              </w:rPr>
            </w:pPr>
            <w:r>
              <w:rPr>
                <w:rFonts w:cstheme="majorHAnsi"/>
                <w:bCs/>
                <w:szCs w:val="24"/>
                <w:lang w:val="ro-RO"/>
              </w:rPr>
              <w:t>ATM</w:t>
            </w:r>
          </w:p>
        </w:tc>
        <w:tc>
          <w:tcPr>
            <w:tcW w:w="7380" w:type="dxa"/>
          </w:tcPr>
          <w:p w14:paraId="7FA5E4E6" w14:textId="77777777" w:rsidR="00B32646" w:rsidRDefault="00B32646" w:rsidP="00FB1205">
            <w:pPr>
              <w:spacing w:after="0" w:line="240" w:lineRule="auto"/>
              <w:jc w:val="both"/>
              <w:rPr>
                <w:rFonts w:cstheme="majorHAnsi"/>
                <w:bCs/>
                <w:szCs w:val="24"/>
                <w:lang w:val="ro-RO"/>
              </w:rPr>
            </w:pPr>
            <w:r>
              <w:rPr>
                <w:rFonts w:cstheme="majorHAnsi"/>
                <w:bCs/>
                <w:szCs w:val="24"/>
                <w:lang w:val="ro-RO"/>
              </w:rPr>
              <w:t>Perioada medie de maturitate</w:t>
            </w:r>
          </w:p>
        </w:tc>
      </w:tr>
      <w:tr w:rsidR="003160B2" w:rsidRPr="002550F7" w14:paraId="033631A4" w14:textId="77777777" w:rsidTr="00B71350">
        <w:tc>
          <w:tcPr>
            <w:tcW w:w="1620" w:type="dxa"/>
          </w:tcPr>
          <w:p w14:paraId="544A52F2" w14:textId="77777777" w:rsidR="003160B2" w:rsidRPr="002550F7" w:rsidRDefault="003160B2" w:rsidP="00FB1205">
            <w:pPr>
              <w:spacing w:after="0" w:line="240" w:lineRule="auto"/>
              <w:jc w:val="both"/>
              <w:rPr>
                <w:rFonts w:cstheme="majorHAnsi"/>
                <w:bCs/>
                <w:szCs w:val="24"/>
                <w:lang w:val="ro-RO"/>
              </w:rPr>
            </w:pPr>
            <w:r w:rsidRPr="002550F7">
              <w:rPr>
                <w:rFonts w:cstheme="majorHAnsi"/>
                <w:bCs/>
                <w:szCs w:val="24"/>
                <w:lang w:val="ro-RO"/>
              </w:rPr>
              <w:t>BC</w:t>
            </w:r>
          </w:p>
        </w:tc>
        <w:tc>
          <w:tcPr>
            <w:tcW w:w="7380" w:type="dxa"/>
          </w:tcPr>
          <w:p w14:paraId="425CF52A" w14:textId="77777777" w:rsidR="003160B2" w:rsidRPr="002550F7" w:rsidRDefault="003160B2" w:rsidP="00FB1205">
            <w:pPr>
              <w:spacing w:after="0" w:line="240" w:lineRule="auto"/>
              <w:jc w:val="both"/>
              <w:rPr>
                <w:rFonts w:cstheme="majorHAnsi"/>
                <w:bCs/>
                <w:szCs w:val="24"/>
                <w:lang w:val="ro-RO"/>
              </w:rPr>
            </w:pPr>
            <w:r w:rsidRPr="002550F7">
              <w:rPr>
                <w:rFonts w:cstheme="majorHAnsi"/>
                <w:bCs/>
                <w:szCs w:val="24"/>
                <w:lang w:val="ro-RO"/>
              </w:rPr>
              <w:t>Bancă comercială</w:t>
            </w:r>
          </w:p>
        </w:tc>
      </w:tr>
      <w:tr w:rsidR="005B6E82" w:rsidRPr="002550F7" w14:paraId="4282D851" w14:textId="77777777" w:rsidTr="00B71350">
        <w:tc>
          <w:tcPr>
            <w:tcW w:w="1620" w:type="dxa"/>
          </w:tcPr>
          <w:p w14:paraId="511B0AD6" w14:textId="77777777" w:rsidR="005B6E82" w:rsidRPr="002550F7" w:rsidRDefault="005B6E82" w:rsidP="00FB1205">
            <w:pPr>
              <w:spacing w:after="0" w:line="240" w:lineRule="auto"/>
              <w:jc w:val="both"/>
              <w:rPr>
                <w:rFonts w:cstheme="majorHAnsi"/>
                <w:bCs/>
                <w:szCs w:val="24"/>
                <w:lang w:val="ro-RO"/>
              </w:rPr>
            </w:pPr>
            <w:r>
              <w:rPr>
                <w:rFonts w:cstheme="majorHAnsi"/>
                <w:bCs/>
                <w:szCs w:val="24"/>
                <w:lang w:val="ro-RO"/>
              </w:rPr>
              <w:t>BDCE (CEB)</w:t>
            </w:r>
          </w:p>
        </w:tc>
        <w:tc>
          <w:tcPr>
            <w:tcW w:w="7380" w:type="dxa"/>
          </w:tcPr>
          <w:p w14:paraId="157B9EAC" w14:textId="77777777" w:rsidR="005B6E82" w:rsidRPr="002550F7" w:rsidRDefault="005B6E82" w:rsidP="00FB1205">
            <w:pPr>
              <w:spacing w:after="0" w:line="240" w:lineRule="auto"/>
              <w:jc w:val="both"/>
              <w:rPr>
                <w:rFonts w:cstheme="majorHAnsi"/>
                <w:bCs/>
                <w:szCs w:val="24"/>
                <w:lang w:val="ro-RO"/>
              </w:rPr>
            </w:pPr>
            <w:r>
              <w:rPr>
                <w:rFonts w:cstheme="majorHAnsi"/>
                <w:bCs/>
                <w:szCs w:val="24"/>
                <w:lang w:val="ro-RO"/>
              </w:rPr>
              <w:t>Banca de Dezvoltare a Consiliului Europei</w:t>
            </w:r>
          </w:p>
        </w:tc>
      </w:tr>
      <w:tr w:rsidR="00694821" w:rsidRPr="00694821" w14:paraId="310DD6B9" w14:textId="77777777" w:rsidTr="00B71350">
        <w:tc>
          <w:tcPr>
            <w:tcW w:w="1620" w:type="dxa"/>
          </w:tcPr>
          <w:p w14:paraId="30B17F3B" w14:textId="77777777" w:rsidR="00694821" w:rsidRPr="002550F7" w:rsidRDefault="00694821" w:rsidP="00FB1205">
            <w:pPr>
              <w:spacing w:after="0" w:line="240" w:lineRule="auto"/>
              <w:jc w:val="both"/>
              <w:rPr>
                <w:rFonts w:cstheme="majorHAnsi"/>
                <w:bCs/>
                <w:szCs w:val="24"/>
                <w:lang w:val="ro-RO"/>
              </w:rPr>
            </w:pPr>
            <w:r>
              <w:rPr>
                <w:rFonts w:cstheme="majorHAnsi"/>
                <w:bCs/>
                <w:szCs w:val="24"/>
                <w:lang w:val="ro-RO"/>
              </w:rPr>
              <w:t>BERD</w:t>
            </w:r>
          </w:p>
        </w:tc>
        <w:tc>
          <w:tcPr>
            <w:tcW w:w="7380" w:type="dxa"/>
          </w:tcPr>
          <w:p w14:paraId="246AD22D" w14:textId="77777777" w:rsidR="00694821" w:rsidRPr="002550F7" w:rsidRDefault="00A340B0" w:rsidP="00FB1205">
            <w:pPr>
              <w:spacing w:after="0" w:line="240" w:lineRule="auto"/>
              <w:jc w:val="both"/>
              <w:rPr>
                <w:rFonts w:cstheme="majorHAnsi"/>
                <w:bCs/>
                <w:szCs w:val="24"/>
                <w:lang w:val="ro-RO"/>
              </w:rPr>
            </w:pPr>
            <w:r>
              <w:rPr>
                <w:rFonts w:cstheme="majorHAnsi"/>
                <w:bCs/>
                <w:szCs w:val="24"/>
                <w:lang w:val="ro-RO"/>
              </w:rPr>
              <w:t>Banca Europeană pentru</w:t>
            </w:r>
            <w:r w:rsidR="00694821">
              <w:rPr>
                <w:rFonts w:cstheme="majorHAnsi"/>
                <w:bCs/>
                <w:szCs w:val="24"/>
                <w:lang w:val="ro-RO"/>
              </w:rPr>
              <w:t xml:space="preserve"> Reconstrucție și Dezvoltare</w:t>
            </w:r>
          </w:p>
        </w:tc>
      </w:tr>
      <w:tr w:rsidR="00CD6B12" w:rsidRPr="00694821" w14:paraId="591C3783" w14:textId="77777777" w:rsidTr="00B71350">
        <w:tc>
          <w:tcPr>
            <w:tcW w:w="1620" w:type="dxa"/>
          </w:tcPr>
          <w:p w14:paraId="7AF350E5" w14:textId="77777777" w:rsidR="00CD6B12" w:rsidRDefault="00CD6B12" w:rsidP="00FB1205">
            <w:pPr>
              <w:spacing w:after="0" w:line="240" w:lineRule="auto"/>
              <w:jc w:val="both"/>
              <w:rPr>
                <w:rFonts w:cstheme="majorHAnsi"/>
                <w:bCs/>
                <w:szCs w:val="24"/>
                <w:lang w:val="ro-RO"/>
              </w:rPr>
            </w:pPr>
            <w:r>
              <w:rPr>
                <w:rFonts w:cstheme="majorHAnsi"/>
                <w:bCs/>
                <w:szCs w:val="24"/>
                <w:lang w:val="ro-RO"/>
              </w:rPr>
              <w:t>BEI</w:t>
            </w:r>
          </w:p>
        </w:tc>
        <w:tc>
          <w:tcPr>
            <w:tcW w:w="7380" w:type="dxa"/>
          </w:tcPr>
          <w:p w14:paraId="63734B4A" w14:textId="77777777" w:rsidR="00CD6B12" w:rsidRDefault="00CD6B12" w:rsidP="00FB1205">
            <w:pPr>
              <w:spacing w:after="0" w:line="240" w:lineRule="auto"/>
              <w:jc w:val="both"/>
              <w:rPr>
                <w:rFonts w:cstheme="majorHAnsi"/>
                <w:bCs/>
                <w:szCs w:val="24"/>
                <w:lang w:val="ro-RO"/>
              </w:rPr>
            </w:pPr>
            <w:r>
              <w:rPr>
                <w:rFonts w:cstheme="majorHAnsi"/>
                <w:bCs/>
                <w:szCs w:val="24"/>
                <w:lang w:val="ro-RO"/>
              </w:rPr>
              <w:t>Banca Europeană de Investiții</w:t>
            </w:r>
          </w:p>
        </w:tc>
      </w:tr>
      <w:tr w:rsidR="00694821" w:rsidRPr="00694821" w14:paraId="717E474C" w14:textId="77777777" w:rsidTr="00B71350">
        <w:tc>
          <w:tcPr>
            <w:tcW w:w="1620" w:type="dxa"/>
          </w:tcPr>
          <w:p w14:paraId="2A8A906E" w14:textId="77777777" w:rsidR="00694821" w:rsidRDefault="00694821" w:rsidP="00FB1205">
            <w:pPr>
              <w:spacing w:after="0" w:line="240" w:lineRule="auto"/>
              <w:jc w:val="both"/>
              <w:rPr>
                <w:rFonts w:cstheme="majorHAnsi"/>
                <w:bCs/>
                <w:szCs w:val="24"/>
                <w:lang w:val="ro-RO"/>
              </w:rPr>
            </w:pPr>
            <w:r>
              <w:rPr>
                <w:rFonts w:cstheme="majorHAnsi"/>
                <w:bCs/>
                <w:szCs w:val="24"/>
                <w:lang w:val="ro-RO"/>
              </w:rPr>
              <w:t>BIRD</w:t>
            </w:r>
          </w:p>
        </w:tc>
        <w:tc>
          <w:tcPr>
            <w:tcW w:w="7380" w:type="dxa"/>
          </w:tcPr>
          <w:p w14:paraId="20D39EC2" w14:textId="77777777" w:rsidR="00694821" w:rsidRDefault="00A340B0" w:rsidP="00FB1205">
            <w:pPr>
              <w:spacing w:after="0" w:line="240" w:lineRule="auto"/>
              <w:jc w:val="both"/>
              <w:rPr>
                <w:rFonts w:cstheme="majorHAnsi"/>
                <w:bCs/>
                <w:szCs w:val="24"/>
                <w:lang w:val="ro-RO"/>
              </w:rPr>
            </w:pPr>
            <w:r>
              <w:rPr>
                <w:rFonts w:cstheme="majorHAnsi"/>
                <w:bCs/>
                <w:szCs w:val="24"/>
                <w:lang w:val="ro-RO"/>
              </w:rPr>
              <w:t>Banca Internațională pentru Reconstrucție și Dezvoltare</w:t>
            </w:r>
          </w:p>
        </w:tc>
      </w:tr>
      <w:tr w:rsidR="00694821" w:rsidRPr="002550F7" w14:paraId="7DE7F13E" w14:textId="77777777" w:rsidTr="00B71350">
        <w:tc>
          <w:tcPr>
            <w:tcW w:w="1620" w:type="dxa"/>
          </w:tcPr>
          <w:p w14:paraId="1482321D" w14:textId="77777777" w:rsidR="00694821" w:rsidRPr="002550F7" w:rsidRDefault="00694821" w:rsidP="00FB1205">
            <w:pPr>
              <w:spacing w:after="0" w:line="240" w:lineRule="auto"/>
              <w:jc w:val="both"/>
              <w:rPr>
                <w:rFonts w:cstheme="majorHAnsi"/>
                <w:bCs/>
                <w:szCs w:val="24"/>
                <w:lang w:val="ro-RO"/>
              </w:rPr>
            </w:pPr>
            <w:r>
              <w:rPr>
                <w:rFonts w:cstheme="majorHAnsi"/>
                <w:bCs/>
                <w:szCs w:val="24"/>
                <w:lang w:val="ro-RO"/>
              </w:rPr>
              <w:t>BM</w:t>
            </w:r>
          </w:p>
        </w:tc>
        <w:tc>
          <w:tcPr>
            <w:tcW w:w="7380" w:type="dxa"/>
          </w:tcPr>
          <w:p w14:paraId="61C92D9E" w14:textId="77777777" w:rsidR="00694821" w:rsidRPr="00694821" w:rsidRDefault="00694821" w:rsidP="00FB1205">
            <w:pPr>
              <w:spacing w:after="0" w:line="240" w:lineRule="auto"/>
              <w:jc w:val="both"/>
              <w:rPr>
                <w:rFonts w:cstheme="majorHAnsi"/>
                <w:bCs/>
                <w:szCs w:val="24"/>
                <w:lang w:val="ro-MD"/>
              </w:rPr>
            </w:pPr>
            <w:r>
              <w:rPr>
                <w:rFonts w:cstheme="majorHAnsi"/>
                <w:bCs/>
                <w:szCs w:val="24"/>
                <w:lang w:val="ro-RO"/>
              </w:rPr>
              <w:t>Banca Mondial</w:t>
            </w:r>
            <w:r>
              <w:rPr>
                <w:rFonts w:cstheme="majorHAnsi"/>
                <w:bCs/>
                <w:szCs w:val="24"/>
                <w:lang w:val="ro-MD"/>
              </w:rPr>
              <w:t>ă</w:t>
            </w:r>
          </w:p>
        </w:tc>
      </w:tr>
      <w:tr w:rsidR="003160B2" w:rsidRPr="002550F7" w14:paraId="0DD942B2" w14:textId="77777777" w:rsidTr="00B71350">
        <w:tc>
          <w:tcPr>
            <w:tcW w:w="1620" w:type="dxa"/>
          </w:tcPr>
          <w:p w14:paraId="461ED87A" w14:textId="77777777" w:rsidR="003160B2" w:rsidRPr="002550F7" w:rsidRDefault="003160B2" w:rsidP="00FB1205">
            <w:pPr>
              <w:spacing w:after="0" w:line="240" w:lineRule="auto"/>
              <w:jc w:val="both"/>
              <w:rPr>
                <w:rFonts w:cstheme="majorHAnsi"/>
                <w:bCs/>
                <w:szCs w:val="24"/>
                <w:lang w:val="ro-RO"/>
              </w:rPr>
            </w:pPr>
            <w:r w:rsidRPr="002550F7">
              <w:rPr>
                <w:rFonts w:cstheme="majorHAnsi"/>
                <w:bCs/>
                <w:szCs w:val="24"/>
                <w:lang w:val="ro-RO"/>
              </w:rPr>
              <w:lastRenderedPageBreak/>
              <w:t>BNM</w:t>
            </w:r>
          </w:p>
        </w:tc>
        <w:tc>
          <w:tcPr>
            <w:tcW w:w="7380" w:type="dxa"/>
          </w:tcPr>
          <w:p w14:paraId="28638B07" w14:textId="77777777" w:rsidR="003160B2" w:rsidRPr="002550F7" w:rsidRDefault="003160B2" w:rsidP="00FB1205">
            <w:pPr>
              <w:spacing w:after="0" w:line="240" w:lineRule="auto"/>
              <w:jc w:val="both"/>
              <w:rPr>
                <w:rFonts w:cstheme="majorHAnsi"/>
                <w:bCs/>
                <w:szCs w:val="24"/>
                <w:lang w:val="ro-RO"/>
              </w:rPr>
            </w:pPr>
            <w:r w:rsidRPr="002550F7">
              <w:rPr>
                <w:rFonts w:cstheme="majorHAnsi"/>
                <w:bCs/>
                <w:szCs w:val="24"/>
                <w:lang w:val="ro-RO"/>
              </w:rPr>
              <w:t>Banca Națională a Moldovei</w:t>
            </w:r>
          </w:p>
        </w:tc>
      </w:tr>
      <w:tr w:rsidR="00FF7D18" w:rsidRPr="002550F7" w14:paraId="2361B8A3" w14:textId="77777777" w:rsidTr="00B71350">
        <w:tc>
          <w:tcPr>
            <w:tcW w:w="1620" w:type="dxa"/>
          </w:tcPr>
          <w:p w14:paraId="62E04E26" w14:textId="77777777" w:rsidR="00FF7D18" w:rsidRPr="002550F7" w:rsidRDefault="00FF7D18" w:rsidP="00FB1205">
            <w:pPr>
              <w:spacing w:after="0" w:line="240" w:lineRule="auto"/>
              <w:jc w:val="both"/>
              <w:rPr>
                <w:rFonts w:cstheme="majorHAnsi"/>
                <w:bCs/>
                <w:szCs w:val="24"/>
                <w:lang w:val="ro-RO"/>
              </w:rPr>
            </w:pPr>
            <w:r>
              <w:rPr>
                <w:rFonts w:cstheme="majorHAnsi"/>
                <w:bCs/>
                <w:szCs w:val="24"/>
                <w:lang w:val="ro-RO"/>
              </w:rPr>
              <w:t>BNS</w:t>
            </w:r>
          </w:p>
        </w:tc>
        <w:tc>
          <w:tcPr>
            <w:tcW w:w="7380" w:type="dxa"/>
          </w:tcPr>
          <w:p w14:paraId="5222FD71" w14:textId="77777777" w:rsidR="00FF7D18" w:rsidRPr="002550F7" w:rsidRDefault="00FF7D18" w:rsidP="00FB1205">
            <w:pPr>
              <w:spacing w:after="0" w:line="240" w:lineRule="auto"/>
              <w:jc w:val="both"/>
              <w:rPr>
                <w:rFonts w:cstheme="majorHAnsi"/>
                <w:bCs/>
                <w:szCs w:val="24"/>
                <w:lang w:val="ro-RO"/>
              </w:rPr>
            </w:pPr>
            <w:r>
              <w:rPr>
                <w:rFonts w:cstheme="majorHAnsi"/>
                <w:bCs/>
                <w:szCs w:val="24"/>
                <w:lang w:val="ro-RO"/>
              </w:rPr>
              <w:t>Biroul Național de Statistică</w:t>
            </w:r>
          </w:p>
        </w:tc>
      </w:tr>
      <w:tr w:rsidR="00A340B0" w:rsidRPr="002550F7" w14:paraId="51D00760" w14:textId="77777777" w:rsidTr="00B71350">
        <w:tc>
          <w:tcPr>
            <w:tcW w:w="1620" w:type="dxa"/>
          </w:tcPr>
          <w:p w14:paraId="76F4FDDC" w14:textId="77777777" w:rsidR="00A340B0" w:rsidRPr="002550F7" w:rsidRDefault="00A340B0" w:rsidP="00FB1205">
            <w:pPr>
              <w:spacing w:after="0" w:line="240" w:lineRule="auto"/>
              <w:jc w:val="both"/>
              <w:rPr>
                <w:rFonts w:cstheme="majorHAnsi"/>
                <w:bCs/>
                <w:szCs w:val="24"/>
                <w:lang w:val="ro-RO"/>
              </w:rPr>
            </w:pPr>
            <w:r>
              <w:rPr>
                <w:rFonts w:cstheme="majorHAnsi"/>
                <w:bCs/>
                <w:szCs w:val="24"/>
                <w:lang w:val="ro-RO"/>
              </w:rPr>
              <w:t>BT</w:t>
            </w:r>
          </w:p>
        </w:tc>
        <w:tc>
          <w:tcPr>
            <w:tcW w:w="7380" w:type="dxa"/>
          </w:tcPr>
          <w:p w14:paraId="2FBBC70D" w14:textId="77777777" w:rsidR="00A340B0" w:rsidRPr="002550F7" w:rsidRDefault="00A340B0" w:rsidP="00FB1205">
            <w:pPr>
              <w:spacing w:after="0" w:line="240" w:lineRule="auto"/>
              <w:jc w:val="both"/>
              <w:rPr>
                <w:rFonts w:cstheme="majorHAnsi"/>
                <w:bCs/>
                <w:szCs w:val="24"/>
                <w:lang w:val="ro-RO"/>
              </w:rPr>
            </w:pPr>
            <w:r>
              <w:rPr>
                <w:rFonts w:cstheme="majorHAnsi"/>
                <w:bCs/>
                <w:szCs w:val="24"/>
                <w:lang w:val="ro-RO"/>
              </w:rPr>
              <w:t>Bonuri de trezorerie</w:t>
            </w:r>
          </w:p>
        </w:tc>
      </w:tr>
      <w:tr w:rsidR="00CD6B12" w:rsidRPr="002550F7" w14:paraId="64F2859D" w14:textId="77777777" w:rsidTr="00B71350">
        <w:tc>
          <w:tcPr>
            <w:tcW w:w="1620" w:type="dxa"/>
          </w:tcPr>
          <w:p w14:paraId="34B7DCEB" w14:textId="77777777" w:rsidR="00CD6B12" w:rsidRDefault="00CD6B12" w:rsidP="00FB1205">
            <w:pPr>
              <w:spacing w:after="0" w:line="240" w:lineRule="auto"/>
              <w:jc w:val="both"/>
              <w:rPr>
                <w:rFonts w:cstheme="majorHAnsi"/>
                <w:bCs/>
                <w:szCs w:val="24"/>
                <w:lang w:val="ro-RO"/>
              </w:rPr>
            </w:pPr>
            <w:r>
              <w:rPr>
                <w:rFonts w:cstheme="majorHAnsi"/>
                <w:bCs/>
                <w:szCs w:val="24"/>
                <w:lang w:val="ro-RO"/>
              </w:rPr>
              <w:t>CE</w:t>
            </w:r>
          </w:p>
        </w:tc>
        <w:tc>
          <w:tcPr>
            <w:tcW w:w="7380" w:type="dxa"/>
          </w:tcPr>
          <w:p w14:paraId="0CA3048E" w14:textId="77777777" w:rsidR="00CD6B12" w:rsidRDefault="00CD6B12" w:rsidP="00FB1205">
            <w:pPr>
              <w:spacing w:after="0" w:line="240" w:lineRule="auto"/>
              <w:jc w:val="both"/>
              <w:rPr>
                <w:rFonts w:cstheme="majorHAnsi"/>
                <w:bCs/>
                <w:szCs w:val="24"/>
                <w:lang w:val="ro-RO"/>
              </w:rPr>
            </w:pPr>
            <w:r>
              <w:rPr>
                <w:rFonts w:cstheme="majorHAnsi"/>
                <w:bCs/>
                <w:szCs w:val="24"/>
                <w:lang w:val="ro-RO"/>
              </w:rPr>
              <w:t>Comunitatea Europeană</w:t>
            </w:r>
          </w:p>
        </w:tc>
      </w:tr>
      <w:tr w:rsidR="003160B2" w:rsidRPr="002550F7" w14:paraId="609833F2" w14:textId="77777777" w:rsidTr="00B71350">
        <w:tc>
          <w:tcPr>
            <w:tcW w:w="1620" w:type="dxa"/>
          </w:tcPr>
          <w:p w14:paraId="46FCC38F" w14:textId="2422E857" w:rsidR="003160B2" w:rsidRPr="002550F7" w:rsidRDefault="005D5C97" w:rsidP="00FB1205">
            <w:pPr>
              <w:spacing w:after="0" w:line="240" w:lineRule="auto"/>
              <w:jc w:val="both"/>
              <w:rPr>
                <w:rFonts w:cstheme="majorHAnsi"/>
                <w:bCs/>
                <w:szCs w:val="24"/>
                <w:lang w:val="ro-RO"/>
              </w:rPr>
            </w:pPr>
            <w:r>
              <w:rPr>
                <w:rFonts w:cstheme="majorHAnsi"/>
                <w:bCs/>
                <w:szCs w:val="24"/>
                <w:lang w:val="ro-RO"/>
              </w:rPr>
              <w:t>OGP AE</w:t>
            </w:r>
          </w:p>
        </w:tc>
        <w:tc>
          <w:tcPr>
            <w:tcW w:w="7380" w:type="dxa"/>
          </w:tcPr>
          <w:p w14:paraId="69E71186" w14:textId="544E526D" w:rsidR="003160B2" w:rsidRPr="002550F7" w:rsidRDefault="005D5C97" w:rsidP="00FB1205">
            <w:pPr>
              <w:spacing w:after="0" w:line="240" w:lineRule="auto"/>
              <w:jc w:val="both"/>
              <w:rPr>
                <w:rFonts w:cstheme="majorHAnsi"/>
                <w:bCs/>
                <w:szCs w:val="24"/>
                <w:lang w:val="ro-RO"/>
              </w:rPr>
            </w:pPr>
            <w:r>
              <w:rPr>
                <w:rFonts w:cstheme="majorHAnsi"/>
                <w:bCs/>
                <w:szCs w:val="24"/>
                <w:lang w:val="ro-RO"/>
              </w:rPr>
              <w:t>Oficiul de Gestionare a Programelor de Asistență Externă</w:t>
            </w:r>
          </w:p>
        </w:tc>
      </w:tr>
      <w:tr w:rsidR="00B32646" w:rsidRPr="002550F7" w14:paraId="2C72CF4D" w14:textId="77777777" w:rsidTr="00B71350">
        <w:tc>
          <w:tcPr>
            <w:tcW w:w="1620" w:type="dxa"/>
          </w:tcPr>
          <w:p w14:paraId="4A0DA4D4" w14:textId="77777777" w:rsidR="00B32646" w:rsidRPr="002550F7" w:rsidRDefault="00B32646" w:rsidP="00FB1205">
            <w:pPr>
              <w:spacing w:after="0" w:line="240" w:lineRule="auto"/>
              <w:jc w:val="both"/>
              <w:rPr>
                <w:rFonts w:cstheme="majorHAnsi"/>
                <w:bCs/>
                <w:szCs w:val="24"/>
                <w:lang w:val="ro-RO"/>
              </w:rPr>
            </w:pPr>
            <w:r>
              <w:rPr>
                <w:rFonts w:cstheme="majorHAnsi"/>
                <w:bCs/>
                <w:szCs w:val="24"/>
                <w:lang w:val="ro-RO"/>
              </w:rPr>
              <w:t>DMFAS</w:t>
            </w:r>
          </w:p>
        </w:tc>
        <w:tc>
          <w:tcPr>
            <w:tcW w:w="7380" w:type="dxa"/>
          </w:tcPr>
          <w:p w14:paraId="087931A9" w14:textId="77777777" w:rsidR="00B32646" w:rsidRPr="002550F7" w:rsidRDefault="00B32646" w:rsidP="00FB1205">
            <w:pPr>
              <w:spacing w:after="0" w:line="240" w:lineRule="auto"/>
              <w:jc w:val="both"/>
              <w:rPr>
                <w:rFonts w:cstheme="majorHAnsi"/>
                <w:bCs/>
                <w:szCs w:val="24"/>
                <w:lang w:val="ro-RO"/>
              </w:rPr>
            </w:pPr>
            <w:r>
              <w:rPr>
                <w:rFonts w:cstheme="majorHAnsi"/>
                <w:bCs/>
                <w:szCs w:val="24"/>
                <w:lang w:val="ro-RO"/>
              </w:rPr>
              <w:t>Sistem de Management al Datoriei și Analiză Financiară</w:t>
            </w:r>
          </w:p>
        </w:tc>
      </w:tr>
      <w:tr w:rsidR="00CD6B12" w:rsidRPr="002550F7" w14:paraId="358F7A96" w14:textId="77777777" w:rsidTr="00B71350">
        <w:tc>
          <w:tcPr>
            <w:tcW w:w="1620" w:type="dxa"/>
          </w:tcPr>
          <w:p w14:paraId="4B878B92" w14:textId="77777777" w:rsidR="00CD6B12" w:rsidRPr="002550F7" w:rsidRDefault="00CD6B12" w:rsidP="00FB1205">
            <w:pPr>
              <w:spacing w:after="0" w:line="240" w:lineRule="auto"/>
              <w:jc w:val="both"/>
              <w:rPr>
                <w:rFonts w:cstheme="majorHAnsi"/>
                <w:bCs/>
                <w:szCs w:val="24"/>
                <w:lang w:val="ro-RO"/>
              </w:rPr>
            </w:pPr>
            <w:r>
              <w:rPr>
                <w:rFonts w:cstheme="majorHAnsi"/>
                <w:bCs/>
                <w:szCs w:val="24"/>
                <w:lang w:val="ro-RO"/>
              </w:rPr>
              <w:t>DST</w:t>
            </w:r>
          </w:p>
        </w:tc>
        <w:tc>
          <w:tcPr>
            <w:tcW w:w="7380" w:type="dxa"/>
          </w:tcPr>
          <w:p w14:paraId="2A024EA3" w14:textId="77777777" w:rsidR="00CD6B12" w:rsidRPr="002550F7" w:rsidRDefault="00CD6B12" w:rsidP="00FB1205">
            <w:pPr>
              <w:spacing w:after="0" w:line="240" w:lineRule="auto"/>
              <w:jc w:val="both"/>
              <w:rPr>
                <w:rFonts w:cstheme="majorHAnsi"/>
                <w:bCs/>
                <w:szCs w:val="24"/>
                <w:lang w:val="ro-RO"/>
              </w:rPr>
            </w:pPr>
            <w:r>
              <w:rPr>
                <w:rFonts w:cstheme="majorHAnsi"/>
                <w:bCs/>
                <w:szCs w:val="24"/>
                <w:lang w:val="ro-RO"/>
              </w:rPr>
              <w:t>Drepturi speciale de tragere</w:t>
            </w:r>
          </w:p>
        </w:tc>
      </w:tr>
      <w:tr w:rsidR="00B32646" w:rsidRPr="002550F7" w14:paraId="42181F9A" w14:textId="77777777" w:rsidTr="00B71350">
        <w:tc>
          <w:tcPr>
            <w:tcW w:w="1620" w:type="dxa"/>
          </w:tcPr>
          <w:p w14:paraId="5C5EAF3F" w14:textId="77777777" w:rsidR="00B32646" w:rsidRDefault="00B32646" w:rsidP="00FB1205">
            <w:pPr>
              <w:spacing w:after="0" w:line="240" w:lineRule="auto"/>
              <w:jc w:val="both"/>
              <w:rPr>
                <w:rFonts w:cstheme="majorHAnsi"/>
                <w:bCs/>
                <w:szCs w:val="24"/>
                <w:lang w:val="ro-RO"/>
              </w:rPr>
            </w:pPr>
            <w:r>
              <w:rPr>
                <w:rFonts w:cstheme="majorHAnsi"/>
                <w:bCs/>
                <w:szCs w:val="24"/>
                <w:lang w:val="ro-RO"/>
              </w:rPr>
              <w:t>FIDA</w:t>
            </w:r>
            <w:r w:rsidR="003D5BDE">
              <w:rPr>
                <w:rFonts w:cstheme="majorHAnsi"/>
                <w:bCs/>
                <w:szCs w:val="24"/>
                <w:lang w:val="ro-RO"/>
              </w:rPr>
              <w:t xml:space="preserve"> (IFAD)</w:t>
            </w:r>
          </w:p>
        </w:tc>
        <w:tc>
          <w:tcPr>
            <w:tcW w:w="7380" w:type="dxa"/>
          </w:tcPr>
          <w:p w14:paraId="3775ED29" w14:textId="77777777" w:rsidR="00B32646" w:rsidRDefault="00B32646" w:rsidP="00FB1205">
            <w:pPr>
              <w:spacing w:after="0" w:line="240" w:lineRule="auto"/>
              <w:jc w:val="both"/>
              <w:rPr>
                <w:rFonts w:cstheme="majorHAnsi"/>
                <w:bCs/>
                <w:szCs w:val="24"/>
                <w:lang w:val="ro-RO"/>
              </w:rPr>
            </w:pPr>
            <w:r>
              <w:rPr>
                <w:rFonts w:cstheme="majorHAnsi"/>
                <w:bCs/>
                <w:szCs w:val="24"/>
                <w:lang w:val="ro-RO"/>
              </w:rPr>
              <w:t>Fondul Internațional pentru Dezvoltare Agricolă</w:t>
            </w:r>
          </w:p>
        </w:tc>
      </w:tr>
      <w:tr w:rsidR="00CD6B12" w:rsidRPr="002550F7" w14:paraId="2D717790" w14:textId="77777777" w:rsidTr="00B71350">
        <w:tc>
          <w:tcPr>
            <w:tcW w:w="1620" w:type="dxa"/>
          </w:tcPr>
          <w:p w14:paraId="32812B64" w14:textId="77777777" w:rsidR="00CD6B12" w:rsidRDefault="00CD6B12" w:rsidP="00FB1205">
            <w:pPr>
              <w:spacing w:after="0" w:line="240" w:lineRule="auto"/>
              <w:jc w:val="both"/>
              <w:rPr>
                <w:rFonts w:cstheme="majorHAnsi"/>
                <w:bCs/>
                <w:szCs w:val="24"/>
                <w:lang w:val="ro-RO"/>
              </w:rPr>
            </w:pPr>
            <w:r>
              <w:rPr>
                <w:rFonts w:cstheme="majorHAnsi"/>
                <w:bCs/>
                <w:szCs w:val="24"/>
                <w:lang w:val="ro-RO"/>
              </w:rPr>
              <w:t>FMI</w:t>
            </w:r>
          </w:p>
        </w:tc>
        <w:tc>
          <w:tcPr>
            <w:tcW w:w="7380" w:type="dxa"/>
          </w:tcPr>
          <w:p w14:paraId="206A6A01" w14:textId="77777777" w:rsidR="00CD6B12" w:rsidRDefault="00CD6B12" w:rsidP="00FB1205">
            <w:pPr>
              <w:spacing w:after="0" w:line="240" w:lineRule="auto"/>
              <w:jc w:val="both"/>
              <w:rPr>
                <w:rFonts w:cstheme="majorHAnsi"/>
                <w:bCs/>
                <w:szCs w:val="24"/>
                <w:lang w:val="ro-RO"/>
              </w:rPr>
            </w:pPr>
            <w:r>
              <w:rPr>
                <w:rFonts w:cstheme="majorHAnsi"/>
                <w:bCs/>
                <w:szCs w:val="24"/>
                <w:lang w:val="ro-RO"/>
              </w:rPr>
              <w:t>Fondul Monetar Internațional</w:t>
            </w:r>
          </w:p>
        </w:tc>
      </w:tr>
      <w:tr w:rsidR="003160B2" w:rsidRPr="002550F7" w14:paraId="53A4E9E6" w14:textId="77777777" w:rsidTr="00B71350">
        <w:tc>
          <w:tcPr>
            <w:tcW w:w="1620" w:type="dxa"/>
          </w:tcPr>
          <w:p w14:paraId="7504A8EC" w14:textId="77777777" w:rsidR="003160B2" w:rsidRPr="002550F7" w:rsidRDefault="003160B2" w:rsidP="00FB1205">
            <w:pPr>
              <w:spacing w:after="0" w:line="240" w:lineRule="auto"/>
              <w:jc w:val="both"/>
              <w:rPr>
                <w:rFonts w:cstheme="majorHAnsi"/>
                <w:szCs w:val="24"/>
                <w:lang w:val="ro-RO"/>
              </w:rPr>
            </w:pPr>
            <w:r w:rsidRPr="002550F7">
              <w:rPr>
                <w:rFonts w:cstheme="majorHAnsi"/>
                <w:szCs w:val="24"/>
                <w:lang w:val="ro-RO"/>
              </w:rPr>
              <w:t>IFP</w:t>
            </w:r>
          </w:p>
        </w:tc>
        <w:tc>
          <w:tcPr>
            <w:tcW w:w="7380" w:type="dxa"/>
          </w:tcPr>
          <w:p w14:paraId="4ED16F3A" w14:textId="77777777" w:rsidR="003160B2" w:rsidRPr="002550F7" w:rsidRDefault="003160B2" w:rsidP="00FB1205">
            <w:pPr>
              <w:spacing w:after="0" w:line="240" w:lineRule="auto"/>
              <w:jc w:val="both"/>
              <w:rPr>
                <w:rFonts w:cstheme="majorHAnsi"/>
                <w:szCs w:val="24"/>
                <w:lang w:val="ro-RO"/>
              </w:rPr>
            </w:pPr>
            <w:r w:rsidRPr="002550F7">
              <w:rPr>
                <w:rFonts w:cstheme="majorHAnsi"/>
                <w:szCs w:val="24"/>
                <w:lang w:val="ro-RO"/>
              </w:rPr>
              <w:t>Instituție financiară participantă</w:t>
            </w:r>
          </w:p>
        </w:tc>
      </w:tr>
      <w:tr w:rsidR="00B32646" w:rsidRPr="002550F7" w14:paraId="2880B9AC" w14:textId="77777777" w:rsidTr="00B71350">
        <w:tc>
          <w:tcPr>
            <w:tcW w:w="1620" w:type="dxa"/>
          </w:tcPr>
          <w:p w14:paraId="78ADF09F" w14:textId="77777777" w:rsidR="00B32646" w:rsidRPr="002550F7" w:rsidRDefault="00B32646" w:rsidP="00FB1205">
            <w:pPr>
              <w:spacing w:after="0" w:line="240" w:lineRule="auto"/>
              <w:jc w:val="both"/>
              <w:rPr>
                <w:rFonts w:cstheme="majorHAnsi"/>
                <w:szCs w:val="24"/>
                <w:lang w:val="ro-RO"/>
              </w:rPr>
            </w:pPr>
            <w:r>
              <w:rPr>
                <w:rFonts w:cstheme="majorHAnsi"/>
                <w:szCs w:val="24"/>
                <w:lang w:val="ro-RO"/>
              </w:rPr>
              <w:t>ÎS</w:t>
            </w:r>
          </w:p>
        </w:tc>
        <w:tc>
          <w:tcPr>
            <w:tcW w:w="7380" w:type="dxa"/>
          </w:tcPr>
          <w:p w14:paraId="43F4FC52" w14:textId="77777777" w:rsidR="00B32646" w:rsidRPr="002550F7" w:rsidRDefault="00B32646" w:rsidP="00FB1205">
            <w:pPr>
              <w:spacing w:after="0" w:line="240" w:lineRule="auto"/>
              <w:jc w:val="both"/>
              <w:rPr>
                <w:rFonts w:cstheme="majorHAnsi"/>
                <w:szCs w:val="24"/>
                <w:lang w:val="ro-RO"/>
              </w:rPr>
            </w:pPr>
            <w:r>
              <w:rPr>
                <w:rFonts w:cstheme="majorHAnsi"/>
                <w:szCs w:val="24"/>
                <w:lang w:val="ro-RO"/>
              </w:rPr>
              <w:t>Întreprindere de stat</w:t>
            </w:r>
          </w:p>
        </w:tc>
      </w:tr>
      <w:tr w:rsidR="00B32646" w:rsidRPr="002550F7" w14:paraId="318B6CFE" w14:textId="77777777" w:rsidTr="00B71350">
        <w:tc>
          <w:tcPr>
            <w:tcW w:w="1620" w:type="dxa"/>
          </w:tcPr>
          <w:p w14:paraId="6D5FB3D4" w14:textId="77777777" w:rsidR="00B32646" w:rsidRDefault="00B32646" w:rsidP="00FB1205">
            <w:pPr>
              <w:spacing w:after="0" w:line="240" w:lineRule="auto"/>
              <w:jc w:val="both"/>
              <w:rPr>
                <w:rFonts w:cstheme="majorHAnsi"/>
                <w:szCs w:val="24"/>
                <w:lang w:val="ro-RO"/>
              </w:rPr>
            </w:pPr>
            <w:r>
              <w:rPr>
                <w:rFonts w:cstheme="majorHAnsi"/>
                <w:szCs w:val="24"/>
                <w:lang w:val="ro-RO"/>
              </w:rPr>
              <w:t>JICA</w:t>
            </w:r>
          </w:p>
        </w:tc>
        <w:tc>
          <w:tcPr>
            <w:tcW w:w="7380" w:type="dxa"/>
          </w:tcPr>
          <w:p w14:paraId="0B82BCA3" w14:textId="77777777" w:rsidR="00B32646" w:rsidRDefault="00B32646" w:rsidP="00FB1205">
            <w:pPr>
              <w:spacing w:after="0" w:line="240" w:lineRule="auto"/>
              <w:jc w:val="both"/>
              <w:rPr>
                <w:rFonts w:cstheme="majorHAnsi"/>
                <w:szCs w:val="24"/>
                <w:lang w:val="ro-RO"/>
              </w:rPr>
            </w:pPr>
            <w:r>
              <w:rPr>
                <w:rFonts w:cstheme="majorHAnsi"/>
                <w:szCs w:val="24"/>
                <w:lang w:val="ro-RO"/>
              </w:rPr>
              <w:t>Agenția Japoneză pentru Cooperare Internațională</w:t>
            </w:r>
          </w:p>
        </w:tc>
      </w:tr>
      <w:tr w:rsidR="003160B2" w:rsidRPr="002550F7" w14:paraId="29E4E3DF" w14:textId="77777777" w:rsidTr="00B71350">
        <w:tc>
          <w:tcPr>
            <w:tcW w:w="1620" w:type="dxa"/>
          </w:tcPr>
          <w:p w14:paraId="4CE11374" w14:textId="77777777" w:rsidR="003160B2" w:rsidRPr="002550F7" w:rsidRDefault="003160B2" w:rsidP="00FB1205">
            <w:pPr>
              <w:spacing w:after="0" w:line="240" w:lineRule="auto"/>
              <w:jc w:val="both"/>
              <w:rPr>
                <w:rFonts w:cstheme="majorHAnsi"/>
                <w:szCs w:val="24"/>
                <w:lang w:val="ro-RO"/>
              </w:rPr>
            </w:pPr>
            <w:r w:rsidRPr="002550F7">
              <w:rPr>
                <w:rFonts w:cstheme="majorHAnsi"/>
                <w:szCs w:val="24"/>
                <w:lang w:val="ro-RO"/>
              </w:rPr>
              <w:t>MF</w:t>
            </w:r>
          </w:p>
        </w:tc>
        <w:tc>
          <w:tcPr>
            <w:tcW w:w="7380" w:type="dxa"/>
          </w:tcPr>
          <w:p w14:paraId="71B43868" w14:textId="77777777" w:rsidR="003160B2" w:rsidRPr="002550F7" w:rsidRDefault="003160B2" w:rsidP="00FB1205">
            <w:pPr>
              <w:spacing w:after="0" w:line="240" w:lineRule="auto"/>
              <w:jc w:val="both"/>
              <w:rPr>
                <w:rFonts w:cstheme="majorHAnsi"/>
                <w:szCs w:val="24"/>
                <w:lang w:val="ro-RO"/>
              </w:rPr>
            </w:pPr>
            <w:r w:rsidRPr="002550F7">
              <w:rPr>
                <w:rFonts w:cstheme="majorHAnsi"/>
                <w:szCs w:val="24"/>
                <w:lang w:val="ro-RO"/>
              </w:rPr>
              <w:t>Ministerul Finanțelor</w:t>
            </w:r>
          </w:p>
        </w:tc>
      </w:tr>
      <w:tr w:rsidR="00B32646" w:rsidRPr="002550F7" w14:paraId="3B087626" w14:textId="77777777" w:rsidTr="00B71350">
        <w:tc>
          <w:tcPr>
            <w:tcW w:w="1620" w:type="dxa"/>
          </w:tcPr>
          <w:p w14:paraId="4D069FAD" w14:textId="77777777" w:rsidR="00B32646" w:rsidRPr="002550F7" w:rsidRDefault="00B32646" w:rsidP="00FB1205">
            <w:pPr>
              <w:spacing w:after="0" w:line="240" w:lineRule="auto"/>
              <w:jc w:val="both"/>
              <w:rPr>
                <w:rFonts w:cstheme="majorHAnsi"/>
                <w:szCs w:val="24"/>
                <w:lang w:val="ro-RO"/>
              </w:rPr>
            </w:pPr>
            <w:r>
              <w:rPr>
                <w:rFonts w:cstheme="majorHAnsi"/>
                <w:szCs w:val="24"/>
                <w:lang w:val="ro-RO"/>
              </w:rPr>
              <w:t>ODIMM</w:t>
            </w:r>
          </w:p>
        </w:tc>
        <w:tc>
          <w:tcPr>
            <w:tcW w:w="7380" w:type="dxa"/>
          </w:tcPr>
          <w:p w14:paraId="12289C7F" w14:textId="77777777" w:rsidR="00B32646" w:rsidRPr="002550F7" w:rsidRDefault="00B32646" w:rsidP="00FB1205">
            <w:pPr>
              <w:spacing w:after="0" w:line="240" w:lineRule="auto"/>
              <w:jc w:val="both"/>
              <w:rPr>
                <w:rFonts w:cstheme="majorHAnsi"/>
                <w:szCs w:val="24"/>
                <w:lang w:val="ro-RO"/>
              </w:rPr>
            </w:pPr>
            <w:r>
              <w:rPr>
                <w:rFonts w:cstheme="majorHAnsi"/>
                <w:szCs w:val="24"/>
                <w:lang w:val="ro-RO"/>
              </w:rPr>
              <w:t>Organizația pentru Dezvoltarea Sectorului Întreprinderilor Mici și Mijlocii</w:t>
            </w:r>
          </w:p>
        </w:tc>
      </w:tr>
      <w:tr w:rsidR="00A340B0" w:rsidRPr="002550F7" w14:paraId="5085B101" w14:textId="77777777" w:rsidTr="00B71350">
        <w:tc>
          <w:tcPr>
            <w:tcW w:w="1620" w:type="dxa"/>
          </w:tcPr>
          <w:p w14:paraId="4EA96A9E" w14:textId="77777777" w:rsidR="00A340B0" w:rsidRPr="002550F7" w:rsidRDefault="00A340B0" w:rsidP="00FB1205">
            <w:pPr>
              <w:spacing w:after="0" w:line="240" w:lineRule="auto"/>
              <w:jc w:val="both"/>
              <w:rPr>
                <w:rFonts w:cstheme="majorHAnsi"/>
                <w:szCs w:val="24"/>
                <w:lang w:val="ro-RO"/>
              </w:rPr>
            </w:pPr>
            <w:r>
              <w:rPr>
                <w:rFonts w:cstheme="majorHAnsi"/>
                <w:szCs w:val="24"/>
                <w:lang w:val="ro-RO"/>
              </w:rPr>
              <w:t>OS</w:t>
            </w:r>
          </w:p>
        </w:tc>
        <w:tc>
          <w:tcPr>
            <w:tcW w:w="7380" w:type="dxa"/>
          </w:tcPr>
          <w:p w14:paraId="546C0EEE" w14:textId="77777777" w:rsidR="00A340B0" w:rsidRPr="002550F7" w:rsidRDefault="00A340B0" w:rsidP="00FB1205">
            <w:pPr>
              <w:spacing w:after="0" w:line="240" w:lineRule="auto"/>
              <w:jc w:val="both"/>
              <w:rPr>
                <w:rFonts w:cstheme="majorHAnsi"/>
                <w:szCs w:val="24"/>
                <w:lang w:val="ro-RO"/>
              </w:rPr>
            </w:pPr>
            <w:r>
              <w:rPr>
                <w:rFonts w:cstheme="majorHAnsi"/>
                <w:szCs w:val="24"/>
                <w:lang w:val="ro-RO"/>
              </w:rPr>
              <w:t>Obligațiuni de stat</w:t>
            </w:r>
          </w:p>
        </w:tc>
      </w:tr>
      <w:tr w:rsidR="00A340B0" w:rsidRPr="002550F7" w14:paraId="7A1F548A" w14:textId="77777777" w:rsidTr="00B71350">
        <w:tc>
          <w:tcPr>
            <w:tcW w:w="1620" w:type="dxa"/>
          </w:tcPr>
          <w:p w14:paraId="33E44676" w14:textId="77777777" w:rsidR="00A340B0" w:rsidRPr="002550F7" w:rsidRDefault="00A340B0" w:rsidP="00FB1205">
            <w:pPr>
              <w:spacing w:after="0" w:line="240" w:lineRule="auto"/>
              <w:jc w:val="both"/>
              <w:rPr>
                <w:rFonts w:cstheme="majorHAnsi"/>
                <w:szCs w:val="24"/>
                <w:lang w:val="ro-RO"/>
              </w:rPr>
            </w:pPr>
            <w:r>
              <w:rPr>
                <w:rFonts w:cstheme="majorHAnsi"/>
                <w:szCs w:val="24"/>
                <w:lang w:val="ro-RO"/>
              </w:rPr>
              <w:t>PIB</w:t>
            </w:r>
          </w:p>
        </w:tc>
        <w:tc>
          <w:tcPr>
            <w:tcW w:w="7380" w:type="dxa"/>
          </w:tcPr>
          <w:p w14:paraId="576FE133" w14:textId="77777777" w:rsidR="00A340B0" w:rsidRPr="002550F7" w:rsidRDefault="00A340B0" w:rsidP="00FB1205">
            <w:pPr>
              <w:spacing w:after="0" w:line="240" w:lineRule="auto"/>
              <w:jc w:val="both"/>
              <w:rPr>
                <w:rFonts w:cstheme="majorHAnsi"/>
                <w:szCs w:val="24"/>
                <w:lang w:val="ro-RO"/>
              </w:rPr>
            </w:pPr>
            <w:r>
              <w:rPr>
                <w:rFonts w:cstheme="majorHAnsi"/>
                <w:szCs w:val="24"/>
                <w:lang w:val="ro-RO"/>
              </w:rPr>
              <w:t>Produs intern brut</w:t>
            </w:r>
          </w:p>
        </w:tc>
      </w:tr>
      <w:tr w:rsidR="003160B2" w:rsidRPr="002550F7" w14:paraId="49D3D84F" w14:textId="77777777" w:rsidTr="00B71350">
        <w:tc>
          <w:tcPr>
            <w:tcW w:w="1620" w:type="dxa"/>
          </w:tcPr>
          <w:p w14:paraId="1EFB2B5F" w14:textId="77777777" w:rsidR="003160B2" w:rsidRPr="002550F7" w:rsidRDefault="003160B2" w:rsidP="00FB1205">
            <w:pPr>
              <w:spacing w:after="0" w:line="240" w:lineRule="auto"/>
              <w:jc w:val="both"/>
              <w:rPr>
                <w:rFonts w:cstheme="majorHAnsi"/>
                <w:szCs w:val="24"/>
                <w:lang w:val="ro-RO"/>
              </w:rPr>
            </w:pPr>
            <w:r>
              <w:rPr>
                <w:rFonts w:cstheme="majorHAnsi"/>
                <w:szCs w:val="24"/>
                <w:lang w:val="ro-RO"/>
              </w:rPr>
              <w:t>RM</w:t>
            </w:r>
          </w:p>
        </w:tc>
        <w:tc>
          <w:tcPr>
            <w:tcW w:w="7380" w:type="dxa"/>
          </w:tcPr>
          <w:p w14:paraId="24BB8B18" w14:textId="77777777" w:rsidR="003160B2" w:rsidRPr="002550F7" w:rsidRDefault="003160B2" w:rsidP="00FB1205">
            <w:pPr>
              <w:spacing w:after="0" w:line="240" w:lineRule="auto"/>
              <w:jc w:val="both"/>
              <w:rPr>
                <w:rFonts w:cstheme="majorHAnsi"/>
                <w:szCs w:val="24"/>
                <w:lang w:val="ro-RO"/>
              </w:rPr>
            </w:pPr>
            <w:r>
              <w:rPr>
                <w:rFonts w:cstheme="majorHAnsi"/>
                <w:szCs w:val="24"/>
                <w:lang w:val="ro-RO"/>
              </w:rPr>
              <w:t>Republica Moldova</w:t>
            </w:r>
          </w:p>
        </w:tc>
      </w:tr>
      <w:tr w:rsidR="003160B2" w:rsidRPr="002550F7" w14:paraId="5170170F" w14:textId="77777777" w:rsidTr="00B71350">
        <w:tc>
          <w:tcPr>
            <w:tcW w:w="1620" w:type="dxa"/>
          </w:tcPr>
          <w:p w14:paraId="5F1E1834" w14:textId="77777777" w:rsidR="003160B2" w:rsidRPr="002550F7" w:rsidRDefault="003160B2" w:rsidP="00FB1205">
            <w:pPr>
              <w:spacing w:after="0" w:line="240" w:lineRule="auto"/>
              <w:jc w:val="both"/>
              <w:rPr>
                <w:rFonts w:cstheme="majorHAnsi"/>
                <w:szCs w:val="24"/>
                <w:lang w:val="ro-RO"/>
              </w:rPr>
            </w:pPr>
            <w:r w:rsidRPr="002550F7">
              <w:rPr>
                <w:rFonts w:cstheme="majorHAnsi"/>
                <w:szCs w:val="24"/>
                <w:lang w:val="ro-RO"/>
              </w:rPr>
              <w:t>SA</w:t>
            </w:r>
          </w:p>
        </w:tc>
        <w:tc>
          <w:tcPr>
            <w:tcW w:w="7380" w:type="dxa"/>
          </w:tcPr>
          <w:p w14:paraId="20936400" w14:textId="77777777" w:rsidR="003160B2" w:rsidRPr="002550F7" w:rsidRDefault="003160B2" w:rsidP="00FB1205">
            <w:pPr>
              <w:spacing w:after="0" w:line="240" w:lineRule="auto"/>
              <w:jc w:val="both"/>
              <w:rPr>
                <w:rFonts w:cstheme="majorHAnsi"/>
                <w:szCs w:val="24"/>
                <w:lang w:val="ro-RO"/>
              </w:rPr>
            </w:pPr>
            <w:r w:rsidRPr="002550F7">
              <w:rPr>
                <w:rFonts w:cstheme="majorHAnsi"/>
                <w:szCs w:val="24"/>
                <w:lang w:val="ro-RO"/>
              </w:rPr>
              <w:t>Societate pe acțiuni</w:t>
            </w:r>
          </w:p>
        </w:tc>
      </w:tr>
      <w:tr w:rsidR="00B32646" w:rsidRPr="002550F7" w14:paraId="02C3DB2A" w14:textId="77777777" w:rsidTr="00B71350">
        <w:tc>
          <w:tcPr>
            <w:tcW w:w="1620" w:type="dxa"/>
          </w:tcPr>
          <w:p w14:paraId="54318A17" w14:textId="77777777" w:rsidR="00B32646" w:rsidRPr="002550F7" w:rsidRDefault="00B32646" w:rsidP="00FB1205">
            <w:pPr>
              <w:spacing w:after="0" w:line="240" w:lineRule="auto"/>
              <w:jc w:val="both"/>
              <w:rPr>
                <w:rFonts w:cstheme="majorHAnsi"/>
                <w:szCs w:val="24"/>
                <w:lang w:val="ro-RO"/>
              </w:rPr>
            </w:pPr>
            <w:r>
              <w:rPr>
                <w:rFonts w:cstheme="majorHAnsi"/>
                <w:szCs w:val="24"/>
                <w:lang w:val="ro-RO"/>
              </w:rPr>
              <w:t>SI</w:t>
            </w:r>
          </w:p>
        </w:tc>
        <w:tc>
          <w:tcPr>
            <w:tcW w:w="7380" w:type="dxa"/>
          </w:tcPr>
          <w:p w14:paraId="0B8B86ED" w14:textId="77777777" w:rsidR="00B32646" w:rsidRPr="002550F7" w:rsidRDefault="00B32646" w:rsidP="00FB1205">
            <w:pPr>
              <w:spacing w:after="0" w:line="240" w:lineRule="auto"/>
              <w:jc w:val="both"/>
              <w:rPr>
                <w:rFonts w:cstheme="majorHAnsi"/>
                <w:szCs w:val="24"/>
                <w:lang w:val="ro-RO"/>
              </w:rPr>
            </w:pPr>
            <w:r>
              <w:rPr>
                <w:rFonts w:cstheme="majorHAnsi"/>
                <w:szCs w:val="24"/>
                <w:lang w:val="ro-RO"/>
              </w:rPr>
              <w:t>Sistem informațional</w:t>
            </w:r>
          </w:p>
        </w:tc>
      </w:tr>
      <w:tr w:rsidR="003160B2" w:rsidRPr="002550F7" w14:paraId="41151A4A" w14:textId="77777777" w:rsidTr="00B71350">
        <w:tc>
          <w:tcPr>
            <w:tcW w:w="1620" w:type="dxa"/>
          </w:tcPr>
          <w:p w14:paraId="2EBB7C0D" w14:textId="77777777" w:rsidR="003160B2" w:rsidRPr="002550F7" w:rsidRDefault="003160B2" w:rsidP="00FB1205">
            <w:pPr>
              <w:spacing w:after="0" w:line="240" w:lineRule="auto"/>
              <w:jc w:val="both"/>
              <w:rPr>
                <w:rFonts w:cstheme="majorHAnsi"/>
                <w:szCs w:val="24"/>
                <w:lang w:val="ro-RO"/>
              </w:rPr>
            </w:pPr>
            <w:r>
              <w:rPr>
                <w:rFonts w:cstheme="majorHAnsi"/>
                <w:szCs w:val="24"/>
                <w:lang w:val="ro-RO"/>
              </w:rPr>
              <w:t>SRL</w:t>
            </w:r>
          </w:p>
        </w:tc>
        <w:tc>
          <w:tcPr>
            <w:tcW w:w="7380" w:type="dxa"/>
          </w:tcPr>
          <w:p w14:paraId="6992D57D" w14:textId="77777777" w:rsidR="003160B2" w:rsidRPr="002550F7" w:rsidRDefault="003160B2" w:rsidP="00FB1205">
            <w:pPr>
              <w:spacing w:after="0" w:line="240" w:lineRule="auto"/>
              <w:jc w:val="both"/>
              <w:rPr>
                <w:rFonts w:cstheme="majorHAnsi"/>
                <w:szCs w:val="24"/>
                <w:lang w:val="ro-RO"/>
              </w:rPr>
            </w:pPr>
            <w:r>
              <w:rPr>
                <w:rFonts w:cstheme="majorHAnsi"/>
                <w:szCs w:val="24"/>
                <w:lang w:val="ro-RO"/>
              </w:rPr>
              <w:t>Societate cu răspundere limitată</w:t>
            </w:r>
          </w:p>
        </w:tc>
      </w:tr>
      <w:tr w:rsidR="00A340B0" w:rsidRPr="002550F7" w14:paraId="251ABC62" w14:textId="77777777" w:rsidTr="00B71350">
        <w:tc>
          <w:tcPr>
            <w:tcW w:w="1620" w:type="dxa"/>
          </w:tcPr>
          <w:p w14:paraId="619E68B7" w14:textId="77777777" w:rsidR="00A340B0" w:rsidRDefault="00A340B0" w:rsidP="00FB1205">
            <w:pPr>
              <w:spacing w:after="0" w:line="240" w:lineRule="auto"/>
              <w:jc w:val="both"/>
              <w:rPr>
                <w:rFonts w:cstheme="majorHAnsi"/>
                <w:szCs w:val="24"/>
                <w:lang w:val="ro-RO"/>
              </w:rPr>
            </w:pPr>
            <w:r>
              <w:rPr>
                <w:rFonts w:cstheme="majorHAnsi"/>
                <w:szCs w:val="24"/>
                <w:lang w:val="ro-RO"/>
              </w:rPr>
              <w:t>UAT</w:t>
            </w:r>
          </w:p>
        </w:tc>
        <w:tc>
          <w:tcPr>
            <w:tcW w:w="7380" w:type="dxa"/>
          </w:tcPr>
          <w:p w14:paraId="15241A89" w14:textId="77777777" w:rsidR="00A340B0" w:rsidRDefault="00A340B0" w:rsidP="00FB1205">
            <w:pPr>
              <w:spacing w:after="0" w:line="240" w:lineRule="auto"/>
              <w:jc w:val="both"/>
              <w:rPr>
                <w:rFonts w:cstheme="majorHAnsi"/>
                <w:szCs w:val="24"/>
                <w:lang w:val="ro-RO"/>
              </w:rPr>
            </w:pPr>
            <w:r>
              <w:rPr>
                <w:rFonts w:cstheme="majorHAnsi"/>
                <w:szCs w:val="24"/>
                <w:lang w:val="ro-RO"/>
              </w:rPr>
              <w:t>Unitatea administrativ-teritorială</w:t>
            </w:r>
          </w:p>
        </w:tc>
      </w:tr>
      <w:tr w:rsidR="003160B2" w:rsidRPr="002550F7" w14:paraId="40301ECA" w14:textId="77777777" w:rsidTr="00B71350">
        <w:tc>
          <w:tcPr>
            <w:tcW w:w="1620" w:type="dxa"/>
          </w:tcPr>
          <w:p w14:paraId="0DB9C170" w14:textId="77777777" w:rsidR="003160B2" w:rsidRDefault="003160B2" w:rsidP="00FB1205">
            <w:pPr>
              <w:spacing w:after="0" w:line="240" w:lineRule="auto"/>
              <w:jc w:val="both"/>
              <w:rPr>
                <w:rFonts w:cstheme="majorHAnsi"/>
                <w:szCs w:val="24"/>
                <w:lang w:val="ro-RO"/>
              </w:rPr>
            </w:pPr>
            <w:r>
              <w:rPr>
                <w:rFonts w:cstheme="majorHAnsi"/>
                <w:szCs w:val="24"/>
                <w:lang w:val="ro-RO"/>
              </w:rPr>
              <w:t>UCIP-IFAD</w:t>
            </w:r>
          </w:p>
        </w:tc>
        <w:tc>
          <w:tcPr>
            <w:tcW w:w="7380" w:type="dxa"/>
          </w:tcPr>
          <w:p w14:paraId="2A3EA441" w14:textId="77777777" w:rsidR="003160B2" w:rsidRDefault="003160B2" w:rsidP="00FB1205">
            <w:pPr>
              <w:spacing w:after="0" w:line="240" w:lineRule="auto"/>
              <w:jc w:val="both"/>
              <w:rPr>
                <w:rFonts w:cstheme="majorHAnsi"/>
                <w:szCs w:val="24"/>
                <w:lang w:val="ro-RO"/>
              </w:rPr>
            </w:pPr>
            <w:r>
              <w:rPr>
                <w:rFonts w:cstheme="majorHAnsi"/>
                <w:szCs w:val="24"/>
                <w:lang w:val="ro-RO"/>
              </w:rPr>
              <w:t>Unitatea Consolidată pentru Implementar</w:t>
            </w:r>
            <w:r w:rsidR="003D5BDE">
              <w:rPr>
                <w:rFonts w:cstheme="majorHAnsi"/>
                <w:szCs w:val="24"/>
                <w:lang w:val="ro-RO"/>
              </w:rPr>
              <w:t>ea Programelor finanțate de FIDA</w:t>
            </w:r>
          </w:p>
        </w:tc>
      </w:tr>
      <w:tr w:rsidR="00B32646" w:rsidRPr="002550F7" w14:paraId="4C4BC299" w14:textId="77777777" w:rsidTr="00B71350">
        <w:tc>
          <w:tcPr>
            <w:tcW w:w="1620" w:type="dxa"/>
          </w:tcPr>
          <w:p w14:paraId="111A08AC" w14:textId="77777777" w:rsidR="00B32646" w:rsidRDefault="00B32646" w:rsidP="00FB1205">
            <w:pPr>
              <w:spacing w:after="0" w:line="240" w:lineRule="auto"/>
              <w:jc w:val="both"/>
              <w:rPr>
                <w:rFonts w:cstheme="majorHAnsi"/>
                <w:szCs w:val="24"/>
                <w:lang w:val="ro-RO"/>
              </w:rPr>
            </w:pPr>
            <w:r>
              <w:rPr>
                <w:rFonts w:cstheme="majorHAnsi"/>
                <w:szCs w:val="24"/>
                <w:lang w:val="ro-RO"/>
              </w:rPr>
              <w:t>UE</w:t>
            </w:r>
          </w:p>
        </w:tc>
        <w:tc>
          <w:tcPr>
            <w:tcW w:w="7380" w:type="dxa"/>
          </w:tcPr>
          <w:p w14:paraId="2ECB676E" w14:textId="77777777" w:rsidR="00B32646" w:rsidRDefault="00B32646" w:rsidP="00FB1205">
            <w:pPr>
              <w:spacing w:after="0" w:line="240" w:lineRule="auto"/>
              <w:jc w:val="both"/>
              <w:rPr>
                <w:rFonts w:cstheme="majorHAnsi"/>
                <w:szCs w:val="24"/>
                <w:lang w:val="ro-RO"/>
              </w:rPr>
            </w:pPr>
            <w:r>
              <w:rPr>
                <w:rFonts w:cstheme="majorHAnsi"/>
                <w:szCs w:val="24"/>
                <w:lang w:val="ro-RO"/>
              </w:rPr>
              <w:t>Uniunea Europeană</w:t>
            </w:r>
          </w:p>
        </w:tc>
      </w:tr>
      <w:tr w:rsidR="00B32646" w:rsidRPr="002550F7" w14:paraId="5666AC78" w14:textId="77777777" w:rsidTr="00B71350">
        <w:tc>
          <w:tcPr>
            <w:tcW w:w="1620" w:type="dxa"/>
          </w:tcPr>
          <w:p w14:paraId="1175470B" w14:textId="77777777" w:rsidR="00B32646" w:rsidRDefault="00B32646" w:rsidP="00FB1205">
            <w:pPr>
              <w:spacing w:after="0" w:line="240" w:lineRule="auto"/>
              <w:jc w:val="both"/>
              <w:rPr>
                <w:rFonts w:cstheme="majorHAnsi"/>
                <w:szCs w:val="24"/>
                <w:lang w:val="ro-RO"/>
              </w:rPr>
            </w:pPr>
            <w:r>
              <w:rPr>
                <w:rFonts w:cstheme="majorHAnsi"/>
                <w:szCs w:val="24"/>
                <w:lang w:val="ro-RO"/>
              </w:rPr>
              <w:t>UNCTAD</w:t>
            </w:r>
          </w:p>
        </w:tc>
        <w:tc>
          <w:tcPr>
            <w:tcW w:w="7380" w:type="dxa"/>
          </w:tcPr>
          <w:p w14:paraId="5B333435" w14:textId="77777777" w:rsidR="00B32646" w:rsidRDefault="00B32646" w:rsidP="00FB1205">
            <w:pPr>
              <w:spacing w:after="0" w:line="240" w:lineRule="auto"/>
              <w:jc w:val="both"/>
              <w:rPr>
                <w:rFonts w:cstheme="majorHAnsi"/>
                <w:szCs w:val="24"/>
                <w:lang w:val="ro-RO"/>
              </w:rPr>
            </w:pPr>
            <w:r>
              <w:rPr>
                <w:rFonts w:cstheme="majorHAnsi"/>
                <w:szCs w:val="24"/>
                <w:lang w:val="ro-RO"/>
              </w:rPr>
              <w:t>Conferința Națiunilor Unite pentru Comerț și Dezvoltare</w:t>
            </w:r>
          </w:p>
        </w:tc>
      </w:tr>
      <w:tr w:rsidR="00A340B0" w:rsidRPr="002550F7" w14:paraId="3C526FF9" w14:textId="77777777" w:rsidTr="00B71350">
        <w:tc>
          <w:tcPr>
            <w:tcW w:w="1620" w:type="dxa"/>
          </w:tcPr>
          <w:p w14:paraId="3BF361EB" w14:textId="77777777" w:rsidR="00A340B0" w:rsidRDefault="00A340B0" w:rsidP="00FB1205">
            <w:pPr>
              <w:spacing w:after="0" w:line="240" w:lineRule="auto"/>
              <w:jc w:val="both"/>
              <w:rPr>
                <w:rFonts w:cstheme="majorHAnsi"/>
                <w:szCs w:val="24"/>
                <w:lang w:val="ro-RO"/>
              </w:rPr>
            </w:pPr>
            <w:r>
              <w:rPr>
                <w:rFonts w:cstheme="majorHAnsi"/>
                <w:szCs w:val="24"/>
                <w:lang w:val="ro-RO"/>
              </w:rPr>
              <w:t>VMS</w:t>
            </w:r>
          </w:p>
        </w:tc>
        <w:tc>
          <w:tcPr>
            <w:tcW w:w="7380" w:type="dxa"/>
          </w:tcPr>
          <w:p w14:paraId="0300448C" w14:textId="77777777" w:rsidR="00A340B0" w:rsidRDefault="00A340B0" w:rsidP="00FB1205">
            <w:pPr>
              <w:spacing w:after="0" w:line="240" w:lineRule="auto"/>
              <w:jc w:val="both"/>
              <w:rPr>
                <w:rFonts w:cstheme="majorHAnsi"/>
                <w:szCs w:val="24"/>
                <w:lang w:val="ro-RO"/>
              </w:rPr>
            </w:pPr>
            <w:r>
              <w:rPr>
                <w:rFonts w:cstheme="majorHAnsi"/>
                <w:szCs w:val="24"/>
                <w:lang w:val="ro-RO"/>
              </w:rPr>
              <w:t>Valori mobiliare de stat</w:t>
            </w:r>
          </w:p>
        </w:tc>
      </w:tr>
    </w:tbl>
    <w:p w14:paraId="35405C55" w14:textId="2FD24013" w:rsidR="00D9113B" w:rsidRDefault="00D9113B" w:rsidP="00FB1205">
      <w:pPr>
        <w:autoSpaceDE w:val="0"/>
        <w:autoSpaceDN w:val="0"/>
        <w:adjustRightInd w:val="0"/>
        <w:spacing w:after="0" w:line="240" w:lineRule="auto"/>
        <w:jc w:val="both"/>
        <w:rPr>
          <w:rFonts w:ascii="Times New Roman" w:hAnsi="Times New Roman"/>
          <w:noProof/>
          <w:sz w:val="28"/>
        </w:rPr>
      </w:pPr>
    </w:p>
    <w:p w14:paraId="2FF0DAEA" w14:textId="61BFF6A3" w:rsidR="002F35CD" w:rsidRDefault="002F35CD" w:rsidP="00FB1205">
      <w:pPr>
        <w:autoSpaceDE w:val="0"/>
        <w:autoSpaceDN w:val="0"/>
        <w:adjustRightInd w:val="0"/>
        <w:spacing w:after="0" w:line="240" w:lineRule="auto"/>
        <w:jc w:val="both"/>
        <w:rPr>
          <w:rFonts w:ascii="Times New Roman" w:hAnsi="Times New Roman"/>
          <w:noProof/>
          <w:sz w:val="28"/>
        </w:rPr>
      </w:pPr>
    </w:p>
    <w:p w14:paraId="1C65B970" w14:textId="4C7E25A1" w:rsidR="002F35CD" w:rsidRDefault="002F35CD" w:rsidP="00FB1205">
      <w:pPr>
        <w:autoSpaceDE w:val="0"/>
        <w:autoSpaceDN w:val="0"/>
        <w:adjustRightInd w:val="0"/>
        <w:spacing w:after="0" w:line="240" w:lineRule="auto"/>
        <w:jc w:val="both"/>
        <w:rPr>
          <w:rFonts w:ascii="Times New Roman" w:hAnsi="Times New Roman"/>
          <w:noProof/>
          <w:sz w:val="28"/>
        </w:rPr>
      </w:pPr>
    </w:p>
    <w:p w14:paraId="1E766F9A" w14:textId="3D4CED92" w:rsidR="002F35CD" w:rsidRDefault="002F35CD" w:rsidP="00FB1205">
      <w:pPr>
        <w:autoSpaceDE w:val="0"/>
        <w:autoSpaceDN w:val="0"/>
        <w:adjustRightInd w:val="0"/>
        <w:spacing w:after="0" w:line="240" w:lineRule="auto"/>
        <w:jc w:val="both"/>
        <w:rPr>
          <w:rFonts w:ascii="Times New Roman" w:hAnsi="Times New Roman"/>
          <w:noProof/>
          <w:sz w:val="28"/>
        </w:rPr>
      </w:pPr>
    </w:p>
    <w:p w14:paraId="4B42D753" w14:textId="0B63BEA1" w:rsidR="002F35CD" w:rsidRDefault="002F35CD" w:rsidP="00FB1205">
      <w:pPr>
        <w:autoSpaceDE w:val="0"/>
        <w:autoSpaceDN w:val="0"/>
        <w:adjustRightInd w:val="0"/>
        <w:spacing w:after="0" w:line="240" w:lineRule="auto"/>
        <w:jc w:val="both"/>
        <w:rPr>
          <w:rFonts w:ascii="Times New Roman" w:hAnsi="Times New Roman"/>
          <w:noProof/>
          <w:sz w:val="28"/>
        </w:rPr>
      </w:pPr>
    </w:p>
    <w:p w14:paraId="0C94E907" w14:textId="2B7E5B3D" w:rsidR="002F35CD" w:rsidRDefault="002F35CD" w:rsidP="00FB1205">
      <w:pPr>
        <w:autoSpaceDE w:val="0"/>
        <w:autoSpaceDN w:val="0"/>
        <w:adjustRightInd w:val="0"/>
        <w:spacing w:after="0" w:line="240" w:lineRule="auto"/>
        <w:jc w:val="both"/>
        <w:rPr>
          <w:rFonts w:ascii="Times New Roman" w:hAnsi="Times New Roman"/>
          <w:noProof/>
          <w:sz w:val="28"/>
        </w:rPr>
      </w:pPr>
    </w:p>
    <w:p w14:paraId="297F0E80" w14:textId="1A6EBCDD" w:rsidR="002F35CD" w:rsidRDefault="002F35CD" w:rsidP="00FB1205">
      <w:pPr>
        <w:autoSpaceDE w:val="0"/>
        <w:autoSpaceDN w:val="0"/>
        <w:adjustRightInd w:val="0"/>
        <w:spacing w:after="0" w:line="240" w:lineRule="auto"/>
        <w:jc w:val="both"/>
        <w:rPr>
          <w:rFonts w:ascii="Times New Roman" w:hAnsi="Times New Roman"/>
          <w:noProof/>
          <w:sz w:val="28"/>
        </w:rPr>
      </w:pPr>
    </w:p>
    <w:p w14:paraId="25501EBD" w14:textId="2DAFC718" w:rsidR="002F35CD" w:rsidRDefault="002F35CD" w:rsidP="00FB1205">
      <w:pPr>
        <w:autoSpaceDE w:val="0"/>
        <w:autoSpaceDN w:val="0"/>
        <w:adjustRightInd w:val="0"/>
        <w:spacing w:after="0" w:line="240" w:lineRule="auto"/>
        <w:jc w:val="both"/>
        <w:rPr>
          <w:rFonts w:ascii="Times New Roman" w:hAnsi="Times New Roman"/>
          <w:noProof/>
          <w:sz w:val="28"/>
        </w:rPr>
      </w:pPr>
    </w:p>
    <w:p w14:paraId="4B75AFC5" w14:textId="2540B8DC" w:rsidR="002F35CD" w:rsidRDefault="002F35CD" w:rsidP="00FB1205">
      <w:pPr>
        <w:autoSpaceDE w:val="0"/>
        <w:autoSpaceDN w:val="0"/>
        <w:adjustRightInd w:val="0"/>
        <w:spacing w:after="0" w:line="240" w:lineRule="auto"/>
        <w:jc w:val="both"/>
        <w:rPr>
          <w:rFonts w:ascii="Times New Roman" w:hAnsi="Times New Roman"/>
          <w:noProof/>
          <w:sz w:val="28"/>
        </w:rPr>
      </w:pPr>
    </w:p>
    <w:p w14:paraId="3F0092D5" w14:textId="77777777" w:rsidR="002F35CD" w:rsidRPr="00C8468E" w:rsidRDefault="002F35CD" w:rsidP="00FB1205">
      <w:pPr>
        <w:autoSpaceDE w:val="0"/>
        <w:autoSpaceDN w:val="0"/>
        <w:adjustRightInd w:val="0"/>
        <w:spacing w:after="0" w:line="240" w:lineRule="auto"/>
        <w:jc w:val="both"/>
        <w:rPr>
          <w:rFonts w:cstheme="majorHAnsi"/>
          <w:b/>
          <w:bCs/>
          <w:sz w:val="26"/>
          <w:szCs w:val="26"/>
        </w:rPr>
      </w:pPr>
    </w:p>
    <w:p w14:paraId="4FA03F13" w14:textId="32F65FEB" w:rsidR="00D9113B" w:rsidRDefault="00B84F41" w:rsidP="009C5EF3">
      <w:pPr>
        <w:pStyle w:val="1"/>
        <w:numPr>
          <w:ilvl w:val="0"/>
          <w:numId w:val="0"/>
        </w:numPr>
        <w:ind w:left="432" w:hanging="290"/>
        <w:jc w:val="both"/>
      </w:pPr>
      <w:bookmarkStart w:id="3" w:name="_Toc47012265"/>
      <w:bookmarkStart w:id="4" w:name="_Toc75436440"/>
      <w:r w:rsidRPr="004E5F9C">
        <w:lastRenderedPageBreak/>
        <w:t>GLOSAR</w:t>
      </w:r>
      <w:bookmarkEnd w:id="3"/>
      <w:bookmarkEnd w:id="4"/>
    </w:p>
    <w:p w14:paraId="30CA7F75" w14:textId="77777777" w:rsidR="009C5EF3" w:rsidRPr="009C5EF3" w:rsidRDefault="009C5EF3" w:rsidP="009C5EF3"/>
    <w:tbl>
      <w:tblPr>
        <w:tblW w:w="0" w:type="auto"/>
        <w:tblLook w:val="04A0" w:firstRow="1" w:lastRow="0" w:firstColumn="1" w:lastColumn="0" w:noHBand="0" w:noVBand="1"/>
      </w:tblPr>
      <w:tblGrid>
        <w:gridCol w:w="2748"/>
        <w:gridCol w:w="6596"/>
      </w:tblGrid>
      <w:tr w:rsidR="00B84F41" w:rsidRPr="00B84F41" w14:paraId="2982A4C2" w14:textId="77777777" w:rsidTr="00B84F41">
        <w:tc>
          <w:tcPr>
            <w:tcW w:w="2748" w:type="dxa"/>
          </w:tcPr>
          <w:p w14:paraId="3DFAC47C" w14:textId="77777777" w:rsidR="00B84F41" w:rsidRPr="00B84F41" w:rsidRDefault="00B84F41" w:rsidP="00FB1205">
            <w:pPr>
              <w:spacing w:after="0" w:line="240" w:lineRule="auto"/>
              <w:ind w:hanging="18"/>
              <w:jc w:val="both"/>
              <w:rPr>
                <w:rFonts w:eastAsia="Times New Roman" w:cstheme="majorHAnsi"/>
                <w:i/>
                <w:szCs w:val="24"/>
                <w:lang w:val="ro-MD" w:eastAsia="ru-RU"/>
              </w:rPr>
            </w:pPr>
            <w:r w:rsidRPr="00B84F41">
              <w:rPr>
                <w:rFonts w:eastAsia="Times New Roman" w:cstheme="majorHAnsi"/>
                <w:i/>
                <w:szCs w:val="24"/>
                <w:lang w:val="ro-MD" w:eastAsia="ru-RU"/>
              </w:rPr>
              <w:t>Asistență (cooperare) financiară</w:t>
            </w:r>
          </w:p>
        </w:tc>
        <w:tc>
          <w:tcPr>
            <w:tcW w:w="6596" w:type="dxa"/>
          </w:tcPr>
          <w:p w14:paraId="5850A97A" w14:textId="77777777" w:rsidR="00B84F41"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S</w:t>
            </w:r>
            <w:r w:rsidR="00B84F41" w:rsidRPr="00B84F41">
              <w:rPr>
                <w:rFonts w:eastAsia="Times New Roman" w:cstheme="majorHAnsi"/>
                <w:szCs w:val="24"/>
                <w:lang w:val="ro-MD" w:eastAsia="ru-RU"/>
              </w:rPr>
              <w:t>uport financiar sub formă de împrumuturi, granturi, inclusiv livrări de bunuri și/sau lucrări pentru implementarea proiectelor/programelor.</w:t>
            </w:r>
          </w:p>
        </w:tc>
      </w:tr>
      <w:tr w:rsidR="00B84F41" w:rsidRPr="00B84F41" w14:paraId="08DCA77F" w14:textId="77777777" w:rsidTr="00B84F41">
        <w:tc>
          <w:tcPr>
            <w:tcW w:w="2748" w:type="dxa"/>
          </w:tcPr>
          <w:p w14:paraId="13F76E7C" w14:textId="77777777" w:rsidR="00B84F41" w:rsidRPr="00B84F41" w:rsidRDefault="00B84F41" w:rsidP="00FB1205">
            <w:pPr>
              <w:spacing w:after="0" w:line="240" w:lineRule="auto"/>
              <w:ind w:hanging="18"/>
              <w:jc w:val="both"/>
              <w:rPr>
                <w:rFonts w:eastAsia="Times New Roman" w:cstheme="majorHAnsi"/>
                <w:szCs w:val="24"/>
                <w:lang w:val="ro-MD" w:eastAsia="ru-RU"/>
              </w:rPr>
            </w:pPr>
            <w:r w:rsidRPr="00B84F41">
              <w:rPr>
                <w:rFonts w:eastAsia="Times New Roman" w:cs="Times New Roman"/>
                <w:i/>
                <w:iCs/>
                <w:szCs w:val="24"/>
                <w:lang w:val="ro-MD" w:eastAsia="ru-RU"/>
              </w:rPr>
              <w:t>B</w:t>
            </w:r>
            <w:r w:rsidRPr="00B84F41">
              <w:rPr>
                <w:rFonts w:eastAsia="Times New Roman" w:cs="Times New Roman"/>
                <w:i/>
                <w:szCs w:val="21"/>
                <w:lang w:val="ro-MD" w:eastAsia="ru-RU"/>
              </w:rPr>
              <w:t>eneficiar al recreditării</w:t>
            </w:r>
          </w:p>
        </w:tc>
        <w:tc>
          <w:tcPr>
            <w:tcW w:w="6596" w:type="dxa"/>
          </w:tcPr>
          <w:p w14:paraId="165653E1" w14:textId="77777777" w:rsidR="00B84F41" w:rsidRPr="00B84F41" w:rsidRDefault="00131233" w:rsidP="00FB1205">
            <w:pPr>
              <w:spacing w:after="0" w:line="240" w:lineRule="auto"/>
              <w:jc w:val="both"/>
              <w:rPr>
                <w:rFonts w:eastAsia="Times New Roman" w:cs="Times New Roman"/>
                <w:szCs w:val="24"/>
                <w:lang w:val="ro-MD"/>
              </w:rPr>
            </w:pPr>
            <w:r>
              <w:rPr>
                <w:rFonts w:eastAsia="Times New Roman" w:cs="Times New Roman"/>
                <w:lang w:val="ro-MD"/>
              </w:rPr>
              <w:t>O</w:t>
            </w:r>
            <w:r w:rsidR="00B84F41" w:rsidRPr="00B84F41">
              <w:rPr>
                <w:rFonts w:eastAsia="Times New Roman" w:cs="Times New Roman"/>
                <w:lang w:val="ro-MD"/>
              </w:rPr>
              <w:t>rice persoană fizică sau juridică care este beneficiar f</w:t>
            </w:r>
            <w:r w:rsidR="00B84F41" w:rsidRPr="00B84F41">
              <w:rPr>
                <w:rFonts w:eastAsia="Times New Roman" w:cs="Times New Roman"/>
                <w:szCs w:val="24"/>
                <w:lang w:val="ro-MD"/>
              </w:rPr>
              <w:t>inal al mijloacelor recreditate.</w:t>
            </w:r>
            <w:r w:rsidR="00B84F41" w:rsidRPr="00B84F41">
              <w:rPr>
                <w:rFonts w:eastAsia="Times New Roman" w:cs="Times New Roman"/>
                <w:lang w:val="ro-MD"/>
              </w:rPr>
              <w:t xml:space="preserve"> </w:t>
            </w:r>
          </w:p>
        </w:tc>
      </w:tr>
      <w:tr w:rsidR="00B84F41" w:rsidRPr="00B84F41" w14:paraId="14B50843" w14:textId="77777777" w:rsidTr="00B84F41">
        <w:tc>
          <w:tcPr>
            <w:tcW w:w="2748" w:type="dxa"/>
          </w:tcPr>
          <w:p w14:paraId="141274ED" w14:textId="77777777" w:rsidR="00B84F41" w:rsidRPr="00B84F41" w:rsidRDefault="00B84F41" w:rsidP="00FB1205">
            <w:pPr>
              <w:spacing w:after="0" w:line="240" w:lineRule="auto"/>
              <w:jc w:val="both"/>
              <w:rPr>
                <w:rFonts w:eastAsia="Times New Roman" w:cs="Times New Roman"/>
                <w:i/>
                <w:iCs/>
                <w:szCs w:val="24"/>
                <w:lang w:val="ro-MD" w:eastAsia="ru-RU"/>
              </w:rPr>
            </w:pPr>
            <w:r w:rsidRPr="00B84F41">
              <w:rPr>
                <w:rFonts w:eastAsia="Times New Roman" w:cs="Times New Roman"/>
                <w:i/>
                <w:iCs/>
                <w:szCs w:val="24"/>
                <w:lang w:val="ro-MD" w:eastAsia="ru-RU"/>
              </w:rPr>
              <w:t>C</w:t>
            </w:r>
            <w:r w:rsidRPr="00B84F41">
              <w:rPr>
                <w:rFonts w:eastAsia="Times New Roman" w:cs="Times New Roman"/>
                <w:i/>
                <w:szCs w:val="21"/>
                <w:lang w:val="ro-MD" w:eastAsia="ru-RU"/>
              </w:rPr>
              <w:t>ontract de garanție de stat</w:t>
            </w:r>
            <w:r w:rsidRPr="00B84F41">
              <w:rPr>
                <w:rFonts w:eastAsia="Times New Roman" w:cs="Times New Roman"/>
                <w:szCs w:val="24"/>
                <w:lang w:val="ro-MD" w:eastAsia="ru-RU"/>
              </w:rPr>
              <w:t xml:space="preserve"> </w:t>
            </w:r>
          </w:p>
        </w:tc>
        <w:tc>
          <w:tcPr>
            <w:tcW w:w="6596" w:type="dxa"/>
          </w:tcPr>
          <w:p w14:paraId="231C6E02" w14:textId="77777777" w:rsidR="00B84F41" w:rsidRPr="00B84F41" w:rsidRDefault="00131233" w:rsidP="00FB1205">
            <w:pPr>
              <w:spacing w:after="0" w:line="240" w:lineRule="auto"/>
              <w:jc w:val="both"/>
              <w:rPr>
                <w:rFonts w:eastAsia="Times New Roman" w:cs="Times New Roman"/>
                <w:szCs w:val="24"/>
                <w:lang w:val="ro-MD"/>
              </w:rPr>
            </w:pPr>
            <w:r>
              <w:rPr>
                <w:rFonts w:eastAsia="Times New Roman" w:cs="Times New Roman"/>
                <w:lang w:val="ro-MD"/>
              </w:rPr>
              <w:t>C</w:t>
            </w:r>
            <w:r w:rsidR="00B84F41" w:rsidRPr="00B84F41">
              <w:rPr>
                <w:rFonts w:eastAsia="Times New Roman" w:cs="Times New Roman"/>
                <w:lang w:val="ro-MD"/>
              </w:rPr>
              <w:t>ontract de fidejusiune între stat și creditor, prin care statul se obligă să plătească, integral sau parțial, creditorului datoria debitorului garantat (a persoanei fizice beneficiar în cadrul Programului de stat „Prima casă” sau a persoanei juridice care a obținut împrumut sub garanție de stat), apărută din împrumuturi interne sau externe, în cazul în care debitorul garantat nu execută ob</w:t>
            </w:r>
            <w:r w:rsidR="00B84F41" w:rsidRPr="00B84F41">
              <w:rPr>
                <w:rFonts w:eastAsia="Times New Roman" w:cs="Times New Roman"/>
                <w:szCs w:val="24"/>
                <w:lang w:val="ro-MD"/>
              </w:rPr>
              <w:t>ligațiile sale față de creditor.</w:t>
            </w:r>
            <w:r w:rsidR="00B84F41" w:rsidRPr="00B84F41">
              <w:rPr>
                <w:rFonts w:eastAsia="Times New Roman" w:cs="Times New Roman"/>
                <w:lang w:val="ro-MD"/>
              </w:rPr>
              <w:t xml:space="preserve"> </w:t>
            </w:r>
          </w:p>
        </w:tc>
      </w:tr>
      <w:tr w:rsidR="00B84F41" w:rsidRPr="00B84F41" w14:paraId="15C22B7D" w14:textId="77777777" w:rsidTr="00B84F41">
        <w:tc>
          <w:tcPr>
            <w:tcW w:w="2748" w:type="dxa"/>
          </w:tcPr>
          <w:p w14:paraId="000ABB66" w14:textId="77777777" w:rsidR="00B84F41" w:rsidRPr="00B84F41" w:rsidRDefault="00B84F41" w:rsidP="00FB1205">
            <w:pPr>
              <w:spacing w:after="0" w:line="240" w:lineRule="auto"/>
              <w:jc w:val="both"/>
              <w:rPr>
                <w:rFonts w:eastAsia="Times New Roman" w:cstheme="majorHAnsi"/>
                <w:b/>
                <w:szCs w:val="24"/>
                <w:lang w:val="ro-MD" w:eastAsia="ru-RU"/>
              </w:rPr>
            </w:pPr>
            <w:r w:rsidRPr="00B84F41">
              <w:rPr>
                <w:rFonts w:eastAsia="Times New Roman" w:cstheme="majorHAnsi"/>
                <w:i/>
                <w:iCs/>
                <w:szCs w:val="24"/>
                <w:lang w:val="ro-MD" w:eastAsia="ru-RU"/>
              </w:rPr>
              <w:t>Datorie a sectorului public</w:t>
            </w:r>
          </w:p>
        </w:tc>
        <w:tc>
          <w:tcPr>
            <w:tcW w:w="6596" w:type="dxa"/>
          </w:tcPr>
          <w:p w14:paraId="36C3EF5A" w14:textId="77777777" w:rsidR="00B84F41"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T</w:t>
            </w:r>
            <w:r w:rsidR="00B84F41" w:rsidRPr="00B84F41">
              <w:rPr>
                <w:rFonts w:eastAsia="Times New Roman" w:cstheme="majorHAnsi"/>
                <w:szCs w:val="24"/>
                <w:lang w:val="ro-MD" w:eastAsia="ru-RU"/>
              </w:rPr>
              <w:t>otalitatea datoriei de stat, a datoriei unităților administrativ-teritoriale, a datoriei Băncii Naționale a Moldovei, a datoriei ce rezultă din împrumuturile interne și externe ale întreprinderilor de stat/municipale și ale societăților comerciale cu capital integral sau majoritar public.</w:t>
            </w:r>
          </w:p>
        </w:tc>
      </w:tr>
      <w:tr w:rsidR="00B84F41" w:rsidRPr="00B84F41" w14:paraId="572580A6" w14:textId="77777777" w:rsidTr="00B84F41">
        <w:tc>
          <w:tcPr>
            <w:tcW w:w="2748" w:type="dxa"/>
          </w:tcPr>
          <w:p w14:paraId="550B08B7" w14:textId="77777777" w:rsidR="00B84F41" w:rsidRPr="00B84F41" w:rsidRDefault="00B84F41" w:rsidP="00FB1205">
            <w:pPr>
              <w:spacing w:after="0" w:line="240" w:lineRule="auto"/>
              <w:jc w:val="both"/>
              <w:rPr>
                <w:rFonts w:eastAsia="Times New Roman" w:cstheme="majorHAnsi"/>
                <w:b/>
                <w:szCs w:val="24"/>
                <w:lang w:val="ro-MD" w:eastAsia="ru-RU"/>
              </w:rPr>
            </w:pPr>
            <w:r w:rsidRPr="00B84F41">
              <w:rPr>
                <w:rFonts w:eastAsia="Times New Roman" w:cstheme="majorHAnsi"/>
                <w:i/>
                <w:iCs/>
                <w:szCs w:val="24"/>
                <w:lang w:val="ro-MD" w:eastAsia="ru-RU"/>
              </w:rPr>
              <w:t>Datorie de stat</w:t>
            </w:r>
          </w:p>
        </w:tc>
        <w:tc>
          <w:tcPr>
            <w:tcW w:w="6596" w:type="dxa"/>
          </w:tcPr>
          <w:p w14:paraId="235A3810" w14:textId="77777777" w:rsidR="00B84F41"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O</w:t>
            </w:r>
            <w:r w:rsidR="00B84F41" w:rsidRPr="00B84F41">
              <w:rPr>
                <w:rFonts w:eastAsia="Times New Roman" w:cstheme="majorHAnsi"/>
                <w:szCs w:val="24"/>
                <w:lang w:val="ro-MD" w:eastAsia="ru-RU"/>
              </w:rPr>
              <w:t>bligațiile contractuale pecuniare curente și scadente ale statului și dobânzile datorate și neonorate, apărute din calitatea statului de debitor sau fidejusor, fiind contractate, în numele Republicii Moldova, de către Guvern, prin intermediul Ministerului Finanțelor, în monedă națională sau în valută străină.</w:t>
            </w:r>
          </w:p>
        </w:tc>
      </w:tr>
      <w:tr w:rsidR="00B84F41" w:rsidRPr="00B84F41" w14:paraId="46847B9D" w14:textId="77777777" w:rsidTr="00B84F41">
        <w:trPr>
          <w:trHeight w:val="1888"/>
        </w:trPr>
        <w:tc>
          <w:tcPr>
            <w:tcW w:w="2748" w:type="dxa"/>
          </w:tcPr>
          <w:p w14:paraId="54C53B0B" w14:textId="77777777" w:rsidR="00B84F41" w:rsidRPr="00B84F41" w:rsidRDefault="00B84F41" w:rsidP="00FB1205">
            <w:pPr>
              <w:spacing w:after="0" w:line="240" w:lineRule="auto"/>
              <w:jc w:val="both"/>
              <w:rPr>
                <w:rFonts w:eastAsia="Times New Roman" w:cstheme="majorHAnsi"/>
                <w:b/>
                <w:szCs w:val="24"/>
                <w:lang w:val="ro-MD" w:eastAsia="ru-RU"/>
              </w:rPr>
            </w:pPr>
            <w:r w:rsidRPr="00B84F41">
              <w:rPr>
                <w:rFonts w:eastAsia="Times New Roman" w:cstheme="majorHAnsi"/>
                <w:i/>
                <w:iCs/>
                <w:szCs w:val="24"/>
                <w:lang w:val="ro-MD" w:eastAsia="ru-RU"/>
              </w:rPr>
              <w:t>Datorie de stat externă</w:t>
            </w:r>
          </w:p>
        </w:tc>
        <w:tc>
          <w:tcPr>
            <w:tcW w:w="6596" w:type="dxa"/>
          </w:tcPr>
          <w:p w14:paraId="2D76ED90" w14:textId="77777777" w:rsidR="00B84F41"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P</w:t>
            </w:r>
            <w:r w:rsidR="00B84F41" w:rsidRPr="00B84F41">
              <w:rPr>
                <w:rFonts w:eastAsia="Times New Roman" w:cstheme="majorHAnsi"/>
                <w:szCs w:val="24"/>
                <w:lang w:val="ro-MD" w:eastAsia="ru-RU"/>
              </w:rPr>
              <w:t xml:space="preserve">arte integrantă a datoriei de stat, care reprezintă totalul sumelor obligațiilor neonorate și dobânzilor datorate și neonorate, contractate, în numele Republicii Moldova, de către Guvern, prin intermediul Ministerului Finanțelor, de la nerezidenții Republicii Moldova. Valorile mobiliare de stat emise pentru a fi plasate pe piețele financiare internaționale, care sunt procurate de rezidenți ai Republicii Moldova, sunt atribuite datoriei de stat externe. </w:t>
            </w:r>
          </w:p>
        </w:tc>
      </w:tr>
      <w:tr w:rsidR="00B84F41" w:rsidRPr="00B84F41" w14:paraId="7D971822" w14:textId="77777777" w:rsidTr="00B84F41">
        <w:trPr>
          <w:trHeight w:val="1888"/>
        </w:trPr>
        <w:tc>
          <w:tcPr>
            <w:tcW w:w="2748" w:type="dxa"/>
          </w:tcPr>
          <w:p w14:paraId="638708C1" w14:textId="77777777" w:rsidR="00B84F41" w:rsidRPr="00B84F41" w:rsidRDefault="00B84F41" w:rsidP="00FB1205">
            <w:pPr>
              <w:spacing w:after="0" w:line="240" w:lineRule="auto"/>
              <w:jc w:val="both"/>
              <w:rPr>
                <w:rFonts w:eastAsia="Times New Roman" w:cstheme="majorHAnsi"/>
                <w:i/>
                <w:iCs/>
                <w:szCs w:val="24"/>
                <w:lang w:val="ro-MD" w:eastAsia="ru-RU"/>
              </w:rPr>
            </w:pPr>
            <w:r w:rsidRPr="00B84F41">
              <w:rPr>
                <w:rFonts w:eastAsia="Times New Roman" w:cstheme="majorHAnsi"/>
                <w:i/>
                <w:iCs/>
                <w:szCs w:val="24"/>
                <w:lang w:val="ro-MD" w:eastAsia="ru-RU"/>
              </w:rPr>
              <w:lastRenderedPageBreak/>
              <w:t>Datorie de stat internă</w:t>
            </w:r>
          </w:p>
        </w:tc>
        <w:tc>
          <w:tcPr>
            <w:tcW w:w="6596" w:type="dxa"/>
          </w:tcPr>
          <w:p w14:paraId="4E67C255" w14:textId="77777777" w:rsidR="00B84F41"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P</w:t>
            </w:r>
            <w:r w:rsidR="00B84F41" w:rsidRPr="00B84F41">
              <w:rPr>
                <w:rFonts w:eastAsia="Times New Roman" w:cstheme="majorHAnsi"/>
                <w:szCs w:val="24"/>
                <w:lang w:val="ro-MD" w:eastAsia="ru-RU"/>
              </w:rPr>
              <w:t>arte integrantă a datoriei de stat ce reprezintă totalul sumelor obligațiilor neonorate și dobânzilor datorate și neonorate, contractate, în numele Republicii Moldova, de Guvern, prin intermediul Ministerului Finanțelor, de la rezidenții Republicii Moldova. Valorile mobiliare de stat emise pentru a fi plasate pe piața internă a Republicii Moldova, care sunt procurate de către nerezidenți, sunt atribuite datoriei de stat interne.</w:t>
            </w:r>
          </w:p>
        </w:tc>
      </w:tr>
      <w:tr w:rsidR="00B84F41" w:rsidRPr="00B84F41" w14:paraId="7D5E3323" w14:textId="77777777" w:rsidTr="00B84F41">
        <w:tc>
          <w:tcPr>
            <w:tcW w:w="2748" w:type="dxa"/>
          </w:tcPr>
          <w:p w14:paraId="2885C7B7" w14:textId="77777777" w:rsidR="00B84F41" w:rsidRPr="00B84F41" w:rsidRDefault="00B84F41" w:rsidP="00FB1205">
            <w:pPr>
              <w:spacing w:after="0" w:line="240" w:lineRule="auto"/>
              <w:jc w:val="both"/>
              <w:rPr>
                <w:rFonts w:eastAsia="Times New Roman" w:cstheme="majorHAnsi"/>
                <w:b/>
                <w:szCs w:val="24"/>
                <w:lang w:val="ro-MD" w:eastAsia="ru-RU"/>
              </w:rPr>
            </w:pPr>
            <w:r w:rsidRPr="00B84F41">
              <w:rPr>
                <w:rFonts w:eastAsia="Times New Roman" w:cstheme="majorHAnsi"/>
                <w:i/>
                <w:iCs/>
                <w:szCs w:val="24"/>
                <w:lang w:val="ro-MD" w:eastAsia="ru-RU"/>
              </w:rPr>
              <w:t>Deservire a datoriei</w:t>
            </w:r>
          </w:p>
        </w:tc>
        <w:tc>
          <w:tcPr>
            <w:tcW w:w="6596" w:type="dxa"/>
          </w:tcPr>
          <w:p w14:paraId="2F4B7898" w14:textId="77777777" w:rsidR="00B84F41"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P</w:t>
            </w:r>
            <w:r w:rsidR="00B84F41" w:rsidRPr="00B84F41">
              <w:rPr>
                <w:rFonts w:eastAsia="Times New Roman" w:cstheme="majorHAnsi"/>
                <w:szCs w:val="24"/>
                <w:lang w:val="ro-MD" w:eastAsia="ru-RU"/>
              </w:rPr>
              <w:t>lata sumei principale, a dobânzii și a altor sume aferente, prevăzute în contractele din care rezultă datoria.</w:t>
            </w:r>
          </w:p>
        </w:tc>
      </w:tr>
      <w:tr w:rsidR="00131233" w:rsidRPr="00B84F41" w14:paraId="1C6B30BF" w14:textId="77777777" w:rsidTr="00B84F41">
        <w:tc>
          <w:tcPr>
            <w:tcW w:w="2748" w:type="dxa"/>
          </w:tcPr>
          <w:p w14:paraId="21DCB057" w14:textId="77777777" w:rsidR="00131233" w:rsidRDefault="00131233" w:rsidP="00FB1205">
            <w:pPr>
              <w:spacing w:after="0" w:line="240" w:lineRule="auto"/>
              <w:jc w:val="both"/>
              <w:rPr>
                <w:rFonts w:eastAsia="Times New Roman" w:cstheme="majorHAnsi"/>
                <w:i/>
                <w:szCs w:val="24"/>
                <w:lang w:val="ro-MD" w:eastAsia="ru-RU"/>
              </w:rPr>
            </w:pPr>
            <w:r>
              <w:rPr>
                <w:rFonts w:eastAsia="Times New Roman" w:cstheme="majorHAnsi"/>
                <w:i/>
                <w:szCs w:val="24"/>
                <w:lang w:val="ro-MD" w:eastAsia="ru-RU"/>
              </w:rPr>
              <w:t>EURIBOR</w:t>
            </w:r>
          </w:p>
        </w:tc>
        <w:tc>
          <w:tcPr>
            <w:tcW w:w="6596" w:type="dxa"/>
          </w:tcPr>
          <w:p w14:paraId="2A65BF5E" w14:textId="77777777" w:rsidR="00131233"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Rata de referință pentru piața monetară în euro.</w:t>
            </w:r>
          </w:p>
        </w:tc>
      </w:tr>
      <w:tr w:rsidR="00131233" w:rsidRPr="00B84F41" w14:paraId="1C6755E1" w14:textId="77777777" w:rsidTr="00B84F41">
        <w:tc>
          <w:tcPr>
            <w:tcW w:w="2748" w:type="dxa"/>
          </w:tcPr>
          <w:p w14:paraId="5739E0AF" w14:textId="77777777" w:rsidR="00131233" w:rsidRPr="00B84F41" w:rsidRDefault="00131233" w:rsidP="00FB1205">
            <w:pPr>
              <w:spacing w:after="0" w:line="240" w:lineRule="auto"/>
              <w:jc w:val="both"/>
              <w:rPr>
                <w:rFonts w:eastAsia="Times New Roman" w:cstheme="majorHAnsi"/>
                <w:i/>
                <w:iCs/>
                <w:szCs w:val="24"/>
                <w:lang w:val="ro-MD" w:eastAsia="ru-RU"/>
              </w:rPr>
            </w:pPr>
            <w:r w:rsidRPr="00B84F41">
              <w:rPr>
                <w:rFonts w:eastAsia="Times New Roman" w:cs="Times New Roman"/>
                <w:i/>
                <w:iCs/>
                <w:szCs w:val="24"/>
                <w:lang w:val="ro-MD" w:eastAsia="ru-RU"/>
              </w:rPr>
              <w:t>G</w:t>
            </w:r>
            <w:r w:rsidRPr="00B84F41">
              <w:rPr>
                <w:rFonts w:eastAsia="Times New Roman" w:cs="Times New Roman"/>
                <w:i/>
                <w:szCs w:val="21"/>
                <w:lang w:val="ro-MD" w:eastAsia="ru-RU"/>
              </w:rPr>
              <w:t>aranție de stat</w:t>
            </w:r>
          </w:p>
        </w:tc>
        <w:tc>
          <w:tcPr>
            <w:tcW w:w="6596" w:type="dxa"/>
          </w:tcPr>
          <w:p w14:paraId="626D767C" w14:textId="77777777" w:rsidR="00131233" w:rsidRPr="00B84F41" w:rsidRDefault="00131233" w:rsidP="00FB1205">
            <w:pPr>
              <w:spacing w:after="0" w:line="240" w:lineRule="auto"/>
              <w:jc w:val="both"/>
              <w:rPr>
                <w:rFonts w:eastAsia="Times New Roman" w:cs="Times New Roman"/>
                <w:szCs w:val="24"/>
                <w:lang w:val="ro-MD"/>
              </w:rPr>
            </w:pPr>
            <w:r>
              <w:rPr>
                <w:rFonts w:eastAsia="Times New Roman" w:cs="Times New Roman"/>
                <w:lang w:val="ro-MD"/>
              </w:rPr>
              <w:t>A</w:t>
            </w:r>
            <w:r w:rsidRPr="00B84F41">
              <w:rPr>
                <w:rFonts w:eastAsia="Times New Roman" w:cs="Times New Roman"/>
                <w:lang w:val="ro-MD"/>
              </w:rPr>
              <w:t>ngajament asumat, în contul și în numele statului, de către Guvern, în calitate de garant, de a plăti la scadență obligațiile neon</w:t>
            </w:r>
            <w:r w:rsidRPr="00B84F41">
              <w:rPr>
                <w:rFonts w:eastAsia="Times New Roman" w:cs="Times New Roman"/>
                <w:szCs w:val="24"/>
                <w:lang w:val="ro-MD"/>
              </w:rPr>
              <w:t>orate ale debitorului garantat.</w:t>
            </w:r>
          </w:p>
        </w:tc>
      </w:tr>
      <w:tr w:rsidR="00131233" w:rsidRPr="00B84F41" w14:paraId="2721AC5E" w14:textId="77777777" w:rsidTr="00B84F41">
        <w:tc>
          <w:tcPr>
            <w:tcW w:w="2748" w:type="dxa"/>
          </w:tcPr>
          <w:p w14:paraId="4356629E" w14:textId="77777777" w:rsidR="00131233" w:rsidRPr="00082216" w:rsidRDefault="003D5BDE" w:rsidP="00FB1205">
            <w:pPr>
              <w:spacing w:after="0" w:line="240" w:lineRule="auto"/>
              <w:jc w:val="both"/>
              <w:rPr>
                <w:rFonts w:eastAsia="Times New Roman" w:cstheme="majorHAnsi"/>
                <w:szCs w:val="24"/>
                <w:lang w:val="ro-MD" w:eastAsia="ru-RU"/>
              </w:rPr>
            </w:pPr>
            <w:r>
              <w:rPr>
                <w:rFonts w:eastAsia="Times New Roman" w:cs="Times New Roman"/>
                <w:i/>
                <w:iCs/>
                <w:szCs w:val="24"/>
                <w:lang w:val="ro-MD" w:eastAsia="ru-RU"/>
              </w:rPr>
              <w:t>Instituții</w:t>
            </w:r>
            <w:r w:rsidR="00131233">
              <w:rPr>
                <w:rFonts w:eastAsia="Times New Roman" w:cs="Times New Roman"/>
                <w:i/>
                <w:iCs/>
                <w:szCs w:val="24"/>
                <w:lang w:val="ro-MD" w:eastAsia="ru-RU"/>
              </w:rPr>
              <w:t xml:space="preserve"> Financiare Participante (IFP)</w:t>
            </w:r>
          </w:p>
        </w:tc>
        <w:tc>
          <w:tcPr>
            <w:tcW w:w="6596" w:type="dxa"/>
          </w:tcPr>
          <w:p w14:paraId="641224FB" w14:textId="77777777" w:rsidR="00131233" w:rsidRPr="00082216" w:rsidRDefault="00131233" w:rsidP="00FB1205">
            <w:pPr>
              <w:spacing w:after="0" w:line="240" w:lineRule="auto"/>
              <w:jc w:val="both"/>
              <w:rPr>
                <w:rFonts w:eastAsia="Times New Roman" w:cs="Times New Roman"/>
                <w:szCs w:val="24"/>
                <w:lang w:val="ro-MD"/>
              </w:rPr>
            </w:pPr>
            <w:r>
              <w:rPr>
                <w:rFonts w:eastAsia="Times New Roman" w:cs="Times New Roman"/>
                <w:lang w:val="ro-MD"/>
              </w:rPr>
              <w:t>Băncile comerciale și unele organizații de creditare nebancară, selectate pentru îndeplinirea funcției de intermediere a liniilor de credit din resurse directe sau din resurse de refinanțare (revolving) în baza criteriilor stipulate de donatorii acestor resurse, care sunt destinate întreprinderilor mici și mijlocii a</w:t>
            </w:r>
            <w:r w:rsidR="003D5BDE">
              <w:rPr>
                <w:rFonts w:eastAsia="Times New Roman" w:cs="Times New Roman"/>
                <w:lang w:val="ro-MD"/>
              </w:rPr>
              <w:t>le</w:t>
            </w:r>
            <w:r>
              <w:rPr>
                <w:rFonts w:eastAsia="Times New Roman" w:cs="Times New Roman"/>
                <w:lang w:val="ro-MD"/>
              </w:rPr>
              <w:t xml:space="preserve"> sectorului privat.</w:t>
            </w:r>
            <w:r w:rsidRPr="00082216">
              <w:rPr>
                <w:rFonts w:eastAsia="Times New Roman" w:cs="Times New Roman"/>
                <w:lang w:val="ro-MD"/>
              </w:rPr>
              <w:t xml:space="preserve"> </w:t>
            </w:r>
          </w:p>
        </w:tc>
      </w:tr>
      <w:tr w:rsidR="00131233" w:rsidRPr="00B84F41" w14:paraId="680B0CF2" w14:textId="77777777" w:rsidTr="00B84F41">
        <w:tc>
          <w:tcPr>
            <w:tcW w:w="2748" w:type="dxa"/>
          </w:tcPr>
          <w:p w14:paraId="51DE5D4D" w14:textId="77777777" w:rsidR="00131233" w:rsidRPr="00B84F41" w:rsidRDefault="00131233" w:rsidP="00FB1205">
            <w:pPr>
              <w:spacing w:after="0" w:line="240" w:lineRule="auto"/>
              <w:jc w:val="both"/>
              <w:rPr>
                <w:rFonts w:eastAsia="Times New Roman" w:cstheme="majorHAnsi"/>
                <w:b/>
                <w:szCs w:val="24"/>
                <w:lang w:val="ro-MD" w:eastAsia="ru-RU"/>
              </w:rPr>
            </w:pPr>
            <w:r w:rsidRPr="00B84F41">
              <w:rPr>
                <w:rFonts w:eastAsia="Times New Roman" w:cstheme="majorHAnsi"/>
                <w:i/>
                <w:iCs/>
                <w:szCs w:val="24"/>
                <w:lang w:val="ro-MD" w:eastAsia="ru-RU"/>
              </w:rPr>
              <w:t>Instrument al datoriei</w:t>
            </w:r>
          </w:p>
        </w:tc>
        <w:tc>
          <w:tcPr>
            <w:tcW w:w="6596" w:type="dxa"/>
          </w:tcPr>
          <w:p w14:paraId="5AAE33EE" w14:textId="00FC4052" w:rsidR="00131233"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O</w:t>
            </w:r>
            <w:r w:rsidRPr="00B84F41">
              <w:rPr>
                <w:rFonts w:eastAsia="Times New Roman" w:cstheme="majorHAnsi"/>
                <w:szCs w:val="24"/>
                <w:lang w:val="ro-MD" w:eastAsia="ru-RU"/>
              </w:rPr>
              <w:t>bligație financiară care presupune efectuarea plăților sumei principale și/sau a dobânzii de către debitor în favoarea creditorului</w:t>
            </w:r>
            <w:r w:rsidR="002C3802">
              <w:rPr>
                <w:rFonts w:eastAsia="Times New Roman" w:cstheme="majorHAnsi"/>
                <w:szCs w:val="24"/>
                <w:lang w:val="ro-MD" w:eastAsia="ru-RU"/>
              </w:rPr>
              <w:t>,</w:t>
            </w:r>
            <w:r w:rsidRPr="00B84F41">
              <w:rPr>
                <w:rFonts w:eastAsia="Times New Roman" w:cstheme="majorHAnsi"/>
                <w:szCs w:val="24"/>
                <w:lang w:val="ro-MD" w:eastAsia="ru-RU"/>
              </w:rPr>
              <w:t xml:space="preserve"> la o anumită dată în viitor.</w:t>
            </w:r>
          </w:p>
        </w:tc>
      </w:tr>
      <w:tr w:rsidR="00131233" w:rsidRPr="00B84F41" w14:paraId="343E8091" w14:textId="77777777" w:rsidTr="00B84F41">
        <w:tc>
          <w:tcPr>
            <w:tcW w:w="2748" w:type="dxa"/>
          </w:tcPr>
          <w:p w14:paraId="0AFC97CE" w14:textId="77777777" w:rsidR="00131233" w:rsidRPr="00B84F41" w:rsidRDefault="00131233" w:rsidP="00FB1205">
            <w:pPr>
              <w:spacing w:after="0" w:line="240" w:lineRule="auto"/>
              <w:jc w:val="both"/>
              <w:rPr>
                <w:rFonts w:eastAsia="Times New Roman" w:cstheme="majorHAnsi"/>
                <w:i/>
                <w:iCs/>
                <w:szCs w:val="24"/>
                <w:lang w:val="ro-MD" w:eastAsia="ru-RU"/>
              </w:rPr>
            </w:pPr>
            <w:r>
              <w:rPr>
                <w:rFonts w:eastAsia="Times New Roman" w:cstheme="majorHAnsi"/>
                <w:i/>
                <w:iCs/>
                <w:szCs w:val="24"/>
                <w:lang w:val="ro-MD" w:eastAsia="ru-RU"/>
              </w:rPr>
              <w:t>Împrumut de stat</w:t>
            </w:r>
          </w:p>
        </w:tc>
        <w:tc>
          <w:tcPr>
            <w:tcW w:w="6596" w:type="dxa"/>
          </w:tcPr>
          <w:p w14:paraId="17585EEE" w14:textId="77777777" w:rsidR="00131233"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Relație contractuală prin care creditorul transmite în proprietatea statului mijloace, cu condiția rambursării acestora de către stat la expirarea termenului pentru care au fost acordate.</w:t>
            </w:r>
          </w:p>
        </w:tc>
      </w:tr>
      <w:tr w:rsidR="00131233" w:rsidRPr="00B84F41" w14:paraId="1CDF362A" w14:textId="77777777" w:rsidTr="00B84F41">
        <w:tc>
          <w:tcPr>
            <w:tcW w:w="2748" w:type="dxa"/>
          </w:tcPr>
          <w:p w14:paraId="5CD705AD" w14:textId="77777777" w:rsidR="00131233" w:rsidRDefault="00131233" w:rsidP="00FB1205">
            <w:pPr>
              <w:spacing w:after="0" w:line="240" w:lineRule="auto"/>
              <w:jc w:val="both"/>
              <w:rPr>
                <w:rFonts w:eastAsia="Times New Roman" w:cs="Times New Roman"/>
                <w:i/>
                <w:iCs/>
                <w:szCs w:val="24"/>
                <w:lang w:val="ro-MD" w:eastAsia="ru-RU"/>
              </w:rPr>
            </w:pPr>
            <w:r>
              <w:rPr>
                <w:rFonts w:eastAsia="Times New Roman" w:cs="Times New Roman"/>
                <w:i/>
                <w:iCs/>
                <w:szCs w:val="24"/>
                <w:lang w:val="ro-MD" w:eastAsia="ru-RU"/>
              </w:rPr>
              <w:t>LIBOR</w:t>
            </w:r>
          </w:p>
        </w:tc>
        <w:tc>
          <w:tcPr>
            <w:tcW w:w="6596" w:type="dxa"/>
          </w:tcPr>
          <w:p w14:paraId="4001B73B" w14:textId="77777777" w:rsidR="00131233" w:rsidRDefault="00131233" w:rsidP="00FB1205">
            <w:pPr>
              <w:spacing w:after="0" w:line="240" w:lineRule="auto"/>
              <w:jc w:val="both"/>
              <w:rPr>
                <w:rFonts w:eastAsia="Times New Roman" w:cs="Times New Roman"/>
                <w:lang w:val="ro-MD"/>
              </w:rPr>
            </w:pPr>
            <w:r>
              <w:rPr>
                <w:rFonts w:eastAsia="Times New Roman" w:cs="Times New Roman"/>
                <w:lang w:val="ro-MD"/>
              </w:rPr>
              <w:t>Rata dobânzii practicată pe piața londoneză de către băncile de prim rang care oferă fonduri și reprezintă media aritmetică a ratelor de dobândă practicate de principalele bănci pentru 5 valute (lire sterline, euro, dolari SUA, franci elvețieni și yeni japonezi).</w:t>
            </w:r>
          </w:p>
        </w:tc>
      </w:tr>
      <w:tr w:rsidR="00131233" w:rsidRPr="00B84F41" w14:paraId="3A2B23BC" w14:textId="77777777" w:rsidTr="00B84F41">
        <w:tc>
          <w:tcPr>
            <w:tcW w:w="2748" w:type="dxa"/>
          </w:tcPr>
          <w:p w14:paraId="3A2DBA08" w14:textId="77777777" w:rsidR="00131233" w:rsidRPr="00B84F41" w:rsidRDefault="00131233" w:rsidP="00FB1205">
            <w:pPr>
              <w:spacing w:after="0" w:line="240" w:lineRule="auto"/>
              <w:jc w:val="both"/>
              <w:rPr>
                <w:rFonts w:eastAsia="Times New Roman" w:cstheme="majorHAnsi"/>
                <w:b/>
                <w:szCs w:val="24"/>
                <w:lang w:val="ro-MD" w:eastAsia="ru-RU"/>
              </w:rPr>
            </w:pPr>
            <w:r w:rsidRPr="00B84F41">
              <w:rPr>
                <w:rFonts w:eastAsia="Times New Roman" w:cstheme="majorHAnsi"/>
                <w:i/>
                <w:iCs/>
                <w:szCs w:val="24"/>
                <w:lang w:val="ro-MD" w:eastAsia="ru-RU"/>
              </w:rPr>
              <w:t>Recreditare</w:t>
            </w:r>
          </w:p>
        </w:tc>
        <w:tc>
          <w:tcPr>
            <w:tcW w:w="6596" w:type="dxa"/>
          </w:tcPr>
          <w:p w14:paraId="07469768" w14:textId="77777777" w:rsidR="00131233" w:rsidRPr="00B84F41" w:rsidRDefault="00131233" w:rsidP="00FB1205">
            <w:pPr>
              <w:spacing w:after="0" w:line="240" w:lineRule="auto"/>
              <w:jc w:val="both"/>
              <w:rPr>
                <w:rFonts w:eastAsia="Times New Roman" w:cstheme="majorHAnsi"/>
                <w:b/>
                <w:szCs w:val="24"/>
                <w:lang w:val="ro-MD" w:eastAsia="ru-RU"/>
              </w:rPr>
            </w:pPr>
            <w:r>
              <w:rPr>
                <w:rFonts w:eastAsia="Times New Roman" w:cstheme="majorHAnsi"/>
                <w:szCs w:val="24"/>
                <w:lang w:val="ro-MD" w:eastAsia="ru-RU"/>
              </w:rPr>
              <w:t>A</w:t>
            </w:r>
            <w:r w:rsidRPr="00B84F41">
              <w:rPr>
                <w:rFonts w:eastAsia="Times New Roman" w:cstheme="majorHAnsi"/>
                <w:szCs w:val="24"/>
                <w:lang w:val="ro-MD" w:eastAsia="ru-RU"/>
              </w:rPr>
              <w:t>cordarea de împrumut beneficiarilor recreditării din contul mijloacelor obținute din împrumuturi de stat.</w:t>
            </w:r>
          </w:p>
        </w:tc>
      </w:tr>
      <w:tr w:rsidR="00131233" w:rsidRPr="00D159B6" w14:paraId="10A84F79" w14:textId="77777777" w:rsidTr="00B84F41">
        <w:tc>
          <w:tcPr>
            <w:tcW w:w="2748" w:type="dxa"/>
          </w:tcPr>
          <w:p w14:paraId="2406AA8E" w14:textId="77777777" w:rsidR="00131233" w:rsidRPr="00B84F41" w:rsidRDefault="00131233" w:rsidP="00FB1205">
            <w:pPr>
              <w:spacing w:after="0" w:line="240" w:lineRule="auto"/>
              <w:jc w:val="both"/>
              <w:rPr>
                <w:rFonts w:eastAsia="Times New Roman" w:cstheme="majorHAnsi"/>
                <w:szCs w:val="24"/>
                <w:lang w:val="ro-MD" w:eastAsia="ru-RU"/>
              </w:rPr>
            </w:pPr>
            <w:r w:rsidRPr="00B84F41">
              <w:rPr>
                <w:rFonts w:eastAsia="Times New Roman" w:cstheme="majorHAnsi"/>
                <w:i/>
                <w:iCs/>
                <w:szCs w:val="24"/>
                <w:lang w:val="ro-MD" w:eastAsia="ru-RU"/>
              </w:rPr>
              <w:t>Sumă principală</w:t>
            </w:r>
            <w:r w:rsidRPr="00B84F41">
              <w:rPr>
                <w:rFonts w:eastAsia="Times New Roman" w:cstheme="majorHAnsi"/>
                <w:szCs w:val="24"/>
                <w:lang w:val="ro-MD" w:eastAsia="ru-RU"/>
              </w:rPr>
              <w:t xml:space="preserve"> </w:t>
            </w:r>
          </w:p>
        </w:tc>
        <w:tc>
          <w:tcPr>
            <w:tcW w:w="6596" w:type="dxa"/>
          </w:tcPr>
          <w:p w14:paraId="2EC9D976" w14:textId="77777777" w:rsidR="00131233" w:rsidRPr="00B84F41" w:rsidRDefault="00131233" w:rsidP="00FB1205">
            <w:pPr>
              <w:spacing w:after="0" w:line="240" w:lineRule="auto"/>
              <w:jc w:val="both"/>
              <w:rPr>
                <w:rFonts w:eastAsia="Times New Roman" w:cstheme="majorHAnsi"/>
                <w:b/>
                <w:szCs w:val="24"/>
                <w:lang w:val="ro-MD" w:eastAsia="ru-RU"/>
              </w:rPr>
            </w:pPr>
            <w:r>
              <w:rPr>
                <w:rFonts w:eastAsia="Times New Roman" w:cstheme="majorHAnsi"/>
                <w:szCs w:val="24"/>
                <w:lang w:val="ro-MD" w:eastAsia="ru-RU"/>
              </w:rPr>
              <w:t>S</w:t>
            </w:r>
            <w:r w:rsidRPr="00B84F41">
              <w:rPr>
                <w:rFonts w:eastAsia="Times New Roman" w:cstheme="majorHAnsi"/>
                <w:szCs w:val="24"/>
                <w:lang w:val="ro-MD" w:eastAsia="ru-RU"/>
              </w:rPr>
              <w:t>umă acordată în cadrul unui împrumut.</w:t>
            </w:r>
          </w:p>
        </w:tc>
      </w:tr>
      <w:tr w:rsidR="00131233" w:rsidRPr="00B84F41" w14:paraId="7837F19B" w14:textId="77777777" w:rsidTr="00B84F41">
        <w:tc>
          <w:tcPr>
            <w:tcW w:w="2748" w:type="dxa"/>
          </w:tcPr>
          <w:p w14:paraId="23FD9300" w14:textId="77777777" w:rsidR="00131233" w:rsidRPr="00B84F41" w:rsidRDefault="00131233" w:rsidP="00FB1205">
            <w:pPr>
              <w:spacing w:after="0" w:line="240" w:lineRule="auto"/>
              <w:jc w:val="both"/>
              <w:rPr>
                <w:rFonts w:eastAsia="Times New Roman" w:cstheme="majorHAnsi"/>
                <w:i/>
                <w:iCs/>
                <w:szCs w:val="24"/>
                <w:lang w:val="ro-MD" w:eastAsia="ru-RU"/>
              </w:rPr>
            </w:pPr>
            <w:r w:rsidRPr="00B84F41">
              <w:rPr>
                <w:rFonts w:eastAsia="Times New Roman" w:cstheme="majorHAnsi"/>
                <w:i/>
                <w:iCs/>
                <w:szCs w:val="24"/>
                <w:lang w:val="ro-MD" w:eastAsia="ru-RU"/>
              </w:rPr>
              <w:t>Serviciul datoriei de stat</w:t>
            </w:r>
          </w:p>
        </w:tc>
        <w:tc>
          <w:tcPr>
            <w:tcW w:w="6596" w:type="dxa"/>
          </w:tcPr>
          <w:p w14:paraId="51FD29C3" w14:textId="77777777" w:rsidR="00131233"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P</w:t>
            </w:r>
            <w:r w:rsidRPr="00B84F41">
              <w:rPr>
                <w:rFonts w:eastAsia="Times New Roman" w:cstheme="majorHAnsi"/>
                <w:szCs w:val="24"/>
                <w:lang w:val="ro-MD" w:eastAsia="ru-RU"/>
              </w:rPr>
              <w:t>lățile de dobândă și comisioanele aferente datoriei.</w:t>
            </w:r>
          </w:p>
        </w:tc>
      </w:tr>
      <w:tr w:rsidR="00131233" w:rsidRPr="00B84F41" w14:paraId="2A0C8172" w14:textId="77777777" w:rsidTr="00B84F41">
        <w:tc>
          <w:tcPr>
            <w:tcW w:w="2748" w:type="dxa"/>
          </w:tcPr>
          <w:p w14:paraId="153CCA5C" w14:textId="77777777" w:rsidR="00131233" w:rsidRPr="00B84F41" w:rsidRDefault="00131233" w:rsidP="00FB1205">
            <w:pPr>
              <w:spacing w:after="0" w:line="240" w:lineRule="auto"/>
              <w:jc w:val="both"/>
              <w:rPr>
                <w:rFonts w:eastAsia="Times New Roman" w:cstheme="majorHAnsi"/>
                <w:i/>
                <w:iCs/>
                <w:szCs w:val="24"/>
                <w:lang w:val="ro-MD" w:eastAsia="ru-RU"/>
              </w:rPr>
            </w:pPr>
            <w:r w:rsidRPr="00B84F41">
              <w:rPr>
                <w:rFonts w:eastAsia="Times New Roman" w:cs="Times New Roman"/>
                <w:i/>
                <w:szCs w:val="21"/>
                <w:lang w:val="ro-MD" w:eastAsia="ru-RU"/>
              </w:rPr>
              <w:t>Termen scurt</w:t>
            </w:r>
          </w:p>
        </w:tc>
        <w:tc>
          <w:tcPr>
            <w:tcW w:w="6596" w:type="dxa"/>
          </w:tcPr>
          <w:p w14:paraId="582BF96C" w14:textId="77777777" w:rsidR="00131233" w:rsidRPr="00B84F41" w:rsidRDefault="00131233" w:rsidP="00FB1205">
            <w:pPr>
              <w:spacing w:after="0" w:line="240" w:lineRule="auto"/>
              <w:jc w:val="both"/>
              <w:rPr>
                <w:rFonts w:eastAsia="Times New Roman" w:cstheme="majorHAnsi"/>
                <w:szCs w:val="24"/>
                <w:lang w:val="ro-MD" w:eastAsia="ru-RU"/>
              </w:rPr>
            </w:pPr>
            <w:r>
              <w:rPr>
                <w:rFonts w:eastAsia="Times New Roman" w:cs="Times New Roman"/>
                <w:szCs w:val="21"/>
                <w:lang w:val="ro-MD" w:eastAsia="ru-RU"/>
              </w:rPr>
              <w:t>P</w:t>
            </w:r>
            <w:r w:rsidRPr="00B84F41">
              <w:rPr>
                <w:rFonts w:eastAsia="Times New Roman" w:cs="Times New Roman"/>
                <w:szCs w:val="21"/>
                <w:lang w:val="ro-MD" w:eastAsia="ru-RU"/>
              </w:rPr>
              <w:t>erioadă de rambursare de până la un an și/sau</w:t>
            </w:r>
            <w:r w:rsidR="003D5BDE">
              <w:rPr>
                <w:rFonts w:eastAsia="Times New Roman" w:cs="Times New Roman"/>
                <w:szCs w:val="21"/>
                <w:lang w:val="ro-MD" w:eastAsia="ru-RU"/>
              </w:rPr>
              <w:t xml:space="preserve"> de</w:t>
            </w:r>
            <w:r w:rsidRPr="00B84F41">
              <w:rPr>
                <w:rFonts w:eastAsia="Times New Roman" w:cs="Times New Roman"/>
                <w:szCs w:val="21"/>
                <w:lang w:val="ro-MD" w:eastAsia="ru-RU"/>
              </w:rPr>
              <w:t xml:space="preserve"> rambursare la solicitarea creditorului în lipsa te</w:t>
            </w:r>
            <w:r w:rsidRPr="00B84F41">
              <w:rPr>
                <w:rFonts w:eastAsia="Times New Roman" w:cs="Times New Roman"/>
                <w:szCs w:val="24"/>
                <w:lang w:val="ro-MD" w:eastAsia="ru-RU"/>
              </w:rPr>
              <w:t>rmenului de scadență.</w:t>
            </w:r>
          </w:p>
        </w:tc>
      </w:tr>
      <w:tr w:rsidR="00131233" w:rsidRPr="00B84F41" w14:paraId="4CFDA318" w14:textId="77777777" w:rsidTr="00B84F41">
        <w:tc>
          <w:tcPr>
            <w:tcW w:w="2748" w:type="dxa"/>
          </w:tcPr>
          <w:p w14:paraId="3CCECAC1" w14:textId="77777777" w:rsidR="00131233" w:rsidRPr="00B84F41" w:rsidRDefault="00131233" w:rsidP="00FB1205">
            <w:pPr>
              <w:spacing w:after="0" w:line="240" w:lineRule="auto"/>
              <w:jc w:val="both"/>
              <w:rPr>
                <w:rFonts w:eastAsia="Times New Roman" w:cstheme="majorHAnsi"/>
                <w:i/>
                <w:iCs/>
                <w:szCs w:val="24"/>
                <w:lang w:val="ro-MD" w:eastAsia="ru-RU"/>
              </w:rPr>
            </w:pPr>
            <w:r w:rsidRPr="00B84F41">
              <w:rPr>
                <w:rFonts w:eastAsia="Times New Roman" w:cs="Times New Roman"/>
                <w:i/>
                <w:szCs w:val="21"/>
                <w:lang w:val="ro-MD" w:eastAsia="ru-RU"/>
              </w:rPr>
              <w:lastRenderedPageBreak/>
              <w:t>Termen mediu</w:t>
            </w:r>
          </w:p>
        </w:tc>
        <w:tc>
          <w:tcPr>
            <w:tcW w:w="6596" w:type="dxa"/>
          </w:tcPr>
          <w:p w14:paraId="64452DDF" w14:textId="77777777" w:rsidR="00131233" w:rsidRPr="00B84F41" w:rsidRDefault="00131233" w:rsidP="00FB1205">
            <w:pPr>
              <w:spacing w:after="0" w:line="240" w:lineRule="auto"/>
              <w:jc w:val="both"/>
              <w:rPr>
                <w:rFonts w:eastAsia="Times New Roman" w:cs="Times New Roman"/>
                <w:szCs w:val="24"/>
                <w:lang w:val="ro-MD"/>
              </w:rPr>
            </w:pPr>
            <w:r>
              <w:rPr>
                <w:rFonts w:eastAsia="Times New Roman" w:cs="Times New Roman"/>
                <w:lang w:val="ro-MD"/>
              </w:rPr>
              <w:t>P</w:t>
            </w:r>
            <w:r w:rsidRPr="00B84F41">
              <w:rPr>
                <w:rFonts w:eastAsia="Times New Roman" w:cs="Times New Roman"/>
                <w:lang w:val="ro-MD"/>
              </w:rPr>
              <w:t>erioadă de timp de 3 ani ce vizează termenul pentru care sunt stabilite obiectivele și este analizată evoluția indicatorilor aferenți datoriei de stat în cadrul Programului „Managementul datoriei de stat pe termen medi</w:t>
            </w:r>
            <w:r w:rsidRPr="00B84F41">
              <w:rPr>
                <w:rFonts w:eastAsia="Times New Roman" w:cs="Times New Roman"/>
                <w:szCs w:val="24"/>
                <w:lang w:val="ro-MD"/>
              </w:rPr>
              <w:t>u”.</w:t>
            </w:r>
          </w:p>
        </w:tc>
      </w:tr>
      <w:tr w:rsidR="00131233" w:rsidRPr="00B84F41" w14:paraId="33FF8F0D" w14:textId="77777777" w:rsidTr="00B84F41">
        <w:tc>
          <w:tcPr>
            <w:tcW w:w="2748" w:type="dxa"/>
          </w:tcPr>
          <w:p w14:paraId="3966BCD1" w14:textId="77777777" w:rsidR="00131233" w:rsidRPr="00B84F41" w:rsidRDefault="00131233" w:rsidP="00FB1205">
            <w:pPr>
              <w:spacing w:after="0" w:line="240" w:lineRule="auto"/>
              <w:jc w:val="both"/>
              <w:rPr>
                <w:rFonts w:eastAsia="Times New Roman" w:cs="Times New Roman"/>
                <w:i/>
                <w:iCs/>
                <w:szCs w:val="24"/>
                <w:lang w:val="ro-MD" w:eastAsia="ru-RU"/>
              </w:rPr>
            </w:pPr>
            <w:r w:rsidRPr="00B84F41">
              <w:rPr>
                <w:rFonts w:eastAsia="Times New Roman" w:cs="Times New Roman"/>
                <w:i/>
                <w:szCs w:val="21"/>
                <w:lang w:val="ro-MD" w:eastAsia="ru-RU"/>
              </w:rPr>
              <w:t>Termen lung</w:t>
            </w:r>
          </w:p>
        </w:tc>
        <w:tc>
          <w:tcPr>
            <w:tcW w:w="6596" w:type="dxa"/>
          </w:tcPr>
          <w:p w14:paraId="35666363" w14:textId="77777777" w:rsidR="00131233" w:rsidRPr="00B84F41" w:rsidRDefault="00131233" w:rsidP="00FB1205">
            <w:pPr>
              <w:spacing w:after="0" w:line="240" w:lineRule="auto"/>
              <w:jc w:val="both"/>
              <w:rPr>
                <w:rFonts w:eastAsia="Times New Roman" w:cs="Times New Roman"/>
                <w:szCs w:val="24"/>
                <w:lang w:val="ro-MD"/>
              </w:rPr>
            </w:pPr>
            <w:r>
              <w:rPr>
                <w:rFonts w:eastAsia="Times New Roman" w:cs="Times New Roman"/>
                <w:lang w:val="ro-MD"/>
              </w:rPr>
              <w:t>P</w:t>
            </w:r>
            <w:r w:rsidRPr="00B84F41">
              <w:rPr>
                <w:rFonts w:eastAsia="Times New Roman" w:cs="Times New Roman"/>
                <w:lang w:val="ro-MD"/>
              </w:rPr>
              <w:t>erioadă de ram</w:t>
            </w:r>
            <w:r w:rsidRPr="00B84F41">
              <w:rPr>
                <w:rFonts w:eastAsia="Times New Roman" w:cs="Times New Roman"/>
                <w:szCs w:val="24"/>
                <w:lang w:val="ro-MD"/>
              </w:rPr>
              <w:t>bursare de la un an și mai mare.</w:t>
            </w:r>
          </w:p>
        </w:tc>
      </w:tr>
      <w:tr w:rsidR="00131233" w:rsidRPr="00B84F41" w14:paraId="22C71D59" w14:textId="77777777" w:rsidTr="00B84F41">
        <w:tc>
          <w:tcPr>
            <w:tcW w:w="2748" w:type="dxa"/>
          </w:tcPr>
          <w:p w14:paraId="6E1FC780" w14:textId="77777777" w:rsidR="00131233" w:rsidRPr="00B84F41" w:rsidRDefault="00131233" w:rsidP="00FB1205">
            <w:pPr>
              <w:spacing w:after="0" w:line="240" w:lineRule="auto"/>
              <w:jc w:val="both"/>
              <w:rPr>
                <w:rFonts w:eastAsia="Times New Roman" w:cstheme="majorHAnsi"/>
                <w:i/>
                <w:iCs/>
                <w:szCs w:val="24"/>
                <w:lang w:val="ro-MD" w:eastAsia="ru-RU"/>
              </w:rPr>
            </w:pPr>
            <w:r w:rsidRPr="00B84F41">
              <w:rPr>
                <w:rFonts w:eastAsia="Times New Roman" w:cstheme="majorHAnsi"/>
                <w:i/>
                <w:iCs/>
                <w:szCs w:val="24"/>
                <w:lang w:val="ro-MD" w:eastAsia="ru-RU"/>
              </w:rPr>
              <w:t>Valoare mobiliară de stat</w:t>
            </w:r>
          </w:p>
        </w:tc>
        <w:tc>
          <w:tcPr>
            <w:tcW w:w="6596" w:type="dxa"/>
          </w:tcPr>
          <w:p w14:paraId="54357B46" w14:textId="77777777" w:rsidR="00131233" w:rsidRPr="00B84F41" w:rsidRDefault="00131233" w:rsidP="00FB1205">
            <w:pPr>
              <w:spacing w:after="0" w:line="240" w:lineRule="auto"/>
              <w:jc w:val="both"/>
              <w:rPr>
                <w:rFonts w:eastAsia="Times New Roman" w:cstheme="majorHAnsi"/>
                <w:szCs w:val="24"/>
                <w:lang w:val="ro-MD" w:eastAsia="ru-RU"/>
              </w:rPr>
            </w:pPr>
            <w:r>
              <w:rPr>
                <w:rFonts w:eastAsia="Times New Roman" w:cstheme="majorHAnsi"/>
                <w:szCs w:val="24"/>
                <w:lang w:val="ro-MD" w:eastAsia="ru-RU"/>
              </w:rPr>
              <w:t>I</w:t>
            </w:r>
            <w:r w:rsidRPr="00B84F41">
              <w:rPr>
                <w:rFonts w:eastAsia="Times New Roman" w:cstheme="majorHAnsi"/>
                <w:szCs w:val="24"/>
                <w:lang w:val="ro-MD" w:eastAsia="ru-RU"/>
              </w:rPr>
              <w:t>nstrument al datoriei de stat emis în formă de titlu financiar negociabil.</w:t>
            </w:r>
          </w:p>
        </w:tc>
      </w:tr>
      <w:tr w:rsidR="00B736AB" w:rsidRPr="00B84F41" w14:paraId="3AC75B6A" w14:textId="77777777" w:rsidTr="00B84F41">
        <w:tc>
          <w:tcPr>
            <w:tcW w:w="2748" w:type="dxa"/>
          </w:tcPr>
          <w:p w14:paraId="65E79A15" w14:textId="47EBA606" w:rsidR="00B736AB" w:rsidRPr="00B84F41" w:rsidRDefault="00B736AB" w:rsidP="00FB1205">
            <w:pPr>
              <w:spacing w:after="0" w:line="240" w:lineRule="auto"/>
              <w:jc w:val="both"/>
              <w:rPr>
                <w:rFonts w:eastAsia="Times New Roman" w:cstheme="majorHAnsi"/>
                <w:i/>
                <w:iCs/>
                <w:szCs w:val="24"/>
                <w:lang w:val="ro-MD" w:eastAsia="ru-RU"/>
              </w:rPr>
            </w:pPr>
            <w:r>
              <w:rPr>
                <w:rFonts w:eastAsia="Times New Roman" w:cstheme="majorHAnsi"/>
                <w:i/>
                <w:iCs/>
                <w:szCs w:val="24"/>
                <w:lang w:val="ro-MD" w:eastAsia="ru-RU"/>
              </w:rPr>
              <w:t>VMS convertite</w:t>
            </w:r>
          </w:p>
        </w:tc>
        <w:tc>
          <w:tcPr>
            <w:tcW w:w="6596" w:type="dxa"/>
          </w:tcPr>
          <w:p w14:paraId="010F15E3" w14:textId="023B68E3" w:rsidR="00B736AB" w:rsidRDefault="00B736AB" w:rsidP="00FB1205">
            <w:pPr>
              <w:spacing w:after="0" w:line="240" w:lineRule="auto"/>
              <w:jc w:val="both"/>
              <w:rPr>
                <w:rFonts w:eastAsia="Times New Roman" w:cstheme="majorHAnsi"/>
                <w:szCs w:val="24"/>
                <w:lang w:val="ro-MD" w:eastAsia="ru-RU"/>
              </w:rPr>
            </w:pPr>
            <w:r>
              <w:rPr>
                <w:rFonts w:cstheme="majorHAnsi"/>
                <w:szCs w:val="24"/>
                <w:lang w:val="ro-MD" w:eastAsia="ru-RU"/>
              </w:rPr>
              <w:t>Soldul împrumuturilor contractate anterior de la BNM.</w:t>
            </w:r>
          </w:p>
        </w:tc>
      </w:tr>
    </w:tbl>
    <w:p w14:paraId="4BBDAEE8" w14:textId="77777777" w:rsidR="00B84F41" w:rsidRPr="00B84F41" w:rsidRDefault="00B84F41" w:rsidP="00FB1205">
      <w:pPr>
        <w:jc w:val="both"/>
        <w:rPr>
          <w:lang w:eastAsia="ru-RU"/>
        </w:rPr>
      </w:pPr>
    </w:p>
    <w:p w14:paraId="46EBD060" w14:textId="77777777" w:rsidR="00B84F41" w:rsidRDefault="00B84F41" w:rsidP="00FB1205">
      <w:pPr>
        <w:jc w:val="both"/>
        <w:rPr>
          <w:lang w:val="ro-MD" w:eastAsia="ru-RU"/>
        </w:rPr>
      </w:pPr>
    </w:p>
    <w:p w14:paraId="5FA5C166" w14:textId="77777777" w:rsidR="00B84F41" w:rsidRDefault="00B84F41" w:rsidP="00FB1205">
      <w:pPr>
        <w:jc w:val="both"/>
        <w:rPr>
          <w:lang w:val="ro-MD" w:eastAsia="ru-RU"/>
        </w:rPr>
      </w:pPr>
    </w:p>
    <w:p w14:paraId="74F94DAD" w14:textId="77777777" w:rsidR="00B84F41" w:rsidRDefault="00B84F41" w:rsidP="00FB1205">
      <w:pPr>
        <w:jc w:val="both"/>
        <w:rPr>
          <w:lang w:val="ro-MD" w:eastAsia="ru-RU"/>
        </w:rPr>
      </w:pPr>
    </w:p>
    <w:p w14:paraId="1B25EE12" w14:textId="77777777" w:rsidR="00B84F41" w:rsidRDefault="00B84F41" w:rsidP="00FB1205">
      <w:pPr>
        <w:jc w:val="both"/>
        <w:rPr>
          <w:lang w:val="ro-MD" w:eastAsia="ru-RU"/>
        </w:rPr>
      </w:pPr>
    </w:p>
    <w:p w14:paraId="192AE4B6" w14:textId="77777777" w:rsidR="00131233" w:rsidRDefault="00131233" w:rsidP="00FB1205">
      <w:pPr>
        <w:jc w:val="both"/>
        <w:rPr>
          <w:lang w:val="ro-MD" w:eastAsia="ru-RU"/>
        </w:rPr>
      </w:pPr>
    </w:p>
    <w:p w14:paraId="1D94C820" w14:textId="77777777" w:rsidR="00131233" w:rsidRDefault="00131233" w:rsidP="00FB1205">
      <w:pPr>
        <w:jc w:val="both"/>
        <w:rPr>
          <w:lang w:val="ro-MD" w:eastAsia="ru-RU"/>
        </w:rPr>
      </w:pPr>
    </w:p>
    <w:p w14:paraId="6FCE3B54" w14:textId="77777777" w:rsidR="00131233" w:rsidRDefault="00131233" w:rsidP="00FB1205">
      <w:pPr>
        <w:jc w:val="both"/>
        <w:rPr>
          <w:lang w:val="ro-MD" w:eastAsia="ru-RU"/>
        </w:rPr>
      </w:pPr>
    </w:p>
    <w:p w14:paraId="072A95FE" w14:textId="6A94115F" w:rsidR="00131233" w:rsidRDefault="00131233" w:rsidP="00FB1205">
      <w:pPr>
        <w:jc w:val="both"/>
        <w:rPr>
          <w:lang w:val="ro-MD" w:eastAsia="ru-RU"/>
        </w:rPr>
      </w:pPr>
    </w:p>
    <w:p w14:paraId="4D6B63DE" w14:textId="6597425C" w:rsidR="00282F29" w:rsidRDefault="00282F29" w:rsidP="00FB1205">
      <w:pPr>
        <w:jc w:val="both"/>
        <w:rPr>
          <w:lang w:val="ro-MD" w:eastAsia="ru-RU"/>
        </w:rPr>
      </w:pPr>
    </w:p>
    <w:p w14:paraId="76D9A99F" w14:textId="3D135D5F" w:rsidR="00282F29" w:rsidRDefault="00282F29" w:rsidP="00FB1205">
      <w:pPr>
        <w:jc w:val="both"/>
        <w:rPr>
          <w:lang w:val="ro-MD" w:eastAsia="ru-RU"/>
        </w:rPr>
      </w:pPr>
    </w:p>
    <w:p w14:paraId="2AF1D35D" w14:textId="33BB693A" w:rsidR="00282F29" w:rsidRDefault="00282F29" w:rsidP="00FB1205">
      <w:pPr>
        <w:jc w:val="both"/>
        <w:rPr>
          <w:lang w:val="ro-MD" w:eastAsia="ru-RU"/>
        </w:rPr>
      </w:pPr>
    </w:p>
    <w:p w14:paraId="430D53A0" w14:textId="7C7ABE36" w:rsidR="00B84F41" w:rsidRDefault="00B84F41" w:rsidP="00FB1205">
      <w:pPr>
        <w:jc w:val="both"/>
        <w:rPr>
          <w:lang w:val="ro-MD" w:eastAsia="ru-RU"/>
        </w:rPr>
      </w:pPr>
    </w:p>
    <w:p w14:paraId="4532F7C9" w14:textId="77777777" w:rsidR="00D9113B" w:rsidRDefault="00D9113B" w:rsidP="00FB1205">
      <w:pPr>
        <w:jc w:val="both"/>
        <w:rPr>
          <w:lang w:val="ro-MD" w:eastAsia="ru-RU"/>
        </w:rPr>
      </w:pPr>
    </w:p>
    <w:p w14:paraId="04EF3F70" w14:textId="2D078CA1" w:rsidR="00D9113B" w:rsidRDefault="00B84F41" w:rsidP="009C5EF3">
      <w:pPr>
        <w:pStyle w:val="1"/>
        <w:numPr>
          <w:ilvl w:val="0"/>
          <w:numId w:val="12"/>
        </w:numPr>
        <w:ind w:left="709"/>
        <w:jc w:val="both"/>
        <w:rPr>
          <w:rFonts w:eastAsia="Times New Roman"/>
          <w:lang w:val="ro-MD" w:eastAsia="ru-RU"/>
        </w:rPr>
      </w:pPr>
      <w:bookmarkStart w:id="5" w:name="_Toc47012266"/>
      <w:bookmarkStart w:id="6" w:name="_Toc75436441"/>
      <w:r>
        <w:rPr>
          <w:rFonts w:eastAsia="Times New Roman"/>
          <w:lang w:val="ro-MD" w:eastAsia="ru-RU"/>
        </w:rPr>
        <w:t>SINTEZA</w:t>
      </w:r>
      <w:bookmarkEnd w:id="5"/>
      <w:bookmarkEnd w:id="6"/>
    </w:p>
    <w:p w14:paraId="70F82A90" w14:textId="5E3FBBF2" w:rsidR="005468AC" w:rsidRPr="009D4C5F" w:rsidRDefault="005468AC" w:rsidP="009D4C5F">
      <w:pPr>
        <w:spacing w:line="276" w:lineRule="auto"/>
        <w:jc w:val="both"/>
        <w:rPr>
          <w:rFonts w:eastAsia="Times New Roman" w:cstheme="majorHAnsi"/>
          <w:noProof/>
          <w:szCs w:val="24"/>
          <w:lang w:val="ro-MD"/>
        </w:rPr>
      </w:pPr>
      <w:r w:rsidRPr="005468AC">
        <w:rPr>
          <w:lang w:val="ro-MD" w:eastAsia="ru-RU"/>
        </w:rPr>
        <w:t>Misiunea de audit public extern a fost desfășurată în temeiul art.31 și art.32 din Legea privind organizarea și funcționarea Curții de Conturi a Republicii Moldova nr.260 din 07.12.2017 și în conformitate cu Programul activității de audit a Curții de Contu</w:t>
      </w:r>
      <w:r>
        <w:rPr>
          <w:lang w:val="ro-MD" w:eastAsia="ru-RU"/>
        </w:rPr>
        <w:t>ri pe anul 2021</w:t>
      </w:r>
      <w:r w:rsidRPr="005468AC">
        <w:rPr>
          <w:lang w:val="ro-MD" w:eastAsia="ru-RU"/>
        </w:rPr>
        <w:t>, av</w:t>
      </w:r>
      <w:r w:rsidR="00081549">
        <w:rPr>
          <w:lang w:val="ro-MD" w:eastAsia="ru-RU"/>
        </w:rPr>
        <w:t>â</w:t>
      </w:r>
      <w:r w:rsidRPr="005468AC">
        <w:rPr>
          <w:lang w:val="ro-MD" w:eastAsia="ru-RU"/>
        </w:rPr>
        <w:t xml:space="preserve">nd drept </w:t>
      </w:r>
      <w:r w:rsidRPr="005468AC">
        <w:rPr>
          <w:lang w:val="ro-MD" w:eastAsia="ru-RU"/>
        </w:rPr>
        <w:lastRenderedPageBreak/>
        <w:t xml:space="preserve">scop oferirea asigurării rezonabile asupra conformității managementului datoriei de stat, garanțiilor de stat și recreditării de stat realizat de către Ministerul Finanțelor în anul 2020, precum și că raportarea </w:t>
      </w:r>
      <w:r w:rsidR="00081549">
        <w:rPr>
          <w:lang w:val="ro-MD" w:eastAsia="ru-RU"/>
        </w:rPr>
        <w:t xml:space="preserve">acesteia </w:t>
      </w:r>
      <w:r w:rsidRPr="005468AC">
        <w:rPr>
          <w:lang w:val="ro-MD" w:eastAsia="ru-RU"/>
        </w:rPr>
        <w:t>este conformă ca parte a Raportului Guvernului privind executarea bugetului de stat pe anul 2020, în vederea formulării unei concluzii generale de audit și înaintarea, după caz, a recomandărilor relevante.</w:t>
      </w:r>
      <w:r w:rsidR="00176FFA" w:rsidRPr="00176FFA">
        <w:rPr>
          <w:rFonts w:eastAsia="Times New Roman" w:cstheme="majorHAnsi"/>
          <w:noProof/>
          <w:szCs w:val="24"/>
          <w:lang w:val="ro-MD"/>
        </w:rPr>
        <w:t xml:space="preserve"> </w:t>
      </w:r>
      <w:r w:rsidR="00176FFA">
        <w:rPr>
          <w:rFonts w:eastAsia="Times New Roman" w:cstheme="majorHAnsi"/>
          <w:noProof/>
          <w:szCs w:val="24"/>
          <w:lang w:val="ro-MD"/>
        </w:rPr>
        <w:t>Misiunea de audit s-a desfășurat la Ministerul Finanțelor.</w:t>
      </w:r>
      <w:r w:rsidR="009D4C5F" w:rsidRPr="009D4C5F">
        <w:rPr>
          <w:rFonts w:eastAsia="Times New Roman" w:cstheme="majorHAnsi"/>
          <w:noProof/>
          <w:szCs w:val="24"/>
          <w:lang w:val="ro-MD"/>
        </w:rPr>
        <w:t xml:space="preserve"> </w:t>
      </w:r>
    </w:p>
    <w:p w14:paraId="5DA9AB94" w14:textId="389883B0" w:rsidR="00E5668B" w:rsidRPr="00E5668B" w:rsidRDefault="00B153AD" w:rsidP="00E5668B">
      <w:pPr>
        <w:jc w:val="both"/>
        <w:rPr>
          <w:lang w:val="ro-MD" w:eastAsia="ru-RU"/>
        </w:rPr>
      </w:pPr>
      <w:r>
        <w:rPr>
          <w:lang w:val="ro-MD" w:eastAsia="ru-RU"/>
        </w:rPr>
        <w:t xml:space="preserve">Ca </w:t>
      </w:r>
      <w:r w:rsidR="00E5668B" w:rsidRPr="00E5668B">
        <w:rPr>
          <w:lang w:val="ro-MD" w:eastAsia="ru-RU"/>
        </w:rPr>
        <w:t>urmare a generalizării constatărilor și concluziilor formulate în procesul de audit, se prezintă rezumatul acest</w:t>
      </w:r>
      <w:r w:rsidR="00081549">
        <w:rPr>
          <w:lang w:val="ro-MD" w:eastAsia="ru-RU"/>
        </w:rPr>
        <w:t>ora, fiind relatate următoarele.</w:t>
      </w:r>
    </w:p>
    <w:p w14:paraId="51284626" w14:textId="3308D19C" w:rsidR="00E5668B" w:rsidRPr="00E5668B" w:rsidRDefault="00E5668B" w:rsidP="00E5668B">
      <w:pPr>
        <w:jc w:val="both"/>
        <w:rPr>
          <w:lang w:val="ro-MD" w:eastAsia="ru-RU"/>
        </w:rPr>
      </w:pPr>
      <w:r w:rsidRPr="00E5668B">
        <w:rPr>
          <w:lang w:val="ro-MD" w:eastAsia="ru-RU"/>
        </w:rPr>
        <w:t>Soldul datoriei sectorului public, la situația din 31.12.2</w:t>
      </w:r>
      <w:r w:rsidR="00081549">
        <w:rPr>
          <w:lang w:val="ro-MD" w:eastAsia="ru-RU"/>
        </w:rPr>
        <w:t>020, a constituit 72 636,3 mil.</w:t>
      </w:r>
      <w:r w:rsidRPr="00E5668B">
        <w:rPr>
          <w:lang w:val="ro-MD" w:eastAsia="ru-RU"/>
        </w:rPr>
        <w:t>lei, înregistr</w:t>
      </w:r>
      <w:r w:rsidR="00081549">
        <w:rPr>
          <w:lang w:val="ro-MD" w:eastAsia="ru-RU"/>
        </w:rPr>
        <w:t>ând o creștere cu 15 031,5 mil.</w:t>
      </w:r>
      <w:r w:rsidRPr="00E5668B">
        <w:rPr>
          <w:lang w:val="ro-MD" w:eastAsia="ru-RU"/>
        </w:rPr>
        <w:t>lei față de situația din 31.12.2019. Ponderea cea mai mare din totalul datoriei sectorului public o deține datoria de stat, căreia îi revin 93,4%.</w:t>
      </w:r>
    </w:p>
    <w:p w14:paraId="1118038A" w14:textId="731541C9" w:rsidR="00E5668B" w:rsidRPr="00E5668B" w:rsidRDefault="00E5668B" w:rsidP="00E5668B">
      <w:pPr>
        <w:jc w:val="both"/>
        <w:rPr>
          <w:lang w:val="ro-MD" w:eastAsia="ru-RU"/>
        </w:rPr>
      </w:pPr>
      <w:r w:rsidRPr="00E5668B">
        <w:rPr>
          <w:lang w:val="ro-MD" w:eastAsia="ru-RU"/>
        </w:rPr>
        <w:t xml:space="preserve">Soldul datoriei de stat la finele anului </w:t>
      </w:r>
      <w:r w:rsidR="00081549">
        <w:rPr>
          <w:lang w:val="ro-MD" w:eastAsia="ru-RU"/>
        </w:rPr>
        <w:t>2020 a constituit 67 820,7 mil.</w:t>
      </w:r>
      <w:r w:rsidRPr="00E5668B">
        <w:rPr>
          <w:lang w:val="ro-MD" w:eastAsia="ru-RU"/>
        </w:rPr>
        <w:t>lei, fiind în creștere cu</w:t>
      </w:r>
      <w:r w:rsidR="00081549">
        <w:rPr>
          <w:lang w:val="ro-MD" w:eastAsia="ru-RU"/>
        </w:rPr>
        <w:t xml:space="preserve">                 15 326,4 mil.</w:t>
      </w:r>
      <w:r w:rsidRPr="00E5668B">
        <w:rPr>
          <w:lang w:val="ro-MD" w:eastAsia="ru-RU"/>
        </w:rPr>
        <w:t>lei față de soldul anului precedent, din contul majorării at</w:t>
      </w:r>
      <w:r w:rsidR="00081549">
        <w:rPr>
          <w:lang w:val="ro-MD" w:eastAsia="ru-RU"/>
        </w:rPr>
        <w:t>â</w:t>
      </w:r>
      <w:r w:rsidRPr="00E5668B">
        <w:rPr>
          <w:lang w:val="ro-MD" w:eastAsia="ru-RU"/>
        </w:rPr>
        <w:t xml:space="preserve">t </w:t>
      </w:r>
      <w:r w:rsidR="00081549">
        <w:rPr>
          <w:lang w:val="ro-MD" w:eastAsia="ru-RU"/>
        </w:rPr>
        <w:t xml:space="preserve">a </w:t>
      </w:r>
      <w:r w:rsidRPr="00E5668B">
        <w:rPr>
          <w:lang w:val="ro-MD" w:eastAsia="ru-RU"/>
        </w:rPr>
        <w:t>datoriei de stat interne</w:t>
      </w:r>
      <w:r w:rsidR="00081549">
        <w:rPr>
          <w:lang w:val="ro-MD" w:eastAsia="ru-RU"/>
        </w:rPr>
        <w:t>,</w:t>
      </w:r>
      <w:r w:rsidRPr="00E5668B">
        <w:rPr>
          <w:lang w:val="ro-MD" w:eastAsia="ru-RU"/>
        </w:rPr>
        <w:t xml:space="preserve"> c</w:t>
      </w:r>
      <w:r w:rsidR="00081549">
        <w:rPr>
          <w:lang w:val="ro-MD" w:eastAsia="ru-RU"/>
        </w:rPr>
        <w:t>â</w:t>
      </w:r>
      <w:r w:rsidRPr="00E5668B">
        <w:rPr>
          <w:lang w:val="ro-MD" w:eastAsia="ru-RU"/>
        </w:rPr>
        <w:t>t și a datoriei de stat externe. Majorarea soldului datoriei de stat interne a fost condiționat</w:t>
      </w:r>
      <w:r w:rsidR="00081549">
        <w:rPr>
          <w:lang w:val="ro-MD" w:eastAsia="ru-RU"/>
        </w:rPr>
        <w:t>ă</w:t>
      </w:r>
      <w:r w:rsidRPr="00E5668B">
        <w:rPr>
          <w:lang w:val="ro-MD" w:eastAsia="ru-RU"/>
        </w:rPr>
        <w:t xml:space="preserve"> de finanțarea internă netă pozitivă a VMS emise pe piața primară, iar a datoriei de stat externe – de finanțarea externă netă pozitivă și</w:t>
      </w:r>
      <w:r w:rsidR="00081549">
        <w:rPr>
          <w:lang w:val="ro-MD" w:eastAsia="ru-RU"/>
        </w:rPr>
        <w:t xml:space="preserve"> de </w:t>
      </w:r>
      <w:r w:rsidRPr="00E5668B">
        <w:rPr>
          <w:lang w:val="ro-MD" w:eastAsia="ru-RU"/>
        </w:rPr>
        <w:t>evoluția cursului de schimb al monedei naționale în raport cu dolarul SUA. Deși în anul 2020 s-a înregistrat o creștere semnificativă a soldului datoriei de stat, la situația din 31.12.2020 acesta s-a încadrat în limitele stabilite de Legea bugetară anuală. Ca ponde</w:t>
      </w:r>
      <w:r w:rsidR="00F52105">
        <w:rPr>
          <w:lang w:val="ro-MD" w:eastAsia="ru-RU"/>
        </w:rPr>
        <w:t>re în PIB, în anul de referință</w:t>
      </w:r>
      <w:r w:rsidRPr="00E5668B">
        <w:rPr>
          <w:lang w:val="ro-MD" w:eastAsia="ru-RU"/>
        </w:rPr>
        <w:t xml:space="preserve"> datoria de stat a constituit 32,9%, înregistr</w:t>
      </w:r>
      <w:r w:rsidR="00081549">
        <w:rPr>
          <w:lang w:val="ro-MD" w:eastAsia="ru-RU"/>
        </w:rPr>
        <w:t>â</w:t>
      </w:r>
      <w:r w:rsidRPr="00E5668B">
        <w:rPr>
          <w:lang w:val="ro-MD" w:eastAsia="ru-RU"/>
        </w:rPr>
        <w:t>nd o creștere semnificativă</w:t>
      </w:r>
      <w:r w:rsidR="00081549">
        <w:rPr>
          <w:lang w:val="ro-MD" w:eastAsia="ru-RU"/>
        </w:rPr>
        <w:t>,</w:t>
      </w:r>
      <w:r w:rsidRPr="00E5668B">
        <w:rPr>
          <w:lang w:val="ro-MD" w:eastAsia="ru-RU"/>
        </w:rPr>
        <w:t xml:space="preserve"> față de anul 2019</w:t>
      </w:r>
      <w:r w:rsidR="00081549">
        <w:rPr>
          <w:lang w:val="ro-MD" w:eastAsia="ru-RU"/>
        </w:rPr>
        <w:t>,</w:t>
      </w:r>
      <w:r w:rsidRPr="00E5668B">
        <w:rPr>
          <w:lang w:val="ro-MD" w:eastAsia="ru-RU"/>
        </w:rPr>
        <w:t xml:space="preserve"> cu 7,9 p.p. Ponderea majoră în portofoliul datoriei de stat este deținută de împrumuturile de stat externe (52,6% ), fiind urmate de VMS emise </w:t>
      </w:r>
      <w:r w:rsidR="005A3487">
        <w:rPr>
          <w:lang w:val="ro-MD" w:eastAsia="ru-RU"/>
        </w:rPr>
        <w:t>pe piața primară</w:t>
      </w:r>
      <w:r w:rsidRPr="00E5668B">
        <w:rPr>
          <w:lang w:val="ro-MD" w:eastAsia="ru-RU"/>
        </w:rPr>
        <w:t xml:space="preserve"> (21,5%), VMS emise pentru executarea obligațiunilor de plată aferente garanțiilor de stat (18,6%), alocarea DST (4,3%) și VMS convertite (3,0%). </w:t>
      </w:r>
      <w:r w:rsidR="00AA675A">
        <w:rPr>
          <w:lang w:val="ro-MD" w:eastAsia="ru-RU"/>
        </w:rPr>
        <w:t>(</w:t>
      </w:r>
      <w:r w:rsidR="00927A16">
        <w:rPr>
          <w:lang w:val="ro-MD" w:eastAsia="ru-RU"/>
        </w:rPr>
        <w:t>pct. 4.1.1.</w:t>
      </w:r>
      <w:r w:rsidR="00AA675A">
        <w:rPr>
          <w:lang w:val="ro-MD" w:eastAsia="ru-RU"/>
        </w:rPr>
        <w:t>)</w:t>
      </w:r>
    </w:p>
    <w:p w14:paraId="614C6F8A" w14:textId="3A949E5A" w:rsidR="00E5668B" w:rsidRPr="00E5668B" w:rsidRDefault="00E5668B" w:rsidP="00E5668B">
      <w:pPr>
        <w:jc w:val="both"/>
        <w:rPr>
          <w:lang w:val="ro-MD" w:eastAsia="ru-RU"/>
        </w:rPr>
      </w:pPr>
      <w:r w:rsidRPr="00E5668B">
        <w:rPr>
          <w:lang w:val="ro-MD" w:eastAsia="ru-RU"/>
        </w:rPr>
        <w:t>La situația din 31.12.2020, soldul datoriei de stat interne a constituit 29 235,6 mil. lei</w:t>
      </w:r>
      <w:r w:rsidR="005A3487">
        <w:rPr>
          <w:lang w:val="ro-MD" w:eastAsia="ru-RU"/>
        </w:rPr>
        <w:t xml:space="preserve"> (la valoarea nominală)</w:t>
      </w:r>
      <w:r w:rsidRPr="00E5668B">
        <w:rPr>
          <w:lang w:val="ro-MD" w:eastAsia="ru-RU"/>
        </w:rPr>
        <w:t xml:space="preserve">, comparativ cu începutul anului, fiind în creștere cu </w:t>
      </w:r>
      <w:r w:rsidR="005A3487">
        <w:rPr>
          <w:lang w:val="ro-MD" w:eastAsia="ru-RU"/>
        </w:rPr>
        <w:t>5 739,7</w:t>
      </w:r>
      <w:r w:rsidR="00081549">
        <w:rPr>
          <w:lang w:val="ro-MD" w:eastAsia="ru-RU"/>
        </w:rPr>
        <w:t xml:space="preserve"> mil.</w:t>
      </w:r>
      <w:r w:rsidRPr="00E5668B">
        <w:rPr>
          <w:lang w:val="ro-MD" w:eastAsia="ru-RU"/>
        </w:rPr>
        <w:t xml:space="preserve">lei. Această majorare a fost determinată de emisiunea netă a VMS pe piața primară și de răscumpărarea VMS emise pentru executarea obligațiilor de plată derivate din garanțiile de stat. Mijloacele obținute din emisiunea </w:t>
      </w:r>
      <w:r w:rsidR="001D5738">
        <w:rPr>
          <w:lang w:val="ro-MD" w:eastAsia="ru-RU"/>
        </w:rPr>
        <w:t xml:space="preserve">netă a </w:t>
      </w:r>
      <w:r w:rsidRPr="00E5668B">
        <w:rPr>
          <w:lang w:val="ro-MD" w:eastAsia="ru-RU"/>
        </w:rPr>
        <w:t>VMS pe piața primară au fost direcționate pentru finanțarea deficitului bugetar.</w:t>
      </w:r>
    </w:p>
    <w:p w14:paraId="4C5FF9FE" w14:textId="690DCC93" w:rsidR="00E5668B" w:rsidRPr="00E5668B" w:rsidRDefault="00E5668B" w:rsidP="00E5668B">
      <w:pPr>
        <w:jc w:val="both"/>
        <w:rPr>
          <w:lang w:val="ro-MD" w:eastAsia="ru-RU"/>
        </w:rPr>
      </w:pPr>
      <w:r w:rsidRPr="00E5668B">
        <w:rPr>
          <w:lang w:val="ro-MD" w:eastAsia="ru-RU"/>
        </w:rPr>
        <w:lastRenderedPageBreak/>
        <w:t>Băn</w:t>
      </w:r>
      <w:r w:rsidR="00081549">
        <w:rPr>
          <w:lang w:val="ro-MD" w:eastAsia="ru-RU"/>
        </w:rPr>
        <w:t>cile comerciale continuă să rămâ</w:t>
      </w:r>
      <w:r w:rsidRPr="00E5668B">
        <w:rPr>
          <w:lang w:val="ro-MD" w:eastAsia="ru-RU"/>
        </w:rPr>
        <w:t>nă principalii investitori în VMS emise de MF. În anul 202</w:t>
      </w:r>
      <w:r w:rsidR="00F52105">
        <w:rPr>
          <w:lang w:val="ro-MD" w:eastAsia="ru-RU"/>
        </w:rPr>
        <w:t>0, pe piața valorilor mobiliare</w:t>
      </w:r>
      <w:r w:rsidRPr="00E5668B">
        <w:rPr>
          <w:lang w:val="ro-MD" w:eastAsia="ru-RU"/>
        </w:rPr>
        <w:t xml:space="preserve"> au activat 9 dealeri primari, care au contribuit la plasarea VMS pe piața primară și la asigurarea lichidității lor pe piața secundară. Din volumul total de VMS </w:t>
      </w:r>
      <w:r w:rsidR="001D5738">
        <w:rPr>
          <w:lang w:val="ro-MD" w:eastAsia="ru-RU"/>
        </w:rPr>
        <w:t>aflate în circulație</w:t>
      </w:r>
      <w:r w:rsidRPr="00E5668B">
        <w:rPr>
          <w:lang w:val="ro-MD" w:eastAsia="ru-RU"/>
        </w:rPr>
        <w:t xml:space="preserve">,  </w:t>
      </w:r>
      <w:r w:rsidR="001D5738">
        <w:rPr>
          <w:lang w:val="ro-MD" w:eastAsia="ru-RU"/>
        </w:rPr>
        <w:t>79,7% sunt deținute</w:t>
      </w:r>
      <w:r w:rsidRPr="00E5668B">
        <w:rPr>
          <w:lang w:val="ro-MD" w:eastAsia="ru-RU"/>
        </w:rPr>
        <w:t xml:space="preserve"> de către dealerii primari în numele și din cont propriu. </w:t>
      </w:r>
      <w:r w:rsidR="008B7DA2">
        <w:rPr>
          <w:lang w:val="ro-MD" w:eastAsia="ru-RU"/>
        </w:rPr>
        <w:t>Investitorilor nebancari le revi</w:t>
      </w:r>
      <w:r w:rsidRPr="00E5668B">
        <w:rPr>
          <w:lang w:val="ro-MD" w:eastAsia="ru-RU"/>
        </w:rPr>
        <w:t xml:space="preserve">ne </w:t>
      </w:r>
      <w:r w:rsidR="00BB3CA7">
        <w:rPr>
          <w:lang w:val="ro-MD" w:eastAsia="ru-RU"/>
        </w:rPr>
        <w:t>17,6</w:t>
      </w:r>
      <w:r w:rsidRPr="00E5668B">
        <w:rPr>
          <w:lang w:val="ro-MD" w:eastAsia="ru-RU"/>
        </w:rPr>
        <w:t xml:space="preserve">% (sau </w:t>
      </w:r>
      <w:r w:rsidR="00BB3CA7">
        <w:rPr>
          <w:lang w:val="ro-MD" w:eastAsia="ru-RU"/>
        </w:rPr>
        <w:t>2 557,4</w:t>
      </w:r>
      <w:r w:rsidR="00081549">
        <w:rPr>
          <w:lang w:val="ro-MD" w:eastAsia="ru-RU"/>
        </w:rPr>
        <w:t xml:space="preserve"> mil.</w:t>
      </w:r>
      <w:r w:rsidRPr="00E5668B">
        <w:rPr>
          <w:lang w:val="ro-MD" w:eastAsia="ru-RU"/>
        </w:rPr>
        <w:t>lei) din volumul total de VMS aflate în circulație. Totodată, interesul pentru VMS a</w:t>
      </w:r>
      <w:r w:rsidR="0020497C">
        <w:rPr>
          <w:lang w:val="ro-MD" w:eastAsia="ru-RU"/>
        </w:rPr>
        <w:t>l</w:t>
      </w:r>
      <w:r w:rsidRPr="00E5668B">
        <w:rPr>
          <w:lang w:val="ro-MD" w:eastAsia="ru-RU"/>
        </w:rPr>
        <w:t xml:space="preserve"> investitorilor nebancari este în scădere, de la 25,3% în anul 2019 la 1</w:t>
      </w:r>
      <w:r w:rsidR="00BB3CA7">
        <w:rPr>
          <w:lang w:val="ro-MD" w:eastAsia="ru-RU"/>
        </w:rPr>
        <w:t>7</w:t>
      </w:r>
      <w:r w:rsidRPr="00E5668B">
        <w:rPr>
          <w:lang w:val="ro-MD" w:eastAsia="ru-RU"/>
        </w:rPr>
        <w:t>,</w:t>
      </w:r>
      <w:r w:rsidR="00BB3CA7">
        <w:rPr>
          <w:lang w:val="ro-MD" w:eastAsia="ru-RU"/>
        </w:rPr>
        <w:t>6</w:t>
      </w:r>
      <w:r w:rsidRPr="00E5668B">
        <w:rPr>
          <w:lang w:val="ro-MD" w:eastAsia="ru-RU"/>
        </w:rPr>
        <w:t>% în anul 2020.</w:t>
      </w:r>
    </w:p>
    <w:p w14:paraId="19065E97" w14:textId="77777777" w:rsidR="00E5668B" w:rsidRPr="00E5668B" w:rsidRDefault="00E5668B" w:rsidP="00E5668B">
      <w:pPr>
        <w:jc w:val="both"/>
        <w:rPr>
          <w:lang w:val="ro-MD" w:eastAsia="ru-RU"/>
        </w:rPr>
      </w:pPr>
      <w:r w:rsidRPr="00E5668B">
        <w:rPr>
          <w:lang w:val="ro-MD" w:eastAsia="ru-RU"/>
        </w:rPr>
        <w:t>În anul 2020 nu au fost emise VMS pentru completarea rezervei de lichidități. La fel, ca și în anii precedenți, se denotă lipsa cadrului normativ care ar autoriza MF cu atribuții de creare a rezervei de lichidități prin emiterea VMS.</w:t>
      </w:r>
    </w:p>
    <w:p w14:paraId="24678E1D" w14:textId="0CC63F54" w:rsidR="00E5668B" w:rsidRPr="00E5668B" w:rsidRDefault="00E5668B" w:rsidP="00E5668B">
      <w:pPr>
        <w:jc w:val="both"/>
        <w:rPr>
          <w:lang w:val="ro-MD" w:eastAsia="ru-RU"/>
        </w:rPr>
      </w:pPr>
      <w:r w:rsidRPr="00E5668B">
        <w:rPr>
          <w:lang w:val="ro-MD" w:eastAsia="ru-RU"/>
        </w:rPr>
        <w:t>La situația din 31.12.2020, soldul VMS convertite, care reprezintă soldul împrumuturilor contractate anterior de la</w:t>
      </w:r>
      <w:r w:rsidR="0020497C">
        <w:rPr>
          <w:lang w:val="ro-MD" w:eastAsia="ru-RU"/>
        </w:rPr>
        <w:t xml:space="preserve"> BNM, a constituit 2 063,4 mil.</w:t>
      </w:r>
      <w:r w:rsidRPr="00E5668B">
        <w:rPr>
          <w:lang w:val="ro-MD" w:eastAsia="ru-RU"/>
        </w:rPr>
        <w:t>lei, care comparativ cu anii precedenți, se menține constant.</w:t>
      </w:r>
    </w:p>
    <w:p w14:paraId="33C3BE69" w14:textId="04782433" w:rsidR="00E5668B" w:rsidRPr="00E5668B" w:rsidRDefault="00E5668B" w:rsidP="00E5668B">
      <w:pPr>
        <w:jc w:val="both"/>
        <w:rPr>
          <w:lang w:val="ro-MD" w:eastAsia="ru-RU"/>
        </w:rPr>
      </w:pPr>
      <w:r w:rsidRPr="00E5668B">
        <w:rPr>
          <w:lang w:val="ro-MD" w:eastAsia="ru-RU"/>
        </w:rPr>
        <w:t>Soldul VMS emise pentru executarea obligațiilor de plată derivate din garanțiile de stat, la situația din 31.12.2</w:t>
      </w:r>
      <w:r w:rsidR="0020497C">
        <w:rPr>
          <w:lang w:val="ro-MD" w:eastAsia="ru-RU"/>
        </w:rPr>
        <w:t>020, a constituit 12 611,2 mil.</w:t>
      </w:r>
      <w:r w:rsidRPr="00E5668B">
        <w:rPr>
          <w:lang w:val="ro-MD" w:eastAsia="ru-RU"/>
        </w:rPr>
        <w:t>lei, ceea ce reprezintă 43,1% din datoria de stat internă.</w:t>
      </w:r>
    </w:p>
    <w:p w14:paraId="776C8DBE" w14:textId="6AB405CA" w:rsidR="00E5668B" w:rsidRPr="00E5668B" w:rsidRDefault="00E5668B" w:rsidP="00E5668B">
      <w:pPr>
        <w:jc w:val="both"/>
        <w:rPr>
          <w:lang w:val="ro-MD" w:eastAsia="ru-RU"/>
        </w:rPr>
      </w:pPr>
      <w:r w:rsidRPr="00E5668B">
        <w:rPr>
          <w:lang w:val="ro-MD" w:eastAsia="ru-RU"/>
        </w:rPr>
        <w:t xml:space="preserve">La situația din </w:t>
      </w:r>
      <w:r w:rsidR="00CD0596">
        <w:rPr>
          <w:lang w:val="ro-MD" w:eastAsia="ru-RU"/>
        </w:rPr>
        <w:t>0</w:t>
      </w:r>
      <w:r w:rsidRPr="00E5668B">
        <w:rPr>
          <w:lang w:val="ro-MD" w:eastAsia="ru-RU"/>
        </w:rPr>
        <w:t>1.01.2020, soldul datoriei băncilor supuse lichidării, ca urmare a emiterii anterioare a VMS pentru stabilitate financiară și pentru executarea obligațiilor de plată derivate din garanțiile de s</w:t>
      </w:r>
      <w:r w:rsidR="0020497C">
        <w:rPr>
          <w:lang w:val="ro-MD" w:eastAsia="ru-RU"/>
        </w:rPr>
        <w:t>tat, a constituit 12 090,4 mil.</w:t>
      </w:r>
      <w:r w:rsidRPr="00E5668B">
        <w:rPr>
          <w:lang w:val="ro-MD" w:eastAsia="ru-RU"/>
        </w:rPr>
        <w:t>lei. Pe parcursul anului au fost rambursate doar 172,5 mil.lei, soldul datoriei la situația din 31.12.2020 cons</w:t>
      </w:r>
      <w:r w:rsidR="0020497C">
        <w:rPr>
          <w:lang w:val="ro-MD" w:eastAsia="ru-RU"/>
        </w:rPr>
        <w:t>tituind 11 917,9 mil.</w:t>
      </w:r>
      <w:r w:rsidRPr="00E5668B">
        <w:rPr>
          <w:lang w:val="ro-MD" w:eastAsia="ru-RU"/>
        </w:rPr>
        <w:t>lei. Analiza în dinamică a mijloacelor rambursate de către băncile aflate în proces de lichidare, denotă un ritm scăzut de restituire a datoriei. Astfel, din totalul datoriei preluate de către MF în sumă de 13 769,7 mil.lei, la situația din 31.12.2020, băncile supuse lichidării au restituit doar 1 851,8 mil. lei, ceea ce constituie doar 13,4%. În același timp, în vederea executării obligațiunilor derivate din garațiile de stat, în luna octombrie 2020, din portofoliul deținut de BNM, MF a răscu</w:t>
      </w:r>
      <w:r w:rsidR="0020497C">
        <w:rPr>
          <w:lang w:val="ro-MD" w:eastAsia="ru-RU"/>
        </w:rPr>
        <w:t>mpărat OS în sumă de 240,0 mil.</w:t>
      </w:r>
      <w:r w:rsidRPr="00E5668B">
        <w:rPr>
          <w:lang w:val="ro-MD" w:eastAsia="ru-RU"/>
        </w:rPr>
        <w:t>lei. Datoria MF față de BNM, la situația din 31.12</w:t>
      </w:r>
      <w:r w:rsidR="0020497C">
        <w:rPr>
          <w:lang w:val="ro-MD" w:eastAsia="ru-RU"/>
        </w:rPr>
        <w:t>.2020, constituia 12 611,2 mil.</w:t>
      </w:r>
      <w:r w:rsidRPr="00E5668B">
        <w:rPr>
          <w:lang w:val="ro-MD" w:eastAsia="ru-RU"/>
        </w:rPr>
        <w:t xml:space="preserve">lei. În contextul </w:t>
      </w:r>
      <w:r w:rsidR="0020497C">
        <w:rPr>
          <w:lang w:val="ro-MD" w:eastAsia="ru-RU"/>
        </w:rPr>
        <w:t>menționat</w:t>
      </w:r>
      <w:r w:rsidRPr="00E5668B">
        <w:rPr>
          <w:lang w:val="ro-MD" w:eastAsia="ru-RU"/>
        </w:rPr>
        <w:t>, neonorarea</w:t>
      </w:r>
      <w:r w:rsidR="00064983">
        <w:rPr>
          <w:lang w:val="ro-MD" w:eastAsia="ru-RU"/>
        </w:rPr>
        <w:t xml:space="preserve"> către MF</w:t>
      </w:r>
      <w:r w:rsidRPr="00E5668B">
        <w:rPr>
          <w:lang w:val="ro-MD" w:eastAsia="ru-RU"/>
        </w:rPr>
        <w:t xml:space="preserve"> </w:t>
      </w:r>
      <w:r w:rsidR="00064983">
        <w:rPr>
          <w:lang w:val="ro-MD" w:eastAsia="ru-RU"/>
        </w:rPr>
        <w:t xml:space="preserve">a </w:t>
      </w:r>
      <w:r w:rsidRPr="00E5668B">
        <w:rPr>
          <w:lang w:val="ro-MD" w:eastAsia="ru-RU"/>
        </w:rPr>
        <w:t xml:space="preserve">obligațiunilor </w:t>
      </w:r>
      <w:r w:rsidR="00064983">
        <w:rPr>
          <w:lang w:val="ro-MD" w:eastAsia="ru-RU"/>
        </w:rPr>
        <w:t xml:space="preserve">de plată </w:t>
      </w:r>
      <w:r w:rsidRPr="00E5668B">
        <w:rPr>
          <w:lang w:val="ro-MD" w:eastAsia="ru-RU"/>
        </w:rPr>
        <w:t xml:space="preserve">derivate din garanțiile de stat, </w:t>
      </w:r>
      <w:r w:rsidR="00064983" w:rsidRPr="00E5668B">
        <w:rPr>
          <w:lang w:val="ro-MD" w:eastAsia="ru-RU"/>
        </w:rPr>
        <w:t>acordate BNM</w:t>
      </w:r>
      <w:r w:rsidR="00064983">
        <w:rPr>
          <w:lang w:val="ro-MD" w:eastAsia="ru-RU"/>
        </w:rPr>
        <w:t xml:space="preserve"> </w:t>
      </w:r>
      <w:r w:rsidRPr="00E5668B">
        <w:rPr>
          <w:lang w:val="ro-MD" w:eastAsia="ru-RU"/>
        </w:rPr>
        <w:t xml:space="preserve">pentru </w:t>
      </w:r>
      <w:r w:rsidR="00064983">
        <w:rPr>
          <w:lang w:val="ro-MD" w:eastAsia="ru-RU"/>
        </w:rPr>
        <w:t xml:space="preserve">garantarea </w:t>
      </w:r>
      <w:r w:rsidRPr="00E5668B">
        <w:rPr>
          <w:lang w:val="ro-MD" w:eastAsia="ru-RU"/>
        </w:rPr>
        <w:t>creditel</w:t>
      </w:r>
      <w:r w:rsidR="00064983">
        <w:rPr>
          <w:lang w:val="ro-MD" w:eastAsia="ru-RU"/>
        </w:rPr>
        <w:t>or</w:t>
      </w:r>
      <w:r w:rsidRPr="00E5668B">
        <w:rPr>
          <w:lang w:val="ro-MD" w:eastAsia="ru-RU"/>
        </w:rPr>
        <w:t xml:space="preserve"> de urgență, va cauza creșterea ascendentă </w:t>
      </w:r>
      <w:r w:rsidR="0020497C" w:rsidRPr="00E5668B">
        <w:rPr>
          <w:lang w:val="ro-MD" w:eastAsia="ru-RU"/>
        </w:rPr>
        <w:t xml:space="preserve">în următorii ani </w:t>
      </w:r>
      <w:r w:rsidRPr="00E5668B">
        <w:rPr>
          <w:lang w:val="ro-MD" w:eastAsia="ru-RU"/>
        </w:rPr>
        <w:t>a datoriei de stat interne.</w:t>
      </w:r>
      <w:r w:rsidR="00927A16">
        <w:rPr>
          <w:lang w:val="ro-MD" w:eastAsia="ru-RU"/>
        </w:rPr>
        <w:t xml:space="preserve"> (pct. 4.1.2.)</w:t>
      </w:r>
    </w:p>
    <w:p w14:paraId="1A86BCCB" w14:textId="67E0D652" w:rsidR="00E5668B" w:rsidRPr="00E5668B" w:rsidRDefault="00E5668B" w:rsidP="00E5668B">
      <w:pPr>
        <w:jc w:val="both"/>
        <w:rPr>
          <w:lang w:val="ro-MD" w:eastAsia="ru-RU"/>
        </w:rPr>
      </w:pPr>
      <w:r w:rsidRPr="00E5668B">
        <w:rPr>
          <w:lang w:val="ro-MD" w:eastAsia="ru-RU"/>
        </w:rPr>
        <w:t xml:space="preserve">La situația </w:t>
      </w:r>
      <w:r w:rsidR="00DF027F">
        <w:rPr>
          <w:lang w:val="ro-MD" w:eastAsia="ru-RU"/>
        </w:rPr>
        <w:t xml:space="preserve">din </w:t>
      </w:r>
      <w:r w:rsidRPr="00E5668B">
        <w:rPr>
          <w:lang w:val="ro-MD" w:eastAsia="ru-RU"/>
        </w:rPr>
        <w:t>31.12.2020, soldul datoriei de stat externe a constituit 38 585,1 mil. l</w:t>
      </w:r>
      <w:r w:rsidR="00F52105">
        <w:rPr>
          <w:lang w:val="ro-MD" w:eastAsia="ru-RU"/>
        </w:rPr>
        <w:t>ei (echivalentul a 2 241,4 mil.dol.</w:t>
      </w:r>
      <w:r w:rsidRPr="00E5668B">
        <w:rPr>
          <w:lang w:val="ro-MD" w:eastAsia="ru-RU"/>
        </w:rPr>
        <w:t>SUA), fiind în crește</w:t>
      </w:r>
      <w:r w:rsidR="00F52105">
        <w:rPr>
          <w:lang w:val="ro-MD" w:eastAsia="ru-RU"/>
        </w:rPr>
        <w:t>re cu 537,3 mil.dol.</w:t>
      </w:r>
      <w:r w:rsidRPr="00E5668B">
        <w:rPr>
          <w:lang w:val="ro-MD" w:eastAsia="ru-RU"/>
        </w:rPr>
        <w:t>SUA față de anul 2019. Debursările de împrumuturi externe în anul 2020 au constituit 551,6 mil. dol. S</w:t>
      </w:r>
      <w:r w:rsidR="00F52105">
        <w:rPr>
          <w:lang w:val="ro-MD" w:eastAsia="ru-RU"/>
        </w:rPr>
        <w:t xml:space="preserve">UA (echivalentul a 9 </w:t>
      </w:r>
      <w:r w:rsidR="00F52105">
        <w:rPr>
          <w:lang w:val="ro-MD" w:eastAsia="ru-RU"/>
        </w:rPr>
        <w:lastRenderedPageBreak/>
        <w:t>747,3 mil.</w:t>
      </w:r>
      <w:r w:rsidRPr="00E5668B">
        <w:rPr>
          <w:lang w:val="ro-MD" w:eastAsia="ru-RU"/>
        </w:rPr>
        <w:t>l</w:t>
      </w:r>
      <w:r w:rsidR="00F52105">
        <w:rPr>
          <w:lang w:val="ro-MD" w:eastAsia="ru-RU"/>
        </w:rPr>
        <w:t>ei), ceea ce este cu 402,5 mil.dol.</w:t>
      </w:r>
      <w:r w:rsidRPr="00E5668B">
        <w:rPr>
          <w:lang w:val="ro-MD" w:eastAsia="ru-RU"/>
        </w:rPr>
        <w:t>SUA mai mult față de debursările anului precedent. Din totalul intrărilor de împrumut</w:t>
      </w:r>
      <w:r w:rsidR="00F52105">
        <w:rPr>
          <w:lang w:val="ro-MD" w:eastAsia="ru-RU"/>
        </w:rPr>
        <w:t>uri de stat externe, 205,7 mil.dol.</w:t>
      </w:r>
      <w:r w:rsidRPr="00E5668B">
        <w:rPr>
          <w:lang w:val="ro-MD" w:eastAsia="ru-RU"/>
        </w:rPr>
        <w:t>SUA (37,3%) au fost destinate finanțării proiectel</w:t>
      </w:r>
      <w:r w:rsidR="00F52105">
        <w:rPr>
          <w:lang w:val="ro-MD" w:eastAsia="ru-RU"/>
        </w:rPr>
        <w:t>or investiționale și 345,9 mil.dol.</w:t>
      </w:r>
      <w:r w:rsidRPr="00E5668B">
        <w:rPr>
          <w:lang w:val="ro-MD" w:eastAsia="ru-RU"/>
        </w:rPr>
        <w:t>SUA (62,7%) – asistenței financiare pentru susținerea bugetului. Ca și în anii precedenți, valorificarea resurselor externe de către unitățile de implementare a proiectelor finanțate din surse externe continuă să răm</w:t>
      </w:r>
      <w:r w:rsidR="00DF027F">
        <w:rPr>
          <w:lang w:val="ro-MD" w:eastAsia="ru-RU"/>
        </w:rPr>
        <w:t>â</w:t>
      </w:r>
      <w:r w:rsidRPr="00E5668B">
        <w:rPr>
          <w:lang w:val="ro-MD" w:eastAsia="ru-RU"/>
        </w:rPr>
        <w:t>nă la</w:t>
      </w:r>
      <w:r w:rsidR="00DF027F">
        <w:rPr>
          <w:lang w:val="ro-MD" w:eastAsia="ru-RU"/>
        </w:rPr>
        <w:t xml:space="preserve"> un</w:t>
      </w:r>
      <w:r w:rsidRPr="00E5668B">
        <w:rPr>
          <w:lang w:val="ro-MD" w:eastAsia="ru-RU"/>
        </w:rPr>
        <w:t xml:space="preserve"> nivel redus,</w:t>
      </w:r>
      <w:r w:rsidR="003D564C">
        <w:rPr>
          <w:lang w:val="ro-MD" w:eastAsia="ru-RU"/>
        </w:rPr>
        <w:t xml:space="preserve"> iar în unele cazuri debursarea </w:t>
      </w:r>
      <w:r w:rsidR="00287C0B">
        <w:rPr>
          <w:lang w:val="ro-MD" w:eastAsia="ru-RU"/>
        </w:rPr>
        <w:t xml:space="preserve">unor </w:t>
      </w:r>
      <w:r w:rsidR="003D564C">
        <w:rPr>
          <w:lang w:val="ro-MD" w:eastAsia="ru-RU"/>
        </w:rPr>
        <w:t>împrumutu</w:t>
      </w:r>
      <w:r w:rsidR="00DF027F">
        <w:rPr>
          <w:lang w:val="ro-MD" w:eastAsia="ru-RU"/>
        </w:rPr>
        <w:t>ri are loc cu întâ</w:t>
      </w:r>
      <w:r w:rsidR="00287C0B">
        <w:rPr>
          <w:lang w:val="ro-MD" w:eastAsia="ru-RU"/>
        </w:rPr>
        <w:t>rziere,</w:t>
      </w:r>
      <w:r w:rsidRPr="00E5668B">
        <w:rPr>
          <w:lang w:val="ro-MD" w:eastAsia="ru-RU"/>
        </w:rPr>
        <w:t xml:space="preserve"> </w:t>
      </w:r>
      <w:r w:rsidR="00287C0B">
        <w:rPr>
          <w:lang w:val="ro-MD" w:eastAsia="ru-RU"/>
        </w:rPr>
        <w:t>achitarea comisioanelor prevăzute în acordurile de împrumut efectu</w:t>
      </w:r>
      <w:r w:rsidR="00DF027F">
        <w:rPr>
          <w:lang w:val="ro-MD" w:eastAsia="ru-RU"/>
        </w:rPr>
        <w:t>ându-se</w:t>
      </w:r>
      <w:r w:rsidR="00287C0B">
        <w:rPr>
          <w:lang w:val="ro-MD" w:eastAsia="ru-RU"/>
        </w:rPr>
        <w:t xml:space="preserve"> din suma contractată și/sau nedebursată a împrumutului, ca rezultat fiind generate cheltuieli </w:t>
      </w:r>
      <w:r w:rsidR="00312F4F">
        <w:rPr>
          <w:lang w:val="ro-MD" w:eastAsia="ru-RU"/>
        </w:rPr>
        <w:t>suplimentare la bugetul de stat. Printre</w:t>
      </w:r>
      <w:r w:rsidR="00287C0B">
        <w:rPr>
          <w:lang w:val="ro-MD" w:eastAsia="ru-RU"/>
        </w:rPr>
        <w:t xml:space="preserve"> </w:t>
      </w:r>
      <w:r w:rsidRPr="00E5668B">
        <w:rPr>
          <w:lang w:val="ro-MD" w:eastAsia="ru-RU"/>
        </w:rPr>
        <w:t xml:space="preserve">cauzele </w:t>
      </w:r>
      <w:r w:rsidR="00312F4F">
        <w:rPr>
          <w:lang w:val="ro-MD" w:eastAsia="ru-RU"/>
        </w:rPr>
        <w:t xml:space="preserve">care au determinat această situație sunt: </w:t>
      </w:r>
      <w:r w:rsidRPr="00E5668B">
        <w:rPr>
          <w:lang w:val="ro-MD" w:eastAsia="ru-RU"/>
        </w:rPr>
        <w:t>neîndeplinirea în termen a precondițiilor de debursare prevăzute în contractele de împrumut, restructurarea proiectelor sau modificarea componentelor acestora, procese</w:t>
      </w:r>
      <w:r w:rsidR="00312F4F">
        <w:rPr>
          <w:lang w:val="ro-MD" w:eastAsia="ru-RU"/>
        </w:rPr>
        <w:t>le</w:t>
      </w:r>
      <w:r w:rsidRPr="00E5668B">
        <w:rPr>
          <w:lang w:val="ro-MD" w:eastAsia="ru-RU"/>
        </w:rPr>
        <w:t xml:space="preserve"> îndelungate de achiziție, planificarea nerațională a timpului de executare a lucrărilor sau de prestare a serviciilor, executarea lentă a lucrărilor de către antreprenorii locali, situația epidemiolog</w:t>
      </w:r>
      <w:r w:rsidR="00312F4F">
        <w:rPr>
          <w:lang w:val="ro-MD" w:eastAsia="ru-RU"/>
        </w:rPr>
        <w:t>ică provocată de infecția COVID-</w:t>
      </w:r>
      <w:r w:rsidRPr="00E5668B">
        <w:rPr>
          <w:lang w:val="ro-MD" w:eastAsia="ru-RU"/>
        </w:rPr>
        <w:t>19 și consecințele acesteia, etc. În anul 2020 au fost achitate comisi</w:t>
      </w:r>
      <w:r w:rsidR="003D564C">
        <w:rPr>
          <w:lang w:val="ro-MD" w:eastAsia="ru-RU"/>
        </w:rPr>
        <w:t>o</w:t>
      </w:r>
      <w:r w:rsidRPr="00E5668B">
        <w:rPr>
          <w:lang w:val="ro-MD" w:eastAsia="ru-RU"/>
        </w:rPr>
        <w:t>ane în</w:t>
      </w:r>
      <w:r w:rsidR="00F52105">
        <w:rPr>
          <w:lang w:val="ro-MD" w:eastAsia="ru-RU"/>
        </w:rPr>
        <w:t xml:space="preserve"> sumă totală de circa 1,63 mil.dol.</w:t>
      </w:r>
      <w:r w:rsidRPr="00E5668B">
        <w:rPr>
          <w:lang w:val="ro-MD" w:eastAsia="ru-RU"/>
        </w:rPr>
        <w:t>SUA. Din valoarea totală a împrumuturilor contractate în anul 2020 (685,01 mil.dol.SUA), la situația din 31.12.2020, au fost debursate 324,22 mil.dol.SUA, sau 47,33%.</w:t>
      </w:r>
    </w:p>
    <w:p w14:paraId="3E057A82" w14:textId="29D4FB1F" w:rsidR="00E5668B" w:rsidRPr="00E5668B" w:rsidRDefault="00E5668B" w:rsidP="00E5668B">
      <w:pPr>
        <w:jc w:val="both"/>
        <w:rPr>
          <w:lang w:val="ro-MD" w:eastAsia="ru-RU"/>
        </w:rPr>
      </w:pPr>
      <w:r w:rsidRPr="00E5668B">
        <w:rPr>
          <w:lang w:val="ro-MD" w:eastAsia="ru-RU"/>
        </w:rPr>
        <w:t>În contextul administrării prudente a datoriei de stat externe, MF a continuat și în anul 2020 utilizarea metodei de conversiune a împrumuturilor de stat externe oferite de către BERD, fiind obținute economii la capitolul cheltuieli pentru serviciul datoriei de stat externe din bugetul de stat în perioada 01.01.2020 – 31.12.2020 în sumă de aproximativ 24,8</w:t>
      </w:r>
      <w:r w:rsidR="00292099">
        <w:rPr>
          <w:lang w:val="ro-MD" w:eastAsia="ru-RU"/>
        </w:rPr>
        <w:t>2</w:t>
      </w:r>
      <w:r w:rsidR="00DE5B67">
        <w:rPr>
          <w:lang w:val="ro-MD" w:eastAsia="ru-RU"/>
        </w:rPr>
        <w:t xml:space="preserve"> mil.</w:t>
      </w:r>
      <w:r w:rsidRPr="00E5668B">
        <w:rPr>
          <w:lang w:val="ro-MD" w:eastAsia="ru-RU"/>
        </w:rPr>
        <w:t>lei.</w:t>
      </w:r>
      <w:r w:rsidR="00927A16">
        <w:rPr>
          <w:lang w:val="ro-MD" w:eastAsia="ru-RU"/>
        </w:rPr>
        <w:t xml:space="preserve"> (pct. 4.1.3.)</w:t>
      </w:r>
    </w:p>
    <w:p w14:paraId="58B56618" w14:textId="0393FE83" w:rsidR="005E538C" w:rsidRDefault="00E5668B" w:rsidP="00E5668B">
      <w:pPr>
        <w:jc w:val="both"/>
        <w:rPr>
          <w:lang w:val="ro-MD" w:eastAsia="ru-RU"/>
        </w:rPr>
      </w:pPr>
      <w:r w:rsidRPr="00E5668B">
        <w:rPr>
          <w:lang w:val="ro-MD" w:eastAsia="ru-RU"/>
        </w:rPr>
        <w:t xml:space="preserve">În anul 2020, pentru deservirea datoriei de stat au fost achitate mijloace financiare în sumă totală de </w:t>
      </w:r>
      <w:r w:rsidR="005E538C">
        <w:rPr>
          <w:lang w:val="ro-MD" w:eastAsia="ru-RU"/>
        </w:rPr>
        <w:t>15 713,6</w:t>
      </w:r>
      <w:r w:rsidR="005B7A1D">
        <w:rPr>
          <w:lang w:val="ro-MD" w:eastAsia="ru-RU"/>
        </w:rPr>
        <w:t xml:space="preserve"> mil.</w:t>
      </w:r>
      <w:r w:rsidRPr="00E5668B">
        <w:rPr>
          <w:lang w:val="ro-MD" w:eastAsia="ru-RU"/>
        </w:rPr>
        <w:t>lei, sau cu 6</w:t>
      </w:r>
      <w:r w:rsidR="005E538C">
        <w:rPr>
          <w:lang w:val="ro-MD" w:eastAsia="ru-RU"/>
        </w:rPr>
        <w:t>68</w:t>
      </w:r>
      <w:r w:rsidRPr="00E5668B">
        <w:rPr>
          <w:lang w:val="ro-MD" w:eastAsia="ru-RU"/>
        </w:rPr>
        <w:t>,</w:t>
      </w:r>
      <w:r w:rsidR="005E538C">
        <w:rPr>
          <w:lang w:val="ro-MD" w:eastAsia="ru-RU"/>
        </w:rPr>
        <w:t>4</w:t>
      </w:r>
      <w:r w:rsidR="005B7A1D">
        <w:rPr>
          <w:lang w:val="ro-MD" w:eastAsia="ru-RU"/>
        </w:rPr>
        <w:t xml:space="preserve"> mil.</w:t>
      </w:r>
      <w:r w:rsidR="005E538C">
        <w:rPr>
          <w:lang w:val="ro-MD" w:eastAsia="ru-RU"/>
        </w:rPr>
        <w:t>lei mai mult față de an</w:t>
      </w:r>
      <w:r w:rsidR="005B7A1D">
        <w:rPr>
          <w:lang w:val="ro-MD" w:eastAsia="ru-RU"/>
        </w:rPr>
        <w:t>ul 2019, inclusiv 14 029,4 mil.</w:t>
      </w:r>
      <w:r w:rsidR="005E538C">
        <w:rPr>
          <w:lang w:val="ro-MD" w:eastAsia="ru-RU"/>
        </w:rPr>
        <w:t>lei pentru rambursarea sumei principale și răscumpărarea VMS aj</w:t>
      </w:r>
      <w:r w:rsidR="005B7A1D">
        <w:rPr>
          <w:lang w:val="ro-MD" w:eastAsia="ru-RU"/>
        </w:rPr>
        <w:t>unse la scadență și 1 684,2 mil.</w:t>
      </w:r>
      <w:r w:rsidR="005E538C">
        <w:rPr>
          <w:lang w:val="ro-MD" w:eastAsia="ru-RU"/>
        </w:rPr>
        <w:t xml:space="preserve">lei pentru plata dobînzilor și comisioanelor. Din totalul plăților efectuate, </w:t>
      </w:r>
      <w:r w:rsidR="002A08FB">
        <w:rPr>
          <w:lang w:val="ro-MD" w:eastAsia="ru-RU"/>
        </w:rPr>
        <w:t xml:space="preserve">pentru deservirea datoriei de stat interne </w:t>
      </w:r>
      <w:r w:rsidR="005E538C">
        <w:rPr>
          <w:lang w:val="ro-MD" w:eastAsia="ru-RU"/>
        </w:rPr>
        <w:t xml:space="preserve">au fost </w:t>
      </w:r>
      <w:r w:rsidR="002A08FB">
        <w:rPr>
          <w:lang w:val="ro-MD" w:eastAsia="ru-RU"/>
        </w:rPr>
        <w:t>achitate</w:t>
      </w:r>
      <w:r w:rsidR="005B7A1D">
        <w:rPr>
          <w:lang w:val="ro-MD" w:eastAsia="ru-RU"/>
        </w:rPr>
        <w:t xml:space="preserve"> 12 977,0 mil.</w:t>
      </w:r>
      <w:r w:rsidR="005E538C">
        <w:rPr>
          <w:lang w:val="ro-MD" w:eastAsia="ru-RU"/>
        </w:rPr>
        <w:t>lei (</w:t>
      </w:r>
      <w:r w:rsidR="00EF32BF">
        <w:rPr>
          <w:lang w:val="ro-MD" w:eastAsia="ru-RU"/>
        </w:rPr>
        <w:t>8</w:t>
      </w:r>
      <w:r w:rsidR="005E538C">
        <w:rPr>
          <w:lang w:val="ro-MD" w:eastAsia="ru-RU"/>
        </w:rPr>
        <w:t xml:space="preserve">2,5%) și pentru deservirea datoriei de stat externe </w:t>
      </w:r>
      <w:r w:rsidR="00D2100E">
        <w:rPr>
          <w:lang w:val="ro-MD" w:eastAsia="ru-RU"/>
        </w:rPr>
        <w:t xml:space="preserve">– </w:t>
      </w:r>
      <w:r w:rsidR="000E6148">
        <w:rPr>
          <w:lang w:val="ro-MD" w:eastAsia="ru-RU"/>
        </w:rPr>
        <w:t xml:space="preserve">        </w:t>
      </w:r>
      <w:r w:rsidR="00D2100E">
        <w:rPr>
          <w:lang w:val="ro-MD" w:eastAsia="ru-RU"/>
        </w:rPr>
        <w:t>2 736,6 mil.</w:t>
      </w:r>
      <w:r w:rsidR="00EF32BF">
        <w:rPr>
          <w:lang w:val="ro-MD" w:eastAsia="ru-RU"/>
        </w:rPr>
        <w:t>lei (17,5%).</w:t>
      </w:r>
    </w:p>
    <w:p w14:paraId="74D7C526" w14:textId="52CE869A" w:rsidR="00E5668B" w:rsidRPr="00E5668B" w:rsidRDefault="00E5668B" w:rsidP="00E5668B">
      <w:pPr>
        <w:jc w:val="both"/>
        <w:rPr>
          <w:lang w:val="ro-MD" w:eastAsia="ru-RU"/>
        </w:rPr>
      </w:pPr>
      <w:r w:rsidRPr="00E5668B">
        <w:rPr>
          <w:lang w:val="ro-MD" w:eastAsia="ru-RU"/>
        </w:rPr>
        <w:t>La situația din 31.12.2020, soldul garanțiilor de</w:t>
      </w:r>
      <w:r w:rsidR="007568F7">
        <w:rPr>
          <w:lang w:val="ro-MD" w:eastAsia="ru-RU"/>
        </w:rPr>
        <w:t xml:space="preserve"> stat a constituit 1 233,8 mil.lei, majorându-se cu 305,2 mil.</w:t>
      </w:r>
      <w:r w:rsidRPr="00E5668B">
        <w:rPr>
          <w:lang w:val="ro-MD" w:eastAsia="ru-RU"/>
        </w:rPr>
        <w:t xml:space="preserve">lei comparativ cu finele anului precedent, fiind format în totalitate din garanții de stat interne acordate în cadrul Programului de stat „Prima casă”. </w:t>
      </w:r>
      <w:r w:rsidR="008B7DA2">
        <w:rPr>
          <w:lang w:val="ro-MD" w:eastAsia="ru-RU"/>
        </w:rPr>
        <w:t xml:space="preserve">În anul </w:t>
      </w:r>
      <w:r w:rsidRPr="00E5668B">
        <w:rPr>
          <w:lang w:val="ro-MD" w:eastAsia="ru-RU"/>
        </w:rPr>
        <w:t xml:space="preserve">2020 a fost înregistrat primul caz de neonorare a garanției de stat în sumă de 167,7 mii lei acordate în cadrul Programului de stat „Prima casă”. La situația din 31.12.2020, soldul garanțiilor de stat externe a constituit zero lei, după cum a fost stabilit în legea bugetară anuală. La situația din </w:t>
      </w:r>
      <w:r w:rsidRPr="00E5668B">
        <w:rPr>
          <w:lang w:val="ro-MD" w:eastAsia="ru-RU"/>
        </w:rPr>
        <w:lastRenderedPageBreak/>
        <w:t>31.12.2020, soldul datoriei debitorilor garantați față de MF format în urma dezafectării mijloacelor pentru onorarea obligațiilor din garanțiile de stat interne</w:t>
      </w:r>
      <w:r w:rsidR="007568F7">
        <w:rPr>
          <w:lang w:val="ro-MD" w:eastAsia="ru-RU"/>
        </w:rPr>
        <w:t xml:space="preserve"> și externe constituia 2,6 mil.lei, 2,3 mil.dol.SUA și 19,7 mil.</w:t>
      </w:r>
      <w:r w:rsidRPr="00E5668B">
        <w:rPr>
          <w:lang w:val="ro-MD" w:eastAsia="ru-RU"/>
        </w:rPr>
        <w:t>euro, sau echivalentul a 45</w:t>
      </w:r>
      <w:r w:rsidR="00292099">
        <w:rPr>
          <w:lang w:val="ro-MD" w:eastAsia="ru-RU"/>
        </w:rPr>
        <w:t>9</w:t>
      </w:r>
      <w:r w:rsidRPr="00E5668B">
        <w:rPr>
          <w:lang w:val="ro-MD" w:eastAsia="ru-RU"/>
        </w:rPr>
        <w:t>,</w:t>
      </w:r>
      <w:r w:rsidR="00292099">
        <w:rPr>
          <w:lang w:val="ro-MD" w:eastAsia="ru-RU"/>
        </w:rPr>
        <w:t>1</w:t>
      </w:r>
      <w:r w:rsidR="007568F7">
        <w:rPr>
          <w:lang w:val="ro-MD" w:eastAsia="ru-RU"/>
        </w:rPr>
        <w:t xml:space="preserve"> mil.</w:t>
      </w:r>
      <w:r w:rsidR="00927A16">
        <w:rPr>
          <w:lang w:val="ro-MD" w:eastAsia="ru-RU"/>
        </w:rPr>
        <w:t>l</w:t>
      </w:r>
      <w:r w:rsidRPr="00E5668B">
        <w:rPr>
          <w:lang w:val="ro-MD" w:eastAsia="ru-RU"/>
        </w:rPr>
        <w:t>ei, fiind integral cu termenul de achitare expirat.</w:t>
      </w:r>
      <w:r w:rsidR="00927A16">
        <w:rPr>
          <w:lang w:val="ro-MD" w:eastAsia="ru-RU"/>
        </w:rPr>
        <w:t xml:space="preserve"> (pct. 4.2.1. și pct. 4.2.2.)</w:t>
      </w:r>
    </w:p>
    <w:p w14:paraId="14B34662" w14:textId="75821986" w:rsidR="00E5668B" w:rsidRPr="00E5668B" w:rsidRDefault="00E5668B" w:rsidP="00E5668B">
      <w:pPr>
        <w:jc w:val="both"/>
        <w:rPr>
          <w:lang w:val="ro-MD" w:eastAsia="ru-RU"/>
        </w:rPr>
      </w:pPr>
      <w:r w:rsidRPr="00E5668B">
        <w:rPr>
          <w:lang w:val="ro-MD" w:eastAsia="ru-RU"/>
        </w:rPr>
        <w:t>Comparativ cu anii precedenți, în anul 2020 se atestă o creștere a mijloacelor financiare îndreptate spre recreditarea de stat, datorită cererii mai mari de recreditare din partea beneficiarilor</w:t>
      </w:r>
      <w:r w:rsidR="007961A3">
        <w:rPr>
          <w:lang w:val="ro-MD" w:eastAsia="ru-RU"/>
        </w:rPr>
        <w:t>,</w:t>
      </w:r>
      <w:r w:rsidRPr="00E5668B">
        <w:rPr>
          <w:lang w:val="ro-MD" w:eastAsia="ru-RU"/>
        </w:rPr>
        <w:t xml:space="preserve"> în scopul implementării proiectelor finanțate din surse externe. În anul 2020, de împrumuturi recreditate au beneficiat 24 </w:t>
      </w:r>
      <w:r w:rsidR="006D4314">
        <w:rPr>
          <w:lang w:val="ro-MD" w:eastAsia="ru-RU"/>
        </w:rPr>
        <w:t xml:space="preserve">de </w:t>
      </w:r>
      <w:r w:rsidRPr="00E5668B">
        <w:rPr>
          <w:lang w:val="ro-MD" w:eastAsia="ru-RU"/>
        </w:rPr>
        <w:t>proiecte finanțate din surse externe, dintre care: prin</w:t>
      </w:r>
      <w:r w:rsidR="00282858">
        <w:rPr>
          <w:lang w:val="ro-MD" w:eastAsia="ru-RU"/>
        </w:rPr>
        <w:t xml:space="preserve"> intermediul MF – 6 proiecte, </w:t>
      </w:r>
      <w:r w:rsidR="00391965">
        <w:rPr>
          <w:lang w:val="ro-MD" w:eastAsia="ru-RU"/>
        </w:rPr>
        <w:t xml:space="preserve">prin intermediul OGP AE - </w:t>
      </w:r>
      <w:r w:rsidRPr="00E5668B">
        <w:rPr>
          <w:lang w:val="ro-MD" w:eastAsia="ru-RU"/>
        </w:rPr>
        <w:t>6 proiecte</w:t>
      </w:r>
      <w:r w:rsidR="006D4314">
        <w:rPr>
          <w:lang w:val="ro-MD" w:eastAsia="ru-RU"/>
        </w:rPr>
        <w:t>,</w:t>
      </w:r>
      <w:r w:rsidRPr="00E5668B">
        <w:rPr>
          <w:lang w:val="ro-MD" w:eastAsia="ru-RU"/>
        </w:rPr>
        <w:t xml:space="preserve"> și </w:t>
      </w:r>
      <w:r w:rsidR="00C5284A">
        <w:rPr>
          <w:lang w:val="ro-MD" w:eastAsia="ru-RU"/>
        </w:rPr>
        <w:t>UCIP-</w:t>
      </w:r>
      <w:r w:rsidRPr="00E5668B">
        <w:rPr>
          <w:lang w:val="ro-MD" w:eastAsia="ru-RU"/>
        </w:rPr>
        <w:t xml:space="preserve">FIDA – 2 proiecte. Pe parcursul anului de gestiune, beneficiarii recreditați au rambursat mijloace în sumă totală de 481,3 mil. lei, 5,9 mil. dol. SUA, 18,1 mil. Euro și 0,9 mil. yeni japonezi (echivalentul a 948,2 mil. lei). </w:t>
      </w:r>
    </w:p>
    <w:p w14:paraId="3C9FCF94" w14:textId="15C8399C" w:rsidR="00E5668B" w:rsidRDefault="00E5668B" w:rsidP="00E5668B">
      <w:pPr>
        <w:jc w:val="both"/>
        <w:rPr>
          <w:lang w:val="ro-MD" w:eastAsia="ru-RU"/>
        </w:rPr>
      </w:pPr>
      <w:r w:rsidRPr="00E5668B">
        <w:rPr>
          <w:lang w:val="ro-MD" w:eastAsia="ru-RU"/>
        </w:rPr>
        <w:t>Din totalul datoriilor beneficiarilor recreditați (5 519,</w:t>
      </w:r>
      <w:r w:rsidR="00C5284A">
        <w:rPr>
          <w:lang w:val="ro-MD" w:eastAsia="ru-RU"/>
        </w:rPr>
        <w:t>9</w:t>
      </w:r>
      <w:r w:rsidRPr="00E5668B">
        <w:rPr>
          <w:lang w:val="ro-MD" w:eastAsia="ru-RU"/>
        </w:rPr>
        <w:t xml:space="preserve"> mil. lei), datoriile pentru împrumuturile recreditate prin intermediul MF au constituit 71,3 mil.lei, 35,5 mil. dol. SUA,</w:t>
      </w:r>
      <w:r w:rsidR="00391965">
        <w:rPr>
          <w:lang w:val="ro-MD" w:eastAsia="ru-RU"/>
        </w:rPr>
        <w:t xml:space="preserve"> 101,7 mil. Euro și 896.9 mil. yeni j</w:t>
      </w:r>
      <w:r w:rsidRPr="00E5668B">
        <w:rPr>
          <w:lang w:val="ro-MD" w:eastAsia="ru-RU"/>
        </w:rPr>
        <w:t>aponezi (echivalentul a 2 980,5 mil. lei) sau 54,0% din suma totală a datoriilor, dintre care cu termenul de achitare expirat</w:t>
      </w:r>
      <w:r w:rsidR="00391965">
        <w:rPr>
          <w:lang w:val="ro-MD" w:eastAsia="ru-RU"/>
        </w:rPr>
        <w:t xml:space="preserve"> -</w:t>
      </w:r>
      <w:r w:rsidRPr="00E5668B">
        <w:rPr>
          <w:lang w:val="ro-MD" w:eastAsia="ru-RU"/>
        </w:rPr>
        <w:t xml:space="preserve"> în sumă de 71,3 mil. lei, 10,3 mil. dol. SUA și 0,1 mil. Euro (echivalentul a 251,9 mil. lei). Comparativ cu situația din 31.12.2019, datoria cu terme</w:t>
      </w:r>
      <w:r w:rsidR="00391965">
        <w:rPr>
          <w:lang w:val="ro-MD" w:eastAsia="ru-RU"/>
        </w:rPr>
        <w:t xml:space="preserve">n de achitare expirat, </w:t>
      </w:r>
      <w:r w:rsidRPr="00E5668B">
        <w:rPr>
          <w:lang w:val="ro-MD" w:eastAsia="ru-RU"/>
        </w:rPr>
        <w:t>înregistrată la 31.12.2020</w:t>
      </w:r>
      <w:r w:rsidR="00391965">
        <w:rPr>
          <w:lang w:val="ro-MD" w:eastAsia="ru-RU"/>
        </w:rPr>
        <w:t>,</w:t>
      </w:r>
      <w:r w:rsidRPr="00E5668B">
        <w:rPr>
          <w:lang w:val="ro-MD" w:eastAsia="ru-RU"/>
        </w:rPr>
        <w:t xml:space="preserve"> s-a micșorat cu 1,6%. Deși soldul datoriilor </w:t>
      </w:r>
      <w:r w:rsidR="00CD0596">
        <w:rPr>
          <w:lang w:val="ro-MD" w:eastAsia="ru-RU"/>
        </w:rPr>
        <w:t xml:space="preserve">cu termen de achitare expirat ale </w:t>
      </w:r>
      <w:r w:rsidRPr="00E5668B">
        <w:rPr>
          <w:lang w:val="ro-MD" w:eastAsia="ru-RU"/>
        </w:rPr>
        <w:t xml:space="preserve">beneficiarilor recreditați înregistrează tendințe de diminuare în comparație cu anii precedenți, aceste datorii prezintă un risc sporit de nerecuperare. Auditul evidențiază că datoriile cu termen de achitare expirat acumulate de către întreprinderile în proces de insolvabilitate și potențiali faliți, precum și cele care nu se regăsesc în Registrul de </w:t>
      </w:r>
      <w:r w:rsidR="00391965">
        <w:rPr>
          <w:lang w:val="ro-MD" w:eastAsia="ru-RU"/>
        </w:rPr>
        <w:t>s</w:t>
      </w:r>
      <w:r w:rsidRPr="00E5668B">
        <w:rPr>
          <w:lang w:val="ro-MD" w:eastAsia="ru-RU"/>
        </w:rPr>
        <w:t xml:space="preserve">tat al persoanelor juridice, în sumă totală de 247,9 mil. lei, reprezintă 94,1% din totalul datoriilor cu termen de achitare expirat ale beneficiarilor recreditați. Pe parcursul anului 2020 din suma totală a datoriilor expirate, MF prin intermediul Serviciului Fiscal de Stat a încasat la bugetul de stat circa 13,0 mil. lei, ceea ce constituie 1,4% din suma totală rambursată în perioada de referință, ca rezultat al aplicării măsurilor de executare silită față de beneficiarii recreditați care dețin arierate pe împrumuturile recreditate. </w:t>
      </w:r>
      <w:r w:rsidR="00927A16">
        <w:rPr>
          <w:lang w:val="ro-MD" w:eastAsia="ru-RU"/>
        </w:rPr>
        <w:t>(pct.4.3.1 și pct. 4.3.2.)</w:t>
      </w:r>
    </w:p>
    <w:p w14:paraId="5EDF6306" w14:textId="6C3C2565" w:rsidR="00095048" w:rsidRPr="00DB391B" w:rsidRDefault="00695723" w:rsidP="00DB391B">
      <w:pPr>
        <w:jc w:val="both"/>
        <w:rPr>
          <w:lang w:val="ro-MD" w:eastAsia="ru-RU"/>
        </w:rPr>
      </w:pPr>
      <w:r>
        <w:rPr>
          <w:rFonts w:eastAsia="Times New Roman" w:cstheme="majorHAnsi"/>
          <w:noProof/>
          <w:szCs w:val="24"/>
          <w:lang w:val="ro-MD"/>
        </w:rPr>
        <w:t>În prezentul Raport de audit sunt elucidate principalele constatări și concluzii ale auditului, care au permis înaintarea unor recomandări pentru spor</w:t>
      </w:r>
      <w:r w:rsidR="00391965">
        <w:rPr>
          <w:rFonts w:eastAsia="Times New Roman" w:cstheme="majorHAnsi"/>
          <w:noProof/>
          <w:szCs w:val="24"/>
          <w:lang w:val="ro-MD"/>
        </w:rPr>
        <w:t>irea activităților de control a</w:t>
      </w:r>
      <w:r>
        <w:rPr>
          <w:rFonts w:eastAsia="Times New Roman" w:cstheme="majorHAnsi"/>
          <w:noProof/>
          <w:szCs w:val="24"/>
          <w:lang w:val="ro-MD"/>
        </w:rPr>
        <w:t xml:space="preserve"> MF, </w:t>
      </w:r>
      <w:r w:rsidR="00391965">
        <w:rPr>
          <w:rFonts w:eastAsia="Times New Roman" w:cstheme="majorHAnsi"/>
          <w:noProof/>
          <w:szCs w:val="24"/>
          <w:lang w:val="ro-MD"/>
        </w:rPr>
        <w:t>orientate</w:t>
      </w:r>
      <w:r>
        <w:rPr>
          <w:rFonts w:eastAsia="Times New Roman" w:cstheme="majorHAnsi"/>
          <w:noProof/>
          <w:szCs w:val="24"/>
          <w:lang w:val="ro-MD"/>
        </w:rPr>
        <w:t xml:space="preserve"> spre îmbunătățirea procesului de gestionare și raportare a datoriei de stat, garanțiilor de stat și recreditării de stat.</w:t>
      </w:r>
    </w:p>
    <w:p w14:paraId="0B239FA4" w14:textId="651A5898" w:rsidR="00C8468E" w:rsidRPr="00A07D82" w:rsidRDefault="00391965" w:rsidP="009C5EF3">
      <w:pPr>
        <w:pStyle w:val="1"/>
        <w:numPr>
          <w:ilvl w:val="0"/>
          <w:numId w:val="12"/>
        </w:numPr>
        <w:ind w:left="709"/>
        <w:jc w:val="both"/>
        <w:rPr>
          <w:rFonts w:eastAsia="Times New Roman"/>
          <w:lang w:val="ro-MD" w:eastAsia="ru-RU"/>
        </w:rPr>
      </w:pPr>
      <w:bookmarkStart w:id="7" w:name="_Toc47012267"/>
      <w:bookmarkStart w:id="8" w:name="_Toc75436442"/>
      <w:r>
        <w:rPr>
          <w:rFonts w:eastAsia="Times New Roman"/>
          <w:lang w:val="ro-MD" w:eastAsia="ru-RU"/>
        </w:rPr>
        <w:lastRenderedPageBreak/>
        <w:t>PREZENTARE</w:t>
      </w:r>
      <w:r w:rsidR="00A07D82" w:rsidRPr="00A07D82">
        <w:rPr>
          <w:rFonts w:eastAsia="Times New Roman"/>
          <w:lang w:val="ro-MD" w:eastAsia="ru-RU"/>
        </w:rPr>
        <w:t xml:space="preserve"> GENERALĂ</w:t>
      </w:r>
      <w:bookmarkEnd w:id="7"/>
      <w:bookmarkEnd w:id="8"/>
    </w:p>
    <w:p w14:paraId="5FDC3578" w14:textId="0DF5EFBB" w:rsidR="00522845" w:rsidRDefault="00034E32" w:rsidP="00FB1205">
      <w:pPr>
        <w:spacing w:line="276" w:lineRule="auto"/>
        <w:jc w:val="both"/>
        <w:rPr>
          <w:rFonts w:cstheme="majorHAnsi"/>
          <w:szCs w:val="24"/>
          <w:lang w:val="ro-MD" w:eastAsia="ru-RU"/>
        </w:rPr>
      </w:pPr>
      <w:r>
        <w:rPr>
          <w:rFonts w:cstheme="majorHAnsi"/>
          <w:szCs w:val="24"/>
          <w:lang w:val="ro-MD" w:eastAsia="ru-RU"/>
        </w:rPr>
        <w:t xml:space="preserve">Managementul datoriei sectorului public </w:t>
      </w:r>
      <w:r w:rsidR="00D3069E">
        <w:rPr>
          <w:rFonts w:cstheme="majorHAnsi"/>
          <w:szCs w:val="24"/>
          <w:lang w:val="ro-MD" w:eastAsia="ru-RU"/>
        </w:rPr>
        <w:t xml:space="preserve">este reglementat </w:t>
      </w:r>
      <w:r w:rsidR="00280252">
        <w:rPr>
          <w:rFonts w:cstheme="majorHAnsi"/>
          <w:szCs w:val="24"/>
          <w:lang w:val="ro-MD" w:eastAsia="ru-RU"/>
        </w:rPr>
        <w:t xml:space="preserve">de Legea nr.419 din 22.12.2006 </w:t>
      </w:r>
      <w:r w:rsidR="00391965">
        <w:rPr>
          <w:rFonts w:cstheme="majorHAnsi"/>
          <w:szCs w:val="24"/>
          <w:lang w:val="ro-MD" w:eastAsia="ru-RU"/>
        </w:rPr>
        <w:t>c</w:t>
      </w:r>
      <w:r w:rsidR="00D3069E">
        <w:rPr>
          <w:rFonts w:cstheme="majorHAnsi"/>
          <w:szCs w:val="24"/>
          <w:lang w:val="ro-MD" w:eastAsia="ru-RU"/>
        </w:rPr>
        <w:t>u privire la datoria sectorului public, garanțiile de s</w:t>
      </w:r>
      <w:r w:rsidR="00280252">
        <w:rPr>
          <w:rFonts w:cstheme="majorHAnsi"/>
          <w:szCs w:val="24"/>
          <w:lang w:val="ro-MD" w:eastAsia="ru-RU"/>
        </w:rPr>
        <w:t>tat și recreditarea de stat</w:t>
      </w:r>
      <w:r w:rsidR="00D3069E">
        <w:rPr>
          <w:rFonts w:cstheme="majorHAnsi"/>
          <w:szCs w:val="24"/>
          <w:lang w:val="ro-MD" w:eastAsia="ru-RU"/>
        </w:rPr>
        <w:t>, Hotăr</w:t>
      </w:r>
      <w:r w:rsidR="00280252">
        <w:rPr>
          <w:rFonts w:cstheme="majorHAnsi"/>
          <w:szCs w:val="24"/>
          <w:lang w:val="ro-MD" w:eastAsia="ru-RU"/>
        </w:rPr>
        <w:t>ârile</w:t>
      </w:r>
      <w:r w:rsidR="00D3069E">
        <w:rPr>
          <w:rFonts w:cstheme="majorHAnsi"/>
          <w:szCs w:val="24"/>
          <w:lang w:val="ro-MD" w:eastAsia="ru-RU"/>
        </w:rPr>
        <w:t xml:space="preserve"> Guvernului nr.1136 din 18.10.2007</w:t>
      </w:r>
      <w:r w:rsidR="00D3069E">
        <w:rPr>
          <w:rStyle w:val="a6"/>
          <w:rFonts w:cstheme="majorHAnsi"/>
          <w:szCs w:val="24"/>
          <w:lang w:val="ro-MD" w:eastAsia="ru-RU"/>
        </w:rPr>
        <w:footnoteReference w:id="1"/>
      </w:r>
      <w:r w:rsidR="001E7362">
        <w:rPr>
          <w:rFonts w:cstheme="majorHAnsi"/>
          <w:szCs w:val="24"/>
          <w:lang w:val="ro-MD" w:eastAsia="ru-RU"/>
        </w:rPr>
        <w:t xml:space="preserve">, </w:t>
      </w:r>
      <w:r w:rsidR="00280252">
        <w:rPr>
          <w:rFonts w:cstheme="majorHAnsi"/>
          <w:szCs w:val="24"/>
          <w:lang w:val="ro-MD" w:eastAsia="ru-RU"/>
        </w:rPr>
        <w:t>și</w:t>
      </w:r>
      <w:r w:rsidR="001E7362">
        <w:rPr>
          <w:rFonts w:cstheme="majorHAnsi"/>
          <w:szCs w:val="24"/>
          <w:lang w:val="ro-MD" w:eastAsia="ru-RU"/>
        </w:rPr>
        <w:t xml:space="preserve"> nr.696 din 30.08.2017</w:t>
      </w:r>
      <w:r w:rsidR="001E7362">
        <w:rPr>
          <w:rStyle w:val="a6"/>
          <w:rFonts w:cstheme="majorHAnsi"/>
          <w:szCs w:val="24"/>
          <w:lang w:val="ro-MD" w:eastAsia="ru-RU"/>
        </w:rPr>
        <w:footnoteReference w:id="2"/>
      </w:r>
      <w:r w:rsidR="000869BA">
        <w:rPr>
          <w:rFonts w:cstheme="majorHAnsi"/>
          <w:szCs w:val="24"/>
          <w:lang w:val="ro-MD" w:eastAsia="ru-RU"/>
        </w:rPr>
        <w:t>, precum și de alte acte normative.</w:t>
      </w:r>
      <w:r w:rsidR="006729A1" w:rsidRPr="006729A1">
        <w:rPr>
          <w:rFonts w:cstheme="majorHAnsi"/>
          <w:szCs w:val="24"/>
          <w:lang w:val="ro-MD" w:eastAsia="ru-RU"/>
        </w:rPr>
        <w:t xml:space="preserve"> </w:t>
      </w:r>
    </w:p>
    <w:p w14:paraId="35347427" w14:textId="00745FF7" w:rsidR="004E1785" w:rsidRPr="006729A1" w:rsidRDefault="006729A1" w:rsidP="00FB1205">
      <w:pPr>
        <w:spacing w:line="276" w:lineRule="auto"/>
        <w:jc w:val="both"/>
        <w:rPr>
          <w:rFonts w:cstheme="majorHAnsi"/>
          <w:b/>
          <w:szCs w:val="24"/>
          <w:lang w:val="ro-MD" w:eastAsia="ru-RU"/>
        </w:rPr>
      </w:pPr>
      <w:r w:rsidRPr="006729A1">
        <w:rPr>
          <w:rFonts w:cstheme="majorHAnsi"/>
          <w:b/>
          <w:szCs w:val="24"/>
          <w:lang w:val="ro-MD" w:eastAsia="ru-RU"/>
        </w:rPr>
        <w:t>Responsabilitatea Ministerului Finanțelor, autorizat de Guvern</w:t>
      </w:r>
      <w:r w:rsidR="00BA1AC3">
        <w:rPr>
          <w:rFonts w:cstheme="majorHAnsi"/>
          <w:b/>
          <w:szCs w:val="24"/>
          <w:lang w:val="ro-MD" w:eastAsia="ru-RU"/>
        </w:rPr>
        <w:t>,</w:t>
      </w:r>
      <w:r>
        <w:rPr>
          <w:rFonts w:cstheme="majorHAnsi"/>
          <w:b/>
          <w:szCs w:val="24"/>
          <w:lang w:val="ro-MD" w:eastAsia="ru-RU"/>
        </w:rPr>
        <w:t xml:space="preserve"> </w:t>
      </w:r>
      <w:r w:rsidRPr="006729A1">
        <w:rPr>
          <w:rFonts w:cstheme="majorHAnsi"/>
          <w:szCs w:val="24"/>
          <w:lang w:val="ro-MD" w:eastAsia="ru-RU"/>
        </w:rPr>
        <w:t>este de a</w:t>
      </w:r>
      <w:r>
        <w:rPr>
          <w:rFonts w:cstheme="majorHAnsi"/>
          <w:szCs w:val="24"/>
          <w:lang w:val="ro-MD" w:eastAsia="ru-RU"/>
        </w:rPr>
        <w:t xml:space="preserve"> administra datoria de stat, garanțiile de stat și recreditarea de stat, de a </w:t>
      </w:r>
      <w:r w:rsidR="00474782">
        <w:rPr>
          <w:rFonts w:cstheme="majorHAnsi"/>
          <w:szCs w:val="24"/>
          <w:lang w:val="ro-MD" w:eastAsia="ru-RU"/>
        </w:rPr>
        <w:t>asigura</w:t>
      </w:r>
      <w:r>
        <w:rPr>
          <w:rFonts w:cstheme="majorHAnsi"/>
          <w:szCs w:val="24"/>
          <w:lang w:val="ro-MD" w:eastAsia="ru-RU"/>
        </w:rPr>
        <w:t xml:space="preserve"> deservirea datoriei de stat, precum și de a înregistra toate tranzacțiile efectuate.</w:t>
      </w:r>
      <w:r w:rsidR="00D970B7">
        <w:rPr>
          <w:rFonts w:cstheme="majorHAnsi"/>
          <w:szCs w:val="24"/>
          <w:lang w:val="ro-MD" w:eastAsia="ru-RU"/>
        </w:rPr>
        <w:t xml:space="preserve"> De asemenea, MF, prin prisma atribuțiilor ce-i revin, acumulează, generalizează</w:t>
      </w:r>
      <w:r>
        <w:rPr>
          <w:rFonts w:cstheme="majorHAnsi"/>
          <w:szCs w:val="24"/>
          <w:lang w:val="ro-MD" w:eastAsia="ru-RU"/>
        </w:rPr>
        <w:t>,</w:t>
      </w:r>
      <w:r w:rsidR="00D970B7">
        <w:rPr>
          <w:rFonts w:cstheme="majorHAnsi"/>
          <w:szCs w:val="24"/>
          <w:lang w:val="ro-MD" w:eastAsia="ru-RU"/>
        </w:rPr>
        <w:t xml:space="preserve"> </w:t>
      </w:r>
      <w:r>
        <w:rPr>
          <w:rFonts w:cstheme="majorHAnsi"/>
          <w:szCs w:val="24"/>
          <w:lang w:val="ro-MD" w:eastAsia="ru-RU"/>
        </w:rPr>
        <w:t xml:space="preserve">monitorizează </w:t>
      </w:r>
      <w:r w:rsidR="00D970B7">
        <w:rPr>
          <w:rFonts w:cstheme="majorHAnsi"/>
          <w:szCs w:val="24"/>
          <w:lang w:val="ro-MD" w:eastAsia="ru-RU"/>
        </w:rPr>
        <w:t>și raportează informația cu privire la situația datoriei publice.</w:t>
      </w:r>
    </w:p>
    <w:p w14:paraId="5AB6151C" w14:textId="51B232E5" w:rsidR="007F1A15" w:rsidRDefault="00224D25" w:rsidP="00FB1205">
      <w:pPr>
        <w:spacing w:line="276" w:lineRule="auto"/>
        <w:jc w:val="both"/>
        <w:rPr>
          <w:rFonts w:cstheme="majorHAnsi"/>
          <w:szCs w:val="24"/>
          <w:lang w:val="ro-MD" w:eastAsia="ru-RU"/>
        </w:rPr>
      </w:pPr>
      <w:r>
        <w:rPr>
          <w:rFonts w:cstheme="majorHAnsi"/>
          <w:szCs w:val="24"/>
          <w:lang w:val="ro-MD" w:eastAsia="ru-RU"/>
        </w:rPr>
        <w:t>A</w:t>
      </w:r>
      <w:r w:rsidR="008C35B9">
        <w:rPr>
          <w:rFonts w:cstheme="majorHAnsi"/>
          <w:szCs w:val="24"/>
          <w:lang w:val="ro-MD" w:eastAsia="ru-RU"/>
        </w:rPr>
        <w:t xml:space="preserve">tribuțiile specifice </w:t>
      </w:r>
      <w:r w:rsidR="00E3394B">
        <w:rPr>
          <w:rFonts w:cstheme="majorHAnsi"/>
          <w:szCs w:val="24"/>
          <w:lang w:val="ro-MD" w:eastAsia="ru-RU"/>
        </w:rPr>
        <w:t xml:space="preserve">cu privire la administrarea și gestionarea datoriei </w:t>
      </w:r>
      <w:r w:rsidR="009A6464">
        <w:rPr>
          <w:rFonts w:cstheme="majorHAnsi"/>
          <w:szCs w:val="24"/>
          <w:lang w:val="ro-MD" w:eastAsia="ru-RU"/>
        </w:rPr>
        <w:t xml:space="preserve">de stat </w:t>
      </w:r>
      <w:r w:rsidR="00E3394B">
        <w:rPr>
          <w:rFonts w:cstheme="majorHAnsi"/>
          <w:szCs w:val="24"/>
          <w:lang w:val="ro-MD" w:eastAsia="ru-RU"/>
        </w:rPr>
        <w:t>se realizează prin Direcția datorii publice</w:t>
      </w:r>
      <w:r>
        <w:rPr>
          <w:rFonts w:cstheme="majorHAnsi"/>
          <w:szCs w:val="24"/>
          <w:lang w:val="ro-MD" w:eastAsia="ru-RU"/>
        </w:rPr>
        <w:t xml:space="preserve"> din cadrul MF </w:t>
      </w:r>
      <w:r w:rsidR="00E3394B">
        <w:rPr>
          <w:rFonts w:cstheme="majorHAnsi"/>
          <w:szCs w:val="24"/>
          <w:lang w:val="ro-MD" w:eastAsia="ru-RU"/>
        </w:rPr>
        <w:t xml:space="preserve">și IP „Oficiul de Gestionare a Programelor de Asistență </w:t>
      </w:r>
      <w:r w:rsidR="00E45D6D">
        <w:rPr>
          <w:rFonts w:cstheme="majorHAnsi"/>
          <w:szCs w:val="24"/>
          <w:lang w:val="ro-MD" w:eastAsia="ru-RU"/>
        </w:rPr>
        <w:t>E</w:t>
      </w:r>
      <w:r w:rsidR="00E3394B">
        <w:rPr>
          <w:rFonts w:cstheme="majorHAnsi"/>
          <w:szCs w:val="24"/>
          <w:lang w:val="ro-MD" w:eastAsia="ru-RU"/>
        </w:rPr>
        <w:t>xternă”</w:t>
      </w:r>
      <w:r w:rsidR="00E45D6D">
        <w:rPr>
          <w:rFonts w:cstheme="majorHAnsi"/>
          <w:szCs w:val="24"/>
          <w:lang w:val="ro-MD" w:eastAsia="ru-RU"/>
        </w:rPr>
        <w:t>, al cărui fondator este MF. Evidența informației generale și a tuturor tranzacțiilor aferente datoriei de stat, recreditării de stat</w:t>
      </w:r>
      <w:r w:rsidR="007678D9">
        <w:rPr>
          <w:rFonts w:cstheme="majorHAnsi"/>
          <w:szCs w:val="24"/>
          <w:lang w:val="ro-MD" w:eastAsia="ru-RU"/>
        </w:rPr>
        <w:t>,</w:t>
      </w:r>
      <w:r w:rsidR="00E45D6D">
        <w:rPr>
          <w:rFonts w:cstheme="majorHAnsi"/>
          <w:szCs w:val="24"/>
          <w:lang w:val="ro-MD" w:eastAsia="ru-RU"/>
        </w:rPr>
        <w:t xml:space="preserve"> precum și a garanțiilor de stat este asigurată de sistemul informațional DMFAS.</w:t>
      </w:r>
    </w:p>
    <w:p w14:paraId="66C2DD6E" w14:textId="7157C67D" w:rsidR="00BA1AC3" w:rsidRDefault="00BA1AC3" w:rsidP="00FB1205">
      <w:pPr>
        <w:spacing w:line="276" w:lineRule="auto"/>
        <w:jc w:val="both"/>
        <w:rPr>
          <w:rFonts w:cstheme="majorHAnsi"/>
          <w:szCs w:val="24"/>
          <w:lang w:val="ro-MD" w:eastAsia="ru-RU"/>
        </w:rPr>
      </w:pPr>
      <w:r>
        <w:rPr>
          <w:rFonts w:cstheme="majorHAnsi"/>
          <w:szCs w:val="24"/>
          <w:lang w:val="ro-MD" w:eastAsia="ru-RU"/>
        </w:rPr>
        <w:t xml:space="preserve">În vederea unei bune administrări a datoriei de stat, </w:t>
      </w:r>
      <w:r w:rsidR="00474782">
        <w:rPr>
          <w:rFonts w:cstheme="majorHAnsi"/>
          <w:szCs w:val="24"/>
          <w:lang w:val="ro-MD" w:eastAsia="ru-RU"/>
        </w:rPr>
        <w:t xml:space="preserve">a fost aprobat </w:t>
      </w:r>
      <w:r>
        <w:rPr>
          <w:rFonts w:cstheme="majorHAnsi"/>
          <w:szCs w:val="24"/>
          <w:lang w:val="ro-MD" w:eastAsia="ru-RU"/>
        </w:rPr>
        <w:t>Programul „Managementul datoriei de stat pe termen mediu (20</w:t>
      </w:r>
      <w:r w:rsidR="00CD0596">
        <w:rPr>
          <w:rFonts w:cstheme="majorHAnsi"/>
          <w:szCs w:val="24"/>
          <w:lang w:val="ro-MD" w:eastAsia="ru-RU"/>
        </w:rPr>
        <w:t>20-2022</w:t>
      </w:r>
      <w:r>
        <w:rPr>
          <w:rFonts w:cstheme="majorHAnsi"/>
          <w:szCs w:val="24"/>
          <w:lang w:val="ro-MD" w:eastAsia="ru-RU"/>
        </w:rPr>
        <w:t>)</w:t>
      </w:r>
      <w:r w:rsidR="007678D9">
        <w:rPr>
          <w:rFonts w:cstheme="majorHAnsi"/>
          <w:szCs w:val="24"/>
          <w:lang w:val="ro-MD" w:eastAsia="ru-RU"/>
        </w:rPr>
        <w:t>”</w:t>
      </w:r>
      <w:r>
        <w:rPr>
          <w:rFonts w:cstheme="majorHAnsi"/>
          <w:szCs w:val="24"/>
          <w:lang w:val="ro-MD" w:eastAsia="ru-RU"/>
        </w:rPr>
        <w:t xml:space="preserve">, </w:t>
      </w:r>
      <w:r w:rsidR="00474782">
        <w:rPr>
          <w:rFonts w:cstheme="majorHAnsi"/>
          <w:szCs w:val="24"/>
          <w:lang w:val="ro-MD" w:eastAsia="ru-RU"/>
        </w:rPr>
        <w:t>în conformitate cu</w:t>
      </w:r>
      <w:r>
        <w:rPr>
          <w:rFonts w:cstheme="majorHAnsi"/>
          <w:szCs w:val="24"/>
          <w:lang w:val="ro-MD" w:eastAsia="ru-RU"/>
        </w:rPr>
        <w:t xml:space="preserve"> indicatorii macroeconomici care au stat la baza elaborării Legii bugetului de stat pentru anul 2020</w:t>
      </w:r>
      <w:r>
        <w:rPr>
          <w:rStyle w:val="a6"/>
          <w:rFonts w:cstheme="majorHAnsi"/>
          <w:szCs w:val="24"/>
          <w:lang w:val="ro-MD" w:eastAsia="ru-RU"/>
        </w:rPr>
        <w:footnoteReference w:id="3"/>
      </w:r>
      <w:r>
        <w:rPr>
          <w:rFonts w:cstheme="majorHAnsi"/>
          <w:szCs w:val="24"/>
          <w:lang w:val="ro-MD" w:eastAsia="ru-RU"/>
        </w:rPr>
        <w:t>. Acest program stabilește obiectivul fundamental al procesului de management al datoriei de stat, obiectivele specifice, precum și acțiunile care vor fi întreprinse de către autorități în vederea asigurării finanțării și îmbunătățirii structurii portofoliului datoriei de stat, iar implementarea acestora să nu creeze presiuni asupra sustenabilității politicii fiscale de ansamblu.</w:t>
      </w:r>
    </w:p>
    <w:p w14:paraId="230A1AD7" w14:textId="1D37F668" w:rsidR="00074E4A" w:rsidRDefault="00074E4A" w:rsidP="00A93168">
      <w:pPr>
        <w:spacing w:after="0" w:line="276" w:lineRule="auto"/>
        <w:jc w:val="both"/>
        <w:rPr>
          <w:rFonts w:cstheme="majorHAnsi"/>
          <w:szCs w:val="24"/>
          <w:lang w:val="ro-MD" w:eastAsia="ru-RU"/>
        </w:rPr>
      </w:pPr>
      <w:r>
        <w:rPr>
          <w:rFonts w:cstheme="majorHAnsi"/>
          <w:szCs w:val="24"/>
          <w:lang w:val="ro-MD" w:eastAsia="ru-RU"/>
        </w:rPr>
        <w:t>Conform datelor din Raportul privind situația din domeniul datoriei sectorului public, garanțiilor de stat și recreditării de stat pe anul 2020, soldul datoriei sectorului public, la situația din 31.12.2020, a constitu</w:t>
      </w:r>
      <w:r w:rsidR="007678D9">
        <w:rPr>
          <w:rFonts w:cstheme="majorHAnsi"/>
          <w:szCs w:val="24"/>
          <w:lang w:val="ro-MD" w:eastAsia="ru-RU"/>
        </w:rPr>
        <w:t>it 72 636,3 mil. lei, înregistrând o creștere cu 15 031,5 mil.</w:t>
      </w:r>
      <w:r>
        <w:rPr>
          <w:rFonts w:cstheme="majorHAnsi"/>
          <w:szCs w:val="24"/>
          <w:lang w:val="ro-MD" w:eastAsia="ru-RU"/>
        </w:rPr>
        <w:t xml:space="preserve">lei față de soldul datoriei sectorului public la situația din 31.12.2019. Analiza în evoluție a soldului datoriei publice denotă un trend crescător, de la 36 402,1 mil.lei în anul 2014, la 72 636,3 mil.lei în anul 2020 (aproximativ de 2 ori). Creșterea datoriei sectorului public în evoluție, în principal </w:t>
      </w:r>
      <w:r>
        <w:rPr>
          <w:rFonts w:cstheme="majorHAnsi"/>
          <w:szCs w:val="24"/>
          <w:lang w:val="ro-MD" w:eastAsia="ru-RU"/>
        </w:rPr>
        <w:lastRenderedPageBreak/>
        <w:t>a fost condiționată de creșterea datoriei de stat (+ 17,3 mlrd</w:t>
      </w:r>
      <w:r w:rsidR="007678D9">
        <w:rPr>
          <w:rFonts w:cstheme="majorHAnsi"/>
          <w:szCs w:val="24"/>
          <w:lang w:val="ro-MD" w:eastAsia="ru-RU"/>
        </w:rPr>
        <w:t>.</w:t>
      </w:r>
      <w:r>
        <w:rPr>
          <w:rFonts w:cstheme="majorHAnsi"/>
          <w:szCs w:val="24"/>
          <w:lang w:val="ro-MD" w:eastAsia="ru-RU"/>
        </w:rPr>
        <w:t xml:space="preserve">lei) în anul 2016 față de anul 2015, determinată în mare parte de emisiunea VMS pentru executarea obligațiilor de plată derivate din garanțiile de stat acordate de BNM pentru garantarea creditelor de urgență în cazul băncilor aflate în proces de lichidare („Banca de Economii” SA, BC „Banca Socială” SA și BC „Unibank” SA) </w:t>
      </w:r>
      <w:r w:rsidR="00CD0596">
        <w:rPr>
          <w:rFonts w:cstheme="majorHAnsi"/>
          <w:szCs w:val="24"/>
          <w:lang w:val="ro-MD" w:eastAsia="ru-RU"/>
        </w:rPr>
        <w:t xml:space="preserve">iar în anul 2020 față de anul 2019 la fel a fost condiționată de </w:t>
      </w:r>
      <w:r>
        <w:rPr>
          <w:rFonts w:cstheme="majorHAnsi"/>
          <w:szCs w:val="24"/>
          <w:lang w:val="ro-MD" w:eastAsia="ru-RU"/>
        </w:rPr>
        <w:t>creșter</w:t>
      </w:r>
      <w:r w:rsidR="007678D9">
        <w:rPr>
          <w:rFonts w:cstheme="majorHAnsi"/>
          <w:szCs w:val="24"/>
          <w:lang w:val="ro-MD" w:eastAsia="ru-RU"/>
        </w:rPr>
        <w:t>ea datorie de stat (+15,03 mlrd.</w:t>
      </w:r>
      <w:r>
        <w:rPr>
          <w:rFonts w:cstheme="majorHAnsi"/>
          <w:szCs w:val="24"/>
          <w:lang w:val="ro-MD" w:eastAsia="ru-RU"/>
        </w:rPr>
        <w:t xml:space="preserve">lei). </w:t>
      </w:r>
      <w:r w:rsidR="00A93168" w:rsidRPr="00061848">
        <w:rPr>
          <w:rFonts w:cstheme="majorHAnsi"/>
          <w:i/>
          <w:szCs w:val="24"/>
          <w:lang w:val="ro-MD" w:eastAsia="ru-RU"/>
        </w:rPr>
        <w:t>Evoluția soldului datoriei publice pe parcursul ultimilor 7 ani se prezintă în Anexa nr.3, Diagrama nr.1.</w:t>
      </w:r>
    </w:p>
    <w:p w14:paraId="6F291BE6" w14:textId="5FA5ED5C" w:rsidR="00BA1AC3" w:rsidRDefault="00074E4A" w:rsidP="00FB1205">
      <w:pPr>
        <w:spacing w:line="276" w:lineRule="auto"/>
        <w:jc w:val="both"/>
        <w:rPr>
          <w:rFonts w:cstheme="majorHAnsi"/>
          <w:szCs w:val="24"/>
          <w:lang w:val="ro-MD" w:eastAsia="ru-RU"/>
        </w:rPr>
      </w:pPr>
      <w:r>
        <w:rPr>
          <w:rFonts w:cstheme="majorHAnsi"/>
          <w:szCs w:val="24"/>
          <w:lang w:val="ro-MD" w:eastAsia="ru-RU"/>
        </w:rPr>
        <w:t>Conform datelor privind PIB-ul pentru anul 2020</w:t>
      </w:r>
      <w:r>
        <w:rPr>
          <w:rStyle w:val="a6"/>
          <w:rFonts w:cstheme="majorHAnsi"/>
          <w:szCs w:val="24"/>
          <w:lang w:val="ro-MD" w:eastAsia="ru-RU"/>
        </w:rPr>
        <w:footnoteReference w:id="4"/>
      </w:r>
      <w:r>
        <w:rPr>
          <w:rFonts w:cstheme="majorHAnsi"/>
          <w:szCs w:val="24"/>
          <w:lang w:val="ro-MD" w:eastAsia="ru-RU"/>
        </w:rPr>
        <w:t>, ponderea datoriei sectorului public în PIB, la situația din 31.12.2020</w:t>
      </w:r>
      <w:r w:rsidR="0091399C">
        <w:rPr>
          <w:rFonts w:cstheme="majorHAnsi"/>
          <w:szCs w:val="24"/>
          <w:lang w:val="ro-MD" w:eastAsia="ru-RU"/>
        </w:rPr>
        <w:t>, a constituit 35,2%, înregistrâ</w:t>
      </w:r>
      <w:r>
        <w:rPr>
          <w:rFonts w:cstheme="majorHAnsi"/>
          <w:szCs w:val="24"/>
          <w:lang w:val="ro-MD" w:eastAsia="ru-RU"/>
        </w:rPr>
        <w:t>nd o majorare cu 7,7 p.p comparativ cu situația de la finele anului 2019.</w:t>
      </w:r>
      <w:r w:rsidRPr="004C41D4">
        <w:rPr>
          <w:rFonts w:cstheme="majorHAnsi"/>
          <w:i/>
          <w:szCs w:val="24"/>
          <w:lang w:val="ro-MD" w:eastAsia="ru-RU"/>
        </w:rPr>
        <w:t xml:space="preserve"> </w:t>
      </w:r>
    </w:p>
    <w:p w14:paraId="52EEAE21" w14:textId="6DCA5973" w:rsidR="00074E4A" w:rsidRDefault="00E11753" w:rsidP="00FB1205">
      <w:pPr>
        <w:spacing w:line="276" w:lineRule="auto"/>
        <w:jc w:val="both"/>
        <w:rPr>
          <w:rFonts w:cstheme="majorHAnsi"/>
          <w:szCs w:val="24"/>
          <w:lang w:val="ro-MD" w:eastAsia="ru-RU"/>
        </w:rPr>
      </w:pPr>
      <w:r>
        <w:rPr>
          <w:rFonts w:cstheme="majorHAnsi"/>
          <w:szCs w:val="24"/>
          <w:lang w:val="ro-MD" w:eastAsia="ru-RU"/>
        </w:rPr>
        <w:t>Avâ</w:t>
      </w:r>
      <w:r w:rsidR="00074E4A">
        <w:rPr>
          <w:rFonts w:cstheme="majorHAnsi"/>
          <w:szCs w:val="24"/>
          <w:lang w:val="ro-MD" w:eastAsia="ru-RU"/>
        </w:rPr>
        <w:t>nd în vedere că ponderea majoră în totalul datoriei sectorului public îi revine componentei datoria de stat (93,4%), aceasta a fost selectată ca domeniu semnificativ care a fost supus verificărilor de audit.</w:t>
      </w:r>
    </w:p>
    <w:p w14:paraId="734E05D7" w14:textId="0F1B5709" w:rsidR="007F1A15" w:rsidRPr="007F1A15" w:rsidRDefault="006023D2" w:rsidP="00FB1205">
      <w:pPr>
        <w:pStyle w:val="1"/>
        <w:numPr>
          <w:ilvl w:val="0"/>
          <w:numId w:val="12"/>
        </w:numPr>
        <w:ind w:left="0" w:firstLine="0"/>
        <w:jc w:val="both"/>
        <w:rPr>
          <w:rFonts w:eastAsia="Times New Roman"/>
          <w:lang w:val="ro-MD" w:eastAsia="ru-RU"/>
        </w:rPr>
      </w:pPr>
      <w:bookmarkStart w:id="9" w:name="_Toc47012268"/>
      <w:bookmarkStart w:id="10" w:name="_Toc75436443"/>
      <w:r w:rsidRPr="006023D2">
        <w:rPr>
          <w:rFonts w:eastAsia="Times New Roman"/>
          <w:lang w:val="ro-MD" w:eastAsia="ru-RU"/>
        </w:rPr>
        <w:t>SFERA ȘI A</w:t>
      </w:r>
      <w:r w:rsidR="00651290">
        <w:rPr>
          <w:rFonts w:eastAsia="Times New Roman"/>
          <w:lang w:val="ro-MD" w:eastAsia="ru-RU"/>
        </w:rPr>
        <w:t>B</w:t>
      </w:r>
      <w:r w:rsidRPr="006023D2">
        <w:rPr>
          <w:rFonts w:eastAsia="Times New Roman"/>
          <w:lang w:val="ro-MD" w:eastAsia="ru-RU"/>
        </w:rPr>
        <w:t>ORDAREA DE AUDIT</w:t>
      </w:r>
      <w:bookmarkEnd w:id="9"/>
      <w:bookmarkEnd w:id="10"/>
    </w:p>
    <w:p w14:paraId="13FB613F" w14:textId="1F5594E8" w:rsidR="00DE4659" w:rsidRPr="00DE4659" w:rsidRDefault="00DE4659" w:rsidP="00FB1205">
      <w:pPr>
        <w:pStyle w:val="2"/>
        <w:numPr>
          <w:ilvl w:val="1"/>
          <w:numId w:val="13"/>
        </w:numPr>
        <w:jc w:val="both"/>
        <w:rPr>
          <w:rFonts w:eastAsia="Times New Roman"/>
          <w:lang w:val="ro-MD" w:eastAsia="ru-RU"/>
        </w:rPr>
      </w:pPr>
      <w:bookmarkStart w:id="11" w:name="_Toc75436444"/>
      <w:r w:rsidRPr="00DE4659">
        <w:rPr>
          <w:rFonts w:eastAsia="Times New Roman"/>
          <w:lang w:val="ro-MD" w:eastAsia="ru-RU"/>
        </w:rPr>
        <w:t>Mandatul legal și scopul auditului</w:t>
      </w:r>
      <w:bookmarkEnd w:id="11"/>
    </w:p>
    <w:p w14:paraId="5243518E" w14:textId="46980B05" w:rsidR="00257842" w:rsidRPr="00DF0626" w:rsidRDefault="00DE4659" w:rsidP="00FB1205">
      <w:pPr>
        <w:jc w:val="both"/>
        <w:rPr>
          <w:lang w:val="ro-MD" w:eastAsia="ru-RU"/>
        </w:rPr>
      </w:pPr>
      <w:r w:rsidRPr="00DE4659">
        <w:rPr>
          <w:lang w:val="ro-MD" w:eastAsia="ru-RU"/>
        </w:rPr>
        <w:t xml:space="preserve">Misiunea de audit public extern </w:t>
      </w:r>
      <w:r>
        <w:rPr>
          <w:lang w:val="ro-MD" w:eastAsia="ru-RU"/>
        </w:rPr>
        <w:t>a fost desfășurată în temeiul art.31 și art.32 din Legea privind organizarea și funcționarea Curții de Conturi a Republicii Moldova nr.260 din 07.12.2017 și în conformitate cu Programul activității de audit a Curții de Conturi pe anul 2021</w:t>
      </w:r>
      <w:r>
        <w:rPr>
          <w:rStyle w:val="a6"/>
          <w:rFonts w:eastAsia="Times New Roman" w:cstheme="majorHAnsi"/>
          <w:bCs/>
          <w:color w:val="000000" w:themeColor="text1"/>
          <w:szCs w:val="24"/>
          <w:lang w:val="ro-MD" w:eastAsia="ru-RU"/>
        </w:rPr>
        <w:footnoteReference w:id="5"/>
      </w:r>
      <w:r>
        <w:rPr>
          <w:lang w:val="ro-MD" w:eastAsia="ru-RU"/>
        </w:rPr>
        <w:t xml:space="preserve">, </w:t>
      </w:r>
      <w:r w:rsidR="00E11753">
        <w:rPr>
          <w:lang w:val="ro-MD" w:eastAsia="ru-RU"/>
        </w:rPr>
        <w:t>avâ</w:t>
      </w:r>
      <w:r w:rsidR="00257842">
        <w:rPr>
          <w:lang w:val="ro-MD" w:eastAsia="ru-RU"/>
        </w:rPr>
        <w:t>nd drept scop oferirea asigurării rezonabile asupra conformității managementului datoriei de stat, garanțiilor de stat și recreditării de stat realizat de către Ministerul Finanțelor în anul 2020, precum și asigurarea că raportarea acesteia este conformă ca parte componentă a Raportului Guvernului privind executarea bugetului de stat pe anul 2020</w:t>
      </w:r>
      <w:r w:rsidR="007F1A15">
        <w:rPr>
          <w:lang w:val="ro-MD" w:eastAsia="ru-RU"/>
        </w:rPr>
        <w:t>,</w:t>
      </w:r>
      <w:r w:rsidR="00257842">
        <w:rPr>
          <w:lang w:val="ro-MD" w:eastAsia="ru-RU"/>
        </w:rPr>
        <w:t xml:space="preserve"> în vederea formulării unei concluzii generale de audit și înaintarea, după caz, a recomandărilor relevante.</w:t>
      </w:r>
    </w:p>
    <w:p w14:paraId="3B9A9A95" w14:textId="38B87910" w:rsidR="00135F7A" w:rsidRDefault="0006033B" w:rsidP="00FB1205">
      <w:pPr>
        <w:jc w:val="both"/>
        <w:rPr>
          <w:lang w:val="ro-MD" w:eastAsia="ru-RU"/>
        </w:rPr>
      </w:pPr>
      <w:r w:rsidRPr="00DF0626">
        <w:t xml:space="preserve">Misiunea de audit a avut drept obiectiv general </w:t>
      </w:r>
      <w:r w:rsidR="00846C66" w:rsidRPr="00DF0626">
        <w:t xml:space="preserve">dacă </w:t>
      </w:r>
      <w:r w:rsidRPr="00DF0626">
        <w:t>„</w:t>
      </w:r>
      <w:r w:rsidR="00E11753">
        <w:t>G</w:t>
      </w:r>
      <w:r w:rsidRPr="00DF0626">
        <w:t xml:space="preserve">estionarea </w:t>
      </w:r>
      <w:r w:rsidR="00680943" w:rsidRPr="00DF0626">
        <w:t>datori</w:t>
      </w:r>
      <w:r w:rsidRPr="00DF0626">
        <w:t xml:space="preserve">ei </w:t>
      </w:r>
      <w:r w:rsidR="00680943" w:rsidRPr="00DF0626">
        <w:t>de</w:t>
      </w:r>
      <w:r w:rsidR="00680943" w:rsidRPr="0006033B">
        <w:rPr>
          <w:lang w:val="ro-MD" w:eastAsia="ru-RU"/>
        </w:rPr>
        <w:t xml:space="preserve"> stat, garanțiil</w:t>
      </w:r>
      <w:r w:rsidRPr="0006033B">
        <w:rPr>
          <w:lang w:val="ro-MD" w:eastAsia="ru-RU"/>
        </w:rPr>
        <w:t>or</w:t>
      </w:r>
      <w:r w:rsidR="00680943" w:rsidRPr="0006033B">
        <w:rPr>
          <w:lang w:val="ro-MD" w:eastAsia="ru-RU"/>
        </w:rPr>
        <w:t xml:space="preserve"> de stat și recredit</w:t>
      </w:r>
      <w:r w:rsidRPr="0006033B">
        <w:rPr>
          <w:lang w:val="ro-MD" w:eastAsia="ru-RU"/>
        </w:rPr>
        <w:t>ării</w:t>
      </w:r>
      <w:r w:rsidR="00680943" w:rsidRPr="0006033B">
        <w:rPr>
          <w:lang w:val="ro-MD" w:eastAsia="ru-RU"/>
        </w:rPr>
        <w:t xml:space="preserve"> de stat </w:t>
      </w:r>
      <w:r w:rsidRPr="0006033B">
        <w:rPr>
          <w:lang w:val="ro-MD" w:eastAsia="ru-RU"/>
        </w:rPr>
        <w:t xml:space="preserve">de către Ministerul Finanțelor </w:t>
      </w:r>
      <w:r w:rsidR="00680943" w:rsidRPr="0006033B">
        <w:rPr>
          <w:lang w:val="ro-MD" w:eastAsia="ru-RU"/>
        </w:rPr>
        <w:t xml:space="preserve">în anul 2020, </w:t>
      </w:r>
      <w:r w:rsidRPr="0006033B">
        <w:rPr>
          <w:lang w:val="ro-MD" w:eastAsia="ru-RU"/>
        </w:rPr>
        <w:t>s-a realizat</w:t>
      </w:r>
      <w:r w:rsidR="00680943" w:rsidRPr="0006033B">
        <w:rPr>
          <w:lang w:val="ro-MD" w:eastAsia="ru-RU"/>
        </w:rPr>
        <w:t xml:space="preserve"> </w:t>
      </w:r>
      <w:r w:rsidRPr="0006033B">
        <w:rPr>
          <w:lang w:val="ro-MD" w:eastAsia="ru-RU"/>
        </w:rPr>
        <w:t>în conformitate cu cadrul legal aferent?”</w:t>
      </w:r>
      <w:r w:rsidR="00680943" w:rsidRPr="0006033B">
        <w:rPr>
          <w:lang w:val="ro-MD" w:eastAsia="ru-RU"/>
        </w:rPr>
        <w:t>.</w:t>
      </w:r>
    </w:p>
    <w:p w14:paraId="46E2F919" w14:textId="1FB07B9A" w:rsidR="006023D2" w:rsidRPr="006023D2" w:rsidRDefault="0006033B" w:rsidP="00FB1205">
      <w:pPr>
        <w:spacing w:after="0" w:line="276" w:lineRule="auto"/>
        <w:jc w:val="both"/>
        <w:rPr>
          <w:rFonts w:cstheme="majorHAnsi"/>
          <w:szCs w:val="24"/>
          <w:lang w:val="ro-RO"/>
        </w:rPr>
      </w:pPr>
      <w:r>
        <w:rPr>
          <w:rFonts w:cstheme="majorHAnsi"/>
          <w:szCs w:val="24"/>
          <w:lang w:val="ro-RO"/>
        </w:rPr>
        <w:t>În acest sens</w:t>
      </w:r>
      <w:r w:rsidR="00E11753">
        <w:rPr>
          <w:rFonts w:cstheme="majorHAnsi"/>
          <w:szCs w:val="24"/>
          <w:lang w:val="ro-RO"/>
        </w:rPr>
        <w:t>,</w:t>
      </w:r>
      <w:r>
        <w:rPr>
          <w:rFonts w:cstheme="majorHAnsi"/>
          <w:szCs w:val="24"/>
          <w:lang w:val="ro-RO"/>
        </w:rPr>
        <w:t xml:space="preserve"> au fost formulate </w:t>
      </w:r>
      <w:r w:rsidR="006023D2" w:rsidRPr="006023D2">
        <w:rPr>
          <w:rFonts w:cstheme="majorHAnsi"/>
          <w:szCs w:val="24"/>
          <w:lang w:val="ro-RO"/>
        </w:rPr>
        <w:t>următoarele obiective specifice</w:t>
      </w:r>
      <w:r>
        <w:rPr>
          <w:rFonts w:cstheme="majorHAnsi"/>
          <w:szCs w:val="24"/>
          <w:lang w:val="ro-RO"/>
        </w:rPr>
        <w:t xml:space="preserve"> de audit</w:t>
      </w:r>
      <w:r w:rsidR="006023D2" w:rsidRPr="006023D2">
        <w:rPr>
          <w:rFonts w:cstheme="majorHAnsi"/>
          <w:szCs w:val="24"/>
          <w:lang w:val="ro-RO"/>
        </w:rPr>
        <w:t>:</w:t>
      </w:r>
    </w:p>
    <w:p w14:paraId="0C7AFC77" w14:textId="4E64C705" w:rsidR="00BB345A" w:rsidRPr="00F2437C" w:rsidRDefault="00BB345A" w:rsidP="00FB1205">
      <w:pPr>
        <w:tabs>
          <w:tab w:val="left" w:pos="284"/>
          <w:tab w:val="left" w:pos="567"/>
        </w:tabs>
        <w:spacing w:after="0" w:line="276" w:lineRule="auto"/>
        <w:jc w:val="both"/>
        <w:rPr>
          <w:rFonts w:cstheme="majorHAnsi"/>
          <w:szCs w:val="24"/>
          <w:lang w:val="ro-RO"/>
        </w:rPr>
      </w:pPr>
      <w:r w:rsidRPr="00F2437C">
        <w:rPr>
          <w:rFonts w:cstheme="majorHAnsi"/>
          <w:b/>
          <w:szCs w:val="24"/>
          <w:lang w:val="ro-RO"/>
        </w:rPr>
        <w:lastRenderedPageBreak/>
        <w:t xml:space="preserve">Obiectivul specific I. </w:t>
      </w:r>
      <w:r w:rsidR="007C13BD" w:rsidRPr="00F2437C">
        <w:rPr>
          <w:rFonts w:cstheme="majorHAnsi"/>
          <w:szCs w:val="24"/>
          <w:lang w:val="ro-RO"/>
        </w:rPr>
        <w:t>Analiza</w:t>
      </w:r>
      <w:r w:rsidRPr="00F2437C">
        <w:rPr>
          <w:rFonts w:cstheme="majorHAnsi"/>
          <w:szCs w:val="24"/>
          <w:lang w:val="ro-RO"/>
        </w:rPr>
        <w:t xml:space="preserve"> structurii portofoliului datoriei de stat și </w:t>
      </w:r>
      <w:r w:rsidR="00F2437C">
        <w:rPr>
          <w:rFonts w:cstheme="majorHAnsi"/>
          <w:szCs w:val="24"/>
          <w:lang w:val="ro-RO"/>
        </w:rPr>
        <w:t xml:space="preserve">conformității </w:t>
      </w:r>
      <w:r w:rsidRPr="00F2437C">
        <w:rPr>
          <w:rFonts w:cstheme="majorHAnsi"/>
          <w:szCs w:val="24"/>
          <w:lang w:val="ro-RO"/>
        </w:rPr>
        <w:t>onor</w:t>
      </w:r>
      <w:r w:rsidR="004A67FA" w:rsidRPr="00F2437C">
        <w:rPr>
          <w:rFonts w:cstheme="majorHAnsi"/>
          <w:szCs w:val="24"/>
          <w:lang w:val="ro-RO"/>
        </w:rPr>
        <w:t xml:space="preserve">ării </w:t>
      </w:r>
      <w:r w:rsidRPr="00F2437C">
        <w:rPr>
          <w:rFonts w:cstheme="majorHAnsi"/>
          <w:szCs w:val="24"/>
          <w:lang w:val="ro-RO"/>
        </w:rPr>
        <w:t>obligațiunil</w:t>
      </w:r>
      <w:r w:rsidR="004A67FA" w:rsidRPr="00F2437C">
        <w:rPr>
          <w:rFonts w:cstheme="majorHAnsi"/>
          <w:szCs w:val="24"/>
          <w:lang w:val="ro-RO"/>
        </w:rPr>
        <w:t xml:space="preserve">or statului privind </w:t>
      </w:r>
      <w:r w:rsidR="00657281" w:rsidRPr="00F2437C">
        <w:rPr>
          <w:rFonts w:cstheme="majorHAnsi"/>
          <w:szCs w:val="24"/>
          <w:lang w:val="ro-RO"/>
        </w:rPr>
        <w:t>deservirea datoriei</w:t>
      </w:r>
      <w:r w:rsidR="00F2437C" w:rsidRPr="00F2437C">
        <w:rPr>
          <w:rFonts w:cstheme="majorHAnsi"/>
          <w:szCs w:val="24"/>
          <w:lang w:val="ro-RO"/>
        </w:rPr>
        <w:t xml:space="preserve"> prin prisma Legii bugetare anuale</w:t>
      </w:r>
      <w:r w:rsidR="00526800" w:rsidRPr="00526800">
        <w:rPr>
          <w:szCs w:val="24"/>
        </w:rPr>
        <w:t xml:space="preserve"> și Programului „Managementul datoriei de stat pe termen mediu (2020-2022)”</w:t>
      </w:r>
      <w:r w:rsidR="00657281" w:rsidRPr="00526800">
        <w:rPr>
          <w:rFonts w:cstheme="majorHAnsi"/>
          <w:szCs w:val="24"/>
          <w:lang w:val="ro-RO"/>
        </w:rPr>
        <w:t>;</w:t>
      </w:r>
    </w:p>
    <w:p w14:paraId="1CB756A6" w14:textId="432E2DF3" w:rsidR="00BB345A" w:rsidRPr="00F2437C" w:rsidRDefault="00E1525D" w:rsidP="00FB1205">
      <w:pPr>
        <w:tabs>
          <w:tab w:val="left" w:pos="284"/>
          <w:tab w:val="left" w:pos="567"/>
        </w:tabs>
        <w:spacing w:after="0" w:line="276" w:lineRule="auto"/>
        <w:jc w:val="both"/>
        <w:rPr>
          <w:rFonts w:cstheme="majorHAnsi"/>
          <w:szCs w:val="24"/>
          <w:lang w:val="ro-RO"/>
        </w:rPr>
      </w:pPr>
      <w:r>
        <w:rPr>
          <w:rFonts w:cstheme="majorHAnsi"/>
          <w:b/>
          <w:szCs w:val="24"/>
          <w:lang w:val="ro-RO"/>
        </w:rPr>
        <w:t>Obiectivul specific II</w:t>
      </w:r>
      <w:r w:rsidR="00BB345A" w:rsidRPr="00F2437C">
        <w:rPr>
          <w:rFonts w:cstheme="majorHAnsi"/>
          <w:b/>
          <w:szCs w:val="24"/>
          <w:lang w:val="ro-RO"/>
        </w:rPr>
        <w:t xml:space="preserve">. </w:t>
      </w:r>
      <w:r w:rsidR="00BB345A" w:rsidRPr="00F2437C">
        <w:rPr>
          <w:rFonts w:cstheme="majorHAnsi"/>
          <w:szCs w:val="24"/>
          <w:lang w:val="ro-RO"/>
        </w:rPr>
        <w:t xml:space="preserve">Evaluarea </w:t>
      </w:r>
      <w:r w:rsidR="00F2437C">
        <w:rPr>
          <w:rFonts w:cstheme="majorHAnsi"/>
          <w:szCs w:val="24"/>
          <w:lang w:val="ro-RO"/>
        </w:rPr>
        <w:t>conformității</w:t>
      </w:r>
      <w:r w:rsidR="00BB345A" w:rsidRPr="00F2437C">
        <w:rPr>
          <w:rFonts w:cstheme="majorHAnsi"/>
          <w:szCs w:val="24"/>
          <w:lang w:val="ro-RO"/>
        </w:rPr>
        <w:t xml:space="preserve"> a</w:t>
      </w:r>
      <w:r w:rsidR="00F2437C">
        <w:rPr>
          <w:rFonts w:cstheme="majorHAnsi"/>
          <w:szCs w:val="24"/>
          <w:lang w:val="ro-RO"/>
        </w:rPr>
        <w:t>cordă</w:t>
      </w:r>
      <w:r w:rsidR="00657281" w:rsidRPr="00F2437C">
        <w:rPr>
          <w:rFonts w:cstheme="majorHAnsi"/>
          <w:szCs w:val="24"/>
          <w:lang w:val="ro-RO"/>
        </w:rPr>
        <w:t>r</w:t>
      </w:r>
      <w:r w:rsidR="00F2437C">
        <w:rPr>
          <w:rFonts w:cstheme="majorHAnsi"/>
          <w:szCs w:val="24"/>
          <w:lang w:val="ro-RO"/>
        </w:rPr>
        <w:t>ii</w:t>
      </w:r>
      <w:r w:rsidR="00657281" w:rsidRPr="00F2437C">
        <w:rPr>
          <w:rFonts w:cstheme="majorHAnsi"/>
          <w:szCs w:val="24"/>
          <w:lang w:val="ro-RO"/>
        </w:rPr>
        <w:t xml:space="preserve"> garanțiilor de stat;</w:t>
      </w:r>
    </w:p>
    <w:p w14:paraId="679BF4BC" w14:textId="35685A66" w:rsidR="00E1525D" w:rsidRDefault="00E1525D" w:rsidP="00FB1205">
      <w:pPr>
        <w:tabs>
          <w:tab w:val="left" w:pos="284"/>
          <w:tab w:val="left" w:pos="567"/>
        </w:tabs>
        <w:spacing w:after="0" w:line="276" w:lineRule="auto"/>
        <w:jc w:val="both"/>
        <w:rPr>
          <w:rFonts w:cstheme="majorHAnsi"/>
          <w:szCs w:val="24"/>
          <w:lang w:val="ro-RO"/>
        </w:rPr>
      </w:pPr>
      <w:r>
        <w:rPr>
          <w:rFonts w:cstheme="majorHAnsi"/>
          <w:b/>
          <w:szCs w:val="24"/>
          <w:lang w:val="ro-RO"/>
        </w:rPr>
        <w:t>Obiectivul specific III</w:t>
      </w:r>
      <w:r w:rsidR="00BB345A" w:rsidRPr="00F2437C">
        <w:rPr>
          <w:rFonts w:cstheme="majorHAnsi"/>
          <w:b/>
          <w:szCs w:val="24"/>
          <w:lang w:val="ro-RO"/>
        </w:rPr>
        <w:t xml:space="preserve">. </w:t>
      </w:r>
      <w:r w:rsidR="00BB345A" w:rsidRPr="00F2437C">
        <w:rPr>
          <w:rFonts w:cstheme="majorHAnsi"/>
          <w:szCs w:val="24"/>
          <w:lang w:val="ro-RO"/>
        </w:rPr>
        <w:t xml:space="preserve">Evaluarea </w:t>
      </w:r>
      <w:r w:rsidR="00F2437C">
        <w:rPr>
          <w:rFonts w:cstheme="majorHAnsi"/>
          <w:szCs w:val="24"/>
          <w:lang w:val="ro-RO"/>
        </w:rPr>
        <w:t>conformității administrării și monitorizării împ</w:t>
      </w:r>
      <w:r w:rsidR="00F12D5F">
        <w:rPr>
          <w:rFonts w:cstheme="majorHAnsi"/>
          <w:szCs w:val="24"/>
          <w:lang w:val="ro-RO"/>
        </w:rPr>
        <w:t>rumuturilor recreditate de stat.</w:t>
      </w:r>
    </w:p>
    <w:p w14:paraId="01399004" w14:textId="77777777" w:rsidR="00A67A91" w:rsidRDefault="00A67A91" w:rsidP="00FB1205">
      <w:pPr>
        <w:tabs>
          <w:tab w:val="left" w:pos="284"/>
          <w:tab w:val="left" w:pos="567"/>
        </w:tabs>
        <w:spacing w:after="0" w:line="276" w:lineRule="auto"/>
        <w:jc w:val="both"/>
        <w:rPr>
          <w:rFonts w:cstheme="majorHAnsi"/>
          <w:b/>
          <w:szCs w:val="24"/>
          <w:lang w:val="ro-RO"/>
        </w:rPr>
      </w:pPr>
    </w:p>
    <w:p w14:paraId="4083E1F7" w14:textId="6194072C" w:rsidR="00BB345A" w:rsidRDefault="00A67A91" w:rsidP="00FB1205">
      <w:pPr>
        <w:tabs>
          <w:tab w:val="left" w:pos="284"/>
          <w:tab w:val="left" w:pos="567"/>
        </w:tabs>
        <w:spacing w:after="0" w:line="276" w:lineRule="auto"/>
        <w:jc w:val="both"/>
        <w:rPr>
          <w:rFonts w:cstheme="majorHAnsi"/>
          <w:szCs w:val="24"/>
          <w:lang w:val="ro-RO"/>
        </w:rPr>
      </w:pPr>
      <w:r w:rsidRPr="00A67A91">
        <w:rPr>
          <w:rFonts w:cstheme="majorHAnsi"/>
          <w:szCs w:val="24"/>
          <w:lang w:val="ro-RO"/>
        </w:rPr>
        <w:t>În scopul realizării obiectivelor propuse</w:t>
      </w:r>
      <w:r>
        <w:rPr>
          <w:rFonts w:cstheme="majorHAnsi"/>
          <w:szCs w:val="24"/>
          <w:lang w:val="ro-RO"/>
        </w:rPr>
        <w:t xml:space="preserve">, informația prezentată de MF, aferentă subiectului auditat, </w:t>
      </w:r>
      <w:r w:rsidR="00D9113B">
        <w:rPr>
          <w:rFonts w:cstheme="majorHAnsi"/>
          <w:szCs w:val="24"/>
          <w:lang w:val="ro-RO"/>
        </w:rPr>
        <w:t>a fost analizată,</w:t>
      </w:r>
      <w:r>
        <w:rPr>
          <w:rFonts w:cstheme="majorHAnsi"/>
          <w:szCs w:val="24"/>
          <w:lang w:val="ro-RO"/>
        </w:rPr>
        <w:t xml:space="preserve"> </w:t>
      </w:r>
      <w:r w:rsidR="00A378B2">
        <w:rPr>
          <w:rFonts w:cstheme="majorHAnsi"/>
          <w:szCs w:val="24"/>
          <w:lang w:val="ro-RO"/>
        </w:rPr>
        <w:t>atâ</w:t>
      </w:r>
      <w:r w:rsidR="00B15968">
        <w:rPr>
          <w:rFonts w:cstheme="majorHAnsi"/>
          <w:szCs w:val="24"/>
          <w:lang w:val="ro-RO"/>
        </w:rPr>
        <w:t xml:space="preserve">t prin </w:t>
      </w:r>
      <w:r w:rsidR="00C06F2D">
        <w:rPr>
          <w:rFonts w:cstheme="majorHAnsi"/>
          <w:szCs w:val="24"/>
          <w:lang w:val="ro-RO"/>
        </w:rPr>
        <w:t>prisma cadrului legal aferent câ</w:t>
      </w:r>
      <w:r w:rsidR="00B15968">
        <w:rPr>
          <w:rFonts w:cstheme="majorHAnsi"/>
          <w:szCs w:val="24"/>
          <w:lang w:val="ro-RO"/>
        </w:rPr>
        <w:t xml:space="preserve">t și </w:t>
      </w:r>
      <w:r>
        <w:rPr>
          <w:rFonts w:cstheme="majorHAnsi"/>
          <w:szCs w:val="24"/>
          <w:lang w:val="ro-RO"/>
        </w:rPr>
        <w:t xml:space="preserve">prin prisma </w:t>
      </w:r>
      <w:r w:rsidR="00AA0436">
        <w:rPr>
          <w:rFonts w:cstheme="majorHAnsi"/>
          <w:szCs w:val="24"/>
          <w:lang w:val="ro-RO"/>
        </w:rPr>
        <w:t xml:space="preserve">limitelor stabilite prin Legea </w:t>
      </w:r>
      <w:r>
        <w:rPr>
          <w:rFonts w:cstheme="majorHAnsi"/>
          <w:szCs w:val="24"/>
          <w:lang w:val="ro-RO"/>
        </w:rPr>
        <w:t>bug</w:t>
      </w:r>
      <w:r w:rsidR="00AA0436">
        <w:rPr>
          <w:rFonts w:cstheme="majorHAnsi"/>
          <w:szCs w:val="24"/>
          <w:lang w:val="ro-RO"/>
        </w:rPr>
        <w:t>etară</w:t>
      </w:r>
      <w:r w:rsidR="00B15968">
        <w:rPr>
          <w:rFonts w:cstheme="majorHAnsi"/>
          <w:szCs w:val="24"/>
          <w:lang w:val="ro-RO"/>
        </w:rPr>
        <w:t xml:space="preserve"> anual</w:t>
      </w:r>
      <w:r w:rsidR="00AA0436">
        <w:rPr>
          <w:rFonts w:cstheme="majorHAnsi"/>
          <w:szCs w:val="24"/>
          <w:lang w:val="ro-RO"/>
        </w:rPr>
        <w:t>ă</w:t>
      </w:r>
      <w:r w:rsidR="00B15968">
        <w:rPr>
          <w:rFonts w:cstheme="majorHAnsi"/>
          <w:szCs w:val="24"/>
          <w:lang w:val="ro-RO"/>
        </w:rPr>
        <w:t xml:space="preserve"> și </w:t>
      </w:r>
      <w:r w:rsidR="00AA0436">
        <w:rPr>
          <w:rFonts w:cstheme="majorHAnsi"/>
          <w:szCs w:val="24"/>
          <w:lang w:val="ro-RO"/>
        </w:rPr>
        <w:t>Programul</w:t>
      </w:r>
      <w:r w:rsidR="005B1050">
        <w:rPr>
          <w:rFonts w:cstheme="majorHAnsi"/>
          <w:szCs w:val="24"/>
          <w:lang w:val="ro-RO"/>
        </w:rPr>
        <w:t xml:space="preserve"> </w:t>
      </w:r>
      <w:r w:rsidR="00E1525D" w:rsidRPr="00F2437C">
        <w:rPr>
          <w:rFonts w:cstheme="majorHAnsi"/>
          <w:szCs w:val="24"/>
          <w:lang w:val="ro-RO"/>
        </w:rPr>
        <w:t>„Managementul datoriei de st</w:t>
      </w:r>
      <w:r w:rsidR="00257842">
        <w:rPr>
          <w:rFonts w:cstheme="majorHAnsi"/>
          <w:szCs w:val="24"/>
          <w:lang w:val="ro-RO"/>
        </w:rPr>
        <w:t>at pe termen mediu (2020-2022)”.</w:t>
      </w:r>
    </w:p>
    <w:p w14:paraId="0E78D716" w14:textId="00E57A8C" w:rsidR="00257842" w:rsidRPr="008B0FBB" w:rsidRDefault="00257842" w:rsidP="00FB1205">
      <w:pPr>
        <w:tabs>
          <w:tab w:val="left" w:pos="284"/>
          <w:tab w:val="left" w:pos="567"/>
        </w:tabs>
        <w:spacing w:after="0" w:line="276" w:lineRule="auto"/>
        <w:jc w:val="both"/>
        <w:rPr>
          <w:rFonts w:cstheme="majorHAnsi"/>
          <w:b/>
          <w:szCs w:val="24"/>
          <w:lang w:val="ro-MD"/>
        </w:rPr>
      </w:pPr>
    </w:p>
    <w:p w14:paraId="1D6939D3" w14:textId="6B32E21E" w:rsidR="002E0EEC" w:rsidRPr="002E0EEC" w:rsidRDefault="002E0EEC" w:rsidP="00FB1205">
      <w:pPr>
        <w:pStyle w:val="2"/>
        <w:numPr>
          <w:ilvl w:val="1"/>
          <w:numId w:val="13"/>
        </w:numPr>
        <w:jc w:val="both"/>
        <w:rPr>
          <w:rFonts w:eastAsia="Times New Roman"/>
          <w:lang w:val="ro-MD" w:eastAsia="ru-RU"/>
        </w:rPr>
      </w:pPr>
      <w:bookmarkStart w:id="12" w:name="_Toc75436445"/>
      <w:r>
        <w:rPr>
          <w:rFonts w:eastAsia="Times New Roman"/>
          <w:lang w:val="ro-MD" w:eastAsia="ru-RU"/>
        </w:rPr>
        <w:t>Abordarea auditului</w:t>
      </w:r>
      <w:bookmarkEnd w:id="12"/>
      <w:r w:rsidRPr="00DE4659">
        <w:rPr>
          <w:rFonts w:eastAsia="Times New Roman"/>
          <w:lang w:val="ro-MD" w:eastAsia="ru-RU"/>
        </w:rPr>
        <w:t xml:space="preserve"> </w:t>
      </w:r>
    </w:p>
    <w:p w14:paraId="366D639E" w14:textId="1B5D1B3F" w:rsidR="00736EE2" w:rsidRDefault="002E0EEC" w:rsidP="00DF05C7">
      <w:pPr>
        <w:spacing w:line="276" w:lineRule="auto"/>
        <w:jc w:val="both"/>
        <w:rPr>
          <w:rFonts w:eastAsia="Times New Roman" w:cstheme="majorHAnsi"/>
          <w:noProof/>
          <w:szCs w:val="24"/>
          <w:lang w:val="ro-MD"/>
        </w:rPr>
      </w:pPr>
      <w:r>
        <w:rPr>
          <w:rFonts w:eastAsia="Times New Roman" w:cstheme="majorHAnsi"/>
          <w:noProof/>
          <w:szCs w:val="24"/>
          <w:lang w:val="ro-MD"/>
        </w:rPr>
        <w:t xml:space="preserve">Misiunea de audit s-a desfășurat la Ministerul Finanțelor, fiind realizată în conformitate cu </w:t>
      </w:r>
      <w:r w:rsidR="004559F0">
        <w:rPr>
          <w:rFonts w:eastAsia="Times New Roman" w:cstheme="majorHAnsi"/>
          <w:noProof/>
          <w:szCs w:val="24"/>
          <w:lang w:val="ro-MD"/>
        </w:rPr>
        <w:t>Standardele Internaționale de Audi</w:t>
      </w:r>
      <w:r w:rsidR="001F7FEF">
        <w:rPr>
          <w:rFonts w:eastAsia="Times New Roman" w:cstheme="majorHAnsi"/>
          <w:noProof/>
          <w:szCs w:val="24"/>
          <w:lang w:val="ro-MD"/>
        </w:rPr>
        <w:t xml:space="preserve">t aplicate de Curtea de Conturi, </w:t>
      </w:r>
      <w:r w:rsidR="004559F0">
        <w:rPr>
          <w:rFonts w:eastAsia="Times New Roman" w:cstheme="majorHAnsi"/>
          <w:noProof/>
          <w:szCs w:val="24"/>
          <w:lang w:val="ro-MD"/>
        </w:rPr>
        <w:t>în special, ISSAI 100, ISSAI 400</w:t>
      </w:r>
      <w:r w:rsidR="001F7FEF">
        <w:rPr>
          <w:rFonts w:eastAsia="Times New Roman" w:cstheme="majorHAnsi"/>
          <w:noProof/>
          <w:szCs w:val="24"/>
          <w:lang w:val="ro-MD"/>
        </w:rPr>
        <w:t>,</w:t>
      </w:r>
      <w:r w:rsidR="004559F0">
        <w:rPr>
          <w:rFonts w:eastAsia="Times New Roman" w:cstheme="majorHAnsi"/>
          <w:noProof/>
          <w:szCs w:val="24"/>
          <w:lang w:val="ro-MD"/>
        </w:rPr>
        <w:t xml:space="preserve"> precum și ISSAI 4000</w:t>
      </w:r>
      <w:r w:rsidR="004559F0">
        <w:rPr>
          <w:rStyle w:val="a6"/>
          <w:rFonts w:eastAsia="Times New Roman" w:cstheme="majorHAnsi"/>
          <w:noProof/>
          <w:szCs w:val="24"/>
          <w:lang w:val="ro-MD"/>
        </w:rPr>
        <w:footnoteReference w:id="6"/>
      </w:r>
      <w:r w:rsidR="004559F0">
        <w:rPr>
          <w:rFonts w:eastAsia="Times New Roman" w:cstheme="majorHAnsi"/>
          <w:noProof/>
          <w:szCs w:val="24"/>
          <w:lang w:val="ro-MD"/>
        </w:rPr>
        <w:t>.</w:t>
      </w:r>
    </w:p>
    <w:p w14:paraId="69EFCEA3" w14:textId="2299982B" w:rsidR="002E0EEC" w:rsidRPr="002E0EEC" w:rsidRDefault="002E0EEC" w:rsidP="00DF05C7">
      <w:pPr>
        <w:tabs>
          <w:tab w:val="left" w:pos="284"/>
          <w:tab w:val="left" w:pos="567"/>
        </w:tabs>
        <w:spacing w:line="276" w:lineRule="auto"/>
        <w:jc w:val="both"/>
        <w:rPr>
          <w:rFonts w:eastAsia="Times New Roman" w:cstheme="majorHAnsi"/>
          <w:bCs/>
          <w:szCs w:val="24"/>
          <w:lang w:val="ro-MD" w:eastAsia="ru-RU"/>
        </w:rPr>
      </w:pPr>
      <w:r w:rsidRPr="004C58C3">
        <w:rPr>
          <w:rFonts w:cstheme="majorHAnsi"/>
          <w:b/>
          <w:bCs/>
          <w:szCs w:val="24"/>
          <w:lang w:val="ro-RO"/>
        </w:rPr>
        <w:t>Abordarea de audit</w:t>
      </w:r>
      <w:r w:rsidRPr="006023D2">
        <w:rPr>
          <w:rFonts w:cstheme="majorHAnsi"/>
          <w:szCs w:val="24"/>
          <w:lang w:val="ro-RO"/>
        </w:rPr>
        <w:t xml:space="preserve"> a fost una axată pe probleme de identificare și </w:t>
      </w:r>
      <w:r w:rsidRPr="006023D2">
        <w:rPr>
          <w:rFonts w:cstheme="majorHAnsi"/>
          <w:iCs/>
          <w:szCs w:val="24"/>
          <w:lang w:val="ro-RO"/>
        </w:rPr>
        <w:t xml:space="preserve">analiză a deficiențelor cu impact asupra </w:t>
      </w:r>
      <w:r>
        <w:rPr>
          <w:rFonts w:cstheme="majorHAnsi"/>
          <w:iCs/>
          <w:szCs w:val="24"/>
          <w:lang w:val="ro-RO"/>
        </w:rPr>
        <w:t>managementului datoriei</w:t>
      </w:r>
      <w:r w:rsidRPr="006023D2">
        <w:rPr>
          <w:rFonts w:cstheme="majorHAnsi"/>
          <w:szCs w:val="24"/>
          <w:lang w:val="ro-RO"/>
        </w:rPr>
        <w:t xml:space="preserve">, </w:t>
      </w:r>
      <w:r w:rsidRPr="006023D2">
        <w:rPr>
          <w:rFonts w:cstheme="majorHAnsi"/>
          <w:iCs/>
          <w:szCs w:val="24"/>
          <w:lang w:val="ro-RO"/>
        </w:rPr>
        <w:t>analiz</w:t>
      </w:r>
      <w:r>
        <w:rPr>
          <w:rFonts w:cstheme="majorHAnsi"/>
          <w:iCs/>
          <w:szCs w:val="24"/>
          <w:lang w:val="ro-RO"/>
        </w:rPr>
        <w:t>a</w:t>
      </w:r>
      <w:r w:rsidRPr="006023D2">
        <w:rPr>
          <w:rFonts w:cstheme="majorHAnsi"/>
          <w:iCs/>
          <w:szCs w:val="24"/>
          <w:lang w:val="ro-RO"/>
        </w:rPr>
        <w:t xml:space="preserve"> acțiunilor/obiectivelor planificate și rezultatelor obținute</w:t>
      </w:r>
      <w:r w:rsidRPr="006023D2">
        <w:rPr>
          <w:rFonts w:cstheme="majorHAnsi"/>
          <w:szCs w:val="24"/>
          <w:lang w:val="ro-RO"/>
        </w:rPr>
        <w:t xml:space="preserve">, punându-se accent pe măsurile întreprinse de factorii decizionali/responsabili de </w:t>
      </w:r>
      <w:r>
        <w:rPr>
          <w:rFonts w:cstheme="majorHAnsi"/>
          <w:szCs w:val="24"/>
          <w:lang w:val="ro-RO"/>
        </w:rPr>
        <w:t xml:space="preserve">gestionarea și monitorizarea datoriei </w:t>
      </w:r>
      <w:r w:rsidR="00A87AF3">
        <w:rPr>
          <w:rFonts w:cstheme="majorHAnsi"/>
          <w:szCs w:val="24"/>
          <w:lang w:val="ro-RO"/>
        </w:rPr>
        <w:t>de stat</w:t>
      </w:r>
      <w:r>
        <w:rPr>
          <w:rFonts w:cstheme="majorHAnsi"/>
          <w:szCs w:val="24"/>
          <w:lang w:val="ro-RO"/>
        </w:rPr>
        <w:t>.</w:t>
      </w:r>
      <w:r w:rsidRPr="006023D2">
        <w:rPr>
          <w:rFonts w:cstheme="majorHAnsi"/>
          <w:szCs w:val="24"/>
          <w:lang w:val="ro-RO"/>
        </w:rPr>
        <w:t xml:space="preserve"> </w:t>
      </w:r>
    </w:p>
    <w:p w14:paraId="20AB2B40" w14:textId="261CDD06" w:rsidR="00736EE2" w:rsidRPr="002E0EEC" w:rsidRDefault="002E0EEC" w:rsidP="00FB1205">
      <w:pPr>
        <w:spacing w:line="276" w:lineRule="auto"/>
        <w:jc w:val="both"/>
        <w:rPr>
          <w:rFonts w:eastAsia="Times New Roman" w:cstheme="majorHAnsi"/>
          <w:bCs/>
          <w:iCs/>
          <w:szCs w:val="24"/>
          <w:lang w:val="ro-MD" w:eastAsia="ru-RU"/>
        </w:rPr>
      </w:pPr>
      <w:r w:rsidRPr="002E0EEC">
        <w:rPr>
          <w:rFonts w:cstheme="majorHAnsi"/>
          <w:noProof/>
          <w:szCs w:val="24"/>
          <w:shd w:val="clear" w:color="auto" w:fill="FFFFFF"/>
          <w:lang w:val="ro-MD"/>
        </w:rPr>
        <w:t>A</w:t>
      </w:r>
      <w:r w:rsidRPr="002E0EEC">
        <w:rPr>
          <w:rFonts w:cstheme="majorHAnsi"/>
          <w:bCs/>
          <w:iCs/>
          <w:noProof/>
          <w:szCs w:val="24"/>
          <w:shd w:val="clear" w:color="auto" w:fill="FFFFFF"/>
          <w:lang w:val="ro-MD"/>
        </w:rPr>
        <w:t>cumularea</w:t>
      </w:r>
      <w:r w:rsidRPr="002E0EEC">
        <w:rPr>
          <w:rFonts w:eastAsia="Times New Roman" w:cstheme="majorHAnsi"/>
          <w:bCs/>
          <w:iCs/>
          <w:szCs w:val="24"/>
          <w:lang w:val="ro-MD" w:eastAsia="ru-RU"/>
        </w:rPr>
        <w:t xml:space="preserve"> probelor de audit s-a efectuat la distanță și la fața locului, prin verificarea </w:t>
      </w:r>
      <w:r w:rsidR="00E31CE4">
        <w:rPr>
          <w:rFonts w:eastAsia="Times New Roman" w:cstheme="majorHAnsi"/>
          <w:bCs/>
          <w:iCs/>
          <w:szCs w:val="24"/>
          <w:lang w:val="ro-MD" w:eastAsia="ru-RU"/>
        </w:rPr>
        <w:t xml:space="preserve">și </w:t>
      </w:r>
      <w:r w:rsidRPr="002E0EEC">
        <w:rPr>
          <w:rFonts w:eastAsia="Times New Roman" w:cstheme="majorHAnsi"/>
          <w:bCs/>
          <w:iCs/>
          <w:szCs w:val="24"/>
          <w:lang w:val="ro-MD" w:eastAsia="ru-RU"/>
        </w:rPr>
        <w:t xml:space="preserve"> examinarea </w:t>
      </w:r>
      <w:r w:rsidR="005925EA">
        <w:rPr>
          <w:rFonts w:eastAsia="Times New Roman" w:cstheme="majorHAnsi"/>
          <w:bCs/>
          <w:iCs/>
          <w:szCs w:val="24"/>
          <w:lang w:val="ro-MD" w:eastAsia="ru-RU"/>
        </w:rPr>
        <w:t>informațiilor prezentate de MF, la solicitarea auditului,</w:t>
      </w:r>
      <w:r w:rsidRPr="002E0EEC">
        <w:rPr>
          <w:rFonts w:eastAsia="Times New Roman" w:cstheme="majorHAnsi"/>
          <w:bCs/>
          <w:iCs/>
          <w:szCs w:val="24"/>
          <w:lang w:val="ro-MD" w:eastAsia="ru-RU"/>
        </w:rPr>
        <w:t xml:space="preserve"> precum și a altor documente primare, hotărâri și decizii ale organelor de conducere, prin contrapunerea datelor, precum și prin intervievarea persoanelor responsabile din cadrul entității. Activitățile de audit la distanță au fost condiționate de restricțiile impuse de situația de urgență e</w:t>
      </w:r>
      <w:r w:rsidR="00736EE2">
        <w:rPr>
          <w:rFonts w:eastAsia="Times New Roman" w:cstheme="majorHAnsi"/>
          <w:bCs/>
          <w:iCs/>
          <w:szCs w:val="24"/>
          <w:lang w:val="ro-MD" w:eastAsia="ru-RU"/>
        </w:rPr>
        <w:t>pidemiologică stabilită în țară.</w:t>
      </w:r>
    </w:p>
    <w:p w14:paraId="7809B6F1" w14:textId="59190BF8" w:rsidR="00736EE2" w:rsidRPr="00D9113B" w:rsidRDefault="002E0EEC" w:rsidP="00FB1205">
      <w:pPr>
        <w:spacing w:line="276" w:lineRule="auto"/>
        <w:jc w:val="both"/>
        <w:rPr>
          <w:rFonts w:cstheme="majorHAnsi"/>
          <w:noProof/>
          <w:szCs w:val="24"/>
          <w:shd w:val="clear" w:color="auto" w:fill="FFFFFF"/>
          <w:lang w:val="ro-MD"/>
        </w:rPr>
      </w:pPr>
      <w:r w:rsidRPr="002E0EEC">
        <w:rPr>
          <w:rFonts w:cstheme="majorHAnsi"/>
          <w:noProof/>
          <w:szCs w:val="24"/>
          <w:shd w:val="clear" w:color="auto" w:fill="FFFFFF"/>
          <w:lang w:val="ro-MD"/>
        </w:rPr>
        <w:t>Drept surse de criterii pentru evaluarea conformității asupra utilizării resurselor financiare publice de către entitate au fost utilizate actele legislative și normative aferente tematicii misiunii de audit (Anexa nr.1</w:t>
      </w:r>
      <w:r w:rsidR="00526800">
        <w:rPr>
          <w:rFonts w:cstheme="majorHAnsi"/>
          <w:noProof/>
          <w:szCs w:val="24"/>
          <w:shd w:val="clear" w:color="auto" w:fill="FFFFFF"/>
          <w:lang w:val="ro-MD"/>
        </w:rPr>
        <w:t xml:space="preserve"> la prezentul Raport de audit</w:t>
      </w:r>
      <w:r w:rsidRPr="002E0EEC">
        <w:rPr>
          <w:rFonts w:cstheme="majorHAnsi"/>
          <w:noProof/>
          <w:szCs w:val="24"/>
          <w:shd w:val="clear" w:color="auto" w:fill="FFFFFF"/>
          <w:lang w:val="ro-MD"/>
        </w:rPr>
        <w:t>).</w:t>
      </w:r>
    </w:p>
    <w:p w14:paraId="6F68D07D" w14:textId="49C6500D" w:rsidR="002E0EEC" w:rsidRPr="00D9113B" w:rsidRDefault="002E0EEC" w:rsidP="00FB1205">
      <w:pPr>
        <w:spacing w:line="276" w:lineRule="auto"/>
        <w:jc w:val="both"/>
        <w:rPr>
          <w:rFonts w:eastAsia="Times New Roman" w:cstheme="majorHAnsi"/>
          <w:noProof/>
          <w:szCs w:val="24"/>
          <w:lang w:val="ro-MD"/>
        </w:rPr>
      </w:pPr>
      <w:r w:rsidRPr="002E0EEC">
        <w:rPr>
          <w:rFonts w:eastAsia="Times New Roman" w:cstheme="majorHAnsi"/>
          <w:noProof/>
          <w:szCs w:val="24"/>
          <w:lang w:val="ro-MD"/>
        </w:rPr>
        <w:lastRenderedPageBreak/>
        <w:t>Probele de audit obținute sunt suficiente și adecvate pentru a furniza o bază pentru concluziile formulate în cadrul prezentei misiuni.</w:t>
      </w:r>
    </w:p>
    <w:p w14:paraId="76A603AA" w14:textId="71571C4B" w:rsidR="00FB7951" w:rsidRPr="00D9113B" w:rsidRDefault="002E0EEC" w:rsidP="00FB1205">
      <w:pPr>
        <w:spacing w:line="276" w:lineRule="auto"/>
        <w:jc w:val="both"/>
        <w:rPr>
          <w:rFonts w:eastAsia="Times New Roman" w:cstheme="majorHAnsi"/>
          <w:bCs/>
          <w:iCs/>
          <w:szCs w:val="24"/>
          <w:lang w:val="ro-MD" w:eastAsia="ru-RU"/>
        </w:rPr>
      </w:pPr>
      <w:r w:rsidRPr="002E0EEC">
        <w:rPr>
          <w:rFonts w:eastAsia="Times New Roman" w:cstheme="majorHAnsi"/>
          <w:b/>
          <w:bCs/>
          <w:i/>
          <w:iCs/>
          <w:szCs w:val="24"/>
          <w:lang w:val="ro-MD" w:eastAsia="ru-RU"/>
        </w:rPr>
        <w:t>Responsabilitatea auditorului</w:t>
      </w:r>
      <w:r w:rsidRPr="002E0EEC">
        <w:rPr>
          <w:rFonts w:eastAsia="Times New Roman" w:cstheme="majorHAnsi"/>
          <w:bCs/>
          <w:iCs/>
          <w:szCs w:val="24"/>
          <w:lang w:val="ro-MD" w:eastAsia="ru-RU"/>
        </w:rPr>
        <w:t xml:space="preserve"> a constat în realizarea misiunii de audit în conformitate cu standardele în materie de audit și cu cadrul normativ-metodologic instituțional aferent, cu obținerea probelor suficiente și adec</w:t>
      </w:r>
      <w:r w:rsidR="003039B3">
        <w:rPr>
          <w:rFonts w:eastAsia="Times New Roman" w:cstheme="majorHAnsi"/>
          <w:bCs/>
          <w:iCs/>
          <w:szCs w:val="24"/>
          <w:lang w:val="ro-MD" w:eastAsia="ru-RU"/>
        </w:rPr>
        <w:t xml:space="preserve">vate, exprimarea unei concluzii generale </w:t>
      </w:r>
      <w:r w:rsidRPr="002E0EEC">
        <w:rPr>
          <w:rFonts w:eastAsia="Times New Roman" w:cstheme="majorHAnsi"/>
          <w:bCs/>
          <w:iCs/>
          <w:szCs w:val="24"/>
          <w:lang w:val="ro-MD" w:eastAsia="ru-RU"/>
        </w:rPr>
        <w:t xml:space="preserve">asupra conformității </w:t>
      </w:r>
      <w:r w:rsidR="00736EE2">
        <w:rPr>
          <w:rFonts w:eastAsia="Times New Roman" w:cstheme="majorHAnsi"/>
          <w:bCs/>
          <w:iCs/>
          <w:szCs w:val="24"/>
          <w:lang w:val="ro-MD" w:eastAsia="ru-RU"/>
        </w:rPr>
        <w:t>managementului datoriei de stat, garanțiilor de stat și recreditării de stat</w:t>
      </w:r>
      <w:r w:rsidR="00FB7951">
        <w:rPr>
          <w:rFonts w:eastAsia="Times New Roman" w:cstheme="majorHAnsi"/>
          <w:bCs/>
          <w:iCs/>
          <w:szCs w:val="24"/>
          <w:lang w:val="ro-MD" w:eastAsia="ru-RU"/>
        </w:rPr>
        <w:t xml:space="preserve"> în anul 2020</w:t>
      </w:r>
      <w:r w:rsidR="00736EE2">
        <w:rPr>
          <w:rFonts w:eastAsia="Times New Roman" w:cstheme="majorHAnsi"/>
          <w:bCs/>
          <w:iCs/>
          <w:szCs w:val="24"/>
          <w:lang w:val="ro-MD" w:eastAsia="ru-RU"/>
        </w:rPr>
        <w:t>,</w:t>
      </w:r>
      <w:r w:rsidRPr="002E0EEC">
        <w:rPr>
          <w:rFonts w:eastAsia="Times New Roman" w:cstheme="majorHAnsi"/>
          <w:bCs/>
          <w:iCs/>
          <w:szCs w:val="24"/>
          <w:lang w:val="ro-MD" w:eastAsia="ru-RU"/>
        </w:rPr>
        <w:t xml:space="preserve"> în funcție de criteriile definite, precum și în emiterea unui raport de audit al conformității. Auditorul nu este responsabili de prevenirea faptelor de fraudă și eroare.</w:t>
      </w:r>
    </w:p>
    <w:p w14:paraId="309E50D7" w14:textId="1B97A040" w:rsidR="00736EE2" w:rsidRPr="00D9113B" w:rsidRDefault="002E0EEC" w:rsidP="00FB1205">
      <w:pPr>
        <w:spacing w:line="276" w:lineRule="auto"/>
        <w:jc w:val="both"/>
        <w:rPr>
          <w:rFonts w:eastAsia="Times New Roman" w:cstheme="majorHAnsi"/>
          <w:bCs/>
          <w:iCs/>
          <w:szCs w:val="24"/>
          <w:lang w:val="ro-MD" w:eastAsia="ru-RU"/>
        </w:rPr>
      </w:pPr>
      <w:r w:rsidRPr="002E0EEC">
        <w:rPr>
          <w:rFonts w:eastAsia="Times New Roman" w:cstheme="majorHAnsi"/>
          <w:bCs/>
          <w:iCs/>
          <w:szCs w:val="24"/>
          <w:lang w:val="ro-MD" w:eastAsia="ru-RU"/>
        </w:rPr>
        <w:t xml:space="preserve">Auditorul public a fost independent față de entitate și a îndeplinit responsabilitățile de etică în conformitate cu cerințele Codului etic al Curții de Conturi. </w:t>
      </w:r>
    </w:p>
    <w:p w14:paraId="5F583ACA" w14:textId="1A0EF112" w:rsidR="004559F0" w:rsidRPr="003039B3" w:rsidRDefault="006023D2" w:rsidP="00FB1205">
      <w:pPr>
        <w:tabs>
          <w:tab w:val="left" w:pos="426"/>
        </w:tabs>
        <w:spacing w:line="276" w:lineRule="auto"/>
        <w:contextualSpacing/>
        <w:jc w:val="both"/>
        <w:rPr>
          <w:rFonts w:cstheme="majorHAnsi"/>
          <w:i/>
          <w:szCs w:val="24"/>
          <w:lang w:val="ro-MD"/>
        </w:rPr>
      </w:pPr>
      <w:r w:rsidRPr="003039B3">
        <w:rPr>
          <w:rFonts w:cstheme="majorHAnsi"/>
          <w:i/>
          <w:szCs w:val="24"/>
          <w:lang w:val="ro-MD"/>
        </w:rPr>
        <w:t>Domeniul de aplicare și metodologia de audit sunt prezentate în Anexa nr.</w:t>
      </w:r>
      <w:r w:rsidR="004855D4" w:rsidRPr="003039B3">
        <w:rPr>
          <w:rFonts w:cstheme="majorHAnsi"/>
          <w:i/>
          <w:szCs w:val="24"/>
          <w:lang w:val="ro-MD"/>
        </w:rPr>
        <w:t xml:space="preserve"> </w:t>
      </w:r>
      <w:r w:rsidR="002C0C90" w:rsidRPr="003039B3">
        <w:rPr>
          <w:rFonts w:cstheme="majorHAnsi"/>
          <w:i/>
          <w:szCs w:val="24"/>
          <w:lang w:val="ro-MD"/>
        </w:rPr>
        <w:t>2</w:t>
      </w:r>
      <w:r w:rsidR="009D5AE6" w:rsidRPr="003039B3">
        <w:rPr>
          <w:rFonts w:cstheme="majorHAnsi"/>
          <w:i/>
          <w:szCs w:val="24"/>
          <w:lang w:val="ro-MD"/>
        </w:rPr>
        <w:t xml:space="preserve"> la prezentul Raport de audit.</w:t>
      </w:r>
    </w:p>
    <w:p w14:paraId="59AC7EF3" w14:textId="38F17A06" w:rsidR="006023D2" w:rsidRDefault="00CA279B" w:rsidP="00FB1205">
      <w:pPr>
        <w:pStyle w:val="1"/>
        <w:numPr>
          <w:ilvl w:val="0"/>
          <w:numId w:val="12"/>
        </w:numPr>
        <w:ind w:left="0" w:firstLine="0"/>
        <w:jc w:val="both"/>
        <w:rPr>
          <w:rFonts w:eastAsia="Times New Roman"/>
          <w:lang w:val="ro-MD" w:eastAsia="ru-RU"/>
        </w:rPr>
      </w:pPr>
      <w:bookmarkStart w:id="13" w:name="_Toc47012269"/>
      <w:bookmarkStart w:id="14" w:name="_Toc75436446"/>
      <w:r>
        <w:rPr>
          <w:rFonts w:eastAsia="Times New Roman"/>
          <w:lang w:val="ro-MD" w:eastAsia="ru-RU"/>
        </w:rPr>
        <w:t>CONS</w:t>
      </w:r>
      <w:r w:rsidR="006023D2" w:rsidRPr="006023D2">
        <w:rPr>
          <w:rFonts w:eastAsia="Times New Roman"/>
          <w:lang w:val="ro-MD" w:eastAsia="ru-RU"/>
        </w:rPr>
        <w:t>TATĂRI</w:t>
      </w:r>
      <w:bookmarkEnd w:id="13"/>
      <w:bookmarkEnd w:id="14"/>
    </w:p>
    <w:p w14:paraId="7BF6EC26" w14:textId="77777777" w:rsidR="00616B92" w:rsidRPr="00616B92" w:rsidRDefault="00616B92" w:rsidP="00FB1205">
      <w:pPr>
        <w:autoSpaceDE w:val="0"/>
        <w:autoSpaceDN w:val="0"/>
        <w:adjustRightInd w:val="0"/>
        <w:spacing w:after="0" w:line="240" w:lineRule="auto"/>
        <w:ind w:left="360"/>
        <w:contextualSpacing/>
        <w:jc w:val="both"/>
        <w:outlineLvl w:val="0"/>
        <w:rPr>
          <w:rFonts w:eastAsia="Times New Roman" w:cstheme="majorHAnsi"/>
          <w:b/>
          <w:bCs/>
          <w:color w:val="5B9BD5" w:themeColor="accent1"/>
          <w:sz w:val="8"/>
          <w:szCs w:val="8"/>
          <w:lang w:val="ro-MD" w:eastAsia="ru-RU"/>
        </w:rPr>
      </w:pPr>
    </w:p>
    <w:p w14:paraId="6BD5FF30" w14:textId="7AF20C9E" w:rsidR="00FB1205" w:rsidRDefault="00867008" w:rsidP="00FB1205">
      <w:pPr>
        <w:pStyle w:val="2"/>
        <w:numPr>
          <w:ilvl w:val="1"/>
          <w:numId w:val="14"/>
        </w:numPr>
        <w:tabs>
          <w:tab w:val="left" w:pos="426"/>
        </w:tabs>
        <w:spacing w:after="240" w:line="276" w:lineRule="auto"/>
        <w:ind w:left="0" w:firstLine="0"/>
        <w:jc w:val="both"/>
        <w:rPr>
          <w:i w:val="0"/>
          <w:sz w:val="24"/>
          <w:szCs w:val="24"/>
        </w:rPr>
      </w:pPr>
      <w:bookmarkStart w:id="15" w:name="_Toc47012270"/>
      <w:r w:rsidRPr="00FB1205">
        <w:rPr>
          <w:i w:val="0"/>
          <w:sz w:val="24"/>
          <w:szCs w:val="24"/>
          <w:lang w:val="ro-MD" w:eastAsia="ru-RU"/>
        </w:rPr>
        <w:t xml:space="preserve"> </w:t>
      </w:r>
      <w:bookmarkStart w:id="16" w:name="_Toc75436447"/>
      <w:r w:rsidR="006023D2" w:rsidRPr="00FB1205">
        <w:rPr>
          <w:i w:val="0"/>
          <w:sz w:val="24"/>
          <w:szCs w:val="24"/>
        </w:rPr>
        <w:t xml:space="preserve">Obiectivul specific I. </w:t>
      </w:r>
      <w:bookmarkEnd w:id="15"/>
      <w:r w:rsidR="00526800">
        <w:rPr>
          <w:i w:val="0"/>
          <w:sz w:val="24"/>
          <w:szCs w:val="24"/>
        </w:rPr>
        <w:t xml:space="preserve">Analiza </w:t>
      </w:r>
      <w:r w:rsidR="009B2C57" w:rsidRPr="00FB1205">
        <w:rPr>
          <w:i w:val="0"/>
          <w:sz w:val="24"/>
          <w:szCs w:val="24"/>
        </w:rPr>
        <w:t>structurii portofoliului datoriei de stat și conformității onorării obligațiunilor statului privind deservirea datoriei pr</w:t>
      </w:r>
      <w:r w:rsidR="008E0375" w:rsidRPr="00FB1205">
        <w:rPr>
          <w:i w:val="0"/>
          <w:sz w:val="24"/>
          <w:szCs w:val="24"/>
        </w:rPr>
        <w:t>in prisma Legii bugetare anuale</w:t>
      </w:r>
      <w:r w:rsidR="004A11A4" w:rsidRPr="00FB1205">
        <w:rPr>
          <w:i w:val="0"/>
          <w:sz w:val="24"/>
          <w:szCs w:val="24"/>
        </w:rPr>
        <w:t xml:space="preserve"> și Programului „Managementul datoriei de stat pe termen mediu (2020-2022)”.</w:t>
      </w:r>
      <w:bookmarkEnd w:id="16"/>
    </w:p>
    <w:p w14:paraId="33EBCAFD" w14:textId="11180A61" w:rsidR="00B375EF" w:rsidRPr="00AA1316" w:rsidRDefault="0058386F" w:rsidP="00AA1316">
      <w:pPr>
        <w:spacing w:after="0" w:line="276" w:lineRule="auto"/>
        <w:ind w:firstLine="567"/>
        <w:jc w:val="both"/>
        <w:rPr>
          <w:i/>
        </w:rPr>
      </w:pPr>
      <w:r w:rsidRPr="00F4535B">
        <w:rPr>
          <w:i/>
        </w:rPr>
        <w:t>Deși în anul 2020 s-a înregistrat o creștere semnificativă a soldului datoriei de stat, la situația din 31.12.2020 acesta s-a încadrat în limitele stabilite de Legea bugetară anuală</w:t>
      </w:r>
      <w:r w:rsidR="00AA1316">
        <w:rPr>
          <w:i/>
        </w:rPr>
        <w:t>. Majorarea soldului datoriei</w:t>
      </w:r>
      <w:r w:rsidR="009C1331">
        <w:rPr>
          <w:i/>
        </w:rPr>
        <w:t xml:space="preserve"> de stat a fost influiențată atâ</w:t>
      </w:r>
      <w:r w:rsidR="00AA1316">
        <w:rPr>
          <w:i/>
        </w:rPr>
        <w:t>t de</w:t>
      </w:r>
      <w:r w:rsidR="00B85721">
        <w:rPr>
          <w:i/>
        </w:rPr>
        <w:t xml:space="preserve"> creșt</w:t>
      </w:r>
      <w:r w:rsidR="009C1331">
        <w:rPr>
          <w:i/>
        </w:rPr>
        <w:t>erea datoriei de stat interne, câ</w:t>
      </w:r>
      <w:r w:rsidR="00B85721">
        <w:rPr>
          <w:i/>
        </w:rPr>
        <w:t>t și a celei externe.</w:t>
      </w:r>
      <w:r w:rsidR="00AA1316">
        <w:rPr>
          <w:i/>
        </w:rPr>
        <w:t xml:space="preserve"> </w:t>
      </w:r>
      <w:r w:rsidR="00B85721">
        <w:rPr>
          <w:i/>
        </w:rPr>
        <w:t>M</w:t>
      </w:r>
      <w:r w:rsidR="00F4535B" w:rsidRPr="00F4535B">
        <w:rPr>
          <w:rFonts w:cstheme="majorHAnsi"/>
          <w:i/>
          <w:szCs w:val="24"/>
        </w:rPr>
        <w:t>ajorarea soldului datoriei de stat interne a fost condiționat</w:t>
      </w:r>
      <w:r w:rsidR="0023122A">
        <w:rPr>
          <w:rFonts w:cstheme="majorHAnsi"/>
          <w:i/>
          <w:szCs w:val="24"/>
        </w:rPr>
        <w:t>ă</w:t>
      </w:r>
      <w:r w:rsidR="00F4535B" w:rsidRPr="00F4535B">
        <w:rPr>
          <w:rFonts w:cstheme="majorHAnsi"/>
          <w:i/>
          <w:szCs w:val="24"/>
        </w:rPr>
        <w:t xml:space="preserve"> de finanțarea internă netă pozitivă a VMS emise pe piața primară, iar a datoriei de stat externe – de finanțarea externă netă pozitivă și evoluția cursului de schimb al monedei naționale în raport cu dolarul SUA. </w:t>
      </w:r>
      <w:r w:rsidR="00F4535B" w:rsidRPr="00F4535B">
        <w:rPr>
          <w:rFonts w:cstheme="majorHAnsi"/>
          <w:i/>
          <w:szCs w:val="24"/>
          <w:lang w:val="ro-MD" w:eastAsia="ru-RU"/>
        </w:rPr>
        <w:t>Din totalul datoriei de stat, datoria de</w:t>
      </w:r>
      <w:r w:rsidR="00507136">
        <w:rPr>
          <w:rFonts w:cstheme="majorHAnsi"/>
          <w:i/>
          <w:szCs w:val="24"/>
          <w:lang w:val="ro-MD" w:eastAsia="ru-RU"/>
        </w:rPr>
        <w:t xml:space="preserve"> stat externă constituie 56,9%</w:t>
      </w:r>
      <w:r w:rsidR="00F4535B" w:rsidRPr="00F4535B">
        <w:rPr>
          <w:rFonts w:cstheme="majorHAnsi"/>
          <w:i/>
          <w:szCs w:val="24"/>
          <w:lang w:val="ro-MD" w:eastAsia="ru-RU"/>
        </w:rPr>
        <w:t xml:space="preserve"> și datoria de stat internă – 43,1%. </w:t>
      </w:r>
    </w:p>
    <w:p w14:paraId="4226F9B6" w14:textId="5341196F" w:rsidR="00B375EF" w:rsidRPr="00B375EF" w:rsidRDefault="00B375EF" w:rsidP="00B375EF">
      <w:pPr>
        <w:spacing w:after="0" w:line="276" w:lineRule="auto"/>
        <w:ind w:firstLine="567"/>
        <w:jc w:val="both"/>
        <w:rPr>
          <w:rFonts w:cstheme="majorHAnsi"/>
          <w:i/>
          <w:color w:val="000000"/>
          <w:szCs w:val="24"/>
          <w:lang w:val="ro-MD"/>
        </w:rPr>
      </w:pPr>
      <w:r w:rsidRPr="00B375EF">
        <w:rPr>
          <w:rFonts w:cstheme="majorHAnsi"/>
          <w:i/>
          <w:color w:val="000000"/>
          <w:szCs w:val="24"/>
          <w:lang w:val="ro-MD"/>
        </w:rPr>
        <w:t>Ca și în anii precedenți, valorificarea resurselor externe de către unitățile de implementare a proiectelor finanțate di</w:t>
      </w:r>
      <w:r w:rsidR="00490D1B">
        <w:rPr>
          <w:rFonts w:cstheme="majorHAnsi"/>
          <w:i/>
          <w:color w:val="000000"/>
          <w:szCs w:val="24"/>
          <w:lang w:val="ro-MD"/>
        </w:rPr>
        <w:t>n surse externe continuă să rămâ</w:t>
      </w:r>
      <w:r w:rsidRPr="00B375EF">
        <w:rPr>
          <w:rFonts w:cstheme="majorHAnsi"/>
          <w:i/>
          <w:color w:val="000000"/>
          <w:szCs w:val="24"/>
          <w:lang w:val="ro-MD"/>
        </w:rPr>
        <w:t>nă la nivel redus.</w:t>
      </w:r>
    </w:p>
    <w:p w14:paraId="7F646F3B" w14:textId="3E611B01" w:rsidR="00F4535B" w:rsidRPr="00F4535B" w:rsidRDefault="00994694" w:rsidP="00F4535B">
      <w:pPr>
        <w:spacing w:after="0"/>
        <w:ind w:firstLine="567"/>
        <w:jc w:val="both"/>
        <w:rPr>
          <w:rFonts w:cstheme="majorHAnsi"/>
          <w:i/>
          <w:szCs w:val="24"/>
          <w:lang w:val="ro-MD" w:eastAsia="ru-RU"/>
        </w:rPr>
      </w:pPr>
      <w:r>
        <w:rPr>
          <w:i/>
          <w:lang w:val="ro-MD" w:eastAsia="ru-RU"/>
        </w:rPr>
        <w:lastRenderedPageBreak/>
        <w:t>De menționat că a</w:t>
      </w:r>
      <w:r w:rsidR="00AF66CF">
        <w:rPr>
          <w:i/>
          <w:lang w:val="ro-MD" w:eastAsia="ru-RU"/>
        </w:rPr>
        <w:t>u cres</w:t>
      </w:r>
      <w:r w:rsidR="00321DA1" w:rsidRPr="00321DA1">
        <w:rPr>
          <w:i/>
          <w:lang w:val="ro-MD" w:eastAsia="ru-RU"/>
        </w:rPr>
        <w:t xml:space="preserve">cut și cheltuielile suportate pentru </w:t>
      </w:r>
      <w:r w:rsidR="00321DA1" w:rsidRPr="00AF66CF">
        <w:rPr>
          <w:i/>
          <w:lang w:val="ro-MD" w:eastAsia="ru-RU"/>
        </w:rPr>
        <w:t>deservirea datoriei de stat</w:t>
      </w:r>
      <w:r w:rsidR="00321DA1" w:rsidRPr="00321DA1">
        <w:rPr>
          <w:i/>
          <w:lang w:val="ro-MD" w:eastAsia="ru-RU"/>
        </w:rPr>
        <w:t xml:space="preserve">. </w:t>
      </w:r>
      <w:r>
        <w:rPr>
          <w:i/>
          <w:lang w:val="ro-MD" w:eastAsia="ru-RU"/>
        </w:rPr>
        <w:t>D</w:t>
      </w:r>
      <w:r w:rsidR="00321DA1" w:rsidRPr="00321DA1">
        <w:rPr>
          <w:i/>
          <w:lang w:val="ro-MD" w:eastAsia="ru-RU"/>
        </w:rPr>
        <w:t xml:space="preserve">in totalul plăților efectuate, </w:t>
      </w:r>
      <w:r>
        <w:rPr>
          <w:i/>
          <w:lang w:val="ro-MD" w:eastAsia="ru-RU"/>
        </w:rPr>
        <w:t xml:space="preserve">ponderea cea mai mare o reprezintă </w:t>
      </w:r>
      <w:r w:rsidR="00321DA1" w:rsidRPr="00321DA1">
        <w:rPr>
          <w:i/>
          <w:lang w:val="ro-MD" w:eastAsia="ru-RU"/>
        </w:rPr>
        <w:t>achit</w:t>
      </w:r>
      <w:r>
        <w:rPr>
          <w:i/>
          <w:lang w:val="ro-MD" w:eastAsia="ru-RU"/>
        </w:rPr>
        <w:t>ările</w:t>
      </w:r>
      <w:r w:rsidR="00321DA1" w:rsidRPr="00321DA1">
        <w:rPr>
          <w:i/>
          <w:lang w:val="ro-MD" w:eastAsia="ru-RU"/>
        </w:rPr>
        <w:t xml:space="preserve"> pentru deservirea datoriei de stat interne - 82,5%, iar 17,5% revin pentru deservirea datoriei de stat externe.</w:t>
      </w:r>
    </w:p>
    <w:p w14:paraId="25F6F3B5" w14:textId="6D52C446" w:rsidR="00F4535B" w:rsidRPr="00F4535B" w:rsidRDefault="00F4535B" w:rsidP="00F4535B">
      <w:pPr>
        <w:pStyle w:val="af3"/>
        <w:spacing w:line="276" w:lineRule="auto"/>
        <w:ind w:firstLine="567"/>
        <w:jc w:val="both"/>
        <w:rPr>
          <w:rFonts w:asciiTheme="majorHAnsi" w:hAnsiTheme="majorHAnsi" w:cstheme="majorHAnsi"/>
          <w:i/>
          <w:sz w:val="24"/>
          <w:szCs w:val="24"/>
        </w:rPr>
      </w:pPr>
      <w:r w:rsidRPr="00F4535B">
        <w:rPr>
          <w:rFonts w:asciiTheme="majorHAnsi" w:hAnsiTheme="majorHAnsi" w:cstheme="majorHAnsi"/>
          <w:i/>
          <w:sz w:val="24"/>
          <w:szCs w:val="24"/>
          <w:lang w:val="ro-MD" w:eastAsia="ru-RU"/>
        </w:rPr>
        <w:t>Ca pondere în PI</w:t>
      </w:r>
      <w:r w:rsidR="00AD2BE8">
        <w:rPr>
          <w:rFonts w:asciiTheme="majorHAnsi" w:hAnsiTheme="majorHAnsi" w:cstheme="majorHAnsi"/>
          <w:i/>
          <w:sz w:val="24"/>
          <w:szCs w:val="24"/>
          <w:lang w:val="ro-MD" w:eastAsia="ru-RU"/>
        </w:rPr>
        <w:t>B, în anul 2020</w:t>
      </w:r>
      <w:r w:rsidRPr="00F4535B">
        <w:rPr>
          <w:rFonts w:asciiTheme="majorHAnsi" w:hAnsiTheme="majorHAnsi" w:cstheme="majorHAnsi"/>
          <w:i/>
          <w:sz w:val="24"/>
          <w:szCs w:val="24"/>
          <w:lang w:val="ro-MD" w:eastAsia="ru-RU"/>
        </w:rPr>
        <w:t xml:space="preserve"> datoria de stat a constituit 32,9%, înregistrînd o creștere semnificativ</w:t>
      </w:r>
      <w:r w:rsidR="00994694">
        <w:rPr>
          <w:rFonts w:asciiTheme="majorHAnsi" w:hAnsiTheme="majorHAnsi" w:cstheme="majorHAnsi"/>
          <w:i/>
          <w:sz w:val="24"/>
          <w:szCs w:val="24"/>
          <w:lang w:val="ro-MD" w:eastAsia="ru-RU"/>
        </w:rPr>
        <w:t>ă față de anul 2019 cu 7,9 p.p.</w:t>
      </w:r>
    </w:p>
    <w:p w14:paraId="720A520B" w14:textId="77FFFF10" w:rsidR="0058386F" w:rsidRPr="00441BDC" w:rsidRDefault="00F4535B" w:rsidP="00441BDC">
      <w:pPr>
        <w:spacing w:line="276" w:lineRule="auto"/>
        <w:ind w:firstLine="567"/>
        <w:jc w:val="both"/>
        <w:rPr>
          <w:rFonts w:cstheme="majorHAnsi"/>
          <w:i/>
          <w:szCs w:val="24"/>
          <w:lang w:val="ro-MD" w:eastAsia="ru-RU"/>
        </w:rPr>
      </w:pPr>
      <w:r w:rsidRPr="00F4535B">
        <w:rPr>
          <w:rFonts w:cstheme="majorHAnsi"/>
          <w:i/>
          <w:szCs w:val="24"/>
          <w:lang w:val="ro-MD" w:eastAsia="ru-RU"/>
        </w:rPr>
        <w:t>Analiza parametrilor de risc și a indicat</w:t>
      </w:r>
      <w:r w:rsidR="00CD5D0D">
        <w:rPr>
          <w:rFonts w:cstheme="majorHAnsi"/>
          <w:i/>
          <w:szCs w:val="24"/>
          <w:lang w:val="ro-MD" w:eastAsia="ru-RU"/>
        </w:rPr>
        <w:t>o</w:t>
      </w:r>
      <w:r w:rsidRPr="00F4535B">
        <w:rPr>
          <w:rFonts w:cstheme="majorHAnsi"/>
          <w:i/>
          <w:szCs w:val="24"/>
          <w:lang w:val="ro-MD" w:eastAsia="ru-RU"/>
        </w:rPr>
        <w:t xml:space="preserve">rului de sustenabilitate denotă că aceștia s-au încadrat în limitele stabilite de Program, cu excepția indicatorilor „Ponderea datoriei de stat scadentă în decurs de un an în totalul datoriei de stat” (+0,7%) și indicatorului „VMS emise pe piața primară scadente în decurs de un an” (+3,4%), drept urmare </w:t>
      </w:r>
      <w:r w:rsidR="00F7084A">
        <w:rPr>
          <w:rFonts w:cstheme="majorHAnsi"/>
          <w:i/>
          <w:szCs w:val="24"/>
          <w:lang w:val="ro-MD" w:eastAsia="ru-RU"/>
        </w:rPr>
        <w:t xml:space="preserve">a </w:t>
      </w:r>
      <w:r w:rsidRPr="00F4535B">
        <w:rPr>
          <w:rFonts w:cstheme="majorHAnsi"/>
          <w:i/>
          <w:szCs w:val="24"/>
          <w:lang w:val="ro-MD" w:eastAsia="ru-RU"/>
        </w:rPr>
        <w:t>„emisiunii pe parcursul anului 2020 în volume mai mari a VMS preponderent pe termen scurt</w:t>
      </w:r>
      <w:r w:rsidR="00007DA4">
        <w:rPr>
          <w:rFonts w:cstheme="majorHAnsi"/>
          <w:i/>
          <w:szCs w:val="24"/>
          <w:lang w:val="ro-MD" w:eastAsia="ru-RU"/>
        </w:rPr>
        <w:t>”.</w:t>
      </w:r>
    </w:p>
    <w:p w14:paraId="401A8F27" w14:textId="5CD44871" w:rsidR="00811962" w:rsidRPr="00FD6262" w:rsidRDefault="006E72EA" w:rsidP="00441BDC">
      <w:pPr>
        <w:pStyle w:val="3"/>
        <w:numPr>
          <w:ilvl w:val="2"/>
          <w:numId w:val="14"/>
        </w:numPr>
        <w:spacing w:after="160" w:line="276" w:lineRule="auto"/>
        <w:ind w:left="0" w:hanging="11"/>
        <w:jc w:val="both"/>
      </w:pPr>
      <w:bookmarkStart w:id="17" w:name="_Toc75436448"/>
      <w:r w:rsidRPr="00FD6262">
        <w:t xml:space="preserve">Deși s-a înregistrat o creștere semnificativă a soldului </w:t>
      </w:r>
      <w:r w:rsidR="008F3BE4" w:rsidRPr="00FD6262">
        <w:t>datoriei de stat</w:t>
      </w:r>
      <w:r w:rsidRPr="00FD6262">
        <w:t>, acesta</w:t>
      </w:r>
      <w:r w:rsidR="008F3BE4" w:rsidRPr="00FD6262">
        <w:t xml:space="preserve"> s-a încadrat în limitele plafonului prevăzut de L</w:t>
      </w:r>
      <w:r w:rsidR="00863E8F" w:rsidRPr="00FD6262">
        <w:t>egea bugetară anuală</w:t>
      </w:r>
      <w:r w:rsidR="00747B03" w:rsidRPr="00FD6262">
        <w:t xml:space="preserve">, </w:t>
      </w:r>
      <w:r w:rsidR="00EA6E6E">
        <w:t xml:space="preserve">însă cu </w:t>
      </w:r>
      <w:r w:rsidR="00747B03" w:rsidRPr="00FD6262">
        <w:t>mici excepții de la limitele aprobate de Programul „Managementul datoriei de stat pe termen mediu (2020-2022)”</w:t>
      </w:r>
      <w:r w:rsidR="00AD2BE8">
        <w:t>.</w:t>
      </w:r>
      <w:bookmarkEnd w:id="17"/>
    </w:p>
    <w:p w14:paraId="20021487" w14:textId="044D2EB6" w:rsidR="00372E29" w:rsidRDefault="0087747D" w:rsidP="00FB1205">
      <w:pPr>
        <w:jc w:val="both"/>
        <w:rPr>
          <w:lang w:val="ro-MD" w:eastAsia="ru-RU"/>
        </w:rPr>
      </w:pPr>
      <w:r w:rsidRPr="0087747D">
        <w:rPr>
          <w:lang w:val="ro-MD" w:eastAsia="ru-RU"/>
        </w:rPr>
        <w:t>În conformitate cu art.</w:t>
      </w:r>
      <w:r w:rsidR="009B2C57">
        <w:rPr>
          <w:lang w:val="ro-MD" w:eastAsia="ru-RU"/>
        </w:rPr>
        <w:t>38 din Legea nr.181/2014, plafo</w:t>
      </w:r>
      <w:r w:rsidRPr="0087747D">
        <w:rPr>
          <w:lang w:val="ro-MD" w:eastAsia="ru-RU"/>
        </w:rPr>
        <w:t>nul datoriei de stat și c</w:t>
      </w:r>
      <w:r>
        <w:rPr>
          <w:lang w:val="ro-MD" w:eastAsia="ru-RU"/>
        </w:rPr>
        <w:t>el al garanțiilor de stat la sfî</w:t>
      </w:r>
      <w:r w:rsidRPr="0087747D">
        <w:rPr>
          <w:lang w:val="ro-MD" w:eastAsia="ru-RU"/>
        </w:rPr>
        <w:t xml:space="preserve">rșitul anului </w:t>
      </w:r>
      <w:r w:rsidR="00747B03">
        <w:rPr>
          <w:lang w:val="ro-MD" w:eastAsia="ru-RU"/>
        </w:rPr>
        <w:t>bugetar se aprobă prin L</w:t>
      </w:r>
      <w:r>
        <w:rPr>
          <w:lang w:val="ro-MD" w:eastAsia="ru-RU"/>
        </w:rPr>
        <w:t>egea bugetului de stat pe anul respectiv. Astfel, potrivit art.</w:t>
      </w:r>
      <w:r w:rsidR="00372E29">
        <w:rPr>
          <w:lang w:val="ro-MD" w:eastAsia="ru-RU"/>
        </w:rPr>
        <w:t xml:space="preserve"> </w:t>
      </w:r>
      <w:r>
        <w:rPr>
          <w:lang w:val="ro-MD" w:eastAsia="ru-RU"/>
        </w:rPr>
        <w:t xml:space="preserve">8 </w:t>
      </w:r>
      <w:r w:rsidR="00671FF8">
        <w:rPr>
          <w:lang w:val="ro-MD" w:eastAsia="ru-RU"/>
        </w:rPr>
        <w:t>din Legea bugetului de stat pentru anul 2020</w:t>
      </w:r>
      <w:r w:rsidR="00671FF8">
        <w:rPr>
          <w:rStyle w:val="a6"/>
          <w:rFonts w:eastAsia="Times New Roman" w:cstheme="majorHAnsi"/>
          <w:bCs/>
          <w:szCs w:val="24"/>
          <w:lang w:val="ro-MD" w:eastAsia="ru-RU"/>
        </w:rPr>
        <w:footnoteReference w:id="7"/>
      </w:r>
      <w:r w:rsidR="00671FF8">
        <w:rPr>
          <w:lang w:val="ro-MD" w:eastAsia="ru-RU"/>
        </w:rPr>
        <w:t xml:space="preserve">, inițial, </w:t>
      </w:r>
      <w:r w:rsidR="005F2A03">
        <w:rPr>
          <w:lang w:val="ro-MD" w:eastAsia="ru-RU"/>
        </w:rPr>
        <w:t>pentru</w:t>
      </w:r>
      <w:r w:rsidR="00671FF8">
        <w:rPr>
          <w:lang w:val="ro-MD" w:eastAsia="ru-RU"/>
        </w:rPr>
        <w:t xml:space="preserve"> situația din 31.12.2020, au fost stabilite următoarele plafoane: pentru datoria de s</w:t>
      </w:r>
      <w:r w:rsidR="00372E29">
        <w:rPr>
          <w:lang w:val="ro-MD" w:eastAsia="ru-RU"/>
        </w:rPr>
        <w:t xml:space="preserve">tat internă – 25 707,3 mil.lei și </w:t>
      </w:r>
      <w:r w:rsidR="00671FF8">
        <w:rPr>
          <w:lang w:val="ro-MD" w:eastAsia="ru-RU"/>
        </w:rPr>
        <w:t>pentru datoria de stat externă – 41 820,9 mil.lei (sau echivalentul a 2 208,1 mil.</w:t>
      </w:r>
      <w:r w:rsidR="00CD0596">
        <w:rPr>
          <w:lang w:val="ro-MD" w:eastAsia="ru-RU"/>
        </w:rPr>
        <w:t>dol.SUA</w:t>
      </w:r>
      <w:r w:rsidR="00671FF8">
        <w:rPr>
          <w:lang w:val="ro-MD" w:eastAsia="ru-RU"/>
        </w:rPr>
        <w:t>)</w:t>
      </w:r>
      <w:r w:rsidR="00372E29">
        <w:rPr>
          <w:lang w:val="ro-MD" w:eastAsia="ru-RU"/>
        </w:rPr>
        <w:t xml:space="preserve">. </w:t>
      </w:r>
    </w:p>
    <w:p w14:paraId="0009FFB4" w14:textId="7E1D0733" w:rsidR="0087747D" w:rsidRPr="00C263E5" w:rsidRDefault="00671FF8" w:rsidP="00FB1205">
      <w:pPr>
        <w:jc w:val="both"/>
        <w:rPr>
          <w:lang w:val="ro-MD" w:eastAsia="ru-RU"/>
        </w:rPr>
      </w:pPr>
      <w:r>
        <w:rPr>
          <w:lang w:val="ro-MD" w:eastAsia="ru-RU"/>
        </w:rPr>
        <w:t>Ulterior, pe parcursul anului de gestiune, au fost operate 3 modi</w:t>
      </w:r>
      <w:r w:rsidR="005F2A03">
        <w:rPr>
          <w:lang w:val="ro-MD" w:eastAsia="ru-RU"/>
        </w:rPr>
        <w:t xml:space="preserve">ficări la Legea bugatară anuală. Astfel, </w:t>
      </w:r>
      <w:r w:rsidR="00876B99">
        <w:rPr>
          <w:lang w:val="ro-MD" w:eastAsia="ru-RU"/>
        </w:rPr>
        <w:t>pentru datoria de stat internă plafonul a fost majo</w:t>
      </w:r>
      <w:r w:rsidR="00AD2BE8">
        <w:rPr>
          <w:lang w:val="ro-MD" w:eastAsia="ru-RU"/>
        </w:rPr>
        <w:t>rat pâ</w:t>
      </w:r>
      <w:r w:rsidR="00706094">
        <w:rPr>
          <w:lang w:val="ro-MD" w:eastAsia="ru-RU"/>
        </w:rPr>
        <w:t>nă la 29 500,9 mil.lei (+</w:t>
      </w:r>
      <w:r w:rsidR="00372E29">
        <w:rPr>
          <w:lang w:val="ro-MD" w:eastAsia="ru-RU"/>
        </w:rPr>
        <w:t>3 793 lei) iar</w:t>
      </w:r>
      <w:r w:rsidR="00876B99">
        <w:rPr>
          <w:lang w:val="ro-MD" w:eastAsia="ru-RU"/>
        </w:rPr>
        <w:t xml:space="preserve"> pentru datoria de sta</w:t>
      </w:r>
      <w:r w:rsidR="009B2C57">
        <w:rPr>
          <w:lang w:val="ro-MD" w:eastAsia="ru-RU"/>
        </w:rPr>
        <w:t>t</w:t>
      </w:r>
      <w:r w:rsidR="00E444A0">
        <w:rPr>
          <w:lang w:val="ro-MD" w:eastAsia="ru-RU"/>
        </w:rPr>
        <w:t xml:space="preserve"> externă – pâ</w:t>
      </w:r>
      <w:r w:rsidR="00876B99">
        <w:rPr>
          <w:lang w:val="ro-MD" w:eastAsia="ru-RU"/>
        </w:rPr>
        <w:t>nă la 45 660,2 mil.lei (echivalentul a 2 519,9 mil.dol.SUA)</w:t>
      </w:r>
      <w:r w:rsidR="009B2C57">
        <w:rPr>
          <w:lang w:val="ro-MD" w:eastAsia="ru-RU"/>
        </w:rPr>
        <w:t xml:space="preserve"> </w:t>
      </w:r>
      <w:r w:rsidR="00706094">
        <w:rPr>
          <w:lang w:val="ro-MD" w:eastAsia="ru-RU"/>
        </w:rPr>
        <w:t xml:space="preserve">              </w:t>
      </w:r>
      <w:r w:rsidR="00876B99">
        <w:rPr>
          <w:lang w:val="ro-MD" w:eastAsia="ru-RU"/>
        </w:rPr>
        <w:t>(</w:t>
      </w:r>
      <w:r w:rsidR="00706094">
        <w:rPr>
          <w:lang w:val="ro-MD" w:eastAsia="ru-RU"/>
        </w:rPr>
        <w:t>+</w:t>
      </w:r>
      <w:r w:rsidR="00876B99">
        <w:rPr>
          <w:lang w:val="ro-MD" w:eastAsia="ru-RU"/>
        </w:rPr>
        <w:t>3 839,3 mil.lei)</w:t>
      </w:r>
      <w:r w:rsidR="00372E29">
        <w:rPr>
          <w:lang w:val="ro-MD" w:eastAsia="ru-RU"/>
        </w:rPr>
        <w:t xml:space="preserve">. </w:t>
      </w:r>
      <w:r w:rsidR="00C263E5">
        <w:rPr>
          <w:lang w:val="ro-MD" w:eastAsia="ru-RU"/>
        </w:rPr>
        <w:t xml:space="preserve">Potrivit </w:t>
      </w:r>
      <w:r w:rsidR="002302E0">
        <w:rPr>
          <w:lang w:val="ro-MD" w:eastAsia="ru-RU"/>
        </w:rPr>
        <w:t xml:space="preserve">explicațiilor </w:t>
      </w:r>
      <w:r w:rsidR="00C263E5">
        <w:rPr>
          <w:lang w:val="ro-MD" w:eastAsia="ru-RU"/>
        </w:rPr>
        <w:t xml:space="preserve">MF, plafonul a fost majorat </w:t>
      </w:r>
      <w:r w:rsidR="00C263E5" w:rsidRPr="00C263E5">
        <w:rPr>
          <w:i/>
          <w:lang w:val="ro-MD" w:eastAsia="ru-RU"/>
        </w:rPr>
        <w:t xml:space="preserve">„din cauza majorării planificate a finanțării deficitului bugetului din contul împrumuturilor de stat externe </w:t>
      </w:r>
      <w:r w:rsidR="00C21EF9">
        <w:rPr>
          <w:i/>
          <w:lang w:val="ro-MD" w:eastAsia="ru-RU"/>
        </w:rPr>
        <w:t xml:space="preserve">și interne </w:t>
      </w:r>
      <w:r w:rsidR="00C263E5" w:rsidRPr="00C263E5">
        <w:rPr>
          <w:i/>
          <w:lang w:val="ro-MD" w:eastAsia="ru-RU"/>
        </w:rPr>
        <w:t>destinate finanțării suportului bugetar”.</w:t>
      </w:r>
      <w:r w:rsidR="00C263E5">
        <w:rPr>
          <w:lang w:val="ro-MD" w:eastAsia="ru-RU"/>
        </w:rPr>
        <w:t xml:space="preserve"> </w:t>
      </w:r>
      <w:r w:rsidR="00D97C4A" w:rsidRPr="00D97C4A">
        <w:rPr>
          <w:i/>
          <w:lang w:val="ro-MD" w:eastAsia="ru-RU"/>
        </w:rPr>
        <w:t>Informația detaliată privind plafoanele aprobate în conformitate cu modificările efectuate la Legea bugetară an</w:t>
      </w:r>
      <w:r w:rsidR="008E0375">
        <w:rPr>
          <w:i/>
          <w:lang w:val="ro-MD" w:eastAsia="ru-RU"/>
        </w:rPr>
        <w:t>uală se prezintă în Tabelul nr.</w:t>
      </w:r>
      <w:r w:rsidR="00EF13D7">
        <w:rPr>
          <w:i/>
          <w:lang w:val="ro-MD" w:eastAsia="ru-RU"/>
        </w:rPr>
        <w:t>1</w:t>
      </w:r>
      <w:r w:rsidR="00D97C4A" w:rsidRPr="00D97C4A">
        <w:rPr>
          <w:i/>
          <w:lang w:val="ro-MD" w:eastAsia="ru-RU"/>
        </w:rPr>
        <w:t>.</w:t>
      </w:r>
    </w:p>
    <w:p w14:paraId="0DAF8A09" w14:textId="6F99444E" w:rsidR="00D97C4A" w:rsidRPr="00726F68" w:rsidRDefault="00D97C4A" w:rsidP="00FB1205">
      <w:pPr>
        <w:jc w:val="right"/>
        <w:rPr>
          <w:b/>
          <w:i/>
          <w:lang w:val="ro-MD" w:eastAsia="ru-RU"/>
        </w:rPr>
      </w:pPr>
      <w:r w:rsidRPr="00726F68">
        <w:rPr>
          <w:b/>
          <w:i/>
          <w:lang w:val="ro-MD" w:eastAsia="ru-RU"/>
        </w:rPr>
        <w:t>Tabelul nr.</w:t>
      </w:r>
      <w:r w:rsidR="00EF13D7">
        <w:rPr>
          <w:b/>
          <w:i/>
          <w:lang w:val="ro-MD" w:eastAsia="ru-RU"/>
        </w:rPr>
        <w:t>1</w:t>
      </w:r>
    </w:p>
    <w:p w14:paraId="5BC4D7A1" w14:textId="4D2EFAEF" w:rsidR="008E3711" w:rsidRPr="00D6709E" w:rsidRDefault="008E3711" w:rsidP="00D6709E">
      <w:pPr>
        <w:jc w:val="center"/>
        <w:rPr>
          <w:b/>
          <w:lang w:val="ro-MD" w:eastAsia="ru-RU"/>
        </w:rPr>
      </w:pPr>
      <w:r w:rsidRPr="00DF0626">
        <w:rPr>
          <w:b/>
          <w:lang w:val="ro-MD" w:eastAsia="ru-RU"/>
        </w:rPr>
        <w:lastRenderedPageBreak/>
        <w:t>Plafoanele aprobate în conformitate cu modificările efectuate la Legea bugetară anuală</w:t>
      </w:r>
      <w:r w:rsidR="00A73472">
        <w:rPr>
          <w:b/>
          <w:lang w:val="ro-MD" w:eastAsia="ru-RU"/>
        </w:rPr>
        <w:t>, mil.</w:t>
      </w:r>
      <w:r w:rsidR="00D6709E">
        <w:rPr>
          <w:b/>
          <w:lang w:val="ro-MD" w:eastAsia="ru-RU"/>
        </w:rPr>
        <w:t>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67"/>
        <w:gridCol w:w="1418"/>
        <w:gridCol w:w="1275"/>
        <w:gridCol w:w="1276"/>
        <w:gridCol w:w="1276"/>
        <w:gridCol w:w="1128"/>
      </w:tblGrid>
      <w:tr w:rsidR="00CC6481" w:rsidRPr="00D97C4A" w14:paraId="33BDE8E0" w14:textId="77777777" w:rsidTr="00FB1205">
        <w:trPr>
          <w:jc w:val="center"/>
        </w:trPr>
        <w:tc>
          <w:tcPr>
            <w:tcW w:w="505" w:type="dxa"/>
          </w:tcPr>
          <w:p w14:paraId="775754A8" w14:textId="77777777" w:rsidR="00D97C4A" w:rsidRPr="00D97C4A" w:rsidRDefault="00D97C4A" w:rsidP="00C2291F">
            <w:pPr>
              <w:spacing w:after="0" w:line="240" w:lineRule="auto"/>
              <w:jc w:val="center"/>
              <w:rPr>
                <w:rFonts w:cstheme="majorHAnsi"/>
                <w:b/>
                <w:sz w:val="20"/>
                <w:szCs w:val="20"/>
                <w:lang w:val="ro-MD"/>
              </w:rPr>
            </w:pPr>
            <w:r w:rsidRPr="00D97C4A">
              <w:rPr>
                <w:rFonts w:cstheme="majorHAnsi"/>
                <w:b/>
                <w:sz w:val="20"/>
                <w:szCs w:val="20"/>
                <w:lang w:val="ro-MD"/>
              </w:rPr>
              <w:t>Nr. d/o</w:t>
            </w:r>
          </w:p>
        </w:tc>
        <w:tc>
          <w:tcPr>
            <w:tcW w:w="2467" w:type="dxa"/>
          </w:tcPr>
          <w:p w14:paraId="6C57A5FE" w14:textId="77777777" w:rsidR="00D97C4A" w:rsidRPr="00D97C4A" w:rsidRDefault="00D97C4A" w:rsidP="00FB1205">
            <w:pPr>
              <w:spacing w:after="0" w:line="240" w:lineRule="auto"/>
              <w:jc w:val="center"/>
              <w:rPr>
                <w:rFonts w:cstheme="majorHAnsi"/>
                <w:b/>
                <w:sz w:val="20"/>
                <w:szCs w:val="20"/>
                <w:lang w:val="ro-MD"/>
              </w:rPr>
            </w:pPr>
            <w:r w:rsidRPr="00D97C4A">
              <w:rPr>
                <w:rFonts w:cstheme="majorHAnsi"/>
                <w:b/>
                <w:sz w:val="20"/>
                <w:szCs w:val="20"/>
                <w:lang w:val="ro-MD"/>
              </w:rPr>
              <w:t>Denumirea indicatorului</w:t>
            </w:r>
          </w:p>
        </w:tc>
        <w:tc>
          <w:tcPr>
            <w:tcW w:w="1418" w:type="dxa"/>
          </w:tcPr>
          <w:p w14:paraId="7987EFF0" w14:textId="77777777" w:rsidR="00D97C4A" w:rsidRPr="00D97C4A" w:rsidRDefault="00D97C4A" w:rsidP="00FB1205">
            <w:pPr>
              <w:spacing w:after="0" w:line="240" w:lineRule="auto"/>
              <w:jc w:val="center"/>
              <w:rPr>
                <w:rFonts w:cstheme="majorHAnsi"/>
                <w:b/>
                <w:sz w:val="20"/>
                <w:szCs w:val="20"/>
                <w:lang w:val="ro-MD"/>
              </w:rPr>
            </w:pPr>
            <w:r w:rsidRPr="00D97C4A">
              <w:rPr>
                <w:rFonts w:cstheme="majorHAnsi"/>
                <w:b/>
                <w:sz w:val="20"/>
                <w:szCs w:val="20"/>
                <w:lang w:val="ro-MD"/>
              </w:rPr>
              <w:t>Aprobat inițial</w:t>
            </w:r>
          </w:p>
          <w:p w14:paraId="6F0CD554" w14:textId="3179BFDF" w:rsidR="00D97C4A" w:rsidRPr="00D97C4A" w:rsidRDefault="00D97C4A" w:rsidP="00FB1205">
            <w:pPr>
              <w:spacing w:after="0" w:line="240" w:lineRule="auto"/>
              <w:jc w:val="center"/>
              <w:rPr>
                <w:rFonts w:cstheme="majorHAnsi"/>
                <w:b/>
                <w:i/>
                <w:sz w:val="18"/>
                <w:szCs w:val="18"/>
                <w:lang w:val="ro-MD"/>
              </w:rPr>
            </w:pPr>
            <w:r w:rsidRPr="00D97C4A">
              <w:rPr>
                <w:rFonts w:cstheme="majorHAnsi"/>
                <w:b/>
                <w:i/>
                <w:sz w:val="18"/>
                <w:szCs w:val="18"/>
                <w:lang w:val="ro-MD"/>
              </w:rPr>
              <w:t>(L</w:t>
            </w:r>
            <w:r w:rsidR="00DF157E">
              <w:rPr>
                <w:rFonts w:cstheme="majorHAnsi"/>
                <w:b/>
                <w:i/>
                <w:sz w:val="18"/>
                <w:szCs w:val="18"/>
                <w:lang w:val="ro-MD"/>
              </w:rPr>
              <w:t>e</w:t>
            </w:r>
            <w:r w:rsidRPr="00D97C4A">
              <w:rPr>
                <w:rFonts w:cstheme="majorHAnsi"/>
                <w:b/>
                <w:i/>
                <w:sz w:val="18"/>
                <w:szCs w:val="18"/>
                <w:lang w:val="ro-MD"/>
              </w:rPr>
              <w:t>g</w:t>
            </w:r>
            <w:r w:rsidR="00DF157E">
              <w:rPr>
                <w:rFonts w:cstheme="majorHAnsi"/>
                <w:b/>
                <w:i/>
                <w:sz w:val="18"/>
                <w:szCs w:val="18"/>
                <w:lang w:val="ro-MD"/>
              </w:rPr>
              <w:t>ea</w:t>
            </w:r>
            <w:r w:rsidRPr="00D97C4A">
              <w:rPr>
                <w:rFonts w:cstheme="majorHAnsi"/>
                <w:b/>
                <w:i/>
                <w:sz w:val="18"/>
                <w:szCs w:val="18"/>
                <w:lang w:val="ro-MD"/>
              </w:rPr>
              <w:t xml:space="preserve"> nr.172 din 19.12.2019)</w:t>
            </w:r>
          </w:p>
        </w:tc>
        <w:tc>
          <w:tcPr>
            <w:tcW w:w="1275" w:type="dxa"/>
          </w:tcPr>
          <w:p w14:paraId="5A60DD31" w14:textId="77777777" w:rsidR="00D97C4A" w:rsidRPr="00D97C4A" w:rsidRDefault="00D97C4A" w:rsidP="00FB1205">
            <w:pPr>
              <w:spacing w:after="0" w:line="240" w:lineRule="auto"/>
              <w:jc w:val="center"/>
              <w:rPr>
                <w:rFonts w:cstheme="majorHAnsi"/>
                <w:b/>
                <w:sz w:val="20"/>
                <w:szCs w:val="20"/>
                <w:lang w:val="ro-MD"/>
              </w:rPr>
            </w:pPr>
            <w:r w:rsidRPr="00D97C4A">
              <w:rPr>
                <w:rFonts w:cstheme="majorHAnsi"/>
                <w:b/>
                <w:sz w:val="20"/>
                <w:szCs w:val="20"/>
                <w:lang w:val="ro-MD"/>
              </w:rPr>
              <w:t>I rectificare</w:t>
            </w:r>
          </w:p>
          <w:p w14:paraId="51128D5F" w14:textId="41FB8497" w:rsidR="00D97C4A" w:rsidRPr="00D97C4A" w:rsidRDefault="00D97C4A" w:rsidP="00FB1205">
            <w:pPr>
              <w:spacing w:after="0" w:line="240" w:lineRule="auto"/>
              <w:jc w:val="center"/>
              <w:rPr>
                <w:rFonts w:cstheme="majorHAnsi"/>
                <w:b/>
                <w:i/>
                <w:sz w:val="18"/>
                <w:szCs w:val="18"/>
                <w:lang w:val="ro-MD"/>
              </w:rPr>
            </w:pPr>
            <w:r w:rsidRPr="00D97C4A">
              <w:rPr>
                <w:rFonts w:cstheme="majorHAnsi"/>
                <w:b/>
                <w:i/>
                <w:sz w:val="18"/>
                <w:szCs w:val="18"/>
                <w:lang w:val="ro-MD"/>
              </w:rPr>
              <w:t>(L</w:t>
            </w:r>
            <w:r w:rsidR="00DF157E">
              <w:rPr>
                <w:rFonts w:cstheme="majorHAnsi"/>
                <w:b/>
                <w:i/>
                <w:sz w:val="18"/>
                <w:szCs w:val="18"/>
                <w:lang w:val="ro-MD"/>
              </w:rPr>
              <w:t>e</w:t>
            </w:r>
            <w:r w:rsidRPr="00D97C4A">
              <w:rPr>
                <w:rFonts w:cstheme="majorHAnsi"/>
                <w:b/>
                <w:i/>
                <w:sz w:val="18"/>
                <w:szCs w:val="18"/>
                <w:lang w:val="ro-MD"/>
              </w:rPr>
              <w:t>g</w:t>
            </w:r>
            <w:r w:rsidR="00DF157E">
              <w:rPr>
                <w:rFonts w:cstheme="majorHAnsi"/>
                <w:b/>
                <w:i/>
                <w:sz w:val="18"/>
                <w:szCs w:val="18"/>
                <w:lang w:val="ro-MD"/>
              </w:rPr>
              <w:t>ea</w:t>
            </w:r>
            <w:r w:rsidRPr="00D97C4A">
              <w:rPr>
                <w:rFonts w:cstheme="majorHAnsi"/>
                <w:b/>
                <w:i/>
                <w:sz w:val="18"/>
                <w:szCs w:val="18"/>
                <w:lang w:val="ro-MD"/>
              </w:rPr>
              <w:t xml:space="preserve"> nr.61 din 23.04.2020)</w:t>
            </w:r>
          </w:p>
        </w:tc>
        <w:tc>
          <w:tcPr>
            <w:tcW w:w="1276" w:type="dxa"/>
          </w:tcPr>
          <w:p w14:paraId="4FC656EB" w14:textId="77777777" w:rsidR="00D97C4A" w:rsidRPr="00D97C4A" w:rsidRDefault="00D97C4A" w:rsidP="00FB1205">
            <w:pPr>
              <w:spacing w:after="0" w:line="240" w:lineRule="auto"/>
              <w:jc w:val="center"/>
              <w:rPr>
                <w:rFonts w:cstheme="majorHAnsi"/>
                <w:b/>
                <w:sz w:val="20"/>
                <w:szCs w:val="20"/>
                <w:lang w:val="ro-MD"/>
              </w:rPr>
            </w:pPr>
            <w:r w:rsidRPr="00D97C4A">
              <w:rPr>
                <w:rFonts w:cstheme="majorHAnsi"/>
                <w:b/>
                <w:sz w:val="20"/>
                <w:szCs w:val="20"/>
                <w:lang w:val="ro-MD"/>
              </w:rPr>
              <w:t>II rectificare</w:t>
            </w:r>
          </w:p>
          <w:p w14:paraId="0701544F" w14:textId="25D5B54F" w:rsidR="00D97C4A" w:rsidRPr="00D97C4A" w:rsidRDefault="00D97C4A" w:rsidP="00FB1205">
            <w:pPr>
              <w:spacing w:after="0" w:line="240" w:lineRule="auto"/>
              <w:jc w:val="center"/>
              <w:rPr>
                <w:rFonts w:cstheme="majorHAnsi"/>
                <w:b/>
                <w:i/>
                <w:sz w:val="18"/>
                <w:szCs w:val="18"/>
                <w:lang w:val="ro-MD"/>
              </w:rPr>
            </w:pPr>
            <w:r w:rsidRPr="00D97C4A">
              <w:rPr>
                <w:rFonts w:cstheme="majorHAnsi"/>
                <w:b/>
                <w:i/>
                <w:sz w:val="18"/>
                <w:szCs w:val="18"/>
                <w:lang w:val="ro-MD"/>
              </w:rPr>
              <w:t>(L</w:t>
            </w:r>
            <w:r w:rsidR="00DF157E">
              <w:rPr>
                <w:rFonts w:cstheme="majorHAnsi"/>
                <w:b/>
                <w:i/>
                <w:sz w:val="18"/>
                <w:szCs w:val="18"/>
                <w:lang w:val="ro-MD"/>
              </w:rPr>
              <w:t>e</w:t>
            </w:r>
            <w:r w:rsidRPr="00D97C4A">
              <w:rPr>
                <w:rFonts w:cstheme="majorHAnsi"/>
                <w:b/>
                <w:i/>
                <w:sz w:val="18"/>
                <w:szCs w:val="18"/>
                <w:lang w:val="ro-MD"/>
              </w:rPr>
              <w:t>g</w:t>
            </w:r>
            <w:r w:rsidR="00DF157E">
              <w:rPr>
                <w:rFonts w:cstheme="majorHAnsi"/>
                <w:b/>
                <w:i/>
                <w:sz w:val="18"/>
                <w:szCs w:val="18"/>
                <w:lang w:val="ro-MD"/>
              </w:rPr>
              <w:t>ea</w:t>
            </w:r>
            <w:r w:rsidRPr="00D97C4A">
              <w:rPr>
                <w:rFonts w:cstheme="majorHAnsi"/>
                <w:b/>
                <w:i/>
                <w:sz w:val="18"/>
                <w:szCs w:val="18"/>
                <w:lang w:val="ro-MD"/>
              </w:rPr>
              <w:t xml:space="preserve"> nr.131 din 12.07.2020)</w:t>
            </w:r>
          </w:p>
        </w:tc>
        <w:tc>
          <w:tcPr>
            <w:tcW w:w="1276" w:type="dxa"/>
          </w:tcPr>
          <w:p w14:paraId="590C137E" w14:textId="77777777" w:rsidR="00D97C4A" w:rsidRPr="00D97C4A" w:rsidRDefault="00D97C4A" w:rsidP="00FB1205">
            <w:pPr>
              <w:spacing w:after="0" w:line="240" w:lineRule="auto"/>
              <w:jc w:val="center"/>
              <w:rPr>
                <w:rFonts w:cstheme="majorHAnsi"/>
                <w:b/>
                <w:sz w:val="20"/>
                <w:szCs w:val="20"/>
                <w:lang w:val="ro-MD"/>
              </w:rPr>
            </w:pPr>
            <w:r w:rsidRPr="00D97C4A">
              <w:rPr>
                <w:rFonts w:cstheme="majorHAnsi"/>
                <w:b/>
                <w:sz w:val="20"/>
                <w:szCs w:val="20"/>
                <w:lang w:val="ro-MD"/>
              </w:rPr>
              <w:t>III rectificare</w:t>
            </w:r>
          </w:p>
          <w:p w14:paraId="3F54BCD6" w14:textId="5BEF7778" w:rsidR="00D97C4A" w:rsidRPr="00D97C4A" w:rsidRDefault="00D97C4A" w:rsidP="00FB1205">
            <w:pPr>
              <w:spacing w:after="0" w:line="240" w:lineRule="auto"/>
              <w:jc w:val="center"/>
              <w:rPr>
                <w:rFonts w:cstheme="majorHAnsi"/>
                <w:b/>
                <w:i/>
                <w:sz w:val="18"/>
                <w:szCs w:val="18"/>
                <w:lang w:val="ro-MD"/>
              </w:rPr>
            </w:pPr>
            <w:r w:rsidRPr="00D97C4A">
              <w:rPr>
                <w:rFonts w:cstheme="majorHAnsi"/>
                <w:b/>
                <w:i/>
                <w:sz w:val="18"/>
                <w:szCs w:val="18"/>
                <w:lang w:val="ro-MD"/>
              </w:rPr>
              <w:t>(L</w:t>
            </w:r>
            <w:r w:rsidR="00DF157E">
              <w:rPr>
                <w:rFonts w:cstheme="majorHAnsi"/>
                <w:b/>
                <w:i/>
                <w:sz w:val="18"/>
                <w:szCs w:val="18"/>
                <w:lang w:val="ro-MD"/>
              </w:rPr>
              <w:t>e</w:t>
            </w:r>
            <w:r w:rsidRPr="00D97C4A">
              <w:rPr>
                <w:rFonts w:cstheme="majorHAnsi"/>
                <w:b/>
                <w:i/>
                <w:sz w:val="18"/>
                <w:szCs w:val="18"/>
                <w:lang w:val="ro-MD"/>
              </w:rPr>
              <w:t>g</w:t>
            </w:r>
            <w:r w:rsidR="00DF157E">
              <w:rPr>
                <w:rFonts w:cstheme="majorHAnsi"/>
                <w:b/>
                <w:i/>
                <w:sz w:val="18"/>
                <w:szCs w:val="18"/>
                <w:lang w:val="ro-MD"/>
              </w:rPr>
              <w:t>ea</w:t>
            </w:r>
            <w:r w:rsidRPr="00D97C4A">
              <w:rPr>
                <w:rFonts w:cstheme="majorHAnsi"/>
                <w:b/>
                <w:i/>
                <w:sz w:val="18"/>
                <w:szCs w:val="18"/>
                <w:lang w:val="ro-MD"/>
              </w:rPr>
              <w:t xml:space="preserve"> nr.173 din 11.09.2020)</w:t>
            </w:r>
          </w:p>
        </w:tc>
        <w:tc>
          <w:tcPr>
            <w:tcW w:w="1128" w:type="dxa"/>
          </w:tcPr>
          <w:p w14:paraId="30DD4572" w14:textId="77777777" w:rsidR="00D97C4A" w:rsidRPr="00D97C4A" w:rsidRDefault="00D97C4A" w:rsidP="00FB1205">
            <w:pPr>
              <w:spacing w:after="0" w:line="240" w:lineRule="auto"/>
              <w:jc w:val="center"/>
              <w:rPr>
                <w:rFonts w:cstheme="majorHAnsi"/>
                <w:b/>
                <w:sz w:val="20"/>
                <w:szCs w:val="20"/>
                <w:lang w:val="ro-MD"/>
              </w:rPr>
            </w:pPr>
            <w:r w:rsidRPr="00D97C4A">
              <w:rPr>
                <w:rFonts w:cstheme="majorHAnsi"/>
                <w:b/>
                <w:sz w:val="20"/>
                <w:szCs w:val="20"/>
                <w:lang w:val="ro-MD"/>
              </w:rPr>
              <w:t>Total rectificat</w:t>
            </w:r>
          </w:p>
        </w:tc>
      </w:tr>
      <w:tr w:rsidR="00CC6481" w:rsidRPr="00D97C4A" w14:paraId="69AD8829" w14:textId="77777777" w:rsidTr="00FB1205">
        <w:trPr>
          <w:jc w:val="center"/>
        </w:trPr>
        <w:tc>
          <w:tcPr>
            <w:tcW w:w="505" w:type="dxa"/>
          </w:tcPr>
          <w:p w14:paraId="179BB7A3" w14:textId="77777777" w:rsidR="00D97C4A" w:rsidRPr="00D97C4A" w:rsidRDefault="00D97C4A" w:rsidP="00C2291F">
            <w:pPr>
              <w:spacing w:after="0" w:line="240" w:lineRule="auto"/>
              <w:jc w:val="center"/>
              <w:rPr>
                <w:rFonts w:cstheme="majorHAnsi"/>
                <w:sz w:val="20"/>
                <w:szCs w:val="20"/>
                <w:lang w:val="ro-MD"/>
              </w:rPr>
            </w:pPr>
            <w:r w:rsidRPr="00D97C4A">
              <w:rPr>
                <w:rFonts w:cstheme="majorHAnsi"/>
                <w:sz w:val="20"/>
                <w:szCs w:val="20"/>
                <w:lang w:val="ro-MD"/>
              </w:rPr>
              <w:t>1</w:t>
            </w:r>
          </w:p>
        </w:tc>
        <w:tc>
          <w:tcPr>
            <w:tcW w:w="2467" w:type="dxa"/>
          </w:tcPr>
          <w:p w14:paraId="4BE0AF06" w14:textId="77777777" w:rsidR="00D97C4A" w:rsidRPr="00D97C4A" w:rsidRDefault="00D97C4A" w:rsidP="00FB1205">
            <w:pPr>
              <w:spacing w:after="0" w:line="240" w:lineRule="auto"/>
              <w:jc w:val="both"/>
              <w:rPr>
                <w:rFonts w:cstheme="majorHAnsi"/>
                <w:sz w:val="20"/>
                <w:szCs w:val="20"/>
                <w:lang w:val="ro-MD"/>
              </w:rPr>
            </w:pPr>
            <w:r w:rsidRPr="00D97C4A">
              <w:rPr>
                <w:rFonts w:cstheme="majorHAnsi"/>
                <w:sz w:val="20"/>
                <w:szCs w:val="20"/>
                <w:lang w:val="ro-MD"/>
              </w:rPr>
              <w:t>Datoria de stat internă</w:t>
            </w:r>
          </w:p>
        </w:tc>
        <w:tc>
          <w:tcPr>
            <w:tcW w:w="1418" w:type="dxa"/>
          </w:tcPr>
          <w:p w14:paraId="05A7459C"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25 707,3</w:t>
            </w:r>
          </w:p>
        </w:tc>
        <w:tc>
          <w:tcPr>
            <w:tcW w:w="1275" w:type="dxa"/>
          </w:tcPr>
          <w:p w14:paraId="7D262FA2"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26 822,4</w:t>
            </w:r>
          </w:p>
        </w:tc>
        <w:tc>
          <w:tcPr>
            <w:tcW w:w="1276" w:type="dxa"/>
          </w:tcPr>
          <w:p w14:paraId="3CFE625F"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29 500,9</w:t>
            </w:r>
          </w:p>
        </w:tc>
        <w:tc>
          <w:tcPr>
            <w:tcW w:w="1276" w:type="dxa"/>
          </w:tcPr>
          <w:p w14:paraId="0610AE8E"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29 500,9</w:t>
            </w:r>
          </w:p>
        </w:tc>
        <w:tc>
          <w:tcPr>
            <w:tcW w:w="1128" w:type="dxa"/>
          </w:tcPr>
          <w:p w14:paraId="49054179"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+ 3 793,6</w:t>
            </w:r>
          </w:p>
        </w:tc>
      </w:tr>
      <w:tr w:rsidR="00CC6481" w:rsidRPr="00D97C4A" w14:paraId="1BDC1165" w14:textId="77777777" w:rsidTr="00FB1205">
        <w:trPr>
          <w:jc w:val="center"/>
        </w:trPr>
        <w:tc>
          <w:tcPr>
            <w:tcW w:w="505" w:type="dxa"/>
          </w:tcPr>
          <w:p w14:paraId="414D787E" w14:textId="77777777" w:rsidR="00D97C4A" w:rsidRPr="00D97C4A" w:rsidRDefault="00D97C4A" w:rsidP="00C2291F">
            <w:pPr>
              <w:spacing w:after="0" w:line="240" w:lineRule="auto"/>
              <w:jc w:val="center"/>
              <w:rPr>
                <w:rFonts w:cstheme="majorHAnsi"/>
                <w:sz w:val="20"/>
                <w:szCs w:val="20"/>
                <w:lang w:val="ro-MD"/>
              </w:rPr>
            </w:pPr>
            <w:r w:rsidRPr="00D97C4A">
              <w:rPr>
                <w:rFonts w:cstheme="majorHAnsi"/>
                <w:sz w:val="20"/>
                <w:szCs w:val="20"/>
                <w:lang w:val="ro-MD"/>
              </w:rPr>
              <w:t>2</w:t>
            </w:r>
          </w:p>
        </w:tc>
        <w:tc>
          <w:tcPr>
            <w:tcW w:w="2467" w:type="dxa"/>
          </w:tcPr>
          <w:p w14:paraId="54144D51" w14:textId="77777777" w:rsidR="00D97C4A" w:rsidRPr="00D97C4A" w:rsidRDefault="00D97C4A" w:rsidP="00FB1205">
            <w:pPr>
              <w:spacing w:after="0" w:line="240" w:lineRule="auto"/>
              <w:jc w:val="both"/>
              <w:rPr>
                <w:rFonts w:cstheme="majorHAnsi"/>
                <w:sz w:val="20"/>
                <w:szCs w:val="20"/>
                <w:lang w:val="ro-MD"/>
              </w:rPr>
            </w:pPr>
            <w:r w:rsidRPr="00D97C4A">
              <w:rPr>
                <w:rFonts w:cstheme="majorHAnsi"/>
                <w:sz w:val="20"/>
                <w:szCs w:val="20"/>
                <w:lang w:val="ro-MD"/>
              </w:rPr>
              <w:t>Datoria de stat externă</w:t>
            </w:r>
          </w:p>
        </w:tc>
        <w:tc>
          <w:tcPr>
            <w:tcW w:w="1418" w:type="dxa"/>
          </w:tcPr>
          <w:p w14:paraId="29E70A92"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41 820,9</w:t>
            </w:r>
          </w:p>
          <w:p w14:paraId="1F8D5D54" w14:textId="2CFEC293" w:rsidR="00D97C4A" w:rsidRPr="00D97C4A" w:rsidRDefault="002C47E2" w:rsidP="00FF4107">
            <w:pPr>
              <w:spacing w:after="0" w:line="240" w:lineRule="auto"/>
              <w:jc w:val="center"/>
              <w:rPr>
                <w:rFonts w:cstheme="majorHAnsi"/>
                <w:sz w:val="18"/>
                <w:szCs w:val="18"/>
                <w:lang w:val="ro-MD"/>
              </w:rPr>
            </w:pPr>
            <w:r>
              <w:rPr>
                <w:rFonts w:cstheme="majorHAnsi"/>
                <w:sz w:val="18"/>
                <w:szCs w:val="18"/>
                <w:lang w:val="ro-MD"/>
              </w:rPr>
              <w:t>(2 208,1 mil</w:t>
            </w:r>
            <w:r w:rsidR="00FF4107">
              <w:rPr>
                <w:rFonts w:cstheme="majorHAnsi"/>
                <w:sz w:val="18"/>
                <w:szCs w:val="18"/>
                <w:lang w:val="ro-MD"/>
              </w:rPr>
              <w:t>.</w:t>
            </w:r>
            <w:r w:rsidR="00D97C4A" w:rsidRPr="00D97C4A">
              <w:rPr>
                <w:rFonts w:cstheme="majorHAnsi"/>
                <w:sz w:val="18"/>
                <w:szCs w:val="18"/>
                <w:lang w:val="ro-MD"/>
              </w:rPr>
              <w:t>dol.SUA)</w:t>
            </w:r>
          </w:p>
        </w:tc>
        <w:tc>
          <w:tcPr>
            <w:tcW w:w="1275" w:type="dxa"/>
          </w:tcPr>
          <w:p w14:paraId="0D4234A3"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46 818,7</w:t>
            </w:r>
          </w:p>
          <w:p w14:paraId="3FEA11E1" w14:textId="39418B1C" w:rsidR="00D97C4A" w:rsidRPr="00D97C4A" w:rsidRDefault="002C47E2" w:rsidP="00FF4107">
            <w:pPr>
              <w:spacing w:after="0" w:line="240" w:lineRule="auto"/>
              <w:jc w:val="center"/>
              <w:rPr>
                <w:rFonts w:cstheme="majorHAnsi"/>
                <w:sz w:val="18"/>
                <w:szCs w:val="18"/>
                <w:lang w:val="ro-MD"/>
              </w:rPr>
            </w:pPr>
            <w:r>
              <w:rPr>
                <w:rFonts w:cstheme="majorHAnsi"/>
                <w:sz w:val="18"/>
                <w:szCs w:val="18"/>
                <w:lang w:val="ro-MD"/>
              </w:rPr>
              <w:t>(2 469,3 mil</w:t>
            </w:r>
            <w:r w:rsidR="00FF4107">
              <w:rPr>
                <w:rFonts w:cstheme="majorHAnsi"/>
                <w:sz w:val="18"/>
                <w:szCs w:val="18"/>
                <w:lang w:val="ro-MD"/>
              </w:rPr>
              <w:t>.</w:t>
            </w:r>
            <w:r w:rsidR="00D97C4A" w:rsidRPr="00D97C4A">
              <w:rPr>
                <w:rFonts w:cstheme="majorHAnsi"/>
                <w:sz w:val="18"/>
                <w:szCs w:val="18"/>
                <w:lang w:val="ro-MD"/>
              </w:rPr>
              <w:t>dol.SUA)</w:t>
            </w:r>
          </w:p>
        </w:tc>
        <w:tc>
          <w:tcPr>
            <w:tcW w:w="1276" w:type="dxa"/>
          </w:tcPr>
          <w:p w14:paraId="11BCB537"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48 903,1</w:t>
            </w:r>
          </w:p>
          <w:p w14:paraId="0F80B59B" w14:textId="517BF78B" w:rsidR="00D97C4A" w:rsidRPr="00D97C4A" w:rsidRDefault="002C47E2" w:rsidP="00FF4107">
            <w:pPr>
              <w:spacing w:after="0" w:line="240" w:lineRule="auto"/>
              <w:jc w:val="center"/>
              <w:rPr>
                <w:rFonts w:cstheme="majorHAnsi"/>
                <w:sz w:val="18"/>
                <w:szCs w:val="18"/>
                <w:lang w:val="ro-MD"/>
              </w:rPr>
            </w:pPr>
            <w:r>
              <w:rPr>
                <w:rFonts w:cstheme="majorHAnsi"/>
                <w:sz w:val="18"/>
                <w:szCs w:val="18"/>
                <w:lang w:val="ro-MD"/>
              </w:rPr>
              <w:t>(2 579,3 mil</w:t>
            </w:r>
            <w:r w:rsidR="00FF4107">
              <w:rPr>
                <w:rFonts w:cstheme="majorHAnsi"/>
                <w:sz w:val="18"/>
                <w:szCs w:val="18"/>
                <w:lang w:val="ro-MD"/>
              </w:rPr>
              <w:t>.</w:t>
            </w:r>
            <w:r w:rsidR="00D97C4A" w:rsidRPr="00D97C4A">
              <w:rPr>
                <w:rFonts w:cstheme="majorHAnsi"/>
                <w:sz w:val="18"/>
                <w:szCs w:val="18"/>
                <w:lang w:val="ro-MD"/>
              </w:rPr>
              <w:t>dol.SUA)</w:t>
            </w:r>
          </w:p>
        </w:tc>
        <w:tc>
          <w:tcPr>
            <w:tcW w:w="1276" w:type="dxa"/>
          </w:tcPr>
          <w:p w14:paraId="57C3BEBE"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45 660,2</w:t>
            </w:r>
          </w:p>
          <w:p w14:paraId="0B796B26" w14:textId="316B34A7" w:rsidR="00D97C4A" w:rsidRPr="00D97C4A" w:rsidRDefault="002C47E2" w:rsidP="00FF4107">
            <w:pPr>
              <w:spacing w:after="0" w:line="240" w:lineRule="auto"/>
              <w:jc w:val="center"/>
              <w:rPr>
                <w:rFonts w:cstheme="majorHAnsi"/>
                <w:sz w:val="18"/>
                <w:szCs w:val="18"/>
                <w:lang w:val="ro-MD"/>
              </w:rPr>
            </w:pPr>
            <w:r>
              <w:rPr>
                <w:rFonts w:cstheme="majorHAnsi"/>
                <w:sz w:val="18"/>
                <w:szCs w:val="18"/>
                <w:lang w:val="ro-MD"/>
              </w:rPr>
              <w:t>(2 519,9 mil.</w:t>
            </w:r>
            <w:r w:rsidR="00D97C4A" w:rsidRPr="00D97C4A">
              <w:rPr>
                <w:rFonts w:cstheme="majorHAnsi"/>
                <w:sz w:val="18"/>
                <w:szCs w:val="18"/>
                <w:lang w:val="ro-MD"/>
              </w:rPr>
              <w:t>dol.SUA)</w:t>
            </w:r>
          </w:p>
        </w:tc>
        <w:tc>
          <w:tcPr>
            <w:tcW w:w="1128" w:type="dxa"/>
          </w:tcPr>
          <w:p w14:paraId="4C104867"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+ 3 839,3</w:t>
            </w:r>
          </w:p>
          <w:p w14:paraId="27B668B8" w14:textId="6619842C" w:rsidR="00D97C4A" w:rsidRPr="00D97C4A" w:rsidRDefault="00D97C4A" w:rsidP="00FF4107">
            <w:pPr>
              <w:spacing w:after="0" w:line="240" w:lineRule="auto"/>
              <w:jc w:val="center"/>
              <w:rPr>
                <w:rFonts w:cstheme="majorHAnsi"/>
                <w:sz w:val="18"/>
                <w:szCs w:val="18"/>
                <w:lang w:val="ro-MD"/>
              </w:rPr>
            </w:pPr>
            <w:r w:rsidRPr="00D97C4A">
              <w:rPr>
                <w:rFonts w:cstheme="majorHAnsi"/>
                <w:sz w:val="18"/>
                <w:szCs w:val="18"/>
                <w:lang w:val="ro-MD"/>
              </w:rPr>
              <w:t>(+ 311,8 mil</w:t>
            </w:r>
            <w:r w:rsidR="00FF4107">
              <w:rPr>
                <w:rFonts w:cstheme="majorHAnsi"/>
                <w:sz w:val="18"/>
                <w:szCs w:val="18"/>
                <w:lang w:val="ro-MD"/>
              </w:rPr>
              <w:t>.</w:t>
            </w:r>
            <w:r w:rsidRPr="00D97C4A">
              <w:rPr>
                <w:rFonts w:cstheme="majorHAnsi"/>
                <w:sz w:val="18"/>
                <w:szCs w:val="18"/>
                <w:lang w:val="ro-MD"/>
              </w:rPr>
              <w:t>dol.SUA)</w:t>
            </w:r>
          </w:p>
        </w:tc>
      </w:tr>
      <w:tr w:rsidR="00CC6481" w:rsidRPr="00D97C4A" w14:paraId="6EE7C3B4" w14:textId="77777777" w:rsidTr="00FB1205">
        <w:trPr>
          <w:jc w:val="center"/>
        </w:trPr>
        <w:tc>
          <w:tcPr>
            <w:tcW w:w="505" w:type="dxa"/>
          </w:tcPr>
          <w:p w14:paraId="64940C28" w14:textId="77777777" w:rsidR="00D97C4A" w:rsidRPr="00D97C4A" w:rsidRDefault="00D97C4A" w:rsidP="00C2291F">
            <w:pPr>
              <w:spacing w:after="0" w:line="240" w:lineRule="auto"/>
              <w:jc w:val="center"/>
              <w:rPr>
                <w:rFonts w:cstheme="majorHAnsi"/>
                <w:sz w:val="20"/>
                <w:szCs w:val="20"/>
                <w:lang w:val="ro-MD"/>
              </w:rPr>
            </w:pPr>
            <w:r w:rsidRPr="00D97C4A">
              <w:rPr>
                <w:rFonts w:cstheme="majorHAnsi"/>
                <w:sz w:val="20"/>
                <w:szCs w:val="20"/>
                <w:lang w:val="ro-MD"/>
              </w:rPr>
              <w:t>3</w:t>
            </w:r>
          </w:p>
        </w:tc>
        <w:tc>
          <w:tcPr>
            <w:tcW w:w="2467" w:type="dxa"/>
          </w:tcPr>
          <w:p w14:paraId="1EA34AC7" w14:textId="77777777" w:rsidR="00D97C4A" w:rsidRPr="00D97C4A" w:rsidRDefault="00D97C4A" w:rsidP="00FB1205">
            <w:pPr>
              <w:spacing w:after="0" w:line="240" w:lineRule="auto"/>
              <w:jc w:val="both"/>
              <w:rPr>
                <w:rFonts w:cstheme="majorHAnsi"/>
                <w:sz w:val="20"/>
                <w:szCs w:val="20"/>
                <w:lang w:val="ro-MD"/>
              </w:rPr>
            </w:pPr>
            <w:r w:rsidRPr="00D97C4A">
              <w:rPr>
                <w:rFonts w:cstheme="majorHAnsi"/>
                <w:sz w:val="20"/>
                <w:szCs w:val="20"/>
                <w:lang w:val="ro-MD"/>
              </w:rPr>
              <w:t>Soldul garanției de stat externe</w:t>
            </w:r>
          </w:p>
        </w:tc>
        <w:tc>
          <w:tcPr>
            <w:tcW w:w="1418" w:type="dxa"/>
          </w:tcPr>
          <w:p w14:paraId="79786B83"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w:t>
            </w:r>
          </w:p>
        </w:tc>
        <w:tc>
          <w:tcPr>
            <w:tcW w:w="1275" w:type="dxa"/>
          </w:tcPr>
          <w:p w14:paraId="1BC17BC6"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w:t>
            </w:r>
          </w:p>
        </w:tc>
        <w:tc>
          <w:tcPr>
            <w:tcW w:w="1276" w:type="dxa"/>
          </w:tcPr>
          <w:p w14:paraId="68B62615"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w:t>
            </w:r>
          </w:p>
        </w:tc>
        <w:tc>
          <w:tcPr>
            <w:tcW w:w="1276" w:type="dxa"/>
          </w:tcPr>
          <w:p w14:paraId="2EDFD496"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w:t>
            </w:r>
          </w:p>
        </w:tc>
        <w:tc>
          <w:tcPr>
            <w:tcW w:w="1128" w:type="dxa"/>
          </w:tcPr>
          <w:p w14:paraId="5BEB59FA"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w:t>
            </w:r>
          </w:p>
        </w:tc>
      </w:tr>
      <w:tr w:rsidR="00CC6481" w:rsidRPr="00D97C4A" w14:paraId="54DA40CB" w14:textId="77777777" w:rsidTr="00FB1205">
        <w:trPr>
          <w:jc w:val="center"/>
        </w:trPr>
        <w:tc>
          <w:tcPr>
            <w:tcW w:w="505" w:type="dxa"/>
          </w:tcPr>
          <w:p w14:paraId="4C4BC235" w14:textId="77777777" w:rsidR="00D97C4A" w:rsidRPr="00D97C4A" w:rsidRDefault="00D97C4A" w:rsidP="00C2291F">
            <w:pPr>
              <w:spacing w:after="0" w:line="240" w:lineRule="auto"/>
              <w:jc w:val="center"/>
              <w:rPr>
                <w:rFonts w:cstheme="majorHAnsi"/>
                <w:sz w:val="20"/>
                <w:szCs w:val="20"/>
                <w:lang w:val="ro-MD"/>
              </w:rPr>
            </w:pPr>
            <w:r w:rsidRPr="00D97C4A">
              <w:rPr>
                <w:rFonts w:cstheme="majorHAnsi"/>
                <w:sz w:val="20"/>
                <w:szCs w:val="20"/>
                <w:lang w:val="ro-MD"/>
              </w:rPr>
              <w:t>4</w:t>
            </w:r>
          </w:p>
        </w:tc>
        <w:tc>
          <w:tcPr>
            <w:tcW w:w="2467" w:type="dxa"/>
          </w:tcPr>
          <w:p w14:paraId="116641CD" w14:textId="77777777" w:rsidR="00D97C4A" w:rsidRPr="00D97C4A" w:rsidRDefault="00D97C4A" w:rsidP="00FB1205">
            <w:pPr>
              <w:spacing w:after="0" w:line="240" w:lineRule="auto"/>
              <w:jc w:val="both"/>
              <w:rPr>
                <w:rFonts w:cstheme="majorHAnsi"/>
                <w:sz w:val="20"/>
                <w:szCs w:val="20"/>
                <w:lang w:val="ro-MD"/>
              </w:rPr>
            </w:pPr>
            <w:r w:rsidRPr="00D97C4A">
              <w:rPr>
                <w:rFonts w:cstheme="majorHAnsi"/>
                <w:sz w:val="20"/>
                <w:szCs w:val="20"/>
                <w:lang w:val="ro-MD"/>
              </w:rPr>
              <w:t>Soldul garanției de stat interne</w:t>
            </w:r>
          </w:p>
        </w:tc>
        <w:tc>
          <w:tcPr>
            <w:tcW w:w="1418" w:type="dxa"/>
          </w:tcPr>
          <w:p w14:paraId="1AF70115"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1 600,0</w:t>
            </w:r>
          </w:p>
        </w:tc>
        <w:tc>
          <w:tcPr>
            <w:tcW w:w="1275" w:type="dxa"/>
          </w:tcPr>
          <w:p w14:paraId="10F15188" w14:textId="1100641B"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1 600,0</w:t>
            </w:r>
          </w:p>
        </w:tc>
        <w:tc>
          <w:tcPr>
            <w:tcW w:w="1276" w:type="dxa"/>
          </w:tcPr>
          <w:p w14:paraId="14D18C26"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2 500,0</w:t>
            </w:r>
          </w:p>
        </w:tc>
        <w:tc>
          <w:tcPr>
            <w:tcW w:w="1276" w:type="dxa"/>
          </w:tcPr>
          <w:p w14:paraId="45FA5B0E"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2 500,0</w:t>
            </w:r>
          </w:p>
        </w:tc>
        <w:tc>
          <w:tcPr>
            <w:tcW w:w="1128" w:type="dxa"/>
          </w:tcPr>
          <w:p w14:paraId="30840C57" w14:textId="77777777" w:rsidR="00D97C4A" w:rsidRPr="00D97C4A" w:rsidRDefault="00D97C4A" w:rsidP="00FB1205">
            <w:pPr>
              <w:spacing w:after="0" w:line="240" w:lineRule="auto"/>
              <w:jc w:val="center"/>
              <w:rPr>
                <w:rFonts w:cstheme="majorHAnsi"/>
                <w:sz w:val="20"/>
                <w:szCs w:val="20"/>
                <w:lang w:val="ro-MD"/>
              </w:rPr>
            </w:pPr>
            <w:r w:rsidRPr="00D97C4A">
              <w:rPr>
                <w:rFonts w:cstheme="majorHAnsi"/>
                <w:sz w:val="20"/>
                <w:szCs w:val="20"/>
                <w:lang w:val="ro-MD"/>
              </w:rPr>
              <w:t>+ 900,0</w:t>
            </w:r>
          </w:p>
        </w:tc>
      </w:tr>
    </w:tbl>
    <w:p w14:paraId="57FD93EC" w14:textId="14BABAEF" w:rsidR="0065475B" w:rsidRPr="00726F68" w:rsidRDefault="00CC6481" w:rsidP="00FB1205">
      <w:pPr>
        <w:jc w:val="both"/>
        <w:rPr>
          <w:i/>
          <w:sz w:val="20"/>
          <w:lang w:val="ro-MD" w:eastAsia="ru-RU"/>
        </w:rPr>
      </w:pPr>
      <w:r w:rsidRPr="00726F68">
        <w:rPr>
          <w:b/>
          <w:i/>
          <w:sz w:val="20"/>
          <w:lang w:val="ro-MD" w:eastAsia="ru-RU"/>
        </w:rPr>
        <w:t xml:space="preserve">Sursa: </w:t>
      </w:r>
      <w:r w:rsidRPr="00726F68">
        <w:rPr>
          <w:i/>
          <w:sz w:val="20"/>
          <w:lang w:val="ro-MD" w:eastAsia="ru-RU"/>
        </w:rPr>
        <w:t>Legea bugetului de stat pentru anul 2020 nr.172 din 19.12.2019; Legea nr.61 din 23.04</w:t>
      </w:r>
      <w:r w:rsidR="008E1D50">
        <w:rPr>
          <w:i/>
          <w:sz w:val="20"/>
          <w:lang w:val="ro-MD" w:eastAsia="ru-RU"/>
        </w:rPr>
        <w:t xml:space="preserve">.2020 </w:t>
      </w:r>
      <w:r w:rsidRPr="00726F68">
        <w:rPr>
          <w:i/>
          <w:sz w:val="20"/>
          <w:lang w:val="ro-MD" w:eastAsia="ru-RU"/>
        </w:rPr>
        <w:t>privind modificarea Legii bugetului de stat pentru anul 2020 nr.172/2019</w:t>
      </w:r>
      <w:r w:rsidR="00F9598F">
        <w:rPr>
          <w:i/>
          <w:sz w:val="20"/>
          <w:lang w:val="ro-MD" w:eastAsia="ru-RU"/>
        </w:rPr>
        <w:t xml:space="preserve">; Legea nr.131 din 12.07.2020 </w:t>
      </w:r>
      <w:r w:rsidRPr="00726F68">
        <w:rPr>
          <w:i/>
          <w:sz w:val="20"/>
          <w:lang w:val="ro-MD" w:eastAsia="ru-RU"/>
        </w:rPr>
        <w:t>privind modificarea Legii bugetului de st</w:t>
      </w:r>
      <w:r w:rsidR="00F9598F">
        <w:rPr>
          <w:i/>
          <w:sz w:val="20"/>
          <w:lang w:val="ro-MD" w:eastAsia="ru-RU"/>
        </w:rPr>
        <w:t xml:space="preserve">at pentru anul 2020 nr.172/2019; Legea nr.173 din 11.09.2020 </w:t>
      </w:r>
      <w:r w:rsidRPr="00726F68">
        <w:rPr>
          <w:i/>
          <w:sz w:val="20"/>
          <w:lang w:val="ro-MD" w:eastAsia="ru-RU"/>
        </w:rPr>
        <w:t>privind modificarea Legii bugetului de stat pentru anul 2020 nr.172/2019.</w:t>
      </w:r>
    </w:p>
    <w:p w14:paraId="30D6B03B" w14:textId="19ABA7D1" w:rsidR="00980071" w:rsidRPr="00980071" w:rsidRDefault="00987439" w:rsidP="00FB1205">
      <w:pPr>
        <w:pStyle w:val="af3"/>
        <w:spacing w:line="276" w:lineRule="auto"/>
        <w:jc w:val="both"/>
        <w:rPr>
          <w:rFonts w:asciiTheme="majorHAnsi" w:hAnsiTheme="majorHAnsi" w:cstheme="majorHAnsi"/>
          <w:sz w:val="24"/>
          <w:szCs w:val="24"/>
        </w:rPr>
      </w:pPr>
      <w:r>
        <w:rPr>
          <w:rFonts w:asciiTheme="majorHAnsi" w:hAnsiTheme="majorHAnsi" w:cstheme="majorHAnsi"/>
          <w:sz w:val="24"/>
          <w:szCs w:val="24"/>
          <w:lang w:val="ro-MD" w:eastAsia="ru-RU"/>
        </w:rPr>
        <w:t xml:space="preserve">Potrivit </w:t>
      </w:r>
      <w:r w:rsidR="00372E29">
        <w:rPr>
          <w:rFonts w:asciiTheme="majorHAnsi" w:hAnsiTheme="majorHAnsi" w:cstheme="majorHAnsi"/>
          <w:sz w:val="24"/>
          <w:szCs w:val="24"/>
          <w:lang w:val="ro-MD" w:eastAsia="ru-RU"/>
        </w:rPr>
        <w:t>Raportului privind situația în domeniul datoriei sectorului public, garanțiilor de stat și recreditării de stat pe anul 2020,</w:t>
      </w:r>
      <w:r>
        <w:rPr>
          <w:rFonts w:asciiTheme="majorHAnsi" w:hAnsiTheme="majorHAnsi" w:cstheme="majorHAnsi"/>
          <w:sz w:val="24"/>
          <w:szCs w:val="24"/>
          <w:lang w:val="ro-MD" w:eastAsia="ru-RU"/>
        </w:rPr>
        <w:t xml:space="preserve"> s</w:t>
      </w:r>
      <w:r w:rsidR="00E0260C">
        <w:rPr>
          <w:rFonts w:asciiTheme="majorHAnsi" w:hAnsiTheme="majorHAnsi" w:cstheme="majorHAnsi"/>
          <w:sz w:val="24"/>
          <w:szCs w:val="24"/>
          <w:lang w:val="ro-MD" w:eastAsia="ru-RU"/>
        </w:rPr>
        <w:t xml:space="preserve">oldul datoriei de stat </w:t>
      </w:r>
      <w:r w:rsidR="00372E29">
        <w:rPr>
          <w:rFonts w:asciiTheme="majorHAnsi" w:hAnsiTheme="majorHAnsi" w:cstheme="majorHAnsi"/>
          <w:sz w:val="24"/>
          <w:szCs w:val="24"/>
          <w:lang w:val="ro-MD" w:eastAsia="ru-RU"/>
        </w:rPr>
        <w:t>la finele</w:t>
      </w:r>
      <w:r w:rsidR="00E0260C">
        <w:rPr>
          <w:rFonts w:asciiTheme="majorHAnsi" w:hAnsiTheme="majorHAnsi" w:cstheme="majorHAnsi"/>
          <w:sz w:val="24"/>
          <w:szCs w:val="24"/>
          <w:lang w:val="ro-MD" w:eastAsia="ru-RU"/>
        </w:rPr>
        <w:t xml:space="preserve"> anul</w:t>
      </w:r>
      <w:r w:rsidR="00372E29">
        <w:rPr>
          <w:rFonts w:asciiTheme="majorHAnsi" w:hAnsiTheme="majorHAnsi" w:cstheme="majorHAnsi"/>
          <w:sz w:val="24"/>
          <w:szCs w:val="24"/>
          <w:lang w:val="ro-MD" w:eastAsia="ru-RU"/>
        </w:rPr>
        <w:t>ui</w:t>
      </w:r>
      <w:r w:rsidR="00E0260C">
        <w:rPr>
          <w:rFonts w:asciiTheme="majorHAnsi" w:hAnsiTheme="majorHAnsi" w:cstheme="majorHAnsi"/>
          <w:sz w:val="24"/>
          <w:szCs w:val="24"/>
          <w:lang w:val="ro-MD" w:eastAsia="ru-RU"/>
        </w:rPr>
        <w:t xml:space="preserve"> 20</w:t>
      </w:r>
      <w:r w:rsidR="00ED638F">
        <w:rPr>
          <w:rFonts w:asciiTheme="majorHAnsi" w:hAnsiTheme="majorHAnsi" w:cstheme="majorHAnsi"/>
          <w:sz w:val="24"/>
          <w:szCs w:val="24"/>
          <w:lang w:val="ro-MD" w:eastAsia="ru-RU"/>
        </w:rPr>
        <w:t>20</w:t>
      </w:r>
      <w:r w:rsidR="00E0260C">
        <w:rPr>
          <w:rFonts w:asciiTheme="majorHAnsi" w:hAnsiTheme="majorHAnsi" w:cstheme="majorHAnsi"/>
          <w:sz w:val="24"/>
          <w:szCs w:val="24"/>
          <w:lang w:val="ro-MD" w:eastAsia="ru-RU"/>
        </w:rPr>
        <w:t xml:space="preserve"> a constituit </w:t>
      </w:r>
      <w:r w:rsidR="00ED638F">
        <w:rPr>
          <w:rFonts w:asciiTheme="majorHAnsi" w:hAnsiTheme="majorHAnsi" w:cstheme="majorHAnsi"/>
          <w:sz w:val="24"/>
          <w:szCs w:val="24"/>
          <w:lang w:val="ro-MD" w:eastAsia="ru-RU"/>
        </w:rPr>
        <w:t>67</w:t>
      </w:r>
      <w:r w:rsidR="00E0260C">
        <w:rPr>
          <w:rFonts w:asciiTheme="majorHAnsi" w:hAnsiTheme="majorHAnsi" w:cstheme="majorHAnsi"/>
          <w:sz w:val="24"/>
          <w:szCs w:val="24"/>
          <w:lang w:val="ro-MD" w:eastAsia="ru-RU"/>
        </w:rPr>
        <w:t xml:space="preserve"> </w:t>
      </w:r>
      <w:r w:rsidR="00ED638F">
        <w:rPr>
          <w:rFonts w:asciiTheme="majorHAnsi" w:hAnsiTheme="majorHAnsi" w:cstheme="majorHAnsi"/>
          <w:sz w:val="24"/>
          <w:szCs w:val="24"/>
          <w:lang w:val="ro-MD" w:eastAsia="ru-RU"/>
        </w:rPr>
        <w:t>820,7</w:t>
      </w:r>
      <w:r w:rsidR="00E0260C">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mil.lei</w:t>
      </w:r>
      <w:r w:rsidR="00E0260C">
        <w:rPr>
          <w:rFonts w:asciiTheme="majorHAnsi" w:hAnsiTheme="majorHAnsi" w:cstheme="majorHAnsi"/>
          <w:sz w:val="24"/>
          <w:szCs w:val="24"/>
          <w:lang w:val="ro-MD" w:eastAsia="ru-RU"/>
        </w:rPr>
        <w:t xml:space="preserve">, </w:t>
      </w:r>
      <w:r w:rsidR="00ED638F">
        <w:rPr>
          <w:rFonts w:asciiTheme="majorHAnsi" w:hAnsiTheme="majorHAnsi" w:cstheme="majorHAnsi"/>
          <w:sz w:val="24"/>
          <w:szCs w:val="24"/>
          <w:lang w:val="ro-MD" w:eastAsia="ru-RU"/>
        </w:rPr>
        <w:t xml:space="preserve">fiind în creștere </w:t>
      </w:r>
      <w:r w:rsidR="00394FC6">
        <w:rPr>
          <w:rFonts w:asciiTheme="majorHAnsi" w:hAnsiTheme="majorHAnsi" w:cstheme="majorHAnsi"/>
          <w:sz w:val="24"/>
          <w:szCs w:val="24"/>
          <w:lang w:val="ro-MD" w:eastAsia="ru-RU"/>
        </w:rPr>
        <w:t xml:space="preserve">cu </w:t>
      </w:r>
      <w:r w:rsidR="0087747D">
        <w:rPr>
          <w:rFonts w:asciiTheme="majorHAnsi" w:hAnsiTheme="majorHAnsi" w:cstheme="majorHAnsi"/>
          <w:sz w:val="24"/>
          <w:szCs w:val="24"/>
          <w:lang w:val="ro-MD" w:eastAsia="ru-RU"/>
        </w:rPr>
        <w:t xml:space="preserve">15 326,4 mil.lei </w:t>
      </w:r>
      <w:r w:rsidR="00E35233">
        <w:rPr>
          <w:rFonts w:asciiTheme="majorHAnsi" w:hAnsiTheme="majorHAnsi" w:cstheme="majorHAnsi"/>
          <w:sz w:val="24"/>
          <w:szCs w:val="24"/>
          <w:lang w:val="ro-MD" w:eastAsia="ru-RU"/>
        </w:rPr>
        <w:t>(sau cu 14 998,7 mil.lei în valori comparabile) față de</w:t>
      </w:r>
      <w:r w:rsidR="0087747D">
        <w:rPr>
          <w:rFonts w:asciiTheme="majorHAnsi" w:hAnsiTheme="majorHAnsi" w:cstheme="majorHAnsi"/>
          <w:sz w:val="24"/>
          <w:szCs w:val="24"/>
          <w:lang w:val="ro-MD" w:eastAsia="ru-RU"/>
        </w:rPr>
        <w:t xml:space="preserve"> </w:t>
      </w:r>
      <w:r w:rsidR="00E0260C">
        <w:rPr>
          <w:rFonts w:asciiTheme="majorHAnsi" w:hAnsiTheme="majorHAnsi" w:cstheme="majorHAnsi"/>
          <w:sz w:val="24"/>
          <w:szCs w:val="24"/>
          <w:lang w:val="ro-MD" w:eastAsia="ru-RU"/>
        </w:rPr>
        <w:t>soldul anului precedent.</w:t>
      </w:r>
      <w:r w:rsidR="00734223">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Din totalul datoriei de stat, datori</w:t>
      </w:r>
      <w:r w:rsidR="00CB53D4">
        <w:rPr>
          <w:rFonts w:asciiTheme="majorHAnsi" w:hAnsiTheme="majorHAnsi" w:cstheme="majorHAnsi"/>
          <w:sz w:val="24"/>
          <w:szCs w:val="24"/>
          <w:lang w:val="ro-MD" w:eastAsia="ru-RU"/>
        </w:rPr>
        <w:t>a</w:t>
      </w:r>
      <w:r>
        <w:rPr>
          <w:rFonts w:asciiTheme="majorHAnsi" w:hAnsiTheme="majorHAnsi" w:cstheme="majorHAnsi"/>
          <w:sz w:val="24"/>
          <w:szCs w:val="24"/>
          <w:lang w:val="ro-MD" w:eastAsia="ru-RU"/>
        </w:rPr>
        <w:t xml:space="preserve"> de stat extern</w:t>
      </w:r>
      <w:r w:rsidR="00CB53D4">
        <w:rPr>
          <w:rFonts w:asciiTheme="majorHAnsi" w:hAnsiTheme="majorHAnsi" w:cstheme="majorHAnsi"/>
          <w:sz w:val="24"/>
          <w:szCs w:val="24"/>
          <w:lang w:val="ro-MD" w:eastAsia="ru-RU"/>
        </w:rPr>
        <w:t>ă</w:t>
      </w:r>
      <w:r w:rsidR="00C2291F">
        <w:rPr>
          <w:rFonts w:asciiTheme="majorHAnsi" w:hAnsiTheme="majorHAnsi" w:cstheme="majorHAnsi"/>
          <w:sz w:val="24"/>
          <w:szCs w:val="24"/>
          <w:lang w:val="ro-MD" w:eastAsia="ru-RU"/>
        </w:rPr>
        <w:t xml:space="preserve"> constituie 38 585,1 mil.</w:t>
      </w:r>
      <w:r>
        <w:rPr>
          <w:rFonts w:asciiTheme="majorHAnsi" w:hAnsiTheme="majorHAnsi" w:cstheme="majorHAnsi"/>
          <w:sz w:val="24"/>
          <w:szCs w:val="24"/>
          <w:lang w:val="ro-MD" w:eastAsia="ru-RU"/>
        </w:rPr>
        <w:t>lei (56,9%), și</w:t>
      </w:r>
      <w:r w:rsidR="00CB53D4">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datori</w:t>
      </w:r>
      <w:r w:rsidR="00CB53D4">
        <w:rPr>
          <w:rFonts w:asciiTheme="majorHAnsi" w:hAnsiTheme="majorHAnsi" w:cstheme="majorHAnsi"/>
          <w:sz w:val="24"/>
          <w:szCs w:val="24"/>
          <w:lang w:val="ro-MD" w:eastAsia="ru-RU"/>
        </w:rPr>
        <w:t>a</w:t>
      </w:r>
      <w:r>
        <w:rPr>
          <w:rFonts w:asciiTheme="majorHAnsi" w:hAnsiTheme="majorHAnsi" w:cstheme="majorHAnsi"/>
          <w:sz w:val="24"/>
          <w:szCs w:val="24"/>
          <w:lang w:val="ro-MD" w:eastAsia="ru-RU"/>
        </w:rPr>
        <w:t xml:space="preserve"> de stat intern</w:t>
      </w:r>
      <w:r w:rsidR="00CB53D4">
        <w:rPr>
          <w:rFonts w:asciiTheme="majorHAnsi" w:hAnsiTheme="majorHAnsi" w:cstheme="majorHAnsi"/>
          <w:sz w:val="24"/>
          <w:szCs w:val="24"/>
          <w:lang w:val="ro-MD" w:eastAsia="ru-RU"/>
        </w:rPr>
        <w:t>ă</w:t>
      </w:r>
      <w:r>
        <w:rPr>
          <w:rFonts w:asciiTheme="majorHAnsi" w:hAnsiTheme="majorHAnsi" w:cstheme="majorHAnsi"/>
          <w:sz w:val="24"/>
          <w:szCs w:val="24"/>
          <w:lang w:val="ro-MD" w:eastAsia="ru-RU"/>
        </w:rPr>
        <w:t xml:space="preserve"> –</w:t>
      </w:r>
      <w:r w:rsidR="00CB53D4">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2</w:t>
      </w:r>
      <w:r w:rsidR="00CB53D4">
        <w:rPr>
          <w:rFonts w:asciiTheme="majorHAnsi" w:hAnsiTheme="majorHAnsi" w:cstheme="majorHAnsi"/>
          <w:sz w:val="24"/>
          <w:szCs w:val="24"/>
          <w:lang w:val="ro-MD" w:eastAsia="ru-RU"/>
        </w:rPr>
        <w:t>9</w:t>
      </w:r>
      <w:r>
        <w:rPr>
          <w:rFonts w:asciiTheme="majorHAnsi" w:hAnsiTheme="majorHAnsi" w:cstheme="majorHAnsi"/>
          <w:sz w:val="24"/>
          <w:szCs w:val="24"/>
          <w:lang w:val="ro-MD" w:eastAsia="ru-RU"/>
        </w:rPr>
        <w:t xml:space="preserve"> </w:t>
      </w:r>
      <w:r w:rsidR="00CB53D4">
        <w:rPr>
          <w:rFonts w:asciiTheme="majorHAnsi" w:hAnsiTheme="majorHAnsi" w:cstheme="majorHAnsi"/>
          <w:sz w:val="24"/>
          <w:szCs w:val="24"/>
          <w:lang w:val="ro-MD" w:eastAsia="ru-RU"/>
        </w:rPr>
        <w:t>235</w:t>
      </w:r>
      <w:r>
        <w:rPr>
          <w:rFonts w:asciiTheme="majorHAnsi" w:hAnsiTheme="majorHAnsi" w:cstheme="majorHAnsi"/>
          <w:sz w:val="24"/>
          <w:szCs w:val="24"/>
          <w:lang w:val="ro-MD" w:eastAsia="ru-RU"/>
        </w:rPr>
        <w:t>,</w:t>
      </w:r>
      <w:r w:rsidR="00CB53D4">
        <w:rPr>
          <w:rFonts w:asciiTheme="majorHAnsi" w:hAnsiTheme="majorHAnsi" w:cstheme="majorHAnsi"/>
          <w:sz w:val="24"/>
          <w:szCs w:val="24"/>
          <w:lang w:val="ro-MD" w:eastAsia="ru-RU"/>
        </w:rPr>
        <w:t>6</w:t>
      </w:r>
      <w:r w:rsidR="00C2291F">
        <w:rPr>
          <w:rFonts w:asciiTheme="majorHAnsi" w:hAnsiTheme="majorHAnsi" w:cstheme="majorHAnsi"/>
          <w:sz w:val="24"/>
          <w:szCs w:val="24"/>
          <w:lang w:val="ro-MD" w:eastAsia="ru-RU"/>
        </w:rPr>
        <w:t xml:space="preserve"> mil.</w:t>
      </w:r>
      <w:r>
        <w:rPr>
          <w:rFonts w:asciiTheme="majorHAnsi" w:hAnsiTheme="majorHAnsi" w:cstheme="majorHAnsi"/>
          <w:sz w:val="24"/>
          <w:szCs w:val="24"/>
          <w:lang w:val="ro-MD" w:eastAsia="ru-RU"/>
        </w:rPr>
        <w:t>lei (4</w:t>
      </w:r>
      <w:r w:rsidR="00CB53D4">
        <w:rPr>
          <w:rFonts w:asciiTheme="majorHAnsi" w:hAnsiTheme="majorHAnsi" w:cstheme="majorHAnsi"/>
          <w:sz w:val="24"/>
          <w:szCs w:val="24"/>
          <w:lang w:val="ro-MD" w:eastAsia="ru-RU"/>
        </w:rPr>
        <w:t>3</w:t>
      </w:r>
      <w:r>
        <w:rPr>
          <w:rFonts w:asciiTheme="majorHAnsi" w:hAnsiTheme="majorHAnsi" w:cstheme="majorHAnsi"/>
          <w:sz w:val="24"/>
          <w:szCs w:val="24"/>
          <w:lang w:val="ro-MD" w:eastAsia="ru-RU"/>
        </w:rPr>
        <w:t xml:space="preserve">,1%). </w:t>
      </w:r>
      <w:r w:rsidR="00734223">
        <w:rPr>
          <w:rFonts w:asciiTheme="majorHAnsi" w:hAnsiTheme="majorHAnsi" w:cstheme="majorHAnsi"/>
          <w:sz w:val="24"/>
          <w:szCs w:val="24"/>
          <w:lang w:val="ro-MD" w:eastAsia="ru-RU"/>
        </w:rPr>
        <w:t>Majorarea datoriei de stat în anul de gestiune</w:t>
      </w:r>
      <w:r w:rsidR="00657281">
        <w:rPr>
          <w:rFonts w:asciiTheme="majorHAnsi" w:hAnsiTheme="majorHAnsi" w:cstheme="majorHAnsi"/>
          <w:sz w:val="24"/>
          <w:szCs w:val="24"/>
          <w:lang w:val="ro-MD" w:eastAsia="ru-RU"/>
        </w:rPr>
        <w:t>,</w:t>
      </w:r>
      <w:r w:rsidR="00734223">
        <w:rPr>
          <w:rFonts w:asciiTheme="majorHAnsi" w:hAnsiTheme="majorHAnsi" w:cstheme="majorHAnsi"/>
          <w:sz w:val="24"/>
          <w:szCs w:val="24"/>
          <w:lang w:val="ro-MD" w:eastAsia="ru-RU"/>
        </w:rPr>
        <w:t xml:space="preserve"> față de anul precedent</w:t>
      </w:r>
      <w:r w:rsidR="00657281">
        <w:rPr>
          <w:rFonts w:asciiTheme="majorHAnsi" w:hAnsiTheme="majorHAnsi" w:cstheme="majorHAnsi"/>
          <w:sz w:val="24"/>
          <w:szCs w:val="24"/>
          <w:lang w:val="ro-MD" w:eastAsia="ru-RU"/>
        </w:rPr>
        <w:t>,</w:t>
      </w:r>
      <w:r w:rsidR="00734223">
        <w:rPr>
          <w:rFonts w:asciiTheme="majorHAnsi" w:hAnsiTheme="majorHAnsi" w:cstheme="majorHAnsi"/>
          <w:sz w:val="24"/>
          <w:szCs w:val="24"/>
          <w:lang w:val="ro-MD" w:eastAsia="ru-RU"/>
        </w:rPr>
        <w:t xml:space="preserve"> </w:t>
      </w:r>
      <w:r w:rsidR="008F16B1">
        <w:rPr>
          <w:rFonts w:asciiTheme="majorHAnsi" w:hAnsiTheme="majorHAnsi" w:cstheme="majorHAnsi"/>
          <w:sz w:val="24"/>
          <w:szCs w:val="24"/>
          <w:lang w:val="ro-MD" w:eastAsia="ru-RU"/>
        </w:rPr>
        <w:t xml:space="preserve">a fost </w:t>
      </w:r>
      <w:r w:rsidR="00AB3805">
        <w:rPr>
          <w:rFonts w:asciiTheme="majorHAnsi" w:hAnsiTheme="majorHAnsi" w:cstheme="majorHAnsi"/>
          <w:sz w:val="24"/>
          <w:szCs w:val="24"/>
          <w:lang w:val="ro-MD" w:eastAsia="ru-RU"/>
        </w:rPr>
        <w:t>determinată</w:t>
      </w:r>
      <w:r w:rsidR="008F16B1">
        <w:rPr>
          <w:rFonts w:asciiTheme="majorHAnsi" w:hAnsiTheme="majorHAnsi" w:cstheme="majorHAnsi"/>
          <w:sz w:val="24"/>
          <w:szCs w:val="24"/>
          <w:lang w:val="ro-MD" w:eastAsia="ru-RU"/>
        </w:rPr>
        <w:t xml:space="preserve"> de </w:t>
      </w:r>
      <w:r w:rsidR="00657281">
        <w:rPr>
          <w:rFonts w:asciiTheme="majorHAnsi" w:hAnsiTheme="majorHAnsi" w:cstheme="majorHAnsi"/>
          <w:sz w:val="24"/>
          <w:szCs w:val="24"/>
          <w:lang w:val="ro-MD" w:eastAsia="ru-RU"/>
        </w:rPr>
        <w:t>creșterea</w:t>
      </w:r>
      <w:r w:rsidR="00734223">
        <w:rPr>
          <w:rFonts w:asciiTheme="majorHAnsi" w:hAnsiTheme="majorHAnsi" w:cstheme="majorHAnsi"/>
          <w:sz w:val="24"/>
          <w:szCs w:val="24"/>
          <w:lang w:val="ro-MD" w:eastAsia="ru-RU"/>
        </w:rPr>
        <w:t xml:space="preserve"> </w:t>
      </w:r>
      <w:r w:rsidR="00980071" w:rsidRPr="00AB3805">
        <w:rPr>
          <w:rFonts w:asciiTheme="majorHAnsi" w:hAnsiTheme="majorHAnsi" w:cstheme="majorHAnsi"/>
          <w:sz w:val="24"/>
          <w:szCs w:val="24"/>
          <w:lang w:val="ro-MD" w:eastAsia="ru-RU"/>
        </w:rPr>
        <w:t xml:space="preserve">datoriei de stat interne </w:t>
      </w:r>
      <w:r w:rsidR="002A3A61">
        <w:rPr>
          <w:rFonts w:asciiTheme="majorHAnsi" w:hAnsiTheme="majorHAnsi" w:cstheme="majorHAnsi"/>
          <w:sz w:val="24"/>
          <w:szCs w:val="24"/>
          <w:lang w:val="ro-MD" w:eastAsia="ru-RU"/>
        </w:rPr>
        <w:t>(</w:t>
      </w:r>
      <w:r w:rsidR="00980071" w:rsidRPr="00AB3805">
        <w:rPr>
          <w:rFonts w:asciiTheme="majorHAnsi" w:hAnsiTheme="majorHAnsi" w:cstheme="majorHAnsi"/>
          <w:sz w:val="24"/>
          <w:szCs w:val="24"/>
          <w:lang w:val="ro-MD" w:eastAsia="ru-RU"/>
        </w:rPr>
        <w:t xml:space="preserve">cu </w:t>
      </w:r>
      <w:r w:rsidR="00C2291F">
        <w:rPr>
          <w:rFonts w:asciiTheme="majorHAnsi" w:hAnsiTheme="majorHAnsi" w:cstheme="majorHAnsi"/>
          <w:sz w:val="24"/>
          <w:szCs w:val="24"/>
          <w:lang w:val="ro-MD" w:eastAsia="ru-RU"/>
        </w:rPr>
        <w:t>5 739,7 mil.</w:t>
      </w:r>
      <w:r w:rsidR="00C21EF9">
        <w:rPr>
          <w:rFonts w:asciiTheme="majorHAnsi" w:hAnsiTheme="majorHAnsi" w:cstheme="majorHAnsi"/>
          <w:sz w:val="24"/>
          <w:szCs w:val="24"/>
          <w:lang w:val="ro-MD" w:eastAsia="ru-RU"/>
        </w:rPr>
        <w:t>lei, la valoarea nominală</w:t>
      </w:r>
      <w:r w:rsidR="002A3A61">
        <w:rPr>
          <w:rFonts w:asciiTheme="majorHAnsi" w:hAnsiTheme="majorHAnsi" w:cstheme="majorHAnsi"/>
          <w:sz w:val="24"/>
          <w:szCs w:val="24"/>
          <w:lang w:val="ro-MD" w:eastAsia="ru-RU"/>
        </w:rPr>
        <w:t xml:space="preserve">) </w:t>
      </w:r>
      <w:r w:rsidR="00980071" w:rsidRPr="00AB3805">
        <w:rPr>
          <w:rFonts w:asciiTheme="majorHAnsi" w:hAnsiTheme="majorHAnsi" w:cstheme="majorHAnsi"/>
          <w:sz w:val="24"/>
          <w:szCs w:val="24"/>
          <w:lang w:val="ro-MD" w:eastAsia="ru-RU"/>
        </w:rPr>
        <w:t>și a</w:t>
      </w:r>
      <w:r w:rsidR="00980071">
        <w:rPr>
          <w:rFonts w:asciiTheme="majorHAnsi" w:hAnsiTheme="majorHAnsi" w:cstheme="majorHAnsi"/>
          <w:sz w:val="24"/>
          <w:szCs w:val="24"/>
          <w:lang w:val="ro-MD" w:eastAsia="ru-RU"/>
        </w:rPr>
        <w:t xml:space="preserve"> </w:t>
      </w:r>
      <w:r w:rsidR="00734223">
        <w:rPr>
          <w:rFonts w:asciiTheme="majorHAnsi" w:hAnsiTheme="majorHAnsi" w:cstheme="majorHAnsi"/>
          <w:sz w:val="24"/>
          <w:szCs w:val="24"/>
          <w:lang w:val="ro-MD" w:eastAsia="ru-RU"/>
        </w:rPr>
        <w:t xml:space="preserve">datoriei de stat externe cu </w:t>
      </w:r>
      <w:r>
        <w:rPr>
          <w:rFonts w:asciiTheme="majorHAnsi" w:hAnsiTheme="majorHAnsi" w:cstheme="majorHAnsi"/>
          <w:sz w:val="24"/>
          <w:szCs w:val="24"/>
          <w:lang w:val="ro-MD" w:eastAsia="ru-RU"/>
        </w:rPr>
        <w:t>9 259,0</w:t>
      </w:r>
      <w:r w:rsidR="00734223">
        <w:rPr>
          <w:rFonts w:asciiTheme="majorHAnsi" w:hAnsiTheme="majorHAnsi" w:cstheme="majorHAnsi"/>
          <w:sz w:val="24"/>
          <w:szCs w:val="24"/>
          <w:lang w:val="ro-MD" w:eastAsia="ru-RU"/>
        </w:rPr>
        <w:t xml:space="preserve"> </w:t>
      </w:r>
      <w:r w:rsidR="00C2291F">
        <w:rPr>
          <w:rFonts w:asciiTheme="majorHAnsi" w:hAnsiTheme="majorHAnsi" w:cstheme="majorHAnsi"/>
          <w:sz w:val="24"/>
          <w:szCs w:val="24"/>
          <w:lang w:val="ro-MD" w:eastAsia="ru-RU"/>
        </w:rPr>
        <w:t>mil.</w:t>
      </w:r>
      <w:r w:rsidR="009B5172">
        <w:rPr>
          <w:rFonts w:asciiTheme="majorHAnsi" w:hAnsiTheme="majorHAnsi" w:cstheme="majorHAnsi"/>
          <w:sz w:val="24"/>
          <w:szCs w:val="24"/>
          <w:lang w:val="ro-MD" w:eastAsia="ru-RU"/>
        </w:rPr>
        <w:t>lei</w:t>
      </w:r>
      <w:r w:rsidR="00E35233" w:rsidRPr="00AB3805">
        <w:rPr>
          <w:rFonts w:asciiTheme="majorHAnsi" w:hAnsiTheme="majorHAnsi" w:cstheme="majorHAnsi"/>
          <w:sz w:val="24"/>
          <w:szCs w:val="24"/>
          <w:lang w:val="ro-MD" w:eastAsia="ru-RU"/>
        </w:rPr>
        <w:t>.</w:t>
      </w:r>
      <w:r w:rsidR="00F2410E" w:rsidRPr="005C0EAD">
        <w:rPr>
          <w:rFonts w:asciiTheme="majorHAnsi" w:hAnsiTheme="majorHAnsi" w:cstheme="majorHAnsi"/>
          <w:i/>
          <w:sz w:val="24"/>
          <w:szCs w:val="24"/>
        </w:rPr>
        <w:t xml:space="preserve"> </w:t>
      </w:r>
      <w:r w:rsidR="00980071">
        <w:rPr>
          <w:rFonts w:asciiTheme="majorHAnsi" w:hAnsiTheme="majorHAnsi" w:cstheme="majorHAnsi"/>
          <w:sz w:val="24"/>
          <w:szCs w:val="24"/>
        </w:rPr>
        <w:t xml:space="preserve">Majorarea soldului datoriei de stat interne a fost </w:t>
      </w:r>
      <w:r w:rsidR="0093504C">
        <w:rPr>
          <w:rFonts w:asciiTheme="majorHAnsi" w:hAnsiTheme="majorHAnsi" w:cstheme="majorHAnsi"/>
          <w:sz w:val="24"/>
          <w:szCs w:val="24"/>
        </w:rPr>
        <w:t>condiționat</w:t>
      </w:r>
      <w:r w:rsidR="00970BB6">
        <w:rPr>
          <w:rFonts w:asciiTheme="majorHAnsi" w:hAnsiTheme="majorHAnsi" w:cstheme="majorHAnsi"/>
          <w:sz w:val="24"/>
          <w:szCs w:val="24"/>
        </w:rPr>
        <w:t>ă</w:t>
      </w:r>
      <w:r w:rsidR="0093504C">
        <w:rPr>
          <w:rFonts w:asciiTheme="majorHAnsi" w:hAnsiTheme="majorHAnsi" w:cstheme="majorHAnsi"/>
          <w:sz w:val="24"/>
          <w:szCs w:val="24"/>
        </w:rPr>
        <w:t xml:space="preserve"> de finanțarea internă netă pozitivă a VMS emise pe piața primară, iar a datoriei de stat externe – de finanțarea externă netă pozitivă și evoluția cursului de schimb al monedei naționale în raport cu dolarul SUA.</w:t>
      </w:r>
      <w:r w:rsidR="009C4AEE">
        <w:rPr>
          <w:rFonts w:asciiTheme="majorHAnsi" w:hAnsiTheme="majorHAnsi" w:cstheme="majorHAnsi"/>
          <w:sz w:val="24"/>
          <w:szCs w:val="24"/>
        </w:rPr>
        <w:t xml:space="preserve"> </w:t>
      </w:r>
    </w:p>
    <w:p w14:paraId="6CD13A42" w14:textId="35687DA3" w:rsidR="00F2410E" w:rsidRPr="0003421C" w:rsidRDefault="0003421C" w:rsidP="00FB1205">
      <w:pPr>
        <w:pStyle w:val="af3"/>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Auditul menționează că, deși în anul 2020 s-a înregistrat o creștere semnificativă a soldului datoriei de stat, la situația din 31.12.2020 acesta s-a încadrat în limitele stabilite de Legea bugetară anuală (75 161,1 mil.lei), fiind cu 7 340,4 mil.lei mai </w:t>
      </w:r>
      <w:r w:rsidR="007F6D88">
        <w:rPr>
          <w:rFonts w:asciiTheme="majorHAnsi" w:hAnsiTheme="majorHAnsi" w:cstheme="majorHAnsi"/>
          <w:sz w:val="24"/>
          <w:szCs w:val="24"/>
          <w:lang w:val="ro-MD" w:eastAsia="ru-RU"/>
        </w:rPr>
        <w:t>mic decât</w:t>
      </w:r>
      <w:r>
        <w:rPr>
          <w:rFonts w:asciiTheme="majorHAnsi" w:hAnsiTheme="majorHAnsi" w:cstheme="majorHAnsi"/>
          <w:sz w:val="24"/>
          <w:szCs w:val="24"/>
          <w:lang w:val="ro-MD" w:eastAsia="ru-RU"/>
        </w:rPr>
        <w:t xml:space="preserve"> plafonul legal prevăzut. </w:t>
      </w:r>
      <w:r w:rsidR="008E0375" w:rsidRPr="005C0EAD">
        <w:rPr>
          <w:rFonts w:asciiTheme="majorHAnsi" w:hAnsiTheme="majorHAnsi" w:cstheme="majorHAnsi"/>
          <w:i/>
          <w:sz w:val="24"/>
          <w:szCs w:val="24"/>
        </w:rPr>
        <w:t xml:space="preserve">Evoluția datoriei de stat în ultimii 5 ani se prezintă în </w:t>
      </w:r>
      <w:r w:rsidR="005C0EAD" w:rsidRPr="005C0EAD">
        <w:rPr>
          <w:rFonts w:asciiTheme="majorHAnsi" w:hAnsiTheme="majorHAnsi" w:cstheme="majorHAnsi"/>
          <w:i/>
          <w:sz w:val="24"/>
          <w:szCs w:val="24"/>
        </w:rPr>
        <w:t>Tabelul nr.</w:t>
      </w:r>
      <w:r w:rsidR="00EF13D7">
        <w:rPr>
          <w:rFonts w:asciiTheme="majorHAnsi" w:hAnsiTheme="majorHAnsi" w:cstheme="majorHAnsi"/>
          <w:i/>
          <w:sz w:val="24"/>
          <w:szCs w:val="24"/>
        </w:rPr>
        <w:t>2</w:t>
      </w:r>
      <w:r w:rsidR="005C0EAD" w:rsidRPr="005C0EAD">
        <w:rPr>
          <w:rFonts w:asciiTheme="majorHAnsi" w:hAnsiTheme="majorHAnsi" w:cstheme="majorHAnsi"/>
          <w:i/>
          <w:sz w:val="24"/>
          <w:szCs w:val="24"/>
        </w:rPr>
        <w:t>.</w:t>
      </w:r>
    </w:p>
    <w:p w14:paraId="75446A56" w14:textId="12024465" w:rsidR="00AB3805" w:rsidRDefault="00AB3805" w:rsidP="00FB1205">
      <w:pPr>
        <w:pStyle w:val="af3"/>
        <w:spacing w:line="276" w:lineRule="auto"/>
        <w:jc w:val="right"/>
        <w:rPr>
          <w:rFonts w:asciiTheme="majorHAnsi" w:hAnsiTheme="majorHAnsi" w:cstheme="majorHAnsi"/>
          <w:b/>
          <w:i/>
          <w:sz w:val="24"/>
          <w:szCs w:val="24"/>
        </w:rPr>
      </w:pPr>
      <w:r w:rsidRPr="00AB3805">
        <w:rPr>
          <w:rFonts w:asciiTheme="majorHAnsi" w:hAnsiTheme="majorHAnsi" w:cstheme="majorHAnsi"/>
          <w:b/>
          <w:i/>
          <w:sz w:val="24"/>
          <w:szCs w:val="24"/>
        </w:rPr>
        <w:t>Tabelul nr.</w:t>
      </w:r>
      <w:r w:rsidR="00EF13D7">
        <w:rPr>
          <w:rFonts w:asciiTheme="majorHAnsi" w:hAnsiTheme="majorHAnsi" w:cstheme="majorHAnsi"/>
          <w:b/>
          <w:i/>
          <w:sz w:val="24"/>
          <w:szCs w:val="24"/>
        </w:rPr>
        <w:t>2</w:t>
      </w:r>
    </w:p>
    <w:p w14:paraId="500FB27C" w14:textId="74189C0B" w:rsidR="00AB3805" w:rsidRDefault="00AB3805" w:rsidP="00FB1205">
      <w:pPr>
        <w:pStyle w:val="af3"/>
        <w:jc w:val="center"/>
        <w:rPr>
          <w:rFonts w:asciiTheme="majorHAnsi" w:hAnsiTheme="majorHAnsi" w:cstheme="majorHAnsi"/>
          <w:b/>
          <w:sz w:val="24"/>
          <w:szCs w:val="24"/>
        </w:rPr>
      </w:pPr>
      <w:r>
        <w:rPr>
          <w:rFonts w:asciiTheme="majorHAnsi" w:hAnsiTheme="majorHAnsi" w:cstheme="majorHAnsi"/>
          <w:b/>
          <w:sz w:val="24"/>
          <w:szCs w:val="24"/>
        </w:rPr>
        <w:t xml:space="preserve">Evoluția datoriei de stat în perioada </w:t>
      </w:r>
      <w:r w:rsidR="008743D8">
        <w:rPr>
          <w:rFonts w:asciiTheme="majorHAnsi" w:hAnsiTheme="majorHAnsi" w:cstheme="majorHAnsi"/>
          <w:b/>
          <w:sz w:val="24"/>
          <w:szCs w:val="24"/>
        </w:rPr>
        <w:t xml:space="preserve">2016-2020, mil. </w:t>
      </w:r>
      <w:r w:rsidR="00811962">
        <w:rPr>
          <w:rFonts w:asciiTheme="majorHAnsi" w:hAnsiTheme="majorHAnsi" w:cstheme="majorHAnsi"/>
          <w:b/>
          <w:sz w:val="24"/>
          <w:szCs w:val="24"/>
        </w:rPr>
        <w:t>l</w:t>
      </w:r>
      <w:r w:rsidR="008743D8">
        <w:rPr>
          <w:rFonts w:asciiTheme="majorHAnsi" w:hAnsiTheme="majorHAnsi" w:cstheme="majorHAnsi"/>
          <w:b/>
          <w:sz w:val="24"/>
          <w:szCs w:val="24"/>
        </w:rPr>
        <w:t>ei</w:t>
      </w:r>
    </w:p>
    <w:p w14:paraId="77B69570" w14:textId="77777777" w:rsidR="008743D8" w:rsidRDefault="008743D8" w:rsidP="00FB1205">
      <w:pPr>
        <w:pStyle w:val="af3"/>
        <w:jc w:val="both"/>
        <w:rPr>
          <w:rFonts w:asciiTheme="majorHAnsi" w:hAnsiTheme="majorHAnsi" w:cs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8743D8" w:rsidRPr="00E0260C" w14:paraId="475756F4" w14:textId="77777777" w:rsidTr="00B30B4D">
        <w:tc>
          <w:tcPr>
            <w:tcW w:w="1557" w:type="dxa"/>
            <w:vMerge w:val="restart"/>
            <w:shd w:val="clear" w:color="auto" w:fill="auto"/>
            <w:vAlign w:val="center"/>
          </w:tcPr>
          <w:p w14:paraId="15A74CF6" w14:textId="77777777" w:rsidR="008743D8" w:rsidRPr="00E0260C" w:rsidRDefault="008743D8" w:rsidP="00FB1205">
            <w:pPr>
              <w:pStyle w:val="af3"/>
              <w:jc w:val="both"/>
              <w:rPr>
                <w:rFonts w:asciiTheme="majorHAnsi" w:hAnsiTheme="majorHAnsi" w:cstheme="majorHAnsi"/>
                <w:b/>
                <w:lang w:val="ro-MD" w:eastAsia="ru-RU"/>
              </w:rPr>
            </w:pPr>
            <w:r w:rsidRPr="00E0260C">
              <w:rPr>
                <w:rFonts w:asciiTheme="majorHAnsi" w:hAnsiTheme="majorHAnsi" w:cstheme="majorHAnsi"/>
                <w:b/>
                <w:lang w:val="ro-MD" w:eastAsia="ru-RU"/>
              </w:rPr>
              <w:lastRenderedPageBreak/>
              <w:t>Anul</w:t>
            </w:r>
          </w:p>
        </w:tc>
        <w:tc>
          <w:tcPr>
            <w:tcW w:w="1557" w:type="dxa"/>
            <w:vMerge w:val="restart"/>
            <w:shd w:val="clear" w:color="auto" w:fill="auto"/>
            <w:vAlign w:val="center"/>
          </w:tcPr>
          <w:p w14:paraId="4E402B0B" w14:textId="77777777" w:rsidR="008743D8" w:rsidRPr="00E0260C" w:rsidRDefault="008743D8" w:rsidP="00485D36">
            <w:pPr>
              <w:pStyle w:val="af3"/>
              <w:jc w:val="center"/>
              <w:rPr>
                <w:rFonts w:asciiTheme="majorHAnsi" w:hAnsiTheme="majorHAnsi" w:cstheme="majorHAnsi"/>
                <w:b/>
                <w:lang w:val="ro-MD" w:eastAsia="ru-RU"/>
              </w:rPr>
            </w:pPr>
            <w:r w:rsidRPr="00E0260C">
              <w:rPr>
                <w:rFonts w:asciiTheme="majorHAnsi" w:hAnsiTheme="majorHAnsi" w:cstheme="majorHAnsi"/>
                <w:b/>
                <w:lang w:val="ro-MD" w:eastAsia="ru-RU"/>
              </w:rPr>
              <w:t>Total datoria de stat</w:t>
            </w:r>
          </w:p>
        </w:tc>
        <w:tc>
          <w:tcPr>
            <w:tcW w:w="3115" w:type="dxa"/>
            <w:gridSpan w:val="2"/>
            <w:shd w:val="clear" w:color="auto" w:fill="auto"/>
            <w:vAlign w:val="center"/>
          </w:tcPr>
          <w:p w14:paraId="0EC02F3F" w14:textId="77777777" w:rsidR="008743D8" w:rsidRPr="00E0260C" w:rsidRDefault="008743D8" w:rsidP="00485D36">
            <w:pPr>
              <w:pStyle w:val="af3"/>
              <w:jc w:val="center"/>
              <w:rPr>
                <w:rFonts w:asciiTheme="majorHAnsi" w:hAnsiTheme="majorHAnsi" w:cstheme="majorHAnsi"/>
                <w:b/>
                <w:lang w:val="ro-MD" w:eastAsia="ru-RU"/>
              </w:rPr>
            </w:pPr>
            <w:r w:rsidRPr="00E0260C">
              <w:rPr>
                <w:rFonts w:asciiTheme="majorHAnsi" w:hAnsiTheme="majorHAnsi" w:cstheme="majorHAnsi"/>
                <w:b/>
                <w:lang w:val="ro-MD" w:eastAsia="ru-RU"/>
              </w:rPr>
              <w:t>Datoria de stat externă</w:t>
            </w:r>
          </w:p>
        </w:tc>
        <w:tc>
          <w:tcPr>
            <w:tcW w:w="3116" w:type="dxa"/>
            <w:gridSpan w:val="2"/>
            <w:shd w:val="clear" w:color="auto" w:fill="auto"/>
            <w:vAlign w:val="center"/>
          </w:tcPr>
          <w:p w14:paraId="7DE14D17" w14:textId="77777777" w:rsidR="008743D8" w:rsidRPr="00E0260C" w:rsidRDefault="008743D8" w:rsidP="00485D36">
            <w:pPr>
              <w:pStyle w:val="af3"/>
              <w:jc w:val="center"/>
              <w:rPr>
                <w:rFonts w:asciiTheme="majorHAnsi" w:hAnsiTheme="majorHAnsi" w:cstheme="majorHAnsi"/>
                <w:b/>
                <w:lang w:val="ro-MD" w:eastAsia="ru-RU"/>
              </w:rPr>
            </w:pPr>
            <w:r w:rsidRPr="00E0260C">
              <w:rPr>
                <w:rFonts w:asciiTheme="majorHAnsi" w:hAnsiTheme="majorHAnsi" w:cstheme="majorHAnsi"/>
                <w:b/>
                <w:lang w:val="ro-MD" w:eastAsia="ru-RU"/>
              </w:rPr>
              <w:t>Datoria de stat internă</w:t>
            </w:r>
          </w:p>
        </w:tc>
      </w:tr>
      <w:tr w:rsidR="008743D8" w:rsidRPr="00E0260C" w14:paraId="4B845E39" w14:textId="77777777" w:rsidTr="00B30B4D">
        <w:tc>
          <w:tcPr>
            <w:tcW w:w="1557" w:type="dxa"/>
            <w:vMerge/>
            <w:shd w:val="clear" w:color="auto" w:fill="DEEAF6" w:themeFill="accent1" w:themeFillTint="33"/>
            <w:vAlign w:val="center"/>
          </w:tcPr>
          <w:p w14:paraId="7CAFA22F" w14:textId="77777777" w:rsidR="008743D8" w:rsidRPr="00E0260C" w:rsidRDefault="008743D8" w:rsidP="00FB1205">
            <w:pPr>
              <w:pStyle w:val="af3"/>
              <w:jc w:val="both"/>
              <w:rPr>
                <w:rFonts w:asciiTheme="majorHAnsi" w:hAnsiTheme="majorHAnsi" w:cstheme="majorHAnsi"/>
                <w:b/>
                <w:lang w:val="ro-MD" w:eastAsia="ru-RU"/>
              </w:rPr>
            </w:pPr>
          </w:p>
        </w:tc>
        <w:tc>
          <w:tcPr>
            <w:tcW w:w="1557" w:type="dxa"/>
            <w:vMerge/>
            <w:shd w:val="clear" w:color="auto" w:fill="DEEAF6" w:themeFill="accent1" w:themeFillTint="33"/>
            <w:vAlign w:val="center"/>
          </w:tcPr>
          <w:p w14:paraId="78EDD337" w14:textId="77777777" w:rsidR="008743D8" w:rsidRPr="00E0260C" w:rsidRDefault="008743D8" w:rsidP="00485D36">
            <w:pPr>
              <w:pStyle w:val="af3"/>
              <w:jc w:val="center"/>
              <w:rPr>
                <w:rFonts w:asciiTheme="majorHAnsi" w:hAnsiTheme="majorHAnsi" w:cstheme="majorHAnsi"/>
                <w:b/>
                <w:lang w:val="ro-MD" w:eastAsia="ru-RU"/>
              </w:rPr>
            </w:pPr>
          </w:p>
        </w:tc>
        <w:tc>
          <w:tcPr>
            <w:tcW w:w="1557" w:type="dxa"/>
            <w:shd w:val="clear" w:color="auto" w:fill="auto"/>
            <w:vAlign w:val="center"/>
          </w:tcPr>
          <w:p w14:paraId="56CCE5C8" w14:textId="34584357" w:rsidR="008743D8" w:rsidRPr="00E0260C" w:rsidRDefault="0081171D" w:rsidP="00485D36">
            <w:pPr>
              <w:pStyle w:val="af3"/>
              <w:jc w:val="center"/>
              <w:rPr>
                <w:rFonts w:asciiTheme="majorHAnsi" w:hAnsiTheme="majorHAnsi" w:cstheme="majorHAnsi"/>
                <w:b/>
                <w:lang w:val="ro-MD" w:eastAsia="ru-RU"/>
              </w:rPr>
            </w:pPr>
            <w:r>
              <w:rPr>
                <w:rFonts w:asciiTheme="majorHAnsi" w:hAnsiTheme="majorHAnsi" w:cstheme="majorHAnsi"/>
                <w:b/>
                <w:lang w:val="ro-MD" w:eastAsia="ru-RU"/>
              </w:rPr>
              <w:t>v</w:t>
            </w:r>
            <w:r w:rsidR="008743D8" w:rsidRPr="00E0260C">
              <w:rPr>
                <w:rFonts w:asciiTheme="majorHAnsi" w:hAnsiTheme="majorHAnsi" w:cstheme="majorHAnsi"/>
                <w:b/>
                <w:lang w:val="ro-MD" w:eastAsia="ru-RU"/>
              </w:rPr>
              <w:t>aloare</w:t>
            </w:r>
          </w:p>
        </w:tc>
        <w:tc>
          <w:tcPr>
            <w:tcW w:w="1558" w:type="dxa"/>
            <w:shd w:val="clear" w:color="auto" w:fill="auto"/>
            <w:vAlign w:val="center"/>
          </w:tcPr>
          <w:p w14:paraId="0D980CCA" w14:textId="77777777" w:rsidR="008743D8" w:rsidRPr="00E0260C" w:rsidRDefault="008743D8" w:rsidP="00485D36">
            <w:pPr>
              <w:pStyle w:val="af3"/>
              <w:jc w:val="center"/>
              <w:rPr>
                <w:rFonts w:asciiTheme="majorHAnsi" w:hAnsiTheme="majorHAnsi" w:cstheme="majorHAnsi"/>
                <w:b/>
                <w:lang w:val="ro-MD" w:eastAsia="ru-RU"/>
              </w:rPr>
            </w:pPr>
            <w:r w:rsidRPr="00E0260C">
              <w:rPr>
                <w:rFonts w:asciiTheme="majorHAnsi" w:hAnsiTheme="majorHAnsi" w:cstheme="majorHAnsi"/>
                <w:b/>
                <w:lang w:val="ro-MD" w:eastAsia="ru-RU"/>
              </w:rPr>
              <w:t>% în total</w:t>
            </w:r>
          </w:p>
        </w:tc>
        <w:tc>
          <w:tcPr>
            <w:tcW w:w="1558" w:type="dxa"/>
            <w:shd w:val="clear" w:color="auto" w:fill="auto"/>
            <w:vAlign w:val="center"/>
          </w:tcPr>
          <w:p w14:paraId="1D2F60C6" w14:textId="25CCAFD6" w:rsidR="008743D8" w:rsidRPr="00E0260C" w:rsidRDefault="0081171D" w:rsidP="00485D36">
            <w:pPr>
              <w:pStyle w:val="af3"/>
              <w:jc w:val="center"/>
              <w:rPr>
                <w:rFonts w:asciiTheme="majorHAnsi" w:hAnsiTheme="majorHAnsi" w:cstheme="majorHAnsi"/>
                <w:b/>
                <w:lang w:val="ro-MD" w:eastAsia="ru-RU"/>
              </w:rPr>
            </w:pPr>
            <w:r>
              <w:rPr>
                <w:rFonts w:asciiTheme="majorHAnsi" w:hAnsiTheme="majorHAnsi" w:cstheme="majorHAnsi"/>
                <w:b/>
                <w:lang w:val="ro-MD" w:eastAsia="ru-RU"/>
              </w:rPr>
              <w:t>v</w:t>
            </w:r>
            <w:r w:rsidR="008743D8" w:rsidRPr="00E0260C">
              <w:rPr>
                <w:rFonts w:asciiTheme="majorHAnsi" w:hAnsiTheme="majorHAnsi" w:cstheme="majorHAnsi"/>
                <w:b/>
                <w:lang w:val="ro-MD" w:eastAsia="ru-RU"/>
              </w:rPr>
              <w:t>aloare</w:t>
            </w:r>
          </w:p>
        </w:tc>
        <w:tc>
          <w:tcPr>
            <w:tcW w:w="1558" w:type="dxa"/>
            <w:shd w:val="clear" w:color="auto" w:fill="auto"/>
            <w:vAlign w:val="center"/>
          </w:tcPr>
          <w:p w14:paraId="3DA05908" w14:textId="77777777" w:rsidR="008743D8" w:rsidRPr="00E0260C" w:rsidRDefault="008743D8" w:rsidP="00485D36">
            <w:pPr>
              <w:pStyle w:val="af3"/>
              <w:jc w:val="center"/>
              <w:rPr>
                <w:rFonts w:asciiTheme="majorHAnsi" w:hAnsiTheme="majorHAnsi" w:cstheme="majorHAnsi"/>
                <w:b/>
                <w:lang w:val="ro-MD" w:eastAsia="ru-RU"/>
              </w:rPr>
            </w:pPr>
            <w:r w:rsidRPr="00E0260C">
              <w:rPr>
                <w:rFonts w:asciiTheme="majorHAnsi" w:hAnsiTheme="majorHAnsi" w:cstheme="majorHAnsi"/>
                <w:b/>
                <w:lang w:val="ro-MD" w:eastAsia="ru-RU"/>
              </w:rPr>
              <w:t>% în total</w:t>
            </w:r>
          </w:p>
        </w:tc>
      </w:tr>
      <w:tr w:rsidR="008743D8" w:rsidRPr="00E0260C" w14:paraId="149563B1" w14:textId="77777777" w:rsidTr="00B30B4D">
        <w:tc>
          <w:tcPr>
            <w:tcW w:w="1557" w:type="dxa"/>
          </w:tcPr>
          <w:p w14:paraId="301F9423" w14:textId="77777777" w:rsidR="008743D8" w:rsidRDefault="008743D8" w:rsidP="00FB1205">
            <w:pPr>
              <w:pStyle w:val="af3"/>
              <w:jc w:val="both"/>
              <w:rPr>
                <w:rFonts w:asciiTheme="majorHAnsi" w:hAnsiTheme="majorHAnsi" w:cstheme="majorHAnsi"/>
                <w:lang w:val="ro-MD" w:eastAsia="ru-RU"/>
              </w:rPr>
            </w:pPr>
            <w:r>
              <w:rPr>
                <w:rFonts w:asciiTheme="majorHAnsi" w:hAnsiTheme="majorHAnsi" w:cstheme="majorHAnsi"/>
                <w:lang w:val="ro-MD" w:eastAsia="ru-RU"/>
              </w:rPr>
              <w:t>2016</w:t>
            </w:r>
          </w:p>
        </w:tc>
        <w:tc>
          <w:tcPr>
            <w:tcW w:w="1557" w:type="dxa"/>
          </w:tcPr>
          <w:p w14:paraId="4682DDFA"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50 785,8</w:t>
            </w:r>
          </w:p>
        </w:tc>
        <w:tc>
          <w:tcPr>
            <w:tcW w:w="1557" w:type="dxa"/>
          </w:tcPr>
          <w:p w14:paraId="258AA2CD"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29 266,2</w:t>
            </w:r>
          </w:p>
        </w:tc>
        <w:tc>
          <w:tcPr>
            <w:tcW w:w="1558" w:type="dxa"/>
          </w:tcPr>
          <w:p w14:paraId="52946A4A"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57,6</w:t>
            </w:r>
          </w:p>
        </w:tc>
        <w:tc>
          <w:tcPr>
            <w:tcW w:w="1558" w:type="dxa"/>
          </w:tcPr>
          <w:p w14:paraId="22BE6E3A"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21 519,6</w:t>
            </w:r>
          </w:p>
        </w:tc>
        <w:tc>
          <w:tcPr>
            <w:tcW w:w="1558" w:type="dxa"/>
          </w:tcPr>
          <w:p w14:paraId="7E977CA3"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42,4</w:t>
            </w:r>
          </w:p>
        </w:tc>
      </w:tr>
      <w:tr w:rsidR="008743D8" w:rsidRPr="00E0260C" w14:paraId="7680E481" w14:textId="77777777" w:rsidTr="00B30B4D">
        <w:tc>
          <w:tcPr>
            <w:tcW w:w="1557" w:type="dxa"/>
          </w:tcPr>
          <w:p w14:paraId="421E351F" w14:textId="77777777" w:rsidR="008743D8" w:rsidRPr="00E0260C" w:rsidRDefault="008743D8" w:rsidP="00FB1205">
            <w:pPr>
              <w:pStyle w:val="af3"/>
              <w:jc w:val="both"/>
              <w:rPr>
                <w:rFonts w:asciiTheme="majorHAnsi" w:hAnsiTheme="majorHAnsi" w:cstheme="majorHAnsi"/>
                <w:lang w:val="ro-MD" w:eastAsia="ru-RU"/>
              </w:rPr>
            </w:pPr>
            <w:r>
              <w:rPr>
                <w:rFonts w:asciiTheme="majorHAnsi" w:hAnsiTheme="majorHAnsi" w:cstheme="majorHAnsi"/>
                <w:lang w:val="ro-MD" w:eastAsia="ru-RU"/>
              </w:rPr>
              <w:t>2017</w:t>
            </w:r>
          </w:p>
        </w:tc>
        <w:tc>
          <w:tcPr>
            <w:tcW w:w="1557" w:type="dxa"/>
          </w:tcPr>
          <w:p w14:paraId="1BE8CC77"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51 660,3</w:t>
            </w:r>
          </w:p>
        </w:tc>
        <w:tc>
          <w:tcPr>
            <w:tcW w:w="1557" w:type="dxa"/>
          </w:tcPr>
          <w:p w14:paraId="4CF8C1C7"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29 081,8</w:t>
            </w:r>
          </w:p>
        </w:tc>
        <w:tc>
          <w:tcPr>
            <w:tcW w:w="1558" w:type="dxa"/>
          </w:tcPr>
          <w:p w14:paraId="7E2ED33E"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56,3</w:t>
            </w:r>
          </w:p>
        </w:tc>
        <w:tc>
          <w:tcPr>
            <w:tcW w:w="1558" w:type="dxa"/>
          </w:tcPr>
          <w:p w14:paraId="656AFD90"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22 578,5</w:t>
            </w:r>
          </w:p>
        </w:tc>
        <w:tc>
          <w:tcPr>
            <w:tcW w:w="1558" w:type="dxa"/>
          </w:tcPr>
          <w:p w14:paraId="548E69E2"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43,7</w:t>
            </w:r>
          </w:p>
        </w:tc>
      </w:tr>
      <w:tr w:rsidR="008743D8" w:rsidRPr="00E0260C" w14:paraId="4DC62851" w14:textId="77777777" w:rsidTr="00B30B4D">
        <w:tc>
          <w:tcPr>
            <w:tcW w:w="1557" w:type="dxa"/>
          </w:tcPr>
          <w:p w14:paraId="49CB2E29" w14:textId="77777777" w:rsidR="008743D8" w:rsidRPr="00E0260C" w:rsidRDefault="008743D8" w:rsidP="00FB1205">
            <w:pPr>
              <w:pStyle w:val="af3"/>
              <w:jc w:val="both"/>
              <w:rPr>
                <w:rFonts w:asciiTheme="majorHAnsi" w:hAnsiTheme="majorHAnsi" w:cstheme="majorHAnsi"/>
                <w:lang w:val="ro-MD" w:eastAsia="ru-RU"/>
              </w:rPr>
            </w:pPr>
            <w:r>
              <w:rPr>
                <w:rFonts w:asciiTheme="majorHAnsi" w:hAnsiTheme="majorHAnsi" w:cstheme="majorHAnsi"/>
                <w:lang w:val="ro-MD" w:eastAsia="ru-RU"/>
              </w:rPr>
              <w:t>2018</w:t>
            </w:r>
          </w:p>
        </w:tc>
        <w:tc>
          <w:tcPr>
            <w:tcW w:w="1557" w:type="dxa"/>
          </w:tcPr>
          <w:p w14:paraId="12B6BA22"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52 012,5</w:t>
            </w:r>
          </w:p>
        </w:tc>
        <w:tc>
          <w:tcPr>
            <w:tcW w:w="1557" w:type="dxa"/>
          </w:tcPr>
          <w:p w14:paraId="070F58A9"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28 954,0</w:t>
            </w:r>
          </w:p>
        </w:tc>
        <w:tc>
          <w:tcPr>
            <w:tcW w:w="1558" w:type="dxa"/>
          </w:tcPr>
          <w:p w14:paraId="72C9089C"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55,7</w:t>
            </w:r>
          </w:p>
        </w:tc>
        <w:tc>
          <w:tcPr>
            <w:tcW w:w="1558" w:type="dxa"/>
          </w:tcPr>
          <w:p w14:paraId="255C31E0"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23 058,6</w:t>
            </w:r>
          </w:p>
        </w:tc>
        <w:tc>
          <w:tcPr>
            <w:tcW w:w="1558" w:type="dxa"/>
          </w:tcPr>
          <w:p w14:paraId="5CF212C0"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44,3</w:t>
            </w:r>
          </w:p>
        </w:tc>
      </w:tr>
      <w:tr w:rsidR="008743D8" w:rsidRPr="00E0260C" w14:paraId="607CB419" w14:textId="77777777" w:rsidTr="00B30B4D">
        <w:tc>
          <w:tcPr>
            <w:tcW w:w="1557" w:type="dxa"/>
          </w:tcPr>
          <w:p w14:paraId="460579BA" w14:textId="77777777" w:rsidR="008743D8" w:rsidRPr="00E0260C" w:rsidRDefault="008743D8" w:rsidP="00FB1205">
            <w:pPr>
              <w:pStyle w:val="af3"/>
              <w:jc w:val="both"/>
              <w:rPr>
                <w:rFonts w:asciiTheme="majorHAnsi" w:hAnsiTheme="majorHAnsi" w:cstheme="majorHAnsi"/>
                <w:lang w:val="ro-MD" w:eastAsia="ru-RU"/>
              </w:rPr>
            </w:pPr>
            <w:r>
              <w:rPr>
                <w:rFonts w:asciiTheme="majorHAnsi" w:hAnsiTheme="majorHAnsi" w:cstheme="majorHAnsi"/>
                <w:lang w:val="ro-MD" w:eastAsia="ru-RU"/>
              </w:rPr>
              <w:t>2019</w:t>
            </w:r>
          </w:p>
        </w:tc>
        <w:tc>
          <w:tcPr>
            <w:tcW w:w="1557" w:type="dxa"/>
          </w:tcPr>
          <w:p w14:paraId="5B1BA74A"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52 494,3</w:t>
            </w:r>
          </w:p>
        </w:tc>
        <w:tc>
          <w:tcPr>
            <w:tcW w:w="1557" w:type="dxa"/>
          </w:tcPr>
          <w:p w14:paraId="4EEDB01A"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29 326,1</w:t>
            </w:r>
          </w:p>
        </w:tc>
        <w:tc>
          <w:tcPr>
            <w:tcW w:w="1558" w:type="dxa"/>
          </w:tcPr>
          <w:p w14:paraId="0F89B6B5"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55,9</w:t>
            </w:r>
          </w:p>
        </w:tc>
        <w:tc>
          <w:tcPr>
            <w:tcW w:w="1558" w:type="dxa"/>
          </w:tcPr>
          <w:p w14:paraId="3132E864"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23 168,2</w:t>
            </w:r>
          </w:p>
        </w:tc>
        <w:tc>
          <w:tcPr>
            <w:tcW w:w="1558" w:type="dxa"/>
          </w:tcPr>
          <w:p w14:paraId="090A055F" w14:textId="77777777" w:rsidR="008743D8" w:rsidRPr="00E0260C"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44,1</w:t>
            </w:r>
          </w:p>
        </w:tc>
      </w:tr>
      <w:tr w:rsidR="008743D8" w:rsidRPr="00E0260C" w14:paraId="58B7A620" w14:textId="77777777" w:rsidTr="00B30B4D">
        <w:tc>
          <w:tcPr>
            <w:tcW w:w="1557" w:type="dxa"/>
          </w:tcPr>
          <w:p w14:paraId="2B1611D4" w14:textId="77777777" w:rsidR="008743D8" w:rsidRDefault="008743D8" w:rsidP="00FB1205">
            <w:pPr>
              <w:pStyle w:val="af3"/>
              <w:jc w:val="both"/>
              <w:rPr>
                <w:rFonts w:asciiTheme="majorHAnsi" w:hAnsiTheme="majorHAnsi" w:cstheme="majorHAnsi"/>
                <w:lang w:val="ro-MD" w:eastAsia="ru-RU"/>
              </w:rPr>
            </w:pPr>
            <w:r>
              <w:rPr>
                <w:rFonts w:asciiTheme="majorHAnsi" w:hAnsiTheme="majorHAnsi" w:cstheme="majorHAnsi"/>
                <w:lang w:val="ro-MD" w:eastAsia="ru-RU"/>
              </w:rPr>
              <w:t>2020</w:t>
            </w:r>
          </w:p>
        </w:tc>
        <w:tc>
          <w:tcPr>
            <w:tcW w:w="1557" w:type="dxa"/>
          </w:tcPr>
          <w:p w14:paraId="08B6B754"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67 820,7</w:t>
            </w:r>
          </w:p>
        </w:tc>
        <w:tc>
          <w:tcPr>
            <w:tcW w:w="1557" w:type="dxa"/>
          </w:tcPr>
          <w:p w14:paraId="64A3C5AA"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38 585,1</w:t>
            </w:r>
          </w:p>
        </w:tc>
        <w:tc>
          <w:tcPr>
            <w:tcW w:w="1558" w:type="dxa"/>
          </w:tcPr>
          <w:p w14:paraId="79E2F4C7"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56,9</w:t>
            </w:r>
          </w:p>
        </w:tc>
        <w:tc>
          <w:tcPr>
            <w:tcW w:w="1558" w:type="dxa"/>
          </w:tcPr>
          <w:p w14:paraId="12D57753"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29 235,6</w:t>
            </w:r>
          </w:p>
        </w:tc>
        <w:tc>
          <w:tcPr>
            <w:tcW w:w="1558" w:type="dxa"/>
          </w:tcPr>
          <w:p w14:paraId="224F568A" w14:textId="77777777" w:rsidR="008743D8" w:rsidRDefault="008743D8" w:rsidP="00485D36">
            <w:pPr>
              <w:pStyle w:val="af3"/>
              <w:jc w:val="center"/>
              <w:rPr>
                <w:rFonts w:asciiTheme="majorHAnsi" w:hAnsiTheme="majorHAnsi" w:cstheme="majorHAnsi"/>
                <w:lang w:val="ro-MD" w:eastAsia="ru-RU"/>
              </w:rPr>
            </w:pPr>
            <w:r>
              <w:rPr>
                <w:rFonts w:asciiTheme="majorHAnsi" w:hAnsiTheme="majorHAnsi" w:cstheme="majorHAnsi"/>
                <w:lang w:val="ro-MD" w:eastAsia="ru-RU"/>
              </w:rPr>
              <w:t>43,1</w:t>
            </w:r>
          </w:p>
        </w:tc>
      </w:tr>
    </w:tbl>
    <w:p w14:paraId="5FCED543" w14:textId="6FB5B120" w:rsidR="005F0776" w:rsidRPr="005F0776" w:rsidRDefault="008743D8" w:rsidP="00FB1205">
      <w:pPr>
        <w:spacing w:line="276" w:lineRule="auto"/>
        <w:ind w:firstLine="284"/>
        <w:jc w:val="both"/>
        <w:rPr>
          <w:rFonts w:cstheme="majorHAnsi"/>
          <w:i/>
          <w:sz w:val="20"/>
          <w:szCs w:val="20"/>
          <w:lang w:val="ro-MD" w:eastAsia="ru-RU"/>
        </w:rPr>
      </w:pPr>
      <w:r w:rsidRPr="009B5172">
        <w:rPr>
          <w:rFonts w:cstheme="majorHAnsi"/>
          <w:b/>
          <w:i/>
          <w:sz w:val="20"/>
          <w:szCs w:val="20"/>
          <w:lang w:val="ro-MD" w:eastAsia="ru-RU"/>
        </w:rPr>
        <w:t>Sursa:</w:t>
      </w:r>
      <w:r w:rsidRPr="009B5172">
        <w:rPr>
          <w:rFonts w:cstheme="majorHAnsi"/>
          <w:i/>
          <w:sz w:val="20"/>
          <w:szCs w:val="20"/>
          <w:lang w:val="ro-MD" w:eastAsia="ru-RU"/>
        </w:rPr>
        <w:t xml:space="preserve"> Datele Rapoartelor privind datoria de stat la situațiile din 31.12.201</w:t>
      </w:r>
      <w:r>
        <w:rPr>
          <w:rFonts w:cstheme="majorHAnsi"/>
          <w:i/>
          <w:sz w:val="20"/>
          <w:szCs w:val="20"/>
          <w:lang w:val="ro-MD" w:eastAsia="ru-RU"/>
        </w:rPr>
        <w:t>6</w:t>
      </w:r>
      <w:r w:rsidRPr="009B5172">
        <w:rPr>
          <w:rFonts w:cstheme="majorHAnsi"/>
          <w:i/>
          <w:sz w:val="20"/>
          <w:szCs w:val="20"/>
          <w:lang w:val="ro-MD" w:eastAsia="ru-RU"/>
        </w:rPr>
        <w:t>, 31.12.201</w:t>
      </w:r>
      <w:r>
        <w:rPr>
          <w:rFonts w:cstheme="majorHAnsi"/>
          <w:i/>
          <w:sz w:val="20"/>
          <w:szCs w:val="20"/>
          <w:lang w:val="ro-MD" w:eastAsia="ru-RU"/>
        </w:rPr>
        <w:t xml:space="preserve">7, </w:t>
      </w:r>
      <w:r w:rsidRPr="009B5172">
        <w:rPr>
          <w:rFonts w:cstheme="majorHAnsi"/>
          <w:i/>
          <w:sz w:val="20"/>
          <w:szCs w:val="20"/>
          <w:lang w:val="ro-MD" w:eastAsia="ru-RU"/>
        </w:rPr>
        <w:t>31.12.201</w:t>
      </w:r>
      <w:r>
        <w:rPr>
          <w:rFonts w:cstheme="majorHAnsi"/>
          <w:i/>
          <w:sz w:val="20"/>
          <w:szCs w:val="20"/>
          <w:lang w:val="ro-MD" w:eastAsia="ru-RU"/>
        </w:rPr>
        <w:t>8, 31.12.2019 și 31.12.2020.</w:t>
      </w:r>
    </w:p>
    <w:p w14:paraId="5E7073E8" w14:textId="559AF91D" w:rsidR="002A1D49" w:rsidRPr="00BB755E" w:rsidRDefault="008743D8" w:rsidP="00FB1205">
      <w:pPr>
        <w:pStyle w:val="af3"/>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Analiza în evoluție a datoriei de stat </w:t>
      </w:r>
      <w:r w:rsidR="0003421C">
        <w:rPr>
          <w:rFonts w:asciiTheme="majorHAnsi" w:hAnsiTheme="majorHAnsi" w:cstheme="majorHAnsi"/>
          <w:sz w:val="24"/>
          <w:szCs w:val="24"/>
          <w:lang w:val="ro-MD" w:eastAsia="ru-RU"/>
        </w:rPr>
        <w:t>denotă că pe parcursul ultim</w:t>
      </w:r>
      <w:r w:rsidR="00A5705E">
        <w:rPr>
          <w:rFonts w:asciiTheme="majorHAnsi" w:hAnsiTheme="majorHAnsi" w:cstheme="majorHAnsi"/>
          <w:sz w:val="24"/>
          <w:szCs w:val="24"/>
          <w:lang w:val="ro-MD" w:eastAsia="ru-RU"/>
        </w:rPr>
        <w:t>i</w:t>
      </w:r>
      <w:r w:rsidR="0003421C">
        <w:rPr>
          <w:rFonts w:asciiTheme="majorHAnsi" w:hAnsiTheme="majorHAnsi" w:cstheme="majorHAnsi"/>
          <w:sz w:val="24"/>
          <w:szCs w:val="24"/>
          <w:lang w:val="ro-MD" w:eastAsia="ru-RU"/>
        </w:rPr>
        <w:t>lor 5 ani, ponderea major</w:t>
      </w:r>
      <w:r w:rsidR="00F55EAC">
        <w:rPr>
          <w:rFonts w:asciiTheme="majorHAnsi" w:hAnsiTheme="majorHAnsi" w:cstheme="majorHAnsi"/>
          <w:sz w:val="24"/>
          <w:szCs w:val="24"/>
          <w:lang w:val="ro-MD" w:eastAsia="ru-RU"/>
        </w:rPr>
        <w:t>ă în totalul datoriei de stat</w:t>
      </w:r>
      <w:r w:rsidR="0003421C">
        <w:rPr>
          <w:rFonts w:asciiTheme="majorHAnsi" w:hAnsiTheme="majorHAnsi" w:cstheme="majorHAnsi"/>
          <w:sz w:val="24"/>
          <w:szCs w:val="24"/>
          <w:lang w:val="ro-MD" w:eastAsia="ru-RU"/>
        </w:rPr>
        <w:t xml:space="preserve"> revine constant datoriei de stat externe. </w:t>
      </w:r>
      <w:r>
        <w:rPr>
          <w:rFonts w:asciiTheme="majorHAnsi" w:hAnsiTheme="majorHAnsi" w:cstheme="majorHAnsi"/>
          <w:sz w:val="24"/>
          <w:szCs w:val="24"/>
          <w:lang w:val="ro-MD" w:eastAsia="ru-RU"/>
        </w:rPr>
        <w:t xml:space="preserve">  </w:t>
      </w:r>
    </w:p>
    <w:p w14:paraId="7F649974" w14:textId="1B21FD58" w:rsidR="00811962" w:rsidRPr="00670C80" w:rsidRDefault="00811962" w:rsidP="00FB1205">
      <w:pPr>
        <w:pStyle w:val="af3"/>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Ca pondere în PIB, în anul 2020, datoria de sta</w:t>
      </w:r>
      <w:r w:rsidR="00F55EAC">
        <w:rPr>
          <w:rFonts w:asciiTheme="majorHAnsi" w:hAnsiTheme="majorHAnsi" w:cstheme="majorHAnsi"/>
          <w:sz w:val="24"/>
          <w:szCs w:val="24"/>
          <w:lang w:val="ro-MD" w:eastAsia="ru-RU"/>
        </w:rPr>
        <w:t>t a constituit 32,9%, înregistrâ</w:t>
      </w:r>
      <w:r>
        <w:rPr>
          <w:rFonts w:asciiTheme="majorHAnsi" w:hAnsiTheme="majorHAnsi" w:cstheme="majorHAnsi"/>
          <w:sz w:val="24"/>
          <w:szCs w:val="24"/>
          <w:lang w:val="ro-MD" w:eastAsia="ru-RU"/>
        </w:rPr>
        <w:t xml:space="preserve">nd o creștere </w:t>
      </w:r>
      <w:r w:rsidR="002A1D49">
        <w:rPr>
          <w:rFonts w:asciiTheme="majorHAnsi" w:hAnsiTheme="majorHAnsi" w:cstheme="majorHAnsi"/>
          <w:sz w:val="24"/>
          <w:szCs w:val="24"/>
          <w:lang w:val="ro-MD" w:eastAsia="ru-RU"/>
        </w:rPr>
        <w:t xml:space="preserve">semnificativă </w:t>
      </w:r>
      <w:r>
        <w:rPr>
          <w:rFonts w:asciiTheme="majorHAnsi" w:hAnsiTheme="majorHAnsi" w:cstheme="majorHAnsi"/>
          <w:sz w:val="24"/>
          <w:szCs w:val="24"/>
          <w:lang w:val="ro-MD" w:eastAsia="ru-RU"/>
        </w:rPr>
        <w:t>față de anul 2019 cu</w:t>
      </w:r>
      <w:r w:rsidR="002A1D49">
        <w:rPr>
          <w:rFonts w:asciiTheme="majorHAnsi" w:hAnsiTheme="majorHAnsi" w:cstheme="majorHAnsi"/>
          <w:sz w:val="24"/>
          <w:szCs w:val="24"/>
          <w:lang w:val="ro-MD" w:eastAsia="ru-RU"/>
        </w:rPr>
        <w:t xml:space="preserve"> 7,9 p.p.</w:t>
      </w:r>
      <w:r w:rsidR="00F55EAC">
        <w:rPr>
          <w:rFonts w:asciiTheme="majorHAnsi" w:hAnsiTheme="majorHAnsi" w:cstheme="majorHAnsi"/>
          <w:sz w:val="24"/>
          <w:szCs w:val="24"/>
          <w:lang w:val="ro-MD" w:eastAsia="ru-RU"/>
        </w:rPr>
        <w:t xml:space="preserve"> </w:t>
      </w:r>
      <w:r w:rsidRPr="009B5172">
        <w:rPr>
          <w:rFonts w:asciiTheme="majorHAnsi" w:hAnsiTheme="majorHAnsi" w:cstheme="majorHAnsi"/>
          <w:i/>
          <w:sz w:val="24"/>
          <w:szCs w:val="24"/>
          <w:lang w:val="ro-MD" w:eastAsia="ru-RU"/>
        </w:rPr>
        <w:t xml:space="preserve">Evoluția ponderii datoriei de stat în PIB se prezintă în </w:t>
      </w:r>
      <w:r>
        <w:rPr>
          <w:rFonts w:asciiTheme="majorHAnsi" w:hAnsiTheme="majorHAnsi" w:cstheme="majorHAnsi"/>
          <w:i/>
          <w:sz w:val="24"/>
          <w:szCs w:val="24"/>
          <w:lang w:val="ro-MD" w:eastAsia="ru-RU"/>
        </w:rPr>
        <w:t>Diagrama</w:t>
      </w:r>
      <w:r w:rsidRPr="009B5172">
        <w:rPr>
          <w:rFonts w:asciiTheme="majorHAnsi" w:hAnsiTheme="majorHAnsi" w:cstheme="majorHAnsi"/>
          <w:i/>
          <w:sz w:val="24"/>
          <w:szCs w:val="24"/>
          <w:lang w:val="ro-MD" w:eastAsia="ru-RU"/>
        </w:rPr>
        <w:t xml:space="preserve"> nr.</w:t>
      </w:r>
      <w:r w:rsidR="00EF13D7">
        <w:rPr>
          <w:rFonts w:asciiTheme="majorHAnsi" w:hAnsiTheme="majorHAnsi" w:cstheme="majorHAnsi"/>
          <w:i/>
          <w:sz w:val="24"/>
          <w:szCs w:val="24"/>
          <w:lang w:val="ro-MD" w:eastAsia="ru-RU"/>
        </w:rPr>
        <w:t>1</w:t>
      </w:r>
      <w:r w:rsidR="008957BF">
        <w:rPr>
          <w:rFonts w:asciiTheme="majorHAnsi" w:hAnsiTheme="majorHAnsi" w:cstheme="majorHAnsi"/>
          <w:i/>
          <w:sz w:val="24"/>
          <w:szCs w:val="24"/>
          <w:lang w:val="ro-MD" w:eastAsia="ru-RU"/>
        </w:rPr>
        <w:t>.</w:t>
      </w:r>
    </w:p>
    <w:p w14:paraId="4AD6CB53" w14:textId="50E46D46" w:rsidR="00AB3805" w:rsidRDefault="00811962" w:rsidP="00FB1205">
      <w:pPr>
        <w:pStyle w:val="af3"/>
        <w:spacing w:line="276" w:lineRule="auto"/>
        <w:jc w:val="both"/>
        <w:rPr>
          <w:rFonts w:asciiTheme="majorHAnsi" w:hAnsiTheme="majorHAnsi" w:cstheme="majorHAnsi"/>
          <w:b/>
          <w:sz w:val="24"/>
          <w:szCs w:val="24"/>
        </w:rPr>
      </w:pPr>
      <w:r>
        <w:rPr>
          <w:rFonts w:asciiTheme="majorHAnsi" w:hAnsiTheme="majorHAnsi" w:cstheme="majorHAnsi"/>
          <w:noProof/>
          <w:sz w:val="24"/>
          <w:szCs w:val="24"/>
          <w:lang w:val="ru-RU" w:eastAsia="ru-RU"/>
        </w:rPr>
        <w:drawing>
          <wp:inline distT="0" distB="0" distL="0" distR="0" wp14:anchorId="0BE53D7A" wp14:editId="44924E2E">
            <wp:extent cx="5940425" cy="2352675"/>
            <wp:effectExtent l="0" t="0" r="317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45300C" w14:textId="77777777" w:rsidR="00A105F9" w:rsidRPr="009B5172" w:rsidRDefault="00A105F9" w:rsidP="00FB1205">
      <w:pPr>
        <w:spacing w:after="0" w:line="276" w:lineRule="auto"/>
        <w:ind w:firstLine="284"/>
        <w:jc w:val="both"/>
        <w:rPr>
          <w:rFonts w:cstheme="majorHAnsi"/>
          <w:i/>
          <w:sz w:val="20"/>
          <w:szCs w:val="20"/>
          <w:lang w:val="ro-MD" w:eastAsia="ru-RU"/>
        </w:rPr>
      </w:pPr>
      <w:r w:rsidRPr="009B5172">
        <w:rPr>
          <w:rFonts w:cstheme="majorHAnsi"/>
          <w:b/>
          <w:i/>
          <w:sz w:val="20"/>
          <w:szCs w:val="20"/>
          <w:lang w:val="ro-MD" w:eastAsia="ru-RU"/>
        </w:rPr>
        <w:t>Sursa:</w:t>
      </w:r>
      <w:r w:rsidRPr="009B5172">
        <w:rPr>
          <w:rFonts w:cstheme="majorHAnsi"/>
          <w:i/>
          <w:sz w:val="20"/>
          <w:szCs w:val="20"/>
          <w:lang w:val="ro-MD" w:eastAsia="ru-RU"/>
        </w:rPr>
        <w:t xml:space="preserve"> Datele Rapoartelor privind datoria de stat la situațiile din 31.12.201</w:t>
      </w:r>
      <w:r>
        <w:rPr>
          <w:rFonts w:cstheme="majorHAnsi"/>
          <w:i/>
          <w:sz w:val="20"/>
          <w:szCs w:val="20"/>
          <w:lang w:val="ro-MD" w:eastAsia="ru-RU"/>
        </w:rPr>
        <w:t>6</w:t>
      </w:r>
      <w:r w:rsidRPr="009B5172">
        <w:rPr>
          <w:rFonts w:cstheme="majorHAnsi"/>
          <w:i/>
          <w:sz w:val="20"/>
          <w:szCs w:val="20"/>
          <w:lang w:val="ro-MD" w:eastAsia="ru-RU"/>
        </w:rPr>
        <w:t>, 31.12.201</w:t>
      </w:r>
      <w:r>
        <w:rPr>
          <w:rFonts w:cstheme="majorHAnsi"/>
          <w:i/>
          <w:sz w:val="20"/>
          <w:szCs w:val="20"/>
          <w:lang w:val="ro-MD" w:eastAsia="ru-RU"/>
        </w:rPr>
        <w:t xml:space="preserve">7, </w:t>
      </w:r>
      <w:r w:rsidRPr="009B5172">
        <w:rPr>
          <w:rFonts w:cstheme="majorHAnsi"/>
          <w:i/>
          <w:sz w:val="20"/>
          <w:szCs w:val="20"/>
          <w:lang w:val="ro-MD" w:eastAsia="ru-RU"/>
        </w:rPr>
        <w:t>31.12.201</w:t>
      </w:r>
      <w:r>
        <w:rPr>
          <w:rFonts w:cstheme="majorHAnsi"/>
          <w:i/>
          <w:sz w:val="20"/>
          <w:szCs w:val="20"/>
          <w:lang w:val="ro-MD" w:eastAsia="ru-RU"/>
        </w:rPr>
        <w:t>8, 31.12.2019 și 31.12.2020.</w:t>
      </w:r>
    </w:p>
    <w:p w14:paraId="0C7317DE" w14:textId="77777777" w:rsidR="00A105F9" w:rsidRDefault="00A105F9" w:rsidP="00FB1205">
      <w:pPr>
        <w:pStyle w:val="af3"/>
        <w:spacing w:line="276" w:lineRule="auto"/>
        <w:jc w:val="both"/>
        <w:rPr>
          <w:rFonts w:asciiTheme="majorHAnsi" w:hAnsiTheme="majorHAnsi" w:cstheme="majorHAnsi"/>
          <w:i/>
          <w:sz w:val="24"/>
          <w:szCs w:val="24"/>
          <w:lang w:val="ro-MD" w:eastAsia="ru-RU"/>
        </w:rPr>
      </w:pPr>
    </w:p>
    <w:p w14:paraId="4ACAB13F" w14:textId="6A8607C1" w:rsidR="00E11C61" w:rsidRPr="007225E3" w:rsidRDefault="00E11C61" w:rsidP="006179D9">
      <w:pPr>
        <w:spacing w:after="0"/>
        <w:jc w:val="both"/>
        <w:rPr>
          <w:rFonts w:cstheme="majorHAnsi"/>
          <w:i/>
          <w:szCs w:val="24"/>
          <w:highlight w:val="yellow"/>
          <w:lang w:val="ro-MD" w:eastAsia="ru-RU"/>
        </w:rPr>
      </w:pPr>
      <w:r w:rsidRPr="00E5668B">
        <w:rPr>
          <w:lang w:val="ro-MD" w:eastAsia="ru-RU"/>
        </w:rPr>
        <w:t xml:space="preserve">În anul 2020, pentru </w:t>
      </w:r>
      <w:r w:rsidRPr="00E11C61">
        <w:rPr>
          <w:b/>
          <w:i/>
          <w:lang w:val="ro-MD" w:eastAsia="ru-RU"/>
        </w:rPr>
        <w:t>deservirea datoriei de stat</w:t>
      </w:r>
      <w:r w:rsidRPr="00E5668B">
        <w:rPr>
          <w:lang w:val="ro-MD" w:eastAsia="ru-RU"/>
        </w:rPr>
        <w:t xml:space="preserve"> au fost achitate mijloace financiare în sumă totală de </w:t>
      </w:r>
      <w:r>
        <w:rPr>
          <w:lang w:val="ro-MD" w:eastAsia="ru-RU"/>
        </w:rPr>
        <w:t>15 713,6</w:t>
      </w:r>
      <w:r w:rsidR="00C2291F">
        <w:rPr>
          <w:lang w:val="ro-MD" w:eastAsia="ru-RU"/>
        </w:rPr>
        <w:t xml:space="preserve"> mil.</w:t>
      </w:r>
      <w:r w:rsidRPr="00E5668B">
        <w:rPr>
          <w:lang w:val="ro-MD" w:eastAsia="ru-RU"/>
        </w:rPr>
        <w:t>lei, sau cu 6</w:t>
      </w:r>
      <w:r>
        <w:rPr>
          <w:lang w:val="ro-MD" w:eastAsia="ru-RU"/>
        </w:rPr>
        <w:t>68</w:t>
      </w:r>
      <w:r w:rsidRPr="00E5668B">
        <w:rPr>
          <w:lang w:val="ro-MD" w:eastAsia="ru-RU"/>
        </w:rPr>
        <w:t>,</w:t>
      </w:r>
      <w:r>
        <w:rPr>
          <w:lang w:val="ro-MD" w:eastAsia="ru-RU"/>
        </w:rPr>
        <w:t>4</w:t>
      </w:r>
      <w:r w:rsidR="00C2291F">
        <w:rPr>
          <w:lang w:val="ro-MD" w:eastAsia="ru-RU"/>
        </w:rPr>
        <w:t xml:space="preserve"> mil.</w:t>
      </w:r>
      <w:r>
        <w:rPr>
          <w:lang w:val="ro-MD" w:eastAsia="ru-RU"/>
        </w:rPr>
        <w:t>lei mai mult față de an</w:t>
      </w:r>
      <w:r w:rsidR="00C2291F">
        <w:rPr>
          <w:lang w:val="ro-MD" w:eastAsia="ru-RU"/>
        </w:rPr>
        <w:t>ul 2019, inclusiv 14 029,4 mil.</w:t>
      </w:r>
      <w:r>
        <w:rPr>
          <w:lang w:val="ro-MD" w:eastAsia="ru-RU"/>
        </w:rPr>
        <w:t>lei pentru rambursarea sumei principale și răscumpărarea VMS aj</w:t>
      </w:r>
      <w:r w:rsidR="00C2291F">
        <w:rPr>
          <w:lang w:val="ro-MD" w:eastAsia="ru-RU"/>
        </w:rPr>
        <w:t>unse la scadență și 1 684,2 mil.</w:t>
      </w:r>
      <w:r>
        <w:rPr>
          <w:lang w:val="ro-MD" w:eastAsia="ru-RU"/>
        </w:rPr>
        <w:t xml:space="preserve">lei pentru plata dobînzilor și comisioanelor. </w:t>
      </w:r>
      <w:r w:rsidR="002A08FB">
        <w:rPr>
          <w:lang w:val="ro-MD" w:eastAsia="ru-RU"/>
        </w:rPr>
        <w:t xml:space="preserve">Ponderea cea mai mare </w:t>
      </w:r>
      <w:r w:rsidR="00CE63A0">
        <w:rPr>
          <w:lang w:val="ro-MD" w:eastAsia="ru-RU"/>
        </w:rPr>
        <w:t>în</w:t>
      </w:r>
      <w:r w:rsidR="002A08FB">
        <w:rPr>
          <w:lang w:val="ro-MD" w:eastAsia="ru-RU"/>
        </w:rPr>
        <w:t xml:space="preserve"> totalul plăților </w:t>
      </w:r>
      <w:r w:rsidR="00CE63A0">
        <w:rPr>
          <w:lang w:val="ro-MD" w:eastAsia="ru-RU"/>
        </w:rPr>
        <w:t>efectuate</w:t>
      </w:r>
      <w:r>
        <w:rPr>
          <w:lang w:val="ro-MD" w:eastAsia="ru-RU"/>
        </w:rPr>
        <w:t xml:space="preserve"> </w:t>
      </w:r>
      <w:r w:rsidR="00CE63A0">
        <w:rPr>
          <w:lang w:val="ro-MD" w:eastAsia="ru-RU"/>
        </w:rPr>
        <w:t>a fost achitată</w:t>
      </w:r>
      <w:r w:rsidR="002A08FB">
        <w:rPr>
          <w:lang w:val="ro-MD" w:eastAsia="ru-RU"/>
        </w:rPr>
        <w:t xml:space="preserve"> </w:t>
      </w:r>
      <w:r>
        <w:rPr>
          <w:lang w:val="ro-MD" w:eastAsia="ru-RU"/>
        </w:rPr>
        <w:t>pentru deservirea datoriei de stat interne</w:t>
      </w:r>
      <w:r w:rsidR="002A08FB">
        <w:rPr>
          <w:lang w:val="ro-MD" w:eastAsia="ru-RU"/>
        </w:rPr>
        <w:t xml:space="preserve"> -</w:t>
      </w:r>
      <w:r>
        <w:rPr>
          <w:lang w:val="ro-MD" w:eastAsia="ru-RU"/>
        </w:rPr>
        <w:t xml:space="preserve"> </w:t>
      </w:r>
      <w:r w:rsidR="002A08FB">
        <w:rPr>
          <w:lang w:val="ro-MD" w:eastAsia="ru-RU"/>
        </w:rPr>
        <w:t>82,5% (</w:t>
      </w:r>
      <w:r w:rsidR="00CE63A0">
        <w:rPr>
          <w:lang w:val="ro-MD" w:eastAsia="ru-RU"/>
        </w:rPr>
        <w:t>12 977,0 mil.</w:t>
      </w:r>
      <w:r>
        <w:rPr>
          <w:lang w:val="ro-MD" w:eastAsia="ru-RU"/>
        </w:rPr>
        <w:t>lei</w:t>
      </w:r>
      <w:r w:rsidR="002A08FB">
        <w:rPr>
          <w:lang w:val="ro-MD" w:eastAsia="ru-RU"/>
        </w:rPr>
        <w:t>), iar</w:t>
      </w:r>
      <w:r>
        <w:rPr>
          <w:lang w:val="ro-MD" w:eastAsia="ru-RU"/>
        </w:rPr>
        <w:t xml:space="preserve"> </w:t>
      </w:r>
      <w:r w:rsidR="00CE63A0">
        <w:rPr>
          <w:lang w:val="ro-MD" w:eastAsia="ru-RU"/>
        </w:rPr>
        <w:t>17,5% (2 736,6 mil.</w:t>
      </w:r>
      <w:r w:rsidR="002A08FB">
        <w:rPr>
          <w:lang w:val="ro-MD" w:eastAsia="ru-RU"/>
        </w:rPr>
        <w:t xml:space="preserve">lei) revin </w:t>
      </w:r>
      <w:r>
        <w:rPr>
          <w:lang w:val="ro-MD" w:eastAsia="ru-RU"/>
        </w:rPr>
        <w:t>pentru deservirea datorie</w:t>
      </w:r>
      <w:r w:rsidR="002A08FB">
        <w:rPr>
          <w:lang w:val="ro-MD" w:eastAsia="ru-RU"/>
        </w:rPr>
        <w:t xml:space="preserve">i de stat externe. </w:t>
      </w:r>
      <w:r w:rsidR="006179D9" w:rsidRPr="007225E3">
        <w:rPr>
          <w:rFonts w:cstheme="majorHAnsi"/>
          <w:i/>
          <w:szCs w:val="24"/>
          <w:lang w:val="ro-MD" w:eastAsia="ru-RU"/>
        </w:rPr>
        <w:t xml:space="preserve">Analiza în </w:t>
      </w:r>
      <w:r w:rsidR="006179D9" w:rsidRPr="007225E3">
        <w:rPr>
          <w:rFonts w:cstheme="majorHAnsi"/>
          <w:i/>
          <w:szCs w:val="24"/>
          <w:lang w:val="ro-MD" w:eastAsia="ru-RU"/>
        </w:rPr>
        <w:lastRenderedPageBreak/>
        <w:t>evoluție a cheltuielilor suportate pentru deservirea datoriei de stat pe parcursul ultimilor 5 ani se prezintă în</w:t>
      </w:r>
      <w:r w:rsidR="0020451B">
        <w:rPr>
          <w:rFonts w:cstheme="majorHAnsi"/>
          <w:i/>
          <w:szCs w:val="24"/>
          <w:lang w:val="ro-MD" w:eastAsia="ru-RU"/>
        </w:rPr>
        <w:t xml:space="preserve"> </w:t>
      </w:r>
      <w:r w:rsidR="006179D9" w:rsidRPr="007225E3">
        <w:rPr>
          <w:rFonts w:cstheme="majorHAnsi"/>
          <w:i/>
          <w:szCs w:val="24"/>
          <w:lang w:val="ro-MD" w:eastAsia="ru-RU"/>
        </w:rPr>
        <w:t>Tabelul nr.</w:t>
      </w:r>
      <w:r w:rsidR="00EF13D7">
        <w:rPr>
          <w:rFonts w:cstheme="majorHAnsi"/>
          <w:i/>
          <w:szCs w:val="24"/>
          <w:lang w:val="ro-MD" w:eastAsia="ru-RU"/>
        </w:rPr>
        <w:t>3</w:t>
      </w:r>
      <w:r w:rsidR="0041687F">
        <w:rPr>
          <w:rFonts w:cstheme="majorHAnsi"/>
          <w:i/>
          <w:szCs w:val="24"/>
          <w:lang w:val="ro-MD" w:eastAsia="ru-RU"/>
        </w:rPr>
        <w:t>.</w:t>
      </w:r>
      <w:r w:rsidR="007225E3" w:rsidRPr="007225E3">
        <w:rPr>
          <w:rFonts w:cstheme="majorHAnsi"/>
          <w:i/>
          <w:szCs w:val="24"/>
          <w:lang w:val="ro-MD" w:eastAsia="ru-RU"/>
        </w:rPr>
        <w:t xml:space="preserve"> </w:t>
      </w:r>
    </w:p>
    <w:p w14:paraId="39CD5902" w14:textId="2FD7A8E6" w:rsidR="006179D9" w:rsidRDefault="006179D9" w:rsidP="006179D9">
      <w:pPr>
        <w:spacing w:after="0"/>
        <w:jc w:val="right"/>
        <w:rPr>
          <w:rFonts w:cstheme="majorHAnsi"/>
          <w:b/>
          <w:i/>
          <w:szCs w:val="24"/>
          <w:lang w:val="ro-MD" w:eastAsia="ru-RU"/>
        </w:rPr>
      </w:pPr>
      <w:r w:rsidRPr="007225E3">
        <w:rPr>
          <w:rFonts w:cstheme="majorHAnsi"/>
          <w:b/>
          <w:i/>
          <w:szCs w:val="24"/>
          <w:lang w:val="ro-MD" w:eastAsia="ru-RU"/>
        </w:rPr>
        <w:t>Tabelul nr.</w:t>
      </w:r>
      <w:r w:rsidR="00EF13D7">
        <w:rPr>
          <w:rFonts w:cstheme="majorHAnsi"/>
          <w:b/>
          <w:i/>
          <w:szCs w:val="24"/>
          <w:lang w:val="ro-MD" w:eastAsia="ru-RU"/>
        </w:rPr>
        <w:t>3</w:t>
      </w:r>
    </w:p>
    <w:p w14:paraId="7F774DA0" w14:textId="261531A4" w:rsidR="009258A7" w:rsidRDefault="009258A7" w:rsidP="009258A7">
      <w:pPr>
        <w:spacing w:after="0"/>
        <w:jc w:val="center"/>
        <w:rPr>
          <w:rFonts w:cstheme="majorHAnsi"/>
          <w:b/>
          <w:i/>
          <w:szCs w:val="24"/>
          <w:lang w:val="ro-MD" w:eastAsia="ru-RU"/>
        </w:rPr>
      </w:pPr>
      <w:r>
        <w:rPr>
          <w:rFonts w:cstheme="majorHAnsi"/>
          <w:b/>
          <w:i/>
          <w:szCs w:val="24"/>
          <w:lang w:val="ro-MD" w:eastAsia="ru-RU"/>
        </w:rPr>
        <w:t>Evoluția în dinamică a cheltuielilor aferente deservirii</w:t>
      </w:r>
      <w:r w:rsidR="00C2291F">
        <w:rPr>
          <w:rFonts w:cstheme="majorHAnsi"/>
          <w:b/>
          <w:i/>
          <w:szCs w:val="24"/>
          <w:lang w:val="ro-MD" w:eastAsia="ru-RU"/>
        </w:rPr>
        <w:t xml:space="preserve"> datoriei de stat, mil.</w:t>
      </w:r>
      <w:r>
        <w:rPr>
          <w:rFonts w:cstheme="majorHAnsi"/>
          <w:b/>
          <w:i/>
          <w:szCs w:val="24"/>
          <w:lang w:val="ro-MD" w:eastAsia="ru-RU"/>
        </w:rPr>
        <w:t>lei</w:t>
      </w:r>
    </w:p>
    <w:tbl>
      <w:tblPr>
        <w:tblStyle w:val="a3"/>
        <w:tblW w:w="9634" w:type="dxa"/>
        <w:tblLook w:val="04A0" w:firstRow="1" w:lastRow="0" w:firstColumn="1" w:lastColumn="0" w:noHBand="0" w:noVBand="1"/>
      </w:tblPr>
      <w:tblGrid>
        <w:gridCol w:w="3397"/>
        <w:gridCol w:w="992"/>
        <w:gridCol w:w="992"/>
        <w:gridCol w:w="993"/>
        <w:gridCol w:w="992"/>
        <w:gridCol w:w="992"/>
        <w:gridCol w:w="1276"/>
      </w:tblGrid>
      <w:tr w:rsidR="0031458E" w:rsidRPr="0031458E" w14:paraId="6B99001D" w14:textId="77777777" w:rsidTr="0031458E">
        <w:tc>
          <w:tcPr>
            <w:tcW w:w="3397" w:type="dxa"/>
            <w:shd w:val="clear" w:color="auto" w:fill="auto"/>
            <w:vAlign w:val="center"/>
          </w:tcPr>
          <w:p w14:paraId="584CFDA0"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Anul</w:t>
            </w:r>
          </w:p>
        </w:tc>
        <w:tc>
          <w:tcPr>
            <w:tcW w:w="992" w:type="dxa"/>
            <w:shd w:val="clear" w:color="auto" w:fill="auto"/>
            <w:vAlign w:val="center"/>
          </w:tcPr>
          <w:p w14:paraId="1CAAD146"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2016</w:t>
            </w:r>
          </w:p>
        </w:tc>
        <w:tc>
          <w:tcPr>
            <w:tcW w:w="992" w:type="dxa"/>
            <w:shd w:val="clear" w:color="auto" w:fill="auto"/>
            <w:vAlign w:val="center"/>
          </w:tcPr>
          <w:p w14:paraId="602B1E5A"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2017</w:t>
            </w:r>
          </w:p>
        </w:tc>
        <w:tc>
          <w:tcPr>
            <w:tcW w:w="993" w:type="dxa"/>
            <w:shd w:val="clear" w:color="auto" w:fill="auto"/>
            <w:vAlign w:val="center"/>
          </w:tcPr>
          <w:p w14:paraId="71385E2D"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2018</w:t>
            </w:r>
          </w:p>
        </w:tc>
        <w:tc>
          <w:tcPr>
            <w:tcW w:w="992" w:type="dxa"/>
            <w:shd w:val="clear" w:color="auto" w:fill="auto"/>
            <w:vAlign w:val="center"/>
          </w:tcPr>
          <w:p w14:paraId="1A81CB60"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2019</w:t>
            </w:r>
          </w:p>
        </w:tc>
        <w:tc>
          <w:tcPr>
            <w:tcW w:w="992" w:type="dxa"/>
            <w:shd w:val="clear" w:color="auto" w:fill="auto"/>
            <w:vAlign w:val="center"/>
          </w:tcPr>
          <w:p w14:paraId="0063F26D"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2020</w:t>
            </w:r>
          </w:p>
        </w:tc>
        <w:tc>
          <w:tcPr>
            <w:tcW w:w="1276" w:type="dxa"/>
            <w:shd w:val="clear" w:color="auto" w:fill="auto"/>
            <w:vAlign w:val="center"/>
          </w:tcPr>
          <w:p w14:paraId="1557FD31"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Devieri 2020 față de 2019</w:t>
            </w:r>
          </w:p>
        </w:tc>
      </w:tr>
      <w:tr w:rsidR="0031458E" w:rsidRPr="0031458E" w14:paraId="41AEEB40" w14:textId="77777777" w:rsidTr="0031458E">
        <w:tc>
          <w:tcPr>
            <w:tcW w:w="3397" w:type="dxa"/>
          </w:tcPr>
          <w:p w14:paraId="67A65366" w14:textId="77777777" w:rsidR="0031458E" w:rsidRPr="0031458E" w:rsidRDefault="0031458E" w:rsidP="0031458E">
            <w:pPr>
              <w:jc w:val="both"/>
              <w:rPr>
                <w:rFonts w:cstheme="majorHAnsi"/>
                <w:b/>
                <w:sz w:val="20"/>
                <w:szCs w:val="20"/>
                <w:lang w:val="ro-MD" w:eastAsia="ru-RU"/>
              </w:rPr>
            </w:pPr>
            <w:r w:rsidRPr="0031458E">
              <w:rPr>
                <w:rFonts w:cstheme="majorHAnsi"/>
                <w:b/>
                <w:sz w:val="20"/>
                <w:szCs w:val="20"/>
                <w:lang w:val="ro-MD" w:eastAsia="ru-RU"/>
              </w:rPr>
              <w:t>Deservirea datoriei de stat, inclusiv:</w:t>
            </w:r>
          </w:p>
          <w:p w14:paraId="72DA4DA3" w14:textId="77777777" w:rsidR="0031458E" w:rsidRPr="0031458E" w:rsidRDefault="0031458E" w:rsidP="0031458E">
            <w:pPr>
              <w:numPr>
                <w:ilvl w:val="0"/>
                <w:numId w:val="15"/>
              </w:numPr>
              <w:tabs>
                <w:tab w:val="left" w:pos="228"/>
                <w:tab w:val="left" w:pos="372"/>
              </w:tabs>
              <w:ind w:left="0" w:firstLine="0"/>
              <w:jc w:val="both"/>
              <w:rPr>
                <w:rFonts w:cstheme="majorHAnsi"/>
                <w:sz w:val="20"/>
                <w:szCs w:val="20"/>
                <w:lang w:val="ro-MD" w:eastAsia="ru-RU"/>
              </w:rPr>
            </w:pPr>
            <w:r w:rsidRPr="0031458E">
              <w:rPr>
                <w:rFonts w:cstheme="majorHAnsi"/>
                <w:sz w:val="20"/>
                <w:szCs w:val="20"/>
                <w:lang w:val="ro-MD" w:eastAsia="ru-RU"/>
              </w:rPr>
              <w:t>rambursarea sumei principale și răscumpărarea VMS</w:t>
            </w:r>
          </w:p>
          <w:p w14:paraId="3BE16166" w14:textId="77777777" w:rsidR="0031458E" w:rsidRPr="0031458E" w:rsidRDefault="0031458E" w:rsidP="0031458E">
            <w:pPr>
              <w:numPr>
                <w:ilvl w:val="0"/>
                <w:numId w:val="15"/>
              </w:numPr>
              <w:tabs>
                <w:tab w:val="left" w:pos="240"/>
              </w:tabs>
              <w:ind w:left="0" w:firstLine="0"/>
              <w:jc w:val="both"/>
              <w:rPr>
                <w:rFonts w:cstheme="majorHAnsi"/>
                <w:sz w:val="20"/>
                <w:szCs w:val="20"/>
                <w:lang w:val="ro-MD" w:eastAsia="ru-RU"/>
              </w:rPr>
            </w:pPr>
            <w:r w:rsidRPr="0031458E">
              <w:rPr>
                <w:rFonts w:cstheme="majorHAnsi"/>
                <w:sz w:val="20"/>
                <w:szCs w:val="20"/>
                <w:lang w:val="ro-MD" w:eastAsia="ru-RU"/>
              </w:rPr>
              <w:t>plata dobânzilor și comisioanelor</w:t>
            </w:r>
          </w:p>
        </w:tc>
        <w:tc>
          <w:tcPr>
            <w:tcW w:w="992" w:type="dxa"/>
          </w:tcPr>
          <w:p w14:paraId="50625135"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20 235,3</w:t>
            </w:r>
          </w:p>
          <w:p w14:paraId="66D23F36"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18 488,1</w:t>
            </w:r>
          </w:p>
          <w:p w14:paraId="2ACFD61B" w14:textId="77777777" w:rsidR="0031458E" w:rsidRPr="0031458E" w:rsidRDefault="0031458E" w:rsidP="0031458E">
            <w:pPr>
              <w:jc w:val="center"/>
              <w:rPr>
                <w:rFonts w:cstheme="majorHAnsi"/>
                <w:sz w:val="20"/>
                <w:szCs w:val="20"/>
                <w:lang w:val="ro-MD" w:eastAsia="ru-RU"/>
              </w:rPr>
            </w:pPr>
          </w:p>
          <w:p w14:paraId="02559B56"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1 747,2</w:t>
            </w:r>
          </w:p>
        </w:tc>
        <w:tc>
          <w:tcPr>
            <w:tcW w:w="992" w:type="dxa"/>
          </w:tcPr>
          <w:p w14:paraId="2934D755"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20 353,6</w:t>
            </w:r>
          </w:p>
          <w:p w14:paraId="6B35AE59"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18 424,6</w:t>
            </w:r>
          </w:p>
          <w:p w14:paraId="056E6E58" w14:textId="77777777" w:rsidR="0031458E" w:rsidRPr="0031458E" w:rsidRDefault="0031458E" w:rsidP="0031458E">
            <w:pPr>
              <w:jc w:val="center"/>
              <w:rPr>
                <w:rFonts w:cstheme="majorHAnsi"/>
                <w:sz w:val="20"/>
                <w:szCs w:val="20"/>
                <w:lang w:val="ro-MD" w:eastAsia="ru-RU"/>
              </w:rPr>
            </w:pPr>
          </w:p>
          <w:p w14:paraId="788BC98E"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1 929,0</w:t>
            </w:r>
          </w:p>
        </w:tc>
        <w:tc>
          <w:tcPr>
            <w:tcW w:w="993" w:type="dxa"/>
          </w:tcPr>
          <w:p w14:paraId="25C05781"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15 820,6</w:t>
            </w:r>
          </w:p>
          <w:p w14:paraId="5EE9C0B6"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14 315,8</w:t>
            </w:r>
          </w:p>
          <w:p w14:paraId="4892DF95" w14:textId="77777777" w:rsidR="0031458E" w:rsidRPr="0031458E" w:rsidRDefault="0031458E" w:rsidP="0031458E">
            <w:pPr>
              <w:jc w:val="center"/>
              <w:rPr>
                <w:rFonts w:cstheme="majorHAnsi"/>
                <w:sz w:val="20"/>
                <w:szCs w:val="20"/>
                <w:lang w:val="ro-MD" w:eastAsia="ru-RU"/>
              </w:rPr>
            </w:pPr>
          </w:p>
          <w:p w14:paraId="45982C53"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1 504,8</w:t>
            </w:r>
          </w:p>
        </w:tc>
        <w:tc>
          <w:tcPr>
            <w:tcW w:w="992" w:type="dxa"/>
          </w:tcPr>
          <w:p w14:paraId="79E933C8"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15 045,2</w:t>
            </w:r>
          </w:p>
          <w:p w14:paraId="02747260"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13 425,6</w:t>
            </w:r>
          </w:p>
          <w:p w14:paraId="485483F2" w14:textId="77777777" w:rsidR="0031458E" w:rsidRPr="0031458E" w:rsidRDefault="0031458E" w:rsidP="0031458E">
            <w:pPr>
              <w:jc w:val="center"/>
              <w:rPr>
                <w:rFonts w:cstheme="majorHAnsi"/>
                <w:sz w:val="20"/>
                <w:szCs w:val="20"/>
                <w:lang w:val="ro-MD" w:eastAsia="ru-RU"/>
              </w:rPr>
            </w:pPr>
          </w:p>
          <w:p w14:paraId="6D56C829"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1 619,6</w:t>
            </w:r>
          </w:p>
        </w:tc>
        <w:tc>
          <w:tcPr>
            <w:tcW w:w="992" w:type="dxa"/>
          </w:tcPr>
          <w:p w14:paraId="3549B74B"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15 713,6</w:t>
            </w:r>
          </w:p>
          <w:p w14:paraId="68098F63"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14 029,4</w:t>
            </w:r>
          </w:p>
          <w:p w14:paraId="51CEAC52" w14:textId="77777777" w:rsidR="0031458E" w:rsidRPr="0031458E" w:rsidRDefault="0031458E" w:rsidP="0031458E">
            <w:pPr>
              <w:jc w:val="center"/>
              <w:rPr>
                <w:rFonts w:cstheme="majorHAnsi"/>
                <w:sz w:val="20"/>
                <w:szCs w:val="20"/>
                <w:lang w:val="ro-MD" w:eastAsia="ru-RU"/>
              </w:rPr>
            </w:pPr>
          </w:p>
          <w:p w14:paraId="00B59A16"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1 684,2</w:t>
            </w:r>
          </w:p>
        </w:tc>
        <w:tc>
          <w:tcPr>
            <w:tcW w:w="1276" w:type="dxa"/>
          </w:tcPr>
          <w:p w14:paraId="51E4FEBB"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+668,4</w:t>
            </w:r>
          </w:p>
          <w:p w14:paraId="590D2360"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+603,8</w:t>
            </w:r>
          </w:p>
          <w:p w14:paraId="6812FE34" w14:textId="77777777" w:rsidR="0031458E" w:rsidRPr="0031458E" w:rsidRDefault="0031458E" w:rsidP="0031458E">
            <w:pPr>
              <w:jc w:val="center"/>
              <w:rPr>
                <w:rFonts w:cstheme="majorHAnsi"/>
                <w:sz w:val="20"/>
                <w:szCs w:val="20"/>
                <w:lang w:val="ro-MD" w:eastAsia="ru-RU"/>
              </w:rPr>
            </w:pPr>
          </w:p>
          <w:p w14:paraId="3BAEF30C"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+64,6</w:t>
            </w:r>
          </w:p>
        </w:tc>
      </w:tr>
      <w:tr w:rsidR="0031458E" w:rsidRPr="0031458E" w14:paraId="705EB25A" w14:textId="77777777" w:rsidTr="0031458E">
        <w:tc>
          <w:tcPr>
            <w:tcW w:w="3397" w:type="dxa"/>
          </w:tcPr>
          <w:p w14:paraId="6E83D28F" w14:textId="77777777" w:rsidR="0031458E" w:rsidRPr="0031458E" w:rsidRDefault="0031458E" w:rsidP="0031458E">
            <w:pPr>
              <w:jc w:val="both"/>
              <w:rPr>
                <w:rFonts w:cstheme="majorHAnsi"/>
                <w:b/>
                <w:sz w:val="20"/>
                <w:szCs w:val="20"/>
                <w:lang w:val="ro-MD" w:eastAsia="ru-RU"/>
              </w:rPr>
            </w:pPr>
            <w:r w:rsidRPr="0031458E">
              <w:rPr>
                <w:rFonts w:cstheme="majorHAnsi"/>
                <w:b/>
                <w:sz w:val="20"/>
                <w:szCs w:val="20"/>
                <w:lang w:val="ro-MD" w:eastAsia="ru-RU"/>
              </w:rPr>
              <w:t>Deservirea datoriei de stat interne, inclusiv:</w:t>
            </w:r>
          </w:p>
          <w:p w14:paraId="5231AFC2" w14:textId="77777777" w:rsidR="0031458E" w:rsidRPr="0031458E" w:rsidRDefault="0031458E" w:rsidP="0031458E">
            <w:pPr>
              <w:numPr>
                <w:ilvl w:val="0"/>
                <w:numId w:val="15"/>
              </w:numPr>
              <w:tabs>
                <w:tab w:val="left" w:pos="240"/>
              </w:tabs>
              <w:ind w:left="0" w:firstLine="0"/>
              <w:jc w:val="both"/>
              <w:rPr>
                <w:rFonts w:cstheme="majorHAnsi"/>
                <w:sz w:val="20"/>
                <w:szCs w:val="20"/>
                <w:lang w:val="ro-MD" w:eastAsia="ru-RU"/>
              </w:rPr>
            </w:pPr>
            <w:r w:rsidRPr="0031458E">
              <w:rPr>
                <w:rFonts w:cstheme="majorHAnsi"/>
                <w:sz w:val="20"/>
                <w:szCs w:val="20"/>
                <w:lang w:val="ro-MD" w:eastAsia="ru-RU"/>
              </w:rPr>
              <w:t>răscumpărarea VMS</w:t>
            </w:r>
          </w:p>
          <w:p w14:paraId="57309066" w14:textId="77777777" w:rsidR="0031458E" w:rsidRPr="0031458E" w:rsidRDefault="0031458E" w:rsidP="0031458E">
            <w:pPr>
              <w:numPr>
                <w:ilvl w:val="0"/>
                <w:numId w:val="15"/>
              </w:numPr>
              <w:tabs>
                <w:tab w:val="left" w:pos="264"/>
              </w:tabs>
              <w:ind w:left="0" w:firstLine="0"/>
              <w:jc w:val="both"/>
              <w:rPr>
                <w:rFonts w:cstheme="majorHAnsi"/>
                <w:sz w:val="20"/>
                <w:szCs w:val="20"/>
                <w:lang w:val="ro-MD" w:eastAsia="ru-RU"/>
              </w:rPr>
            </w:pPr>
            <w:r w:rsidRPr="0031458E">
              <w:rPr>
                <w:rFonts w:cstheme="majorHAnsi"/>
                <w:sz w:val="20"/>
                <w:szCs w:val="20"/>
                <w:lang w:val="ro-MD" w:eastAsia="ru-RU"/>
              </w:rPr>
              <w:t>plata dobânzilor</w:t>
            </w:r>
          </w:p>
        </w:tc>
        <w:tc>
          <w:tcPr>
            <w:tcW w:w="992" w:type="dxa"/>
          </w:tcPr>
          <w:p w14:paraId="7D207A9C"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18 843,3</w:t>
            </w:r>
          </w:p>
          <w:p w14:paraId="620C9F8A"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17 380,8</w:t>
            </w:r>
          </w:p>
          <w:p w14:paraId="19516E7E"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1 462,5</w:t>
            </w:r>
          </w:p>
        </w:tc>
        <w:tc>
          <w:tcPr>
            <w:tcW w:w="992" w:type="dxa"/>
          </w:tcPr>
          <w:p w14:paraId="640886D4"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18 666,0</w:t>
            </w:r>
          </w:p>
          <w:p w14:paraId="36294F8E"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17 094,9</w:t>
            </w:r>
          </w:p>
          <w:p w14:paraId="69DDBA93"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1 571,1</w:t>
            </w:r>
          </w:p>
        </w:tc>
        <w:tc>
          <w:tcPr>
            <w:tcW w:w="993" w:type="dxa"/>
          </w:tcPr>
          <w:p w14:paraId="7A4B77E2"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13 567,7</w:t>
            </w:r>
          </w:p>
          <w:p w14:paraId="3C431B2D"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12 442,5</w:t>
            </w:r>
          </w:p>
          <w:p w14:paraId="757673C6"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1 125,3</w:t>
            </w:r>
          </w:p>
        </w:tc>
        <w:tc>
          <w:tcPr>
            <w:tcW w:w="992" w:type="dxa"/>
          </w:tcPr>
          <w:p w14:paraId="5C445862"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12 488,3</w:t>
            </w:r>
          </w:p>
          <w:p w14:paraId="44FF7F58"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11 280,8</w:t>
            </w:r>
          </w:p>
          <w:p w14:paraId="18C52159"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1 207,5</w:t>
            </w:r>
          </w:p>
        </w:tc>
        <w:tc>
          <w:tcPr>
            <w:tcW w:w="992" w:type="dxa"/>
          </w:tcPr>
          <w:p w14:paraId="5D9D06A8"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12 977,0</w:t>
            </w:r>
          </w:p>
          <w:p w14:paraId="6C154521"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11 654,3</w:t>
            </w:r>
          </w:p>
          <w:p w14:paraId="0709E4A0"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1 322,7</w:t>
            </w:r>
          </w:p>
        </w:tc>
        <w:tc>
          <w:tcPr>
            <w:tcW w:w="1276" w:type="dxa"/>
          </w:tcPr>
          <w:p w14:paraId="21947551"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+488,7</w:t>
            </w:r>
          </w:p>
          <w:p w14:paraId="576557D3"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+373,5</w:t>
            </w:r>
          </w:p>
          <w:p w14:paraId="65E72AB8" w14:textId="77777777" w:rsidR="0031458E" w:rsidRPr="0031458E" w:rsidRDefault="0031458E" w:rsidP="0031458E">
            <w:pPr>
              <w:jc w:val="center"/>
              <w:rPr>
                <w:rFonts w:cstheme="majorHAnsi"/>
                <w:b/>
                <w:sz w:val="20"/>
                <w:szCs w:val="20"/>
                <w:lang w:val="ro-MD" w:eastAsia="ru-RU"/>
              </w:rPr>
            </w:pPr>
            <w:r w:rsidRPr="0031458E">
              <w:rPr>
                <w:rFonts w:cstheme="majorHAnsi"/>
                <w:sz w:val="20"/>
                <w:szCs w:val="20"/>
                <w:lang w:val="ro-MD" w:eastAsia="ru-RU"/>
              </w:rPr>
              <w:t>+115,2</w:t>
            </w:r>
          </w:p>
        </w:tc>
      </w:tr>
      <w:tr w:rsidR="0031458E" w:rsidRPr="0031458E" w14:paraId="4A554E06" w14:textId="77777777" w:rsidTr="0031458E">
        <w:tc>
          <w:tcPr>
            <w:tcW w:w="3397" w:type="dxa"/>
          </w:tcPr>
          <w:p w14:paraId="7BED1AE8" w14:textId="77777777" w:rsidR="0031458E" w:rsidRPr="0031458E" w:rsidRDefault="0031458E" w:rsidP="0031458E">
            <w:pPr>
              <w:jc w:val="both"/>
              <w:rPr>
                <w:rFonts w:cstheme="majorHAnsi"/>
                <w:b/>
                <w:sz w:val="20"/>
                <w:szCs w:val="20"/>
                <w:lang w:val="ro-MD" w:eastAsia="ru-RU"/>
              </w:rPr>
            </w:pPr>
            <w:r w:rsidRPr="0031458E">
              <w:rPr>
                <w:rFonts w:cstheme="majorHAnsi"/>
                <w:b/>
                <w:sz w:val="20"/>
                <w:szCs w:val="20"/>
                <w:lang w:val="ro-MD" w:eastAsia="ru-RU"/>
              </w:rPr>
              <w:t>Deservirea datoriei de stat externe, inclusiv:</w:t>
            </w:r>
          </w:p>
          <w:p w14:paraId="522E2BFE" w14:textId="17772801" w:rsidR="0031458E" w:rsidRPr="002E006F" w:rsidRDefault="0031458E" w:rsidP="002E006F">
            <w:pPr>
              <w:pStyle w:val="a7"/>
              <w:numPr>
                <w:ilvl w:val="0"/>
                <w:numId w:val="15"/>
              </w:numPr>
              <w:tabs>
                <w:tab w:val="left" w:pos="318"/>
                <w:tab w:val="left" w:pos="360"/>
              </w:tabs>
              <w:ind w:left="0" w:firstLine="23"/>
              <w:jc w:val="both"/>
              <w:rPr>
                <w:rFonts w:cstheme="majorHAnsi"/>
                <w:sz w:val="20"/>
                <w:szCs w:val="20"/>
                <w:lang w:val="ro-MD" w:eastAsia="ru-RU"/>
              </w:rPr>
            </w:pPr>
            <w:r w:rsidRPr="002E006F">
              <w:rPr>
                <w:rFonts w:cstheme="majorHAnsi"/>
                <w:sz w:val="20"/>
                <w:szCs w:val="20"/>
                <w:lang w:val="ro-MD" w:eastAsia="ru-RU"/>
              </w:rPr>
              <w:t>rambursarea sumei principale</w:t>
            </w:r>
          </w:p>
          <w:p w14:paraId="505A96E6" w14:textId="77777777" w:rsidR="0031458E" w:rsidRPr="0031458E" w:rsidRDefault="0031458E" w:rsidP="0031458E">
            <w:pPr>
              <w:numPr>
                <w:ilvl w:val="0"/>
                <w:numId w:val="15"/>
              </w:numPr>
              <w:tabs>
                <w:tab w:val="left" w:pos="276"/>
              </w:tabs>
              <w:ind w:left="34" w:hanging="34"/>
              <w:jc w:val="both"/>
              <w:rPr>
                <w:rFonts w:cstheme="majorHAnsi"/>
                <w:sz w:val="20"/>
                <w:szCs w:val="20"/>
                <w:lang w:val="ro-MD" w:eastAsia="ru-RU"/>
              </w:rPr>
            </w:pPr>
            <w:r w:rsidRPr="0031458E">
              <w:rPr>
                <w:rFonts w:cstheme="majorHAnsi"/>
                <w:sz w:val="20"/>
                <w:szCs w:val="20"/>
                <w:lang w:val="ro-MD" w:eastAsia="ru-RU"/>
              </w:rPr>
              <w:t>plata dobânzilor și comisioanelor</w:t>
            </w:r>
          </w:p>
        </w:tc>
        <w:tc>
          <w:tcPr>
            <w:tcW w:w="992" w:type="dxa"/>
          </w:tcPr>
          <w:p w14:paraId="3E5BD769"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1 392,0</w:t>
            </w:r>
          </w:p>
          <w:p w14:paraId="6463B986" w14:textId="77777777" w:rsidR="0031458E" w:rsidRPr="0031458E" w:rsidRDefault="0031458E" w:rsidP="0031458E">
            <w:pPr>
              <w:jc w:val="center"/>
              <w:rPr>
                <w:rFonts w:cstheme="majorHAnsi"/>
                <w:sz w:val="20"/>
                <w:szCs w:val="20"/>
                <w:lang w:val="ro-MD" w:eastAsia="ru-RU"/>
              </w:rPr>
            </w:pPr>
          </w:p>
          <w:p w14:paraId="60D13679"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1 107,3</w:t>
            </w:r>
          </w:p>
          <w:p w14:paraId="5523B645"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284,6</w:t>
            </w:r>
          </w:p>
        </w:tc>
        <w:tc>
          <w:tcPr>
            <w:tcW w:w="992" w:type="dxa"/>
          </w:tcPr>
          <w:p w14:paraId="561447A3"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1 687,6</w:t>
            </w:r>
          </w:p>
          <w:p w14:paraId="630D187F" w14:textId="77777777" w:rsidR="0031458E" w:rsidRPr="0031458E" w:rsidRDefault="0031458E" w:rsidP="0031458E">
            <w:pPr>
              <w:jc w:val="center"/>
              <w:rPr>
                <w:rFonts w:cstheme="majorHAnsi"/>
                <w:sz w:val="20"/>
                <w:szCs w:val="20"/>
                <w:lang w:val="ro-MD" w:eastAsia="ru-RU"/>
              </w:rPr>
            </w:pPr>
          </w:p>
          <w:p w14:paraId="0871A9A4"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1 329,7</w:t>
            </w:r>
          </w:p>
          <w:p w14:paraId="0B85A277"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357,9</w:t>
            </w:r>
          </w:p>
        </w:tc>
        <w:tc>
          <w:tcPr>
            <w:tcW w:w="993" w:type="dxa"/>
          </w:tcPr>
          <w:p w14:paraId="20B67750"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2 252,9</w:t>
            </w:r>
          </w:p>
          <w:p w14:paraId="130C07DD" w14:textId="77777777" w:rsidR="0031458E" w:rsidRPr="0031458E" w:rsidRDefault="0031458E" w:rsidP="0031458E">
            <w:pPr>
              <w:jc w:val="center"/>
              <w:rPr>
                <w:rFonts w:cstheme="majorHAnsi"/>
                <w:sz w:val="20"/>
                <w:szCs w:val="20"/>
                <w:lang w:val="ro-MD" w:eastAsia="ru-RU"/>
              </w:rPr>
            </w:pPr>
          </w:p>
          <w:p w14:paraId="4F966DEB"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1 873,4</w:t>
            </w:r>
          </w:p>
          <w:p w14:paraId="5903B8E5"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379,5</w:t>
            </w:r>
          </w:p>
        </w:tc>
        <w:tc>
          <w:tcPr>
            <w:tcW w:w="992" w:type="dxa"/>
          </w:tcPr>
          <w:p w14:paraId="7ED911F0"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2 556,9</w:t>
            </w:r>
          </w:p>
          <w:p w14:paraId="689221D7" w14:textId="77777777" w:rsidR="0031458E" w:rsidRPr="0031458E" w:rsidRDefault="0031458E" w:rsidP="0031458E">
            <w:pPr>
              <w:jc w:val="center"/>
              <w:rPr>
                <w:rFonts w:cstheme="majorHAnsi"/>
                <w:sz w:val="20"/>
                <w:szCs w:val="20"/>
                <w:lang w:val="ro-MD" w:eastAsia="ru-RU"/>
              </w:rPr>
            </w:pPr>
          </w:p>
          <w:p w14:paraId="49292679"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2 144,8</w:t>
            </w:r>
          </w:p>
          <w:p w14:paraId="4AB5C2FA"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412,1</w:t>
            </w:r>
          </w:p>
        </w:tc>
        <w:tc>
          <w:tcPr>
            <w:tcW w:w="992" w:type="dxa"/>
          </w:tcPr>
          <w:p w14:paraId="3A05D48D"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2 736,6</w:t>
            </w:r>
          </w:p>
          <w:p w14:paraId="0CB7F600" w14:textId="77777777" w:rsidR="0031458E" w:rsidRPr="0031458E" w:rsidRDefault="0031458E" w:rsidP="0031458E">
            <w:pPr>
              <w:jc w:val="center"/>
              <w:rPr>
                <w:rFonts w:cstheme="majorHAnsi"/>
                <w:b/>
                <w:sz w:val="20"/>
                <w:szCs w:val="20"/>
                <w:lang w:val="ro-MD" w:eastAsia="ru-RU"/>
              </w:rPr>
            </w:pPr>
          </w:p>
          <w:p w14:paraId="08650A23"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2 375,1</w:t>
            </w:r>
          </w:p>
          <w:p w14:paraId="274293AB"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361,5</w:t>
            </w:r>
          </w:p>
        </w:tc>
        <w:tc>
          <w:tcPr>
            <w:tcW w:w="1276" w:type="dxa"/>
          </w:tcPr>
          <w:p w14:paraId="4027CE61" w14:textId="77777777" w:rsidR="0031458E" w:rsidRPr="0031458E" w:rsidRDefault="0031458E" w:rsidP="0031458E">
            <w:pPr>
              <w:jc w:val="center"/>
              <w:rPr>
                <w:rFonts w:cstheme="majorHAnsi"/>
                <w:b/>
                <w:sz w:val="20"/>
                <w:szCs w:val="20"/>
                <w:lang w:val="ro-MD" w:eastAsia="ru-RU"/>
              </w:rPr>
            </w:pPr>
            <w:r w:rsidRPr="0031458E">
              <w:rPr>
                <w:rFonts w:cstheme="majorHAnsi"/>
                <w:b/>
                <w:sz w:val="20"/>
                <w:szCs w:val="20"/>
                <w:lang w:val="ro-MD" w:eastAsia="ru-RU"/>
              </w:rPr>
              <w:t>+179,7</w:t>
            </w:r>
          </w:p>
          <w:p w14:paraId="52252F1C" w14:textId="77777777" w:rsidR="0031458E" w:rsidRPr="0031458E" w:rsidRDefault="0031458E" w:rsidP="0031458E">
            <w:pPr>
              <w:jc w:val="center"/>
              <w:rPr>
                <w:rFonts w:cstheme="majorHAnsi"/>
                <w:b/>
                <w:sz w:val="20"/>
                <w:szCs w:val="20"/>
                <w:lang w:val="ro-MD" w:eastAsia="ru-RU"/>
              </w:rPr>
            </w:pPr>
          </w:p>
          <w:p w14:paraId="778D3722"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+230,3</w:t>
            </w:r>
          </w:p>
          <w:p w14:paraId="7F891E1D" w14:textId="77777777" w:rsidR="0031458E" w:rsidRPr="0031458E" w:rsidRDefault="0031458E" w:rsidP="0031458E">
            <w:pPr>
              <w:jc w:val="center"/>
              <w:rPr>
                <w:rFonts w:cstheme="majorHAnsi"/>
                <w:sz w:val="20"/>
                <w:szCs w:val="20"/>
                <w:lang w:val="ro-MD" w:eastAsia="ru-RU"/>
              </w:rPr>
            </w:pPr>
            <w:r w:rsidRPr="0031458E">
              <w:rPr>
                <w:rFonts w:cstheme="majorHAnsi"/>
                <w:sz w:val="20"/>
                <w:szCs w:val="20"/>
                <w:lang w:val="ro-MD" w:eastAsia="ru-RU"/>
              </w:rPr>
              <w:t>-50,6</w:t>
            </w:r>
          </w:p>
        </w:tc>
      </w:tr>
    </w:tbl>
    <w:p w14:paraId="17660366" w14:textId="784B40FE" w:rsidR="006179D9" w:rsidRDefault="00382F46" w:rsidP="00382F46">
      <w:pPr>
        <w:spacing w:after="0"/>
        <w:ind w:firstLine="567"/>
        <w:jc w:val="both"/>
        <w:rPr>
          <w:i/>
          <w:sz w:val="20"/>
          <w:szCs w:val="20"/>
          <w:lang w:val="ro-MD" w:eastAsia="ru-RU"/>
        </w:rPr>
      </w:pPr>
      <w:r w:rsidRPr="00382F46">
        <w:rPr>
          <w:b/>
          <w:i/>
          <w:sz w:val="20"/>
          <w:szCs w:val="20"/>
          <w:lang w:val="ro-MD" w:eastAsia="ru-RU"/>
        </w:rPr>
        <w:t xml:space="preserve">Sursa: </w:t>
      </w:r>
      <w:r w:rsidRPr="00382F46">
        <w:rPr>
          <w:i/>
          <w:sz w:val="20"/>
          <w:szCs w:val="20"/>
          <w:lang w:val="ro-MD" w:eastAsia="ru-RU"/>
        </w:rPr>
        <w:t xml:space="preserve">Informația </w:t>
      </w:r>
      <w:r w:rsidR="00292099">
        <w:rPr>
          <w:i/>
          <w:sz w:val="20"/>
          <w:szCs w:val="20"/>
          <w:lang w:val="ro-MD" w:eastAsia="ru-RU"/>
        </w:rPr>
        <w:t xml:space="preserve">generalizată de audit în baza informației prezentate de MF: 1) </w:t>
      </w:r>
      <w:r w:rsidRPr="00382F46">
        <w:rPr>
          <w:i/>
          <w:sz w:val="20"/>
          <w:szCs w:val="20"/>
          <w:lang w:val="ro-MD" w:eastAsia="ru-RU"/>
        </w:rPr>
        <w:t>„Deservirea datoriei de stat externe,</w:t>
      </w:r>
      <w:r>
        <w:rPr>
          <w:i/>
          <w:sz w:val="20"/>
          <w:szCs w:val="20"/>
          <w:lang w:val="ro-MD" w:eastAsia="ru-RU"/>
        </w:rPr>
        <w:t xml:space="preserve"> perioada 01.01.2020-31.12.2020</w:t>
      </w:r>
      <w:r w:rsidR="00292099">
        <w:rPr>
          <w:i/>
          <w:sz w:val="20"/>
          <w:szCs w:val="20"/>
          <w:lang w:val="ro-MD" w:eastAsia="ru-RU"/>
        </w:rPr>
        <w:t>; 2)</w:t>
      </w:r>
      <w:r w:rsidR="003053A9">
        <w:rPr>
          <w:i/>
          <w:sz w:val="20"/>
          <w:szCs w:val="20"/>
          <w:lang w:val="ro-MD" w:eastAsia="ru-RU"/>
        </w:rPr>
        <w:t xml:space="preserve"> „Deservirea datoriei de stat interne pe anul 2020”</w:t>
      </w:r>
      <w:r w:rsidR="00292099">
        <w:rPr>
          <w:i/>
          <w:sz w:val="20"/>
          <w:szCs w:val="20"/>
          <w:lang w:val="ro-MD" w:eastAsia="ru-RU"/>
        </w:rPr>
        <w:t>.</w:t>
      </w:r>
    </w:p>
    <w:p w14:paraId="77F2C717" w14:textId="49D14DA5" w:rsidR="009A1A99" w:rsidRDefault="009A1A99" w:rsidP="009A1A99">
      <w:pPr>
        <w:spacing w:after="0"/>
        <w:jc w:val="both"/>
        <w:rPr>
          <w:i/>
          <w:sz w:val="20"/>
          <w:szCs w:val="20"/>
          <w:lang w:val="ro-MD" w:eastAsia="ru-RU"/>
        </w:rPr>
      </w:pPr>
    </w:p>
    <w:p w14:paraId="71BAB752" w14:textId="04698F85" w:rsidR="00E11C61" w:rsidRPr="009A1A99" w:rsidRDefault="009A1A99" w:rsidP="00117094">
      <w:pPr>
        <w:jc w:val="both"/>
        <w:rPr>
          <w:szCs w:val="24"/>
          <w:lang w:val="ro-MD" w:eastAsia="ru-RU"/>
        </w:rPr>
      </w:pPr>
      <w:r w:rsidRPr="009A1A99">
        <w:rPr>
          <w:szCs w:val="24"/>
          <w:lang w:val="ro-MD" w:eastAsia="ru-RU"/>
        </w:rPr>
        <w:t xml:space="preserve">Datele din tabel </w:t>
      </w:r>
      <w:r>
        <w:rPr>
          <w:szCs w:val="24"/>
          <w:lang w:val="ro-MD" w:eastAsia="ru-RU"/>
        </w:rPr>
        <w:t>relevă menținerea unui trend stabil ce caracterizează cheltuielile suportate pentru deservirea datoriei de stat pe parcursul ultimilor trei ani.</w:t>
      </w:r>
      <w:r w:rsidR="00BF6E0D">
        <w:rPr>
          <w:szCs w:val="24"/>
          <w:lang w:val="ro-MD" w:eastAsia="ru-RU"/>
        </w:rPr>
        <w:t xml:space="preserve"> Cel mai înal nivel al cheltuielilor achitate pentru serviciul datoriei de stat a fost înregistrat în anul 2017 (20 353,6 mil.lei) și cel mai scă</w:t>
      </w:r>
      <w:r w:rsidR="00E4557E">
        <w:rPr>
          <w:szCs w:val="24"/>
          <w:lang w:val="ro-MD" w:eastAsia="ru-RU"/>
        </w:rPr>
        <w:t>zut în anul 2019 (15 045,2 mil.</w:t>
      </w:r>
      <w:r w:rsidR="00BF6E0D">
        <w:rPr>
          <w:szCs w:val="24"/>
          <w:lang w:val="ro-MD" w:eastAsia="ru-RU"/>
        </w:rPr>
        <w:t>lei).</w:t>
      </w:r>
    </w:p>
    <w:p w14:paraId="50CA3206" w14:textId="2143DACE" w:rsidR="005F0776" w:rsidRDefault="005F0776" w:rsidP="00117094">
      <w:pPr>
        <w:pStyle w:val="af3"/>
        <w:spacing w:after="16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În concluzie, auditul </w:t>
      </w:r>
      <w:r w:rsidR="009C08EF">
        <w:rPr>
          <w:rFonts w:asciiTheme="majorHAnsi" w:hAnsiTheme="majorHAnsi" w:cstheme="majorHAnsi"/>
          <w:sz w:val="24"/>
          <w:szCs w:val="24"/>
          <w:lang w:val="ro-MD" w:eastAsia="ru-RU"/>
        </w:rPr>
        <w:t>menționează</w:t>
      </w:r>
      <w:r>
        <w:rPr>
          <w:rFonts w:asciiTheme="majorHAnsi" w:hAnsiTheme="majorHAnsi" w:cstheme="majorHAnsi"/>
          <w:sz w:val="24"/>
          <w:szCs w:val="24"/>
          <w:lang w:val="ro-MD" w:eastAsia="ru-RU"/>
        </w:rPr>
        <w:t xml:space="preserve"> că, creșterea continuă a datoriei de stat </w:t>
      </w:r>
      <w:r w:rsidR="00E44388">
        <w:rPr>
          <w:rFonts w:asciiTheme="majorHAnsi" w:hAnsiTheme="majorHAnsi" w:cstheme="majorHAnsi"/>
          <w:sz w:val="24"/>
          <w:szCs w:val="24"/>
          <w:lang w:val="ro-MD" w:eastAsia="ru-RU"/>
        </w:rPr>
        <w:t xml:space="preserve">și recurgerea în proporție mai mare la sursele externe de finanțare </w:t>
      </w:r>
      <w:r w:rsidR="009C08EF">
        <w:rPr>
          <w:rFonts w:asciiTheme="majorHAnsi" w:hAnsiTheme="majorHAnsi" w:cstheme="majorHAnsi"/>
          <w:sz w:val="24"/>
          <w:szCs w:val="24"/>
          <w:lang w:val="ro-MD" w:eastAsia="ru-RU"/>
        </w:rPr>
        <w:t xml:space="preserve">va </w:t>
      </w:r>
      <w:r>
        <w:rPr>
          <w:rFonts w:asciiTheme="majorHAnsi" w:hAnsiTheme="majorHAnsi" w:cstheme="majorHAnsi"/>
          <w:sz w:val="24"/>
          <w:szCs w:val="24"/>
          <w:lang w:val="ro-MD" w:eastAsia="ru-RU"/>
        </w:rPr>
        <w:t xml:space="preserve">atrage după sine, </w:t>
      </w:r>
      <w:r w:rsidR="00C20E76">
        <w:rPr>
          <w:rFonts w:asciiTheme="majorHAnsi" w:hAnsiTheme="majorHAnsi" w:cstheme="majorHAnsi"/>
          <w:sz w:val="24"/>
          <w:szCs w:val="24"/>
          <w:lang w:val="ro-MD" w:eastAsia="ru-RU"/>
        </w:rPr>
        <w:t>în mod inevitabil, sporirea dobâ</w:t>
      </w:r>
      <w:r>
        <w:rPr>
          <w:rFonts w:asciiTheme="majorHAnsi" w:hAnsiTheme="majorHAnsi" w:cstheme="majorHAnsi"/>
          <w:sz w:val="24"/>
          <w:szCs w:val="24"/>
          <w:lang w:val="ro-MD" w:eastAsia="ru-RU"/>
        </w:rPr>
        <w:t>nzilor aferente, precum și a cheltuielilor totale ale bugetului de stat pentru anii următor</w:t>
      </w:r>
      <w:r w:rsidR="00C20E76">
        <w:rPr>
          <w:rFonts w:asciiTheme="majorHAnsi" w:hAnsiTheme="majorHAnsi" w:cstheme="majorHAnsi"/>
          <w:sz w:val="24"/>
          <w:szCs w:val="24"/>
          <w:lang w:val="ro-MD" w:eastAsia="ru-RU"/>
        </w:rPr>
        <w:t>i</w:t>
      </w:r>
      <w:r>
        <w:rPr>
          <w:rFonts w:asciiTheme="majorHAnsi" w:hAnsiTheme="majorHAnsi" w:cstheme="majorHAnsi"/>
          <w:sz w:val="24"/>
          <w:szCs w:val="24"/>
          <w:lang w:val="ro-MD" w:eastAsia="ru-RU"/>
        </w:rPr>
        <w:t>, reducerea/căutarea rezervelor de diminuare a cheltuielilor, pentru a satisface</w:t>
      </w:r>
      <w:r w:rsidR="009C08EF">
        <w:rPr>
          <w:rFonts w:asciiTheme="majorHAnsi" w:hAnsiTheme="majorHAnsi" w:cstheme="majorHAnsi"/>
          <w:sz w:val="24"/>
          <w:szCs w:val="24"/>
          <w:lang w:val="ro-MD" w:eastAsia="ru-RU"/>
        </w:rPr>
        <w:t xml:space="preserve"> necesită</w:t>
      </w:r>
      <w:r>
        <w:rPr>
          <w:rFonts w:asciiTheme="majorHAnsi" w:hAnsiTheme="majorHAnsi" w:cstheme="majorHAnsi"/>
          <w:sz w:val="24"/>
          <w:szCs w:val="24"/>
          <w:lang w:val="ro-MD" w:eastAsia="ru-RU"/>
        </w:rPr>
        <w:t xml:space="preserve">țile de resurse </w:t>
      </w:r>
      <w:r w:rsidR="00C20E76">
        <w:rPr>
          <w:rFonts w:asciiTheme="majorHAnsi" w:hAnsiTheme="majorHAnsi" w:cstheme="majorHAnsi"/>
          <w:sz w:val="24"/>
          <w:szCs w:val="24"/>
          <w:lang w:val="ro-MD" w:eastAsia="ru-RU"/>
        </w:rPr>
        <w:t>în scopul rambursării</w:t>
      </w:r>
      <w:r>
        <w:rPr>
          <w:rFonts w:asciiTheme="majorHAnsi" w:hAnsiTheme="majorHAnsi" w:cstheme="majorHAnsi"/>
          <w:sz w:val="24"/>
          <w:szCs w:val="24"/>
          <w:lang w:val="ro-MD" w:eastAsia="ru-RU"/>
        </w:rPr>
        <w:t>/achit</w:t>
      </w:r>
      <w:r w:rsidR="00C20E76">
        <w:rPr>
          <w:rFonts w:asciiTheme="majorHAnsi" w:hAnsiTheme="majorHAnsi" w:cstheme="majorHAnsi"/>
          <w:sz w:val="24"/>
          <w:szCs w:val="24"/>
          <w:lang w:val="ro-MD" w:eastAsia="ru-RU"/>
        </w:rPr>
        <w:t>ării</w:t>
      </w:r>
      <w:r>
        <w:rPr>
          <w:rFonts w:asciiTheme="majorHAnsi" w:hAnsiTheme="majorHAnsi" w:cstheme="majorHAnsi"/>
          <w:sz w:val="24"/>
          <w:szCs w:val="24"/>
          <w:lang w:val="ro-MD" w:eastAsia="ru-RU"/>
        </w:rPr>
        <w:t xml:space="preserve"> datoriilor de stat asumate.</w:t>
      </w:r>
    </w:p>
    <w:p w14:paraId="486854C0" w14:textId="0A470B73" w:rsidR="008B5B55" w:rsidRPr="008B5B55" w:rsidRDefault="008B5B55" w:rsidP="00FB1205">
      <w:pPr>
        <w:spacing w:after="240" w:line="276" w:lineRule="auto"/>
        <w:jc w:val="both"/>
        <w:rPr>
          <w:rFonts w:cstheme="majorHAnsi"/>
          <w:szCs w:val="24"/>
          <w:lang w:val="ro-MD" w:eastAsia="ru-RU"/>
        </w:rPr>
      </w:pPr>
      <w:r w:rsidRPr="008B5B55">
        <w:rPr>
          <w:rFonts w:cstheme="majorHAnsi"/>
          <w:szCs w:val="24"/>
          <w:lang w:val="ro-MD" w:eastAsia="ru-RU"/>
        </w:rPr>
        <w:t>În vederea evitării expunerii majore a portofoliului datoriei de stat față de riscul valutar, riscul ratei de dobândă și riscul de refinanțare</w:t>
      </w:r>
      <w:r w:rsidR="00CD0596">
        <w:rPr>
          <w:rFonts w:cstheme="majorHAnsi"/>
          <w:szCs w:val="24"/>
          <w:lang w:val="ro-MD" w:eastAsia="ru-RU"/>
        </w:rPr>
        <w:t>, prin Programul „Managementul datoriei de stat pe termen mediu (2020-2022)</w:t>
      </w:r>
      <w:r w:rsidR="00C20E76">
        <w:rPr>
          <w:rFonts w:cstheme="majorHAnsi"/>
          <w:szCs w:val="24"/>
          <w:lang w:val="ro-MD" w:eastAsia="ru-RU"/>
        </w:rPr>
        <w:t>”</w:t>
      </w:r>
      <w:r w:rsidR="00CD0596">
        <w:rPr>
          <w:rFonts w:cstheme="majorHAnsi"/>
          <w:szCs w:val="24"/>
          <w:lang w:val="ro-MD" w:eastAsia="ru-RU"/>
        </w:rPr>
        <w:t xml:space="preserve"> </w:t>
      </w:r>
      <w:r w:rsidRPr="008B5B55">
        <w:rPr>
          <w:rFonts w:cstheme="majorHAnsi"/>
          <w:szCs w:val="24"/>
          <w:lang w:val="ro-MD" w:eastAsia="ru-RU"/>
        </w:rPr>
        <w:t>au fost stabilite intervalele-țintă pentru principalii parametri de risc și de sustenabilitate aferenți portofoliului datoriei de stat. Intervalele-țintă nu pot fi depășite pe orizontul de timp al Programului. Totodată, devierile minore de la limitele propuse sunt permise în cazul în care acestea nu cauzează riscuri financiare adiționale.</w:t>
      </w:r>
    </w:p>
    <w:p w14:paraId="739707AF" w14:textId="7232C19F" w:rsidR="003810B8" w:rsidRPr="007225E3" w:rsidRDefault="008B5B55" w:rsidP="003810B8">
      <w:pPr>
        <w:jc w:val="both"/>
        <w:rPr>
          <w:rFonts w:cstheme="majorHAnsi"/>
          <w:i/>
          <w:szCs w:val="24"/>
          <w:highlight w:val="yellow"/>
          <w:lang w:val="ro-MD" w:eastAsia="ru-RU"/>
        </w:rPr>
      </w:pPr>
      <w:r w:rsidRPr="008B5B55">
        <w:rPr>
          <w:rFonts w:cstheme="majorHAnsi"/>
          <w:szCs w:val="24"/>
          <w:lang w:val="ro-MD" w:eastAsia="ru-RU"/>
        </w:rPr>
        <w:lastRenderedPageBreak/>
        <w:t xml:space="preserve">Astfel, pentru a se menține în intervalele stabilite, MF a evaluat și </w:t>
      </w:r>
      <w:r w:rsidR="00C20E76">
        <w:rPr>
          <w:rFonts w:cstheme="majorHAnsi"/>
          <w:szCs w:val="24"/>
          <w:lang w:val="ro-MD" w:eastAsia="ru-RU"/>
        </w:rPr>
        <w:t xml:space="preserve">a </w:t>
      </w:r>
      <w:r w:rsidRPr="008B5B55">
        <w:rPr>
          <w:rFonts w:cstheme="majorHAnsi"/>
          <w:szCs w:val="24"/>
          <w:lang w:val="ro-MD" w:eastAsia="ru-RU"/>
        </w:rPr>
        <w:t>gestionat lunar și trimestrial riscurile aferente portofoliului datoriei de stat, riscul de refinanțare, riscul</w:t>
      </w:r>
      <w:r w:rsidR="00C20E76">
        <w:rPr>
          <w:rFonts w:cstheme="majorHAnsi"/>
          <w:szCs w:val="24"/>
          <w:lang w:val="ro-MD" w:eastAsia="ru-RU"/>
        </w:rPr>
        <w:t xml:space="preserve"> valutar și riscul ratei de dobâ</w:t>
      </w:r>
      <w:r w:rsidRPr="008B5B55">
        <w:rPr>
          <w:rFonts w:cstheme="majorHAnsi"/>
          <w:szCs w:val="24"/>
          <w:lang w:val="ro-MD" w:eastAsia="ru-RU"/>
        </w:rPr>
        <w:t>ndă</w:t>
      </w:r>
      <w:r w:rsidRPr="0008238E">
        <w:rPr>
          <w:rFonts w:cstheme="majorHAnsi"/>
          <w:szCs w:val="24"/>
          <w:lang w:val="ro-MD" w:eastAsia="ru-RU"/>
        </w:rPr>
        <w:t xml:space="preserve">. </w:t>
      </w:r>
      <w:r w:rsidRPr="0008238E">
        <w:rPr>
          <w:rFonts w:cstheme="majorHAnsi"/>
          <w:i/>
          <w:szCs w:val="24"/>
          <w:lang w:val="ro-MD" w:eastAsia="ru-RU"/>
        </w:rPr>
        <w:t>A</w:t>
      </w:r>
      <w:r w:rsidRPr="0008238E">
        <w:rPr>
          <w:rFonts w:cstheme="majorHAnsi"/>
          <w:i/>
          <w:szCs w:val="24"/>
          <w:lang w:val="ro-RO" w:eastAsia="ru-RU"/>
        </w:rPr>
        <w:t xml:space="preserve">naliza efectuată de audit referitor la încadrarea parametrilor datoriei de stat în anul 2020 în limitele stabilite pentru anumite tipuri de riscuri, este prezentată în </w:t>
      </w:r>
      <w:r w:rsidR="0008238E" w:rsidRPr="0008238E">
        <w:rPr>
          <w:rFonts w:cstheme="majorHAnsi"/>
          <w:i/>
          <w:szCs w:val="24"/>
          <w:lang w:val="ro-RO" w:eastAsia="ru-RU"/>
        </w:rPr>
        <w:t>Anexa nr.</w:t>
      </w:r>
      <w:r w:rsidR="00B86518">
        <w:rPr>
          <w:rFonts w:cstheme="majorHAnsi"/>
          <w:i/>
          <w:szCs w:val="24"/>
          <w:lang w:val="ro-RO" w:eastAsia="ru-RU"/>
        </w:rPr>
        <w:t>4</w:t>
      </w:r>
      <w:r w:rsidR="0008238E" w:rsidRPr="0008238E">
        <w:rPr>
          <w:rFonts w:cstheme="majorHAnsi"/>
          <w:i/>
          <w:szCs w:val="24"/>
          <w:lang w:val="ro-RO" w:eastAsia="ru-RU"/>
        </w:rPr>
        <w:t xml:space="preserve">, </w:t>
      </w:r>
      <w:r w:rsidR="00BB755E" w:rsidRPr="0008238E">
        <w:rPr>
          <w:rFonts w:cstheme="majorHAnsi"/>
          <w:i/>
          <w:szCs w:val="24"/>
          <w:lang w:val="ro-RO" w:eastAsia="ru-RU"/>
        </w:rPr>
        <w:t>T</w:t>
      </w:r>
      <w:r w:rsidRPr="0008238E">
        <w:rPr>
          <w:rFonts w:cstheme="majorHAnsi"/>
          <w:i/>
          <w:szCs w:val="24"/>
          <w:lang w:val="ro-RO" w:eastAsia="ru-RU"/>
        </w:rPr>
        <w:t>abelul</w:t>
      </w:r>
      <w:r w:rsidR="00BB755E" w:rsidRPr="0008238E">
        <w:rPr>
          <w:rFonts w:cstheme="majorHAnsi"/>
          <w:i/>
          <w:szCs w:val="24"/>
          <w:lang w:val="ro-RO" w:eastAsia="ru-RU"/>
        </w:rPr>
        <w:t xml:space="preserve"> nr.</w:t>
      </w:r>
      <w:r w:rsidR="00215374">
        <w:rPr>
          <w:rFonts w:cstheme="majorHAnsi"/>
          <w:i/>
          <w:szCs w:val="24"/>
          <w:lang w:val="ro-RO" w:eastAsia="ru-RU"/>
        </w:rPr>
        <w:t>1</w:t>
      </w:r>
      <w:r w:rsidR="003810B8" w:rsidRPr="003810B8">
        <w:rPr>
          <w:rFonts w:cstheme="majorHAnsi"/>
          <w:i/>
          <w:szCs w:val="24"/>
          <w:lang w:val="ro-MD" w:eastAsia="ru-RU"/>
        </w:rPr>
        <w:t xml:space="preserve"> </w:t>
      </w:r>
      <w:r w:rsidR="003810B8">
        <w:rPr>
          <w:rFonts w:cstheme="majorHAnsi"/>
          <w:i/>
          <w:szCs w:val="24"/>
          <w:lang w:val="ro-MD" w:eastAsia="ru-RU"/>
        </w:rPr>
        <w:t>la prezentul Raport de audit.</w:t>
      </w:r>
      <w:r w:rsidR="003810B8" w:rsidRPr="007225E3">
        <w:rPr>
          <w:rFonts w:cstheme="majorHAnsi"/>
          <w:i/>
          <w:szCs w:val="24"/>
          <w:lang w:val="ro-MD" w:eastAsia="ru-RU"/>
        </w:rPr>
        <w:t xml:space="preserve"> </w:t>
      </w:r>
    </w:p>
    <w:p w14:paraId="38C31962" w14:textId="30AD5DDC" w:rsidR="008B5B55" w:rsidRPr="008B5B55" w:rsidRDefault="0081171D" w:rsidP="00FB1205">
      <w:pPr>
        <w:spacing w:after="240" w:line="276" w:lineRule="auto"/>
        <w:jc w:val="both"/>
        <w:rPr>
          <w:rFonts w:cstheme="majorHAnsi"/>
          <w:i/>
          <w:szCs w:val="24"/>
          <w:lang w:val="ro-MD" w:eastAsia="ru-RU"/>
        </w:rPr>
      </w:pPr>
      <w:r>
        <w:rPr>
          <w:rFonts w:cstheme="majorHAnsi"/>
          <w:szCs w:val="24"/>
          <w:lang w:val="ro-MD" w:eastAsia="ru-RU"/>
        </w:rPr>
        <w:t>De menționat că a</w:t>
      </w:r>
      <w:r w:rsidR="008B5B55" w:rsidRPr="008B5B55">
        <w:rPr>
          <w:rFonts w:cstheme="majorHAnsi"/>
          <w:szCs w:val="24"/>
          <w:lang w:val="ro-MD" w:eastAsia="ru-RU"/>
        </w:rPr>
        <w:t>n</w:t>
      </w:r>
      <w:r w:rsidR="001D5C4A">
        <w:rPr>
          <w:rFonts w:cstheme="majorHAnsi"/>
          <w:szCs w:val="24"/>
          <w:lang w:val="ro-MD" w:eastAsia="ru-RU"/>
        </w:rPr>
        <w:t>aliza efectuată de audit denotă</w:t>
      </w:r>
      <w:r w:rsidR="008B5B55" w:rsidRPr="008B5B55">
        <w:rPr>
          <w:rFonts w:cstheme="majorHAnsi"/>
          <w:szCs w:val="24"/>
          <w:lang w:val="ro-MD" w:eastAsia="ru-RU"/>
        </w:rPr>
        <w:t xml:space="preserve"> că toți parametrii de risc s-au încadrat în limitele stabilite de Program, cu excepția indicatorilor </w:t>
      </w:r>
      <w:r w:rsidR="008B5B55" w:rsidRPr="008B5B55">
        <w:rPr>
          <w:rFonts w:cstheme="majorHAnsi"/>
          <w:i/>
          <w:szCs w:val="24"/>
          <w:lang w:val="ro-MD" w:eastAsia="ru-RU"/>
        </w:rPr>
        <w:t xml:space="preserve">„Ponderea datoriei de stat scadentă în decurs de un an în totalul datoriei de stat” (+0,7%) </w:t>
      </w:r>
      <w:r w:rsidR="008B5B55" w:rsidRPr="008B5B55">
        <w:rPr>
          <w:rFonts w:cstheme="majorHAnsi"/>
          <w:szCs w:val="24"/>
          <w:lang w:val="ro-MD" w:eastAsia="ru-RU"/>
        </w:rPr>
        <w:t>și</w:t>
      </w:r>
      <w:r w:rsidR="008B5B55" w:rsidRPr="008B5B55">
        <w:rPr>
          <w:rFonts w:cstheme="majorHAnsi"/>
          <w:i/>
          <w:szCs w:val="24"/>
          <w:lang w:val="ro-MD" w:eastAsia="ru-RU"/>
        </w:rPr>
        <w:t xml:space="preserve"> </w:t>
      </w:r>
      <w:r w:rsidR="008B5B55" w:rsidRPr="008B5B55">
        <w:rPr>
          <w:rFonts w:cstheme="majorHAnsi"/>
          <w:szCs w:val="24"/>
          <w:lang w:val="ro-MD" w:eastAsia="ru-RU"/>
        </w:rPr>
        <w:t xml:space="preserve">indicatorului </w:t>
      </w:r>
      <w:r w:rsidR="008B5B55" w:rsidRPr="008B5B55">
        <w:rPr>
          <w:rFonts w:cstheme="majorHAnsi"/>
          <w:i/>
          <w:szCs w:val="24"/>
          <w:lang w:val="ro-MD" w:eastAsia="ru-RU"/>
        </w:rPr>
        <w:t xml:space="preserve">„VMS emise pe piața primară scadente în decurs de un an” (+3,4%). </w:t>
      </w:r>
      <w:r w:rsidR="008B5B55" w:rsidRPr="008B5B55">
        <w:rPr>
          <w:rFonts w:cstheme="majorHAnsi"/>
          <w:szCs w:val="24"/>
          <w:lang w:val="ro-MD" w:eastAsia="ru-RU"/>
        </w:rPr>
        <w:t xml:space="preserve">Potrivit explicațiilor MF, depășirea limitelor stabilite s-a datorat </w:t>
      </w:r>
      <w:r w:rsidR="008B5B55" w:rsidRPr="008B5B55">
        <w:rPr>
          <w:rFonts w:cstheme="majorHAnsi"/>
          <w:i/>
          <w:szCs w:val="24"/>
          <w:lang w:val="ro-MD" w:eastAsia="ru-RU"/>
        </w:rPr>
        <w:t>„emisiunii</w:t>
      </w:r>
      <w:r w:rsidR="008B5B55" w:rsidRPr="008B5B55">
        <w:rPr>
          <w:rFonts w:cstheme="majorHAnsi"/>
          <w:szCs w:val="24"/>
          <w:lang w:val="ro-MD" w:eastAsia="ru-RU"/>
        </w:rPr>
        <w:t xml:space="preserve"> </w:t>
      </w:r>
      <w:r w:rsidR="008B5B55" w:rsidRPr="008B5B55">
        <w:rPr>
          <w:rFonts w:cstheme="majorHAnsi"/>
          <w:i/>
          <w:szCs w:val="24"/>
          <w:lang w:val="ro-MD" w:eastAsia="ru-RU"/>
        </w:rPr>
        <w:t xml:space="preserve">pe parcursul anului 2020 în volume mai mari a VMS preponderent pe termen scurt în legătură cu cererea </w:t>
      </w:r>
      <w:r w:rsidR="00694ADA">
        <w:rPr>
          <w:rFonts w:cstheme="majorHAnsi"/>
          <w:i/>
          <w:szCs w:val="24"/>
          <w:lang w:val="ro-MD" w:eastAsia="ru-RU"/>
        </w:rPr>
        <w:t xml:space="preserve">mai mare </w:t>
      </w:r>
      <w:r w:rsidR="008B5B55" w:rsidRPr="008B5B55">
        <w:rPr>
          <w:rFonts w:cstheme="majorHAnsi"/>
          <w:i/>
          <w:szCs w:val="24"/>
          <w:lang w:val="ro-MD" w:eastAsia="ru-RU"/>
        </w:rPr>
        <w:t>pe termen scurt din partea investitorilor pentru VMS”.</w:t>
      </w:r>
    </w:p>
    <w:p w14:paraId="2FB19C58" w14:textId="0B086E75" w:rsidR="008B5B55" w:rsidRPr="008B5B55" w:rsidRDefault="008B5B55" w:rsidP="00FB1205">
      <w:pPr>
        <w:spacing w:after="240" w:line="276" w:lineRule="auto"/>
        <w:jc w:val="both"/>
        <w:rPr>
          <w:rFonts w:cstheme="majorHAnsi"/>
          <w:szCs w:val="24"/>
          <w:lang w:val="ro-MD" w:eastAsia="ru-RU"/>
        </w:rPr>
      </w:pPr>
      <w:r w:rsidRPr="008B5B55">
        <w:rPr>
          <w:rFonts w:cstheme="majorHAnsi"/>
          <w:szCs w:val="24"/>
          <w:lang w:val="ro-MD" w:eastAsia="ru-RU"/>
        </w:rPr>
        <w:t xml:space="preserve">De asemenea, MF a monitorizat </w:t>
      </w:r>
      <w:r w:rsidR="001D5C4A" w:rsidRPr="008B5B55">
        <w:rPr>
          <w:rFonts w:cstheme="majorHAnsi"/>
          <w:szCs w:val="24"/>
          <w:lang w:val="ro-MD" w:eastAsia="ru-RU"/>
        </w:rPr>
        <w:t xml:space="preserve">trimestrial </w:t>
      </w:r>
      <w:r w:rsidRPr="008B5B55">
        <w:rPr>
          <w:rFonts w:cstheme="majorHAnsi"/>
          <w:szCs w:val="24"/>
          <w:lang w:val="ro-MD" w:eastAsia="ru-RU"/>
        </w:rPr>
        <w:t>sustenabilitatea datoriei de stat, prin calcularea și publicarea în rapoartele trimestriale privind situația în domeniul datoriei sectorului public, garanțiilor de stat și recreditării de stat</w:t>
      </w:r>
      <w:r w:rsidRPr="008B5B55">
        <w:rPr>
          <w:rFonts w:cstheme="majorHAnsi"/>
          <w:szCs w:val="24"/>
          <w:vertAlign w:val="superscript"/>
          <w:lang w:val="ro-MD" w:eastAsia="ru-RU"/>
        </w:rPr>
        <w:footnoteReference w:id="8"/>
      </w:r>
      <w:r w:rsidRPr="008B5B55">
        <w:rPr>
          <w:rFonts w:cstheme="majorHAnsi"/>
          <w:szCs w:val="24"/>
          <w:lang w:val="ro-MD" w:eastAsia="ru-RU"/>
        </w:rPr>
        <w:t xml:space="preserve">, a indicatorului de sustenabilitate al datoriei de stat. Ponderea serviciului datoriei de stat în veniturile totale ale bugetului de stat a constituit 4,4%, fiind sub limitele plafonului stabilit prin Program de 10%. </w:t>
      </w:r>
    </w:p>
    <w:p w14:paraId="4BC7AA58" w14:textId="0AEF40B4" w:rsidR="008B5B55" w:rsidRPr="008B5B55" w:rsidRDefault="008B5B55" w:rsidP="00FB1205">
      <w:pPr>
        <w:spacing w:after="0" w:line="276" w:lineRule="auto"/>
        <w:jc w:val="both"/>
        <w:rPr>
          <w:rFonts w:cstheme="majorHAnsi"/>
          <w:szCs w:val="24"/>
          <w:lang w:val="ro-MD" w:eastAsia="ru-RU"/>
        </w:rPr>
      </w:pPr>
      <w:r w:rsidRPr="008B5B55">
        <w:rPr>
          <w:rFonts w:cstheme="majorHAnsi"/>
          <w:szCs w:val="24"/>
          <w:lang w:val="ro-MD" w:eastAsia="ru-RU"/>
        </w:rPr>
        <w:t xml:space="preserve">Analiza efectuată de audit privind sinteza evoluției indicatorilor de </w:t>
      </w:r>
      <w:r w:rsidR="00215374">
        <w:rPr>
          <w:rFonts w:cstheme="majorHAnsi"/>
          <w:szCs w:val="24"/>
          <w:lang w:val="ro-MD" w:eastAsia="ru-RU"/>
        </w:rPr>
        <w:t xml:space="preserve">risc și </w:t>
      </w:r>
      <w:r w:rsidRPr="008B5B55">
        <w:rPr>
          <w:rFonts w:cstheme="majorHAnsi"/>
          <w:szCs w:val="24"/>
          <w:lang w:val="ro-MD" w:eastAsia="ru-RU"/>
        </w:rPr>
        <w:t>sustenabilitate a datoriei de stat relevă următoarele:</w:t>
      </w:r>
    </w:p>
    <w:p w14:paraId="45DECBA8" w14:textId="49B36702" w:rsidR="008B5B55" w:rsidRPr="008B5B55" w:rsidRDefault="001D5C4A" w:rsidP="00FB1205">
      <w:pPr>
        <w:numPr>
          <w:ilvl w:val="0"/>
          <w:numId w:val="8"/>
        </w:numPr>
        <w:tabs>
          <w:tab w:val="left" w:pos="426"/>
        </w:tabs>
        <w:spacing w:after="0" w:line="276" w:lineRule="auto"/>
        <w:ind w:left="0" w:hanging="11"/>
        <w:jc w:val="both"/>
        <w:rPr>
          <w:rFonts w:cstheme="majorHAnsi"/>
          <w:szCs w:val="24"/>
          <w:lang w:val="ro-MD" w:eastAsia="ru-RU"/>
        </w:rPr>
      </w:pPr>
      <w:r>
        <w:rPr>
          <w:rFonts w:cstheme="majorHAnsi"/>
          <w:i/>
          <w:szCs w:val="24"/>
          <w:lang w:val="ro-MD" w:eastAsia="ru-RU"/>
        </w:rPr>
        <w:t>p</w:t>
      </w:r>
      <w:r w:rsidR="008B5B55" w:rsidRPr="008B5B55">
        <w:rPr>
          <w:rFonts w:cstheme="majorHAnsi"/>
          <w:i/>
          <w:szCs w:val="24"/>
          <w:lang w:val="ro-MD" w:eastAsia="ru-RU"/>
        </w:rPr>
        <w:t xml:space="preserve">onderea datoriei de stat în PIB </w:t>
      </w:r>
      <w:r w:rsidR="008B5B55" w:rsidRPr="008B5B55">
        <w:rPr>
          <w:rFonts w:cstheme="majorHAnsi"/>
          <w:szCs w:val="24"/>
          <w:lang w:val="ro-MD" w:eastAsia="ru-RU"/>
        </w:rPr>
        <w:t>a înregistrat o majorare semnificativă față de anul 2019</w:t>
      </w:r>
      <w:r>
        <w:rPr>
          <w:rFonts w:cstheme="majorHAnsi"/>
          <w:szCs w:val="24"/>
          <w:lang w:val="ro-MD" w:eastAsia="ru-RU"/>
        </w:rPr>
        <w:t xml:space="preserve"> cu 7,5 p.p., constituind 32,9%;</w:t>
      </w:r>
      <w:r w:rsidR="008B5B55" w:rsidRPr="008B5B55">
        <w:rPr>
          <w:rFonts w:cstheme="majorHAnsi"/>
          <w:szCs w:val="24"/>
          <w:lang w:val="ro-MD" w:eastAsia="ru-RU"/>
        </w:rPr>
        <w:t xml:space="preserve"> </w:t>
      </w:r>
    </w:p>
    <w:p w14:paraId="0F37D622" w14:textId="521B3A92" w:rsidR="008B5B55" w:rsidRPr="008B5B55" w:rsidRDefault="001D5C4A" w:rsidP="00FB1205">
      <w:pPr>
        <w:numPr>
          <w:ilvl w:val="0"/>
          <w:numId w:val="8"/>
        </w:numPr>
        <w:tabs>
          <w:tab w:val="left" w:pos="426"/>
        </w:tabs>
        <w:spacing w:after="0" w:line="276" w:lineRule="auto"/>
        <w:ind w:left="0" w:hanging="11"/>
        <w:jc w:val="both"/>
        <w:rPr>
          <w:rFonts w:cstheme="majorHAnsi"/>
          <w:szCs w:val="24"/>
          <w:lang w:val="ro-MD" w:eastAsia="ru-RU"/>
        </w:rPr>
      </w:pPr>
      <w:r>
        <w:rPr>
          <w:rFonts w:cstheme="majorHAnsi"/>
          <w:i/>
          <w:szCs w:val="24"/>
          <w:lang w:val="ro-MD" w:eastAsia="ru-RU"/>
        </w:rPr>
        <w:t>p</w:t>
      </w:r>
      <w:r w:rsidR="008B5B55" w:rsidRPr="008B5B55">
        <w:rPr>
          <w:rFonts w:cstheme="majorHAnsi"/>
          <w:i/>
          <w:szCs w:val="24"/>
          <w:lang w:val="ro-MD" w:eastAsia="ru-RU"/>
        </w:rPr>
        <w:t xml:space="preserve">onderea datoriei de stat în totalul veniturilor bugetului de stat </w:t>
      </w:r>
      <w:r w:rsidR="008B5B55" w:rsidRPr="008B5B55">
        <w:rPr>
          <w:rFonts w:cstheme="majorHAnsi"/>
          <w:szCs w:val="24"/>
          <w:lang w:val="ro-MD" w:eastAsia="ru-RU"/>
        </w:rPr>
        <w:t xml:space="preserve">a înregistrat la fel o creștere față de anul precedent, cu </w:t>
      </w:r>
      <w:r>
        <w:rPr>
          <w:rFonts w:cstheme="majorHAnsi"/>
          <w:szCs w:val="24"/>
          <w:lang w:val="ro-MD" w:eastAsia="ru-RU"/>
        </w:rPr>
        <w:t>44,8 p.p. și constituie 176,1%;</w:t>
      </w:r>
    </w:p>
    <w:p w14:paraId="6BC54E3C" w14:textId="48781282" w:rsidR="008B5B55" w:rsidRPr="008B5B55" w:rsidRDefault="001D5C4A" w:rsidP="00FB1205">
      <w:pPr>
        <w:numPr>
          <w:ilvl w:val="0"/>
          <w:numId w:val="8"/>
        </w:numPr>
        <w:tabs>
          <w:tab w:val="left" w:pos="426"/>
        </w:tabs>
        <w:spacing w:after="0" w:line="276" w:lineRule="auto"/>
        <w:ind w:left="0" w:hanging="11"/>
        <w:jc w:val="both"/>
        <w:rPr>
          <w:rFonts w:cstheme="majorHAnsi"/>
          <w:szCs w:val="24"/>
          <w:lang w:val="ro-MD" w:eastAsia="ru-RU"/>
        </w:rPr>
      </w:pPr>
      <w:r>
        <w:rPr>
          <w:rFonts w:cstheme="majorHAnsi"/>
          <w:i/>
          <w:szCs w:val="24"/>
          <w:lang w:val="ro-MD" w:eastAsia="ru-RU"/>
        </w:rPr>
        <w:t>p</w:t>
      </w:r>
      <w:r w:rsidR="008B5B55" w:rsidRPr="008B5B55">
        <w:rPr>
          <w:rFonts w:cstheme="majorHAnsi"/>
          <w:i/>
          <w:szCs w:val="24"/>
          <w:lang w:val="ro-MD" w:eastAsia="ru-RU"/>
        </w:rPr>
        <w:t xml:space="preserve">onderea serviciului datoriei de stat în totalul veniturilor bugetului de stat, </w:t>
      </w:r>
      <w:r w:rsidR="008B5B55" w:rsidRPr="008B5B55">
        <w:rPr>
          <w:rFonts w:cstheme="majorHAnsi"/>
          <w:szCs w:val="24"/>
          <w:lang w:val="ro-MD" w:eastAsia="ru-RU"/>
        </w:rPr>
        <w:t>comparativ cu anul 2019, este în creștere cu 0,3 p.p. și constituie 4,4%;</w:t>
      </w:r>
    </w:p>
    <w:p w14:paraId="2F35E1A5" w14:textId="08D8F221" w:rsidR="008B5B55" w:rsidRPr="008B5B55" w:rsidRDefault="001D5C4A" w:rsidP="00FB1205">
      <w:pPr>
        <w:numPr>
          <w:ilvl w:val="0"/>
          <w:numId w:val="8"/>
        </w:numPr>
        <w:tabs>
          <w:tab w:val="left" w:pos="426"/>
        </w:tabs>
        <w:spacing w:after="0" w:line="276" w:lineRule="auto"/>
        <w:ind w:left="0" w:hanging="11"/>
        <w:jc w:val="both"/>
        <w:rPr>
          <w:rFonts w:cstheme="majorHAnsi"/>
          <w:szCs w:val="24"/>
          <w:lang w:val="ro-MD" w:eastAsia="ru-RU"/>
        </w:rPr>
      </w:pPr>
      <w:r>
        <w:rPr>
          <w:rFonts w:cstheme="majorHAnsi"/>
          <w:i/>
          <w:szCs w:val="24"/>
          <w:lang w:val="ro-MD" w:eastAsia="ru-RU"/>
        </w:rPr>
        <w:t>p</w:t>
      </w:r>
      <w:r w:rsidR="008B5B55" w:rsidRPr="008B5B55">
        <w:rPr>
          <w:rFonts w:cstheme="majorHAnsi"/>
          <w:i/>
          <w:szCs w:val="24"/>
          <w:lang w:val="ro-MD" w:eastAsia="ru-RU"/>
        </w:rPr>
        <w:t>onderea serviciului datoriei de stat în totalul exporturilor de bunuri</w:t>
      </w:r>
      <w:r w:rsidR="008B5B55" w:rsidRPr="008B5B55">
        <w:rPr>
          <w:rFonts w:cstheme="majorHAnsi"/>
          <w:i/>
          <w:szCs w:val="24"/>
          <w:vertAlign w:val="superscript"/>
          <w:lang w:val="ro-MD" w:eastAsia="ru-RU"/>
        </w:rPr>
        <w:footnoteReference w:id="9"/>
      </w:r>
      <w:r w:rsidR="008B5B55" w:rsidRPr="008B5B55">
        <w:rPr>
          <w:rFonts w:cstheme="majorHAnsi"/>
          <w:i/>
          <w:szCs w:val="24"/>
          <w:lang w:val="ro-MD" w:eastAsia="ru-RU"/>
        </w:rPr>
        <w:t xml:space="preserve"> </w:t>
      </w:r>
      <w:r w:rsidR="008B5B55" w:rsidRPr="008B5B55">
        <w:rPr>
          <w:rFonts w:cstheme="majorHAnsi"/>
          <w:szCs w:val="24"/>
          <w:lang w:val="ro-MD" w:eastAsia="ru-RU"/>
        </w:rPr>
        <w:t>este de 3,9%, fiind în creștere cu 0,6 p.p. față de anul 2019;</w:t>
      </w:r>
    </w:p>
    <w:p w14:paraId="0CEA9707" w14:textId="4584E061" w:rsidR="00215374" w:rsidRPr="00215374" w:rsidRDefault="001D5C4A" w:rsidP="00215374">
      <w:pPr>
        <w:numPr>
          <w:ilvl w:val="0"/>
          <w:numId w:val="8"/>
        </w:numPr>
        <w:tabs>
          <w:tab w:val="left" w:pos="426"/>
        </w:tabs>
        <w:spacing w:line="240" w:lineRule="auto"/>
        <w:ind w:left="0" w:hanging="11"/>
        <w:jc w:val="both"/>
        <w:rPr>
          <w:rFonts w:cstheme="majorHAnsi"/>
          <w:szCs w:val="24"/>
          <w:lang w:val="ro-MD" w:eastAsia="ru-RU"/>
        </w:rPr>
      </w:pPr>
      <w:r>
        <w:rPr>
          <w:rFonts w:cstheme="majorHAnsi"/>
          <w:i/>
          <w:szCs w:val="24"/>
          <w:lang w:val="ro-MD" w:eastAsia="ru-RU"/>
        </w:rPr>
        <w:lastRenderedPageBreak/>
        <w:t>p</w:t>
      </w:r>
      <w:r w:rsidR="008B5B55" w:rsidRPr="008B5B55">
        <w:rPr>
          <w:rFonts w:cstheme="majorHAnsi"/>
          <w:i/>
          <w:szCs w:val="24"/>
          <w:lang w:val="ro-MD" w:eastAsia="ru-RU"/>
        </w:rPr>
        <w:t>onderea datoriei de stat externe în totalul exporturilor de bunuri</w:t>
      </w:r>
      <w:r w:rsidR="008B5B55" w:rsidRPr="008B5B55">
        <w:rPr>
          <w:rFonts w:cstheme="majorHAnsi"/>
          <w:i/>
          <w:szCs w:val="24"/>
          <w:vertAlign w:val="superscript"/>
          <w:lang w:val="ro-MD" w:eastAsia="ru-RU"/>
        </w:rPr>
        <w:footnoteReference w:id="10"/>
      </w:r>
      <w:r w:rsidR="008B5B55" w:rsidRPr="008B5B55">
        <w:rPr>
          <w:rFonts w:cstheme="majorHAnsi"/>
          <w:i/>
          <w:szCs w:val="24"/>
          <w:lang w:val="ro-MD" w:eastAsia="ru-RU"/>
        </w:rPr>
        <w:t xml:space="preserve"> </w:t>
      </w:r>
      <w:r w:rsidR="008B5B55" w:rsidRPr="008B5B55">
        <w:rPr>
          <w:rFonts w:cstheme="majorHAnsi"/>
          <w:szCs w:val="24"/>
          <w:lang w:val="ro-MD" w:eastAsia="ru-RU"/>
        </w:rPr>
        <w:t>este de 90,2%</w:t>
      </w:r>
      <w:r w:rsidR="008B5B55" w:rsidRPr="008B5B55">
        <w:rPr>
          <w:rFonts w:cstheme="majorHAnsi"/>
          <w:i/>
          <w:szCs w:val="24"/>
          <w:lang w:val="ro-MD" w:eastAsia="ru-RU"/>
        </w:rPr>
        <w:t xml:space="preserve">, </w:t>
      </w:r>
      <w:r w:rsidR="008B5B55" w:rsidRPr="008B5B55">
        <w:rPr>
          <w:rFonts w:cstheme="majorHAnsi"/>
          <w:szCs w:val="24"/>
          <w:lang w:val="ro-MD" w:eastAsia="ru-RU"/>
        </w:rPr>
        <w:t>sau cu 28,9 p.p. mai mult față de anul 2019</w:t>
      </w:r>
      <w:r w:rsidR="00215374">
        <w:rPr>
          <w:rFonts w:cstheme="majorHAnsi"/>
          <w:i/>
          <w:szCs w:val="24"/>
          <w:lang w:val="ro-MD" w:eastAsia="ru-RU"/>
        </w:rPr>
        <w:t>.</w:t>
      </w:r>
    </w:p>
    <w:p w14:paraId="2EFE2463" w14:textId="3E425564" w:rsidR="008B5B55" w:rsidRPr="00A10B16" w:rsidRDefault="008B5B55" w:rsidP="00215374">
      <w:pPr>
        <w:tabs>
          <w:tab w:val="left" w:pos="426"/>
        </w:tabs>
        <w:spacing w:line="240" w:lineRule="auto"/>
        <w:jc w:val="both"/>
        <w:rPr>
          <w:rFonts w:cstheme="majorHAnsi"/>
          <w:szCs w:val="24"/>
          <w:lang w:val="ro-MD" w:eastAsia="ru-RU"/>
        </w:rPr>
      </w:pPr>
      <w:r w:rsidRPr="00BB755E">
        <w:rPr>
          <w:rFonts w:cstheme="majorHAnsi"/>
          <w:i/>
          <w:szCs w:val="24"/>
          <w:lang w:val="ro-MD" w:eastAsia="ru-RU"/>
        </w:rPr>
        <w:t xml:space="preserve">Evoluția principalilor indicatori ce caracterizează datoria de stat se prezintă în </w:t>
      </w:r>
      <w:r w:rsidR="00D6709E">
        <w:rPr>
          <w:rFonts w:cstheme="majorHAnsi"/>
          <w:i/>
          <w:szCs w:val="24"/>
          <w:lang w:val="ro-MD" w:eastAsia="ru-RU"/>
        </w:rPr>
        <w:t>Anexa nr.4</w:t>
      </w:r>
      <w:r w:rsidR="003810B8">
        <w:rPr>
          <w:rFonts w:cstheme="majorHAnsi"/>
          <w:i/>
          <w:szCs w:val="24"/>
          <w:lang w:val="ro-MD" w:eastAsia="ru-RU"/>
        </w:rPr>
        <w:t>, Tabelul nr.</w:t>
      </w:r>
      <w:r w:rsidR="00F639BB">
        <w:rPr>
          <w:rFonts w:cstheme="majorHAnsi"/>
          <w:i/>
          <w:szCs w:val="24"/>
          <w:lang w:val="ro-MD" w:eastAsia="ru-RU"/>
        </w:rPr>
        <w:t>2</w:t>
      </w:r>
      <w:r w:rsidR="00D6709E">
        <w:rPr>
          <w:rFonts w:cstheme="majorHAnsi"/>
          <w:i/>
          <w:szCs w:val="24"/>
          <w:lang w:val="ro-MD" w:eastAsia="ru-RU"/>
        </w:rPr>
        <w:t xml:space="preserve"> la prezentul Raport de audit</w:t>
      </w:r>
      <w:r w:rsidR="00A10B16">
        <w:rPr>
          <w:rFonts w:cstheme="majorHAnsi"/>
          <w:i/>
          <w:szCs w:val="24"/>
          <w:lang w:val="ro-MD" w:eastAsia="ru-RU"/>
        </w:rPr>
        <w:t>.</w:t>
      </w:r>
    </w:p>
    <w:p w14:paraId="66C6A35C" w14:textId="04694EDC" w:rsidR="008B5B55" w:rsidRPr="008B5B55" w:rsidRDefault="008B5B55" w:rsidP="00FB1205">
      <w:pPr>
        <w:spacing w:after="240" w:line="276" w:lineRule="auto"/>
        <w:jc w:val="both"/>
        <w:rPr>
          <w:rFonts w:cstheme="majorHAnsi"/>
          <w:szCs w:val="24"/>
          <w:lang w:val="ro-MD" w:eastAsia="ru-RU"/>
        </w:rPr>
      </w:pPr>
      <w:r w:rsidRPr="008B5B55">
        <w:rPr>
          <w:rFonts w:cstheme="majorHAnsi"/>
          <w:szCs w:val="24"/>
          <w:lang w:val="ro-MD" w:eastAsia="ru-RU"/>
        </w:rPr>
        <w:t>Analiza în evoluție a indicatorilor care caracterizează gradul de sustenabilitate a datoriei de stat relevă că serviciul datoriei de stat în totalul veniturilor și cheltuielilor bugetului de stat, în totalul exporturilor de bunuri precum și în PIB, se menține practic la același nivel pe parcursul ultimilor</w:t>
      </w:r>
      <w:r w:rsidR="001D5C4A">
        <w:rPr>
          <w:rFonts w:cstheme="majorHAnsi"/>
          <w:szCs w:val="24"/>
          <w:lang w:val="ro-MD" w:eastAsia="ru-RU"/>
        </w:rPr>
        <w:t xml:space="preserve"> 3 ani, cu mici devieri. Dacă pâ</w:t>
      </w:r>
      <w:r w:rsidRPr="008B5B55">
        <w:rPr>
          <w:rFonts w:cstheme="majorHAnsi"/>
          <w:szCs w:val="24"/>
          <w:lang w:val="ro-MD" w:eastAsia="ru-RU"/>
        </w:rPr>
        <w:t xml:space="preserve">nă în anul 2019 ponderea datoriei de stat în PIB și </w:t>
      </w:r>
      <w:r w:rsidR="001D5C4A">
        <w:rPr>
          <w:rFonts w:cstheme="majorHAnsi"/>
          <w:szCs w:val="24"/>
          <w:lang w:val="ro-MD" w:eastAsia="ru-RU"/>
        </w:rPr>
        <w:t xml:space="preserve">în </w:t>
      </w:r>
      <w:r w:rsidRPr="008B5B55">
        <w:rPr>
          <w:rFonts w:cstheme="majorHAnsi"/>
          <w:szCs w:val="24"/>
          <w:lang w:val="ro-MD" w:eastAsia="ru-RU"/>
        </w:rPr>
        <w:t xml:space="preserve">totalul veniturilor bugetului de stat </w:t>
      </w:r>
      <w:r w:rsidR="001D5C4A">
        <w:rPr>
          <w:rFonts w:cstheme="majorHAnsi"/>
          <w:szCs w:val="24"/>
          <w:lang w:val="ro-MD" w:eastAsia="ru-RU"/>
        </w:rPr>
        <w:t xml:space="preserve">a </w:t>
      </w:r>
      <w:r w:rsidRPr="008B5B55">
        <w:rPr>
          <w:rFonts w:cstheme="majorHAnsi"/>
          <w:szCs w:val="24"/>
          <w:lang w:val="ro-MD" w:eastAsia="ru-RU"/>
        </w:rPr>
        <w:t>înregistr</w:t>
      </w:r>
      <w:r w:rsidR="001D5C4A">
        <w:rPr>
          <w:rFonts w:cstheme="majorHAnsi"/>
          <w:szCs w:val="24"/>
          <w:lang w:val="ro-MD" w:eastAsia="ru-RU"/>
        </w:rPr>
        <w:t>at</w:t>
      </w:r>
      <w:r w:rsidRPr="008B5B55">
        <w:rPr>
          <w:rFonts w:cstheme="majorHAnsi"/>
          <w:szCs w:val="24"/>
          <w:lang w:val="ro-MD" w:eastAsia="ru-RU"/>
        </w:rPr>
        <w:t xml:space="preserve"> un t</w:t>
      </w:r>
      <w:r w:rsidR="00870780">
        <w:rPr>
          <w:rFonts w:cstheme="majorHAnsi"/>
          <w:szCs w:val="24"/>
          <w:lang w:val="ro-MD" w:eastAsia="ru-RU"/>
        </w:rPr>
        <w:t>rend descrescător, în anul 2020</w:t>
      </w:r>
      <w:r w:rsidRPr="008B5B55">
        <w:rPr>
          <w:rFonts w:cstheme="majorHAnsi"/>
          <w:szCs w:val="24"/>
          <w:lang w:val="ro-MD" w:eastAsia="ru-RU"/>
        </w:rPr>
        <w:t xml:space="preserve"> acești indicatori înregistrează o creștere semnificativă, revenind la situația </w:t>
      </w:r>
      <w:r w:rsidR="001D5C4A">
        <w:rPr>
          <w:rFonts w:cstheme="majorHAnsi"/>
          <w:szCs w:val="24"/>
          <w:lang w:val="ro-MD" w:eastAsia="ru-RU"/>
        </w:rPr>
        <w:t>din</w:t>
      </w:r>
      <w:r w:rsidRPr="008B5B55">
        <w:rPr>
          <w:rFonts w:cstheme="majorHAnsi"/>
          <w:szCs w:val="24"/>
          <w:lang w:val="ro-MD" w:eastAsia="ru-RU"/>
        </w:rPr>
        <w:t xml:space="preserve"> 2016, cu mici devieri.</w:t>
      </w:r>
    </w:p>
    <w:p w14:paraId="6D75DF81" w14:textId="7A3659DB" w:rsidR="008B5B55" w:rsidRDefault="008B5B55" w:rsidP="00FB1205">
      <w:pPr>
        <w:spacing w:after="240" w:line="276" w:lineRule="auto"/>
        <w:jc w:val="both"/>
        <w:rPr>
          <w:rFonts w:cstheme="majorHAnsi"/>
          <w:szCs w:val="24"/>
          <w:lang w:val="ro-MD" w:eastAsia="ru-RU"/>
        </w:rPr>
      </w:pPr>
      <w:r w:rsidRPr="008B5B55">
        <w:rPr>
          <w:rFonts w:cstheme="majorHAnsi"/>
          <w:szCs w:val="24"/>
          <w:lang w:val="ro-MD" w:eastAsia="ru-RU"/>
        </w:rPr>
        <w:t>Analiza efectuată de audit asupra plăților de deservire a dat</w:t>
      </w:r>
      <w:r w:rsidR="00870780">
        <w:rPr>
          <w:rFonts w:cstheme="majorHAnsi"/>
          <w:szCs w:val="24"/>
          <w:lang w:val="ro-MD" w:eastAsia="ru-RU"/>
        </w:rPr>
        <w:t>oriei de stat pînă în anul 2031</w:t>
      </w:r>
      <w:r w:rsidRPr="008B5B55">
        <w:rPr>
          <w:rFonts w:cstheme="majorHAnsi"/>
          <w:szCs w:val="24"/>
          <w:lang w:val="ro-MD" w:eastAsia="ru-RU"/>
        </w:rPr>
        <w:t xml:space="preserve"> denotă că plățile planificate pentru deservirea acestora vor atinge cota maximă în anul 2021 – pentru deservirea datoriei de stat interne</w:t>
      </w:r>
      <w:r w:rsidR="00870780">
        <w:rPr>
          <w:rFonts w:cstheme="majorHAnsi"/>
          <w:szCs w:val="24"/>
          <w:lang w:val="ro-MD" w:eastAsia="ru-RU"/>
        </w:rPr>
        <w:t>,</w:t>
      </w:r>
      <w:r w:rsidRPr="008B5B55">
        <w:rPr>
          <w:rFonts w:cstheme="majorHAnsi"/>
          <w:szCs w:val="24"/>
          <w:lang w:val="ro-MD" w:eastAsia="ru-RU"/>
        </w:rPr>
        <w:t xml:space="preserve"> și în anul 2024 – pentru deservirea datoriei de stat externe, din </w:t>
      </w:r>
      <w:r w:rsidR="00870780">
        <w:rPr>
          <w:rFonts w:cstheme="majorHAnsi"/>
          <w:szCs w:val="24"/>
          <w:lang w:val="ro-MD" w:eastAsia="ru-RU"/>
        </w:rPr>
        <w:t>bugetul de stat urmâ</w:t>
      </w:r>
      <w:r w:rsidRPr="008B5B55">
        <w:rPr>
          <w:rFonts w:cstheme="majorHAnsi"/>
          <w:szCs w:val="24"/>
          <w:lang w:val="ro-MD" w:eastAsia="ru-RU"/>
        </w:rPr>
        <w:t xml:space="preserve">nd a fi achitate circa </w:t>
      </w:r>
      <w:r w:rsidR="00350917">
        <w:rPr>
          <w:rFonts w:cstheme="majorHAnsi"/>
          <w:szCs w:val="24"/>
          <w:lang w:val="ro-MD" w:eastAsia="ru-RU"/>
        </w:rPr>
        <w:t>15,0</w:t>
      </w:r>
      <w:r w:rsidR="007934C8">
        <w:rPr>
          <w:rFonts w:cstheme="majorHAnsi"/>
          <w:szCs w:val="24"/>
          <w:lang w:val="ro-MD" w:eastAsia="ru-RU"/>
        </w:rPr>
        <w:t xml:space="preserve"> mil.</w:t>
      </w:r>
      <w:r w:rsidRPr="008B5B55">
        <w:rPr>
          <w:rFonts w:cstheme="majorHAnsi"/>
          <w:szCs w:val="24"/>
          <w:lang w:val="ro-MD" w:eastAsia="ru-RU"/>
        </w:rPr>
        <w:t xml:space="preserve">lei pentru deservirea de stat internă și </w:t>
      </w:r>
      <w:r w:rsidR="00350917">
        <w:rPr>
          <w:rFonts w:cstheme="majorHAnsi"/>
          <w:szCs w:val="24"/>
          <w:lang w:val="ro-MD" w:eastAsia="ru-RU"/>
        </w:rPr>
        <w:t xml:space="preserve">247,6 </w:t>
      </w:r>
      <w:r w:rsidRPr="008B5B55">
        <w:rPr>
          <w:rFonts w:cstheme="majorHAnsi"/>
          <w:szCs w:val="24"/>
          <w:lang w:val="ro-MD" w:eastAsia="ru-RU"/>
        </w:rPr>
        <w:t>mil.dol.SUA pentru des</w:t>
      </w:r>
      <w:r w:rsidR="004511C2">
        <w:rPr>
          <w:rFonts w:cstheme="majorHAnsi"/>
          <w:szCs w:val="24"/>
          <w:lang w:val="ro-MD" w:eastAsia="ru-RU"/>
        </w:rPr>
        <w:t>e</w:t>
      </w:r>
      <w:r w:rsidRPr="008B5B55">
        <w:rPr>
          <w:rFonts w:cstheme="majorHAnsi"/>
          <w:szCs w:val="24"/>
          <w:lang w:val="ro-MD" w:eastAsia="ru-RU"/>
        </w:rPr>
        <w:t>rvirea dato</w:t>
      </w:r>
      <w:r w:rsidR="00870780">
        <w:rPr>
          <w:rFonts w:cstheme="majorHAnsi"/>
          <w:szCs w:val="24"/>
          <w:lang w:val="ro-MD" w:eastAsia="ru-RU"/>
        </w:rPr>
        <w:t>riei de stat externe, înregistrâ</w:t>
      </w:r>
      <w:r w:rsidRPr="008B5B55">
        <w:rPr>
          <w:rFonts w:cstheme="majorHAnsi"/>
          <w:szCs w:val="24"/>
          <w:lang w:val="ro-MD" w:eastAsia="ru-RU"/>
        </w:rPr>
        <w:t>nd o evoluție neuniformă.</w:t>
      </w:r>
      <w:r w:rsidRPr="00847BCD">
        <w:rPr>
          <w:rFonts w:cstheme="majorHAnsi"/>
          <w:i/>
          <w:szCs w:val="24"/>
          <w:lang w:val="ro-MD" w:eastAsia="ru-RU"/>
        </w:rPr>
        <w:t xml:space="preserve"> Analiza în </w:t>
      </w:r>
      <w:r w:rsidR="00870780">
        <w:rPr>
          <w:rFonts w:cstheme="majorHAnsi"/>
          <w:i/>
          <w:szCs w:val="24"/>
          <w:lang w:val="ro-MD" w:eastAsia="ru-RU"/>
        </w:rPr>
        <w:t>dinamică</w:t>
      </w:r>
      <w:r w:rsidRPr="00847BCD">
        <w:rPr>
          <w:rFonts w:cstheme="majorHAnsi"/>
          <w:i/>
          <w:szCs w:val="24"/>
          <w:lang w:val="ro-MD" w:eastAsia="ru-RU"/>
        </w:rPr>
        <w:t xml:space="preserve"> a rambursării datoriei de stat care va ajunge la scadență în decurs de 10 ani, conform situației din 31.12.2020</w:t>
      </w:r>
      <w:r w:rsidR="00870780">
        <w:rPr>
          <w:rFonts w:cstheme="majorHAnsi"/>
          <w:i/>
          <w:szCs w:val="24"/>
          <w:lang w:val="ro-MD" w:eastAsia="ru-RU"/>
        </w:rPr>
        <w:t>,</w:t>
      </w:r>
      <w:r w:rsidRPr="00847BCD">
        <w:rPr>
          <w:rFonts w:cstheme="majorHAnsi"/>
          <w:i/>
          <w:szCs w:val="24"/>
          <w:lang w:val="ro-MD" w:eastAsia="ru-RU"/>
        </w:rPr>
        <w:t xml:space="preserve"> este redată mai detaliat în </w:t>
      </w:r>
      <w:r w:rsidR="00BB755E" w:rsidRPr="00847BCD">
        <w:rPr>
          <w:rFonts w:cstheme="majorHAnsi"/>
          <w:i/>
          <w:szCs w:val="24"/>
          <w:lang w:val="ro-MD" w:eastAsia="ru-RU"/>
        </w:rPr>
        <w:t>D</w:t>
      </w:r>
      <w:r w:rsidRPr="00847BCD">
        <w:rPr>
          <w:rFonts w:cstheme="majorHAnsi"/>
          <w:i/>
          <w:szCs w:val="24"/>
          <w:lang w:val="ro-MD" w:eastAsia="ru-RU"/>
        </w:rPr>
        <w:t xml:space="preserve">iagrama </w:t>
      </w:r>
      <w:r w:rsidR="00BB755E" w:rsidRPr="00847BCD">
        <w:rPr>
          <w:rFonts w:cstheme="majorHAnsi"/>
          <w:i/>
          <w:szCs w:val="24"/>
          <w:lang w:val="ro-MD" w:eastAsia="ru-RU"/>
        </w:rPr>
        <w:t>nr.</w:t>
      </w:r>
      <w:r w:rsidR="0018553A" w:rsidRPr="00847BCD">
        <w:rPr>
          <w:rFonts w:cstheme="majorHAnsi"/>
          <w:i/>
          <w:szCs w:val="24"/>
          <w:lang w:val="ro-MD" w:eastAsia="ru-RU"/>
        </w:rPr>
        <w:t>2</w:t>
      </w:r>
      <w:r w:rsidR="00C94D0F" w:rsidRPr="00847BCD">
        <w:rPr>
          <w:rFonts w:cstheme="majorHAnsi"/>
          <w:i/>
          <w:szCs w:val="24"/>
          <w:lang w:val="ro-MD" w:eastAsia="ru-RU"/>
        </w:rPr>
        <w:t>.</w:t>
      </w:r>
    </w:p>
    <w:p w14:paraId="1584380E" w14:textId="4A191E04" w:rsidR="00395121" w:rsidRPr="00395121" w:rsidRDefault="0018553A" w:rsidP="000F2391">
      <w:pPr>
        <w:spacing w:after="0" w:line="276" w:lineRule="auto"/>
        <w:jc w:val="center"/>
        <w:rPr>
          <w:rFonts w:cstheme="majorHAnsi"/>
          <w:b/>
          <w:i/>
          <w:szCs w:val="24"/>
          <w:lang w:eastAsia="ru-RU"/>
        </w:rPr>
      </w:pPr>
      <w:r>
        <w:rPr>
          <w:rFonts w:cstheme="majorHAnsi"/>
          <w:b/>
          <w:i/>
          <w:szCs w:val="24"/>
          <w:lang w:eastAsia="ru-RU"/>
        </w:rPr>
        <w:t>Diagrama nr.2</w:t>
      </w:r>
      <w:r w:rsidR="00395121" w:rsidRPr="00395121">
        <w:rPr>
          <w:rFonts w:cstheme="majorHAnsi"/>
          <w:b/>
          <w:i/>
          <w:szCs w:val="24"/>
          <w:lang w:eastAsia="ru-RU"/>
        </w:rPr>
        <w:t>. Mijloacele planificate pentru deservirea datoriei de stat în anii 2021-2030</w:t>
      </w:r>
    </w:p>
    <w:p w14:paraId="17BE56D4" w14:textId="44BCF205" w:rsidR="008B5B55" w:rsidRPr="008B5B55" w:rsidRDefault="0067561E" w:rsidP="00813C1E">
      <w:pPr>
        <w:spacing w:after="0" w:line="276" w:lineRule="auto"/>
        <w:jc w:val="both"/>
        <w:rPr>
          <w:rFonts w:cstheme="majorHAnsi"/>
          <w:b/>
          <w:szCs w:val="24"/>
          <w:lang w:val="ro-MD" w:eastAsia="ru-RU"/>
        </w:rPr>
      </w:pPr>
      <w:r>
        <w:rPr>
          <w:noProof/>
          <w:lang w:val="ru-RU" w:eastAsia="ru-RU"/>
        </w:rPr>
        <w:lastRenderedPageBreak/>
        <w:drawing>
          <wp:inline distT="0" distB="0" distL="0" distR="0" wp14:anchorId="1F9D8D40" wp14:editId="07B6FB7B">
            <wp:extent cx="2918460" cy="2522220"/>
            <wp:effectExtent l="0" t="0" r="152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11F41">
        <w:rPr>
          <w:rFonts w:cstheme="majorHAnsi"/>
          <w:b/>
          <w:szCs w:val="24"/>
          <w:lang w:val="ro-MD" w:eastAsia="ru-RU"/>
        </w:rPr>
        <w:t xml:space="preserve">  </w:t>
      </w:r>
      <w:r w:rsidR="00411F41">
        <w:rPr>
          <w:rFonts w:cstheme="majorHAnsi"/>
          <w:b/>
          <w:noProof/>
          <w:szCs w:val="24"/>
          <w:lang w:val="ru-RU" w:eastAsia="ru-RU"/>
        </w:rPr>
        <w:drawing>
          <wp:inline distT="0" distB="0" distL="0" distR="0" wp14:anchorId="7B47BE30" wp14:editId="2D8EF273">
            <wp:extent cx="2849880" cy="2514600"/>
            <wp:effectExtent l="0" t="0" r="762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15C519" w14:textId="1330510B" w:rsidR="008B5B55" w:rsidRDefault="008B5B55" w:rsidP="000F2391">
      <w:pPr>
        <w:spacing w:after="0" w:line="240" w:lineRule="auto"/>
        <w:ind w:firstLine="567"/>
        <w:jc w:val="both"/>
        <w:rPr>
          <w:rFonts w:cstheme="majorHAnsi"/>
          <w:i/>
          <w:sz w:val="20"/>
          <w:szCs w:val="20"/>
          <w:lang w:val="ro-MD" w:eastAsia="ru-RU"/>
        </w:rPr>
      </w:pPr>
      <w:r w:rsidRPr="008B5B55">
        <w:rPr>
          <w:rFonts w:cstheme="majorHAnsi"/>
          <w:b/>
          <w:i/>
          <w:sz w:val="20"/>
          <w:szCs w:val="20"/>
          <w:lang w:val="ro-MD" w:eastAsia="ru-RU"/>
        </w:rPr>
        <w:t xml:space="preserve">Sursa: </w:t>
      </w:r>
      <w:r w:rsidRPr="008B5B55">
        <w:rPr>
          <w:rFonts w:cstheme="majorHAnsi"/>
          <w:i/>
          <w:sz w:val="20"/>
          <w:szCs w:val="20"/>
          <w:lang w:val="ro-MD" w:eastAsia="ru-RU"/>
        </w:rPr>
        <w:t>Prognoza rambursăr</w:t>
      </w:r>
      <w:r w:rsidR="00395121">
        <w:rPr>
          <w:rFonts w:cstheme="majorHAnsi"/>
          <w:i/>
          <w:sz w:val="20"/>
          <w:szCs w:val="20"/>
          <w:lang w:val="ro-MD" w:eastAsia="ru-RU"/>
        </w:rPr>
        <w:t>ii datoriei de stat interne (mlrd</w:t>
      </w:r>
      <w:r w:rsidRPr="008B5B55">
        <w:rPr>
          <w:rFonts w:cstheme="majorHAnsi"/>
          <w:i/>
          <w:sz w:val="20"/>
          <w:szCs w:val="20"/>
          <w:lang w:val="ro-MD" w:eastAsia="ru-RU"/>
        </w:rPr>
        <w:t>.lei) și a datoriei de stat externe (mil.dol.SUA) pentru anii 2021-2031, prezentată de Ministerul Finanțelor</w:t>
      </w:r>
      <w:r w:rsidR="00870780">
        <w:rPr>
          <w:rFonts w:cstheme="majorHAnsi"/>
          <w:i/>
          <w:sz w:val="20"/>
          <w:szCs w:val="20"/>
          <w:lang w:val="ro-MD" w:eastAsia="ru-RU"/>
        </w:rPr>
        <w:t>.</w:t>
      </w:r>
    </w:p>
    <w:p w14:paraId="65ED9693" w14:textId="77777777" w:rsidR="00B86518" w:rsidRPr="008B5B55" w:rsidRDefault="00B86518" w:rsidP="000F2391">
      <w:pPr>
        <w:spacing w:after="0" w:line="240" w:lineRule="auto"/>
        <w:ind w:firstLine="567"/>
        <w:jc w:val="both"/>
        <w:rPr>
          <w:rFonts w:cstheme="majorHAnsi"/>
          <w:i/>
          <w:sz w:val="20"/>
          <w:szCs w:val="20"/>
          <w:lang w:val="ro-MD" w:eastAsia="ru-RU"/>
        </w:rPr>
      </w:pPr>
    </w:p>
    <w:p w14:paraId="4605D987" w14:textId="55EDDFC3" w:rsidR="00E0260C" w:rsidRPr="008B5B55" w:rsidRDefault="008B5B55" w:rsidP="00FB1205">
      <w:pPr>
        <w:spacing w:after="240" w:line="276" w:lineRule="auto"/>
        <w:jc w:val="both"/>
        <w:rPr>
          <w:rFonts w:cstheme="majorHAnsi"/>
          <w:szCs w:val="24"/>
          <w:lang w:val="ro-MD" w:eastAsia="ru-RU"/>
        </w:rPr>
      </w:pPr>
      <w:r w:rsidRPr="008B5B55">
        <w:rPr>
          <w:rFonts w:cstheme="majorHAnsi"/>
          <w:szCs w:val="24"/>
          <w:lang w:val="ro-MD" w:eastAsia="ru-RU"/>
        </w:rPr>
        <w:t>Datele</w:t>
      </w:r>
      <w:r w:rsidR="00B3392B">
        <w:rPr>
          <w:rFonts w:cstheme="majorHAnsi"/>
          <w:szCs w:val="24"/>
          <w:lang w:val="ro-MD" w:eastAsia="ru-RU"/>
        </w:rPr>
        <w:t xml:space="preserve"> prezentate reflectă faptul că </w:t>
      </w:r>
      <w:r w:rsidRPr="008B5B55">
        <w:rPr>
          <w:rFonts w:cstheme="majorHAnsi"/>
          <w:szCs w:val="24"/>
          <w:lang w:val="ro-MD" w:eastAsia="ru-RU"/>
        </w:rPr>
        <w:t>datoria de stat internă est</w:t>
      </w:r>
      <w:r w:rsidR="00C6498C">
        <w:rPr>
          <w:rFonts w:cstheme="majorHAnsi"/>
          <w:szCs w:val="24"/>
          <w:lang w:val="ro-MD" w:eastAsia="ru-RU"/>
        </w:rPr>
        <w:t>e preponderent pe termen scurt</w:t>
      </w:r>
      <w:r w:rsidRPr="008B5B55">
        <w:rPr>
          <w:rFonts w:cstheme="majorHAnsi"/>
          <w:szCs w:val="24"/>
          <w:lang w:val="ro-MD" w:eastAsia="ru-RU"/>
        </w:rPr>
        <w:t xml:space="preserve">, </w:t>
      </w:r>
      <w:r w:rsidR="00C6498C">
        <w:rPr>
          <w:rFonts w:cstheme="majorHAnsi"/>
          <w:szCs w:val="24"/>
          <w:lang w:val="ro-MD" w:eastAsia="ru-RU"/>
        </w:rPr>
        <w:t>c</w:t>
      </w:r>
      <w:r w:rsidRPr="008B5B55">
        <w:rPr>
          <w:rFonts w:cstheme="majorHAnsi"/>
          <w:szCs w:val="24"/>
          <w:lang w:val="ro-MD" w:eastAsia="ru-RU"/>
        </w:rPr>
        <w:t>are urmează a fi refinanțat</w:t>
      </w:r>
      <w:r w:rsidR="004511C2">
        <w:rPr>
          <w:rFonts w:cstheme="majorHAnsi"/>
          <w:szCs w:val="24"/>
          <w:lang w:val="ro-MD" w:eastAsia="ru-RU"/>
        </w:rPr>
        <w:t>ă</w:t>
      </w:r>
      <w:r w:rsidRPr="008B5B55">
        <w:rPr>
          <w:rFonts w:cstheme="majorHAnsi"/>
          <w:szCs w:val="24"/>
          <w:lang w:val="ro-MD" w:eastAsia="ru-RU"/>
        </w:rPr>
        <w:t xml:space="preserve"> în fiec</w:t>
      </w:r>
      <w:r w:rsidR="00B3392B">
        <w:rPr>
          <w:rFonts w:cstheme="majorHAnsi"/>
          <w:szCs w:val="24"/>
          <w:lang w:val="ro-MD" w:eastAsia="ru-RU"/>
        </w:rPr>
        <w:t>are an prin noi emisiuni de VMS</w:t>
      </w:r>
      <w:r w:rsidRPr="008B5B55">
        <w:rPr>
          <w:rFonts w:cstheme="majorHAnsi"/>
          <w:szCs w:val="24"/>
          <w:lang w:val="ro-MD" w:eastAsia="ru-RU"/>
        </w:rPr>
        <w:t xml:space="preserve"> </w:t>
      </w:r>
      <w:r w:rsidR="00C6498C">
        <w:rPr>
          <w:rFonts w:cstheme="majorHAnsi"/>
          <w:szCs w:val="24"/>
          <w:lang w:val="ro-MD" w:eastAsia="ru-RU"/>
        </w:rPr>
        <w:t>și care</w:t>
      </w:r>
      <w:r w:rsidR="00B3392B">
        <w:rPr>
          <w:rFonts w:cstheme="majorHAnsi"/>
          <w:szCs w:val="24"/>
          <w:lang w:val="ro-MD" w:eastAsia="ru-RU"/>
        </w:rPr>
        <w:t xml:space="preserve">, în opinia </w:t>
      </w:r>
      <w:r w:rsidR="00C6498C">
        <w:rPr>
          <w:rFonts w:cstheme="majorHAnsi"/>
          <w:szCs w:val="24"/>
          <w:lang w:val="ro-MD" w:eastAsia="ru-RU"/>
        </w:rPr>
        <w:t>audit</w:t>
      </w:r>
      <w:r w:rsidR="00B3392B">
        <w:rPr>
          <w:rFonts w:cstheme="majorHAnsi"/>
          <w:szCs w:val="24"/>
          <w:lang w:val="ro-MD" w:eastAsia="ru-RU"/>
        </w:rPr>
        <w:t>ului</w:t>
      </w:r>
      <w:r w:rsidR="00C6498C">
        <w:rPr>
          <w:rFonts w:cstheme="majorHAnsi"/>
          <w:szCs w:val="24"/>
          <w:lang w:val="ro-MD" w:eastAsia="ru-RU"/>
        </w:rPr>
        <w:t xml:space="preserve"> </w:t>
      </w:r>
      <w:r w:rsidRPr="008B5B55">
        <w:rPr>
          <w:rFonts w:cstheme="majorHAnsi"/>
          <w:szCs w:val="24"/>
          <w:lang w:val="ro-MD" w:eastAsia="ru-RU"/>
        </w:rPr>
        <w:t xml:space="preserve">reprezintă un risc semnificativ pentru bugetul de stat, în contextul unor </w:t>
      </w:r>
      <w:r w:rsidR="00B3392B">
        <w:rPr>
          <w:rFonts w:cstheme="majorHAnsi"/>
          <w:szCs w:val="24"/>
          <w:lang w:val="ro-MD" w:eastAsia="ru-RU"/>
        </w:rPr>
        <w:t>posibile creșteri ale ratelor dobâ</w:t>
      </w:r>
      <w:r w:rsidRPr="008B5B55">
        <w:rPr>
          <w:rFonts w:cstheme="majorHAnsi"/>
          <w:szCs w:val="24"/>
          <w:lang w:val="ro-MD" w:eastAsia="ru-RU"/>
        </w:rPr>
        <w:t>nzii pe piața internă, care vor afecta dire</w:t>
      </w:r>
      <w:r w:rsidR="00B3392B">
        <w:rPr>
          <w:rFonts w:cstheme="majorHAnsi"/>
          <w:szCs w:val="24"/>
          <w:lang w:val="ro-MD" w:eastAsia="ru-RU"/>
        </w:rPr>
        <w:t xml:space="preserve">ct costurile aferente datoriei </w:t>
      </w:r>
      <w:r w:rsidRPr="008B5B55">
        <w:rPr>
          <w:rFonts w:cstheme="majorHAnsi"/>
          <w:szCs w:val="24"/>
          <w:lang w:val="ro-MD" w:eastAsia="ru-RU"/>
        </w:rPr>
        <w:t xml:space="preserve">de stat interne. </w:t>
      </w:r>
    </w:p>
    <w:p w14:paraId="4AA945EA" w14:textId="4E465404" w:rsidR="00560D3B" w:rsidRPr="00560D3B" w:rsidRDefault="006023D2" w:rsidP="00560D3B">
      <w:pPr>
        <w:pStyle w:val="3"/>
        <w:numPr>
          <w:ilvl w:val="2"/>
          <w:numId w:val="14"/>
        </w:numPr>
        <w:spacing w:after="240"/>
        <w:ind w:left="0" w:hanging="11"/>
        <w:jc w:val="both"/>
      </w:pPr>
      <w:bookmarkStart w:id="18" w:name="_Toc47012272"/>
      <w:bookmarkStart w:id="19" w:name="_Toc75436449"/>
      <w:r w:rsidRPr="004E5F9C">
        <w:lastRenderedPageBreak/>
        <w:t>Datoria de stat internă</w:t>
      </w:r>
      <w:r w:rsidR="00421B4C" w:rsidRPr="004E5F9C">
        <w:t xml:space="preserve"> </w:t>
      </w:r>
      <w:r w:rsidR="005E464B" w:rsidRPr="004E5F9C">
        <w:t>a crescut din contul</w:t>
      </w:r>
      <w:r w:rsidR="00421B4C" w:rsidRPr="004E5F9C">
        <w:t xml:space="preserve"> emisiunii nete a VMS pe piața primară, iar sectorul bancar rămâne </w:t>
      </w:r>
      <w:r w:rsidR="00267792" w:rsidRPr="004E5F9C">
        <w:t>în</w:t>
      </w:r>
      <w:r w:rsidR="005E464B" w:rsidRPr="004E5F9C">
        <w:t xml:space="preserve"> </w:t>
      </w:r>
      <w:r w:rsidR="00267792" w:rsidRPr="004E5F9C">
        <w:t xml:space="preserve">continuare </w:t>
      </w:r>
      <w:r w:rsidR="00421B4C" w:rsidRPr="004E5F9C">
        <w:t>principalul investitor în VMS</w:t>
      </w:r>
      <w:bookmarkEnd w:id="18"/>
      <w:r w:rsidR="00E402E6">
        <w:t>.</w:t>
      </w:r>
      <w:bookmarkEnd w:id="19"/>
    </w:p>
    <w:p w14:paraId="35ACB7CE" w14:textId="7D17E5D3" w:rsidR="00902216" w:rsidRDefault="008941C8" w:rsidP="00560D3B">
      <w:pPr>
        <w:pStyle w:val="af3"/>
        <w:spacing w:after="240" w:line="276" w:lineRule="auto"/>
        <w:jc w:val="both"/>
        <w:rPr>
          <w:rFonts w:asciiTheme="majorHAnsi" w:hAnsiTheme="majorHAnsi" w:cstheme="majorHAnsi"/>
          <w:sz w:val="24"/>
          <w:szCs w:val="24"/>
          <w:lang w:val="ro-MD" w:eastAsia="ru-RU"/>
        </w:rPr>
      </w:pPr>
      <w:r w:rsidRPr="00D45A87">
        <w:rPr>
          <w:rFonts w:asciiTheme="majorHAnsi" w:hAnsiTheme="majorHAnsi" w:cstheme="majorHAnsi"/>
          <w:sz w:val="24"/>
          <w:szCs w:val="24"/>
          <w:lang w:val="ro-MD" w:eastAsia="ru-RU"/>
        </w:rPr>
        <w:t>Potrivit Legii bugetului de stat pentru anul 20</w:t>
      </w:r>
      <w:r>
        <w:rPr>
          <w:rFonts w:asciiTheme="majorHAnsi" w:hAnsiTheme="majorHAnsi" w:cstheme="majorHAnsi"/>
          <w:sz w:val="24"/>
          <w:szCs w:val="24"/>
          <w:lang w:val="ro-MD" w:eastAsia="ru-RU"/>
        </w:rPr>
        <w:t>20</w:t>
      </w:r>
      <w:r w:rsidRPr="00D45A87">
        <w:rPr>
          <w:rFonts w:asciiTheme="majorHAnsi" w:hAnsiTheme="majorHAnsi" w:cstheme="majorHAnsi"/>
          <w:sz w:val="24"/>
          <w:szCs w:val="24"/>
          <w:lang w:val="ro-MD" w:eastAsia="ru-RU"/>
        </w:rPr>
        <w:t xml:space="preserve">, datoria de stat </w:t>
      </w:r>
      <w:r>
        <w:rPr>
          <w:rFonts w:asciiTheme="majorHAnsi" w:hAnsiTheme="majorHAnsi" w:cstheme="majorHAnsi"/>
          <w:sz w:val="24"/>
          <w:szCs w:val="24"/>
          <w:lang w:val="ro-MD" w:eastAsia="ru-RU"/>
        </w:rPr>
        <w:t xml:space="preserve">internă </w:t>
      </w:r>
      <w:r w:rsidRPr="00D45A87">
        <w:rPr>
          <w:rFonts w:asciiTheme="majorHAnsi" w:hAnsiTheme="majorHAnsi" w:cstheme="majorHAnsi"/>
          <w:sz w:val="24"/>
          <w:szCs w:val="24"/>
          <w:lang w:val="ro-MD" w:eastAsia="ru-RU"/>
        </w:rPr>
        <w:t xml:space="preserve">a fost aprobată în sumă de </w:t>
      </w:r>
      <w:r w:rsidR="007934C8">
        <w:rPr>
          <w:rFonts w:asciiTheme="majorHAnsi" w:hAnsiTheme="majorHAnsi" w:cstheme="majorHAnsi"/>
          <w:sz w:val="24"/>
          <w:szCs w:val="24"/>
          <w:lang w:val="ro-MD" w:eastAsia="ru-RU"/>
        </w:rPr>
        <w:t>29 500,9 mil.</w:t>
      </w:r>
      <w:r w:rsidR="009C7448">
        <w:rPr>
          <w:rFonts w:asciiTheme="majorHAnsi" w:hAnsiTheme="majorHAnsi" w:cstheme="majorHAnsi"/>
          <w:sz w:val="24"/>
          <w:szCs w:val="24"/>
          <w:lang w:val="ro-MD" w:eastAsia="ru-RU"/>
        </w:rPr>
        <w:t xml:space="preserve">lei. </w:t>
      </w:r>
      <w:r w:rsidR="00907D56" w:rsidRPr="006E05B8">
        <w:rPr>
          <w:rFonts w:asciiTheme="majorHAnsi" w:hAnsiTheme="majorHAnsi" w:cstheme="majorHAnsi"/>
          <w:sz w:val="24"/>
          <w:szCs w:val="24"/>
          <w:lang w:val="ro-MD" w:eastAsia="ru-RU"/>
        </w:rPr>
        <w:t xml:space="preserve">La </w:t>
      </w:r>
      <w:r w:rsidR="000E339D">
        <w:rPr>
          <w:rFonts w:asciiTheme="majorHAnsi" w:hAnsiTheme="majorHAnsi" w:cstheme="majorHAnsi"/>
          <w:sz w:val="24"/>
          <w:szCs w:val="24"/>
          <w:lang w:val="ro-MD" w:eastAsia="ru-RU"/>
        </w:rPr>
        <w:t xml:space="preserve">situația din </w:t>
      </w:r>
      <w:r w:rsidR="00907D56" w:rsidRPr="006E05B8">
        <w:rPr>
          <w:rFonts w:asciiTheme="majorHAnsi" w:hAnsiTheme="majorHAnsi" w:cstheme="majorHAnsi"/>
          <w:sz w:val="24"/>
          <w:szCs w:val="24"/>
          <w:lang w:val="ro-MD" w:eastAsia="ru-RU"/>
        </w:rPr>
        <w:t>31.12.20</w:t>
      </w:r>
      <w:r w:rsidR="000E339D">
        <w:rPr>
          <w:rFonts w:asciiTheme="majorHAnsi" w:hAnsiTheme="majorHAnsi" w:cstheme="majorHAnsi"/>
          <w:sz w:val="24"/>
          <w:szCs w:val="24"/>
          <w:lang w:val="ro-MD" w:eastAsia="ru-RU"/>
        </w:rPr>
        <w:t>20</w:t>
      </w:r>
      <w:r w:rsidR="00907D56" w:rsidRPr="006E05B8">
        <w:rPr>
          <w:rFonts w:asciiTheme="majorHAnsi" w:hAnsiTheme="majorHAnsi" w:cstheme="majorHAnsi"/>
          <w:sz w:val="24"/>
          <w:szCs w:val="24"/>
          <w:lang w:val="ro-MD" w:eastAsia="ru-RU"/>
        </w:rPr>
        <w:t xml:space="preserve">, soldul datoriei de stat interne a constituit </w:t>
      </w:r>
      <w:r w:rsidR="00174ADE">
        <w:rPr>
          <w:rFonts w:asciiTheme="majorHAnsi" w:hAnsiTheme="majorHAnsi" w:cstheme="majorHAnsi"/>
          <w:sz w:val="24"/>
          <w:szCs w:val="24"/>
          <w:lang w:val="ro-MD" w:eastAsia="ru-RU"/>
        </w:rPr>
        <w:t>29 235,6</w:t>
      </w:r>
      <w:r w:rsidR="00907D56" w:rsidRPr="006E05B8">
        <w:rPr>
          <w:rFonts w:asciiTheme="majorHAnsi" w:hAnsiTheme="majorHAnsi" w:cstheme="majorHAnsi"/>
          <w:sz w:val="24"/>
          <w:szCs w:val="24"/>
          <w:lang w:val="ro-MD" w:eastAsia="ru-RU"/>
        </w:rPr>
        <w:t xml:space="preserve"> mil. lei</w:t>
      </w:r>
      <w:r w:rsidR="00245314">
        <w:rPr>
          <w:rFonts w:asciiTheme="majorHAnsi" w:hAnsiTheme="majorHAnsi" w:cstheme="majorHAnsi"/>
          <w:sz w:val="24"/>
          <w:szCs w:val="24"/>
          <w:lang w:val="ro-MD" w:eastAsia="ru-RU"/>
        </w:rPr>
        <w:t xml:space="preserve"> (la valoarea nominală)</w:t>
      </w:r>
      <w:r w:rsidR="00907D56" w:rsidRPr="006E05B8">
        <w:rPr>
          <w:rFonts w:asciiTheme="majorHAnsi" w:hAnsiTheme="majorHAnsi" w:cstheme="majorHAnsi"/>
          <w:sz w:val="24"/>
          <w:szCs w:val="24"/>
          <w:lang w:val="ro-MD" w:eastAsia="ru-RU"/>
        </w:rPr>
        <w:t>, încadrându-se în plafonul stabilit prin Legea buget</w:t>
      </w:r>
      <w:r w:rsidR="00196070">
        <w:rPr>
          <w:rFonts w:asciiTheme="majorHAnsi" w:hAnsiTheme="majorHAnsi" w:cstheme="majorHAnsi"/>
          <w:sz w:val="24"/>
          <w:szCs w:val="24"/>
          <w:lang w:val="ro-MD" w:eastAsia="ru-RU"/>
        </w:rPr>
        <w:t xml:space="preserve">ară anuală </w:t>
      </w:r>
      <w:r w:rsidR="00245314">
        <w:rPr>
          <w:rFonts w:asciiTheme="majorHAnsi" w:hAnsiTheme="majorHAnsi" w:cstheme="majorHAnsi"/>
          <w:sz w:val="24"/>
          <w:szCs w:val="24"/>
          <w:lang w:val="ro-MD" w:eastAsia="ru-RU"/>
        </w:rPr>
        <w:t xml:space="preserve">           </w:t>
      </w:r>
      <w:r w:rsidR="00907D56" w:rsidRPr="006E05B8">
        <w:rPr>
          <w:rFonts w:asciiTheme="majorHAnsi" w:hAnsiTheme="majorHAnsi" w:cstheme="majorHAnsi"/>
          <w:sz w:val="24"/>
          <w:szCs w:val="24"/>
          <w:lang w:val="ro-MD" w:eastAsia="ru-RU"/>
        </w:rPr>
        <w:t>(</w:t>
      </w:r>
      <w:r w:rsidR="00174ADE">
        <w:rPr>
          <w:rFonts w:asciiTheme="majorHAnsi" w:hAnsiTheme="majorHAnsi" w:cstheme="majorHAnsi"/>
          <w:sz w:val="24"/>
          <w:szCs w:val="24"/>
          <w:lang w:val="ro-MD" w:eastAsia="ru-RU"/>
        </w:rPr>
        <w:t>29 500,9</w:t>
      </w:r>
      <w:r w:rsidR="007934C8">
        <w:rPr>
          <w:rFonts w:asciiTheme="majorHAnsi" w:hAnsiTheme="majorHAnsi" w:cstheme="majorHAnsi"/>
          <w:sz w:val="24"/>
          <w:szCs w:val="24"/>
          <w:lang w:val="ro-MD" w:eastAsia="ru-RU"/>
        </w:rPr>
        <w:t xml:space="preserve"> mil.</w:t>
      </w:r>
      <w:r w:rsidR="004430DC">
        <w:rPr>
          <w:rFonts w:asciiTheme="majorHAnsi" w:hAnsiTheme="majorHAnsi" w:cstheme="majorHAnsi"/>
          <w:sz w:val="24"/>
          <w:szCs w:val="24"/>
          <w:lang w:val="ro-MD" w:eastAsia="ru-RU"/>
        </w:rPr>
        <w:t>le</w:t>
      </w:r>
      <w:r w:rsidR="007934C8">
        <w:rPr>
          <w:rFonts w:asciiTheme="majorHAnsi" w:hAnsiTheme="majorHAnsi" w:cstheme="majorHAnsi"/>
          <w:sz w:val="24"/>
          <w:szCs w:val="24"/>
          <w:lang w:val="ro-MD" w:eastAsia="ru-RU"/>
        </w:rPr>
        <w:t>i), fiind mai mic cu 265,3 mil.</w:t>
      </w:r>
      <w:r w:rsidR="004430DC">
        <w:rPr>
          <w:rFonts w:asciiTheme="majorHAnsi" w:hAnsiTheme="majorHAnsi" w:cstheme="majorHAnsi"/>
          <w:sz w:val="24"/>
          <w:szCs w:val="24"/>
          <w:lang w:val="ro-MD" w:eastAsia="ru-RU"/>
        </w:rPr>
        <w:t>lei în comparație cu plafonul stabilit.</w:t>
      </w:r>
    </w:p>
    <w:p w14:paraId="121672B3" w14:textId="6BE81CD1" w:rsidR="00302FCE" w:rsidRDefault="005E464B" w:rsidP="00FB1205">
      <w:pPr>
        <w:pStyle w:val="af3"/>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În totalul </w:t>
      </w:r>
      <w:r w:rsidR="00907D56">
        <w:rPr>
          <w:rFonts w:asciiTheme="majorHAnsi" w:hAnsiTheme="majorHAnsi" w:cstheme="majorHAnsi"/>
          <w:sz w:val="24"/>
          <w:szCs w:val="24"/>
          <w:lang w:val="ro-MD" w:eastAsia="ru-RU"/>
        </w:rPr>
        <w:t>datoriei de stat interne</w:t>
      </w:r>
      <w:r>
        <w:rPr>
          <w:rFonts w:asciiTheme="majorHAnsi" w:hAnsiTheme="majorHAnsi" w:cstheme="majorHAnsi"/>
          <w:sz w:val="24"/>
          <w:szCs w:val="24"/>
          <w:lang w:val="ro-MD" w:eastAsia="ru-RU"/>
        </w:rPr>
        <w:t xml:space="preserve"> </w:t>
      </w:r>
      <w:r w:rsidR="00907D56">
        <w:rPr>
          <w:rFonts w:asciiTheme="majorHAnsi" w:hAnsiTheme="majorHAnsi" w:cstheme="majorHAnsi"/>
          <w:sz w:val="24"/>
          <w:szCs w:val="24"/>
          <w:lang w:val="ro-MD" w:eastAsia="ru-RU"/>
        </w:rPr>
        <w:t xml:space="preserve">VMS emise pe piața primară </w:t>
      </w:r>
      <w:r>
        <w:rPr>
          <w:rFonts w:asciiTheme="majorHAnsi" w:hAnsiTheme="majorHAnsi" w:cstheme="majorHAnsi"/>
          <w:sz w:val="24"/>
          <w:szCs w:val="24"/>
          <w:lang w:val="ro-MD" w:eastAsia="ru-RU"/>
        </w:rPr>
        <w:t>constituie 49,8%  (</w:t>
      </w:r>
      <w:r w:rsidR="00174ADE">
        <w:rPr>
          <w:rFonts w:asciiTheme="majorHAnsi" w:hAnsiTheme="majorHAnsi" w:cstheme="majorHAnsi"/>
          <w:sz w:val="24"/>
          <w:szCs w:val="24"/>
          <w:lang w:val="ro-MD" w:eastAsia="ru-RU"/>
        </w:rPr>
        <w:t>14 561,0</w:t>
      </w:r>
      <w:r>
        <w:rPr>
          <w:rFonts w:asciiTheme="majorHAnsi" w:hAnsiTheme="majorHAnsi" w:cstheme="majorHAnsi"/>
          <w:sz w:val="24"/>
          <w:szCs w:val="24"/>
          <w:lang w:val="ro-MD" w:eastAsia="ru-RU"/>
        </w:rPr>
        <w:t xml:space="preserve"> mil. lei)</w:t>
      </w:r>
      <w:r w:rsidR="00907D56">
        <w:rPr>
          <w:rFonts w:asciiTheme="majorHAnsi" w:hAnsiTheme="majorHAnsi" w:cstheme="majorHAnsi"/>
          <w:sz w:val="24"/>
          <w:szCs w:val="24"/>
          <w:lang w:val="ro-MD" w:eastAsia="ru-RU"/>
        </w:rPr>
        <w:t xml:space="preserve">, </w:t>
      </w:r>
      <w:r w:rsidR="00267792" w:rsidRPr="00CA3316">
        <w:rPr>
          <w:rFonts w:asciiTheme="majorHAnsi" w:hAnsiTheme="majorHAnsi" w:cstheme="majorHAnsi"/>
          <w:sz w:val="24"/>
          <w:szCs w:val="24"/>
          <w:lang w:val="ro-MD" w:eastAsia="ru-RU"/>
        </w:rPr>
        <w:t xml:space="preserve">VMS emise pentru </w:t>
      </w:r>
      <w:r w:rsidR="00267792">
        <w:rPr>
          <w:rFonts w:asciiTheme="majorHAnsi" w:hAnsiTheme="majorHAnsi" w:cstheme="majorHAnsi"/>
          <w:sz w:val="24"/>
          <w:szCs w:val="24"/>
          <w:lang w:val="ro-MD" w:eastAsia="ru-RU"/>
        </w:rPr>
        <w:t xml:space="preserve">executarea obligațiilor de plată derivate din garanțiile de stat – </w:t>
      </w:r>
      <w:r w:rsidR="00E91380">
        <w:rPr>
          <w:rFonts w:asciiTheme="majorHAnsi" w:hAnsiTheme="majorHAnsi" w:cstheme="majorHAnsi"/>
          <w:sz w:val="24"/>
          <w:szCs w:val="24"/>
          <w:lang w:val="ro-MD" w:eastAsia="ru-RU"/>
        </w:rPr>
        <w:t>43,1% (12 611,2 mil.</w:t>
      </w:r>
      <w:r>
        <w:rPr>
          <w:rFonts w:asciiTheme="majorHAnsi" w:hAnsiTheme="majorHAnsi" w:cstheme="majorHAnsi"/>
          <w:sz w:val="24"/>
          <w:szCs w:val="24"/>
          <w:lang w:val="ro-MD" w:eastAsia="ru-RU"/>
        </w:rPr>
        <w:t>lei</w:t>
      </w:r>
      <w:r w:rsidR="00267792">
        <w:rPr>
          <w:rFonts w:asciiTheme="majorHAnsi" w:hAnsiTheme="majorHAnsi" w:cstheme="majorHAnsi"/>
          <w:sz w:val="24"/>
          <w:szCs w:val="24"/>
          <w:lang w:val="ro-MD" w:eastAsia="ru-RU"/>
        </w:rPr>
        <w:t xml:space="preserve">) și </w:t>
      </w:r>
      <w:r w:rsidR="00907D56">
        <w:rPr>
          <w:rFonts w:asciiTheme="majorHAnsi" w:hAnsiTheme="majorHAnsi" w:cstheme="majorHAnsi"/>
          <w:sz w:val="24"/>
          <w:szCs w:val="24"/>
          <w:lang w:val="ro-MD" w:eastAsia="ru-RU"/>
        </w:rPr>
        <w:t xml:space="preserve">VMS convertite – </w:t>
      </w:r>
      <w:r>
        <w:rPr>
          <w:rFonts w:asciiTheme="majorHAnsi" w:hAnsiTheme="majorHAnsi" w:cstheme="majorHAnsi"/>
          <w:sz w:val="24"/>
          <w:szCs w:val="24"/>
          <w:lang w:val="ro-MD" w:eastAsia="ru-RU"/>
        </w:rPr>
        <w:t>7,1% (</w:t>
      </w:r>
      <w:r w:rsidR="00907D56">
        <w:rPr>
          <w:rFonts w:asciiTheme="majorHAnsi" w:hAnsiTheme="majorHAnsi" w:cstheme="majorHAnsi"/>
          <w:sz w:val="24"/>
          <w:szCs w:val="24"/>
          <w:lang w:val="ro-MD" w:eastAsia="ru-RU"/>
        </w:rPr>
        <w:t xml:space="preserve">2 063,4 </w:t>
      </w:r>
      <w:r w:rsidR="00E91380">
        <w:rPr>
          <w:rFonts w:asciiTheme="majorHAnsi" w:hAnsiTheme="majorHAnsi" w:cstheme="majorHAnsi"/>
          <w:sz w:val="24"/>
          <w:szCs w:val="24"/>
          <w:lang w:val="ro-MD" w:eastAsia="ru-RU"/>
        </w:rPr>
        <w:t>mil.</w:t>
      </w:r>
      <w:r>
        <w:rPr>
          <w:rFonts w:asciiTheme="majorHAnsi" w:hAnsiTheme="majorHAnsi" w:cstheme="majorHAnsi"/>
          <w:sz w:val="24"/>
          <w:szCs w:val="24"/>
          <w:lang w:val="ro-MD" w:eastAsia="ru-RU"/>
        </w:rPr>
        <w:t>lei).</w:t>
      </w:r>
    </w:p>
    <w:p w14:paraId="5F40D0FA" w14:textId="39B380F1" w:rsidR="003D2197" w:rsidRDefault="003D2197" w:rsidP="00FB1205">
      <w:pPr>
        <w:pStyle w:val="af3"/>
        <w:spacing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Comparativ cu începutul anului, soldul datoriei de stat interne </w:t>
      </w:r>
      <w:r w:rsidR="00F86ABA">
        <w:rPr>
          <w:rFonts w:asciiTheme="majorHAnsi" w:hAnsiTheme="majorHAnsi" w:cstheme="majorHAnsi"/>
          <w:sz w:val="24"/>
          <w:szCs w:val="24"/>
          <w:lang w:val="ro-MD" w:eastAsia="ru-RU"/>
        </w:rPr>
        <w:t xml:space="preserve">la situația din 31.12.2020, </w:t>
      </w:r>
      <w:r>
        <w:rPr>
          <w:rFonts w:asciiTheme="majorHAnsi" w:hAnsiTheme="majorHAnsi" w:cstheme="majorHAnsi"/>
          <w:sz w:val="24"/>
          <w:szCs w:val="24"/>
          <w:lang w:val="ro-MD" w:eastAsia="ru-RU"/>
        </w:rPr>
        <w:t xml:space="preserve">s-a majorat cu </w:t>
      </w:r>
      <w:r w:rsidR="00245314">
        <w:rPr>
          <w:rFonts w:asciiTheme="majorHAnsi" w:hAnsiTheme="majorHAnsi" w:cstheme="majorHAnsi"/>
          <w:sz w:val="24"/>
          <w:szCs w:val="24"/>
          <w:lang w:val="ro-MD" w:eastAsia="ru-RU"/>
        </w:rPr>
        <w:t>5 739,7</w:t>
      </w:r>
      <w:r>
        <w:rPr>
          <w:rFonts w:asciiTheme="majorHAnsi" w:hAnsiTheme="majorHAnsi" w:cstheme="majorHAnsi"/>
          <w:sz w:val="24"/>
          <w:szCs w:val="24"/>
          <w:lang w:val="ro-MD" w:eastAsia="ru-RU"/>
        </w:rPr>
        <w:t xml:space="preserve"> </w:t>
      </w:r>
      <w:r w:rsidR="00E91380">
        <w:rPr>
          <w:rFonts w:asciiTheme="majorHAnsi" w:hAnsiTheme="majorHAnsi" w:cstheme="majorHAnsi"/>
          <w:sz w:val="24"/>
          <w:szCs w:val="24"/>
          <w:lang w:val="ro-MD" w:eastAsia="ru-RU"/>
        </w:rPr>
        <w:t>mil.</w:t>
      </w:r>
      <w:r w:rsidR="009B5172">
        <w:rPr>
          <w:rFonts w:asciiTheme="majorHAnsi" w:hAnsiTheme="majorHAnsi" w:cstheme="majorHAnsi"/>
          <w:sz w:val="24"/>
          <w:szCs w:val="24"/>
          <w:lang w:val="ro-MD" w:eastAsia="ru-RU"/>
        </w:rPr>
        <w:t>lei</w:t>
      </w:r>
      <w:r w:rsidR="00245314">
        <w:rPr>
          <w:rFonts w:asciiTheme="majorHAnsi" w:hAnsiTheme="majorHAnsi" w:cstheme="majorHAnsi"/>
          <w:sz w:val="24"/>
          <w:szCs w:val="24"/>
          <w:lang w:val="ro-MD" w:eastAsia="ru-RU"/>
        </w:rPr>
        <w:t xml:space="preserve"> (la valoarea nominală)</w:t>
      </w:r>
      <w:r w:rsidR="00F86ABA">
        <w:rPr>
          <w:rFonts w:asciiTheme="majorHAnsi" w:hAnsiTheme="majorHAnsi" w:cstheme="majorHAnsi"/>
          <w:sz w:val="24"/>
          <w:szCs w:val="24"/>
          <w:lang w:val="ro-MD" w:eastAsia="ru-RU"/>
        </w:rPr>
        <w:t>, această modificare fiind</w:t>
      </w:r>
      <w:r w:rsidR="00631862">
        <w:rPr>
          <w:rFonts w:asciiTheme="majorHAnsi" w:hAnsiTheme="majorHAnsi" w:cstheme="majorHAnsi"/>
          <w:sz w:val="24"/>
          <w:szCs w:val="24"/>
          <w:lang w:val="ro-MD" w:eastAsia="ru-RU"/>
        </w:rPr>
        <w:t xml:space="preserve"> cauzată </w:t>
      </w:r>
      <w:r w:rsidR="00245314">
        <w:rPr>
          <w:rFonts w:asciiTheme="majorHAnsi" w:hAnsiTheme="majorHAnsi" w:cstheme="majorHAnsi"/>
          <w:sz w:val="24"/>
          <w:szCs w:val="24"/>
          <w:lang w:val="ro-MD" w:eastAsia="ru-RU"/>
        </w:rPr>
        <w:t>preponderent din contul majorării e</w:t>
      </w:r>
      <w:r w:rsidR="00631862">
        <w:rPr>
          <w:rFonts w:asciiTheme="majorHAnsi" w:hAnsiTheme="majorHAnsi" w:cstheme="majorHAnsi"/>
          <w:sz w:val="24"/>
          <w:szCs w:val="24"/>
          <w:lang w:val="ro-MD" w:eastAsia="ru-RU"/>
        </w:rPr>
        <w:t>misiun</w:t>
      </w:r>
      <w:r w:rsidR="00245314">
        <w:rPr>
          <w:rFonts w:asciiTheme="majorHAnsi" w:hAnsiTheme="majorHAnsi" w:cstheme="majorHAnsi"/>
          <w:sz w:val="24"/>
          <w:szCs w:val="24"/>
          <w:lang w:val="ro-MD" w:eastAsia="ru-RU"/>
        </w:rPr>
        <w:t>ii</w:t>
      </w:r>
      <w:r w:rsidR="00631862">
        <w:rPr>
          <w:rFonts w:asciiTheme="majorHAnsi" w:hAnsiTheme="majorHAnsi" w:cstheme="majorHAnsi"/>
          <w:sz w:val="24"/>
          <w:szCs w:val="24"/>
          <w:lang w:val="ro-MD" w:eastAsia="ru-RU"/>
        </w:rPr>
        <w:t xml:space="preserve"> VMS pe piața primară (+</w:t>
      </w:r>
      <w:r w:rsidR="00245314">
        <w:rPr>
          <w:rFonts w:asciiTheme="majorHAnsi" w:hAnsiTheme="majorHAnsi" w:cstheme="majorHAnsi"/>
          <w:sz w:val="24"/>
          <w:szCs w:val="24"/>
          <w:lang w:val="ro-MD" w:eastAsia="ru-RU"/>
        </w:rPr>
        <w:t>5 990,2</w:t>
      </w:r>
      <w:r w:rsidR="00631862">
        <w:rPr>
          <w:rFonts w:asciiTheme="majorHAnsi" w:hAnsiTheme="majorHAnsi" w:cstheme="majorHAnsi"/>
          <w:sz w:val="24"/>
          <w:szCs w:val="24"/>
          <w:lang w:val="ro-MD" w:eastAsia="ru-RU"/>
        </w:rPr>
        <w:t xml:space="preserve"> </w:t>
      </w:r>
      <w:r w:rsidR="00E91380">
        <w:rPr>
          <w:rFonts w:asciiTheme="majorHAnsi" w:hAnsiTheme="majorHAnsi" w:cstheme="majorHAnsi"/>
          <w:sz w:val="24"/>
          <w:szCs w:val="24"/>
          <w:lang w:val="ro-MD" w:eastAsia="ru-RU"/>
        </w:rPr>
        <w:t>mil.</w:t>
      </w:r>
      <w:r w:rsidR="009B5172">
        <w:rPr>
          <w:rFonts w:asciiTheme="majorHAnsi" w:hAnsiTheme="majorHAnsi" w:cstheme="majorHAnsi"/>
          <w:sz w:val="24"/>
          <w:szCs w:val="24"/>
          <w:lang w:val="ro-MD" w:eastAsia="ru-RU"/>
        </w:rPr>
        <w:t>lei</w:t>
      </w:r>
      <w:r w:rsidR="00245314">
        <w:rPr>
          <w:rFonts w:asciiTheme="majorHAnsi" w:hAnsiTheme="majorHAnsi" w:cstheme="majorHAnsi"/>
          <w:sz w:val="24"/>
          <w:szCs w:val="24"/>
          <w:lang w:val="ro-MD" w:eastAsia="ru-RU"/>
        </w:rPr>
        <w:t>, la valoarea nominală</w:t>
      </w:r>
      <w:r w:rsidR="00631862">
        <w:rPr>
          <w:rFonts w:asciiTheme="majorHAnsi" w:hAnsiTheme="majorHAnsi" w:cstheme="majorHAnsi"/>
          <w:sz w:val="24"/>
          <w:szCs w:val="24"/>
          <w:lang w:val="ro-MD" w:eastAsia="ru-RU"/>
        </w:rPr>
        <w:t>) și răscumpăr</w:t>
      </w:r>
      <w:r w:rsidR="00245314">
        <w:rPr>
          <w:rFonts w:asciiTheme="majorHAnsi" w:hAnsiTheme="majorHAnsi" w:cstheme="majorHAnsi"/>
          <w:sz w:val="24"/>
          <w:szCs w:val="24"/>
          <w:lang w:val="ro-MD" w:eastAsia="ru-RU"/>
        </w:rPr>
        <w:t>ării</w:t>
      </w:r>
      <w:r w:rsidR="00631862">
        <w:rPr>
          <w:rFonts w:asciiTheme="majorHAnsi" w:hAnsiTheme="majorHAnsi" w:cstheme="majorHAnsi"/>
          <w:sz w:val="24"/>
          <w:szCs w:val="24"/>
          <w:lang w:val="ro-MD" w:eastAsia="ru-RU"/>
        </w:rPr>
        <w:t xml:space="preserve"> </w:t>
      </w:r>
      <w:r w:rsidR="00CA3316" w:rsidRPr="00CA3316">
        <w:rPr>
          <w:rFonts w:asciiTheme="majorHAnsi" w:hAnsiTheme="majorHAnsi" w:cstheme="majorHAnsi"/>
          <w:sz w:val="24"/>
          <w:szCs w:val="24"/>
          <w:lang w:val="ro-MD" w:eastAsia="ru-RU"/>
        </w:rPr>
        <w:t xml:space="preserve">VMS emise pentru </w:t>
      </w:r>
      <w:r w:rsidR="00CA3316">
        <w:rPr>
          <w:rFonts w:asciiTheme="majorHAnsi" w:hAnsiTheme="majorHAnsi" w:cstheme="majorHAnsi"/>
          <w:sz w:val="24"/>
          <w:szCs w:val="24"/>
          <w:lang w:val="ro-MD" w:eastAsia="ru-RU"/>
        </w:rPr>
        <w:t xml:space="preserve">executarea obligațiilor de plată derivate din garanțiile de stat </w:t>
      </w:r>
      <w:r w:rsidR="00417E69">
        <w:rPr>
          <w:rFonts w:asciiTheme="majorHAnsi" w:hAnsiTheme="majorHAnsi" w:cstheme="majorHAnsi"/>
          <w:sz w:val="24"/>
          <w:szCs w:val="24"/>
          <w:lang w:val="ro-MD" w:eastAsia="ru-RU"/>
        </w:rPr>
        <w:t xml:space="preserve">       </w:t>
      </w:r>
      <w:r w:rsidR="00631862">
        <w:rPr>
          <w:rFonts w:asciiTheme="majorHAnsi" w:hAnsiTheme="majorHAnsi" w:cstheme="majorHAnsi"/>
          <w:sz w:val="24"/>
          <w:szCs w:val="24"/>
          <w:lang w:val="ro-MD" w:eastAsia="ru-RU"/>
        </w:rPr>
        <w:t>(-2</w:t>
      </w:r>
      <w:r w:rsidR="00EA08D5">
        <w:rPr>
          <w:rFonts w:asciiTheme="majorHAnsi" w:hAnsiTheme="majorHAnsi" w:cstheme="majorHAnsi"/>
          <w:sz w:val="24"/>
          <w:szCs w:val="24"/>
          <w:lang w:val="ro-MD" w:eastAsia="ru-RU"/>
        </w:rPr>
        <w:t>4</w:t>
      </w:r>
      <w:r w:rsidR="00631862">
        <w:rPr>
          <w:rFonts w:asciiTheme="majorHAnsi" w:hAnsiTheme="majorHAnsi" w:cstheme="majorHAnsi"/>
          <w:sz w:val="24"/>
          <w:szCs w:val="24"/>
          <w:lang w:val="ro-MD" w:eastAsia="ru-RU"/>
        </w:rPr>
        <w:t xml:space="preserve">0,0 </w:t>
      </w:r>
      <w:r w:rsidR="00E91380">
        <w:rPr>
          <w:rFonts w:asciiTheme="majorHAnsi" w:hAnsiTheme="majorHAnsi" w:cstheme="majorHAnsi"/>
          <w:sz w:val="24"/>
          <w:szCs w:val="24"/>
          <w:lang w:val="ro-MD" w:eastAsia="ru-RU"/>
        </w:rPr>
        <w:t>mil.</w:t>
      </w:r>
      <w:r w:rsidR="009B5172">
        <w:rPr>
          <w:rFonts w:asciiTheme="majorHAnsi" w:hAnsiTheme="majorHAnsi" w:cstheme="majorHAnsi"/>
          <w:sz w:val="24"/>
          <w:szCs w:val="24"/>
          <w:lang w:val="ro-MD" w:eastAsia="ru-RU"/>
        </w:rPr>
        <w:t>lei</w:t>
      </w:r>
      <w:r w:rsidR="00631862">
        <w:rPr>
          <w:rFonts w:asciiTheme="majorHAnsi" w:hAnsiTheme="majorHAnsi" w:cstheme="majorHAnsi"/>
          <w:sz w:val="24"/>
          <w:szCs w:val="24"/>
          <w:lang w:val="ro-MD" w:eastAsia="ru-RU"/>
        </w:rPr>
        <w:t xml:space="preserve">). </w:t>
      </w:r>
      <w:r w:rsidR="00EA08D5">
        <w:rPr>
          <w:rFonts w:asciiTheme="majorHAnsi" w:hAnsiTheme="majorHAnsi" w:cstheme="majorHAnsi"/>
          <w:sz w:val="24"/>
          <w:szCs w:val="24"/>
          <w:lang w:val="ro-MD" w:eastAsia="ru-RU"/>
        </w:rPr>
        <w:t xml:space="preserve">Mijloacele obținute din emisiunea VMS pe piața primară au fost direcționate pentru finanțarea deficitului bugetar. </w:t>
      </w:r>
      <w:r w:rsidR="007B1E93">
        <w:rPr>
          <w:rFonts w:asciiTheme="majorHAnsi" w:hAnsiTheme="majorHAnsi" w:cstheme="majorHAnsi"/>
          <w:i/>
          <w:sz w:val="24"/>
          <w:szCs w:val="24"/>
          <w:lang w:val="ro-MD" w:eastAsia="ru-RU"/>
        </w:rPr>
        <w:t>Structura datoriei de stat interne se prezintă în Tabelul nr.</w:t>
      </w:r>
      <w:r w:rsidR="00B86518">
        <w:rPr>
          <w:rFonts w:asciiTheme="majorHAnsi" w:hAnsiTheme="majorHAnsi" w:cstheme="majorHAnsi"/>
          <w:i/>
          <w:sz w:val="24"/>
          <w:szCs w:val="24"/>
          <w:lang w:val="ro-MD" w:eastAsia="ru-RU"/>
        </w:rPr>
        <w:t>4</w:t>
      </w:r>
      <w:r w:rsidR="007B1E93">
        <w:rPr>
          <w:rFonts w:asciiTheme="majorHAnsi" w:hAnsiTheme="majorHAnsi" w:cstheme="majorHAnsi"/>
          <w:i/>
          <w:sz w:val="24"/>
          <w:szCs w:val="24"/>
          <w:lang w:val="ro-MD" w:eastAsia="ru-RU"/>
        </w:rPr>
        <w:t>.</w:t>
      </w:r>
    </w:p>
    <w:p w14:paraId="136A8B1F" w14:textId="73915035" w:rsidR="00F37EE2" w:rsidRDefault="00F37EE2" w:rsidP="00FB1205">
      <w:pPr>
        <w:pStyle w:val="af3"/>
        <w:spacing w:line="276" w:lineRule="auto"/>
        <w:jc w:val="both"/>
        <w:rPr>
          <w:rFonts w:asciiTheme="majorHAnsi" w:hAnsiTheme="majorHAnsi" w:cstheme="majorHAnsi"/>
          <w:i/>
          <w:sz w:val="24"/>
          <w:szCs w:val="24"/>
          <w:lang w:val="ro-MD" w:eastAsia="ru-RU"/>
        </w:rPr>
      </w:pPr>
    </w:p>
    <w:p w14:paraId="28BEF9E4" w14:textId="77777777" w:rsidR="00F37EE2" w:rsidRPr="007B1E93" w:rsidRDefault="00F37EE2" w:rsidP="00FB1205">
      <w:pPr>
        <w:pStyle w:val="af3"/>
        <w:spacing w:line="276" w:lineRule="auto"/>
        <w:jc w:val="both"/>
        <w:rPr>
          <w:rFonts w:asciiTheme="majorHAnsi" w:hAnsiTheme="majorHAnsi" w:cstheme="majorHAnsi"/>
          <w:i/>
          <w:sz w:val="24"/>
          <w:szCs w:val="24"/>
          <w:lang w:val="ro-MD" w:eastAsia="ru-RU"/>
        </w:rPr>
      </w:pPr>
    </w:p>
    <w:p w14:paraId="1ECEAB9D" w14:textId="77777777" w:rsidR="00927A16" w:rsidRDefault="00927A16" w:rsidP="00560D3B">
      <w:pPr>
        <w:pStyle w:val="af3"/>
        <w:spacing w:line="276" w:lineRule="auto"/>
        <w:jc w:val="right"/>
        <w:rPr>
          <w:rFonts w:asciiTheme="majorHAnsi" w:hAnsiTheme="majorHAnsi" w:cstheme="majorHAnsi"/>
          <w:b/>
          <w:i/>
          <w:sz w:val="24"/>
          <w:szCs w:val="24"/>
          <w:lang w:val="ro-MD" w:eastAsia="ru-RU"/>
        </w:rPr>
      </w:pPr>
    </w:p>
    <w:p w14:paraId="0A1450B2" w14:textId="6FAB3E27" w:rsidR="00EA08D5" w:rsidRDefault="00EA08D5" w:rsidP="00560D3B">
      <w:pPr>
        <w:pStyle w:val="af3"/>
        <w:spacing w:line="276" w:lineRule="auto"/>
        <w:jc w:val="right"/>
        <w:rPr>
          <w:rFonts w:asciiTheme="majorHAnsi" w:hAnsiTheme="majorHAnsi" w:cstheme="majorHAnsi"/>
          <w:b/>
          <w:i/>
          <w:sz w:val="24"/>
          <w:szCs w:val="24"/>
          <w:lang w:val="ro-MD" w:eastAsia="ru-RU"/>
        </w:rPr>
      </w:pPr>
      <w:r w:rsidRPr="00EA08D5">
        <w:rPr>
          <w:rFonts w:asciiTheme="majorHAnsi" w:hAnsiTheme="majorHAnsi" w:cstheme="majorHAnsi"/>
          <w:b/>
          <w:i/>
          <w:sz w:val="24"/>
          <w:szCs w:val="24"/>
          <w:lang w:val="ro-MD" w:eastAsia="ru-RU"/>
        </w:rPr>
        <w:t>Tabelul nr.</w:t>
      </w:r>
      <w:r w:rsidR="00B86518">
        <w:rPr>
          <w:rFonts w:asciiTheme="majorHAnsi" w:hAnsiTheme="majorHAnsi" w:cstheme="majorHAnsi"/>
          <w:b/>
          <w:i/>
          <w:sz w:val="24"/>
          <w:szCs w:val="24"/>
          <w:lang w:val="ro-MD" w:eastAsia="ru-RU"/>
        </w:rPr>
        <w:t>4</w:t>
      </w:r>
    </w:p>
    <w:p w14:paraId="6E1E1A33" w14:textId="6D243B2C" w:rsidR="007B1E93" w:rsidRPr="007B1E93" w:rsidRDefault="007B1E93" w:rsidP="00560D3B">
      <w:pPr>
        <w:pStyle w:val="af3"/>
        <w:spacing w:line="276" w:lineRule="auto"/>
        <w:jc w:val="center"/>
        <w:rPr>
          <w:rFonts w:asciiTheme="majorHAnsi" w:hAnsiTheme="majorHAnsi" w:cstheme="majorHAnsi"/>
          <w:b/>
          <w:sz w:val="24"/>
          <w:szCs w:val="24"/>
          <w:lang w:val="ro-MD" w:eastAsia="ru-RU"/>
        </w:rPr>
      </w:pPr>
      <w:r>
        <w:rPr>
          <w:rFonts w:asciiTheme="majorHAnsi" w:hAnsiTheme="majorHAnsi" w:cstheme="majorHAnsi"/>
          <w:b/>
          <w:sz w:val="24"/>
          <w:szCs w:val="24"/>
          <w:lang w:val="ro-MD" w:eastAsia="ru-RU"/>
        </w:rPr>
        <w:t>Structura datoriei de stat interne în anul 2020, mil.lei</w:t>
      </w:r>
    </w:p>
    <w:tbl>
      <w:tblPr>
        <w:tblW w:w="9284" w:type="dxa"/>
        <w:tblLook w:val="04A0" w:firstRow="1" w:lastRow="0" w:firstColumn="1" w:lastColumn="0" w:noHBand="0" w:noVBand="1"/>
      </w:tblPr>
      <w:tblGrid>
        <w:gridCol w:w="3924"/>
        <w:gridCol w:w="1020"/>
        <w:gridCol w:w="980"/>
        <w:gridCol w:w="1020"/>
        <w:gridCol w:w="980"/>
        <w:gridCol w:w="1360"/>
      </w:tblGrid>
      <w:tr w:rsidR="00EA08D5" w:rsidRPr="00560D3B" w14:paraId="1DB2D00B" w14:textId="77777777" w:rsidTr="00560D3B">
        <w:trPr>
          <w:trHeight w:val="288"/>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8A56A1" w14:textId="77777777" w:rsidR="00EA08D5" w:rsidRPr="00560D3B" w:rsidRDefault="00EA08D5" w:rsidP="00FB1205">
            <w:pPr>
              <w:spacing w:after="0" w:line="240" w:lineRule="auto"/>
              <w:jc w:val="both"/>
              <w:rPr>
                <w:rFonts w:ascii="Calibri Light" w:eastAsia="Times New Roman" w:hAnsi="Calibri Light" w:cs="Calibri Light"/>
                <w:b/>
                <w:bCs/>
                <w:color w:val="000000"/>
                <w:sz w:val="20"/>
                <w:szCs w:val="20"/>
              </w:rPr>
            </w:pPr>
            <w:r w:rsidRPr="00560D3B">
              <w:rPr>
                <w:rFonts w:ascii="Calibri Light" w:eastAsia="Times New Roman" w:hAnsi="Calibri Light" w:cs="Calibri Light"/>
                <w:b/>
                <w:bCs/>
                <w:color w:val="000000"/>
                <w:sz w:val="20"/>
                <w:szCs w:val="20"/>
              </w:rPr>
              <w:t>Indicatori</w:t>
            </w: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2A2659" w14:textId="77777777" w:rsidR="00EA08D5" w:rsidRPr="00560D3B" w:rsidRDefault="00EA08D5" w:rsidP="00560D3B">
            <w:pPr>
              <w:spacing w:after="0" w:line="240" w:lineRule="auto"/>
              <w:jc w:val="center"/>
              <w:rPr>
                <w:rFonts w:ascii="Calibri Light" w:eastAsia="Times New Roman" w:hAnsi="Calibri Light" w:cs="Calibri Light"/>
                <w:b/>
                <w:bCs/>
                <w:color w:val="000000"/>
                <w:sz w:val="20"/>
                <w:szCs w:val="20"/>
              </w:rPr>
            </w:pPr>
            <w:r w:rsidRPr="00560D3B">
              <w:rPr>
                <w:rFonts w:ascii="Calibri Light" w:eastAsia="Times New Roman" w:hAnsi="Calibri Light" w:cs="Calibri Light"/>
                <w:b/>
                <w:bCs/>
                <w:color w:val="000000"/>
                <w:sz w:val="20"/>
                <w:szCs w:val="20"/>
              </w:rPr>
              <w:t>2019</w:t>
            </w: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0DDF3A" w14:textId="77777777" w:rsidR="00EA08D5" w:rsidRPr="00560D3B" w:rsidRDefault="00EA08D5" w:rsidP="00560D3B">
            <w:pPr>
              <w:spacing w:after="0" w:line="240" w:lineRule="auto"/>
              <w:jc w:val="center"/>
              <w:rPr>
                <w:rFonts w:ascii="Calibri Light" w:eastAsia="Times New Roman" w:hAnsi="Calibri Light" w:cs="Calibri Light"/>
                <w:b/>
                <w:bCs/>
                <w:color w:val="000000"/>
                <w:sz w:val="20"/>
                <w:szCs w:val="20"/>
              </w:rPr>
            </w:pPr>
            <w:r w:rsidRPr="00560D3B">
              <w:rPr>
                <w:rFonts w:ascii="Calibri Light" w:eastAsia="Times New Roman" w:hAnsi="Calibri Light" w:cs="Calibri Light"/>
                <w:b/>
                <w:bCs/>
                <w:color w:val="000000"/>
                <w:sz w:val="20"/>
                <w:szCs w:val="20"/>
              </w:rPr>
              <w:t>2020</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398512" w14:textId="77777777" w:rsidR="00EA08D5" w:rsidRPr="00560D3B" w:rsidRDefault="00EA08D5" w:rsidP="00560D3B">
            <w:pPr>
              <w:spacing w:after="0" w:line="240" w:lineRule="auto"/>
              <w:jc w:val="center"/>
              <w:rPr>
                <w:rFonts w:ascii="Calibri Light" w:eastAsia="Times New Roman" w:hAnsi="Calibri Light" w:cs="Calibri Light"/>
                <w:b/>
                <w:bCs/>
                <w:color w:val="000000"/>
                <w:sz w:val="20"/>
                <w:szCs w:val="20"/>
              </w:rPr>
            </w:pPr>
            <w:r w:rsidRPr="00560D3B">
              <w:rPr>
                <w:rFonts w:ascii="Calibri Light" w:eastAsia="Times New Roman" w:hAnsi="Calibri Light" w:cs="Calibri Light"/>
                <w:b/>
                <w:bCs/>
                <w:color w:val="000000"/>
                <w:sz w:val="20"/>
                <w:szCs w:val="20"/>
              </w:rPr>
              <w:t>2020/2019</w:t>
            </w:r>
          </w:p>
        </w:tc>
      </w:tr>
      <w:tr w:rsidR="00EA08D5" w:rsidRPr="00560D3B" w14:paraId="0B27E06C" w14:textId="77777777" w:rsidTr="00560D3B">
        <w:trPr>
          <w:trHeight w:val="720"/>
        </w:trPr>
        <w:tc>
          <w:tcPr>
            <w:tcW w:w="3964" w:type="dxa"/>
            <w:vMerge/>
            <w:tcBorders>
              <w:top w:val="single" w:sz="4" w:space="0" w:color="auto"/>
              <w:left w:val="single" w:sz="4" w:space="0" w:color="auto"/>
              <w:bottom w:val="single" w:sz="4" w:space="0" w:color="000000"/>
              <w:right w:val="single" w:sz="4" w:space="0" w:color="auto"/>
            </w:tcBorders>
            <w:vAlign w:val="center"/>
            <w:hideMark/>
          </w:tcPr>
          <w:p w14:paraId="6FE3FAED" w14:textId="77777777" w:rsidR="00EA08D5" w:rsidRPr="00560D3B" w:rsidRDefault="00EA08D5" w:rsidP="00FB1205">
            <w:pPr>
              <w:spacing w:after="0" w:line="240" w:lineRule="auto"/>
              <w:jc w:val="both"/>
              <w:rPr>
                <w:rFonts w:ascii="Calibri Light" w:eastAsia="Times New Roman" w:hAnsi="Calibri Light" w:cs="Calibri Light"/>
                <w:b/>
                <w:bCs/>
                <w:color w:val="000000"/>
                <w:sz w:val="20"/>
                <w:szCs w:val="20"/>
              </w:rPr>
            </w:pPr>
          </w:p>
        </w:tc>
        <w:tc>
          <w:tcPr>
            <w:tcW w:w="1020" w:type="dxa"/>
            <w:tcBorders>
              <w:top w:val="nil"/>
              <w:left w:val="nil"/>
              <w:bottom w:val="single" w:sz="4" w:space="0" w:color="auto"/>
              <w:right w:val="single" w:sz="4" w:space="0" w:color="auto"/>
            </w:tcBorders>
            <w:shd w:val="clear" w:color="auto" w:fill="auto"/>
            <w:vAlign w:val="center"/>
            <w:hideMark/>
          </w:tcPr>
          <w:p w14:paraId="181E5A80" w14:textId="77777777" w:rsidR="00EA08D5" w:rsidRPr="00560D3B" w:rsidRDefault="00EA08D5" w:rsidP="00FB1205">
            <w:pPr>
              <w:spacing w:after="0" w:line="240" w:lineRule="auto"/>
              <w:jc w:val="both"/>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Soldul datoriei, total</w:t>
            </w:r>
          </w:p>
        </w:tc>
        <w:tc>
          <w:tcPr>
            <w:tcW w:w="960" w:type="dxa"/>
            <w:tcBorders>
              <w:top w:val="nil"/>
              <w:left w:val="nil"/>
              <w:bottom w:val="single" w:sz="4" w:space="0" w:color="auto"/>
              <w:right w:val="single" w:sz="4" w:space="0" w:color="auto"/>
            </w:tcBorders>
            <w:shd w:val="clear" w:color="auto" w:fill="auto"/>
            <w:vAlign w:val="center"/>
            <w:hideMark/>
          </w:tcPr>
          <w:p w14:paraId="5F82927A" w14:textId="77777777" w:rsidR="00EA08D5" w:rsidRPr="00560D3B" w:rsidRDefault="00EA08D5" w:rsidP="00560D3B">
            <w:pPr>
              <w:spacing w:after="0" w:line="240" w:lineRule="auto"/>
              <w:jc w:val="center"/>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Ponderea în total, %</w:t>
            </w:r>
          </w:p>
        </w:tc>
        <w:tc>
          <w:tcPr>
            <w:tcW w:w="1020" w:type="dxa"/>
            <w:tcBorders>
              <w:top w:val="nil"/>
              <w:left w:val="nil"/>
              <w:bottom w:val="single" w:sz="4" w:space="0" w:color="auto"/>
              <w:right w:val="single" w:sz="4" w:space="0" w:color="auto"/>
            </w:tcBorders>
            <w:shd w:val="clear" w:color="auto" w:fill="auto"/>
            <w:vAlign w:val="center"/>
            <w:hideMark/>
          </w:tcPr>
          <w:p w14:paraId="2F3A3214" w14:textId="77777777" w:rsidR="00EA08D5" w:rsidRPr="00560D3B" w:rsidRDefault="00EA08D5" w:rsidP="00560D3B">
            <w:pPr>
              <w:spacing w:after="0" w:line="240" w:lineRule="auto"/>
              <w:jc w:val="center"/>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Soldul datoriei, total</w:t>
            </w:r>
          </w:p>
        </w:tc>
        <w:tc>
          <w:tcPr>
            <w:tcW w:w="960" w:type="dxa"/>
            <w:tcBorders>
              <w:top w:val="nil"/>
              <w:left w:val="nil"/>
              <w:bottom w:val="single" w:sz="4" w:space="0" w:color="auto"/>
              <w:right w:val="single" w:sz="4" w:space="0" w:color="auto"/>
            </w:tcBorders>
            <w:shd w:val="clear" w:color="auto" w:fill="auto"/>
            <w:vAlign w:val="center"/>
            <w:hideMark/>
          </w:tcPr>
          <w:p w14:paraId="66A00859" w14:textId="77777777" w:rsidR="00EA08D5" w:rsidRPr="00560D3B" w:rsidRDefault="00EA08D5" w:rsidP="00560D3B">
            <w:pPr>
              <w:spacing w:after="0" w:line="240" w:lineRule="auto"/>
              <w:jc w:val="center"/>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Ponderea în total, %</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246D2B6E" w14:textId="77777777" w:rsidR="00EA08D5" w:rsidRPr="00560D3B" w:rsidRDefault="00EA08D5" w:rsidP="00560D3B">
            <w:pPr>
              <w:spacing w:after="0" w:line="240" w:lineRule="auto"/>
              <w:jc w:val="center"/>
              <w:rPr>
                <w:rFonts w:ascii="Calibri Light" w:eastAsia="Times New Roman" w:hAnsi="Calibri Light" w:cs="Calibri Light"/>
                <w:b/>
                <w:bCs/>
                <w:color w:val="000000"/>
                <w:sz w:val="20"/>
                <w:szCs w:val="20"/>
              </w:rPr>
            </w:pPr>
          </w:p>
        </w:tc>
      </w:tr>
      <w:tr w:rsidR="00EA08D5" w:rsidRPr="00560D3B" w14:paraId="13A089E2" w14:textId="77777777" w:rsidTr="00560D3B">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3D95153" w14:textId="77777777" w:rsidR="00EA08D5" w:rsidRPr="00560D3B" w:rsidRDefault="00EA08D5" w:rsidP="00FB1205">
            <w:pPr>
              <w:spacing w:after="0" w:line="240" w:lineRule="auto"/>
              <w:jc w:val="both"/>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Datoria de stat internă, din care:</w:t>
            </w:r>
          </w:p>
        </w:tc>
        <w:tc>
          <w:tcPr>
            <w:tcW w:w="1020" w:type="dxa"/>
            <w:tcBorders>
              <w:top w:val="nil"/>
              <w:left w:val="nil"/>
              <w:bottom w:val="single" w:sz="4" w:space="0" w:color="auto"/>
              <w:right w:val="single" w:sz="4" w:space="0" w:color="auto"/>
            </w:tcBorders>
            <w:shd w:val="clear" w:color="auto" w:fill="auto"/>
            <w:noWrap/>
            <w:vAlign w:val="center"/>
            <w:hideMark/>
          </w:tcPr>
          <w:p w14:paraId="13119893" w14:textId="4CEAE830" w:rsidR="00EA08D5" w:rsidRPr="00560D3B" w:rsidRDefault="00EA08D5" w:rsidP="00417E69">
            <w:pPr>
              <w:spacing w:after="0" w:line="240" w:lineRule="auto"/>
              <w:jc w:val="center"/>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23.</w:t>
            </w:r>
            <w:r w:rsidR="00417E69">
              <w:rPr>
                <w:rFonts w:ascii="Calibri Light" w:eastAsia="Times New Roman" w:hAnsi="Calibri Light" w:cs="Calibri Light"/>
                <w:b/>
                <w:bCs/>
                <w:i/>
                <w:iCs/>
                <w:color w:val="000000"/>
                <w:sz w:val="20"/>
                <w:szCs w:val="20"/>
              </w:rPr>
              <w:t>495,9</w:t>
            </w:r>
          </w:p>
        </w:tc>
        <w:tc>
          <w:tcPr>
            <w:tcW w:w="960" w:type="dxa"/>
            <w:tcBorders>
              <w:top w:val="nil"/>
              <w:left w:val="nil"/>
              <w:bottom w:val="single" w:sz="4" w:space="0" w:color="auto"/>
              <w:right w:val="single" w:sz="4" w:space="0" w:color="auto"/>
            </w:tcBorders>
            <w:shd w:val="clear" w:color="auto" w:fill="auto"/>
            <w:noWrap/>
            <w:vAlign w:val="center"/>
            <w:hideMark/>
          </w:tcPr>
          <w:p w14:paraId="2516F474" w14:textId="28471A36" w:rsidR="00EA08D5" w:rsidRPr="00560D3B" w:rsidRDefault="007B1E93" w:rsidP="00A10B16">
            <w:pPr>
              <w:spacing w:after="0" w:line="240" w:lineRule="auto"/>
              <w:jc w:val="center"/>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100,0</w:t>
            </w:r>
          </w:p>
        </w:tc>
        <w:tc>
          <w:tcPr>
            <w:tcW w:w="1020" w:type="dxa"/>
            <w:tcBorders>
              <w:top w:val="nil"/>
              <w:left w:val="nil"/>
              <w:bottom w:val="single" w:sz="4" w:space="0" w:color="auto"/>
              <w:right w:val="single" w:sz="4" w:space="0" w:color="auto"/>
            </w:tcBorders>
            <w:shd w:val="clear" w:color="auto" w:fill="auto"/>
            <w:noWrap/>
            <w:vAlign w:val="center"/>
            <w:hideMark/>
          </w:tcPr>
          <w:p w14:paraId="7CACD0B1" w14:textId="77777777" w:rsidR="00EA08D5" w:rsidRPr="00560D3B" w:rsidRDefault="00EA08D5" w:rsidP="00A10B16">
            <w:pPr>
              <w:spacing w:after="0" w:line="240" w:lineRule="auto"/>
              <w:jc w:val="center"/>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29.235,6</w:t>
            </w:r>
          </w:p>
        </w:tc>
        <w:tc>
          <w:tcPr>
            <w:tcW w:w="960" w:type="dxa"/>
            <w:tcBorders>
              <w:top w:val="nil"/>
              <w:left w:val="nil"/>
              <w:bottom w:val="single" w:sz="4" w:space="0" w:color="auto"/>
              <w:right w:val="single" w:sz="4" w:space="0" w:color="auto"/>
            </w:tcBorders>
            <w:shd w:val="clear" w:color="auto" w:fill="auto"/>
            <w:noWrap/>
            <w:vAlign w:val="center"/>
            <w:hideMark/>
          </w:tcPr>
          <w:p w14:paraId="0CCF0C3E" w14:textId="4AC54E53" w:rsidR="00EA08D5" w:rsidRPr="00560D3B" w:rsidRDefault="007B1E93" w:rsidP="00A10B16">
            <w:pPr>
              <w:spacing w:after="0" w:line="240" w:lineRule="auto"/>
              <w:jc w:val="center"/>
              <w:rPr>
                <w:rFonts w:ascii="Calibri Light" w:eastAsia="Times New Roman" w:hAnsi="Calibri Light" w:cs="Calibri Light"/>
                <w:b/>
                <w:bCs/>
                <w:i/>
                <w:iCs/>
                <w:color w:val="000000"/>
                <w:sz w:val="20"/>
                <w:szCs w:val="20"/>
              </w:rPr>
            </w:pPr>
            <w:r w:rsidRPr="00560D3B">
              <w:rPr>
                <w:rFonts w:ascii="Calibri Light" w:eastAsia="Times New Roman" w:hAnsi="Calibri Light" w:cs="Calibri Light"/>
                <w:b/>
                <w:bCs/>
                <w:i/>
                <w:iCs/>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14:paraId="7E155666" w14:textId="36CBEBCA" w:rsidR="00EA08D5" w:rsidRPr="00560D3B" w:rsidRDefault="00417E69" w:rsidP="00A10B16">
            <w:pPr>
              <w:spacing w:after="0" w:line="240" w:lineRule="auto"/>
              <w:jc w:val="center"/>
              <w:rPr>
                <w:rFonts w:ascii="Calibri Light" w:eastAsia="Times New Roman" w:hAnsi="Calibri Light" w:cs="Calibri Light"/>
                <w:b/>
                <w:bCs/>
                <w:i/>
                <w:iCs/>
                <w:color w:val="000000"/>
                <w:sz w:val="20"/>
                <w:szCs w:val="20"/>
              </w:rPr>
            </w:pPr>
            <w:r>
              <w:rPr>
                <w:rFonts w:ascii="Calibri Light" w:eastAsia="Times New Roman" w:hAnsi="Calibri Light" w:cs="Calibri Light"/>
                <w:b/>
                <w:bCs/>
                <w:i/>
                <w:iCs/>
                <w:color w:val="000000"/>
                <w:sz w:val="20"/>
                <w:szCs w:val="20"/>
              </w:rPr>
              <w:t>5 739,7</w:t>
            </w:r>
          </w:p>
        </w:tc>
      </w:tr>
      <w:tr w:rsidR="00EA08D5" w:rsidRPr="00560D3B" w14:paraId="6C26C86F" w14:textId="77777777" w:rsidTr="00560D3B">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0D65C46" w14:textId="77777777" w:rsidR="00EA08D5" w:rsidRPr="00560D3B" w:rsidRDefault="00EA08D5" w:rsidP="00FB1205">
            <w:pPr>
              <w:spacing w:after="0" w:line="240" w:lineRule="auto"/>
              <w:jc w:val="both"/>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VMS emise pe piața primară</w:t>
            </w:r>
          </w:p>
        </w:tc>
        <w:tc>
          <w:tcPr>
            <w:tcW w:w="1020" w:type="dxa"/>
            <w:tcBorders>
              <w:top w:val="nil"/>
              <w:left w:val="nil"/>
              <w:bottom w:val="single" w:sz="4" w:space="0" w:color="auto"/>
              <w:right w:val="single" w:sz="4" w:space="0" w:color="auto"/>
            </w:tcBorders>
            <w:shd w:val="clear" w:color="auto" w:fill="auto"/>
            <w:noWrap/>
            <w:vAlign w:val="center"/>
            <w:hideMark/>
          </w:tcPr>
          <w:p w14:paraId="0A9EB39D" w14:textId="589428FC" w:rsidR="00EA08D5" w:rsidRPr="00560D3B" w:rsidRDefault="00EA08D5" w:rsidP="00417E69">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8.</w:t>
            </w:r>
            <w:r w:rsidR="00417E69">
              <w:rPr>
                <w:rFonts w:ascii="Calibri Light" w:eastAsia="Times New Roman" w:hAnsi="Calibri Light" w:cs="Calibri Light"/>
                <w:color w:val="000000"/>
                <w:sz w:val="20"/>
                <w:szCs w:val="20"/>
              </w:rPr>
              <w:t>570,8</w:t>
            </w:r>
          </w:p>
        </w:tc>
        <w:tc>
          <w:tcPr>
            <w:tcW w:w="960" w:type="dxa"/>
            <w:tcBorders>
              <w:top w:val="nil"/>
              <w:left w:val="nil"/>
              <w:bottom w:val="single" w:sz="4" w:space="0" w:color="auto"/>
              <w:right w:val="single" w:sz="4" w:space="0" w:color="auto"/>
            </w:tcBorders>
            <w:shd w:val="clear" w:color="auto" w:fill="auto"/>
            <w:noWrap/>
            <w:vAlign w:val="center"/>
            <w:hideMark/>
          </w:tcPr>
          <w:p w14:paraId="055D3AC5"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35,6</w:t>
            </w:r>
          </w:p>
        </w:tc>
        <w:tc>
          <w:tcPr>
            <w:tcW w:w="1020" w:type="dxa"/>
            <w:tcBorders>
              <w:top w:val="nil"/>
              <w:left w:val="nil"/>
              <w:bottom w:val="single" w:sz="4" w:space="0" w:color="auto"/>
              <w:right w:val="single" w:sz="4" w:space="0" w:color="auto"/>
            </w:tcBorders>
            <w:shd w:val="clear" w:color="auto" w:fill="auto"/>
            <w:noWrap/>
            <w:vAlign w:val="center"/>
            <w:hideMark/>
          </w:tcPr>
          <w:p w14:paraId="64A45BE6"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14.561,0</w:t>
            </w:r>
          </w:p>
        </w:tc>
        <w:tc>
          <w:tcPr>
            <w:tcW w:w="960" w:type="dxa"/>
            <w:tcBorders>
              <w:top w:val="nil"/>
              <w:left w:val="nil"/>
              <w:bottom w:val="single" w:sz="4" w:space="0" w:color="auto"/>
              <w:right w:val="single" w:sz="4" w:space="0" w:color="auto"/>
            </w:tcBorders>
            <w:shd w:val="clear" w:color="auto" w:fill="auto"/>
            <w:noWrap/>
            <w:vAlign w:val="center"/>
            <w:hideMark/>
          </w:tcPr>
          <w:p w14:paraId="10667993"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49,8</w:t>
            </w:r>
          </w:p>
        </w:tc>
        <w:tc>
          <w:tcPr>
            <w:tcW w:w="1360" w:type="dxa"/>
            <w:tcBorders>
              <w:top w:val="nil"/>
              <w:left w:val="nil"/>
              <w:bottom w:val="single" w:sz="4" w:space="0" w:color="auto"/>
              <w:right w:val="single" w:sz="4" w:space="0" w:color="auto"/>
            </w:tcBorders>
            <w:shd w:val="clear" w:color="auto" w:fill="auto"/>
            <w:noWrap/>
            <w:vAlign w:val="center"/>
            <w:hideMark/>
          </w:tcPr>
          <w:p w14:paraId="4652A8E9" w14:textId="4E9439E5" w:rsidR="00EA08D5" w:rsidRPr="00560D3B" w:rsidRDefault="00417E69" w:rsidP="00A10B16">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5 990,2</w:t>
            </w:r>
          </w:p>
        </w:tc>
      </w:tr>
      <w:tr w:rsidR="00EA08D5" w:rsidRPr="00560D3B" w14:paraId="6531279E" w14:textId="77777777" w:rsidTr="00560D3B">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E449B4" w14:textId="77777777" w:rsidR="00EA08D5" w:rsidRPr="00560D3B" w:rsidRDefault="00EA08D5" w:rsidP="00FB1205">
            <w:pPr>
              <w:spacing w:after="0" w:line="240" w:lineRule="auto"/>
              <w:jc w:val="both"/>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VMS convertite</w:t>
            </w:r>
          </w:p>
        </w:tc>
        <w:tc>
          <w:tcPr>
            <w:tcW w:w="1020" w:type="dxa"/>
            <w:tcBorders>
              <w:top w:val="nil"/>
              <w:left w:val="nil"/>
              <w:bottom w:val="single" w:sz="4" w:space="0" w:color="auto"/>
              <w:right w:val="single" w:sz="4" w:space="0" w:color="auto"/>
            </w:tcBorders>
            <w:shd w:val="clear" w:color="auto" w:fill="auto"/>
            <w:noWrap/>
            <w:vAlign w:val="center"/>
            <w:hideMark/>
          </w:tcPr>
          <w:p w14:paraId="1EEC5024" w14:textId="0636199D" w:rsidR="00EA08D5" w:rsidRPr="00560D3B" w:rsidRDefault="00EA08D5" w:rsidP="00417E69">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2.0</w:t>
            </w:r>
            <w:r w:rsidR="00417E69">
              <w:rPr>
                <w:rFonts w:ascii="Calibri Light" w:eastAsia="Times New Roman" w:hAnsi="Calibri Light" w:cs="Calibri Light"/>
                <w:color w:val="000000"/>
                <w:sz w:val="20"/>
                <w:szCs w:val="20"/>
              </w:rPr>
              <w:t>7</w:t>
            </w:r>
            <w:r w:rsidRPr="00560D3B">
              <w:rPr>
                <w:rFonts w:ascii="Calibri Light" w:eastAsia="Times New Roman" w:hAnsi="Calibri Light" w:cs="Calibri Light"/>
                <w:color w:val="000000"/>
                <w:sz w:val="20"/>
                <w:szCs w:val="20"/>
              </w:rPr>
              <w:t>3,</w:t>
            </w:r>
            <w:r w:rsidR="00417E69">
              <w:rPr>
                <w:rFonts w:ascii="Calibri Light" w:eastAsia="Times New Roman" w:hAnsi="Calibri Light" w:cs="Calibri Light"/>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14:paraId="6ACB2F12"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8,9</w:t>
            </w:r>
          </w:p>
        </w:tc>
        <w:tc>
          <w:tcPr>
            <w:tcW w:w="1020" w:type="dxa"/>
            <w:tcBorders>
              <w:top w:val="nil"/>
              <w:left w:val="nil"/>
              <w:bottom w:val="single" w:sz="4" w:space="0" w:color="auto"/>
              <w:right w:val="single" w:sz="4" w:space="0" w:color="auto"/>
            </w:tcBorders>
            <w:shd w:val="clear" w:color="auto" w:fill="auto"/>
            <w:noWrap/>
            <w:vAlign w:val="center"/>
            <w:hideMark/>
          </w:tcPr>
          <w:p w14:paraId="0FD9B602"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2.063,4</w:t>
            </w:r>
          </w:p>
        </w:tc>
        <w:tc>
          <w:tcPr>
            <w:tcW w:w="960" w:type="dxa"/>
            <w:tcBorders>
              <w:top w:val="nil"/>
              <w:left w:val="nil"/>
              <w:bottom w:val="single" w:sz="4" w:space="0" w:color="auto"/>
              <w:right w:val="single" w:sz="4" w:space="0" w:color="auto"/>
            </w:tcBorders>
            <w:shd w:val="clear" w:color="auto" w:fill="auto"/>
            <w:noWrap/>
            <w:vAlign w:val="center"/>
            <w:hideMark/>
          </w:tcPr>
          <w:p w14:paraId="2E2836EE"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7,1</w:t>
            </w:r>
          </w:p>
        </w:tc>
        <w:tc>
          <w:tcPr>
            <w:tcW w:w="1360" w:type="dxa"/>
            <w:tcBorders>
              <w:top w:val="nil"/>
              <w:left w:val="nil"/>
              <w:bottom w:val="single" w:sz="4" w:space="0" w:color="auto"/>
              <w:right w:val="single" w:sz="4" w:space="0" w:color="auto"/>
            </w:tcBorders>
            <w:shd w:val="clear" w:color="auto" w:fill="auto"/>
            <w:noWrap/>
            <w:vAlign w:val="center"/>
            <w:hideMark/>
          </w:tcPr>
          <w:p w14:paraId="57D017E2" w14:textId="36D33081" w:rsidR="00EA08D5" w:rsidRPr="00417E69" w:rsidRDefault="00417E69" w:rsidP="00417E69">
            <w:pPr>
              <w:spacing w:after="0" w:line="240" w:lineRule="auto"/>
              <w:jc w:val="center"/>
              <w:rPr>
                <w:rFonts w:ascii="Calibri Light" w:eastAsia="Times New Roman" w:hAnsi="Calibri Light" w:cs="Calibri Light"/>
                <w:color w:val="000000"/>
                <w:sz w:val="20"/>
                <w:szCs w:val="20"/>
              </w:rPr>
            </w:pPr>
            <w:r w:rsidRPr="00417E69">
              <w:rPr>
                <w:rFonts w:ascii="Calibri Light" w:eastAsia="Times New Roman" w:hAnsi="Calibri Light" w:cs="Calibri Light"/>
                <w:color w:val="000000"/>
                <w:sz w:val="20"/>
                <w:szCs w:val="20"/>
              </w:rPr>
              <w:t>-10,5</w:t>
            </w:r>
          </w:p>
        </w:tc>
      </w:tr>
      <w:tr w:rsidR="00EA08D5" w:rsidRPr="00560D3B" w14:paraId="4A3588F4" w14:textId="77777777" w:rsidTr="00560D3B">
        <w:trPr>
          <w:trHeight w:val="57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9C9D588" w14:textId="77777777" w:rsidR="00EA08D5" w:rsidRPr="00560D3B" w:rsidRDefault="00EA08D5" w:rsidP="00FB1205">
            <w:pPr>
              <w:spacing w:after="0" w:line="240" w:lineRule="auto"/>
              <w:jc w:val="both"/>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VMS emise pentru unele scopuri stabilite de lege</w:t>
            </w:r>
          </w:p>
        </w:tc>
        <w:tc>
          <w:tcPr>
            <w:tcW w:w="1020" w:type="dxa"/>
            <w:tcBorders>
              <w:top w:val="nil"/>
              <w:left w:val="nil"/>
              <w:bottom w:val="single" w:sz="4" w:space="0" w:color="auto"/>
              <w:right w:val="single" w:sz="4" w:space="0" w:color="auto"/>
            </w:tcBorders>
            <w:shd w:val="clear" w:color="auto" w:fill="auto"/>
            <w:noWrap/>
            <w:vAlign w:val="center"/>
            <w:hideMark/>
          </w:tcPr>
          <w:p w14:paraId="3F1182EB"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12.851,2</w:t>
            </w:r>
          </w:p>
        </w:tc>
        <w:tc>
          <w:tcPr>
            <w:tcW w:w="960" w:type="dxa"/>
            <w:tcBorders>
              <w:top w:val="nil"/>
              <w:left w:val="nil"/>
              <w:bottom w:val="single" w:sz="4" w:space="0" w:color="auto"/>
              <w:right w:val="single" w:sz="4" w:space="0" w:color="auto"/>
            </w:tcBorders>
            <w:shd w:val="clear" w:color="auto" w:fill="auto"/>
            <w:noWrap/>
            <w:vAlign w:val="center"/>
            <w:hideMark/>
          </w:tcPr>
          <w:p w14:paraId="1DD85A46"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55,5</w:t>
            </w:r>
          </w:p>
        </w:tc>
        <w:tc>
          <w:tcPr>
            <w:tcW w:w="1020" w:type="dxa"/>
            <w:tcBorders>
              <w:top w:val="nil"/>
              <w:left w:val="nil"/>
              <w:bottom w:val="single" w:sz="4" w:space="0" w:color="auto"/>
              <w:right w:val="single" w:sz="4" w:space="0" w:color="auto"/>
            </w:tcBorders>
            <w:shd w:val="clear" w:color="auto" w:fill="auto"/>
            <w:noWrap/>
            <w:vAlign w:val="center"/>
            <w:hideMark/>
          </w:tcPr>
          <w:p w14:paraId="100BEE4C"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12.611,2</w:t>
            </w:r>
          </w:p>
        </w:tc>
        <w:tc>
          <w:tcPr>
            <w:tcW w:w="960" w:type="dxa"/>
            <w:tcBorders>
              <w:top w:val="nil"/>
              <w:left w:val="nil"/>
              <w:bottom w:val="single" w:sz="4" w:space="0" w:color="auto"/>
              <w:right w:val="single" w:sz="4" w:space="0" w:color="auto"/>
            </w:tcBorders>
            <w:shd w:val="clear" w:color="auto" w:fill="auto"/>
            <w:noWrap/>
            <w:vAlign w:val="center"/>
            <w:hideMark/>
          </w:tcPr>
          <w:p w14:paraId="34C19C4C"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43,1</w:t>
            </w:r>
          </w:p>
        </w:tc>
        <w:tc>
          <w:tcPr>
            <w:tcW w:w="1360" w:type="dxa"/>
            <w:tcBorders>
              <w:top w:val="nil"/>
              <w:left w:val="nil"/>
              <w:bottom w:val="single" w:sz="4" w:space="0" w:color="auto"/>
              <w:right w:val="single" w:sz="4" w:space="0" w:color="auto"/>
            </w:tcBorders>
            <w:shd w:val="clear" w:color="auto" w:fill="auto"/>
            <w:noWrap/>
            <w:vAlign w:val="center"/>
            <w:hideMark/>
          </w:tcPr>
          <w:p w14:paraId="0295DC6A" w14:textId="77777777" w:rsidR="00EA08D5" w:rsidRPr="00560D3B" w:rsidRDefault="00EA08D5" w:rsidP="00A10B16">
            <w:pPr>
              <w:spacing w:after="0" w:line="240" w:lineRule="auto"/>
              <w:jc w:val="center"/>
              <w:rPr>
                <w:rFonts w:ascii="Calibri Light" w:eastAsia="Times New Roman" w:hAnsi="Calibri Light" w:cs="Calibri Light"/>
                <w:color w:val="000000"/>
                <w:sz w:val="20"/>
                <w:szCs w:val="20"/>
              </w:rPr>
            </w:pPr>
            <w:r w:rsidRPr="00560D3B">
              <w:rPr>
                <w:rFonts w:ascii="Calibri Light" w:eastAsia="Times New Roman" w:hAnsi="Calibri Light" w:cs="Calibri Light"/>
                <w:color w:val="000000"/>
                <w:sz w:val="20"/>
                <w:szCs w:val="20"/>
              </w:rPr>
              <w:t>-240,0</w:t>
            </w:r>
          </w:p>
        </w:tc>
      </w:tr>
    </w:tbl>
    <w:p w14:paraId="0547729B" w14:textId="565707B6" w:rsidR="00EA08D5" w:rsidRDefault="007B1E93" w:rsidP="00FB1205">
      <w:pPr>
        <w:pStyle w:val="af3"/>
        <w:spacing w:line="276" w:lineRule="auto"/>
        <w:ind w:firstLine="567"/>
        <w:jc w:val="both"/>
        <w:rPr>
          <w:rFonts w:asciiTheme="majorHAnsi" w:hAnsiTheme="majorHAnsi" w:cstheme="majorHAnsi"/>
          <w:sz w:val="24"/>
          <w:szCs w:val="24"/>
          <w:lang w:val="ro-MD" w:eastAsia="ru-RU"/>
        </w:rPr>
      </w:pPr>
      <w:r w:rsidRPr="007B1E93">
        <w:rPr>
          <w:rFonts w:asciiTheme="majorHAnsi" w:hAnsiTheme="majorHAnsi" w:cstheme="majorHAnsi"/>
          <w:b/>
          <w:i/>
          <w:sz w:val="20"/>
          <w:szCs w:val="20"/>
          <w:lang w:val="ro-MD" w:eastAsia="ru-RU"/>
        </w:rPr>
        <w:t>Sursa:</w:t>
      </w:r>
      <w:r>
        <w:rPr>
          <w:rFonts w:asciiTheme="majorHAnsi" w:hAnsiTheme="majorHAnsi" w:cstheme="majorHAnsi"/>
          <w:i/>
          <w:sz w:val="20"/>
          <w:szCs w:val="20"/>
          <w:lang w:val="ro-MD" w:eastAsia="ru-RU"/>
        </w:rPr>
        <w:t xml:space="preserve"> </w:t>
      </w:r>
      <w:r w:rsidRPr="009B5C20">
        <w:rPr>
          <w:rFonts w:asciiTheme="majorHAnsi" w:hAnsiTheme="majorHAnsi" w:cstheme="majorHAnsi"/>
          <w:i/>
          <w:sz w:val="20"/>
          <w:szCs w:val="20"/>
          <w:lang w:val="ro-MD" w:eastAsia="ru-RU"/>
        </w:rPr>
        <w:t>Elaborat de echipa de audit în baza informației prezentate de MF și Rapoartelor privind datoria de stat la situațiile din 31.12.2019 și 31.12.2020.</w:t>
      </w:r>
    </w:p>
    <w:p w14:paraId="717E6648" w14:textId="7CD789D4" w:rsidR="00EA08D5" w:rsidRDefault="00EA08D5" w:rsidP="00FB1205">
      <w:pPr>
        <w:pStyle w:val="af3"/>
        <w:spacing w:line="276" w:lineRule="auto"/>
        <w:jc w:val="both"/>
        <w:rPr>
          <w:rFonts w:asciiTheme="majorHAnsi" w:hAnsiTheme="majorHAnsi" w:cstheme="majorHAnsi"/>
          <w:sz w:val="24"/>
          <w:szCs w:val="24"/>
          <w:lang w:val="ro-MD" w:eastAsia="ru-RU"/>
        </w:rPr>
      </w:pPr>
    </w:p>
    <w:p w14:paraId="225E2E30" w14:textId="79160B13" w:rsidR="00907D56" w:rsidRPr="00D45A87" w:rsidRDefault="00CA6E4F" w:rsidP="00FB1205">
      <w:pPr>
        <w:spacing w:line="276" w:lineRule="auto"/>
        <w:jc w:val="both"/>
        <w:rPr>
          <w:rFonts w:eastAsia="Times New Roman" w:cstheme="majorHAnsi"/>
          <w:szCs w:val="24"/>
          <w:lang w:val="ro-RO"/>
        </w:rPr>
      </w:pPr>
      <w:r>
        <w:rPr>
          <w:rFonts w:eastAsia="Times New Roman" w:cstheme="majorHAnsi"/>
          <w:szCs w:val="24"/>
          <w:lang w:val="ro-RO"/>
        </w:rPr>
        <w:lastRenderedPageBreak/>
        <w:t>Î</w:t>
      </w:r>
      <w:r w:rsidR="00907D56" w:rsidRPr="006E05B8">
        <w:rPr>
          <w:rFonts w:eastAsia="Times New Roman" w:cstheme="majorHAnsi"/>
          <w:szCs w:val="24"/>
          <w:lang w:val="ro-RO"/>
        </w:rPr>
        <w:t>n anul 20</w:t>
      </w:r>
      <w:r w:rsidR="003E60A7">
        <w:rPr>
          <w:rFonts w:eastAsia="Times New Roman" w:cstheme="majorHAnsi"/>
          <w:szCs w:val="24"/>
          <w:lang w:val="ro-RO"/>
        </w:rPr>
        <w:t>20</w:t>
      </w:r>
      <w:r w:rsidR="00907D56" w:rsidRPr="006E05B8">
        <w:rPr>
          <w:rFonts w:eastAsia="Times New Roman" w:cstheme="majorHAnsi"/>
          <w:szCs w:val="24"/>
          <w:lang w:val="ro-RO"/>
        </w:rPr>
        <w:t xml:space="preserve">, rata medie anuală ponderată la VMS a constituit </w:t>
      </w:r>
      <w:r w:rsidR="00B20229">
        <w:rPr>
          <w:rFonts w:eastAsia="Times New Roman" w:cstheme="majorHAnsi"/>
          <w:szCs w:val="24"/>
          <w:lang w:val="ro-RO"/>
        </w:rPr>
        <w:t>5,19</w:t>
      </w:r>
      <w:r w:rsidR="00907D56" w:rsidRPr="006E05B8">
        <w:rPr>
          <w:rFonts w:eastAsia="Times New Roman" w:cstheme="majorHAnsi"/>
          <w:szCs w:val="24"/>
          <w:lang w:val="ro-RO"/>
        </w:rPr>
        <w:t>% (</w:t>
      </w:r>
      <w:r w:rsidR="00B20229">
        <w:rPr>
          <w:rFonts w:eastAsia="Times New Roman" w:cstheme="majorHAnsi"/>
          <w:szCs w:val="24"/>
          <w:lang w:val="ro-RO"/>
        </w:rPr>
        <w:t>-</w:t>
      </w:r>
      <w:r w:rsidR="00907D56" w:rsidRPr="006E05B8">
        <w:rPr>
          <w:rFonts w:eastAsia="Times New Roman" w:cstheme="majorHAnsi"/>
          <w:szCs w:val="24"/>
          <w:lang w:val="ro-RO"/>
        </w:rPr>
        <w:t>1,</w:t>
      </w:r>
      <w:r w:rsidR="00B20229">
        <w:rPr>
          <w:rFonts w:eastAsia="Times New Roman" w:cstheme="majorHAnsi"/>
          <w:szCs w:val="24"/>
          <w:lang w:val="ro-RO"/>
        </w:rPr>
        <w:t>0</w:t>
      </w:r>
      <w:r w:rsidR="00907D56" w:rsidRPr="006E05B8">
        <w:rPr>
          <w:rFonts w:eastAsia="Times New Roman" w:cstheme="majorHAnsi"/>
          <w:szCs w:val="24"/>
          <w:lang w:val="ro-RO"/>
        </w:rPr>
        <w:t xml:space="preserve">3 p.p.), la credite – </w:t>
      </w:r>
      <w:r w:rsidR="003601BC">
        <w:rPr>
          <w:rFonts w:eastAsia="Times New Roman" w:cstheme="majorHAnsi"/>
          <w:szCs w:val="24"/>
          <w:lang w:val="ro-RO"/>
        </w:rPr>
        <w:t xml:space="preserve">7,83% </w:t>
      </w:r>
      <w:r w:rsidR="00907D56" w:rsidRPr="006E05B8">
        <w:rPr>
          <w:rFonts w:eastAsia="Times New Roman" w:cstheme="majorHAnsi"/>
          <w:szCs w:val="24"/>
          <w:lang w:val="ro-RO"/>
        </w:rPr>
        <w:t>(-0,</w:t>
      </w:r>
      <w:r w:rsidR="003601BC">
        <w:rPr>
          <w:rFonts w:eastAsia="Times New Roman" w:cstheme="majorHAnsi"/>
          <w:szCs w:val="24"/>
          <w:lang w:val="ro-RO"/>
        </w:rPr>
        <w:t>39</w:t>
      </w:r>
      <w:r w:rsidR="00907D56" w:rsidRPr="006E05B8">
        <w:rPr>
          <w:rFonts w:eastAsia="Times New Roman" w:cstheme="majorHAnsi"/>
          <w:szCs w:val="24"/>
          <w:lang w:val="ro-RO"/>
        </w:rPr>
        <w:t xml:space="preserve"> p.p.), și la depozite – </w:t>
      </w:r>
      <w:r w:rsidR="003601BC">
        <w:rPr>
          <w:rFonts w:eastAsia="Times New Roman" w:cstheme="majorHAnsi"/>
          <w:szCs w:val="24"/>
          <w:lang w:val="ro-RO"/>
        </w:rPr>
        <w:t xml:space="preserve">4,42% </w:t>
      </w:r>
      <w:r w:rsidR="00907D56" w:rsidRPr="006E05B8">
        <w:rPr>
          <w:rFonts w:eastAsia="Times New Roman" w:cstheme="majorHAnsi"/>
          <w:szCs w:val="24"/>
          <w:lang w:val="ro-RO"/>
        </w:rPr>
        <w:t>(-0,</w:t>
      </w:r>
      <w:r w:rsidR="003601BC">
        <w:rPr>
          <w:rFonts w:eastAsia="Times New Roman" w:cstheme="majorHAnsi"/>
          <w:szCs w:val="24"/>
          <w:lang w:val="ro-RO"/>
        </w:rPr>
        <w:t>33</w:t>
      </w:r>
      <w:r w:rsidR="00907D56" w:rsidRPr="006E05B8">
        <w:rPr>
          <w:rFonts w:eastAsia="Times New Roman" w:cstheme="majorHAnsi"/>
          <w:szCs w:val="24"/>
          <w:lang w:val="ro-RO"/>
        </w:rPr>
        <w:t xml:space="preserve"> p.p.). De asemenea, auditul atestă că rata de bază a BNM a ev</w:t>
      </w:r>
      <w:r w:rsidR="00267792">
        <w:rPr>
          <w:rFonts w:eastAsia="Times New Roman" w:cstheme="majorHAnsi"/>
          <w:szCs w:val="24"/>
          <w:lang w:val="ro-RO"/>
        </w:rPr>
        <w:t>o</w:t>
      </w:r>
      <w:r w:rsidR="00907D56" w:rsidRPr="006E05B8">
        <w:rPr>
          <w:rFonts w:eastAsia="Times New Roman" w:cstheme="majorHAnsi"/>
          <w:szCs w:val="24"/>
          <w:lang w:val="ro-RO"/>
        </w:rPr>
        <w:t xml:space="preserve">luat </w:t>
      </w:r>
      <w:r w:rsidR="00E028F4">
        <w:rPr>
          <w:rFonts w:eastAsia="Times New Roman" w:cstheme="majorHAnsi"/>
          <w:szCs w:val="24"/>
          <w:lang w:val="ro-RO"/>
        </w:rPr>
        <w:t xml:space="preserve">pe </w:t>
      </w:r>
      <w:r w:rsidR="00907D56" w:rsidRPr="006E05B8">
        <w:rPr>
          <w:rFonts w:eastAsia="Times New Roman" w:cstheme="majorHAnsi"/>
          <w:szCs w:val="24"/>
          <w:lang w:val="ro-RO"/>
        </w:rPr>
        <w:t xml:space="preserve">parcursul anului </w:t>
      </w:r>
      <w:r w:rsidR="003601BC">
        <w:rPr>
          <w:rFonts w:eastAsia="Times New Roman" w:cstheme="majorHAnsi"/>
          <w:szCs w:val="24"/>
          <w:lang w:val="ro-RO"/>
        </w:rPr>
        <w:t xml:space="preserve">2020, </w:t>
      </w:r>
      <w:r w:rsidR="00907D56" w:rsidRPr="006E05B8">
        <w:rPr>
          <w:rFonts w:eastAsia="Times New Roman" w:cstheme="majorHAnsi"/>
          <w:szCs w:val="24"/>
          <w:lang w:val="ro-RO"/>
        </w:rPr>
        <w:t xml:space="preserve">de la </w:t>
      </w:r>
      <w:r w:rsidR="008D3D8D">
        <w:rPr>
          <w:rFonts w:eastAsia="Times New Roman" w:cstheme="majorHAnsi"/>
          <w:szCs w:val="24"/>
          <w:lang w:val="ro-RO"/>
        </w:rPr>
        <w:t>5</w:t>
      </w:r>
      <w:r w:rsidR="00907D56" w:rsidRPr="006E05B8">
        <w:rPr>
          <w:rFonts w:eastAsia="Times New Roman" w:cstheme="majorHAnsi"/>
          <w:szCs w:val="24"/>
          <w:lang w:val="ro-RO"/>
        </w:rPr>
        <w:t xml:space="preserve">,5% în luna ianuarie până la </w:t>
      </w:r>
      <w:r w:rsidR="008D3D8D">
        <w:rPr>
          <w:rFonts w:eastAsia="Times New Roman" w:cstheme="majorHAnsi"/>
          <w:szCs w:val="24"/>
          <w:lang w:val="ro-RO"/>
        </w:rPr>
        <w:t>2,65</w:t>
      </w:r>
      <w:r w:rsidR="00907D56" w:rsidRPr="006E05B8">
        <w:rPr>
          <w:rFonts w:eastAsia="Times New Roman" w:cstheme="majorHAnsi"/>
          <w:szCs w:val="24"/>
          <w:lang w:val="ro-RO"/>
        </w:rPr>
        <w:t xml:space="preserve">% în decembrie. </w:t>
      </w:r>
    </w:p>
    <w:p w14:paraId="45D8CE7E" w14:textId="35FCD0F1" w:rsidR="00390097" w:rsidRDefault="00907D56" w:rsidP="00FB1205">
      <w:pPr>
        <w:spacing w:line="276" w:lineRule="auto"/>
        <w:jc w:val="both"/>
        <w:rPr>
          <w:rFonts w:eastAsia="Times New Roman" w:cstheme="majorHAnsi"/>
          <w:szCs w:val="24"/>
          <w:lang w:val="ro-RO"/>
        </w:rPr>
      </w:pPr>
      <w:r w:rsidRPr="00D45A87">
        <w:rPr>
          <w:rFonts w:eastAsia="Times New Roman" w:cstheme="majorHAnsi"/>
          <w:szCs w:val="24"/>
          <w:lang w:val="ro-RO"/>
        </w:rPr>
        <w:t>Auditul denotă că</w:t>
      </w:r>
      <w:r w:rsidR="00E402E6">
        <w:rPr>
          <w:rFonts w:eastAsia="Times New Roman" w:cstheme="majorHAnsi"/>
          <w:szCs w:val="24"/>
          <w:lang w:val="ro-RO"/>
        </w:rPr>
        <w:t>,</w:t>
      </w:r>
      <w:r w:rsidRPr="00D45A87">
        <w:rPr>
          <w:rFonts w:eastAsia="Times New Roman" w:cstheme="majorHAnsi"/>
          <w:szCs w:val="24"/>
          <w:lang w:val="ro-RO"/>
        </w:rPr>
        <w:t xml:space="preserve"> pe tot parcursul anului</w:t>
      </w:r>
      <w:r w:rsidR="00E61DD3">
        <w:rPr>
          <w:rFonts w:eastAsia="Times New Roman" w:cstheme="majorHAnsi"/>
          <w:szCs w:val="24"/>
          <w:lang w:val="ro-RO"/>
        </w:rPr>
        <w:t xml:space="preserve"> 2020</w:t>
      </w:r>
      <w:r w:rsidR="00E402E6">
        <w:rPr>
          <w:rFonts w:eastAsia="Times New Roman" w:cstheme="majorHAnsi"/>
          <w:szCs w:val="24"/>
          <w:lang w:val="ro-RO"/>
        </w:rPr>
        <w:t>,</w:t>
      </w:r>
      <w:r w:rsidRPr="00D45A87">
        <w:rPr>
          <w:rFonts w:eastAsia="Times New Roman" w:cstheme="majorHAnsi"/>
          <w:szCs w:val="24"/>
          <w:lang w:val="ro-RO"/>
        </w:rPr>
        <w:t xml:space="preserve"> ratele medii ponderate la VMS acceptate în cadrul licitațiilor au fost inferioare ratelor medii lunare pentru creditele acordate de sistemul bancar, </w:t>
      </w:r>
      <w:r w:rsidR="00E61DD3">
        <w:rPr>
          <w:rFonts w:eastAsia="Times New Roman" w:cstheme="majorHAnsi"/>
          <w:szCs w:val="24"/>
          <w:lang w:val="ro-RO"/>
        </w:rPr>
        <w:t>dar</w:t>
      </w:r>
      <w:r w:rsidRPr="00D45A87">
        <w:rPr>
          <w:rFonts w:eastAsia="Times New Roman" w:cstheme="majorHAnsi"/>
          <w:szCs w:val="24"/>
          <w:lang w:val="ro-RO"/>
        </w:rPr>
        <w:t xml:space="preserve"> </w:t>
      </w:r>
      <w:r w:rsidR="00E61DD3">
        <w:rPr>
          <w:rFonts w:eastAsia="Times New Roman" w:cstheme="majorHAnsi"/>
          <w:szCs w:val="24"/>
          <w:lang w:val="ro-RO"/>
        </w:rPr>
        <w:t xml:space="preserve">superioare </w:t>
      </w:r>
      <w:r w:rsidRPr="00D45A87">
        <w:rPr>
          <w:rFonts w:eastAsia="Times New Roman" w:cstheme="majorHAnsi"/>
          <w:szCs w:val="24"/>
          <w:lang w:val="ro-RO"/>
        </w:rPr>
        <w:t xml:space="preserve">ratelor de bază ale BNM (cu excepția lunii </w:t>
      </w:r>
      <w:r w:rsidR="008D1346">
        <w:rPr>
          <w:rFonts w:eastAsia="Times New Roman" w:cstheme="majorHAnsi"/>
          <w:szCs w:val="24"/>
          <w:lang w:val="ro-RO"/>
        </w:rPr>
        <w:t>februarie) și ratelor</w:t>
      </w:r>
      <w:r w:rsidRPr="00D45A87">
        <w:rPr>
          <w:rFonts w:eastAsia="Times New Roman" w:cstheme="majorHAnsi"/>
          <w:szCs w:val="24"/>
          <w:lang w:val="ro-RO"/>
        </w:rPr>
        <w:t xml:space="preserve"> medii lunare la depozite</w:t>
      </w:r>
      <w:r w:rsidR="008D1346">
        <w:rPr>
          <w:rFonts w:eastAsia="Times New Roman" w:cstheme="majorHAnsi"/>
          <w:szCs w:val="24"/>
          <w:lang w:val="ro-RO"/>
        </w:rPr>
        <w:t>.</w:t>
      </w:r>
    </w:p>
    <w:p w14:paraId="71598402" w14:textId="1FCFD425" w:rsidR="002B4A0F" w:rsidRPr="002B4A0F" w:rsidRDefault="00404FCB" w:rsidP="00FB1205">
      <w:pPr>
        <w:spacing w:line="276" w:lineRule="auto"/>
        <w:jc w:val="both"/>
        <w:rPr>
          <w:rFonts w:eastAsia="Times New Roman" w:cstheme="majorHAnsi"/>
          <w:szCs w:val="24"/>
          <w:lang w:val="ro-RO"/>
        </w:rPr>
      </w:pPr>
      <w:r>
        <w:rPr>
          <w:rFonts w:eastAsia="Times New Roman" w:cstheme="majorHAnsi"/>
          <w:szCs w:val="24"/>
          <w:lang w:val="ro-RO"/>
        </w:rPr>
        <w:t>Î</w:t>
      </w:r>
      <w:r w:rsidR="002B4A0F" w:rsidRPr="002B4A0F">
        <w:rPr>
          <w:rFonts w:eastAsia="Times New Roman" w:cstheme="majorHAnsi"/>
          <w:szCs w:val="24"/>
          <w:lang w:val="ro-RO"/>
        </w:rPr>
        <w:t>n conformitate cu Programul „Managementul datoriei de stat pe termen mediu (2020-2022)</w:t>
      </w:r>
      <w:r w:rsidR="00E402E6">
        <w:rPr>
          <w:rFonts w:eastAsia="Times New Roman" w:cstheme="majorHAnsi"/>
          <w:szCs w:val="24"/>
          <w:lang w:val="ro-RO"/>
        </w:rPr>
        <w:t>”</w:t>
      </w:r>
      <w:r w:rsidR="002B4A0F" w:rsidRPr="002B4A0F">
        <w:rPr>
          <w:rFonts w:eastAsia="Times New Roman" w:cstheme="majorHAnsi"/>
          <w:szCs w:val="24"/>
          <w:lang w:val="ro-RO"/>
        </w:rPr>
        <w:t xml:space="preserve">, unul din obiectivele specifice stabilite de MF a fost </w:t>
      </w:r>
      <w:r w:rsidR="002B4A0F" w:rsidRPr="00CC3E1D">
        <w:rPr>
          <w:rFonts w:eastAsia="Times New Roman" w:cstheme="majorHAnsi"/>
          <w:b/>
          <w:i/>
          <w:szCs w:val="24"/>
          <w:lang w:val="ro-RO"/>
        </w:rPr>
        <w:t>„dezvoltarea pieței interne a VMS”.</w:t>
      </w:r>
      <w:r w:rsidR="002B4A0F" w:rsidRPr="002B4A0F">
        <w:rPr>
          <w:rFonts w:eastAsia="Times New Roman" w:cstheme="majorHAnsi"/>
          <w:szCs w:val="24"/>
          <w:lang w:val="ro-RO"/>
        </w:rPr>
        <w:t xml:space="preserve"> </w:t>
      </w:r>
      <w:r w:rsidR="002B4A0F">
        <w:rPr>
          <w:rFonts w:eastAsia="Times New Roman" w:cstheme="majorHAnsi"/>
          <w:szCs w:val="24"/>
          <w:lang w:val="ro-RO"/>
        </w:rPr>
        <w:t>Astfel, printre a</w:t>
      </w:r>
      <w:r w:rsidR="002B4A0F" w:rsidRPr="002B4A0F">
        <w:rPr>
          <w:rFonts w:eastAsia="Times New Roman" w:cstheme="majorHAnsi"/>
          <w:szCs w:val="24"/>
          <w:lang w:val="ro-RO"/>
        </w:rPr>
        <w:t xml:space="preserve">cțiunile realizate de MF </w:t>
      </w:r>
      <w:r w:rsidR="00E402E6">
        <w:rPr>
          <w:rFonts w:eastAsia="Times New Roman" w:cstheme="majorHAnsi"/>
          <w:szCs w:val="24"/>
          <w:lang w:val="ro-RO"/>
        </w:rPr>
        <w:t>pentru</w:t>
      </w:r>
      <w:r w:rsidR="002B4A0F" w:rsidRPr="002B4A0F">
        <w:rPr>
          <w:rFonts w:eastAsia="Times New Roman" w:cstheme="majorHAnsi"/>
          <w:szCs w:val="24"/>
          <w:lang w:val="ro-RO"/>
        </w:rPr>
        <w:t xml:space="preserve"> realizarea acestui obiec</w:t>
      </w:r>
      <w:r w:rsidR="00E402E6">
        <w:rPr>
          <w:rFonts w:eastAsia="Times New Roman" w:cstheme="majorHAnsi"/>
          <w:szCs w:val="24"/>
          <w:lang w:val="ro-RO"/>
        </w:rPr>
        <w:t xml:space="preserve">tiv, </w:t>
      </w:r>
      <w:r w:rsidR="002B4A0F">
        <w:rPr>
          <w:rFonts w:eastAsia="Times New Roman" w:cstheme="majorHAnsi"/>
          <w:szCs w:val="24"/>
          <w:lang w:val="ro-RO"/>
        </w:rPr>
        <w:t>se evidențiază</w:t>
      </w:r>
      <w:r w:rsidR="002B4A0F" w:rsidRPr="002B4A0F">
        <w:rPr>
          <w:rFonts w:eastAsia="Times New Roman" w:cstheme="majorHAnsi"/>
          <w:szCs w:val="24"/>
          <w:lang w:val="ro-RO"/>
        </w:rPr>
        <w:t xml:space="preserve"> următoarele.</w:t>
      </w:r>
    </w:p>
    <w:p w14:paraId="122A479A" w14:textId="30D04BD6" w:rsidR="002B4A0F" w:rsidRPr="002B4A0F" w:rsidRDefault="002B4A0F" w:rsidP="00FB1205">
      <w:pPr>
        <w:tabs>
          <w:tab w:val="left" w:pos="284"/>
        </w:tabs>
        <w:spacing w:line="276" w:lineRule="auto"/>
        <w:jc w:val="both"/>
        <w:rPr>
          <w:rFonts w:eastAsia="Times New Roman" w:cstheme="majorHAnsi"/>
          <w:szCs w:val="24"/>
          <w:lang w:val="ro-RO"/>
        </w:rPr>
      </w:pPr>
      <w:r w:rsidRPr="002B4A0F">
        <w:rPr>
          <w:rFonts w:eastAsia="Times New Roman" w:cstheme="majorHAnsi"/>
          <w:szCs w:val="24"/>
          <w:lang w:val="ro-RO"/>
        </w:rPr>
        <w:t>1)</w:t>
      </w:r>
      <w:r w:rsidRPr="002B4A0F">
        <w:rPr>
          <w:rFonts w:eastAsia="Times New Roman" w:cstheme="majorHAnsi"/>
          <w:szCs w:val="24"/>
          <w:lang w:val="ro-RO"/>
        </w:rPr>
        <w:tab/>
        <w:t xml:space="preserve">În vederea extinderii maturității portofoliului datoriei de stat interne, MF a consultat opinia dealerilor primari referitor la disponibilitatea acestora și a clienților </w:t>
      </w:r>
      <w:r w:rsidR="00E402E6">
        <w:rPr>
          <w:rFonts w:eastAsia="Times New Roman" w:cstheme="majorHAnsi"/>
          <w:szCs w:val="24"/>
          <w:lang w:val="ro-RO"/>
        </w:rPr>
        <w:t>lor</w:t>
      </w:r>
      <w:r w:rsidRPr="002B4A0F">
        <w:rPr>
          <w:rFonts w:eastAsia="Times New Roman" w:cstheme="majorHAnsi"/>
          <w:szCs w:val="24"/>
          <w:lang w:val="ro-RO"/>
        </w:rPr>
        <w:t xml:space="preserve"> de a investi în instrumente financiare pe termen lung (7-10 ani). Emisiunea obligațiunilor de stat cu maturitatea de 7 ani urmează a fi examinată pe parcursul anului 2021, în funcție de cererea pieței.</w:t>
      </w:r>
    </w:p>
    <w:p w14:paraId="7B09909F" w14:textId="72A2E8FC" w:rsidR="002B4A0F" w:rsidRPr="002B4A0F" w:rsidRDefault="002B4A0F" w:rsidP="00FB1205">
      <w:pPr>
        <w:tabs>
          <w:tab w:val="left" w:pos="284"/>
        </w:tabs>
        <w:spacing w:line="276" w:lineRule="auto"/>
        <w:jc w:val="both"/>
        <w:rPr>
          <w:rFonts w:eastAsia="Times New Roman" w:cstheme="majorHAnsi"/>
          <w:szCs w:val="24"/>
          <w:lang w:val="ro-RO"/>
        </w:rPr>
      </w:pPr>
      <w:r w:rsidRPr="002B4A0F">
        <w:rPr>
          <w:rFonts w:eastAsia="Times New Roman" w:cstheme="majorHAnsi"/>
          <w:szCs w:val="24"/>
          <w:lang w:val="ro-RO"/>
        </w:rPr>
        <w:t>2)</w:t>
      </w:r>
      <w:r w:rsidRPr="002B4A0F">
        <w:rPr>
          <w:rFonts w:eastAsia="Times New Roman" w:cstheme="majorHAnsi"/>
          <w:szCs w:val="24"/>
          <w:lang w:val="ro-RO"/>
        </w:rPr>
        <w:tab/>
        <w:t>Totodată, pentru a realiza un profil mai uniform al rambursării datoriei, pe parcursul anului 2020, MF, în procesul de emisiune a VMS pe piața primară, a ținut cont de necesitățile de fin</w:t>
      </w:r>
      <w:r w:rsidR="00E402E6">
        <w:rPr>
          <w:rFonts w:eastAsia="Times New Roman" w:cstheme="majorHAnsi"/>
          <w:szCs w:val="24"/>
          <w:lang w:val="ro-RO"/>
        </w:rPr>
        <w:t>anțare ale bugetului de stat, câ</w:t>
      </w:r>
      <w:r w:rsidRPr="002B4A0F">
        <w:rPr>
          <w:rFonts w:eastAsia="Times New Roman" w:cstheme="majorHAnsi"/>
          <w:szCs w:val="24"/>
          <w:lang w:val="ro-RO"/>
        </w:rPr>
        <w:t>t și de profi</w:t>
      </w:r>
      <w:r w:rsidR="00E402E6">
        <w:rPr>
          <w:rFonts w:eastAsia="Times New Roman" w:cstheme="majorHAnsi"/>
          <w:szCs w:val="24"/>
          <w:lang w:val="ro-RO"/>
        </w:rPr>
        <w:t>lul de răscumpărare a VMS, evitâ</w:t>
      </w:r>
      <w:r w:rsidRPr="002B4A0F">
        <w:rPr>
          <w:rFonts w:eastAsia="Times New Roman" w:cstheme="majorHAnsi"/>
          <w:szCs w:val="24"/>
          <w:lang w:val="ro-RO"/>
        </w:rPr>
        <w:t>nd concentrarea în perioadele viitoare a răscumpărării unor volume considerabile de VMS.</w:t>
      </w:r>
    </w:p>
    <w:p w14:paraId="11C10203" w14:textId="660F9B02" w:rsidR="00CC3E1D" w:rsidRPr="000473B0" w:rsidRDefault="00CC3E1D" w:rsidP="00FB1205">
      <w:pPr>
        <w:tabs>
          <w:tab w:val="left" w:pos="851"/>
        </w:tabs>
        <w:spacing w:line="276" w:lineRule="auto"/>
        <w:jc w:val="both"/>
        <w:rPr>
          <w:rFonts w:eastAsia="Times New Roman" w:cstheme="majorHAnsi"/>
          <w:szCs w:val="24"/>
          <w:lang w:val="ro-RO"/>
        </w:rPr>
      </w:pPr>
      <w:r w:rsidRPr="000473B0">
        <w:rPr>
          <w:rFonts w:eastAsia="Times New Roman" w:cstheme="majorHAnsi"/>
          <w:szCs w:val="24"/>
          <w:lang w:val="ro-RO"/>
        </w:rPr>
        <w:t xml:space="preserve">3) </w:t>
      </w:r>
      <w:r>
        <w:rPr>
          <w:rFonts w:eastAsia="Times New Roman" w:cstheme="majorHAnsi"/>
          <w:szCs w:val="24"/>
          <w:lang w:val="ro-RO"/>
        </w:rPr>
        <w:t xml:space="preserve">Una din acțiunile realizate de MF a fost și </w:t>
      </w:r>
      <w:r w:rsidRPr="000473B0">
        <w:rPr>
          <w:rFonts w:eastAsia="Times New Roman" w:cstheme="majorHAnsi"/>
          <w:szCs w:val="24"/>
          <w:lang w:val="ro-RO"/>
        </w:rPr>
        <w:t xml:space="preserve">asigurarea unui grad de transparență și predictibiltate a pieței VMS, </w:t>
      </w:r>
      <w:r>
        <w:rPr>
          <w:rFonts w:eastAsia="Times New Roman" w:cstheme="majorHAnsi"/>
          <w:szCs w:val="24"/>
          <w:lang w:val="ro-RO"/>
        </w:rPr>
        <w:t>prin</w:t>
      </w:r>
      <w:r w:rsidRPr="000473B0">
        <w:rPr>
          <w:rFonts w:eastAsia="Times New Roman" w:cstheme="majorHAnsi"/>
          <w:szCs w:val="24"/>
          <w:lang w:val="ro-RO"/>
        </w:rPr>
        <w:t xml:space="preserve"> publica</w:t>
      </w:r>
      <w:r>
        <w:rPr>
          <w:rFonts w:eastAsia="Times New Roman" w:cstheme="majorHAnsi"/>
          <w:szCs w:val="24"/>
          <w:lang w:val="ro-RO"/>
        </w:rPr>
        <w:t xml:space="preserve">rea </w:t>
      </w:r>
      <w:r w:rsidRPr="000473B0">
        <w:rPr>
          <w:rFonts w:eastAsia="Times New Roman" w:cstheme="majorHAnsi"/>
          <w:szCs w:val="24"/>
          <w:lang w:val="ro-RO"/>
        </w:rPr>
        <w:t xml:space="preserve">pe pagina sa oficială </w:t>
      </w:r>
      <w:r>
        <w:rPr>
          <w:rFonts w:eastAsia="Times New Roman" w:cstheme="majorHAnsi"/>
          <w:szCs w:val="24"/>
          <w:lang w:val="ro-RO"/>
        </w:rPr>
        <w:t xml:space="preserve">a </w:t>
      </w:r>
      <w:r w:rsidRPr="000473B0">
        <w:rPr>
          <w:rFonts w:eastAsia="Times New Roman" w:cstheme="majorHAnsi"/>
          <w:szCs w:val="24"/>
          <w:lang w:val="ro-RO"/>
        </w:rPr>
        <w:t>informații</w:t>
      </w:r>
      <w:r>
        <w:rPr>
          <w:rFonts w:eastAsia="Times New Roman" w:cstheme="majorHAnsi"/>
          <w:szCs w:val="24"/>
          <w:lang w:val="ro-RO"/>
        </w:rPr>
        <w:t>lor aferente</w:t>
      </w:r>
      <w:r w:rsidRPr="000473B0">
        <w:rPr>
          <w:rFonts w:eastAsia="Times New Roman" w:cstheme="majorHAnsi"/>
          <w:szCs w:val="24"/>
          <w:lang w:val="ro-RO"/>
        </w:rPr>
        <w:t xml:space="preserve">. Iar în vederea consolidării comunicării cu participanții pe piața VMS, </w:t>
      </w:r>
      <w:r>
        <w:rPr>
          <w:rFonts w:eastAsia="Times New Roman" w:cstheme="majorHAnsi"/>
          <w:szCs w:val="24"/>
          <w:lang w:val="ro-RO"/>
        </w:rPr>
        <w:t xml:space="preserve">MF </w:t>
      </w:r>
      <w:r w:rsidRPr="000473B0">
        <w:rPr>
          <w:rFonts w:eastAsia="Times New Roman" w:cstheme="majorHAnsi"/>
          <w:szCs w:val="24"/>
          <w:lang w:val="ro-RO"/>
        </w:rPr>
        <w:t xml:space="preserve">a organizat întrevederi </w:t>
      </w:r>
      <w:r w:rsidR="002A4EC8" w:rsidRPr="000473B0">
        <w:rPr>
          <w:rFonts w:eastAsia="Times New Roman" w:cstheme="majorHAnsi"/>
          <w:szCs w:val="24"/>
          <w:lang w:val="ro-RO"/>
        </w:rPr>
        <w:t xml:space="preserve">online </w:t>
      </w:r>
      <w:r w:rsidRPr="000473B0">
        <w:rPr>
          <w:rFonts w:eastAsia="Times New Roman" w:cstheme="majorHAnsi"/>
          <w:szCs w:val="24"/>
          <w:lang w:val="ro-RO"/>
        </w:rPr>
        <w:t xml:space="preserve">cu dealerii primari, </w:t>
      </w:r>
      <w:r w:rsidR="00AB1629">
        <w:rPr>
          <w:rFonts w:eastAsia="Times New Roman" w:cstheme="majorHAnsi"/>
          <w:szCs w:val="24"/>
          <w:lang w:val="ro-RO"/>
        </w:rPr>
        <w:t xml:space="preserve">precum și a realizat </w:t>
      </w:r>
      <w:r w:rsidRPr="000473B0">
        <w:rPr>
          <w:rFonts w:eastAsia="Times New Roman" w:cstheme="majorHAnsi"/>
          <w:szCs w:val="24"/>
          <w:lang w:val="ro-RO"/>
        </w:rPr>
        <w:t xml:space="preserve">acțiuni de monitorizare și evaluare a performanțelor </w:t>
      </w:r>
      <w:r w:rsidR="00AB1629">
        <w:rPr>
          <w:rFonts w:eastAsia="Times New Roman" w:cstheme="majorHAnsi"/>
          <w:szCs w:val="24"/>
          <w:lang w:val="ro-RO"/>
        </w:rPr>
        <w:t>acestora</w:t>
      </w:r>
      <w:r w:rsidRPr="000473B0">
        <w:rPr>
          <w:rFonts w:eastAsia="Times New Roman" w:cstheme="majorHAnsi"/>
          <w:szCs w:val="24"/>
          <w:lang w:val="ro-RO"/>
        </w:rPr>
        <w:t xml:space="preserve"> pentru anul 2019 și trimestrele I-III ale anului 2020.</w:t>
      </w:r>
    </w:p>
    <w:p w14:paraId="25905D1B" w14:textId="4D8A6EE6" w:rsidR="000E698C" w:rsidRPr="009B5172" w:rsidRDefault="00CC3E1D" w:rsidP="007233CF">
      <w:pPr>
        <w:pStyle w:val="af3"/>
        <w:spacing w:after="240" w:line="276" w:lineRule="auto"/>
        <w:jc w:val="both"/>
        <w:rPr>
          <w:rFonts w:asciiTheme="majorHAnsi" w:hAnsiTheme="majorHAnsi" w:cstheme="majorHAnsi"/>
          <w:i/>
          <w:sz w:val="20"/>
          <w:szCs w:val="20"/>
          <w:lang w:val="ro-MD" w:eastAsia="ru-RU"/>
        </w:rPr>
      </w:pPr>
      <w:r>
        <w:rPr>
          <w:rFonts w:asciiTheme="majorHAnsi" w:hAnsiTheme="majorHAnsi" w:cstheme="majorHAnsi"/>
          <w:sz w:val="24"/>
          <w:szCs w:val="24"/>
          <w:lang w:val="ro-MD" w:eastAsia="ru-RU"/>
        </w:rPr>
        <w:t>Verificările de audit relevă că,</w:t>
      </w:r>
      <w:r w:rsidR="002B4A0F" w:rsidRPr="002B4A0F">
        <w:rPr>
          <w:rFonts w:asciiTheme="majorHAnsi" w:hAnsiTheme="majorHAnsi" w:cstheme="majorHAnsi"/>
          <w:sz w:val="24"/>
          <w:szCs w:val="24"/>
          <w:lang w:val="ro-MD" w:eastAsia="ru-RU"/>
        </w:rPr>
        <w:t xml:space="preserve"> p</w:t>
      </w:r>
      <w:r w:rsidR="00B9729D" w:rsidRPr="002B4A0F">
        <w:rPr>
          <w:rFonts w:asciiTheme="majorHAnsi" w:hAnsiTheme="majorHAnsi" w:cstheme="majorHAnsi"/>
          <w:sz w:val="24"/>
          <w:szCs w:val="24"/>
          <w:lang w:val="ro-MD" w:eastAsia="ru-RU"/>
        </w:rPr>
        <w:t>entru</w:t>
      </w:r>
      <w:r w:rsidR="00B9729D" w:rsidRPr="000F7110">
        <w:rPr>
          <w:rFonts w:asciiTheme="majorHAnsi" w:hAnsiTheme="majorHAnsi" w:cstheme="majorHAnsi"/>
          <w:sz w:val="24"/>
          <w:szCs w:val="24"/>
          <w:lang w:val="ro-MD" w:eastAsia="ru-RU"/>
        </w:rPr>
        <w:t xml:space="preserve"> anul 20</w:t>
      </w:r>
      <w:r w:rsidR="008D1346" w:rsidRPr="000F7110">
        <w:rPr>
          <w:rFonts w:asciiTheme="majorHAnsi" w:hAnsiTheme="majorHAnsi" w:cstheme="majorHAnsi"/>
          <w:sz w:val="24"/>
          <w:szCs w:val="24"/>
          <w:lang w:val="ro-MD" w:eastAsia="ru-RU"/>
        </w:rPr>
        <w:t>20</w:t>
      </w:r>
      <w:r w:rsidR="000B3AAE" w:rsidRPr="000F7110">
        <w:rPr>
          <w:rFonts w:asciiTheme="majorHAnsi" w:hAnsiTheme="majorHAnsi" w:cstheme="majorHAnsi"/>
          <w:sz w:val="24"/>
          <w:szCs w:val="24"/>
          <w:lang w:val="ro-MD" w:eastAsia="ru-RU"/>
        </w:rPr>
        <w:t>, MF a elaborat</w:t>
      </w:r>
      <w:r w:rsidR="00B9729D" w:rsidRPr="000F7110">
        <w:rPr>
          <w:rFonts w:asciiTheme="majorHAnsi" w:hAnsiTheme="majorHAnsi" w:cstheme="majorHAnsi"/>
          <w:sz w:val="24"/>
          <w:szCs w:val="24"/>
          <w:lang w:val="ro-MD" w:eastAsia="ru-RU"/>
        </w:rPr>
        <w:t xml:space="preserve"> Calendarele desfășurării licitațiilor de vânzare a </w:t>
      </w:r>
      <w:r w:rsidR="00B9729D" w:rsidRPr="001E2BC3">
        <w:rPr>
          <w:rFonts w:asciiTheme="majorHAnsi" w:hAnsiTheme="majorHAnsi" w:cstheme="majorHAnsi"/>
          <w:sz w:val="24"/>
          <w:szCs w:val="24"/>
          <w:lang w:val="ro-MD" w:eastAsia="ru-RU"/>
        </w:rPr>
        <w:t xml:space="preserve">VMS </w:t>
      </w:r>
      <w:r w:rsidR="00421B4C" w:rsidRPr="001E2BC3">
        <w:rPr>
          <w:rFonts w:asciiTheme="majorHAnsi" w:hAnsiTheme="majorHAnsi" w:cstheme="majorHAnsi"/>
          <w:sz w:val="24"/>
          <w:szCs w:val="24"/>
          <w:lang w:val="ro-MD" w:eastAsia="ru-RU"/>
        </w:rPr>
        <w:t>emise pe piața primară</w:t>
      </w:r>
      <w:r w:rsidR="00421B4C" w:rsidRPr="000F7110">
        <w:rPr>
          <w:rFonts w:asciiTheme="majorHAnsi" w:hAnsiTheme="majorHAnsi" w:cstheme="majorHAnsi"/>
          <w:sz w:val="24"/>
          <w:szCs w:val="24"/>
          <w:lang w:val="ro-MD" w:eastAsia="ru-RU"/>
        </w:rPr>
        <w:t xml:space="preserve"> sub</w:t>
      </w:r>
      <w:r w:rsidR="00B9729D" w:rsidRPr="000F7110">
        <w:rPr>
          <w:rFonts w:asciiTheme="majorHAnsi" w:hAnsiTheme="majorHAnsi" w:cstheme="majorHAnsi"/>
          <w:sz w:val="24"/>
          <w:szCs w:val="24"/>
          <w:lang w:val="ro-MD" w:eastAsia="ru-RU"/>
        </w:rPr>
        <w:t xml:space="preserve"> formă de îns</w:t>
      </w:r>
      <w:r w:rsidR="002A4EC8">
        <w:rPr>
          <w:rFonts w:asciiTheme="majorHAnsi" w:hAnsiTheme="majorHAnsi" w:cstheme="majorHAnsi"/>
          <w:sz w:val="24"/>
          <w:szCs w:val="24"/>
          <w:lang w:val="ro-MD" w:eastAsia="ru-RU"/>
        </w:rPr>
        <w:t>crieri în cont pentru t</w:t>
      </w:r>
      <w:r w:rsidR="000B3AAE" w:rsidRPr="000F7110">
        <w:rPr>
          <w:rFonts w:asciiTheme="majorHAnsi" w:hAnsiTheme="majorHAnsi" w:cstheme="majorHAnsi"/>
          <w:sz w:val="24"/>
          <w:szCs w:val="24"/>
          <w:lang w:val="ro-MD" w:eastAsia="ru-RU"/>
        </w:rPr>
        <w:t>rimestrele</w:t>
      </w:r>
      <w:r w:rsidR="00B9729D" w:rsidRPr="000F7110">
        <w:rPr>
          <w:rFonts w:asciiTheme="majorHAnsi" w:hAnsiTheme="majorHAnsi" w:cstheme="majorHAnsi"/>
          <w:sz w:val="24"/>
          <w:szCs w:val="24"/>
          <w:lang w:val="ro-MD" w:eastAsia="ru-RU"/>
        </w:rPr>
        <w:t xml:space="preserve"> I, II, III și IV. Conform acestora, MF </w:t>
      </w:r>
      <w:r w:rsidR="00381AAA">
        <w:rPr>
          <w:rFonts w:asciiTheme="majorHAnsi" w:hAnsiTheme="majorHAnsi" w:cstheme="majorHAnsi"/>
          <w:sz w:val="24"/>
          <w:szCs w:val="24"/>
          <w:lang w:val="ro-MD" w:eastAsia="ru-RU"/>
        </w:rPr>
        <w:t>a organizat</w:t>
      </w:r>
      <w:r w:rsidR="00032048">
        <w:rPr>
          <w:rFonts w:asciiTheme="majorHAnsi" w:hAnsiTheme="majorHAnsi" w:cstheme="majorHAnsi"/>
          <w:sz w:val="24"/>
          <w:szCs w:val="24"/>
          <w:lang w:val="ro-MD" w:eastAsia="ru-RU"/>
        </w:rPr>
        <w:t xml:space="preserve"> </w:t>
      </w:r>
      <w:r w:rsidR="00381AAA">
        <w:rPr>
          <w:rFonts w:asciiTheme="majorHAnsi" w:hAnsiTheme="majorHAnsi" w:cstheme="majorHAnsi"/>
          <w:sz w:val="24"/>
          <w:szCs w:val="24"/>
          <w:lang w:val="ro-MD" w:eastAsia="ru-RU"/>
        </w:rPr>
        <w:t xml:space="preserve">48 </w:t>
      </w:r>
      <w:r w:rsidR="002A4EC8">
        <w:rPr>
          <w:rFonts w:asciiTheme="majorHAnsi" w:hAnsiTheme="majorHAnsi" w:cstheme="majorHAnsi"/>
          <w:sz w:val="24"/>
          <w:szCs w:val="24"/>
          <w:lang w:val="ro-MD" w:eastAsia="ru-RU"/>
        </w:rPr>
        <w:t xml:space="preserve">de </w:t>
      </w:r>
      <w:r w:rsidR="00381AAA">
        <w:rPr>
          <w:rFonts w:asciiTheme="majorHAnsi" w:hAnsiTheme="majorHAnsi" w:cstheme="majorHAnsi"/>
          <w:sz w:val="24"/>
          <w:szCs w:val="24"/>
          <w:lang w:val="ro-MD" w:eastAsia="ru-RU"/>
        </w:rPr>
        <w:t xml:space="preserve">licitații de vânzare a VMS, </w:t>
      </w:r>
      <w:r w:rsidR="00B9729D" w:rsidRPr="000F7110">
        <w:rPr>
          <w:rFonts w:asciiTheme="majorHAnsi" w:hAnsiTheme="majorHAnsi" w:cstheme="majorHAnsi"/>
          <w:sz w:val="24"/>
          <w:szCs w:val="24"/>
          <w:lang w:val="ro-MD" w:eastAsia="ru-RU"/>
        </w:rPr>
        <w:t xml:space="preserve"> </w:t>
      </w:r>
      <w:r w:rsidR="00381AAA">
        <w:rPr>
          <w:rFonts w:asciiTheme="majorHAnsi" w:hAnsiTheme="majorHAnsi" w:cstheme="majorHAnsi"/>
          <w:sz w:val="24"/>
          <w:szCs w:val="24"/>
          <w:lang w:val="ro-MD" w:eastAsia="ru-RU"/>
        </w:rPr>
        <w:t xml:space="preserve">fiind </w:t>
      </w:r>
      <w:r w:rsidR="00381AAA" w:rsidRPr="00343B8D">
        <w:rPr>
          <w:rFonts w:asciiTheme="majorHAnsi" w:hAnsiTheme="majorHAnsi" w:cstheme="majorHAnsi"/>
          <w:sz w:val="24"/>
          <w:szCs w:val="24"/>
          <w:lang w:val="ro-MD" w:eastAsia="ru-RU"/>
        </w:rPr>
        <w:t>oferite spre plasare VMS în sumă de</w:t>
      </w:r>
      <w:r w:rsidR="00381AAA">
        <w:rPr>
          <w:rFonts w:asciiTheme="majorHAnsi" w:hAnsiTheme="majorHAnsi" w:cstheme="majorHAnsi"/>
          <w:sz w:val="24"/>
          <w:szCs w:val="24"/>
          <w:lang w:val="ro-MD" w:eastAsia="ru-RU"/>
        </w:rPr>
        <w:t xml:space="preserve"> </w:t>
      </w:r>
      <w:r w:rsidR="00E91380">
        <w:rPr>
          <w:rFonts w:asciiTheme="majorHAnsi" w:hAnsiTheme="majorHAnsi" w:cstheme="majorHAnsi"/>
          <w:sz w:val="24"/>
          <w:szCs w:val="24"/>
          <w:lang w:val="ro-MD" w:eastAsia="ru-RU"/>
        </w:rPr>
        <w:t>17 140,0 mil.</w:t>
      </w:r>
      <w:r w:rsidR="00381AAA" w:rsidRPr="00343B8D">
        <w:rPr>
          <w:rFonts w:asciiTheme="majorHAnsi" w:hAnsiTheme="majorHAnsi" w:cstheme="majorHAnsi"/>
          <w:sz w:val="24"/>
          <w:szCs w:val="24"/>
          <w:lang w:val="ro-MD" w:eastAsia="ru-RU"/>
        </w:rPr>
        <w:t>lei</w:t>
      </w:r>
      <w:r w:rsidR="00381AAA">
        <w:rPr>
          <w:rFonts w:asciiTheme="majorHAnsi" w:hAnsiTheme="majorHAnsi" w:cstheme="majorHAnsi"/>
          <w:sz w:val="24"/>
          <w:szCs w:val="24"/>
          <w:lang w:val="ro-MD" w:eastAsia="ru-RU"/>
        </w:rPr>
        <w:t xml:space="preserve">. Volumul </w:t>
      </w:r>
      <w:r w:rsidR="00343B8D" w:rsidRPr="00343B8D">
        <w:rPr>
          <w:rFonts w:asciiTheme="majorHAnsi" w:hAnsiTheme="majorHAnsi" w:cstheme="majorHAnsi"/>
          <w:sz w:val="24"/>
          <w:szCs w:val="24"/>
          <w:lang w:val="ro-MD" w:eastAsia="ru-RU"/>
        </w:rPr>
        <w:t>cererilor depuse la VMS a con</w:t>
      </w:r>
      <w:r w:rsidR="00343B8D" w:rsidRPr="00343B8D">
        <w:rPr>
          <w:rFonts w:asciiTheme="majorHAnsi" w:hAnsiTheme="majorHAnsi" w:cstheme="majorHAnsi"/>
          <w:sz w:val="24"/>
          <w:szCs w:val="24"/>
          <w:lang w:val="ro-MD" w:eastAsia="ru-RU"/>
        </w:rPr>
        <w:lastRenderedPageBreak/>
        <w:t>stituit 22 792,1</w:t>
      </w:r>
      <w:r w:rsidR="00D51EEB" w:rsidRPr="00343B8D">
        <w:rPr>
          <w:rFonts w:asciiTheme="majorHAnsi" w:hAnsiTheme="majorHAnsi" w:cstheme="majorHAnsi"/>
          <w:sz w:val="24"/>
          <w:szCs w:val="24"/>
          <w:lang w:val="ro-MD" w:eastAsia="ru-RU"/>
        </w:rPr>
        <w:t xml:space="preserve"> </w:t>
      </w:r>
      <w:r w:rsidR="00E91380">
        <w:rPr>
          <w:rFonts w:asciiTheme="majorHAnsi" w:hAnsiTheme="majorHAnsi" w:cstheme="majorHAnsi"/>
          <w:sz w:val="24"/>
          <w:szCs w:val="24"/>
          <w:lang w:val="ro-MD" w:eastAsia="ru-RU"/>
        </w:rPr>
        <w:t>mil.</w:t>
      </w:r>
      <w:r w:rsidR="009B5172" w:rsidRPr="00343B8D">
        <w:rPr>
          <w:rFonts w:asciiTheme="majorHAnsi" w:hAnsiTheme="majorHAnsi" w:cstheme="majorHAnsi"/>
          <w:sz w:val="24"/>
          <w:szCs w:val="24"/>
          <w:lang w:val="ro-MD" w:eastAsia="ru-RU"/>
        </w:rPr>
        <w:t>lei</w:t>
      </w:r>
      <w:r w:rsidR="00D51EEB" w:rsidRPr="00343B8D">
        <w:rPr>
          <w:rFonts w:asciiTheme="majorHAnsi" w:hAnsiTheme="majorHAnsi" w:cstheme="majorHAnsi"/>
          <w:sz w:val="24"/>
          <w:szCs w:val="24"/>
          <w:lang w:val="ro-MD" w:eastAsia="ru-RU"/>
        </w:rPr>
        <w:t xml:space="preserve">, sau cu </w:t>
      </w:r>
      <w:r w:rsidR="00343B8D" w:rsidRPr="00343B8D">
        <w:rPr>
          <w:rFonts w:asciiTheme="majorHAnsi" w:hAnsiTheme="majorHAnsi" w:cstheme="majorHAnsi"/>
          <w:sz w:val="24"/>
          <w:szCs w:val="24"/>
          <w:lang w:val="ro-MD" w:eastAsia="ru-RU"/>
        </w:rPr>
        <w:t>5 652,1</w:t>
      </w:r>
      <w:r w:rsidR="00D51EEB" w:rsidRPr="00343B8D">
        <w:rPr>
          <w:rFonts w:asciiTheme="majorHAnsi" w:hAnsiTheme="majorHAnsi" w:cstheme="majorHAnsi"/>
          <w:sz w:val="24"/>
          <w:szCs w:val="24"/>
          <w:lang w:val="ro-MD" w:eastAsia="ru-RU"/>
        </w:rPr>
        <w:t xml:space="preserve"> </w:t>
      </w:r>
      <w:r w:rsidR="00E91380">
        <w:rPr>
          <w:rFonts w:asciiTheme="majorHAnsi" w:hAnsiTheme="majorHAnsi" w:cstheme="majorHAnsi"/>
          <w:sz w:val="24"/>
          <w:szCs w:val="24"/>
          <w:lang w:val="ro-MD" w:eastAsia="ru-RU"/>
        </w:rPr>
        <w:t>mil.</w:t>
      </w:r>
      <w:r w:rsidR="009B5172" w:rsidRPr="00343B8D">
        <w:rPr>
          <w:rFonts w:asciiTheme="majorHAnsi" w:hAnsiTheme="majorHAnsi" w:cstheme="majorHAnsi"/>
          <w:sz w:val="24"/>
          <w:szCs w:val="24"/>
          <w:lang w:val="ro-MD" w:eastAsia="ru-RU"/>
        </w:rPr>
        <w:t>lei</w:t>
      </w:r>
      <w:r w:rsidR="00D51EEB" w:rsidRPr="00343B8D">
        <w:rPr>
          <w:rFonts w:asciiTheme="majorHAnsi" w:hAnsiTheme="majorHAnsi" w:cstheme="majorHAnsi"/>
          <w:sz w:val="24"/>
          <w:szCs w:val="24"/>
          <w:lang w:val="ro-MD" w:eastAsia="ru-RU"/>
        </w:rPr>
        <w:t xml:space="preserve"> mai mult decât oferta. </w:t>
      </w:r>
      <w:r w:rsidR="00381AAA">
        <w:rPr>
          <w:rFonts w:asciiTheme="majorHAnsi" w:hAnsiTheme="majorHAnsi" w:cstheme="majorHAnsi"/>
          <w:sz w:val="24"/>
          <w:szCs w:val="24"/>
          <w:lang w:val="ro-MD" w:eastAsia="ru-RU"/>
        </w:rPr>
        <w:t>Ca rezultat</w:t>
      </w:r>
      <w:r w:rsidR="002A4EC8">
        <w:rPr>
          <w:rFonts w:asciiTheme="majorHAnsi" w:hAnsiTheme="majorHAnsi" w:cstheme="majorHAnsi"/>
          <w:sz w:val="24"/>
          <w:szCs w:val="24"/>
          <w:lang w:val="ro-MD" w:eastAsia="ru-RU"/>
        </w:rPr>
        <w:t>,</w:t>
      </w:r>
      <w:r w:rsidR="00381AAA">
        <w:rPr>
          <w:rFonts w:asciiTheme="majorHAnsi" w:hAnsiTheme="majorHAnsi" w:cstheme="majorHAnsi"/>
          <w:sz w:val="24"/>
          <w:szCs w:val="24"/>
          <w:lang w:val="ro-MD" w:eastAsia="ru-RU"/>
        </w:rPr>
        <w:t xml:space="preserve"> au fost </w:t>
      </w:r>
      <w:r w:rsidR="00381AAA" w:rsidRPr="00343B8D">
        <w:rPr>
          <w:rFonts w:asciiTheme="majorHAnsi" w:hAnsiTheme="majorHAnsi" w:cstheme="majorHAnsi"/>
          <w:sz w:val="24"/>
          <w:szCs w:val="24"/>
          <w:lang w:val="ro-MD" w:eastAsia="ru-RU"/>
        </w:rPr>
        <w:t xml:space="preserve">comercializate </w:t>
      </w:r>
      <w:r w:rsidR="00D51EEB" w:rsidRPr="00343B8D">
        <w:rPr>
          <w:rFonts w:asciiTheme="majorHAnsi" w:hAnsiTheme="majorHAnsi" w:cstheme="majorHAnsi"/>
          <w:sz w:val="24"/>
          <w:szCs w:val="24"/>
          <w:lang w:val="ro-MD" w:eastAsia="ru-RU"/>
        </w:rPr>
        <w:t xml:space="preserve">VMS </w:t>
      </w:r>
      <w:r w:rsidR="00381AAA">
        <w:rPr>
          <w:rFonts w:asciiTheme="majorHAnsi" w:hAnsiTheme="majorHAnsi" w:cstheme="majorHAnsi"/>
          <w:sz w:val="24"/>
          <w:szCs w:val="24"/>
          <w:lang w:val="ro-MD" w:eastAsia="ru-RU"/>
        </w:rPr>
        <w:t>în sumă de</w:t>
      </w:r>
      <w:r w:rsidR="00343B8D" w:rsidRPr="00343B8D">
        <w:rPr>
          <w:rFonts w:asciiTheme="majorHAnsi" w:hAnsiTheme="majorHAnsi" w:cstheme="majorHAnsi"/>
          <w:sz w:val="24"/>
          <w:szCs w:val="24"/>
          <w:lang w:val="ro-MD" w:eastAsia="ru-RU"/>
        </w:rPr>
        <w:t xml:space="preserve"> </w:t>
      </w:r>
      <w:r w:rsidR="00E64154">
        <w:rPr>
          <w:rFonts w:asciiTheme="majorHAnsi" w:hAnsiTheme="majorHAnsi" w:cstheme="majorHAnsi"/>
          <w:sz w:val="24"/>
          <w:szCs w:val="24"/>
          <w:lang w:val="ro-MD" w:eastAsia="ru-RU"/>
        </w:rPr>
        <w:t xml:space="preserve"> </w:t>
      </w:r>
      <w:r w:rsidR="00E91380">
        <w:rPr>
          <w:rFonts w:asciiTheme="majorHAnsi" w:hAnsiTheme="majorHAnsi" w:cstheme="majorHAnsi"/>
          <w:sz w:val="24"/>
          <w:szCs w:val="24"/>
          <w:lang w:val="ro-MD" w:eastAsia="ru-RU"/>
        </w:rPr>
        <w:t xml:space="preserve">             </w:t>
      </w:r>
      <w:r w:rsidR="00E64154">
        <w:rPr>
          <w:rFonts w:asciiTheme="majorHAnsi" w:hAnsiTheme="majorHAnsi" w:cstheme="majorHAnsi"/>
          <w:sz w:val="24"/>
          <w:szCs w:val="24"/>
          <w:lang w:val="ro-MD" w:eastAsia="ru-RU"/>
        </w:rPr>
        <w:t>18 064,1</w:t>
      </w:r>
      <w:r w:rsidR="00D51EEB" w:rsidRPr="00343B8D">
        <w:rPr>
          <w:rFonts w:asciiTheme="majorHAnsi" w:hAnsiTheme="majorHAnsi" w:cstheme="majorHAnsi"/>
          <w:sz w:val="24"/>
          <w:szCs w:val="24"/>
          <w:lang w:val="ro-MD" w:eastAsia="ru-RU"/>
        </w:rPr>
        <w:t xml:space="preserve"> </w:t>
      </w:r>
      <w:r w:rsidR="00E91380">
        <w:rPr>
          <w:rFonts w:asciiTheme="majorHAnsi" w:hAnsiTheme="majorHAnsi" w:cstheme="majorHAnsi"/>
          <w:sz w:val="24"/>
          <w:szCs w:val="24"/>
          <w:lang w:val="ro-MD" w:eastAsia="ru-RU"/>
        </w:rPr>
        <w:t>mil.</w:t>
      </w:r>
      <w:r w:rsidR="009B5172" w:rsidRPr="00343B8D">
        <w:rPr>
          <w:rFonts w:asciiTheme="majorHAnsi" w:hAnsiTheme="majorHAnsi" w:cstheme="majorHAnsi"/>
          <w:sz w:val="24"/>
          <w:szCs w:val="24"/>
          <w:lang w:val="ro-MD" w:eastAsia="ru-RU"/>
        </w:rPr>
        <w:t>lei</w:t>
      </w:r>
      <w:r w:rsidR="00E64154">
        <w:rPr>
          <w:rFonts w:asciiTheme="majorHAnsi" w:hAnsiTheme="majorHAnsi" w:cstheme="majorHAnsi"/>
          <w:sz w:val="24"/>
          <w:szCs w:val="24"/>
          <w:lang w:val="ro-MD" w:eastAsia="ru-RU"/>
        </w:rPr>
        <w:t xml:space="preserve"> (la valoarea nominală)</w:t>
      </w:r>
      <w:r w:rsidR="00D51EEB" w:rsidRPr="00343B8D">
        <w:rPr>
          <w:rFonts w:asciiTheme="majorHAnsi" w:hAnsiTheme="majorHAnsi" w:cstheme="majorHAnsi"/>
          <w:sz w:val="24"/>
          <w:szCs w:val="24"/>
          <w:lang w:val="ro-MD" w:eastAsia="ru-RU"/>
        </w:rPr>
        <w:t xml:space="preserve">, fiind în </w:t>
      </w:r>
      <w:r w:rsidR="00343B8D" w:rsidRPr="00343B8D">
        <w:rPr>
          <w:rFonts w:asciiTheme="majorHAnsi" w:hAnsiTheme="majorHAnsi" w:cstheme="majorHAnsi"/>
          <w:sz w:val="24"/>
          <w:szCs w:val="24"/>
          <w:lang w:val="ro-MD" w:eastAsia="ru-RU"/>
        </w:rPr>
        <w:t>creștere</w:t>
      </w:r>
      <w:r w:rsidR="00D51EEB" w:rsidRPr="00343B8D">
        <w:rPr>
          <w:rFonts w:asciiTheme="majorHAnsi" w:hAnsiTheme="majorHAnsi" w:cstheme="majorHAnsi"/>
          <w:sz w:val="24"/>
          <w:szCs w:val="24"/>
          <w:lang w:val="ro-MD" w:eastAsia="ru-RU"/>
        </w:rPr>
        <w:t xml:space="preserve"> cu </w:t>
      </w:r>
      <w:r w:rsidR="00343B8D" w:rsidRPr="00343B8D">
        <w:rPr>
          <w:rFonts w:asciiTheme="majorHAnsi" w:hAnsiTheme="majorHAnsi" w:cstheme="majorHAnsi"/>
          <w:sz w:val="24"/>
          <w:szCs w:val="24"/>
          <w:lang w:val="ro-MD" w:eastAsia="ru-RU"/>
        </w:rPr>
        <w:t xml:space="preserve">8 </w:t>
      </w:r>
      <w:r w:rsidR="00F03A37">
        <w:rPr>
          <w:rFonts w:asciiTheme="majorHAnsi" w:hAnsiTheme="majorHAnsi" w:cstheme="majorHAnsi"/>
          <w:sz w:val="24"/>
          <w:szCs w:val="24"/>
          <w:lang w:val="ro-MD" w:eastAsia="ru-RU"/>
        </w:rPr>
        <w:t>355</w:t>
      </w:r>
      <w:r w:rsidR="00343B8D" w:rsidRPr="00343B8D">
        <w:rPr>
          <w:rFonts w:asciiTheme="majorHAnsi" w:hAnsiTheme="majorHAnsi" w:cstheme="majorHAnsi"/>
          <w:sz w:val="24"/>
          <w:szCs w:val="24"/>
          <w:lang w:val="ro-MD" w:eastAsia="ru-RU"/>
        </w:rPr>
        <w:t>,</w:t>
      </w:r>
      <w:r w:rsidR="00F03A37">
        <w:rPr>
          <w:rFonts w:asciiTheme="majorHAnsi" w:hAnsiTheme="majorHAnsi" w:cstheme="majorHAnsi"/>
          <w:sz w:val="24"/>
          <w:szCs w:val="24"/>
          <w:lang w:val="ro-MD" w:eastAsia="ru-RU"/>
        </w:rPr>
        <w:t>5</w:t>
      </w:r>
      <w:r w:rsidR="00D51EEB" w:rsidRPr="00343B8D">
        <w:rPr>
          <w:rFonts w:asciiTheme="majorHAnsi" w:hAnsiTheme="majorHAnsi" w:cstheme="majorHAnsi"/>
          <w:sz w:val="24"/>
          <w:szCs w:val="24"/>
          <w:lang w:val="ro-MD" w:eastAsia="ru-RU"/>
        </w:rPr>
        <w:t xml:space="preserve"> </w:t>
      </w:r>
      <w:r w:rsidR="009B5172" w:rsidRPr="00343B8D">
        <w:rPr>
          <w:rFonts w:asciiTheme="majorHAnsi" w:hAnsiTheme="majorHAnsi" w:cstheme="majorHAnsi"/>
          <w:sz w:val="24"/>
          <w:szCs w:val="24"/>
          <w:lang w:val="ro-MD" w:eastAsia="ru-RU"/>
        </w:rPr>
        <w:t>mil. lei</w:t>
      </w:r>
      <w:r w:rsidR="00D51EEB" w:rsidRPr="00343B8D">
        <w:rPr>
          <w:rFonts w:asciiTheme="majorHAnsi" w:hAnsiTheme="majorHAnsi" w:cstheme="majorHAnsi"/>
          <w:sz w:val="24"/>
          <w:szCs w:val="24"/>
          <w:lang w:val="ro-MD" w:eastAsia="ru-RU"/>
        </w:rPr>
        <w:t xml:space="preserve"> față de volumul comercializat în anul 201</w:t>
      </w:r>
      <w:r w:rsidR="00343B8D" w:rsidRPr="00343B8D">
        <w:rPr>
          <w:rFonts w:asciiTheme="majorHAnsi" w:hAnsiTheme="majorHAnsi" w:cstheme="majorHAnsi"/>
          <w:sz w:val="24"/>
          <w:szCs w:val="24"/>
          <w:lang w:val="ro-MD" w:eastAsia="ru-RU"/>
        </w:rPr>
        <w:t>9</w:t>
      </w:r>
      <w:r w:rsidR="00D51EEB" w:rsidRPr="00343B8D">
        <w:rPr>
          <w:rFonts w:asciiTheme="majorHAnsi" w:hAnsiTheme="majorHAnsi" w:cstheme="majorHAnsi"/>
          <w:sz w:val="24"/>
          <w:szCs w:val="24"/>
          <w:lang w:val="ro-MD" w:eastAsia="ru-RU"/>
        </w:rPr>
        <w:t>.</w:t>
      </w:r>
      <w:r w:rsidR="004541F3" w:rsidRPr="00343B8D">
        <w:rPr>
          <w:rFonts w:asciiTheme="majorHAnsi" w:hAnsiTheme="majorHAnsi" w:cstheme="majorHAnsi"/>
          <w:sz w:val="24"/>
          <w:szCs w:val="24"/>
          <w:lang w:val="ro-MD" w:eastAsia="ru-RU"/>
        </w:rPr>
        <w:t xml:space="preserve"> </w:t>
      </w:r>
      <w:r w:rsidR="004541F3" w:rsidRPr="007233CF">
        <w:rPr>
          <w:rFonts w:asciiTheme="majorHAnsi" w:hAnsiTheme="majorHAnsi" w:cstheme="majorHAnsi"/>
          <w:i/>
          <w:sz w:val="24"/>
          <w:szCs w:val="24"/>
          <w:lang w:val="ro-MD" w:eastAsia="ru-RU"/>
        </w:rPr>
        <w:t>Informația privind comercializarea VMS pe piața primară în anul 20</w:t>
      </w:r>
      <w:r w:rsidR="00343B8D" w:rsidRPr="007233CF">
        <w:rPr>
          <w:rFonts w:asciiTheme="majorHAnsi" w:hAnsiTheme="majorHAnsi" w:cstheme="majorHAnsi"/>
          <w:i/>
          <w:sz w:val="24"/>
          <w:szCs w:val="24"/>
          <w:lang w:val="ro-MD" w:eastAsia="ru-RU"/>
        </w:rPr>
        <w:t>20</w:t>
      </w:r>
      <w:r w:rsidR="004541F3" w:rsidRPr="007233CF">
        <w:rPr>
          <w:rFonts w:asciiTheme="majorHAnsi" w:hAnsiTheme="majorHAnsi" w:cstheme="majorHAnsi"/>
          <w:i/>
          <w:sz w:val="24"/>
          <w:szCs w:val="24"/>
          <w:lang w:val="ro-MD" w:eastAsia="ru-RU"/>
        </w:rPr>
        <w:t xml:space="preserve"> se pre</w:t>
      </w:r>
      <w:r w:rsidR="00712FA2" w:rsidRPr="007233CF">
        <w:rPr>
          <w:rFonts w:asciiTheme="majorHAnsi" w:hAnsiTheme="majorHAnsi" w:cstheme="majorHAnsi"/>
          <w:i/>
          <w:sz w:val="24"/>
          <w:szCs w:val="24"/>
          <w:lang w:val="ro-MD" w:eastAsia="ru-RU"/>
        </w:rPr>
        <w:t>zintă în</w:t>
      </w:r>
      <w:r w:rsidR="007233CF" w:rsidRPr="007233CF">
        <w:rPr>
          <w:rFonts w:asciiTheme="majorHAnsi" w:hAnsiTheme="majorHAnsi" w:cstheme="majorHAnsi"/>
          <w:i/>
          <w:sz w:val="24"/>
          <w:szCs w:val="24"/>
          <w:lang w:val="ro-MD" w:eastAsia="ru-RU"/>
        </w:rPr>
        <w:t xml:space="preserve"> </w:t>
      </w:r>
      <w:r w:rsidR="007233CF" w:rsidRPr="00723CC6">
        <w:rPr>
          <w:rFonts w:asciiTheme="majorHAnsi" w:hAnsiTheme="majorHAnsi" w:cstheme="majorHAnsi"/>
          <w:i/>
          <w:sz w:val="24"/>
          <w:szCs w:val="24"/>
          <w:lang w:val="ro-MD" w:eastAsia="ru-RU"/>
        </w:rPr>
        <w:t>Anexa nr.3,</w:t>
      </w:r>
      <w:r w:rsidR="00343B8D" w:rsidRPr="00723CC6">
        <w:rPr>
          <w:rFonts w:asciiTheme="majorHAnsi" w:hAnsiTheme="majorHAnsi" w:cstheme="majorHAnsi"/>
          <w:i/>
          <w:sz w:val="24"/>
          <w:szCs w:val="24"/>
          <w:lang w:val="ro-MD" w:eastAsia="ru-RU"/>
        </w:rPr>
        <w:t xml:space="preserve"> Diagrama </w:t>
      </w:r>
      <w:r w:rsidR="00712FA2" w:rsidRPr="00723CC6">
        <w:rPr>
          <w:rFonts w:asciiTheme="majorHAnsi" w:hAnsiTheme="majorHAnsi" w:cstheme="majorHAnsi"/>
          <w:i/>
          <w:sz w:val="24"/>
          <w:szCs w:val="24"/>
          <w:lang w:val="ro-MD" w:eastAsia="ru-RU"/>
        </w:rPr>
        <w:t xml:space="preserve"> nr.</w:t>
      </w:r>
      <w:r w:rsidR="005B6283">
        <w:rPr>
          <w:rFonts w:asciiTheme="majorHAnsi" w:hAnsiTheme="majorHAnsi" w:cstheme="majorHAnsi"/>
          <w:i/>
          <w:sz w:val="24"/>
          <w:szCs w:val="24"/>
          <w:lang w:val="ro-MD" w:eastAsia="ru-RU"/>
        </w:rPr>
        <w:t>2</w:t>
      </w:r>
      <w:r w:rsidR="007233CF" w:rsidRPr="00723CC6">
        <w:rPr>
          <w:rFonts w:asciiTheme="majorHAnsi" w:hAnsiTheme="majorHAnsi" w:cstheme="majorHAnsi"/>
          <w:i/>
          <w:sz w:val="24"/>
          <w:szCs w:val="24"/>
          <w:lang w:val="ro-MD" w:eastAsia="ru-RU"/>
        </w:rPr>
        <w:t xml:space="preserve"> </w:t>
      </w:r>
      <w:r w:rsidR="007233CF" w:rsidRPr="00723CC6">
        <w:rPr>
          <w:rFonts w:asciiTheme="majorHAnsi" w:eastAsia="Times New Roman" w:hAnsiTheme="majorHAnsi" w:cstheme="majorHAnsi"/>
          <w:i/>
          <w:sz w:val="24"/>
          <w:szCs w:val="24"/>
          <w:lang w:val="ro-RO"/>
        </w:rPr>
        <w:t>la prezentul Raport de audit</w:t>
      </w:r>
      <w:r w:rsidR="00712FA2" w:rsidRPr="00723CC6">
        <w:rPr>
          <w:rFonts w:asciiTheme="majorHAnsi" w:hAnsiTheme="majorHAnsi" w:cstheme="majorHAnsi"/>
          <w:i/>
          <w:sz w:val="24"/>
          <w:szCs w:val="24"/>
          <w:lang w:val="ro-MD" w:eastAsia="ru-RU"/>
        </w:rPr>
        <w:t>.</w:t>
      </w:r>
    </w:p>
    <w:p w14:paraId="3F2687E0" w14:textId="69204DB6" w:rsidR="004918BC" w:rsidRDefault="006E10DD" w:rsidP="0072783C">
      <w:pPr>
        <w:pStyle w:val="af3"/>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w:t>
      </w:r>
      <w:r w:rsidR="00656C54" w:rsidRPr="00351765">
        <w:rPr>
          <w:rFonts w:asciiTheme="majorHAnsi" w:hAnsiTheme="majorHAnsi" w:cstheme="majorHAnsi"/>
          <w:sz w:val="24"/>
          <w:szCs w:val="24"/>
          <w:lang w:val="ro-MD" w:eastAsia="ru-RU"/>
        </w:rPr>
        <w:t xml:space="preserve">e parcursul anului au fost răscumpărate VMS ajunse la scadență în sumă de </w:t>
      </w:r>
      <w:r w:rsidR="004B218A" w:rsidRPr="00351765">
        <w:rPr>
          <w:rFonts w:asciiTheme="majorHAnsi" w:hAnsiTheme="majorHAnsi" w:cstheme="majorHAnsi"/>
          <w:sz w:val="24"/>
          <w:szCs w:val="24"/>
          <w:lang w:val="ro-MD" w:eastAsia="ru-RU"/>
        </w:rPr>
        <w:t>11 654,3</w:t>
      </w:r>
      <w:r w:rsidR="00B5563A" w:rsidRPr="00351765">
        <w:rPr>
          <w:rFonts w:asciiTheme="majorHAnsi" w:hAnsiTheme="majorHAnsi" w:cstheme="majorHAnsi"/>
          <w:sz w:val="24"/>
          <w:szCs w:val="24"/>
          <w:lang w:val="ro-MD" w:eastAsia="ru-RU"/>
        </w:rPr>
        <w:t xml:space="preserve"> </w:t>
      </w:r>
      <w:r w:rsidR="00AE3443">
        <w:rPr>
          <w:rFonts w:asciiTheme="majorHAnsi" w:hAnsiTheme="majorHAnsi" w:cstheme="majorHAnsi"/>
          <w:sz w:val="24"/>
          <w:szCs w:val="24"/>
          <w:lang w:val="ro-MD" w:eastAsia="ru-RU"/>
        </w:rPr>
        <w:t>mil.</w:t>
      </w:r>
      <w:r w:rsidR="009B5172" w:rsidRPr="00351765">
        <w:rPr>
          <w:rFonts w:asciiTheme="majorHAnsi" w:hAnsiTheme="majorHAnsi" w:cstheme="majorHAnsi"/>
          <w:sz w:val="24"/>
          <w:szCs w:val="24"/>
          <w:lang w:val="ro-MD" w:eastAsia="ru-RU"/>
        </w:rPr>
        <w:t>lei</w:t>
      </w:r>
      <w:r w:rsidR="00500F9A">
        <w:rPr>
          <w:rFonts w:asciiTheme="majorHAnsi" w:hAnsiTheme="majorHAnsi" w:cstheme="majorHAnsi"/>
          <w:sz w:val="24"/>
          <w:szCs w:val="24"/>
          <w:lang w:val="ro-MD" w:eastAsia="ru-RU"/>
        </w:rPr>
        <w:t xml:space="preserve"> (la preț de cumpărare)</w:t>
      </w:r>
      <w:r w:rsidR="00351765">
        <w:rPr>
          <w:rFonts w:asciiTheme="majorHAnsi" w:hAnsiTheme="majorHAnsi" w:cstheme="majorHAnsi"/>
          <w:sz w:val="24"/>
          <w:szCs w:val="24"/>
          <w:lang w:val="ro-MD" w:eastAsia="ru-RU"/>
        </w:rPr>
        <w:t xml:space="preserve">. </w:t>
      </w:r>
      <w:r w:rsidR="00B5563A" w:rsidRPr="00351765">
        <w:rPr>
          <w:rFonts w:asciiTheme="majorHAnsi" w:hAnsiTheme="majorHAnsi" w:cstheme="majorHAnsi"/>
          <w:sz w:val="24"/>
          <w:szCs w:val="24"/>
          <w:lang w:val="ro-MD" w:eastAsia="ru-RU"/>
        </w:rPr>
        <w:t xml:space="preserve">Astfel, emisiunea netă a VMS emise pe piața primară a constituit </w:t>
      </w:r>
      <w:r w:rsidR="00B5563A" w:rsidRPr="00C574EF">
        <w:rPr>
          <w:rFonts w:asciiTheme="majorHAnsi" w:hAnsiTheme="majorHAnsi" w:cstheme="majorHAnsi"/>
          <w:sz w:val="24"/>
          <w:szCs w:val="24"/>
          <w:lang w:val="ro-MD" w:eastAsia="ru-RU"/>
        </w:rPr>
        <w:t>+</w:t>
      </w:r>
      <w:r w:rsidR="00351765" w:rsidRPr="00C574EF">
        <w:rPr>
          <w:rFonts w:asciiTheme="majorHAnsi" w:hAnsiTheme="majorHAnsi" w:cstheme="majorHAnsi"/>
          <w:sz w:val="24"/>
          <w:szCs w:val="24"/>
          <w:lang w:val="ro-MD" w:eastAsia="ru-RU"/>
        </w:rPr>
        <w:t xml:space="preserve"> 5 </w:t>
      </w:r>
      <w:r w:rsidR="00C574EF" w:rsidRPr="00C574EF">
        <w:rPr>
          <w:rFonts w:asciiTheme="majorHAnsi" w:hAnsiTheme="majorHAnsi" w:cstheme="majorHAnsi"/>
          <w:sz w:val="24"/>
          <w:szCs w:val="24"/>
          <w:lang w:val="ro-MD" w:eastAsia="ru-RU"/>
        </w:rPr>
        <w:t>816,</w:t>
      </w:r>
      <w:r w:rsidR="00C574EF">
        <w:rPr>
          <w:rFonts w:asciiTheme="majorHAnsi" w:hAnsiTheme="majorHAnsi" w:cstheme="majorHAnsi"/>
          <w:sz w:val="24"/>
          <w:szCs w:val="24"/>
          <w:lang w:val="ro-MD" w:eastAsia="ru-RU"/>
        </w:rPr>
        <w:t>9</w:t>
      </w:r>
      <w:r w:rsidR="00B5563A" w:rsidRPr="00C574EF">
        <w:rPr>
          <w:rFonts w:asciiTheme="majorHAnsi" w:hAnsiTheme="majorHAnsi" w:cstheme="majorHAnsi"/>
          <w:sz w:val="24"/>
          <w:szCs w:val="24"/>
          <w:lang w:val="ro-MD" w:eastAsia="ru-RU"/>
        </w:rPr>
        <w:t xml:space="preserve"> </w:t>
      </w:r>
      <w:r w:rsidR="009B5172" w:rsidRPr="00C574EF">
        <w:rPr>
          <w:rFonts w:asciiTheme="majorHAnsi" w:hAnsiTheme="majorHAnsi" w:cstheme="majorHAnsi"/>
          <w:sz w:val="24"/>
          <w:szCs w:val="24"/>
          <w:lang w:val="ro-MD" w:eastAsia="ru-RU"/>
        </w:rPr>
        <w:t>mil. lei</w:t>
      </w:r>
      <w:r w:rsidR="00B5563A" w:rsidRPr="00C574EF">
        <w:rPr>
          <w:rFonts w:asciiTheme="majorHAnsi" w:hAnsiTheme="majorHAnsi" w:cstheme="majorHAnsi"/>
          <w:sz w:val="24"/>
          <w:szCs w:val="24"/>
          <w:lang w:val="ro-MD" w:eastAsia="ru-RU"/>
        </w:rPr>
        <w:t xml:space="preserve">, inclusiv </w:t>
      </w:r>
      <w:r w:rsidR="00C574EF" w:rsidRPr="00C574EF">
        <w:rPr>
          <w:rFonts w:asciiTheme="majorHAnsi" w:hAnsiTheme="majorHAnsi" w:cstheme="majorHAnsi"/>
          <w:sz w:val="24"/>
          <w:szCs w:val="24"/>
          <w:lang w:val="ro-MD" w:eastAsia="ru-RU"/>
        </w:rPr>
        <w:t>5 892,7</w:t>
      </w:r>
      <w:r w:rsidR="00B5563A" w:rsidRPr="00C574EF">
        <w:rPr>
          <w:rFonts w:asciiTheme="majorHAnsi" w:hAnsiTheme="majorHAnsi" w:cstheme="majorHAnsi"/>
          <w:sz w:val="24"/>
          <w:szCs w:val="24"/>
          <w:lang w:val="ro-MD" w:eastAsia="ru-RU"/>
        </w:rPr>
        <w:t xml:space="preserve"> </w:t>
      </w:r>
      <w:r w:rsidR="00AE3443">
        <w:rPr>
          <w:rFonts w:asciiTheme="majorHAnsi" w:hAnsiTheme="majorHAnsi" w:cstheme="majorHAnsi"/>
          <w:sz w:val="24"/>
          <w:szCs w:val="24"/>
          <w:lang w:val="ro-MD" w:eastAsia="ru-RU"/>
        </w:rPr>
        <w:t>mil.</w:t>
      </w:r>
      <w:r w:rsidR="009B5172" w:rsidRPr="00C574EF">
        <w:rPr>
          <w:rFonts w:asciiTheme="majorHAnsi" w:hAnsiTheme="majorHAnsi" w:cstheme="majorHAnsi"/>
          <w:sz w:val="24"/>
          <w:szCs w:val="24"/>
          <w:lang w:val="ro-MD" w:eastAsia="ru-RU"/>
        </w:rPr>
        <w:t>lei</w:t>
      </w:r>
      <w:r w:rsidR="00B5563A" w:rsidRPr="00C574EF">
        <w:rPr>
          <w:rFonts w:asciiTheme="majorHAnsi" w:hAnsiTheme="majorHAnsi" w:cstheme="majorHAnsi"/>
          <w:sz w:val="24"/>
          <w:szCs w:val="24"/>
          <w:lang w:val="ro-MD" w:eastAsia="ru-RU"/>
        </w:rPr>
        <w:t xml:space="preserve"> obținute din emisiunea VMS pentru finanțarea deficitului bugetar și </w:t>
      </w:r>
      <w:r w:rsidR="00C574EF" w:rsidRPr="00C574EF">
        <w:rPr>
          <w:rFonts w:asciiTheme="majorHAnsi" w:hAnsiTheme="majorHAnsi" w:cstheme="majorHAnsi"/>
          <w:sz w:val="24"/>
          <w:szCs w:val="24"/>
          <w:lang w:val="ro-MD" w:eastAsia="ru-RU"/>
        </w:rPr>
        <w:t>75,8</w:t>
      </w:r>
      <w:r w:rsidR="00B5563A" w:rsidRPr="00C574EF">
        <w:rPr>
          <w:rFonts w:asciiTheme="majorHAnsi" w:hAnsiTheme="majorHAnsi" w:cstheme="majorHAnsi"/>
          <w:sz w:val="24"/>
          <w:szCs w:val="24"/>
          <w:lang w:val="ro-MD" w:eastAsia="ru-RU"/>
        </w:rPr>
        <w:t xml:space="preserve"> </w:t>
      </w:r>
      <w:r w:rsidR="009B5172" w:rsidRPr="00C574EF">
        <w:rPr>
          <w:rFonts w:asciiTheme="majorHAnsi" w:hAnsiTheme="majorHAnsi" w:cstheme="majorHAnsi"/>
          <w:sz w:val="24"/>
          <w:szCs w:val="24"/>
          <w:lang w:val="ro-MD" w:eastAsia="ru-RU"/>
        </w:rPr>
        <w:t>mil. lei</w:t>
      </w:r>
      <w:r w:rsidR="00B5563A" w:rsidRPr="00C574EF">
        <w:rPr>
          <w:rFonts w:asciiTheme="majorHAnsi" w:hAnsiTheme="majorHAnsi" w:cstheme="majorHAnsi"/>
          <w:sz w:val="24"/>
          <w:szCs w:val="24"/>
          <w:lang w:val="ro-MD" w:eastAsia="ru-RU"/>
        </w:rPr>
        <w:t xml:space="preserve"> îndreptate spre răscumpărarea VMS emise pentru crearea </w:t>
      </w:r>
      <w:r w:rsidR="00C574EF" w:rsidRPr="00C574EF">
        <w:rPr>
          <w:rFonts w:asciiTheme="majorHAnsi" w:hAnsiTheme="majorHAnsi" w:cstheme="majorHAnsi"/>
          <w:sz w:val="24"/>
          <w:szCs w:val="24"/>
          <w:lang w:val="ro-MD" w:eastAsia="ru-RU"/>
        </w:rPr>
        <w:t>unei rezerve</w:t>
      </w:r>
      <w:r w:rsidR="00B5563A" w:rsidRPr="00C574EF">
        <w:rPr>
          <w:rFonts w:asciiTheme="majorHAnsi" w:hAnsiTheme="majorHAnsi" w:cstheme="majorHAnsi"/>
          <w:sz w:val="24"/>
          <w:szCs w:val="24"/>
          <w:lang w:val="ro-MD" w:eastAsia="ru-RU"/>
        </w:rPr>
        <w:t xml:space="preserve"> de lichiditate.</w:t>
      </w:r>
      <w:r w:rsidR="000E698C">
        <w:rPr>
          <w:rFonts w:asciiTheme="majorHAnsi" w:hAnsiTheme="majorHAnsi" w:cstheme="majorHAnsi"/>
          <w:sz w:val="24"/>
          <w:szCs w:val="24"/>
          <w:lang w:val="ro-MD" w:eastAsia="ru-RU"/>
        </w:rPr>
        <w:t xml:space="preserve"> </w:t>
      </w:r>
    </w:p>
    <w:p w14:paraId="17F71312" w14:textId="38724403" w:rsidR="00EB4AF5" w:rsidRDefault="004918BC" w:rsidP="00AB1629">
      <w:pPr>
        <w:pStyle w:val="af3"/>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w:t>
      </w:r>
      <w:r w:rsidR="00907D56" w:rsidRPr="005B643E">
        <w:rPr>
          <w:rFonts w:asciiTheme="majorHAnsi" w:hAnsiTheme="majorHAnsi" w:cstheme="majorHAnsi"/>
          <w:sz w:val="24"/>
          <w:szCs w:val="24"/>
          <w:lang w:val="ro-MD" w:eastAsia="ru-RU"/>
        </w:rPr>
        <w:t>onderea cea mai înaltă din volumul total al VMS este deținută de BT cu scadența în decurs de un an, ceea ce determină prezența unui risc înalt al ratei de dobândă, precum și volatilitatea crescândă a portofoliului datoriei de stat.</w:t>
      </w:r>
      <w:r w:rsidR="00CC3E1D">
        <w:rPr>
          <w:rFonts w:asciiTheme="majorHAnsi" w:hAnsiTheme="majorHAnsi" w:cstheme="majorHAnsi"/>
          <w:sz w:val="24"/>
          <w:szCs w:val="24"/>
          <w:lang w:val="ro-MD" w:eastAsia="ru-RU"/>
        </w:rPr>
        <w:t xml:space="preserve"> </w:t>
      </w:r>
      <w:r w:rsidR="00EB4AF5">
        <w:rPr>
          <w:rFonts w:asciiTheme="majorHAnsi" w:hAnsiTheme="majorHAnsi" w:cstheme="majorHAnsi"/>
          <w:sz w:val="24"/>
          <w:szCs w:val="24"/>
          <w:lang w:val="ro-MD" w:eastAsia="ru-RU"/>
        </w:rPr>
        <w:t>Astfel, în totalul VMS emise p</w:t>
      </w:r>
      <w:r w:rsidR="00AE3443">
        <w:rPr>
          <w:rFonts w:asciiTheme="majorHAnsi" w:hAnsiTheme="majorHAnsi" w:cstheme="majorHAnsi"/>
          <w:sz w:val="24"/>
          <w:szCs w:val="24"/>
          <w:lang w:val="ro-MD" w:eastAsia="ru-RU"/>
        </w:rPr>
        <w:t>e piața primară (14 561,03 mil.</w:t>
      </w:r>
      <w:r w:rsidR="00EB4AF5">
        <w:rPr>
          <w:rFonts w:asciiTheme="majorHAnsi" w:hAnsiTheme="majorHAnsi" w:cstheme="majorHAnsi"/>
          <w:sz w:val="24"/>
          <w:szCs w:val="24"/>
          <w:lang w:val="ro-MD" w:eastAsia="ru-RU"/>
        </w:rPr>
        <w:t>lei), ponderea cea mai mare revine BT cu scadența de 365 zile – 50,5%, fiind urmate de BT cu scadența de 182 zi</w:t>
      </w:r>
      <w:r w:rsidR="00AE3443">
        <w:rPr>
          <w:rFonts w:asciiTheme="majorHAnsi" w:hAnsiTheme="majorHAnsi" w:cstheme="majorHAnsi"/>
          <w:sz w:val="24"/>
          <w:szCs w:val="24"/>
          <w:lang w:val="ro-MD" w:eastAsia="ru-RU"/>
        </w:rPr>
        <w:t>l</w:t>
      </w:r>
      <w:r w:rsidR="00EB4AF5">
        <w:rPr>
          <w:rFonts w:asciiTheme="majorHAnsi" w:hAnsiTheme="majorHAnsi" w:cstheme="majorHAnsi"/>
          <w:sz w:val="24"/>
          <w:szCs w:val="24"/>
          <w:lang w:val="ro-MD" w:eastAsia="ru-RU"/>
        </w:rPr>
        <w:t>e – 29,2%</w:t>
      </w:r>
      <w:r w:rsidR="002A4EC8">
        <w:rPr>
          <w:rFonts w:asciiTheme="majorHAnsi" w:hAnsiTheme="majorHAnsi" w:cstheme="majorHAnsi"/>
          <w:sz w:val="24"/>
          <w:szCs w:val="24"/>
          <w:lang w:val="ro-MD" w:eastAsia="ru-RU"/>
        </w:rPr>
        <w:t>,</w:t>
      </w:r>
      <w:r w:rsidR="00E91FB4">
        <w:rPr>
          <w:rFonts w:asciiTheme="majorHAnsi" w:hAnsiTheme="majorHAnsi" w:cstheme="majorHAnsi"/>
          <w:sz w:val="24"/>
          <w:szCs w:val="24"/>
          <w:lang w:val="ro-MD" w:eastAsia="ru-RU"/>
        </w:rPr>
        <w:t xml:space="preserve"> și OS cu matu</w:t>
      </w:r>
      <w:r w:rsidR="00EB4AF5">
        <w:rPr>
          <w:rFonts w:asciiTheme="majorHAnsi" w:hAnsiTheme="majorHAnsi" w:cstheme="majorHAnsi"/>
          <w:sz w:val="24"/>
          <w:szCs w:val="24"/>
          <w:lang w:val="ro-MD" w:eastAsia="ru-RU"/>
        </w:rPr>
        <w:t>ritatea de 3 ani – 6,2%.</w:t>
      </w:r>
      <w:r w:rsidR="0072783C" w:rsidRPr="0072783C">
        <w:rPr>
          <w:rFonts w:asciiTheme="majorHAnsi" w:hAnsiTheme="majorHAnsi" w:cstheme="majorHAnsi"/>
          <w:i/>
          <w:sz w:val="24"/>
          <w:szCs w:val="24"/>
          <w:lang w:val="ro-MD" w:eastAsia="ru-RU"/>
        </w:rPr>
        <w:t xml:space="preserve"> </w:t>
      </w:r>
      <w:r w:rsidR="0072783C" w:rsidRPr="00F5563F">
        <w:rPr>
          <w:rFonts w:asciiTheme="majorHAnsi" w:hAnsiTheme="majorHAnsi" w:cstheme="majorHAnsi"/>
          <w:i/>
          <w:sz w:val="24"/>
          <w:szCs w:val="24"/>
          <w:lang w:val="ro-MD" w:eastAsia="ru-RU"/>
        </w:rPr>
        <w:t xml:space="preserve">Structura VMS în circulație emise pe piața primară, în funcție de rata dobânzii și tipul VMS, se prezintă în </w:t>
      </w:r>
      <w:r w:rsidR="0072783C">
        <w:rPr>
          <w:rFonts w:asciiTheme="majorHAnsi" w:hAnsiTheme="majorHAnsi" w:cstheme="majorHAnsi"/>
          <w:i/>
          <w:sz w:val="24"/>
          <w:szCs w:val="24"/>
          <w:lang w:val="ro-MD" w:eastAsia="ru-RU"/>
        </w:rPr>
        <w:t>Anexa nr.4, Tabelul nr.</w:t>
      </w:r>
      <w:r w:rsidR="002748A3">
        <w:rPr>
          <w:rFonts w:asciiTheme="majorHAnsi" w:hAnsiTheme="majorHAnsi" w:cstheme="majorHAnsi"/>
          <w:i/>
          <w:sz w:val="24"/>
          <w:szCs w:val="24"/>
          <w:lang w:val="ro-MD" w:eastAsia="ru-RU"/>
        </w:rPr>
        <w:t>3</w:t>
      </w:r>
      <w:r w:rsidR="0072783C">
        <w:rPr>
          <w:rFonts w:asciiTheme="majorHAnsi" w:hAnsiTheme="majorHAnsi" w:cstheme="majorHAnsi"/>
          <w:i/>
          <w:sz w:val="24"/>
          <w:szCs w:val="24"/>
          <w:lang w:val="ro-MD" w:eastAsia="ru-RU"/>
        </w:rPr>
        <w:t xml:space="preserve"> la prezentul Raport de audit</w:t>
      </w:r>
      <w:r w:rsidR="0072783C" w:rsidRPr="00F5563F">
        <w:rPr>
          <w:rFonts w:asciiTheme="majorHAnsi" w:hAnsiTheme="majorHAnsi" w:cstheme="majorHAnsi"/>
          <w:i/>
          <w:sz w:val="24"/>
          <w:szCs w:val="24"/>
          <w:lang w:val="ro-MD" w:eastAsia="ru-RU"/>
        </w:rPr>
        <w:t>.</w:t>
      </w:r>
      <w:r w:rsidR="0072783C">
        <w:rPr>
          <w:rFonts w:asciiTheme="majorHAnsi" w:hAnsiTheme="majorHAnsi" w:cstheme="majorHAnsi"/>
          <w:sz w:val="24"/>
          <w:szCs w:val="24"/>
          <w:lang w:val="ro-MD" w:eastAsia="ru-RU"/>
        </w:rPr>
        <w:t xml:space="preserve"> </w:t>
      </w:r>
    </w:p>
    <w:p w14:paraId="4E01C6E8" w14:textId="4D4AC583" w:rsidR="00302FCE" w:rsidRDefault="00005DB1" w:rsidP="00AB1629">
      <w:pPr>
        <w:pStyle w:val="af3"/>
        <w:spacing w:after="240" w:line="276" w:lineRule="auto"/>
        <w:jc w:val="both"/>
        <w:rPr>
          <w:rFonts w:asciiTheme="majorHAnsi" w:hAnsiTheme="majorHAnsi" w:cstheme="majorHAnsi"/>
          <w:sz w:val="24"/>
          <w:szCs w:val="24"/>
          <w:lang w:val="ro-MD" w:eastAsia="ru-RU"/>
        </w:rPr>
      </w:pPr>
      <w:r w:rsidRPr="00005DB1">
        <w:rPr>
          <w:rFonts w:asciiTheme="majorHAnsi" w:hAnsiTheme="majorHAnsi" w:cstheme="majorHAnsi"/>
          <w:b/>
          <w:i/>
          <w:sz w:val="24"/>
          <w:szCs w:val="24"/>
          <w:lang w:val="ro-MD" w:eastAsia="ru-RU"/>
        </w:rPr>
        <w:t>Băn</w:t>
      </w:r>
      <w:r w:rsidR="002A4EC8">
        <w:rPr>
          <w:rFonts w:asciiTheme="majorHAnsi" w:hAnsiTheme="majorHAnsi" w:cstheme="majorHAnsi"/>
          <w:b/>
          <w:i/>
          <w:sz w:val="24"/>
          <w:szCs w:val="24"/>
          <w:lang w:val="ro-MD" w:eastAsia="ru-RU"/>
        </w:rPr>
        <w:t>cile comerciale continuă să rămâ</w:t>
      </w:r>
      <w:r w:rsidRPr="00005DB1">
        <w:rPr>
          <w:rFonts w:asciiTheme="majorHAnsi" w:hAnsiTheme="majorHAnsi" w:cstheme="majorHAnsi"/>
          <w:b/>
          <w:i/>
          <w:sz w:val="24"/>
          <w:szCs w:val="24"/>
          <w:lang w:val="ro-MD" w:eastAsia="ru-RU"/>
        </w:rPr>
        <w:t>nă principalii investitori în VMS emise de MF.</w:t>
      </w:r>
      <w:r>
        <w:rPr>
          <w:rFonts w:asciiTheme="majorHAnsi" w:hAnsiTheme="majorHAnsi" w:cstheme="majorHAnsi"/>
          <w:sz w:val="24"/>
          <w:szCs w:val="24"/>
          <w:lang w:val="ro-MD" w:eastAsia="ru-RU"/>
        </w:rPr>
        <w:t xml:space="preserve"> Astfel, p</w:t>
      </w:r>
      <w:r w:rsidR="00381AAA">
        <w:rPr>
          <w:rFonts w:asciiTheme="majorHAnsi" w:hAnsiTheme="majorHAnsi" w:cstheme="majorHAnsi"/>
          <w:sz w:val="24"/>
          <w:szCs w:val="24"/>
          <w:lang w:val="ro-MD" w:eastAsia="ru-RU"/>
        </w:rPr>
        <w:t>otrivit</w:t>
      </w:r>
      <w:r w:rsidR="00024071">
        <w:rPr>
          <w:rFonts w:asciiTheme="majorHAnsi" w:hAnsiTheme="majorHAnsi" w:cstheme="majorHAnsi"/>
          <w:sz w:val="24"/>
          <w:szCs w:val="24"/>
          <w:lang w:val="ro-MD" w:eastAsia="ru-RU"/>
        </w:rPr>
        <w:t xml:space="preserve"> informației prezentate de MF, în anul 2020</w:t>
      </w:r>
      <w:r w:rsidR="002A4EC8">
        <w:rPr>
          <w:rFonts w:asciiTheme="majorHAnsi" w:hAnsiTheme="majorHAnsi" w:cstheme="majorHAnsi"/>
          <w:sz w:val="24"/>
          <w:szCs w:val="24"/>
          <w:lang w:val="ro-MD" w:eastAsia="ru-RU"/>
        </w:rPr>
        <w:t xml:space="preserve"> pe piața valorilor mobiliare</w:t>
      </w:r>
      <w:r w:rsidR="00024071">
        <w:rPr>
          <w:rFonts w:asciiTheme="majorHAnsi" w:hAnsiTheme="majorHAnsi" w:cstheme="majorHAnsi"/>
          <w:sz w:val="24"/>
          <w:szCs w:val="24"/>
          <w:lang w:val="ro-MD" w:eastAsia="ru-RU"/>
        </w:rPr>
        <w:t xml:space="preserve"> au </w:t>
      </w:r>
      <w:r w:rsidR="00381AAA">
        <w:rPr>
          <w:rFonts w:asciiTheme="majorHAnsi" w:hAnsiTheme="majorHAnsi" w:cstheme="majorHAnsi"/>
          <w:sz w:val="24"/>
          <w:szCs w:val="24"/>
          <w:lang w:val="ro-MD" w:eastAsia="ru-RU"/>
        </w:rPr>
        <w:t xml:space="preserve">activat </w:t>
      </w:r>
      <w:r w:rsidR="00024071">
        <w:rPr>
          <w:rFonts w:asciiTheme="majorHAnsi" w:hAnsiTheme="majorHAnsi" w:cstheme="majorHAnsi"/>
          <w:sz w:val="24"/>
          <w:szCs w:val="24"/>
          <w:lang w:val="ro-MD" w:eastAsia="ru-RU"/>
        </w:rPr>
        <w:t xml:space="preserve">9 dealeri primari, </w:t>
      </w:r>
      <w:r w:rsidR="00381AAA">
        <w:rPr>
          <w:rFonts w:asciiTheme="majorHAnsi" w:hAnsiTheme="majorHAnsi" w:cstheme="majorHAnsi"/>
          <w:sz w:val="24"/>
          <w:szCs w:val="24"/>
          <w:lang w:val="ro-MD" w:eastAsia="ru-RU"/>
        </w:rPr>
        <w:t xml:space="preserve">care au contribuit la plasarea VMS pe piața primară și la asigurarea lichidității lor pe piața secundară. </w:t>
      </w:r>
      <w:r>
        <w:rPr>
          <w:rFonts w:asciiTheme="majorHAnsi" w:hAnsiTheme="majorHAnsi" w:cstheme="majorHAnsi"/>
          <w:sz w:val="24"/>
          <w:szCs w:val="24"/>
          <w:lang w:val="ro-MD" w:eastAsia="ru-RU"/>
        </w:rPr>
        <w:t xml:space="preserve">Conform Raportului privind situația din domeniul datoriei sectorului public, garanțiilor de stat și recreditării de stat pe anul 2020, din volumul total de VMS </w:t>
      </w:r>
      <w:r w:rsidR="0024039A">
        <w:rPr>
          <w:rFonts w:asciiTheme="majorHAnsi" w:hAnsiTheme="majorHAnsi" w:cstheme="majorHAnsi"/>
          <w:sz w:val="24"/>
          <w:szCs w:val="24"/>
          <w:lang w:val="ro-MD" w:eastAsia="ru-RU"/>
        </w:rPr>
        <w:t>aflate în circulație</w:t>
      </w:r>
      <w:r>
        <w:rPr>
          <w:rFonts w:asciiTheme="majorHAnsi" w:hAnsiTheme="majorHAnsi" w:cstheme="majorHAnsi"/>
          <w:sz w:val="24"/>
          <w:szCs w:val="24"/>
          <w:lang w:val="ro-MD" w:eastAsia="ru-RU"/>
        </w:rPr>
        <w:t xml:space="preserve">,  </w:t>
      </w:r>
      <w:r w:rsidR="0024039A">
        <w:rPr>
          <w:rFonts w:asciiTheme="majorHAnsi" w:hAnsiTheme="majorHAnsi" w:cstheme="majorHAnsi"/>
          <w:sz w:val="24"/>
          <w:szCs w:val="24"/>
          <w:lang w:val="ro-MD" w:eastAsia="ru-RU"/>
        </w:rPr>
        <w:t>79,7</w:t>
      </w:r>
      <w:r>
        <w:rPr>
          <w:rFonts w:asciiTheme="majorHAnsi" w:hAnsiTheme="majorHAnsi" w:cstheme="majorHAnsi"/>
          <w:sz w:val="24"/>
          <w:szCs w:val="24"/>
          <w:lang w:val="ro-MD" w:eastAsia="ru-RU"/>
        </w:rPr>
        <w:t>% (sau 1</w:t>
      </w:r>
      <w:r w:rsidR="0024039A">
        <w:rPr>
          <w:rFonts w:asciiTheme="majorHAnsi" w:hAnsiTheme="majorHAnsi" w:cstheme="majorHAnsi"/>
          <w:sz w:val="24"/>
          <w:szCs w:val="24"/>
          <w:lang w:val="ro-MD" w:eastAsia="ru-RU"/>
        </w:rPr>
        <w:t>1</w:t>
      </w:r>
      <w:r>
        <w:rPr>
          <w:rFonts w:asciiTheme="majorHAnsi" w:hAnsiTheme="majorHAnsi" w:cstheme="majorHAnsi"/>
          <w:sz w:val="24"/>
          <w:szCs w:val="24"/>
          <w:lang w:val="ro-MD" w:eastAsia="ru-RU"/>
        </w:rPr>
        <w:t xml:space="preserve"> </w:t>
      </w:r>
      <w:r w:rsidR="0024039A">
        <w:rPr>
          <w:rFonts w:asciiTheme="majorHAnsi" w:hAnsiTheme="majorHAnsi" w:cstheme="majorHAnsi"/>
          <w:sz w:val="24"/>
          <w:szCs w:val="24"/>
          <w:lang w:val="ro-MD" w:eastAsia="ru-RU"/>
        </w:rPr>
        <w:t>598</w:t>
      </w:r>
      <w:r>
        <w:rPr>
          <w:rFonts w:asciiTheme="majorHAnsi" w:hAnsiTheme="majorHAnsi" w:cstheme="majorHAnsi"/>
          <w:sz w:val="24"/>
          <w:szCs w:val="24"/>
          <w:lang w:val="ro-MD" w:eastAsia="ru-RU"/>
        </w:rPr>
        <w:t>,</w:t>
      </w:r>
      <w:r w:rsidR="0024039A">
        <w:rPr>
          <w:rFonts w:asciiTheme="majorHAnsi" w:hAnsiTheme="majorHAnsi" w:cstheme="majorHAnsi"/>
          <w:sz w:val="24"/>
          <w:szCs w:val="24"/>
          <w:lang w:val="ro-MD" w:eastAsia="ru-RU"/>
        </w:rPr>
        <w:t>6</w:t>
      </w:r>
      <w:r w:rsidR="002A4EC8">
        <w:rPr>
          <w:rFonts w:asciiTheme="majorHAnsi" w:hAnsiTheme="majorHAnsi" w:cstheme="majorHAnsi"/>
          <w:sz w:val="24"/>
          <w:szCs w:val="24"/>
          <w:lang w:val="ro-MD" w:eastAsia="ru-RU"/>
        </w:rPr>
        <w:t xml:space="preserve"> mil. lei)</w:t>
      </w:r>
      <w:r>
        <w:rPr>
          <w:rFonts w:asciiTheme="majorHAnsi" w:hAnsiTheme="majorHAnsi" w:cstheme="majorHAnsi"/>
          <w:sz w:val="24"/>
          <w:szCs w:val="24"/>
          <w:lang w:val="ro-MD" w:eastAsia="ru-RU"/>
        </w:rPr>
        <w:t xml:space="preserve"> </w:t>
      </w:r>
      <w:r w:rsidR="0024039A">
        <w:rPr>
          <w:rFonts w:asciiTheme="majorHAnsi" w:hAnsiTheme="majorHAnsi" w:cstheme="majorHAnsi"/>
          <w:sz w:val="24"/>
          <w:szCs w:val="24"/>
          <w:lang w:val="ro-MD" w:eastAsia="ru-RU"/>
        </w:rPr>
        <w:t>sunt deținute</w:t>
      </w:r>
      <w:r>
        <w:rPr>
          <w:rFonts w:asciiTheme="majorHAnsi" w:hAnsiTheme="majorHAnsi" w:cstheme="majorHAnsi"/>
          <w:sz w:val="24"/>
          <w:szCs w:val="24"/>
          <w:lang w:val="ro-MD" w:eastAsia="ru-RU"/>
        </w:rPr>
        <w:t xml:space="preserve"> de către dealerii primari în numele și din cont propriu. Cei mai activi dealeri pe piața primară</w:t>
      </w:r>
      <w:r w:rsidR="002A4EC8">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în anul 2020, au fost:</w:t>
      </w:r>
      <w:r w:rsidRPr="002A72B5">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BC „Moldinconbank” S.A. (4 004,9 mil. lei), B.C. „Victoriabank” S.A. (2 505,6 mil. lei) și BC „Moldova-Agroindbank” S.A. (2 491,0 mil. lei). I</w:t>
      </w:r>
      <w:r w:rsidR="004A3238">
        <w:rPr>
          <w:rFonts w:asciiTheme="majorHAnsi" w:hAnsiTheme="majorHAnsi" w:cstheme="majorHAnsi"/>
          <w:sz w:val="24"/>
          <w:szCs w:val="24"/>
          <w:lang w:val="ro-MD" w:eastAsia="ru-RU"/>
        </w:rPr>
        <w:t xml:space="preserve">nvestitorilor nebancari </w:t>
      </w:r>
      <w:r>
        <w:rPr>
          <w:rFonts w:asciiTheme="majorHAnsi" w:hAnsiTheme="majorHAnsi" w:cstheme="majorHAnsi"/>
          <w:sz w:val="24"/>
          <w:szCs w:val="24"/>
          <w:lang w:val="ro-MD" w:eastAsia="ru-RU"/>
        </w:rPr>
        <w:t xml:space="preserve">le </w:t>
      </w:r>
      <w:r w:rsidR="004A3238">
        <w:rPr>
          <w:rFonts w:asciiTheme="majorHAnsi" w:hAnsiTheme="majorHAnsi" w:cstheme="majorHAnsi"/>
          <w:sz w:val="24"/>
          <w:szCs w:val="24"/>
          <w:lang w:val="ro-MD" w:eastAsia="ru-RU"/>
        </w:rPr>
        <w:t>rev</w:t>
      </w:r>
      <w:r w:rsidR="0024039A">
        <w:rPr>
          <w:rFonts w:asciiTheme="majorHAnsi" w:hAnsiTheme="majorHAnsi" w:cstheme="majorHAnsi"/>
          <w:sz w:val="24"/>
          <w:szCs w:val="24"/>
          <w:lang w:val="ro-MD" w:eastAsia="ru-RU"/>
        </w:rPr>
        <w:t>i</w:t>
      </w:r>
      <w:r w:rsidR="004A3238">
        <w:rPr>
          <w:rFonts w:asciiTheme="majorHAnsi" w:hAnsiTheme="majorHAnsi" w:cstheme="majorHAnsi"/>
          <w:sz w:val="24"/>
          <w:szCs w:val="24"/>
          <w:lang w:val="ro-MD" w:eastAsia="ru-RU"/>
        </w:rPr>
        <w:t>n</w:t>
      </w:r>
      <w:r>
        <w:rPr>
          <w:rFonts w:asciiTheme="majorHAnsi" w:hAnsiTheme="majorHAnsi" w:cstheme="majorHAnsi"/>
          <w:sz w:val="24"/>
          <w:szCs w:val="24"/>
          <w:lang w:val="ro-MD" w:eastAsia="ru-RU"/>
        </w:rPr>
        <w:t xml:space="preserve">e </w:t>
      </w:r>
      <w:r w:rsidR="0024039A">
        <w:rPr>
          <w:rFonts w:asciiTheme="majorHAnsi" w:hAnsiTheme="majorHAnsi" w:cstheme="majorHAnsi"/>
          <w:sz w:val="24"/>
          <w:szCs w:val="24"/>
          <w:lang w:val="ro-MD" w:eastAsia="ru-RU"/>
        </w:rPr>
        <w:t>17,6</w:t>
      </w:r>
      <w:r>
        <w:rPr>
          <w:rFonts w:asciiTheme="majorHAnsi" w:hAnsiTheme="majorHAnsi" w:cstheme="majorHAnsi"/>
          <w:sz w:val="24"/>
          <w:szCs w:val="24"/>
          <w:lang w:val="ro-MD" w:eastAsia="ru-RU"/>
        </w:rPr>
        <w:t xml:space="preserve">% (sau </w:t>
      </w:r>
      <w:r w:rsidR="0024039A">
        <w:rPr>
          <w:rFonts w:asciiTheme="majorHAnsi" w:hAnsiTheme="majorHAnsi" w:cstheme="majorHAnsi"/>
          <w:sz w:val="24"/>
          <w:szCs w:val="24"/>
          <w:lang w:val="ro-MD" w:eastAsia="ru-RU"/>
        </w:rPr>
        <w:t>2 557,4</w:t>
      </w:r>
      <w:r w:rsidR="004A3238">
        <w:rPr>
          <w:rFonts w:asciiTheme="majorHAnsi" w:hAnsiTheme="majorHAnsi" w:cstheme="majorHAnsi"/>
          <w:sz w:val="24"/>
          <w:szCs w:val="24"/>
          <w:lang w:val="ro-MD" w:eastAsia="ru-RU"/>
        </w:rPr>
        <w:t xml:space="preserve"> mil. lei) din volumul total de VMS aflate în circulație.</w:t>
      </w:r>
      <w:r w:rsidR="004A3238" w:rsidRPr="004A3238">
        <w:rPr>
          <w:rFonts w:asciiTheme="majorHAnsi" w:hAnsiTheme="majorHAnsi" w:cstheme="majorHAnsi"/>
          <w:i/>
          <w:sz w:val="24"/>
          <w:szCs w:val="24"/>
          <w:lang w:val="ro-MD" w:eastAsia="ru-RU"/>
        </w:rPr>
        <w:t xml:space="preserve"> </w:t>
      </w:r>
      <w:r w:rsidR="00995F95">
        <w:rPr>
          <w:rFonts w:asciiTheme="majorHAnsi" w:hAnsiTheme="majorHAnsi" w:cstheme="majorHAnsi"/>
          <w:sz w:val="24"/>
          <w:szCs w:val="24"/>
          <w:lang w:val="ro-MD" w:eastAsia="ru-RU"/>
        </w:rPr>
        <w:t>Totodată, interesul pentru VMS a</w:t>
      </w:r>
      <w:r w:rsidR="002A4EC8">
        <w:rPr>
          <w:rFonts w:asciiTheme="majorHAnsi" w:hAnsiTheme="majorHAnsi" w:cstheme="majorHAnsi"/>
          <w:sz w:val="24"/>
          <w:szCs w:val="24"/>
          <w:lang w:val="ro-MD" w:eastAsia="ru-RU"/>
        </w:rPr>
        <w:t>l</w:t>
      </w:r>
      <w:r w:rsidR="00995F95">
        <w:rPr>
          <w:rFonts w:asciiTheme="majorHAnsi" w:hAnsiTheme="majorHAnsi" w:cstheme="majorHAnsi"/>
          <w:sz w:val="24"/>
          <w:szCs w:val="24"/>
          <w:lang w:val="ro-MD" w:eastAsia="ru-RU"/>
        </w:rPr>
        <w:t xml:space="preserve"> investitorilor nebancari este în scădere, de la 25,3% în anul 2019 la </w:t>
      </w:r>
      <w:r w:rsidR="0024039A">
        <w:rPr>
          <w:rFonts w:asciiTheme="majorHAnsi" w:hAnsiTheme="majorHAnsi" w:cstheme="majorHAnsi"/>
          <w:sz w:val="24"/>
          <w:szCs w:val="24"/>
          <w:lang w:val="ro-MD" w:eastAsia="ru-RU"/>
        </w:rPr>
        <w:t>17,6</w:t>
      </w:r>
      <w:r w:rsidR="00995F95">
        <w:rPr>
          <w:rFonts w:asciiTheme="majorHAnsi" w:hAnsiTheme="majorHAnsi" w:cstheme="majorHAnsi"/>
          <w:sz w:val="24"/>
          <w:szCs w:val="24"/>
          <w:lang w:val="ro-MD" w:eastAsia="ru-RU"/>
        </w:rPr>
        <w:t>% în anul 2020.</w:t>
      </w:r>
      <w:r w:rsidR="004918BC">
        <w:rPr>
          <w:rFonts w:asciiTheme="majorHAnsi" w:hAnsiTheme="majorHAnsi" w:cstheme="majorHAnsi"/>
          <w:sz w:val="24"/>
          <w:szCs w:val="24"/>
          <w:lang w:val="ro-MD" w:eastAsia="ru-RU"/>
        </w:rPr>
        <w:t xml:space="preserve"> </w:t>
      </w:r>
    </w:p>
    <w:p w14:paraId="3A57F4DF" w14:textId="03382432" w:rsidR="00CC3E1D" w:rsidRPr="000473B0" w:rsidRDefault="00CC3E1D" w:rsidP="00FB1205">
      <w:pPr>
        <w:spacing w:after="240" w:line="276" w:lineRule="auto"/>
        <w:jc w:val="both"/>
        <w:rPr>
          <w:rFonts w:cstheme="majorHAnsi"/>
          <w:szCs w:val="24"/>
          <w:lang w:val="ro-MD" w:eastAsia="ru-RU"/>
        </w:rPr>
      </w:pPr>
      <w:r w:rsidRPr="000473B0">
        <w:rPr>
          <w:rFonts w:cstheme="majorHAnsi"/>
          <w:szCs w:val="24"/>
          <w:lang w:val="ro-MD" w:eastAsia="ru-RU"/>
        </w:rPr>
        <w:lastRenderedPageBreak/>
        <w:t>4)</w:t>
      </w:r>
      <w:r w:rsidR="00B52D05">
        <w:rPr>
          <w:rFonts w:cstheme="majorHAnsi"/>
          <w:szCs w:val="24"/>
          <w:lang w:val="ro-MD" w:eastAsia="ru-RU"/>
        </w:rPr>
        <w:t xml:space="preserve"> O altă acțiune realizată de MF</w:t>
      </w:r>
      <w:r w:rsidRPr="000473B0">
        <w:rPr>
          <w:rFonts w:cstheme="majorHAnsi"/>
          <w:szCs w:val="24"/>
          <w:lang w:val="ro-MD" w:eastAsia="ru-RU"/>
        </w:rPr>
        <w:t xml:space="preserve"> </w:t>
      </w:r>
      <w:r w:rsidR="00B52D05">
        <w:rPr>
          <w:rFonts w:cstheme="majorHAnsi"/>
          <w:szCs w:val="24"/>
          <w:lang w:val="ro-MD" w:eastAsia="ru-RU"/>
        </w:rPr>
        <w:t xml:space="preserve">pentru </w:t>
      </w:r>
      <w:r>
        <w:rPr>
          <w:rFonts w:cstheme="majorHAnsi"/>
          <w:szCs w:val="24"/>
          <w:lang w:val="ro-MD" w:eastAsia="ru-RU"/>
        </w:rPr>
        <w:t>atingerea obiectivelor din cadrul</w:t>
      </w:r>
      <w:r w:rsidRPr="000473B0">
        <w:rPr>
          <w:rFonts w:cstheme="majorHAnsi"/>
          <w:szCs w:val="24"/>
          <w:lang w:val="ro-MD" w:eastAsia="ru-RU"/>
        </w:rPr>
        <w:t xml:space="preserve"> Programului „Managementul datoriei de stat pe termen mediu (2020-2022)</w:t>
      </w:r>
      <w:r w:rsidR="00B52D05">
        <w:rPr>
          <w:rFonts w:cstheme="majorHAnsi"/>
          <w:szCs w:val="24"/>
          <w:lang w:val="ro-MD" w:eastAsia="ru-RU"/>
        </w:rPr>
        <w:t>”</w:t>
      </w:r>
      <w:r w:rsidRPr="000473B0">
        <w:rPr>
          <w:rFonts w:cstheme="majorHAnsi"/>
          <w:szCs w:val="24"/>
          <w:lang w:val="ro-MD" w:eastAsia="ru-RU"/>
        </w:rPr>
        <w:t xml:space="preserve"> </w:t>
      </w:r>
      <w:r w:rsidR="0028481F">
        <w:rPr>
          <w:rFonts w:cstheme="majorHAnsi"/>
          <w:szCs w:val="24"/>
          <w:lang w:val="ro-MD" w:eastAsia="ru-RU"/>
        </w:rPr>
        <w:t>a constat în</w:t>
      </w:r>
      <w:r w:rsidRPr="000473B0">
        <w:rPr>
          <w:rFonts w:cstheme="majorHAnsi"/>
          <w:szCs w:val="24"/>
          <w:lang w:val="ro-MD" w:eastAsia="ru-RU"/>
        </w:rPr>
        <w:t xml:space="preserve"> elaborarea și prezentarea, Cancelariei de Stat spre avizare</w:t>
      </w:r>
      <w:r w:rsidR="0028481F">
        <w:rPr>
          <w:rStyle w:val="a6"/>
          <w:rFonts w:cstheme="majorHAnsi"/>
          <w:szCs w:val="24"/>
          <w:lang w:val="ro-MD" w:eastAsia="ru-RU"/>
        </w:rPr>
        <w:footnoteReference w:id="11"/>
      </w:r>
      <w:r w:rsidR="00B52D05">
        <w:rPr>
          <w:rFonts w:cstheme="majorHAnsi"/>
          <w:szCs w:val="24"/>
          <w:lang w:val="ro-MD" w:eastAsia="ru-RU"/>
        </w:rPr>
        <w:t>, a proiectului Hotărâ</w:t>
      </w:r>
      <w:r w:rsidRPr="000473B0">
        <w:rPr>
          <w:rFonts w:cstheme="majorHAnsi"/>
          <w:szCs w:val="24"/>
          <w:lang w:val="ro-MD" w:eastAsia="ru-RU"/>
        </w:rPr>
        <w:t>rii de Guvern „Cu privir</w:t>
      </w:r>
      <w:r w:rsidR="00B52D05">
        <w:rPr>
          <w:rFonts w:cstheme="majorHAnsi"/>
          <w:szCs w:val="24"/>
          <w:lang w:val="ro-MD" w:eastAsia="ru-RU"/>
        </w:rPr>
        <w:t>e la aprobarea Programului de vâ</w:t>
      </w:r>
      <w:r w:rsidRPr="000473B0">
        <w:rPr>
          <w:rFonts w:cstheme="majorHAnsi"/>
          <w:szCs w:val="24"/>
          <w:lang w:val="ro-MD" w:eastAsia="ru-RU"/>
        </w:rPr>
        <w:t>nzare directă a VMS persoanelor fizice în Republica Moldova</w:t>
      </w:r>
      <w:r w:rsidR="00EA4844">
        <w:rPr>
          <w:rFonts w:cstheme="majorHAnsi"/>
          <w:szCs w:val="24"/>
          <w:lang w:val="ro-MD" w:eastAsia="ru-RU"/>
        </w:rPr>
        <w:t>”</w:t>
      </w:r>
      <w:r w:rsidRPr="000473B0">
        <w:rPr>
          <w:rFonts w:cstheme="majorHAnsi"/>
          <w:szCs w:val="24"/>
          <w:lang w:val="ro-MD" w:eastAsia="ru-RU"/>
        </w:rPr>
        <w:t>. Definitivarea și aprobarea C</w:t>
      </w:r>
      <w:r w:rsidR="0028481F">
        <w:rPr>
          <w:rFonts w:cstheme="majorHAnsi"/>
          <w:szCs w:val="24"/>
          <w:lang w:val="ro-MD" w:eastAsia="ru-RU"/>
        </w:rPr>
        <w:t>o</w:t>
      </w:r>
      <w:r w:rsidRPr="000473B0">
        <w:rPr>
          <w:rFonts w:cstheme="majorHAnsi"/>
          <w:szCs w:val="24"/>
          <w:lang w:val="ro-MD" w:eastAsia="ru-RU"/>
        </w:rPr>
        <w:t>nceptului respectiv a fost pr</w:t>
      </w:r>
      <w:r w:rsidR="008550E7">
        <w:rPr>
          <w:rFonts w:cstheme="majorHAnsi"/>
          <w:szCs w:val="24"/>
          <w:lang w:val="ro-MD" w:eastAsia="ru-RU"/>
        </w:rPr>
        <w:t>econizată pentru anul 2021, urmâ</w:t>
      </w:r>
      <w:r w:rsidRPr="000473B0">
        <w:rPr>
          <w:rFonts w:cstheme="majorHAnsi"/>
          <w:szCs w:val="24"/>
          <w:lang w:val="ro-MD" w:eastAsia="ru-RU"/>
        </w:rPr>
        <w:t xml:space="preserve">nd a fi implementată o platformă de tranzacționare în mod direct a VMS către persoanele fizice. Toate aceste acțiuni </w:t>
      </w:r>
      <w:r w:rsidR="0028481F">
        <w:rPr>
          <w:rFonts w:cstheme="majorHAnsi"/>
          <w:szCs w:val="24"/>
          <w:lang w:val="ro-MD" w:eastAsia="ru-RU"/>
        </w:rPr>
        <w:t>urmează a fi</w:t>
      </w:r>
      <w:r w:rsidRPr="000473B0">
        <w:rPr>
          <w:rFonts w:cstheme="majorHAnsi"/>
          <w:szCs w:val="24"/>
          <w:lang w:val="ro-MD" w:eastAsia="ru-RU"/>
        </w:rPr>
        <w:t xml:space="preserve"> realizate de către MF în vedere</w:t>
      </w:r>
      <w:r w:rsidR="008550E7">
        <w:rPr>
          <w:rFonts w:cstheme="majorHAnsi"/>
          <w:szCs w:val="24"/>
          <w:lang w:val="ro-MD" w:eastAsia="ru-RU"/>
        </w:rPr>
        <w:t>a diversificării canalelor de vâ</w:t>
      </w:r>
      <w:r w:rsidRPr="000473B0">
        <w:rPr>
          <w:rFonts w:cstheme="majorHAnsi"/>
          <w:szCs w:val="24"/>
          <w:lang w:val="ro-MD" w:eastAsia="ru-RU"/>
        </w:rPr>
        <w:t>nzare a VMS odată cu creșterea accesibilității persoanelor fizice la procurarea VMS.</w:t>
      </w:r>
    </w:p>
    <w:p w14:paraId="2B05E6D7" w14:textId="756A7B28" w:rsidR="00883A25" w:rsidRDefault="00717480" w:rsidP="00FB1205">
      <w:pPr>
        <w:pStyle w:val="af3"/>
        <w:spacing w:after="240" w:line="276" w:lineRule="auto"/>
        <w:jc w:val="both"/>
        <w:rPr>
          <w:rFonts w:asciiTheme="majorHAnsi" w:hAnsiTheme="majorHAnsi" w:cstheme="majorHAnsi"/>
          <w:sz w:val="24"/>
          <w:szCs w:val="24"/>
          <w:lang w:val="ro-MD" w:eastAsia="ru-RU"/>
        </w:rPr>
      </w:pPr>
      <w:r w:rsidRPr="00EC4BD9">
        <w:rPr>
          <w:rFonts w:asciiTheme="majorHAnsi" w:hAnsiTheme="majorHAnsi" w:cstheme="majorHAnsi"/>
          <w:b/>
          <w:i/>
          <w:sz w:val="24"/>
          <w:szCs w:val="24"/>
          <w:lang w:val="ro-MD" w:eastAsia="ru-RU"/>
        </w:rPr>
        <w:t>Referitor la</w:t>
      </w:r>
      <w:r w:rsidR="000174B6" w:rsidRPr="00EC4BD9">
        <w:rPr>
          <w:rFonts w:asciiTheme="majorHAnsi" w:hAnsiTheme="majorHAnsi" w:cstheme="majorHAnsi"/>
          <w:b/>
          <w:i/>
          <w:sz w:val="24"/>
          <w:szCs w:val="24"/>
          <w:lang w:val="ro-MD" w:eastAsia="ru-RU"/>
        </w:rPr>
        <w:t xml:space="preserve"> VMS emise pentru comp</w:t>
      </w:r>
      <w:r w:rsidR="00866765" w:rsidRPr="00EC4BD9">
        <w:rPr>
          <w:rFonts w:asciiTheme="majorHAnsi" w:hAnsiTheme="majorHAnsi" w:cstheme="majorHAnsi"/>
          <w:b/>
          <w:i/>
          <w:sz w:val="24"/>
          <w:szCs w:val="24"/>
          <w:lang w:val="ro-MD" w:eastAsia="ru-RU"/>
        </w:rPr>
        <w:t>letarea rezervei de lichidități, v</w:t>
      </w:r>
      <w:r w:rsidR="000174B6" w:rsidRPr="00EC4BD9">
        <w:rPr>
          <w:rFonts w:asciiTheme="majorHAnsi" w:hAnsiTheme="majorHAnsi" w:cstheme="majorHAnsi"/>
          <w:b/>
          <w:i/>
          <w:sz w:val="24"/>
          <w:szCs w:val="24"/>
          <w:lang w:val="ro-MD" w:eastAsia="ru-RU"/>
        </w:rPr>
        <w:t>erificările de audi</w:t>
      </w:r>
      <w:r w:rsidR="00866765" w:rsidRPr="00EC4BD9">
        <w:rPr>
          <w:rFonts w:asciiTheme="majorHAnsi" w:hAnsiTheme="majorHAnsi" w:cstheme="majorHAnsi"/>
          <w:b/>
          <w:i/>
          <w:sz w:val="24"/>
          <w:szCs w:val="24"/>
          <w:lang w:val="ro-MD" w:eastAsia="ru-RU"/>
        </w:rPr>
        <w:t>t au stabilit că în anul 20</w:t>
      </w:r>
      <w:r w:rsidR="006E10DD" w:rsidRPr="00EC4BD9">
        <w:rPr>
          <w:rFonts w:asciiTheme="majorHAnsi" w:hAnsiTheme="majorHAnsi" w:cstheme="majorHAnsi"/>
          <w:b/>
          <w:i/>
          <w:sz w:val="24"/>
          <w:szCs w:val="24"/>
          <w:lang w:val="ro-MD" w:eastAsia="ru-RU"/>
        </w:rPr>
        <w:t>20</w:t>
      </w:r>
      <w:r w:rsidR="00866765" w:rsidRPr="00EC4BD9">
        <w:rPr>
          <w:rFonts w:asciiTheme="majorHAnsi" w:hAnsiTheme="majorHAnsi" w:cstheme="majorHAnsi"/>
          <w:b/>
          <w:i/>
          <w:sz w:val="24"/>
          <w:szCs w:val="24"/>
          <w:lang w:val="ro-MD" w:eastAsia="ru-RU"/>
        </w:rPr>
        <w:t xml:space="preserve"> nu</w:t>
      </w:r>
      <w:r w:rsidR="000174B6" w:rsidRPr="00EC4BD9">
        <w:rPr>
          <w:rFonts w:asciiTheme="majorHAnsi" w:hAnsiTheme="majorHAnsi" w:cstheme="majorHAnsi"/>
          <w:b/>
          <w:i/>
          <w:sz w:val="24"/>
          <w:szCs w:val="24"/>
          <w:lang w:val="ro-MD" w:eastAsia="ru-RU"/>
        </w:rPr>
        <w:t xml:space="preserve"> au fost emise </w:t>
      </w:r>
      <w:r w:rsidR="00866765" w:rsidRPr="00EC4BD9">
        <w:rPr>
          <w:rFonts w:asciiTheme="majorHAnsi" w:hAnsiTheme="majorHAnsi" w:cstheme="majorHAnsi"/>
          <w:b/>
          <w:i/>
          <w:sz w:val="24"/>
          <w:szCs w:val="24"/>
          <w:lang w:val="ro-MD" w:eastAsia="ru-RU"/>
        </w:rPr>
        <w:t xml:space="preserve">acest tip de </w:t>
      </w:r>
      <w:r w:rsidR="000174B6" w:rsidRPr="00EC4BD9">
        <w:rPr>
          <w:rFonts w:asciiTheme="majorHAnsi" w:hAnsiTheme="majorHAnsi" w:cstheme="majorHAnsi"/>
          <w:b/>
          <w:i/>
          <w:sz w:val="24"/>
          <w:szCs w:val="24"/>
          <w:lang w:val="ro-MD" w:eastAsia="ru-RU"/>
        </w:rPr>
        <w:t>VMS</w:t>
      </w:r>
      <w:r w:rsidR="00866765" w:rsidRPr="00EC4BD9">
        <w:rPr>
          <w:rFonts w:asciiTheme="majorHAnsi" w:hAnsiTheme="majorHAnsi" w:cstheme="majorHAnsi"/>
          <w:b/>
          <w:i/>
          <w:sz w:val="24"/>
          <w:szCs w:val="24"/>
          <w:lang w:val="ro-MD" w:eastAsia="ru-RU"/>
        </w:rPr>
        <w:t>.</w:t>
      </w:r>
      <w:r w:rsidR="00866765">
        <w:rPr>
          <w:rFonts w:asciiTheme="majorHAnsi" w:hAnsiTheme="majorHAnsi" w:cstheme="majorHAnsi"/>
          <w:sz w:val="24"/>
          <w:szCs w:val="24"/>
          <w:lang w:val="ro-MD" w:eastAsia="ru-RU"/>
        </w:rPr>
        <w:t xml:space="preserve"> </w:t>
      </w:r>
      <w:r w:rsidR="008550E7">
        <w:rPr>
          <w:rFonts w:asciiTheme="majorHAnsi" w:hAnsiTheme="majorHAnsi" w:cstheme="majorHAnsi"/>
          <w:sz w:val="24"/>
          <w:szCs w:val="24"/>
          <w:lang w:val="ro-MD" w:eastAsia="ru-RU"/>
        </w:rPr>
        <w:t xml:space="preserve">La situația din 01.01.2020, </w:t>
      </w:r>
      <w:r w:rsidR="002A72B5">
        <w:rPr>
          <w:rFonts w:asciiTheme="majorHAnsi" w:hAnsiTheme="majorHAnsi" w:cstheme="majorHAnsi"/>
          <w:sz w:val="24"/>
          <w:szCs w:val="24"/>
          <w:lang w:val="ro-MD" w:eastAsia="ru-RU"/>
        </w:rPr>
        <w:t xml:space="preserve">soldul </w:t>
      </w:r>
      <w:r w:rsidR="00883A25">
        <w:rPr>
          <w:rFonts w:asciiTheme="majorHAnsi" w:hAnsiTheme="majorHAnsi" w:cstheme="majorHAnsi"/>
          <w:sz w:val="24"/>
          <w:szCs w:val="24"/>
          <w:lang w:val="ro-MD" w:eastAsia="ru-RU"/>
        </w:rPr>
        <w:t xml:space="preserve">VMS emise </w:t>
      </w:r>
      <w:r w:rsidR="002A72B5">
        <w:rPr>
          <w:rFonts w:asciiTheme="majorHAnsi" w:hAnsiTheme="majorHAnsi" w:cstheme="majorHAnsi"/>
          <w:sz w:val="24"/>
          <w:szCs w:val="24"/>
          <w:lang w:val="ro-MD" w:eastAsia="ru-RU"/>
        </w:rPr>
        <w:t>pentru crearea rezervei de lichidități a constituit 253</w:t>
      </w:r>
      <w:r w:rsidR="00883A25">
        <w:rPr>
          <w:rFonts w:asciiTheme="majorHAnsi" w:hAnsiTheme="majorHAnsi" w:cstheme="majorHAnsi"/>
          <w:sz w:val="24"/>
          <w:szCs w:val="24"/>
          <w:lang w:val="ro-MD" w:eastAsia="ru-RU"/>
        </w:rPr>
        <w:t>,5 mil.</w:t>
      </w:r>
      <w:r w:rsidR="002A72B5">
        <w:rPr>
          <w:rFonts w:asciiTheme="majorHAnsi" w:hAnsiTheme="majorHAnsi" w:cstheme="majorHAnsi"/>
          <w:sz w:val="24"/>
          <w:szCs w:val="24"/>
          <w:lang w:val="ro-MD" w:eastAsia="ru-RU"/>
        </w:rPr>
        <w:t xml:space="preserve"> lei</w:t>
      </w:r>
      <w:r w:rsidR="00883A25">
        <w:rPr>
          <w:rFonts w:asciiTheme="majorHAnsi" w:hAnsiTheme="majorHAnsi" w:cstheme="majorHAnsi"/>
          <w:sz w:val="24"/>
          <w:szCs w:val="24"/>
          <w:lang w:val="ro-MD" w:eastAsia="ru-RU"/>
        </w:rPr>
        <w:t xml:space="preserve"> (din care: OS cu maturitatea de 2 ani – 105,8 mil. lei, OS cu maturitatea de 3 ani – 89,4 mil.lei</w:t>
      </w:r>
      <w:r w:rsidR="008550E7">
        <w:rPr>
          <w:rFonts w:asciiTheme="majorHAnsi" w:hAnsiTheme="majorHAnsi" w:cstheme="majorHAnsi"/>
          <w:sz w:val="24"/>
          <w:szCs w:val="24"/>
          <w:lang w:val="ro-MD" w:eastAsia="ru-RU"/>
        </w:rPr>
        <w:t>,</w:t>
      </w:r>
      <w:r w:rsidR="00883A25">
        <w:rPr>
          <w:rFonts w:asciiTheme="majorHAnsi" w:hAnsiTheme="majorHAnsi" w:cstheme="majorHAnsi"/>
          <w:sz w:val="24"/>
          <w:szCs w:val="24"/>
          <w:lang w:val="ro-MD" w:eastAsia="ru-RU"/>
        </w:rPr>
        <w:t xml:space="preserve"> și OS cu maturitatea de 5 ani – 58,2 mil.lei), care </w:t>
      </w:r>
      <w:r w:rsidR="0024039A">
        <w:rPr>
          <w:rFonts w:asciiTheme="majorHAnsi" w:hAnsiTheme="majorHAnsi" w:cstheme="majorHAnsi"/>
          <w:sz w:val="24"/>
          <w:szCs w:val="24"/>
          <w:lang w:val="ro-MD" w:eastAsia="ru-RU"/>
        </w:rPr>
        <w:t xml:space="preserve">au fost </w:t>
      </w:r>
      <w:r w:rsidR="00883A25">
        <w:rPr>
          <w:rFonts w:asciiTheme="majorHAnsi" w:hAnsiTheme="majorHAnsi" w:cstheme="majorHAnsi"/>
          <w:sz w:val="24"/>
          <w:szCs w:val="24"/>
          <w:lang w:val="ro-MD" w:eastAsia="ru-RU"/>
        </w:rPr>
        <w:t xml:space="preserve">plasate în 6 depozite la BNM. </w:t>
      </w:r>
      <w:r w:rsidR="002E6424">
        <w:rPr>
          <w:rFonts w:asciiTheme="majorHAnsi" w:hAnsiTheme="majorHAnsi" w:cstheme="majorHAnsi"/>
          <w:sz w:val="24"/>
          <w:szCs w:val="24"/>
          <w:lang w:val="ro-MD" w:eastAsia="ru-RU"/>
        </w:rPr>
        <w:t>Potrivit informației prezentate</w:t>
      </w:r>
      <w:r w:rsidR="008550E7">
        <w:rPr>
          <w:rFonts w:asciiTheme="majorHAnsi" w:hAnsiTheme="majorHAnsi" w:cstheme="majorHAnsi"/>
          <w:sz w:val="24"/>
          <w:szCs w:val="24"/>
          <w:lang w:val="ro-MD" w:eastAsia="ru-RU"/>
        </w:rPr>
        <w:t xml:space="preserve"> </w:t>
      </w:r>
      <w:r w:rsidR="00AC4409">
        <w:rPr>
          <w:rFonts w:asciiTheme="majorHAnsi" w:hAnsiTheme="majorHAnsi" w:cstheme="majorHAnsi"/>
          <w:sz w:val="24"/>
          <w:szCs w:val="24"/>
          <w:lang w:val="ro-MD" w:eastAsia="ru-RU"/>
        </w:rPr>
        <w:t>la</w:t>
      </w:r>
      <w:r w:rsidR="008550E7">
        <w:rPr>
          <w:rFonts w:asciiTheme="majorHAnsi" w:hAnsiTheme="majorHAnsi" w:cstheme="majorHAnsi"/>
          <w:sz w:val="24"/>
          <w:szCs w:val="24"/>
          <w:lang w:val="ro-MD" w:eastAsia="ru-RU"/>
        </w:rPr>
        <w:t xml:space="preserve"> situația</w:t>
      </w:r>
      <w:r w:rsidR="002E6424">
        <w:rPr>
          <w:rFonts w:asciiTheme="majorHAnsi" w:hAnsiTheme="majorHAnsi" w:cstheme="majorHAnsi"/>
          <w:sz w:val="24"/>
          <w:szCs w:val="24"/>
          <w:lang w:val="ro-MD" w:eastAsia="ru-RU"/>
        </w:rPr>
        <w:t xml:space="preserve"> </w:t>
      </w:r>
      <w:r w:rsidR="00AC4409">
        <w:rPr>
          <w:rFonts w:asciiTheme="majorHAnsi" w:hAnsiTheme="majorHAnsi" w:cstheme="majorHAnsi"/>
          <w:sz w:val="24"/>
          <w:szCs w:val="24"/>
          <w:lang w:val="ro-MD" w:eastAsia="ru-RU"/>
        </w:rPr>
        <w:t>din</w:t>
      </w:r>
      <w:r w:rsidR="002E6424">
        <w:rPr>
          <w:rFonts w:asciiTheme="majorHAnsi" w:hAnsiTheme="majorHAnsi" w:cstheme="majorHAnsi"/>
          <w:sz w:val="24"/>
          <w:szCs w:val="24"/>
          <w:lang w:val="ro-MD" w:eastAsia="ru-RU"/>
        </w:rPr>
        <w:t xml:space="preserve"> </w:t>
      </w:r>
      <w:r w:rsidR="002A72B5">
        <w:rPr>
          <w:rFonts w:asciiTheme="majorHAnsi" w:hAnsiTheme="majorHAnsi" w:cstheme="majorHAnsi"/>
          <w:sz w:val="24"/>
          <w:szCs w:val="24"/>
          <w:lang w:val="ro-MD" w:eastAsia="ru-RU"/>
        </w:rPr>
        <w:t xml:space="preserve">30.03.2020, </w:t>
      </w:r>
      <w:r w:rsidR="00454FEA">
        <w:rPr>
          <w:rFonts w:asciiTheme="majorHAnsi" w:hAnsiTheme="majorHAnsi" w:cstheme="majorHAnsi"/>
          <w:sz w:val="24"/>
          <w:szCs w:val="24"/>
          <w:lang w:val="ro-MD" w:eastAsia="ru-RU"/>
        </w:rPr>
        <w:t xml:space="preserve">au fost răscumpărate </w:t>
      </w:r>
      <w:r w:rsidR="002A72B5">
        <w:rPr>
          <w:rFonts w:asciiTheme="majorHAnsi" w:hAnsiTheme="majorHAnsi" w:cstheme="majorHAnsi"/>
          <w:sz w:val="24"/>
          <w:szCs w:val="24"/>
          <w:lang w:val="ro-MD" w:eastAsia="ru-RU"/>
        </w:rPr>
        <w:t xml:space="preserve">cu mijloace bănești OS cu maturitatea de 2 ani în sumă totală de </w:t>
      </w:r>
      <w:r w:rsidR="0024039A">
        <w:rPr>
          <w:rFonts w:asciiTheme="majorHAnsi" w:hAnsiTheme="majorHAnsi" w:cstheme="majorHAnsi"/>
          <w:sz w:val="24"/>
          <w:szCs w:val="24"/>
          <w:lang w:val="ro-MD" w:eastAsia="ru-RU"/>
        </w:rPr>
        <w:t>75,8</w:t>
      </w:r>
      <w:r w:rsidR="002A72B5">
        <w:rPr>
          <w:rFonts w:asciiTheme="majorHAnsi" w:hAnsiTheme="majorHAnsi" w:cstheme="majorHAnsi"/>
          <w:sz w:val="24"/>
          <w:szCs w:val="24"/>
          <w:lang w:val="ro-MD" w:eastAsia="ru-RU"/>
        </w:rPr>
        <w:t xml:space="preserve"> mil.lei</w:t>
      </w:r>
      <w:r w:rsidR="00883A25">
        <w:rPr>
          <w:rFonts w:asciiTheme="majorHAnsi" w:hAnsiTheme="majorHAnsi" w:cstheme="majorHAnsi"/>
          <w:sz w:val="24"/>
          <w:szCs w:val="24"/>
          <w:lang w:val="ro-MD" w:eastAsia="ru-RU"/>
        </w:rPr>
        <w:t>. Totodată, în legătură cu retragerea de către MF</w:t>
      </w:r>
      <w:r w:rsidR="002E6424">
        <w:rPr>
          <w:rFonts w:asciiTheme="majorHAnsi" w:hAnsiTheme="majorHAnsi" w:cstheme="majorHAnsi"/>
          <w:sz w:val="24"/>
          <w:szCs w:val="24"/>
          <w:lang w:val="ro-MD" w:eastAsia="ru-RU"/>
        </w:rPr>
        <w:t xml:space="preserve"> </w:t>
      </w:r>
      <w:r w:rsidR="00883A25">
        <w:rPr>
          <w:rFonts w:asciiTheme="majorHAnsi" w:hAnsiTheme="majorHAnsi" w:cstheme="majorHAnsi"/>
          <w:sz w:val="24"/>
          <w:szCs w:val="24"/>
          <w:lang w:val="ro-MD" w:eastAsia="ru-RU"/>
        </w:rPr>
        <w:t>în anul 2020 a depozitelor plasate la BNM în scopul formării r</w:t>
      </w:r>
      <w:r w:rsidR="008550E7">
        <w:rPr>
          <w:rFonts w:asciiTheme="majorHAnsi" w:hAnsiTheme="majorHAnsi" w:cstheme="majorHAnsi"/>
          <w:sz w:val="24"/>
          <w:szCs w:val="24"/>
          <w:lang w:val="ro-MD" w:eastAsia="ru-RU"/>
        </w:rPr>
        <w:t>ezervei de lichidități, soldul-V</w:t>
      </w:r>
      <w:r w:rsidR="00ED63E6">
        <w:rPr>
          <w:rFonts w:asciiTheme="majorHAnsi" w:hAnsiTheme="majorHAnsi" w:cstheme="majorHAnsi"/>
          <w:sz w:val="24"/>
          <w:szCs w:val="24"/>
          <w:lang w:val="ro-MD" w:eastAsia="ru-RU"/>
        </w:rPr>
        <w:t xml:space="preserve">MS </w:t>
      </w:r>
      <w:r w:rsidR="00883A25">
        <w:rPr>
          <w:rFonts w:asciiTheme="majorHAnsi" w:hAnsiTheme="majorHAnsi" w:cstheme="majorHAnsi"/>
          <w:sz w:val="24"/>
          <w:szCs w:val="24"/>
          <w:lang w:val="ro-MD" w:eastAsia="ru-RU"/>
        </w:rPr>
        <w:t xml:space="preserve">emise pentru crearea rezervei de lichidități a fost redus la „zero” lei. </w:t>
      </w:r>
    </w:p>
    <w:p w14:paraId="44EA7172" w14:textId="74FD1E4D" w:rsidR="000F7C41" w:rsidRPr="000F7C41" w:rsidRDefault="007F64AA" w:rsidP="00FB1205">
      <w:pPr>
        <w:pStyle w:val="af3"/>
        <w:spacing w:after="240" w:line="276" w:lineRule="auto"/>
        <w:jc w:val="both"/>
        <w:rPr>
          <w:rFonts w:asciiTheme="majorHAnsi" w:hAnsiTheme="majorHAnsi" w:cstheme="majorHAnsi"/>
          <w:color w:val="000000" w:themeColor="text1"/>
          <w:sz w:val="24"/>
          <w:szCs w:val="24"/>
          <w:lang w:val="ro-MD" w:eastAsia="ru-RU"/>
        </w:rPr>
      </w:pPr>
      <w:r>
        <w:rPr>
          <w:rFonts w:asciiTheme="majorHAnsi" w:hAnsiTheme="majorHAnsi" w:cstheme="majorHAnsi"/>
          <w:color w:val="000000" w:themeColor="text1"/>
          <w:sz w:val="24"/>
          <w:szCs w:val="24"/>
          <w:lang w:val="ro-MD" w:eastAsia="ru-RU"/>
        </w:rPr>
        <w:t>C</w:t>
      </w:r>
      <w:r w:rsidR="00DE506C" w:rsidRPr="000F7C41">
        <w:rPr>
          <w:rFonts w:asciiTheme="majorHAnsi" w:hAnsiTheme="majorHAnsi" w:cstheme="majorHAnsi"/>
          <w:color w:val="000000" w:themeColor="text1"/>
          <w:sz w:val="24"/>
          <w:szCs w:val="24"/>
          <w:lang w:val="ro-MD" w:eastAsia="ru-RU"/>
        </w:rPr>
        <w:t xml:space="preserve">a și în </w:t>
      </w:r>
      <w:r w:rsidR="00866765" w:rsidRPr="000F7C41">
        <w:rPr>
          <w:rFonts w:asciiTheme="majorHAnsi" w:hAnsiTheme="majorHAnsi" w:cstheme="majorHAnsi"/>
          <w:color w:val="000000" w:themeColor="text1"/>
          <w:sz w:val="24"/>
          <w:szCs w:val="24"/>
          <w:lang w:val="ro-MD" w:eastAsia="ru-RU"/>
        </w:rPr>
        <w:t xml:space="preserve">cadrul </w:t>
      </w:r>
      <w:r w:rsidR="00DE506C" w:rsidRPr="000F7C41">
        <w:rPr>
          <w:rFonts w:asciiTheme="majorHAnsi" w:hAnsiTheme="majorHAnsi" w:cstheme="majorHAnsi"/>
          <w:color w:val="000000" w:themeColor="text1"/>
          <w:sz w:val="24"/>
          <w:szCs w:val="24"/>
          <w:lang w:val="ro-MD" w:eastAsia="ru-RU"/>
        </w:rPr>
        <w:t>auditul</w:t>
      </w:r>
      <w:r w:rsidR="00866765" w:rsidRPr="000F7C41">
        <w:rPr>
          <w:rFonts w:asciiTheme="majorHAnsi" w:hAnsiTheme="majorHAnsi" w:cstheme="majorHAnsi"/>
          <w:color w:val="000000" w:themeColor="text1"/>
          <w:sz w:val="24"/>
          <w:szCs w:val="24"/>
          <w:lang w:val="ro-MD" w:eastAsia="ru-RU"/>
        </w:rPr>
        <w:t>ui</w:t>
      </w:r>
      <w:r w:rsidR="00DE506C" w:rsidRPr="000F7C41">
        <w:rPr>
          <w:rFonts w:asciiTheme="majorHAnsi" w:hAnsiTheme="majorHAnsi" w:cstheme="majorHAnsi"/>
          <w:color w:val="000000" w:themeColor="text1"/>
          <w:sz w:val="24"/>
          <w:szCs w:val="24"/>
          <w:lang w:val="ro-MD" w:eastAsia="ru-RU"/>
        </w:rPr>
        <w:t xml:space="preserve"> precedent al Curții de Conturi, </w:t>
      </w:r>
      <w:r w:rsidR="000504F5" w:rsidRPr="000F7C41">
        <w:rPr>
          <w:rFonts w:asciiTheme="majorHAnsi" w:hAnsiTheme="majorHAnsi" w:cstheme="majorHAnsi"/>
          <w:color w:val="000000" w:themeColor="text1"/>
          <w:sz w:val="24"/>
          <w:szCs w:val="24"/>
          <w:lang w:val="ro-MD" w:eastAsia="ru-RU"/>
        </w:rPr>
        <w:t>prezentul audit</w:t>
      </w:r>
      <w:r w:rsidR="00DE506C" w:rsidRPr="000F7C41">
        <w:rPr>
          <w:rFonts w:asciiTheme="majorHAnsi" w:hAnsiTheme="majorHAnsi" w:cstheme="majorHAnsi"/>
          <w:color w:val="000000" w:themeColor="text1"/>
          <w:sz w:val="24"/>
          <w:szCs w:val="24"/>
          <w:lang w:val="ro-MD" w:eastAsia="ru-RU"/>
        </w:rPr>
        <w:t xml:space="preserve"> denotă lipsa </w:t>
      </w:r>
      <w:r w:rsidR="00375A6E" w:rsidRPr="000F7C41">
        <w:rPr>
          <w:rFonts w:asciiTheme="majorHAnsi" w:hAnsiTheme="majorHAnsi" w:cstheme="majorHAnsi"/>
          <w:color w:val="000000" w:themeColor="text1"/>
          <w:sz w:val="24"/>
          <w:szCs w:val="24"/>
          <w:lang w:val="ro-MD" w:eastAsia="ru-RU"/>
        </w:rPr>
        <w:t>cadrului normativ</w:t>
      </w:r>
      <w:r w:rsidR="00DE506C" w:rsidRPr="000F7C41">
        <w:rPr>
          <w:rFonts w:asciiTheme="majorHAnsi" w:hAnsiTheme="majorHAnsi" w:cstheme="majorHAnsi"/>
          <w:color w:val="000000" w:themeColor="text1"/>
          <w:sz w:val="24"/>
          <w:szCs w:val="24"/>
          <w:lang w:val="ro-MD" w:eastAsia="ru-RU"/>
        </w:rPr>
        <w:t xml:space="preserve"> care ar autoriza MF cu atribuții de creare a rezervei de lichidități prin emiterea VMS. Potrivit </w:t>
      </w:r>
      <w:r w:rsidR="0014266E">
        <w:rPr>
          <w:rFonts w:asciiTheme="majorHAnsi" w:hAnsiTheme="majorHAnsi" w:cstheme="majorHAnsi"/>
          <w:color w:val="000000" w:themeColor="text1"/>
          <w:sz w:val="24"/>
          <w:szCs w:val="24"/>
          <w:lang w:val="ro-MD" w:eastAsia="ru-RU"/>
        </w:rPr>
        <w:t>explicațiilor</w:t>
      </w:r>
      <w:r w:rsidR="00DE506C" w:rsidRPr="000F7C41">
        <w:rPr>
          <w:rFonts w:asciiTheme="majorHAnsi" w:hAnsiTheme="majorHAnsi" w:cstheme="majorHAnsi"/>
          <w:color w:val="000000" w:themeColor="text1"/>
          <w:sz w:val="24"/>
          <w:szCs w:val="24"/>
          <w:lang w:val="ro-MD" w:eastAsia="ru-RU"/>
        </w:rPr>
        <w:t xml:space="preserve"> MF, </w:t>
      </w:r>
      <w:r w:rsidR="000B3AAE" w:rsidRPr="000F7C41">
        <w:rPr>
          <w:rFonts w:asciiTheme="majorHAnsi" w:hAnsiTheme="majorHAnsi" w:cstheme="majorHAnsi"/>
          <w:color w:val="000000" w:themeColor="text1"/>
          <w:sz w:val="24"/>
          <w:szCs w:val="24"/>
          <w:lang w:val="ro-MD" w:eastAsia="ru-RU"/>
        </w:rPr>
        <w:t xml:space="preserve">ca </w:t>
      </w:r>
      <w:r w:rsidR="00DE506C" w:rsidRPr="000F7C41">
        <w:rPr>
          <w:rFonts w:asciiTheme="majorHAnsi" w:hAnsiTheme="majorHAnsi" w:cstheme="majorHAnsi"/>
          <w:color w:val="000000" w:themeColor="text1"/>
          <w:sz w:val="24"/>
          <w:szCs w:val="24"/>
          <w:lang w:val="ro-MD" w:eastAsia="ru-RU"/>
        </w:rPr>
        <w:t xml:space="preserve">urmare </w:t>
      </w:r>
      <w:r w:rsidR="000B3AAE" w:rsidRPr="000F7C41">
        <w:rPr>
          <w:rFonts w:asciiTheme="majorHAnsi" w:hAnsiTheme="majorHAnsi" w:cstheme="majorHAnsi"/>
          <w:color w:val="000000" w:themeColor="text1"/>
          <w:sz w:val="24"/>
          <w:szCs w:val="24"/>
          <w:lang w:val="ro-MD" w:eastAsia="ru-RU"/>
        </w:rPr>
        <w:t xml:space="preserve">a </w:t>
      </w:r>
      <w:r w:rsidR="00DE506C" w:rsidRPr="000F7C41">
        <w:rPr>
          <w:rFonts w:asciiTheme="majorHAnsi" w:hAnsiTheme="majorHAnsi" w:cstheme="majorHAnsi"/>
          <w:color w:val="000000" w:themeColor="text1"/>
          <w:sz w:val="24"/>
          <w:szCs w:val="24"/>
          <w:lang w:val="ro-MD" w:eastAsia="ru-RU"/>
        </w:rPr>
        <w:t xml:space="preserve">recomandărilor auditului precedent, </w:t>
      </w:r>
      <w:r w:rsidR="000F7C41">
        <w:rPr>
          <w:rFonts w:asciiTheme="majorHAnsi" w:hAnsiTheme="majorHAnsi" w:cstheme="majorHAnsi"/>
          <w:color w:val="000000" w:themeColor="text1"/>
          <w:sz w:val="24"/>
          <w:szCs w:val="24"/>
          <w:lang w:val="ro-MD" w:eastAsia="ru-RU"/>
        </w:rPr>
        <w:t>„</w:t>
      </w:r>
      <w:r w:rsidR="00077A89" w:rsidRPr="000F7C41">
        <w:rPr>
          <w:rFonts w:asciiTheme="majorHAnsi" w:hAnsiTheme="majorHAnsi" w:cstheme="majorHAnsi"/>
          <w:i/>
          <w:color w:val="000000" w:themeColor="text1"/>
          <w:sz w:val="24"/>
          <w:szCs w:val="24"/>
          <w:lang w:val="ro-MD" w:eastAsia="ru-RU"/>
        </w:rPr>
        <w:t xml:space="preserve">a fost elaborat și prezentat Guvernului proiectul de lege pentru </w:t>
      </w:r>
      <w:r w:rsidR="004B228A" w:rsidRPr="000F7C41">
        <w:rPr>
          <w:rFonts w:asciiTheme="majorHAnsi" w:hAnsiTheme="majorHAnsi" w:cstheme="majorHAnsi"/>
          <w:i/>
          <w:color w:val="000000" w:themeColor="text1"/>
          <w:sz w:val="24"/>
          <w:szCs w:val="24"/>
          <w:lang w:val="ro-MD" w:eastAsia="ru-RU"/>
        </w:rPr>
        <w:t>modificarea unor acte normative</w:t>
      </w:r>
      <w:r w:rsidR="000F7C41" w:rsidRPr="000F7C41">
        <w:rPr>
          <w:rFonts w:asciiTheme="majorHAnsi" w:hAnsiTheme="majorHAnsi" w:cstheme="majorHAnsi"/>
          <w:i/>
          <w:color w:val="000000" w:themeColor="text1"/>
          <w:sz w:val="24"/>
          <w:szCs w:val="24"/>
          <w:lang w:val="ro-MD" w:eastAsia="ru-RU"/>
        </w:rPr>
        <w:t xml:space="preserve"> (număr unic 654/MF/2020), care prevede și completarea Legii nr.419/2006 „Cu privire la datoria sectorului public, garanțiile de stat și recreditarea de stat</w:t>
      </w:r>
      <w:r>
        <w:rPr>
          <w:rFonts w:asciiTheme="majorHAnsi" w:hAnsiTheme="majorHAnsi" w:cstheme="majorHAnsi"/>
          <w:i/>
          <w:color w:val="000000" w:themeColor="text1"/>
          <w:sz w:val="24"/>
          <w:szCs w:val="24"/>
          <w:lang w:val="ro-MD" w:eastAsia="ru-RU"/>
        </w:rPr>
        <w:t>”</w:t>
      </w:r>
      <w:r w:rsidR="000F7C41" w:rsidRPr="000F7C41">
        <w:rPr>
          <w:rFonts w:asciiTheme="majorHAnsi" w:hAnsiTheme="majorHAnsi" w:cstheme="majorHAnsi"/>
          <w:i/>
          <w:color w:val="000000" w:themeColor="text1"/>
          <w:sz w:val="24"/>
          <w:szCs w:val="24"/>
          <w:lang w:val="ro-MD" w:eastAsia="ru-RU"/>
        </w:rPr>
        <w:t xml:space="preserve"> și a Legii finanțelor publice și responsabilității bugetar-fiscale nr.181/2014 cu reglementări privind emiterea valorilor imobiliare de stat pentru crearea rezervei de lichiditate și a direcțiilor de utilizare a acestora. Proiectul a fost remis spre avizare și supus expertizei anticorupție de către CNA</w:t>
      </w:r>
      <w:r w:rsidR="000F7C41">
        <w:rPr>
          <w:rFonts w:asciiTheme="majorHAnsi" w:hAnsiTheme="majorHAnsi" w:cstheme="majorHAnsi"/>
          <w:i/>
          <w:color w:val="000000" w:themeColor="text1"/>
          <w:sz w:val="24"/>
          <w:szCs w:val="24"/>
          <w:lang w:val="ro-MD" w:eastAsia="ru-RU"/>
        </w:rPr>
        <w:t>, fiind definitivat în baza avizelor recepționate de la părțile interesate (MEI, MJ, BNM) și urmează a fi prezentat Guvernului nou pentru examinare și aprobare</w:t>
      </w:r>
      <w:r>
        <w:rPr>
          <w:rFonts w:asciiTheme="majorHAnsi" w:hAnsiTheme="majorHAnsi" w:cstheme="majorHAnsi"/>
          <w:i/>
          <w:color w:val="000000" w:themeColor="text1"/>
          <w:sz w:val="24"/>
          <w:szCs w:val="24"/>
          <w:lang w:val="ro-MD" w:eastAsia="ru-RU"/>
        </w:rPr>
        <w:t>.</w:t>
      </w:r>
      <w:r w:rsidR="000F7C41">
        <w:rPr>
          <w:rFonts w:asciiTheme="majorHAnsi" w:hAnsiTheme="majorHAnsi" w:cstheme="majorHAnsi"/>
          <w:i/>
          <w:color w:val="000000" w:themeColor="text1"/>
          <w:sz w:val="24"/>
          <w:szCs w:val="24"/>
          <w:lang w:val="ro-MD" w:eastAsia="ru-RU"/>
        </w:rPr>
        <w:t xml:space="preserve">”. </w:t>
      </w:r>
    </w:p>
    <w:p w14:paraId="391FC3D9" w14:textId="5421DB00" w:rsidR="00493D2F" w:rsidRPr="00421B4C" w:rsidRDefault="00856FF2" w:rsidP="00FB1205">
      <w:pPr>
        <w:pStyle w:val="af3"/>
        <w:spacing w:after="240" w:line="276" w:lineRule="auto"/>
        <w:jc w:val="both"/>
        <w:rPr>
          <w:rFonts w:asciiTheme="majorHAnsi" w:hAnsiTheme="majorHAnsi" w:cstheme="majorHAnsi"/>
          <w:b/>
          <w:i/>
          <w:sz w:val="24"/>
          <w:szCs w:val="24"/>
          <w:lang w:val="ro-MD" w:eastAsia="ru-RU"/>
        </w:rPr>
      </w:pPr>
      <w:r>
        <w:rPr>
          <w:rFonts w:asciiTheme="majorHAnsi" w:hAnsiTheme="majorHAnsi" w:cstheme="majorHAnsi"/>
          <w:sz w:val="24"/>
          <w:szCs w:val="24"/>
          <w:lang w:val="ro-MD" w:eastAsia="ru-RU"/>
        </w:rPr>
        <w:lastRenderedPageBreak/>
        <w:t>Auditul relevă că</w:t>
      </w:r>
      <w:r w:rsidR="007F64AA">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la situația din 31.12.2020</w:t>
      </w:r>
      <w:r w:rsidR="002E6424">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soldul </w:t>
      </w:r>
      <w:r w:rsidR="00493D2F" w:rsidRPr="00493D2F">
        <w:rPr>
          <w:rFonts w:asciiTheme="majorHAnsi" w:hAnsiTheme="majorHAnsi" w:cstheme="majorHAnsi"/>
          <w:b/>
          <w:i/>
          <w:sz w:val="24"/>
          <w:szCs w:val="24"/>
          <w:lang w:val="ro-MD" w:eastAsia="ru-RU"/>
        </w:rPr>
        <w:t>VMS convertite</w:t>
      </w:r>
      <w:r w:rsidR="00421B4C" w:rsidRPr="00421B4C">
        <w:rPr>
          <w:rFonts w:asciiTheme="majorHAnsi" w:hAnsiTheme="majorHAnsi" w:cstheme="majorHAnsi"/>
          <w:sz w:val="24"/>
          <w:szCs w:val="24"/>
          <w:lang w:val="ro-MD" w:eastAsia="ru-RU"/>
        </w:rPr>
        <w:t>,</w:t>
      </w:r>
      <w:r w:rsidR="00421B4C">
        <w:rPr>
          <w:rFonts w:asciiTheme="majorHAnsi" w:hAnsiTheme="majorHAnsi" w:cstheme="majorHAnsi"/>
          <w:b/>
          <w:i/>
          <w:sz w:val="24"/>
          <w:szCs w:val="24"/>
          <w:lang w:val="ro-MD" w:eastAsia="ru-RU"/>
        </w:rPr>
        <w:t xml:space="preserve"> </w:t>
      </w:r>
      <w:r w:rsidR="00421B4C">
        <w:rPr>
          <w:rFonts w:asciiTheme="majorHAnsi" w:hAnsiTheme="majorHAnsi" w:cstheme="majorHAnsi"/>
          <w:sz w:val="24"/>
          <w:szCs w:val="24"/>
          <w:lang w:val="ro-MD" w:eastAsia="ru-RU"/>
        </w:rPr>
        <w:t>care reprezintă soldul împrumuturilor contractate anterior de la BN</w:t>
      </w:r>
      <w:r w:rsidR="002E6424">
        <w:rPr>
          <w:rFonts w:asciiTheme="majorHAnsi" w:hAnsiTheme="majorHAnsi" w:cstheme="majorHAnsi"/>
          <w:sz w:val="24"/>
          <w:szCs w:val="24"/>
          <w:lang w:val="ro-MD" w:eastAsia="ru-RU"/>
        </w:rPr>
        <w:t xml:space="preserve">M, </w:t>
      </w:r>
      <w:r>
        <w:rPr>
          <w:rFonts w:asciiTheme="majorHAnsi" w:hAnsiTheme="majorHAnsi" w:cstheme="majorHAnsi"/>
          <w:sz w:val="24"/>
          <w:szCs w:val="24"/>
          <w:lang w:val="ro-MD" w:eastAsia="ru-RU"/>
        </w:rPr>
        <w:t xml:space="preserve">a </w:t>
      </w:r>
      <w:r w:rsidR="002E6424">
        <w:rPr>
          <w:rFonts w:asciiTheme="majorHAnsi" w:hAnsiTheme="majorHAnsi" w:cstheme="majorHAnsi"/>
          <w:sz w:val="24"/>
          <w:szCs w:val="24"/>
          <w:lang w:val="ro-MD" w:eastAsia="ru-RU"/>
        </w:rPr>
        <w:t>constitui</w:t>
      </w:r>
      <w:r>
        <w:rPr>
          <w:rFonts w:asciiTheme="majorHAnsi" w:hAnsiTheme="majorHAnsi" w:cstheme="majorHAnsi"/>
          <w:sz w:val="24"/>
          <w:szCs w:val="24"/>
          <w:lang w:val="ro-MD" w:eastAsia="ru-RU"/>
        </w:rPr>
        <w:t>t</w:t>
      </w:r>
      <w:r w:rsidR="002E6424">
        <w:rPr>
          <w:rFonts w:asciiTheme="majorHAnsi" w:hAnsiTheme="majorHAnsi" w:cstheme="majorHAnsi"/>
          <w:sz w:val="24"/>
          <w:szCs w:val="24"/>
          <w:lang w:val="ro-MD" w:eastAsia="ru-RU"/>
        </w:rPr>
        <w:t xml:space="preserve"> 2 063,4 mil. lei</w:t>
      </w:r>
      <w:r>
        <w:rPr>
          <w:rFonts w:asciiTheme="majorHAnsi" w:hAnsiTheme="majorHAnsi" w:cstheme="majorHAnsi"/>
          <w:sz w:val="24"/>
          <w:szCs w:val="24"/>
          <w:lang w:val="ro-MD" w:eastAsia="ru-RU"/>
        </w:rPr>
        <w:t xml:space="preserve">, care comparativ cu anii precedenți, se menține constant. </w:t>
      </w:r>
      <w:r w:rsidR="00493D2F">
        <w:rPr>
          <w:rFonts w:asciiTheme="majorHAnsi" w:hAnsiTheme="majorHAnsi" w:cstheme="majorHAnsi"/>
          <w:sz w:val="24"/>
          <w:szCs w:val="24"/>
          <w:lang w:val="ro-MD" w:eastAsia="ru-RU"/>
        </w:rPr>
        <w:t>Pe parcursul anului</w:t>
      </w:r>
      <w:r w:rsidR="002E6424">
        <w:rPr>
          <w:rFonts w:asciiTheme="majorHAnsi" w:hAnsiTheme="majorHAnsi" w:cstheme="majorHAnsi"/>
          <w:sz w:val="24"/>
          <w:szCs w:val="24"/>
          <w:lang w:val="ro-MD" w:eastAsia="ru-RU"/>
        </w:rPr>
        <w:t xml:space="preserve"> 2020</w:t>
      </w:r>
      <w:r w:rsidR="006725A3">
        <w:rPr>
          <w:rFonts w:asciiTheme="majorHAnsi" w:hAnsiTheme="majorHAnsi" w:cstheme="majorHAnsi"/>
          <w:sz w:val="24"/>
          <w:szCs w:val="24"/>
          <w:lang w:val="ro-MD" w:eastAsia="ru-RU"/>
        </w:rPr>
        <w:t xml:space="preserve">, </w:t>
      </w:r>
      <w:r w:rsidR="006725A3" w:rsidRPr="0087755C">
        <w:rPr>
          <w:rFonts w:asciiTheme="majorHAnsi" w:hAnsiTheme="majorHAnsi" w:cstheme="majorHAnsi"/>
          <w:sz w:val="24"/>
          <w:szCs w:val="24"/>
          <w:lang w:val="ro-MD" w:eastAsia="ru-RU"/>
        </w:rPr>
        <w:t>în baza Acordului privind reemisiunea VMS din 08 februarie 2019</w:t>
      </w:r>
      <w:r w:rsidR="0087755C" w:rsidRPr="0087755C">
        <w:rPr>
          <w:rStyle w:val="a6"/>
          <w:rFonts w:asciiTheme="majorHAnsi" w:hAnsiTheme="majorHAnsi" w:cstheme="majorHAnsi"/>
          <w:sz w:val="24"/>
          <w:szCs w:val="24"/>
          <w:lang w:val="ro-MD" w:eastAsia="ru-RU"/>
        </w:rPr>
        <w:footnoteReference w:id="12"/>
      </w:r>
      <w:r w:rsidR="000B3AAE" w:rsidRPr="0087755C">
        <w:rPr>
          <w:rFonts w:asciiTheme="majorHAnsi" w:hAnsiTheme="majorHAnsi" w:cstheme="majorHAnsi"/>
          <w:sz w:val="24"/>
          <w:szCs w:val="24"/>
          <w:lang w:val="ro-MD" w:eastAsia="ru-RU"/>
        </w:rPr>
        <w:t>,</w:t>
      </w:r>
      <w:r w:rsidR="006725A3" w:rsidRPr="0087755C">
        <w:rPr>
          <w:rFonts w:asciiTheme="majorHAnsi" w:hAnsiTheme="majorHAnsi" w:cstheme="majorHAnsi"/>
          <w:sz w:val="24"/>
          <w:szCs w:val="24"/>
          <w:lang w:val="ro-MD" w:eastAsia="ru-RU"/>
        </w:rPr>
        <w:t xml:space="preserve"> încheiat între MF și BNM,</w:t>
      </w:r>
      <w:r w:rsidR="00493D2F">
        <w:rPr>
          <w:rFonts w:asciiTheme="majorHAnsi" w:hAnsiTheme="majorHAnsi" w:cstheme="majorHAnsi"/>
          <w:sz w:val="24"/>
          <w:szCs w:val="24"/>
          <w:lang w:val="ro-MD" w:eastAsia="ru-RU"/>
        </w:rPr>
        <w:t xml:space="preserve"> au fost reemise și răscumpărate VMS convertite în sumă totală de </w:t>
      </w:r>
      <w:r w:rsidR="00FE0F2F">
        <w:rPr>
          <w:rFonts w:asciiTheme="majorHAnsi" w:hAnsiTheme="majorHAnsi" w:cstheme="majorHAnsi"/>
          <w:sz w:val="24"/>
          <w:szCs w:val="24"/>
          <w:lang w:val="ro-MD" w:eastAsia="ru-RU"/>
        </w:rPr>
        <w:t>160,4</w:t>
      </w:r>
      <w:r w:rsidR="00493D2F">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sidR="00493D2F">
        <w:rPr>
          <w:rFonts w:asciiTheme="majorHAnsi" w:hAnsiTheme="majorHAnsi" w:cstheme="majorHAnsi"/>
          <w:sz w:val="24"/>
          <w:szCs w:val="24"/>
          <w:lang w:val="ro-MD" w:eastAsia="ru-RU"/>
        </w:rPr>
        <w:t>.</w:t>
      </w:r>
      <w:r w:rsidR="00FE0F2F">
        <w:rPr>
          <w:rFonts w:asciiTheme="majorHAnsi" w:hAnsiTheme="majorHAnsi" w:cstheme="majorHAnsi"/>
          <w:sz w:val="24"/>
          <w:szCs w:val="24"/>
          <w:lang w:val="ro-MD" w:eastAsia="ru-RU"/>
        </w:rPr>
        <w:t xml:space="preserve"> T</w:t>
      </w:r>
      <w:r w:rsidR="00F63797">
        <w:rPr>
          <w:rFonts w:asciiTheme="majorHAnsi" w:hAnsiTheme="majorHAnsi" w:cstheme="majorHAnsi"/>
          <w:sz w:val="24"/>
          <w:szCs w:val="24"/>
          <w:lang w:val="ro-MD" w:eastAsia="ru-RU"/>
        </w:rPr>
        <w:t xml:space="preserve">otodată, în anul 2020, reemisiunea VMS convertite a fost efectuată </w:t>
      </w:r>
      <w:r w:rsidR="0024039A">
        <w:rPr>
          <w:rFonts w:asciiTheme="majorHAnsi" w:hAnsiTheme="majorHAnsi" w:cstheme="majorHAnsi"/>
          <w:sz w:val="24"/>
          <w:szCs w:val="24"/>
          <w:lang w:val="ro-MD" w:eastAsia="ru-RU"/>
        </w:rPr>
        <w:t xml:space="preserve">pe </w:t>
      </w:r>
      <w:r w:rsidR="00F63797">
        <w:rPr>
          <w:rFonts w:asciiTheme="majorHAnsi" w:hAnsiTheme="majorHAnsi" w:cstheme="majorHAnsi"/>
          <w:sz w:val="24"/>
          <w:szCs w:val="24"/>
          <w:lang w:val="ro-MD" w:eastAsia="ru-RU"/>
        </w:rPr>
        <w:t>2 ani.</w:t>
      </w:r>
      <w:r w:rsidR="00493D2F">
        <w:rPr>
          <w:rFonts w:asciiTheme="majorHAnsi" w:hAnsiTheme="majorHAnsi" w:cstheme="majorHAnsi"/>
          <w:sz w:val="24"/>
          <w:szCs w:val="24"/>
          <w:lang w:val="ro-MD" w:eastAsia="ru-RU"/>
        </w:rPr>
        <w:t xml:space="preserve"> Astfel, la situația din 31.12.20</w:t>
      </w:r>
      <w:r w:rsidR="00F63797">
        <w:rPr>
          <w:rFonts w:asciiTheme="majorHAnsi" w:hAnsiTheme="majorHAnsi" w:cstheme="majorHAnsi"/>
          <w:sz w:val="24"/>
          <w:szCs w:val="24"/>
          <w:lang w:val="ro-MD" w:eastAsia="ru-RU"/>
        </w:rPr>
        <w:t>20</w:t>
      </w:r>
      <w:r w:rsidR="00493D2F">
        <w:rPr>
          <w:rFonts w:asciiTheme="majorHAnsi" w:hAnsiTheme="majorHAnsi" w:cstheme="majorHAnsi"/>
          <w:sz w:val="24"/>
          <w:szCs w:val="24"/>
          <w:lang w:val="ro-MD" w:eastAsia="ru-RU"/>
        </w:rPr>
        <w:t xml:space="preserve">, VMS convertite au constituit 2 063,4 </w:t>
      </w:r>
      <w:r w:rsidR="009B5172">
        <w:rPr>
          <w:rFonts w:asciiTheme="majorHAnsi" w:hAnsiTheme="majorHAnsi" w:cstheme="majorHAnsi"/>
          <w:sz w:val="24"/>
          <w:szCs w:val="24"/>
          <w:lang w:val="ro-MD" w:eastAsia="ru-RU"/>
        </w:rPr>
        <w:t>mil. lei</w:t>
      </w:r>
      <w:r w:rsidR="00F63797">
        <w:rPr>
          <w:rFonts w:asciiTheme="majorHAnsi" w:hAnsiTheme="majorHAnsi" w:cstheme="majorHAnsi"/>
          <w:sz w:val="24"/>
          <w:szCs w:val="24"/>
          <w:lang w:val="ro-MD" w:eastAsia="ru-RU"/>
        </w:rPr>
        <w:t>, ceea ce reprezintă 7,1% din soldul datoriei de stat interne.</w:t>
      </w:r>
    </w:p>
    <w:p w14:paraId="7CE3CBF4" w14:textId="664BD364" w:rsidR="002E6424" w:rsidRDefault="006725A3" w:rsidP="00FB1205">
      <w:pPr>
        <w:pStyle w:val="af3"/>
        <w:spacing w:after="240" w:line="276" w:lineRule="auto"/>
        <w:jc w:val="both"/>
        <w:rPr>
          <w:rFonts w:asciiTheme="majorHAnsi" w:hAnsiTheme="majorHAnsi" w:cstheme="majorHAnsi"/>
          <w:sz w:val="24"/>
          <w:szCs w:val="24"/>
          <w:lang w:val="ro-MD" w:eastAsia="ru-RU"/>
        </w:rPr>
      </w:pPr>
      <w:r w:rsidRPr="00CA3316">
        <w:rPr>
          <w:rFonts w:asciiTheme="majorHAnsi" w:hAnsiTheme="majorHAnsi" w:cstheme="majorHAnsi"/>
          <w:b/>
          <w:i/>
          <w:sz w:val="24"/>
          <w:szCs w:val="24"/>
          <w:lang w:val="ro-MD" w:eastAsia="ru-RU"/>
        </w:rPr>
        <w:t>VMS emise pentru</w:t>
      </w:r>
      <w:r w:rsidR="00CA3316" w:rsidRPr="00CA3316">
        <w:rPr>
          <w:rFonts w:asciiTheme="majorHAnsi" w:hAnsiTheme="majorHAnsi" w:cstheme="majorHAnsi"/>
          <w:b/>
          <w:i/>
          <w:sz w:val="24"/>
          <w:szCs w:val="24"/>
          <w:lang w:val="ro-MD" w:eastAsia="ru-RU"/>
        </w:rPr>
        <w:t xml:space="preserve"> executarea obligațiilor de plată derivate din garanțiile de stat</w:t>
      </w:r>
      <w:r w:rsidR="00CA3316">
        <w:rPr>
          <w:rFonts w:asciiTheme="majorHAnsi" w:hAnsiTheme="majorHAnsi" w:cstheme="majorHAnsi"/>
          <w:sz w:val="24"/>
          <w:szCs w:val="24"/>
          <w:lang w:val="ro-MD" w:eastAsia="ru-RU"/>
        </w:rPr>
        <w:t xml:space="preserve">, </w:t>
      </w:r>
      <w:r w:rsidR="001E4050">
        <w:rPr>
          <w:rFonts w:asciiTheme="majorHAnsi" w:hAnsiTheme="majorHAnsi" w:cstheme="majorHAnsi"/>
          <w:sz w:val="24"/>
          <w:szCs w:val="24"/>
          <w:lang w:val="ro-MD" w:eastAsia="ru-RU"/>
        </w:rPr>
        <w:t>la situația din 01.01.20</w:t>
      </w:r>
      <w:r w:rsidR="00ED63E6">
        <w:rPr>
          <w:rFonts w:asciiTheme="majorHAnsi" w:hAnsiTheme="majorHAnsi" w:cstheme="majorHAnsi"/>
          <w:sz w:val="24"/>
          <w:szCs w:val="24"/>
          <w:lang w:val="ro-MD" w:eastAsia="ru-RU"/>
        </w:rPr>
        <w:t>20</w:t>
      </w:r>
      <w:r w:rsidR="00CA3316">
        <w:rPr>
          <w:rFonts w:asciiTheme="majorHAnsi" w:hAnsiTheme="majorHAnsi" w:cstheme="majorHAnsi"/>
          <w:sz w:val="24"/>
          <w:szCs w:val="24"/>
          <w:lang w:val="ro-MD" w:eastAsia="ru-RU"/>
        </w:rPr>
        <w:t>,</w:t>
      </w:r>
      <w:r w:rsidR="001E4050">
        <w:rPr>
          <w:rFonts w:asciiTheme="majorHAnsi" w:hAnsiTheme="majorHAnsi" w:cstheme="majorHAnsi"/>
          <w:sz w:val="24"/>
          <w:szCs w:val="24"/>
          <w:lang w:val="ro-MD" w:eastAsia="ru-RU"/>
        </w:rPr>
        <w:t xml:space="preserve"> </w:t>
      </w:r>
      <w:r w:rsidR="00CA3316">
        <w:rPr>
          <w:rFonts w:asciiTheme="majorHAnsi" w:hAnsiTheme="majorHAnsi" w:cstheme="majorHAnsi"/>
          <w:sz w:val="24"/>
          <w:szCs w:val="24"/>
          <w:lang w:val="ro-MD" w:eastAsia="ru-RU"/>
        </w:rPr>
        <w:t xml:space="preserve">au constituit </w:t>
      </w:r>
      <w:r w:rsidR="00ED63E6">
        <w:rPr>
          <w:rFonts w:asciiTheme="majorHAnsi" w:hAnsiTheme="majorHAnsi" w:cstheme="majorHAnsi"/>
          <w:sz w:val="24"/>
          <w:szCs w:val="24"/>
          <w:lang w:val="ro-MD" w:eastAsia="ru-RU"/>
        </w:rPr>
        <w:t>12 851,2 mil.lei</w:t>
      </w:r>
      <w:r w:rsidR="007F64AA">
        <w:rPr>
          <w:rFonts w:asciiTheme="majorHAnsi" w:hAnsiTheme="majorHAnsi" w:cstheme="majorHAnsi"/>
          <w:sz w:val="24"/>
          <w:szCs w:val="24"/>
          <w:lang w:val="ro-MD" w:eastAsia="ru-RU"/>
        </w:rPr>
        <w:t>,</w:t>
      </w:r>
      <w:r w:rsidR="00ED63E6">
        <w:rPr>
          <w:rFonts w:asciiTheme="majorHAnsi" w:hAnsiTheme="majorHAnsi" w:cstheme="majorHAnsi"/>
          <w:sz w:val="24"/>
          <w:szCs w:val="24"/>
          <w:lang w:val="ro-MD" w:eastAsia="ru-RU"/>
        </w:rPr>
        <w:t xml:space="preserve"> ceea ce reprezintă 54,7% din soldul datoriei de stat interne</w:t>
      </w:r>
      <w:r w:rsidR="00CA3316">
        <w:rPr>
          <w:rFonts w:asciiTheme="majorHAnsi" w:hAnsiTheme="majorHAnsi" w:cstheme="majorHAnsi"/>
          <w:sz w:val="24"/>
          <w:szCs w:val="24"/>
          <w:lang w:val="ro-MD" w:eastAsia="ru-RU"/>
        </w:rPr>
        <w:t>.</w:t>
      </w:r>
      <w:r w:rsidR="00B85E1C">
        <w:rPr>
          <w:rFonts w:asciiTheme="majorHAnsi" w:hAnsiTheme="majorHAnsi" w:cstheme="majorHAnsi"/>
          <w:sz w:val="24"/>
          <w:szCs w:val="24"/>
          <w:lang w:val="ro-MD" w:eastAsia="ru-RU"/>
        </w:rPr>
        <w:t xml:space="preserve"> Conform graficului, în luna octombrie au fost răscumpărate </w:t>
      </w:r>
      <w:r w:rsidR="00ED63E6">
        <w:rPr>
          <w:rFonts w:asciiTheme="majorHAnsi" w:hAnsiTheme="majorHAnsi" w:cstheme="majorHAnsi"/>
          <w:sz w:val="24"/>
          <w:szCs w:val="24"/>
          <w:lang w:val="ro-MD" w:eastAsia="ru-RU"/>
        </w:rPr>
        <w:t>OS cu termenul de maturitate de 4 ani</w:t>
      </w:r>
      <w:r w:rsidR="00B85E1C">
        <w:rPr>
          <w:rFonts w:asciiTheme="majorHAnsi" w:hAnsiTheme="majorHAnsi" w:cstheme="majorHAnsi"/>
          <w:sz w:val="24"/>
          <w:szCs w:val="24"/>
          <w:lang w:val="ro-MD" w:eastAsia="ru-RU"/>
        </w:rPr>
        <w:t xml:space="preserve"> în sumă de 2</w:t>
      </w:r>
      <w:r w:rsidR="00ED63E6">
        <w:rPr>
          <w:rFonts w:asciiTheme="majorHAnsi" w:hAnsiTheme="majorHAnsi" w:cstheme="majorHAnsi"/>
          <w:sz w:val="24"/>
          <w:szCs w:val="24"/>
          <w:lang w:val="ro-MD" w:eastAsia="ru-RU"/>
        </w:rPr>
        <w:t>4</w:t>
      </w:r>
      <w:r w:rsidR="00B85E1C">
        <w:rPr>
          <w:rFonts w:asciiTheme="majorHAnsi" w:hAnsiTheme="majorHAnsi" w:cstheme="majorHAnsi"/>
          <w:sz w:val="24"/>
          <w:szCs w:val="24"/>
          <w:lang w:val="ro-MD" w:eastAsia="ru-RU"/>
        </w:rPr>
        <w:t xml:space="preserve">0,0 </w:t>
      </w:r>
      <w:r w:rsidR="009B5172">
        <w:rPr>
          <w:rFonts w:asciiTheme="majorHAnsi" w:hAnsiTheme="majorHAnsi" w:cstheme="majorHAnsi"/>
          <w:sz w:val="24"/>
          <w:szCs w:val="24"/>
          <w:lang w:val="ro-MD" w:eastAsia="ru-RU"/>
        </w:rPr>
        <w:t>mil. lei</w:t>
      </w:r>
      <w:r w:rsidR="006F1A60">
        <w:rPr>
          <w:rFonts w:asciiTheme="majorHAnsi" w:hAnsiTheme="majorHAnsi" w:cstheme="majorHAnsi"/>
          <w:sz w:val="24"/>
          <w:szCs w:val="24"/>
          <w:lang w:val="ro-MD" w:eastAsia="ru-RU"/>
        </w:rPr>
        <w:t>.</w:t>
      </w:r>
      <w:r w:rsidR="000B3AAE">
        <w:rPr>
          <w:rFonts w:asciiTheme="majorHAnsi" w:hAnsiTheme="majorHAnsi" w:cstheme="majorHAnsi"/>
          <w:sz w:val="24"/>
          <w:szCs w:val="24"/>
          <w:lang w:val="ro-MD" w:eastAsia="ru-RU"/>
        </w:rPr>
        <w:t xml:space="preserve"> </w:t>
      </w:r>
      <w:r w:rsidR="006F1A60">
        <w:rPr>
          <w:rFonts w:asciiTheme="majorHAnsi" w:hAnsiTheme="majorHAnsi" w:cstheme="majorHAnsi"/>
          <w:sz w:val="24"/>
          <w:szCs w:val="24"/>
          <w:lang w:val="ro-MD" w:eastAsia="ru-RU"/>
        </w:rPr>
        <w:t>A</w:t>
      </w:r>
      <w:r w:rsidR="000B3AAE">
        <w:rPr>
          <w:rFonts w:asciiTheme="majorHAnsi" w:hAnsiTheme="majorHAnsi" w:cstheme="majorHAnsi"/>
          <w:sz w:val="24"/>
          <w:szCs w:val="24"/>
          <w:lang w:val="ro-MD" w:eastAsia="ru-RU"/>
        </w:rPr>
        <w:t>stfel</w:t>
      </w:r>
      <w:r w:rsidR="006F1A60">
        <w:rPr>
          <w:rFonts w:asciiTheme="majorHAnsi" w:hAnsiTheme="majorHAnsi" w:cstheme="majorHAnsi"/>
          <w:sz w:val="24"/>
          <w:szCs w:val="24"/>
          <w:lang w:val="ro-MD" w:eastAsia="ru-RU"/>
        </w:rPr>
        <w:t>,</w:t>
      </w:r>
      <w:r w:rsidR="00B85E1C">
        <w:rPr>
          <w:rFonts w:asciiTheme="majorHAnsi" w:hAnsiTheme="majorHAnsi" w:cstheme="majorHAnsi"/>
          <w:sz w:val="24"/>
          <w:szCs w:val="24"/>
          <w:lang w:val="ro-MD" w:eastAsia="ru-RU"/>
        </w:rPr>
        <w:t xml:space="preserve"> soldul </w:t>
      </w:r>
      <w:r w:rsidR="00CA3316" w:rsidRPr="00CA3316">
        <w:rPr>
          <w:rFonts w:asciiTheme="majorHAnsi" w:hAnsiTheme="majorHAnsi" w:cstheme="majorHAnsi"/>
          <w:sz w:val="24"/>
          <w:szCs w:val="24"/>
          <w:lang w:val="ro-MD" w:eastAsia="ru-RU"/>
        </w:rPr>
        <w:t xml:space="preserve">VMS emise pentru </w:t>
      </w:r>
      <w:r w:rsidR="00CA3316">
        <w:rPr>
          <w:rFonts w:asciiTheme="majorHAnsi" w:hAnsiTheme="majorHAnsi" w:cstheme="majorHAnsi"/>
          <w:sz w:val="24"/>
          <w:szCs w:val="24"/>
          <w:lang w:val="ro-MD" w:eastAsia="ru-RU"/>
        </w:rPr>
        <w:t>executarea obligațiilor de plată derivate din garanțiile de stat</w:t>
      </w:r>
      <w:r w:rsidR="00B85E1C">
        <w:rPr>
          <w:rFonts w:asciiTheme="majorHAnsi" w:hAnsiTheme="majorHAnsi" w:cstheme="majorHAnsi"/>
          <w:sz w:val="24"/>
          <w:szCs w:val="24"/>
          <w:lang w:val="ro-MD" w:eastAsia="ru-RU"/>
        </w:rPr>
        <w:t xml:space="preserve">, la </w:t>
      </w:r>
      <w:r w:rsidR="000B3AAE">
        <w:rPr>
          <w:rFonts w:asciiTheme="majorHAnsi" w:hAnsiTheme="majorHAnsi" w:cstheme="majorHAnsi"/>
          <w:sz w:val="24"/>
          <w:szCs w:val="24"/>
          <w:lang w:val="ro-MD" w:eastAsia="ru-RU"/>
        </w:rPr>
        <w:t xml:space="preserve">situația din </w:t>
      </w:r>
      <w:r w:rsidR="00B85E1C">
        <w:rPr>
          <w:rFonts w:asciiTheme="majorHAnsi" w:hAnsiTheme="majorHAnsi" w:cstheme="majorHAnsi"/>
          <w:sz w:val="24"/>
          <w:szCs w:val="24"/>
          <w:lang w:val="ro-MD" w:eastAsia="ru-RU"/>
        </w:rPr>
        <w:t>31.12.20</w:t>
      </w:r>
      <w:r w:rsidR="006F1A60">
        <w:rPr>
          <w:rFonts w:asciiTheme="majorHAnsi" w:hAnsiTheme="majorHAnsi" w:cstheme="majorHAnsi"/>
          <w:sz w:val="24"/>
          <w:szCs w:val="24"/>
          <w:lang w:val="ro-MD" w:eastAsia="ru-RU"/>
        </w:rPr>
        <w:t>20</w:t>
      </w:r>
      <w:r w:rsidR="00B85E1C">
        <w:rPr>
          <w:rFonts w:asciiTheme="majorHAnsi" w:hAnsiTheme="majorHAnsi" w:cstheme="majorHAnsi"/>
          <w:sz w:val="24"/>
          <w:szCs w:val="24"/>
          <w:lang w:val="ro-MD" w:eastAsia="ru-RU"/>
        </w:rPr>
        <w:t xml:space="preserve">, a constituit 12 </w:t>
      </w:r>
      <w:r w:rsidR="006F1A60">
        <w:rPr>
          <w:rFonts w:asciiTheme="majorHAnsi" w:hAnsiTheme="majorHAnsi" w:cstheme="majorHAnsi"/>
          <w:sz w:val="24"/>
          <w:szCs w:val="24"/>
          <w:lang w:val="ro-MD" w:eastAsia="ru-RU"/>
        </w:rPr>
        <w:t>611,2</w:t>
      </w:r>
      <w:r w:rsidR="00B85E1C">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sidR="006F1A60">
        <w:rPr>
          <w:rFonts w:asciiTheme="majorHAnsi" w:hAnsiTheme="majorHAnsi" w:cstheme="majorHAnsi"/>
          <w:sz w:val="24"/>
          <w:szCs w:val="24"/>
          <w:lang w:val="ro-MD" w:eastAsia="ru-RU"/>
        </w:rPr>
        <w:t>, ceea ce reprezintă 43,1% din datoria de stat internă.</w:t>
      </w:r>
      <w:r w:rsidR="00664F10">
        <w:rPr>
          <w:rFonts w:asciiTheme="majorHAnsi" w:hAnsiTheme="majorHAnsi" w:cstheme="majorHAnsi"/>
          <w:sz w:val="24"/>
          <w:szCs w:val="24"/>
          <w:lang w:val="ro-MD" w:eastAsia="ru-RU"/>
        </w:rPr>
        <w:t xml:space="preserve"> </w:t>
      </w:r>
    </w:p>
    <w:p w14:paraId="145DD800" w14:textId="01F0F114" w:rsidR="00F3118B" w:rsidRPr="00CC3E1D" w:rsidRDefault="00664F10" w:rsidP="00FB1205">
      <w:pPr>
        <w:pStyle w:val="af3"/>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Pentru </w:t>
      </w:r>
      <w:r w:rsidRPr="002E6424">
        <w:rPr>
          <w:rFonts w:asciiTheme="majorHAnsi" w:hAnsiTheme="majorHAnsi" w:cstheme="majorHAnsi"/>
          <w:b/>
          <w:i/>
          <w:sz w:val="24"/>
          <w:szCs w:val="24"/>
          <w:lang w:val="ro-MD" w:eastAsia="ru-RU"/>
        </w:rPr>
        <w:t>serviciul datoriei de stat interne</w:t>
      </w:r>
      <w:r>
        <w:rPr>
          <w:rFonts w:asciiTheme="majorHAnsi" w:hAnsiTheme="majorHAnsi" w:cstheme="majorHAnsi"/>
          <w:sz w:val="24"/>
          <w:szCs w:val="24"/>
          <w:lang w:val="ro-MD" w:eastAsia="ru-RU"/>
        </w:rPr>
        <w:t>, în anul 2020 au fost utilizate mijloace financiare în sumă totală de 1 322,7 mil.</w:t>
      </w:r>
      <w:r w:rsidR="00515260">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lei, </w:t>
      </w:r>
      <w:r w:rsidR="00BC4F19">
        <w:rPr>
          <w:rFonts w:asciiTheme="majorHAnsi" w:hAnsiTheme="majorHAnsi" w:cstheme="majorHAnsi"/>
          <w:sz w:val="24"/>
          <w:szCs w:val="24"/>
          <w:lang w:val="ro-MD" w:eastAsia="ru-RU"/>
        </w:rPr>
        <w:t xml:space="preserve">sau 99,6% din suma precizată în Legea bugetară anuală. Din suma totală achitată pentru serviciul datoriei de stat interne, </w:t>
      </w:r>
      <w:r w:rsidR="0024039A">
        <w:rPr>
          <w:rFonts w:asciiTheme="majorHAnsi" w:hAnsiTheme="majorHAnsi" w:cstheme="majorHAnsi"/>
          <w:sz w:val="24"/>
          <w:szCs w:val="24"/>
          <w:lang w:val="ro-MD" w:eastAsia="ru-RU"/>
        </w:rPr>
        <w:t>613</w:t>
      </w:r>
      <w:r w:rsidR="00515260">
        <w:rPr>
          <w:rFonts w:asciiTheme="majorHAnsi" w:hAnsiTheme="majorHAnsi" w:cstheme="majorHAnsi"/>
          <w:sz w:val="24"/>
          <w:szCs w:val="24"/>
          <w:lang w:val="ro-MD" w:eastAsia="ru-RU"/>
        </w:rPr>
        <w:t>,</w:t>
      </w:r>
      <w:r w:rsidR="0024039A">
        <w:rPr>
          <w:rFonts w:asciiTheme="majorHAnsi" w:hAnsiTheme="majorHAnsi" w:cstheme="majorHAnsi"/>
          <w:sz w:val="24"/>
          <w:szCs w:val="24"/>
          <w:lang w:val="ro-MD" w:eastAsia="ru-RU"/>
        </w:rPr>
        <w:t>0</w:t>
      </w:r>
      <w:r w:rsidR="00515260">
        <w:rPr>
          <w:rFonts w:asciiTheme="majorHAnsi" w:hAnsiTheme="majorHAnsi" w:cstheme="majorHAnsi"/>
          <w:sz w:val="24"/>
          <w:szCs w:val="24"/>
          <w:lang w:val="ro-MD" w:eastAsia="ru-RU"/>
        </w:rPr>
        <w:t xml:space="preserve"> mil. lei </w:t>
      </w:r>
      <w:r w:rsidR="00BC4F19">
        <w:rPr>
          <w:rFonts w:asciiTheme="majorHAnsi" w:hAnsiTheme="majorHAnsi" w:cstheme="majorHAnsi"/>
          <w:sz w:val="24"/>
          <w:szCs w:val="24"/>
          <w:lang w:val="ro-MD" w:eastAsia="ru-RU"/>
        </w:rPr>
        <w:t xml:space="preserve">au fost utilizate </w:t>
      </w:r>
      <w:r w:rsidR="00515260">
        <w:rPr>
          <w:rFonts w:asciiTheme="majorHAnsi" w:hAnsiTheme="majorHAnsi" w:cstheme="majorHAnsi"/>
          <w:sz w:val="24"/>
          <w:szCs w:val="24"/>
          <w:lang w:val="ro-MD" w:eastAsia="ru-RU"/>
        </w:rPr>
        <w:t>pentru executarea obligațiilor de pla</w:t>
      </w:r>
      <w:r w:rsidR="005B2244">
        <w:rPr>
          <w:rFonts w:asciiTheme="majorHAnsi" w:hAnsiTheme="majorHAnsi" w:cstheme="majorHAnsi"/>
          <w:sz w:val="24"/>
          <w:szCs w:val="24"/>
          <w:lang w:val="ro-MD" w:eastAsia="ru-RU"/>
        </w:rPr>
        <w:t>tă aferente garanțiilor de stat</w:t>
      </w:r>
      <w:r w:rsidR="00515260">
        <w:rPr>
          <w:rFonts w:asciiTheme="majorHAnsi" w:hAnsiTheme="majorHAnsi" w:cstheme="majorHAnsi"/>
          <w:sz w:val="24"/>
          <w:szCs w:val="24"/>
          <w:lang w:val="ro-MD" w:eastAsia="ru-RU"/>
        </w:rPr>
        <w:t>;</w:t>
      </w:r>
      <w:r w:rsidR="00BC4F19">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567,8 mil. lei </w:t>
      </w:r>
      <w:r w:rsidR="00515260">
        <w:rPr>
          <w:rFonts w:asciiTheme="majorHAnsi" w:hAnsiTheme="majorHAnsi" w:cstheme="majorHAnsi"/>
          <w:sz w:val="24"/>
          <w:szCs w:val="24"/>
          <w:lang w:val="ro-MD" w:eastAsia="ru-RU"/>
        </w:rPr>
        <w:t xml:space="preserve">au fost utilizate pentru achitarea </w:t>
      </w:r>
      <w:r w:rsidR="007F64AA">
        <w:rPr>
          <w:rFonts w:asciiTheme="majorHAnsi" w:hAnsiTheme="majorHAnsi" w:cstheme="majorHAnsi"/>
          <w:sz w:val="24"/>
          <w:szCs w:val="24"/>
          <w:lang w:val="ro-MD" w:eastAsia="ru-RU"/>
        </w:rPr>
        <w:t>dobâ</w:t>
      </w:r>
      <w:r w:rsidR="00515260">
        <w:rPr>
          <w:rFonts w:asciiTheme="majorHAnsi" w:hAnsiTheme="majorHAnsi" w:cstheme="majorHAnsi"/>
          <w:sz w:val="24"/>
          <w:szCs w:val="24"/>
          <w:lang w:val="ro-MD" w:eastAsia="ru-RU"/>
        </w:rPr>
        <w:t xml:space="preserve">nzilor la VMS emise </w:t>
      </w:r>
      <w:r w:rsidR="007F64AA">
        <w:rPr>
          <w:rFonts w:asciiTheme="majorHAnsi" w:hAnsiTheme="majorHAnsi" w:cstheme="majorHAnsi"/>
          <w:sz w:val="24"/>
          <w:szCs w:val="24"/>
          <w:lang w:val="ro-MD" w:eastAsia="ru-RU"/>
        </w:rPr>
        <w:t xml:space="preserve">pe </w:t>
      </w:r>
      <w:r w:rsidR="00515260">
        <w:rPr>
          <w:rFonts w:asciiTheme="majorHAnsi" w:hAnsiTheme="majorHAnsi" w:cstheme="majorHAnsi"/>
          <w:sz w:val="24"/>
          <w:szCs w:val="24"/>
          <w:lang w:val="ro-MD" w:eastAsia="ru-RU"/>
        </w:rPr>
        <w:t>piața primară;</w:t>
      </w:r>
      <w:r w:rsidR="00BC4F19">
        <w:rPr>
          <w:rFonts w:asciiTheme="majorHAnsi" w:hAnsiTheme="majorHAnsi" w:cstheme="majorHAnsi"/>
          <w:sz w:val="24"/>
          <w:szCs w:val="24"/>
          <w:lang w:val="ro-MD" w:eastAsia="ru-RU"/>
        </w:rPr>
        <w:t xml:space="preserve"> </w:t>
      </w:r>
      <w:r w:rsidR="00515260">
        <w:rPr>
          <w:rFonts w:asciiTheme="majorHAnsi" w:hAnsiTheme="majorHAnsi" w:cstheme="majorHAnsi"/>
          <w:sz w:val="24"/>
          <w:szCs w:val="24"/>
          <w:lang w:val="ro-MD" w:eastAsia="ru-RU"/>
        </w:rPr>
        <w:t xml:space="preserve">134,0 mil. lei </w:t>
      </w:r>
      <w:r w:rsidR="00BC4F19">
        <w:rPr>
          <w:rFonts w:asciiTheme="majorHAnsi" w:hAnsiTheme="majorHAnsi" w:cstheme="majorHAnsi"/>
          <w:sz w:val="24"/>
          <w:szCs w:val="24"/>
          <w:lang w:val="ro-MD" w:eastAsia="ru-RU"/>
        </w:rPr>
        <w:t xml:space="preserve">- </w:t>
      </w:r>
      <w:r w:rsidR="007F64AA">
        <w:rPr>
          <w:rFonts w:asciiTheme="majorHAnsi" w:hAnsiTheme="majorHAnsi" w:cstheme="majorHAnsi"/>
          <w:sz w:val="24"/>
          <w:szCs w:val="24"/>
          <w:lang w:val="ro-MD" w:eastAsia="ru-RU"/>
        </w:rPr>
        <w:t>pentru achitarea dobâ</w:t>
      </w:r>
      <w:r w:rsidR="00515260">
        <w:rPr>
          <w:rFonts w:asciiTheme="majorHAnsi" w:hAnsiTheme="majorHAnsi" w:cstheme="majorHAnsi"/>
          <w:sz w:val="24"/>
          <w:szCs w:val="24"/>
          <w:lang w:val="ro-MD" w:eastAsia="ru-RU"/>
        </w:rPr>
        <w:t>nzii la VMS convertite;</w:t>
      </w:r>
      <w:r w:rsidR="00BC4F19">
        <w:rPr>
          <w:rFonts w:asciiTheme="majorHAnsi" w:hAnsiTheme="majorHAnsi" w:cstheme="majorHAnsi"/>
          <w:sz w:val="24"/>
          <w:szCs w:val="24"/>
          <w:lang w:val="ro-MD" w:eastAsia="ru-RU"/>
        </w:rPr>
        <w:t xml:space="preserve"> </w:t>
      </w:r>
      <w:r w:rsidR="00515260">
        <w:rPr>
          <w:rFonts w:asciiTheme="majorHAnsi" w:hAnsiTheme="majorHAnsi" w:cstheme="majorHAnsi"/>
          <w:sz w:val="24"/>
          <w:szCs w:val="24"/>
          <w:lang w:val="ro-MD" w:eastAsia="ru-RU"/>
        </w:rPr>
        <w:t>7,9 mil. lei au fost</w:t>
      </w:r>
      <w:r w:rsidR="007F64AA">
        <w:rPr>
          <w:rFonts w:asciiTheme="majorHAnsi" w:hAnsiTheme="majorHAnsi" w:cstheme="majorHAnsi"/>
          <w:sz w:val="24"/>
          <w:szCs w:val="24"/>
          <w:lang w:val="ro-MD" w:eastAsia="ru-RU"/>
        </w:rPr>
        <w:t xml:space="preserve"> utilizate pentru achitarea dobâ</w:t>
      </w:r>
      <w:r w:rsidR="00515260">
        <w:rPr>
          <w:rFonts w:asciiTheme="majorHAnsi" w:hAnsiTheme="majorHAnsi" w:cstheme="majorHAnsi"/>
          <w:sz w:val="24"/>
          <w:szCs w:val="24"/>
          <w:lang w:val="ro-MD" w:eastAsia="ru-RU"/>
        </w:rPr>
        <w:t>nzilor la VMS emise pentru crearea rezervei de lichidități.</w:t>
      </w:r>
      <w:r w:rsidR="00CC3E1D">
        <w:rPr>
          <w:rFonts w:asciiTheme="majorHAnsi" w:hAnsiTheme="majorHAnsi" w:cstheme="majorHAnsi"/>
          <w:sz w:val="24"/>
          <w:szCs w:val="24"/>
          <w:lang w:val="ro-MD" w:eastAsia="ru-RU"/>
        </w:rPr>
        <w:t xml:space="preserve"> </w:t>
      </w:r>
      <w:r w:rsidR="00F3118B">
        <w:rPr>
          <w:rFonts w:asciiTheme="majorHAnsi" w:hAnsiTheme="majorHAnsi" w:cstheme="majorHAnsi"/>
          <w:sz w:val="24"/>
          <w:szCs w:val="24"/>
          <w:lang w:val="ro-MD" w:eastAsia="ru-RU"/>
        </w:rPr>
        <w:t>Comparativ cu a</w:t>
      </w:r>
      <w:r w:rsidR="00216FFD">
        <w:rPr>
          <w:rFonts w:asciiTheme="majorHAnsi" w:hAnsiTheme="majorHAnsi" w:cstheme="majorHAnsi"/>
          <w:sz w:val="24"/>
          <w:szCs w:val="24"/>
          <w:lang w:val="ro-MD" w:eastAsia="ru-RU"/>
        </w:rPr>
        <w:t xml:space="preserve">nul 2019, cheltuielile pentru </w:t>
      </w:r>
      <w:r w:rsidR="00F3118B">
        <w:rPr>
          <w:rFonts w:asciiTheme="majorHAnsi" w:hAnsiTheme="majorHAnsi" w:cstheme="majorHAnsi"/>
          <w:sz w:val="24"/>
          <w:szCs w:val="24"/>
          <w:lang w:val="ro-MD" w:eastAsia="ru-RU"/>
        </w:rPr>
        <w:t>servi</w:t>
      </w:r>
      <w:r w:rsidR="00216FFD">
        <w:rPr>
          <w:rFonts w:asciiTheme="majorHAnsi" w:hAnsiTheme="majorHAnsi" w:cstheme="majorHAnsi"/>
          <w:sz w:val="24"/>
          <w:szCs w:val="24"/>
          <w:lang w:val="ro-MD" w:eastAsia="ru-RU"/>
        </w:rPr>
        <w:t>ciul</w:t>
      </w:r>
      <w:r w:rsidR="00F3118B">
        <w:rPr>
          <w:rFonts w:asciiTheme="majorHAnsi" w:hAnsiTheme="majorHAnsi" w:cstheme="majorHAnsi"/>
          <w:sz w:val="24"/>
          <w:szCs w:val="24"/>
          <w:lang w:val="ro-MD" w:eastAsia="ru-RU"/>
        </w:rPr>
        <w:t xml:space="preserve"> datoriei de stat interne au fost în creș</w:t>
      </w:r>
      <w:r w:rsidR="00801231">
        <w:rPr>
          <w:rFonts w:asciiTheme="majorHAnsi" w:hAnsiTheme="majorHAnsi" w:cstheme="majorHAnsi"/>
          <w:sz w:val="24"/>
          <w:szCs w:val="24"/>
          <w:lang w:val="ro-MD" w:eastAsia="ru-RU"/>
        </w:rPr>
        <w:t>t</w:t>
      </w:r>
      <w:r w:rsidR="00F3118B">
        <w:rPr>
          <w:rFonts w:asciiTheme="majorHAnsi" w:hAnsiTheme="majorHAnsi" w:cstheme="majorHAnsi"/>
          <w:sz w:val="24"/>
          <w:szCs w:val="24"/>
          <w:lang w:val="ro-MD" w:eastAsia="ru-RU"/>
        </w:rPr>
        <w:t>ere cu 115,3 mil.lei, drept urmare</w:t>
      </w:r>
      <w:r w:rsidR="007F64AA">
        <w:rPr>
          <w:rFonts w:asciiTheme="majorHAnsi" w:hAnsiTheme="majorHAnsi" w:cstheme="majorHAnsi"/>
          <w:sz w:val="24"/>
          <w:szCs w:val="24"/>
          <w:lang w:val="ro-MD" w:eastAsia="ru-RU"/>
        </w:rPr>
        <w:t xml:space="preserve"> a</w:t>
      </w:r>
      <w:r w:rsidR="00F3118B">
        <w:rPr>
          <w:rFonts w:asciiTheme="majorHAnsi" w:hAnsiTheme="majorHAnsi" w:cstheme="majorHAnsi"/>
          <w:sz w:val="24"/>
          <w:szCs w:val="24"/>
          <w:lang w:val="ro-MD" w:eastAsia="ru-RU"/>
        </w:rPr>
        <w:t xml:space="preserve"> majorării volumelo</w:t>
      </w:r>
      <w:r w:rsidR="003B3369">
        <w:rPr>
          <w:rFonts w:asciiTheme="majorHAnsi" w:hAnsiTheme="majorHAnsi" w:cstheme="majorHAnsi"/>
          <w:sz w:val="24"/>
          <w:szCs w:val="24"/>
          <w:lang w:val="ro-MD" w:eastAsia="ru-RU"/>
        </w:rPr>
        <w:t>r de VMS emise pe piața primară la costuri mai mari comparativ cu anul 2019 (rata</w:t>
      </w:r>
      <w:r w:rsidR="007F64AA">
        <w:rPr>
          <w:rFonts w:asciiTheme="majorHAnsi" w:hAnsiTheme="majorHAnsi" w:cstheme="majorHAnsi"/>
          <w:sz w:val="24"/>
          <w:szCs w:val="24"/>
          <w:lang w:val="ro-MD" w:eastAsia="ru-RU"/>
        </w:rPr>
        <w:t xml:space="preserve"> nominală medie ponderată a dobâ</w:t>
      </w:r>
      <w:r w:rsidR="003B3369">
        <w:rPr>
          <w:rFonts w:asciiTheme="majorHAnsi" w:hAnsiTheme="majorHAnsi" w:cstheme="majorHAnsi"/>
          <w:sz w:val="24"/>
          <w:szCs w:val="24"/>
          <w:lang w:val="ro-MD" w:eastAsia="ru-RU"/>
        </w:rPr>
        <w:t xml:space="preserve">nzii pentru VMS răscumpărate în anul 2020 a constituit </w:t>
      </w:r>
      <w:r w:rsidR="0024039A">
        <w:rPr>
          <w:rFonts w:asciiTheme="majorHAnsi" w:hAnsiTheme="majorHAnsi" w:cstheme="majorHAnsi"/>
          <w:sz w:val="24"/>
          <w:szCs w:val="24"/>
          <w:lang w:val="ro-MD" w:eastAsia="ru-RU"/>
        </w:rPr>
        <w:t>5,8</w:t>
      </w:r>
      <w:r w:rsidR="001B4E2D">
        <w:rPr>
          <w:rFonts w:asciiTheme="majorHAnsi" w:hAnsiTheme="majorHAnsi" w:cstheme="majorHAnsi"/>
          <w:sz w:val="24"/>
          <w:szCs w:val="24"/>
          <w:lang w:val="ro-MD" w:eastAsia="ru-RU"/>
        </w:rPr>
        <w:t>3</w:t>
      </w:r>
      <w:r w:rsidR="003B3369">
        <w:rPr>
          <w:rFonts w:asciiTheme="majorHAnsi" w:hAnsiTheme="majorHAnsi" w:cstheme="majorHAnsi"/>
          <w:sz w:val="24"/>
          <w:szCs w:val="24"/>
          <w:lang w:val="ro-MD" w:eastAsia="ru-RU"/>
        </w:rPr>
        <w:t>%, fiind de 1,</w:t>
      </w:r>
      <w:r w:rsidR="0024039A">
        <w:rPr>
          <w:rFonts w:asciiTheme="majorHAnsi" w:hAnsiTheme="majorHAnsi" w:cstheme="majorHAnsi"/>
          <w:sz w:val="24"/>
          <w:szCs w:val="24"/>
          <w:lang w:val="ro-MD" w:eastAsia="ru-RU"/>
        </w:rPr>
        <w:t>1</w:t>
      </w:r>
      <w:r w:rsidR="003B3369">
        <w:rPr>
          <w:rFonts w:asciiTheme="majorHAnsi" w:hAnsiTheme="majorHAnsi" w:cstheme="majorHAnsi"/>
          <w:sz w:val="24"/>
          <w:szCs w:val="24"/>
          <w:lang w:val="ro-MD" w:eastAsia="ru-RU"/>
        </w:rPr>
        <w:t xml:space="preserve"> ori mai mare comparativ cu anul 2019)</w:t>
      </w:r>
      <w:r w:rsidR="007F64AA">
        <w:rPr>
          <w:rFonts w:asciiTheme="majorHAnsi" w:hAnsiTheme="majorHAnsi" w:cstheme="majorHAnsi"/>
          <w:sz w:val="24"/>
          <w:szCs w:val="24"/>
          <w:lang w:val="ro-MD" w:eastAsia="ru-RU"/>
        </w:rPr>
        <w:t xml:space="preserve">. </w:t>
      </w:r>
      <w:r w:rsidR="00F3118B" w:rsidRPr="00F3118B">
        <w:rPr>
          <w:rFonts w:asciiTheme="majorHAnsi" w:hAnsiTheme="majorHAnsi" w:cstheme="majorHAnsi"/>
          <w:i/>
          <w:sz w:val="24"/>
          <w:szCs w:val="24"/>
          <w:lang w:val="ro-MD" w:eastAsia="ru-RU"/>
        </w:rPr>
        <w:t>Analiza în dinamică a cheltuielilor suportate pentru servi</w:t>
      </w:r>
      <w:r w:rsidR="00216FFD">
        <w:rPr>
          <w:rFonts w:asciiTheme="majorHAnsi" w:hAnsiTheme="majorHAnsi" w:cstheme="majorHAnsi"/>
          <w:i/>
          <w:sz w:val="24"/>
          <w:szCs w:val="24"/>
          <w:lang w:val="ro-MD" w:eastAsia="ru-RU"/>
        </w:rPr>
        <w:t>ciul</w:t>
      </w:r>
      <w:r w:rsidR="00F3118B" w:rsidRPr="00F3118B">
        <w:rPr>
          <w:rFonts w:asciiTheme="majorHAnsi" w:hAnsiTheme="majorHAnsi" w:cstheme="majorHAnsi"/>
          <w:i/>
          <w:sz w:val="24"/>
          <w:szCs w:val="24"/>
          <w:lang w:val="ro-MD" w:eastAsia="ru-RU"/>
        </w:rPr>
        <w:t xml:space="preserve"> datoriei de stat interne se prezintă în Diagrama nr.</w:t>
      </w:r>
      <w:r w:rsidR="0050191A">
        <w:rPr>
          <w:rFonts w:asciiTheme="majorHAnsi" w:hAnsiTheme="majorHAnsi" w:cstheme="majorHAnsi"/>
          <w:i/>
          <w:sz w:val="24"/>
          <w:szCs w:val="24"/>
          <w:lang w:val="ro-MD" w:eastAsia="ru-RU"/>
        </w:rPr>
        <w:t>3</w:t>
      </w:r>
      <w:r w:rsidR="00F3118B" w:rsidRPr="00F3118B">
        <w:rPr>
          <w:rFonts w:asciiTheme="majorHAnsi" w:hAnsiTheme="majorHAnsi" w:cstheme="majorHAnsi"/>
          <w:i/>
          <w:sz w:val="24"/>
          <w:szCs w:val="24"/>
          <w:lang w:val="ro-MD" w:eastAsia="ru-RU"/>
        </w:rPr>
        <w:t>.</w:t>
      </w:r>
    </w:p>
    <w:p w14:paraId="62237530" w14:textId="76DEBAA5" w:rsidR="00801231" w:rsidRPr="00F3118B" w:rsidRDefault="00801231" w:rsidP="00FB1205">
      <w:pPr>
        <w:pStyle w:val="af3"/>
        <w:spacing w:line="276" w:lineRule="auto"/>
        <w:jc w:val="both"/>
        <w:rPr>
          <w:rFonts w:asciiTheme="majorHAnsi" w:hAnsiTheme="majorHAnsi" w:cstheme="majorHAnsi"/>
          <w:sz w:val="24"/>
          <w:szCs w:val="24"/>
          <w:lang w:val="ro-MD" w:eastAsia="ru-RU"/>
        </w:rPr>
      </w:pPr>
      <w:r w:rsidRPr="001B6B54">
        <w:rPr>
          <w:rFonts w:asciiTheme="majorHAnsi" w:hAnsiTheme="majorHAnsi" w:cstheme="majorHAnsi"/>
          <w:noProof/>
          <w:sz w:val="24"/>
          <w:szCs w:val="24"/>
          <w:lang w:val="ru-RU" w:eastAsia="ru-RU"/>
        </w:rPr>
        <w:lastRenderedPageBreak/>
        <w:drawing>
          <wp:inline distT="0" distB="0" distL="0" distR="0" wp14:anchorId="59AB3810" wp14:editId="579AE1CA">
            <wp:extent cx="5989320" cy="1882140"/>
            <wp:effectExtent l="0" t="0" r="11430"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460D23" w14:textId="10C36B47" w:rsidR="00803CB1" w:rsidRDefault="001B6B54" w:rsidP="00FB1205">
      <w:pPr>
        <w:pStyle w:val="af3"/>
        <w:spacing w:line="276" w:lineRule="auto"/>
        <w:ind w:firstLine="426"/>
        <w:jc w:val="both"/>
        <w:rPr>
          <w:rFonts w:asciiTheme="majorHAnsi" w:hAnsiTheme="majorHAnsi" w:cstheme="majorHAnsi"/>
          <w:i/>
          <w:sz w:val="20"/>
          <w:szCs w:val="20"/>
          <w:lang w:val="ro-MD" w:eastAsia="ru-RU"/>
        </w:rPr>
      </w:pPr>
      <w:r w:rsidRPr="001B6B54">
        <w:rPr>
          <w:rFonts w:asciiTheme="majorHAnsi" w:hAnsiTheme="majorHAnsi" w:cstheme="majorHAnsi"/>
          <w:b/>
          <w:i/>
          <w:sz w:val="20"/>
          <w:szCs w:val="20"/>
          <w:lang w:val="ro-MD" w:eastAsia="ru-RU"/>
        </w:rPr>
        <w:t>Sursa:</w:t>
      </w:r>
      <w:r w:rsidRPr="001B6B54">
        <w:rPr>
          <w:rFonts w:asciiTheme="majorHAnsi" w:hAnsiTheme="majorHAnsi" w:cstheme="majorHAnsi"/>
          <w:i/>
          <w:sz w:val="20"/>
          <w:szCs w:val="20"/>
          <w:lang w:val="ro-MD" w:eastAsia="ru-RU"/>
        </w:rPr>
        <w:t xml:space="preserve"> Elaborat de echipa de audit în baza informației prezentate de MF și Rapoartelor privind datoria de stat la situații</w:t>
      </w:r>
      <w:r>
        <w:rPr>
          <w:rFonts w:asciiTheme="majorHAnsi" w:hAnsiTheme="majorHAnsi" w:cstheme="majorHAnsi"/>
          <w:i/>
          <w:sz w:val="20"/>
          <w:szCs w:val="20"/>
          <w:lang w:val="ro-MD" w:eastAsia="ru-RU"/>
        </w:rPr>
        <w:t>le din 31.12.2016, 31.12.2017, 31.12.2018, 31.12.2019 și 31.12.2020</w:t>
      </w:r>
    </w:p>
    <w:p w14:paraId="33F73539" w14:textId="7E040D49" w:rsidR="00216FFD" w:rsidRDefault="00216FFD" w:rsidP="00216FFD">
      <w:pPr>
        <w:pStyle w:val="af3"/>
        <w:spacing w:line="276" w:lineRule="auto"/>
        <w:jc w:val="both"/>
        <w:rPr>
          <w:rFonts w:asciiTheme="majorHAnsi" w:hAnsiTheme="majorHAnsi" w:cstheme="majorHAnsi"/>
          <w:i/>
          <w:sz w:val="20"/>
          <w:szCs w:val="20"/>
          <w:lang w:val="ro-MD" w:eastAsia="ru-RU"/>
        </w:rPr>
      </w:pPr>
    </w:p>
    <w:p w14:paraId="3C7E1F9C" w14:textId="3280D689" w:rsidR="00BC4F19" w:rsidRPr="00B86E99" w:rsidRDefault="00216FFD" w:rsidP="00B86E99">
      <w:pPr>
        <w:pStyle w:val="af3"/>
        <w:spacing w:after="240" w:line="276" w:lineRule="auto"/>
        <w:jc w:val="both"/>
        <w:rPr>
          <w:rFonts w:asciiTheme="majorHAnsi" w:hAnsiTheme="majorHAnsi" w:cstheme="majorHAnsi"/>
          <w:sz w:val="24"/>
          <w:szCs w:val="24"/>
          <w:lang w:val="ro-MD" w:eastAsia="ru-RU"/>
        </w:rPr>
      </w:pPr>
      <w:r w:rsidRPr="00216FFD">
        <w:rPr>
          <w:rFonts w:asciiTheme="majorHAnsi" w:hAnsiTheme="majorHAnsi" w:cstheme="majorHAnsi"/>
          <w:sz w:val="24"/>
          <w:szCs w:val="24"/>
          <w:lang w:val="ro-MD" w:eastAsia="ru-RU"/>
        </w:rPr>
        <w:t>Analiza efectuată</w:t>
      </w:r>
      <w:r w:rsidR="007B43EC">
        <w:rPr>
          <w:rFonts w:asciiTheme="majorHAnsi" w:hAnsiTheme="majorHAnsi" w:cstheme="majorHAnsi"/>
          <w:sz w:val="24"/>
          <w:szCs w:val="24"/>
          <w:lang w:val="ro-MD" w:eastAsia="ru-RU"/>
        </w:rPr>
        <w:t xml:space="preserve"> pentru ultimii 5 ani</w:t>
      </w:r>
      <w:r>
        <w:rPr>
          <w:rFonts w:asciiTheme="majorHAnsi" w:hAnsiTheme="majorHAnsi" w:cstheme="majorHAnsi"/>
          <w:sz w:val="24"/>
          <w:szCs w:val="24"/>
          <w:lang w:val="ro-MD" w:eastAsia="ru-RU"/>
        </w:rPr>
        <w:t xml:space="preserve"> denotă un trend neuniform, cel mai înalt nivel al cheltuieli</w:t>
      </w:r>
      <w:r w:rsidR="007B43EC">
        <w:rPr>
          <w:rFonts w:asciiTheme="majorHAnsi" w:hAnsiTheme="majorHAnsi" w:cstheme="majorHAnsi"/>
          <w:sz w:val="24"/>
          <w:szCs w:val="24"/>
          <w:lang w:val="ro-MD" w:eastAsia="ru-RU"/>
        </w:rPr>
        <w:t xml:space="preserve">lor achitate pentru serviciul </w:t>
      </w:r>
      <w:r>
        <w:rPr>
          <w:rFonts w:asciiTheme="majorHAnsi" w:hAnsiTheme="majorHAnsi" w:cstheme="majorHAnsi"/>
          <w:sz w:val="24"/>
          <w:szCs w:val="24"/>
          <w:lang w:val="ro-MD" w:eastAsia="ru-RU"/>
        </w:rPr>
        <w:t>datoriei de stat intern</w:t>
      </w:r>
      <w:r w:rsidR="00234665">
        <w:rPr>
          <w:rFonts w:asciiTheme="majorHAnsi" w:hAnsiTheme="majorHAnsi" w:cstheme="majorHAnsi"/>
          <w:sz w:val="24"/>
          <w:szCs w:val="24"/>
          <w:lang w:val="ro-MD" w:eastAsia="ru-RU"/>
        </w:rPr>
        <w:t>e fiind înregistrat în anul 2017</w:t>
      </w:r>
      <w:r>
        <w:rPr>
          <w:rFonts w:asciiTheme="majorHAnsi" w:hAnsiTheme="majorHAnsi" w:cstheme="majorHAnsi"/>
          <w:sz w:val="24"/>
          <w:szCs w:val="24"/>
          <w:lang w:val="ro-MD" w:eastAsia="ru-RU"/>
        </w:rPr>
        <w:t xml:space="preserve"> </w:t>
      </w:r>
      <w:r w:rsidR="00B86E99">
        <w:rPr>
          <w:rFonts w:asciiTheme="majorHAnsi" w:hAnsiTheme="majorHAnsi" w:cstheme="majorHAnsi"/>
          <w:sz w:val="24"/>
          <w:szCs w:val="24"/>
          <w:lang w:val="ro-MD" w:eastAsia="ru-RU"/>
        </w:rPr>
        <w:t xml:space="preserve">și cel mai scăzut </w:t>
      </w:r>
      <w:r w:rsidR="00234665">
        <w:rPr>
          <w:rFonts w:asciiTheme="majorHAnsi" w:hAnsiTheme="majorHAnsi" w:cstheme="majorHAnsi"/>
          <w:sz w:val="24"/>
          <w:szCs w:val="24"/>
          <w:lang w:val="ro-MD" w:eastAsia="ru-RU"/>
        </w:rPr>
        <w:t xml:space="preserve">- </w:t>
      </w:r>
      <w:r w:rsidR="00B86E99">
        <w:rPr>
          <w:rFonts w:asciiTheme="majorHAnsi" w:hAnsiTheme="majorHAnsi" w:cstheme="majorHAnsi"/>
          <w:sz w:val="24"/>
          <w:szCs w:val="24"/>
          <w:lang w:val="ro-MD" w:eastAsia="ru-RU"/>
        </w:rPr>
        <w:t>în anul 2018.</w:t>
      </w:r>
    </w:p>
    <w:p w14:paraId="01D5C9A4" w14:textId="399DF47E" w:rsidR="00F15BAE" w:rsidRPr="00654A69" w:rsidRDefault="00654A69" w:rsidP="00C00ED5">
      <w:pPr>
        <w:pStyle w:val="af3"/>
        <w:spacing w:line="276" w:lineRule="auto"/>
        <w:jc w:val="both"/>
        <w:rPr>
          <w:rFonts w:asciiTheme="majorHAnsi" w:hAnsiTheme="majorHAnsi" w:cstheme="majorHAnsi"/>
          <w:b/>
          <w:color w:val="000000" w:themeColor="text1"/>
          <w:sz w:val="24"/>
          <w:szCs w:val="24"/>
          <w:lang w:val="ro-MD" w:eastAsia="ru-RU"/>
        </w:rPr>
      </w:pPr>
      <w:r w:rsidRPr="00654A69">
        <w:rPr>
          <w:rFonts w:asciiTheme="majorHAnsi" w:hAnsiTheme="majorHAnsi" w:cstheme="majorHAnsi"/>
          <w:b/>
          <w:i/>
          <w:color w:val="000000" w:themeColor="text1"/>
          <w:sz w:val="24"/>
          <w:szCs w:val="24"/>
          <w:lang w:val="ro-MD" w:eastAsia="ru-RU"/>
        </w:rPr>
        <w:t xml:space="preserve">Referitor la </w:t>
      </w:r>
      <w:bookmarkStart w:id="20" w:name="_Toc47012273"/>
      <w:r>
        <w:rPr>
          <w:rFonts w:asciiTheme="majorHAnsi" w:eastAsia="Times New Roman" w:hAnsiTheme="majorHAnsi" w:cstheme="majorHAnsi"/>
          <w:b/>
          <w:bCs/>
          <w:i/>
          <w:color w:val="000000" w:themeColor="text1"/>
          <w:sz w:val="24"/>
          <w:szCs w:val="24"/>
          <w:lang w:val="ro-MD" w:eastAsia="ru-RU"/>
        </w:rPr>
        <w:t>s</w:t>
      </w:r>
      <w:r w:rsidR="00621794" w:rsidRPr="00654A69">
        <w:rPr>
          <w:rFonts w:asciiTheme="majorHAnsi" w:eastAsia="Times New Roman" w:hAnsiTheme="majorHAnsi" w:cstheme="majorHAnsi"/>
          <w:b/>
          <w:bCs/>
          <w:i/>
          <w:color w:val="000000" w:themeColor="text1"/>
          <w:sz w:val="24"/>
          <w:szCs w:val="24"/>
          <w:lang w:val="ro-MD" w:eastAsia="ru-RU"/>
        </w:rPr>
        <w:t>umele transferate la bugetul de stat în vederea stingerii creanțelor</w:t>
      </w:r>
      <w:r w:rsidR="005324B6" w:rsidRPr="00654A69">
        <w:rPr>
          <w:rFonts w:asciiTheme="majorHAnsi" w:eastAsia="Times New Roman" w:hAnsiTheme="majorHAnsi" w:cstheme="majorHAnsi"/>
          <w:b/>
          <w:bCs/>
          <w:i/>
          <w:color w:val="000000" w:themeColor="text1"/>
          <w:sz w:val="24"/>
          <w:szCs w:val="24"/>
          <w:lang w:val="ro-MD" w:eastAsia="ru-RU"/>
        </w:rPr>
        <w:t xml:space="preserve"> de</w:t>
      </w:r>
      <w:r w:rsidR="008D7E9A" w:rsidRPr="00654A69">
        <w:rPr>
          <w:rFonts w:asciiTheme="majorHAnsi" w:eastAsia="Times New Roman" w:hAnsiTheme="majorHAnsi" w:cstheme="majorHAnsi"/>
          <w:b/>
          <w:bCs/>
          <w:i/>
          <w:color w:val="000000" w:themeColor="text1"/>
          <w:sz w:val="24"/>
          <w:szCs w:val="24"/>
          <w:lang w:val="ro-MD" w:eastAsia="ru-RU"/>
        </w:rPr>
        <w:t xml:space="preserve"> către</w:t>
      </w:r>
      <w:r w:rsidR="005324B6" w:rsidRPr="00654A69">
        <w:rPr>
          <w:rFonts w:asciiTheme="majorHAnsi" w:eastAsia="Times New Roman" w:hAnsiTheme="majorHAnsi" w:cstheme="majorHAnsi"/>
          <w:b/>
          <w:bCs/>
          <w:i/>
          <w:color w:val="000000" w:themeColor="text1"/>
          <w:sz w:val="24"/>
          <w:szCs w:val="24"/>
          <w:lang w:val="ro-MD" w:eastAsia="ru-RU"/>
        </w:rPr>
        <w:t xml:space="preserve"> băncile supuse lichidării</w:t>
      </w:r>
      <w:bookmarkEnd w:id="20"/>
      <w:r w:rsidR="00234665">
        <w:rPr>
          <w:rFonts w:asciiTheme="majorHAnsi" w:eastAsia="Times New Roman" w:hAnsiTheme="majorHAnsi" w:cstheme="majorHAnsi"/>
          <w:b/>
          <w:bCs/>
          <w:i/>
          <w:color w:val="000000" w:themeColor="text1"/>
          <w:sz w:val="24"/>
          <w:szCs w:val="24"/>
          <w:lang w:val="ro-MD" w:eastAsia="ru-RU"/>
        </w:rPr>
        <w:t xml:space="preserve">, </w:t>
      </w:r>
      <w:r>
        <w:rPr>
          <w:rFonts w:asciiTheme="majorHAnsi" w:eastAsia="Times New Roman" w:hAnsiTheme="majorHAnsi" w:cstheme="majorHAnsi"/>
          <w:b/>
          <w:bCs/>
          <w:i/>
          <w:color w:val="000000" w:themeColor="text1"/>
          <w:sz w:val="24"/>
          <w:szCs w:val="24"/>
          <w:lang w:val="ro-MD" w:eastAsia="ru-RU"/>
        </w:rPr>
        <w:t>auditul menționează următoarele.</w:t>
      </w:r>
    </w:p>
    <w:p w14:paraId="0E4AFFBE" w14:textId="7C984600" w:rsidR="00654A69" w:rsidRDefault="00654A69" w:rsidP="00C00ED5">
      <w:pPr>
        <w:spacing w:after="0" w:line="276" w:lineRule="auto"/>
        <w:jc w:val="both"/>
        <w:rPr>
          <w:rFonts w:eastAsia="Times New Roman" w:cs="Times New Roman"/>
          <w:lang w:val="ro-RO"/>
        </w:rPr>
      </w:pPr>
      <w:r>
        <w:rPr>
          <w:rFonts w:eastAsia="Times New Roman" w:cs="Times New Roman"/>
          <w:lang w:val="ro-RO"/>
        </w:rPr>
        <w:t>La situația din</w:t>
      </w:r>
      <w:r w:rsidR="0024039A">
        <w:rPr>
          <w:rFonts w:eastAsia="Times New Roman" w:cs="Times New Roman"/>
          <w:lang w:val="ro-RO"/>
        </w:rPr>
        <w:t xml:space="preserve"> 01</w:t>
      </w:r>
      <w:r>
        <w:rPr>
          <w:rFonts w:eastAsia="Times New Roman" w:cs="Times New Roman"/>
          <w:lang w:val="ro-RO"/>
        </w:rPr>
        <w:t>.</w:t>
      </w:r>
      <w:r w:rsidR="00E023AC">
        <w:rPr>
          <w:rFonts w:eastAsia="Times New Roman" w:cs="Times New Roman"/>
          <w:lang w:val="ro-RO"/>
        </w:rPr>
        <w:t>01</w:t>
      </w:r>
      <w:r>
        <w:rPr>
          <w:rFonts w:eastAsia="Times New Roman" w:cs="Times New Roman"/>
          <w:lang w:val="ro-RO"/>
        </w:rPr>
        <w:t>.2020, soldul datoriei băncilor supuse lichidării, ca urmare a emiterii anterioare a VMS pentru stabilitate financiară („Investprivatbank” S.A.</w:t>
      </w:r>
      <w:r>
        <w:rPr>
          <w:rStyle w:val="a6"/>
          <w:rFonts w:eastAsia="Times New Roman" w:cs="Times New Roman"/>
          <w:lang w:val="ro-RO"/>
        </w:rPr>
        <w:footnoteReference w:id="13"/>
      </w:r>
      <w:r>
        <w:rPr>
          <w:rFonts w:eastAsia="Times New Roman" w:cs="Times New Roman"/>
          <w:lang w:val="ro-RO"/>
        </w:rPr>
        <w:t>)</w:t>
      </w:r>
      <w:r w:rsidR="00D0285B">
        <w:rPr>
          <w:rFonts w:eastAsia="Times New Roman" w:cs="Times New Roman"/>
          <w:lang w:val="ro-RO"/>
        </w:rPr>
        <w:t xml:space="preserve"> și pentru executarea obligațiilor de plată derivate din garanțiile de stat („Banca de Economii” S.A., BC „Banca Socială” S.A., BC „Unibank” S.A.</w:t>
      </w:r>
      <w:r w:rsidR="00D0285B">
        <w:rPr>
          <w:rStyle w:val="a6"/>
          <w:rFonts w:eastAsia="Times New Roman" w:cs="Times New Roman"/>
          <w:lang w:val="ro-RO"/>
        </w:rPr>
        <w:footnoteReference w:id="14"/>
      </w:r>
      <w:r w:rsidR="00D0285B">
        <w:rPr>
          <w:rFonts w:eastAsia="Times New Roman" w:cs="Times New Roman"/>
          <w:lang w:val="ro-RO"/>
        </w:rPr>
        <w:t xml:space="preserve">), </w:t>
      </w:r>
      <w:r w:rsidR="00E023AC">
        <w:rPr>
          <w:rFonts w:eastAsia="Times New Roman" w:cs="Times New Roman"/>
          <w:lang w:val="ro-RO"/>
        </w:rPr>
        <w:t>a constituit 12 090,4 mil. lei. Pe parcursul anului au fost rambursate doar 172,5 mil.lei</w:t>
      </w:r>
      <w:r w:rsidR="00405A7A">
        <w:rPr>
          <w:rFonts w:eastAsia="Times New Roman" w:cs="Times New Roman"/>
          <w:lang w:val="ro-RO"/>
        </w:rPr>
        <w:t>, soldul datoriei la situația din 31.12.2020 constituind 11 917,9 mil. l</w:t>
      </w:r>
      <w:r w:rsidR="00EB1BE4">
        <w:rPr>
          <w:rFonts w:eastAsia="Times New Roman" w:cs="Times New Roman"/>
          <w:lang w:val="ro-RO"/>
        </w:rPr>
        <w:t>ei, date care corespund Raportului privind executarea bugetului de stat în anul 2020.</w:t>
      </w:r>
      <w:r w:rsidR="00405A7A">
        <w:rPr>
          <w:rFonts w:eastAsia="Times New Roman" w:cs="Times New Roman"/>
          <w:lang w:val="ro-RO"/>
        </w:rPr>
        <w:t xml:space="preserve"> </w:t>
      </w:r>
      <w:r w:rsidR="00234665">
        <w:rPr>
          <w:rFonts w:eastAsia="Times New Roman" w:cs="Times New Roman"/>
          <w:i/>
          <w:lang w:val="ro-RO"/>
        </w:rPr>
        <w:t>Informații detaliate</w:t>
      </w:r>
      <w:r w:rsidR="00405A7A" w:rsidRPr="0023784F">
        <w:rPr>
          <w:rFonts w:eastAsia="Times New Roman" w:cs="Times New Roman"/>
          <w:i/>
          <w:lang w:val="ro-RO"/>
        </w:rPr>
        <w:t xml:space="preserve"> </w:t>
      </w:r>
      <w:r w:rsidR="00234665">
        <w:rPr>
          <w:rFonts w:eastAsia="Times New Roman" w:cs="Times New Roman"/>
          <w:i/>
          <w:lang w:val="ro-RO"/>
        </w:rPr>
        <w:t>privind</w:t>
      </w:r>
      <w:r w:rsidR="00EB1BE4">
        <w:rPr>
          <w:rFonts w:eastAsia="Times New Roman" w:cs="Times New Roman"/>
          <w:i/>
          <w:lang w:val="ro-RO"/>
        </w:rPr>
        <w:t xml:space="preserve"> la soldul datoriei băncilor în proces de lichidare </w:t>
      </w:r>
      <w:r w:rsidR="00405A7A" w:rsidRPr="0023784F">
        <w:rPr>
          <w:rFonts w:eastAsia="Times New Roman" w:cs="Times New Roman"/>
          <w:i/>
          <w:lang w:val="ro-RO"/>
        </w:rPr>
        <w:t>se prezintă în Tabelul nr.</w:t>
      </w:r>
      <w:r w:rsidR="005A4BD7">
        <w:rPr>
          <w:rFonts w:eastAsia="Times New Roman" w:cs="Times New Roman"/>
          <w:i/>
          <w:lang w:val="ro-RO"/>
        </w:rPr>
        <w:t>5</w:t>
      </w:r>
      <w:r w:rsidR="00405A7A" w:rsidRPr="0023784F">
        <w:rPr>
          <w:rFonts w:eastAsia="Times New Roman" w:cs="Times New Roman"/>
          <w:i/>
          <w:lang w:val="ro-RO"/>
        </w:rPr>
        <w:t>.</w:t>
      </w:r>
    </w:p>
    <w:p w14:paraId="4A81A3EB" w14:textId="45B28202" w:rsidR="00405A7A" w:rsidRDefault="00405A7A" w:rsidP="00560D3B">
      <w:pPr>
        <w:spacing w:after="0" w:line="276" w:lineRule="auto"/>
        <w:jc w:val="right"/>
        <w:rPr>
          <w:rFonts w:eastAsia="Times New Roman" w:cs="Times New Roman"/>
          <w:b/>
          <w:i/>
          <w:lang w:val="ro-RO"/>
        </w:rPr>
      </w:pPr>
      <w:r>
        <w:rPr>
          <w:rFonts w:eastAsia="Times New Roman" w:cs="Times New Roman"/>
          <w:b/>
          <w:i/>
          <w:lang w:val="ro-RO"/>
        </w:rPr>
        <w:t>Tabelul nr.</w:t>
      </w:r>
      <w:r w:rsidR="005A4BD7">
        <w:rPr>
          <w:rFonts w:eastAsia="Times New Roman" w:cs="Times New Roman"/>
          <w:b/>
          <w:i/>
          <w:lang w:val="ro-RO"/>
        </w:rPr>
        <w:t>5</w:t>
      </w:r>
    </w:p>
    <w:p w14:paraId="1B3BDF2B" w14:textId="2F6BF00D" w:rsidR="0023784F" w:rsidRPr="00995F95" w:rsidRDefault="0023784F" w:rsidP="00560D3B">
      <w:pPr>
        <w:spacing w:after="0" w:line="276" w:lineRule="auto"/>
        <w:jc w:val="center"/>
        <w:rPr>
          <w:rFonts w:eastAsia="Times New Roman" w:cs="Times New Roman"/>
          <w:b/>
          <w:szCs w:val="24"/>
          <w:lang w:val="ro-RO"/>
        </w:rPr>
      </w:pPr>
      <w:r w:rsidRPr="00995F95">
        <w:rPr>
          <w:rFonts w:eastAsia="Times New Roman" w:cs="Times New Roman"/>
          <w:b/>
          <w:szCs w:val="24"/>
          <w:lang w:val="ro-RO"/>
        </w:rPr>
        <w:t>Soldul datoriei băncilor în proces de lichidare, față de Ministerul Finanțelor, la situația din 31.12.2020, mil.lei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478"/>
        <w:gridCol w:w="2194"/>
        <w:gridCol w:w="2336"/>
      </w:tblGrid>
      <w:tr w:rsidR="0023784F" w:rsidRPr="00995F95" w14:paraId="1065B2B0" w14:textId="77777777" w:rsidTr="00995F95">
        <w:tc>
          <w:tcPr>
            <w:tcW w:w="2337" w:type="dxa"/>
          </w:tcPr>
          <w:p w14:paraId="777F8947" w14:textId="38F0ADAD" w:rsidR="0023784F" w:rsidRPr="00995F95" w:rsidRDefault="0023784F" w:rsidP="00560D3B">
            <w:pPr>
              <w:spacing w:after="0" w:line="240" w:lineRule="auto"/>
              <w:jc w:val="center"/>
              <w:rPr>
                <w:rFonts w:eastAsia="Times New Roman" w:cs="Times New Roman"/>
                <w:b/>
                <w:sz w:val="20"/>
                <w:szCs w:val="20"/>
              </w:rPr>
            </w:pPr>
            <w:r w:rsidRPr="00995F95">
              <w:rPr>
                <w:rFonts w:eastAsia="Times New Roman" w:cs="Times New Roman"/>
                <w:b/>
                <w:sz w:val="20"/>
                <w:szCs w:val="20"/>
              </w:rPr>
              <w:t>Denumirea băncii</w:t>
            </w:r>
          </w:p>
        </w:tc>
        <w:tc>
          <w:tcPr>
            <w:tcW w:w="2478" w:type="dxa"/>
          </w:tcPr>
          <w:p w14:paraId="7FE2F22F" w14:textId="28DD9E5F" w:rsidR="0023784F" w:rsidRPr="00995F95" w:rsidRDefault="0023784F" w:rsidP="00560D3B">
            <w:pPr>
              <w:spacing w:after="0" w:line="240" w:lineRule="auto"/>
              <w:jc w:val="center"/>
              <w:rPr>
                <w:rFonts w:eastAsia="Times New Roman" w:cs="Times New Roman"/>
                <w:b/>
                <w:sz w:val="20"/>
                <w:szCs w:val="20"/>
              </w:rPr>
            </w:pPr>
            <w:r w:rsidRPr="00995F95">
              <w:rPr>
                <w:rFonts w:eastAsia="Times New Roman" w:cs="Times New Roman"/>
                <w:b/>
                <w:sz w:val="20"/>
                <w:szCs w:val="20"/>
              </w:rPr>
              <w:t>Soldul datoriei la 31.12.2019</w:t>
            </w:r>
          </w:p>
        </w:tc>
        <w:tc>
          <w:tcPr>
            <w:tcW w:w="2194" w:type="dxa"/>
          </w:tcPr>
          <w:p w14:paraId="72C25EF4" w14:textId="153B41D4" w:rsidR="0023784F" w:rsidRPr="00995F95" w:rsidRDefault="0023784F" w:rsidP="00560D3B">
            <w:pPr>
              <w:spacing w:after="0" w:line="240" w:lineRule="auto"/>
              <w:jc w:val="center"/>
              <w:rPr>
                <w:rFonts w:eastAsia="Times New Roman" w:cs="Times New Roman"/>
                <w:b/>
                <w:sz w:val="20"/>
                <w:szCs w:val="20"/>
              </w:rPr>
            </w:pPr>
            <w:r w:rsidRPr="00995F95">
              <w:rPr>
                <w:rFonts w:eastAsia="Times New Roman" w:cs="Times New Roman"/>
                <w:b/>
                <w:sz w:val="20"/>
                <w:szCs w:val="20"/>
              </w:rPr>
              <w:t>Achitat în anul 2020</w:t>
            </w:r>
          </w:p>
        </w:tc>
        <w:tc>
          <w:tcPr>
            <w:tcW w:w="2336" w:type="dxa"/>
          </w:tcPr>
          <w:p w14:paraId="25C1A1B7" w14:textId="08917318" w:rsidR="0023784F" w:rsidRPr="00995F95" w:rsidRDefault="0023784F" w:rsidP="00560D3B">
            <w:pPr>
              <w:spacing w:after="0" w:line="240" w:lineRule="auto"/>
              <w:jc w:val="center"/>
              <w:rPr>
                <w:rFonts w:eastAsia="Times New Roman" w:cs="Times New Roman"/>
                <w:b/>
                <w:sz w:val="20"/>
                <w:szCs w:val="20"/>
              </w:rPr>
            </w:pPr>
            <w:r w:rsidRPr="00995F95">
              <w:rPr>
                <w:rFonts w:eastAsia="Times New Roman" w:cs="Times New Roman"/>
                <w:b/>
                <w:sz w:val="20"/>
                <w:szCs w:val="20"/>
              </w:rPr>
              <w:t>Soldul datoriei la 31.12.2020</w:t>
            </w:r>
          </w:p>
        </w:tc>
      </w:tr>
      <w:tr w:rsidR="0023784F" w:rsidRPr="00995F95" w14:paraId="78C3FEB9" w14:textId="77777777" w:rsidTr="00995F95">
        <w:tc>
          <w:tcPr>
            <w:tcW w:w="2337" w:type="dxa"/>
          </w:tcPr>
          <w:p w14:paraId="2884CF2C" w14:textId="1C88EF74" w:rsidR="0023784F" w:rsidRPr="00995F95" w:rsidRDefault="0023784F" w:rsidP="00FB1205">
            <w:pPr>
              <w:spacing w:after="0" w:line="240" w:lineRule="auto"/>
              <w:jc w:val="both"/>
              <w:rPr>
                <w:rFonts w:eastAsia="Times New Roman" w:cs="Times New Roman"/>
                <w:sz w:val="20"/>
                <w:szCs w:val="20"/>
              </w:rPr>
            </w:pPr>
            <w:r w:rsidRPr="00995F95">
              <w:rPr>
                <w:rFonts w:eastAsia="Times New Roman" w:cs="Times New Roman"/>
                <w:sz w:val="20"/>
                <w:szCs w:val="20"/>
              </w:rPr>
              <w:t>„Banca de Economii” S.A.</w:t>
            </w:r>
          </w:p>
        </w:tc>
        <w:tc>
          <w:tcPr>
            <w:tcW w:w="2478" w:type="dxa"/>
          </w:tcPr>
          <w:p w14:paraId="6E09A00E" w14:textId="266A5DD6" w:rsidR="0023784F" w:rsidRPr="00995F95" w:rsidRDefault="0023784F" w:rsidP="00560D3B">
            <w:pPr>
              <w:spacing w:after="0" w:line="240" w:lineRule="auto"/>
              <w:jc w:val="center"/>
              <w:rPr>
                <w:rFonts w:eastAsia="Times New Roman" w:cs="Times New Roman"/>
                <w:sz w:val="20"/>
                <w:szCs w:val="20"/>
              </w:rPr>
            </w:pPr>
            <w:r w:rsidRPr="00995F95">
              <w:rPr>
                <w:rFonts w:eastAsia="Times New Roman" w:cs="Times New Roman"/>
                <w:sz w:val="20"/>
                <w:szCs w:val="20"/>
              </w:rPr>
              <w:t>7 898,0</w:t>
            </w:r>
          </w:p>
        </w:tc>
        <w:tc>
          <w:tcPr>
            <w:tcW w:w="2194" w:type="dxa"/>
          </w:tcPr>
          <w:p w14:paraId="0A0C9E88" w14:textId="1F389C88" w:rsidR="0023784F" w:rsidRPr="00995F95" w:rsidRDefault="0023784F" w:rsidP="00560D3B">
            <w:pPr>
              <w:spacing w:after="0" w:line="240" w:lineRule="auto"/>
              <w:jc w:val="center"/>
              <w:rPr>
                <w:rFonts w:eastAsia="Times New Roman" w:cs="Times New Roman"/>
                <w:sz w:val="20"/>
                <w:szCs w:val="20"/>
              </w:rPr>
            </w:pPr>
            <w:r w:rsidRPr="00995F95">
              <w:rPr>
                <w:rFonts w:eastAsia="Times New Roman" w:cs="Times New Roman"/>
                <w:sz w:val="20"/>
                <w:szCs w:val="20"/>
              </w:rPr>
              <w:t>97,0</w:t>
            </w:r>
          </w:p>
        </w:tc>
        <w:tc>
          <w:tcPr>
            <w:tcW w:w="2336" w:type="dxa"/>
          </w:tcPr>
          <w:p w14:paraId="212A8F31" w14:textId="2195F404" w:rsidR="0023784F" w:rsidRPr="00995F95" w:rsidRDefault="0023784F" w:rsidP="00560D3B">
            <w:pPr>
              <w:spacing w:after="0" w:line="240" w:lineRule="auto"/>
              <w:jc w:val="center"/>
              <w:rPr>
                <w:rFonts w:eastAsia="Times New Roman" w:cs="Times New Roman"/>
                <w:sz w:val="20"/>
                <w:szCs w:val="20"/>
              </w:rPr>
            </w:pPr>
            <w:r w:rsidRPr="00995F95">
              <w:rPr>
                <w:rFonts w:eastAsia="Times New Roman" w:cs="Times New Roman"/>
                <w:sz w:val="20"/>
                <w:szCs w:val="20"/>
              </w:rPr>
              <w:t>7 801,0</w:t>
            </w:r>
          </w:p>
        </w:tc>
      </w:tr>
      <w:tr w:rsidR="0023784F" w:rsidRPr="00995F95" w14:paraId="4FCA83E0" w14:textId="77777777" w:rsidTr="00995F95">
        <w:tc>
          <w:tcPr>
            <w:tcW w:w="2337" w:type="dxa"/>
          </w:tcPr>
          <w:p w14:paraId="120FFAB1" w14:textId="4F837AD8" w:rsidR="0023784F" w:rsidRPr="00995F95" w:rsidRDefault="0023784F" w:rsidP="00FB1205">
            <w:pPr>
              <w:spacing w:after="0" w:line="240" w:lineRule="auto"/>
              <w:jc w:val="both"/>
              <w:rPr>
                <w:rFonts w:eastAsia="Times New Roman" w:cs="Times New Roman"/>
                <w:sz w:val="20"/>
                <w:szCs w:val="20"/>
              </w:rPr>
            </w:pPr>
            <w:r w:rsidRPr="00995F95">
              <w:rPr>
                <w:rFonts w:eastAsia="Times New Roman" w:cs="Times New Roman"/>
                <w:sz w:val="20"/>
                <w:szCs w:val="20"/>
              </w:rPr>
              <w:lastRenderedPageBreak/>
              <w:t>BC „Banca Socială” S.A.</w:t>
            </w:r>
          </w:p>
        </w:tc>
        <w:tc>
          <w:tcPr>
            <w:tcW w:w="2478" w:type="dxa"/>
          </w:tcPr>
          <w:p w14:paraId="0955731F" w14:textId="15E98596" w:rsidR="0023784F" w:rsidRPr="00995F95" w:rsidRDefault="0023784F" w:rsidP="00560D3B">
            <w:pPr>
              <w:spacing w:after="0" w:line="240" w:lineRule="auto"/>
              <w:jc w:val="center"/>
              <w:rPr>
                <w:rFonts w:eastAsia="Times New Roman" w:cs="Times New Roman"/>
                <w:sz w:val="20"/>
                <w:szCs w:val="20"/>
              </w:rPr>
            </w:pPr>
            <w:r w:rsidRPr="00995F95">
              <w:rPr>
                <w:rFonts w:eastAsia="Times New Roman" w:cs="Times New Roman"/>
                <w:sz w:val="20"/>
                <w:szCs w:val="20"/>
              </w:rPr>
              <w:t>2 007,0</w:t>
            </w:r>
          </w:p>
        </w:tc>
        <w:tc>
          <w:tcPr>
            <w:tcW w:w="2194" w:type="dxa"/>
          </w:tcPr>
          <w:p w14:paraId="0A1118F8" w14:textId="16F92EAB" w:rsidR="0023784F" w:rsidRPr="00995F95" w:rsidRDefault="0023784F" w:rsidP="00560D3B">
            <w:pPr>
              <w:spacing w:after="0" w:line="240" w:lineRule="auto"/>
              <w:jc w:val="center"/>
              <w:rPr>
                <w:rFonts w:eastAsia="Times New Roman" w:cs="Times New Roman"/>
                <w:sz w:val="20"/>
                <w:szCs w:val="20"/>
              </w:rPr>
            </w:pPr>
            <w:r w:rsidRPr="00995F95">
              <w:rPr>
                <w:rFonts w:eastAsia="Times New Roman" w:cs="Times New Roman"/>
                <w:sz w:val="20"/>
                <w:szCs w:val="20"/>
              </w:rPr>
              <w:t>71,0</w:t>
            </w:r>
          </w:p>
        </w:tc>
        <w:tc>
          <w:tcPr>
            <w:tcW w:w="2336" w:type="dxa"/>
          </w:tcPr>
          <w:p w14:paraId="4CF78C34" w14:textId="76290394" w:rsidR="0023784F" w:rsidRPr="00995F95" w:rsidRDefault="0023784F" w:rsidP="00560D3B">
            <w:pPr>
              <w:spacing w:after="0" w:line="240" w:lineRule="auto"/>
              <w:jc w:val="center"/>
              <w:rPr>
                <w:rFonts w:eastAsia="Times New Roman" w:cs="Times New Roman"/>
                <w:sz w:val="20"/>
                <w:szCs w:val="20"/>
              </w:rPr>
            </w:pPr>
            <w:r w:rsidRPr="00995F95">
              <w:rPr>
                <w:rFonts w:eastAsia="Times New Roman" w:cs="Times New Roman"/>
                <w:sz w:val="20"/>
                <w:szCs w:val="20"/>
              </w:rPr>
              <w:t>1 936,0</w:t>
            </w:r>
          </w:p>
        </w:tc>
      </w:tr>
      <w:tr w:rsidR="0023784F" w:rsidRPr="00995F95" w14:paraId="51B5F9DD" w14:textId="77777777" w:rsidTr="00995F95">
        <w:tc>
          <w:tcPr>
            <w:tcW w:w="2337" w:type="dxa"/>
          </w:tcPr>
          <w:p w14:paraId="2732122D" w14:textId="1C202EFC" w:rsidR="0023784F" w:rsidRPr="00995F95" w:rsidRDefault="0023784F" w:rsidP="00FB1205">
            <w:pPr>
              <w:spacing w:after="0" w:line="240" w:lineRule="auto"/>
              <w:jc w:val="both"/>
              <w:rPr>
                <w:rFonts w:eastAsia="Times New Roman" w:cs="Times New Roman"/>
                <w:sz w:val="20"/>
                <w:szCs w:val="20"/>
              </w:rPr>
            </w:pPr>
            <w:r w:rsidRPr="00995F95">
              <w:rPr>
                <w:rFonts w:eastAsia="Times New Roman" w:cs="Times New Roman"/>
                <w:sz w:val="20"/>
                <w:szCs w:val="20"/>
              </w:rPr>
              <w:t>BC „Unibank” S.A.</w:t>
            </w:r>
          </w:p>
        </w:tc>
        <w:tc>
          <w:tcPr>
            <w:tcW w:w="2478" w:type="dxa"/>
          </w:tcPr>
          <w:p w14:paraId="38E3B114" w14:textId="51759AFD" w:rsidR="0023784F" w:rsidRPr="00995F95" w:rsidRDefault="0026728C" w:rsidP="00560D3B">
            <w:pPr>
              <w:spacing w:after="0" w:line="240" w:lineRule="auto"/>
              <w:jc w:val="center"/>
              <w:rPr>
                <w:rFonts w:eastAsia="Times New Roman" w:cs="Times New Roman"/>
                <w:sz w:val="20"/>
                <w:szCs w:val="20"/>
              </w:rPr>
            </w:pPr>
            <w:r w:rsidRPr="00995F95">
              <w:rPr>
                <w:rFonts w:eastAsia="Times New Roman" w:cs="Times New Roman"/>
                <w:sz w:val="20"/>
                <w:szCs w:val="20"/>
              </w:rPr>
              <w:t>1 827,8</w:t>
            </w:r>
          </w:p>
        </w:tc>
        <w:tc>
          <w:tcPr>
            <w:tcW w:w="2194" w:type="dxa"/>
          </w:tcPr>
          <w:p w14:paraId="46F00E1B" w14:textId="6812B59D" w:rsidR="0023784F" w:rsidRPr="00995F95" w:rsidRDefault="0026728C" w:rsidP="00560D3B">
            <w:pPr>
              <w:spacing w:after="0" w:line="240" w:lineRule="auto"/>
              <w:jc w:val="center"/>
              <w:rPr>
                <w:rFonts w:eastAsia="Times New Roman" w:cs="Times New Roman"/>
                <w:sz w:val="20"/>
                <w:szCs w:val="20"/>
              </w:rPr>
            </w:pPr>
            <w:r w:rsidRPr="00995F95">
              <w:rPr>
                <w:rFonts w:eastAsia="Times New Roman" w:cs="Times New Roman"/>
                <w:sz w:val="20"/>
                <w:szCs w:val="20"/>
              </w:rPr>
              <w:t>0,5</w:t>
            </w:r>
          </w:p>
        </w:tc>
        <w:tc>
          <w:tcPr>
            <w:tcW w:w="2336" w:type="dxa"/>
          </w:tcPr>
          <w:p w14:paraId="0259FFC6" w14:textId="3DA7BB5B" w:rsidR="0023784F" w:rsidRPr="00995F95" w:rsidRDefault="0026728C" w:rsidP="00560D3B">
            <w:pPr>
              <w:spacing w:after="0" w:line="240" w:lineRule="auto"/>
              <w:jc w:val="center"/>
              <w:rPr>
                <w:rFonts w:eastAsia="Times New Roman" w:cs="Times New Roman"/>
                <w:sz w:val="20"/>
                <w:szCs w:val="20"/>
              </w:rPr>
            </w:pPr>
            <w:r w:rsidRPr="00995F95">
              <w:rPr>
                <w:rFonts w:eastAsia="Times New Roman" w:cs="Times New Roman"/>
                <w:sz w:val="20"/>
                <w:szCs w:val="20"/>
              </w:rPr>
              <w:t>1 827,3</w:t>
            </w:r>
          </w:p>
        </w:tc>
      </w:tr>
      <w:tr w:rsidR="0023784F" w:rsidRPr="00995F95" w14:paraId="1CB531FA" w14:textId="77777777" w:rsidTr="00995F95">
        <w:tc>
          <w:tcPr>
            <w:tcW w:w="2337" w:type="dxa"/>
          </w:tcPr>
          <w:p w14:paraId="4D3F7033" w14:textId="0F479E0B" w:rsidR="0023784F" w:rsidRPr="00995F95" w:rsidRDefault="0026728C" w:rsidP="00FB1205">
            <w:pPr>
              <w:spacing w:after="0" w:line="240" w:lineRule="auto"/>
              <w:jc w:val="both"/>
              <w:rPr>
                <w:rFonts w:eastAsia="Times New Roman" w:cs="Times New Roman"/>
                <w:sz w:val="20"/>
                <w:szCs w:val="20"/>
              </w:rPr>
            </w:pPr>
            <w:r w:rsidRPr="00995F95">
              <w:rPr>
                <w:rFonts w:eastAsia="Times New Roman" w:cs="Times New Roman"/>
                <w:sz w:val="20"/>
                <w:szCs w:val="20"/>
              </w:rPr>
              <w:t>BC „Investprivatbank” S.A.</w:t>
            </w:r>
          </w:p>
        </w:tc>
        <w:tc>
          <w:tcPr>
            <w:tcW w:w="2478" w:type="dxa"/>
          </w:tcPr>
          <w:p w14:paraId="1D15A009" w14:textId="6220760E" w:rsidR="0023784F" w:rsidRPr="00995F95" w:rsidRDefault="0026728C" w:rsidP="00560D3B">
            <w:pPr>
              <w:spacing w:after="0" w:line="240" w:lineRule="auto"/>
              <w:jc w:val="center"/>
              <w:rPr>
                <w:rFonts w:eastAsia="Times New Roman" w:cs="Times New Roman"/>
                <w:sz w:val="20"/>
                <w:szCs w:val="20"/>
              </w:rPr>
            </w:pPr>
            <w:r w:rsidRPr="00995F95">
              <w:rPr>
                <w:rFonts w:eastAsia="Times New Roman" w:cs="Times New Roman"/>
                <w:sz w:val="20"/>
                <w:szCs w:val="20"/>
              </w:rPr>
              <w:t>357,6</w:t>
            </w:r>
          </w:p>
        </w:tc>
        <w:tc>
          <w:tcPr>
            <w:tcW w:w="2194" w:type="dxa"/>
          </w:tcPr>
          <w:p w14:paraId="15C02800" w14:textId="33FBB2A1" w:rsidR="0023784F" w:rsidRPr="00995F95" w:rsidRDefault="0026728C" w:rsidP="00560D3B">
            <w:pPr>
              <w:spacing w:after="0" w:line="240" w:lineRule="auto"/>
              <w:jc w:val="center"/>
              <w:rPr>
                <w:rFonts w:eastAsia="Times New Roman" w:cs="Times New Roman"/>
                <w:sz w:val="20"/>
                <w:szCs w:val="20"/>
              </w:rPr>
            </w:pPr>
            <w:r w:rsidRPr="00995F95">
              <w:rPr>
                <w:rFonts w:eastAsia="Times New Roman" w:cs="Times New Roman"/>
                <w:sz w:val="20"/>
                <w:szCs w:val="20"/>
              </w:rPr>
              <w:t>4,0</w:t>
            </w:r>
          </w:p>
        </w:tc>
        <w:tc>
          <w:tcPr>
            <w:tcW w:w="2336" w:type="dxa"/>
          </w:tcPr>
          <w:p w14:paraId="07CB48D1" w14:textId="2C66F8F9" w:rsidR="0023784F" w:rsidRPr="00995F95" w:rsidRDefault="0026728C" w:rsidP="00560D3B">
            <w:pPr>
              <w:spacing w:after="0" w:line="240" w:lineRule="auto"/>
              <w:jc w:val="center"/>
              <w:rPr>
                <w:rFonts w:eastAsia="Times New Roman" w:cs="Times New Roman"/>
                <w:sz w:val="20"/>
                <w:szCs w:val="20"/>
              </w:rPr>
            </w:pPr>
            <w:r w:rsidRPr="00995F95">
              <w:rPr>
                <w:rFonts w:eastAsia="Times New Roman" w:cs="Times New Roman"/>
                <w:sz w:val="20"/>
                <w:szCs w:val="20"/>
              </w:rPr>
              <w:t>353,6</w:t>
            </w:r>
          </w:p>
        </w:tc>
      </w:tr>
      <w:tr w:rsidR="0023784F" w:rsidRPr="00995F95" w14:paraId="123BE20A" w14:textId="77777777" w:rsidTr="00995F95">
        <w:tc>
          <w:tcPr>
            <w:tcW w:w="2337" w:type="dxa"/>
          </w:tcPr>
          <w:p w14:paraId="6E4AF233" w14:textId="7D2144A0" w:rsidR="0023784F" w:rsidRPr="00995F95" w:rsidRDefault="0026728C" w:rsidP="00FB1205">
            <w:pPr>
              <w:spacing w:after="0" w:line="240" w:lineRule="auto"/>
              <w:jc w:val="both"/>
              <w:rPr>
                <w:rFonts w:eastAsia="Times New Roman" w:cs="Times New Roman"/>
                <w:b/>
                <w:sz w:val="20"/>
                <w:szCs w:val="20"/>
              </w:rPr>
            </w:pPr>
            <w:r w:rsidRPr="00995F95">
              <w:rPr>
                <w:rFonts w:eastAsia="Times New Roman" w:cs="Times New Roman"/>
                <w:b/>
                <w:sz w:val="20"/>
                <w:szCs w:val="20"/>
              </w:rPr>
              <w:t>Total</w:t>
            </w:r>
          </w:p>
        </w:tc>
        <w:tc>
          <w:tcPr>
            <w:tcW w:w="2478" w:type="dxa"/>
          </w:tcPr>
          <w:p w14:paraId="363CBDFC" w14:textId="52D36C8B" w:rsidR="0023784F" w:rsidRPr="00995F95" w:rsidRDefault="0026728C" w:rsidP="00560D3B">
            <w:pPr>
              <w:spacing w:after="0" w:line="240" w:lineRule="auto"/>
              <w:jc w:val="center"/>
              <w:rPr>
                <w:rFonts w:eastAsia="Times New Roman" w:cs="Times New Roman"/>
                <w:b/>
                <w:sz w:val="20"/>
                <w:szCs w:val="20"/>
              </w:rPr>
            </w:pPr>
            <w:r w:rsidRPr="00995F95">
              <w:rPr>
                <w:rFonts w:eastAsia="Times New Roman" w:cs="Times New Roman"/>
                <w:b/>
                <w:sz w:val="20"/>
                <w:szCs w:val="20"/>
              </w:rPr>
              <w:t>12 090,4</w:t>
            </w:r>
          </w:p>
        </w:tc>
        <w:tc>
          <w:tcPr>
            <w:tcW w:w="2194" w:type="dxa"/>
          </w:tcPr>
          <w:p w14:paraId="4C3A7913" w14:textId="09D642B0" w:rsidR="0023784F" w:rsidRPr="00995F95" w:rsidRDefault="0026728C" w:rsidP="00560D3B">
            <w:pPr>
              <w:spacing w:after="0" w:line="240" w:lineRule="auto"/>
              <w:jc w:val="center"/>
              <w:rPr>
                <w:rFonts w:eastAsia="Times New Roman" w:cs="Times New Roman"/>
                <w:b/>
                <w:sz w:val="20"/>
                <w:szCs w:val="20"/>
              </w:rPr>
            </w:pPr>
            <w:r w:rsidRPr="00995F95">
              <w:rPr>
                <w:rFonts w:eastAsia="Times New Roman" w:cs="Times New Roman"/>
                <w:b/>
                <w:sz w:val="20"/>
                <w:szCs w:val="20"/>
              </w:rPr>
              <w:t>172,5</w:t>
            </w:r>
          </w:p>
        </w:tc>
        <w:tc>
          <w:tcPr>
            <w:tcW w:w="2336" w:type="dxa"/>
          </w:tcPr>
          <w:p w14:paraId="7A43B321" w14:textId="151E1CE1" w:rsidR="0023784F" w:rsidRPr="00995F95" w:rsidRDefault="0026728C" w:rsidP="00560D3B">
            <w:pPr>
              <w:spacing w:after="0" w:line="240" w:lineRule="auto"/>
              <w:jc w:val="center"/>
              <w:rPr>
                <w:rFonts w:eastAsia="Times New Roman" w:cs="Times New Roman"/>
                <w:b/>
                <w:sz w:val="20"/>
                <w:szCs w:val="20"/>
              </w:rPr>
            </w:pPr>
            <w:r w:rsidRPr="00995F95">
              <w:rPr>
                <w:rFonts w:eastAsia="Times New Roman" w:cs="Times New Roman"/>
                <w:b/>
                <w:sz w:val="20"/>
                <w:szCs w:val="20"/>
              </w:rPr>
              <w:t>11 917,9</w:t>
            </w:r>
          </w:p>
        </w:tc>
      </w:tr>
    </w:tbl>
    <w:p w14:paraId="5AE4EF39" w14:textId="202B692F" w:rsidR="0023784F" w:rsidRPr="0026728C" w:rsidRDefault="0026728C" w:rsidP="00FB1205">
      <w:pPr>
        <w:spacing w:line="276" w:lineRule="auto"/>
        <w:ind w:firstLine="567"/>
        <w:jc w:val="both"/>
        <w:rPr>
          <w:rFonts w:eastAsia="Times New Roman" w:cs="Times New Roman"/>
          <w:b/>
          <w:i/>
          <w:lang w:val="ro-RO"/>
        </w:rPr>
      </w:pPr>
      <w:r w:rsidRPr="0026728C">
        <w:rPr>
          <w:rFonts w:eastAsia="Times New Roman" w:cs="Times New Roman"/>
          <w:b/>
          <w:i/>
          <w:sz w:val="20"/>
          <w:szCs w:val="20"/>
          <w:lang w:val="ro-RO"/>
        </w:rPr>
        <w:t>Sursa:</w:t>
      </w:r>
      <w:r>
        <w:rPr>
          <w:rFonts w:eastAsia="Times New Roman" w:cs="Times New Roman"/>
          <w:b/>
          <w:i/>
          <w:lang w:val="ro-RO"/>
        </w:rPr>
        <w:t xml:space="preserve"> </w:t>
      </w:r>
      <w:r w:rsidRPr="009B5172">
        <w:rPr>
          <w:rFonts w:cstheme="majorHAnsi"/>
          <w:i/>
          <w:sz w:val="20"/>
          <w:szCs w:val="20"/>
          <w:lang w:val="ro-MD" w:eastAsia="ru-RU"/>
        </w:rPr>
        <w:t xml:space="preserve">Informația MF </w:t>
      </w:r>
      <w:r>
        <w:rPr>
          <w:rFonts w:cstheme="majorHAnsi"/>
          <w:i/>
          <w:sz w:val="20"/>
          <w:szCs w:val="20"/>
          <w:lang w:val="ro-MD" w:eastAsia="ru-RU"/>
        </w:rPr>
        <w:t xml:space="preserve">privind </w:t>
      </w:r>
      <w:r w:rsidRPr="009B5172">
        <w:rPr>
          <w:rFonts w:cstheme="majorHAnsi"/>
          <w:i/>
          <w:sz w:val="20"/>
          <w:szCs w:val="20"/>
          <w:lang w:val="ro-MD" w:eastAsia="ru-RU"/>
        </w:rPr>
        <w:t>soldul datoriei băncilor în proces de lichidare față de MF</w:t>
      </w:r>
      <w:r>
        <w:rPr>
          <w:rFonts w:cstheme="majorHAnsi"/>
          <w:i/>
          <w:sz w:val="20"/>
          <w:szCs w:val="20"/>
          <w:lang w:val="ro-MD" w:eastAsia="ru-RU"/>
        </w:rPr>
        <w:t>,</w:t>
      </w:r>
      <w:r w:rsidRPr="009B5172">
        <w:rPr>
          <w:rFonts w:cstheme="majorHAnsi"/>
          <w:i/>
          <w:sz w:val="20"/>
          <w:szCs w:val="20"/>
          <w:lang w:val="ro-MD" w:eastAsia="ru-RU"/>
        </w:rPr>
        <w:t xml:space="preserve"> la 31.12.20</w:t>
      </w:r>
      <w:r>
        <w:rPr>
          <w:rFonts w:cstheme="majorHAnsi"/>
          <w:i/>
          <w:sz w:val="20"/>
          <w:szCs w:val="20"/>
          <w:lang w:val="ro-MD" w:eastAsia="ru-RU"/>
        </w:rPr>
        <w:t>20</w:t>
      </w:r>
      <w:r w:rsidR="00234665">
        <w:rPr>
          <w:rFonts w:cstheme="majorHAnsi"/>
          <w:i/>
          <w:sz w:val="20"/>
          <w:szCs w:val="20"/>
          <w:lang w:val="ro-MD" w:eastAsia="ru-RU"/>
        </w:rPr>
        <w:t>.</w:t>
      </w:r>
    </w:p>
    <w:p w14:paraId="5B3865FC" w14:textId="00F3E637" w:rsidR="000E28F9" w:rsidRPr="009B5172" w:rsidRDefault="00191829" w:rsidP="000E28F9">
      <w:pPr>
        <w:pStyle w:val="af3"/>
        <w:spacing w:after="240" w:line="276" w:lineRule="auto"/>
        <w:jc w:val="both"/>
        <w:rPr>
          <w:rFonts w:asciiTheme="majorHAnsi" w:hAnsiTheme="majorHAnsi" w:cstheme="majorHAnsi"/>
          <w:i/>
          <w:sz w:val="20"/>
          <w:szCs w:val="20"/>
          <w:lang w:val="ro-MD" w:eastAsia="ru-RU"/>
        </w:rPr>
      </w:pPr>
      <w:r>
        <w:rPr>
          <w:rFonts w:asciiTheme="majorHAnsi" w:hAnsiTheme="majorHAnsi" w:cstheme="majorHAnsi"/>
          <w:color w:val="000000" w:themeColor="text1"/>
          <w:sz w:val="24"/>
          <w:szCs w:val="24"/>
          <w:lang w:val="ro-MD"/>
        </w:rPr>
        <w:t xml:space="preserve">Analiza în dinamică a </w:t>
      </w:r>
      <w:r w:rsidR="00BC37FC">
        <w:rPr>
          <w:rFonts w:asciiTheme="majorHAnsi" w:hAnsiTheme="majorHAnsi" w:cstheme="majorHAnsi"/>
          <w:color w:val="000000" w:themeColor="text1"/>
          <w:sz w:val="24"/>
          <w:szCs w:val="24"/>
          <w:lang w:val="ro-MD"/>
        </w:rPr>
        <w:t>mijloacelor rambursate de către</w:t>
      </w:r>
      <w:r w:rsidR="003F1D16">
        <w:rPr>
          <w:rFonts w:asciiTheme="majorHAnsi" w:hAnsiTheme="majorHAnsi" w:cstheme="majorHAnsi"/>
          <w:color w:val="000000" w:themeColor="text1"/>
          <w:sz w:val="24"/>
          <w:szCs w:val="24"/>
          <w:lang w:val="ro-MD"/>
        </w:rPr>
        <w:t xml:space="preserve"> băncil</w:t>
      </w:r>
      <w:r w:rsidR="00234665">
        <w:rPr>
          <w:rFonts w:asciiTheme="majorHAnsi" w:hAnsiTheme="majorHAnsi" w:cstheme="majorHAnsi"/>
          <w:color w:val="000000" w:themeColor="text1"/>
          <w:sz w:val="24"/>
          <w:szCs w:val="24"/>
          <w:lang w:val="ro-MD"/>
        </w:rPr>
        <w:t>e aflate în proces de lichidare</w:t>
      </w:r>
      <w:r w:rsidR="003F1D16">
        <w:rPr>
          <w:rFonts w:asciiTheme="majorHAnsi" w:hAnsiTheme="majorHAnsi" w:cstheme="majorHAnsi"/>
          <w:color w:val="000000" w:themeColor="text1"/>
          <w:sz w:val="24"/>
          <w:szCs w:val="24"/>
          <w:lang w:val="ro-MD"/>
        </w:rPr>
        <w:t xml:space="preserve"> </w:t>
      </w:r>
      <w:r w:rsidR="00BC37FC">
        <w:rPr>
          <w:rFonts w:asciiTheme="majorHAnsi" w:hAnsiTheme="majorHAnsi" w:cstheme="majorHAnsi"/>
          <w:color w:val="000000" w:themeColor="text1"/>
          <w:sz w:val="24"/>
          <w:szCs w:val="24"/>
          <w:lang w:val="ro-MD"/>
        </w:rPr>
        <w:t>denotă un ritm scăzut de restituire a datoriei</w:t>
      </w:r>
      <w:r w:rsidR="006C6582">
        <w:rPr>
          <w:rFonts w:asciiTheme="majorHAnsi" w:hAnsiTheme="majorHAnsi" w:cstheme="majorHAnsi"/>
          <w:color w:val="000000" w:themeColor="text1"/>
          <w:sz w:val="24"/>
          <w:szCs w:val="24"/>
          <w:lang w:val="ro-MD"/>
        </w:rPr>
        <w:t>. Astfel, d</w:t>
      </w:r>
      <w:r w:rsidR="003F1D16">
        <w:rPr>
          <w:rFonts w:asciiTheme="majorHAnsi" w:hAnsiTheme="majorHAnsi" w:cstheme="majorHAnsi"/>
          <w:color w:val="000000" w:themeColor="text1"/>
          <w:sz w:val="24"/>
          <w:szCs w:val="24"/>
          <w:lang w:val="ro-MD"/>
        </w:rPr>
        <w:t xml:space="preserve">in totalul datoriei preluate de către MF </w:t>
      </w:r>
      <w:r w:rsidR="000768AA">
        <w:rPr>
          <w:rFonts w:asciiTheme="majorHAnsi" w:hAnsiTheme="majorHAnsi" w:cstheme="majorHAnsi"/>
          <w:color w:val="000000" w:themeColor="text1"/>
          <w:sz w:val="24"/>
          <w:szCs w:val="24"/>
          <w:lang w:val="ro-MD"/>
        </w:rPr>
        <w:t xml:space="preserve">în sumă </w:t>
      </w:r>
      <w:r w:rsidR="003F1D16">
        <w:rPr>
          <w:rFonts w:asciiTheme="majorHAnsi" w:hAnsiTheme="majorHAnsi" w:cstheme="majorHAnsi"/>
          <w:color w:val="000000" w:themeColor="text1"/>
          <w:sz w:val="24"/>
          <w:szCs w:val="24"/>
          <w:lang w:val="ro-MD"/>
        </w:rPr>
        <w:t>de</w:t>
      </w:r>
      <w:r w:rsidR="000768AA">
        <w:rPr>
          <w:rFonts w:asciiTheme="majorHAnsi" w:hAnsiTheme="majorHAnsi" w:cstheme="majorHAnsi"/>
          <w:color w:val="000000" w:themeColor="text1"/>
          <w:sz w:val="24"/>
          <w:szCs w:val="24"/>
          <w:lang w:val="ro-MD"/>
        </w:rPr>
        <w:t xml:space="preserve"> 13 769,7 mil.lei, la situația din 31.12.2020, băncile supuse lichidării au restituit doar </w:t>
      </w:r>
      <w:r w:rsidR="006C6582">
        <w:rPr>
          <w:rFonts w:asciiTheme="majorHAnsi" w:hAnsiTheme="majorHAnsi" w:cstheme="majorHAnsi"/>
          <w:color w:val="000000" w:themeColor="text1"/>
          <w:sz w:val="24"/>
          <w:szCs w:val="24"/>
          <w:lang w:val="ro-MD"/>
        </w:rPr>
        <w:t xml:space="preserve">1 851,8 mil. lei, ceea ce constituie doar 13,4%. </w:t>
      </w:r>
      <w:r w:rsidR="006C6582" w:rsidRPr="000E28F9">
        <w:rPr>
          <w:rFonts w:asciiTheme="majorHAnsi" w:hAnsiTheme="majorHAnsi" w:cstheme="majorHAnsi"/>
          <w:i/>
          <w:color w:val="000000" w:themeColor="text1"/>
          <w:sz w:val="24"/>
          <w:szCs w:val="24"/>
          <w:lang w:val="ro-MD"/>
        </w:rPr>
        <w:t>Analiza în dinamică a rambursărilor efectuate de către băncil</w:t>
      </w:r>
      <w:r w:rsidR="00234665">
        <w:rPr>
          <w:rFonts w:asciiTheme="majorHAnsi" w:hAnsiTheme="majorHAnsi" w:cstheme="majorHAnsi"/>
          <w:i/>
          <w:color w:val="000000" w:themeColor="text1"/>
          <w:sz w:val="24"/>
          <w:szCs w:val="24"/>
          <w:lang w:val="ro-MD"/>
        </w:rPr>
        <w:t>e aflate în proces de lichidare</w:t>
      </w:r>
      <w:r w:rsidR="006C6582" w:rsidRPr="000E28F9">
        <w:rPr>
          <w:rFonts w:asciiTheme="majorHAnsi" w:hAnsiTheme="majorHAnsi" w:cstheme="majorHAnsi"/>
          <w:i/>
          <w:color w:val="000000" w:themeColor="text1"/>
          <w:sz w:val="24"/>
          <w:szCs w:val="24"/>
          <w:lang w:val="ro-MD"/>
        </w:rPr>
        <w:t xml:space="preserve"> se prezintă în </w:t>
      </w:r>
      <w:r w:rsidR="000E28F9" w:rsidRPr="000E28F9">
        <w:rPr>
          <w:rFonts w:asciiTheme="majorHAnsi" w:hAnsiTheme="majorHAnsi" w:cstheme="majorHAnsi"/>
          <w:i/>
          <w:color w:val="000000" w:themeColor="text1"/>
          <w:sz w:val="24"/>
          <w:szCs w:val="24"/>
          <w:lang w:val="ro-MD"/>
        </w:rPr>
        <w:t xml:space="preserve">Anexa nr.4, </w:t>
      </w:r>
      <w:r w:rsidR="006C6582" w:rsidRPr="000E28F9">
        <w:rPr>
          <w:rFonts w:asciiTheme="majorHAnsi" w:hAnsiTheme="majorHAnsi" w:cstheme="majorHAnsi"/>
          <w:i/>
          <w:color w:val="000000" w:themeColor="text1"/>
          <w:sz w:val="24"/>
          <w:szCs w:val="24"/>
          <w:lang w:val="ro-MD"/>
        </w:rPr>
        <w:t>Tabelul nr.</w:t>
      </w:r>
      <w:r w:rsidR="002748A3">
        <w:rPr>
          <w:rFonts w:asciiTheme="majorHAnsi" w:hAnsiTheme="majorHAnsi" w:cstheme="majorHAnsi"/>
          <w:i/>
          <w:color w:val="000000" w:themeColor="text1"/>
          <w:sz w:val="24"/>
          <w:szCs w:val="24"/>
          <w:lang w:val="ro-MD"/>
        </w:rPr>
        <w:t>4</w:t>
      </w:r>
      <w:r w:rsidR="000E28F9" w:rsidRPr="000E28F9">
        <w:rPr>
          <w:rFonts w:asciiTheme="majorHAnsi" w:hAnsiTheme="majorHAnsi" w:cstheme="majorHAnsi"/>
          <w:i/>
          <w:color w:val="000000" w:themeColor="text1"/>
          <w:sz w:val="24"/>
          <w:szCs w:val="24"/>
          <w:lang w:val="ro-MD"/>
        </w:rPr>
        <w:t xml:space="preserve"> </w:t>
      </w:r>
      <w:r w:rsidR="000E28F9" w:rsidRPr="000E28F9">
        <w:rPr>
          <w:rFonts w:asciiTheme="majorHAnsi" w:eastAsia="Times New Roman" w:hAnsiTheme="majorHAnsi" w:cstheme="majorHAnsi"/>
          <w:i/>
          <w:sz w:val="24"/>
          <w:szCs w:val="24"/>
          <w:lang w:val="ro-RO"/>
        </w:rPr>
        <w:t>la prezentul Raport de audit</w:t>
      </w:r>
      <w:r w:rsidR="000E28F9" w:rsidRPr="000E28F9">
        <w:rPr>
          <w:rFonts w:asciiTheme="majorHAnsi" w:hAnsiTheme="majorHAnsi" w:cstheme="majorHAnsi"/>
          <w:i/>
          <w:sz w:val="24"/>
          <w:szCs w:val="24"/>
          <w:lang w:val="ro-MD" w:eastAsia="ru-RU"/>
        </w:rPr>
        <w:t>.</w:t>
      </w:r>
    </w:p>
    <w:p w14:paraId="5AC1A6D9" w14:textId="26276047" w:rsidR="008A6B72" w:rsidRDefault="00E66876" w:rsidP="000E28F9">
      <w:pPr>
        <w:spacing w:before="240" w:line="276" w:lineRule="auto"/>
        <w:jc w:val="both"/>
        <w:rPr>
          <w:rFonts w:cstheme="majorHAnsi"/>
          <w:szCs w:val="24"/>
          <w:lang w:val="ro-RO"/>
        </w:rPr>
      </w:pPr>
      <w:r w:rsidRPr="00C10BFF">
        <w:rPr>
          <w:rFonts w:eastAsia="Times New Roman" w:cstheme="majorHAnsi"/>
          <w:szCs w:val="24"/>
          <w:lang w:val="ro-RO"/>
        </w:rPr>
        <w:t xml:space="preserve">În același timp, </w:t>
      </w:r>
      <w:r>
        <w:rPr>
          <w:rFonts w:cstheme="majorHAnsi"/>
          <w:szCs w:val="24"/>
          <w:lang w:val="ro-RO"/>
        </w:rPr>
        <w:t xml:space="preserve">auditul atestă că </w:t>
      </w:r>
      <w:r w:rsidRPr="00E6598B">
        <w:rPr>
          <w:rFonts w:cstheme="majorHAnsi"/>
          <w:szCs w:val="24"/>
          <w:lang w:val="ro-RO"/>
        </w:rPr>
        <w:t>MF</w:t>
      </w:r>
      <w:r w:rsidR="005C5C6A">
        <w:rPr>
          <w:rFonts w:cstheme="majorHAnsi"/>
          <w:szCs w:val="24"/>
          <w:lang w:val="ro-RO"/>
        </w:rPr>
        <w:t>, în vederea executării obligațiunilor derivate din garațiile de stat, în luna octombrie 2020,</w:t>
      </w:r>
      <w:r w:rsidRPr="00E6598B">
        <w:rPr>
          <w:rFonts w:cstheme="majorHAnsi"/>
          <w:szCs w:val="24"/>
          <w:lang w:val="ro-RO"/>
        </w:rPr>
        <w:t xml:space="preserve"> din portofoliul deținut de BNM,</w:t>
      </w:r>
      <w:r w:rsidR="005C5C6A">
        <w:rPr>
          <w:rFonts w:cstheme="majorHAnsi"/>
          <w:szCs w:val="24"/>
          <w:lang w:val="ro-RO"/>
        </w:rPr>
        <w:t xml:space="preserve"> a răscumpărat</w:t>
      </w:r>
      <w:r w:rsidR="00DD70F6">
        <w:rPr>
          <w:rFonts w:cstheme="majorHAnsi"/>
          <w:szCs w:val="24"/>
          <w:lang w:val="ro-RO"/>
        </w:rPr>
        <w:t xml:space="preserve"> OS în sumă de 2</w:t>
      </w:r>
      <w:r w:rsidR="005C5C6A">
        <w:rPr>
          <w:rFonts w:cstheme="majorHAnsi"/>
          <w:szCs w:val="24"/>
          <w:lang w:val="ro-RO"/>
        </w:rPr>
        <w:t>4</w:t>
      </w:r>
      <w:r w:rsidR="00DD70F6">
        <w:rPr>
          <w:rFonts w:cstheme="majorHAnsi"/>
          <w:szCs w:val="24"/>
          <w:lang w:val="ro-RO"/>
        </w:rPr>
        <w:t>0,0 mil. lei</w:t>
      </w:r>
      <w:r w:rsidR="005C5C6A">
        <w:rPr>
          <w:rFonts w:cstheme="majorHAnsi"/>
          <w:szCs w:val="24"/>
          <w:lang w:val="ro-RO"/>
        </w:rPr>
        <w:t xml:space="preserve">. </w:t>
      </w:r>
      <w:r w:rsidR="00DD70F6">
        <w:rPr>
          <w:rFonts w:cstheme="majorHAnsi"/>
          <w:szCs w:val="24"/>
          <w:lang w:val="ro-RO"/>
        </w:rPr>
        <w:t>D</w:t>
      </w:r>
      <w:r w:rsidRPr="00E6598B">
        <w:rPr>
          <w:rFonts w:cstheme="majorHAnsi"/>
          <w:szCs w:val="24"/>
          <w:lang w:val="ro-RO"/>
        </w:rPr>
        <w:t>atoria MF față d</w:t>
      </w:r>
      <w:r w:rsidR="00DD70F6">
        <w:rPr>
          <w:rFonts w:cstheme="majorHAnsi"/>
          <w:szCs w:val="24"/>
          <w:lang w:val="ro-RO"/>
        </w:rPr>
        <w:t>e BNM, la sit</w:t>
      </w:r>
      <w:r w:rsidR="00BF2F32">
        <w:rPr>
          <w:rFonts w:cstheme="majorHAnsi"/>
          <w:szCs w:val="24"/>
          <w:lang w:val="ro-RO"/>
        </w:rPr>
        <w:t>uația din 31.12.20</w:t>
      </w:r>
      <w:r w:rsidR="005C5C6A">
        <w:rPr>
          <w:rFonts w:cstheme="majorHAnsi"/>
          <w:szCs w:val="24"/>
          <w:lang w:val="ro-RO"/>
        </w:rPr>
        <w:t>20</w:t>
      </w:r>
      <w:r w:rsidR="00BF2F32">
        <w:rPr>
          <w:rFonts w:cstheme="majorHAnsi"/>
          <w:szCs w:val="24"/>
          <w:lang w:val="ro-RO"/>
        </w:rPr>
        <w:t xml:space="preserve">, </w:t>
      </w:r>
      <w:r w:rsidR="00AB1629">
        <w:rPr>
          <w:rFonts w:cstheme="majorHAnsi"/>
          <w:szCs w:val="24"/>
          <w:lang w:val="ro-RO"/>
        </w:rPr>
        <w:t xml:space="preserve">a </w:t>
      </w:r>
      <w:r w:rsidR="00BF2F32">
        <w:rPr>
          <w:rFonts w:cstheme="majorHAnsi"/>
          <w:szCs w:val="24"/>
          <w:lang w:val="ro-RO"/>
        </w:rPr>
        <w:t>constitui</w:t>
      </w:r>
      <w:r w:rsidR="00AB1629">
        <w:rPr>
          <w:rFonts w:cstheme="majorHAnsi"/>
          <w:szCs w:val="24"/>
          <w:lang w:val="ro-RO"/>
        </w:rPr>
        <w:t>t</w:t>
      </w:r>
      <w:r w:rsidRPr="00E6598B">
        <w:rPr>
          <w:rFonts w:cstheme="majorHAnsi"/>
          <w:szCs w:val="24"/>
          <w:lang w:val="ro-RO"/>
        </w:rPr>
        <w:t xml:space="preserve"> </w:t>
      </w:r>
      <w:r w:rsidR="00DD70F6">
        <w:rPr>
          <w:rFonts w:cstheme="majorHAnsi"/>
          <w:szCs w:val="24"/>
          <w:lang w:val="ro-RO"/>
        </w:rPr>
        <w:t xml:space="preserve">12 </w:t>
      </w:r>
      <w:r w:rsidR="005C5C6A">
        <w:rPr>
          <w:rFonts w:cstheme="majorHAnsi"/>
          <w:szCs w:val="24"/>
          <w:lang w:val="ro-RO"/>
        </w:rPr>
        <w:t>611</w:t>
      </w:r>
      <w:r w:rsidR="00DD70F6">
        <w:rPr>
          <w:rFonts w:cstheme="majorHAnsi"/>
          <w:szCs w:val="24"/>
          <w:lang w:val="ro-RO"/>
        </w:rPr>
        <w:t>,2</w:t>
      </w:r>
      <w:r w:rsidRPr="00E6598B">
        <w:rPr>
          <w:rFonts w:cstheme="majorHAnsi"/>
          <w:szCs w:val="24"/>
          <w:lang w:val="ro-RO"/>
        </w:rPr>
        <w:t xml:space="preserve"> mil.</w:t>
      </w:r>
      <w:r w:rsidR="00DD70F6">
        <w:rPr>
          <w:rFonts w:cstheme="majorHAnsi"/>
          <w:szCs w:val="24"/>
          <w:lang w:val="ro-RO"/>
        </w:rPr>
        <w:t xml:space="preserve"> </w:t>
      </w:r>
      <w:r w:rsidRPr="00E6598B">
        <w:rPr>
          <w:rFonts w:cstheme="majorHAnsi"/>
          <w:szCs w:val="24"/>
          <w:lang w:val="ro-RO"/>
        </w:rPr>
        <w:t>lei.</w:t>
      </w:r>
    </w:p>
    <w:p w14:paraId="5B620F3E" w14:textId="28E6E604" w:rsidR="00947599" w:rsidRPr="00594E02" w:rsidRDefault="00FE5F62" w:rsidP="00FB1205">
      <w:pPr>
        <w:pStyle w:val="a9"/>
        <w:shd w:val="clear" w:color="auto" w:fill="FFFFFF"/>
        <w:spacing w:after="0" w:line="276" w:lineRule="auto"/>
        <w:jc w:val="both"/>
        <w:rPr>
          <w:rFonts w:asciiTheme="majorHAnsi" w:hAnsiTheme="majorHAnsi" w:cstheme="majorHAnsi"/>
          <w:color w:val="FF0000"/>
          <w:lang w:val="ro-RO"/>
        </w:rPr>
      </w:pPr>
      <w:r>
        <w:rPr>
          <w:rFonts w:asciiTheme="majorHAnsi" w:hAnsiTheme="majorHAnsi" w:cstheme="majorHAnsi"/>
          <w:lang w:val="ro-RO"/>
        </w:rPr>
        <w:t>Totodată, auditul menționează că, prevederile art.2 alin.(11) din Legea nr.235 din 03.10.2016</w:t>
      </w:r>
      <w:r>
        <w:rPr>
          <w:rStyle w:val="a6"/>
          <w:rFonts w:asciiTheme="majorHAnsi" w:hAnsiTheme="majorHAnsi" w:cstheme="majorHAnsi"/>
          <w:lang w:val="ro-RO"/>
        </w:rPr>
        <w:footnoteReference w:id="15"/>
      </w:r>
      <w:r>
        <w:rPr>
          <w:rFonts w:asciiTheme="majorHAnsi" w:hAnsiTheme="majorHAnsi" w:cstheme="majorHAnsi"/>
          <w:lang w:val="ro-RO"/>
        </w:rPr>
        <w:t xml:space="preserve">, care stipulează că </w:t>
      </w:r>
      <w:r w:rsidRPr="00FE5F62">
        <w:rPr>
          <w:rFonts w:asciiTheme="majorHAnsi" w:hAnsiTheme="majorHAnsi" w:cstheme="majorHAnsi"/>
          <w:i/>
          <w:lang w:val="ro-RO"/>
        </w:rPr>
        <w:t>„pe durata termenului obligațiunilor de stat emise, soldul profitului BNM disponibil pentru distribuire, transferat de BNM la venitul bugetului de stat conform prevederilor art.2</w:t>
      </w:r>
      <w:r w:rsidR="00DB4B1E">
        <w:rPr>
          <w:rFonts w:asciiTheme="majorHAnsi" w:hAnsiTheme="majorHAnsi" w:cstheme="majorHAnsi"/>
          <w:i/>
          <w:lang w:val="ro-RO"/>
        </w:rPr>
        <w:t>0 alin.(6) din Legea nr.548</w:t>
      </w:r>
      <w:r w:rsidRPr="00FE5F62">
        <w:rPr>
          <w:rFonts w:asciiTheme="majorHAnsi" w:hAnsiTheme="majorHAnsi" w:cstheme="majorHAnsi"/>
          <w:i/>
          <w:lang w:val="ro-RO"/>
        </w:rPr>
        <w:t xml:space="preserve"> din 21.07.1995 cu privire la Banca Națională a Moldovei, va fi îndreptat de către MF în același an pentru răscumpărarea, înainte de data scadenței, a obligațiunilor de stat emise conform legii și aflate în proprietatea BNM”</w:t>
      </w:r>
      <w:r w:rsidR="00DB4B1E">
        <w:rPr>
          <w:rStyle w:val="a6"/>
          <w:rFonts w:asciiTheme="majorHAnsi" w:hAnsiTheme="majorHAnsi" w:cstheme="majorHAnsi"/>
          <w:i/>
          <w:lang w:val="ro-RO"/>
        </w:rPr>
        <w:footnoteReference w:id="16"/>
      </w:r>
      <w:r w:rsidR="00DB4B1E">
        <w:rPr>
          <w:rFonts w:asciiTheme="majorHAnsi" w:hAnsiTheme="majorHAnsi" w:cstheme="majorHAnsi"/>
          <w:i/>
          <w:lang w:val="ro-RO"/>
        </w:rPr>
        <w:t xml:space="preserve">, </w:t>
      </w:r>
      <w:r w:rsidR="00072BA2" w:rsidRPr="00072BA2">
        <w:rPr>
          <w:rFonts w:asciiTheme="majorHAnsi" w:hAnsiTheme="majorHAnsi" w:cstheme="majorHAnsi"/>
          <w:lang w:val="ro-RO"/>
        </w:rPr>
        <w:t>alin.(12)</w:t>
      </w:r>
      <w:r w:rsidR="00072BA2">
        <w:rPr>
          <w:rFonts w:asciiTheme="majorHAnsi" w:hAnsiTheme="majorHAnsi" w:cstheme="majorHAnsi"/>
          <w:lang w:val="ro-RO"/>
        </w:rPr>
        <w:t xml:space="preserve"> care prevede că </w:t>
      </w:r>
      <w:r w:rsidR="00072BA2" w:rsidRPr="00072BA2">
        <w:rPr>
          <w:rFonts w:asciiTheme="majorHAnsi" w:hAnsiTheme="majorHAnsi" w:cstheme="majorHAnsi"/>
          <w:i/>
          <w:lang w:val="ro-RO"/>
        </w:rPr>
        <w:t xml:space="preserve">„Răscumpărarea obligaţiunilor de stat înainte de data scadenţei din mijloacele prevăzute la art.2 alin.(11) se va efectua suplimentar la volumul iniţial de răscumpărare inclus în bugetul de stat pentru anul în curs” </w:t>
      </w:r>
      <w:r w:rsidR="00072BA2">
        <w:rPr>
          <w:rFonts w:asciiTheme="majorHAnsi" w:hAnsiTheme="majorHAnsi" w:cstheme="majorHAnsi"/>
          <w:lang w:val="ro-RO"/>
        </w:rPr>
        <w:t xml:space="preserve">și alin.(13) care prevede că </w:t>
      </w:r>
      <w:r w:rsidR="00072BA2" w:rsidRPr="00072BA2">
        <w:rPr>
          <w:rFonts w:asciiTheme="majorHAnsi" w:hAnsiTheme="majorHAnsi" w:cstheme="majorHAnsi"/>
          <w:i/>
          <w:lang w:val="ro-RO"/>
        </w:rPr>
        <w:t xml:space="preserve">„Pentru răscumpărarea obligaţiunilor de stat înainte de data scadenţei în conformitate cu art.2 alin.(11) şi (12) al prezentei legi vor fi selectate obligaţiunile cu cea mai mare scadenţă rămasă”, </w:t>
      </w:r>
      <w:r w:rsidR="00DB4B1E">
        <w:rPr>
          <w:rFonts w:asciiTheme="majorHAnsi" w:hAnsiTheme="majorHAnsi" w:cstheme="majorHAnsi"/>
          <w:lang w:val="ro-RO"/>
        </w:rPr>
        <w:t>a</w:t>
      </w:r>
      <w:r w:rsidR="00072BA2">
        <w:rPr>
          <w:rFonts w:asciiTheme="majorHAnsi" w:hAnsiTheme="majorHAnsi" w:cstheme="majorHAnsi"/>
          <w:lang w:val="ro-RO"/>
        </w:rPr>
        <w:t>u</w:t>
      </w:r>
      <w:r w:rsidR="00DB4B1E">
        <w:rPr>
          <w:rFonts w:asciiTheme="majorHAnsi" w:hAnsiTheme="majorHAnsi" w:cstheme="majorHAnsi"/>
          <w:lang w:val="ro-RO"/>
        </w:rPr>
        <w:t xml:space="preserve"> fost abrogat</w:t>
      </w:r>
      <w:r w:rsidR="00072BA2">
        <w:rPr>
          <w:rFonts w:asciiTheme="majorHAnsi" w:hAnsiTheme="majorHAnsi" w:cstheme="majorHAnsi"/>
          <w:lang w:val="ro-RO"/>
        </w:rPr>
        <w:t>e</w:t>
      </w:r>
      <w:r w:rsidR="00DB4B1E">
        <w:rPr>
          <w:rFonts w:asciiTheme="majorHAnsi" w:hAnsiTheme="majorHAnsi" w:cstheme="majorHAnsi"/>
          <w:lang w:val="ro-RO"/>
        </w:rPr>
        <w:t xml:space="preserve"> prin Legea nr.</w:t>
      </w:r>
      <w:r w:rsidR="00DD73CC">
        <w:rPr>
          <w:rFonts w:asciiTheme="majorHAnsi" w:hAnsiTheme="majorHAnsi" w:cstheme="majorHAnsi"/>
          <w:lang w:val="ro-RO"/>
        </w:rPr>
        <w:t>42 din 0</w:t>
      </w:r>
      <w:r w:rsidR="00DB4B1E">
        <w:rPr>
          <w:rFonts w:asciiTheme="majorHAnsi" w:hAnsiTheme="majorHAnsi" w:cstheme="majorHAnsi"/>
          <w:lang w:val="ro-RO"/>
        </w:rPr>
        <w:t>6.</w:t>
      </w:r>
      <w:r w:rsidR="00DD73CC">
        <w:rPr>
          <w:rFonts w:asciiTheme="majorHAnsi" w:hAnsiTheme="majorHAnsi" w:cstheme="majorHAnsi"/>
          <w:lang w:val="ro-RO"/>
        </w:rPr>
        <w:t>03</w:t>
      </w:r>
      <w:r w:rsidR="00DB4B1E">
        <w:rPr>
          <w:rFonts w:asciiTheme="majorHAnsi" w:hAnsiTheme="majorHAnsi" w:cstheme="majorHAnsi"/>
          <w:lang w:val="ro-RO"/>
        </w:rPr>
        <w:t>.2020</w:t>
      </w:r>
      <w:r w:rsidR="00DD73CC">
        <w:rPr>
          <w:rStyle w:val="a6"/>
          <w:rFonts w:asciiTheme="majorHAnsi" w:hAnsiTheme="majorHAnsi" w:cstheme="majorHAnsi"/>
          <w:lang w:val="ro-RO"/>
        </w:rPr>
        <w:footnoteReference w:id="17"/>
      </w:r>
      <w:r w:rsidR="00DD73CC">
        <w:rPr>
          <w:rFonts w:asciiTheme="majorHAnsi" w:hAnsiTheme="majorHAnsi" w:cstheme="majorHAnsi"/>
          <w:lang w:val="ro-RO"/>
        </w:rPr>
        <w:t>, în vigoare din 02.04.2020</w:t>
      </w:r>
      <w:r w:rsidR="00072BA2">
        <w:rPr>
          <w:rFonts w:asciiTheme="majorHAnsi" w:hAnsiTheme="majorHAnsi" w:cstheme="majorHAnsi"/>
          <w:i/>
          <w:lang w:val="ro-RO"/>
        </w:rPr>
        <w:t xml:space="preserve">. </w:t>
      </w:r>
      <w:r w:rsidR="00072BA2">
        <w:rPr>
          <w:rFonts w:asciiTheme="majorHAnsi" w:hAnsiTheme="majorHAnsi" w:cstheme="majorHAnsi"/>
          <w:lang w:val="ro-RO"/>
        </w:rPr>
        <w:t xml:space="preserve">Ulterior, prin Legea </w:t>
      </w:r>
      <w:r w:rsidR="00072BA2">
        <w:rPr>
          <w:rFonts w:asciiTheme="majorHAnsi" w:hAnsiTheme="majorHAnsi" w:cstheme="majorHAnsi"/>
          <w:lang w:val="ro-RO"/>
        </w:rPr>
        <w:lastRenderedPageBreak/>
        <w:t>nr.230 din 16.12.2020</w:t>
      </w:r>
      <w:r w:rsidR="00072BA2">
        <w:rPr>
          <w:rStyle w:val="a6"/>
          <w:rFonts w:asciiTheme="majorHAnsi" w:hAnsiTheme="majorHAnsi" w:cstheme="majorHAnsi"/>
          <w:lang w:val="ro-RO"/>
        </w:rPr>
        <w:footnoteReference w:id="18"/>
      </w:r>
      <w:r w:rsidR="00654666">
        <w:rPr>
          <w:rFonts w:asciiTheme="majorHAnsi" w:hAnsiTheme="majorHAnsi" w:cstheme="majorHAnsi"/>
          <w:lang w:val="ro-RO"/>
        </w:rPr>
        <w:t xml:space="preserve"> (în vigoare din 22.12.2020), a fost abrogată în întregime și Legea nr.235/2016 sus-menționată.</w:t>
      </w:r>
      <w:r w:rsidR="00654666" w:rsidRPr="00E26808">
        <w:rPr>
          <w:rFonts w:asciiTheme="majorHAnsi" w:hAnsiTheme="majorHAnsi" w:cstheme="majorHAnsi"/>
          <w:lang w:val="ro-RO"/>
        </w:rPr>
        <w:t xml:space="preserve"> T</w:t>
      </w:r>
      <w:r w:rsidR="002906AB" w:rsidRPr="00E26808">
        <w:rPr>
          <w:rFonts w:asciiTheme="majorHAnsi" w:hAnsiTheme="majorHAnsi" w:cstheme="majorHAnsi"/>
          <w:lang w:val="ro-RO"/>
        </w:rPr>
        <w:t xml:space="preserve">otodată, Curtea Constituțională </w:t>
      </w:r>
      <w:r w:rsidR="00EA147A">
        <w:rPr>
          <w:rFonts w:asciiTheme="majorHAnsi" w:hAnsiTheme="majorHAnsi" w:cstheme="majorHAnsi"/>
          <w:lang w:val="ro-RO"/>
        </w:rPr>
        <w:t xml:space="preserve">a declarat </w:t>
      </w:r>
      <w:r w:rsidR="002906AB" w:rsidRPr="00E26808">
        <w:rPr>
          <w:rFonts w:asciiTheme="majorHAnsi" w:hAnsiTheme="majorHAnsi" w:cstheme="majorHAnsi"/>
          <w:lang w:val="ro-RO"/>
        </w:rPr>
        <w:t>această abrogare</w:t>
      </w:r>
      <w:r w:rsidR="0016784A" w:rsidRPr="00E26808">
        <w:rPr>
          <w:rFonts w:asciiTheme="majorHAnsi" w:hAnsiTheme="majorHAnsi" w:cstheme="majorHAnsi"/>
          <w:lang w:val="ro-RO"/>
        </w:rPr>
        <w:t xml:space="preserve"> </w:t>
      </w:r>
      <w:r w:rsidR="002906AB" w:rsidRPr="00E26808">
        <w:rPr>
          <w:rFonts w:asciiTheme="majorHAnsi" w:hAnsiTheme="majorHAnsi" w:cstheme="majorHAnsi"/>
          <w:lang w:val="ro-RO"/>
        </w:rPr>
        <w:t>neconstituțională</w:t>
      </w:r>
      <w:r w:rsidR="002906AB" w:rsidRPr="00E26808">
        <w:rPr>
          <w:rStyle w:val="a6"/>
          <w:rFonts w:asciiTheme="majorHAnsi" w:hAnsiTheme="majorHAnsi" w:cstheme="majorHAnsi"/>
          <w:lang w:val="ro-RO"/>
        </w:rPr>
        <w:footnoteReference w:id="19"/>
      </w:r>
      <w:r w:rsidR="000A2B31" w:rsidRPr="00E26808">
        <w:rPr>
          <w:rFonts w:asciiTheme="majorHAnsi" w:hAnsiTheme="majorHAnsi" w:cstheme="majorHAnsi"/>
          <w:lang w:val="ro-RO"/>
        </w:rPr>
        <w:t xml:space="preserve">. </w:t>
      </w:r>
      <w:r w:rsidR="00594E02" w:rsidRPr="00E26808">
        <w:rPr>
          <w:rFonts w:asciiTheme="majorHAnsi" w:hAnsiTheme="majorHAnsi" w:cstheme="majorHAnsi"/>
          <w:lang w:val="ro-RO"/>
        </w:rPr>
        <w:t>Auditul menționează că avizul Guvernului și BNM în acest caz au fost negative. Astfel, î</w:t>
      </w:r>
      <w:r w:rsidR="00947599" w:rsidRPr="00E26808">
        <w:rPr>
          <w:rFonts w:asciiTheme="majorHAnsi" w:hAnsiTheme="majorHAnsi" w:cstheme="majorHAnsi"/>
          <w:lang w:val="ro-RO"/>
        </w:rPr>
        <w:t xml:space="preserve">n opinia Guvernului </w:t>
      </w:r>
      <w:r w:rsidR="00947599" w:rsidRPr="00E26808">
        <w:rPr>
          <w:rFonts w:asciiTheme="majorHAnsi" w:hAnsiTheme="majorHAnsi" w:cstheme="majorHAnsi"/>
          <w:i/>
          <w:lang w:val="ro-RO"/>
        </w:rPr>
        <w:t>„</w:t>
      </w:r>
      <w:r w:rsidR="0069699B" w:rsidRPr="00E26808">
        <w:rPr>
          <w:rFonts w:asciiTheme="majorHAnsi" w:hAnsiTheme="majorHAnsi" w:cstheme="majorHAnsi"/>
          <w:i/>
          <w:lang w:val="ro-RO"/>
        </w:rPr>
        <w:t xml:space="preserve">suspendarea plăților pentru obligațiunile de stat emise anterior ar putea conduce la decapitalizarea BNM. Ca rezultat, bugetul de stat va suporta cheltuieli suplimentare pentru deservirea VMS emise pentru majorarea capitalului statutar al BNM”. </w:t>
      </w:r>
      <w:r w:rsidR="00947599" w:rsidRPr="00E26808">
        <w:rPr>
          <w:rFonts w:asciiTheme="majorHAnsi" w:hAnsiTheme="majorHAnsi" w:cstheme="majorHAnsi"/>
          <w:lang w:val="ro-RO"/>
        </w:rPr>
        <w:t xml:space="preserve">La fel, BNM a atenționat că, </w:t>
      </w:r>
      <w:r w:rsidR="00947599" w:rsidRPr="00E26808">
        <w:rPr>
          <w:rFonts w:asciiTheme="majorHAnsi" w:hAnsiTheme="majorHAnsi" w:cstheme="majorHAnsi"/>
          <w:i/>
          <w:lang w:val="ro-RO"/>
        </w:rPr>
        <w:t>„o eventuală neonorare a obligațiunilor de plată de către Guvern, care ar trebui să conducă la anunțarea default-ului tehnic, ar fi un semnal îngrijorător pentru partenerii de dezvoltare, investi</w:t>
      </w:r>
      <w:r w:rsidR="00EA147A">
        <w:rPr>
          <w:rFonts w:asciiTheme="majorHAnsi" w:hAnsiTheme="majorHAnsi" w:cstheme="majorHAnsi"/>
          <w:i/>
          <w:lang w:val="ro-RO"/>
        </w:rPr>
        <w:t>torii străini și populație, creâ</w:t>
      </w:r>
      <w:r w:rsidR="00947599" w:rsidRPr="00E26808">
        <w:rPr>
          <w:rFonts w:asciiTheme="majorHAnsi" w:hAnsiTheme="majorHAnsi" w:cstheme="majorHAnsi"/>
          <w:i/>
          <w:lang w:val="ro-RO"/>
        </w:rPr>
        <w:t>nd dubii privind capacitatea și intenția RM de a-și onora obligațiunile financiare, și ar conduce la sistarea sau suspendarea mai multor finanțări și investiții, la scăderea ratingului de țară și la agravarea condițiilor de atragere a finanțărilor interne și externe pe viitor. În plus, abrogarea Legii nr.235/</w:t>
      </w:r>
      <w:r w:rsidR="00EA147A">
        <w:rPr>
          <w:rFonts w:asciiTheme="majorHAnsi" w:hAnsiTheme="majorHAnsi" w:cstheme="majorHAnsi"/>
          <w:i/>
          <w:lang w:val="ro-RO"/>
        </w:rPr>
        <w:t>2016 va afecta piața VMS, existâ</w:t>
      </w:r>
      <w:r w:rsidR="00947599" w:rsidRPr="00E26808">
        <w:rPr>
          <w:rFonts w:asciiTheme="majorHAnsi" w:hAnsiTheme="majorHAnsi" w:cstheme="majorHAnsi"/>
          <w:i/>
          <w:lang w:val="ro-RO"/>
        </w:rPr>
        <w:t>nd o probabilitate</w:t>
      </w:r>
      <w:r w:rsidR="00EA147A">
        <w:rPr>
          <w:rFonts w:asciiTheme="majorHAnsi" w:hAnsiTheme="majorHAnsi" w:cstheme="majorHAnsi"/>
          <w:i/>
          <w:lang w:val="ro-RO"/>
        </w:rPr>
        <w:t xml:space="preserve"> mare de creștere a ratelor dobâ</w:t>
      </w:r>
      <w:r w:rsidR="00947599" w:rsidRPr="00E26808">
        <w:rPr>
          <w:rFonts w:asciiTheme="majorHAnsi" w:hAnsiTheme="majorHAnsi" w:cstheme="majorHAnsi"/>
          <w:i/>
          <w:lang w:val="ro-RO"/>
        </w:rPr>
        <w:t>nzii la acestea din cauza perceperii titlurilor de stat drept instrumente financiare cu un cost ridicat.</w:t>
      </w:r>
      <w:r w:rsidR="00014F08" w:rsidRPr="00E26808">
        <w:rPr>
          <w:rFonts w:asciiTheme="majorHAnsi" w:hAnsiTheme="majorHAnsi" w:cstheme="majorHAnsi"/>
          <w:i/>
          <w:lang w:val="ro-RO"/>
        </w:rPr>
        <w:t xml:space="preserve"> </w:t>
      </w:r>
      <w:r w:rsidR="00527271">
        <w:rPr>
          <w:rFonts w:asciiTheme="majorHAnsi" w:hAnsiTheme="majorHAnsi" w:cstheme="majorHAnsi"/>
          <w:i/>
          <w:lang w:val="ro-RO"/>
        </w:rPr>
        <w:t>Creșterea ratelor dobâ</w:t>
      </w:r>
      <w:r w:rsidR="00594E02" w:rsidRPr="00E26808">
        <w:rPr>
          <w:rFonts w:asciiTheme="majorHAnsi" w:hAnsiTheme="majorHAnsi" w:cstheme="majorHAnsi"/>
          <w:i/>
          <w:lang w:val="ro-RO"/>
        </w:rPr>
        <w:t>nzilor la VMS va pune presiune pe bugetul de stat din contul creșterii costurilor de deservire a instrumentelor de datorie emise de MF”.</w:t>
      </w:r>
    </w:p>
    <w:p w14:paraId="6AFAEDF1" w14:textId="65A5BAED" w:rsidR="00747B03" w:rsidRDefault="00FF3E15" w:rsidP="00FB1205">
      <w:pPr>
        <w:pStyle w:val="a9"/>
        <w:shd w:val="clear" w:color="auto" w:fill="FFFFFF"/>
        <w:spacing w:line="276" w:lineRule="auto"/>
        <w:jc w:val="both"/>
        <w:rPr>
          <w:rFonts w:asciiTheme="majorHAnsi" w:hAnsiTheme="majorHAnsi" w:cstheme="majorHAnsi"/>
          <w:lang w:val="ro-RO"/>
        </w:rPr>
      </w:pPr>
      <w:r>
        <w:rPr>
          <w:rFonts w:asciiTheme="majorHAnsi" w:hAnsiTheme="majorHAnsi" w:cstheme="majorHAnsi"/>
          <w:lang w:val="ro-RO"/>
        </w:rPr>
        <w:t xml:space="preserve">În opinia auditului, neonorarea obligațiunilor derivate din garanțiile de stat emise de MF, pentru creditele de urgență acordate de BNM </w:t>
      </w:r>
      <w:r w:rsidR="005727C0">
        <w:rPr>
          <w:rFonts w:asciiTheme="majorHAnsi" w:hAnsiTheme="majorHAnsi" w:cstheme="majorHAnsi"/>
          <w:lang w:val="ro-RO"/>
        </w:rPr>
        <w:t>sistemului bancar, va cauza creș</w:t>
      </w:r>
      <w:r>
        <w:rPr>
          <w:rFonts w:asciiTheme="majorHAnsi" w:hAnsiTheme="majorHAnsi" w:cstheme="majorHAnsi"/>
          <w:lang w:val="ro-RO"/>
        </w:rPr>
        <w:t>terea ascendentă a datoriei de stat interne în următorii ani.</w:t>
      </w:r>
    </w:p>
    <w:p w14:paraId="762928A5" w14:textId="65D638BE" w:rsidR="008D429E" w:rsidRPr="00566727" w:rsidRDefault="008A0F62" w:rsidP="00E10FDA">
      <w:pPr>
        <w:pStyle w:val="3"/>
        <w:numPr>
          <w:ilvl w:val="2"/>
          <w:numId w:val="14"/>
        </w:numPr>
        <w:spacing w:before="0"/>
        <w:ind w:left="0" w:firstLine="0"/>
        <w:jc w:val="both"/>
        <w:rPr>
          <w:lang w:val="ro-RO"/>
        </w:rPr>
      </w:pPr>
      <w:bookmarkStart w:id="21" w:name="_Toc75436450"/>
      <w:r w:rsidRPr="00566727">
        <w:rPr>
          <w:lang w:val="ro-RO"/>
        </w:rPr>
        <w:t>Soldul datoriei de stat externe, deși se încadrează în limitele stabilite de Legea bugetară an</w:t>
      </w:r>
      <w:r w:rsidR="00C876C2">
        <w:rPr>
          <w:lang w:val="ro-RO"/>
        </w:rPr>
        <w:t>u</w:t>
      </w:r>
      <w:r w:rsidRPr="00566727">
        <w:rPr>
          <w:lang w:val="ro-RO"/>
        </w:rPr>
        <w:t>ală,</w:t>
      </w:r>
      <w:r w:rsidR="00980328">
        <w:rPr>
          <w:lang w:val="ro-RO"/>
        </w:rPr>
        <w:t xml:space="preserve"> </w:t>
      </w:r>
      <w:r w:rsidRPr="00566727">
        <w:rPr>
          <w:lang w:val="ro-RO"/>
        </w:rPr>
        <w:t>înregistrează o creștere semnificativă, determinată de finanțarea externă netă pozitivă și evoluția cursului de schimb al monedei naționale în raport cu dolarul SUA</w:t>
      </w:r>
      <w:r w:rsidR="00980328">
        <w:rPr>
          <w:lang w:val="ro-RO"/>
        </w:rPr>
        <w:t>.</w:t>
      </w:r>
      <w:bookmarkEnd w:id="21"/>
    </w:p>
    <w:p w14:paraId="5C88B885" w14:textId="32AB1BFE" w:rsidR="0049401C" w:rsidRPr="007F4A04" w:rsidRDefault="008D429E" w:rsidP="00E10FDA">
      <w:pPr>
        <w:spacing w:after="0" w:line="276" w:lineRule="auto"/>
        <w:jc w:val="both"/>
        <w:rPr>
          <w:rFonts w:cstheme="majorHAnsi"/>
          <w:szCs w:val="24"/>
          <w:lang w:val="ro-MD" w:eastAsia="ru-RU"/>
        </w:rPr>
      </w:pPr>
      <w:r w:rsidRPr="008D429E">
        <w:rPr>
          <w:rFonts w:ascii="Calibri Light" w:eastAsia="Calibri" w:hAnsi="Calibri Light" w:cs="Calibri Light"/>
          <w:szCs w:val="24"/>
          <w:lang w:val="ro-MD"/>
        </w:rPr>
        <w:t>Potrivit Legii bugetului de stat pentru anul 2020</w:t>
      </w:r>
      <w:r w:rsidRPr="008D429E">
        <w:rPr>
          <w:rFonts w:ascii="Calibri Light" w:eastAsia="Calibri" w:hAnsi="Calibri Light" w:cs="Calibri Light"/>
          <w:szCs w:val="24"/>
          <w:vertAlign w:val="superscript"/>
          <w:lang w:val="ro-MD"/>
        </w:rPr>
        <w:footnoteReference w:id="20"/>
      </w:r>
      <w:r w:rsidRPr="008D429E">
        <w:rPr>
          <w:rFonts w:ascii="Calibri Light" w:eastAsia="Calibri" w:hAnsi="Calibri Light" w:cs="Calibri Light"/>
          <w:szCs w:val="24"/>
          <w:lang w:val="ro-MD"/>
        </w:rPr>
        <w:t xml:space="preserve">, </w:t>
      </w:r>
      <w:r w:rsidR="00F36229" w:rsidRPr="00D45A87">
        <w:rPr>
          <w:rFonts w:cstheme="majorHAnsi"/>
          <w:szCs w:val="24"/>
          <w:lang w:val="ro-MD" w:eastAsia="ru-RU"/>
        </w:rPr>
        <w:t xml:space="preserve">datoria de stat externă a fost aprobată în sumă de </w:t>
      </w:r>
      <w:r w:rsidR="007F4A04">
        <w:rPr>
          <w:rFonts w:ascii="Calibri Light" w:eastAsia="Calibri" w:hAnsi="Calibri Light" w:cs="Calibri Light"/>
          <w:szCs w:val="24"/>
          <w:lang w:val="ro-MD"/>
        </w:rPr>
        <w:t>41 820,9</w:t>
      </w:r>
      <w:r w:rsidR="00F36229" w:rsidRPr="008D429E">
        <w:rPr>
          <w:rFonts w:ascii="Calibri Light" w:eastAsia="Calibri" w:hAnsi="Calibri Light" w:cs="Calibri Light"/>
          <w:szCs w:val="24"/>
          <w:lang w:val="ro-MD"/>
        </w:rPr>
        <w:t xml:space="preserve"> mil. lei</w:t>
      </w:r>
      <w:r w:rsidR="00F36229" w:rsidRPr="00D45A87">
        <w:rPr>
          <w:rFonts w:cstheme="majorHAnsi"/>
          <w:szCs w:val="24"/>
          <w:lang w:val="ro-MD" w:eastAsia="ru-RU"/>
        </w:rPr>
        <w:t xml:space="preserve"> </w:t>
      </w:r>
      <w:r w:rsidR="007F4A04">
        <w:rPr>
          <w:rFonts w:cstheme="majorHAnsi"/>
          <w:szCs w:val="24"/>
          <w:lang w:val="ro-MD" w:eastAsia="ru-RU"/>
        </w:rPr>
        <w:t>(echivalentul a 2 208,1</w:t>
      </w:r>
      <w:r w:rsidR="002B6195">
        <w:rPr>
          <w:rFonts w:cstheme="majorHAnsi"/>
          <w:szCs w:val="24"/>
          <w:lang w:val="ro-MD" w:eastAsia="ru-RU"/>
        </w:rPr>
        <w:t xml:space="preserve"> mil. dol. SUA)</w:t>
      </w:r>
      <w:r w:rsidR="005D33A6">
        <w:rPr>
          <w:rFonts w:cstheme="majorHAnsi"/>
          <w:szCs w:val="24"/>
          <w:lang w:val="ro-MD" w:eastAsia="ru-RU"/>
        </w:rPr>
        <w:t xml:space="preserve">. </w:t>
      </w:r>
      <w:r w:rsidR="007F4A04">
        <w:rPr>
          <w:rFonts w:cstheme="majorHAnsi"/>
          <w:szCs w:val="24"/>
          <w:lang w:val="ro-MD" w:eastAsia="ru-RU"/>
        </w:rPr>
        <w:t>Ulterior, pe parcursul anului, plafonul datoriei d</w:t>
      </w:r>
      <w:r w:rsidR="002D1084">
        <w:rPr>
          <w:rFonts w:cstheme="majorHAnsi"/>
          <w:szCs w:val="24"/>
          <w:lang w:val="ro-MD" w:eastAsia="ru-RU"/>
        </w:rPr>
        <w:t>e stat externe a fost majorat pâ</w:t>
      </w:r>
      <w:r w:rsidR="007F4A04">
        <w:rPr>
          <w:rFonts w:cstheme="majorHAnsi"/>
          <w:szCs w:val="24"/>
          <w:lang w:val="ro-MD" w:eastAsia="ru-RU"/>
        </w:rPr>
        <w:t>nă la 45 660,2 mil. lei (echivalentul a 2 519,</w:t>
      </w:r>
      <w:r w:rsidR="00C26C7F">
        <w:rPr>
          <w:rFonts w:cstheme="majorHAnsi"/>
          <w:szCs w:val="24"/>
          <w:lang w:val="ro-MD" w:eastAsia="ru-RU"/>
        </w:rPr>
        <w:t>9 mil. dol. SUA</w:t>
      </w:r>
      <w:r w:rsidR="007D7715">
        <w:rPr>
          <w:rFonts w:cstheme="majorHAnsi"/>
          <w:szCs w:val="24"/>
          <w:lang w:val="ro-MD" w:eastAsia="ru-RU"/>
        </w:rPr>
        <w:t xml:space="preserve">), sau cu </w:t>
      </w:r>
      <w:r w:rsidR="007E52C8">
        <w:rPr>
          <w:rFonts w:cstheme="majorHAnsi"/>
          <w:szCs w:val="24"/>
          <w:lang w:val="ro-MD" w:eastAsia="ru-RU"/>
        </w:rPr>
        <w:t>3 839,3 mil. lei (echivalentul a 311,8 mil. dol.SUA)</w:t>
      </w:r>
      <w:r w:rsidR="007F4A04">
        <w:rPr>
          <w:rFonts w:cstheme="majorHAnsi"/>
          <w:szCs w:val="24"/>
          <w:lang w:val="ro-MD" w:eastAsia="ru-RU"/>
        </w:rPr>
        <w:t xml:space="preserve"> </w:t>
      </w:r>
      <w:r w:rsidR="002D1084">
        <w:rPr>
          <w:rFonts w:cstheme="majorHAnsi"/>
          <w:szCs w:val="24"/>
          <w:lang w:val="ro-MD" w:eastAsia="ru-RU"/>
        </w:rPr>
        <w:t>mai mult decâ</w:t>
      </w:r>
      <w:r w:rsidR="007E52C8">
        <w:rPr>
          <w:rFonts w:cstheme="majorHAnsi"/>
          <w:szCs w:val="24"/>
          <w:lang w:val="ro-MD" w:eastAsia="ru-RU"/>
        </w:rPr>
        <w:t xml:space="preserve">t a fost aprobat inițial. </w:t>
      </w:r>
      <w:r w:rsidR="007F4A04">
        <w:rPr>
          <w:rFonts w:cstheme="majorHAnsi"/>
          <w:szCs w:val="24"/>
          <w:lang w:val="ro-MD" w:eastAsia="ru-RU"/>
        </w:rPr>
        <w:t>L</w:t>
      </w:r>
      <w:r w:rsidR="00F36229" w:rsidRPr="001634BB">
        <w:rPr>
          <w:rFonts w:cstheme="majorHAnsi"/>
          <w:szCs w:val="24"/>
          <w:lang w:val="ro-MD" w:eastAsia="ru-RU"/>
        </w:rPr>
        <w:t>a</w:t>
      </w:r>
      <w:r w:rsidR="00F36229">
        <w:rPr>
          <w:rFonts w:cstheme="majorHAnsi"/>
          <w:szCs w:val="24"/>
          <w:lang w:val="ro-MD" w:eastAsia="ru-RU"/>
        </w:rPr>
        <w:t xml:space="preserve"> situația </w:t>
      </w:r>
      <w:r w:rsidR="00093177">
        <w:rPr>
          <w:rFonts w:cstheme="majorHAnsi"/>
          <w:szCs w:val="24"/>
          <w:lang w:val="ro-MD" w:eastAsia="ru-RU"/>
        </w:rPr>
        <w:t xml:space="preserve">din </w:t>
      </w:r>
      <w:r w:rsidR="00F36229" w:rsidRPr="001634BB">
        <w:rPr>
          <w:rFonts w:cstheme="majorHAnsi"/>
          <w:szCs w:val="24"/>
          <w:lang w:val="ro-MD" w:eastAsia="ru-RU"/>
        </w:rPr>
        <w:t>31.12.20</w:t>
      </w:r>
      <w:r w:rsidR="002B6195">
        <w:rPr>
          <w:rFonts w:cstheme="majorHAnsi"/>
          <w:szCs w:val="24"/>
          <w:lang w:val="ro-MD" w:eastAsia="ru-RU"/>
        </w:rPr>
        <w:t>20</w:t>
      </w:r>
      <w:r w:rsidR="00F36229" w:rsidRPr="001634BB">
        <w:rPr>
          <w:rFonts w:cstheme="majorHAnsi"/>
          <w:szCs w:val="24"/>
          <w:lang w:val="ro-MD" w:eastAsia="ru-RU"/>
        </w:rPr>
        <w:t xml:space="preserve">, </w:t>
      </w:r>
      <w:r w:rsidR="002B6195">
        <w:rPr>
          <w:rFonts w:cstheme="majorHAnsi"/>
          <w:szCs w:val="24"/>
          <w:lang w:val="ro-MD" w:eastAsia="ru-RU"/>
        </w:rPr>
        <w:t xml:space="preserve">soldul datoriei de stat externe a constituit </w:t>
      </w:r>
      <w:r w:rsidR="002B6195" w:rsidRPr="00A95B50">
        <w:rPr>
          <w:rFonts w:ascii="Calibri Light" w:eastAsia="Calibri" w:hAnsi="Calibri Light" w:cs="Calibri Light"/>
          <w:szCs w:val="24"/>
        </w:rPr>
        <w:t xml:space="preserve">38 585,1 mil. </w:t>
      </w:r>
      <w:r w:rsidR="007F4A04">
        <w:rPr>
          <w:rFonts w:ascii="Calibri Light" w:eastAsia="Calibri" w:hAnsi="Calibri Light" w:cs="Calibri Light"/>
          <w:szCs w:val="24"/>
        </w:rPr>
        <w:t>lei (</w:t>
      </w:r>
      <w:r w:rsidR="007F4A04" w:rsidRPr="00A95B50">
        <w:rPr>
          <w:rFonts w:ascii="Calibri Light" w:eastAsia="Calibri" w:hAnsi="Calibri Light" w:cs="Calibri Light"/>
          <w:szCs w:val="24"/>
        </w:rPr>
        <w:t xml:space="preserve">echivalentul a </w:t>
      </w:r>
      <w:r w:rsidR="007F4A04">
        <w:rPr>
          <w:rFonts w:ascii="Calibri Light" w:eastAsia="Calibri" w:hAnsi="Calibri Light" w:cs="Calibri Light"/>
          <w:szCs w:val="24"/>
        </w:rPr>
        <w:t xml:space="preserve">2 241,4 mil. dol. SUA), </w:t>
      </w:r>
      <w:r w:rsidR="005D33A6">
        <w:rPr>
          <w:rFonts w:ascii="Calibri Light" w:eastAsia="Calibri" w:hAnsi="Calibri Light" w:cs="Calibri Light"/>
          <w:szCs w:val="24"/>
        </w:rPr>
        <w:t>fiind</w:t>
      </w:r>
      <w:r w:rsidR="007F4A04">
        <w:rPr>
          <w:rFonts w:ascii="Calibri Light" w:eastAsia="Calibri" w:hAnsi="Calibri Light" w:cs="Calibri Light"/>
          <w:szCs w:val="24"/>
        </w:rPr>
        <w:t xml:space="preserve"> în limitele plafonului aprobat, sau cu 7 </w:t>
      </w:r>
      <w:r w:rsidR="007F4A04">
        <w:rPr>
          <w:rFonts w:ascii="Calibri Light" w:eastAsia="Calibri" w:hAnsi="Calibri Light" w:cs="Calibri Light"/>
          <w:szCs w:val="24"/>
        </w:rPr>
        <w:lastRenderedPageBreak/>
        <w:t xml:space="preserve">075,1 mil. lei (echivalentul a </w:t>
      </w:r>
      <w:r w:rsidR="00C26C7F">
        <w:rPr>
          <w:rFonts w:ascii="Calibri Light" w:eastAsia="Calibri" w:hAnsi="Calibri Light" w:cs="Calibri Light"/>
          <w:szCs w:val="24"/>
        </w:rPr>
        <w:t>278,5 mil. dol. SUA</w:t>
      </w:r>
      <w:r w:rsidR="007F4A04">
        <w:rPr>
          <w:rFonts w:ascii="Calibri Light" w:eastAsia="Calibri" w:hAnsi="Calibri Light" w:cs="Calibri Light"/>
          <w:szCs w:val="24"/>
        </w:rPr>
        <w:t>)</w:t>
      </w:r>
      <w:r w:rsidR="00093177">
        <w:rPr>
          <w:rFonts w:ascii="Calibri Light" w:eastAsia="Calibri" w:hAnsi="Calibri Light" w:cs="Calibri Light"/>
          <w:szCs w:val="24"/>
        </w:rPr>
        <w:t xml:space="preserve"> mai puțin decâ</w:t>
      </w:r>
      <w:r w:rsidR="007E52C8">
        <w:rPr>
          <w:rFonts w:ascii="Calibri Light" w:eastAsia="Calibri" w:hAnsi="Calibri Light" w:cs="Calibri Light"/>
          <w:szCs w:val="24"/>
        </w:rPr>
        <w:t>t a fost aprobat.</w:t>
      </w:r>
      <w:r w:rsidR="00C26C7F">
        <w:rPr>
          <w:rFonts w:ascii="Calibri Light" w:eastAsia="Calibri" w:hAnsi="Calibri Light" w:cs="Calibri Light"/>
          <w:szCs w:val="24"/>
        </w:rPr>
        <w:t xml:space="preserve"> </w:t>
      </w:r>
      <w:r w:rsidR="0049401C">
        <w:rPr>
          <w:rFonts w:ascii="Calibri Light" w:eastAsia="Calibri" w:hAnsi="Calibri Light" w:cs="Calibri Light"/>
          <w:szCs w:val="24"/>
        </w:rPr>
        <w:t>În comparație cu anul 2019, soldul datoriei de stat</w:t>
      </w:r>
      <w:r w:rsidR="005D33A6">
        <w:rPr>
          <w:rFonts w:ascii="Calibri Light" w:eastAsia="Calibri" w:hAnsi="Calibri Light" w:cs="Calibri Light"/>
          <w:szCs w:val="24"/>
        </w:rPr>
        <w:t xml:space="preserve"> externe,</w:t>
      </w:r>
      <w:r w:rsidR="0049401C">
        <w:rPr>
          <w:rFonts w:ascii="Calibri Light" w:eastAsia="Calibri" w:hAnsi="Calibri Light" w:cs="Calibri Light"/>
          <w:szCs w:val="24"/>
        </w:rPr>
        <w:t xml:space="preserve"> la situația din 31.12.2020</w:t>
      </w:r>
      <w:r w:rsidR="00A61AD4">
        <w:rPr>
          <w:rFonts w:ascii="Calibri Light" w:eastAsia="Calibri" w:hAnsi="Calibri Light" w:cs="Calibri Light"/>
          <w:szCs w:val="24"/>
        </w:rPr>
        <w:t>,</w:t>
      </w:r>
      <w:r w:rsidR="0049401C">
        <w:rPr>
          <w:rFonts w:ascii="Calibri Light" w:eastAsia="Calibri" w:hAnsi="Calibri Light" w:cs="Calibri Light"/>
          <w:szCs w:val="24"/>
        </w:rPr>
        <w:t xml:space="preserve"> a crescut </w:t>
      </w:r>
      <w:r w:rsidR="002B6195" w:rsidRPr="005441BF">
        <w:rPr>
          <w:rFonts w:ascii="Calibri Light" w:eastAsia="Calibri" w:hAnsi="Calibri Light" w:cs="Calibri Light"/>
          <w:szCs w:val="24"/>
        </w:rPr>
        <w:t>cu 5</w:t>
      </w:r>
      <w:r w:rsidR="002B6195">
        <w:rPr>
          <w:rFonts w:ascii="Calibri Light" w:eastAsia="Calibri" w:hAnsi="Calibri Light" w:cs="Calibri Light"/>
          <w:szCs w:val="24"/>
        </w:rPr>
        <w:t>37</w:t>
      </w:r>
      <w:r w:rsidR="002B6195" w:rsidRPr="005441BF">
        <w:rPr>
          <w:rFonts w:ascii="Calibri Light" w:eastAsia="Calibri" w:hAnsi="Calibri Light" w:cs="Calibri Light"/>
          <w:szCs w:val="24"/>
        </w:rPr>
        <w:t>,</w:t>
      </w:r>
      <w:r w:rsidR="002B6195">
        <w:rPr>
          <w:rFonts w:ascii="Calibri Light" w:eastAsia="Calibri" w:hAnsi="Calibri Light" w:cs="Calibri Light"/>
          <w:szCs w:val="24"/>
        </w:rPr>
        <w:t>3</w:t>
      </w:r>
      <w:r w:rsidR="00594AE4">
        <w:rPr>
          <w:rFonts w:ascii="Calibri Light" w:eastAsia="Calibri" w:hAnsi="Calibri Light" w:cs="Calibri Light"/>
          <w:szCs w:val="24"/>
        </w:rPr>
        <w:t xml:space="preserve"> mil. dol. SUA</w:t>
      </w:r>
      <w:r w:rsidR="0049401C">
        <w:rPr>
          <w:rFonts w:ascii="Calibri Light" w:eastAsia="Calibri" w:hAnsi="Calibri Light" w:cs="Calibri Light"/>
          <w:szCs w:val="24"/>
        </w:rPr>
        <w:t>, a</w:t>
      </w:r>
      <w:r w:rsidR="00F36229">
        <w:rPr>
          <w:rFonts w:cstheme="majorHAnsi"/>
          <w:szCs w:val="24"/>
          <w:lang w:val="ro-MD" w:eastAsia="ru-RU"/>
        </w:rPr>
        <w:t>ceastă</w:t>
      </w:r>
      <w:r w:rsidR="00594AE4">
        <w:rPr>
          <w:rFonts w:cstheme="majorHAnsi"/>
          <w:szCs w:val="24"/>
          <w:lang w:val="ro-MD" w:eastAsia="ru-RU"/>
        </w:rPr>
        <w:t xml:space="preserve"> majorare </w:t>
      </w:r>
      <w:r w:rsidR="00A61AD4">
        <w:rPr>
          <w:rFonts w:cstheme="majorHAnsi"/>
          <w:szCs w:val="24"/>
          <w:lang w:val="ro-MD" w:eastAsia="ru-RU"/>
        </w:rPr>
        <w:t>fiind</w:t>
      </w:r>
      <w:r w:rsidR="00594AE4">
        <w:rPr>
          <w:rFonts w:cstheme="majorHAnsi"/>
          <w:szCs w:val="24"/>
          <w:lang w:val="ro-MD" w:eastAsia="ru-RU"/>
        </w:rPr>
        <w:t xml:space="preserve"> determinată </w:t>
      </w:r>
      <w:r w:rsidR="002B6195">
        <w:rPr>
          <w:rFonts w:cstheme="majorHAnsi"/>
          <w:szCs w:val="24"/>
        </w:rPr>
        <w:t>de finanțarea externă netă pozitivă și evoluția cursului de schimb al monedei naționale în raport cu dolarul SUA.</w:t>
      </w:r>
      <w:r w:rsidR="0049401C" w:rsidRPr="0049401C">
        <w:rPr>
          <w:rFonts w:ascii="Calibri Light" w:eastAsia="Calibri" w:hAnsi="Calibri Light" w:cs="Calibri Light"/>
          <w:i/>
          <w:szCs w:val="24"/>
        </w:rPr>
        <w:t xml:space="preserve"> </w:t>
      </w:r>
      <w:r w:rsidR="0049401C" w:rsidRPr="00C43217">
        <w:rPr>
          <w:rFonts w:ascii="Calibri Light" w:eastAsia="Calibri" w:hAnsi="Calibri Light" w:cs="Calibri Light"/>
          <w:i/>
          <w:szCs w:val="24"/>
        </w:rPr>
        <w:t>Evoluția soldului datoriei de stat externe se prezintă în Tabelul nr.</w:t>
      </w:r>
      <w:r w:rsidR="005A4BD7">
        <w:rPr>
          <w:rFonts w:ascii="Calibri Light" w:eastAsia="Calibri" w:hAnsi="Calibri Light" w:cs="Calibri Light"/>
          <w:i/>
          <w:szCs w:val="24"/>
        </w:rPr>
        <w:t>6</w:t>
      </w:r>
      <w:r w:rsidR="0049401C" w:rsidRPr="00C43217">
        <w:rPr>
          <w:rFonts w:ascii="Calibri Light" w:eastAsia="Calibri" w:hAnsi="Calibri Light" w:cs="Calibri Light"/>
          <w:i/>
          <w:szCs w:val="24"/>
        </w:rPr>
        <w:t>.</w:t>
      </w:r>
    </w:p>
    <w:p w14:paraId="041BA09C" w14:textId="5C958C7C" w:rsidR="0049401C" w:rsidRDefault="0049401C" w:rsidP="00743F99">
      <w:pPr>
        <w:spacing w:after="0" w:line="240" w:lineRule="auto"/>
        <w:jc w:val="right"/>
        <w:rPr>
          <w:rFonts w:ascii="Calibri Light" w:eastAsia="Calibri" w:hAnsi="Calibri Light" w:cs="Calibri Light"/>
          <w:b/>
          <w:i/>
          <w:szCs w:val="24"/>
        </w:rPr>
      </w:pPr>
      <w:r w:rsidRPr="00C43217">
        <w:rPr>
          <w:rFonts w:ascii="Calibri Light" w:eastAsia="Calibri" w:hAnsi="Calibri Light" w:cs="Calibri Light"/>
          <w:b/>
          <w:i/>
          <w:szCs w:val="24"/>
        </w:rPr>
        <w:t>Tabelul nr.</w:t>
      </w:r>
      <w:r w:rsidR="005A4BD7">
        <w:rPr>
          <w:rFonts w:ascii="Calibri Light" w:eastAsia="Calibri" w:hAnsi="Calibri Light" w:cs="Calibri Light"/>
          <w:b/>
          <w:i/>
          <w:szCs w:val="24"/>
        </w:rPr>
        <w:t>6</w:t>
      </w:r>
    </w:p>
    <w:p w14:paraId="4F950B6B" w14:textId="664D72FA" w:rsidR="0049401C" w:rsidRPr="0049401C" w:rsidRDefault="0049401C" w:rsidP="00743F99">
      <w:pPr>
        <w:spacing w:after="0" w:line="240" w:lineRule="auto"/>
        <w:jc w:val="center"/>
        <w:rPr>
          <w:rFonts w:ascii="Calibri Light" w:eastAsia="Calibri" w:hAnsi="Calibri Light" w:cs="Calibri Light"/>
          <w:b/>
          <w:szCs w:val="24"/>
        </w:rPr>
      </w:pPr>
      <w:r>
        <w:rPr>
          <w:rFonts w:ascii="Calibri Light" w:eastAsia="Calibri" w:hAnsi="Calibri Light" w:cs="Calibri Light"/>
          <w:b/>
          <w:szCs w:val="24"/>
        </w:rPr>
        <w:t>Evoluția datoriei de stat externe, mil. dol. SUA</w:t>
      </w:r>
    </w:p>
    <w:tbl>
      <w:tblPr>
        <w:tblStyle w:val="TableGrid16"/>
        <w:tblW w:w="0" w:type="auto"/>
        <w:tblLook w:val="04A0" w:firstRow="1" w:lastRow="0" w:firstColumn="1" w:lastColumn="0" w:noHBand="0" w:noVBand="1"/>
      </w:tblPr>
      <w:tblGrid>
        <w:gridCol w:w="820"/>
        <w:gridCol w:w="1624"/>
        <w:gridCol w:w="1496"/>
        <w:gridCol w:w="1515"/>
        <w:gridCol w:w="1117"/>
        <w:gridCol w:w="1484"/>
        <w:gridCol w:w="1289"/>
      </w:tblGrid>
      <w:tr w:rsidR="0049401C" w:rsidRPr="00560D3B" w14:paraId="169EB63B" w14:textId="77777777" w:rsidTr="005232AC">
        <w:tc>
          <w:tcPr>
            <w:tcW w:w="844" w:type="dxa"/>
            <w:shd w:val="clear" w:color="auto" w:fill="D9D9D9" w:themeFill="background1" w:themeFillShade="D9"/>
            <w:vAlign w:val="center"/>
          </w:tcPr>
          <w:p w14:paraId="32ED2F6E" w14:textId="77777777" w:rsidR="0049401C" w:rsidRPr="00560D3B" w:rsidRDefault="0049401C" w:rsidP="00560D3B">
            <w:pPr>
              <w:jc w:val="center"/>
              <w:rPr>
                <w:rFonts w:ascii="Calibri Light" w:hAnsi="Calibri Light" w:cs="Calibri Light"/>
                <w:b/>
                <w:sz w:val="20"/>
                <w:szCs w:val="20"/>
              </w:rPr>
            </w:pPr>
            <w:bookmarkStart w:id="22" w:name="OLE_LINK1"/>
            <w:r w:rsidRPr="00560D3B">
              <w:rPr>
                <w:rFonts w:ascii="Calibri Light" w:hAnsi="Calibri Light" w:cs="Calibri Light"/>
                <w:b/>
                <w:sz w:val="20"/>
                <w:szCs w:val="20"/>
              </w:rPr>
              <w:t>Anul</w:t>
            </w:r>
          </w:p>
          <w:p w14:paraId="50414FA0" w14:textId="77777777" w:rsidR="0049401C" w:rsidRPr="00560D3B" w:rsidRDefault="0049401C" w:rsidP="00560D3B">
            <w:pPr>
              <w:jc w:val="center"/>
              <w:rPr>
                <w:rFonts w:ascii="Calibri Light" w:hAnsi="Calibri Light" w:cs="Calibri Light"/>
                <w:b/>
                <w:sz w:val="20"/>
                <w:szCs w:val="20"/>
              </w:rPr>
            </w:pPr>
          </w:p>
          <w:p w14:paraId="74987D98" w14:textId="77777777" w:rsidR="0049401C" w:rsidRPr="00560D3B" w:rsidRDefault="0049401C" w:rsidP="00560D3B">
            <w:pPr>
              <w:jc w:val="center"/>
              <w:rPr>
                <w:rFonts w:ascii="Calibri Light" w:hAnsi="Calibri Light" w:cs="Calibri Light"/>
                <w:b/>
                <w:sz w:val="20"/>
                <w:szCs w:val="20"/>
              </w:rPr>
            </w:pPr>
          </w:p>
        </w:tc>
        <w:tc>
          <w:tcPr>
            <w:tcW w:w="1703" w:type="dxa"/>
            <w:shd w:val="clear" w:color="auto" w:fill="D9D9D9" w:themeFill="background1" w:themeFillShade="D9"/>
            <w:vAlign w:val="center"/>
          </w:tcPr>
          <w:p w14:paraId="19173392" w14:textId="77777777" w:rsidR="0049401C" w:rsidRPr="00560D3B" w:rsidRDefault="0049401C" w:rsidP="00560D3B">
            <w:pPr>
              <w:jc w:val="center"/>
              <w:rPr>
                <w:rFonts w:ascii="Calibri Light" w:hAnsi="Calibri Light" w:cs="Calibri Light"/>
                <w:b/>
                <w:sz w:val="20"/>
                <w:szCs w:val="20"/>
              </w:rPr>
            </w:pPr>
            <w:r w:rsidRPr="00560D3B">
              <w:rPr>
                <w:rFonts w:ascii="Calibri Light" w:hAnsi="Calibri Light" w:cs="Calibri Light"/>
                <w:b/>
                <w:sz w:val="20"/>
                <w:szCs w:val="20"/>
              </w:rPr>
              <w:t>Soldul datoriei de stat externe la începutul anului</w:t>
            </w:r>
          </w:p>
        </w:tc>
        <w:tc>
          <w:tcPr>
            <w:tcW w:w="1559" w:type="dxa"/>
            <w:shd w:val="clear" w:color="auto" w:fill="D9D9D9" w:themeFill="background1" w:themeFillShade="D9"/>
            <w:vAlign w:val="center"/>
          </w:tcPr>
          <w:p w14:paraId="2A222B8D" w14:textId="77777777" w:rsidR="0049401C" w:rsidRPr="00560D3B" w:rsidRDefault="0049401C" w:rsidP="00560D3B">
            <w:pPr>
              <w:jc w:val="center"/>
              <w:rPr>
                <w:rFonts w:ascii="Calibri Light" w:hAnsi="Calibri Light" w:cs="Calibri Light"/>
                <w:b/>
                <w:sz w:val="20"/>
                <w:szCs w:val="20"/>
              </w:rPr>
            </w:pPr>
            <w:r w:rsidRPr="00560D3B">
              <w:rPr>
                <w:rFonts w:ascii="Calibri Light" w:hAnsi="Calibri Light" w:cs="Calibri Light"/>
                <w:b/>
                <w:sz w:val="20"/>
                <w:szCs w:val="20"/>
              </w:rPr>
              <w:t>Debursat pe parcursul anului</w:t>
            </w:r>
          </w:p>
        </w:tc>
        <w:tc>
          <w:tcPr>
            <w:tcW w:w="1559" w:type="dxa"/>
            <w:shd w:val="clear" w:color="auto" w:fill="D9D9D9" w:themeFill="background1" w:themeFillShade="D9"/>
            <w:vAlign w:val="center"/>
          </w:tcPr>
          <w:p w14:paraId="7BED8CF2" w14:textId="77777777" w:rsidR="0049401C" w:rsidRPr="00560D3B" w:rsidRDefault="0049401C" w:rsidP="00560D3B">
            <w:pPr>
              <w:jc w:val="center"/>
              <w:rPr>
                <w:rFonts w:ascii="Calibri Light" w:hAnsi="Calibri Light" w:cs="Calibri Light"/>
                <w:b/>
                <w:sz w:val="20"/>
                <w:szCs w:val="20"/>
              </w:rPr>
            </w:pPr>
            <w:r w:rsidRPr="00560D3B">
              <w:rPr>
                <w:rFonts w:ascii="Calibri Light" w:hAnsi="Calibri Light" w:cs="Calibri Light"/>
                <w:b/>
                <w:sz w:val="20"/>
                <w:szCs w:val="20"/>
              </w:rPr>
              <w:t>Suma principală rambursată pe parcursul anului</w:t>
            </w:r>
          </w:p>
        </w:tc>
        <w:tc>
          <w:tcPr>
            <w:tcW w:w="1134" w:type="dxa"/>
            <w:shd w:val="clear" w:color="auto" w:fill="D9D9D9" w:themeFill="background1" w:themeFillShade="D9"/>
            <w:vAlign w:val="center"/>
          </w:tcPr>
          <w:p w14:paraId="6345201D" w14:textId="77777777" w:rsidR="0049401C" w:rsidRPr="00560D3B" w:rsidRDefault="0049401C" w:rsidP="00560D3B">
            <w:pPr>
              <w:jc w:val="center"/>
              <w:rPr>
                <w:rFonts w:ascii="Calibri Light" w:hAnsi="Calibri Light" w:cs="Calibri Light"/>
                <w:b/>
                <w:sz w:val="20"/>
                <w:szCs w:val="20"/>
              </w:rPr>
            </w:pPr>
            <w:r w:rsidRPr="00560D3B">
              <w:rPr>
                <w:rFonts w:ascii="Calibri Light" w:hAnsi="Calibri Light" w:cs="Calibri Light"/>
                <w:b/>
                <w:sz w:val="20"/>
                <w:szCs w:val="20"/>
              </w:rPr>
              <w:t>Diferența de curs valutar</w:t>
            </w:r>
          </w:p>
        </w:tc>
        <w:tc>
          <w:tcPr>
            <w:tcW w:w="1560" w:type="dxa"/>
            <w:shd w:val="clear" w:color="auto" w:fill="D9D9D9" w:themeFill="background1" w:themeFillShade="D9"/>
          </w:tcPr>
          <w:p w14:paraId="6DEDF0A5" w14:textId="77777777" w:rsidR="0049401C" w:rsidRPr="00560D3B" w:rsidRDefault="0049401C" w:rsidP="00560D3B">
            <w:pPr>
              <w:jc w:val="center"/>
              <w:rPr>
                <w:rFonts w:ascii="Calibri Light" w:hAnsi="Calibri Light" w:cs="Calibri Light"/>
                <w:b/>
                <w:sz w:val="20"/>
                <w:szCs w:val="20"/>
              </w:rPr>
            </w:pPr>
            <w:r w:rsidRPr="00560D3B">
              <w:rPr>
                <w:rFonts w:ascii="Calibri Light" w:hAnsi="Calibri Light" w:cs="Calibri Light"/>
                <w:b/>
                <w:sz w:val="20"/>
                <w:szCs w:val="20"/>
              </w:rPr>
              <w:t>Soldul datoriei de stat externe la sfârșitul anului</w:t>
            </w:r>
          </w:p>
        </w:tc>
        <w:tc>
          <w:tcPr>
            <w:tcW w:w="1320" w:type="dxa"/>
            <w:shd w:val="clear" w:color="auto" w:fill="D9D9D9" w:themeFill="background1" w:themeFillShade="D9"/>
            <w:vAlign w:val="center"/>
          </w:tcPr>
          <w:p w14:paraId="5C35CA4C" w14:textId="77777777" w:rsidR="0049401C" w:rsidRPr="00560D3B" w:rsidRDefault="0049401C" w:rsidP="00560D3B">
            <w:pPr>
              <w:jc w:val="center"/>
              <w:rPr>
                <w:rFonts w:ascii="Calibri Light" w:hAnsi="Calibri Light" w:cs="Calibri Light"/>
                <w:b/>
                <w:sz w:val="20"/>
                <w:szCs w:val="20"/>
              </w:rPr>
            </w:pPr>
            <w:r w:rsidRPr="00560D3B">
              <w:rPr>
                <w:rFonts w:ascii="Calibri Light" w:hAnsi="Calibri Light" w:cs="Calibri Light"/>
                <w:b/>
                <w:sz w:val="20"/>
                <w:szCs w:val="20"/>
              </w:rPr>
              <w:t>Modificări pe parcursul perioadei</w:t>
            </w:r>
          </w:p>
        </w:tc>
      </w:tr>
      <w:tr w:rsidR="0049401C" w:rsidRPr="00E52517" w14:paraId="4BEE467E" w14:textId="77777777" w:rsidTr="005232AC">
        <w:tc>
          <w:tcPr>
            <w:tcW w:w="844" w:type="dxa"/>
            <w:shd w:val="clear" w:color="auto" w:fill="auto"/>
            <w:vAlign w:val="center"/>
          </w:tcPr>
          <w:p w14:paraId="61C1A922" w14:textId="77777777" w:rsidR="0049401C" w:rsidRPr="00192344" w:rsidRDefault="0049401C" w:rsidP="00FB1205">
            <w:pPr>
              <w:jc w:val="both"/>
              <w:rPr>
                <w:rFonts w:ascii="Calibri Light" w:hAnsi="Calibri Light" w:cs="Calibri Light"/>
                <w:b/>
                <w:sz w:val="20"/>
                <w:szCs w:val="20"/>
              </w:rPr>
            </w:pPr>
            <w:r w:rsidRPr="00192344">
              <w:rPr>
                <w:rFonts w:ascii="Calibri Light" w:hAnsi="Calibri Light" w:cs="Calibri Light"/>
                <w:b/>
                <w:sz w:val="20"/>
                <w:szCs w:val="20"/>
              </w:rPr>
              <w:t>2016</w:t>
            </w:r>
          </w:p>
        </w:tc>
        <w:tc>
          <w:tcPr>
            <w:tcW w:w="1703" w:type="dxa"/>
            <w:shd w:val="clear" w:color="auto" w:fill="auto"/>
            <w:vAlign w:val="center"/>
          </w:tcPr>
          <w:p w14:paraId="5D8263ED" w14:textId="77777777" w:rsidR="0049401C" w:rsidRPr="00277D79" w:rsidRDefault="0049401C" w:rsidP="00560D3B">
            <w:pPr>
              <w:jc w:val="center"/>
              <w:rPr>
                <w:rFonts w:ascii="Calibri Light" w:hAnsi="Calibri Light" w:cs="Calibri Light"/>
                <w:sz w:val="20"/>
                <w:szCs w:val="20"/>
              </w:rPr>
            </w:pPr>
            <w:r>
              <w:rPr>
                <w:rFonts w:ascii="Calibri Light" w:hAnsi="Calibri Light" w:cs="Calibri Light"/>
                <w:sz w:val="20"/>
                <w:szCs w:val="20"/>
              </w:rPr>
              <w:t>1 337,0</w:t>
            </w:r>
          </w:p>
        </w:tc>
        <w:tc>
          <w:tcPr>
            <w:tcW w:w="1559" w:type="dxa"/>
            <w:shd w:val="clear" w:color="auto" w:fill="auto"/>
            <w:vAlign w:val="center"/>
          </w:tcPr>
          <w:p w14:paraId="6E406E7C" w14:textId="77777777" w:rsidR="0049401C" w:rsidRPr="00277D79" w:rsidRDefault="0049401C" w:rsidP="00560D3B">
            <w:pPr>
              <w:jc w:val="center"/>
              <w:rPr>
                <w:rFonts w:ascii="Calibri Light" w:hAnsi="Calibri Light" w:cs="Calibri Light"/>
                <w:sz w:val="20"/>
                <w:szCs w:val="20"/>
              </w:rPr>
            </w:pPr>
            <w:r>
              <w:rPr>
                <w:rFonts w:ascii="Calibri Light" w:hAnsi="Calibri Light" w:cs="Calibri Light"/>
                <w:sz w:val="20"/>
                <w:szCs w:val="20"/>
              </w:rPr>
              <w:t>230,3</w:t>
            </w:r>
          </w:p>
        </w:tc>
        <w:tc>
          <w:tcPr>
            <w:tcW w:w="1559" w:type="dxa"/>
            <w:shd w:val="clear" w:color="auto" w:fill="auto"/>
            <w:vAlign w:val="center"/>
          </w:tcPr>
          <w:p w14:paraId="38DB80C3" w14:textId="77777777" w:rsidR="0049401C" w:rsidRPr="00277D79" w:rsidRDefault="0049401C" w:rsidP="00560D3B">
            <w:pPr>
              <w:jc w:val="center"/>
              <w:rPr>
                <w:rFonts w:ascii="Calibri Light" w:hAnsi="Calibri Light" w:cs="Calibri Light"/>
                <w:sz w:val="20"/>
                <w:szCs w:val="20"/>
              </w:rPr>
            </w:pPr>
            <w:r>
              <w:rPr>
                <w:rFonts w:ascii="Calibri Light" w:hAnsi="Calibri Light" w:cs="Calibri Light"/>
                <w:sz w:val="20"/>
                <w:szCs w:val="20"/>
              </w:rPr>
              <w:t>150,0</w:t>
            </w:r>
          </w:p>
        </w:tc>
        <w:tc>
          <w:tcPr>
            <w:tcW w:w="1134" w:type="dxa"/>
            <w:shd w:val="clear" w:color="auto" w:fill="auto"/>
            <w:vAlign w:val="center"/>
          </w:tcPr>
          <w:p w14:paraId="57E77A1A" w14:textId="77777777" w:rsidR="0049401C" w:rsidRPr="00277D79" w:rsidRDefault="0049401C" w:rsidP="00560D3B">
            <w:pPr>
              <w:jc w:val="center"/>
              <w:rPr>
                <w:rFonts w:ascii="Calibri Light" w:hAnsi="Calibri Light" w:cs="Calibri Light"/>
                <w:sz w:val="20"/>
                <w:szCs w:val="20"/>
              </w:rPr>
            </w:pPr>
            <w:r>
              <w:rPr>
                <w:rFonts w:ascii="Calibri Light" w:hAnsi="Calibri Light" w:cs="Calibri Light"/>
                <w:sz w:val="20"/>
                <w:szCs w:val="20"/>
              </w:rPr>
              <w:t>+47,4</w:t>
            </w:r>
          </w:p>
        </w:tc>
        <w:tc>
          <w:tcPr>
            <w:tcW w:w="1560" w:type="dxa"/>
            <w:vAlign w:val="center"/>
          </w:tcPr>
          <w:p w14:paraId="6644194D" w14:textId="77777777" w:rsidR="0049401C" w:rsidRPr="00F16409" w:rsidRDefault="0049401C" w:rsidP="00560D3B">
            <w:pPr>
              <w:jc w:val="center"/>
              <w:rPr>
                <w:rFonts w:ascii="Calibri Light" w:hAnsi="Calibri Light" w:cs="Calibri Light"/>
                <w:b/>
                <w:sz w:val="20"/>
                <w:szCs w:val="20"/>
              </w:rPr>
            </w:pPr>
            <w:r w:rsidRPr="00F16409">
              <w:rPr>
                <w:rFonts w:ascii="Calibri Light" w:hAnsi="Calibri Light" w:cs="Calibri Light"/>
                <w:b/>
                <w:sz w:val="20"/>
                <w:szCs w:val="20"/>
              </w:rPr>
              <w:t>1 464,7</w:t>
            </w:r>
          </w:p>
        </w:tc>
        <w:tc>
          <w:tcPr>
            <w:tcW w:w="1320" w:type="dxa"/>
            <w:shd w:val="clear" w:color="auto" w:fill="auto"/>
            <w:vAlign w:val="center"/>
          </w:tcPr>
          <w:p w14:paraId="5D8B815A" w14:textId="77777777" w:rsidR="0049401C" w:rsidRPr="00F16409" w:rsidRDefault="0049401C" w:rsidP="00560D3B">
            <w:pPr>
              <w:jc w:val="center"/>
              <w:rPr>
                <w:rFonts w:ascii="Calibri Light" w:hAnsi="Calibri Light" w:cs="Calibri Light"/>
                <w:b/>
                <w:sz w:val="20"/>
                <w:szCs w:val="20"/>
              </w:rPr>
            </w:pPr>
            <w:r>
              <w:rPr>
                <w:rFonts w:ascii="Calibri Light" w:hAnsi="Calibri Light" w:cs="Calibri Light"/>
                <w:b/>
                <w:sz w:val="20"/>
                <w:szCs w:val="20"/>
              </w:rPr>
              <w:t>+127,7</w:t>
            </w:r>
          </w:p>
        </w:tc>
      </w:tr>
      <w:tr w:rsidR="0049401C" w:rsidRPr="00C43217" w14:paraId="466897AD" w14:textId="77777777" w:rsidTr="005232AC">
        <w:tc>
          <w:tcPr>
            <w:tcW w:w="844" w:type="dxa"/>
          </w:tcPr>
          <w:p w14:paraId="0F131FBA" w14:textId="77777777" w:rsidR="0049401C" w:rsidRPr="00192344" w:rsidRDefault="0049401C" w:rsidP="00FB1205">
            <w:pPr>
              <w:jc w:val="both"/>
              <w:rPr>
                <w:rFonts w:ascii="Calibri Light" w:hAnsi="Calibri Light" w:cs="Calibri Light"/>
                <w:b/>
                <w:sz w:val="20"/>
                <w:szCs w:val="20"/>
              </w:rPr>
            </w:pPr>
            <w:r w:rsidRPr="00192344">
              <w:rPr>
                <w:rFonts w:ascii="Calibri Light" w:hAnsi="Calibri Light" w:cs="Calibri Light"/>
                <w:b/>
                <w:sz w:val="20"/>
                <w:szCs w:val="20"/>
              </w:rPr>
              <w:t>2017</w:t>
            </w:r>
          </w:p>
        </w:tc>
        <w:tc>
          <w:tcPr>
            <w:tcW w:w="1703" w:type="dxa"/>
          </w:tcPr>
          <w:p w14:paraId="6BB4CEC7"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1 464,7</w:t>
            </w:r>
          </w:p>
        </w:tc>
        <w:tc>
          <w:tcPr>
            <w:tcW w:w="1559" w:type="dxa"/>
          </w:tcPr>
          <w:p w14:paraId="126D8894"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195,6</w:t>
            </w:r>
          </w:p>
        </w:tc>
        <w:tc>
          <w:tcPr>
            <w:tcW w:w="1559" w:type="dxa"/>
          </w:tcPr>
          <w:p w14:paraId="0F1D58FB"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71,7</w:t>
            </w:r>
          </w:p>
        </w:tc>
        <w:tc>
          <w:tcPr>
            <w:tcW w:w="1134" w:type="dxa"/>
          </w:tcPr>
          <w:p w14:paraId="73EB4609"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+112,1</w:t>
            </w:r>
          </w:p>
        </w:tc>
        <w:tc>
          <w:tcPr>
            <w:tcW w:w="1560" w:type="dxa"/>
          </w:tcPr>
          <w:p w14:paraId="23EAB198" w14:textId="77777777" w:rsidR="0049401C" w:rsidRPr="00F16409" w:rsidRDefault="0049401C" w:rsidP="00560D3B">
            <w:pPr>
              <w:jc w:val="center"/>
              <w:rPr>
                <w:rFonts w:ascii="Calibri Light" w:hAnsi="Calibri Light" w:cs="Calibri Light"/>
                <w:b/>
                <w:sz w:val="20"/>
                <w:szCs w:val="20"/>
              </w:rPr>
            </w:pPr>
            <w:r w:rsidRPr="00F16409">
              <w:rPr>
                <w:rFonts w:ascii="Calibri Light" w:hAnsi="Calibri Light" w:cs="Calibri Light"/>
                <w:b/>
                <w:sz w:val="20"/>
                <w:szCs w:val="20"/>
              </w:rPr>
              <w:t>1 700,7</w:t>
            </w:r>
          </w:p>
        </w:tc>
        <w:tc>
          <w:tcPr>
            <w:tcW w:w="1320" w:type="dxa"/>
          </w:tcPr>
          <w:p w14:paraId="7DABE477" w14:textId="77777777" w:rsidR="0049401C" w:rsidRPr="00F16409" w:rsidRDefault="0049401C" w:rsidP="00560D3B">
            <w:pPr>
              <w:jc w:val="center"/>
              <w:rPr>
                <w:rFonts w:ascii="Calibri Light" w:hAnsi="Calibri Light" w:cs="Calibri Light"/>
                <w:b/>
                <w:sz w:val="20"/>
                <w:szCs w:val="20"/>
              </w:rPr>
            </w:pPr>
            <w:r>
              <w:rPr>
                <w:rFonts w:ascii="Calibri Light" w:hAnsi="Calibri Light" w:cs="Calibri Light"/>
                <w:b/>
                <w:sz w:val="20"/>
                <w:szCs w:val="20"/>
              </w:rPr>
              <w:t>+236,0</w:t>
            </w:r>
          </w:p>
        </w:tc>
      </w:tr>
      <w:tr w:rsidR="0049401C" w:rsidRPr="00C43217" w14:paraId="658896FE" w14:textId="77777777" w:rsidTr="005232AC">
        <w:tc>
          <w:tcPr>
            <w:tcW w:w="844" w:type="dxa"/>
          </w:tcPr>
          <w:p w14:paraId="358F97CC" w14:textId="77777777" w:rsidR="0049401C" w:rsidRPr="00192344" w:rsidRDefault="0049401C" w:rsidP="00FB1205">
            <w:pPr>
              <w:jc w:val="both"/>
              <w:rPr>
                <w:rFonts w:ascii="Calibri Light" w:hAnsi="Calibri Light" w:cs="Calibri Light"/>
                <w:b/>
                <w:sz w:val="20"/>
                <w:szCs w:val="20"/>
              </w:rPr>
            </w:pPr>
            <w:r w:rsidRPr="00192344">
              <w:rPr>
                <w:rFonts w:ascii="Calibri Light" w:hAnsi="Calibri Light" w:cs="Calibri Light"/>
                <w:b/>
                <w:sz w:val="20"/>
                <w:szCs w:val="20"/>
              </w:rPr>
              <w:t>2018</w:t>
            </w:r>
          </w:p>
        </w:tc>
        <w:tc>
          <w:tcPr>
            <w:tcW w:w="1703" w:type="dxa"/>
          </w:tcPr>
          <w:p w14:paraId="60BF3FAE"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1 700,7</w:t>
            </w:r>
          </w:p>
        </w:tc>
        <w:tc>
          <w:tcPr>
            <w:tcW w:w="1559" w:type="dxa"/>
          </w:tcPr>
          <w:p w14:paraId="23FAD67F"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144,8</w:t>
            </w:r>
          </w:p>
        </w:tc>
        <w:tc>
          <w:tcPr>
            <w:tcW w:w="1559" w:type="dxa"/>
          </w:tcPr>
          <w:p w14:paraId="69038945"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111,9</w:t>
            </w:r>
          </w:p>
        </w:tc>
        <w:tc>
          <w:tcPr>
            <w:tcW w:w="1134" w:type="dxa"/>
          </w:tcPr>
          <w:p w14:paraId="47B612AE"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-44,6</w:t>
            </w:r>
          </w:p>
        </w:tc>
        <w:tc>
          <w:tcPr>
            <w:tcW w:w="1560" w:type="dxa"/>
          </w:tcPr>
          <w:p w14:paraId="2EF7654B" w14:textId="77777777" w:rsidR="0049401C" w:rsidRPr="00F16409" w:rsidRDefault="0049401C" w:rsidP="00560D3B">
            <w:pPr>
              <w:jc w:val="center"/>
              <w:rPr>
                <w:rFonts w:ascii="Calibri Light" w:hAnsi="Calibri Light" w:cs="Calibri Light"/>
                <w:b/>
                <w:sz w:val="20"/>
                <w:szCs w:val="20"/>
              </w:rPr>
            </w:pPr>
            <w:r w:rsidRPr="00F16409">
              <w:rPr>
                <w:rFonts w:ascii="Calibri Light" w:hAnsi="Calibri Light" w:cs="Calibri Light"/>
                <w:b/>
                <w:sz w:val="20"/>
                <w:szCs w:val="20"/>
              </w:rPr>
              <w:t>1 689,0</w:t>
            </w:r>
          </w:p>
        </w:tc>
        <w:tc>
          <w:tcPr>
            <w:tcW w:w="1320" w:type="dxa"/>
          </w:tcPr>
          <w:p w14:paraId="63F5BE0B" w14:textId="77777777" w:rsidR="0049401C" w:rsidRPr="00F16409" w:rsidRDefault="0049401C" w:rsidP="00560D3B">
            <w:pPr>
              <w:jc w:val="center"/>
              <w:rPr>
                <w:rFonts w:ascii="Calibri Light" w:hAnsi="Calibri Light" w:cs="Calibri Light"/>
                <w:b/>
                <w:sz w:val="20"/>
                <w:szCs w:val="20"/>
              </w:rPr>
            </w:pPr>
            <w:r>
              <w:rPr>
                <w:rFonts w:ascii="Calibri Light" w:hAnsi="Calibri Light" w:cs="Calibri Light"/>
                <w:b/>
                <w:sz w:val="20"/>
                <w:szCs w:val="20"/>
              </w:rPr>
              <w:t>-11,7</w:t>
            </w:r>
          </w:p>
        </w:tc>
      </w:tr>
      <w:tr w:rsidR="0049401C" w:rsidRPr="00C43217" w14:paraId="36530FB7" w14:textId="77777777" w:rsidTr="005232AC">
        <w:tc>
          <w:tcPr>
            <w:tcW w:w="844" w:type="dxa"/>
          </w:tcPr>
          <w:p w14:paraId="441576CC" w14:textId="77777777" w:rsidR="0049401C" w:rsidRPr="00192344" w:rsidRDefault="0049401C" w:rsidP="00FB1205">
            <w:pPr>
              <w:jc w:val="both"/>
              <w:rPr>
                <w:rFonts w:ascii="Calibri Light" w:hAnsi="Calibri Light" w:cs="Calibri Light"/>
                <w:b/>
                <w:sz w:val="20"/>
                <w:szCs w:val="20"/>
              </w:rPr>
            </w:pPr>
            <w:r w:rsidRPr="00192344">
              <w:rPr>
                <w:rFonts w:ascii="Calibri Light" w:hAnsi="Calibri Light" w:cs="Calibri Light"/>
                <w:b/>
                <w:sz w:val="20"/>
                <w:szCs w:val="20"/>
              </w:rPr>
              <w:t>2019</w:t>
            </w:r>
          </w:p>
        </w:tc>
        <w:tc>
          <w:tcPr>
            <w:tcW w:w="1703" w:type="dxa"/>
          </w:tcPr>
          <w:p w14:paraId="067B58DD"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1 689,0</w:t>
            </w:r>
          </w:p>
        </w:tc>
        <w:tc>
          <w:tcPr>
            <w:tcW w:w="1559" w:type="dxa"/>
          </w:tcPr>
          <w:p w14:paraId="450CC737"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149,1</w:t>
            </w:r>
          </w:p>
        </w:tc>
        <w:tc>
          <w:tcPr>
            <w:tcW w:w="1559" w:type="dxa"/>
          </w:tcPr>
          <w:p w14:paraId="164353E9"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122,3</w:t>
            </w:r>
          </w:p>
        </w:tc>
        <w:tc>
          <w:tcPr>
            <w:tcW w:w="1134" w:type="dxa"/>
          </w:tcPr>
          <w:p w14:paraId="2FF6DDB3" w14:textId="77777777" w:rsidR="0049401C" w:rsidRPr="00C43217" w:rsidRDefault="0049401C" w:rsidP="00560D3B">
            <w:pPr>
              <w:jc w:val="center"/>
              <w:rPr>
                <w:rFonts w:ascii="Calibri Light" w:hAnsi="Calibri Light" w:cs="Calibri Light"/>
                <w:sz w:val="20"/>
                <w:szCs w:val="20"/>
              </w:rPr>
            </w:pPr>
            <w:r w:rsidRPr="00C43217">
              <w:rPr>
                <w:rFonts w:ascii="Calibri Light" w:hAnsi="Calibri Light" w:cs="Calibri Light"/>
                <w:sz w:val="20"/>
                <w:szCs w:val="20"/>
              </w:rPr>
              <w:t>-11,7</w:t>
            </w:r>
          </w:p>
        </w:tc>
        <w:tc>
          <w:tcPr>
            <w:tcW w:w="1560" w:type="dxa"/>
          </w:tcPr>
          <w:p w14:paraId="2CA3DD84" w14:textId="77777777" w:rsidR="0049401C" w:rsidRPr="00F16409" w:rsidRDefault="0049401C" w:rsidP="00560D3B">
            <w:pPr>
              <w:jc w:val="center"/>
              <w:rPr>
                <w:rFonts w:ascii="Calibri Light" w:hAnsi="Calibri Light" w:cs="Calibri Light"/>
                <w:b/>
                <w:sz w:val="20"/>
                <w:szCs w:val="20"/>
              </w:rPr>
            </w:pPr>
            <w:r w:rsidRPr="00F16409">
              <w:rPr>
                <w:rFonts w:ascii="Calibri Light" w:hAnsi="Calibri Light" w:cs="Calibri Light"/>
                <w:b/>
                <w:sz w:val="20"/>
                <w:szCs w:val="20"/>
              </w:rPr>
              <w:t>1 704,1</w:t>
            </w:r>
          </w:p>
        </w:tc>
        <w:tc>
          <w:tcPr>
            <w:tcW w:w="1320" w:type="dxa"/>
          </w:tcPr>
          <w:p w14:paraId="2575E15A" w14:textId="77777777" w:rsidR="0049401C" w:rsidRPr="00F16409" w:rsidRDefault="0049401C" w:rsidP="00560D3B">
            <w:pPr>
              <w:jc w:val="center"/>
              <w:rPr>
                <w:rFonts w:ascii="Calibri Light" w:hAnsi="Calibri Light" w:cs="Calibri Light"/>
                <w:b/>
                <w:sz w:val="20"/>
                <w:szCs w:val="20"/>
              </w:rPr>
            </w:pPr>
            <w:r>
              <w:rPr>
                <w:rFonts w:ascii="Calibri Light" w:hAnsi="Calibri Light" w:cs="Calibri Light"/>
                <w:b/>
                <w:sz w:val="20"/>
                <w:szCs w:val="20"/>
              </w:rPr>
              <w:t>+15,1</w:t>
            </w:r>
          </w:p>
        </w:tc>
      </w:tr>
      <w:tr w:rsidR="0049401C" w:rsidRPr="00C43217" w14:paraId="37E4DDE5" w14:textId="77777777" w:rsidTr="005232AC">
        <w:tc>
          <w:tcPr>
            <w:tcW w:w="844" w:type="dxa"/>
          </w:tcPr>
          <w:p w14:paraId="2B8EA70A" w14:textId="77777777" w:rsidR="0049401C" w:rsidRPr="00192344" w:rsidRDefault="0049401C" w:rsidP="00FB1205">
            <w:pPr>
              <w:jc w:val="both"/>
              <w:rPr>
                <w:rFonts w:ascii="Calibri Light" w:hAnsi="Calibri Light" w:cs="Calibri Light"/>
                <w:b/>
                <w:sz w:val="20"/>
                <w:szCs w:val="20"/>
              </w:rPr>
            </w:pPr>
            <w:r w:rsidRPr="00192344">
              <w:rPr>
                <w:rFonts w:ascii="Calibri Light" w:hAnsi="Calibri Light" w:cs="Calibri Light"/>
                <w:b/>
                <w:sz w:val="20"/>
                <w:szCs w:val="20"/>
              </w:rPr>
              <w:t>2020</w:t>
            </w:r>
          </w:p>
        </w:tc>
        <w:tc>
          <w:tcPr>
            <w:tcW w:w="1703" w:type="dxa"/>
          </w:tcPr>
          <w:p w14:paraId="1AAAF005" w14:textId="77777777" w:rsidR="0049401C" w:rsidRPr="00C43217" w:rsidRDefault="0049401C" w:rsidP="00560D3B">
            <w:pPr>
              <w:jc w:val="center"/>
              <w:rPr>
                <w:rFonts w:ascii="Calibri Light" w:hAnsi="Calibri Light" w:cs="Calibri Light"/>
                <w:sz w:val="20"/>
                <w:szCs w:val="20"/>
              </w:rPr>
            </w:pPr>
            <w:r>
              <w:rPr>
                <w:rFonts w:ascii="Calibri Light" w:hAnsi="Calibri Light" w:cs="Calibri Light"/>
                <w:sz w:val="20"/>
                <w:szCs w:val="20"/>
              </w:rPr>
              <w:t>1 704,1</w:t>
            </w:r>
          </w:p>
        </w:tc>
        <w:tc>
          <w:tcPr>
            <w:tcW w:w="1559" w:type="dxa"/>
          </w:tcPr>
          <w:p w14:paraId="2AC6AAF0" w14:textId="77777777" w:rsidR="0049401C" w:rsidRPr="00C43217" w:rsidRDefault="0049401C" w:rsidP="00560D3B">
            <w:pPr>
              <w:jc w:val="center"/>
              <w:rPr>
                <w:rFonts w:ascii="Calibri Light" w:hAnsi="Calibri Light" w:cs="Calibri Light"/>
                <w:sz w:val="20"/>
                <w:szCs w:val="20"/>
              </w:rPr>
            </w:pPr>
            <w:r>
              <w:rPr>
                <w:rFonts w:ascii="Calibri Light" w:hAnsi="Calibri Light" w:cs="Calibri Light"/>
                <w:sz w:val="20"/>
                <w:szCs w:val="20"/>
              </w:rPr>
              <w:t>551,6</w:t>
            </w:r>
          </w:p>
        </w:tc>
        <w:tc>
          <w:tcPr>
            <w:tcW w:w="1559" w:type="dxa"/>
          </w:tcPr>
          <w:p w14:paraId="229878BB" w14:textId="77777777" w:rsidR="0049401C" w:rsidRPr="00373B49" w:rsidRDefault="0049401C" w:rsidP="00560D3B">
            <w:pPr>
              <w:jc w:val="center"/>
              <w:rPr>
                <w:rFonts w:ascii="Calibri Light" w:hAnsi="Calibri Light" w:cs="Calibri Light"/>
                <w:sz w:val="20"/>
                <w:szCs w:val="20"/>
              </w:rPr>
            </w:pPr>
            <w:r w:rsidRPr="00373B49">
              <w:rPr>
                <w:rFonts w:ascii="Calibri Light" w:hAnsi="Calibri Light" w:cs="Calibri Light"/>
                <w:sz w:val="20"/>
                <w:szCs w:val="20"/>
              </w:rPr>
              <w:t>137,6</w:t>
            </w:r>
          </w:p>
        </w:tc>
        <w:tc>
          <w:tcPr>
            <w:tcW w:w="1134" w:type="dxa"/>
          </w:tcPr>
          <w:p w14:paraId="4E5C529C" w14:textId="77777777" w:rsidR="0049401C" w:rsidRPr="00373B49" w:rsidRDefault="0049401C" w:rsidP="00560D3B">
            <w:pPr>
              <w:jc w:val="center"/>
              <w:rPr>
                <w:rFonts w:ascii="Calibri Light" w:hAnsi="Calibri Light" w:cs="Calibri Light"/>
                <w:sz w:val="20"/>
                <w:szCs w:val="20"/>
              </w:rPr>
            </w:pPr>
            <w:r w:rsidRPr="00373B49">
              <w:rPr>
                <w:rFonts w:ascii="Calibri Light" w:hAnsi="Calibri Light" w:cs="Calibri Light"/>
                <w:sz w:val="20"/>
                <w:szCs w:val="20"/>
              </w:rPr>
              <w:t>+123,4</w:t>
            </w:r>
          </w:p>
        </w:tc>
        <w:tc>
          <w:tcPr>
            <w:tcW w:w="1560" w:type="dxa"/>
          </w:tcPr>
          <w:p w14:paraId="46D9F8BF" w14:textId="77777777" w:rsidR="0049401C" w:rsidRPr="00F16409" w:rsidRDefault="0049401C" w:rsidP="00560D3B">
            <w:pPr>
              <w:jc w:val="center"/>
              <w:rPr>
                <w:rFonts w:ascii="Calibri Light" w:hAnsi="Calibri Light" w:cs="Calibri Light"/>
                <w:b/>
                <w:sz w:val="20"/>
                <w:szCs w:val="20"/>
              </w:rPr>
            </w:pPr>
            <w:r w:rsidRPr="00F16409">
              <w:rPr>
                <w:rFonts w:ascii="Calibri Light" w:hAnsi="Calibri Light" w:cs="Calibri Light"/>
                <w:b/>
                <w:sz w:val="20"/>
                <w:szCs w:val="20"/>
              </w:rPr>
              <w:t>2 241,4</w:t>
            </w:r>
          </w:p>
        </w:tc>
        <w:tc>
          <w:tcPr>
            <w:tcW w:w="1320" w:type="dxa"/>
          </w:tcPr>
          <w:p w14:paraId="33289B91" w14:textId="77777777" w:rsidR="0049401C" w:rsidRPr="00F16409" w:rsidRDefault="0049401C" w:rsidP="00560D3B">
            <w:pPr>
              <w:jc w:val="center"/>
              <w:rPr>
                <w:rFonts w:ascii="Calibri Light" w:hAnsi="Calibri Light" w:cs="Calibri Light"/>
                <w:b/>
                <w:sz w:val="20"/>
                <w:szCs w:val="20"/>
              </w:rPr>
            </w:pPr>
            <w:r>
              <w:rPr>
                <w:rFonts w:ascii="Calibri Light" w:hAnsi="Calibri Light" w:cs="Calibri Light"/>
                <w:b/>
                <w:sz w:val="20"/>
                <w:szCs w:val="20"/>
              </w:rPr>
              <w:t>+537,3</w:t>
            </w:r>
          </w:p>
        </w:tc>
      </w:tr>
    </w:tbl>
    <w:bookmarkEnd w:id="22"/>
    <w:p w14:paraId="713642AA" w14:textId="53D78387" w:rsidR="0049401C" w:rsidRPr="00673D07" w:rsidRDefault="0049401C" w:rsidP="00FB1205">
      <w:pPr>
        <w:spacing w:after="240"/>
        <w:ind w:firstLine="567"/>
        <w:jc w:val="both"/>
        <w:rPr>
          <w:rFonts w:ascii="Calibri Light" w:eastAsia="Calibri" w:hAnsi="Calibri Light" w:cs="Calibri Light"/>
          <w:i/>
          <w:sz w:val="20"/>
          <w:szCs w:val="20"/>
        </w:rPr>
      </w:pPr>
      <w:r w:rsidRPr="00C43217">
        <w:rPr>
          <w:rFonts w:ascii="Calibri Light" w:eastAsia="Calibri" w:hAnsi="Calibri Light" w:cs="Calibri Light"/>
          <w:b/>
          <w:i/>
          <w:sz w:val="20"/>
          <w:szCs w:val="20"/>
        </w:rPr>
        <w:t>Sursa:</w:t>
      </w:r>
      <w:r w:rsidRPr="00C43217">
        <w:rPr>
          <w:rFonts w:ascii="Calibri Light" w:eastAsia="Calibri" w:hAnsi="Calibri Light" w:cs="Calibri Light"/>
          <w:i/>
          <w:sz w:val="20"/>
          <w:szCs w:val="20"/>
        </w:rPr>
        <w:t xml:space="preserve"> Rapoartele privind datoria de stat</w:t>
      </w:r>
      <w:r>
        <w:rPr>
          <w:rFonts w:ascii="Calibri Light" w:eastAsia="Calibri" w:hAnsi="Calibri Light" w:cs="Calibri Light"/>
          <w:i/>
          <w:sz w:val="20"/>
          <w:szCs w:val="20"/>
        </w:rPr>
        <w:t xml:space="preserve"> externă</w:t>
      </w:r>
      <w:r w:rsidRPr="00C43217">
        <w:rPr>
          <w:rFonts w:ascii="Calibri Light" w:eastAsia="Calibri" w:hAnsi="Calibri Light" w:cs="Calibri Light"/>
          <w:i/>
          <w:sz w:val="20"/>
          <w:szCs w:val="20"/>
        </w:rPr>
        <w:t xml:space="preserve"> </w:t>
      </w:r>
      <w:r>
        <w:rPr>
          <w:rFonts w:ascii="Calibri Light" w:eastAsia="Calibri" w:hAnsi="Calibri Light" w:cs="Calibri Light"/>
          <w:i/>
          <w:sz w:val="20"/>
          <w:szCs w:val="20"/>
        </w:rPr>
        <w:t xml:space="preserve">în perioada 2016 – 2020. </w:t>
      </w:r>
    </w:p>
    <w:p w14:paraId="69186037" w14:textId="26D9FA63" w:rsidR="00EE6A77" w:rsidRDefault="006F3B72" w:rsidP="00FB1205">
      <w:pPr>
        <w:pStyle w:val="af3"/>
        <w:spacing w:line="276" w:lineRule="auto"/>
        <w:jc w:val="both"/>
        <w:rPr>
          <w:rFonts w:ascii="Calibri Light" w:eastAsia="Calibri" w:hAnsi="Calibri Light" w:cs="Calibri Light"/>
          <w:i/>
          <w:sz w:val="24"/>
          <w:szCs w:val="24"/>
        </w:rPr>
      </w:pPr>
      <w:r w:rsidRPr="006F3B72">
        <w:rPr>
          <w:rFonts w:asciiTheme="majorHAnsi" w:hAnsiTheme="majorHAnsi" w:cstheme="majorHAnsi"/>
          <w:sz w:val="24"/>
          <w:szCs w:val="24"/>
          <w:lang w:val="ro-MD" w:eastAsia="ru-RU"/>
        </w:rPr>
        <w:t>Debursările</w:t>
      </w:r>
      <w:r>
        <w:rPr>
          <w:rFonts w:asciiTheme="majorHAnsi" w:hAnsiTheme="majorHAnsi" w:cstheme="majorHAnsi"/>
          <w:sz w:val="24"/>
          <w:szCs w:val="24"/>
          <w:lang w:val="ro-MD" w:eastAsia="ru-RU"/>
        </w:rPr>
        <w:t xml:space="preserve"> de împrumuturi externe în anul 20</w:t>
      </w:r>
      <w:r w:rsidR="00EE6A77">
        <w:rPr>
          <w:rFonts w:asciiTheme="majorHAnsi" w:hAnsiTheme="majorHAnsi" w:cstheme="majorHAnsi"/>
          <w:sz w:val="24"/>
          <w:szCs w:val="24"/>
          <w:lang w:val="ro-MD" w:eastAsia="ru-RU"/>
        </w:rPr>
        <w:t>20</w:t>
      </w:r>
      <w:r>
        <w:rPr>
          <w:rFonts w:asciiTheme="majorHAnsi" w:hAnsiTheme="majorHAnsi" w:cstheme="majorHAnsi"/>
          <w:sz w:val="24"/>
          <w:szCs w:val="24"/>
          <w:lang w:val="ro-MD" w:eastAsia="ru-RU"/>
        </w:rPr>
        <w:t xml:space="preserve"> au constituit </w:t>
      </w:r>
      <w:r w:rsidR="00EE6A77" w:rsidRPr="00F333EC">
        <w:rPr>
          <w:rFonts w:ascii="Calibri Light" w:eastAsia="Calibri" w:hAnsi="Calibri Light" w:cs="Calibri Light"/>
          <w:sz w:val="24"/>
          <w:szCs w:val="24"/>
        </w:rPr>
        <w:t>551,6 mil. dol. SUA (echivalentul a 9 747,3 mil. lei), ceea ce este cu 402,5 mil. dol. SUA mai mult față de debursările anului precedent.</w:t>
      </w:r>
      <w:r w:rsidR="00EE6A77">
        <w:rPr>
          <w:rFonts w:ascii="Calibri Light" w:eastAsia="Calibri" w:hAnsi="Calibri Light" w:cs="Calibri Light"/>
          <w:sz w:val="24"/>
          <w:szCs w:val="24"/>
        </w:rPr>
        <w:t xml:space="preserve"> </w:t>
      </w:r>
      <w:r w:rsidR="00EE6A77" w:rsidRPr="00D03403">
        <w:rPr>
          <w:rFonts w:ascii="Calibri Light" w:eastAsia="Calibri" w:hAnsi="Calibri Light" w:cs="Calibri Light"/>
          <w:sz w:val="24"/>
          <w:szCs w:val="24"/>
        </w:rPr>
        <w:t xml:space="preserve">Din totalul intrărilor de împrumuturi de stat externe, 205,7 mil. dol. SUA (37,3%) au fost destinate finanțării proiectelor investiționale și 345,9 mil. dol. SUA (62,7%) – asistenței financiare pentru susținerea bugetului. </w:t>
      </w:r>
      <w:r w:rsidR="00E54478" w:rsidRPr="00E54478">
        <w:rPr>
          <w:rFonts w:ascii="Calibri Light" w:eastAsia="Calibri" w:hAnsi="Calibri Light" w:cs="Calibri Light"/>
          <w:i/>
          <w:sz w:val="24"/>
          <w:szCs w:val="24"/>
        </w:rPr>
        <w:t>Informația detaliată se prezintă în Tabelul nr.</w:t>
      </w:r>
      <w:r w:rsidR="00837A13">
        <w:rPr>
          <w:rFonts w:ascii="Calibri Light" w:eastAsia="Calibri" w:hAnsi="Calibri Light" w:cs="Calibri Light"/>
          <w:i/>
          <w:sz w:val="24"/>
          <w:szCs w:val="24"/>
        </w:rPr>
        <w:t>7</w:t>
      </w:r>
      <w:r w:rsidR="00FD4662">
        <w:rPr>
          <w:rFonts w:ascii="Calibri Light" w:eastAsia="Calibri" w:hAnsi="Calibri Light" w:cs="Calibri Light"/>
          <w:i/>
          <w:sz w:val="24"/>
          <w:szCs w:val="24"/>
        </w:rPr>
        <w:t>.</w:t>
      </w:r>
    </w:p>
    <w:p w14:paraId="274B11C3" w14:textId="0C153496" w:rsidR="00E54478" w:rsidRPr="009131AB" w:rsidRDefault="00E54478" w:rsidP="00560D3B">
      <w:pPr>
        <w:pStyle w:val="af3"/>
        <w:spacing w:line="276" w:lineRule="auto"/>
        <w:jc w:val="right"/>
        <w:rPr>
          <w:rFonts w:ascii="Calibri Light" w:eastAsia="Calibri" w:hAnsi="Calibri Light" w:cs="Calibri Light"/>
          <w:b/>
          <w:i/>
          <w:sz w:val="24"/>
          <w:szCs w:val="24"/>
        </w:rPr>
      </w:pPr>
      <w:r w:rsidRPr="009131AB">
        <w:rPr>
          <w:rFonts w:ascii="Calibri Light" w:eastAsia="Calibri" w:hAnsi="Calibri Light" w:cs="Calibri Light"/>
          <w:b/>
          <w:i/>
          <w:sz w:val="24"/>
          <w:szCs w:val="24"/>
        </w:rPr>
        <w:t>Tabelul nr.</w:t>
      </w:r>
      <w:r w:rsidR="00837A13">
        <w:rPr>
          <w:rFonts w:ascii="Calibri Light" w:eastAsia="Calibri" w:hAnsi="Calibri Light" w:cs="Calibri Light"/>
          <w:b/>
          <w:i/>
          <w:sz w:val="24"/>
          <w:szCs w:val="24"/>
        </w:rPr>
        <w:t>7</w:t>
      </w:r>
    </w:p>
    <w:p w14:paraId="2729104A" w14:textId="77777777" w:rsidR="00192344" w:rsidRDefault="00E54478" w:rsidP="00560D3B">
      <w:pPr>
        <w:pStyle w:val="af3"/>
        <w:spacing w:line="276" w:lineRule="auto"/>
        <w:jc w:val="center"/>
        <w:rPr>
          <w:rFonts w:ascii="Calibri Light" w:eastAsia="Calibri" w:hAnsi="Calibri Light" w:cs="Calibri Light"/>
          <w:b/>
          <w:sz w:val="24"/>
          <w:szCs w:val="24"/>
        </w:rPr>
      </w:pPr>
      <w:r w:rsidRPr="00E54478">
        <w:rPr>
          <w:rFonts w:ascii="Calibri Light" w:eastAsia="Calibri" w:hAnsi="Calibri Light" w:cs="Calibri Light"/>
          <w:b/>
          <w:sz w:val="24"/>
          <w:szCs w:val="24"/>
        </w:rPr>
        <w:t>Sinteza debursărilor privind împrumuturile de stat externe (mijlo</w:t>
      </w:r>
      <w:r w:rsidR="0050796C">
        <w:rPr>
          <w:rFonts w:ascii="Calibri Light" w:eastAsia="Calibri" w:hAnsi="Calibri Light" w:cs="Calibri Light"/>
          <w:b/>
          <w:sz w:val="24"/>
          <w:szCs w:val="24"/>
        </w:rPr>
        <w:t xml:space="preserve">ace financiare), </w:t>
      </w:r>
    </w:p>
    <w:p w14:paraId="635FD551" w14:textId="745B73EF" w:rsidR="00E54478" w:rsidRDefault="0050796C" w:rsidP="00560D3B">
      <w:pPr>
        <w:pStyle w:val="af3"/>
        <w:spacing w:line="276" w:lineRule="auto"/>
        <w:jc w:val="center"/>
        <w:rPr>
          <w:rFonts w:ascii="Calibri Light" w:eastAsia="Calibri" w:hAnsi="Calibri Light" w:cs="Calibri Light"/>
          <w:b/>
          <w:sz w:val="24"/>
          <w:szCs w:val="24"/>
        </w:rPr>
      </w:pPr>
      <w:r>
        <w:rPr>
          <w:rFonts w:ascii="Calibri Light" w:eastAsia="Calibri" w:hAnsi="Calibri Light" w:cs="Calibri Light"/>
          <w:b/>
          <w:sz w:val="24"/>
          <w:szCs w:val="24"/>
        </w:rPr>
        <w:t>pe destinații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34"/>
        <w:gridCol w:w="1060"/>
        <w:gridCol w:w="910"/>
        <w:gridCol w:w="1024"/>
        <w:gridCol w:w="913"/>
        <w:gridCol w:w="1024"/>
        <w:gridCol w:w="1322"/>
      </w:tblGrid>
      <w:tr w:rsidR="00A921C6" w:rsidRPr="00560D3B" w14:paraId="3B9F6463" w14:textId="270A1700" w:rsidTr="001E4346">
        <w:tc>
          <w:tcPr>
            <w:tcW w:w="2258" w:type="dxa"/>
            <w:vMerge w:val="restart"/>
          </w:tcPr>
          <w:p w14:paraId="134AD35F" w14:textId="40958F4E" w:rsidR="00A921C6" w:rsidRPr="00560D3B" w:rsidRDefault="00A921C6" w:rsidP="00582684">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Destinația împrumutului</w:t>
            </w:r>
          </w:p>
        </w:tc>
        <w:tc>
          <w:tcPr>
            <w:tcW w:w="1894" w:type="dxa"/>
            <w:gridSpan w:val="2"/>
          </w:tcPr>
          <w:p w14:paraId="25560702" w14:textId="7D925746" w:rsidR="00A921C6" w:rsidRPr="00560D3B" w:rsidRDefault="00A921C6" w:rsidP="00582684">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2018</w:t>
            </w:r>
          </w:p>
        </w:tc>
        <w:tc>
          <w:tcPr>
            <w:tcW w:w="1934" w:type="dxa"/>
            <w:gridSpan w:val="2"/>
          </w:tcPr>
          <w:p w14:paraId="4D726AFD" w14:textId="54016053" w:rsidR="00A921C6" w:rsidRPr="00560D3B" w:rsidRDefault="00A921C6" w:rsidP="00582684">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2019</w:t>
            </w:r>
          </w:p>
        </w:tc>
        <w:tc>
          <w:tcPr>
            <w:tcW w:w="1937" w:type="dxa"/>
            <w:gridSpan w:val="2"/>
          </w:tcPr>
          <w:p w14:paraId="27142607" w14:textId="039FE269" w:rsidR="00A921C6" w:rsidRPr="00560D3B" w:rsidRDefault="00A921C6" w:rsidP="00582684">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2020</w:t>
            </w:r>
          </w:p>
        </w:tc>
        <w:tc>
          <w:tcPr>
            <w:tcW w:w="1322" w:type="dxa"/>
            <w:vMerge w:val="restart"/>
          </w:tcPr>
          <w:p w14:paraId="5DD5466C" w14:textId="24C1C244" w:rsidR="001B54C2" w:rsidRDefault="001B54C2" w:rsidP="00582684">
            <w:pPr>
              <w:pStyle w:val="af3"/>
              <w:spacing w:line="276" w:lineRule="auto"/>
              <w:jc w:val="center"/>
              <w:rPr>
                <w:rFonts w:ascii="Calibri Light" w:eastAsia="Calibri" w:hAnsi="Calibri Light" w:cs="Calibri Light"/>
                <w:b/>
                <w:sz w:val="20"/>
                <w:szCs w:val="20"/>
              </w:rPr>
            </w:pPr>
            <w:r>
              <w:rPr>
                <w:rFonts w:ascii="Calibri Light" w:eastAsia="Calibri" w:hAnsi="Calibri Light" w:cs="Calibri Light"/>
                <w:b/>
                <w:sz w:val="20"/>
                <w:szCs w:val="20"/>
              </w:rPr>
              <w:t>Diferența</w:t>
            </w:r>
          </w:p>
          <w:p w14:paraId="49212F85" w14:textId="68714E49" w:rsidR="00A921C6" w:rsidRPr="00560D3B" w:rsidRDefault="00A921C6" w:rsidP="00582684">
            <w:pPr>
              <w:pStyle w:val="af3"/>
              <w:spacing w:line="276" w:lineRule="auto"/>
              <w:jc w:val="center"/>
              <w:rPr>
                <w:rFonts w:ascii="Calibri Light" w:eastAsia="Calibri" w:hAnsi="Calibri Light" w:cs="Calibri Light"/>
                <w:b/>
                <w:sz w:val="20"/>
                <w:szCs w:val="20"/>
              </w:rPr>
            </w:pPr>
            <w:r>
              <w:rPr>
                <w:rFonts w:ascii="Calibri Light" w:eastAsia="Calibri" w:hAnsi="Calibri Light" w:cs="Calibri Light"/>
                <w:b/>
                <w:sz w:val="20"/>
                <w:szCs w:val="20"/>
              </w:rPr>
              <w:t>2020/2019</w:t>
            </w:r>
          </w:p>
        </w:tc>
      </w:tr>
      <w:tr w:rsidR="00A921C6" w:rsidRPr="00560D3B" w14:paraId="703D2C79" w14:textId="1928D6F6" w:rsidTr="001E4346">
        <w:tc>
          <w:tcPr>
            <w:tcW w:w="2258" w:type="dxa"/>
            <w:vMerge/>
          </w:tcPr>
          <w:p w14:paraId="2FA52424" w14:textId="77777777" w:rsidR="00A921C6" w:rsidRPr="00560D3B" w:rsidRDefault="00A921C6" w:rsidP="00560D3B">
            <w:pPr>
              <w:pStyle w:val="af3"/>
              <w:spacing w:line="276" w:lineRule="auto"/>
              <w:jc w:val="center"/>
              <w:rPr>
                <w:rFonts w:ascii="Calibri Light" w:eastAsia="Calibri" w:hAnsi="Calibri Light" w:cs="Calibri Light"/>
                <w:b/>
                <w:sz w:val="20"/>
                <w:szCs w:val="20"/>
              </w:rPr>
            </w:pPr>
          </w:p>
        </w:tc>
        <w:tc>
          <w:tcPr>
            <w:tcW w:w="834" w:type="dxa"/>
          </w:tcPr>
          <w:p w14:paraId="6D6844FA" w14:textId="633BF886" w:rsidR="00A921C6" w:rsidRPr="00560D3B" w:rsidRDefault="00A921C6" w:rsidP="00582684">
            <w:pPr>
              <w:pStyle w:val="af3"/>
              <w:spacing w:line="276" w:lineRule="auto"/>
              <w:jc w:val="center"/>
              <w:rPr>
                <w:rFonts w:ascii="Calibri Light" w:eastAsia="Calibri" w:hAnsi="Calibri Light" w:cs="Calibri Light"/>
                <w:i/>
                <w:sz w:val="20"/>
                <w:szCs w:val="20"/>
              </w:rPr>
            </w:pPr>
            <w:r w:rsidRPr="00560D3B">
              <w:rPr>
                <w:rFonts w:ascii="Calibri Light" w:eastAsia="Calibri" w:hAnsi="Calibri Light" w:cs="Calibri Light"/>
                <w:i/>
                <w:sz w:val="20"/>
                <w:szCs w:val="20"/>
              </w:rPr>
              <w:t>mil. dol. SUA</w:t>
            </w:r>
          </w:p>
        </w:tc>
        <w:tc>
          <w:tcPr>
            <w:tcW w:w="1060" w:type="dxa"/>
          </w:tcPr>
          <w:p w14:paraId="6BDA00A9" w14:textId="5FF81E80" w:rsidR="00A921C6" w:rsidRPr="00560D3B" w:rsidRDefault="00192344" w:rsidP="00582684">
            <w:pPr>
              <w:pStyle w:val="af3"/>
              <w:spacing w:line="276" w:lineRule="auto"/>
              <w:jc w:val="center"/>
              <w:rPr>
                <w:rFonts w:ascii="Calibri Light" w:eastAsia="Calibri" w:hAnsi="Calibri Light" w:cs="Calibri Light"/>
                <w:i/>
                <w:sz w:val="20"/>
                <w:szCs w:val="20"/>
              </w:rPr>
            </w:pPr>
            <w:r>
              <w:rPr>
                <w:rFonts w:ascii="Calibri Light" w:eastAsia="Calibri" w:hAnsi="Calibri Light" w:cs="Calibri Light"/>
                <w:i/>
                <w:sz w:val="20"/>
                <w:szCs w:val="20"/>
              </w:rPr>
              <w:t>p</w:t>
            </w:r>
            <w:r w:rsidR="00A921C6" w:rsidRPr="00560D3B">
              <w:rPr>
                <w:rFonts w:ascii="Calibri Light" w:eastAsia="Calibri" w:hAnsi="Calibri Light" w:cs="Calibri Light"/>
                <w:i/>
                <w:sz w:val="20"/>
                <w:szCs w:val="20"/>
              </w:rPr>
              <w:t>onderea în total, %</w:t>
            </w:r>
          </w:p>
        </w:tc>
        <w:tc>
          <w:tcPr>
            <w:tcW w:w="910" w:type="dxa"/>
          </w:tcPr>
          <w:p w14:paraId="542B2B19" w14:textId="0852B513" w:rsidR="00A921C6" w:rsidRPr="00560D3B" w:rsidRDefault="00A921C6" w:rsidP="00582684">
            <w:pPr>
              <w:pStyle w:val="af3"/>
              <w:spacing w:line="276" w:lineRule="auto"/>
              <w:jc w:val="center"/>
              <w:rPr>
                <w:rFonts w:ascii="Calibri Light" w:eastAsia="Calibri" w:hAnsi="Calibri Light" w:cs="Calibri Light"/>
                <w:i/>
                <w:sz w:val="20"/>
                <w:szCs w:val="20"/>
              </w:rPr>
            </w:pPr>
            <w:r w:rsidRPr="00560D3B">
              <w:rPr>
                <w:rFonts w:ascii="Calibri Light" w:eastAsia="Calibri" w:hAnsi="Calibri Light" w:cs="Calibri Light"/>
                <w:i/>
                <w:sz w:val="20"/>
                <w:szCs w:val="20"/>
              </w:rPr>
              <w:t>mil. dol. SUA</w:t>
            </w:r>
          </w:p>
        </w:tc>
        <w:tc>
          <w:tcPr>
            <w:tcW w:w="1024" w:type="dxa"/>
          </w:tcPr>
          <w:p w14:paraId="633641D3" w14:textId="1B2B72F0" w:rsidR="00A921C6" w:rsidRPr="00560D3B" w:rsidRDefault="00192344" w:rsidP="00582684">
            <w:pPr>
              <w:pStyle w:val="af3"/>
              <w:spacing w:line="276" w:lineRule="auto"/>
              <w:jc w:val="center"/>
              <w:rPr>
                <w:rFonts w:ascii="Calibri Light" w:eastAsia="Calibri" w:hAnsi="Calibri Light" w:cs="Calibri Light"/>
                <w:i/>
                <w:sz w:val="20"/>
                <w:szCs w:val="20"/>
              </w:rPr>
            </w:pPr>
            <w:r>
              <w:rPr>
                <w:rFonts w:ascii="Calibri Light" w:eastAsia="Calibri" w:hAnsi="Calibri Light" w:cs="Calibri Light"/>
                <w:i/>
                <w:sz w:val="20"/>
                <w:szCs w:val="20"/>
              </w:rPr>
              <w:t>p</w:t>
            </w:r>
            <w:r w:rsidR="00A921C6" w:rsidRPr="00560D3B">
              <w:rPr>
                <w:rFonts w:ascii="Calibri Light" w:eastAsia="Calibri" w:hAnsi="Calibri Light" w:cs="Calibri Light"/>
                <w:i/>
                <w:sz w:val="20"/>
                <w:szCs w:val="20"/>
              </w:rPr>
              <w:t>onderea în total, %</w:t>
            </w:r>
          </w:p>
        </w:tc>
        <w:tc>
          <w:tcPr>
            <w:tcW w:w="913" w:type="dxa"/>
          </w:tcPr>
          <w:p w14:paraId="172136BA" w14:textId="67F945CF" w:rsidR="00A921C6" w:rsidRPr="00560D3B" w:rsidRDefault="00A921C6" w:rsidP="00582684">
            <w:pPr>
              <w:pStyle w:val="af3"/>
              <w:spacing w:line="276" w:lineRule="auto"/>
              <w:jc w:val="center"/>
              <w:rPr>
                <w:rFonts w:ascii="Calibri Light" w:eastAsia="Calibri" w:hAnsi="Calibri Light" w:cs="Calibri Light"/>
                <w:i/>
                <w:sz w:val="20"/>
                <w:szCs w:val="20"/>
              </w:rPr>
            </w:pPr>
            <w:r w:rsidRPr="00560D3B">
              <w:rPr>
                <w:rFonts w:ascii="Calibri Light" w:eastAsia="Calibri" w:hAnsi="Calibri Light" w:cs="Calibri Light"/>
                <w:i/>
                <w:sz w:val="20"/>
                <w:szCs w:val="20"/>
              </w:rPr>
              <w:t>mil. dol. SUA</w:t>
            </w:r>
          </w:p>
        </w:tc>
        <w:tc>
          <w:tcPr>
            <w:tcW w:w="1024" w:type="dxa"/>
          </w:tcPr>
          <w:p w14:paraId="64C7CC54" w14:textId="369E4F26" w:rsidR="00A921C6" w:rsidRPr="00560D3B" w:rsidRDefault="00192344" w:rsidP="00582684">
            <w:pPr>
              <w:pStyle w:val="af3"/>
              <w:spacing w:line="276" w:lineRule="auto"/>
              <w:jc w:val="center"/>
              <w:rPr>
                <w:rFonts w:ascii="Calibri Light" w:eastAsia="Calibri" w:hAnsi="Calibri Light" w:cs="Calibri Light"/>
                <w:i/>
                <w:sz w:val="20"/>
                <w:szCs w:val="20"/>
              </w:rPr>
            </w:pPr>
            <w:r>
              <w:rPr>
                <w:rFonts w:ascii="Calibri Light" w:eastAsia="Calibri" w:hAnsi="Calibri Light" w:cs="Calibri Light"/>
                <w:i/>
                <w:sz w:val="20"/>
                <w:szCs w:val="20"/>
              </w:rPr>
              <w:t>p</w:t>
            </w:r>
            <w:r w:rsidR="00A921C6" w:rsidRPr="00560D3B">
              <w:rPr>
                <w:rFonts w:ascii="Calibri Light" w:eastAsia="Calibri" w:hAnsi="Calibri Light" w:cs="Calibri Light"/>
                <w:i/>
                <w:sz w:val="20"/>
                <w:szCs w:val="20"/>
              </w:rPr>
              <w:t>onderea în total, %</w:t>
            </w:r>
          </w:p>
        </w:tc>
        <w:tc>
          <w:tcPr>
            <w:tcW w:w="1322" w:type="dxa"/>
            <w:vMerge/>
          </w:tcPr>
          <w:p w14:paraId="4ECB6672" w14:textId="77777777" w:rsidR="00A921C6" w:rsidRPr="00560D3B" w:rsidRDefault="00A921C6" w:rsidP="00582684">
            <w:pPr>
              <w:pStyle w:val="af3"/>
              <w:spacing w:line="276" w:lineRule="auto"/>
              <w:jc w:val="center"/>
              <w:rPr>
                <w:rFonts w:ascii="Calibri Light" w:eastAsia="Calibri" w:hAnsi="Calibri Light" w:cs="Calibri Light"/>
                <w:i/>
                <w:sz w:val="20"/>
                <w:szCs w:val="20"/>
              </w:rPr>
            </w:pPr>
          </w:p>
        </w:tc>
      </w:tr>
      <w:tr w:rsidR="001E4346" w:rsidRPr="00560D3B" w14:paraId="653363C4" w14:textId="6C25FD67" w:rsidTr="001E4346">
        <w:tc>
          <w:tcPr>
            <w:tcW w:w="2258" w:type="dxa"/>
          </w:tcPr>
          <w:p w14:paraId="6CDAF5CA" w14:textId="50FFD2EE" w:rsidR="001E4346" w:rsidRPr="00192344" w:rsidRDefault="001E4346" w:rsidP="00FB1205">
            <w:pPr>
              <w:pStyle w:val="af3"/>
              <w:spacing w:line="276" w:lineRule="auto"/>
              <w:jc w:val="both"/>
              <w:rPr>
                <w:rFonts w:ascii="Calibri Light" w:eastAsia="Calibri" w:hAnsi="Calibri Light" w:cs="Calibri Light"/>
                <w:b/>
                <w:sz w:val="20"/>
                <w:szCs w:val="20"/>
              </w:rPr>
            </w:pPr>
            <w:r w:rsidRPr="00192344">
              <w:rPr>
                <w:rFonts w:ascii="Calibri Light" w:eastAsia="Calibri" w:hAnsi="Calibri Light" w:cs="Calibri Light"/>
                <w:b/>
                <w:sz w:val="20"/>
                <w:szCs w:val="20"/>
              </w:rPr>
              <w:t>Susținerea bugetului de stat</w:t>
            </w:r>
          </w:p>
        </w:tc>
        <w:tc>
          <w:tcPr>
            <w:tcW w:w="834" w:type="dxa"/>
          </w:tcPr>
          <w:p w14:paraId="27143FB2" w14:textId="2E92D747"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48,9</w:t>
            </w:r>
          </w:p>
        </w:tc>
        <w:tc>
          <w:tcPr>
            <w:tcW w:w="1060" w:type="dxa"/>
          </w:tcPr>
          <w:p w14:paraId="46867D9B" w14:textId="62EDA86E"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33,8</w:t>
            </w:r>
          </w:p>
        </w:tc>
        <w:tc>
          <w:tcPr>
            <w:tcW w:w="910" w:type="dxa"/>
          </w:tcPr>
          <w:p w14:paraId="4EDC4623" w14:textId="2558461D"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51,1</w:t>
            </w:r>
          </w:p>
        </w:tc>
        <w:tc>
          <w:tcPr>
            <w:tcW w:w="1024" w:type="dxa"/>
          </w:tcPr>
          <w:p w14:paraId="099B92B2" w14:textId="7EC45D7C"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34,3</w:t>
            </w:r>
          </w:p>
        </w:tc>
        <w:tc>
          <w:tcPr>
            <w:tcW w:w="913" w:type="dxa"/>
          </w:tcPr>
          <w:p w14:paraId="737B8893" w14:textId="3388290C"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345,9</w:t>
            </w:r>
          </w:p>
        </w:tc>
        <w:tc>
          <w:tcPr>
            <w:tcW w:w="1024" w:type="dxa"/>
          </w:tcPr>
          <w:p w14:paraId="12EBB448" w14:textId="7644FA6C"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62,7</w:t>
            </w:r>
          </w:p>
        </w:tc>
        <w:tc>
          <w:tcPr>
            <w:tcW w:w="1322" w:type="dxa"/>
          </w:tcPr>
          <w:p w14:paraId="08773808" w14:textId="319FE53B" w:rsidR="001E4346" w:rsidRPr="00F657F1" w:rsidRDefault="00F657F1" w:rsidP="00560D3B">
            <w:pPr>
              <w:pStyle w:val="af3"/>
              <w:spacing w:line="276" w:lineRule="auto"/>
              <w:jc w:val="center"/>
              <w:rPr>
                <w:rFonts w:ascii="Calibri Light" w:eastAsia="Calibri" w:hAnsi="Calibri Light" w:cs="Calibri Light"/>
                <w:b/>
                <w:sz w:val="20"/>
                <w:szCs w:val="20"/>
              </w:rPr>
            </w:pPr>
            <w:r>
              <w:rPr>
                <w:rFonts w:ascii="Calibri Light" w:eastAsia="Calibri" w:hAnsi="Calibri Light" w:cs="Calibri Light"/>
                <w:b/>
                <w:sz w:val="20"/>
                <w:szCs w:val="20"/>
              </w:rPr>
              <w:t>+294,8</w:t>
            </w:r>
          </w:p>
        </w:tc>
      </w:tr>
      <w:tr w:rsidR="001E4346" w:rsidRPr="00560D3B" w14:paraId="61CDB327" w14:textId="60AD35B0" w:rsidTr="001E4346">
        <w:tc>
          <w:tcPr>
            <w:tcW w:w="2258" w:type="dxa"/>
          </w:tcPr>
          <w:p w14:paraId="7F87337C" w14:textId="095B07F9" w:rsidR="001E4346" w:rsidRPr="00192344" w:rsidRDefault="001E4346" w:rsidP="00FB1205">
            <w:pPr>
              <w:pStyle w:val="af3"/>
              <w:spacing w:line="276" w:lineRule="auto"/>
              <w:jc w:val="both"/>
              <w:rPr>
                <w:rFonts w:ascii="Calibri Light" w:eastAsia="Calibri" w:hAnsi="Calibri Light" w:cs="Calibri Light"/>
                <w:b/>
                <w:sz w:val="20"/>
                <w:szCs w:val="20"/>
              </w:rPr>
            </w:pPr>
            <w:r w:rsidRPr="00192344">
              <w:rPr>
                <w:rFonts w:ascii="Calibri Light" w:eastAsia="Calibri" w:hAnsi="Calibri Light" w:cs="Calibri Light"/>
                <w:b/>
                <w:sz w:val="20"/>
                <w:szCs w:val="20"/>
              </w:rPr>
              <w:t>Proiecte finanțate din surse externe</w:t>
            </w:r>
          </w:p>
        </w:tc>
        <w:tc>
          <w:tcPr>
            <w:tcW w:w="834" w:type="dxa"/>
          </w:tcPr>
          <w:p w14:paraId="00CF21B9" w14:textId="62C79AFD"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95,9</w:t>
            </w:r>
          </w:p>
        </w:tc>
        <w:tc>
          <w:tcPr>
            <w:tcW w:w="1060" w:type="dxa"/>
          </w:tcPr>
          <w:p w14:paraId="41EF6AFB" w14:textId="414E9D0F"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66,2</w:t>
            </w:r>
          </w:p>
        </w:tc>
        <w:tc>
          <w:tcPr>
            <w:tcW w:w="910" w:type="dxa"/>
          </w:tcPr>
          <w:p w14:paraId="254D6B7C" w14:textId="308D908E"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98,0</w:t>
            </w:r>
          </w:p>
        </w:tc>
        <w:tc>
          <w:tcPr>
            <w:tcW w:w="1024" w:type="dxa"/>
          </w:tcPr>
          <w:p w14:paraId="2447DBFC" w14:textId="52DFEB28"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65,7</w:t>
            </w:r>
          </w:p>
        </w:tc>
        <w:tc>
          <w:tcPr>
            <w:tcW w:w="913" w:type="dxa"/>
          </w:tcPr>
          <w:p w14:paraId="26212D25" w14:textId="30576845"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205,7</w:t>
            </w:r>
          </w:p>
        </w:tc>
        <w:tc>
          <w:tcPr>
            <w:tcW w:w="1024" w:type="dxa"/>
          </w:tcPr>
          <w:p w14:paraId="1C3AFDFD" w14:textId="0F843CB9" w:rsidR="001E4346" w:rsidRPr="00560D3B" w:rsidRDefault="001E4346" w:rsidP="00560D3B">
            <w:pPr>
              <w:pStyle w:val="af3"/>
              <w:spacing w:line="276" w:lineRule="auto"/>
              <w:jc w:val="center"/>
              <w:rPr>
                <w:rFonts w:ascii="Calibri Light" w:eastAsia="Calibri" w:hAnsi="Calibri Light" w:cs="Calibri Light"/>
                <w:sz w:val="20"/>
                <w:szCs w:val="20"/>
              </w:rPr>
            </w:pPr>
            <w:r w:rsidRPr="00560D3B">
              <w:rPr>
                <w:rFonts w:ascii="Calibri Light" w:eastAsia="Calibri" w:hAnsi="Calibri Light" w:cs="Calibri Light"/>
                <w:sz w:val="20"/>
                <w:szCs w:val="20"/>
              </w:rPr>
              <w:t>37,3</w:t>
            </w:r>
          </w:p>
        </w:tc>
        <w:tc>
          <w:tcPr>
            <w:tcW w:w="1322" w:type="dxa"/>
          </w:tcPr>
          <w:p w14:paraId="6FF19646" w14:textId="2B0BAD62" w:rsidR="001E4346" w:rsidRPr="00F657F1" w:rsidRDefault="00F657F1" w:rsidP="00560D3B">
            <w:pPr>
              <w:pStyle w:val="af3"/>
              <w:spacing w:line="276" w:lineRule="auto"/>
              <w:jc w:val="center"/>
              <w:rPr>
                <w:rFonts w:ascii="Calibri Light" w:eastAsia="Calibri" w:hAnsi="Calibri Light" w:cs="Calibri Light"/>
                <w:b/>
                <w:sz w:val="20"/>
                <w:szCs w:val="20"/>
              </w:rPr>
            </w:pPr>
            <w:r>
              <w:rPr>
                <w:rFonts w:ascii="Calibri Light" w:eastAsia="Calibri" w:hAnsi="Calibri Light" w:cs="Calibri Light"/>
                <w:b/>
                <w:sz w:val="20"/>
                <w:szCs w:val="20"/>
              </w:rPr>
              <w:t>+107,7</w:t>
            </w:r>
          </w:p>
        </w:tc>
      </w:tr>
      <w:tr w:rsidR="001E4346" w:rsidRPr="00560D3B" w14:paraId="5C8CE5D3" w14:textId="221EE681" w:rsidTr="001E4346">
        <w:tc>
          <w:tcPr>
            <w:tcW w:w="2258" w:type="dxa"/>
          </w:tcPr>
          <w:p w14:paraId="2B5EC509" w14:textId="2CCBBF89" w:rsidR="001E4346" w:rsidRPr="00560D3B" w:rsidRDefault="001E4346" w:rsidP="00FB1205">
            <w:pPr>
              <w:pStyle w:val="af3"/>
              <w:spacing w:line="276" w:lineRule="auto"/>
              <w:jc w:val="both"/>
              <w:rPr>
                <w:rFonts w:ascii="Calibri Light" w:eastAsia="Calibri" w:hAnsi="Calibri Light" w:cs="Calibri Light"/>
                <w:b/>
                <w:sz w:val="20"/>
                <w:szCs w:val="20"/>
              </w:rPr>
            </w:pPr>
            <w:r w:rsidRPr="00560D3B">
              <w:rPr>
                <w:rFonts w:ascii="Calibri Light" w:eastAsia="Calibri" w:hAnsi="Calibri Light" w:cs="Calibri Light"/>
                <w:b/>
                <w:sz w:val="20"/>
                <w:szCs w:val="20"/>
              </w:rPr>
              <w:t>Total</w:t>
            </w:r>
          </w:p>
        </w:tc>
        <w:tc>
          <w:tcPr>
            <w:tcW w:w="834" w:type="dxa"/>
          </w:tcPr>
          <w:p w14:paraId="6DB9AE9A" w14:textId="2AA6FC7F" w:rsidR="001E4346" w:rsidRPr="00560D3B" w:rsidRDefault="001E4346" w:rsidP="00560D3B">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144,8</w:t>
            </w:r>
          </w:p>
        </w:tc>
        <w:tc>
          <w:tcPr>
            <w:tcW w:w="1060" w:type="dxa"/>
          </w:tcPr>
          <w:p w14:paraId="173D81DD" w14:textId="65008C7D" w:rsidR="001E4346" w:rsidRPr="00560D3B" w:rsidRDefault="001E4346" w:rsidP="00560D3B">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100,0</w:t>
            </w:r>
          </w:p>
        </w:tc>
        <w:tc>
          <w:tcPr>
            <w:tcW w:w="910" w:type="dxa"/>
          </w:tcPr>
          <w:p w14:paraId="076C3CF7" w14:textId="3B506412" w:rsidR="001E4346" w:rsidRPr="00560D3B" w:rsidRDefault="001E4346" w:rsidP="00560D3B">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149,1</w:t>
            </w:r>
          </w:p>
        </w:tc>
        <w:tc>
          <w:tcPr>
            <w:tcW w:w="1024" w:type="dxa"/>
          </w:tcPr>
          <w:p w14:paraId="6C06993B" w14:textId="0292C6FC" w:rsidR="001E4346" w:rsidRPr="00560D3B" w:rsidRDefault="001E4346" w:rsidP="00560D3B">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100,0</w:t>
            </w:r>
          </w:p>
        </w:tc>
        <w:tc>
          <w:tcPr>
            <w:tcW w:w="913" w:type="dxa"/>
          </w:tcPr>
          <w:p w14:paraId="5E6B7C50" w14:textId="55E59A2C" w:rsidR="001E4346" w:rsidRPr="00560D3B" w:rsidRDefault="001E4346" w:rsidP="00560D3B">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551,6</w:t>
            </w:r>
          </w:p>
        </w:tc>
        <w:tc>
          <w:tcPr>
            <w:tcW w:w="1024" w:type="dxa"/>
          </w:tcPr>
          <w:p w14:paraId="7C6A38AA" w14:textId="69A93E18" w:rsidR="001E4346" w:rsidRPr="00560D3B" w:rsidRDefault="001E4346" w:rsidP="00560D3B">
            <w:pPr>
              <w:pStyle w:val="af3"/>
              <w:spacing w:line="276" w:lineRule="auto"/>
              <w:jc w:val="center"/>
              <w:rPr>
                <w:rFonts w:ascii="Calibri Light" w:eastAsia="Calibri" w:hAnsi="Calibri Light" w:cs="Calibri Light"/>
                <w:b/>
                <w:sz w:val="20"/>
                <w:szCs w:val="20"/>
              </w:rPr>
            </w:pPr>
            <w:r w:rsidRPr="00560D3B">
              <w:rPr>
                <w:rFonts w:ascii="Calibri Light" w:eastAsia="Calibri" w:hAnsi="Calibri Light" w:cs="Calibri Light"/>
                <w:b/>
                <w:sz w:val="20"/>
                <w:szCs w:val="20"/>
              </w:rPr>
              <w:t>100,0</w:t>
            </w:r>
          </w:p>
        </w:tc>
        <w:tc>
          <w:tcPr>
            <w:tcW w:w="1322" w:type="dxa"/>
          </w:tcPr>
          <w:p w14:paraId="167DAC12" w14:textId="0D43C8A7" w:rsidR="001E4346" w:rsidRPr="00F657F1" w:rsidRDefault="00F657F1" w:rsidP="00560D3B">
            <w:pPr>
              <w:pStyle w:val="af3"/>
              <w:spacing w:line="276" w:lineRule="auto"/>
              <w:jc w:val="center"/>
              <w:rPr>
                <w:rFonts w:ascii="Calibri Light" w:eastAsia="Calibri" w:hAnsi="Calibri Light" w:cs="Calibri Light"/>
                <w:b/>
                <w:sz w:val="20"/>
                <w:szCs w:val="20"/>
              </w:rPr>
            </w:pPr>
            <w:r>
              <w:rPr>
                <w:rFonts w:ascii="Calibri Light" w:eastAsia="Calibri" w:hAnsi="Calibri Light" w:cs="Calibri Light"/>
                <w:b/>
                <w:sz w:val="20"/>
                <w:szCs w:val="20"/>
              </w:rPr>
              <w:t>+402,5</w:t>
            </w:r>
          </w:p>
        </w:tc>
      </w:tr>
    </w:tbl>
    <w:p w14:paraId="74D59962" w14:textId="062057F0" w:rsidR="00E54478" w:rsidRPr="009131AB" w:rsidRDefault="009131AB" w:rsidP="00FB1205">
      <w:pPr>
        <w:pStyle w:val="af3"/>
        <w:spacing w:line="276" w:lineRule="auto"/>
        <w:ind w:firstLine="567"/>
        <w:jc w:val="both"/>
        <w:rPr>
          <w:rFonts w:asciiTheme="majorHAnsi" w:eastAsia="Calibri" w:hAnsiTheme="majorHAnsi" w:cstheme="majorHAnsi"/>
          <w:i/>
          <w:sz w:val="20"/>
          <w:szCs w:val="20"/>
        </w:rPr>
      </w:pPr>
      <w:r w:rsidRPr="009131AB">
        <w:rPr>
          <w:rFonts w:asciiTheme="majorHAnsi" w:eastAsia="Calibri" w:hAnsiTheme="majorHAnsi" w:cstheme="majorHAnsi"/>
          <w:b/>
          <w:i/>
          <w:sz w:val="20"/>
          <w:szCs w:val="20"/>
        </w:rPr>
        <w:t>Sursa:</w:t>
      </w:r>
      <w:r>
        <w:rPr>
          <w:rFonts w:asciiTheme="majorHAnsi" w:eastAsia="Calibri" w:hAnsiTheme="majorHAnsi" w:cstheme="majorHAnsi"/>
          <w:i/>
          <w:sz w:val="20"/>
          <w:szCs w:val="20"/>
        </w:rPr>
        <w:t xml:space="preserve"> </w:t>
      </w:r>
      <w:r w:rsidRPr="009131AB">
        <w:rPr>
          <w:rFonts w:asciiTheme="majorHAnsi" w:eastAsia="Calibri" w:hAnsiTheme="majorHAnsi" w:cstheme="majorHAnsi"/>
          <w:i/>
          <w:sz w:val="20"/>
          <w:szCs w:val="20"/>
        </w:rPr>
        <w:t>Rapoartel</w:t>
      </w:r>
      <w:r>
        <w:rPr>
          <w:rFonts w:asciiTheme="majorHAnsi" w:eastAsia="Calibri" w:hAnsiTheme="majorHAnsi" w:cstheme="majorHAnsi"/>
          <w:i/>
          <w:sz w:val="20"/>
          <w:szCs w:val="20"/>
        </w:rPr>
        <w:t xml:space="preserve">e </w:t>
      </w:r>
      <w:r w:rsidRPr="009131AB">
        <w:rPr>
          <w:rFonts w:asciiTheme="majorHAnsi" w:eastAsia="Calibri" w:hAnsiTheme="majorHAnsi" w:cstheme="majorHAnsi"/>
          <w:i/>
          <w:sz w:val="20"/>
          <w:szCs w:val="20"/>
        </w:rPr>
        <w:t xml:space="preserve">privind </w:t>
      </w:r>
      <w:r w:rsidR="00BB0A7E">
        <w:rPr>
          <w:rFonts w:asciiTheme="majorHAnsi" w:eastAsia="Calibri" w:hAnsiTheme="majorHAnsi" w:cstheme="majorHAnsi"/>
          <w:i/>
          <w:sz w:val="20"/>
          <w:szCs w:val="20"/>
        </w:rPr>
        <w:t xml:space="preserve">situația în domeniul datoriei sectorului public, garanțiilor de stat și recreditării de stat pe anii </w:t>
      </w:r>
      <w:r w:rsidRPr="009131AB">
        <w:rPr>
          <w:rFonts w:asciiTheme="majorHAnsi" w:eastAsia="Calibri" w:hAnsiTheme="majorHAnsi" w:cstheme="majorHAnsi"/>
          <w:i/>
          <w:sz w:val="20"/>
          <w:szCs w:val="20"/>
        </w:rPr>
        <w:t>2018,</w:t>
      </w:r>
      <w:r w:rsidR="00BB0A7E">
        <w:rPr>
          <w:rFonts w:asciiTheme="majorHAnsi" w:eastAsia="Calibri" w:hAnsiTheme="majorHAnsi" w:cstheme="majorHAnsi"/>
          <w:i/>
          <w:sz w:val="20"/>
          <w:szCs w:val="20"/>
        </w:rPr>
        <w:t xml:space="preserve"> </w:t>
      </w:r>
      <w:r w:rsidRPr="009131AB">
        <w:rPr>
          <w:rFonts w:asciiTheme="majorHAnsi" w:eastAsia="Calibri" w:hAnsiTheme="majorHAnsi" w:cstheme="majorHAnsi"/>
          <w:i/>
          <w:sz w:val="20"/>
          <w:szCs w:val="20"/>
        </w:rPr>
        <w:t>2019 și</w:t>
      </w:r>
      <w:r w:rsidR="00BB0A7E">
        <w:rPr>
          <w:rFonts w:asciiTheme="majorHAnsi" w:eastAsia="Calibri" w:hAnsiTheme="majorHAnsi" w:cstheme="majorHAnsi"/>
          <w:i/>
          <w:sz w:val="20"/>
          <w:szCs w:val="20"/>
        </w:rPr>
        <w:t xml:space="preserve"> </w:t>
      </w:r>
      <w:r w:rsidRPr="009131AB">
        <w:rPr>
          <w:rFonts w:asciiTheme="majorHAnsi" w:eastAsia="Calibri" w:hAnsiTheme="majorHAnsi" w:cstheme="majorHAnsi"/>
          <w:i/>
          <w:sz w:val="20"/>
          <w:szCs w:val="20"/>
        </w:rPr>
        <w:t>2020</w:t>
      </w:r>
      <w:r w:rsidR="00BB0A7E">
        <w:rPr>
          <w:rFonts w:asciiTheme="majorHAnsi" w:eastAsia="Calibri" w:hAnsiTheme="majorHAnsi" w:cstheme="majorHAnsi"/>
          <w:i/>
          <w:sz w:val="20"/>
          <w:szCs w:val="20"/>
        </w:rPr>
        <w:t>.</w:t>
      </w:r>
    </w:p>
    <w:p w14:paraId="49DB50C7" w14:textId="77777777" w:rsidR="00E54478" w:rsidRPr="00E54478" w:rsidRDefault="00E54478" w:rsidP="00FB1205">
      <w:pPr>
        <w:pStyle w:val="af3"/>
        <w:spacing w:line="276" w:lineRule="auto"/>
        <w:jc w:val="both"/>
        <w:rPr>
          <w:rFonts w:ascii="Calibri Light" w:eastAsia="Calibri" w:hAnsi="Calibri Light" w:cs="Calibri Light"/>
          <w:b/>
          <w:sz w:val="24"/>
          <w:szCs w:val="24"/>
        </w:rPr>
      </w:pPr>
    </w:p>
    <w:p w14:paraId="7E756D5C" w14:textId="471CE78F" w:rsidR="00743BBE" w:rsidRPr="00864878" w:rsidRDefault="00E54478" w:rsidP="00FB1205">
      <w:pPr>
        <w:pStyle w:val="af3"/>
        <w:spacing w:after="240" w:line="276" w:lineRule="auto"/>
        <w:jc w:val="both"/>
        <w:rPr>
          <w:rFonts w:ascii="Calibri Light" w:eastAsia="Calibri" w:hAnsi="Calibri Light" w:cs="Calibri Light"/>
          <w:i/>
          <w:sz w:val="24"/>
          <w:szCs w:val="24"/>
        </w:rPr>
      </w:pPr>
      <w:r>
        <w:rPr>
          <w:rFonts w:ascii="Calibri Light" w:eastAsia="Calibri" w:hAnsi="Calibri Light" w:cs="Calibri Light"/>
          <w:sz w:val="24"/>
          <w:szCs w:val="24"/>
        </w:rPr>
        <w:lastRenderedPageBreak/>
        <w:t>Î</w:t>
      </w:r>
      <w:r w:rsidR="00E94CB9" w:rsidRPr="00F123AD">
        <w:rPr>
          <w:rFonts w:ascii="Calibri Light" w:eastAsia="Calibri" w:hAnsi="Calibri Light" w:cs="Calibri Light"/>
          <w:sz w:val="24"/>
          <w:szCs w:val="24"/>
        </w:rPr>
        <w:t xml:space="preserve">n aspectul creditorilor, debursările de împrumuturi externe </w:t>
      </w:r>
      <w:r w:rsidR="00E94CB9">
        <w:rPr>
          <w:rFonts w:ascii="Calibri Light" w:eastAsia="Calibri" w:hAnsi="Calibri Light" w:cs="Calibri Light"/>
          <w:sz w:val="24"/>
          <w:szCs w:val="24"/>
        </w:rPr>
        <w:t>au fost</w:t>
      </w:r>
      <w:r w:rsidR="00E94CB9" w:rsidRPr="00F123AD">
        <w:rPr>
          <w:rFonts w:ascii="Calibri Light" w:eastAsia="Calibri" w:hAnsi="Calibri Light" w:cs="Calibri Light"/>
          <w:sz w:val="24"/>
          <w:szCs w:val="24"/>
        </w:rPr>
        <w:t xml:space="preserve"> form</w:t>
      </w:r>
      <w:r w:rsidR="00E94CB9">
        <w:rPr>
          <w:rFonts w:ascii="Calibri Light" w:eastAsia="Calibri" w:hAnsi="Calibri Light" w:cs="Calibri Light"/>
          <w:sz w:val="24"/>
          <w:szCs w:val="24"/>
        </w:rPr>
        <w:t>ate</w:t>
      </w:r>
      <w:r w:rsidR="00E94CB9" w:rsidRPr="00F123AD">
        <w:rPr>
          <w:rFonts w:ascii="Calibri Light" w:eastAsia="Calibri" w:hAnsi="Calibri Light" w:cs="Calibri Light"/>
          <w:sz w:val="24"/>
          <w:szCs w:val="24"/>
        </w:rPr>
        <w:t xml:space="preserve"> din împrumuturile acordate de către FMI – 246,7 mil. dol. SUA (44,7%),  BEI – 89,9 mil. dol. SUA (16,3%), UE – 82</w:t>
      </w:r>
      <w:r w:rsidR="00E94CB9">
        <w:rPr>
          <w:rFonts w:ascii="Calibri Light" w:eastAsia="Calibri" w:hAnsi="Calibri Light" w:cs="Calibri Light"/>
          <w:sz w:val="24"/>
          <w:szCs w:val="24"/>
        </w:rPr>
        <w:t>,2 mil. dol. SUA (14,9%), IDA</w:t>
      </w:r>
      <w:r w:rsidR="00E94CB9" w:rsidRPr="00F123AD">
        <w:rPr>
          <w:rFonts w:ascii="Calibri Light" w:eastAsia="Calibri" w:hAnsi="Calibri Light" w:cs="Calibri Light"/>
          <w:sz w:val="24"/>
          <w:szCs w:val="24"/>
        </w:rPr>
        <w:t xml:space="preserve"> – 54,4 mil. dol. SUA (10,4%) etc</w:t>
      </w:r>
      <w:r w:rsidR="00864878">
        <w:rPr>
          <w:rFonts w:ascii="Calibri Light" w:eastAsia="Calibri" w:hAnsi="Calibri Light" w:cs="Calibri Light"/>
          <w:sz w:val="24"/>
          <w:szCs w:val="24"/>
        </w:rPr>
        <w:t>.</w:t>
      </w:r>
    </w:p>
    <w:p w14:paraId="3BB963E0" w14:textId="509B4F09" w:rsidR="005B26D0" w:rsidRPr="005B26D0" w:rsidRDefault="005B26D0" w:rsidP="00FB1205">
      <w:pPr>
        <w:spacing w:after="0" w:line="276" w:lineRule="auto"/>
        <w:jc w:val="both"/>
        <w:rPr>
          <w:rFonts w:cstheme="majorHAnsi"/>
          <w:b/>
          <w:i/>
          <w:color w:val="000000"/>
          <w:szCs w:val="24"/>
          <w:lang w:val="ro-MD"/>
        </w:rPr>
      </w:pPr>
      <w:r>
        <w:rPr>
          <w:rFonts w:cstheme="majorHAnsi"/>
          <w:b/>
          <w:i/>
          <w:color w:val="000000"/>
          <w:szCs w:val="24"/>
          <w:lang w:val="ro-MD"/>
        </w:rPr>
        <w:t>Ca și în anii precedenți, valorificarea resurselor externe de către unitățile de implementare a proiectelor finanțate di</w:t>
      </w:r>
      <w:r w:rsidR="00192344">
        <w:rPr>
          <w:rFonts w:cstheme="majorHAnsi"/>
          <w:b/>
          <w:i/>
          <w:color w:val="000000"/>
          <w:szCs w:val="24"/>
          <w:lang w:val="ro-MD"/>
        </w:rPr>
        <w:t>n surse externe continuă să rămâ</w:t>
      </w:r>
      <w:r>
        <w:rPr>
          <w:rFonts w:cstheme="majorHAnsi"/>
          <w:b/>
          <w:i/>
          <w:color w:val="000000"/>
          <w:szCs w:val="24"/>
          <w:lang w:val="ro-MD"/>
        </w:rPr>
        <w:t>nă la nivel redus.</w:t>
      </w:r>
    </w:p>
    <w:p w14:paraId="0230BE6F" w14:textId="39FF2DBC" w:rsidR="00CC3E1D" w:rsidRPr="00CC3E1D" w:rsidRDefault="00CC3E1D" w:rsidP="00FB1205">
      <w:pPr>
        <w:spacing w:after="240" w:line="276" w:lineRule="auto"/>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Verificările de audit asupra nivelului de debursare a împrumuturilor externe denotă nerespectarea de către instituțiile beneficiare a termenului de implementare a proiectelor, cauza principală fiind neîndeplinirea în termen a precondițiilor de debursare prevăzute în contractele de împrumut, restructurarea proiectelor sau modificarea componentelor acestora, procese îndelungate de achiziție, planificarea nerațională a timpului de executare a lucrărilor sau de prestare a serviciilor, executarea lentă a lucrărilor de către antreprenorii locali, situația epidemiolog</w:t>
      </w:r>
      <w:r w:rsidR="00110489">
        <w:rPr>
          <w:rFonts w:ascii="Calibri Light" w:eastAsia="Calibri" w:hAnsi="Calibri Light" w:cs="Calibri Light"/>
          <w:szCs w:val="24"/>
          <w:lang w:val="ro-MD"/>
        </w:rPr>
        <w:t>ică provocată de infecția COVID-19 și consecințele acesteia</w:t>
      </w:r>
      <w:r w:rsidRPr="00CC3E1D">
        <w:rPr>
          <w:rFonts w:ascii="Calibri Light" w:eastAsia="Calibri" w:hAnsi="Calibri Light" w:cs="Calibri Light"/>
          <w:szCs w:val="24"/>
          <w:lang w:val="ro-MD"/>
        </w:rPr>
        <w:t xml:space="preserve"> etc. </w:t>
      </w:r>
    </w:p>
    <w:p w14:paraId="23066B3D" w14:textId="623FB39B" w:rsidR="00CC3E1D" w:rsidRPr="00CC3E1D" w:rsidRDefault="00CC3E1D" w:rsidP="00FB1205">
      <w:pPr>
        <w:spacing w:after="240" w:line="276" w:lineRule="auto"/>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Referitor la împrumuturile cu un nivel redus de debursare la situația din 31.12.2020</w:t>
      </w:r>
      <w:r w:rsidR="0075534A">
        <w:rPr>
          <w:rFonts w:ascii="Calibri Light" w:eastAsia="Calibri" w:hAnsi="Calibri Light" w:cs="Calibri Light"/>
          <w:szCs w:val="24"/>
          <w:lang w:val="ro-MD"/>
        </w:rPr>
        <w:t>,</w:t>
      </w:r>
      <w:r w:rsidRPr="00CC3E1D">
        <w:rPr>
          <w:rFonts w:ascii="Calibri Light" w:eastAsia="Calibri" w:hAnsi="Calibri Light" w:cs="Calibri Light"/>
          <w:szCs w:val="24"/>
          <w:lang w:val="ro-MD"/>
        </w:rPr>
        <w:t xml:space="preserve"> auditul evidențiază 36 de împrumuturi la care sunt înregistrate sume nedebursate, a căror valoare ar putea fi estimată la 11,67 mil. dol. SUA, 866,46 mil. euro, 2 059 mil. yeni japonezi și 67,92 mil. DST.</w:t>
      </w:r>
    </w:p>
    <w:p w14:paraId="132A1763" w14:textId="77777777" w:rsidR="004413AD" w:rsidRPr="00CC3E1D" w:rsidRDefault="004413AD" w:rsidP="004413AD">
      <w:pPr>
        <w:spacing w:after="0" w:line="276" w:lineRule="auto"/>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Astfel, din 36 de împrumuturi la care sunt înregistrate sume nedebursate:</w:t>
      </w:r>
    </w:p>
    <w:p w14:paraId="50CFF8D2" w14:textId="3E9A1636" w:rsidR="004413AD" w:rsidRPr="00CC3E1D" w:rsidRDefault="005008C8" w:rsidP="004413AD">
      <w:pPr>
        <w:numPr>
          <w:ilvl w:val="1"/>
          <w:numId w:val="1"/>
        </w:numPr>
        <w:spacing w:after="0" w:line="276" w:lineRule="auto"/>
        <w:ind w:left="0" w:firstLine="0"/>
        <w:jc w:val="both"/>
        <w:rPr>
          <w:rFonts w:ascii="Calibri Light" w:eastAsia="Calibri" w:hAnsi="Calibri Light" w:cs="Calibri Light"/>
          <w:szCs w:val="24"/>
          <w:lang w:val="ro-MD"/>
        </w:rPr>
      </w:pPr>
      <w:r>
        <w:rPr>
          <w:rFonts w:ascii="Calibri Light" w:eastAsia="Calibri" w:hAnsi="Calibri Light" w:cs="Calibri Light"/>
          <w:szCs w:val="24"/>
          <w:lang w:val="ro-MD"/>
        </w:rPr>
        <w:t>2</w:t>
      </w:r>
      <w:r w:rsidR="004413AD" w:rsidRPr="00CC3E1D">
        <w:rPr>
          <w:rFonts w:ascii="Calibri Light" w:eastAsia="Calibri" w:hAnsi="Calibri Light" w:cs="Calibri Light"/>
          <w:szCs w:val="24"/>
          <w:lang w:val="ro-MD"/>
        </w:rPr>
        <w:t xml:space="preserve"> împrumuturi sunt cu termenul de debursare expirat, iar suma nedebursată a acestora constituie circa </w:t>
      </w:r>
      <w:r w:rsidR="004413AD">
        <w:rPr>
          <w:rFonts w:ascii="Calibri Light" w:eastAsia="Calibri" w:hAnsi="Calibri Light" w:cs="Calibri Light"/>
          <w:szCs w:val="24"/>
          <w:lang w:val="ro-MD"/>
        </w:rPr>
        <w:t>21</w:t>
      </w:r>
      <w:r w:rsidR="004413AD" w:rsidRPr="00CC3E1D">
        <w:rPr>
          <w:rFonts w:ascii="Calibri Light" w:eastAsia="Calibri" w:hAnsi="Calibri Light" w:cs="Calibri Light"/>
          <w:szCs w:val="24"/>
          <w:lang w:val="ro-MD"/>
        </w:rPr>
        <w:t>,</w:t>
      </w:r>
      <w:r w:rsidR="004413AD">
        <w:rPr>
          <w:rFonts w:ascii="Calibri Light" w:eastAsia="Calibri" w:hAnsi="Calibri Light" w:cs="Calibri Light"/>
          <w:szCs w:val="24"/>
          <w:lang w:val="ro-MD"/>
        </w:rPr>
        <w:t>5</w:t>
      </w:r>
      <w:r w:rsidR="004413AD" w:rsidRPr="00CC3E1D">
        <w:rPr>
          <w:rFonts w:ascii="Calibri Light" w:eastAsia="Calibri" w:hAnsi="Calibri Light" w:cs="Calibri Light"/>
          <w:szCs w:val="24"/>
          <w:lang w:val="ro-MD"/>
        </w:rPr>
        <w:t xml:space="preserve"> mil. </w:t>
      </w:r>
      <w:r w:rsidR="00FE29C8">
        <w:rPr>
          <w:rFonts w:ascii="Calibri Light" w:eastAsia="Calibri" w:hAnsi="Calibri Light" w:cs="Calibri Light"/>
          <w:szCs w:val="24"/>
          <w:lang w:val="ro-MD"/>
        </w:rPr>
        <w:t>E</w:t>
      </w:r>
      <w:r w:rsidR="004413AD" w:rsidRPr="00CC3E1D">
        <w:rPr>
          <w:rFonts w:ascii="Calibri Light" w:eastAsia="Calibri" w:hAnsi="Calibri Light" w:cs="Calibri Light"/>
          <w:szCs w:val="24"/>
          <w:lang w:val="ro-MD"/>
        </w:rPr>
        <w:t>uro</w:t>
      </w:r>
      <w:r w:rsidR="00FE29C8">
        <w:rPr>
          <w:rFonts w:ascii="Calibri Light" w:eastAsia="Calibri" w:hAnsi="Calibri Light" w:cs="Calibri Light"/>
          <w:szCs w:val="24"/>
          <w:lang w:val="ro-MD"/>
        </w:rPr>
        <w:t>;</w:t>
      </w:r>
    </w:p>
    <w:p w14:paraId="5589718C" w14:textId="6ABC4C63" w:rsidR="004413AD" w:rsidRPr="00CC3E1D" w:rsidRDefault="004413AD" w:rsidP="004413AD">
      <w:pPr>
        <w:numPr>
          <w:ilvl w:val="1"/>
          <w:numId w:val="1"/>
        </w:numPr>
        <w:spacing w:after="0" w:line="276" w:lineRule="auto"/>
        <w:ind w:left="0" w:firstLine="0"/>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 xml:space="preserve">11 împrumuturi au termenul de debursare care expiră în anul 2021. Valoarea sumelor nedebursate se estimează la </w:t>
      </w:r>
      <w:r>
        <w:rPr>
          <w:rFonts w:ascii="Calibri Light" w:eastAsia="Calibri" w:hAnsi="Calibri Light" w:cs="Calibri Light"/>
          <w:szCs w:val="24"/>
          <w:lang w:val="ro-MD"/>
        </w:rPr>
        <w:t>241,48</w:t>
      </w:r>
      <w:r w:rsidRPr="00CC3E1D">
        <w:rPr>
          <w:rFonts w:ascii="Calibri Light" w:eastAsia="Calibri" w:hAnsi="Calibri Light" w:cs="Calibri Light"/>
          <w:szCs w:val="24"/>
          <w:lang w:val="ro-MD"/>
        </w:rPr>
        <w:t xml:space="preserve"> mil. </w:t>
      </w:r>
      <w:r w:rsidR="0075534A">
        <w:rPr>
          <w:rFonts w:ascii="Calibri Light" w:eastAsia="Calibri" w:hAnsi="Calibri Light" w:cs="Calibri Light"/>
          <w:szCs w:val="24"/>
          <w:lang w:val="ro-MD"/>
        </w:rPr>
        <w:t>E</w:t>
      </w:r>
      <w:r w:rsidRPr="00CC3E1D">
        <w:rPr>
          <w:rFonts w:ascii="Calibri Light" w:eastAsia="Calibri" w:hAnsi="Calibri Light" w:cs="Calibri Light"/>
          <w:szCs w:val="24"/>
          <w:lang w:val="ro-MD"/>
        </w:rPr>
        <w:t xml:space="preserve">uro și </w:t>
      </w:r>
      <w:r>
        <w:rPr>
          <w:rFonts w:ascii="Calibri Light" w:eastAsia="Calibri" w:hAnsi="Calibri Light" w:cs="Calibri Light"/>
          <w:szCs w:val="24"/>
          <w:lang w:val="ro-MD"/>
        </w:rPr>
        <w:t>10</w:t>
      </w:r>
      <w:r w:rsidRPr="00CC3E1D">
        <w:rPr>
          <w:rFonts w:ascii="Calibri Light" w:eastAsia="Calibri" w:hAnsi="Calibri Light" w:cs="Calibri Light"/>
          <w:szCs w:val="24"/>
          <w:lang w:val="ro-MD"/>
        </w:rPr>
        <w:t>,</w:t>
      </w:r>
      <w:r>
        <w:rPr>
          <w:rFonts w:ascii="Calibri Light" w:eastAsia="Calibri" w:hAnsi="Calibri Light" w:cs="Calibri Light"/>
          <w:szCs w:val="24"/>
          <w:lang w:val="ro-MD"/>
        </w:rPr>
        <w:t>91</w:t>
      </w:r>
      <w:r w:rsidRPr="00CC3E1D">
        <w:rPr>
          <w:rFonts w:ascii="Calibri Light" w:eastAsia="Calibri" w:hAnsi="Calibri Light" w:cs="Calibri Light"/>
          <w:szCs w:val="24"/>
          <w:lang w:val="ro-MD"/>
        </w:rPr>
        <w:t xml:space="preserve"> mil. DST;</w:t>
      </w:r>
    </w:p>
    <w:p w14:paraId="14D5D8DC" w14:textId="641015E0" w:rsidR="004413AD" w:rsidRPr="00CC3E1D" w:rsidRDefault="004413AD" w:rsidP="004413AD">
      <w:pPr>
        <w:numPr>
          <w:ilvl w:val="1"/>
          <w:numId w:val="1"/>
        </w:numPr>
        <w:spacing w:after="240" w:line="276" w:lineRule="auto"/>
        <w:ind w:left="0" w:firstLine="0"/>
        <w:jc w:val="both"/>
        <w:rPr>
          <w:rFonts w:ascii="Calibri Light" w:eastAsia="Calibri" w:hAnsi="Calibri Light" w:cs="Calibri Light"/>
          <w:szCs w:val="24"/>
          <w:lang w:val="ro-MD"/>
        </w:rPr>
      </w:pPr>
      <w:r>
        <w:rPr>
          <w:rFonts w:ascii="Calibri Light" w:eastAsia="Calibri" w:hAnsi="Calibri Light" w:cs="Calibri Light"/>
          <w:szCs w:val="24"/>
          <w:lang w:val="ro-MD"/>
        </w:rPr>
        <w:t>2</w:t>
      </w:r>
      <w:r w:rsidR="005008C8">
        <w:rPr>
          <w:rFonts w:ascii="Calibri Light" w:eastAsia="Calibri" w:hAnsi="Calibri Light" w:cs="Calibri Light"/>
          <w:szCs w:val="24"/>
          <w:lang w:val="ro-MD"/>
        </w:rPr>
        <w:t>3</w:t>
      </w:r>
      <w:r w:rsidRPr="00CC3E1D">
        <w:rPr>
          <w:rFonts w:ascii="Calibri Light" w:eastAsia="Calibri" w:hAnsi="Calibri Light" w:cs="Calibri Light"/>
          <w:szCs w:val="24"/>
          <w:lang w:val="ro-MD"/>
        </w:rPr>
        <w:t xml:space="preserve"> </w:t>
      </w:r>
      <w:r w:rsidR="0075534A">
        <w:rPr>
          <w:rFonts w:ascii="Calibri Light" w:eastAsia="Calibri" w:hAnsi="Calibri Light" w:cs="Calibri Light"/>
          <w:szCs w:val="24"/>
          <w:lang w:val="ro-MD"/>
        </w:rPr>
        <w:t xml:space="preserve">de </w:t>
      </w:r>
      <w:r w:rsidRPr="00CC3E1D">
        <w:rPr>
          <w:rFonts w:ascii="Calibri Light" w:eastAsia="Calibri" w:hAnsi="Calibri Light" w:cs="Calibri Light"/>
          <w:szCs w:val="24"/>
          <w:lang w:val="ro-MD"/>
        </w:rPr>
        <w:t>împrumuturi au data limită de tragere în anii 2022-2024, la situația din 31.12.2020 suma nedebursată constitui</w:t>
      </w:r>
      <w:r w:rsidR="00FE29C8">
        <w:rPr>
          <w:rFonts w:ascii="Calibri Light" w:eastAsia="Calibri" w:hAnsi="Calibri Light" w:cs="Calibri Light"/>
          <w:szCs w:val="24"/>
          <w:lang w:val="ro-MD"/>
        </w:rPr>
        <w:t>a</w:t>
      </w:r>
      <w:r w:rsidRPr="00CC3E1D">
        <w:rPr>
          <w:rFonts w:ascii="Calibri Light" w:eastAsia="Calibri" w:hAnsi="Calibri Light" w:cs="Calibri Light"/>
          <w:szCs w:val="24"/>
          <w:lang w:val="ro-MD"/>
        </w:rPr>
        <w:t xml:space="preserve"> circa 11,67 mil. dol. SUA, </w:t>
      </w:r>
      <w:r>
        <w:rPr>
          <w:rFonts w:ascii="Calibri Light" w:eastAsia="Calibri" w:hAnsi="Calibri Light" w:cs="Calibri Light"/>
          <w:szCs w:val="24"/>
          <w:lang w:val="ro-MD"/>
        </w:rPr>
        <w:t>603</w:t>
      </w:r>
      <w:r w:rsidRPr="00CC3E1D">
        <w:rPr>
          <w:rFonts w:ascii="Calibri Light" w:eastAsia="Calibri" w:hAnsi="Calibri Light" w:cs="Calibri Light"/>
          <w:szCs w:val="24"/>
          <w:lang w:val="ro-MD"/>
        </w:rPr>
        <w:t>,</w:t>
      </w:r>
      <w:r>
        <w:rPr>
          <w:rFonts w:ascii="Calibri Light" w:eastAsia="Calibri" w:hAnsi="Calibri Light" w:cs="Calibri Light"/>
          <w:szCs w:val="24"/>
          <w:lang w:val="ro-MD"/>
        </w:rPr>
        <w:t>48</w:t>
      </w:r>
      <w:r w:rsidRPr="00CC3E1D">
        <w:rPr>
          <w:rFonts w:ascii="Calibri Light" w:eastAsia="Calibri" w:hAnsi="Calibri Light" w:cs="Calibri Light"/>
          <w:szCs w:val="24"/>
          <w:lang w:val="ro-MD"/>
        </w:rPr>
        <w:t xml:space="preserve"> mil. </w:t>
      </w:r>
      <w:r w:rsidR="00FE29C8">
        <w:rPr>
          <w:rFonts w:ascii="Calibri Light" w:eastAsia="Calibri" w:hAnsi="Calibri Light" w:cs="Calibri Light"/>
          <w:szCs w:val="24"/>
          <w:lang w:val="ro-MD"/>
        </w:rPr>
        <w:t>E</w:t>
      </w:r>
      <w:r w:rsidRPr="00CC3E1D">
        <w:rPr>
          <w:rFonts w:ascii="Calibri Light" w:eastAsia="Calibri" w:hAnsi="Calibri Light" w:cs="Calibri Light"/>
          <w:szCs w:val="24"/>
          <w:lang w:val="ro-MD"/>
        </w:rPr>
        <w:t xml:space="preserve">uro, </w:t>
      </w:r>
      <w:r w:rsidR="00AE7B4B">
        <w:rPr>
          <w:rFonts w:ascii="Calibri Light" w:eastAsia="Calibri" w:hAnsi="Calibri Light" w:cs="Calibri Light"/>
          <w:szCs w:val="24"/>
          <w:lang w:val="ro-MD"/>
        </w:rPr>
        <w:t>57</w:t>
      </w:r>
      <w:r w:rsidRPr="00CC3E1D">
        <w:rPr>
          <w:rFonts w:ascii="Calibri Light" w:eastAsia="Calibri" w:hAnsi="Calibri Light" w:cs="Calibri Light"/>
          <w:szCs w:val="24"/>
          <w:lang w:val="ro-MD"/>
        </w:rPr>
        <w:t>,</w:t>
      </w:r>
      <w:r w:rsidR="00AE7B4B">
        <w:rPr>
          <w:rFonts w:ascii="Calibri Light" w:eastAsia="Calibri" w:hAnsi="Calibri Light" w:cs="Calibri Light"/>
          <w:szCs w:val="24"/>
          <w:lang w:val="ro-MD"/>
        </w:rPr>
        <w:t>01</w:t>
      </w:r>
      <w:r w:rsidRPr="00CC3E1D">
        <w:rPr>
          <w:rFonts w:ascii="Calibri Light" w:eastAsia="Calibri" w:hAnsi="Calibri Light" w:cs="Calibri Light"/>
          <w:szCs w:val="24"/>
          <w:lang w:val="ro-MD"/>
        </w:rPr>
        <w:t xml:space="preserve"> mil. DST și 2 059 mil. yeni japonezi.</w:t>
      </w:r>
    </w:p>
    <w:p w14:paraId="77470BB1" w14:textId="77777777" w:rsidR="00CC3E1D" w:rsidRPr="00CC3E1D" w:rsidRDefault="00CC3E1D" w:rsidP="007D7820">
      <w:pPr>
        <w:spacing w:after="0" w:line="276" w:lineRule="auto"/>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Debursarea împrumuturilor în aspectul nivelului de valorificare indică că, din 36 de împrumuturi la care sunt înregistrate sume nedebursate:</w:t>
      </w:r>
    </w:p>
    <w:p w14:paraId="7B987ED5" w14:textId="77777777" w:rsidR="00CC3E1D" w:rsidRPr="00CC3E1D" w:rsidRDefault="00CC3E1D" w:rsidP="007D7820">
      <w:pPr>
        <w:numPr>
          <w:ilvl w:val="0"/>
          <w:numId w:val="5"/>
        </w:numPr>
        <w:spacing w:after="0" w:line="276" w:lineRule="auto"/>
        <w:ind w:left="0" w:firstLine="0"/>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la 4 împrumuturi contractate nu au fost deloc efectuate trageri:</w:t>
      </w:r>
    </w:p>
    <w:p w14:paraId="2F4905B3" w14:textId="4F1D610A" w:rsidR="00CC3E1D" w:rsidRPr="00CC3E1D" w:rsidRDefault="00CC3E1D" w:rsidP="007D7820">
      <w:pPr>
        <w:numPr>
          <w:ilvl w:val="0"/>
          <w:numId w:val="5"/>
        </w:numPr>
        <w:spacing w:after="0" w:line="276" w:lineRule="auto"/>
        <w:ind w:left="0" w:firstLine="0"/>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5 împrumutur</w:t>
      </w:r>
      <w:r w:rsidR="00FE29C8">
        <w:rPr>
          <w:rFonts w:ascii="Calibri Light" w:eastAsia="Calibri" w:hAnsi="Calibri Light" w:cs="Calibri Light"/>
          <w:szCs w:val="24"/>
          <w:lang w:val="ro-MD"/>
        </w:rPr>
        <w:t>i au un nivel de debursare de pâ</w:t>
      </w:r>
      <w:r w:rsidRPr="00CC3E1D">
        <w:rPr>
          <w:rFonts w:ascii="Calibri Light" w:eastAsia="Calibri" w:hAnsi="Calibri Light" w:cs="Calibri Light"/>
          <w:szCs w:val="24"/>
          <w:lang w:val="ro-MD"/>
        </w:rPr>
        <w:t>nă la 2%:</w:t>
      </w:r>
    </w:p>
    <w:p w14:paraId="09039B40" w14:textId="77777777" w:rsidR="00CC3E1D" w:rsidRPr="00CC3E1D" w:rsidRDefault="00CC3E1D" w:rsidP="007D7820">
      <w:pPr>
        <w:numPr>
          <w:ilvl w:val="0"/>
          <w:numId w:val="5"/>
        </w:numPr>
        <w:spacing w:after="0" w:line="276" w:lineRule="auto"/>
        <w:ind w:left="0" w:firstLine="0"/>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3 împrumuturi au un nivel de debursare de 2-15%;</w:t>
      </w:r>
    </w:p>
    <w:p w14:paraId="6A6798F9" w14:textId="77777777" w:rsidR="00CC3E1D" w:rsidRPr="00CC3E1D" w:rsidRDefault="00CC3E1D" w:rsidP="007D7820">
      <w:pPr>
        <w:numPr>
          <w:ilvl w:val="0"/>
          <w:numId w:val="5"/>
        </w:numPr>
        <w:spacing w:after="0" w:line="276" w:lineRule="auto"/>
        <w:ind w:left="0" w:firstLine="0"/>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lastRenderedPageBreak/>
        <w:t>6 împrumuturi au nivelul de debursare de 15%-30%;</w:t>
      </w:r>
    </w:p>
    <w:p w14:paraId="2364878A" w14:textId="77777777" w:rsidR="00CC3E1D" w:rsidRPr="00CC3E1D" w:rsidRDefault="00CC3E1D" w:rsidP="007D7820">
      <w:pPr>
        <w:numPr>
          <w:ilvl w:val="0"/>
          <w:numId w:val="5"/>
        </w:numPr>
        <w:spacing w:after="0" w:line="276" w:lineRule="auto"/>
        <w:ind w:left="0" w:firstLine="0"/>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7 împrumuturi au nivelul de debursare de 30%-60%;</w:t>
      </w:r>
    </w:p>
    <w:p w14:paraId="62B06F01" w14:textId="77777777" w:rsidR="00CC3E1D" w:rsidRPr="00CC3E1D" w:rsidRDefault="00CC3E1D" w:rsidP="007D7820">
      <w:pPr>
        <w:numPr>
          <w:ilvl w:val="0"/>
          <w:numId w:val="5"/>
        </w:numPr>
        <w:spacing w:after="0" w:line="276" w:lineRule="auto"/>
        <w:ind w:left="0" w:firstLine="0"/>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4 împrumuturi au nivelul de debursare de 60%-75%;</w:t>
      </w:r>
    </w:p>
    <w:p w14:paraId="259F6A35" w14:textId="77777777" w:rsidR="00CC3E1D" w:rsidRPr="00CC3E1D" w:rsidRDefault="00CC3E1D" w:rsidP="007D7820">
      <w:pPr>
        <w:numPr>
          <w:ilvl w:val="0"/>
          <w:numId w:val="5"/>
        </w:numPr>
        <w:spacing w:line="276" w:lineRule="auto"/>
        <w:ind w:left="0" w:firstLine="0"/>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7 împrumuturi au un nivel de debursare mai mare de 75%.</w:t>
      </w:r>
    </w:p>
    <w:p w14:paraId="4345DA93" w14:textId="15696A05" w:rsidR="00D048A5" w:rsidRPr="00D048A5" w:rsidRDefault="00D048A5" w:rsidP="00D048A5">
      <w:pPr>
        <w:spacing w:after="0" w:line="276" w:lineRule="auto"/>
        <w:jc w:val="both"/>
        <w:rPr>
          <w:rFonts w:ascii="Calibri Light" w:eastAsia="Calibri" w:hAnsi="Calibri Light" w:cs="Calibri Light"/>
          <w:szCs w:val="24"/>
          <w:lang w:val="ro-MD"/>
        </w:rPr>
      </w:pPr>
      <w:r w:rsidRPr="00D048A5">
        <w:rPr>
          <w:rFonts w:ascii="Calibri Light" w:eastAsia="Calibri" w:hAnsi="Calibri Light" w:cs="Calibri Light"/>
          <w:szCs w:val="24"/>
          <w:lang w:val="ro-MD"/>
        </w:rPr>
        <w:t xml:space="preserve">De asemenea, verificările de audit denotă că debursarea unor împrumuturi are loc cu întârziere, iar achitarea comisioanelor prevăzute în acordurile de împrumut se efectuează din suma contractată și/sau nedebursată a împrumutului, ca rezultat fiind generate cheltuieli suplimentare în buget. Astfel, în anii 2010-2020, pentru împrumuturile menționate (36 </w:t>
      </w:r>
      <w:r w:rsidR="00ED2CB3">
        <w:rPr>
          <w:rFonts w:ascii="Calibri Light" w:eastAsia="Calibri" w:hAnsi="Calibri Light" w:cs="Calibri Light"/>
          <w:szCs w:val="24"/>
          <w:lang w:val="ro-MD"/>
        </w:rPr>
        <w:t xml:space="preserve">de </w:t>
      </w:r>
      <w:r w:rsidRPr="00D048A5">
        <w:rPr>
          <w:rFonts w:ascii="Calibri Light" w:eastAsia="Calibri" w:hAnsi="Calibri Light" w:cs="Calibri Light"/>
          <w:szCs w:val="24"/>
          <w:lang w:val="ro-MD"/>
        </w:rPr>
        <w:t>împrumuturi) au fost achitate comisioane în sumă totală de circa 14,78 mil. dol. SUA, dintre care în anul 2020 au fost achitate circa 1,63 mil. dol. SUA. În acest context, auditul evidențiază 3 împrumutu</w:t>
      </w:r>
      <w:r w:rsidR="00ED2CB3">
        <w:rPr>
          <w:rFonts w:ascii="Calibri Light" w:eastAsia="Calibri" w:hAnsi="Calibri Light" w:cs="Calibri Light"/>
          <w:szCs w:val="24"/>
          <w:lang w:val="ro-MD"/>
        </w:rPr>
        <w:t>ri cu nivelul de debursare de pâ</w:t>
      </w:r>
      <w:r w:rsidRPr="00D048A5">
        <w:rPr>
          <w:rFonts w:ascii="Calibri Light" w:eastAsia="Calibri" w:hAnsi="Calibri Light" w:cs="Calibri Light"/>
          <w:szCs w:val="24"/>
          <w:lang w:val="ro-MD"/>
        </w:rPr>
        <w:t xml:space="preserve">nă la 2%, dar pentru care au fost achitate comisioane:  </w:t>
      </w:r>
    </w:p>
    <w:p w14:paraId="69DF18DC" w14:textId="6CF0685B" w:rsidR="00D048A5" w:rsidRPr="00D048A5" w:rsidRDefault="00D048A5" w:rsidP="00D048A5">
      <w:pPr>
        <w:spacing w:after="0" w:line="276" w:lineRule="auto"/>
        <w:jc w:val="both"/>
        <w:rPr>
          <w:rFonts w:ascii="Calibri Light" w:eastAsia="Calibri" w:hAnsi="Calibri Light" w:cs="Calibri Light"/>
          <w:szCs w:val="24"/>
          <w:lang w:val="ro-MD"/>
        </w:rPr>
      </w:pPr>
      <w:r w:rsidRPr="00D048A5">
        <w:rPr>
          <w:rFonts w:ascii="Calibri Light" w:eastAsia="Calibri" w:hAnsi="Calibri Light" w:cs="Calibri Light"/>
          <w:szCs w:val="24"/>
          <w:lang w:val="ro-MD"/>
        </w:rPr>
        <w:t xml:space="preserve">-  împrumutul contractat de la BERD în anul 2017 pentru realizarea proiectului „Interconectarea rețelelor de energie electrică dintre RM și România” în sumă de 80,0 mil. </w:t>
      </w:r>
      <w:r w:rsidR="00ED2CB3">
        <w:rPr>
          <w:rFonts w:ascii="Calibri Light" w:eastAsia="Calibri" w:hAnsi="Calibri Light" w:cs="Calibri Light"/>
          <w:szCs w:val="24"/>
          <w:lang w:val="ro-MD"/>
        </w:rPr>
        <w:t>E</w:t>
      </w:r>
      <w:r w:rsidRPr="00D048A5">
        <w:rPr>
          <w:rFonts w:ascii="Calibri Light" w:eastAsia="Calibri" w:hAnsi="Calibri Light" w:cs="Calibri Light"/>
          <w:szCs w:val="24"/>
          <w:lang w:val="ro-MD"/>
        </w:rPr>
        <w:t xml:space="preserve">uro, din cadrul căruia, la situația din 31.12.2020, au fost debursate 0,48 mil. </w:t>
      </w:r>
      <w:r w:rsidR="00ED2CB3">
        <w:rPr>
          <w:rFonts w:ascii="Calibri Light" w:eastAsia="Calibri" w:hAnsi="Calibri Light" w:cs="Calibri Light"/>
          <w:szCs w:val="24"/>
          <w:lang w:val="ro-MD"/>
        </w:rPr>
        <w:t>Euro sau 0,6%, i</w:t>
      </w:r>
      <w:r w:rsidRPr="00D048A5">
        <w:rPr>
          <w:rFonts w:ascii="Calibri Light" w:eastAsia="Calibri" w:hAnsi="Calibri Light" w:cs="Calibri Light"/>
          <w:szCs w:val="24"/>
          <w:lang w:val="ro-MD"/>
        </w:rPr>
        <w:t>ar suma comisioanelor achitate către creditor a constituit</w:t>
      </w:r>
      <w:r w:rsidR="00C7321E">
        <w:rPr>
          <w:rFonts w:ascii="Calibri Light" w:eastAsia="Calibri" w:hAnsi="Calibri Light" w:cs="Calibri Light"/>
          <w:szCs w:val="24"/>
          <w:lang w:val="ro-MD"/>
        </w:rPr>
        <w:t xml:space="preserve"> aproximativ 2,12 mil. dol. SUA</w:t>
      </w:r>
      <w:r w:rsidRPr="00D048A5">
        <w:rPr>
          <w:rFonts w:ascii="Calibri Light" w:eastAsia="Calibri" w:hAnsi="Calibri Light" w:cs="Calibri Light"/>
          <w:szCs w:val="24"/>
          <w:lang w:val="ro-MD"/>
        </w:rPr>
        <w:t xml:space="preserve">; </w:t>
      </w:r>
    </w:p>
    <w:p w14:paraId="2EC9997F" w14:textId="0C458C19" w:rsidR="00D048A5" w:rsidRPr="00D048A5" w:rsidRDefault="00D048A5" w:rsidP="008634C8">
      <w:pPr>
        <w:spacing w:after="0" w:line="276" w:lineRule="auto"/>
        <w:jc w:val="both"/>
        <w:rPr>
          <w:rFonts w:ascii="Calibri Light" w:eastAsia="Calibri" w:hAnsi="Calibri Light" w:cs="Calibri Light"/>
          <w:szCs w:val="24"/>
          <w:lang w:val="ro-MD"/>
        </w:rPr>
      </w:pPr>
      <w:r w:rsidRPr="00D048A5">
        <w:rPr>
          <w:rFonts w:ascii="Calibri Light" w:eastAsia="Calibri" w:hAnsi="Calibri Light" w:cs="Calibri Light"/>
          <w:szCs w:val="24"/>
          <w:lang w:val="ro-MD"/>
        </w:rPr>
        <w:t xml:space="preserve">- împrumutul contractat de la BIRD în anul 2016  pentru realizarea proiectului „Modernizarea administrației fiscale” în sumă de 11,1 mil. </w:t>
      </w:r>
      <w:r w:rsidR="002F5929">
        <w:rPr>
          <w:rFonts w:ascii="Calibri Light" w:eastAsia="Calibri" w:hAnsi="Calibri Light" w:cs="Calibri Light"/>
          <w:szCs w:val="24"/>
          <w:lang w:val="ro-MD"/>
        </w:rPr>
        <w:t>E</w:t>
      </w:r>
      <w:r w:rsidRPr="00D048A5">
        <w:rPr>
          <w:rFonts w:ascii="Calibri Light" w:eastAsia="Calibri" w:hAnsi="Calibri Light" w:cs="Calibri Light"/>
          <w:szCs w:val="24"/>
          <w:lang w:val="ro-MD"/>
        </w:rPr>
        <w:t>uro, din cadrul căruia nu au avut loc debursări, iar comisioanele achitate au constituit aproximativ 0,18 mil. dol. SUA;</w:t>
      </w:r>
    </w:p>
    <w:p w14:paraId="673A5191" w14:textId="37D45039" w:rsidR="008634C8" w:rsidRDefault="00D048A5" w:rsidP="008634C8">
      <w:pPr>
        <w:spacing w:line="276" w:lineRule="auto"/>
        <w:jc w:val="both"/>
        <w:rPr>
          <w:rFonts w:ascii="Calibri Light" w:eastAsia="Calibri" w:hAnsi="Calibri Light" w:cs="Calibri Light"/>
          <w:szCs w:val="24"/>
          <w:lang w:val="ro-MD"/>
        </w:rPr>
      </w:pPr>
      <w:r w:rsidRPr="00D048A5">
        <w:rPr>
          <w:rFonts w:ascii="Calibri Light" w:eastAsia="Calibri" w:hAnsi="Calibri Light" w:cs="Calibri Light"/>
          <w:szCs w:val="24"/>
          <w:lang w:val="ro-MD"/>
        </w:rPr>
        <w:t xml:space="preserve">-  împrumutul contractat de la IDA în anul 2019 pentru realizarea proiectului „Dezvoltare a sistemului electroenergetic” în sumă de 13,1 mil. euro, din cadrul căruia la fel nu au avut loc debursări, iar comisioanele achitate au constituit aproximativ 0,07 mil. dol. SUA. </w:t>
      </w:r>
    </w:p>
    <w:p w14:paraId="0C7B6C11" w14:textId="7D10AAD1" w:rsidR="00CC3E1D" w:rsidRPr="00CC3E1D" w:rsidRDefault="00CC3E1D" w:rsidP="008634C8">
      <w:pPr>
        <w:spacing w:line="276" w:lineRule="auto"/>
        <w:jc w:val="both"/>
        <w:rPr>
          <w:rFonts w:ascii="Calibri Light" w:eastAsia="Calibri" w:hAnsi="Calibri Light" w:cs="Calibri Light"/>
          <w:szCs w:val="24"/>
          <w:lang w:val="ro-MD"/>
        </w:rPr>
      </w:pPr>
      <w:r w:rsidRPr="00CC3E1D">
        <w:rPr>
          <w:rFonts w:ascii="Calibri Light" w:eastAsia="Calibri" w:hAnsi="Calibri Light" w:cs="Calibri Light"/>
          <w:szCs w:val="24"/>
          <w:lang w:val="ro-MD"/>
        </w:rPr>
        <w:t>Unul din</w:t>
      </w:r>
      <w:r w:rsidR="002F5929">
        <w:rPr>
          <w:rFonts w:ascii="Calibri Light" w:eastAsia="Calibri" w:hAnsi="Calibri Light" w:cs="Calibri Light"/>
          <w:szCs w:val="24"/>
          <w:lang w:val="ro-MD"/>
        </w:rPr>
        <w:t>tre</w:t>
      </w:r>
      <w:r w:rsidRPr="00CC3E1D">
        <w:rPr>
          <w:rFonts w:ascii="Calibri Light" w:eastAsia="Calibri" w:hAnsi="Calibri Light" w:cs="Calibri Light"/>
          <w:szCs w:val="24"/>
          <w:lang w:val="ro-MD"/>
        </w:rPr>
        <w:t xml:space="preserve"> obiectivele specifice privind gestionarea datoriei de stat, stabilite în Programul „Managementul datoriei de stat pe termen mediu (2020-2022)</w:t>
      </w:r>
      <w:r w:rsidR="003E4656">
        <w:rPr>
          <w:rFonts w:ascii="Calibri Light" w:eastAsia="Calibri" w:hAnsi="Calibri Light" w:cs="Calibri Light"/>
          <w:szCs w:val="24"/>
          <w:lang w:val="ro-MD"/>
        </w:rPr>
        <w:t>”</w:t>
      </w:r>
      <w:r w:rsidRPr="00CC3E1D">
        <w:rPr>
          <w:rFonts w:ascii="Calibri Light" w:eastAsia="Calibri" w:hAnsi="Calibri Light" w:cs="Calibri Light"/>
          <w:szCs w:val="24"/>
          <w:lang w:val="ro-MD"/>
        </w:rPr>
        <w:t xml:space="preserve"> este și contractare</w:t>
      </w:r>
      <w:r w:rsidR="003E4656">
        <w:rPr>
          <w:rFonts w:ascii="Calibri Light" w:eastAsia="Calibri" w:hAnsi="Calibri Light" w:cs="Calibri Light"/>
          <w:szCs w:val="24"/>
          <w:lang w:val="ro-MD"/>
        </w:rPr>
        <w:t>a</w:t>
      </w:r>
      <w:r w:rsidRPr="00CC3E1D">
        <w:rPr>
          <w:rFonts w:ascii="Calibri Light" w:eastAsia="Calibri" w:hAnsi="Calibri Light" w:cs="Calibri Light"/>
          <w:szCs w:val="24"/>
          <w:lang w:val="ro-MD"/>
        </w:rPr>
        <w:t xml:space="preserve"> împr</w:t>
      </w:r>
      <w:r w:rsidR="003E4656">
        <w:rPr>
          <w:rFonts w:ascii="Calibri Light" w:eastAsia="Calibri" w:hAnsi="Calibri Light" w:cs="Calibri Light"/>
          <w:szCs w:val="24"/>
          <w:lang w:val="ro-MD"/>
        </w:rPr>
        <w:t>umuturilor de stat externe, ținâ</w:t>
      </w:r>
      <w:r w:rsidRPr="00CC3E1D">
        <w:rPr>
          <w:rFonts w:ascii="Calibri Light" w:eastAsia="Calibri" w:hAnsi="Calibri Light" w:cs="Calibri Light"/>
          <w:szCs w:val="24"/>
          <w:lang w:val="ro-MD"/>
        </w:rPr>
        <w:t xml:space="preserve">nd cont de raportul cost-risc, ca acțiune de realizat fiind identificarea unor noi surse financiare pentru finanțarea deficitului bugetar și negocierea acordurilor noi de împrumut externe la condiții financiare avantajoase. </w:t>
      </w:r>
    </w:p>
    <w:p w14:paraId="44643F62" w14:textId="6BC71C7E" w:rsidR="00743F99" w:rsidRDefault="003E4656" w:rsidP="004C06EA">
      <w:pPr>
        <w:spacing w:line="276" w:lineRule="auto"/>
        <w:jc w:val="both"/>
        <w:rPr>
          <w:rFonts w:cstheme="majorHAnsi"/>
          <w:szCs w:val="24"/>
          <w:lang w:val="ro-MD" w:eastAsia="ru-RU"/>
        </w:rPr>
      </w:pPr>
      <w:r>
        <w:rPr>
          <w:rFonts w:ascii="Calibri Light" w:eastAsia="Calibri" w:hAnsi="Calibri Light" w:cs="Calibri Light"/>
          <w:szCs w:val="24"/>
          <w:lang w:val="ro-MD"/>
        </w:rPr>
        <w:t xml:space="preserve">Astfel, </w:t>
      </w:r>
      <w:r w:rsidR="00CC3E1D" w:rsidRPr="00CC3E1D">
        <w:rPr>
          <w:rFonts w:ascii="Calibri Light" w:eastAsia="Calibri" w:hAnsi="Calibri Light" w:cs="Calibri Light"/>
          <w:szCs w:val="24"/>
          <w:lang w:val="ro-MD"/>
        </w:rPr>
        <w:t>verificările de audit în acest sens</w:t>
      </w:r>
      <w:r>
        <w:rPr>
          <w:rFonts w:ascii="Calibri Light" w:eastAsia="Calibri" w:hAnsi="Calibri Light" w:cs="Calibri Light"/>
          <w:szCs w:val="24"/>
          <w:lang w:val="ro-MD"/>
        </w:rPr>
        <w:t xml:space="preserve"> </w:t>
      </w:r>
      <w:r w:rsidR="00CC3E1D" w:rsidRPr="00CC3E1D">
        <w:rPr>
          <w:rFonts w:ascii="Calibri Light" w:eastAsia="Calibri" w:hAnsi="Calibri Light" w:cs="Calibri Light"/>
          <w:szCs w:val="24"/>
          <w:lang w:val="ro-MD"/>
        </w:rPr>
        <w:t>relevă că</w:t>
      </w:r>
      <w:r>
        <w:rPr>
          <w:rFonts w:ascii="Calibri Light" w:eastAsia="Calibri" w:hAnsi="Calibri Light" w:cs="Calibri Light"/>
          <w:szCs w:val="24"/>
          <w:lang w:val="ro-MD"/>
        </w:rPr>
        <w:t>,</w:t>
      </w:r>
      <w:r w:rsidR="00CC3E1D" w:rsidRPr="00CC3E1D">
        <w:rPr>
          <w:rFonts w:ascii="Calibri Light" w:eastAsia="Calibri" w:hAnsi="Calibri Light" w:cs="Calibri Light"/>
          <w:szCs w:val="24"/>
          <w:lang w:val="ro-MD"/>
        </w:rPr>
        <w:t xml:space="preserve"> pentru toate împrumuturile contractate, necesitatea negocierilor este bine argumentată, sunt descrise proiectele</w:t>
      </w:r>
      <w:r>
        <w:rPr>
          <w:rFonts w:ascii="Calibri Light" w:eastAsia="Calibri" w:hAnsi="Calibri Light" w:cs="Calibri Light"/>
          <w:szCs w:val="24"/>
          <w:lang w:val="ro-MD"/>
        </w:rPr>
        <w:t>,</w:t>
      </w:r>
      <w:r w:rsidR="00CC3E1D" w:rsidRPr="00CC3E1D">
        <w:rPr>
          <w:rFonts w:ascii="Calibri Light" w:eastAsia="Calibri" w:hAnsi="Calibri Light" w:cs="Calibri Light"/>
          <w:szCs w:val="24"/>
          <w:lang w:val="ro-MD"/>
        </w:rPr>
        <w:t xml:space="preserve"> precum și se analizează impactul fiecărui proiect în parte. Pentru împrumuturile noi contractate, în funcție de creditorul extern, se analizează condițiile financiare aferente acordurilor noi de împrumut</w:t>
      </w:r>
      <w:r>
        <w:rPr>
          <w:rFonts w:ascii="Calibri Light" w:eastAsia="Calibri" w:hAnsi="Calibri Light" w:cs="Calibri Light"/>
          <w:szCs w:val="24"/>
          <w:lang w:val="ro-MD"/>
        </w:rPr>
        <w:t>,</w:t>
      </w:r>
      <w:r w:rsidR="00CC3E1D" w:rsidRPr="00CC3E1D">
        <w:rPr>
          <w:rFonts w:ascii="Calibri Light" w:eastAsia="Calibri" w:hAnsi="Calibri Light" w:cs="Calibri Light"/>
          <w:szCs w:val="24"/>
          <w:lang w:val="ro-MD"/>
        </w:rPr>
        <w:t xml:space="preserve"> </w:t>
      </w:r>
      <w:r w:rsidR="00CC3E1D" w:rsidRPr="00CC3E1D">
        <w:rPr>
          <w:rFonts w:ascii="Calibri Light" w:eastAsia="Calibri" w:hAnsi="Calibri Light" w:cs="Calibri Light"/>
          <w:szCs w:val="24"/>
          <w:lang w:val="ro-MD"/>
        </w:rPr>
        <w:lastRenderedPageBreak/>
        <w:t>precum și ofertele de debursare. De asemenea, la contractarea unui împrumut nou, în vederea evaluării și gestionării riscurilor aferente portofoliului datoriei de stat, MF verifică dacă parametrii de risc se încadrează în limitele anuale stabilite în cadrul Programului „Managementul datoriei de stat pe termen mediu (2020-2022)</w:t>
      </w:r>
      <w:r>
        <w:rPr>
          <w:rFonts w:ascii="Calibri Light" w:eastAsia="Calibri" w:hAnsi="Calibri Light" w:cs="Calibri Light"/>
          <w:szCs w:val="24"/>
          <w:lang w:val="ro-MD"/>
        </w:rPr>
        <w:t>”</w:t>
      </w:r>
      <w:r w:rsidR="00CC3E1D" w:rsidRPr="00CC3E1D">
        <w:rPr>
          <w:rFonts w:ascii="Calibri Light" w:eastAsia="Calibri" w:hAnsi="Calibri Light" w:cs="Calibri Light"/>
          <w:szCs w:val="24"/>
          <w:lang w:val="ro-MD"/>
        </w:rPr>
        <w:t xml:space="preserve">. </w:t>
      </w:r>
    </w:p>
    <w:p w14:paraId="2B4E39CE" w14:textId="40EFEDE8" w:rsidR="00CC3E1D" w:rsidRPr="00CC3E1D" w:rsidRDefault="00CC3E1D" w:rsidP="00FB1205">
      <w:pPr>
        <w:jc w:val="both"/>
        <w:rPr>
          <w:rFonts w:cstheme="majorHAnsi"/>
          <w:lang w:val="ro-MD"/>
        </w:rPr>
      </w:pPr>
      <w:r w:rsidRPr="00CC3E1D">
        <w:rPr>
          <w:rFonts w:eastAsiaTheme="majorEastAsia" w:cstheme="majorHAnsi"/>
          <w:szCs w:val="28"/>
          <w:lang w:val="ro-MD"/>
        </w:rPr>
        <w:t xml:space="preserve">Potrivit informațiilor prezentate de MF, în anul </w:t>
      </w:r>
      <w:r w:rsidRPr="00CC3E1D">
        <w:rPr>
          <w:lang w:val="ro-MD"/>
        </w:rPr>
        <w:t xml:space="preserve">2020 </w:t>
      </w:r>
      <w:r w:rsidRPr="00CC3E1D">
        <w:rPr>
          <w:b/>
          <w:lang w:val="ro-MD"/>
        </w:rPr>
        <w:t>au fost contractate 10 împrumuturi noi</w:t>
      </w:r>
      <w:r w:rsidRPr="00CC3E1D">
        <w:rPr>
          <w:lang w:val="ro-MD"/>
        </w:rPr>
        <w:t xml:space="preserve">, fiind semnate contracte de finanțare în valoare totală de 685,01 mil. dol. SUA, dintre care 7 acorduri destinate proiectelor finanțate din surse externe (336,61 mil. dol. SUA) și 3 </w:t>
      </w:r>
      <w:r w:rsidRPr="00CC3E1D">
        <w:rPr>
          <w:rFonts w:cstheme="majorHAnsi"/>
          <w:lang w:val="ro-MD"/>
        </w:rPr>
        <w:t>acorduri destinate finanțării deficitului bugetar d</w:t>
      </w:r>
      <w:r w:rsidR="003E4656">
        <w:rPr>
          <w:rFonts w:cstheme="majorHAnsi"/>
          <w:lang w:val="ro-MD"/>
        </w:rPr>
        <w:t xml:space="preserve">e stat (348,40 mil. dol. SUA). </w:t>
      </w:r>
      <w:r w:rsidRPr="008F6144">
        <w:rPr>
          <w:rFonts w:eastAsiaTheme="majorEastAsia" w:cstheme="majorHAnsi"/>
          <w:i/>
          <w:lang w:val="ro-MD"/>
        </w:rPr>
        <w:t>Informația privind împrumuturile noi contractate în anul 2020 se prezintă în Anexa nr.</w:t>
      </w:r>
      <w:r w:rsidR="00813C1E">
        <w:rPr>
          <w:rFonts w:eastAsiaTheme="majorEastAsia" w:cstheme="majorHAnsi"/>
          <w:i/>
          <w:lang w:val="ro-MD"/>
        </w:rPr>
        <w:t>4, Tabelul nr.5</w:t>
      </w:r>
      <w:r w:rsidR="004E6C41">
        <w:rPr>
          <w:rFonts w:eastAsiaTheme="majorEastAsia" w:cstheme="majorHAnsi"/>
          <w:i/>
          <w:lang w:val="ro-MD"/>
        </w:rPr>
        <w:t xml:space="preserve"> </w:t>
      </w:r>
      <w:r w:rsidR="004E6C41">
        <w:rPr>
          <w:rFonts w:ascii="Calibri Light" w:eastAsia="Calibri" w:hAnsi="Calibri Light" w:cs="Calibri Light"/>
          <w:i/>
          <w:szCs w:val="24"/>
          <w:lang w:val="ro-MD"/>
        </w:rPr>
        <w:t>la prezentul Raport de audit.</w:t>
      </w:r>
    </w:p>
    <w:p w14:paraId="35F74F68" w14:textId="6D330309" w:rsidR="00CC3E1D" w:rsidRPr="00CC3E1D" w:rsidRDefault="00CC3E1D" w:rsidP="00FB1205">
      <w:pPr>
        <w:jc w:val="both"/>
        <w:rPr>
          <w:rFonts w:cstheme="majorHAnsi"/>
          <w:i/>
          <w:szCs w:val="24"/>
          <w:lang w:val="ro-MD"/>
        </w:rPr>
      </w:pPr>
      <w:r w:rsidRPr="00CC3E1D">
        <w:rPr>
          <w:rFonts w:cstheme="majorHAnsi"/>
          <w:szCs w:val="24"/>
          <w:lang w:val="ro-MD"/>
        </w:rPr>
        <w:t>Din valoarea totală a împrumuturilor contractate în anul 2020 (685,01 mil.dol.S</w:t>
      </w:r>
      <w:r w:rsidR="003E4656">
        <w:rPr>
          <w:rFonts w:cstheme="majorHAnsi"/>
          <w:szCs w:val="24"/>
          <w:lang w:val="ro-MD"/>
        </w:rPr>
        <w:t>UA), la situația din 31.12.2020</w:t>
      </w:r>
      <w:r w:rsidRPr="00CC3E1D">
        <w:rPr>
          <w:rFonts w:cstheme="majorHAnsi"/>
          <w:szCs w:val="24"/>
          <w:lang w:val="ro-MD"/>
        </w:rPr>
        <w:t xml:space="preserve"> au fost debursate 324,22 mil.dol.SUA, sau 47,33%. </w:t>
      </w:r>
    </w:p>
    <w:p w14:paraId="6BCDAB8C" w14:textId="61C504AB" w:rsidR="007C7B0F" w:rsidRDefault="00E009C9" w:rsidP="00D048A5">
      <w:pPr>
        <w:pStyle w:val="af3"/>
        <w:spacing w:before="240" w:line="276" w:lineRule="auto"/>
        <w:jc w:val="both"/>
        <w:rPr>
          <w:rFonts w:ascii="Calibri Light" w:eastAsia="Calibri" w:hAnsi="Calibri Light" w:cs="Calibri Light"/>
          <w:i/>
          <w:sz w:val="24"/>
          <w:szCs w:val="24"/>
          <w:lang w:val="ro-MD"/>
        </w:rPr>
      </w:pPr>
      <w:r w:rsidRPr="00AB22E7">
        <w:rPr>
          <w:rFonts w:asciiTheme="majorHAnsi" w:hAnsiTheme="majorHAnsi" w:cstheme="majorHAnsi"/>
          <w:b/>
          <w:i/>
          <w:sz w:val="24"/>
          <w:szCs w:val="24"/>
          <w:lang w:val="ro-MD" w:eastAsia="ru-RU"/>
        </w:rPr>
        <w:t>Î</w:t>
      </w:r>
      <w:r w:rsidR="00B36C86" w:rsidRPr="00AB22E7">
        <w:rPr>
          <w:rFonts w:asciiTheme="majorHAnsi" w:hAnsiTheme="majorHAnsi" w:cstheme="majorHAnsi"/>
          <w:b/>
          <w:i/>
          <w:sz w:val="24"/>
          <w:szCs w:val="24"/>
          <w:lang w:val="ro-MD" w:eastAsia="ru-RU"/>
        </w:rPr>
        <w:t>n contextul administrării prudente a datoriei de stat externe, MF a continuat și în anul 2020 utilizarea metodei de conversiune a împrumuturilor d</w:t>
      </w:r>
      <w:r w:rsidR="0080389D">
        <w:rPr>
          <w:rFonts w:asciiTheme="majorHAnsi" w:hAnsiTheme="majorHAnsi" w:cstheme="majorHAnsi"/>
          <w:b/>
          <w:i/>
          <w:sz w:val="24"/>
          <w:szCs w:val="24"/>
          <w:lang w:val="ro-MD" w:eastAsia="ru-RU"/>
        </w:rPr>
        <w:t>e stat externe oferite de către</w:t>
      </w:r>
      <w:r w:rsidR="00B36C86" w:rsidRPr="00AB22E7">
        <w:rPr>
          <w:rFonts w:asciiTheme="majorHAnsi" w:hAnsiTheme="majorHAnsi" w:cstheme="majorHAnsi"/>
          <w:b/>
          <w:i/>
          <w:sz w:val="24"/>
          <w:szCs w:val="24"/>
          <w:lang w:val="ro-MD" w:eastAsia="ru-RU"/>
        </w:rPr>
        <w:t xml:space="preserve"> BERD.</w:t>
      </w:r>
      <w:r w:rsidR="00B36C86">
        <w:rPr>
          <w:rFonts w:asciiTheme="majorHAnsi" w:hAnsiTheme="majorHAnsi" w:cstheme="majorHAnsi"/>
          <w:sz w:val="24"/>
          <w:szCs w:val="24"/>
          <w:lang w:val="ro-MD" w:eastAsia="ru-RU"/>
        </w:rPr>
        <w:t xml:space="preserve"> </w:t>
      </w:r>
      <w:r w:rsidR="00813C1E">
        <w:rPr>
          <w:rFonts w:asciiTheme="majorHAnsi" w:hAnsiTheme="majorHAnsi" w:cstheme="majorHAnsi"/>
          <w:sz w:val="24"/>
          <w:szCs w:val="24"/>
          <w:lang w:val="ro-MD" w:eastAsia="ru-RU"/>
        </w:rPr>
        <w:t xml:space="preserve">Drept urmare, </w:t>
      </w:r>
      <w:r w:rsidR="007C7B0F" w:rsidRPr="007C7B0F">
        <w:rPr>
          <w:rFonts w:ascii="Calibri Light" w:eastAsia="Calibri" w:hAnsi="Calibri Light" w:cs="Calibri Light"/>
          <w:sz w:val="24"/>
          <w:szCs w:val="24"/>
          <w:lang w:val="ro-MD"/>
        </w:rPr>
        <w:t>au fost obținute economii la capitolul cheltuieli pentru serviciul datoriei de stat externe din bugetul de stat în perioada 01.01.2020 – 31.12.2020 în sum</w:t>
      </w:r>
      <w:r w:rsidR="0038494E">
        <w:rPr>
          <w:rFonts w:ascii="Calibri Light" w:eastAsia="Calibri" w:hAnsi="Calibri Light" w:cs="Calibri Light"/>
          <w:sz w:val="24"/>
          <w:szCs w:val="24"/>
          <w:lang w:val="ro-MD"/>
        </w:rPr>
        <w:t>ă de aproximativ 24,8</w:t>
      </w:r>
      <w:r w:rsidR="00FA1C3B">
        <w:rPr>
          <w:rFonts w:ascii="Calibri Light" w:eastAsia="Calibri" w:hAnsi="Calibri Light" w:cs="Calibri Light"/>
          <w:sz w:val="24"/>
          <w:szCs w:val="24"/>
          <w:lang w:val="ro-MD"/>
        </w:rPr>
        <w:t>2</w:t>
      </w:r>
      <w:r w:rsidR="0038494E">
        <w:rPr>
          <w:rFonts w:ascii="Calibri Light" w:eastAsia="Calibri" w:hAnsi="Calibri Light" w:cs="Calibri Light"/>
          <w:sz w:val="24"/>
          <w:szCs w:val="24"/>
          <w:lang w:val="ro-MD"/>
        </w:rPr>
        <w:t xml:space="preserve"> mil. lei.</w:t>
      </w:r>
      <w:r w:rsidR="007C7B0F" w:rsidRPr="007C7B0F">
        <w:rPr>
          <w:rFonts w:ascii="Calibri Light" w:eastAsia="Calibri" w:hAnsi="Calibri Light" w:cs="Calibri Light"/>
          <w:sz w:val="24"/>
          <w:szCs w:val="24"/>
          <w:lang w:val="ro-MD"/>
        </w:rPr>
        <w:t xml:space="preserve"> </w:t>
      </w:r>
    </w:p>
    <w:p w14:paraId="550A6F62" w14:textId="00543D5C" w:rsidR="006023D2" w:rsidRPr="00726F68" w:rsidRDefault="00621794" w:rsidP="00D048A5">
      <w:pPr>
        <w:spacing w:before="240" w:after="0"/>
        <w:jc w:val="both"/>
        <w:rPr>
          <w:b/>
          <w:i/>
          <w:lang w:val="ro-MD" w:eastAsia="ru-RU"/>
        </w:rPr>
      </w:pPr>
      <w:bookmarkStart w:id="23" w:name="_Toc47012277"/>
      <w:r w:rsidRPr="00726F68">
        <w:rPr>
          <w:b/>
          <w:i/>
          <w:lang w:val="ro-MD" w:eastAsia="ru-RU"/>
        </w:rPr>
        <w:t>Cheltuielile pentru d</w:t>
      </w:r>
      <w:r w:rsidR="006023D2" w:rsidRPr="00726F68">
        <w:rPr>
          <w:b/>
          <w:i/>
          <w:lang w:val="ro-MD" w:eastAsia="ru-RU"/>
        </w:rPr>
        <w:t>eservirea datoriei de stat</w:t>
      </w:r>
      <w:r w:rsidRPr="00726F68">
        <w:rPr>
          <w:b/>
          <w:i/>
          <w:lang w:val="ro-MD" w:eastAsia="ru-RU"/>
        </w:rPr>
        <w:t xml:space="preserve"> </w:t>
      </w:r>
      <w:r w:rsidR="006447FE" w:rsidRPr="00726F68">
        <w:rPr>
          <w:b/>
          <w:i/>
          <w:lang w:val="ro-MD" w:eastAsia="ru-RU"/>
        </w:rPr>
        <w:t xml:space="preserve">externe </w:t>
      </w:r>
      <w:r w:rsidRPr="00726F68">
        <w:rPr>
          <w:b/>
          <w:i/>
          <w:lang w:val="ro-MD" w:eastAsia="ru-RU"/>
        </w:rPr>
        <w:t xml:space="preserve">s-au </w:t>
      </w:r>
      <w:r w:rsidR="006447FE" w:rsidRPr="00726F68">
        <w:rPr>
          <w:b/>
          <w:i/>
          <w:lang w:val="ro-MD" w:eastAsia="ru-RU"/>
        </w:rPr>
        <w:t xml:space="preserve">majorat </w:t>
      </w:r>
      <w:r w:rsidRPr="00726F68">
        <w:rPr>
          <w:b/>
          <w:i/>
          <w:lang w:val="ro-MD" w:eastAsia="ru-RU"/>
        </w:rPr>
        <w:t>față de anul precedent</w:t>
      </w:r>
      <w:r w:rsidR="00354DCC" w:rsidRPr="00726F68">
        <w:rPr>
          <w:b/>
          <w:i/>
          <w:lang w:val="ro-MD" w:eastAsia="ru-RU"/>
        </w:rPr>
        <w:t xml:space="preserve">, </w:t>
      </w:r>
      <w:bookmarkEnd w:id="23"/>
      <w:r w:rsidR="00125126">
        <w:rPr>
          <w:b/>
          <w:i/>
          <w:lang w:val="ro-MD" w:eastAsia="ru-RU"/>
        </w:rPr>
        <w:t>din contul majo</w:t>
      </w:r>
      <w:r w:rsidR="006447FE" w:rsidRPr="00726F68">
        <w:rPr>
          <w:b/>
          <w:i/>
          <w:lang w:val="ro-MD" w:eastAsia="ru-RU"/>
        </w:rPr>
        <w:t>rării plăților achitate la rambursarea sumei principale.</w:t>
      </w:r>
    </w:p>
    <w:p w14:paraId="0C18B9AA" w14:textId="4EC08142" w:rsidR="00464E3F" w:rsidRPr="00172038" w:rsidRDefault="006447FE" w:rsidP="00D048A5">
      <w:pPr>
        <w:spacing w:after="0" w:line="276" w:lineRule="auto"/>
        <w:jc w:val="both"/>
        <w:rPr>
          <w:rFonts w:cstheme="majorHAnsi"/>
          <w:szCs w:val="28"/>
          <w:lang w:val="ro-RO"/>
        </w:rPr>
      </w:pPr>
      <w:r>
        <w:rPr>
          <w:rFonts w:cstheme="majorHAnsi"/>
          <w:szCs w:val="28"/>
          <w:lang w:val="ro-RO"/>
        </w:rPr>
        <w:t>P</w:t>
      </w:r>
      <w:r w:rsidR="00464E3F" w:rsidRPr="00464E3F">
        <w:rPr>
          <w:rFonts w:cstheme="majorHAnsi"/>
          <w:szCs w:val="28"/>
          <w:lang w:val="ro-RO"/>
        </w:rPr>
        <w:t xml:space="preserve">entru </w:t>
      </w:r>
      <w:r w:rsidR="00464E3F" w:rsidRPr="00464E3F">
        <w:rPr>
          <w:rFonts w:cstheme="majorHAnsi"/>
          <w:b/>
          <w:szCs w:val="28"/>
          <w:lang w:val="ro-RO"/>
        </w:rPr>
        <w:t>deservirea datoriei de stat externe</w:t>
      </w:r>
      <w:r w:rsidR="00464E3F" w:rsidRPr="00464E3F">
        <w:rPr>
          <w:rFonts w:cstheme="majorHAnsi"/>
          <w:szCs w:val="28"/>
          <w:lang w:val="ro-RO"/>
        </w:rPr>
        <w:t xml:space="preserve"> în anul 2020 s-au utilizat mijloace bănești în sumă de 158,4 mil.dol.SUA (echivalentul a 2 736,6 mil.lei), sau cu 12,6 mil.dol.SUA (+8,6%) mai mult față de anul 2019. Din suma totală a cheltuielilor destinate deservirii datoriei de stat externe, 137,6 mil.dol.SUA (echivalentul a 2 375,1 mil.lei) constituie </w:t>
      </w:r>
      <w:r w:rsidR="00464E3F" w:rsidRPr="00464E3F">
        <w:rPr>
          <w:rFonts w:cstheme="majorHAnsi"/>
          <w:b/>
          <w:szCs w:val="28"/>
          <w:lang w:val="ro-RO"/>
        </w:rPr>
        <w:t>rambursarea sumelor principale</w:t>
      </w:r>
      <w:r w:rsidR="00464E3F" w:rsidRPr="00464E3F">
        <w:rPr>
          <w:rFonts w:cstheme="majorHAnsi"/>
          <w:szCs w:val="28"/>
          <w:lang w:val="ro-RO"/>
        </w:rPr>
        <w:t xml:space="preserve"> și 20,8 mil.dol.SUA (echivalentul a 361,5 mil.lei) – </w:t>
      </w:r>
      <w:r w:rsidR="00464E3F" w:rsidRPr="00464E3F">
        <w:rPr>
          <w:rFonts w:cstheme="majorHAnsi"/>
          <w:b/>
          <w:szCs w:val="28"/>
          <w:lang w:val="ro-RO"/>
        </w:rPr>
        <w:t>serviciul datoriei de stat externe,</w:t>
      </w:r>
      <w:r w:rsidR="00464E3F" w:rsidRPr="00464E3F">
        <w:rPr>
          <w:rFonts w:cstheme="majorHAnsi"/>
          <w:szCs w:val="28"/>
          <w:lang w:val="ro-RO"/>
        </w:rPr>
        <w:t xml:space="preserve"> care include plata dobânzilor și comisioanelor aferente. Comparativ cu anul 2019, deservirea datoriei de stat externe a înregistrat o creștere la rambursarea principalului (+15,3 mil.dol.SUA/+12,5%) și o diminuare la achitarea dobânzilor aferente (-2,7 mil.dol.SUA/-11,5%). </w:t>
      </w:r>
      <w:r w:rsidR="00464E3F" w:rsidRPr="00464E3F">
        <w:rPr>
          <w:rFonts w:cstheme="majorHAnsi"/>
          <w:i/>
          <w:szCs w:val="28"/>
          <w:lang w:val="ro-RO"/>
        </w:rPr>
        <w:t>Sinteza cheltuielilor destinate deservirii datoriei de stat externe în anii 2016-2020 este prezentată în Tabelul nr.</w:t>
      </w:r>
      <w:r w:rsidR="00837A13">
        <w:rPr>
          <w:rFonts w:cstheme="majorHAnsi"/>
          <w:i/>
          <w:szCs w:val="28"/>
          <w:lang w:val="ro-RO"/>
        </w:rPr>
        <w:t>8</w:t>
      </w:r>
      <w:r w:rsidR="00464E3F" w:rsidRPr="00464E3F">
        <w:rPr>
          <w:rFonts w:cstheme="majorHAnsi"/>
          <w:i/>
          <w:szCs w:val="28"/>
          <w:lang w:val="ro-RO"/>
        </w:rPr>
        <w:t>.</w:t>
      </w:r>
    </w:p>
    <w:p w14:paraId="3685A619" w14:textId="1D200D22" w:rsidR="002E175E" w:rsidRPr="002E175E" w:rsidRDefault="00464E3F" w:rsidP="00F82745">
      <w:pPr>
        <w:spacing w:after="0" w:line="276" w:lineRule="auto"/>
        <w:jc w:val="right"/>
        <w:rPr>
          <w:rFonts w:cstheme="majorHAnsi"/>
          <w:b/>
          <w:i/>
          <w:szCs w:val="24"/>
          <w:lang w:val="ro-RO"/>
        </w:rPr>
      </w:pPr>
      <w:r w:rsidRPr="002E175E">
        <w:rPr>
          <w:rFonts w:cstheme="majorHAnsi"/>
          <w:b/>
          <w:i/>
          <w:szCs w:val="24"/>
          <w:lang w:val="ro-RO"/>
        </w:rPr>
        <w:t>Tabelul nr.</w:t>
      </w:r>
      <w:r w:rsidR="00837A13">
        <w:rPr>
          <w:rFonts w:cstheme="majorHAnsi"/>
          <w:b/>
          <w:i/>
          <w:szCs w:val="24"/>
          <w:lang w:val="ro-RO"/>
        </w:rPr>
        <w:t>8</w:t>
      </w:r>
      <w:r w:rsidRPr="002E175E">
        <w:rPr>
          <w:rFonts w:cstheme="majorHAnsi"/>
          <w:b/>
          <w:i/>
          <w:szCs w:val="24"/>
          <w:lang w:val="ro-RO"/>
        </w:rPr>
        <w:t xml:space="preserve"> </w:t>
      </w:r>
    </w:p>
    <w:p w14:paraId="2B975ABE" w14:textId="40BBE4C2" w:rsidR="00464E3F" w:rsidRPr="002E175E" w:rsidRDefault="002E175E" w:rsidP="002E175E">
      <w:pPr>
        <w:spacing w:after="0" w:line="276" w:lineRule="auto"/>
        <w:jc w:val="center"/>
        <w:rPr>
          <w:rFonts w:cstheme="majorHAnsi"/>
          <w:b/>
          <w:szCs w:val="24"/>
          <w:lang w:val="ro-RO"/>
        </w:rPr>
      </w:pPr>
      <w:r w:rsidRPr="002E175E">
        <w:rPr>
          <w:rFonts w:cstheme="majorHAnsi"/>
          <w:b/>
          <w:szCs w:val="28"/>
          <w:lang w:val="ro-RO"/>
        </w:rPr>
        <w:lastRenderedPageBreak/>
        <w:t>Sinteza cheltuielilor destinate deservirii datoriei de stat externe în anii 2016-2020</w:t>
      </w:r>
    </w:p>
    <w:tbl>
      <w:tblPr>
        <w:tblStyle w:val="TableGrid7"/>
        <w:tblW w:w="9396" w:type="dxa"/>
        <w:jc w:val="center"/>
        <w:tblLook w:val="04A0" w:firstRow="1" w:lastRow="0" w:firstColumn="1" w:lastColumn="0" w:noHBand="0" w:noVBand="1"/>
      </w:tblPr>
      <w:tblGrid>
        <w:gridCol w:w="1335"/>
        <w:gridCol w:w="1270"/>
        <w:gridCol w:w="1200"/>
        <w:gridCol w:w="1335"/>
        <w:gridCol w:w="1376"/>
        <w:gridCol w:w="1417"/>
        <w:gridCol w:w="1463"/>
      </w:tblGrid>
      <w:tr w:rsidR="00464E3F" w:rsidRPr="00560D3B" w14:paraId="1D7BD3FC" w14:textId="77777777" w:rsidTr="00560D3B">
        <w:trPr>
          <w:jc w:val="center"/>
        </w:trPr>
        <w:tc>
          <w:tcPr>
            <w:tcW w:w="1335" w:type="dxa"/>
            <w:vMerge w:val="restart"/>
            <w:shd w:val="clear" w:color="auto" w:fill="D9D9D9" w:themeFill="background1" w:themeFillShade="D9"/>
            <w:vAlign w:val="center"/>
          </w:tcPr>
          <w:p w14:paraId="6880F666"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Anul</w:t>
            </w:r>
          </w:p>
        </w:tc>
        <w:tc>
          <w:tcPr>
            <w:tcW w:w="2470" w:type="dxa"/>
            <w:gridSpan w:val="2"/>
            <w:shd w:val="clear" w:color="auto" w:fill="D9D9D9" w:themeFill="background1" w:themeFillShade="D9"/>
            <w:vAlign w:val="center"/>
          </w:tcPr>
          <w:p w14:paraId="36799CEB"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Total achitat</w:t>
            </w:r>
          </w:p>
        </w:tc>
        <w:tc>
          <w:tcPr>
            <w:tcW w:w="2711" w:type="dxa"/>
            <w:gridSpan w:val="2"/>
            <w:shd w:val="clear" w:color="auto" w:fill="D9D9D9" w:themeFill="background1" w:themeFillShade="D9"/>
            <w:vAlign w:val="center"/>
          </w:tcPr>
          <w:p w14:paraId="7285B27E"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Rambursarea principalului</w:t>
            </w:r>
          </w:p>
        </w:tc>
        <w:tc>
          <w:tcPr>
            <w:tcW w:w="2880" w:type="dxa"/>
            <w:gridSpan w:val="2"/>
            <w:shd w:val="clear" w:color="auto" w:fill="D9D9D9" w:themeFill="background1" w:themeFillShade="D9"/>
            <w:vAlign w:val="center"/>
          </w:tcPr>
          <w:p w14:paraId="0E1D84C9"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Plata dobânzilor și comisioanelor</w:t>
            </w:r>
          </w:p>
        </w:tc>
      </w:tr>
      <w:tr w:rsidR="00464E3F" w:rsidRPr="00560D3B" w14:paraId="7022A62E" w14:textId="77777777" w:rsidTr="00560D3B">
        <w:trPr>
          <w:jc w:val="center"/>
        </w:trPr>
        <w:tc>
          <w:tcPr>
            <w:tcW w:w="1335" w:type="dxa"/>
            <w:vMerge/>
            <w:shd w:val="clear" w:color="auto" w:fill="D9D9D9" w:themeFill="background1" w:themeFillShade="D9"/>
          </w:tcPr>
          <w:p w14:paraId="32803088" w14:textId="77777777" w:rsidR="00464E3F" w:rsidRPr="00560D3B" w:rsidRDefault="00464E3F" w:rsidP="00560D3B">
            <w:pPr>
              <w:jc w:val="center"/>
              <w:rPr>
                <w:rFonts w:eastAsiaTheme="minorEastAsia" w:cstheme="majorHAnsi"/>
                <w:sz w:val="20"/>
                <w:szCs w:val="20"/>
                <w:lang w:val="ro-MD" w:eastAsia="ru-RU"/>
              </w:rPr>
            </w:pPr>
          </w:p>
        </w:tc>
        <w:tc>
          <w:tcPr>
            <w:tcW w:w="1270" w:type="dxa"/>
            <w:shd w:val="clear" w:color="auto" w:fill="D9D9D9" w:themeFill="background1" w:themeFillShade="D9"/>
          </w:tcPr>
          <w:p w14:paraId="7AD29DE8"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mil. dol. SUA</w:t>
            </w:r>
          </w:p>
        </w:tc>
        <w:tc>
          <w:tcPr>
            <w:tcW w:w="1200" w:type="dxa"/>
            <w:shd w:val="clear" w:color="auto" w:fill="D9D9D9" w:themeFill="background1" w:themeFillShade="D9"/>
          </w:tcPr>
          <w:p w14:paraId="7D00B893"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mil. lei</w:t>
            </w:r>
          </w:p>
        </w:tc>
        <w:tc>
          <w:tcPr>
            <w:tcW w:w="1335" w:type="dxa"/>
            <w:shd w:val="clear" w:color="auto" w:fill="D9D9D9" w:themeFill="background1" w:themeFillShade="D9"/>
          </w:tcPr>
          <w:p w14:paraId="1FB5E3CE"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mil. dol. SUA</w:t>
            </w:r>
          </w:p>
        </w:tc>
        <w:tc>
          <w:tcPr>
            <w:tcW w:w="1376" w:type="dxa"/>
            <w:shd w:val="clear" w:color="auto" w:fill="D9D9D9" w:themeFill="background1" w:themeFillShade="D9"/>
          </w:tcPr>
          <w:p w14:paraId="1FF107D1"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mil. lei</w:t>
            </w:r>
          </w:p>
        </w:tc>
        <w:tc>
          <w:tcPr>
            <w:tcW w:w="1417" w:type="dxa"/>
            <w:shd w:val="clear" w:color="auto" w:fill="D9D9D9" w:themeFill="background1" w:themeFillShade="D9"/>
          </w:tcPr>
          <w:p w14:paraId="7CC59651"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mil. dol. SUA</w:t>
            </w:r>
          </w:p>
        </w:tc>
        <w:tc>
          <w:tcPr>
            <w:tcW w:w="1463" w:type="dxa"/>
            <w:shd w:val="clear" w:color="auto" w:fill="D9D9D9" w:themeFill="background1" w:themeFillShade="D9"/>
          </w:tcPr>
          <w:p w14:paraId="4324A6E0" w14:textId="77777777" w:rsidR="00464E3F" w:rsidRPr="00560D3B" w:rsidRDefault="00464E3F" w:rsidP="00560D3B">
            <w:pPr>
              <w:jc w:val="center"/>
              <w:rPr>
                <w:rFonts w:eastAsiaTheme="minorEastAsia" w:cstheme="majorHAnsi"/>
                <w:b/>
                <w:sz w:val="20"/>
                <w:szCs w:val="20"/>
                <w:lang w:val="ro-MD" w:eastAsia="ru-RU"/>
              </w:rPr>
            </w:pPr>
            <w:r w:rsidRPr="00560D3B">
              <w:rPr>
                <w:rFonts w:eastAsiaTheme="minorEastAsia" w:cstheme="majorHAnsi"/>
                <w:b/>
                <w:sz w:val="20"/>
                <w:szCs w:val="20"/>
                <w:lang w:val="ro-MD" w:eastAsia="ru-RU"/>
              </w:rPr>
              <w:t>mil. lei</w:t>
            </w:r>
          </w:p>
        </w:tc>
      </w:tr>
      <w:tr w:rsidR="00464E3F" w:rsidRPr="00560D3B" w14:paraId="57C75429" w14:textId="77777777" w:rsidTr="00560D3B">
        <w:trPr>
          <w:jc w:val="center"/>
        </w:trPr>
        <w:tc>
          <w:tcPr>
            <w:tcW w:w="1335" w:type="dxa"/>
          </w:tcPr>
          <w:p w14:paraId="7C4E257F" w14:textId="77777777" w:rsidR="00464E3F" w:rsidRPr="003E4656" w:rsidRDefault="00464E3F" w:rsidP="00FB1205">
            <w:pPr>
              <w:jc w:val="both"/>
              <w:rPr>
                <w:rFonts w:eastAsiaTheme="minorEastAsia" w:cstheme="majorHAnsi"/>
                <w:b/>
                <w:sz w:val="20"/>
                <w:szCs w:val="20"/>
                <w:lang w:val="ro-MD" w:eastAsia="ru-RU"/>
              </w:rPr>
            </w:pPr>
            <w:r w:rsidRPr="003E4656">
              <w:rPr>
                <w:rFonts w:eastAsiaTheme="minorEastAsia" w:cstheme="majorHAnsi"/>
                <w:b/>
                <w:sz w:val="20"/>
                <w:szCs w:val="20"/>
                <w:lang w:val="ro-MD" w:eastAsia="ru-RU"/>
              </w:rPr>
              <w:t>2016</w:t>
            </w:r>
          </w:p>
        </w:tc>
        <w:tc>
          <w:tcPr>
            <w:tcW w:w="1270" w:type="dxa"/>
          </w:tcPr>
          <w:p w14:paraId="5D0183D4"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69,6</w:t>
            </w:r>
          </w:p>
        </w:tc>
        <w:tc>
          <w:tcPr>
            <w:tcW w:w="1200" w:type="dxa"/>
          </w:tcPr>
          <w:p w14:paraId="1E2B3E40"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1392,0</w:t>
            </w:r>
          </w:p>
        </w:tc>
        <w:tc>
          <w:tcPr>
            <w:tcW w:w="1335" w:type="dxa"/>
          </w:tcPr>
          <w:p w14:paraId="7BFFD5BE"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55,3</w:t>
            </w:r>
          </w:p>
        </w:tc>
        <w:tc>
          <w:tcPr>
            <w:tcW w:w="1376" w:type="dxa"/>
          </w:tcPr>
          <w:p w14:paraId="20B7D894"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1107,3</w:t>
            </w:r>
          </w:p>
        </w:tc>
        <w:tc>
          <w:tcPr>
            <w:tcW w:w="1417" w:type="dxa"/>
          </w:tcPr>
          <w:p w14:paraId="47FC77A9"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14,3</w:t>
            </w:r>
          </w:p>
        </w:tc>
        <w:tc>
          <w:tcPr>
            <w:tcW w:w="1463" w:type="dxa"/>
          </w:tcPr>
          <w:p w14:paraId="3B877CB1"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284,6</w:t>
            </w:r>
          </w:p>
        </w:tc>
      </w:tr>
      <w:tr w:rsidR="00464E3F" w:rsidRPr="00560D3B" w14:paraId="6618E7C2" w14:textId="77777777" w:rsidTr="00560D3B">
        <w:trPr>
          <w:jc w:val="center"/>
        </w:trPr>
        <w:tc>
          <w:tcPr>
            <w:tcW w:w="1335" w:type="dxa"/>
          </w:tcPr>
          <w:p w14:paraId="14F49C23" w14:textId="77777777" w:rsidR="00464E3F" w:rsidRPr="003E4656" w:rsidRDefault="00464E3F" w:rsidP="00FB1205">
            <w:pPr>
              <w:jc w:val="both"/>
              <w:rPr>
                <w:rFonts w:eastAsiaTheme="minorEastAsia" w:cstheme="majorHAnsi"/>
                <w:b/>
                <w:sz w:val="20"/>
                <w:szCs w:val="20"/>
                <w:lang w:val="ro-MD" w:eastAsia="ru-RU"/>
              </w:rPr>
            </w:pPr>
            <w:r w:rsidRPr="003E4656">
              <w:rPr>
                <w:rFonts w:eastAsiaTheme="minorEastAsia" w:cstheme="majorHAnsi"/>
                <w:b/>
                <w:sz w:val="20"/>
                <w:szCs w:val="20"/>
                <w:lang w:val="ro-MD" w:eastAsia="ru-RU"/>
              </w:rPr>
              <w:t>2017</w:t>
            </w:r>
          </w:p>
        </w:tc>
        <w:tc>
          <w:tcPr>
            <w:tcW w:w="1270" w:type="dxa"/>
          </w:tcPr>
          <w:p w14:paraId="0716AC22"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91,1</w:t>
            </w:r>
          </w:p>
        </w:tc>
        <w:tc>
          <w:tcPr>
            <w:tcW w:w="1200" w:type="dxa"/>
          </w:tcPr>
          <w:p w14:paraId="0BD6376C"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1 687,6</w:t>
            </w:r>
          </w:p>
        </w:tc>
        <w:tc>
          <w:tcPr>
            <w:tcW w:w="1335" w:type="dxa"/>
          </w:tcPr>
          <w:p w14:paraId="3418DE03"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71,7</w:t>
            </w:r>
          </w:p>
        </w:tc>
        <w:tc>
          <w:tcPr>
            <w:tcW w:w="1376" w:type="dxa"/>
          </w:tcPr>
          <w:p w14:paraId="3909E046"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1 329,7</w:t>
            </w:r>
          </w:p>
        </w:tc>
        <w:tc>
          <w:tcPr>
            <w:tcW w:w="1417" w:type="dxa"/>
          </w:tcPr>
          <w:p w14:paraId="4AEDA656"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19,4</w:t>
            </w:r>
          </w:p>
        </w:tc>
        <w:tc>
          <w:tcPr>
            <w:tcW w:w="1463" w:type="dxa"/>
          </w:tcPr>
          <w:p w14:paraId="1A1300F8"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357,9</w:t>
            </w:r>
          </w:p>
        </w:tc>
      </w:tr>
      <w:tr w:rsidR="00464E3F" w:rsidRPr="00560D3B" w14:paraId="4909B1F4" w14:textId="77777777" w:rsidTr="00560D3B">
        <w:trPr>
          <w:jc w:val="center"/>
        </w:trPr>
        <w:tc>
          <w:tcPr>
            <w:tcW w:w="1335" w:type="dxa"/>
          </w:tcPr>
          <w:p w14:paraId="647FEA1F" w14:textId="77777777" w:rsidR="00464E3F" w:rsidRPr="003E4656" w:rsidRDefault="00464E3F" w:rsidP="00FB1205">
            <w:pPr>
              <w:jc w:val="both"/>
              <w:rPr>
                <w:rFonts w:eastAsiaTheme="minorEastAsia" w:cstheme="majorHAnsi"/>
                <w:b/>
                <w:sz w:val="20"/>
                <w:szCs w:val="20"/>
                <w:lang w:val="ro-MD" w:eastAsia="ru-RU"/>
              </w:rPr>
            </w:pPr>
            <w:r w:rsidRPr="003E4656">
              <w:rPr>
                <w:rFonts w:eastAsiaTheme="minorEastAsia" w:cstheme="majorHAnsi"/>
                <w:b/>
                <w:sz w:val="20"/>
                <w:szCs w:val="20"/>
                <w:lang w:val="ro-MD" w:eastAsia="ru-RU"/>
              </w:rPr>
              <w:t>2018</w:t>
            </w:r>
          </w:p>
        </w:tc>
        <w:tc>
          <w:tcPr>
            <w:tcW w:w="1270" w:type="dxa"/>
          </w:tcPr>
          <w:p w14:paraId="1A458FA4"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134,5</w:t>
            </w:r>
          </w:p>
        </w:tc>
        <w:tc>
          <w:tcPr>
            <w:tcW w:w="1200" w:type="dxa"/>
          </w:tcPr>
          <w:p w14:paraId="79A43B06"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2 252,9</w:t>
            </w:r>
          </w:p>
        </w:tc>
        <w:tc>
          <w:tcPr>
            <w:tcW w:w="1335" w:type="dxa"/>
          </w:tcPr>
          <w:p w14:paraId="2C795B14"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111,9</w:t>
            </w:r>
          </w:p>
        </w:tc>
        <w:tc>
          <w:tcPr>
            <w:tcW w:w="1376" w:type="dxa"/>
          </w:tcPr>
          <w:p w14:paraId="46A7D885"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1 873,4</w:t>
            </w:r>
          </w:p>
        </w:tc>
        <w:tc>
          <w:tcPr>
            <w:tcW w:w="1417" w:type="dxa"/>
          </w:tcPr>
          <w:p w14:paraId="302A4062"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22,6</w:t>
            </w:r>
          </w:p>
        </w:tc>
        <w:tc>
          <w:tcPr>
            <w:tcW w:w="1463" w:type="dxa"/>
          </w:tcPr>
          <w:p w14:paraId="5FF4AFD0"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379,5</w:t>
            </w:r>
          </w:p>
        </w:tc>
      </w:tr>
      <w:tr w:rsidR="00464E3F" w:rsidRPr="00560D3B" w14:paraId="5E379E42" w14:textId="77777777" w:rsidTr="00560D3B">
        <w:trPr>
          <w:jc w:val="center"/>
        </w:trPr>
        <w:tc>
          <w:tcPr>
            <w:tcW w:w="1335" w:type="dxa"/>
          </w:tcPr>
          <w:p w14:paraId="13FCACFE" w14:textId="77777777" w:rsidR="00464E3F" w:rsidRPr="003E4656" w:rsidRDefault="00464E3F" w:rsidP="00FB1205">
            <w:pPr>
              <w:jc w:val="both"/>
              <w:rPr>
                <w:rFonts w:eastAsiaTheme="minorEastAsia" w:cstheme="majorHAnsi"/>
                <w:b/>
                <w:sz w:val="20"/>
                <w:szCs w:val="20"/>
                <w:lang w:val="ro-MD" w:eastAsia="ru-RU"/>
              </w:rPr>
            </w:pPr>
            <w:r w:rsidRPr="003E4656">
              <w:rPr>
                <w:rFonts w:eastAsiaTheme="minorEastAsia" w:cstheme="majorHAnsi"/>
                <w:b/>
                <w:sz w:val="20"/>
                <w:szCs w:val="20"/>
                <w:lang w:val="ro-MD" w:eastAsia="ru-RU"/>
              </w:rPr>
              <w:t>2019</w:t>
            </w:r>
          </w:p>
        </w:tc>
        <w:tc>
          <w:tcPr>
            <w:tcW w:w="1270" w:type="dxa"/>
          </w:tcPr>
          <w:p w14:paraId="5F854D76"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145,8</w:t>
            </w:r>
          </w:p>
        </w:tc>
        <w:tc>
          <w:tcPr>
            <w:tcW w:w="1200" w:type="dxa"/>
          </w:tcPr>
          <w:p w14:paraId="17F982C2"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2 556,9</w:t>
            </w:r>
          </w:p>
        </w:tc>
        <w:tc>
          <w:tcPr>
            <w:tcW w:w="1335" w:type="dxa"/>
          </w:tcPr>
          <w:p w14:paraId="5A1A0C9D"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122,3</w:t>
            </w:r>
          </w:p>
        </w:tc>
        <w:tc>
          <w:tcPr>
            <w:tcW w:w="1376" w:type="dxa"/>
          </w:tcPr>
          <w:p w14:paraId="3462CF75"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2 144,8</w:t>
            </w:r>
          </w:p>
        </w:tc>
        <w:tc>
          <w:tcPr>
            <w:tcW w:w="1417" w:type="dxa"/>
          </w:tcPr>
          <w:p w14:paraId="4DBD8EF9"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23,5</w:t>
            </w:r>
          </w:p>
        </w:tc>
        <w:tc>
          <w:tcPr>
            <w:tcW w:w="1463" w:type="dxa"/>
          </w:tcPr>
          <w:p w14:paraId="7C22CDA1"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412,2</w:t>
            </w:r>
          </w:p>
        </w:tc>
      </w:tr>
      <w:tr w:rsidR="00464E3F" w:rsidRPr="00560D3B" w14:paraId="445B8669" w14:textId="77777777" w:rsidTr="00560D3B">
        <w:trPr>
          <w:jc w:val="center"/>
        </w:trPr>
        <w:tc>
          <w:tcPr>
            <w:tcW w:w="1335" w:type="dxa"/>
          </w:tcPr>
          <w:p w14:paraId="16BF4516" w14:textId="77777777" w:rsidR="00464E3F" w:rsidRPr="003E4656" w:rsidRDefault="00464E3F" w:rsidP="00FB1205">
            <w:pPr>
              <w:jc w:val="both"/>
              <w:rPr>
                <w:rFonts w:eastAsiaTheme="minorEastAsia" w:cstheme="majorHAnsi"/>
                <w:b/>
                <w:sz w:val="20"/>
                <w:szCs w:val="20"/>
                <w:lang w:val="ro-MD" w:eastAsia="ru-RU"/>
              </w:rPr>
            </w:pPr>
            <w:r w:rsidRPr="003E4656">
              <w:rPr>
                <w:rFonts w:eastAsiaTheme="minorEastAsia" w:cstheme="majorHAnsi"/>
                <w:b/>
                <w:sz w:val="20"/>
                <w:szCs w:val="20"/>
                <w:lang w:val="ro-MD" w:eastAsia="ru-RU"/>
              </w:rPr>
              <w:t>2020</w:t>
            </w:r>
          </w:p>
        </w:tc>
        <w:tc>
          <w:tcPr>
            <w:tcW w:w="1270" w:type="dxa"/>
          </w:tcPr>
          <w:p w14:paraId="42CA212D"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158,4</w:t>
            </w:r>
          </w:p>
        </w:tc>
        <w:tc>
          <w:tcPr>
            <w:tcW w:w="1200" w:type="dxa"/>
          </w:tcPr>
          <w:p w14:paraId="5F67A06D"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2 736,6</w:t>
            </w:r>
          </w:p>
        </w:tc>
        <w:tc>
          <w:tcPr>
            <w:tcW w:w="1335" w:type="dxa"/>
          </w:tcPr>
          <w:p w14:paraId="258250B6"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137,6</w:t>
            </w:r>
          </w:p>
        </w:tc>
        <w:tc>
          <w:tcPr>
            <w:tcW w:w="1376" w:type="dxa"/>
          </w:tcPr>
          <w:p w14:paraId="135F2B2A"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2 375,1</w:t>
            </w:r>
          </w:p>
        </w:tc>
        <w:tc>
          <w:tcPr>
            <w:tcW w:w="1417" w:type="dxa"/>
          </w:tcPr>
          <w:p w14:paraId="4507A3F4"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20,8</w:t>
            </w:r>
          </w:p>
        </w:tc>
        <w:tc>
          <w:tcPr>
            <w:tcW w:w="1463" w:type="dxa"/>
          </w:tcPr>
          <w:p w14:paraId="51299C3C" w14:textId="77777777" w:rsidR="00464E3F" w:rsidRPr="00560D3B" w:rsidRDefault="00464E3F" w:rsidP="00560D3B">
            <w:pPr>
              <w:jc w:val="center"/>
              <w:rPr>
                <w:rFonts w:eastAsiaTheme="minorEastAsia" w:cstheme="majorHAnsi"/>
                <w:sz w:val="20"/>
                <w:szCs w:val="20"/>
                <w:lang w:val="ro-MD" w:eastAsia="ru-RU"/>
              </w:rPr>
            </w:pPr>
            <w:r w:rsidRPr="00560D3B">
              <w:rPr>
                <w:rFonts w:eastAsiaTheme="minorEastAsia" w:cstheme="majorHAnsi"/>
                <w:sz w:val="20"/>
                <w:szCs w:val="20"/>
                <w:lang w:val="ro-MD" w:eastAsia="ru-RU"/>
              </w:rPr>
              <w:t>361,5</w:t>
            </w:r>
          </w:p>
        </w:tc>
      </w:tr>
    </w:tbl>
    <w:p w14:paraId="0640311B" w14:textId="77777777" w:rsidR="00464E3F" w:rsidRPr="00464E3F" w:rsidRDefault="00464E3F" w:rsidP="00FB1205">
      <w:pPr>
        <w:spacing w:after="240" w:line="276" w:lineRule="auto"/>
        <w:jc w:val="both"/>
        <w:rPr>
          <w:rFonts w:eastAsiaTheme="minorEastAsia" w:cstheme="majorHAnsi"/>
          <w:i/>
          <w:sz w:val="20"/>
          <w:szCs w:val="20"/>
          <w:lang w:val="ro-MD" w:eastAsia="ru-RU"/>
        </w:rPr>
      </w:pPr>
      <w:r w:rsidRPr="00464E3F">
        <w:rPr>
          <w:rFonts w:eastAsiaTheme="minorEastAsia" w:cstheme="majorHAnsi"/>
          <w:b/>
          <w:i/>
          <w:sz w:val="20"/>
          <w:szCs w:val="20"/>
          <w:lang w:val="ro-MD" w:eastAsia="ru-RU"/>
        </w:rPr>
        <w:t>Sursa:</w:t>
      </w:r>
      <w:r w:rsidRPr="00464E3F">
        <w:rPr>
          <w:rFonts w:eastAsiaTheme="minorEastAsia" w:cstheme="majorHAnsi"/>
          <w:i/>
          <w:sz w:val="20"/>
          <w:szCs w:val="20"/>
          <w:lang w:val="ro-MD" w:eastAsia="ru-RU"/>
        </w:rPr>
        <w:t xml:space="preserve"> Informația MF privind deservirea datoriei de stat interne și externe în perioada 2016 - 2020.</w:t>
      </w:r>
    </w:p>
    <w:p w14:paraId="5B7955D8" w14:textId="251E4909" w:rsidR="00D048A5" w:rsidRDefault="006447FE" w:rsidP="0038494E">
      <w:pPr>
        <w:pStyle w:val="af3"/>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Analiza în evoluție a cheltuielilor suportate pentru dese</w:t>
      </w:r>
      <w:r w:rsidR="009466F7">
        <w:rPr>
          <w:rFonts w:asciiTheme="majorHAnsi" w:hAnsiTheme="majorHAnsi" w:cstheme="majorHAnsi"/>
          <w:sz w:val="24"/>
          <w:szCs w:val="24"/>
          <w:lang w:val="ro-MD" w:eastAsia="ru-RU"/>
        </w:rPr>
        <w:t>rvirea datoriei de stat ex</w:t>
      </w:r>
      <w:r w:rsidR="00846069">
        <w:rPr>
          <w:rFonts w:asciiTheme="majorHAnsi" w:hAnsiTheme="majorHAnsi" w:cstheme="majorHAnsi"/>
          <w:sz w:val="24"/>
          <w:szCs w:val="24"/>
          <w:lang w:val="ro-MD" w:eastAsia="ru-RU"/>
        </w:rPr>
        <w:t>terne</w:t>
      </w:r>
      <w:r>
        <w:rPr>
          <w:rFonts w:asciiTheme="majorHAnsi" w:hAnsiTheme="majorHAnsi" w:cstheme="majorHAnsi"/>
          <w:sz w:val="24"/>
          <w:szCs w:val="24"/>
          <w:lang w:val="ro-MD" w:eastAsia="ru-RU"/>
        </w:rPr>
        <w:t xml:space="preserve"> în ultimii </w:t>
      </w:r>
      <w:r w:rsidR="000E6148">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5 ani, denotă un trend ascendent, de la 1 392,0 mil.lei în anul 2016, </w:t>
      </w:r>
      <w:r w:rsidR="00846069">
        <w:rPr>
          <w:rFonts w:asciiTheme="majorHAnsi" w:hAnsiTheme="majorHAnsi" w:cstheme="majorHAnsi"/>
          <w:sz w:val="24"/>
          <w:szCs w:val="24"/>
          <w:lang w:val="ro-MD" w:eastAsia="ru-RU"/>
        </w:rPr>
        <w:t xml:space="preserve">la 2 736,6 mil.lei în anul 2020. </w:t>
      </w:r>
      <w:r>
        <w:rPr>
          <w:rFonts w:asciiTheme="majorHAnsi" w:hAnsiTheme="majorHAnsi" w:cstheme="majorHAnsi"/>
          <w:sz w:val="24"/>
          <w:szCs w:val="24"/>
          <w:lang w:val="ro-MD" w:eastAsia="ru-RU"/>
        </w:rPr>
        <w:t xml:space="preserve"> </w:t>
      </w:r>
      <w:r w:rsidR="00172038">
        <w:rPr>
          <w:rFonts w:asciiTheme="majorHAnsi" w:hAnsiTheme="majorHAnsi" w:cstheme="majorHAnsi"/>
          <w:sz w:val="24"/>
          <w:szCs w:val="24"/>
          <w:lang w:val="ro-MD" w:eastAsia="ru-RU"/>
        </w:rPr>
        <w:t>C</w:t>
      </w:r>
      <w:r w:rsidR="00D21FBB">
        <w:rPr>
          <w:rFonts w:asciiTheme="majorHAnsi" w:hAnsiTheme="majorHAnsi" w:cstheme="majorHAnsi"/>
          <w:sz w:val="24"/>
          <w:szCs w:val="24"/>
          <w:lang w:val="ro-MD" w:eastAsia="ru-RU"/>
        </w:rPr>
        <w:t xml:space="preserve">reșterea cheltuielilor pentru deservirea datoriei de stat externe se </w:t>
      </w:r>
      <w:r w:rsidR="00DE4D03">
        <w:rPr>
          <w:rFonts w:asciiTheme="majorHAnsi" w:hAnsiTheme="majorHAnsi" w:cstheme="majorHAnsi"/>
          <w:sz w:val="24"/>
          <w:szCs w:val="24"/>
          <w:lang w:val="ro-MD" w:eastAsia="ru-RU"/>
        </w:rPr>
        <w:t>explică,</w:t>
      </w:r>
      <w:r w:rsidR="00D21FBB">
        <w:rPr>
          <w:rFonts w:asciiTheme="majorHAnsi" w:hAnsiTheme="majorHAnsi" w:cstheme="majorHAnsi"/>
          <w:sz w:val="24"/>
          <w:szCs w:val="24"/>
          <w:lang w:val="ro-MD" w:eastAsia="ru-RU"/>
        </w:rPr>
        <w:t xml:space="preserve"> în special</w:t>
      </w:r>
      <w:r w:rsidR="00DE4D03">
        <w:rPr>
          <w:rFonts w:asciiTheme="majorHAnsi" w:hAnsiTheme="majorHAnsi" w:cstheme="majorHAnsi"/>
          <w:sz w:val="24"/>
          <w:szCs w:val="24"/>
          <w:lang w:val="ro-MD" w:eastAsia="ru-RU"/>
        </w:rPr>
        <w:t>,</w:t>
      </w:r>
      <w:r w:rsidR="00D21FBB">
        <w:rPr>
          <w:rFonts w:asciiTheme="majorHAnsi" w:hAnsiTheme="majorHAnsi" w:cstheme="majorHAnsi"/>
          <w:sz w:val="24"/>
          <w:szCs w:val="24"/>
          <w:lang w:val="ro-MD" w:eastAsia="ru-RU"/>
        </w:rPr>
        <w:t xml:space="preserve"> </w:t>
      </w:r>
      <w:r w:rsidR="00DE4D03">
        <w:rPr>
          <w:rFonts w:asciiTheme="majorHAnsi" w:hAnsiTheme="majorHAnsi" w:cstheme="majorHAnsi"/>
          <w:sz w:val="24"/>
          <w:szCs w:val="24"/>
          <w:lang w:val="ro-MD" w:eastAsia="ru-RU"/>
        </w:rPr>
        <w:t>prin majorarea</w:t>
      </w:r>
      <w:r w:rsidR="00D21FBB">
        <w:rPr>
          <w:rFonts w:asciiTheme="majorHAnsi" w:hAnsiTheme="majorHAnsi" w:cstheme="majorHAnsi"/>
          <w:sz w:val="24"/>
          <w:szCs w:val="24"/>
          <w:lang w:val="ro-MD" w:eastAsia="ru-RU"/>
        </w:rPr>
        <w:t xml:space="preserve"> plăților </w:t>
      </w:r>
      <w:r w:rsidR="00172038">
        <w:rPr>
          <w:rFonts w:asciiTheme="majorHAnsi" w:hAnsiTheme="majorHAnsi" w:cstheme="majorHAnsi"/>
          <w:sz w:val="24"/>
          <w:szCs w:val="24"/>
          <w:lang w:val="ro-MD" w:eastAsia="ru-RU"/>
        </w:rPr>
        <w:t xml:space="preserve">destinate </w:t>
      </w:r>
      <w:r w:rsidR="009A15BF">
        <w:rPr>
          <w:rFonts w:asciiTheme="majorHAnsi" w:hAnsiTheme="majorHAnsi" w:cstheme="majorHAnsi"/>
          <w:sz w:val="24"/>
          <w:szCs w:val="24"/>
          <w:lang w:val="ro-MD" w:eastAsia="ru-RU"/>
        </w:rPr>
        <w:t>ramburs</w:t>
      </w:r>
      <w:r w:rsidR="00172038">
        <w:rPr>
          <w:rFonts w:asciiTheme="majorHAnsi" w:hAnsiTheme="majorHAnsi" w:cstheme="majorHAnsi"/>
          <w:sz w:val="24"/>
          <w:szCs w:val="24"/>
          <w:lang w:val="ro-MD" w:eastAsia="ru-RU"/>
        </w:rPr>
        <w:t>ărilor</w:t>
      </w:r>
      <w:r w:rsidR="009A15BF">
        <w:rPr>
          <w:rFonts w:asciiTheme="majorHAnsi" w:hAnsiTheme="majorHAnsi" w:cstheme="majorHAnsi"/>
          <w:sz w:val="24"/>
          <w:szCs w:val="24"/>
          <w:lang w:val="ro-MD" w:eastAsia="ru-RU"/>
        </w:rPr>
        <w:t xml:space="preserve"> </w:t>
      </w:r>
      <w:r w:rsidR="00172038">
        <w:rPr>
          <w:rFonts w:asciiTheme="majorHAnsi" w:hAnsiTheme="majorHAnsi" w:cstheme="majorHAnsi"/>
          <w:sz w:val="24"/>
          <w:szCs w:val="24"/>
          <w:lang w:val="ro-MD" w:eastAsia="ru-RU"/>
        </w:rPr>
        <w:t>de principal, inclusiv rambursarea împrumutului acor</w:t>
      </w:r>
      <w:r w:rsidR="00E009C9">
        <w:rPr>
          <w:rFonts w:asciiTheme="majorHAnsi" w:hAnsiTheme="majorHAnsi" w:cstheme="majorHAnsi"/>
          <w:sz w:val="24"/>
          <w:szCs w:val="24"/>
          <w:lang w:val="ro-MD" w:eastAsia="ru-RU"/>
        </w:rPr>
        <w:t>dat de Guvernul Federației Ruse</w:t>
      </w:r>
      <w:r w:rsidR="00172038" w:rsidRPr="00516F02">
        <w:rPr>
          <w:rFonts w:asciiTheme="majorHAnsi" w:hAnsiTheme="majorHAnsi" w:cstheme="majorHAnsi"/>
          <w:sz w:val="24"/>
          <w:szCs w:val="24"/>
          <w:lang w:val="ro-MD" w:eastAsia="ru-RU"/>
        </w:rPr>
        <w:t>,</w:t>
      </w:r>
      <w:r w:rsidR="00172038">
        <w:rPr>
          <w:rFonts w:asciiTheme="majorHAnsi" w:hAnsiTheme="majorHAnsi" w:cstheme="majorHAnsi"/>
          <w:sz w:val="24"/>
          <w:szCs w:val="24"/>
          <w:lang w:val="ro-MD" w:eastAsia="ru-RU"/>
        </w:rPr>
        <w:t xml:space="preserve"> împrumutului acordat de BERD (proiectul </w:t>
      </w:r>
      <w:r w:rsidR="00846069">
        <w:rPr>
          <w:rFonts w:asciiTheme="majorHAnsi" w:hAnsiTheme="majorHAnsi" w:cstheme="majorHAnsi"/>
          <w:sz w:val="24"/>
          <w:szCs w:val="24"/>
          <w:lang w:val="ro-MD" w:eastAsia="ru-RU"/>
        </w:rPr>
        <w:t>„</w:t>
      </w:r>
      <w:r w:rsidR="00172038">
        <w:rPr>
          <w:rFonts w:asciiTheme="majorHAnsi" w:hAnsiTheme="majorHAnsi" w:cstheme="majorHAnsi"/>
          <w:sz w:val="24"/>
          <w:szCs w:val="24"/>
          <w:lang w:val="ro-MD" w:eastAsia="ru-RU"/>
        </w:rPr>
        <w:t>Realizarea lucrărilor de construcție și reabilitare a drumurilor în Republica Moldova</w:t>
      </w:r>
      <w:r w:rsidR="00846069">
        <w:rPr>
          <w:rFonts w:asciiTheme="majorHAnsi" w:hAnsiTheme="majorHAnsi" w:cstheme="majorHAnsi"/>
          <w:sz w:val="24"/>
          <w:szCs w:val="24"/>
          <w:lang w:val="ro-MD" w:eastAsia="ru-RU"/>
        </w:rPr>
        <w:t>”</w:t>
      </w:r>
      <w:r w:rsidR="00172038">
        <w:rPr>
          <w:rFonts w:asciiTheme="majorHAnsi" w:hAnsiTheme="majorHAnsi" w:cstheme="majorHAnsi"/>
          <w:sz w:val="24"/>
          <w:szCs w:val="24"/>
          <w:lang w:val="ro-MD" w:eastAsia="ru-RU"/>
        </w:rPr>
        <w:t xml:space="preserve"> III și IV), precum </w:t>
      </w:r>
      <w:r w:rsidR="00172038" w:rsidRPr="00545FDB">
        <w:rPr>
          <w:rFonts w:asciiTheme="majorHAnsi" w:hAnsiTheme="majorHAnsi" w:cstheme="majorHAnsi"/>
          <w:color w:val="000000" w:themeColor="text1"/>
          <w:sz w:val="24"/>
          <w:szCs w:val="24"/>
          <w:lang w:val="ro-MD" w:eastAsia="ru-RU"/>
        </w:rPr>
        <w:t>și începerea rambursării împrumuturilor acordate de AID pentru realizarea proiectului „Finanțare suplimentară a proiectului de ameliorare a competitivității” și proiectului „Fondului de Investiții Sociale II”.</w:t>
      </w:r>
      <w:r w:rsidR="0000552A" w:rsidRPr="00545FDB">
        <w:rPr>
          <w:rFonts w:asciiTheme="majorHAnsi" w:hAnsiTheme="majorHAnsi" w:cstheme="majorHAnsi"/>
          <w:color w:val="000000" w:themeColor="text1"/>
          <w:sz w:val="24"/>
          <w:szCs w:val="24"/>
          <w:lang w:val="ro-MD" w:eastAsia="ru-RU"/>
        </w:rPr>
        <w:t xml:space="preserve"> </w:t>
      </w:r>
      <w:r w:rsidR="0000552A" w:rsidRPr="00E54478">
        <w:rPr>
          <w:rFonts w:asciiTheme="majorHAnsi" w:hAnsiTheme="majorHAnsi" w:cstheme="majorHAnsi"/>
          <w:sz w:val="24"/>
          <w:szCs w:val="24"/>
          <w:lang w:val="ro-MD" w:eastAsia="ru-RU"/>
        </w:rPr>
        <w:t xml:space="preserve">În totalul deservirii datoriei de stat externe în anul 2020, ponderea cea mai mare o dețin următorii </w:t>
      </w:r>
      <w:r w:rsidR="00006B73">
        <w:rPr>
          <w:rFonts w:asciiTheme="majorHAnsi" w:hAnsiTheme="majorHAnsi" w:cstheme="majorHAnsi"/>
          <w:sz w:val="24"/>
          <w:szCs w:val="24"/>
          <w:lang w:val="ro-MD" w:eastAsia="ru-RU"/>
        </w:rPr>
        <w:t>creditori</w:t>
      </w:r>
      <w:r w:rsidR="0000552A" w:rsidRPr="00E54478">
        <w:rPr>
          <w:rFonts w:asciiTheme="majorHAnsi" w:hAnsiTheme="majorHAnsi" w:cstheme="majorHAnsi"/>
          <w:sz w:val="24"/>
          <w:szCs w:val="24"/>
          <w:lang w:val="ro-MD" w:eastAsia="ru-RU"/>
        </w:rPr>
        <w:t xml:space="preserve"> în favoarea cărora se deservesc împrumuturil</w:t>
      </w:r>
      <w:r w:rsidR="009D3A1B">
        <w:rPr>
          <w:rFonts w:asciiTheme="majorHAnsi" w:hAnsiTheme="majorHAnsi" w:cstheme="majorHAnsi"/>
          <w:sz w:val="24"/>
          <w:szCs w:val="24"/>
          <w:lang w:val="ro-MD" w:eastAsia="ru-RU"/>
        </w:rPr>
        <w:t>e de stat externe: Guvernul Româ</w:t>
      </w:r>
      <w:r w:rsidR="0000552A" w:rsidRPr="00E54478">
        <w:rPr>
          <w:rFonts w:asciiTheme="majorHAnsi" w:hAnsiTheme="majorHAnsi" w:cstheme="majorHAnsi"/>
          <w:sz w:val="24"/>
          <w:szCs w:val="24"/>
          <w:lang w:val="ro-MD" w:eastAsia="ru-RU"/>
        </w:rPr>
        <w:t xml:space="preserve">niei – 27,5% (43,5 mil. dol. SUA), </w:t>
      </w:r>
      <w:r w:rsidR="00E54478" w:rsidRPr="00E54478">
        <w:rPr>
          <w:rFonts w:asciiTheme="majorHAnsi" w:hAnsiTheme="majorHAnsi" w:cstheme="majorHAnsi"/>
          <w:sz w:val="24"/>
          <w:szCs w:val="24"/>
          <w:lang w:val="ro-MD" w:eastAsia="ru-RU"/>
        </w:rPr>
        <w:t>AID – 18,6% (29,5 mil. dol. SUA)</w:t>
      </w:r>
      <w:r w:rsidR="00846069">
        <w:rPr>
          <w:rFonts w:asciiTheme="majorHAnsi" w:hAnsiTheme="majorHAnsi" w:cstheme="majorHAnsi"/>
          <w:sz w:val="24"/>
          <w:szCs w:val="24"/>
          <w:lang w:val="ro-MD" w:eastAsia="ru-RU"/>
        </w:rPr>
        <w:t>,</w:t>
      </w:r>
      <w:r w:rsidR="00E54478" w:rsidRPr="00E54478">
        <w:rPr>
          <w:rFonts w:asciiTheme="majorHAnsi" w:hAnsiTheme="majorHAnsi" w:cstheme="majorHAnsi"/>
          <w:sz w:val="24"/>
          <w:szCs w:val="24"/>
          <w:lang w:val="ro-MD" w:eastAsia="ru-RU"/>
        </w:rPr>
        <w:t xml:space="preserve"> și F</w:t>
      </w:r>
      <w:r w:rsidR="00846069">
        <w:rPr>
          <w:rFonts w:asciiTheme="majorHAnsi" w:hAnsiTheme="majorHAnsi" w:cstheme="majorHAnsi"/>
          <w:sz w:val="24"/>
          <w:szCs w:val="24"/>
          <w:lang w:val="ro-MD" w:eastAsia="ru-RU"/>
        </w:rPr>
        <w:t>MI – 15,0% (23,7 mil. dol. SUA)</w:t>
      </w:r>
      <w:r w:rsidR="00E54478" w:rsidRPr="00E54478">
        <w:rPr>
          <w:rFonts w:asciiTheme="majorHAnsi" w:hAnsiTheme="majorHAnsi" w:cstheme="majorHAnsi"/>
          <w:sz w:val="24"/>
          <w:szCs w:val="24"/>
          <w:lang w:val="ro-MD" w:eastAsia="ru-RU"/>
        </w:rPr>
        <w:t xml:space="preserve"> etc.</w:t>
      </w:r>
      <w:bookmarkStart w:id="24" w:name="_Toc47012278"/>
    </w:p>
    <w:p w14:paraId="525793E9" w14:textId="71BD5737" w:rsidR="002F7EB4" w:rsidRPr="006E0953" w:rsidRDefault="00A5159A" w:rsidP="00F93D9A">
      <w:pPr>
        <w:pStyle w:val="2"/>
        <w:numPr>
          <w:ilvl w:val="1"/>
          <w:numId w:val="14"/>
        </w:numPr>
        <w:spacing w:after="240" w:line="276" w:lineRule="auto"/>
        <w:rPr>
          <w:i w:val="0"/>
        </w:rPr>
      </w:pPr>
      <w:bookmarkStart w:id="25" w:name="_Toc75436451"/>
      <w:r w:rsidRPr="006E0953">
        <w:rPr>
          <w:i w:val="0"/>
        </w:rPr>
        <w:t>Obiectivul specific nr.II. Evaluarea conformității acordării garanțiilor de stat</w:t>
      </w:r>
      <w:bookmarkEnd w:id="25"/>
    </w:p>
    <w:p w14:paraId="1CBC59B0" w14:textId="5A99D55D" w:rsidR="00D43FA4" w:rsidRDefault="00D43FA4" w:rsidP="00D43FA4">
      <w:pPr>
        <w:pStyle w:val="af3"/>
        <w:spacing w:after="240" w:line="276" w:lineRule="auto"/>
        <w:jc w:val="both"/>
        <w:rPr>
          <w:rFonts w:ascii="Calibri Light" w:eastAsia="Calibri" w:hAnsi="Calibri Light" w:cs="Calibri Light"/>
          <w:i/>
          <w:sz w:val="24"/>
          <w:szCs w:val="24"/>
          <w:lang w:val="ro-RO"/>
        </w:rPr>
      </w:pPr>
      <w:r w:rsidRPr="00D43FA4">
        <w:rPr>
          <w:rFonts w:ascii="Calibri Light" w:eastAsia="Calibri" w:hAnsi="Calibri Light" w:cs="Calibri Light"/>
          <w:i/>
          <w:sz w:val="24"/>
          <w:szCs w:val="24"/>
          <w:lang w:val="ro-RO"/>
        </w:rPr>
        <w:t>Soldul garanțiilor de stat a constituit 1 233,8 mil. lei, majorându-se cu 305,2 mil.</w:t>
      </w:r>
      <w:r w:rsidR="00846069">
        <w:rPr>
          <w:rFonts w:ascii="Calibri Light" w:eastAsia="Calibri" w:hAnsi="Calibri Light" w:cs="Calibri Light"/>
          <w:i/>
          <w:sz w:val="24"/>
          <w:szCs w:val="24"/>
          <w:lang w:val="ro-RO"/>
        </w:rPr>
        <w:t>l</w:t>
      </w:r>
      <w:r w:rsidRPr="00D43FA4">
        <w:rPr>
          <w:rFonts w:ascii="Calibri Light" w:eastAsia="Calibri" w:hAnsi="Calibri Light" w:cs="Calibri Light"/>
          <w:i/>
          <w:sz w:val="24"/>
          <w:szCs w:val="24"/>
          <w:lang w:val="ro-RO"/>
        </w:rPr>
        <w:t>ei</w:t>
      </w:r>
      <w:r w:rsidR="00846069">
        <w:rPr>
          <w:rFonts w:ascii="Calibri Light" w:eastAsia="Calibri" w:hAnsi="Calibri Light" w:cs="Calibri Light"/>
          <w:i/>
          <w:sz w:val="24"/>
          <w:szCs w:val="24"/>
          <w:lang w:val="ro-RO"/>
        </w:rPr>
        <w:t>,</w:t>
      </w:r>
      <w:r w:rsidRPr="00D43FA4">
        <w:rPr>
          <w:rFonts w:ascii="Calibri Light" w:eastAsia="Calibri" w:hAnsi="Calibri Light" w:cs="Calibri Light"/>
          <w:i/>
          <w:sz w:val="24"/>
          <w:szCs w:val="24"/>
          <w:lang w:val="ro-RO"/>
        </w:rPr>
        <w:t xml:space="preserve"> comparativ cu finele anului precedent, fiind format în totalitate din garanții de stat interne acordate în cadrul Programului de stat „Prima casă”. În anul 2020 a f</w:t>
      </w:r>
      <w:r w:rsidR="00E11BAD">
        <w:rPr>
          <w:rFonts w:ascii="Calibri Light" w:eastAsia="Calibri" w:hAnsi="Calibri Light" w:cs="Calibri Light"/>
          <w:i/>
          <w:sz w:val="24"/>
          <w:szCs w:val="24"/>
          <w:lang w:val="ro-RO"/>
        </w:rPr>
        <w:t xml:space="preserve">ost înregistrat primul caz de </w:t>
      </w:r>
      <w:r w:rsidRPr="00D43FA4">
        <w:rPr>
          <w:rFonts w:ascii="Calibri Light" w:eastAsia="Calibri" w:hAnsi="Calibri Light" w:cs="Calibri Light"/>
          <w:i/>
          <w:sz w:val="24"/>
          <w:szCs w:val="24"/>
          <w:lang w:val="ro-RO"/>
        </w:rPr>
        <w:t>onorare</w:t>
      </w:r>
      <w:r w:rsidR="00E11BAD">
        <w:rPr>
          <w:rFonts w:ascii="Calibri Light" w:eastAsia="Calibri" w:hAnsi="Calibri Light" w:cs="Calibri Light"/>
          <w:i/>
          <w:sz w:val="24"/>
          <w:szCs w:val="24"/>
          <w:lang w:val="ro-RO"/>
        </w:rPr>
        <w:t xml:space="preserve">/activare </w:t>
      </w:r>
      <w:r w:rsidRPr="00D43FA4">
        <w:rPr>
          <w:rFonts w:ascii="Calibri Light" w:eastAsia="Calibri" w:hAnsi="Calibri Light" w:cs="Calibri Light"/>
          <w:i/>
          <w:sz w:val="24"/>
          <w:szCs w:val="24"/>
          <w:lang w:val="ro-RO"/>
        </w:rPr>
        <w:t xml:space="preserve"> a garanției de stat în sumă de 167,7 mii lei acordate în cadrul Programului de stat „Prima casă”, în contextul în care echipa de audit a prevăzut acest risc în raportul de audit precedent.</w:t>
      </w:r>
      <w:r>
        <w:rPr>
          <w:rFonts w:ascii="Calibri Light" w:eastAsia="Calibri" w:hAnsi="Calibri Light" w:cs="Calibri Light"/>
          <w:i/>
          <w:sz w:val="24"/>
          <w:szCs w:val="24"/>
          <w:lang w:val="ro-RO"/>
        </w:rPr>
        <w:t xml:space="preserve"> S</w:t>
      </w:r>
      <w:r w:rsidRPr="00D43FA4">
        <w:rPr>
          <w:rFonts w:ascii="Calibri Light" w:eastAsia="Calibri" w:hAnsi="Calibri Light" w:cs="Calibri Light"/>
          <w:i/>
          <w:sz w:val="24"/>
          <w:szCs w:val="24"/>
          <w:lang w:val="ro-RO"/>
        </w:rPr>
        <w:t xml:space="preserve">oldul datoriei debitorilor garantați față de MF </w:t>
      </w:r>
      <w:r>
        <w:rPr>
          <w:rFonts w:ascii="Calibri Light" w:eastAsia="Calibri" w:hAnsi="Calibri Light" w:cs="Calibri Light"/>
          <w:i/>
          <w:sz w:val="24"/>
          <w:szCs w:val="24"/>
          <w:lang w:val="ro-RO"/>
        </w:rPr>
        <w:t>la situația din 31.12.2020 a</w:t>
      </w:r>
      <w:r w:rsidRPr="00D43FA4">
        <w:rPr>
          <w:rFonts w:ascii="Calibri Light" w:eastAsia="Calibri" w:hAnsi="Calibri Light" w:cs="Calibri Light"/>
          <w:i/>
          <w:sz w:val="24"/>
          <w:szCs w:val="24"/>
          <w:lang w:val="ro-RO"/>
        </w:rPr>
        <w:t xml:space="preserve"> constitui</w:t>
      </w:r>
      <w:r>
        <w:rPr>
          <w:rFonts w:ascii="Calibri Light" w:eastAsia="Calibri" w:hAnsi="Calibri Light" w:cs="Calibri Light"/>
          <w:i/>
          <w:sz w:val="24"/>
          <w:szCs w:val="24"/>
          <w:lang w:val="ro-RO"/>
        </w:rPr>
        <w:t>t</w:t>
      </w:r>
      <w:r w:rsidRPr="00D43FA4">
        <w:rPr>
          <w:rFonts w:ascii="Calibri Light" w:eastAsia="Calibri" w:hAnsi="Calibri Light" w:cs="Calibri Light"/>
          <w:i/>
          <w:sz w:val="24"/>
          <w:szCs w:val="24"/>
          <w:lang w:val="ro-RO"/>
        </w:rPr>
        <w:t xml:space="preserve"> </w:t>
      </w:r>
      <w:r>
        <w:rPr>
          <w:rFonts w:ascii="Calibri Light" w:eastAsia="Calibri" w:hAnsi="Calibri Light" w:cs="Calibri Light"/>
          <w:i/>
          <w:sz w:val="24"/>
          <w:szCs w:val="24"/>
          <w:lang w:val="ro-RO"/>
        </w:rPr>
        <w:lastRenderedPageBreak/>
        <w:t xml:space="preserve">456,5 mil. lei, acesta fiind în totalitate cu termenul de achitare expirat, ceea ce </w:t>
      </w:r>
      <w:r w:rsidR="00846069">
        <w:rPr>
          <w:rFonts w:ascii="Calibri Light" w:eastAsia="Calibri" w:hAnsi="Calibri Light" w:cs="Calibri Light"/>
          <w:i/>
          <w:sz w:val="24"/>
          <w:szCs w:val="24"/>
          <w:lang w:val="ro-RO"/>
        </w:rPr>
        <w:t>re</w:t>
      </w:r>
      <w:r>
        <w:rPr>
          <w:rFonts w:ascii="Calibri Light" w:eastAsia="Calibri" w:hAnsi="Calibri Light" w:cs="Calibri Light"/>
          <w:i/>
          <w:sz w:val="24"/>
          <w:szCs w:val="24"/>
          <w:lang w:val="ro-RO"/>
        </w:rPr>
        <w:t>prezintă un risc înalt de nerecuperare.</w:t>
      </w:r>
    </w:p>
    <w:p w14:paraId="5FB3629A" w14:textId="0111901F" w:rsidR="002F7EB4" w:rsidRPr="004E5F9C" w:rsidRDefault="002F7EB4" w:rsidP="00CC458C">
      <w:pPr>
        <w:pStyle w:val="3"/>
        <w:numPr>
          <w:ilvl w:val="2"/>
          <w:numId w:val="14"/>
        </w:numPr>
        <w:tabs>
          <w:tab w:val="left" w:pos="284"/>
          <w:tab w:val="left" w:pos="426"/>
        </w:tabs>
        <w:spacing w:before="0" w:line="276" w:lineRule="auto"/>
        <w:ind w:left="0" w:firstLine="0"/>
        <w:jc w:val="both"/>
      </w:pPr>
      <w:bookmarkStart w:id="26" w:name="_Toc75436452"/>
      <w:r w:rsidRPr="004E5F9C">
        <w:t xml:space="preserve">În anul 2020 a fost </w:t>
      </w:r>
      <w:r w:rsidR="00576248">
        <w:t xml:space="preserve">înregistrat primul caz de </w:t>
      </w:r>
      <w:r w:rsidRPr="004E5F9C">
        <w:t>onorare</w:t>
      </w:r>
      <w:r w:rsidR="00576248">
        <w:t>/activare</w:t>
      </w:r>
      <w:r w:rsidRPr="004E5F9C">
        <w:t xml:space="preserve"> a garanției de stat acordată în cadrul Programului de stat „Prima casă”</w:t>
      </w:r>
      <w:r w:rsidR="00846069">
        <w:t>.</w:t>
      </w:r>
      <w:bookmarkEnd w:id="26"/>
    </w:p>
    <w:p w14:paraId="0B196EBD" w14:textId="4B732FA2" w:rsidR="00027E30" w:rsidRPr="002F7EB4" w:rsidRDefault="005B2959" w:rsidP="00CC458C">
      <w:pPr>
        <w:spacing w:after="0" w:line="276" w:lineRule="auto"/>
        <w:jc w:val="both"/>
        <w:rPr>
          <w:b/>
          <w:color w:val="5B9BD5" w:themeColor="accent1"/>
          <w:lang w:val="ro-MD" w:eastAsia="ru-RU"/>
        </w:rPr>
      </w:pPr>
      <w:r w:rsidRPr="002F7EB4">
        <w:rPr>
          <w:lang w:val="ro-MD" w:eastAsia="ru-RU"/>
        </w:rPr>
        <w:t>În anul 2020 a continuat implementarea Programului de stat „Prima casă” în conformitate</w:t>
      </w:r>
      <w:r w:rsidR="00846069">
        <w:rPr>
          <w:lang w:val="ro-MD" w:eastAsia="ru-RU"/>
        </w:rPr>
        <w:t xml:space="preserve"> cu Legea nr.293 din 21.12.2017</w:t>
      </w:r>
      <w:r>
        <w:rPr>
          <w:rStyle w:val="a6"/>
          <w:rFonts w:eastAsia="Times New Roman" w:cstheme="majorHAnsi"/>
          <w:bCs/>
          <w:szCs w:val="24"/>
          <w:lang w:val="ro-MD" w:eastAsia="ru-RU"/>
        </w:rPr>
        <w:footnoteReference w:id="21"/>
      </w:r>
      <w:r w:rsidRPr="002F7EB4">
        <w:rPr>
          <w:lang w:val="ro-MD" w:eastAsia="ru-RU"/>
        </w:rPr>
        <w:t xml:space="preserve"> și </w:t>
      </w:r>
      <w:r w:rsidR="00846069">
        <w:rPr>
          <w:lang w:val="ro-MD" w:eastAsia="ru-RU"/>
        </w:rPr>
        <w:t>cu Hotărâ</w:t>
      </w:r>
      <w:r w:rsidRPr="002F7EB4">
        <w:rPr>
          <w:lang w:val="ro-MD" w:eastAsia="ru-RU"/>
        </w:rPr>
        <w:t>rea Guvernului nr.202 din 28.02.2018</w:t>
      </w:r>
      <w:r>
        <w:rPr>
          <w:rStyle w:val="a6"/>
          <w:rFonts w:eastAsia="Times New Roman" w:cstheme="majorHAnsi"/>
          <w:bCs/>
          <w:szCs w:val="24"/>
          <w:lang w:val="ro-MD" w:eastAsia="ru-RU"/>
        </w:rPr>
        <w:footnoteReference w:id="22"/>
      </w:r>
      <w:r w:rsidR="00305ABC" w:rsidRPr="002F7EB4">
        <w:rPr>
          <w:lang w:val="ro-MD" w:eastAsia="ru-RU"/>
        </w:rPr>
        <w:t>. C</w:t>
      </w:r>
      <w:r w:rsidR="00A5159A" w:rsidRPr="002F7EB4">
        <w:rPr>
          <w:rFonts w:ascii="Calibri Light" w:eastAsia="Calibri" w:hAnsi="Calibri Light" w:cs="Calibri Light"/>
          <w:lang w:val="ro-RO"/>
        </w:rPr>
        <w:t>onform Legii bugetului de stat pe anul 2020</w:t>
      </w:r>
      <w:r w:rsidR="00A5159A" w:rsidRPr="00A5159A">
        <w:rPr>
          <w:rFonts w:ascii="Calibri Light" w:eastAsia="Calibri" w:hAnsi="Calibri Light" w:cs="Calibri Light"/>
          <w:vertAlign w:val="superscript"/>
          <w:lang w:val="ro-RO"/>
        </w:rPr>
        <w:footnoteReference w:id="23"/>
      </w:r>
      <w:r w:rsidR="00A5159A" w:rsidRPr="002F7EB4">
        <w:rPr>
          <w:rFonts w:ascii="Calibri Light" w:eastAsia="Calibri" w:hAnsi="Calibri Light" w:cs="Calibri Light"/>
          <w:lang w:val="ro-RO"/>
        </w:rPr>
        <w:t xml:space="preserve">, s-a stabilit că soldul garanțiilor de stat interne nu va depăși </w:t>
      </w:r>
      <w:r w:rsidR="00A908C9" w:rsidRPr="002F7EB4">
        <w:rPr>
          <w:rFonts w:ascii="Calibri Light" w:eastAsia="Calibri" w:hAnsi="Calibri Light" w:cs="Calibri Light"/>
          <w:lang w:val="ro-RO"/>
        </w:rPr>
        <w:t xml:space="preserve">              </w:t>
      </w:r>
      <w:r w:rsidR="00A5159A" w:rsidRPr="002F7EB4">
        <w:rPr>
          <w:rFonts w:ascii="Calibri Light" w:eastAsia="Calibri" w:hAnsi="Calibri Light" w:cs="Calibri Light"/>
          <w:lang w:val="ro-RO"/>
        </w:rPr>
        <w:t xml:space="preserve">2 500,0 mil. lei. La situația din 31.12.2020, soldul garanțiilor de stat a constituit 1 233,8 mil. lei, majorându-se cu 305,2 mil. lei comparativ cu finele anului precedent, fiind format în totalitate din garanții de stat interne acordate în cadrul Programului de stat „Prima casă”. </w:t>
      </w:r>
    </w:p>
    <w:p w14:paraId="63A88273" w14:textId="7A5236B2" w:rsidR="00027E30" w:rsidRDefault="00027E30" w:rsidP="00FB1205">
      <w:pPr>
        <w:shd w:val="clear" w:color="auto" w:fill="FFFFFF"/>
        <w:spacing w:after="0" w:line="276" w:lineRule="auto"/>
        <w:jc w:val="both"/>
        <w:rPr>
          <w:rFonts w:ascii="Calibri Light" w:eastAsia="Calibri" w:hAnsi="Calibri Light" w:cs="Calibri Light"/>
          <w:i/>
          <w:szCs w:val="24"/>
          <w:lang w:val="ro-RO"/>
        </w:rPr>
      </w:pPr>
      <w:r>
        <w:rPr>
          <w:rFonts w:ascii="Calibri Light" w:eastAsia="Calibri" w:hAnsi="Calibri Light" w:cs="Calibri Light"/>
          <w:szCs w:val="24"/>
          <w:lang w:val="ro-RO"/>
        </w:rPr>
        <w:t>P</w:t>
      </w:r>
      <w:r w:rsidRPr="00027E30">
        <w:rPr>
          <w:rFonts w:ascii="Calibri Light" w:eastAsia="Calibri" w:hAnsi="Calibri Light" w:cs="Calibri Light"/>
          <w:szCs w:val="24"/>
          <w:lang w:val="ro-RO"/>
        </w:rPr>
        <w:t>e parcursul anului 2020, băncile comerciale</w:t>
      </w:r>
      <w:r w:rsidR="007D7820">
        <w:rPr>
          <w:rFonts w:ascii="Calibri Light" w:eastAsia="Calibri" w:hAnsi="Calibri Light" w:cs="Calibri Light"/>
          <w:szCs w:val="24"/>
          <w:lang w:val="ro-RO"/>
        </w:rPr>
        <w:t xml:space="preserve"> </w:t>
      </w:r>
      <w:r w:rsidRPr="00027E30">
        <w:rPr>
          <w:rFonts w:ascii="Calibri Light" w:eastAsia="Calibri" w:hAnsi="Calibri Light" w:cs="Calibri Light"/>
          <w:szCs w:val="24"/>
          <w:lang w:val="ro-RO"/>
        </w:rPr>
        <w:t xml:space="preserve">au acordat în cadrul Programului noi credite garantate de stat în sumă de 370,9 mil. lei. În aceeași perioadă, beneficiarii Programului au rambursat credite garantate în sumă de doar 65,7 mil. lei. </w:t>
      </w:r>
      <w:r w:rsidRPr="00D47774">
        <w:rPr>
          <w:rFonts w:ascii="Calibri Light" w:eastAsia="Calibri" w:hAnsi="Calibri Light" w:cs="Calibri Light"/>
          <w:i/>
          <w:szCs w:val="24"/>
          <w:lang w:val="ro-RO"/>
        </w:rPr>
        <w:t>Informația privind soldul garanțiilor de stat acordate în cadrul Programului „Prima casă” se prezintă în Tabelul nr.</w:t>
      </w:r>
      <w:r w:rsidR="00837A13">
        <w:rPr>
          <w:rFonts w:ascii="Calibri Light" w:eastAsia="Calibri" w:hAnsi="Calibri Light" w:cs="Calibri Light"/>
          <w:i/>
          <w:szCs w:val="24"/>
          <w:lang w:val="ro-RO"/>
        </w:rPr>
        <w:t>9</w:t>
      </w:r>
      <w:r w:rsidRPr="00D47774">
        <w:rPr>
          <w:rFonts w:ascii="Calibri Light" w:eastAsia="Calibri" w:hAnsi="Calibri Light" w:cs="Calibri Light"/>
          <w:i/>
          <w:szCs w:val="24"/>
          <w:lang w:val="ro-RO"/>
        </w:rPr>
        <w:t>.</w:t>
      </w:r>
    </w:p>
    <w:p w14:paraId="391C8D9C" w14:textId="01F154B7" w:rsidR="00027E30" w:rsidRDefault="00027E30" w:rsidP="00560D3B">
      <w:pPr>
        <w:shd w:val="clear" w:color="auto" w:fill="FFFFFF"/>
        <w:spacing w:after="0"/>
        <w:jc w:val="right"/>
        <w:rPr>
          <w:rFonts w:ascii="Calibri Light" w:eastAsia="Calibri" w:hAnsi="Calibri Light" w:cs="Calibri Light"/>
          <w:b/>
          <w:i/>
          <w:szCs w:val="24"/>
          <w:lang w:val="ro-RO"/>
        </w:rPr>
      </w:pPr>
      <w:r w:rsidRPr="00027E30">
        <w:rPr>
          <w:rFonts w:ascii="Calibri Light" w:eastAsia="Calibri" w:hAnsi="Calibri Light" w:cs="Calibri Light"/>
          <w:b/>
          <w:i/>
          <w:szCs w:val="24"/>
          <w:lang w:val="ro-RO"/>
        </w:rPr>
        <w:t>Tabelul nr.</w:t>
      </w:r>
      <w:r w:rsidR="00837A13">
        <w:rPr>
          <w:rFonts w:ascii="Calibri Light" w:eastAsia="Calibri" w:hAnsi="Calibri Light" w:cs="Calibri Light"/>
          <w:b/>
          <w:i/>
          <w:szCs w:val="24"/>
          <w:lang w:val="ro-RO"/>
        </w:rPr>
        <w:t>9</w:t>
      </w:r>
    </w:p>
    <w:p w14:paraId="1B950572" w14:textId="31DB2F7E" w:rsidR="002E175E" w:rsidRPr="002E175E" w:rsidRDefault="002E175E" w:rsidP="002E175E">
      <w:pPr>
        <w:shd w:val="clear" w:color="auto" w:fill="FFFFFF"/>
        <w:spacing w:after="0"/>
        <w:jc w:val="center"/>
        <w:rPr>
          <w:rFonts w:ascii="Calibri Light" w:eastAsia="Calibri" w:hAnsi="Calibri Light" w:cs="Calibri Light"/>
          <w:b/>
          <w:szCs w:val="24"/>
          <w:lang w:val="ro-RO"/>
        </w:rPr>
      </w:pPr>
      <w:r>
        <w:rPr>
          <w:rFonts w:ascii="Calibri Light" w:eastAsia="Calibri" w:hAnsi="Calibri Light" w:cs="Calibri Light"/>
          <w:b/>
          <w:szCs w:val="24"/>
          <w:lang w:val="ro-RO"/>
        </w:rPr>
        <w:t>S</w:t>
      </w:r>
      <w:r w:rsidRPr="002E175E">
        <w:rPr>
          <w:rFonts w:ascii="Calibri Light" w:eastAsia="Calibri" w:hAnsi="Calibri Light" w:cs="Calibri Light"/>
          <w:b/>
          <w:szCs w:val="24"/>
          <w:lang w:val="ro-RO"/>
        </w:rPr>
        <w:t>oldul garanțiilor de stat acordate în cadrul Programului „Prima casă”</w:t>
      </w:r>
    </w:p>
    <w:p w14:paraId="7AFB1196" w14:textId="165C74C9" w:rsidR="00027E30" w:rsidRPr="00027E30" w:rsidRDefault="00027E30" w:rsidP="00560D3B">
      <w:pPr>
        <w:shd w:val="clear" w:color="auto" w:fill="FFFFFF"/>
        <w:spacing w:after="0"/>
        <w:jc w:val="right"/>
        <w:rPr>
          <w:rFonts w:ascii="Calibri Light" w:eastAsia="Calibri" w:hAnsi="Calibri Light" w:cs="Calibri Light"/>
          <w:i/>
          <w:sz w:val="20"/>
          <w:szCs w:val="20"/>
          <w:lang w:val="ro-RO"/>
        </w:rPr>
      </w:pPr>
      <w:r w:rsidRPr="00027E30">
        <w:rPr>
          <w:rFonts w:ascii="Calibri Light" w:eastAsia="Calibri" w:hAnsi="Calibri Light" w:cs="Calibri Light"/>
          <w:i/>
          <w:sz w:val="20"/>
          <w:szCs w:val="20"/>
          <w:lang w:val="ro-RO"/>
        </w:rPr>
        <w:t>mii lei</w:t>
      </w:r>
    </w:p>
    <w:tbl>
      <w:tblPr>
        <w:tblStyle w:val="TableGrid8"/>
        <w:tblW w:w="0" w:type="auto"/>
        <w:tblLook w:val="04A0" w:firstRow="1" w:lastRow="0" w:firstColumn="1" w:lastColumn="0" w:noHBand="0" w:noVBand="1"/>
      </w:tblPr>
      <w:tblGrid>
        <w:gridCol w:w="2857"/>
        <w:gridCol w:w="1648"/>
        <w:gridCol w:w="1630"/>
        <w:gridCol w:w="1521"/>
        <w:gridCol w:w="1689"/>
      </w:tblGrid>
      <w:tr w:rsidR="00027E30" w:rsidRPr="00A908C9" w14:paraId="31C8ED65" w14:textId="77777777" w:rsidTr="005232AC">
        <w:trPr>
          <w:trHeight w:val="873"/>
        </w:trPr>
        <w:tc>
          <w:tcPr>
            <w:tcW w:w="2972" w:type="dxa"/>
            <w:shd w:val="clear" w:color="auto" w:fill="D9D9D9" w:themeFill="background1" w:themeFillShade="D9"/>
          </w:tcPr>
          <w:p w14:paraId="0CDE9318"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Denumirea creditorului</w:t>
            </w:r>
          </w:p>
        </w:tc>
        <w:tc>
          <w:tcPr>
            <w:tcW w:w="1701" w:type="dxa"/>
            <w:shd w:val="clear" w:color="auto" w:fill="D9D9D9" w:themeFill="background1" w:themeFillShade="D9"/>
          </w:tcPr>
          <w:p w14:paraId="51BDACE6"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Soldul creditelor garantate la situația din 31.12.2019</w:t>
            </w:r>
          </w:p>
        </w:tc>
        <w:tc>
          <w:tcPr>
            <w:tcW w:w="1701" w:type="dxa"/>
            <w:shd w:val="clear" w:color="auto" w:fill="D9D9D9" w:themeFill="background1" w:themeFillShade="D9"/>
          </w:tcPr>
          <w:p w14:paraId="749EE1B2"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Credite acordate sub garanția statului în anul 2020</w:t>
            </w:r>
          </w:p>
        </w:tc>
        <w:tc>
          <w:tcPr>
            <w:tcW w:w="1559" w:type="dxa"/>
            <w:shd w:val="clear" w:color="auto" w:fill="D9D9D9" w:themeFill="background1" w:themeFillShade="D9"/>
          </w:tcPr>
          <w:p w14:paraId="0E456A52"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Credite rambursate în anul 2020</w:t>
            </w:r>
          </w:p>
        </w:tc>
        <w:tc>
          <w:tcPr>
            <w:tcW w:w="1746" w:type="dxa"/>
            <w:shd w:val="clear" w:color="auto" w:fill="D9D9D9" w:themeFill="background1" w:themeFillShade="D9"/>
          </w:tcPr>
          <w:p w14:paraId="180C7A9F"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Soldul creditelor garantate la situația din 31.12.2020</w:t>
            </w:r>
          </w:p>
        </w:tc>
      </w:tr>
      <w:tr w:rsidR="00027E30" w:rsidRPr="00A908C9" w14:paraId="0670B8C1" w14:textId="77777777" w:rsidTr="005232AC">
        <w:trPr>
          <w:trHeight w:val="351"/>
        </w:trPr>
        <w:tc>
          <w:tcPr>
            <w:tcW w:w="2972" w:type="dxa"/>
          </w:tcPr>
          <w:p w14:paraId="0448080C" w14:textId="2FA391D1" w:rsidR="00027E30" w:rsidRPr="00A908C9" w:rsidRDefault="00027E30" w:rsidP="00FB1205">
            <w:pPr>
              <w:jc w:val="both"/>
              <w:rPr>
                <w:rFonts w:ascii="Calibri Light" w:eastAsia="Calibri" w:hAnsi="Calibri Light" w:cs="Calibri Light"/>
                <w:sz w:val="20"/>
                <w:szCs w:val="20"/>
              </w:rPr>
            </w:pPr>
            <w:r w:rsidRPr="00A908C9">
              <w:rPr>
                <w:rFonts w:ascii="Calibri Light" w:eastAsia="Calibri" w:hAnsi="Calibri Light" w:cs="Calibri Light"/>
                <w:sz w:val="20"/>
                <w:szCs w:val="20"/>
              </w:rPr>
              <w:t>BC „Moldova-Agroindbank” S</w:t>
            </w:r>
            <w:r w:rsidR="000766DD">
              <w:rPr>
                <w:rFonts w:ascii="Calibri Light" w:eastAsia="Calibri" w:hAnsi="Calibri Light" w:cs="Calibri Light"/>
                <w:sz w:val="20"/>
                <w:szCs w:val="20"/>
              </w:rPr>
              <w:t>.</w:t>
            </w:r>
            <w:r w:rsidRPr="00A908C9">
              <w:rPr>
                <w:rFonts w:ascii="Calibri Light" w:eastAsia="Calibri" w:hAnsi="Calibri Light" w:cs="Calibri Light"/>
                <w:sz w:val="20"/>
                <w:szCs w:val="20"/>
              </w:rPr>
              <w:t>A</w:t>
            </w:r>
            <w:r w:rsidR="000766DD">
              <w:rPr>
                <w:rFonts w:ascii="Calibri Light" w:eastAsia="Calibri" w:hAnsi="Calibri Light" w:cs="Calibri Light"/>
                <w:sz w:val="20"/>
                <w:szCs w:val="20"/>
              </w:rPr>
              <w:t>.</w:t>
            </w:r>
          </w:p>
        </w:tc>
        <w:tc>
          <w:tcPr>
            <w:tcW w:w="1701" w:type="dxa"/>
          </w:tcPr>
          <w:p w14:paraId="5A696B5B"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308 884,19</w:t>
            </w:r>
          </w:p>
        </w:tc>
        <w:tc>
          <w:tcPr>
            <w:tcW w:w="1701" w:type="dxa"/>
          </w:tcPr>
          <w:p w14:paraId="19486857"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4 476,12</w:t>
            </w:r>
          </w:p>
        </w:tc>
        <w:tc>
          <w:tcPr>
            <w:tcW w:w="1559" w:type="dxa"/>
          </w:tcPr>
          <w:p w14:paraId="09D782C3"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20 745,29</w:t>
            </w:r>
          </w:p>
        </w:tc>
        <w:tc>
          <w:tcPr>
            <w:tcW w:w="1746" w:type="dxa"/>
          </w:tcPr>
          <w:p w14:paraId="2BC02C50"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292 615,03</w:t>
            </w:r>
          </w:p>
        </w:tc>
      </w:tr>
      <w:tr w:rsidR="00027E30" w:rsidRPr="00A908C9" w14:paraId="52EC5AE6" w14:textId="77777777" w:rsidTr="005232AC">
        <w:tc>
          <w:tcPr>
            <w:tcW w:w="2972" w:type="dxa"/>
          </w:tcPr>
          <w:p w14:paraId="2D6C86BA" w14:textId="10438AF7" w:rsidR="00027E30" w:rsidRPr="00A908C9" w:rsidRDefault="00027E30" w:rsidP="00FB1205">
            <w:pPr>
              <w:jc w:val="both"/>
              <w:rPr>
                <w:rFonts w:ascii="Calibri Light" w:eastAsia="Calibri" w:hAnsi="Calibri Light" w:cs="Calibri Light"/>
                <w:b/>
                <w:sz w:val="20"/>
                <w:szCs w:val="20"/>
              </w:rPr>
            </w:pPr>
            <w:r w:rsidRPr="00A908C9">
              <w:rPr>
                <w:rFonts w:ascii="Calibri Light" w:eastAsia="Calibri" w:hAnsi="Calibri Light" w:cs="Calibri Light"/>
                <w:sz w:val="20"/>
                <w:szCs w:val="20"/>
              </w:rPr>
              <w:t>BC „Eximbank” S</w:t>
            </w:r>
            <w:r w:rsidR="000766DD">
              <w:rPr>
                <w:rFonts w:ascii="Calibri Light" w:eastAsia="Calibri" w:hAnsi="Calibri Light" w:cs="Calibri Light"/>
                <w:sz w:val="20"/>
                <w:szCs w:val="20"/>
              </w:rPr>
              <w:t>.</w:t>
            </w:r>
            <w:r w:rsidRPr="00A908C9">
              <w:rPr>
                <w:rFonts w:ascii="Calibri Light" w:eastAsia="Calibri" w:hAnsi="Calibri Light" w:cs="Calibri Light"/>
                <w:sz w:val="20"/>
                <w:szCs w:val="20"/>
              </w:rPr>
              <w:t>A</w:t>
            </w:r>
            <w:r w:rsidR="000766DD">
              <w:rPr>
                <w:rFonts w:ascii="Calibri Light" w:eastAsia="Calibri" w:hAnsi="Calibri Light" w:cs="Calibri Light"/>
                <w:sz w:val="20"/>
                <w:szCs w:val="20"/>
              </w:rPr>
              <w:t>.</w:t>
            </w:r>
          </w:p>
        </w:tc>
        <w:tc>
          <w:tcPr>
            <w:tcW w:w="1701" w:type="dxa"/>
          </w:tcPr>
          <w:p w14:paraId="37795368"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37 339,49</w:t>
            </w:r>
          </w:p>
        </w:tc>
        <w:tc>
          <w:tcPr>
            <w:tcW w:w="1701" w:type="dxa"/>
          </w:tcPr>
          <w:p w14:paraId="44817B59"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26 171,87</w:t>
            </w:r>
          </w:p>
        </w:tc>
        <w:tc>
          <w:tcPr>
            <w:tcW w:w="1559" w:type="dxa"/>
          </w:tcPr>
          <w:p w14:paraId="3665D282"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2 966,71</w:t>
            </w:r>
          </w:p>
        </w:tc>
        <w:tc>
          <w:tcPr>
            <w:tcW w:w="1746" w:type="dxa"/>
          </w:tcPr>
          <w:p w14:paraId="7B49A282"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60 544,67</w:t>
            </w:r>
          </w:p>
        </w:tc>
      </w:tr>
      <w:tr w:rsidR="00027E30" w:rsidRPr="00A908C9" w14:paraId="6D618B43" w14:textId="77777777" w:rsidTr="005232AC">
        <w:tc>
          <w:tcPr>
            <w:tcW w:w="2972" w:type="dxa"/>
          </w:tcPr>
          <w:p w14:paraId="50680531" w14:textId="31D2A625" w:rsidR="00027E30" w:rsidRPr="00A908C9" w:rsidRDefault="000766DD" w:rsidP="00FB1205">
            <w:pPr>
              <w:jc w:val="both"/>
              <w:rPr>
                <w:rFonts w:ascii="Calibri Light" w:eastAsia="Calibri" w:hAnsi="Calibri Light" w:cs="Calibri Light"/>
                <w:sz w:val="20"/>
                <w:szCs w:val="20"/>
              </w:rPr>
            </w:pPr>
            <w:r>
              <w:rPr>
                <w:rFonts w:ascii="Calibri Light" w:eastAsia="Calibri" w:hAnsi="Calibri Light" w:cs="Calibri Light"/>
                <w:sz w:val="20"/>
                <w:szCs w:val="20"/>
              </w:rPr>
              <w:t>BC „Mobiasbanca-</w:t>
            </w:r>
            <w:r w:rsidR="00027E30" w:rsidRPr="00A908C9">
              <w:rPr>
                <w:rFonts w:ascii="Calibri Light" w:eastAsia="Calibri" w:hAnsi="Calibri Light" w:cs="Calibri Light"/>
                <w:sz w:val="20"/>
                <w:szCs w:val="20"/>
              </w:rPr>
              <w:t>OTP Group” S</w:t>
            </w:r>
            <w:r>
              <w:rPr>
                <w:rFonts w:ascii="Calibri Light" w:eastAsia="Calibri" w:hAnsi="Calibri Light" w:cs="Calibri Light"/>
                <w:sz w:val="20"/>
                <w:szCs w:val="20"/>
              </w:rPr>
              <w:t>.</w:t>
            </w:r>
            <w:r w:rsidR="00027E30" w:rsidRPr="00A908C9">
              <w:rPr>
                <w:rFonts w:ascii="Calibri Light" w:eastAsia="Calibri" w:hAnsi="Calibri Light" w:cs="Calibri Light"/>
                <w:sz w:val="20"/>
                <w:szCs w:val="20"/>
              </w:rPr>
              <w:t>A</w:t>
            </w:r>
            <w:r>
              <w:rPr>
                <w:rFonts w:ascii="Calibri Light" w:eastAsia="Calibri" w:hAnsi="Calibri Light" w:cs="Calibri Light"/>
                <w:sz w:val="20"/>
                <w:szCs w:val="20"/>
              </w:rPr>
              <w:t>.</w:t>
            </w:r>
          </w:p>
        </w:tc>
        <w:tc>
          <w:tcPr>
            <w:tcW w:w="1701" w:type="dxa"/>
          </w:tcPr>
          <w:p w14:paraId="419C0842"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62 194,26</w:t>
            </w:r>
          </w:p>
        </w:tc>
        <w:tc>
          <w:tcPr>
            <w:tcW w:w="1701" w:type="dxa"/>
          </w:tcPr>
          <w:p w14:paraId="19F5B58E"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89 032,80</w:t>
            </w:r>
          </w:p>
        </w:tc>
        <w:tc>
          <w:tcPr>
            <w:tcW w:w="1559" w:type="dxa"/>
          </w:tcPr>
          <w:p w14:paraId="0242B971"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5 676,99</w:t>
            </w:r>
          </w:p>
        </w:tc>
        <w:tc>
          <w:tcPr>
            <w:tcW w:w="1746" w:type="dxa"/>
          </w:tcPr>
          <w:p w14:paraId="54D0E803"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145 550,07</w:t>
            </w:r>
          </w:p>
        </w:tc>
      </w:tr>
      <w:tr w:rsidR="00027E30" w:rsidRPr="00A908C9" w14:paraId="54BC2F9F" w14:textId="77777777" w:rsidTr="005232AC">
        <w:tc>
          <w:tcPr>
            <w:tcW w:w="2972" w:type="dxa"/>
          </w:tcPr>
          <w:p w14:paraId="522887D1" w14:textId="565DC314" w:rsidR="00027E30" w:rsidRPr="00A908C9" w:rsidRDefault="00027E30" w:rsidP="00FB1205">
            <w:pPr>
              <w:jc w:val="both"/>
              <w:rPr>
                <w:rFonts w:ascii="Calibri Light" w:eastAsia="Calibri" w:hAnsi="Calibri Light" w:cs="Calibri Light"/>
                <w:sz w:val="20"/>
                <w:szCs w:val="20"/>
              </w:rPr>
            </w:pPr>
            <w:r w:rsidRPr="00A908C9">
              <w:rPr>
                <w:rFonts w:ascii="Calibri Light" w:eastAsia="Calibri" w:hAnsi="Calibri Light" w:cs="Calibri Light"/>
                <w:sz w:val="20"/>
                <w:szCs w:val="20"/>
              </w:rPr>
              <w:t>BC „Moldindconbank” S</w:t>
            </w:r>
            <w:r w:rsidR="000766DD">
              <w:rPr>
                <w:rFonts w:ascii="Calibri Light" w:eastAsia="Calibri" w:hAnsi="Calibri Light" w:cs="Calibri Light"/>
                <w:sz w:val="20"/>
                <w:szCs w:val="20"/>
              </w:rPr>
              <w:t>.</w:t>
            </w:r>
            <w:r w:rsidRPr="00A908C9">
              <w:rPr>
                <w:rFonts w:ascii="Calibri Light" w:eastAsia="Calibri" w:hAnsi="Calibri Light" w:cs="Calibri Light"/>
                <w:sz w:val="20"/>
                <w:szCs w:val="20"/>
              </w:rPr>
              <w:t>A</w:t>
            </w:r>
            <w:r w:rsidR="000766DD">
              <w:rPr>
                <w:rFonts w:ascii="Calibri Light" w:eastAsia="Calibri" w:hAnsi="Calibri Light" w:cs="Calibri Light"/>
                <w:sz w:val="20"/>
                <w:szCs w:val="20"/>
              </w:rPr>
              <w:t>.</w:t>
            </w:r>
          </w:p>
        </w:tc>
        <w:tc>
          <w:tcPr>
            <w:tcW w:w="1701" w:type="dxa"/>
          </w:tcPr>
          <w:p w14:paraId="77EF4E24"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306 749,00</w:t>
            </w:r>
          </w:p>
        </w:tc>
        <w:tc>
          <w:tcPr>
            <w:tcW w:w="1701" w:type="dxa"/>
          </w:tcPr>
          <w:p w14:paraId="3295A687"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68 338,75</w:t>
            </w:r>
          </w:p>
        </w:tc>
        <w:tc>
          <w:tcPr>
            <w:tcW w:w="1559" w:type="dxa"/>
          </w:tcPr>
          <w:p w14:paraId="32224ECD"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20 177,97</w:t>
            </w:r>
          </w:p>
        </w:tc>
        <w:tc>
          <w:tcPr>
            <w:tcW w:w="1746" w:type="dxa"/>
          </w:tcPr>
          <w:p w14:paraId="6935EC6E"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354 909,78</w:t>
            </w:r>
          </w:p>
        </w:tc>
      </w:tr>
      <w:tr w:rsidR="00027E30" w:rsidRPr="00A908C9" w14:paraId="12F7E686" w14:textId="77777777" w:rsidTr="005232AC">
        <w:tc>
          <w:tcPr>
            <w:tcW w:w="2972" w:type="dxa"/>
          </w:tcPr>
          <w:p w14:paraId="527BC3AC" w14:textId="4026A5E4" w:rsidR="00027E30" w:rsidRPr="00A908C9" w:rsidRDefault="00027E30" w:rsidP="00FB1205">
            <w:pPr>
              <w:jc w:val="both"/>
              <w:rPr>
                <w:rFonts w:ascii="Calibri Light" w:eastAsia="Calibri" w:hAnsi="Calibri Light" w:cs="Calibri Light"/>
                <w:sz w:val="20"/>
                <w:szCs w:val="20"/>
              </w:rPr>
            </w:pPr>
            <w:r w:rsidRPr="00A908C9">
              <w:rPr>
                <w:rFonts w:ascii="Calibri Light" w:eastAsia="Calibri" w:hAnsi="Calibri Light" w:cs="Calibri Light"/>
                <w:sz w:val="20"/>
                <w:szCs w:val="20"/>
              </w:rPr>
              <w:t>BC „Victoriabank” S</w:t>
            </w:r>
            <w:r w:rsidR="000766DD">
              <w:rPr>
                <w:rFonts w:ascii="Calibri Light" w:eastAsia="Calibri" w:hAnsi="Calibri Light" w:cs="Calibri Light"/>
                <w:sz w:val="20"/>
                <w:szCs w:val="20"/>
              </w:rPr>
              <w:t>.</w:t>
            </w:r>
            <w:r w:rsidRPr="00A908C9">
              <w:rPr>
                <w:rFonts w:ascii="Calibri Light" w:eastAsia="Calibri" w:hAnsi="Calibri Light" w:cs="Calibri Light"/>
                <w:sz w:val="20"/>
                <w:szCs w:val="20"/>
              </w:rPr>
              <w:t>A</w:t>
            </w:r>
            <w:r w:rsidR="000766DD">
              <w:rPr>
                <w:rFonts w:ascii="Calibri Light" w:eastAsia="Calibri" w:hAnsi="Calibri Light" w:cs="Calibri Light"/>
                <w:sz w:val="20"/>
                <w:szCs w:val="20"/>
              </w:rPr>
              <w:t>.</w:t>
            </w:r>
          </w:p>
        </w:tc>
        <w:tc>
          <w:tcPr>
            <w:tcW w:w="1701" w:type="dxa"/>
          </w:tcPr>
          <w:p w14:paraId="710E8050" w14:textId="77F4E732" w:rsidR="00027E30" w:rsidRPr="00A908C9" w:rsidRDefault="00027E30" w:rsidP="00DF0176">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213 410,</w:t>
            </w:r>
            <w:r w:rsidR="00DF0176">
              <w:rPr>
                <w:rFonts w:ascii="Calibri Light" w:eastAsia="Calibri" w:hAnsi="Calibri Light" w:cs="Calibri Light"/>
                <w:sz w:val="20"/>
                <w:szCs w:val="20"/>
              </w:rPr>
              <w:t>92</w:t>
            </w:r>
          </w:p>
        </w:tc>
        <w:tc>
          <w:tcPr>
            <w:tcW w:w="1701" w:type="dxa"/>
          </w:tcPr>
          <w:p w14:paraId="545D6D4E"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182 888,84</w:t>
            </w:r>
          </w:p>
        </w:tc>
        <w:tc>
          <w:tcPr>
            <w:tcW w:w="1559" w:type="dxa"/>
          </w:tcPr>
          <w:p w14:paraId="1F372713"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16 096,82</w:t>
            </w:r>
          </w:p>
        </w:tc>
        <w:tc>
          <w:tcPr>
            <w:tcW w:w="1746" w:type="dxa"/>
          </w:tcPr>
          <w:p w14:paraId="21E2C04C" w14:textId="77777777" w:rsidR="00027E30" w:rsidRPr="00A908C9" w:rsidRDefault="00027E30" w:rsidP="00560D3B">
            <w:pPr>
              <w:jc w:val="center"/>
              <w:rPr>
                <w:rFonts w:ascii="Calibri Light" w:eastAsia="Calibri" w:hAnsi="Calibri Light" w:cs="Calibri Light"/>
                <w:sz w:val="20"/>
                <w:szCs w:val="20"/>
              </w:rPr>
            </w:pPr>
            <w:r w:rsidRPr="00A908C9">
              <w:rPr>
                <w:rFonts w:ascii="Calibri Light" w:eastAsia="Calibri" w:hAnsi="Calibri Light" w:cs="Calibri Light"/>
                <w:sz w:val="20"/>
                <w:szCs w:val="20"/>
              </w:rPr>
              <w:t>380 202,95</w:t>
            </w:r>
          </w:p>
        </w:tc>
      </w:tr>
      <w:tr w:rsidR="00027E30" w:rsidRPr="00A908C9" w14:paraId="35E98937" w14:textId="77777777" w:rsidTr="005232AC">
        <w:trPr>
          <w:trHeight w:val="272"/>
        </w:trPr>
        <w:tc>
          <w:tcPr>
            <w:tcW w:w="2972" w:type="dxa"/>
          </w:tcPr>
          <w:p w14:paraId="4B535E06" w14:textId="77777777" w:rsidR="00027E30" w:rsidRPr="00A908C9" w:rsidRDefault="00027E30" w:rsidP="00FB1205">
            <w:pPr>
              <w:jc w:val="both"/>
              <w:rPr>
                <w:rFonts w:ascii="Calibri Light" w:eastAsia="Calibri" w:hAnsi="Calibri Light" w:cs="Calibri Light"/>
                <w:b/>
                <w:sz w:val="20"/>
                <w:szCs w:val="20"/>
              </w:rPr>
            </w:pPr>
            <w:r w:rsidRPr="00A908C9">
              <w:rPr>
                <w:rFonts w:ascii="Calibri Light" w:eastAsia="Calibri" w:hAnsi="Calibri Light" w:cs="Calibri Light"/>
                <w:b/>
                <w:sz w:val="20"/>
                <w:szCs w:val="20"/>
              </w:rPr>
              <w:t>Total</w:t>
            </w:r>
          </w:p>
        </w:tc>
        <w:tc>
          <w:tcPr>
            <w:tcW w:w="1701" w:type="dxa"/>
          </w:tcPr>
          <w:p w14:paraId="584AE09F"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928 577,88</w:t>
            </w:r>
          </w:p>
        </w:tc>
        <w:tc>
          <w:tcPr>
            <w:tcW w:w="1701" w:type="dxa"/>
          </w:tcPr>
          <w:p w14:paraId="4B9828CD"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370 908,40</w:t>
            </w:r>
          </w:p>
        </w:tc>
        <w:tc>
          <w:tcPr>
            <w:tcW w:w="1559" w:type="dxa"/>
          </w:tcPr>
          <w:p w14:paraId="27620FAC"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65 663,78</w:t>
            </w:r>
          </w:p>
        </w:tc>
        <w:tc>
          <w:tcPr>
            <w:tcW w:w="1746" w:type="dxa"/>
          </w:tcPr>
          <w:p w14:paraId="78001318" w14:textId="77777777" w:rsidR="00027E30" w:rsidRPr="00A908C9" w:rsidRDefault="00027E30" w:rsidP="00560D3B">
            <w:pPr>
              <w:jc w:val="center"/>
              <w:rPr>
                <w:rFonts w:ascii="Calibri Light" w:eastAsia="Calibri" w:hAnsi="Calibri Light" w:cs="Calibri Light"/>
                <w:b/>
                <w:sz w:val="20"/>
                <w:szCs w:val="20"/>
              </w:rPr>
            </w:pPr>
            <w:r w:rsidRPr="00A908C9">
              <w:rPr>
                <w:rFonts w:ascii="Calibri Light" w:eastAsia="Calibri" w:hAnsi="Calibri Light" w:cs="Calibri Light"/>
                <w:b/>
                <w:sz w:val="20"/>
                <w:szCs w:val="20"/>
              </w:rPr>
              <w:t>1 233 822,50</w:t>
            </w:r>
          </w:p>
        </w:tc>
      </w:tr>
    </w:tbl>
    <w:p w14:paraId="70316BA4" w14:textId="531137FD" w:rsidR="00A5159A" w:rsidRPr="00027E30" w:rsidRDefault="00027E30" w:rsidP="00326E97">
      <w:pPr>
        <w:shd w:val="clear" w:color="auto" w:fill="FFFFFF"/>
        <w:tabs>
          <w:tab w:val="left" w:pos="636"/>
        </w:tabs>
        <w:spacing w:after="240"/>
        <w:ind w:firstLine="567"/>
        <w:jc w:val="both"/>
        <w:rPr>
          <w:rFonts w:ascii="Calibri Light" w:eastAsia="Calibri" w:hAnsi="Calibri Light" w:cs="Calibri Light"/>
          <w:i/>
          <w:sz w:val="20"/>
          <w:szCs w:val="24"/>
          <w:lang w:val="ro-RO"/>
        </w:rPr>
      </w:pPr>
      <w:r w:rsidRPr="00027E30">
        <w:rPr>
          <w:rFonts w:ascii="Calibri Light" w:eastAsia="Calibri" w:hAnsi="Calibri Light" w:cs="Calibri Light"/>
          <w:b/>
          <w:i/>
          <w:sz w:val="20"/>
          <w:szCs w:val="24"/>
          <w:lang w:val="ro-RO"/>
        </w:rPr>
        <w:t xml:space="preserve">Sursă: </w:t>
      </w:r>
      <w:r w:rsidRPr="00027E30">
        <w:rPr>
          <w:rFonts w:ascii="Calibri Light" w:eastAsia="Calibri" w:hAnsi="Calibri Light" w:cs="Calibri Light"/>
          <w:i/>
          <w:sz w:val="20"/>
          <w:szCs w:val="24"/>
          <w:lang w:val="ro-RO"/>
        </w:rPr>
        <w:t>Informația MF privind soldul garanțiilor de stat acordate în cadrul Programului „Prima casă”</w:t>
      </w:r>
      <w:r w:rsidR="000766DD">
        <w:rPr>
          <w:rFonts w:ascii="Calibri Light" w:eastAsia="Calibri" w:hAnsi="Calibri Light" w:cs="Calibri Light"/>
          <w:i/>
          <w:sz w:val="20"/>
          <w:szCs w:val="24"/>
          <w:lang w:val="ro-RO"/>
        </w:rPr>
        <w:t>.</w:t>
      </w:r>
    </w:p>
    <w:p w14:paraId="7C10CE47" w14:textId="4ECE8308" w:rsidR="00027E30" w:rsidRPr="00D048A5" w:rsidRDefault="00027E30" w:rsidP="00D048A5">
      <w:pPr>
        <w:shd w:val="clear" w:color="auto" w:fill="FFFFFF"/>
        <w:spacing w:line="276" w:lineRule="auto"/>
        <w:jc w:val="both"/>
        <w:rPr>
          <w:rFonts w:ascii="Calibri Light" w:eastAsia="Calibri" w:hAnsi="Calibri Light" w:cs="Calibri Light"/>
          <w:szCs w:val="24"/>
          <w:lang w:val="ro-RO"/>
        </w:rPr>
      </w:pPr>
      <w:r w:rsidRPr="00027E30">
        <w:rPr>
          <w:rFonts w:ascii="Calibri Light" w:eastAsia="Calibri" w:hAnsi="Calibri Light" w:cs="Calibri Light"/>
          <w:szCs w:val="24"/>
          <w:lang w:val="ro-RO"/>
        </w:rPr>
        <w:lastRenderedPageBreak/>
        <w:t xml:space="preserve">Totodată, în </w:t>
      </w:r>
      <w:r w:rsidR="00E51D9A">
        <w:rPr>
          <w:rFonts w:ascii="Calibri Light" w:eastAsia="Calibri" w:hAnsi="Calibri Light" w:cs="Calibri Light"/>
          <w:szCs w:val="24"/>
          <w:lang w:val="ro-RO"/>
        </w:rPr>
        <w:t xml:space="preserve">luna </w:t>
      </w:r>
      <w:r w:rsidR="00C44812">
        <w:rPr>
          <w:rFonts w:ascii="Calibri Light" w:eastAsia="Calibri" w:hAnsi="Calibri Light" w:cs="Calibri Light"/>
          <w:szCs w:val="24"/>
          <w:lang w:val="ro-RO"/>
        </w:rPr>
        <w:t>octombrie</w:t>
      </w:r>
      <w:r w:rsidRPr="00027E30">
        <w:rPr>
          <w:rFonts w:ascii="Calibri Light" w:eastAsia="Calibri" w:hAnsi="Calibri Light" w:cs="Calibri Light"/>
          <w:szCs w:val="24"/>
          <w:lang w:val="ro-RO"/>
        </w:rPr>
        <w:t xml:space="preserve"> 2020 a</w:t>
      </w:r>
      <w:r w:rsidR="00B807EC">
        <w:rPr>
          <w:rFonts w:ascii="Calibri Light" w:eastAsia="Calibri" w:hAnsi="Calibri Light" w:cs="Calibri Light"/>
          <w:szCs w:val="24"/>
          <w:lang w:val="ro-RO"/>
        </w:rPr>
        <w:t xml:space="preserve"> fost înregistrat primul caz de </w:t>
      </w:r>
      <w:r w:rsidRPr="00027E30">
        <w:rPr>
          <w:rFonts w:ascii="Calibri Light" w:eastAsia="Calibri" w:hAnsi="Calibri Light" w:cs="Calibri Light"/>
          <w:szCs w:val="24"/>
          <w:lang w:val="ro-RO"/>
        </w:rPr>
        <w:t>onorare</w:t>
      </w:r>
      <w:r w:rsidR="00B807EC">
        <w:rPr>
          <w:rFonts w:ascii="Calibri Light" w:eastAsia="Calibri" w:hAnsi="Calibri Light" w:cs="Calibri Light"/>
          <w:szCs w:val="24"/>
          <w:lang w:val="ro-RO"/>
        </w:rPr>
        <w:t>/activare</w:t>
      </w:r>
      <w:r w:rsidRPr="00027E30">
        <w:rPr>
          <w:rFonts w:ascii="Calibri Light" w:eastAsia="Calibri" w:hAnsi="Calibri Light" w:cs="Calibri Light"/>
          <w:szCs w:val="24"/>
          <w:lang w:val="ro-RO"/>
        </w:rPr>
        <w:t xml:space="preserve"> a garanției de stat în sumă de 167,7 mii lei acordate în cadrul P</w:t>
      </w:r>
      <w:r w:rsidR="00A908C9">
        <w:rPr>
          <w:rFonts w:ascii="Calibri Light" w:eastAsia="Calibri" w:hAnsi="Calibri Light" w:cs="Calibri Light"/>
          <w:szCs w:val="24"/>
          <w:lang w:val="ro-RO"/>
        </w:rPr>
        <w:t>rogramului de stat „Prima casă”, în contextul în care echipa de audit a prevăzut</w:t>
      </w:r>
      <w:r w:rsidR="00E51D9A">
        <w:rPr>
          <w:rFonts w:ascii="Calibri Light" w:eastAsia="Calibri" w:hAnsi="Calibri Light" w:cs="Calibri Light"/>
          <w:szCs w:val="24"/>
          <w:lang w:val="ro-RO"/>
        </w:rPr>
        <w:t xml:space="preserve"> acest risc</w:t>
      </w:r>
      <w:r w:rsidR="00A908C9">
        <w:rPr>
          <w:rFonts w:ascii="Calibri Light" w:eastAsia="Calibri" w:hAnsi="Calibri Light" w:cs="Calibri Light"/>
          <w:szCs w:val="24"/>
          <w:lang w:val="ro-RO"/>
        </w:rPr>
        <w:t xml:space="preserve"> în raportul de audit precedent</w:t>
      </w:r>
      <w:r w:rsidR="00E51D9A">
        <w:rPr>
          <w:rFonts w:ascii="Calibri Light" w:eastAsia="Calibri" w:hAnsi="Calibri Light" w:cs="Calibri Light"/>
          <w:szCs w:val="24"/>
          <w:lang w:val="ro-RO"/>
        </w:rPr>
        <w:t>.</w:t>
      </w:r>
      <w:r w:rsidR="000766DD">
        <w:rPr>
          <w:rFonts w:ascii="Calibri Light" w:eastAsia="Calibri" w:hAnsi="Calibri Light" w:cs="Calibri Light"/>
          <w:szCs w:val="24"/>
          <w:lang w:val="ro-RO"/>
        </w:rPr>
        <w:t xml:space="preserve"> La fel, auditul relevă</w:t>
      </w:r>
      <w:r w:rsidR="00A908C9">
        <w:rPr>
          <w:rFonts w:ascii="Calibri Light" w:eastAsia="Calibri" w:hAnsi="Calibri Light" w:cs="Calibri Light"/>
          <w:szCs w:val="24"/>
          <w:lang w:val="ro-RO"/>
        </w:rPr>
        <w:t xml:space="preserve"> că</w:t>
      </w:r>
      <w:r w:rsidR="000766DD">
        <w:rPr>
          <w:rFonts w:ascii="Calibri Light" w:eastAsia="Calibri" w:hAnsi="Calibri Light" w:cs="Calibri Light"/>
          <w:szCs w:val="24"/>
          <w:lang w:val="ro-RO"/>
        </w:rPr>
        <w:t>,</w:t>
      </w:r>
      <w:r w:rsidR="00A908C9">
        <w:rPr>
          <w:rFonts w:ascii="Calibri Light" w:eastAsia="Calibri" w:hAnsi="Calibri Light" w:cs="Calibri Light"/>
          <w:szCs w:val="24"/>
          <w:lang w:val="ro-RO"/>
        </w:rPr>
        <w:t xml:space="preserve"> în anul 2020, în condiții</w:t>
      </w:r>
      <w:r w:rsidR="000766DD">
        <w:rPr>
          <w:rFonts w:ascii="Calibri Light" w:eastAsia="Calibri" w:hAnsi="Calibri Light" w:cs="Calibri Light"/>
          <w:szCs w:val="24"/>
          <w:lang w:val="ro-RO"/>
        </w:rPr>
        <w:t>le</w:t>
      </w:r>
      <w:r w:rsidR="00A908C9">
        <w:rPr>
          <w:rFonts w:ascii="Calibri Light" w:eastAsia="Calibri" w:hAnsi="Calibri Light" w:cs="Calibri Light"/>
          <w:szCs w:val="24"/>
          <w:lang w:val="ro-RO"/>
        </w:rPr>
        <w:t xml:space="preserve"> de pandemie, au fost </w:t>
      </w:r>
      <w:r w:rsidR="00E51D9A">
        <w:rPr>
          <w:rFonts w:ascii="Calibri Light" w:eastAsia="Calibri" w:hAnsi="Calibri Light" w:cs="Calibri Light"/>
          <w:szCs w:val="24"/>
          <w:lang w:val="ro-RO"/>
        </w:rPr>
        <w:t>efectuate modificări în Regulamentul de implementare a Programului de stat „Prima casă”</w:t>
      </w:r>
      <w:r w:rsidR="00E51D9A">
        <w:rPr>
          <w:rStyle w:val="a6"/>
          <w:rFonts w:ascii="Calibri Light" w:eastAsia="Calibri" w:hAnsi="Calibri Light" w:cs="Calibri Light"/>
          <w:szCs w:val="24"/>
          <w:lang w:val="ro-RO"/>
        </w:rPr>
        <w:footnoteReference w:id="24"/>
      </w:r>
      <w:r w:rsidR="00E51D9A">
        <w:rPr>
          <w:rFonts w:ascii="Calibri Light" w:eastAsia="Calibri" w:hAnsi="Calibri Light" w:cs="Calibri Light"/>
          <w:szCs w:val="24"/>
          <w:lang w:val="ro-RO"/>
        </w:rPr>
        <w:t>, fiind modif</w:t>
      </w:r>
      <w:r w:rsidR="000766DD">
        <w:rPr>
          <w:rFonts w:ascii="Calibri Light" w:eastAsia="Calibri" w:hAnsi="Calibri Light" w:cs="Calibri Light"/>
          <w:szCs w:val="24"/>
          <w:lang w:val="ro-RO"/>
        </w:rPr>
        <w:t>icată limita de vâ</w:t>
      </w:r>
      <w:r w:rsidR="00E51D9A">
        <w:rPr>
          <w:rFonts w:ascii="Calibri Light" w:eastAsia="Calibri" w:hAnsi="Calibri Light" w:cs="Calibri Light"/>
          <w:szCs w:val="24"/>
          <w:lang w:val="ro-RO"/>
        </w:rPr>
        <w:t xml:space="preserve">rstă de la 45 la 50 de ani, </w:t>
      </w:r>
      <w:r w:rsidR="00606592">
        <w:rPr>
          <w:rFonts w:ascii="Calibri Light" w:eastAsia="Calibri" w:hAnsi="Calibri Light" w:cs="Calibri Light"/>
          <w:szCs w:val="24"/>
          <w:lang w:val="ro-RO"/>
        </w:rPr>
        <w:t>procentul de contribuție a fost micșorat de la 10</w:t>
      </w:r>
      <w:r w:rsidR="00C516A5">
        <w:rPr>
          <w:rFonts w:ascii="Calibri Light" w:eastAsia="Calibri" w:hAnsi="Calibri Light" w:cs="Calibri Light"/>
          <w:szCs w:val="24"/>
          <w:lang w:val="ro-RO"/>
        </w:rPr>
        <w:t>% la 5%</w:t>
      </w:r>
      <w:r w:rsidR="00150BB4">
        <w:rPr>
          <w:rFonts w:ascii="Calibri Light" w:eastAsia="Calibri" w:hAnsi="Calibri Light" w:cs="Calibri Light"/>
          <w:szCs w:val="24"/>
          <w:lang w:val="ro-RO"/>
        </w:rPr>
        <w:t>,</w:t>
      </w:r>
      <w:r w:rsidR="00C516A5">
        <w:rPr>
          <w:rFonts w:ascii="Calibri Light" w:eastAsia="Calibri" w:hAnsi="Calibri Light" w:cs="Calibri Light"/>
          <w:szCs w:val="24"/>
          <w:lang w:val="ro-RO"/>
        </w:rPr>
        <w:t xml:space="preserve"> </w:t>
      </w:r>
      <w:r w:rsidR="00606592">
        <w:rPr>
          <w:rFonts w:ascii="Calibri Light" w:eastAsia="Calibri" w:hAnsi="Calibri Light" w:cs="Calibri Light"/>
          <w:szCs w:val="24"/>
          <w:lang w:val="ro-RO"/>
        </w:rPr>
        <w:t>iar suprafața locuinței procurate în cadrul Programului trebuie să depășească suprafața locuinței deținute, anterior fiind obligatorie condiția ca persoana eligibilă să nu dețină în proprietate o locuință cu suprafața de peste 9m</w:t>
      </w:r>
      <w:r w:rsidR="00606592" w:rsidRPr="00BE035A">
        <w:rPr>
          <w:rFonts w:ascii="Calibri Light" w:eastAsia="Calibri" w:hAnsi="Calibri Light" w:cs="Calibri Light"/>
          <w:szCs w:val="24"/>
          <w:vertAlign w:val="superscript"/>
          <w:lang w:val="ro-RO"/>
        </w:rPr>
        <w:t>2</w:t>
      </w:r>
      <w:r w:rsidR="00606592">
        <w:rPr>
          <w:rFonts w:ascii="Calibri Light" w:eastAsia="Calibri" w:hAnsi="Calibri Light" w:cs="Calibri Light"/>
          <w:szCs w:val="24"/>
          <w:lang w:val="ro-RO"/>
        </w:rPr>
        <w:t xml:space="preserve"> pentru fiecare membru. Totodată, a fost exclusă condiția care prevedea ca la data solicitării creditului ipotecar, persoana să nu aibă în derulare un credit ipotecar pentru procurarea unei locuințe.</w:t>
      </w:r>
      <w:r w:rsidR="0042400D">
        <w:rPr>
          <w:rFonts w:ascii="Calibri Light" w:eastAsia="Calibri" w:hAnsi="Calibri Light" w:cs="Calibri Light"/>
          <w:szCs w:val="24"/>
          <w:lang w:val="ro-RO"/>
        </w:rPr>
        <w:t xml:space="preserve"> </w:t>
      </w:r>
      <w:r w:rsidRPr="00027E30">
        <w:rPr>
          <w:rFonts w:ascii="Calibri Light" w:eastAsia="Times New Roman" w:hAnsi="Calibri Light" w:cs="Calibri Light"/>
          <w:szCs w:val="24"/>
          <w:lang w:val="ro-RO" w:eastAsia="ro-RO"/>
        </w:rPr>
        <w:t>La situația din 31.12.2020, soldul garanțiilor de stat externe a constituit zero lei, după cum a fost stabilit în legea bugetară anuală.</w:t>
      </w:r>
    </w:p>
    <w:p w14:paraId="719E5256" w14:textId="77777777" w:rsidR="00305ABC" w:rsidRPr="004E5F9C" w:rsidRDefault="00A5159A" w:rsidP="00D048A5">
      <w:pPr>
        <w:pStyle w:val="3"/>
        <w:numPr>
          <w:ilvl w:val="2"/>
          <w:numId w:val="14"/>
        </w:numPr>
        <w:ind w:left="0" w:hanging="11"/>
        <w:jc w:val="both"/>
      </w:pPr>
      <w:bookmarkStart w:id="27" w:name="_Toc75436453"/>
      <w:r w:rsidRPr="004E5F9C">
        <w:t>Datoriile debitorilor garantați față de Ministerul Finanțelor sunt în întregime cu termenul de achitare expirat</w:t>
      </w:r>
      <w:r w:rsidR="005232AC" w:rsidRPr="004E5F9C">
        <w:t>.</w:t>
      </w:r>
      <w:bookmarkEnd w:id="27"/>
      <w:r w:rsidR="005232AC" w:rsidRPr="004E5F9C">
        <w:t xml:space="preserve"> </w:t>
      </w:r>
    </w:p>
    <w:p w14:paraId="40116185" w14:textId="06184B04" w:rsidR="00C70556" w:rsidRDefault="005232AC" w:rsidP="00D048A5">
      <w:pPr>
        <w:tabs>
          <w:tab w:val="left" w:pos="284"/>
          <w:tab w:val="left" w:pos="567"/>
        </w:tabs>
        <w:spacing w:before="40" w:after="0" w:line="276" w:lineRule="auto"/>
        <w:jc w:val="both"/>
        <w:rPr>
          <w:rFonts w:ascii="Calibri Light" w:eastAsia="Calibri" w:hAnsi="Calibri Light" w:cs="Calibri Light"/>
          <w:szCs w:val="24"/>
          <w:lang w:val="ro-RO"/>
        </w:rPr>
      </w:pPr>
      <w:r w:rsidRPr="00D44FBA">
        <w:rPr>
          <w:rFonts w:ascii="Calibri Light" w:eastAsia="Calibri" w:hAnsi="Calibri Light" w:cs="Calibri Light"/>
          <w:szCs w:val="24"/>
          <w:lang w:val="ro-RO"/>
        </w:rPr>
        <w:t>La situația din 31.12.2020, soldul datoriei debitorilor garantați față de MF format în urma dezafectării mijloacelor pentru onorarea obligațiilor din garanțiile de st</w:t>
      </w:r>
      <w:r w:rsidR="00150BB4">
        <w:rPr>
          <w:rFonts w:ascii="Calibri Light" w:eastAsia="Calibri" w:hAnsi="Calibri Light" w:cs="Calibri Light"/>
          <w:szCs w:val="24"/>
          <w:lang w:val="ro-RO"/>
        </w:rPr>
        <w:t>at interne și externe constituia</w:t>
      </w:r>
      <w:r w:rsidRPr="00D44FBA">
        <w:rPr>
          <w:rFonts w:ascii="Calibri Light" w:eastAsia="Calibri" w:hAnsi="Calibri Light" w:cs="Calibri Light"/>
          <w:szCs w:val="24"/>
          <w:lang w:val="ro-RO"/>
        </w:rPr>
        <w:t xml:space="preserve"> 2,6 mil. lei, 2,3 mil. dol. SUA și 19,7 mil. euro,</w:t>
      </w:r>
      <w:r w:rsidRPr="00D44FBA">
        <w:rPr>
          <w:rFonts w:ascii="Calibri Light" w:eastAsia="Calibri" w:hAnsi="Calibri Light" w:cs="Calibri Light"/>
          <w:color w:val="FF0000"/>
          <w:szCs w:val="24"/>
          <w:lang w:val="ro-RO"/>
        </w:rPr>
        <w:t xml:space="preserve"> </w:t>
      </w:r>
      <w:r w:rsidRPr="00D44FBA">
        <w:rPr>
          <w:rFonts w:ascii="Calibri Light" w:eastAsia="Calibri" w:hAnsi="Calibri Light" w:cs="Calibri Light"/>
          <w:szCs w:val="24"/>
          <w:lang w:val="ro-RO"/>
        </w:rPr>
        <w:t>sau echivalentul a 456,5 mil. lei. Din totalul datoriilor d</w:t>
      </w:r>
      <w:r w:rsidR="00715E1C">
        <w:rPr>
          <w:rFonts w:ascii="Calibri Light" w:eastAsia="Calibri" w:hAnsi="Calibri Light" w:cs="Calibri Light"/>
          <w:szCs w:val="24"/>
          <w:lang w:val="ro-RO"/>
        </w:rPr>
        <w:t xml:space="preserve">ebitorilor garantați fac parte </w:t>
      </w:r>
      <w:r w:rsidRPr="00D44FBA">
        <w:rPr>
          <w:rFonts w:ascii="Calibri Light" w:eastAsia="Calibri" w:hAnsi="Calibri Light" w:cs="Calibri Light"/>
          <w:szCs w:val="24"/>
          <w:lang w:val="ro-RO"/>
        </w:rPr>
        <w:t>datoriile pentru împrumuturile interne</w:t>
      </w:r>
      <w:r w:rsidR="00715E1C">
        <w:rPr>
          <w:rFonts w:ascii="Calibri Light" w:eastAsia="Calibri" w:hAnsi="Calibri Light" w:cs="Calibri Light"/>
          <w:szCs w:val="24"/>
          <w:lang w:val="ro-RO"/>
        </w:rPr>
        <w:t>,</w:t>
      </w:r>
      <w:r w:rsidRPr="00D44FBA">
        <w:rPr>
          <w:rFonts w:ascii="Calibri Light" w:eastAsia="Calibri" w:hAnsi="Calibri Light" w:cs="Calibri Light"/>
          <w:szCs w:val="24"/>
          <w:lang w:val="ro-RO"/>
        </w:rPr>
        <w:t xml:space="preserve"> în sumă de </w:t>
      </w:r>
      <w:r w:rsidR="00EE7746">
        <w:rPr>
          <w:rFonts w:ascii="Calibri Light" w:eastAsia="Calibri" w:hAnsi="Calibri Light" w:cs="Calibri Light"/>
          <w:szCs w:val="24"/>
          <w:lang w:val="ro-RO"/>
        </w:rPr>
        <w:t xml:space="preserve">            </w:t>
      </w:r>
      <w:r w:rsidRPr="00D44FBA">
        <w:rPr>
          <w:rFonts w:ascii="Calibri Light" w:eastAsia="Calibri" w:hAnsi="Calibri Light" w:cs="Calibri Light"/>
          <w:szCs w:val="24"/>
          <w:lang w:val="ro-RO"/>
        </w:rPr>
        <w:t xml:space="preserve">2,6 mil. lei și datoriile pentru împrumuturile externe – de 456,5 mil. lei. </w:t>
      </w:r>
      <w:r w:rsidR="00305ABC" w:rsidRPr="00D44FBA">
        <w:rPr>
          <w:rFonts w:ascii="Calibri Light" w:eastAsia="Calibri" w:hAnsi="Calibri Light" w:cs="Calibri Light"/>
          <w:szCs w:val="24"/>
          <w:lang w:val="ro-RO"/>
        </w:rPr>
        <w:t>Se denotă că soldul datoriei debitorilor garantați este integral cu termenul de achitare expirat.</w:t>
      </w:r>
    </w:p>
    <w:p w14:paraId="65343A6B" w14:textId="3E3BCA0E" w:rsidR="00020C8D" w:rsidRPr="00020C8D" w:rsidRDefault="00C70556" w:rsidP="00020C8D">
      <w:pPr>
        <w:tabs>
          <w:tab w:val="left" w:pos="284"/>
          <w:tab w:val="left" w:pos="567"/>
        </w:tabs>
        <w:spacing w:before="240" w:line="276" w:lineRule="auto"/>
        <w:jc w:val="both"/>
        <w:rPr>
          <w:rFonts w:ascii="Calibri Light" w:eastAsia="Calibri" w:hAnsi="Calibri Light" w:cs="Calibri Light"/>
          <w:szCs w:val="24"/>
          <w:lang w:val="ro-RO"/>
        </w:rPr>
      </w:pPr>
      <w:r w:rsidRPr="00E247CE">
        <w:rPr>
          <w:rFonts w:ascii="Calibri Light" w:eastAsia="Calibri" w:hAnsi="Calibri Light" w:cs="Calibri Light"/>
          <w:szCs w:val="24"/>
          <w:lang w:val="ro-RO"/>
        </w:rPr>
        <w:t xml:space="preserve">Verificările de audit asupra datoriilor debitorilor garantați față de MF la împrumuturile interne și externe relevă următoarele. </w:t>
      </w:r>
      <w:r w:rsidR="00131E29" w:rsidRPr="00131E29">
        <w:rPr>
          <w:rFonts w:ascii="Calibri Light" w:eastAsia="Calibri" w:hAnsi="Calibri Light" w:cs="Calibri Light"/>
          <w:szCs w:val="24"/>
          <w:lang w:val="ro-RO"/>
        </w:rPr>
        <w:t xml:space="preserve">Față de aceeași perioadă a anului precedent, </w:t>
      </w:r>
      <w:r w:rsidR="00131E29" w:rsidRPr="00131E29">
        <w:rPr>
          <w:rFonts w:ascii="Calibri Light" w:eastAsia="Calibri" w:hAnsi="Calibri Light" w:cs="Calibri Light"/>
          <w:b/>
          <w:szCs w:val="24"/>
          <w:lang w:val="ro-RO"/>
        </w:rPr>
        <w:t>soldul datoriei s-a majorat</w:t>
      </w:r>
      <w:r w:rsidR="00131E29" w:rsidRPr="00131E29">
        <w:rPr>
          <w:rFonts w:ascii="Calibri Light" w:eastAsia="Calibri" w:hAnsi="Calibri Light" w:cs="Calibri Light"/>
          <w:szCs w:val="24"/>
          <w:lang w:val="ro-RO"/>
        </w:rPr>
        <w:t xml:space="preserve"> cu 603,91 mii euro </w:t>
      </w:r>
      <w:r w:rsidR="00131E29" w:rsidRPr="00BC3210">
        <w:rPr>
          <w:rFonts w:ascii="Calibri Light" w:eastAsia="Calibri" w:hAnsi="Calibri Light" w:cs="Calibri Light"/>
          <w:szCs w:val="24"/>
          <w:lang w:val="ro-RO"/>
        </w:rPr>
        <w:t>din cauza a plăților efectuate de către MF pe parcursul anului 2020 în favoarea creditorului extern și</w:t>
      </w:r>
      <w:r w:rsidR="00D51C22">
        <w:rPr>
          <w:rFonts w:ascii="Calibri Light" w:eastAsia="Calibri" w:hAnsi="Calibri Light" w:cs="Calibri Light"/>
          <w:szCs w:val="24"/>
          <w:lang w:val="ro-RO"/>
        </w:rPr>
        <w:t xml:space="preserve"> 167,69 mii lei din cauza </w:t>
      </w:r>
      <w:r w:rsidR="00131E29" w:rsidRPr="00131E29">
        <w:rPr>
          <w:rFonts w:ascii="Calibri Light" w:eastAsia="Calibri" w:hAnsi="Calibri Light" w:cs="Calibri Light"/>
          <w:szCs w:val="24"/>
          <w:lang w:val="ro-RO"/>
        </w:rPr>
        <w:t xml:space="preserve">plăților efectuate de către MF pentru onorarea garanției de stat din </w:t>
      </w:r>
      <w:r w:rsidR="00D66621">
        <w:rPr>
          <w:rFonts w:ascii="Calibri Light" w:eastAsia="Calibri" w:hAnsi="Calibri Light" w:cs="Calibri Light"/>
          <w:szCs w:val="24"/>
          <w:lang w:val="ro-RO"/>
        </w:rPr>
        <w:t>cadrul Programului „P</w:t>
      </w:r>
      <w:r w:rsidR="00D048A5">
        <w:rPr>
          <w:rFonts w:ascii="Calibri Light" w:eastAsia="Calibri" w:hAnsi="Calibri Light" w:cs="Calibri Light"/>
          <w:szCs w:val="24"/>
          <w:lang w:val="ro-RO"/>
        </w:rPr>
        <w:t xml:space="preserve">rima casă”. </w:t>
      </w:r>
      <w:r w:rsidRPr="00E247CE">
        <w:rPr>
          <w:rFonts w:ascii="Calibri Light" w:eastAsia="Calibri" w:hAnsi="Calibri Light" w:cs="Calibri Light"/>
          <w:szCs w:val="24"/>
          <w:lang w:val="ro-RO"/>
        </w:rPr>
        <w:t xml:space="preserve">Totodată </w:t>
      </w:r>
      <w:r w:rsidRPr="00E247CE">
        <w:rPr>
          <w:rFonts w:ascii="Calibri Light" w:eastAsia="Calibri" w:hAnsi="Calibri Light" w:cs="Calibri Light"/>
          <w:b/>
          <w:szCs w:val="24"/>
          <w:lang w:val="ro-RO"/>
        </w:rPr>
        <w:t>soldul datoriei s-a micșorat</w:t>
      </w:r>
      <w:r w:rsidR="00715E1C">
        <w:rPr>
          <w:rFonts w:ascii="Calibri Light" w:eastAsia="Calibri" w:hAnsi="Calibri Light" w:cs="Calibri Light"/>
          <w:szCs w:val="24"/>
          <w:lang w:val="ro-RO"/>
        </w:rPr>
        <w:t xml:space="preserve"> cu 1 200,00 mii </w:t>
      </w:r>
      <w:r w:rsidRPr="00E247CE">
        <w:rPr>
          <w:rFonts w:ascii="Calibri Light" w:eastAsia="Calibri" w:hAnsi="Calibri Light" w:cs="Calibri Light"/>
          <w:szCs w:val="24"/>
          <w:lang w:val="ro-RO"/>
        </w:rPr>
        <w:t>dol. SUA, din cauza radierii din Raportul de stat privind datoriile debitorilor garantați față de MF, a datoriei Asociației Republicane Gesti</w:t>
      </w:r>
      <w:r w:rsidRPr="00E247CE">
        <w:rPr>
          <w:rFonts w:ascii="Calibri Light" w:eastAsia="Calibri" w:hAnsi="Calibri Light" w:cs="Calibri Light"/>
          <w:szCs w:val="24"/>
          <w:lang w:val="ro-RO"/>
        </w:rPr>
        <w:lastRenderedPageBreak/>
        <w:t xml:space="preserve">onare pentru Activitatea Economică Externă „Moldinteragro”, prin Ordinul </w:t>
      </w:r>
      <w:r w:rsidR="00715E1C">
        <w:rPr>
          <w:rFonts w:ascii="Calibri Light" w:eastAsia="Calibri" w:hAnsi="Calibri Light" w:cs="Calibri Light"/>
          <w:szCs w:val="24"/>
          <w:lang w:val="ro-RO"/>
        </w:rPr>
        <w:t>m</w:t>
      </w:r>
      <w:r w:rsidRPr="00E247CE">
        <w:rPr>
          <w:rFonts w:ascii="Calibri Light" w:eastAsia="Calibri" w:hAnsi="Calibri Light" w:cs="Calibri Light"/>
          <w:szCs w:val="24"/>
          <w:lang w:val="ro-RO"/>
        </w:rPr>
        <w:t>inistrului Finanțelor nr.48 din 23.03.2020</w:t>
      </w:r>
      <w:r w:rsidRPr="00E247CE">
        <w:rPr>
          <w:rFonts w:ascii="Calibri Light" w:eastAsia="Calibri" w:hAnsi="Calibri Light" w:cs="Calibri Light"/>
          <w:szCs w:val="24"/>
          <w:vertAlign w:val="superscript"/>
          <w:lang w:val="ro-RO"/>
        </w:rPr>
        <w:footnoteReference w:id="25"/>
      </w:r>
      <w:r w:rsidRPr="00E247CE">
        <w:rPr>
          <w:rFonts w:ascii="Calibri Light" w:eastAsia="Calibri" w:hAnsi="Calibri Light" w:cs="Calibri Light"/>
          <w:szCs w:val="24"/>
          <w:lang w:val="ro-RO"/>
        </w:rPr>
        <w:t>, urmare</w:t>
      </w:r>
      <w:r w:rsidR="00715E1C">
        <w:rPr>
          <w:rFonts w:ascii="Calibri Light" w:eastAsia="Calibri" w:hAnsi="Calibri Light" w:cs="Calibri Light"/>
          <w:szCs w:val="24"/>
          <w:lang w:val="ro-RO"/>
        </w:rPr>
        <w:t xml:space="preserve"> a</w:t>
      </w:r>
      <w:r w:rsidRPr="00E247CE">
        <w:rPr>
          <w:rFonts w:ascii="Calibri Light" w:eastAsia="Calibri" w:hAnsi="Calibri Light" w:cs="Calibri Light"/>
          <w:szCs w:val="24"/>
          <w:lang w:val="ro-RO"/>
        </w:rPr>
        <w:t xml:space="preserve"> radierii acestuia din Registrul de stat al persoanelor juridice de către Agenția Servicii Publice</w:t>
      </w:r>
      <w:r w:rsidRPr="0060468D">
        <w:rPr>
          <w:rFonts w:ascii="Calibri Light" w:eastAsia="Calibri" w:hAnsi="Calibri Light" w:cs="Calibri Light"/>
          <w:szCs w:val="24"/>
          <w:vertAlign w:val="superscript"/>
          <w:lang w:val="ro-RO"/>
        </w:rPr>
        <w:footnoteReference w:id="26"/>
      </w:r>
      <w:r w:rsidRPr="0060468D">
        <w:rPr>
          <w:rFonts w:ascii="Calibri Light" w:eastAsia="Calibri" w:hAnsi="Calibri Light" w:cs="Calibri Light"/>
          <w:szCs w:val="24"/>
          <w:lang w:val="ro-RO"/>
        </w:rPr>
        <w:t xml:space="preserve">. </w:t>
      </w:r>
      <w:r w:rsidR="00E10FDA" w:rsidRPr="0060468D">
        <w:rPr>
          <w:rFonts w:ascii="Calibri Light" w:eastAsia="Calibri" w:hAnsi="Calibri Light" w:cs="Calibri Light"/>
          <w:szCs w:val="24"/>
          <w:lang w:val="ro-RO"/>
        </w:rPr>
        <w:t xml:space="preserve">Este de menționat faptul că </w:t>
      </w:r>
      <w:r w:rsidR="00E10FDA" w:rsidRPr="0060468D">
        <w:rPr>
          <w:rFonts w:ascii="Calibri Light" w:eastAsia="Calibri" w:hAnsi="Calibri Light" w:cs="Calibri Light"/>
          <w:b/>
          <w:szCs w:val="24"/>
          <w:lang w:val="ro-RO"/>
        </w:rPr>
        <w:t>echivalentul în lei a</w:t>
      </w:r>
      <w:r w:rsidR="00715E1C">
        <w:rPr>
          <w:rFonts w:ascii="Calibri Light" w:eastAsia="Calibri" w:hAnsi="Calibri Light" w:cs="Calibri Light"/>
          <w:b/>
          <w:szCs w:val="24"/>
          <w:lang w:val="ro-RO"/>
        </w:rPr>
        <w:t>l</w:t>
      </w:r>
      <w:r w:rsidR="00E10FDA" w:rsidRPr="0060468D">
        <w:rPr>
          <w:rFonts w:ascii="Calibri Light" w:eastAsia="Calibri" w:hAnsi="Calibri Light" w:cs="Calibri Light"/>
          <w:b/>
          <w:szCs w:val="24"/>
          <w:lang w:val="ro-RO"/>
        </w:rPr>
        <w:t xml:space="preserve"> soldului datoriei s-a majorat</w:t>
      </w:r>
      <w:r w:rsidR="00E10FDA" w:rsidRPr="0060468D">
        <w:rPr>
          <w:rFonts w:ascii="Calibri Light" w:eastAsia="Calibri" w:hAnsi="Calibri Light" w:cs="Calibri Light"/>
          <w:szCs w:val="24"/>
          <w:lang w:val="ro-RO"/>
        </w:rPr>
        <w:t xml:space="preserve"> c</w:t>
      </w:r>
      <w:r w:rsidR="00E2010C">
        <w:rPr>
          <w:rFonts w:ascii="Calibri Light" w:eastAsia="Calibri" w:hAnsi="Calibri Light" w:cs="Calibri Light"/>
          <w:szCs w:val="24"/>
          <w:lang w:val="ro-RO"/>
        </w:rPr>
        <w:t>u 27 971,5 mil.lei, sau cu 6,</w:t>
      </w:r>
      <w:r w:rsidR="00E10FDA" w:rsidRPr="0060468D">
        <w:rPr>
          <w:rFonts w:ascii="Calibri Light" w:eastAsia="Calibri" w:hAnsi="Calibri Light" w:cs="Calibri Light"/>
          <w:szCs w:val="24"/>
          <w:lang w:val="ro-RO"/>
        </w:rPr>
        <w:t>1%, din cauza diferenței de curs valutar și modificărilor care au avut loc în anul 2020.</w:t>
      </w:r>
      <w:r w:rsidR="0060468D" w:rsidRPr="0060468D">
        <w:rPr>
          <w:rFonts w:ascii="Calibri Light" w:eastAsia="Calibri" w:hAnsi="Calibri Light" w:cs="Calibri Light"/>
          <w:szCs w:val="24"/>
          <w:lang w:val="ro-RO"/>
        </w:rPr>
        <w:t xml:space="preserve"> </w:t>
      </w:r>
      <w:r w:rsidR="0060468D" w:rsidRPr="0060468D">
        <w:rPr>
          <w:rFonts w:ascii="Calibri Light" w:eastAsia="Calibri" w:hAnsi="Calibri Light" w:cs="Calibri Light"/>
          <w:i/>
          <w:szCs w:val="24"/>
          <w:lang w:val="ro-RO"/>
        </w:rPr>
        <w:t>Informația detaliată privind datoriile debitorilor garantați față de MF la împrumuturile interne și externe acordate sub formă de garanție de stat se prez</w:t>
      </w:r>
      <w:r w:rsidR="00556240">
        <w:rPr>
          <w:rFonts w:ascii="Calibri Light" w:eastAsia="Calibri" w:hAnsi="Calibri Light" w:cs="Calibri Light"/>
          <w:i/>
          <w:szCs w:val="24"/>
          <w:lang w:val="ro-RO"/>
        </w:rPr>
        <w:t>intă în Anexa nr.4, Tabelul nr.</w:t>
      </w:r>
      <w:r w:rsidR="0060468D" w:rsidRPr="0060468D">
        <w:rPr>
          <w:rFonts w:ascii="Calibri Light" w:eastAsia="Calibri" w:hAnsi="Calibri Light" w:cs="Calibri Light"/>
          <w:i/>
          <w:szCs w:val="24"/>
          <w:lang w:val="ro-RO"/>
        </w:rPr>
        <w:t>6</w:t>
      </w:r>
      <w:r w:rsidR="0060468D">
        <w:rPr>
          <w:rFonts w:ascii="Calibri Light" w:eastAsia="Calibri" w:hAnsi="Calibri Light" w:cs="Calibri Light"/>
          <w:i/>
          <w:szCs w:val="24"/>
          <w:lang w:val="ro-RO"/>
        </w:rPr>
        <w:t xml:space="preserve"> </w:t>
      </w:r>
      <w:r w:rsidR="0060468D" w:rsidRPr="004E6C41">
        <w:rPr>
          <w:rFonts w:ascii="Calibri Light" w:eastAsia="Calibri" w:hAnsi="Calibri Light" w:cs="Calibri Light"/>
          <w:i/>
          <w:szCs w:val="24"/>
          <w:lang w:val="ro-MD"/>
        </w:rPr>
        <w:t>la prezentul Raport de audit.</w:t>
      </w:r>
    </w:p>
    <w:p w14:paraId="1F5F2170" w14:textId="70E84FDB" w:rsidR="006619CF" w:rsidRDefault="003B623D" w:rsidP="00020C8D">
      <w:pPr>
        <w:pStyle w:val="2"/>
        <w:numPr>
          <w:ilvl w:val="1"/>
          <w:numId w:val="14"/>
        </w:numPr>
        <w:spacing w:after="160"/>
        <w:ind w:left="0" w:firstLine="3"/>
        <w:jc w:val="both"/>
        <w:rPr>
          <w:i w:val="0"/>
          <w:sz w:val="24"/>
          <w:szCs w:val="24"/>
        </w:rPr>
      </w:pPr>
      <w:bookmarkStart w:id="28" w:name="_Toc47012284"/>
      <w:bookmarkStart w:id="29" w:name="_Toc75436454"/>
      <w:r w:rsidRPr="009635E0">
        <w:rPr>
          <w:i w:val="0"/>
          <w:sz w:val="24"/>
          <w:szCs w:val="24"/>
        </w:rPr>
        <w:t xml:space="preserve">Obiectivul specific III. </w:t>
      </w:r>
      <w:bookmarkEnd w:id="28"/>
      <w:r w:rsidR="00FD368F" w:rsidRPr="009635E0">
        <w:rPr>
          <w:i w:val="0"/>
          <w:sz w:val="24"/>
          <w:szCs w:val="24"/>
        </w:rPr>
        <w:t>Evaluarea conformității administrării și monitorizării împrumuturilor recreditate de stat</w:t>
      </w:r>
      <w:bookmarkEnd w:id="29"/>
    </w:p>
    <w:p w14:paraId="1F600272" w14:textId="621CB85A" w:rsidR="00D43FA4" w:rsidRPr="009C2889" w:rsidRDefault="00D43FA4" w:rsidP="009C2889">
      <w:pPr>
        <w:jc w:val="both"/>
        <w:rPr>
          <w:i/>
          <w:lang w:val="ro-RO"/>
        </w:rPr>
      </w:pPr>
      <w:r>
        <w:rPr>
          <w:rFonts w:cstheme="majorHAnsi"/>
          <w:i/>
          <w:szCs w:val="24"/>
        </w:rPr>
        <w:t>C</w:t>
      </w:r>
      <w:r w:rsidRPr="00D43FA4">
        <w:rPr>
          <w:rFonts w:cstheme="majorHAnsi"/>
          <w:i/>
          <w:szCs w:val="24"/>
          <w:lang w:val="ro-RO"/>
        </w:rPr>
        <w:t>reș</w:t>
      </w:r>
      <w:r w:rsidR="00DF07D8">
        <w:rPr>
          <w:rFonts w:cstheme="majorHAnsi"/>
          <w:i/>
          <w:szCs w:val="24"/>
          <w:lang w:val="ro-RO"/>
        </w:rPr>
        <w:t>t</w:t>
      </w:r>
      <w:r w:rsidRPr="00D43FA4">
        <w:rPr>
          <w:rFonts w:cstheme="majorHAnsi"/>
          <w:i/>
          <w:szCs w:val="24"/>
          <w:lang w:val="ro-RO"/>
        </w:rPr>
        <w:t>erea cererii de acordare a împrumutur</w:t>
      </w:r>
      <w:r>
        <w:rPr>
          <w:rFonts w:cstheme="majorHAnsi"/>
          <w:i/>
          <w:szCs w:val="24"/>
          <w:lang w:val="ro-RO"/>
        </w:rPr>
        <w:t xml:space="preserve">ilor beneficiarilor recreditați </w:t>
      </w:r>
      <w:r w:rsidR="00A517DB">
        <w:rPr>
          <w:rFonts w:cstheme="majorHAnsi"/>
          <w:i/>
          <w:szCs w:val="24"/>
          <w:lang w:val="ro-RO"/>
        </w:rPr>
        <w:t>a cauzat</w:t>
      </w:r>
      <w:r>
        <w:rPr>
          <w:rFonts w:cstheme="majorHAnsi"/>
          <w:i/>
          <w:szCs w:val="24"/>
          <w:lang w:val="ro-RO"/>
        </w:rPr>
        <w:t xml:space="preserve"> majorarea s</w:t>
      </w:r>
      <w:r w:rsidRPr="00D43FA4">
        <w:rPr>
          <w:rFonts w:cstheme="majorHAnsi"/>
          <w:i/>
          <w:szCs w:val="24"/>
          <w:lang w:val="ro-RO"/>
        </w:rPr>
        <w:t>oldul</w:t>
      </w:r>
      <w:r>
        <w:rPr>
          <w:rFonts w:cstheme="majorHAnsi"/>
          <w:i/>
          <w:szCs w:val="24"/>
          <w:lang w:val="ro-RO"/>
        </w:rPr>
        <w:t>ui</w:t>
      </w:r>
      <w:r w:rsidRPr="00D43FA4">
        <w:rPr>
          <w:rFonts w:cstheme="majorHAnsi"/>
          <w:i/>
          <w:szCs w:val="24"/>
          <w:lang w:val="ro-RO"/>
        </w:rPr>
        <w:t xml:space="preserve"> datoriilor beneficiarilor recreditați</w:t>
      </w:r>
      <w:r w:rsidR="009C2889">
        <w:rPr>
          <w:rFonts w:cstheme="majorHAnsi"/>
          <w:i/>
          <w:szCs w:val="24"/>
          <w:lang w:val="ro-RO"/>
        </w:rPr>
        <w:t xml:space="preserve">, fiind în creștere cu </w:t>
      </w:r>
      <w:r w:rsidR="009C2889">
        <w:rPr>
          <w:rFonts w:ascii="Calibri Light" w:eastAsia="Calibri" w:hAnsi="Calibri Light" w:cs="Calibri Light"/>
          <w:i/>
          <w:szCs w:val="24"/>
          <w:lang w:val="ro-MD"/>
        </w:rPr>
        <w:t>21,0% față de anul 2019.</w:t>
      </w:r>
      <w:r w:rsidR="009C2889" w:rsidRPr="009C2889">
        <w:rPr>
          <w:rFonts w:eastAsia="Times New Roman" w:cstheme="majorHAnsi"/>
          <w:szCs w:val="24"/>
          <w:lang w:val="ro-RO"/>
        </w:rPr>
        <w:t xml:space="preserve"> </w:t>
      </w:r>
      <w:r w:rsidR="009C2889" w:rsidRPr="009C2889">
        <w:rPr>
          <w:rFonts w:eastAsia="Times New Roman" w:cstheme="majorHAnsi"/>
          <w:i/>
          <w:szCs w:val="24"/>
          <w:lang w:val="ro-RO"/>
        </w:rPr>
        <w:t>Totodată, se atestă o descreștere a datoriei cu termen de achitare expirat</w:t>
      </w:r>
      <w:r w:rsidR="00E2010C">
        <w:rPr>
          <w:rFonts w:eastAsia="Times New Roman" w:cstheme="majorHAnsi"/>
          <w:i/>
          <w:szCs w:val="24"/>
          <w:lang w:val="ro-RO"/>
        </w:rPr>
        <w:t>,</w:t>
      </w:r>
      <w:r w:rsidR="009C2889" w:rsidRPr="009C2889">
        <w:rPr>
          <w:rFonts w:eastAsia="Times New Roman" w:cstheme="majorHAnsi"/>
          <w:i/>
          <w:szCs w:val="24"/>
          <w:lang w:val="ro-RO"/>
        </w:rPr>
        <w:t xml:space="preserve"> cu 1,6%, drept urmare </w:t>
      </w:r>
      <w:r w:rsidR="00DF07D8">
        <w:rPr>
          <w:rFonts w:eastAsia="Times New Roman" w:cstheme="majorHAnsi"/>
          <w:i/>
          <w:szCs w:val="24"/>
          <w:lang w:val="ro-RO"/>
        </w:rPr>
        <w:t xml:space="preserve">a </w:t>
      </w:r>
      <w:r w:rsidR="009C2889" w:rsidRPr="009C2889">
        <w:rPr>
          <w:rFonts w:eastAsia="Times New Roman" w:cstheme="majorHAnsi"/>
          <w:i/>
          <w:szCs w:val="24"/>
          <w:lang w:val="ro-RO"/>
        </w:rPr>
        <w:t>reeșalonării datoriilor unor beneficiari recreditați, precum și fluctuațiilor cursului valutar.</w:t>
      </w:r>
      <w:r w:rsidR="009C2889" w:rsidRPr="009C2889">
        <w:rPr>
          <w:rFonts w:eastAsia="Times New Roman" w:cstheme="majorHAnsi"/>
          <w:b/>
          <w:i/>
          <w:szCs w:val="24"/>
          <w:lang w:val="ro-RO"/>
        </w:rPr>
        <w:t xml:space="preserve"> </w:t>
      </w:r>
      <w:r w:rsidR="009C2889" w:rsidRPr="009C2889">
        <w:rPr>
          <w:rFonts w:eastAsia="Times New Roman" w:cstheme="majorHAnsi"/>
          <w:i/>
          <w:szCs w:val="24"/>
          <w:lang w:val="ro-RO"/>
        </w:rPr>
        <w:t>Deși datoriile cu termen de achitare expirat pentru împrumuturile recreditate continuă să se diminueze, acestea prezintă un risc sporit de nerecuperare.</w:t>
      </w:r>
    </w:p>
    <w:p w14:paraId="2F618FA4" w14:textId="28374384" w:rsidR="003B623D" w:rsidRPr="004E5F9C" w:rsidRDefault="003B623D" w:rsidP="009635E0">
      <w:pPr>
        <w:pStyle w:val="3"/>
        <w:numPr>
          <w:ilvl w:val="2"/>
          <w:numId w:val="14"/>
        </w:numPr>
        <w:ind w:left="0" w:hanging="11"/>
        <w:jc w:val="both"/>
      </w:pPr>
      <w:bookmarkStart w:id="30" w:name="_Toc47012285"/>
      <w:bookmarkStart w:id="31" w:name="_Toc75436455"/>
      <w:r w:rsidRPr="004E5F9C">
        <w:t xml:space="preserve">Mijloacele financiare îndreptate spre recreditarea de stat au sporit, </w:t>
      </w:r>
      <w:r w:rsidR="00E46B33" w:rsidRPr="004E5F9C">
        <w:t>64,4 % din total f</w:t>
      </w:r>
      <w:r w:rsidRPr="004E5F9C">
        <w:t xml:space="preserve">iind direcționate prin </w:t>
      </w:r>
      <w:bookmarkEnd w:id="30"/>
      <w:r w:rsidR="00E46B33" w:rsidRPr="004E5F9C">
        <w:t>intermediul OGP AE</w:t>
      </w:r>
      <w:r w:rsidR="00E2010C">
        <w:t>.</w:t>
      </w:r>
      <w:bookmarkEnd w:id="31"/>
    </w:p>
    <w:p w14:paraId="4CD042D2" w14:textId="18451AA8" w:rsidR="003B623D" w:rsidRDefault="003B623D" w:rsidP="00FB1205">
      <w:pPr>
        <w:pStyle w:val="af3"/>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Conform cadrului legal, MF</w:t>
      </w:r>
      <w:r w:rsidRPr="00AA07FA">
        <w:rPr>
          <w:rFonts w:asciiTheme="majorHAnsi" w:hAnsiTheme="majorHAnsi" w:cstheme="majorHAnsi"/>
          <w:sz w:val="24"/>
          <w:szCs w:val="24"/>
          <w:lang w:val="ro-MD" w:eastAsia="ru-RU"/>
        </w:rPr>
        <w:t xml:space="preserve"> este autorizat să efectueze operațiuni de recreditare fie direct, fie prin intermediul instituțiilor financiare, fie prin intermediul subdiviziunilor special creat</w:t>
      </w:r>
      <w:r>
        <w:rPr>
          <w:rFonts w:asciiTheme="majorHAnsi" w:hAnsiTheme="majorHAnsi" w:cstheme="majorHAnsi"/>
          <w:sz w:val="24"/>
          <w:szCs w:val="24"/>
          <w:lang w:val="ro-MD" w:eastAsia="ru-RU"/>
        </w:rPr>
        <w:t>e pentru scopuri de recreditare</w:t>
      </w:r>
      <w:r w:rsidRPr="00AA07FA">
        <w:rPr>
          <w:rFonts w:asciiTheme="majorHAnsi" w:hAnsiTheme="majorHAnsi" w:cstheme="majorHAnsi"/>
          <w:sz w:val="24"/>
          <w:szCs w:val="24"/>
          <w:lang w:val="ro-MD" w:eastAsia="ru-RU"/>
        </w:rPr>
        <w:t>. Astfel, recreditarea de stat s</w:t>
      </w:r>
      <w:r w:rsidR="00EC1B45">
        <w:rPr>
          <w:rFonts w:asciiTheme="majorHAnsi" w:hAnsiTheme="majorHAnsi" w:cstheme="majorHAnsi"/>
          <w:sz w:val="24"/>
          <w:szCs w:val="24"/>
          <w:lang w:val="ro-MD" w:eastAsia="ru-RU"/>
        </w:rPr>
        <w:t>-a</w:t>
      </w:r>
      <w:r w:rsidRPr="00AA07FA">
        <w:rPr>
          <w:rFonts w:asciiTheme="majorHAnsi" w:hAnsiTheme="majorHAnsi" w:cstheme="majorHAnsi"/>
          <w:sz w:val="24"/>
          <w:szCs w:val="24"/>
          <w:lang w:val="ro-MD" w:eastAsia="ru-RU"/>
        </w:rPr>
        <w:t xml:space="preserve"> efectu</w:t>
      </w:r>
      <w:r w:rsidR="00EC1B45">
        <w:rPr>
          <w:rFonts w:asciiTheme="majorHAnsi" w:hAnsiTheme="majorHAnsi" w:cstheme="majorHAnsi"/>
          <w:sz w:val="24"/>
          <w:szCs w:val="24"/>
          <w:lang w:val="ro-MD" w:eastAsia="ru-RU"/>
        </w:rPr>
        <w:t>at</w:t>
      </w:r>
      <w:r w:rsidRPr="00AA07FA">
        <w:rPr>
          <w:rFonts w:asciiTheme="majorHAnsi" w:hAnsiTheme="majorHAnsi" w:cstheme="majorHAnsi"/>
          <w:sz w:val="24"/>
          <w:szCs w:val="24"/>
          <w:lang w:val="ro-MD" w:eastAsia="ru-RU"/>
        </w:rPr>
        <w:t xml:space="preserve"> prin intermediul MF, </w:t>
      </w:r>
      <w:r w:rsidR="00706AED">
        <w:rPr>
          <w:rFonts w:ascii="Calibri Light" w:eastAsia="Calibri" w:hAnsi="Calibri Light" w:cs="Calibri Light"/>
          <w:sz w:val="24"/>
          <w:szCs w:val="24"/>
          <w:lang w:val="ro-MD"/>
        </w:rPr>
        <w:t xml:space="preserve">Oficiului de Gestiune a Programelor de Asistență Externă </w:t>
      </w:r>
      <w:r w:rsidR="0042398B">
        <w:rPr>
          <w:rFonts w:ascii="Calibri Light" w:eastAsia="Calibri" w:hAnsi="Calibri Light" w:cs="Calibri Light"/>
          <w:sz w:val="24"/>
          <w:szCs w:val="24"/>
          <w:lang w:val="ro-MD"/>
        </w:rPr>
        <w:t xml:space="preserve">(OGP AE) </w:t>
      </w:r>
      <w:r w:rsidRPr="00AA07FA">
        <w:rPr>
          <w:rFonts w:asciiTheme="majorHAnsi" w:hAnsiTheme="majorHAnsi" w:cstheme="majorHAnsi"/>
          <w:sz w:val="24"/>
          <w:szCs w:val="24"/>
          <w:lang w:val="ro-MD" w:eastAsia="ru-RU"/>
        </w:rPr>
        <w:t>și Unității Consolidate pentru Implementarea Programelor Fondului Interna</w:t>
      </w:r>
      <w:r>
        <w:rPr>
          <w:rFonts w:asciiTheme="majorHAnsi" w:hAnsiTheme="majorHAnsi" w:cstheme="majorHAnsi"/>
          <w:sz w:val="24"/>
          <w:szCs w:val="24"/>
          <w:lang w:val="ro-MD" w:eastAsia="ru-RU"/>
        </w:rPr>
        <w:t>ț</w:t>
      </w:r>
      <w:r w:rsidRPr="00AA07FA">
        <w:rPr>
          <w:rFonts w:asciiTheme="majorHAnsi" w:hAnsiTheme="majorHAnsi" w:cstheme="majorHAnsi"/>
          <w:sz w:val="24"/>
          <w:szCs w:val="24"/>
          <w:lang w:val="ro-MD" w:eastAsia="ru-RU"/>
        </w:rPr>
        <w:t>ional pent</w:t>
      </w:r>
      <w:r>
        <w:rPr>
          <w:rFonts w:asciiTheme="majorHAnsi" w:hAnsiTheme="majorHAnsi" w:cstheme="majorHAnsi"/>
          <w:sz w:val="24"/>
          <w:szCs w:val="24"/>
          <w:lang w:val="ro-MD" w:eastAsia="ru-RU"/>
        </w:rPr>
        <w:t>ru Dezvoltare Agricolă</w:t>
      </w:r>
      <w:r w:rsidR="0042398B">
        <w:rPr>
          <w:rFonts w:asciiTheme="majorHAnsi" w:hAnsiTheme="majorHAnsi" w:cstheme="majorHAnsi"/>
          <w:sz w:val="24"/>
          <w:szCs w:val="24"/>
          <w:lang w:val="ro-MD" w:eastAsia="ru-RU"/>
        </w:rPr>
        <w:t xml:space="preserve"> (UCIP-FIDA).</w:t>
      </w:r>
    </w:p>
    <w:p w14:paraId="098ADB3D" w14:textId="4F759095" w:rsidR="006619CF" w:rsidRDefault="00706AED" w:rsidP="00FB1205">
      <w:pPr>
        <w:spacing w:before="240" w:after="0" w:line="276" w:lineRule="auto"/>
        <w:jc w:val="both"/>
        <w:rPr>
          <w:rFonts w:ascii="Calibri Light" w:eastAsia="Calibri" w:hAnsi="Calibri Light" w:cs="Calibri Light"/>
          <w:szCs w:val="24"/>
          <w:lang w:val="ro-MD"/>
        </w:rPr>
      </w:pPr>
      <w:r w:rsidRPr="002D554F">
        <w:rPr>
          <w:rFonts w:ascii="Calibri Light" w:eastAsia="Calibri" w:hAnsi="Calibri Light" w:cs="Calibri Light"/>
          <w:szCs w:val="24"/>
          <w:lang w:val="ro-MD"/>
        </w:rPr>
        <w:t>Pe parcursul anului 2020, prin intermediul MF, OGP AE și UCIP-</w:t>
      </w:r>
      <w:r w:rsidR="00C2264C">
        <w:rPr>
          <w:rFonts w:ascii="Calibri Light" w:eastAsia="Calibri" w:hAnsi="Calibri Light" w:cs="Calibri Light"/>
          <w:szCs w:val="24"/>
          <w:lang w:val="ro-MD"/>
        </w:rPr>
        <w:t>FIDA</w:t>
      </w:r>
      <w:r w:rsidRPr="002D554F">
        <w:rPr>
          <w:rFonts w:ascii="Calibri Light" w:eastAsia="Calibri" w:hAnsi="Calibri Light" w:cs="Calibri Light"/>
          <w:szCs w:val="24"/>
          <w:lang w:val="ro-MD"/>
        </w:rPr>
        <w:t>, din contul liniilor de creditare și m</w:t>
      </w:r>
      <w:r w:rsidR="00EC1B45">
        <w:rPr>
          <w:rFonts w:ascii="Calibri Light" w:eastAsia="Calibri" w:hAnsi="Calibri Light" w:cs="Calibri Light"/>
          <w:szCs w:val="24"/>
          <w:lang w:val="ro-MD"/>
        </w:rPr>
        <w:t xml:space="preserve">ijloacelor circulante acumulate, </w:t>
      </w:r>
      <w:r w:rsidRPr="002D554F">
        <w:rPr>
          <w:rFonts w:ascii="Calibri Light" w:eastAsia="Calibri" w:hAnsi="Calibri Light" w:cs="Calibri Light"/>
          <w:szCs w:val="24"/>
          <w:lang w:val="ro-MD"/>
        </w:rPr>
        <w:t xml:space="preserve">pentru realizarea proiectelor finanțate din surse externe au fost recreditate împrumuturi </w:t>
      </w:r>
      <w:r w:rsidR="007D6678" w:rsidRPr="002D554F">
        <w:rPr>
          <w:rFonts w:ascii="Calibri Light" w:eastAsia="Calibri" w:hAnsi="Calibri Light" w:cs="Calibri Light"/>
          <w:szCs w:val="24"/>
          <w:lang w:val="ro-MD"/>
        </w:rPr>
        <w:t xml:space="preserve">agenților economici, APL și IFP </w:t>
      </w:r>
      <w:r w:rsidRPr="002D554F">
        <w:rPr>
          <w:rFonts w:ascii="Calibri Light" w:eastAsia="Calibri" w:hAnsi="Calibri Light" w:cs="Calibri Light"/>
          <w:szCs w:val="24"/>
          <w:lang w:val="ro-MD"/>
        </w:rPr>
        <w:t xml:space="preserve">în sumă totală de: 707,1 mil. lei, </w:t>
      </w:r>
      <w:r w:rsidR="00EE7746">
        <w:rPr>
          <w:rFonts w:ascii="Calibri Light" w:eastAsia="Calibri" w:hAnsi="Calibri Light" w:cs="Calibri Light"/>
          <w:szCs w:val="24"/>
          <w:lang w:val="ro-MD"/>
        </w:rPr>
        <w:t xml:space="preserve">         </w:t>
      </w:r>
      <w:r w:rsidRPr="002D554F">
        <w:rPr>
          <w:rFonts w:ascii="Calibri Light" w:eastAsia="Calibri" w:hAnsi="Calibri Light" w:cs="Calibri Light"/>
          <w:szCs w:val="24"/>
          <w:lang w:val="ro-MD"/>
        </w:rPr>
        <w:t xml:space="preserve">0,5 mil. dol. SUA și 39,9 mil. Euro (echivalentul a 1 522,0 mil. lei), inclusiv din sursele recreditate din mijloacele circulante acumulate – 496,7 </w:t>
      </w:r>
      <w:r w:rsidR="00081C98">
        <w:rPr>
          <w:rFonts w:ascii="Calibri Light" w:eastAsia="Calibri" w:hAnsi="Calibri Light" w:cs="Calibri Light"/>
          <w:szCs w:val="24"/>
          <w:lang w:val="ro-MD"/>
        </w:rPr>
        <w:t xml:space="preserve">mil. lei și </w:t>
      </w:r>
      <w:r w:rsidRPr="002D554F">
        <w:rPr>
          <w:rFonts w:ascii="Calibri Light" w:eastAsia="Calibri" w:hAnsi="Calibri Light" w:cs="Calibri Light"/>
          <w:szCs w:val="24"/>
          <w:lang w:val="ro-MD"/>
        </w:rPr>
        <w:t xml:space="preserve">2,7 mil. Euro (echivalentul a 549,8 mil. lei), sau 36,1% din suma totală recreditată. </w:t>
      </w:r>
    </w:p>
    <w:p w14:paraId="5AC041FF" w14:textId="72D38916" w:rsidR="0042398B" w:rsidRDefault="006619CF" w:rsidP="00FB1205">
      <w:pPr>
        <w:spacing w:before="240" w:after="0" w:line="276" w:lineRule="auto"/>
        <w:jc w:val="both"/>
        <w:rPr>
          <w:rFonts w:ascii="Calibri Light" w:eastAsia="Calibri" w:hAnsi="Calibri Light" w:cs="Calibri Light"/>
          <w:szCs w:val="24"/>
          <w:lang w:val="ro-MD"/>
        </w:rPr>
      </w:pPr>
      <w:r w:rsidRPr="002C1859">
        <w:rPr>
          <w:rFonts w:ascii="Calibri Light" w:eastAsia="Calibri" w:hAnsi="Calibri Light" w:cs="Calibri Light"/>
          <w:szCs w:val="24"/>
          <w:lang w:val="ro-MD"/>
        </w:rPr>
        <w:lastRenderedPageBreak/>
        <w:t xml:space="preserve">Din sumele totale recreditate, </w:t>
      </w:r>
      <w:r w:rsidRPr="00D64295">
        <w:rPr>
          <w:rFonts w:ascii="Calibri Light" w:eastAsia="Calibri" w:hAnsi="Calibri Light" w:cs="Calibri Light"/>
          <w:i/>
          <w:szCs w:val="24"/>
          <w:lang w:val="ro-MD"/>
        </w:rPr>
        <w:t>prin intermediul MF</w:t>
      </w:r>
      <w:r w:rsidRPr="002C1859">
        <w:rPr>
          <w:rFonts w:ascii="Calibri Light" w:eastAsia="Calibri" w:hAnsi="Calibri Light" w:cs="Calibri Light"/>
          <w:szCs w:val="24"/>
          <w:lang w:val="ro-MD"/>
        </w:rPr>
        <w:t xml:space="preserve"> au fost recreditați beneficiari în sumă de 0,4 mil. dol. SUA și 23,1 mil. Eu</w:t>
      </w:r>
      <w:r w:rsidRPr="006619CF">
        <w:rPr>
          <w:rFonts w:ascii="Calibri Light" w:eastAsia="Calibri" w:hAnsi="Calibri Light" w:cs="Calibri Light"/>
          <w:szCs w:val="24"/>
          <w:lang w:val="ro-MD"/>
        </w:rPr>
        <w:t xml:space="preserve">ro (echivalentul a 467,9 mil. lei), </w:t>
      </w:r>
      <w:r w:rsidRPr="006619CF">
        <w:rPr>
          <w:rFonts w:ascii="Calibri Light" w:eastAsia="Calibri" w:hAnsi="Calibri Light" w:cs="Calibri Light"/>
          <w:i/>
          <w:szCs w:val="24"/>
          <w:lang w:val="ro-MD"/>
        </w:rPr>
        <w:t>prin intermediul OGP AE</w:t>
      </w:r>
      <w:r w:rsidR="00081C98">
        <w:rPr>
          <w:rFonts w:ascii="Calibri Light" w:eastAsia="Calibri" w:hAnsi="Calibri Light" w:cs="Calibri Light"/>
          <w:szCs w:val="24"/>
          <w:lang w:val="ro-MD"/>
        </w:rPr>
        <w:t xml:space="preserve"> – 642,7 mil. lei și </w:t>
      </w:r>
      <w:r w:rsidRPr="006619CF">
        <w:rPr>
          <w:rFonts w:ascii="Calibri Light" w:eastAsia="Calibri" w:hAnsi="Calibri Light" w:cs="Calibri Light"/>
          <w:szCs w:val="24"/>
          <w:lang w:val="ro-MD"/>
        </w:rPr>
        <w:t>16,4 mil. Euro (echivalentul a 980,3 mil. lei)</w:t>
      </w:r>
      <w:r w:rsidR="00E2010C">
        <w:rPr>
          <w:rFonts w:ascii="Calibri Light" w:eastAsia="Calibri" w:hAnsi="Calibri Light" w:cs="Calibri Light"/>
          <w:szCs w:val="24"/>
          <w:lang w:val="ro-MD"/>
        </w:rPr>
        <w:t>,</w:t>
      </w:r>
      <w:r w:rsidRPr="006619CF">
        <w:rPr>
          <w:rFonts w:ascii="Calibri Light" w:eastAsia="Calibri" w:hAnsi="Calibri Light" w:cs="Calibri Light"/>
          <w:szCs w:val="24"/>
          <w:lang w:val="ro-MD"/>
        </w:rPr>
        <w:t xml:space="preserve"> și </w:t>
      </w:r>
      <w:r w:rsidRPr="006619CF">
        <w:rPr>
          <w:rFonts w:ascii="Calibri Light" w:eastAsia="Calibri" w:hAnsi="Calibri Light" w:cs="Calibri Light"/>
          <w:i/>
          <w:szCs w:val="24"/>
          <w:lang w:val="ro-MD"/>
        </w:rPr>
        <w:t xml:space="preserve">prin intermediul </w:t>
      </w:r>
      <w:r w:rsidR="00C2264C">
        <w:rPr>
          <w:rFonts w:ascii="Calibri Light" w:eastAsia="Calibri" w:hAnsi="Calibri Light" w:cs="Calibri Light"/>
          <w:i/>
          <w:szCs w:val="24"/>
          <w:lang w:val="ro-MD"/>
        </w:rPr>
        <w:t>UCIP-</w:t>
      </w:r>
      <w:r w:rsidRPr="006619CF">
        <w:rPr>
          <w:rFonts w:ascii="Calibri Light" w:eastAsia="Calibri" w:hAnsi="Calibri Light" w:cs="Calibri Light"/>
          <w:i/>
          <w:szCs w:val="24"/>
          <w:lang w:val="ro-MD"/>
        </w:rPr>
        <w:t>FIDA</w:t>
      </w:r>
      <w:r w:rsidR="00081C98">
        <w:rPr>
          <w:rFonts w:ascii="Calibri Light" w:eastAsia="Calibri" w:hAnsi="Calibri Light" w:cs="Calibri Light"/>
          <w:szCs w:val="24"/>
          <w:lang w:val="ro-MD"/>
        </w:rPr>
        <w:t xml:space="preserve"> – 64,4 mil. lei, </w:t>
      </w:r>
      <w:r w:rsidR="00EE7746">
        <w:rPr>
          <w:rFonts w:ascii="Calibri Light" w:eastAsia="Calibri" w:hAnsi="Calibri Light" w:cs="Calibri Light"/>
          <w:szCs w:val="24"/>
          <w:lang w:val="ro-MD"/>
        </w:rPr>
        <w:t xml:space="preserve">           </w:t>
      </w:r>
      <w:r w:rsidRPr="006619CF">
        <w:rPr>
          <w:rFonts w:ascii="Calibri Light" w:eastAsia="Calibri" w:hAnsi="Calibri Light" w:cs="Calibri Light"/>
          <w:szCs w:val="24"/>
          <w:lang w:val="ro-MD"/>
        </w:rPr>
        <w:t>0,1 mil. dol. SUA și 0,4 mil. Euro (echivalentul a 73,8 mil. lei).</w:t>
      </w:r>
      <w:r w:rsidR="0042398B">
        <w:rPr>
          <w:rFonts w:ascii="Calibri Light" w:eastAsia="Calibri" w:hAnsi="Calibri Light" w:cs="Calibri Light"/>
          <w:szCs w:val="24"/>
          <w:lang w:val="ro-MD"/>
        </w:rPr>
        <w:t xml:space="preserve"> </w:t>
      </w:r>
    </w:p>
    <w:p w14:paraId="26FE7BF4" w14:textId="6963DF04" w:rsidR="006619CF" w:rsidRPr="0042398B" w:rsidRDefault="0042398B" w:rsidP="00152020">
      <w:pPr>
        <w:spacing w:before="240" w:line="276" w:lineRule="auto"/>
        <w:jc w:val="both"/>
        <w:rPr>
          <w:rFonts w:ascii="Calibri Light" w:eastAsia="Calibri" w:hAnsi="Calibri Light" w:cs="Calibri Light"/>
          <w:szCs w:val="24"/>
          <w:lang w:val="ro-MD"/>
        </w:rPr>
      </w:pPr>
      <w:r>
        <w:rPr>
          <w:rFonts w:ascii="Calibri Light" w:eastAsia="Calibri" w:hAnsi="Calibri Light" w:cs="Calibri Light"/>
          <w:szCs w:val="24"/>
          <w:lang w:val="ro-MD"/>
        </w:rPr>
        <w:t>C</w:t>
      </w:r>
      <w:r w:rsidR="006619CF">
        <w:rPr>
          <w:rFonts w:ascii="Calibri Light" w:eastAsia="Times New Roman" w:hAnsi="Calibri Light" w:cs="Calibri Light"/>
          <w:szCs w:val="24"/>
          <w:lang w:val="ro-RO" w:eastAsia="ro-RO"/>
        </w:rPr>
        <w:t>omparativ cu anii precedenți</w:t>
      </w:r>
      <w:r w:rsidR="006619CF" w:rsidRPr="00B47A51">
        <w:rPr>
          <w:rFonts w:ascii="Calibri Light" w:eastAsia="Times New Roman" w:hAnsi="Calibri Light" w:cs="Calibri Light"/>
          <w:szCs w:val="24"/>
          <w:lang w:val="ro-RO" w:eastAsia="ro-RO"/>
        </w:rPr>
        <w:t xml:space="preserve">, în anul 2020 se atestă o creștere a mijloacelor financiare îndreptate spre recreditarea de stat, datorită cererii mai mari de recreditare din partea beneficiarilor în scopul implementării proiectelor finanțate din </w:t>
      </w:r>
      <w:r w:rsidR="006619CF" w:rsidRPr="00B47A51">
        <w:rPr>
          <w:rFonts w:ascii="Calibri Light" w:eastAsia="Calibri" w:hAnsi="Calibri Light" w:cs="Calibri Light"/>
          <w:szCs w:val="24"/>
          <w:lang w:val="ro-RO"/>
        </w:rPr>
        <w:t>surse externe</w:t>
      </w:r>
      <w:r w:rsidR="006619CF" w:rsidRPr="00B47A51">
        <w:rPr>
          <w:rFonts w:ascii="Calibri Light" w:eastAsia="Times New Roman" w:hAnsi="Calibri Light" w:cs="Calibri Light"/>
          <w:szCs w:val="24"/>
          <w:lang w:val="ro-RO" w:eastAsia="ro-RO"/>
        </w:rPr>
        <w:t xml:space="preserve">. </w:t>
      </w:r>
    </w:p>
    <w:p w14:paraId="3D6059D7" w14:textId="18FFC356" w:rsidR="00A65BA0" w:rsidRPr="005E58F5" w:rsidRDefault="00A65BA0" w:rsidP="00FB1205">
      <w:pPr>
        <w:spacing w:after="240" w:line="264" w:lineRule="auto"/>
        <w:jc w:val="both"/>
        <w:rPr>
          <w:rFonts w:ascii="Calibri Light" w:eastAsia="Calibri" w:hAnsi="Calibri Light" w:cs="Calibri Light"/>
          <w:szCs w:val="24"/>
          <w:lang w:val="ro-RO" w:eastAsia="ru-RU"/>
        </w:rPr>
      </w:pPr>
      <w:r>
        <w:rPr>
          <w:rFonts w:ascii="Calibri Light" w:eastAsia="Calibri" w:hAnsi="Calibri Light" w:cs="Calibri Light"/>
          <w:szCs w:val="24"/>
          <w:lang w:val="ro-RO" w:eastAsia="ru-RU"/>
        </w:rPr>
        <w:t xml:space="preserve">În anul 2020, </w:t>
      </w:r>
      <w:r w:rsidRPr="00F86CD0">
        <w:rPr>
          <w:rFonts w:cstheme="majorHAnsi"/>
          <w:szCs w:val="24"/>
          <w:lang w:val="ro-RO" w:eastAsia="ru-RU"/>
        </w:rPr>
        <w:t xml:space="preserve">de împrumuturi recreditate au beneficiat </w:t>
      </w:r>
      <w:r>
        <w:rPr>
          <w:rFonts w:cstheme="majorHAnsi"/>
          <w:szCs w:val="24"/>
          <w:lang w:val="ro-RO" w:eastAsia="ru-RU"/>
        </w:rPr>
        <w:t>24</w:t>
      </w:r>
      <w:r w:rsidRPr="00F86CD0">
        <w:rPr>
          <w:rFonts w:cstheme="majorHAnsi"/>
          <w:szCs w:val="24"/>
          <w:lang w:val="ro-RO" w:eastAsia="ru-RU"/>
        </w:rPr>
        <w:t xml:space="preserve"> </w:t>
      </w:r>
      <w:r w:rsidR="00E2010C">
        <w:rPr>
          <w:rFonts w:cstheme="majorHAnsi"/>
          <w:szCs w:val="24"/>
          <w:lang w:val="ro-RO" w:eastAsia="ru-RU"/>
        </w:rPr>
        <w:t xml:space="preserve">de </w:t>
      </w:r>
      <w:r w:rsidRPr="00F86CD0">
        <w:rPr>
          <w:rFonts w:cstheme="majorHAnsi"/>
          <w:szCs w:val="24"/>
          <w:lang w:val="ro-RO" w:eastAsia="ru-RU"/>
        </w:rPr>
        <w:t>proiecte finanțate din surse externe, dintre care: prin intermediul MF – 6 proiecte</w:t>
      </w:r>
      <w:r w:rsidR="00E10FDA">
        <w:rPr>
          <w:rFonts w:cstheme="majorHAnsi"/>
          <w:szCs w:val="24"/>
          <w:lang w:val="ro-RO" w:eastAsia="ru-RU"/>
        </w:rPr>
        <w:t xml:space="preserve"> (</w:t>
      </w:r>
      <w:r w:rsidR="00E10FDA" w:rsidRPr="00F4250D">
        <w:rPr>
          <w:rFonts w:ascii="Calibri Light" w:eastAsia="Calibri" w:hAnsi="Calibri Light" w:cs="Calibri Light"/>
          <w:szCs w:val="24"/>
          <w:lang w:val="ro-MD" w:eastAsia="ru-RU"/>
        </w:rPr>
        <w:t>30,7%</w:t>
      </w:r>
      <w:r w:rsidR="00E10FDA">
        <w:rPr>
          <w:rFonts w:ascii="Calibri Light" w:eastAsia="Calibri" w:hAnsi="Calibri Light" w:cs="Calibri Light"/>
          <w:szCs w:val="24"/>
          <w:lang w:val="ro-MD" w:eastAsia="ru-RU"/>
        </w:rPr>
        <w:t>)</w:t>
      </w:r>
      <w:r w:rsidR="00E2010C">
        <w:rPr>
          <w:rFonts w:ascii="Calibri Light" w:eastAsia="Calibri" w:hAnsi="Calibri Light" w:cs="Calibri Light"/>
          <w:szCs w:val="24"/>
          <w:lang w:val="ro-MD" w:eastAsia="ru-RU"/>
        </w:rPr>
        <w:t>,</w:t>
      </w:r>
      <w:r w:rsidR="00E10FDA" w:rsidRPr="00F4250D">
        <w:rPr>
          <w:rFonts w:ascii="Calibri Light" w:eastAsia="Calibri" w:hAnsi="Calibri Light" w:cs="Calibri Light"/>
          <w:szCs w:val="24"/>
          <w:lang w:val="ro-MD" w:eastAsia="ru-RU"/>
        </w:rPr>
        <w:t xml:space="preserve"> </w:t>
      </w:r>
      <w:r>
        <w:rPr>
          <w:rFonts w:ascii="Calibri Light" w:eastAsia="Calibri" w:hAnsi="Calibri Light" w:cs="Calibri Light"/>
          <w:szCs w:val="24"/>
          <w:lang w:val="ro-RO" w:eastAsia="ru-RU"/>
        </w:rPr>
        <w:t xml:space="preserve">și </w:t>
      </w:r>
      <w:r w:rsidRPr="005E58F5">
        <w:rPr>
          <w:rFonts w:cstheme="majorHAnsi"/>
          <w:szCs w:val="24"/>
          <w:lang w:val="ro-RO" w:eastAsia="ru-RU"/>
        </w:rPr>
        <w:t xml:space="preserve">prin intermediul OGP AE - 16 proiecte </w:t>
      </w:r>
      <w:r w:rsidR="00E10FDA">
        <w:rPr>
          <w:rFonts w:cstheme="majorHAnsi"/>
          <w:szCs w:val="24"/>
          <w:lang w:val="ro-RO" w:eastAsia="ru-RU"/>
        </w:rPr>
        <w:t>(</w:t>
      </w:r>
      <w:r w:rsidR="00E10FDA" w:rsidRPr="00F4250D">
        <w:rPr>
          <w:rFonts w:ascii="Calibri Light" w:eastAsia="Calibri" w:hAnsi="Calibri Light" w:cs="Calibri Light"/>
          <w:szCs w:val="24"/>
          <w:lang w:val="ro-MD" w:eastAsia="ru-RU"/>
        </w:rPr>
        <w:t>64,4%</w:t>
      </w:r>
      <w:r w:rsidR="00E10FDA">
        <w:rPr>
          <w:rFonts w:ascii="Calibri Light" w:eastAsia="Calibri" w:hAnsi="Calibri Light" w:cs="Calibri Light"/>
          <w:szCs w:val="24"/>
          <w:lang w:val="ro-MD" w:eastAsia="ru-RU"/>
        </w:rPr>
        <w:t>)</w:t>
      </w:r>
      <w:r w:rsidR="00E10FDA" w:rsidRPr="00F4250D">
        <w:rPr>
          <w:rFonts w:ascii="Calibri Light" w:eastAsia="Calibri" w:hAnsi="Calibri Light" w:cs="Calibri Light"/>
          <w:szCs w:val="24"/>
          <w:lang w:val="ro-MD" w:eastAsia="ru-RU"/>
        </w:rPr>
        <w:t xml:space="preserve"> </w:t>
      </w:r>
      <w:r w:rsidRPr="005E58F5">
        <w:rPr>
          <w:rFonts w:cstheme="majorHAnsi"/>
          <w:szCs w:val="24"/>
          <w:lang w:val="ro-RO" w:eastAsia="ru-RU"/>
        </w:rPr>
        <w:t xml:space="preserve">și </w:t>
      </w:r>
      <w:r w:rsidR="00C2264C">
        <w:rPr>
          <w:rFonts w:cstheme="majorHAnsi"/>
          <w:szCs w:val="24"/>
          <w:lang w:val="ro-RO" w:eastAsia="ru-RU"/>
        </w:rPr>
        <w:t>UCIP-</w:t>
      </w:r>
      <w:r w:rsidRPr="005E58F5">
        <w:rPr>
          <w:rFonts w:cstheme="majorHAnsi"/>
          <w:szCs w:val="24"/>
          <w:lang w:val="ro-RO" w:eastAsia="ru-RU"/>
        </w:rPr>
        <w:t>FIDA – 2 proiecte</w:t>
      </w:r>
      <w:r w:rsidR="00E10FDA">
        <w:rPr>
          <w:rFonts w:cstheme="majorHAnsi"/>
          <w:szCs w:val="24"/>
          <w:lang w:val="ro-RO" w:eastAsia="ru-RU"/>
        </w:rPr>
        <w:t xml:space="preserve"> (</w:t>
      </w:r>
      <w:r w:rsidR="00E10FDA">
        <w:rPr>
          <w:rFonts w:ascii="Calibri Light" w:eastAsia="Calibri" w:hAnsi="Calibri Light" w:cs="Calibri Light"/>
          <w:szCs w:val="24"/>
          <w:lang w:val="ro-MD" w:eastAsia="ru-RU"/>
        </w:rPr>
        <w:t>4,9%)</w:t>
      </w:r>
      <w:r w:rsidR="007F6FE6">
        <w:rPr>
          <w:rFonts w:cstheme="majorHAnsi"/>
          <w:szCs w:val="24"/>
          <w:lang w:val="ro-RO" w:eastAsia="ru-RU"/>
        </w:rPr>
        <w:t xml:space="preserve">. </w:t>
      </w:r>
      <w:r w:rsidR="007F6FE6" w:rsidRPr="007F6FE6">
        <w:rPr>
          <w:rFonts w:cstheme="majorHAnsi"/>
          <w:i/>
          <w:color w:val="000000" w:themeColor="text1"/>
          <w:szCs w:val="24"/>
          <w:lang w:val="ro-MD" w:eastAsia="ru-RU"/>
        </w:rPr>
        <w:t>Informația detaliată se prezintă în Anexa nr.</w:t>
      </w:r>
      <w:r w:rsidR="00624678">
        <w:rPr>
          <w:rFonts w:cstheme="majorHAnsi"/>
          <w:i/>
          <w:color w:val="000000" w:themeColor="text1"/>
          <w:szCs w:val="24"/>
          <w:lang w:val="ro-MD" w:eastAsia="ru-RU"/>
        </w:rPr>
        <w:t>4</w:t>
      </w:r>
      <w:r w:rsidR="00556240">
        <w:rPr>
          <w:rFonts w:cstheme="majorHAnsi"/>
          <w:i/>
          <w:color w:val="000000" w:themeColor="text1"/>
          <w:szCs w:val="24"/>
          <w:lang w:val="ro-MD" w:eastAsia="ru-RU"/>
        </w:rPr>
        <w:t>, Tabelele nr.</w:t>
      </w:r>
      <w:r w:rsidR="00624678">
        <w:rPr>
          <w:rFonts w:cstheme="majorHAnsi"/>
          <w:i/>
          <w:color w:val="000000" w:themeColor="text1"/>
          <w:szCs w:val="24"/>
          <w:lang w:val="ro-MD" w:eastAsia="ru-RU"/>
        </w:rPr>
        <w:t>7</w:t>
      </w:r>
      <w:r w:rsidR="00E10FDA">
        <w:rPr>
          <w:rFonts w:cstheme="majorHAnsi"/>
          <w:i/>
          <w:color w:val="000000" w:themeColor="text1"/>
          <w:szCs w:val="24"/>
          <w:lang w:val="ro-MD" w:eastAsia="ru-RU"/>
        </w:rPr>
        <w:t xml:space="preserve"> și nr.</w:t>
      </w:r>
      <w:r w:rsidR="00624678">
        <w:rPr>
          <w:rFonts w:cstheme="majorHAnsi"/>
          <w:i/>
          <w:color w:val="000000" w:themeColor="text1"/>
          <w:szCs w:val="24"/>
          <w:lang w:val="ro-MD" w:eastAsia="ru-RU"/>
        </w:rPr>
        <w:t>8</w:t>
      </w:r>
      <w:r w:rsidR="00E10FDA">
        <w:rPr>
          <w:rFonts w:cstheme="majorHAnsi"/>
          <w:i/>
          <w:color w:val="000000" w:themeColor="text1"/>
          <w:szCs w:val="24"/>
          <w:lang w:val="ro-MD" w:eastAsia="ru-RU"/>
        </w:rPr>
        <w:t xml:space="preserve">, </w:t>
      </w:r>
      <w:r w:rsidR="007F6FE6" w:rsidRPr="007F6FE6">
        <w:rPr>
          <w:rFonts w:cstheme="majorHAnsi"/>
          <w:i/>
          <w:color w:val="000000" w:themeColor="text1"/>
          <w:szCs w:val="24"/>
          <w:lang w:val="ro-MD" w:eastAsia="ru-RU"/>
        </w:rPr>
        <w:t>la prezentul Raport de audit.</w:t>
      </w:r>
    </w:p>
    <w:p w14:paraId="7F7C173D" w14:textId="4BF6A362" w:rsidR="00706AED" w:rsidRPr="000F2C65" w:rsidRDefault="00706AED" w:rsidP="00FB1205">
      <w:pPr>
        <w:spacing w:after="0" w:line="276" w:lineRule="auto"/>
        <w:jc w:val="both"/>
        <w:rPr>
          <w:rFonts w:ascii="Calibri Light" w:eastAsia="Times New Roman" w:hAnsi="Calibri Light" w:cs="Calibri Light"/>
          <w:i/>
          <w:szCs w:val="24"/>
          <w:lang w:val="ro-RO" w:eastAsia="ro-RO"/>
        </w:rPr>
      </w:pPr>
      <w:r w:rsidRPr="003A09D4">
        <w:rPr>
          <w:rFonts w:ascii="Calibri Light" w:eastAsia="Calibri" w:hAnsi="Calibri Light" w:cs="Calibri Light"/>
          <w:szCs w:val="24"/>
          <w:lang w:val="ro-MD"/>
        </w:rPr>
        <w:t>Sub aspectul ramurilor economiei naționale, ponderea majoră a mijloacelor recreditate a fost îndreptată spre agricultură, silvicultură și pescuit – 53,5%, urmată de activitatea economică transport și dezvoltare – 18,6%, producția și furnizarea de energie electrică și termică, gaze, apă caldă și aer condiționat – 12,5%</w:t>
      </w:r>
      <w:r w:rsidR="00EF7A57">
        <w:rPr>
          <w:rFonts w:ascii="Calibri Light" w:eastAsia="Calibri" w:hAnsi="Calibri Light" w:cs="Calibri Light"/>
          <w:szCs w:val="24"/>
          <w:lang w:val="ro-MD"/>
        </w:rPr>
        <w:t>, etc</w:t>
      </w:r>
      <w:r w:rsidRPr="003A09D4">
        <w:rPr>
          <w:rFonts w:ascii="Calibri Light" w:eastAsia="Calibri" w:hAnsi="Calibri Light" w:cs="Calibri Light"/>
          <w:szCs w:val="24"/>
          <w:lang w:val="ro-MD"/>
        </w:rPr>
        <w:t>.</w:t>
      </w:r>
      <w:r w:rsidRPr="003A09D4">
        <w:rPr>
          <w:rFonts w:ascii="Calibri Light" w:eastAsia="Times New Roman" w:hAnsi="Calibri Light" w:cs="Calibri Light"/>
          <w:i/>
          <w:szCs w:val="24"/>
          <w:lang w:val="ro-RO" w:eastAsia="ro-RO"/>
        </w:rPr>
        <w:t xml:space="preserve"> Informația detal</w:t>
      </w:r>
      <w:r w:rsidR="00F82745">
        <w:rPr>
          <w:rFonts w:ascii="Calibri Light" w:eastAsia="Times New Roman" w:hAnsi="Calibri Light" w:cs="Calibri Light"/>
          <w:i/>
          <w:szCs w:val="24"/>
          <w:lang w:val="ro-RO" w:eastAsia="ro-RO"/>
        </w:rPr>
        <w:t>iată se prez</w:t>
      </w:r>
      <w:r w:rsidR="000D05EE">
        <w:rPr>
          <w:rFonts w:ascii="Calibri Light" w:eastAsia="Times New Roman" w:hAnsi="Calibri Light" w:cs="Calibri Light"/>
          <w:i/>
          <w:szCs w:val="24"/>
          <w:lang w:val="ro-RO" w:eastAsia="ro-RO"/>
        </w:rPr>
        <w:t>i</w:t>
      </w:r>
      <w:r w:rsidR="00F82745">
        <w:rPr>
          <w:rFonts w:ascii="Calibri Light" w:eastAsia="Times New Roman" w:hAnsi="Calibri Light" w:cs="Calibri Light"/>
          <w:i/>
          <w:szCs w:val="24"/>
          <w:lang w:val="ro-RO" w:eastAsia="ro-RO"/>
        </w:rPr>
        <w:t xml:space="preserve">ntă în </w:t>
      </w:r>
      <w:r w:rsidR="000D05EE">
        <w:rPr>
          <w:rFonts w:ascii="Calibri Light" w:eastAsia="Times New Roman" w:hAnsi="Calibri Light" w:cs="Calibri Light"/>
          <w:i/>
          <w:szCs w:val="24"/>
          <w:lang w:val="ro-RO" w:eastAsia="ro-RO"/>
        </w:rPr>
        <w:t>Anexa nr.</w:t>
      </w:r>
      <w:r w:rsidR="00624678">
        <w:rPr>
          <w:rFonts w:ascii="Calibri Light" w:eastAsia="Times New Roman" w:hAnsi="Calibri Light" w:cs="Calibri Light"/>
          <w:i/>
          <w:szCs w:val="24"/>
          <w:lang w:val="ro-RO" w:eastAsia="ro-RO"/>
        </w:rPr>
        <w:t>4</w:t>
      </w:r>
      <w:r w:rsidR="000D05EE">
        <w:rPr>
          <w:rFonts w:ascii="Calibri Light" w:eastAsia="Times New Roman" w:hAnsi="Calibri Light" w:cs="Calibri Light"/>
          <w:i/>
          <w:szCs w:val="24"/>
          <w:lang w:val="ro-RO" w:eastAsia="ro-RO"/>
        </w:rPr>
        <w:t>, Tabelul nr.</w:t>
      </w:r>
      <w:r w:rsidR="00624678">
        <w:rPr>
          <w:rFonts w:ascii="Calibri Light" w:eastAsia="Times New Roman" w:hAnsi="Calibri Light" w:cs="Calibri Light"/>
          <w:i/>
          <w:szCs w:val="24"/>
          <w:lang w:val="ro-RO" w:eastAsia="ro-RO"/>
        </w:rPr>
        <w:t>9</w:t>
      </w:r>
      <w:r w:rsidR="00F27F48">
        <w:rPr>
          <w:rFonts w:ascii="Calibri Light" w:eastAsia="Times New Roman" w:hAnsi="Calibri Light" w:cs="Calibri Light"/>
          <w:i/>
          <w:szCs w:val="24"/>
          <w:lang w:val="ro-RO" w:eastAsia="ro-RO"/>
        </w:rPr>
        <w:t xml:space="preserve"> la prezentul Raport de audit.</w:t>
      </w:r>
      <w:r w:rsidRPr="000F2C65">
        <w:rPr>
          <w:rFonts w:ascii="Calibri Light" w:eastAsia="Times New Roman" w:hAnsi="Calibri Light" w:cs="Calibri Light"/>
          <w:i/>
          <w:color w:val="000000"/>
          <w:szCs w:val="24"/>
          <w:lang w:val="ro-RO" w:eastAsia="ro-RO"/>
        </w:rPr>
        <w:t xml:space="preserve">                                                                                                                                     </w:t>
      </w:r>
    </w:p>
    <w:p w14:paraId="6609C12A" w14:textId="544EEB82" w:rsidR="00706AED" w:rsidRPr="000F2C65" w:rsidRDefault="00706AED" w:rsidP="000D05EE">
      <w:pPr>
        <w:tabs>
          <w:tab w:val="left" w:pos="284"/>
        </w:tabs>
        <w:spacing w:after="0" w:line="240" w:lineRule="auto"/>
        <w:contextualSpacing/>
        <w:jc w:val="right"/>
        <w:rPr>
          <w:rFonts w:ascii="Calibri Light" w:eastAsia="Calibri" w:hAnsi="Calibri Light" w:cs="Calibri Light"/>
          <w:i/>
          <w:sz w:val="16"/>
          <w:szCs w:val="16"/>
          <w:lang w:val="ro-MD"/>
        </w:rPr>
      </w:pPr>
      <w:r w:rsidRPr="000F2C65">
        <w:rPr>
          <w:rFonts w:ascii="Calibri Light" w:eastAsia="Times New Roman" w:hAnsi="Calibri Light" w:cs="Calibri Light"/>
          <w:i/>
          <w:color w:val="000000"/>
          <w:szCs w:val="24"/>
          <w:lang w:val="ro-RO" w:eastAsia="ro-RO"/>
        </w:rPr>
        <w:t xml:space="preserve"> </w:t>
      </w:r>
    </w:p>
    <w:p w14:paraId="1B790638" w14:textId="6B2D7076" w:rsidR="008827BC" w:rsidRDefault="008827BC" w:rsidP="00FB1205">
      <w:pPr>
        <w:spacing w:after="240" w:line="276" w:lineRule="auto"/>
        <w:jc w:val="both"/>
        <w:rPr>
          <w:rFonts w:ascii="Calibri Light" w:eastAsia="Calibri" w:hAnsi="Calibri Light" w:cs="Calibri Light"/>
          <w:szCs w:val="24"/>
          <w:lang w:val="ro-MD"/>
        </w:rPr>
      </w:pPr>
      <w:r w:rsidRPr="007F6FE6">
        <w:rPr>
          <w:rFonts w:ascii="Calibri Light" w:eastAsia="Calibri" w:hAnsi="Calibri Light" w:cs="Calibri Light"/>
          <w:szCs w:val="24"/>
          <w:lang w:val="ro-MD"/>
        </w:rPr>
        <w:t xml:space="preserve">Pe parcursul anului de gestiune, beneficiarii recreditați au rambursat mijloace în sumă totală de 481,3 mil. lei, 5,9 mil. dol. SUA, 18,1 mil. Euro și 0,9 mil. yeni japonezi (echivalentul a 948,2 mil. lei), inclusiv la împrumuturile recreditate prin intermediul MF – 0,4 mil. lei, 4,6 mil. dol. SUA, </w:t>
      </w:r>
      <w:r w:rsidR="00EE7746">
        <w:rPr>
          <w:rFonts w:ascii="Calibri Light" w:eastAsia="Calibri" w:hAnsi="Calibri Light" w:cs="Calibri Light"/>
          <w:szCs w:val="24"/>
          <w:lang w:val="ro-MD"/>
        </w:rPr>
        <w:t xml:space="preserve">             </w:t>
      </w:r>
      <w:r w:rsidRPr="007F6FE6">
        <w:rPr>
          <w:rFonts w:ascii="Calibri Light" w:eastAsia="Calibri" w:hAnsi="Calibri Light" w:cs="Calibri Light"/>
          <w:szCs w:val="24"/>
          <w:lang w:val="ro-MD"/>
        </w:rPr>
        <w:t>5,4 mil. Euro și 0,9 mil. yeni japonezi, prin intermediul OGP AE – 420,6 mil. lei, 0,9 mil. dol. SUA și 12,5 mil. Euro și prin intermediul UCIP-</w:t>
      </w:r>
      <w:r w:rsidR="00C2264C">
        <w:rPr>
          <w:rFonts w:ascii="Calibri Light" w:eastAsia="Calibri" w:hAnsi="Calibri Light" w:cs="Calibri Light"/>
          <w:szCs w:val="24"/>
          <w:lang w:val="ro-MD"/>
        </w:rPr>
        <w:t>FIDA</w:t>
      </w:r>
      <w:r w:rsidRPr="007F6FE6">
        <w:rPr>
          <w:rFonts w:ascii="Calibri Light" w:eastAsia="Calibri" w:hAnsi="Calibri Light" w:cs="Calibri Light"/>
          <w:szCs w:val="24"/>
          <w:lang w:val="ro-MD"/>
        </w:rPr>
        <w:t xml:space="preserve"> au fost rambursate 60,3 mil. lei, 0,4 mil. dol. SUA și 0,2 mil. Euro.</w:t>
      </w:r>
    </w:p>
    <w:p w14:paraId="6B27DA1D" w14:textId="52266CA8" w:rsidR="006907DF" w:rsidRPr="00081C98" w:rsidRDefault="00081C98" w:rsidP="001605A7">
      <w:pPr>
        <w:spacing w:after="240" w:line="264" w:lineRule="auto"/>
        <w:jc w:val="both"/>
        <w:rPr>
          <w:rFonts w:cstheme="majorHAnsi"/>
          <w:b/>
          <w:szCs w:val="24"/>
          <w:lang w:val="ro-RO"/>
        </w:rPr>
      </w:pPr>
      <w:r>
        <w:rPr>
          <w:rFonts w:cstheme="majorHAnsi"/>
          <w:b/>
          <w:szCs w:val="24"/>
          <w:lang w:val="ro-RO"/>
        </w:rPr>
        <w:t>S</w:t>
      </w:r>
      <w:r w:rsidR="007F6FE6" w:rsidRPr="00F27F48">
        <w:rPr>
          <w:rFonts w:cstheme="majorHAnsi"/>
          <w:b/>
          <w:szCs w:val="24"/>
          <w:lang w:val="ro-RO"/>
        </w:rPr>
        <w:t xml:space="preserve">oldul datoriilor beneficiarilor recreditați înregistrează </w:t>
      </w:r>
      <w:r>
        <w:rPr>
          <w:rFonts w:cstheme="majorHAnsi"/>
          <w:b/>
          <w:szCs w:val="24"/>
          <w:lang w:val="ro-RO"/>
        </w:rPr>
        <w:t xml:space="preserve">o evoluție ascendentă </w:t>
      </w:r>
      <w:r w:rsidR="007F6FE6" w:rsidRPr="00F27F48">
        <w:rPr>
          <w:rFonts w:cstheme="majorHAnsi"/>
          <w:b/>
          <w:szCs w:val="24"/>
          <w:lang w:val="ro-RO"/>
        </w:rPr>
        <w:t>î</w:t>
      </w:r>
      <w:r w:rsidR="006B7D2A" w:rsidRPr="00F27F48">
        <w:rPr>
          <w:rFonts w:cstheme="majorHAnsi"/>
          <w:b/>
          <w:szCs w:val="24"/>
          <w:lang w:val="ro-RO"/>
        </w:rPr>
        <w:t>n</w:t>
      </w:r>
      <w:r>
        <w:rPr>
          <w:rFonts w:cstheme="majorHAnsi"/>
          <w:b/>
          <w:szCs w:val="24"/>
          <w:lang w:val="ro-RO"/>
        </w:rPr>
        <w:t xml:space="preserve"> comparație cu anii precedenți, condiționată de creș</w:t>
      </w:r>
      <w:r w:rsidR="00C3259C">
        <w:rPr>
          <w:rFonts w:cstheme="majorHAnsi"/>
          <w:b/>
          <w:szCs w:val="24"/>
          <w:lang w:val="ro-RO"/>
        </w:rPr>
        <w:t>t</w:t>
      </w:r>
      <w:r>
        <w:rPr>
          <w:rFonts w:cstheme="majorHAnsi"/>
          <w:b/>
          <w:szCs w:val="24"/>
          <w:lang w:val="ro-RO"/>
        </w:rPr>
        <w:t xml:space="preserve">erea cererii de acordare a împrumuturilor beneficiarilor recreditați. </w:t>
      </w:r>
      <w:r w:rsidR="00C70556">
        <w:rPr>
          <w:rFonts w:ascii="Calibri Light" w:eastAsia="Calibri" w:hAnsi="Calibri Light" w:cs="Calibri Light"/>
          <w:szCs w:val="24"/>
          <w:lang w:val="ro-MD"/>
        </w:rPr>
        <w:t>Astfel, l</w:t>
      </w:r>
      <w:r w:rsidR="008827BC" w:rsidRPr="007F6FE6">
        <w:rPr>
          <w:rFonts w:ascii="Calibri Light" w:eastAsia="Calibri" w:hAnsi="Calibri Light" w:cs="Calibri Light"/>
          <w:szCs w:val="24"/>
          <w:lang w:val="ro-MD"/>
        </w:rPr>
        <w:t>a</w:t>
      </w:r>
      <w:r w:rsidR="00303278" w:rsidRPr="007F6FE6">
        <w:rPr>
          <w:rFonts w:ascii="Calibri Light" w:eastAsia="Calibri" w:hAnsi="Calibri Light" w:cs="Calibri Light"/>
          <w:szCs w:val="24"/>
          <w:lang w:val="ro-MD"/>
        </w:rPr>
        <w:t xml:space="preserve"> situația din</w:t>
      </w:r>
      <w:r w:rsidR="008827BC" w:rsidRPr="007F6FE6">
        <w:rPr>
          <w:rFonts w:ascii="Calibri Light" w:eastAsia="Calibri" w:hAnsi="Calibri Light" w:cs="Calibri Light"/>
          <w:szCs w:val="24"/>
          <w:lang w:val="ro-MD"/>
        </w:rPr>
        <w:t xml:space="preserve"> 31.12.2020, soldul datoriilor beneficiarilor recreditați </w:t>
      </w:r>
      <w:r w:rsidR="00303278" w:rsidRPr="007F6FE6">
        <w:rPr>
          <w:rFonts w:ascii="Calibri Light" w:eastAsia="Calibri" w:hAnsi="Calibri Light" w:cs="Calibri Light"/>
          <w:szCs w:val="24"/>
          <w:lang w:val="ro-MD"/>
        </w:rPr>
        <w:t xml:space="preserve">a </w:t>
      </w:r>
      <w:r w:rsidR="008827BC" w:rsidRPr="007F6FE6">
        <w:rPr>
          <w:rFonts w:ascii="Calibri Light" w:eastAsia="Calibri" w:hAnsi="Calibri Light" w:cs="Calibri Light"/>
          <w:szCs w:val="24"/>
          <w:lang w:val="ro-MD"/>
        </w:rPr>
        <w:t>constitui</w:t>
      </w:r>
      <w:r w:rsidR="00303278" w:rsidRPr="007F6FE6">
        <w:rPr>
          <w:rFonts w:ascii="Calibri Light" w:eastAsia="Calibri" w:hAnsi="Calibri Light" w:cs="Calibri Light"/>
          <w:szCs w:val="24"/>
          <w:lang w:val="ro-MD"/>
        </w:rPr>
        <w:t>t</w:t>
      </w:r>
      <w:r w:rsidR="008827BC" w:rsidRPr="007F6FE6">
        <w:rPr>
          <w:rFonts w:ascii="Calibri Light" w:eastAsia="Calibri" w:hAnsi="Calibri Light" w:cs="Calibri Light"/>
          <w:szCs w:val="24"/>
          <w:lang w:val="ro-MD"/>
        </w:rPr>
        <w:t xml:space="preserve"> 1 524,0 mil. lei, 38,7 mil. dol. SUA, 150,5 mil. Euro și 896,9 mil. </w:t>
      </w:r>
      <w:r w:rsidR="00E2010C">
        <w:rPr>
          <w:rFonts w:ascii="Calibri Light" w:eastAsia="Calibri" w:hAnsi="Calibri Light" w:cs="Calibri Light"/>
          <w:szCs w:val="24"/>
          <w:lang w:val="ro-MD"/>
        </w:rPr>
        <w:t>yeni j</w:t>
      </w:r>
      <w:r w:rsidR="008827BC" w:rsidRPr="007F6FE6">
        <w:rPr>
          <w:rFonts w:ascii="Calibri Light" w:eastAsia="Calibri" w:hAnsi="Calibri Light" w:cs="Calibri Light"/>
          <w:szCs w:val="24"/>
          <w:lang w:val="ro-MD"/>
        </w:rPr>
        <w:t xml:space="preserve">aponezi (echivalentul a 5 519,9 mil. lei), majorându-se față de sfârșitul anului 2019 cu 957,3 mil. lei, </w:t>
      </w:r>
      <w:r w:rsidR="00E2010C">
        <w:rPr>
          <w:rFonts w:ascii="Calibri Light" w:eastAsia="Calibri" w:hAnsi="Calibri Light" w:cs="Calibri Light"/>
          <w:szCs w:val="24"/>
          <w:lang w:val="ro-MD"/>
        </w:rPr>
        <w:t xml:space="preserve">ceea </w:t>
      </w:r>
      <w:r w:rsidR="008827BC" w:rsidRPr="007F6FE6">
        <w:rPr>
          <w:rFonts w:ascii="Calibri Light" w:eastAsia="Calibri" w:hAnsi="Calibri Light" w:cs="Calibri Light"/>
          <w:szCs w:val="24"/>
          <w:lang w:val="ro-MD"/>
        </w:rPr>
        <w:t xml:space="preserve">ce constituie o creștere </w:t>
      </w:r>
      <w:r w:rsidR="001605A7">
        <w:rPr>
          <w:rFonts w:ascii="Calibri Light" w:eastAsia="Calibri" w:hAnsi="Calibri Light" w:cs="Calibri Light"/>
          <w:szCs w:val="24"/>
          <w:lang w:val="ro-MD"/>
        </w:rPr>
        <w:t xml:space="preserve">de cca 21,0%, iar comparativ cu </w:t>
      </w:r>
      <w:r w:rsidR="008827BC" w:rsidRPr="007F6FE6">
        <w:rPr>
          <w:rFonts w:ascii="Calibri Light" w:eastAsia="Calibri" w:hAnsi="Calibri Light" w:cs="Calibri Light"/>
          <w:szCs w:val="24"/>
          <w:lang w:val="ro-MD"/>
        </w:rPr>
        <w:t>perioada similară a anului 2018 s-a majorat cu 24,9%.</w:t>
      </w:r>
      <w:r w:rsidR="00DF2E79">
        <w:rPr>
          <w:rFonts w:ascii="Calibri Light" w:eastAsia="Calibri" w:hAnsi="Calibri Light" w:cs="Calibri Light"/>
          <w:szCs w:val="24"/>
          <w:lang w:val="ro-MD"/>
        </w:rPr>
        <w:t xml:space="preserve"> </w:t>
      </w:r>
    </w:p>
    <w:p w14:paraId="61FF869C" w14:textId="46B7266D" w:rsidR="00DF2E79" w:rsidRDefault="00DF2E79" w:rsidP="00FB1205">
      <w:pPr>
        <w:spacing w:before="240" w:after="0" w:line="276" w:lineRule="auto"/>
        <w:jc w:val="both"/>
        <w:rPr>
          <w:rFonts w:eastAsia="Times New Roman" w:cstheme="majorHAnsi"/>
          <w:szCs w:val="24"/>
          <w:lang w:val="ro-RO"/>
        </w:rPr>
      </w:pPr>
      <w:r w:rsidRPr="003338FE">
        <w:rPr>
          <w:rFonts w:eastAsia="Times New Roman" w:cstheme="majorHAnsi"/>
          <w:szCs w:val="24"/>
          <w:lang w:val="ro-RO"/>
        </w:rPr>
        <w:lastRenderedPageBreak/>
        <w:t>Din totalul datoriilor be</w:t>
      </w:r>
      <w:r>
        <w:rPr>
          <w:rFonts w:eastAsia="Times New Roman" w:cstheme="majorHAnsi"/>
          <w:szCs w:val="24"/>
          <w:lang w:val="ro-RO"/>
        </w:rPr>
        <w:t>neficiarilor recreditați (5</w:t>
      </w:r>
      <w:r w:rsidR="008F2565">
        <w:rPr>
          <w:rFonts w:eastAsia="Times New Roman" w:cstheme="majorHAnsi"/>
          <w:szCs w:val="24"/>
          <w:lang w:val="ro-RO"/>
        </w:rPr>
        <w:t xml:space="preserve"> </w:t>
      </w:r>
      <w:r>
        <w:rPr>
          <w:rFonts w:eastAsia="Times New Roman" w:cstheme="majorHAnsi"/>
          <w:szCs w:val="24"/>
          <w:lang w:val="ro-RO"/>
        </w:rPr>
        <w:t>519,</w:t>
      </w:r>
      <w:r w:rsidR="00C2264C">
        <w:rPr>
          <w:rFonts w:eastAsia="Times New Roman" w:cstheme="majorHAnsi"/>
          <w:szCs w:val="24"/>
          <w:lang w:val="ro-RO"/>
        </w:rPr>
        <w:t>9</w:t>
      </w:r>
      <w:r w:rsidRPr="003338FE">
        <w:rPr>
          <w:rFonts w:eastAsia="Times New Roman" w:cstheme="majorHAnsi"/>
          <w:szCs w:val="24"/>
          <w:lang w:val="ro-RO"/>
        </w:rPr>
        <w:t xml:space="preserve"> </w:t>
      </w:r>
      <w:r>
        <w:rPr>
          <w:rFonts w:eastAsia="Times New Roman" w:cstheme="majorHAnsi"/>
          <w:szCs w:val="24"/>
          <w:lang w:val="ro-RO"/>
        </w:rPr>
        <w:t>mil. lei</w:t>
      </w:r>
      <w:r w:rsidRPr="003338FE">
        <w:rPr>
          <w:rFonts w:eastAsia="Times New Roman" w:cstheme="majorHAnsi"/>
          <w:szCs w:val="24"/>
          <w:lang w:val="ro-RO"/>
        </w:rPr>
        <w:t xml:space="preserve">), datoriile pentru împrumuturile </w:t>
      </w:r>
      <w:r w:rsidRPr="00DF2E79">
        <w:rPr>
          <w:rFonts w:eastAsia="Times New Roman" w:cstheme="majorHAnsi"/>
          <w:szCs w:val="24"/>
          <w:lang w:val="ro-RO"/>
        </w:rPr>
        <w:t xml:space="preserve">recreditate </w:t>
      </w:r>
      <w:r w:rsidRPr="00DF2E79">
        <w:rPr>
          <w:rFonts w:eastAsia="Times New Roman" w:cstheme="majorHAnsi"/>
          <w:i/>
          <w:szCs w:val="24"/>
          <w:lang w:val="ro-RO"/>
        </w:rPr>
        <w:t>prin intermediul MF</w:t>
      </w:r>
      <w:r w:rsidRPr="00DF2E79">
        <w:rPr>
          <w:rFonts w:eastAsia="Times New Roman" w:cstheme="majorHAnsi"/>
          <w:szCs w:val="24"/>
          <w:lang w:val="ro-RO"/>
        </w:rPr>
        <w:t xml:space="preserve"> au constituit 71,3 mil.lei, 35,5 mil. dol. SUA, 101,7 mil. Euro și 896.9 mil. Yeni Japonezi (echivalentul a 2</w:t>
      </w:r>
      <w:r w:rsidR="008F2565">
        <w:rPr>
          <w:rFonts w:eastAsia="Times New Roman" w:cstheme="majorHAnsi"/>
          <w:szCs w:val="24"/>
          <w:lang w:val="ro-RO"/>
        </w:rPr>
        <w:t xml:space="preserve"> </w:t>
      </w:r>
      <w:r w:rsidRPr="00DF2E79">
        <w:rPr>
          <w:rFonts w:eastAsia="Times New Roman" w:cstheme="majorHAnsi"/>
          <w:szCs w:val="24"/>
          <w:lang w:val="ro-RO"/>
        </w:rPr>
        <w:t xml:space="preserve">980,5 mil. lei) sau 54,0% din suma totală a datoriilor, dintre care cu termenul de achitare expirat în sumă de </w:t>
      </w:r>
      <w:r w:rsidRPr="00DF2E79">
        <w:rPr>
          <w:rFonts w:ascii="Calibri Light" w:eastAsia="Calibri" w:hAnsi="Calibri Light" w:cs="Calibri Light"/>
          <w:szCs w:val="24"/>
          <w:lang w:val="ro-MD"/>
        </w:rPr>
        <w:t xml:space="preserve">71,3 mil. lei, 10,3 mil. dol. SUA și 0,1 mil. Euro </w:t>
      </w:r>
      <w:r w:rsidRPr="00DF2E79">
        <w:rPr>
          <w:rFonts w:ascii="Calibri Light" w:eastAsia="Calibri" w:hAnsi="Calibri Light" w:cs="Calibri Light"/>
          <w:i/>
          <w:szCs w:val="24"/>
          <w:lang w:val="ro-MD"/>
        </w:rPr>
        <w:t>(echivalentul a 251,9 mil. l</w:t>
      </w:r>
      <w:r w:rsidRPr="009635E0">
        <w:rPr>
          <w:rFonts w:ascii="Calibri Light" w:eastAsia="Calibri" w:hAnsi="Calibri Light" w:cs="Calibri Light"/>
          <w:i/>
          <w:szCs w:val="24"/>
          <w:lang w:val="ro-MD"/>
        </w:rPr>
        <w:t>ei</w:t>
      </w:r>
      <w:r w:rsidRPr="009635E0">
        <w:rPr>
          <w:rFonts w:eastAsia="Times New Roman" w:cstheme="majorHAnsi"/>
          <w:i/>
          <w:szCs w:val="24"/>
          <w:lang w:val="ro-RO"/>
        </w:rPr>
        <w:t>)</w:t>
      </w:r>
      <w:r w:rsidRPr="009635E0">
        <w:rPr>
          <w:rFonts w:eastAsia="Times New Roman" w:cstheme="majorHAnsi"/>
          <w:szCs w:val="24"/>
          <w:lang w:val="ro-RO"/>
        </w:rPr>
        <w:t xml:space="preserve">, iar </w:t>
      </w:r>
      <w:r w:rsidRPr="009635E0">
        <w:rPr>
          <w:rFonts w:eastAsia="Times New Roman" w:cstheme="majorHAnsi"/>
          <w:i/>
          <w:szCs w:val="24"/>
          <w:lang w:val="ro-RO"/>
        </w:rPr>
        <w:t xml:space="preserve">prin intermediul OGP AE și </w:t>
      </w:r>
      <w:r w:rsidR="00C2264C">
        <w:rPr>
          <w:rFonts w:eastAsia="Times New Roman" w:cstheme="majorHAnsi"/>
          <w:i/>
          <w:szCs w:val="24"/>
          <w:lang w:val="ro-RO"/>
        </w:rPr>
        <w:t>UCIP-</w:t>
      </w:r>
      <w:r w:rsidRPr="009635E0">
        <w:rPr>
          <w:rFonts w:eastAsia="Times New Roman" w:cstheme="majorHAnsi"/>
          <w:i/>
          <w:szCs w:val="24"/>
          <w:lang w:val="ro-RO"/>
        </w:rPr>
        <w:t xml:space="preserve">FIDA </w:t>
      </w:r>
      <w:r w:rsidRPr="009635E0">
        <w:rPr>
          <w:rFonts w:eastAsia="Times New Roman" w:cstheme="majorHAnsi"/>
          <w:szCs w:val="24"/>
          <w:lang w:val="ro-RO"/>
        </w:rPr>
        <w:t>– 1</w:t>
      </w:r>
      <w:r w:rsidR="008F2565" w:rsidRPr="009635E0">
        <w:rPr>
          <w:rFonts w:eastAsia="Times New Roman" w:cstheme="majorHAnsi"/>
          <w:szCs w:val="24"/>
          <w:lang w:val="ro-RO"/>
        </w:rPr>
        <w:t xml:space="preserve"> </w:t>
      </w:r>
      <w:r w:rsidRPr="009635E0">
        <w:rPr>
          <w:rFonts w:eastAsia="Times New Roman" w:cstheme="majorHAnsi"/>
          <w:szCs w:val="24"/>
          <w:lang w:val="ro-RO"/>
        </w:rPr>
        <w:t xml:space="preserve">452,7 mil.lei, </w:t>
      </w:r>
      <w:r w:rsidR="00EE7746">
        <w:rPr>
          <w:rFonts w:eastAsia="Times New Roman" w:cstheme="majorHAnsi"/>
          <w:szCs w:val="24"/>
          <w:lang w:val="ro-RO"/>
        </w:rPr>
        <w:t xml:space="preserve">          </w:t>
      </w:r>
      <w:r w:rsidRPr="009635E0">
        <w:rPr>
          <w:rFonts w:eastAsia="Times New Roman" w:cstheme="majorHAnsi"/>
          <w:szCs w:val="24"/>
          <w:lang w:val="ro-RO"/>
        </w:rPr>
        <w:t>3,2 mil. dol. SUA, 48,8 mil. Euro (echivalentul a 2</w:t>
      </w:r>
      <w:r w:rsidR="008F2565" w:rsidRPr="009635E0">
        <w:rPr>
          <w:rFonts w:eastAsia="Times New Roman" w:cstheme="majorHAnsi"/>
          <w:szCs w:val="24"/>
          <w:lang w:val="ro-RO"/>
        </w:rPr>
        <w:t xml:space="preserve"> </w:t>
      </w:r>
      <w:r w:rsidRPr="009635E0">
        <w:rPr>
          <w:rFonts w:eastAsia="Times New Roman" w:cstheme="majorHAnsi"/>
          <w:szCs w:val="24"/>
          <w:lang w:val="ro-RO"/>
        </w:rPr>
        <w:t>539,4 mil.lei)</w:t>
      </w:r>
      <w:r w:rsidR="003D45CD">
        <w:rPr>
          <w:rFonts w:eastAsia="Times New Roman" w:cstheme="majorHAnsi"/>
          <w:szCs w:val="24"/>
          <w:lang w:val="ro-RO"/>
        </w:rPr>
        <w:t>,</w:t>
      </w:r>
      <w:r w:rsidRPr="009635E0">
        <w:rPr>
          <w:rFonts w:eastAsia="Times New Roman" w:cstheme="majorHAnsi"/>
          <w:szCs w:val="24"/>
          <w:lang w:val="ro-RO"/>
        </w:rPr>
        <w:t xml:space="preserve"> sau 46% din suma totală a datoriilor, dintre care cu termenul de achitare expirat în sumă de </w:t>
      </w:r>
      <w:r w:rsidRPr="009635E0">
        <w:rPr>
          <w:rFonts w:ascii="Calibri Light" w:eastAsia="Calibri" w:hAnsi="Calibri Light" w:cs="Calibri Light"/>
          <w:szCs w:val="24"/>
          <w:lang w:val="ro-MD"/>
        </w:rPr>
        <w:t>1,44 mil. lei și 0,5 mil. Euro (echivalentul a 11,6 mil. lei)</w:t>
      </w:r>
      <w:r w:rsidRPr="009635E0">
        <w:rPr>
          <w:rFonts w:eastAsia="Times New Roman" w:cstheme="majorHAnsi"/>
          <w:szCs w:val="24"/>
          <w:lang w:val="ro-RO"/>
        </w:rPr>
        <w:t xml:space="preserve">. </w:t>
      </w:r>
      <w:r w:rsidR="00CC3513" w:rsidRPr="009635E0">
        <w:rPr>
          <w:rFonts w:eastAsia="Times New Roman" w:cstheme="majorHAnsi"/>
          <w:szCs w:val="24"/>
          <w:lang w:val="ro-RO"/>
        </w:rPr>
        <w:t xml:space="preserve">Comparativ cu situația din 31.12.2019, datoria cu termen de achitare expirat înregistrată la 31.12.2020 s-a micșorat cu 1,6%, drept urmare </w:t>
      </w:r>
      <w:r w:rsidR="003D45CD">
        <w:rPr>
          <w:rFonts w:eastAsia="Times New Roman" w:cstheme="majorHAnsi"/>
          <w:szCs w:val="24"/>
          <w:lang w:val="ro-RO"/>
        </w:rPr>
        <w:t xml:space="preserve">a </w:t>
      </w:r>
      <w:r w:rsidR="00CC3513" w:rsidRPr="009635E0">
        <w:rPr>
          <w:rFonts w:eastAsia="Times New Roman" w:cstheme="majorHAnsi"/>
          <w:szCs w:val="24"/>
          <w:lang w:val="ro-RO"/>
        </w:rPr>
        <w:t>reeșalonării datoriilor unor beneficiari recreditați, precum și fluctuațiilor cursului valutar.</w:t>
      </w:r>
      <w:r w:rsidR="00C70556" w:rsidRPr="009635E0">
        <w:rPr>
          <w:rFonts w:eastAsia="Times New Roman" w:cstheme="majorHAnsi"/>
          <w:szCs w:val="24"/>
          <w:lang w:val="ro-RO"/>
        </w:rPr>
        <w:t xml:space="preserve"> </w:t>
      </w:r>
      <w:r w:rsidR="00C70556" w:rsidRPr="006538EB">
        <w:rPr>
          <w:rFonts w:eastAsia="Times New Roman" w:cstheme="majorHAnsi"/>
          <w:i/>
          <w:szCs w:val="24"/>
          <w:lang w:val="ro-RO"/>
        </w:rPr>
        <w:t xml:space="preserve">Situația descrisă se prezintă în Diagrama </w:t>
      </w:r>
      <w:r w:rsidR="005D7E2B" w:rsidRPr="006538EB">
        <w:rPr>
          <w:rFonts w:eastAsia="Times New Roman" w:cstheme="majorHAnsi"/>
          <w:i/>
          <w:szCs w:val="24"/>
          <w:lang w:val="ro-RO"/>
        </w:rPr>
        <w:t>nr.</w:t>
      </w:r>
      <w:r w:rsidR="0050191A">
        <w:rPr>
          <w:rFonts w:eastAsia="Times New Roman" w:cstheme="majorHAnsi"/>
          <w:i/>
          <w:szCs w:val="24"/>
          <w:lang w:val="ro-RO"/>
        </w:rPr>
        <w:t>4</w:t>
      </w:r>
      <w:r w:rsidR="003D45CD">
        <w:rPr>
          <w:rFonts w:eastAsia="Times New Roman" w:cstheme="majorHAnsi"/>
          <w:i/>
          <w:szCs w:val="24"/>
          <w:lang w:val="ro-RO"/>
        </w:rPr>
        <w:t>.</w:t>
      </w:r>
    </w:p>
    <w:p w14:paraId="1B954C50" w14:textId="6001CA9E" w:rsidR="00C70556" w:rsidRPr="003338FE" w:rsidRDefault="00C70556" w:rsidP="00FB1205">
      <w:pPr>
        <w:spacing w:after="0" w:line="240" w:lineRule="auto"/>
        <w:jc w:val="both"/>
        <w:rPr>
          <w:rFonts w:eastAsia="Times New Roman" w:cstheme="majorHAnsi"/>
          <w:i/>
          <w:szCs w:val="24"/>
          <w:highlight w:val="yellow"/>
          <w:lang w:val="ro-RO"/>
        </w:rPr>
      </w:pPr>
      <w:r w:rsidRPr="003338FE">
        <w:rPr>
          <w:rFonts w:eastAsia="Times New Roman" w:cstheme="majorHAnsi"/>
          <w:i/>
          <w:noProof/>
          <w:szCs w:val="24"/>
          <w:highlight w:val="yellow"/>
          <w:lang w:val="ru-RU" w:eastAsia="ru-RU"/>
        </w:rPr>
        <w:drawing>
          <wp:inline distT="0" distB="0" distL="0" distR="0" wp14:anchorId="33CA4D94" wp14:editId="537A36CA">
            <wp:extent cx="5905500" cy="2118360"/>
            <wp:effectExtent l="0" t="0" r="0" b="1524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9D54C8" w14:textId="77777777" w:rsidR="00C70556" w:rsidRPr="001B0C48" w:rsidRDefault="00C70556" w:rsidP="00FB1205">
      <w:pPr>
        <w:spacing w:after="0" w:line="240" w:lineRule="auto"/>
        <w:jc w:val="both"/>
        <w:rPr>
          <w:rFonts w:eastAsia="Times New Roman" w:cstheme="majorHAnsi"/>
          <w:i/>
          <w:sz w:val="18"/>
          <w:szCs w:val="18"/>
          <w:highlight w:val="yellow"/>
          <w:lang w:val="ro-RO" w:eastAsia="ru-RU"/>
        </w:rPr>
      </w:pPr>
      <w:r w:rsidRPr="003338FE">
        <w:rPr>
          <w:rFonts w:eastAsia="Times New Roman" w:cstheme="majorHAnsi"/>
          <w:b/>
          <w:i/>
          <w:szCs w:val="24"/>
          <w:lang w:val="ro-RO"/>
        </w:rPr>
        <w:t xml:space="preserve"> </w:t>
      </w:r>
      <w:r w:rsidRPr="001B0C48">
        <w:rPr>
          <w:rFonts w:eastAsia="Times New Roman" w:cstheme="majorHAnsi"/>
          <w:b/>
          <w:i/>
          <w:sz w:val="18"/>
          <w:szCs w:val="18"/>
          <w:lang w:val="ro-RO"/>
        </w:rPr>
        <w:t>Sursă:</w:t>
      </w:r>
      <w:r w:rsidRPr="001B0C48">
        <w:rPr>
          <w:rFonts w:eastAsia="Times New Roman" w:cstheme="majorHAnsi"/>
          <w:i/>
          <w:sz w:val="18"/>
          <w:szCs w:val="18"/>
          <w:lang w:val="ro-RO"/>
        </w:rPr>
        <w:t xml:space="preserve"> </w:t>
      </w:r>
      <w:r w:rsidRPr="001B0C48">
        <w:rPr>
          <w:rFonts w:eastAsia="Times New Roman" w:cstheme="majorHAnsi"/>
          <w:i/>
          <w:sz w:val="18"/>
          <w:szCs w:val="18"/>
          <w:lang w:val="ro-RO" w:eastAsia="ru-RU"/>
        </w:rPr>
        <w:t>Datele din Raportul privind recreditarea de stat la situația din 31.12.2020.</w:t>
      </w:r>
    </w:p>
    <w:p w14:paraId="4267AE2E" w14:textId="32F4C41C" w:rsidR="00DF2E79" w:rsidRPr="00D313A5" w:rsidRDefault="00DF2E79" w:rsidP="00FB1205">
      <w:pPr>
        <w:spacing w:after="0"/>
        <w:jc w:val="both"/>
        <w:rPr>
          <w:rFonts w:ascii="Calibri Light" w:eastAsia="Calibri" w:hAnsi="Calibri Light" w:cs="Calibri Light"/>
          <w:szCs w:val="24"/>
          <w:lang w:val="ro-RO"/>
        </w:rPr>
      </w:pPr>
    </w:p>
    <w:p w14:paraId="619906B4" w14:textId="03A9CE67" w:rsidR="00C70556" w:rsidRDefault="00C70556" w:rsidP="00FB1205">
      <w:pPr>
        <w:spacing w:after="240"/>
        <w:jc w:val="both"/>
        <w:rPr>
          <w:rFonts w:ascii="Calibri Light" w:eastAsia="Calibri" w:hAnsi="Calibri Light" w:cs="Calibri Light"/>
          <w:szCs w:val="24"/>
          <w:lang w:val="ro-MD"/>
        </w:rPr>
      </w:pPr>
      <w:r w:rsidRPr="00120C81">
        <w:rPr>
          <w:rFonts w:ascii="Calibri Light" w:eastAsia="Calibri" w:hAnsi="Calibri Light" w:cs="Calibri Light"/>
          <w:szCs w:val="24"/>
          <w:lang w:val="ro-MD"/>
        </w:rPr>
        <w:t>Astfel, deși OGP AE deține ponderea majoră în procesul de recreditare</w:t>
      </w:r>
      <w:r>
        <w:rPr>
          <w:rFonts w:ascii="Calibri Light" w:eastAsia="Calibri" w:hAnsi="Calibri Light" w:cs="Calibri Light"/>
          <w:szCs w:val="24"/>
          <w:lang w:val="ro-MD"/>
        </w:rPr>
        <w:t xml:space="preserve"> </w:t>
      </w:r>
      <w:r w:rsidR="003D45CD">
        <w:rPr>
          <w:rFonts w:ascii="Calibri Light" w:eastAsia="Calibri" w:hAnsi="Calibri Light" w:cs="Calibri Light"/>
          <w:szCs w:val="24"/>
          <w:lang w:val="ro-MD"/>
        </w:rPr>
        <w:t>(</w:t>
      </w:r>
      <w:r>
        <w:rPr>
          <w:rFonts w:ascii="Calibri Light" w:eastAsia="Calibri" w:hAnsi="Calibri Light" w:cs="Calibri Light"/>
          <w:szCs w:val="24"/>
          <w:lang w:val="ro-MD"/>
        </w:rPr>
        <w:t>de</w:t>
      </w:r>
      <w:r w:rsidR="003D45CD">
        <w:rPr>
          <w:rFonts w:ascii="Calibri Light" w:eastAsia="Calibri" w:hAnsi="Calibri Light" w:cs="Calibri Light"/>
          <w:szCs w:val="24"/>
          <w:lang w:val="ro-MD"/>
        </w:rPr>
        <w:t xml:space="preserve"> </w:t>
      </w:r>
      <w:r w:rsidRPr="001B0C48">
        <w:rPr>
          <w:rFonts w:ascii="Calibri Light" w:eastAsia="Calibri" w:hAnsi="Calibri Light" w:cs="Calibri Light"/>
          <w:szCs w:val="24"/>
          <w:lang w:val="ro-MD"/>
        </w:rPr>
        <w:t>64,4%)</w:t>
      </w:r>
      <w:r w:rsidRPr="00120C81">
        <w:rPr>
          <w:rFonts w:ascii="Calibri Light" w:eastAsia="Calibri" w:hAnsi="Calibri Light" w:cs="Calibri Light"/>
          <w:szCs w:val="24"/>
          <w:lang w:val="ro-MD"/>
        </w:rPr>
        <w:t>, cele mai multe datorii cu termen de achitare expirat sunt înregistrate după beneficiarii recreditați prin intermediul MF</w:t>
      </w:r>
      <w:r>
        <w:rPr>
          <w:rFonts w:ascii="Calibri Light" w:eastAsia="Calibri" w:hAnsi="Calibri Light" w:cs="Calibri Light"/>
          <w:szCs w:val="24"/>
          <w:lang w:val="ro-MD"/>
        </w:rPr>
        <w:t xml:space="preserve">. </w:t>
      </w:r>
      <w:r w:rsidRPr="00120C81">
        <w:rPr>
          <w:rFonts w:ascii="Calibri Light" w:eastAsia="Calibri" w:hAnsi="Calibri Light" w:cs="Calibri Light"/>
          <w:szCs w:val="24"/>
          <w:lang w:val="ro-MD"/>
        </w:rPr>
        <w:t>În acest context, se denotă faptul că recreditarea efectuată prin intermediul instituțiilor financiare participante este mai eficientă, determină rambursarea în termen a datoriilor de către beneficiarii recreditați și nu implică riscuri suplimentare pentru bugetul de stat.</w:t>
      </w:r>
    </w:p>
    <w:p w14:paraId="0C4065E4" w14:textId="7B079F6F" w:rsidR="00081C98" w:rsidRDefault="00C70556" w:rsidP="00081C98">
      <w:pPr>
        <w:tabs>
          <w:tab w:val="left" w:pos="450"/>
        </w:tabs>
        <w:spacing w:before="240" w:after="0" w:line="276" w:lineRule="auto"/>
        <w:jc w:val="both"/>
        <w:rPr>
          <w:rFonts w:eastAsia="Times New Roman" w:cstheme="majorHAnsi"/>
          <w:b/>
          <w:i/>
          <w:szCs w:val="24"/>
          <w:lang w:val="ro-RO"/>
        </w:rPr>
      </w:pPr>
      <w:r w:rsidRPr="006538EB">
        <w:rPr>
          <w:rFonts w:eastAsia="Times New Roman" w:cstheme="majorHAnsi"/>
          <w:b/>
          <w:i/>
          <w:szCs w:val="24"/>
          <w:lang w:val="ro-RO"/>
        </w:rPr>
        <w:t>Deși datoriile cu termen de achitare expirat pentru împrumuturile recreditate continuă să se diminueze, acestea prezintă un risc sporit de nerecuperare.</w:t>
      </w:r>
      <w:r w:rsidR="006538EB">
        <w:rPr>
          <w:rFonts w:eastAsia="Times New Roman" w:cstheme="majorHAnsi"/>
          <w:b/>
          <w:i/>
          <w:szCs w:val="24"/>
          <w:lang w:val="ro-RO"/>
        </w:rPr>
        <w:t xml:space="preserve"> </w:t>
      </w:r>
      <w:r w:rsidRPr="00376258">
        <w:rPr>
          <w:rFonts w:ascii="Calibri Light" w:eastAsia="Calibri" w:hAnsi="Calibri Light" w:cs="Calibri Light"/>
          <w:szCs w:val="24"/>
          <w:lang w:val="ro-RO"/>
        </w:rPr>
        <w:t xml:space="preserve">La situația din 31.12.2020, datoriile cu termen de achitare expirat pentru împrumuturile recreditare au </w:t>
      </w:r>
      <w:r w:rsidRPr="00376258">
        <w:rPr>
          <w:rFonts w:ascii="Calibri Light" w:eastAsia="Calibri" w:hAnsi="Calibri Light" w:cs="Calibri Light"/>
          <w:szCs w:val="24"/>
          <w:lang w:val="ro-RO"/>
        </w:rPr>
        <w:lastRenderedPageBreak/>
        <w:t xml:space="preserve">constituit 72,7 mil. lei, 10,3 mil. dol. SUA și 0,6 mil. </w:t>
      </w:r>
      <w:r w:rsidRPr="00D56AB5">
        <w:rPr>
          <w:rFonts w:ascii="Calibri Light" w:eastAsia="Calibri" w:hAnsi="Calibri Light" w:cs="Calibri Light"/>
          <w:szCs w:val="24"/>
          <w:lang w:val="ro-RO"/>
        </w:rPr>
        <w:t xml:space="preserve">Euro (echivalentul a 263,5 mil. lei), </w:t>
      </w:r>
      <w:r>
        <w:rPr>
          <w:rFonts w:ascii="Calibri Light" w:eastAsia="Calibri" w:hAnsi="Calibri Light" w:cs="Calibri Light"/>
          <w:szCs w:val="24"/>
          <w:lang w:val="ro-RO"/>
        </w:rPr>
        <w:t>reduc</w:t>
      </w:r>
      <w:r>
        <w:rPr>
          <w:rFonts w:ascii="Calibri Light" w:eastAsia="Calibri" w:hAnsi="Calibri Light" w:cs="Calibri Light"/>
          <w:szCs w:val="24"/>
          <w:lang w:val="ro-MD"/>
        </w:rPr>
        <w:t>ându-se cu 4,</w:t>
      </w:r>
      <w:r w:rsidR="00081C98">
        <w:rPr>
          <w:rFonts w:ascii="Calibri Light" w:eastAsia="Calibri" w:hAnsi="Calibri Light" w:cs="Calibri Light"/>
          <w:szCs w:val="24"/>
          <w:lang w:val="ro-MD"/>
        </w:rPr>
        <w:t>4</w:t>
      </w:r>
      <w:r>
        <w:rPr>
          <w:rFonts w:ascii="Calibri Light" w:eastAsia="Calibri" w:hAnsi="Calibri Light" w:cs="Calibri Light"/>
          <w:szCs w:val="24"/>
          <w:lang w:val="ro-MD"/>
        </w:rPr>
        <w:t xml:space="preserve"> mil.lei față de anul 2019. Deși datoriile beneficiarilor recreditați sunt în creștere față de anul precedent cu 957,30 mil.lei, și datoriile cu termenul de achitare expirat sunt în descreștere cu </w:t>
      </w:r>
      <w:r w:rsidR="005B4A2C">
        <w:rPr>
          <w:rFonts w:ascii="Calibri Light" w:eastAsia="Calibri" w:hAnsi="Calibri Light" w:cs="Calibri Light"/>
          <w:szCs w:val="24"/>
          <w:lang w:val="ro-MD"/>
        </w:rPr>
        <w:t>4,4</w:t>
      </w:r>
      <w:r>
        <w:rPr>
          <w:rFonts w:ascii="Calibri Light" w:eastAsia="Calibri" w:hAnsi="Calibri Light" w:cs="Calibri Light"/>
          <w:szCs w:val="24"/>
          <w:lang w:val="ro-MD"/>
        </w:rPr>
        <w:t xml:space="preserve"> mil.lei, auditul denotă </w:t>
      </w:r>
      <w:r w:rsidR="00DA7BC1">
        <w:rPr>
          <w:rFonts w:ascii="Calibri Light" w:eastAsia="Calibri" w:hAnsi="Calibri Light" w:cs="Calibri Light"/>
          <w:szCs w:val="24"/>
          <w:lang w:val="ro-MD"/>
        </w:rPr>
        <w:t xml:space="preserve">în acest sens </w:t>
      </w:r>
      <w:r>
        <w:rPr>
          <w:rFonts w:ascii="Calibri Light" w:eastAsia="Calibri" w:hAnsi="Calibri Light" w:cs="Calibri Light"/>
          <w:szCs w:val="24"/>
          <w:lang w:val="ro-MD"/>
        </w:rPr>
        <w:t>menținerea prezenței unor r</w:t>
      </w:r>
      <w:r w:rsidR="00D51C22">
        <w:rPr>
          <w:rFonts w:ascii="Calibri Light" w:eastAsia="Calibri" w:hAnsi="Calibri Light" w:cs="Calibri Light"/>
          <w:szCs w:val="24"/>
          <w:lang w:val="ro-MD"/>
        </w:rPr>
        <w:t>iscuri financiare sporite de neâ</w:t>
      </w:r>
      <w:r>
        <w:rPr>
          <w:rFonts w:ascii="Calibri Light" w:eastAsia="Calibri" w:hAnsi="Calibri Light" w:cs="Calibri Light"/>
          <w:szCs w:val="24"/>
          <w:lang w:val="ro-MD"/>
        </w:rPr>
        <w:t>ncasare a datoriilor cu termenul de achitare expirat.</w:t>
      </w:r>
      <w:r w:rsidR="00081C98">
        <w:rPr>
          <w:rFonts w:eastAsia="Times New Roman" w:cstheme="majorHAnsi"/>
          <w:b/>
          <w:i/>
          <w:szCs w:val="24"/>
          <w:lang w:val="ro-RO"/>
        </w:rPr>
        <w:t xml:space="preserve"> </w:t>
      </w:r>
    </w:p>
    <w:p w14:paraId="3FBF4F96" w14:textId="46FE10E1" w:rsidR="00AF4ACD" w:rsidRPr="00081C98" w:rsidRDefault="00AF4ACD" w:rsidP="00081C98">
      <w:pPr>
        <w:tabs>
          <w:tab w:val="left" w:pos="450"/>
        </w:tabs>
        <w:spacing w:before="240" w:after="0" w:line="276" w:lineRule="auto"/>
        <w:jc w:val="both"/>
        <w:rPr>
          <w:rFonts w:eastAsia="Times New Roman" w:cstheme="majorHAnsi"/>
          <w:b/>
          <w:i/>
          <w:szCs w:val="24"/>
          <w:lang w:val="ro-RO"/>
        </w:rPr>
      </w:pPr>
      <w:r>
        <w:rPr>
          <w:rFonts w:ascii="Calibri Light" w:eastAsia="Calibri" w:hAnsi="Calibri Light" w:cs="Calibri Light"/>
          <w:szCs w:val="24"/>
          <w:lang w:val="ro-RO"/>
        </w:rPr>
        <w:t>Potrivit informației prezentate de MF</w:t>
      </w:r>
      <w:r>
        <w:rPr>
          <w:rStyle w:val="a6"/>
          <w:rFonts w:ascii="Calibri Light" w:eastAsia="Calibri" w:hAnsi="Calibri Light" w:cs="Calibri Light"/>
          <w:szCs w:val="24"/>
          <w:lang w:val="ro-RO"/>
        </w:rPr>
        <w:footnoteReference w:id="27"/>
      </w:r>
      <w:r>
        <w:rPr>
          <w:rFonts w:ascii="Calibri Light" w:eastAsia="Calibri" w:hAnsi="Calibri Light" w:cs="Calibri Light"/>
          <w:szCs w:val="24"/>
          <w:lang w:val="ro-RO"/>
        </w:rPr>
        <w:t>, în anul 2020</w:t>
      </w:r>
      <w:r w:rsidR="002457CC">
        <w:rPr>
          <w:rFonts w:ascii="Calibri Light" w:eastAsia="Calibri" w:hAnsi="Calibri Light" w:cs="Calibri Light"/>
          <w:szCs w:val="24"/>
          <w:lang w:val="ro-RO"/>
        </w:rPr>
        <w:t xml:space="preserve"> </w:t>
      </w:r>
      <w:r>
        <w:rPr>
          <w:rFonts w:ascii="Calibri Light" w:eastAsia="Calibri" w:hAnsi="Calibri Light" w:cs="Calibri Light"/>
          <w:szCs w:val="24"/>
          <w:lang w:val="ro-RO"/>
        </w:rPr>
        <w:t xml:space="preserve">au fost </w:t>
      </w:r>
      <w:r>
        <w:rPr>
          <w:rFonts w:ascii="Calibri Light" w:eastAsia="Calibri" w:hAnsi="Calibri Light" w:cs="Calibri Light"/>
          <w:szCs w:val="24"/>
          <w:lang w:val="ro-MD"/>
        </w:rPr>
        <w:t xml:space="preserve">active operațiuni de recreditare față de 84 </w:t>
      </w:r>
      <w:r w:rsidR="002457CC">
        <w:rPr>
          <w:rFonts w:ascii="Calibri Light" w:eastAsia="Calibri" w:hAnsi="Calibri Light" w:cs="Calibri Light"/>
          <w:szCs w:val="24"/>
          <w:lang w:val="ro-MD"/>
        </w:rPr>
        <w:t xml:space="preserve">de </w:t>
      </w:r>
      <w:r>
        <w:rPr>
          <w:rFonts w:ascii="Calibri Light" w:eastAsia="Calibri" w:hAnsi="Calibri Light" w:cs="Calibri Light"/>
          <w:szCs w:val="24"/>
          <w:lang w:val="ro-MD"/>
        </w:rPr>
        <w:t>beneficiarii recreditați.</w:t>
      </w:r>
      <w:r>
        <w:rPr>
          <w:rFonts w:ascii="Calibri Light" w:eastAsia="Calibri" w:hAnsi="Calibri Light" w:cs="Calibri Light"/>
          <w:szCs w:val="24"/>
          <w:lang w:val="ro-RO"/>
        </w:rPr>
        <w:t xml:space="preserve"> </w:t>
      </w:r>
      <w:r>
        <w:rPr>
          <w:rFonts w:ascii="Calibri Light" w:eastAsia="Calibri" w:hAnsi="Calibri Light" w:cs="Calibri Light"/>
          <w:szCs w:val="24"/>
          <w:lang w:val="ro-MD"/>
        </w:rPr>
        <w:t>A</w:t>
      </w:r>
      <w:r w:rsidR="002457CC">
        <w:rPr>
          <w:rFonts w:ascii="Calibri Light" w:eastAsia="Calibri" w:hAnsi="Calibri Light" w:cs="Calibri Light"/>
          <w:szCs w:val="24"/>
          <w:lang w:val="ro-MD"/>
        </w:rPr>
        <w:t>nalizâ</w:t>
      </w:r>
      <w:r>
        <w:rPr>
          <w:rFonts w:ascii="Calibri Light" w:eastAsia="Calibri" w:hAnsi="Calibri Light" w:cs="Calibri Light"/>
          <w:szCs w:val="24"/>
          <w:lang w:val="ro-MD"/>
        </w:rPr>
        <w:t xml:space="preserve">nd structura datoriilor prin prisma beneficiarilor recreditați, auditul relevă următoarele: </w:t>
      </w:r>
    </w:p>
    <w:p w14:paraId="315F4DD6" w14:textId="5BF16BB4" w:rsidR="00C47F54" w:rsidRPr="0075279E" w:rsidRDefault="00C47F54" w:rsidP="00D56AB5">
      <w:pPr>
        <w:pStyle w:val="a7"/>
        <w:numPr>
          <w:ilvl w:val="0"/>
          <w:numId w:val="8"/>
        </w:numPr>
        <w:tabs>
          <w:tab w:val="left" w:pos="284"/>
        </w:tabs>
        <w:spacing w:after="0" w:line="276" w:lineRule="auto"/>
        <w:ind w:left="0" w:firstLine="0"/>
        <w:jc w:val="both"/>
        <w:rPr>
          <w:rFonts w:ascii="Calibri Light" w:eastAsia="Calibri" w:hAnsi="Calibri Light" w:cs="Calibri Light"/>
          <w:szCs w:val="24"/>
          <w:lang w:val="ro-MD"/>
        </w:rPr>
      </w:pPr>
      <w:r w:rsidRPr="0075279E">
        <w:rPr>
          <w:rFonts w:ascii="Calibri Light" w:eastAsia="Calibri" w:hAnsi="Calibri Light" w:cs="Calibri Light"/>
          <w:szCs w:val="24"/>
          <w:lang w:val="ro-MD"/>
        </w:rPr>
        <w:t>15 bănci, organizații de creditare nebancare și asociații de economii și împrumut dețin datorii în sumă totală de 2 511,6 mil. lei (45,5%)</w:t>
      </w:r>
      <w:r w:rsidR="00F50E5E" w:rsidRPr="0075279E">
        <w:rPr>
          <w:rFonts w:ascii="Calibri Light" w:eastAsia="Calibri" w:hAnsi="Calibri Light" w:cs="Calibri Light"/>
          <w:szCs w:val="24"/>
          <w:lang w:val="ro-MD"/>
        </w:rPr>
        <w:t>, din care 1,44 mil</w:t>
      </w:r>
      <w:r w:rsidRPr="0075279E">
        <w:rPr>
          <w:rFonts w:ascii="Calibri Light" w:eastAsia="Calibri" w:hAnsi="Calibri Light" w:cs="Calibri Light"/>
          <w:szCs w:val="24"/>
          <w:lang w:val="ro-MD"/>
        </w:rPr>
        <w:t>.</w:t>
      </w:r>
      <w:r w:rsidR="00F50E5E" w:rsidRPr="0075279E">
        <w:rPr>
          <w:rFonts w:ascii="Calibri Light" w:eastAsia="Calibri" w:hAnsi="Calibri Light" w:cs="Calibri Light"/>
          <w:szCs w:val="24"/>
          <w:lang w:val="ro-MD"/>
        </w:rPr>
        <w:t xml:space="preserve"> </w:t>
      </w:r>
      <w:r w:rsidRPr="0075279E">
        <w:rPr>
          <w:rFonts w:ascii="Calibri Light" w:eastAsia="Calibri" w:hAnsi="Calibri Light" w:cs="Calibri Light"/>
          <w:szCs w:val="24"/>
          <w:lang w:val="ro-MD"/>
        </w:rPr>
        <w:t>lei</w:t>
      </w:r>
      <w:r w:rsidR="00F50E5E" w:rsidRPr="0075279E">
        <w:rPr>
          <w:rFonts w:ascii="Calibri Light" w:eastAsia="Calibri" w:hAnsi="Calibri Light" w:cs="Calibri Light"/>
          <w:szCs w:val="24"/>
          <w:lang w:val="ro-MD"/>
        </w:rPr>
        <w:t xml:space="preserve"> (0,5%)</w:t>
      </w:r>
      <w:r w:rsidRPr="0075279E">
        <w:rPr>
          <w:rFonts w:ascii="Calibri Light" w:eastAsia="Calibri" w:hAnsi="Calibri Light" w:cs="Calibri Light"/>
          <w:szCs w:val="24"/>
          <w:lang w:val="ro-MD"/>
        </w:rPr>
        <w:t xml:space="preserve"> sunt c</w:t>
      </w:r>
      <w:r w:rsidR="000A4733">
        <w:rPr>
          <w:rFonts w:ascii="Calibri Light" w:eastAsia="Calibri" w:hAnsi="Calibri Light" w:cs="Calibri Light"/>
          <w:szCs w:val="24"/>
          <w:lang w:val="ro-MD"/>
        </w:rPr>
        <w:t>u termenul de achitare expirat;</w:t>
      </w:r>
    </w:p>
    <w:p w14:paraId="3C82585A" w14:textId="12A5D54D" w:rsidR="0053770F" w:rsidRPr="0075279E" w:rsidRDefault="0053770F" w:rsidP="00D56AB5">
      <w:pPr>
        <w:pStyle w:val="a7"/>
        <w:numPr>
          <w:ilvl w:val="0"/>
          <w:numId w:val="8"/>
        </w:numPr>
        <w:tabs>
          <w:tab w:val="left" w:pos="284"/>
        </w:tabs>
        <w:spacing w:after="0" w:line="276" w:lineRule="auto"/>
        <w:ind w:left="0" w:firstLine="0"/>
        <w:jc w:val="both"/>
        <w:rPr>
          <w:rFonts w:ascii="Calibri Light" w:eastAsia="Calibri" w:hAnsi="Calibri Light" w:cs="Calibri Light"/>
          <w:szCs w:val="24"/>
          <w:lang w:val="ro-MD"/>
        </w:rPr>
      </w:pPr>
      <w:r w:rsidRPr="0075279E">
        <w:rPr>
          <w:rFonts w:ascii="Calibri Light" w:eastAsia="Calibri" w:hAnsi="Calibri Light" w:cs="Calibri Light"/>
          <w:szCs w:val="24"/>
          <w:lang w:val="ro-MD"/>
        </w:rPr>
        <w:t xml:space="preserve">22 de întreprinderi cu activitate în regim ordinar au acumulat datorii în sumă totală de </w:t>
      </w:r>
      <w:r w:rsidR="002377C9" w:rsidRPr="0075279E">
        <w:rPr>
          <w:rFonts w:ascii="Calibri Light" w:eastAsia="Calibri" w:hAnsi="Calibri Light" w:cs="Calibri Light"/>
          <w:szCs w:val="24"/>
          <w:lang w:val="ro-MD"/>
        </w:rPr>
        <w:t>1 998,1</w:t>
      </w:r>
      <w:r w:rsidRPr="0075279E">
        <w:rPr>
          <w:rFonts w:ascii="Calibri Light" w:eastAsia="Calibri" w:hAnsi="Calibri Light" w:cs="Calibri Light"/>
          <w:szCs w:val="24"/>
          <w:lang w:val="ro-MD"/>
        </w:rPr>
        <w:t xml:space="preserve"> mil. lei</w:t>
      </w:r>
      <w:r w:rsidR="00C1499A" w:rsidRPr="0075279E">
        <w:rPr>
          <w:rFonts w:ascii="Calibri Light" w:eastAsia="Calibri" w:hAnsi="Calibri Light" w:cs="Calibri Light"/>
          <w:szCs w:val="24"/>
          <w:lang w:val="ro-MD"/>
        </w:rPr>
        <w:t xml:space="preserve"> (36,2%)</w:t>
      </w:r>
      <w:r w:rsidRPr="0075279E">
        <w:rPr>
          <w:rFonts w:ascii="Calibri Light" w:eastAsia="Calibri" w:hAnsi="Calibri Light" w:cs="Calibri Light"/>
          <w:szCs w:val="24"/>
          <w:lang w:val="ro-MD"/>
        </w:rPr>
        <w:t xml:space="preserve">, din care </w:t>
      </w:r>
      <w:r w:rsidR="002377C9" w:rsidRPr="0075279E">
        <w:rPr>
          <w:rFonts w:ascii="Calibri Light" w:eastAsia="Calibri" w:hAnsi="Calibri Light" w:cs="Calibri Light"/>
          <w:szCs w:val="24"/>
          <w:lang w:val="ro-MD"/>
        </w:rPr>
        <w:t xml:space="preserve">11,21 </w:t>
      </w:r>
      <w:r w:rsidRPr="0075279E">
        <w:rPr>
          <w:rFonts w:ascii="Calibri Light" w:eastAsia="Calibri" w:hAnsi="Calibri Light" w:cs="Calibri Light"/>
          <w:szCs w:val="24"/>
          <w:lang w:val="ro-MD"/>
        </w:rPr>
        <w:t>mil. lei</w:t>
      </w:r>
      <w:r w:rsidR="00F50E5E" w:rsidRPr="0075279E">
        <w:rPr>
          <w:rFonts w:ascii="Calibri Light" w:eastAsia="Calibri" w:hAnsi="Calibri Light" w:cs="Calibri Light"/>
          <w:szCs w:val="24"/>
          <w:lang w:val="ro-MD"/>
        </w:rPr>
        <w:t xml:space="preserve"> (4,3%)</w:t>
      </w:r>
      <w:r w:rsidRPr="0075279E">
        <w:rPr>
          <w:rFonts w:ascii="Calibri Light" w:eastAsia="Calibri" w:hAnsi="Calibri Light" w:cs="Calibri Light"/>
          <w:szCs w:val="24"/>
          <w:lang w:val="ro-MD"/>
        </w:rPr>
        <w:t xml:space="preserve"> sunt cu termen de achitare expirat;</w:t>
      </w:r>
    </w:p>
    <w:p w14:paraId="23F9F339" w14:textId="663BCF50" w:rsidR="00C47F54" w:rsidRPr="0075279E" w:rsidRDefault="00C47F54" w:rsidP="00D56AB5">
      <w:pPr>
        <w:pStyle w:val="a7"/>
        <w:numPr>
          <w:ilvl w:val="0"/>
          <w:numId w:val="8"/>
        </w:numPr>
        <w:tabs>
          <w:tab w:val="left" w:pos="284"/>
        </w:tabs>
        <w:spacing w:after="0" w:line="276" w:lineRule="auto"/>
        <w:ind w:left="0" w:firstLine="0"/>
        <w:jc w:val="both"/>
        <w:rPr>
          <w:rFonts w:ascii="Calibri Light" w:eastAsia="Calibri" w:hAnsi="Calibri Light" w:cs="Calibri Light"/>
          <w:szCs w:val="24"/>
          <w:lang w:val="ro-MD"/>
        </w:rPr>
      </w:pPr>
      <w:r w:rsidRPr="0075279E">
        <w:rPr>
          <w:rFonts w:ascii="Calibri Light" w:eastAsia="Calibri" w:hAnsi="Calibri Light" w:cs="Calibri Light"/>
          <w:szCs w:val="24"/>
          <w:lang w:val="ro-MD"/>
        </w:rPr>
        <w:t xml:space="preserve">27 APL dețin datorii în sumă totală de 694,6 mil. lei (12,6%), din care 2,9 mil. lei </w:t>
      </w:r>
      <w:r w:rsidR="00F50E5E" w:rsidRPr="0075279E">
        <w:rPr>
          <w:rFonts w:ascii="Calibri Light" w:eastAsia="Calibri" w:hAnsi="Calibri Light" w:cs="Calibri Light"/>
          <w:szCs w:val="24"/>
          <w:lang w:val="ro-MD"/>
        </w:rPr>
        <w:t xml:space="preserve">(1,1%) </w:t>
      </w:r>
      <w:r w:rsidRPr="0075279E">
        <w:rPr>
          <w:rFonts w:ascii="Calibri Light" w:eastAsia="Calibri" w:hAnsi="Calibri Light" w:cs="Calibri Light"/>
          <w:szCs w:val="24"/>
          <w:lang w:val="ro-MD"/>
        </w:rPr>
        <w:t>sunt cu termen de achitare expirat;</w:t>
      </w:r>
    </w:p>
    <w:p w14:paraId="2EA8D712" w14:textId="7D14E361" w:rsidR="0053770F" w:rsidRPr="0075279E" w:rsidRDefault="0053770F" w:rsidP="00D56AB5">
      <w:pPr>
        <w:pStyle w:val="a7"/>
        <w:numPr>
          <w:ilvl w:val="0"/>
          <w:numId w:val="8"/>
        </w:numPr>
        <w:tabs>
          <w:tab w:val="left" w:pos="284"/>
        </w:tabs>
        <w:spacing w:after="0" w:line="276" w:lineRule="auto"/>
        <w:ind w:left="0" w:firstLine="0"/>
        <w:jc w:val="both"/>
        <w:rPr>
          <w:rFonts w:ascii="Calibri Light" w:eastAsia="Calibri" w:hAnsi="Calibri Light" w:cs="Calibri Light"/>
          <w:szCs w:val="24"/>
          <w:lang w:val="ro-MD"/>
        </w:rPr>
      </w:pPr>
      <w:r w:rsidRPr="0075279E">
        <w:rPr>
          <w:rFonts w:ascii="Calibri Light" w:eastAsia="Calibri" w:hAnsi="Calibri Light" w:cs="Calibri Light"/>
          <w:szCs w:val="24"/>
          <w:lang w:val="ro-MD"/>
        </w:rPr>
        <w:t>13 întreprinderi care se află în proces de insolvabilitate au acumulat datorii în sumă totală de 232,9 mil. lei</w:t>
      </w:r>
      <w:r w:rsidR="00C1499A" w:rsidRPr="0075279E">
        <w:rPr>
          <w:rFonts w:ascii="Calibri Light" w:eastAsia="Calibri" w:hAnsi="Calibri Light" w:cs="Calibri Light"/>
          <w:szCs w:val="24"/>
          <w:lang w:val="ro-MD"/>
        </w:rPr>
        <w:t xml:space="preserve"> (4,2%)</w:t>
      </w:r>
      <w:r w:rsidRPr="0075279E">
        <w:rPr>
          <w:rFonts w:ascii="Calibri Light" w:eastAsia="Calibri" w:hAnsi="Calibri Light" w:cs="Calibri Light"/>
          <w:szCs w:val="24"/>
          <w:lang w:val="ro-MD"/>
        </w:rPr>
        <w:t xml:space="preserve">, din care 165,2 mil. lei </w:t>
      </w:r>
      <w:r w:rsidR="00F50E5E" w:rsidRPr="0075279E">
        <w:rPr>
          <w:rFonts w:ascii="Calibri Light" w:eastAsia="Calibri" w:hAnsi="Calibri Light" w:cs="Calibri Light"/>
          <w:szCs w:val="24"/>
          <w:lang w:val="ro-MD"/>
        </w:rPr>
        <w:t xml:space="preserve">(62,7%) </w:t>
      </w:r>
      <w:r w:rsidRPr="0075279E">
        <w:rPr>
          <w:rFonts w:ascii="Calibri Light" w:eastAsia="Calibri" w:hAnsi="Calibri Light" w:cs="Calibri Light"/>
          <w:szCs w:val="24"/>
          <w:lang w:val="ro-MD"/>
        </w:rPr>
        <w:t>sunt cu termen de achitare expirat;</w:t>
      </w:r>
    </w:p>
    <w:p w14:paraId="6F5FD436" w14:textId="2A0F9349" w:rsidR="0053770F" w:rsidRPr="0075279E" w:rsidRDefault="0053770F" w:rsidP="003719FA">
      <w:pPr>
        <w:pStyle w:val="a7"/>
        <w:numPr>
          <w:ilvl w:val="0"/>
          <w:numId w:val="8"/>
        </w:numPr>
        <w:tabs>
          <w:tab w:val="left" w:pos="284"/>
        </w:tabs>
        <w:spacing w:after="0" w:line="276" w:lineRule="auto"/>
        <w:ind w:left="0" w:firstLine="0"/>
        <w:jc w:val="both"/>
        <w:rPr>
          <w:rFonts w:ascii="Calibri Light" w:eastAsia="Calibri" w:hAnsi="Calibri Light" w:cs="Calibri Light"/>
          <w:szCs w:val="24"/>
          <w:lang w:val="ro-MD"/>
        </w:rPr>
      </w:pPr>
      <w:r w:rsidRPr="0075279E">
        <w:rPr>
          <w:rFonts w:ascii="Calibri Light" w:eastAsia="Calibri" w:hAnsi="Calibri Light" w:cs="Calibri Light"/>
          <w:szCs w:val="24"/>
          <w:lang w:val="ro-MD"/>
        </w:rPr>
        <w:t>5 întreprinderi potențiali faliți au acumulat datorii în sumă totală de 72,9 mil. lei</w:t>
      </w:r>
      <w:r w:rsidR="00C1499A" w:rsidRPr="0075279E">
        <w:rPr>
          <w:rFonts w:ascii="Calibri Light" w:eastAsia="Calibri" w:hAnsi="Calibri Light" w:cs="Calibri Light"/>
          <w:szCs w:val="24"/>
          <w:lang w:val="ro-MD"/>
        </w:rPr>
        <w:t xml:space="preserve"> (1,32%)</w:t>
      </w:r>
      <w:r w:rsidRPr="0075279E">
        <w:rPr>
          <w:rFonts w:ascii="Calibri Light" w:eastAsia="Calibri" w:hAnsi="Calibri Light" w:cs="Calibri Light"/>
          <w:szCs w:val="24"/>
          <w:lang w:val="ro-MD"/>
        </w:rPr>
        <w:t>, fiind în totalitate cu termen de achitare expirat</w:t>
      </w:r>
      <w:r w:rsidR="00F50E5E" w:rsidRPr="0075279E">
        <w:rPr>
          <w:rFonts w:ascii="Calibri Light" w:eastAsia="Calibri" w:hAnsi="Calibri Light" w:cs="Calibri Light"/>
          <w:szCs w:val="24"/>
          <w:lang w:val="ro-MD"/>
        </w:rPr>
        <w:t xml:space="preserve"> (27,7%)</w:t>
      </w:r>
      <w:r w:rsidRPr="0075279E">
        <w:rPr>
          <w:rFonts w:ascii="Calibri Light" w:eastAsia="Calibri" w:hAnsi="Calibri Light" w:cs="Calibri Light"/>
          <w:szCs w:val="24"/>
          <w:lang w:val="ro-MD"/>
        </w:rPr>
        <w:t>;</w:t>
      </w:r>
    </w:p>
    <w:p w14:paraId="2CA5E4C3" w14:textId="1F189D12" w:rsidR="003719FA" w:rsidRDefault="00C70556" w:rsidP="003719FA">
      <w:pPr>
        <w:numPr>
          <w:ilvl w:val="0"/>
          <w:numId w:val="8"/>
        </w:numPr>
        <w:tabs>
          <w:tab w:val="left" w:pos="284"/>
        </w:tabs>
        <w:spacing w:line="276" w:lineRule="auto"/>
        <w:ind w:left="0" w:hanging="11"/>
        <w:contextualSpacing/>
        <w:jc w:val="both"/>
        <w:rPr>
          <w:rFonts w:ascii="Calibri Light" w:eastAsia="Calibri" w:hAnsi="Calibri Light" w:cs="Calibri Light"/>
          <w:szCs w:val="24"/>
          <w:lang w:val="ro-MD"/>
        </w:rPr>
      </w:pPr>
      <w:r w:rsidRPr="0075279E">
        <w:rPr>
          <w:rFonts w:ascii="Calibri Light" w:eastAsia="Calibri" w:hAnsi="Calibri Light" w:cs="Calibri Light"/>
          <w:szCs w:val="24"/>
          <w:lang w:val="ro-MD"/>
        </w:rPr>
        <w:t>2 întreprinderi</w:t>
      </w:r>
      <w:r w:rsidRPr="0075279E">
        <w:rPr>
          <w:rStyle w:val="a6"/>
          <w:rFonts w:ascii="Calibri Light" w:eastAsia="Calibri" w:hAnsi="Calibri Light" w:cs="Calibri Light"/>
          <w:szCs w:val="24"/>
          <w:lang w:val="ro-MD"/>
        </w:rPr>
        <w:footnoteReference w:id="28"/>
      </w:r>
      <w:r w:rsidRPr="0075279E">
        <w:rPr>
          <w:rFonts w:ascii="Calibri Light" w:eastAsia="Calibri" w:hAnsi="Calibri Light" w:cs="Calibri Light"/>
          <w:szCs w:val="24"/>
          <w:lang w:val="ro-MD"/>
        </w:rPr>
        <w:t xml:space="preserve"> care lipsesc din Registrul de </w:t>
      </w:r>
      <w:r w:rsidR="003D4286">
        <w:rPr>
          <w:rFonts w:ascii="Calibri Light" w:eastAsia="Calibri" w:hAnsi="Calibri Light" w:cs="Calibri Light"/>
          <w:szCs w:val="24"/>
          <w:lang w:val="ro-MD"/>
        </w:rPr>
        <w:t>s</w:t>
      </w:r>
      <w:r w:rsidRPr="0075279E">
        <w:rPr>
          <w:rFonts w:ascii="Calibri Light" w:eastAsia="Calibri" w:hAnsi="Calibri Light" w:cs="Calibri Light"/>
          <w:szCs w:val="24"/>
          <w:lang w:val="ro-MD"/>
        </w:rPr>
        <w:t>tat al persoanelor juridice au acumulat da</w:t>
      </w:r>
      <w:r w:rsidR="003D4286">
        <w:rPr>
          <w:rFonts w:ascii="Calibri Light" w:eastAsia="Calibri" w:hAnsi="Calibri Light" w:cs="Calibri Light"/>
          <w:szCs w:val="24"/>
          <w:lang w:val="ro-MD"/>
        </w:rPr>
        <w:t>torii în sumă totală de 9,8 mil.</w:t>
      </w:r>
      <w:r w:rsidRPr="0075279E">
        <w:rPr>
          <w:rFonts w:ascii="Calibri Light" w:eastAsia="Calibri" w:hAnsi="Calibri Light" w:cs="Calibri Light"/>
          <w:szCs w:val="24"/>
          <w:lang w:val="ro-MD"/>
        </w:rPr>
        <w:t xml:space="preserve">lei (0,2%), care la fel în totalitate sunt cu termenul de achitare expirat (3,7%). </w:t>
      </w:r>
    </w:p>
    <w:p w14:paraId="0E4E868C" w14:textId="77777777" w:rsidR="003719FA" w:rsidRDefault="003719FA" w:rsidP="003719FA">
      <w:pPr>
        <w:tabs>
          <w:tab w:val="left" w:pos="284"/>
        </w:tabs>
        <w:spacing w:line="276" w:lineRule="auto"/>
        <w:contextualSpacing/>
        <w:jc w:val="both"/>
        <w:rPr>
          <w:rFonts w:ascii="Calibri Light" w:eastAsia="Calibri" w:hAnsi="Calibri Light" w:cs="Calibri Light"/>
          <w:szCs w:val="24"/>
          <w:lang w:val="ro-MD"/>
        </w:rPr>
      </w:pPr>
    </w:p>
    <w:p w14:paraId="00A2290B" w14:textId="71DFAABC" w:rsidR="00062370" w:rsidRPr="003719FA" w:rsidRDefault="00A56164" w:rsidP="003719FA">
      <w:pPr>
        <w:tabs>
          <w:tab w:val="left" w:pos="284"/>
        </w:tabs>
        <w:spacing w:line="276" w:lineRule="auto"/>
        <w:contextualSpacing/>
        <w:jc w:val="both"/>
        <w:rPr>
          <w:rFonts w:ascii="Calibri Light" w:eastAsia="Calibri" w:hAnsi="Calibri Light" w:cs="Calibri Light"/>
          <w:szCs w:val="24"/>
          <w:lang w:val="ro-MD"/>
        </w:rPr>
      </w:pPr>
      <w:r w:rsidRPr="003719FA">
        <w:rPr>
          <w:rFonts w:ascii="Calibri Light" w:eastAsia="Calibri" w:hAnsi="Calibri Light" w:cs="Calibri Light"/>
          <w:szCs w:val="24"/>
          <w:lang w:val="ro-MD"/>
        </w:rPr>
        <w:t xml:space="preserve">În acest context, auditul evidențiază că datoriile </w:t>
      </w:r>
      <w:r w:rsidR="00460F92" w:rsidRPr="003719FA">
        <w:rPr>
          <w:rFonts w:ascii="Calibri Light" w:eastAsia="Calibri" w:hAnsi="Calibri Light" w:cs="Calibri Light"/>
          <w:szCs w:val="24"/>
          <w:lang w:val="ro-MD"/>
        </w:rPr>
        <w:t xml:space="preserve">cu termen de achitare expirat </w:t>
      </w:r>
      <w:r w:rsidRPr="003719FA">
        <w:rPr>
          <w:rFonts w:ascii="Calibri Light" w:eastAsia="Calibri" w:hAnsi="Calibri Light" w:cs="Calibri Light"/>
          <w:szCs w:val="24"/>
          <w:lang w:val="ro-MD"/>
        </w:rPr>
        <w:t xml:space="preserve">acumulate de către întreprinderile în proces de insolvabilitate și potențiali faliți, precum și cele care nu se regăsesc în Registrul de Stat al persoanelor juridice, în sumă totală de </w:t>
      </w:r>
      <w:r w:rsidR="00460F92" w:rsidRPr="003719FA">
        <w:rPr>
          <w:rFonts w:ascii="Calibri Light" w:eastAsia="Calibri" w:hAnsi="Calibri Light" w:cs="Calibri Light"/>
          <w:szCs w:val="24"/>
          <w:lang w:val="ro-MD"/>
        </w:rPr>
        <w:t>247,9</w:t>
      </w:r>
      <w:r w:rsidR="008F2565" w:rsidRPr="003719FA">
        <w:rPr>
          <w:rFonts w:ascii="Calibri Light" w:eastAsia="Calibri" w:hAnsi="Calibri Light" w:cs="Calibri Light"/>
          <w:szCs w:val="24"/>
          <w:lang w:val="ro-MD"/>
        </w:rPr>
        <w:t xml:space="preserve"> mil. </w:t>
      </w:r>
      <w:r w:rsidR="00460F92" w:rsidRPr="003719FA">
        <w:rPr>
          <w:rFonts w:ascii="Calibri Light" w:eastAsia="Calibri" w:hAnsi="Calibri Light" w:cs="Calibri Light"/>
          <w:szCs w:val="24"/>
          <w:lang w:val="ro-MD"/>
        </w:rPr>
        <w:t>lei</w:t>
      </w:r>
      <w:r w:rsidR="008F2565" w:rsidRPr="003719FA">
        <w:rPr>
          <w:rFonts w:ascii="Calibri Light" w:eastAsia="Calibri" w:hAnsi="Calibri Light" w:cs="Calibri Light"/>
          <w:szCs w:val="24"/>
          <w:lang w:val="ro-MD"/>
        </w:rPr>
        <w:t xml:space="preserve">, care reprezintă </w:t>
      </w:r>
      <w:r w:rsidR="00460F92" w:rsidRPr="003719FA">
        <w:rPr>
          <w:rFonts w:ascii="Calibri Light" w:eastAsia="Calibri" w:hAnsi="Calibri Light" w:cs="Calibri Light"/>
          <w:szCs w:val="24"/>
          <w:lang w:val="ro-MD"/>
        </w:rPr>
        <w:t>94,1% din totalul datoriilor cu termen de achitare expirat ale beneficiarilor recreditați, prezintă un risc sporit de nerecuperare.</w:t>
      </w:r>
      <w:r w:rsidR="00C9268B" w:rsidRPr="003719FA">
        <w:rPr>
          <w:rFonts w:ascii="Calibri Light" w:eastAsia="Calibri" w:hAnsi="Calibri Light" w:cs="Calibri Light"/>
          <w:szCs w:val="24"/>
          <w:lang w:val="ro-MD"/>
        </w:rPr>
        <w:t xml:space="preserve"> </w:t>
      </w:r>
    </w:p>
    <w:p w14:paraId="6AD81F6F" w14:textId="6BB41383" w:rsidR="00555F57" w:rsidRPr="00555F57" w:rsidRDefault="00555F57" w:rsidP="005B4A2C">
      <w:pPr>
        <w:tabs>
          <w:tab w:val="left" w:pos="284"/>
        </w:tabs>
        <w:spacing w:before="240" w:line="276" w:lineRule="auto"/>
        <w:jc w:val="both"/>
        <w:rPr>
          <w:rFonts w:ascii="Calibri Light" w:eastAsia="Calibri" w:hAnsi="Calibri Light" w:cs="Calibri Light"/>
          <w:szCs w:val="24"/>
          <w:lang w:val="ro-MD"/>
        </w:rPr>
      </w:pPr>
      <w:r w:rsidRPr="00CF0657">
        <w:rPr>
          <w:rFonts w:ascii="Calibri Light" w:eastAsia="Calibri" w:hAnsi="Calibri Light" w:cs="Calibri Light"/>
          <w:szCs w:val="24"/>
          <w:lang w:val="ro-RO"/>
        </w:rPr>
        <w:lastRenderedPageBreak/>
        <w:t>Totodată, c</w:t>
      </w:r>
      <w:r w:rsidR="008B4C3F" w:rsidRPr="00CF0657">
        <w:rPr>
          <w:rFonts w:ascii="Calibri Light" w:eastAsia="Calibri" w:hAnsi="Calibri Light" w:cs="Calibri Light"/>
          <w:szCs w:val="24"/>
          <w:lang w:val="ro-RO"/>
        </w:rPr>
        <w:t>a măsuri de recuperare a datoriilor</w:t>
      </w:r>
      <w:r w:rsidRPr="00CF0657">
        <w:rPr>
          <w:rFonts w:ascii="Calibri Light" w:eastAsia="Calibri" w:hAnsi="Calibri Light" w:cs="Calibri Light"/>
          <w:szCs w:val="24"/>
          <w:lang w:val="ro-RO"/>
        </w:rPr>
        <w:t xml:space="preserve"> expirate</w:t>
      </w:r>
      <w:r w:rsidR="008B4C3F" w:rsidRPr="00CF0657">
        <w:rPr>
          <w:rFonts w:ascii="Calibri Light" w:eastAsia="Calibri" w:hAnsi="Calibri Light" w:cs="Calibri Light"/>
          <w:szCs w:val="24"/>
          <w:lang w:val="ro-RO"/>
        </w:rPr>
        <w:t>, MF</w:t>
      </w:r>
      <w:r w:rsidR="003D4286">
        <w:rPr>
          <w:rFonts w:ascii="Calibri Light" w:eastAsia="Calibri" w:hAnsi="Calibri Light" w:cs="Calibri Light"/>
          <w:szCs w:val="24"/>
          <w:lang w:val="ro-RO"/>
        </w:rPr>
        <w:t>,</w:t>
      </w:r>
      <w:r w:rsidR="008B4C3F" w:rsidRPr="00CF0657">
        <w:rPr>
          <w:rFonts w:ascii="Calibri Light" w:eastAsia="Calibri" w:hAnsi="Calibri Light" w:cs="Calibri Light"/>
          <w:szCs w:val="24"/>
          <w:lang w:val="ro-RO"/>
        </w:rPr>
        <w:t xml:space="preserve"> </w:t>
      </w:r>
      <w:r w:rsidRPr="00CF0657">
        <w:rPr>
          <w:rFonts w:ascii="Calibri Light" w:eastAsia="Calibri" w:hAnsi="Calibri Light" w:cs="Calibri Light"/>
          <w:szCs w:val="24"/>
          <w:lang w:val="ro-MD"/>
        </w:rPr>
        <w:t xml:space="preserve">prin intermediul Serviciului Fiscal de Stat, aplică măsuri de executare silită față de beneficiarii recreditați care dețin arierate pe împrumuturile recreditate. </w:t>
      </w:r>
      <w:r w:rsidR="003D4286">
        <w:rPr>
          <w:rFonts w:ascii="Calibri Light" w:eastAsia="Calibri" w:hAnsi="Calibri Light" w:cs="Calibri Light"/>
          <w:szCs w:val="24"/>
          <w:lang w:val="ro-RO"/>
        </w:rPr>
        <w:t>Ca</w:t>
      </w:r>
      <w:r w:rsidR="008B4C3F" w:rsidRPr="00CF0657">
        <w:rPr>
          <w:rFonts w:ascii="Calibri Light" w:eastAsia="Calibri" w:hAnsi="Calibri Light" w:cs="Calibri Light"/>
          <w:szCs w:val="24"/>
          <w:lang w:val="ro-RO"/>
        </w:rPr>
        <w:t xml:space="preserve"> rezultat</w:t>
      </w:r>
      <w:r w:rsidR="003D4286">
        <w:rPr>
          <w:rFonts w:ascii="Calibri Light" w:eastAsia="Calibri" w:hAnsi="Calibri Light" w:cs="Calibri Light"/>
          <w:szCs w:val="24"/>
          <w:lang w:val="ro-RO"/>
        </w:rPr>
        <w:t xml:space="preserve"> a</w:t>
      </w:r>
      <w:r w:rsidR="008B4C3F" w:rsidRPr="00CF0657">
        <w:rPr>
          <w:rFonts w:ascii="Calibri Light" w:eastAsia="Calibri" w:hAnsi="Calibri Light" w:cs="Calibri Light"/>
          <w:szCs w:val="24"/>
          <w:lang w:val="ro-RO"/>
        </w:rPr>
        <w:t xml:space="preserve">l măsurilor întreprinse de către </w:t>
      </w:r>
      <w:r w:rsidR="00FC67B0" w:rsidRPr="00CF0657">
        <w:rPr>
          <w:rFonts w:ascii="Calibri Light" w:eastAsia="Calibri" w:hAnsi="Calibri Light" w:cs="Calibri Light"/>
          <w:szCs w:val="24"/>
          <w:lang w:val="ro-RO"/>
        </w:rPr>
        <w:t xml:space="preserve">SFS, au fost recuperate la bugetul de stat </w:t>
      </w:r>
      <w:r w:rsidR="008B4C3F" w:rsidRPr="00CF0657">
        <w:rPr>
          <w:rFonts w:ascii="Calibri Light" w:eastAsia="Calibri" w:hAnsi="Calibri Light" w:cs="Calibri Light"/>
          <w:szCs w:val="24"/>
          <w:lang w:val="ro-RO"/>
        </w:rPr>
        <w:t xml:space="preserve">circa </w:t>
      </w:r>
      <w:r w:rsidRPr="00CF0657">
        <w:rPr>
          <w:rFonts w:ascii="Calibri Light" w:eastAsia="Calibri" w:hAnsi="Calibri Light" w:cs="Calibri Light"/>
          <w:szCs w:val="24"/>
          <w:lang w:val="ro-RO"/>
        </w:rPr>
        <w:t>13,0</w:t>
      </w:r>
      <w:r w:rsidR="00FC67B0" w:rsidRPr="00CF0657">
        <w:rPr>
          <w:rFonts w:ascii="Calibri Light" w:eastAsia="Calibri" w:hAnsi="Calibri Light" w:cs="Calibri Light"/>
          <w:szCs w:val="24"/>
          <w:lang w:val="ro-RO"/>
        </w:rPr>
        <w:t xml:space="preserve"> mil. </w:t>
      </w:r>
      <w:r w:rsidRPr="00CF0657">
        <w:rPr>
          <w:rFonts w:ascii="Calibri Light" w:eastAsia="Calibri" w:hAnsi="Calibri Light" w:cs="Calibri Light"/>
          <w:szCs w:val="24"/>
          <w:lang w:val="ro-RO"/>
        </w:rPr>
        <w:t>l</w:t>
      </w:r>
      <w:r w:rsidR="00FC67B0" w:rsidRPr="00CF0657">
        <w:rPr>
          <w:rFonts w:ascii="Calibri Light" w:eastAsia="Calibri" w:hAnsi="Calibri Light" w:cs="Calibri Light"/>
          <w:szCs w:val="24"/>
          <w:lang w:val="ro-RO"/>
        </w:rPr>
        <w:t>ei</w:t>
      </w:r>
      <w:r w:rsidRPr="00CF0657">
        <w:rPr>
          <w:rFonts w:ascii="Calibri Light" w:eastAsia="Calibri" w:hAnsi="Calibri Light" w:cs="Calibri Light"/>
          <w:szCs w:val="24"/>
          <w:lang w:val="ro-MD"/>
        </w:rPr>
        <w:t>, ceea ce constituie 1,4% din suma totală rambursată în perioada de referință.</w:t>
      </w:r>
    </w:p>
    <w:p w14:paraId="03588B6D" w14:textId="36FDA0F8" w:rsidR="00C224FA" w:rsidRDefault="00264804" w:rsidP="00FB1205">
      <w:pPr>
        <w:jc w:val="both"/>
        <w:rPr>
          <w:rFonts w:ascii="Calibri Light" w:eastAsia="Calibri" w:hAnsi="Calibri Light" w:cs="Calibri Light"/>
          <w:i/>
          <w:szCs w:val="24"/>
          <w:lang w:val="ro-MD"/>
        </w:rPr>
      </w:pPr>
      <w:r>
        <w:rPr>
          <w:rFonts w:ascii="Calibri Light" w:eastAsia="Calibri" w:hAnsi="Calibri Light" w:cs="Calibri Light"/>
          <w:szCs w:val="24"/>
          <w:lang w:val="ro-MD"/>
        </w:rPr>
        <w:t>Pe lâ</w:t>
      </w:r>
      <w:r w:rsidR="00BA22C1">
        <w:rPr>
          <w:rFonts w:ascii="Calibri Light" w:eastAsia="Calibri" w:hAnsi="Calibri Light" w:cs="Calibri Light"/>
          <w:szCs w:val="24"/>
          <w:lang w:val="ro-MD"/>
        </w:rPr>
        <w:t>ngă economiile directe obținute la compartimentul serviciul datoriei de stat externe, convertirea unor împrumuturi de stat ex</w:t>
      </w:r>
      <w:r w:rsidR="003719FA">
        <w:rPr>
          <w:rFonts w:ascii="Calibri Light" w:eastAsia="Calibri" w:hAnsi="Calibri Light" w:cs="Calibri Light"/>
          <w:szCs w:val="24"/>
          <w:lang w:val="ro-MD"/>
        </w:rPr>
        <w:t xml:space="preserve">terne acordate de BIRD și BERD </w:t>
      </w:r>
      <w:r w:rsidR="00BA22C1">
        <w:rPr>
          <w:rFonts w:ascii="Calibri Light" w:eastAsia="Calibri" w:hAnsi="Calibri Light" w:cs="Calibri Light"/>
          <w:szCs w:val="24"/>
          <w:lang w:val="ro-MD"/>
        </w:rPr>
        <w:t xml:space="preserve">a generat efecte pozitive și pentru componenta recreditare. Astfel, </w:t>
      </w:r>
      <w:r w:rsidR="002C395A">
        <w:rPr>
          <w:rFonts w:ascii="Calibri Light" w:eastAsia="Calibri" w:hAnsi="Calibri Light" w:cs="Calibri Light"/>
          <w:szCs w:val="24"/>
          <w:lang w:val="ro-MD"/>
        </w:rPr>
        <w:t xml:space="preserve">pe parcursul anilor 2019-2020 </w:t>
      </w:r>
      <w:r w:rsidR="00286789">
        <w:rPr>
          <w:rFonts w:ascii="Calibri Light" w:eastAsia="Calibri" w:hAnsi="Calibri Light" w:cs="Calibri Light"/>
          <w:szCs w:val="24"/>
          <w:lang w:val="ro-MD"/>
        </w:rPr>
        <w:t xml:space="preserve">MF a încheiat </w:t>
      </w:r>
      <w:r w:rsidR="003719FA">
        <w:rPr>
          <w:rFonts w:ascii="Calibri Light" w:eastAsia="Calibri" w:hAnsi="Calibri Light" w:cs="Calibri Light"/>
          <w:szCs w:val="24"/>
          <w:lang w:val="ro-MD"/>
        </w:rPr>
        <w:t>a</w:t>
      </w:r>
      <w:r w:rsidR="00286789">
        <w:rPr>
          <w:rFonts w:ascii="Calibri Light" w:eastAsia="Calibri" w:hAnsi="Calibri Light" w:cs="Calibri Light"/>
          <w:szCs w:val="24"/>
          <w:lang w:val="ro-MD"/>
        </w:rPr>
        <w:t xml:space="preserve">mendamente la </w:t>
      </w:r>
      <w:r w:rsidR="00AA1448">
        <w:rPr>
          <w:rFonts w:ascii="Calibri Light" w:eastAsia="Calibri" w:hAnsi="Calibri Light" w:cs="Calibri Light"/>
          <w:szCs w:val="24"/>
          <w:lang w:val="ro-MD"/>
        </w:rPr>
        <w:t>c</w:t>
      </w:r>
      <w:r w:rsidR="00286789">
        <w:rPr>
          <w:rFonts w:ascii="Calibri Light" w:eastAsia="Calibri" w:hAnsi="Calibri Light" w:cs="Calibri Light"/>
          <w:szCs w:val="24"/>
          <w:lang w:val="ro-MD"/>
        </w:rPr>
        <w:t>ontractele de recreditare cu „</w:t>
      </w:r>
      <w:r w:rsidR="00286789" w:rsidRPr="00333ACA">
        <w:rPr>
          <w:rFonts w:ascii="Calibri Light" w:eastAsia="Calibri" w:hAnsi="Calibri Light" w:cs="Calibri Light"/>
          <w:szCs w:val="24"/>
          <w:lang w:val="ro-MD"/>
        </w:rPr>
        <w:t>Termoelectrica” S.A. (împrumutul nr.</w:t>
      </w:r>
      <w:r w:rsidR="00333ACA" w:rsidRPr="00333ACA">
        <w:rPr>
          <w:rFonts w:ascii="Calibri Light" w:eastAsia="Calibri" w:hAnsi="Calibri Light" w:cs="Calibri Light"/>
          <w:szCs w:val="24"/>
          <w:lang w:val="ro-MD"/>
        </w:rPr>
        <w:t xml:space="preserve"> </w:t>
      </w:r>
      <w:r w:rsidR="00286789" w:rsidRPr="00333ACA">
        <w:rPr>
          <w:rFonts w:ascii="Calibri Light" w:eastAsia="Calibri" w:hAnsi="Calibri Light" w:cs="Calibri Light"/>
          <w:szCs w:val="24"/>
          <w:lang w:val="ro-MD"/>
        </w:rPr>
        <w:t xml:space="preserve">84510) și </w:t>
      </w:r>
      <w:r w:rsidR="00A4546D">
        <w:rPr>
          <w:rFonts w:ascii="Calibri Light" w:eastAsia="Calibri" w:hAnsi="Calibri Light" w:cs="Calibri Light"/>
          <w:szCs w:val="24"/>
          <w:lang w:val="ro-MD"/>
        </w:rPr>
        <w:t xml:space="preserve">Î.S. </w:t>
      </w:r>
      <w:r w:rsidR="00286789" w:rsidRPr="00333ACA">
        <w:rPr>
          <w:rFonts w:ascii="Calibri Light" w:eastAsia="Calibri" w:hAnsi="Calibri Light" w:cs="Calibri Light"/>
          <w:szCs w:val="24"/>
          <w:lang w:val="ro-MD"/>
        </w:rPr>
        <w:t>„Moldelectrica” (împrumutul nr.42856), încheiate inițial în dolari SUA, acestea fiind convertite în eur</w:t>
      </w:r>
      <w:r>
        <w:rPr>
          <w:rFonts w:ascii="Calibri Light" w:eastAsia="Calibri" w:hAnsi="Calibri Light" w:cs="Calibri Light"/>
          <w:szCs w:val="24"/>
          <w:lang w:val="ro-MD"/>
        </w:rPr>
        <w:t>o, fiind modificată și rata dobâ</w:t>
      </w:r>
      <w:r w:rsidR="00286789" w:rsidRPr="00333ACA">
        <w:rPr>
          <w:rFonts w:ascii="Calibri Light" w:eastAsia="Calibri" w:hAnsi="Calibri Light" w:cs="Calibri Light"/>
          <w:szCs w:val="24"/>
          <w:lang w:val="ro-MD"/>
        </w:rPr>
        <w:t>nzii</w:t>
      </w:r>
      <w:r w:rsidR="004F73BB">
        <w:rPr>
          <w:rFonts w:ascii="Calibri Light" w:eastAsia="Calibri" w:hAnsi="Calibri Light" w:cs="Calibri Light"/>
          <w:szCs w:val="24"/>
          <w:lang w:val="ro-MD"/>
        </w:rPr>
        <w:t xml:space="preserve"> variabilă - de la LIBOR 6m+marja la rata EURIBOR 6M+marja</w:t>
      </w:r>
      <w:r w:rsidR="00286789" w:rsidRPr="00333ACA">
        <w:rPr>
          <w:rFonts w:ascii="Calibri Light" w:eastAsia="Calibri" w:hAnsi="Calibri Light" w:cs="Calibri Light"/>
          <w:szCs w:val="24"/>
          <w:lang w:val="ro-MD"/>
        </w:rPr>
        <w:t>. Pentru împrumutul recreditat prin intermediul OGP AE</w:t>
      </w:r>
      <w:r w:rsidR="006B0343" w:rsidRPr="00333ACA">
        <w:rPr>
          <w:rFonts w:ascii="Calibri Light" w:eastAsia="Calibri" w:hAnsi="Calibri Light" w:cs="Calibri Light"/>
          <w:szCs w:val="24"/>
          <w:lang w:val="ro-MD"/>
        </w:rPr>
        <w:t xml:space="preserve"> (împrumutul nr. 84000), a fost micșorat costul resurs</w:t>
      </w:r>
      <w:r>
        <w:rPr>
          <w:rFonts w:ascii="Calibri Light" w:eastAsia="Calibri" w:hAnsi="Calibri Light" w:cs="Calibri Light"/>
          <w:szCs w:val="24"/>
          <w:lang w:val="ro-MD"/>
        </w:rPr>
        <w:t>elor pentru Republica Moldova ce</w:t>
      </w:r>
      <w:r w:rsidR="006B0343" w:rsidRPr="00333ACA">
        <w:rPr>
          <w:rFonts w:ascii="Calibri Light" w:eastAsia="Calibri" w:hAnsi="Calibri Light" w:cs="Calibri Light"/>
          <w:szCs w:val="24"/>
          <w:lang w:val="ro-MD"/>
        </w:rPr>
        <w:t>ea ce a dus la micșorarea ratei dob</w:t>
      </w:r>
      <w:r w:rsidR="00E819E0">
        <w:rPr>
          <w:rFonts w:ascii="Calibri Light" w:eastAsia="Calibri" w:hAnsi="Calibri Light" w:cs="Calibri Light"/>
          <w:szCs w:val="24"/>
          <w:lang w:val="ro-MD"/>
        </w:rPr>
        <w:t>â</w:t>
      </w:r>
      <w:r w:rsidR="006B0343" w:rsidRPr="00333ACA">
        <w:rPr>
          <w:rFonts w:ascii="Calibri Light" w:eastAsia="Calibri" w:hAnsi="Calibri Light" w:cs="Calibri Light"/>
          <w:szCs w:val="24"/>
          <w:lang w:val="ro-MD"/>
        </w:rPr>
        <w:t xml:space="preserve">nzii </w:t>
      </w:r>
      <w:r w:rsidR="004D223D" w:rsidRPr="00333ACA">
        <w:rPr>
          <w:rFonts w:ascii="Calibri Light" w:eastAsia="Calibri" w:hAnsi="Calibri Light" w:cs="Calibri Light"/>
          <w:szCs w:val="24"/>
          <w:lang w:val="ro-MD"/>
        </w:rPr>
        <w:t xml:space="preserve">MF/OGP AE </w:t>
      </w:r>
      <w:r w:rsidR="006B0343" w:rsidRPr="00333ACA">
        <w:rPr>
          <w:rFonts w:ascii="Calibri Light" w:eastAsia="Calibri" w:hAnsi="Calibri Light" w:cs="Calibri Light"/>
          <w:szCs w:val="24"/>
          <w:lang w:val="ro-MD"/>
        </w:rPr>
        <w:t xml:space="preserve">pentru IFP la recreditarea de stat, de la 2,6% la 1,17%. </w:t>
      </w:r>
    </w:p>
    <w:p w14:paraId="29F0BEF9" w14:textId="2BA72581" w:rsidR="009C7EEF" w:rsidRDefault="00C70556" w:rsidP="009635E0">
      <w:pPr>
        <w:spacing w:after="0" w:line="276" w:lineRule="auto"/>
        <w:jc w:val="both"/>
        <w:rPr>
          <w:rFonts w:ascii="Calibri Light" w:eastAsia="Calibri" w:hAnsi="Calibri Light" w:cs="Calibri Light"/>
          <w:szCs w:val="24"/>
          <w:lang w:val="ro-MD"/>
        </w:rPr>
      </w:pPr>
      <w:r w:rsidRPr="001019D3">
        <w:rPr>
          <w:rFonts w:ascii="Calibri Light" w:eastAsia="Calibri" w:hAnsi="Calibri Light" w:cs="Calibri Light"/>
          <w:szCs w:val="24"/>
          <w:lang w:val="ro-MD"/>
        </w:rPr>
        <w:t xml:space="preserve">Ca și în cadrul auditurilor precedente, se atestă că, deși MF dispune de mecanisme de clasificare a datoriilor debitorilor recreditați în funcție de riscul de nerambursare a acestora, </w:t>
      </w:r>
      <w:r>
        <w:rPr>
          <w:rFonts w:ascii="Calibri Light" w:eastAsia="Calibri" w:hAnsi="Calibri Light" w:cs="Calibri Light"/>
          <w:szCs w:val="24"/>
          <w:lang w:val="ro-MD"/>
        </w:rPr>
        <w:t xml:space="preserve">și întreprinde măsuri </w:t>
      </w:r>
      <w:r w:rsidR="00AA1448">
        <w:rPr>
          <w:rFonts w:ascii="Calibri Light" w:eastAsia="Calibri" w:hAnsi="Calibri Light" w:cs="Calibri Light"/>
          <w:szCs w:val="24"/>
          <w:lang w:val="ro-MD"/>
        </w:rPr>
        <w:t>de neadmitere</w:t>
      </w:r>
      <w:r>
        <w:rPr>
          <w:rFonts w:ascii="Calibri Light" w:eastAsia="Calibri" w:hAnsi="Calibri Light" w:cs="Calibri Light"/>
          <w:szCs w:val="24"/>
          <w:lang w:val="ro-MD"/>
        </w:rPr>
        <w:t xml:space="preserve"> și reducere</w:t>
      </w:r>
      <w:r w:rsidR="00E819E0">
        <w:rPr>
          <w:rFonts w:ascii="Calibri Light" w:eastAsia="Calibri" w:hAnsi="Calibri Light" w:cs="Calibri Light"/>
          <w:szCs w:val="24"/>
          <w:lang w:val="ro-MD"/>
        </w:rPr>
        <w:t xml:space="preserve"> </w:t>
      </w:r>
      <w:r>
        <w:rPr>
          <w:rFonts w:ascii="Calibri Light" w:eastAsia="Calibri" w:hAnsi="Calibri Light" w:cs="Calibri Light"/>
          <w:szCs w:val="24"/>
          <w:lang w:val="ro-MD"/>
        </w:rPr>
        <w:t xml:space="preserve">a datoriilor cu termen de achitare expirat la împrumuturile recreditate de stat, </w:t>
      </w:r>
      <w:r w:rsidRPr="001019D3">
        <w:rPr>
          <w:rFonts w:ascii="Calibri Light" w:eastAsia="Calibri" w:hAnsi="Calibri Light" w:cs="Calibri Light"/>
          <w:szCs w:val="24"/>
          <w:lang w:val="ro-MD"/>
        </w:rPr>
        <w:t xml:space="preserve">persistă </w:t>
      </w:r>
      <w:r>
        <w:rPr>
          <w:rFonts w:ascii="Calibri Light" w:eastAsia="Calibri" w:hAnsi="Calibri Light" w:cs="Calibri Light"/>
          <w:szCs w:val="24"/>
          <w:lang w:val="ro-MD"/>
        </w:rPr>
        <w:t>în</w:t>
      </w:r>
      <w:r w:rsidR="001727A9">
        <w:rPr>
          <w:rFonts w:ascii="Calibri Light" w:eastAsia="Calibri" w:hAnsi="Calibri Light" w:cs="Calibri Light"/>
          <w:szCs w:val="24"/>
          <w:lang w:val="ro-MD"/>
        </w:rPr>
        <w:t xml:space="preserve"> </w:t>
      </w:r>
      <w:r>
        <w:rPr>
          <w:rFonts w:ascii="Calibri Light" w:eastAsia="Calibri" w:hAnsi="Calibri Light" w:cs="Calibri Light"/>
          <w:szCs w:val="24"/>
          <w:lang w:val="ro-MD"/>
        </w:rPr>
        <w:t>contin</w:t>
      </w:r>
      <w:r w:rsidR="00264804">
        <w:rPr>
          <w:rFonts w:ascii="Calibri Light" w:eastAsia="Calibri" w:hAnsi="Calibri Light" w:cs="Calibri Light"/>
          <w:szCs w:val="24"/>
          <w:lang w:val="ro-MD"/>
        </w:rPr>
        <w:t>u</w:t>
      </w:r>
      <w:r>
        <w:rPr>
          <w:rFonts w:ascii="Calibri Light" w:eastAsia="Calibri" w:hAnsi="Calibri Light" w:cs="Calibri Light"/>
          <w:szCs w:val="24"/>
          <w:lang w:val="ro-MD"/>
        </w:rPr>
        <w:t xml:space="preserve">are </w:t>
      </w:r>
      <w:r w:rsidRPr="001019D3">
        <w:rPr>
          <w:rFonts w:ascii="Calibri Light" w:eastAsia="Calibri" w:hAnsi="Calibri Light" w:cs="Calibri Light"/>
          <w:szCs w:val="24"/>
          <w:lang w:val="ro-MD"/>
        </w:rPr>
        <w:t xml:space="preserve">situația dificilă </w:t>
      </w:r>
      <w:r>
        <w:rPr>
          <w:rFonts w:ascii="Calibri Light" w:eastAsia="Calibri" w:hAnsi="Calibri Light" w:cs="Calibri Light"/>
          <w:szCs w:val="24"/>
          <w:lang w:val="ro-MD"/>
        </w:rPr>
        <w:t>de</w:t>
      </w:r>
      <w:r w:rsidRPr="001019D3">
        <w:rPr>
          <w:rFonts w:ascii="Calibri Light" w:eastAsia="Calibri" w:hAnsi="Calibri Light" w:cs="Calibri Light"/>
          <w:szCs w:val="24"/>
          <w:lang w:val="ro-MD"/>
        </w:rPr>
        <w:t xml:space="preserve"> ramburs</w:t>
      </w:r>
      <w:r>
        <w:rPr>
          <w:rFonts w:ascii="Calibri Light" w:eastAsia="Calibri" w:hAnsi="Calibri Light" w:cs="Calibri Light"/>
          <w:szCs w:val="24"/>
          <w:lang w:val="ro-MD"/>
        </w:rPr>
        <w:t>are</w:t>
      </w:r>
      <w:r w:rsidRPr="001019D3">
        <w:rPr>
          <w:rFonts w:ascii="Calibri Light" w:eastAsia="Calibri" w:hAnsi="Calibri Light" w:cs="Calibri Light"/>
          <w:szCs w:val="24"/>
          <w:lang w:val="ro-MD"/>
        </w:rPr>
        <w:t xml:space="preserve"> în bugetul de stat a mijloacelor recreditate. </w:t>
      </w:r>
      <w:bookmarkEnd w:id="24"/>
    </w:p>
    <w:p w14:paraId="4FE071CA" w14:textId="77777777" w:rsidR="009635E0" w:rsidRPr="009635E0" w:rsidRDefault="009635E0" w:rsidP="009635E0">
      <w:pPr>
        <w:spacing w:after="0" w:line="276" w:lineRule="auto"/>
        <w:jc w:val="both"/>
        <w:rPr>
          <w:rFonts w:ascii="Calibri Light" w:eastAsia="Calibri" w:hAnsi="Calibri Light" w:cs="Calibri Light"/>
          <w:szCs w:val="24"/>
          <w:lang w:val="ro-MD"/>
        </w:rPr>
      </w:pPr>
    </w:p>
    <w:p w14:paraId="5826D844" w14:textId="0D9ADCDC" w:rsidR="00306156" w:rsidRPr="00F37EE2" w:rsidRDefault="00653E1E" w:rsidP="00F37EE2">
      <w:pPr>
        <w:pStyle w:val="2"/>
        <w:numPr>
          <w:ilvl w:val="1"/>
          <w:numId w:val="14"/>
        </w:numPr>
        <w:tabs>
          <w:tab w:val="left" w:pos="426"/>
        </w:tabs>
        <w:spacing w:before="0" w:line="276" w:lineRule="auto"/>
        <w:ind w:left="0" w:firstLine="3"/>
        <w:jc w:val="both"/>
        <w:rPr>
          <w:sz w:val="24"/>
          <w:szCs w:val="24"/>
        </w:rPr>
      </w:pPr>
      <w:bookmarkStart w:id="32" w:name="_Toc47012286"/>
      <w:bookmarkStart w:id="33" w:name="_Toc75436456"/>
      <w:r w:rsidRPr="00F37EE2">
        <w:rPr>
          <w:sz w:val="24"/>
          <w:szCs w:val="24"/>
        </w:rPr>
        <w:t>Măsurile întreprinse în vederea implementării recomandărilor precedente ale Curții de Conturi</w:t>
      </w:r>
      <w:bookmarkEnd w:id="32"/>
      <w:bookmarkEnd w:id="33"/>
    </w:p>
    <w:p w14:paraId="03289274" w14:textId="1C982877" w:rsidR="00306156" w:rsidRDefault="00E819E0" w:rsidP="00F37EE2">
      <w:pPr>
        <w:spacing w:after="0" w:line="276" w:lineRule="auto"/>
        <w:jc w:val="both"/>
      </w:pPr>
      <w:r>
        <w:t>Analizând și generalizâ</w:t>
      </w:r>
      <w:r w:rsidR="00306156">
        <w:t xml:space="preserve">nd acțiunile întreprinse de MF </w:t>
      </w:r>
      <w:r>
        <w:t>pentru</w:t>
      </w:r>
      <w:r w:rsidR="00306156">
        <w:t xml:space="preserve"> implementarea reco</w:t>
      </w:r>
      <w:r>
        <w:t>mandărilor înaintate prin Hotărâ</w:t>
      </w:r>
      <w:r w:rsidR="00306156">
        <w:t xml:space="preserve">rea Curții de Conturi nr.39 din 28.07.2020 „Privind Raportul auditului performanței asupra managementului datoriei de stat, garanțiilor de stat și recreditării de stat în anul 2019” </w:t>
      </w:r>
      <w:r w:rsidR="009B0A92" w:rsidRPr="00015854">
        <w:t>(Anexa nr.5)</w:t>
      </w:r>
      <w:r>
        <w:t>,</w:t>
      </w:r>
      <w:r w:rsidR="009B0A92">
        <w:t xml:space="preserve"> </w:t>
      </w:r>
      <w:r w:rsidR="00306156">
        <w:t>auditul relevă următoarele:</w:t>
      </w:r>
    </w:p>
    <w:p w14:paraId="71F329F9" w14:textId="4CAA1034" w:rsidR="00306156" w:rsidRDefault="00E819E0" w:rsidP="00306156">
      <w:pPr>
        <w:pStyle w:val="a7"/>
        <w:numPr>
          <w:ilvl w:val="0"/>
          <w:numId w:val="8"/>
        </w:numPr>
        <w:spacing w:after="0"/>
        <w:jc w:val="both"/>
      </w:pPr>
      <w:r>
        <w:t>d</w:t>
      </w:r>
      <w:r w:rsidR="00306156">
        <w:t>in 2</w:t>
      </w:r>
      <w:r>
        <w:t xml:space="preserve"> recomandări înaintate în Hotărâ</w:t>
      </w:r>
      <w:r w:rsidR="00306156">
        <w:t xml:space="preserve">re, </w:t>
      </w:r>
      <w:r>
        <w:t xml:space="preserve">una </w:t>
      </w:r>
      <w:r w:rsidR="007D3AC1">
        <w:t>este executată și una parț</w:t>
      </w:r>
      <w:r w:rsidR="00306156">
        <w:t>ial executată;</w:t>
      </w:r>
    </w:p>
    <w:p w14:paraId="349C75F8" w14:textId="77777777" w:rsidR="007D3AC1" w:rsidRDefault="00E819E0" w:rsidP="00F45E34">
      <w:pPr>
        <w:pStyle w:val="a7"/>
        <w:numPr>
          <w:ilvl w:val="0"/>
          <w:numId w:val="8"/>
        </w:numPr>
        <w:spacing w:after="0"/>
        <w:jc w:val="both"/>
      </w:pPr>
      <w:r>
        <w:t>d</w:t>
      </w:r>
      <w:r w:rsidR="00306156">
        <w:t xml:space="preserve">in 5 recomandări înaintate în Raportul de audit, </w:t>
      </w:r>
      <w:r w:rsidR="00E4224D">
        <w:t xml:space="preserve">o recomandare se consideră implementată și 4 recomandări – parțial implementate. </w:t>
      </w:r>
    </w:p>
    <w:p w14:paraId="2E454F3F" w14:textId="476CFB09" w:rsidR="00F45E34" w:rsidRDefault="007D3AC1" w:rsidP="007D3AC1">
      <w:pPr>
        <w:spacing w:after="0"/>
        <w:jc w:val="both"/>
      </w:pPr>
      <w:r>
        <w:t>A</w:t>
      </w:r>
      <w:r w:rsidR="00E4224D">
        <w:t>uditul menționează că, deși MF monitorizează datoriile acumulate de beneficiarii recreditați și garantați, acestea sunt insuficiente, situații analogice fiind constatate și pentru anul 2020.</w:t>
      </w:r>
      <w:r>
        <w:t xml:space="preserve"> </w:t>
      </w:r>
      <w:r w:rsidR="00E4224D">
        <w:t>În acest context</w:t>
      </w:r>
      <w:r w:rsidR="00E819E0">
        <w:t>,</w:t>
      </w:r>
      <w:r w:rsidR="00F45E34" w:rsidRPr="00F45E34">
        <w:t xml:space="preserve"> prezența </w:t>
      </w:r>
      <w:r w:rsidR="00E4224D">
        <w:t xml:space="preserve">situațiilor </w:t>
      </w:r>
      <w:r w:rsidR="00E819E0">
        <w:t>analogice anilor precedenți</w:t>
      </w:r>
      <w:r w:rsidR="00F45E34" w:rsidRPr="00F45E34">
        <w:t xml:space="preserve"> </w:t>
      </w:r>
      <w:r w:rsidR="00E4224D">
        <w:t xml:space="preserve">a determinat auditul să </w:t>
      </w:r>
      <w:r w:rsidR="00E4224D">
        <w:lastRenderedPageBreak/>
        <w:t>reitereze recomandările parțial implementate din Raportul precedent</w:t>
      </w:r>
      <w:r w:rsidR="00F45E34" w:rsidRPr="00F45E34">
        <w:t xml:space="preserve"> </w:t>
      </w:r>
      <w:r w:rsidR="00953888">
        <w:t xml:space="preserve">în </w:t>
      </w:r>
      <w:r w:rsidR="00E819E0">
        <w:t xml:space="preserve">actualul </w:t>
      </w:r>
      <w:r w:rsidR="00F45E34" w:rsidRPr="00F45E34">
        <w:t xml:space="preserve">Raport de audit </w:t>
      </w:r>
      <w:r w:rsidR="00953888">
        <w:t xml:space="preserve">aferent </w:t>
      </w:r>
      <w:r w:rsidR="00E819E0">
        <w:t xml:space="preserve">anului </w:t>
      </w:r>
      <w:r w:rsidR="00953888">
        <w:t>2020.</w:t>
      </w:r>
    </w:p>
    <w:p w14:paraId="3AE75CA4" w14:textId="77777777" w:rsidR="007D3AC1" w:rsidRPr="00F45E34" w:rsidRDefault="007D3AC1" w:rsidP="007D3AC1">
      <w:pPr>
        <w:spacing w:after="0"/>
        <w:jc w:val="both"/>
      </w:pPr>
    </w:p>
    <w:p w14:paraId="2F229382" w14:textId="52DA2196" w:rsidR="006023D2" w:rsidRPr="004D383B" w:rsidRDefault="006023D2" w:rsidP="00E8597A">
      <w:pPr>
        <w:pStyle w:val="1"/>
        <w:numPr>
          <w:ilvl w:val="0"/>
          <w:numId w:val="12"/>
        </w:numPr>
        <w:spacing w:after="240"/>
        <w:ind w:left="709"/>
        <w:jc w:val="both"/>
      </w:pPr>
      <w:bookmarkStart w:id="34" w:name="_Toc47012287"/>
      <w:bookmarkStart w:id="35" w:name="_Toc75436457"/>
      <w:r w:rsidRPr="004D383B">
        <w:t>CONCLUZIA GENERALĂ</w:t>
      </w:r>
      <w:bookmarkEnd w:id="34"/>
      <w:bookmarkEnd w:id="35"/>
    </w:p>
    <w:p w14:paraId="7235D366" w14:textId="267011B6" w:rsidR="00E8597A" w:rsidRDefault="001742A5" w:rsidP="00E8597A">
      <w:pPr>
        <w:spacing w:after="240" w:line="276" w:lineRule="auto"/>
        <w:jc w:val="both"/>
        <w:rPr>
          <w:rFonts w:cstheme="majorHAnsi"/>
          <w:szCs w:val="24"/>
          <w:lang w:val="ro-MD"/>
        </w:rPr>
      </w:pPr>
      <w:r w:rsidRPr="009C1E7D">
        <w:rPr>
          <w:rFonts w:cstheme="majorHAnsi"/>
          <w:szCs w:val="24"/>
          <w:lang w:val="ro-MD"/>
        </w:rPr>
        <w:t>Misiunea de audit desfășurată a relevat că MF</w:t>
      </w:r>
      <w:r w:rsidR="005B39C7">
        <w:rPr>
          <w:rFonts w:cstheme="majorHAnsi"/>
          <w:szCs w:val="24"/>
          <w:lang w:val="ro-MD"/>
        </w:rPr>
        <w:t>,</w:t>
      </w:r>
      <w:r w:rsidRPr="009C1E7D">
        <w:rPr>
          <w:rFonts w:cstheme="majorHAnsi"/>
          <w:szCs w:val="24"/>
          <w:lang w:val="ro-MD"/>
        </w:rPr>
        <w:t xml:space="preserve"> pe parcursul anului 2020, a asigurat </w:t>
      </w:r>
      <w:r w:rsidRPr="009C1E7D">
        <w:t>gestionarea datoriei de</w:t>
      </w:r>
      <w:r w:rsidRPr="009C1E7D">
        <w:rPr>
          <w:lang w:val="ro-MD" w:eastAsia="ru-RU"/>
        </w:rPr>
        <w:t xml:space="preserve"> stat, garanțiilor de stat și recreditării de stat în confor</w:t>
      </w:r>
      <w:r w:rsidR="009C1E7D" w:rsidRPr="009C1E7D">
        <w:rPr>
          <w:lang w:val="ro-MD" w:eastAsia="ru-RU"/>
        </w:rPr>
        <w:t xml:space="preserve">mitate cu cadrul legal aferent, </w:t>
      </w:r>
      <w:r w:rsidR="00317523">
        <w:rPr>
          <w:lang w:val="ro-MD" w:eastAsia="ru-RU"/>
        </w:rPr>
        <w:t>fiind respectate limitele aprobat</w:t>
      </w:r>
      <w:r w:rsidR="005B39C7">
        <w:rPr>
          <w:lang w:val="ro-MD" w:eastAsia="ru-RU"/>
        </w:rPr>
        <w:t>e atâ</w:t>
      </w:r>
      <w:r w:rsidR="00317523">
        <w:rPr>
          <w:lang w:val="ro-MD" w:eastAsia="ru-RU"/>
        </w:rPr>
        <w:t>t prin Legea bugetară anu</w:t>
      </w:r>
      <w:r w:rsidR="001B112F">
        <w:rPr>
          <w:lang w:val="ro-MD" w:eastAsia="ru-RU"/>
        </w:rPr>
        <w:t>a</w:t>
      </w:r>
      <w:r w:rsidR="005B39C7">
        <w:rPr>
          <w:lang w:val="ro-MD" w:eastAsia="ru-RU"/>
        </w:rPr>
        <w:t>lă, câ</w:t>
      </w:r>
      <w:r w:rsidR="00317523">
        <w:rPr>
          <w:lang w:val="ro-MD" w:eastAsia="ru-RU"/>
        </w:rPr>
        <w:t>t și cele stabilite în Programul „Managementul datoriei de stat pe termen mediu (2020-2022)</w:t>
      </w:r>
      <w:r w:rsidR="005B39C7">
        <w:rPr>
          <w:lang w:val="ro-MD" w:eastAsia="ru-RU"/>
        </w:rPr>
        <w:t>”. Î</w:t>
      </w:r>
      <w:r w:rsidRPr="009C1E7D">
        <w:rPr>
          <w:rFonts w:cstheme="majorHAnsi"/>
          <w:szCs w:val="24"/>
          <w:lang w:val="ro-MD"/>
        </w:rPr>
        <w:t>n același timp,</w:t>
      </w:r>
      <w:r w:rsidR="005B39C7">
        <w:rPr>
          <w:rFonts w:cstheme="majorHAnsi"/>
          <w:szCs w:val="24"/>
          <w:lang w:val="ro-MD"/>
        </w:rPr>
        <w:t xml:space="preserve"> au fost</w:t>
      </w:r>
      <w:r w:rsidRPr="009C1E7D">
        <w:rPr>
          <w:rFonts w:cstheme="majorHAnsi"/>
          <w:szCs w:val="24"/>
          <w:lang w:val="ro-MD"/>
        </w:rPr>
        <w:t xml:space="preserve"> identificate </w:t>
      </w:r>
      <w:r w:rsidR="00FA2426">
        <w:rPr>
          <w:rFonts w:cstheme="majorHAnsi"/>
          <w:szCs w:val="24"/>
          <w:lang w:val="ro-MD"/>
        </w:rPr>
        <w:t xml:space="preserve">unele </w:t>
      </w:r>
      <w:r w:rsidR="00113163">
        <w:rPr>
          <w:rFonts w:cstheme="majorHAnsi"/>
          <w:szCs w:val="24"/>
          <w:lang w:val="ro-MD"/>
        </w:rPr>
        <w:t>problematici</w:t>
      </w:r>
      <w:r w:rsidR="00FA2426">
        <w:rPr>
          <w:rFonts w:cstheme="majorHAnsi"/>
          <w:szCs w:val="24"/>
          <w:lang w:val="ro-MD"/>
        </w:rPr>
        <w:t xml:space="preserve"> care se exprimă prin</w:t>
      </w:r>
      <w:r w:rsidR="009C1E7D">
        <w:rPr>
          <w:rFonts w:cstheme="majorHAnsi"/>
          <w:szCs w:val="24"/>
          <w:lang w:val="ro-MD"/>
        </w:rPr>
        <w:t>:</w:t>
      </w:r>
      <w:r w:rsidR="009C1E7D" w:rsidRPr="009C1E7D">
        <w:rPr>
          <w:rFonts w:cstheme="majorHAnsi"/>
          <w:szCs w:val="24"/>
          <w:lang w:val="ro-MD"/>
        </w:rPr>
        <w:t xml:space="preserve"> </w:t>
      </w:r>
      <w:r w:rsidR="00A2602A">
        <w:rPr>
          <w:rFonts w:cstheme="majorHAnsi"/>
          <w:szCs w:val="24"/>
          <w:lang w:val="ro-MD"/>
        </w:rPr>
        <w:t>prezența soldurilor considerabile ale datoriei debitorilor garantați pentru împrumuturile interne și externe și a</w:t>
      </w:r>
      <w:r w:rsidR="005B39C7">
        <w:rPr>
          <w:rFonts w:cstheme="majorHAnsi"/>
          <w:szCs w:val="24"/>
          <w:lang w:val="ro-MD"/>
        </w:rPr>
        <w:t>le</w:t>
      </w:r>
      <w:r w:rsidR="00A2602A">
        <w:rPr>
          <w:rFonts w:cstheme="majorHAnsi"/>
          <w:szCs w:val="24"/>
          <w:lang w:val="ro-MD"/>
        </w:rPr>
        <w:t xml:space="preserve"> beneficiarilor recreditați</w:t>
      </w:r>
      <w:r w:rsidR="00A62250">
        <w:rPr>
          <w:rFonts w:cstheme="majorHAnsi"/>
          <w:szCs w:val="24"/>
          <w:lang w:val="ro-MD"/>
        </w:rPr>
        <w:t>, care sunt în majoritate cu termenul de achitare expirat</w:t>
      </w:r>
      <w:r w:rsidR="00A2602A">
        <w:rPr>
          <w:rFonts w:cstheme="majorHAnsi"/>
          <w:szCs w:val="24"/>
          <w:lang w:val="ro-MD"/>
        </w:rPr>
        <w:t>; imposibilitatea rambursării de către unii agenți economici a mijloacelor recreditate care condiționează anulări anuale ale acestor datorii și suportarea unor cheltuieli neprevăzute din contul bugetului de stat, ceea ce prezintă un risc înalt de nerecuperare a mijloacelor dezafectate de la bugetul de stat pentru onorarea  obligațiunilor de stat; proiectele recreditate prin intermediul MF înregistrează un nivel redus al ratei de rec</w:t>
      </w:r>
      <w:r w:rsidR="00C827E4">
        <w:rPr>
          <w:rFonts w:cstheme="majorHAnsi"/>
          <w:szCs w:val="24"/>
          <w:lang w:val="ro-MD"/>
        </w:rPr>
        <w:t>uperare a resurselor financiare;</w:t>
      </w:r>
      <w:r w:rsidR="001B112F">
        <w:rPr>
          <w:rFonts w:cstheme="majorHAnsi"/>
          <w:szCs w:val="24"/>
          <w:lang w:val="ro-MD"/>
        </w:rPr>
        <w:t xml:space="preserve"> </w:t>
      </w:r>
      <w:r w:rsidR="0010473A">
        <w:rPr>
          <w:rFonts w:cstheme="majorHAnsi"/>
          <w:szCs w:val="24"/>
          <w:lang w:val="ro-MD"/>
        </w:rPr>
        <w:t xml:space="preserve">nivelul redus de restituire a datoriilor de către băncile aflate în proces de lichidare; </w:t>
      </w:r>
      <w:r w:rsidR="001B112F" w:rsidRPr="001B112F">
        <w:rPr>
          <w:rFonts w:cstheme="majorHAnsi"/>
          <w:szCs w:val="24"/>
          <w:lang w:val="ro-MD"/>
        </w:rPr>
        <w:t>nerespectarea de către instituțiile beneficiare a termenului de implementare a proiectelor</w:t>
      </w:r>
      <w:r w:rsidR="00A62250">
        <w:rPr>
          <w:rFonts w:cstheme="majorHAnsi"/>
          <w:szCs w:val="24"/>
          <w:lang w:val="ro-MD"/>
        </w:rPr>
        <w:t>, debursarea împrumuturilor are loc cu întîrziere în unele cazuri, iar achitarea comisioanelor se efectuiază din suma contractată și/sau nedebursată a împrumutului, ca rezultat fiind generate cheltuieli suplimentare la bugetul de stat.</w:t>
      </w:r>
    </w:p>
    <w:p w14:paraId="34644B29" w14:textId="77777777" w:rsidR="00E8597A" w:rsidRDefault="00E8597A" w:rsidP="00E8597A">
      <w:pPr>
        <w:spacing w:after="0" w:line="276" w:lineRule="auto"/>
        <w:jc w:val="both"/>
        <w:rPr>
          <w:rFonts w:cstheme="majorHAnsi"/>
          <w:szCs w:val="24"/>
          <w:lang w:val="ro-MD"/>
        </w:rPr>
      </w:pPr>
    </w:p>
    <w:p w14:paraId="1420DEE2" w14:textId="7C2CFC90" w:rsidR="00DA0C6B" w:rsidRDefault="009C1E7D" w:rsidP="00E8597A">
      <w:pPr>
        <w:spacing w:after="0" w:line="276" w:lineRule="auto"/>
        <w:jc w:val="both"/>
        <w:rPr>
          <w:lang w:val="ro-MD" w:eastAsia="ru-RU"/>
        </w:rPr>
      </w:pPr>
      <w:r>
        <w:rPr>
          <w:rFonts w:cstheme="majorHAnsi"/>
          <w:szCs w:val="24"/>
          <w:lang w:val="ro-MD"/>
        </w:rPr>
        <w:t>În acest context, audit</w:t>
      </w:r>
      <w:r w:rsidR="0054246E">
        <w:rPr>
          <w:rFonts w:cstheme="majorHAnsi"/>
          <w:szCs w:val="24"/>
          <w:lang w:val="ro-MD"/>
        </w:rPr>
        <w:t>ul</w:t>
      </w:r>
      <w:r>
        <w:rPr>
          <w:rFonts w:cstheme="majorHAnsi"/>
          <w:szCs w:val="24"/>
          <w:lang w:val="ro-MD"/>
        </w:rPr>
        <w:t xml:space="preserve"> menționează că, d</w:t>
      </w:r>
      <w:r w:rsidRPr="00E5668B">
        <w:rPr>
          <w:lang w:val="ro-MD" w:eastAsia="ru-RU"/>
        </w:rPr>
        <w:t xml:space="preserve">eși MF dispune de mecanisme de clasificare a datoriilor debitorilor recreditați </w:t>
      </w:r>
      <w:r w:rsidR="0054246E">
        <w:rPr>
          <w:lang w:val="ro-MD" w:eastAsia="ru-RU"/>
        </w:rPr>
        <w:t>și garantați</w:t>
      </w:r>
      <w:r w:rsidR="005B39C7">
        <w:rPr>
          <w:lang w:val="ro-MD" w:eastAsia="ru-RU"/>
        </w:rPr>
        <w:t xml:space="preserve"> </w:t>
      </w:r>
      <w:r w:rsidRPr="00E5668B">
        <w:rPr>
          <w:lang w:val="ro-MD" w:eastAsia="ru-RU"/>
        </w:rPr>
        <w:t>în funcție de ri</w:t>
      </w:r>
      <w:r w:rsidR="005B39C7">
        <w:rPr>
          <w:lang w:val="ro-MD" w:eastAsia="ru-RU"/>
        </w:rPr>
        <w:t>scul de nerambursare a acestora</w:t>
      </w:r>
      <w:r w:rsidRPr="00E5668B">
        <w:rPr>
          <w:lang w:val="ro-MD" w:eastAsia="ru-RU"/>
        </w:rPr>
        <w:t xml:space="preserve"> și întreprinde măsuri </w:t>
      </w:r>
      <w:r w:rsidR="005B39C7">
        <w:rPr>
          <w:lang w:val="ro-MD" w:eastAsia="ru-RU"/>
        </w:rPr>
        <w:t xml:space="preserve">de </w:t>
      </w:r>
      <w:r w:rsidRPr="00E5668B">
        <w:rPr>
          <w:lang w:val="ro-MD" w:eastAsia="ru-RU"/>
        </w:rPr>
        <w:t>neadmitere</w:t>
      </w:r>
      <w:r w:rsidR="005B39C7">
        <w:rPr>
          <w:lang w:val="ro-MD" w:eastAsia="ru-RU"/>
        </w:rPr>
        <w:t xml:space="preserve"> </w:t>
      </w:r>
      <w:r w:rsidRPr="00E5668B">
        <w:rPr>
          <w:lang w:val="ro-MD" w:eastAsia="ru-RU"/>
        </w:rPr>
        <w:t>și reducere</w:t>
      </w:r>
      <w:r w:rsidR="005B39C7">
        <w:rPr>
          <w:lang w:val="ro-MD" w:eastAsia="ru-RU"/>
        </w:rPr>
        <w:t xml:space="preserve"> </w:t>
      </w:r>
      <w:r w:rsidRPr="00E5668B">
        <w:rPr>
          <w:lang w:val="ro-MD" w:eastAsia="ru-RU"/>
        </w:rPr>
        <w:t>a datoriilor cu termen de achitare expirat la împrumuturile recreditate de stat, persistă în</w:t>
      </w:r>
      <w:r>
        <w:rPr>
          <w:lang w:val="ro-MD" w:eastAsia="ru-RU"/>
        </w:rPr>
        <w:t xml:space="preserve"> </w:t>
      </w:r>
      <w:r w:rsidRPr="00E5668B">
        <w:rPr>
          <w:lang w:val="ro-MD" w:eastAsia="ru-RU"/>
        </w:rPr>
        <w:t>contin</w:t>
      </w:r>
      <w:r w:rsidR="007A0A93">
        <w:rPr>
          <w:lang w:val="ro-MD" w:eastAsia="ru-RU"/>
        </w:rPr>
        <w:t>u</w:t>
      </w:r>
      <w:r w:rsidRPr="00E5668B">
        <w:rPr>
          <w:lang w:val="ro-MD" w:eastAsia="ru-RU"/>
        </w:rPr>
        <w:t>are situația dificilă de rambursare în bugetul de stat a mijloacelor recreditate.</w:t>
      </w:r>
      <w:r>
        <w:rPr>
          <w:lang w:val="ro-MD" w:eastAsia="ru-RU"/>
        </w:rPr>
        <w:t xml:space="preserve"> </w:t>
      </w:r>
      <w:r>
        <w:rPr>
          <w:rFonts w:cstheme="majorHAnsi"/>
          <w:szCs w:val="24"/>
          <w:lang w:val="ro-MD"/>
        </w:rPr>
        <w:t>Totodată,</w:t>
      </w:r>
      <w:r w:rsidRPr="00E5668B">
        <w:rPr>
          <w:lang w:val="ro-MD" w:eastAsia="ru-RU"/>
        </w:rPr>
        <w:t xml:space="preserve"> creșterea continuă a datoriei de stat și recurgerea în proporție mai mare l</w:t>
      </w:r>
      <w:r w:rsidR="005B39C7">
        <w:rPr>
          <w:lang w:val="ro-MD" w:eastAsia="ru-RU"/>
        </w:rPr>
        <w:t xml:space="preserve">a sursele externe de finanțare </w:t>
      </w:r>
      <w:r w:rsidRPr="00E5668B">
        <w:rPr>
          <w:lang w:val="ro-MD" w:eastAsia="ru-RU"/>
        </w:rPr>
        <w:t xml:space="preserve">va atrage după sine, </w:t>
      </w:r>
      <w:r w:rsidR="005B39C7">
        <w:rPr>
          <w:lang w:val="ro-MD" w:eastAsia="ru-RU"/>
        </w:rPr>
        <w:t>în mod inevitabil, sporirea dobâ</w:t>
      </w:r>
      <w:r w:rsidRPr="00E5668B">
        <w:rPr>
          <w:lang w:val="ro-MD" w:eastAsia="ru-RU"/>
        </w:rPr>
        <w:t>nzilor aferente, precum și a cheltuielilor totale ale bugetului de stat pentru anii următori și, ca urmare, revizuirea politicii bugetar-fiscale axat</w:t>
      </w:r>
      <w:r w:rsidR="00AE03B5">
        <w:rPr>
          <w:lang w:val="ro-MD" w:eastAsia="ru-RU"/>
        </w:rPr>
        <w:t>e</w:t>
      </w:r>
      <w:r w:rsidRPr="00E5668B">
        <w:rPr>
          <w:lang w:val="ro-MD" w:eastAsia="ru-RU"/>
        </w:rPr>
        <w:t xml:space="preserve"> pe</w:t>
      </w:r>
      <w:r w:rsidR="00AE03B5">
        <w:rPr>
          <w:lang w:val="ro-MD" w:eastAsia="ru-RU"/>
        </w:rPr>
        <w:t xml:space="preserve"> sporirea înca</w:t>
      </w:r>
      <w:r w:rsidR="00AE03B5">
        <w:rPr>
          <w:lang w:val="ro-MD" w:eastAsia="ru-RU"/>
        </w:rPr>
        <w:lastRenderedPageBreak/>
        <w:t xml:space="preserve">sărilor la buget </w:t>
      </w:r>
      <w:r w:rsidRPr="00E5668B">
        <w:rPr>
          <w:lang w:val="ro-MD" w:eastAsia="ru-RU"/>
        </w:rPr>
        <w:t xml:space="preserve">sau reducerea/căutarea rezervelor de diminuare a cheltuielilor, pentru a satisface necesitățile de resurse </w:t>
      </w:r>
      <w:r w:rsidR="00AE03B5">
        <w:rPr>
          <w:lang w:val="ro-MD" w:eastAsia="ru-RU"/>
        </w:rPr>
        <w:t>în vederea</w:t>
      </w:r>
      <w:r w:rsidRPr="00E5668B">
        <w:rPr>
          <w:lang w:val="ro-MD" w:eastAsia="ru-RU"/>
        </w:rPr>
        <w:t xml:space="preserve"> ramburs</w:t>
      </w:r>
      <w:r w:rsidR="00AE03B5">
        <w:rPr>
          <w:lang w:val="ro-MD" w:eastAsia="ru-RU"/>
        </w:rPr>
        <w:t>ării</w:t>
      </w:r>
      <w:r w:rsidRPr="00E5668B">
        <w:rPr>
          <w:lang w:val="ro-MD" w:eastAsia="ru-RU"/>
        </w:rPr>
        <w:t>/achit</w:t>
      </w:r>
      <w:r w:rsidR="00AE03B5">
        <w:rPr>
          <w:lang w:val="ro-MD" w:eastAsia="ru-RU"/>
        </w:rPr>
        <w:t>ării</w:t>
      </w:r>
      <w:r w:rsidRPr="00E5668B">
        <w:rPr>
          <w:lang w:val="ro-MD" w:eastAsia="ru-RU"/>
        </w:rPr>
        <w:t xml:space="preserve"> datoriilor de stat asumate.</w:t>
      </w:r>
      <w:r w:rsidR="00DA0C6B">
        <w:rPr>
          <w:lang w:val="ro-MD" w:eastAsia="ru-RU"/>
        </w:rPr>
        <w:t xml:space="preserve"> În contextul celor relatate, se denotă că managementul datoriei de stat, garanțiilor de stat și recreditării de stat, necesită îmbunătățiri </w:t>
      </w:r>
      <w:r w:rsidR="00FA2426">
        <w:rPr>
          <w:lang w:val="ro-MD" w:eastAsia="ru-RU"/>
        </w:rPr>
        <w:t>continue</w:t>
      </w:r>
      <w:r w:rsidR="00AE03B5">
        <w:rPr>
          <w:lang w:val="ro-MD" w:eastAsia="ru-RU"/>
        </w:rPr>
        <w:t>.</w:t>
      </w:r>
      <w:r w:rsidR="00DA0C6B">
        <w:rPr>
          <w:lang w:val="ro-MD" w:eastAsia="ru-RU"/>
        </w:rPr>
        <w:t xml:space="preserve"> </w:t>
      </w:r>
    </w:p>
    <w:p w14:paraId="64E20A09" w14:textId="77777777" w:rsidR="00E8597A" w:rsidRPr="00DA0C6B" w:rsidRDefault="00E8597A" w:rsidP="00E8597A">
      <w:pPr>
        <w:spacing w:after="0" w:line="276" w:lineRule="auto"/>
        <w:jc w:val="both"/>
        <w:rPr>
          <w:lang w:val="ro-MD" w:eastAsia="ru-RU"/>
        </w:rPr>
      </w:pPr>
    </w:p>
    <w:p w14:paraId="563515B7" w14:textId="17D8407F" w:rsidR="004D383B" w:rsidRPr="00C40E36" w:rsidRDefault="004D383B" w:rsidP="0054246E">
      <w:pPr>
        <w:spacing w:line="276" w:lineRule="auto"/>
        <w:jc w:val="both"/>
        <w:rPr>
          <w:highlight w:val="yellow"/>
        </w:rPr>
      </w:pPr>
      <w:r w:rsidRPr="00465CE2">
        <w:t>Totodată, echipa de audit menționează că observațiile de audit au fost aduse la cunoștință conducerii și</w:t>
      </w:r>
      <w:r w:rsidR="006300B5">
        <w:t xml:space="preserve"> responsabililor din cadrul MF prin poșta electronic</w:t>
      </w:r>
      <w:r w:rsidR="0039192E">
        <w:t>ă</w:t>
      </w:r>
      <w:r w:rsidR="006300B5">
        <w:t>. Comentariile și explicațiile din partea MF, care au fost transmise echipei de audit</w:t>
      </w:r>
      <w:r w:rsidR="00AE03B5">
        <w:t xml:space="preserve"> la fel prin poșta electronică,</w:t>
      </w:r>
      <w:r w:rsidR="006300B5">
        <w:t xml:space="preserve"> au fost luate în considerare la întocmirea variantei finale a proiectului Rapor</w:t>
      </w:r>
      <w:r w:rsidR="005013B2">
        <w:t xml:space="preserve">tului de audit. </w:t>
      </w:r>
      <w:r w:rsidR="0039192E" w:rsidRPr="004C12EC">
        <w:rPr>
          <w:rFonts w:cstheme="majorHAnsi"/>
          <w:szCs w:val="24"/>
          <w:lang w:val="ro-MD"/>
        </w:rPr>
        <w:t xml:space="preserve">Referitor la recomandările de audit, conducerea </w:t>
      </w:r>
      <w:r w:rsidR="0039192E">
        <w:rPr>
          <w:rFonts w:cstheme="majorHAnsi"/>
          <w:szCs w:val="24"/>
          <w:lang w:val="ro-MD"/>
        </w:rPr>
        <w:t>MF</w:t>
      </w:r>
      <w:r w:rsidR="0039192E" w:rsidRPr="004C12EC">
        <w:rPr>
          <w:rFonts w:cstheme="majorHAnsi"/>
          <w:szCs w:val="24"/>
          <w:lang w:val="ro-MD"/>
        </w:rPr>
        <w:t xml:space="preserve"> nu a avut obiecții, acestea fiind considerate relevante și implementabile.</w:t>
      </w:r>
    </w:p>
    <w:p w14:paraId="434C4028" w14:textId="668300F9" w:rsidR="00BA41AA" w:rsidRPr="007A609D" w:rsidRDefault="006023D2" w:rsidP="007A609D">
      <w:pPr>
        <w:pStyle w:val="1"/>
        <w:numPr>
          <w:ilvl w:val="0"/>
          <w:numId w:val="12"/>
        </w:numPr>
        <w:tabs>
          <w:tab w:val="left" w:pos="567"/>
          <w:tab w:val="left" w:pos="709"/>
        </w:tabs>
        <w:ind w:hanging="1080"/>
        <w:jc w:val="both"/>
      </w:pPr>
      <w:bookmarkStart w:id="36" w:name="_Toc47012288"/>
      <w:bookmarkStart w:id="37" w:name="_Toc75436458"/>
      <w:r w:rsidRPr="007A609D">
        <w:t>RECOMANDĂRI</w:t>
      </w:r>
      <w:r w:rsidR="00D014CC" w:rsidRPr="007A609D">
        <w:t xml:space="preserve"> MINISTERULUI FINANȚELOR</w:t>
      </w:r>
      <w:bookmarkEnd w:id="36"/>
      <w:bookmarkEnd w:id="37"/>
    </w:p>
    <w:p w14:paraId="5F46045D" w14:textId="1A0C66B6" w:rsidR="00BA41AA" w:rsidRPr="007A609D" w:rsidRDefault="00551587" w:rsidP="00FB1205">
      <w:pPr>
        <w:pStyle w:val="af3"/>
        <w:numPr>
          <w:ilvl w:val="0"/>
          <w:numId w:val="7"/>
        </w:numPr>
        <w:spacing w:line="276" w:lineRule="auto"/>
        <w:ind w:left="0" w:firstLine="0"/>
        <w:jc w:val="both"/>
        <w:rPr>
          <w:rFonts w:asciiTheme="majorHAnsi" w:hAnsiTheme="majorHAnsi" w:cstheme="majorHAnsi"/>
          <w:sz w:val="24"/>
          <w:szCs w:val="24"/>
          <w:lang w:val="ro-RO" w:eastAsia="ru-RU"/>
        </w:rPr>
      </w:pPr>
      <w:r w:rsidRPr="007A609D">
        <w:rPr>
          <w:rFonts w:asciiTheme="majorHAnsi" w:hAnsiTheme="majorHAnsi" w:cstheme="majorHAnsi"/>
          <w:sz w:val="24"/>
          <w:szCs w:val="24"/>
          <w:lang w:val="ro-RO" w:eastAsia="ru-RU"/>
        </w:rPr>
        <w:t>Să asigur</w:t>
      </w:r>
      <w:r w:rsidR="00215B49" w:rsidRPr="007A609D">
        <w:rPr>
          <w:rFonts w:asciiTheme="majorHAnsi" w:hAnsiTheme="majorHAnsi" w:cstheme="majorHAnsi"/>
          <w:sz w:val="24"/>
          <w:szCs w:val="24"/>
          <w:lang w:val="ro-RO" w:eastAsia="ru-RU"/>
        </w:rPr>
        <w:t xml:space="preserve">e în continuare </w:t>
      </w:r>
      <w:r w:rsidRPr="007A609D">
        <w:rPr>
          <w:rFonts w:asciiTheme="majorHAnsi" w:hAnsiTheme="majorHAnsi" w:cstheme="majorHAnsi"/>
          <w:sz w:val="24"/>
          <w:szCs w:val="24"/>
          <w:lang w:val="ro-RO" w:eastAsia="ru-RU"/>
        </w:rPr>
        <w:t>controlul asupra expunerii portofoliului datoriei de stat la riscurile de rată a dobânzii, de refinanțare și valutar</w:t>
      </w:r>
      <w:r w:rsidR="00606269" w:rsidRPr="007A609D">
        <w:rPr>
          <w:rFonts w:asciiTheme="majorHAnsi" w:hAnsiTheme="majorHAnsi" w:cstheme="majorHAnsi"/>
          <w:sz w:val="24"/>
          <w:szCs w:val="24"/>
          <w:lang w:val="ro-RO" w:eastAsia="ru-RU"/>
        </w:rPr>
        <w:t>e</w:t>
      </w:r>
      <w:r w:rsidR="00912106">
        <w:rPr>
          <w:rFonts w:asciiTheme="majorHAnsi" w:hAnsiTheme="majorHAnsi" w:cstheme="majorHAnsi"/>
          <w:sz w:val="24"/>
          <w:szCs w:val="24"/>
          <w:lang w:val="ro-RO" w:eastAsia="ru-RU"/>
        </w:rPr>
        <w:t xml:space="preserve"> (pct. 4.1.1.)</w:t>
      </w:r>
      <w:r w:rsidRPr="007A609D">
        <w:rPr>
          <w:rFonts w:asciiTheme="majorHAnsi" w:hAnsiTheme="majorHAnsi" w:cstheme="majorHAnsi"/>
          <w:sz w:val="24"/>
          <w:szCs w:val="24"/>
          <w:lang w:val="ro-RO" w:eastAsia="ru-RU"/>
        </w:rPr>
        <w:t>;</w:t>
      </w:r>
    </w:p>
    <w:p w14:paraId="1C2248B7" w14:textId="23D8B130" w:rsidR="00D20722" w:rsidRPr="007A609D" w:rsidRDefault="00D20722" w:rsidP="00FB1205">
      <w:pPr>
        <w:pStyle w:val="af3"/>
        <w:numPr>
          <w:ilvl w:val="0"/>
          <w:numId w:val="7"/>
        </w:numPr>
        <w:spacing w:line="276" w:lineRule="auto"/>
        <w:ind w:left="0" w:firstLine="0"/>
        <w:jc w:val="both"/>
        <w:rPr>
          <w:rFonts w:asciiTheme="majorHAnsi" w:hAnsiTheme="majorHAnsi" w:cstheme="majorHAnsi"/>
          <w:sz w:val="24"/>
          <w:szCs w:val="24"/>
          <w:lang w:val="ro-RO" w:eastAsia="ru-RU"/>
        </w:rPr>
      </w:pPr>
      <w:r w:rsidRPr="007A609D">
        <w:rPr>
          <w:rFonts w:asciiTheme="majorHAnsi" w:hAnsiTheme="majorHAnsi" w:cstheme="majorHAnsi"/>
          <w:sz w:val="24"/>
          <w:szCs w:val="24"/>
          <w:lang w:val="ro-RO" w:eastAsia="ru-RU"/>
        </w:rPr>
        <w:t>Să asigure</w:t>
      </w:r>
      <w:r w:rsidR="00215B49" w:rsidRPr="007A609D">
        <w:rPr>
          <w:rFonts w:asciiTheme="majorHAnsi" w:hAnsiTheme="majorHAnsi" w:cstheme="majorHAnsi"/>
          <w:sz w:val="24"/>
          <w:szCs w:val="24"/>
          <w:lang w:val="ro-RO" w:eastAsia="ru-RU"/>
        </w:rPr>
        <w:t xml:space="preserve"> în continuare</w:t>
      </w:r>
      <w:r w:rsidRPr="007A609D">
        <w:rPr>
          <w:rFonts w:asciiTheme="majorHAnsi" w:hAnsiTheme="majorHAnsi" w:cstheme="majorHAnsi"/>
          <w:sz w:val="24"/>
          <w:szCs w:val="24"/>
          <w:lang w:val="ro-RO" w:eastAsia="ru-RU"/>
        </w:rPr>
        <w:t xml:space="preserve"> diversificarea </w:t>
      </w:r>
      <w:r w:rsidR="006300B5">
        <w:rPr>
          <w:rFonts w:asciiTheme="majorHAnsi" w:hAnsiTheme="majorHAnsi" w:cstheme="majorHAnsi"/>
          <w:sz w:val="24"/>
          <w:szCs w:val="24"/>
          <w:lang w:val="ro-RO" w:eastAsia="ru-RU"/>
        </w:rPr>
        <w:t>instrumentelor</w:t>
      </w:r>
      <w:r w:rsidR="001602ED" w:rsidRPr="007A609D">
        <w:rPr>
          <w:rFonts w:asciiTheme="majorHAnsi" w:hAnsiTheme="majorHAnsi" w:cstheme="majorHAnsi"/>
          <w:sz w:val="24"/>
          <w:szCs w:val="24"/>
          <w:lang w:val="ro-RO" w:eastAsia="ru-RU"/>
        </w:rPr>
        <w:t xml:space="preserve"> de vânzare a </w:t>
      </w:r>
      <w:r w:rsidR="00AE03B5">
        <w:rPr>
          <w:rFonts w:asciiTheme="majorHAnsi" w:hAnsiTheme="majorHAnsi" w:cstheme="majorHAnsi"/>
          <w:sz w:val="24"/>
          <w:szCs w:val="24"/>
          <w:lang w:val="ro-RO" w:eastAsia="ru-RU"/>
        </w:rPr>
        <w:t xml:space="preserve">instrumentelor </w:t>
      </w:r>
      <w:r w:rsidRPr="007A609D">
        <w:rPr>
          <w:rFonts w:asciiTheme="majorHAnsi" w:hAnsiTheme="majorHAnsi" w:cstheme="majorHAnsi"/>
          <w:sz w:val="24"/>
          <w:szCs w:val="24"/>
          <w:lang w:val="ro-RO" w:eastAsia="ru-RU"/>
        </w:rPr>
        <w:t>datoriei de stat intern</w:t>
      </w:r>
      <w:r w:rsidR="00606269" w:rsidRPr="007A609D">
        <w:rPr>
          <w:rFonts w:asciiTheme="majorHAnsi" w:hAnsiTheme="majorHAnsi" w:cstheme="majorHAnsi"/>
          <w:sz w:val="24"/>
          <w:szCs w:val="24"/>
          <w:lang w:val="ro-RO" w:eastAsia="ru-RU"/>
        </w:rPr>
        <w:t>e</w:t>
      </w:r>
      <w:r w:rsidRPr="007A609D">
        <w:rPr>
          <w:rFonts w:asciiTheme="majorHAnsi" w:hAnsiTheme="majorHAnsi" w:cstheme="majorHAnsi"/>
          <w:sz w:val="24"/>
          <w:szCs w:val="24"/>
          <w:lang w:val="ro-RO" w:eastAsia="ru-RU"/>
        </w:rPr>
        <w:t xml:space="preserve"> către potențialii investitori</w:t>
      </w:r>
      <w:r w:rsidR="00912106">
        <w:rPr>
          <w:rFonts w:asciiTheme="majorHAnsi" w:hAnsiTheme="majorHAnsi" w:cstheme="majorHAnsi"/>
          <w:sz w:val="24"/>
          <w:szCs w:val="24"/>
          <w:lang w:val="ro-RO" w:eastAsia="ru-RU"/>
        </w:rPr>
        <w:t xml:space="preserve"> (pct. 4.1.2)</w:t>
      </w:r>
      <w:r w:rsidRPr="007A609D">
        <w:rPr>
          <w:rFonts w:asciiTheme="majorHAnsi" w:hAnsiTheme="majorHAnsi" w:cstheme="majorHAnsi"/>
          <w:sz w:val="24"/>
          <w:szCs w:val="24"/>
          <w:lang w:val="ro-RO" w:eastAsia="ru-RU"/>
        </w:rPr>
        <w:t>;</w:t>
      </w:r>
    </w:p>
    <w:p w14:paraId="2B42333B" w14:textId="65648EE6" w:rsidR="009C7EEF" w:rsidRDefault="00D20722" w:rsidP="00FB1205">
      <w:pPr>
        <w:pStyle w:val="af3"/>
        <w:numPr>
          <w:ilvl w:val="0"/>
          <w:numId w:val="7"/>
        </w:numPr>
        <w:spacing w:line="276" w:lineRule="auto"/>
        <w:ind w:left="0" w:firstLine="0"/>
        <w:jc w:val="both"/>
        <w:rPr>
          <w:rFonts w:asciiTheme="majorHAnsi" w:hAnsiTheme="majorHAnsi" w:cstheme="majorHAnsi"/>
          <w:sz w:val="24"/>
          <w:szCs w:val="24"/>
          <w:lang w:val="ro-RO" w:eastAsia="ru-RU"/>
        </w:rPr>
      </w:pPr>
      <w:r w:rsidRPr="007A609D">
        <w:rPr>
          <w:rFonts w:asciiTheme="majorHAnsi" w:hAnsiTheme="majorHAnsi" w:cstheme="majorHAnsi"/>
          <w:sz w:val="24"/>
          <w:szCs w:val="24"/>
          <w:lang w:val="ro-RO" w:eastAsia="ru-RU"/>
        </w:rPr>
        <w:t xml:space="preserve">Să asigure </w:t>
      </w:r>
      <w:r w:rsidR="00215B49" w:rsidRPr="007A609D">
        <w:rPr>
          <w:rFonts w:asciiTheme="majorHAnsi" w:hAnsiTheme="majorHAnsi" w:cstheme="majorHAnsi"/>
          <w:sz w:val="24"/>
          <w:szCs w:val="24"/>
          <w:lang w:val="ro-RO" w:eastAsia="ru-RU"/>
        </w:rPr>
        <w:t>în continuare</w:t>
      </w:r>
      <w:r w:rsidR="00A2602A" w:rsidRPr="007A609D">
        <w:rPr>
          <w:rFonts w:asciiTheme="majorHAnsi" w:hAnsiTheme="majorHAnsi" w:cstheme="majorHAnsi"/>
          <w:sz w:val="24"/>
          <w:szCs w:val="24"/>
          <w:lang w:val="ro-RO" w:eastAsia="ru-RU"/>
        </w:rPr>
        <w:t>, în comun cu organele de competență,</w:t>
      </w:r>
      <w:r w:rsidR="00215B49" w:rsidRPr="007A609D">
        <w:rPr>
          <w:rFonts w:asciiTheme="majorHAnsi" w:hAnsiTheme="majorHAnsi" w:cstheme="majorHAnsi"/>
          <w:sz w:val="24"/>
          <w:szCs w:val="24"/>
          <w:lang w:val="ro-RO" w:eastAsia="ru-RU"/>
        </w:rPr>
        <w:t xml:space="preserve"> </w:t>
      </w:r>
      <w:r w:rsidRPr="007A609D">
        <w:rPr>
          <w:rFonts w:asciiTheme="majorHAnsi" w:hAnsiTheme="majorHAnsi" w:cstheme="majorHAnsi"/>
          <w:sz w:val="24"/>
          <w:szCs w:val="24"/>
          <w:lang w:val="ro-RO" w:eastAsia="ru-RU"/>
        </w:rPr>
        <w:t xml:space="preserve">întreprinderea </w:t>
      </w:r>
      <w:r w:rsidR="00A2602A" w:rsidRPr="007A609D">
        <w:rPr>
          <w:rFonts w:asciiTheme="majorHAnsi" w:hAnsiTheme="majorHAnsi" w:cstheme="majorHAnsi"/>
          <w:sz w:val="24"/>
          <w:szCs w:val="24"/>
          <w:lang w:val="ro-RO" w:eastAsia="ru-RU"/>
        </w:rPr>
        <w:t xml:space="preserve">unor </w:t>
      </w:r>
      <w:r w:rsidRPr="007A609D">
        <w:rPr>
          <w:rFonts w:asciiTheme="majorHAnsi" w:hAnsiTheme="majorHAnsi" w:cstheme="majorHAnsi"/>
          <w:sz w:val="24"/>
          <w:szCs w:val="24"/>
          <w:lang w:val="ro-RO" w:eastAsia="ru-RU"/>
        </w:rPr>
        <w:t>măsuri</w:t>
      </w:r>
      <w:r w:rsidR="00A2602A" w:rsidRPr="007A609D">
        <w:rPr>
          <w:rFonts w:asciiTheme="majorHAnsi" w:hAnsiTheme="majorHAnsi" w:cstheme="majorHAnsi"/>
          <w:sz w:val="24"/>
          <w:szCs w:val="24"/>
          <w:lang w:val="ro-RO" w:eastAsia="ru-RU"/>
        </w:rPr>
        <w:t xml:space="preserve"> rezultative</w:t>
      </w:r>
      <w:r w:rsidRPr="007A609D">
        <w:rPr>
          <w:rFonts w:asciiTheme="majorHAnsi" w:hAnsiTheme="majorHAnsi" w:cstheme="majorHAnsi"/>
          <w:sz w:val="24"/>
          <w:szCs w:val="24"/>
          <w:lang w:val="ro-RO" w:eastAsia="ru-RU"/>
        </w:rPr>
        <w:t xml:space="preserve"> în vederea recuperării la bugetul de stat a datoriilor</w:t>
      </w:r>
      <w:r w:rsidR="00A2602A" w:rsidRPr="007A609D">
        <w:rPr>
          <w:rFonts w:asciiTheme="majorHAnsi" w:hAnsiTheme="majorHAnsi" w:cstheme="majorHAnsi"/>
          <w:sz w:val="24"/>
          <w:szCs w:val="24"/>
          <w:lang w:val="ro-RO" w:eastAsia="ru-RU"/>
        </w:rPr>
        <w:t xml:space="preserve"> beneficiarilor </w:t>
      </w:r>
      <w:r w:rsidR="00912106">
        <w:rPr>
          <w:rFonts w:asciiTheme="majorHAnsi" w:hAnsiTheme="majorHAnsi" w:cstheme="majorHAnsi"/>
          <w:sz w:val="24"/>
          <w:szCs w:val="24"/>
          <w:lang w:val="ro-RO" w:eastAsia="ru-RU"/>
        </w:rPr>
        <w:t xml:space="preserve">garantați și </w:t>
      </w:r>
      <w:r w:rsidR="00A2602A" w:rsidRPr="007A609D">
        <w:rPr>
          <w:rFonts w:asciiTheme="majorHAnsi" w:hAnsiTheme="majorHAnsi" w:cstheme="majorHAnsi"/>
          <w:sz w:val="24"/>
          <w:szCs w:val="24"/>
          <w:lang w:val="ro-RO" w:eastAsia="ru-RU"/>
        </w:rPr>
        <w:t>recreditați, în special a datoriilor</w:t>
      </w:r>
      <w:r w:rsidRPr="007A609D">
        <w:rPr>
          <w:rFonts w:asciiTheme="majorHAnsi" w:hAnsiTheme="majorHAnsi" w:cstheme="majorHAnsi"/>
          <w:sz w:val="24"/>
          <w:szCs w:val="24"/>
          <w:lang w:val="ro-RO" w:eastAsia="ru-RU"/>
        </w:rPr>
        <w:t xml:space="preserve"> cu termen</w:t>
      </w:r>
      <w:r w:rsidR="00D014CC" w:rsidRPr="007A609D">
        <w:rPr>
          <w:rFonts w:asciiTheme="majorHAnsi" w:hAnsiTheme="majorHAnsi" w:cstheme="majorHAnsi"/>
          <w:sz w:val="24"/>
          <w:szCs w:val="24"/>
          <w:lang w:val="ro-RO" w:eastAsia="ru-RU"/>
        </w:rPr>
        <w:t>ul</w:t>
      </w:r>
      <w:r w:rsidR="00A2602A" w:rsidRPr="007A609D">
        <w:rPr>
          <w:rFonts w:asciiTheme="majorHAnsi" w:hAnsiTheme="majorHAnsi" w:cstheme="majorHAnsi"/>
          <w:sz w:val="24"/>
          <w:szCs w:val="24"/>
          <w:lang w:val="ro-RO" w:eastAsia="ru-RU"/>
        </w:rPr>
        <w:t xml:space="preserve"> de achitare expirat</w:t>
      </w:r>
      <w:r w:rsidR="00912106">
        <w:rPr>
          <w:rFonts w:asciiTheme="majorHAnsi" w:hAnsiTheme="majorHAnsi" w:cstheme="majorHAnsi"/>
          <w:sz w:val="24"/>
          <w:szCs w:val="24"/>
          <w:lang w:val="ro-RO" w:eastAsia="ru-RU"/>
        </w:rPr>
        <w:t xml:space="preserve"> (pct. 4.2.2 și pct. 4.3.1)</w:t>
      </w:r>
      <w:r w:rsidR="00485884">
        <w:rPr>
          <w:rFonts w:asciiTheme="majorHAnsi" w:hAnsiTheme="majorHAnsi" w:cstheme="majorHAnsi"/>
          <w:sz w:val="24"/>
          <w:szCs w:val="24"/>
          <w:lang w:val="ro-RO" w:eastAsia="ru-RU"/>
        </w:rPr>
        <w:t>;</w:t>
      </w:r>
    </w:p>
    <w:p w14:paraId="5DCAEB4A" w14:textId="6B9D68F6" w:rsidR="00485884" w:rsidRPr="00A42A0A" w:rsidRDefault="00485884" w:rsidP="00FB1205">
      <w:pPr>
        <w:pStyle w:val="af3"/>
        <w:numPr>
          <w:ilvl w:val="0"/>
          <w:numId w:val="7"/>
        </w:numPr>
        <w:spacing w:line="276" w:lineRule="auto"/>
        <w:ind w:left="0" w:firstLine="0"/>
        <w:jc w:val="both"/>
        <w:rPr>
          <w:rFonts w:asciiTheme="majorHAnsi" w:hAnsiTheme="majorHAnsi" w:cstheme="majorHAnsi"/>
          <w:sz w:val="24"/>
          <w:szCs w:val="24"/>
          <w:lang w:val="ro-RO" w:eastAsia="ru-RU"/>
        </w:rPr>
      </w:pPr>
      <w:r>
        <w:rPr>
          <w:rFonts w:asciiTheme="majorHAnsi" w:hAnsiTheme="majorHAnsi" w:cstheme="majorHAnsi"/>
          <w:sz w:val="24"/>
          <w:szCs w:val="24"/>
          <w:lang w:val="ro-RO" w:eastAsia="ru-RU"/>
        </w:rPr>
        <w:t>Să asigure, în comun cu autoritățile responsabile, întreprinderea măsurilor de rigoare în vederea valorificării eficiente și implementării în termenele prevăzute a proiectelor finanțate din surse externe (pct. 4.1.3.)</w:t>
      </w:r>
      <w:r w:rsidR="00664233">
        <w:rPr>
          <w:rFonts w:asciiTheme="majorHAnsi" w:hAnsiTheme="majorHAnsi" w:cstheme="majorHAnsi"/>
          <w:sz w:val="24"/>
          <w:szCs w:val="24"/>
          <w:lang w:val="ro-RO" w:eastAsia="ru-RU"/>
        </w:rPr>
        <w:t>.</w:t>
      </w:r>
    </w:p>
    <w:p w14:paraId="695C23BA" w14:textId="34152BE8" w:rsidR="00D014CC" w:rsidRDefault="00CB5311" w:rsidP="00EA21EB">
      <w:pPr>
        <w:pStyle w:val="1"/>
        <w:numPr>
          <w:ilvl w:val="0"/>
          <w:numId w:val="0"/>
        </w:numPr>
        <w:ind w:left="432" w:hanging="432"/>
        <w:rPr>
          <w:lang w:val="ro-RO" w:eastAsia="ru-RU"/>
        </w:rPr>
      </w:pPr>
      <w:bookmarkStart w:id="38" w:name="_Toc75436459"/>
      <w:r>
        <w:rPr>
          <w:lang w:val="ro-RO" w:eastAsia="ru-RU"/>
        </w:rPr>
        <w:t>Semnăturile echipei de audit</w:t>
      </w:r>
      <w:bookmarkEnd w:id="38"/>
    </w:p>
    <w:p w14:paraId="0F54CC1E" w14:textId="77777777" w:rsidR="009C7EEF" w:rsidRDefault="009C7EEF" w:rsidP="00FB1205">
      <w:pPr>
        <w:spacing w:after="0"/>
        <w:jc w:val="both"/>
        <w:rPr>
          <w:rFonts w:cstheme="majorHAnsi"/>
          <w:b/>
          <w:szCs w:val="24"/>
          <w:lang w:val="ro-RO" w:eastAsia="ru-RU"/>
        </w:rPr>
      </w:pPr>
    </w:p>
    <w:p w14:paraId="0ED3943A" w14:textId="34E6A500" w:rsidR="00D014CC" w:rsidRPr="00371E3D" w:rsidRDefault="00D014CC" w:rsidP="00FB1205">
      <w:pPr>
        <w:spacing w:after="0"/>
        <w:jc w:val="both"/>
        <w:rPr>
          <w:rFonts w:cstheme="majorHAnsi"/>
          <w:b/>
          <w:szCs w:val="24"/>
          <w:lang w:val="ro-RO" w:eastAsia="ru-RU"/>
        </w:rPr>
      </w:pPr>
      <w:r w:rsidRPr="00371E3D">
        <w:rPr>
          <w:rFonts w:cstheme="majorHAnsi"/>
          <w:b/>
          <w:szCs w:val="24"/>
          <w:lang w:val="ro-RO" w:eastAsia="ru-RU"/>
        </w:rPr>
        <w:t>Șeful echipei de audit,</w:t>
      </w:r>
    </w:p>
    <w:p w14:paraId="65EA3FFF" w14:textId="4E530DED" w:rsidR="00D014CC" w:rsidRPr="0075061C" w:rsidRDefault="00430585" w:rsidP="00FB1205">
      <w:pPr>
        <w:jc w:val="both"/>
        <w:rPr>
          <w:rFonts w:cstheme="majorHAnsi"/>
          <w:szCs w:val="24"/>
          <w:lang w:val="ro-RO" w:eastAsia="ru-RU"/>
        </w:rPr>
      </w:pPr>
      <w:r>
        <w:rPr>
          <w:rFonts w:cstheme="majorHAnsi"/>
          <w:i/>
          <w:szCs w:val="24"/>
          <w:lang w:val="ro-RO" w:eastAsia="ru-RU"/>
        </w:rPr>
        <w:t>A</w:t>
      </w:r>
      <w:r w:rsidR="00D014CC" w:rsidRPr="00371E3D">
        <w:rPr>
          <w:rFonts w:cstheme="majorHAnsi"/>
          <w:i/>
          <w:szCs w:val="24"/>
          <w:lang w:val="ro-RO" w:eastAsia="ru-RU"/>
        </w:rPr>
        <w:t>uditor public principal</w:t>
      </w:r>
      <w:r w:rsidR="00D014CC">
        <w:rPr>
          <w:rFonts w:cstheme="majorHAnsi"/>
          <w:szCs w:val="24"/>
          <w:lang w:val="ro-RO" w:eastAsia="ru-RU"/>
        </w:rPr>
        <w:t xml:space="preserve">,                                                                                </w:t>
      </w:r>
      <w:r w:rsidR="0039709C">
        <w:rPr>
          <w:rFonts w:cstheme="majorHAnsi"/>
          <w:b/>
          <w:i/>
          <w:szCs w:val="24"/>
          <w:lang w:val="ro-RO" w:eastAsia="ru-RU"/>
        </w:rPr>
        <w:t>Tatiana Ailoi</w:t>
      </w:r>
    </w:p>
    <w:p w14:paraId="0B293694" w14:textId="0A25B120" w:rsidR="00D014CC" w:rsidRDefault="00D014CC" w:rsidP="00FB1205">
      <w:pPr>
        <w:jc w:val="both"/>
        <w:rPr>
          <w:rFonts w:cstheme="majorHAnsi"/>
          <w:b/>
          <w:i/>
          <w:szCs w:val="24"/>
          <w:lang w:val="ro-RO" w:eastAsia="ru-RU"/>
        </w:rPr>
      </w:pPr>
      <w:r w:rsidRPr="00371E3D">
        <w:rPr>
          <w:rFonts w:cstheme="majorHAnsi"/>
          <w:i/>
          <w:szCs w:val="24"/>
          <w:lang w:val="ro-RO" w:eastAsia="ru-RU"/>
        </w:rPr>
        <w:t>Auditor public superior</w:t>
      </w:r>
      <w:r>
        <w:rPr>
          <w:rFonts w:cstheme="majorHAnsi"/>
          <w:szCs w:val="24"/>
          <w:lang w:val="ro-RO" w:eastAsia="ru-RU"/>
        </w:rPr>
        <w:t xml:space="preserve">,                                                                                </w:t>
      </w:r>
      <w:r w:rsidRPr="00371E3D">
        <w:rPr>
          <w:rFonts w:cstheme="majorHAnsi"/>
          <w:b/>
          <w:i/>
          <w:szCs w:val="24"/>
          <w:lang w:val="ro-RO" w:eastAsia="ru-RU"/>
        </w:rPr>
        <w:t>Oxana Popescu</w:t>
      </w:r>
    </w:p>
    <w:p w14:paraId="4397A70A" w14:textId="77777777" w:rsidR="00430585" w:rsidRDefault="0039709C" w:rsidP="00FB1205">
      <w:pPr>
        <w:jc w:val="both"/>
        <w:rPr>
          <w:rFonts w:cstheme="majorHAnsi"/>
          <w:b/>
          <w:i/>
          <w:szCs w:val="24"/>
          <w:lang w:val="ro-RO" w:eastAsia="ru-RU"/>
        </w:rPr>
      </w:pPr>
      <w:r w:rsidRPr="0039709C">
        <w:rPr>
          <w:rFonts w:cstheme="majorHAnsi"/>
          <w:i/>
          <w:szCs w:val="24"/>
          <w:lang w:val="ro-RO" w:eastAsia="ru-RU"/>
        </w:rPr>
        <w:t>Auditor public superior,</w:t>
      </w:r>
      <w:r>
        <w:rPr>
          <w:rFonts w:cstheme="majorHAnsi"/>
          <w:b/>
          <w:i/>
          <w:szCs w:val="24"/>
          <w:lang w:val="ro-RO" w:eastAsia="ru-RU"/>
        </w:rPr>
        <w:tab/>
      </w:r>
      <w:r>
        <w:rPr>
          <w:rFonts w:cstheme="majorHAnsi"/>
          <w:b/>
          <w:i/>
          <w:szCs w:val="24"/>
          <w:lang w:val="ro-RO" w:eastAsia="ru-RU"/>
        </w:rPr>
        <w:tab/>
      </w:r>
      <w:r>
        <w:rPr>
          <w:rFonts w:cstheme="majorHAnsi"/>
          <w:b/>
          <w:i/>
          <w:szCs w:val="24"/>
          <w:lang w:val="ro-RO" w:eastAsia="ru-RU"/>
        </w:rPr>
        <w:tab/>
      </w:r>
      <w:r>
        <w:rPr>
          <w:rFonts w:cstheme="majorHAnsi"/>
          <w:b/>
          <w:i/>
          <w:szCs w:val="24"/>
          <w:lang w:val="ro-RO" w:eastAsia="ru-RU"/>
        </w:rPr>
        <w:tab/>
      </w:r>
      <w:r>
        <w:rPr>
          <w:rFonts w:cstheme="majorHAnsi"/>
          <w:b/>
          <w:i/>
          <w:szCs w:val="24"/>
          <w:lang w:val="ro-RO" w:eastAsia="ru-RU"/>
        </w:rPr>
        <w:tab/>
      </w:r>
      <w:r>
        <w:rPr>
          <w:rFonts w:cstheme="majorHAnsi"/>
          <w:b/>
          <w:i/>
          <w:szCs w:val="24"/>
          <w:lang w:val="ro-RO" w:eastAsia="ru-RU"/>
        </w:rPr>
        <w:tab/>
        <w:t xml:space="preserve">  Artur Moraru</w:t>
      </w:r>
      <w:r w:rsidR="00430585">
        <w:rPr>
          <w:rFonts w:cstheme="majorHAnsi"/>
          <w:b/>
          <w:i/>
          <w:szCs w:val="24"/>
          <w:lang w:val="ro-RO" w:eastAsia="ru-RU"/>
        </w:rPr>
        <w:t xml:space="preserve">                          </w:t>
      </w:r>
    </w:p>
    <w:p w14:paraId="54EEA5B4" w14:textId="77777777" w:rsidR="00430585" w:rsidRDefault="00D014CC" w:rsidP="00FB1205">
      <w:pPr>
        <w:jc w:val="both"/>
        <w:rPr>
          <w:rFonts w:cstheme="majorHAnsi"/>
          <w:b/>
          <w:szCs w:val="24"/>
          <w:lang w:val="ro-RO" w:eastAsia="ru-RU"/>
        </w:rPr>
      </w:pPr>
      <w:r w:rsidRPr="00371E3D">
        <w:rPr>
          <w:rFonts w:cstheme="majorHAnsi"/>
          <w:b/>
          <w:szCs w:val="24"/>
          <w:lang w:val="ro-RO" w:eastAsia="ru-RU"/>
        </w:rPr>
        <w:t>Responsabil de audit:</w:t>
      </w:r>
    </w:p>
    <w:p w14:paraId="48E4E2A6" w14:textId="791FD300" w:rsidR="005210E8" w:rsidRDefault="00D014CC" w:rsidP="00FB1205">
      <w:pPr>
        <w:jc w:val="both"/>
        <w:rPr>
          <w:rFonts w:cstheme="majorHAnsi"/>
          <w:b/>
          <w:i/>
          <w:szCs w:val="24"/>
          <w:lang w:val="ro-RO" w:eastAsia="ru-RU"/>
        </w:rPr>
        <w:sectPr w:rsidR="005210E8" w:rsidSect="0002458B">
          <w:footerReference w:type="default" r:id="rId15"/>
          <w:pgSz w:w="11906" w:h="16838" w:code="9"/>
          <w:pgMar w:top="1138" w:right="850" w:bottom="1138" w:left="1701" w:header="720" w:footer="720" w:gutter="0"/>
          <w:cols w:space="720"/>
          <w:titlePg/>
          <w:docGrid w:linePitch="360"/>
        </w:sectPr>
      </w:pPr>
      <w:r w:rsidRPr="00371E3D">
        <w:rPr>
          <w:rFonts w:cstheme="majorHAnsi"/>
          <w:i/>
          <w:szCs w:val="24"/>
          <w:lang w:val="ro-RO" w:eastAsia="ru-RU"/>
        </w:rPr>
        <w:lastRenderedPageBreak/>
        <w:t>Șeful Direcției generale de audit I</w:t>
      </w:r>
      <w:r>
        <w:rPr>
          <w:rFonts w:cstheme="majorHAnsi"/>
          <w:i/>
          <w:szCs w:val="24"/>
          <w:lang w:val="ro-RO" w:eastAsia="ru-RU"/>
        </w:rPr>
        <w:t>,</w:t>
      </w:r>
      <w:r>
        <w:rPr>
          <w:rFonts w:cstheme="majorHAnsi"/>
          <w:szCs w:val="24"/>
          <w:lang w:val="ro-RO" w:eastAsia="ru-RU"/>
        </w:rPr>
        <w:t xml:space="preserve">                                                              </w:t>
      </w:r>
      <w:r w:rsidR="00AC722B">
        <w:rPr>
          <w:rFonts w:cstheme="majorHAnsi"/>
          <w:b/>
          <w:i/>
          <w:szCs w:val="24"/>
          <w:lang w:val="ro-RO" w:eastAsia="ru-RU"/>
        </w:rPr>
        <w:t>Natalia Trofim</w:t>
      </w:r>
    </w:p>
    <w:p w14:paraId="4D1A1C54" w14:textId="6299D194" w:rsidR="006023D2" w:rsidRPr="006C5ECB" w:rsidRDefault="006023D2" w:rsidP="00AC1B14">
      <w:pPr>
        <w:pStyle w:val="1"/>
        <w:numPr>
          <w:ilvl w:val="0"/>
          <w:numId w:val="0"/>
        </w:numPr>
        <w:ind w:left="432"/>
        <w:jc w:val="right"/>
        <w:rPr>
          <w:color w:val="2E74B5" w:themeColor="accent1" w:themeShade="BF"/>
        </w:rPr>
      </w:pPr>
      <w:bookmarkStart w:id="39" w:name="_Toc47012289"/>
      <w:bookmarkStart w:id="40" w:name="_Toc75436460"/>
      <w:r w:rsidRPr="006C5ECB">
        <w:rPr>
          <w:color w:val="2E74B5" w:themeColor="accent1" w:themeShade="BF"/>
        </w:rPr>
        <w:lastRenderedPageBreak/>
        <w:t>ANEXE</w:t>
      </w:r>
      <w:bookmarkEnd w:id="39"/>
      <w:bookmarkEnd w:id="40"/>
    </w:p>
    <w:p w14:paraId="7DBDAE42" w14:textId="1074953E" w:rsidR="006023D2" w:rsidRPr="006C5ECB" w:rsidRDefault="006023D2" w:rsidP="00AC1B14">
      <w:pPr>
        <w:spacing w:after="0" w:line="276" w:lineRule="auto"/>
        <w:jc w:val="right"/>
        <w:rPr>
          <w:rFonts w:cstheme="majorHAnsi"/>
          <w:b/>
          <w:i/>
          <w:color w:val="2E74B5" w:themeColor="accent1" w:themeShade="BF"/>
          <w:szCs w:val="24"/>
          <w:lang w:val="ro-RO"/>
          <w14:glow w14:rad="0">
            <w14:schemeClr w14:val="tx1"/>
          </w14:glow>
        </w:rPr>
      </w:pPr>
      <w:r w:rsidRPr="006C5ECB">
        <w:rPr>
          <w:rFonts w:cstheme="majorHAnsi"/>
          <w:b/>
          <w:i/>
          <w:color w:val="2E74B5" w:themeColor="accent1" w:themeShade="BF"/>
          <w:szCs w:val="24"/>
          <w:lang w:val="ro-RO"/>
          <w14:glow w14:rad="0">
            <w14:schemeClr w14:val="tx1"/>
          </w14:glow>
        </w:rPr>
        <w:t>Anexa nr.</w:t>
      </w:r>
      <w:r w:rsidR="00930222" w:rsidRPr="006C5ECB">
        <w:rPr>
          <w:rFonts w:cstheme="majorHAnsi"/>
          <w:b/>
          <w:i/>
          <w:color w:val="2E74B5" w:themeColor="accent1" w:themeShade="BF"/>
          <w:szCs w:val="24"/>
          <w:lang w:val="ro-RO"/>
          <w14:glow w14:rad="0">
            <w14:schemeClr w14:val="tx1"/>
          </w14:glow>
        </w:rPr>
        <w:t xml:space="preserve"> </w:t>
      </w:r>
      <w:r w:rsidRPr="006C5ECB">
        <w:rPr>
          <w:rFonts w:cstheme="majorHAnsi"/>
          <w:b/>
          <w:i/>
          <w:color w:val="2E74B5" w:themeColor="accent1" w:themeShade="BF"/>
          <w:szCs w:val="24"/>
          <w:lang w:val="ro-RO"/>
          <w14:glow w14:rad="0">
            <w14:schemeClr w14:val="tx1"/>
          </w14:glow>
        </w:rPr>
        <w:t>1</w:t>
      </w:r>
    </w:p>
    <w:tbl>
      <w:tblPr>
        <w:tblStyle w:val="TableGrid9"/>
        <w:tblW w:w="15026" w:type="dxa"/>
        <w:tblInd w:w="-147" w:type="dxa"/>
        <w:tblLook w:val="04A0" w:firstRow="1" w:lastRow="0" w:firstColumn="1" w:lastColumn="0" w:noHBand="0" w:noVBand="1"/>
      </w:tblPr>
      <w:tblGrid>
        <w:gridCol w:w="620"/>
        <w:gridCol w:w="4058"/>
        <w:gridCol w:w="6636"/>
        <w:gridCol w:w="3712"/>
      </w:tblGrid>
      <w:tr w:rsidR="003E5F16" w:rsidRPr="003E5F16" w14:paraId="46CF559B" w14:textId="77777777" w:rsidTr="0044576A">
        <w:trPr>
          <w:trHeight w:val="611"/>
        </w:trPr>
        <w:tc>
          <w:tcPr>
            <w:tcW w:w="15026"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2A52D558" w14:textId="77777777" w:rsidR="0053515C" w:rsidRPr="003E5F16" w:rsidRDefault="0053515C" w:rsidP="00AC1B14">
            <w:pPr>
              <w:spacing w:line="276" w:lineRule="auto"/>
              <w:jc w:val="center"/>
              <w:rPr>
                <w:rFonts w:cstheme="majorHAnsi"/>
                <w:b/>
                <w:bCs/>
                <w:szCs w:val="24"/>
              </w:rPr>
            </w:pPr>
            <w:r w:rsidRPr="003E5F16">
              <w:rPr>
                <w:rFonts w:cstheme="majorHAnsi"/>
                <w:b/>
                <w:bCs/>
                <w:szCs w:val="24"/>
              </w:rPr>
              <w:t>ANALIZA CADRULUI NORMATIV AFERENT DOMENIULUI AUDITAT</w:t>
            </w:r>
          </w:p>
        </w:tc>
      </w:tr>
      <w:tr w:rsidR="0053515C" w:rsidRPr="0053515C" w14:paraId="178F2F5D" w14:textId="77777777" w:rsidTr="0044576A">
        <w:tc>
          <w:tcPr>
            <w:tcW w:w="620" w:type="dxa"/>
            <w:shd w:val="clear" w:color="auto" w:fill="BFBFBF" w:themeFill="background1" w:themeFillShade="BF"/>
          </w:tcPr>
          <w:p w14:paraId="1B13E8F9" w14:textId="77777777" w:rsidR="0053515C" w:rsidRPr="0053515C" w:rsidRDefault="0053515C" w:rsidP="0044576A">
            <w:pPr>
              <w:spacing w:line="276" w:lineRule="auto"/>
              <w:jc w:val="center"/>
              <w:rPr>
                <w:rFonts w:cstheme="majorHAnsi"/>
                <w:b/>
                <w:bCs/>
                <w:sz w:val="20"/>
                <w:szCs w:val="20"/>
              </w:rPr>
            </w:pPr>
            <w:r w:rsidRPr="0053515C">
              <w:rPr>
                <w:rFonts w:cstheme="majorHAnsi"/>
                <w:b/>
                <w:bCs/>
                <w:sz w:val="20"/>
                <w:szCs w:val="20"/>
              </w:rPr>
              <w:t>Nr. d/o</w:t>
            </w:r>
          </w:p>
        </w:tc>
        <w:tc>
          <w:tcPr>
            <w:tcW w:w="4058" w:type="dxa"/>
            <w:shd w:val="clear" w:color="auto" w:fill="BFBFBF" w:themeFill="background1" w:themeFillShade="BF"/>
            <w:vAlign w:val="center"/>
          </w:tcPr>
          <w:p w14:paraId="65DD6987" w14:textId="77777777" w:rsidR="0053515C" w:rsidRPr="0053515C" w:rsidRDefault="0053515C" w:rsidP="0044576A">
            <w:pPr>
              <w:spacing w:line="276" w:lineRule="auto"/>
              <w:jc w:val="center"/>
              <w:rPr>
                <w:rFonts w:cstheme="majorHAnsi"/>
                <w:b/>
                <w:bCs/>
                <w:sz w:val="20"/>
                <w:szCs w:val="20"/>
              </w:rPr>
            </w:pPr>
            <w:r w:rsidRPr="0053515C">
              <w:rPr>
                <w:rFonts w:cstheme="majorHAnsi"/>
                <w:b/>
                <w:bCs/>
                <w:sz w:val="20"/>
                <w:szCs w:val="20"/>
              </w:rPr>
              <w:t>Denumirea actului legislativ/normativ</w:t>
            </w:r>
          </w:p>
        </w:tc>
        <w:tc>
          <w:tcPr>
            <w:tcW w:w="6636" w:type="dxa"/>
            <w:shd w:val="clear" w:color="auto" w:fill="BFBFBF" w:themeFill="background1" w:themeFillShade="BF"/>
            <w:vAlign w:val="center"/>
          </w:tcPr>
          <w:p w14:paraId="7A264E69" w14:textId="77777777" w:rsidR="0053515C" w:rsidRPr="0053515C" w:rsidRDefault="0053515C" w:rsidP="0044576A">
            <w:pPr>
              <w:spacing w:line="276" w:lineRule="auto"/>
              <w:jc w:val="center"/>
              <w:rPr>
                <w:rFonts w:cstheme="majorHAnsi"/>
                <w:b/>
                <w:bCs/>
                <w:sz w:val="20"/>
                <w:szCs w:val="20"/>
              </w:rPr>
            </w:pPr>
            <w:r w:rsidRPr="0053515C">
              <w:rPr>
                <w:rFonts w:cstheme="majorHAnsi"/>
                <w:b/>
                <w:bCs/>
                <w:sz w:val="20"/>
                <w:szCs w:val="20"/>
              </w:rPr>
              <w:t>Relevanța pentru audit</w:t>
            </w:r>
          </w:p>
        </w:tc>
        <w:tc>
          <w:tcPr>
            <w:tcW w:w="3712" w:type="dxa"/>
            <w:shd w:val="clear" w:color="auto" w:fill="BFBFBF" w:themeFill="background1" w:themeFillShade="BF"/>
            <w:vAlign w:val="center"/>
          </w:tcPr>
          <w:p w14:paraId="2A9B0157" w14:textId="77777777" w:rsidR="0053515C" w:rsidRPr="0053515C" w:rsidRDefault="0053515C" w:rsidP="0044576A">
            <w:pPr>
              <w:spacing w:line="276" w:lineRule="auto"/>
              <w:jc w:val="center"/>
              <w:rPr>
                <w:rFonts w:cstheme="majorHAnsi"/>
                <w:b/>
                <w:bCs/>
                <w:sz w:val="20"/>
                <w:szCs w:val="20"/>
              </w:rPr>
            </w:pPr>
            <w:r w:rsidRPr="0053515C">
              <w:rPr>
                <w:rFonts w:cstheme="majorHAnsi"/>
                <w:b/>
                <w:bCs/>
                <w:sz w:val="20"/>
                <w:szCs w:val="20"/>
              </w:rPr>
              <w:t>Subiectul auditat (Procesul operațional)</w:t>
            </w:r>
          </w:p>
        </w:tc>
      </w:tr>
      <w:tr w:rsidR="0053515C" w:rsidRPr="0053515C" w14:paraId="303A0150" w14:textId="77777777" w:rsidTr="0044576A">
        <w:trPr>
          <w:trHeight w:val="341"/>
        </w:trPr>
        <w:tc>
          <w:tcPr>
            <w:tcW w:w="15026" w:type="dxa"/>
            <w:gridSpan w:val="4"/>
            <w:vAlign w:val="center"/>
          </w:tcPr>
          <w:p w14:paraId="6B18C492" w14:textId="77777777" w:rsidR="0053515C" w:rsidRPr="0053515C" w:rsidRDefault="0053515C" w:rsidP="0044576A">
            <w:pPr>
              <w:spacing w:line="276" w:lineRule="auto"/>
              <w:jc w:val="center"/>
              <w:rPr>
                <w:rFonts w:cstheme="majorHAnsi"/>
                <w:b/>
                <w:bCs/>
                <w:iCs/>
                <w:sz w:val="20"/>
                <w:szCs w:val="20"/>
              </w:rPr>
            </w:pPr>
            <w:r w:rsidRPr="0053515C">
              <w:rPr>
                <w:rFonts w:cstheme="majorHAnsi"/>
                <w:b/>
                <w:bCs/>
                <w:iCs/>
                <w:sz w:val="20"/>
                <w:szCs w:val="20"/>
              </w:rPr>
              <w:t>I. LEGI ORGANICE</w:t>
            </w:r>
          </w:p>
        </w:tc>
      </w:tr>
      <w:tr w:rsidR="0053515C" w:rsidRPr="0053515C" w14:paraId="333BF34A" w14:textId="77777777" w:rsidTr="0044576A">
        <w:trPr>
          <w:trHeight w:val="899"/>
        </w:trPr>
        <w:tc>
          <w:tcPr>
            <w:tcW w:w="620" w:type="dxa"/>
            <w:vAlign w:val="center"/>
          </w:tcPr>
          <w:p w14:paraId="3C511FAC"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1.1.</w:t>
            </w:r>
          </w:p>
        </w:tc>
        <w:tc>
          <w:tcPr>
            <w:tcW w:w="4058" w:type="dxa"/>
            <w:vAlign w:val="center"/>
          </w:tcPr>
          <w:p w14:paraId="0F38D983"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w:t>
            </w:r>
          </w:p>
          <w:p w14:paraId="12FD29C5" w14:textId="77777777" w:rsidR="0053515C" w:rsidRPr="0053515C" w:rsidRDefault="0053515C" w:rsidP="00FB1205">
            <w:pPr>
              <w:spacing w:line="276" w:lineRule="auto"/>
              <w:jc w:val="both"/>
              <w:rPr>
                <w:rFonts w:cstheme="majorHAnsi"/>
                <w:sz w:val="20"/>
                <w:szCs w:val="20"/>
              </w:rPr>
            </w:pPr>
            <w:r w:rsidRPr="0053515C">
              <w:rPr>
                <w:rFonts w:cstheme="majorHAnsi"/>
                <w:sz w:val="20"/>
                <w:szCs w:val="20"/>
              </w:rPr>
              <w:t xml:space="preserve">bugetului de stat pentru anul 2020 </w:t>
            </w:r>
            <w:r w:rsidRPr="0053515C">
              <w:rPr>
                <w:rFonts w:cstheme="majorHAnsi"/>
                <w:b/>
                <w:bCs/>
                <w:sz w:val="20"/>
                <w:szCs w:val="20"/>
              </w:rPr>
              <w:t>nr.172 din 19.12.2019</w:t>
            </w:r>
          </w:p>
          <w:p w14:paraId="1538205E" w14:textId="77777777" w:rsidR="0053515C" w:rsidRPr="0053515C" w:rsidRDefault="0053515C" w:rsidP="00FB1205">
            <w:pPr>
              <w:spacing w:line="276" w:lineRule="auto"/>
              <w:jc w:val="both"/>
              <w:rPr>
                <w:rFonts w:cstheme="majorHAnsi"/>
                <w:b/>
                <w:bCs/>
                <w:sz w:val="20"/>
                <w:szCs w:val="20"/>
              </w:rPr>
            </w:pPr>
            <w:r w:rsidRPr="0053515C">
              <w:rPr>
                <w:rFonts w:cstheme="majorHAnsi"/>
                <w:bCs/>
                <w:sz w:val="20"/>
                <w:szCs w:val="20"/>
              </w:rPr>
              <w:t>(cu modificările ulterioare)</w:t>
            </w:r>
          </w:p>
        </w:tc>
        <w:tc>
          <w:tcPr>
            <w:tcW w:w="6636" w:type="dxa"/>
            <w:vAlign w:val="center"/>
          </w:tcPr>
          <w:p w14:paraId="253E79A9" w14:textId="77777777" w:rsidR="0053515C" w:rsidRPr="0053515C" w:rsidRDefault="0053515C" w:rsidP="00FB1205">
            <w:pPr>
              <w:spacing w:line="276" w:lineRule="auto"/>
              <w:jc w:val="both"/>
              <w:rPr>
                <w:rFonts w:cstheme="majorHAnsi"/>
                <w:bCs/>
                <w:sz w:val="20"/>
                <w:szCs w:val="20"/>
              </w:rPr>
            </w:pPr>
            <w:r w:rsidRPr="0053515C">
              <w:rPr>
                <w:rFonts w:cstheme="majorHAnsi"/>
                <w:b/>
                <w:bCs/>
                <w:sz w:val="20"/>
                <w:szCs w:val="20"/>
              </w:rPr>
              <w:t xml:space="preserve">Art.5  </w:t>
            </w:r>
            <w:r w:rsidRPr="0053515C">
              <w:rPr>
                <w:rFonts w:cstheme="majorHAnsi"/>
                <w:bCs/>
                <w:sz w:val="20"/>
                <w:szCs w:val="20"/>
              </w:rPr>
              <w:t>prevede alocarea mijloacelor pentru implementarea Programului de stat „Prima casă”;</w:t>
            </w:r>
          </w:p>
          <w:p w14:paraId="68CE151E" w14:textId="1E5CB47A" w:rsidR="0053515C" w:rsidRPr="0053515C" w:rsidRDefault="0053515C" w:rsidP="00FB1205">
            <w:pPr>
              <w:spacing w:line="276" w:lineRule="auto"/>
              <w:jc w:val="both"/>
              <w:rPr>
                <w:rFonts w:cstheme="majorHAnsi"/>
                <w:bCs/>
                <w:sz w:val="20"/>
                <w:szCs w:val="20"/>
              </w:rPr>
            </w:pPr>
            <w:r w:rsidRPr="0053515C">
              <w:rPr>
                <w:rFonts w:cstheme="majorHAnsi"/>
                <w:b/>
                <w:bCs/>
                <w:sz w:val="20"/>
                <w:szCs w:val="20"/>
              </w:rPr>
              <w:t xml:space="preserve">Art.8 </w:t>
            </w:r>
            <w:r w:rsidRPr="0053515C">
              <w:rPr>
                <w:rFonts w:cstheme="majorHAnsi"/>
                <w:sz w:val="20"/>
                <w:szCs w:val="20"/>
              </w:rPr>
              <w:t>stabilește</w:t>
            </w:r>
            <w:r w:rsidRPr="0053515C">
              <w:rPr>
                <w:rFonts w:cstheme="majorHAnsi"/>
                <w:bCs/>
                <w:sz w:val="20"/>
                <w:szCs w:val="20"/>
              </w:rPr>
              <w:t xml:space="preserve"> plafoanele pentru datoria de stat internă, datoria de stat externă, garanțiilor de stat interne</w:t>
            </w:r>
            <w:r w:rsidR="00E87D76">
              <w:rPr>
                <w:rFonts w:cstheme="majorHAnsi"/>
                <w:bCs/>
                <w:sz w:val="20"/>
                <w:szCs w:val="20"/>
              </w:rPr>
              <w:t xml:space="preserve"> și garanțiilor de stat externe</w:t>
            </w:r>
          </w:p>
          <w:p w14:paraId="450D201A" w14:textId="77777777" w:rsidR="0053515C" w:rsidRPr="0053515C" w:rsidRDefault="0053515C" w:rsidP="00FB1205">
            <w:pPr>
              <w:spacing w:line="276" w:lineRule="auto"/>
              <w:jc w:val="both"/>
              <w:rPr>
                <w:rFonts w:cstheme="majorHAnsi"/>
                <w:sz w:val="20"/>
                <w:szCs w:val="20"/>
              </w:rPr>
            </w:pPr>
          </w:p>
        </w:tc>
        <w:tc>
          <w:tcPr>
            <w:tcW w:w="3712" w:type="dxa"/>
            <w:vAlign w:val="center"/>
          </w:tcPr>
          <w:p w14:paraId="2395571F" w14:textId="51D27B1C" w:rsidR="0053515C" w:rsidRPr="0053515C" w:rsidRDefault="0053515C" w:rsidP="00FB1205">
            <w:pPr>
              <w:spacing w:line="276" w:lineRule="auto"/>
              <w:jc w:val="both"/>
              <w:rPr>
                <w:rFonts w:cstheme="majorHAnsi"/>
                <w:b/>
                <w:bCs/>
                <w:i/>
                <w:iCs/>
                <w:sz w:val="20"/>
                <w:szCs w:val="20"/>
              </w:rPr>
            </w:pPr>
            <w:r w:rsidRPr="0053515C">
              <w:rPr>
                <w:rFonts w:cstheme="majorHAnsi"/>
                <w:b/>
                <w:bCs/>
                <w:i/>
                <w:iCs/>
                <w:sz w:val="20"/>
                <w:szCs w:val="20"/>
              </w:rPr>
              <w:t>Respectarea plafoanelor aproba</w:t>
            </w:r>
            <w:r w:rsidR="00E87D76">
              <w:rPr>
                <w:rFonts w:cstheme="majorHAnsi"/>
                <w:b/>
                <w:bCs/>
                <w:i/>
                <w:iCs/>
                <w:sz w:val="20"/>
                <w:szCs w:val="20"/>
              </w:rPr>
              <w:t xml:space="preserve">te prin Legea bugetului de stat, </w:t>
            </w:r>
            <w:r w:rsidRPr="0053515C">
              <w:rPr>
                <w:rFonts w:cstheme="majorHAnsi"/>
                <w:b/>
                <w:bCs/>
                <w:i/>
                <w:iCs/>
                <w:sz w:val="20"/>
                <w:szCs w:val="20"/>
              </w:rPr>
              <w:t>a datoriei de stat și garanțiilor de stat</w:t>
            </w:r>
          </w:p>
        </w:tc>
      </w:tr>
      <w:tr w:rsidR="0053515C" w:rsidRPr="0053515C" w14:paraId="6F34715E" w14:textId="77777777" w:rsidTr="0044576A">
        <w:trPr>
          <w:trHeight w:val="899"/>
        </w:trPr>
        <w:tc>
          <w:tcPr>
            <w:tcW w:w="620" w:type="dxa"/>
            <w:vAlign w:val="center"/>
          </w:tcPr>
          <w:p w14:paraId="1DF12C1C"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1.2.</w:t>
            </w:r>
          </w:p>
        </w:tc>
        <w:tc>
          <w:tcPr>
            <w:tcW w:w="4058" w:type="dxa"/>
            <w:vAlign w:val="center"/>
          </w:tcPr>
          <w:p w14:paraId="4835F9ED"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nr.419 din 22.12.2006 </w:t>
            </w:r>
          </w:p>
          <w:p w14:paraId="59C1C513" w14:textId="77777777" w:rsidR="0053515C" w:rsidRPr="0053515C" w:rsidRDefault="0053515C" w:rsidP="00FB1205">
            <w:pPr>
              <w:spacing w:line="276" w:lineRule="auto"/>
              <w:jc w:val="both"/>
              <w:rPr>
                <w:rFonts w:cstheme="majorHAnsi"/>
                <w:sz w:val="20"/>
                <w:szCs w:val="20"/>
              </w:rPr>
            </w:pPr>
            <w:r w:rsidRPr="0053515C">
              <w:rPr>
                <w:rFonts w:cstheme="majorHAnsi"/>
                <w:sz w:val="20"/>
                <w:szCs w:val="20"/>
              </w:rPr>
              <w:t xml:space="preserve">cu privire la datoria sectorului public, garanțiile de stat și recreditarea de stat </w:t>
            </w:r>
          </w:p>
          <w:p w14:paraId="79B24AC8" w14:textId="77777777" w:rsidR="0053515C" w:rsidRPr="0053515C" w:rsidRDefault="0053515C" w:rsidP="00FB1205">
            <w:pPr>
              <w:spacing w:line="276" w:lineRule="auto"/>
              <w:jc w:val="both"/>
              <w:rPr>
                <w:rFonts w:cstheme="majorHAnsi"/>
                <w:sz w:val="20"/>
                <w:szCs w:val="20"/>
              </w:rPr>
            </w:pPr>
            <w:r w:rsidRPr="0053515C">
              <w:rPr>
                <w:rFonts w:cstheme="majorHAnsi"/>
                <w:bCs/>
                <w:sz w:val="20"/>
                <w:szCs w:val="20"/>
              </w:rPr>
              <w:t>(cu modificările ulterioare)</w:t>
            </w:r>
          </w:p>
        </w:tc>
        <w:tc>
          <w:tcPr>
            <w:tcW w:w="6636" w:type="dxa"/>
            <w:vAlign w:val="center"/>
          </w:tcPr>
          <w:p w14:paraId="47EBD58A" w14:textId="2CC13F9D" w:rsidR="0053515C" w:rsidRPr="0053515C" w:rsidRDefault="0053515C" w:rsidP="00FB1205">
            <w:pPr>
              <w:spacing w:line="276" w:lineRule="auto"/>
              <w:jc w:val="both"/>
              <w:rPr>
                <w:rFonts w:cstheme="majorHAnsi"/>
                <w:sz w:val="20"/>
                <w:szCs w:val="20"/>
              </w:rPr>
            </w:pPr>
            <w:r w:rsidRPr="0053515C">
              <w:rPr>
                <w:rFonts w:cstheme="majorHAnsi"/>
                <w:sz w:val="20"/>
                <w:szCs w:val="20"/>
              </w:rPr>
              <w:t>Defineşte datoria publică, reglementează raportarea datoriei publice, stabileşte scopul, modul de contractare, debursare, rambursare, înregistrare şi administrare a datoriei de stat, de acordare a garanţiilor de stat şi de recreditare din contul mijloacelor obţinute din împrumuturi de stat. Reglement</w:t>
            </w:r>
            <w:r w:rsidR="00E87D76">
              <w:rPr>
                <w:rFonts w:cstheme="majorHAnsi"/>
                <w:sz w:val="20"/>
                <w:szCs w:val="20"/>
              </w:rPr>
              <w:t>ează împrumuturile contractate,</w:t>
            </w:r>
            <w:r w:rsidRPr="0053515C">
              <w:rPr>
                <w:rFonts w:cstheme="majorHAnsi"/>
                <w:sz w:val="20"/>
                <w:szCs w:val="20"/>
              </w:rPr>
              <w:t xml:space="preserve"> în numele Republicii Moldova, de Guvern, prin intermediul Ministerului Finanţelor, şi valorile mobiliare de stat, indiferent de termenul lor de scadenţă, precum şi împrumuturile cu termenul de scadenţă de un an şi mai mare, contractate de persoanele juridice menţionate în capito</w:t>
            </w:r>
            <w:r w:rsidR="00E87D76">
              <w:rPr>
                <w:rFonts w:cstheme="majorHAnsi"/>
                <w:sz w:val="20"/>
                <w:szCs w:val="20"/>
              </w:rPr>
              <w:t>lul VII</w:t>
            </w:r>
          </w:p>
        </w:tc>
        <w:tc>
          <w:tcPr>
            <w:tcW w:w="3712" w:type="dxa"/>
            <w:vAlign w:val="center"/>
          </w:tcPr>
          <w:p w14:paraId="3D6BE4C7" w14:textId="77777777" w:rsidR="0053515C" w:rsidRPr="0053515C" w:rsidRDefault="0053515C" w:rsidP="00FB1205">
            <w:pPr>
              <w:spacing w:line="276" w:lineRule="auto"/>
              <w:jc w:val="both"/>
              <w:rPr>
                <w:rFonts w:cstheme="majorHAnsi"/>
                <w:b/>
                <w:i/>
                <w:sz w:val="20"/>
                <w:szCs w:val="20"/>
                <w:highlight w:val="yellow"/>
              </w:rPr>
            </w:pPr>
            <w:r w:rsidRPr="0053515C">
              <w:rPr>
                <w:rFonts w:cstheme="majorHAnsi"/>
                <w:b/>
                <w:bCs/>
                <w:i/>
                <w:iCs/>
                <w:sz w:val="20"/>
                <w:szCs w:val="20"/>
              </w:rPr>
              <w:t>Administrarea datoriei de stat, garanțiilor de stat și recreditării de stat</w:t>
            </w:r>
          </w:p>
        </w:tc>
      </w:tr>
      <w:tr w:rsidR="0053515C" w:rsidRPr="0053515C" w14:paraId="351F5F40" w14:textId="77777777" w:rsidTr="0044576A">
        <w:trPr>
          <w:trHeight w:val="899"/>
        </w:trPr>
        <w:tc>
          <w:tcPr>
            <w:tcW w:w="620" w:type="dxa"/>
            <w:vAlign w:val="center"/>
          </w:tcPr>
          <w:p w14:paraId="49EE2380"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1.3.</w:t>
            </w:r>
          </w:p>
        </w:tc>
        <w:tc>
          <w:tcPr>
            <w:tcW w:w="4058" w:type="dxa"/>
            <w:vAlign w:val="center"/>
          </w:tcPr>
          <w:p w14:paraId="4FD4C52F"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Legea nr. 293 din 21.12.2017</w:t>
            </w:r>
          </w:p>
          <w:p w14:paraId="309D7431" w14:textId="193C0818" w:rsidR="0053515C" w:rsidRPr="0053515C" w:rsidRDefault="00E87D76" w:rsidP="00FB1205">
            <w:pPr>
              <w:spacing w:line="276" w:lineRule="auto"/>
              <w:jc w:val="both"/>
              <w:rPr>
                <w:rFonts w:cstheme="majorHAnsi"/>
                <w:bCs/>
                <w:sz w:val="20"/>
                <w:szCs w:val="20"/>
              </w:rPr>
            </w:pPr>
            <w:r>
              <w:rPr>
                <w:rFonts w:cstheme="majorHAnsi"/>
                <w:bCs/>
                <w:sz w:val="20"/>
                <w:szCs w:val="20"/>
              </w:rPr>
              <w:t>p</w:t>
            </w:r>
            <w:r w:rsidR="0053515C" w:rsidRPr="0053515C">
              <w:rPr>
                <w:rFonts w:cstheme="majorHAnsi"/>
                <w:bCs/>
                <w:sz w:val="20"/>
                <w:szCs w:val="20"/>
              </w:rPr>
              <w:t>rivind unele măsuri în vederea implementării Programului de stat „Prima casă”</w:t>
            </w:r>
          </w:p>
          <w:p w14:paraId="237F46A8"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(cu modificările ulterioare)</w:t>
            </w:r>
          </w:p>
        </w:tc>
        <w:tc>
          <w:tcPr>
            <w:tcW w:w="6636" w:type="dxa"/>
            <w:vAlign w:val="center"/>
          </w:tcPr>
          <w:p w14:paraId="64C6601D" w14:textId="58007FAD" w:rsidR="0053515C" w:rsidRPr="0053515C" w:rsidRDefault="0053515C" w:rsidP="00FB1205">
            <w:pPr>
              <w:spacing w:line="276" w:lineRule="auto"/>
              <w:jc w:val="both"/>
              <w:rPr>
                <w:rFonts w:cstheme="majorHAnsi"/>
                <w:bCs/>
                <w:sz w:val="20"/>
                <w:szCs w:val="20"/>
              </w:rPr>
            </w:pPr>
            <w:r w:rsidRPr="0053515C">
              <w:rPr>
                <w:rFonts w:cstheme="majorHAnsi"/>
                <w:bCs/>
                <w:sz w:val="20"/>
                <w:szCs w:val="20"/>
              </w:rPr>
              <w:t>Stabilește cadrul juridic pentru implementarea Programului de stat „Prima casă” și facilitarea accesului persoanelor fizice la procurarea unei locuinţe prin contractarea de credite ipot</w:t>
            </w:r>
            <w:r w:rsidR="00963E74">
              <w:rPr>
                <w:rFonts w:cstheme="majorHAnsi"/>
                <w:bCs/>
                <w:sz w:val="20"/>
                <w:szCs w:val="20"/>
              </w:rPr>
              <w:t>ecare garantate parţial de stat</w:t>
            </w:r>
          </w:p>
        </w:tc>
        <w:tc>
          <w:tcPr>
            <w:tcW w:w="3712" w:type="dxa"/>
            <w:vAlign w:val="center"/>
          </w:tcPr>
          <w:p w14:paraId="29622482" w14:textId="77777777" w:rsidR="0053515C" w:rsidRPr="0053515C" w:rsidRDefault="0053515C" w:rsidP="00FB1205">
            <w:pPr>
              <w:spacing w:line="276" w:lineRule="auto"/>
              <w:jc w:val="both"/>
              <w:rPr>
                <w:rFonts w:cstheme="majorHAnsi"/>
                <w:b/>
                <w:bCs/>
                <w:i/>
                <w:iCs/>
                <w:sz w:val="20"/>
                <w:szCs w:val="20"/>
              </w:rPr>
            </w:pPr>
            <w:r w:rsidRPr="0053515C">
              <w:rPr>
                <w:rFonts w:cstheme="majorHAnsi"/>
                <w:b/>
                <w:bCs/>
                <w:i/>
                <w:iCs/>
                <w:sz w:val="20"/>
                <w:szCs w:val="20"/>
              </w:rPr>
              <w:t>Acordarea garanțiilor de stat interne</w:t>
            </w:r>
          </w:p>
        </w:tc>
      </w:tr>
      <w:tr w:rsidR="0053515C" w:rsidRPr="0053515C" w14:paraId="0778C6AD" w14:textId="77777777" w:rsidTr="0044576A">
        <w:trPr>
          <w:trHeight w:val="899"/>
        </w:trPr>
        <w:tc>
          <w:tcPr>
            <w:tcW w:w="620" w:type="dxa"/>
            <w:vAlign w:val="center"/>
          </w:tcPr>
          <w:p w14:paraId="0F95F3CB"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1.4.</w:t>
            </w:r>
          </w:p>
        </w:tc>
        <w:tc>
          <w:tcPr>
            <w:tcW w:w="4058" w:type="dxa"/>
            <w:vAlign w:val="center"/>
          </w:tcPr>
          <w:p w14:paraId="06B6688C" w14:textId="77777777" w:rsidR="0053515C" w:rsidRPr="0053515C" w:rsidRDefault="0053515C" w:rsidP="00FB1205">
            <w:pPr>
              <w:spacing w:line="276" w:lineRule="auto"/>
              <w:jc w:val="both"/>
              <w:rPr>
                <w:rFonts w:cstheme="majorHAnsi"/>
                <w:bCs/>
                <w:sz w:val="20"/>
                <w:szCs w:val="20"/>
              </w:rPr>
            </w:pPr>
            <w:r w:rsidRPr="0053515C">
              <w:rPr>
                <w:rFonts w:cstheme="majorHAnsi"/>
                <w:b/>
                <w:bCs/>
                <w:sz w:val="20"/>
                <w:szCs w:val="20"/>
              </w:rPr>
              <w:t>Legea nr.190 din 30.09.2011</w:t>
            </w:r>
          </w:p>
          <w:p w14:paraId="1ED5865F" w14:textId="63858851" w:rsidR="0053515C" w:rsidRPr="0053515C" w:rsidRDefault="00963E74" w:rsidP="00FB1205">
            <w:pPr>
              <w:spacing w:line="276" w:lineRule="auto"/>
              <w:jc w:val="both"/>
              <w:rPr>
                <w:rFonts w:cstheme="majorHAnsi"/>
                <w:bCs/>
                <w:sz w:val="20"/>
                <w:szCs w:val="20"/>
              </w:rPr>
            </w:pPr>
            <w:r>
              <w:rPr>
                <w:rFonts w:cstheme="majorHAnsi"/>
                <w:bCs/>
                <w:sz w:val="20"/>
                <w:szCs w:val="20"/>
              </w:rPr>
              <w:t>p</w:t>
            </w:r>
            <w:r w:rsidR="0053515C" w:rsidRPr="0053515C">
              <w:rPr>
                <w:rFonts w:cstheme="majorHAnsi"/>
                <w:bCs/>
                <w:sz w:val="20"/>
                <w:szCs w:val="20"/>
              </w:rPr>
              <w:t>rivind unele măsuri suplimentare de asigurare a stabilității financiare</w:t>
            </w:r>
          </w:p>
        </w:tc>
        <w:tc>
          <w:tcPr>
            <w:tcW w:w="6636" w:type="dxa"/>
            <w:vAlign w:val="center"/>
          </w:tcPr>
          <w:p w14:paraId="0090B73E" w14:textId="43313E62" w:rsidR="0053515C" w:rsidRPr="0053515C" w:rsidRDefault="0053515C" w:rsidP="00FB1205">
            <w:pPr>
              <w:spacing w:line="276" w:lineRule="auto"/>
              <w:jc w:val="both"/>
              <w:rPr>
                <w:rFonts w:cstheme="majorHAnsi"/>
                <w:bCs/>
                <w:sz w:val="20"/>
                <w:szCs w:val="20"/>
              </w:rPr>
            </w:pPr>
            <w:r w:rsidRPr="0053515C">
              <w:rPr>
                <w:rFonts w:cstheme="majorHAnsi"/>
                <w:bCs/>
                <w:sz w:val="20"/>
                <w:szCs w:val="20"/>
              </w:rPr>
              <w:t>Stabileşte măsurile suplimentare ce urmează a fi întreprinse de stat, bănci şi de Fondul de garantare a depozitelor în sistemul bancar în scop de menţinere a stabilităţii financiare prin minimizarea riscurilor în sectorul bancar şi de repartizare a riscurilor între</w:t>
            </w:r>
            <w:r w:rsidR="00963E74">
              <w:rPr>
                <w:rFonts w:cstheme="majorHAnsi"/>
                <w:bCs/>
                <w:sz w:val="20"/>
                <w:szCs w:val="20"/>
              </w:rPr>
              <w:t xml:space="preserve"> participanţii la piaţa bancară</w:t>
            </w:r>
          </w:p>
        </w:tc>
        <w:tc>
          <w:tcPr>
            <w:tcW w:w="3712" w:type="dxa"/>
            <w:vAlign w:val="center"/>
          </w:tcPr>
          <w:p w14:paraId="4AD27900"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bCs/>
                <w:i/>
                <w:iCs/>
                <w:sz w:val="20"/>
                <w:szCs w:val="20"/>
              </w:rPr>
              <w:t>Administrarea datoriei de stat interne</w:t>
            </w:r>
          </w:p>
        </w:tc>
      </w:tr>
      <w:tr w:rsidR="0053515C" w:rsidRPr="0053515C" w14:paraId="212E1EF3" w14:textId="77777777" w:rsidTr="0044576A">
        <w:trPr>
          <w:trHeight w:val="899"/>
        </w:trPr>
        <w:tc>
          <w:tcPr>
            <w:tcW w:w="620" w:type="dxa"/>
            <w:vAlign w:val="center"/>
          </w:tcPr>
          <w:p w14:paraId="3F6A9957"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1.5.</w:t>
            </w:r>
          </w:p>
        </w:tc>
        <w:tc>
          <w:tcPr>
            <w:tcW w:w="4058" w:type="dxa"/>
            <w:vAlign w:val="center"/>
          </w:tcPr>
          <w:p w14:paraId="778964CF"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nr.235 din 03.10.2016 </w:t>
            </w:r>
          </w:p>
          <w:p w14:paraId="6CED60F8"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privind emisiunea obligaţiunilor de stat în vederea executăriide către Ministerul Finanţelor a obligaţiilor de plată derivate</w:t>
            </w:r>
          </w:p>
          <w:p w14:paraId="69ADE907" w14:textId="77777777" w:rsidR="0053515C" w:rsidRPr="0053515C" w:rsidRDefault="0053515C" w:rsidP="00FB1205">
            <w:pPr>
              <w:spacing w:line="276" w:lineRule="auto"/>
              <w:jc w:val="both"/>
              <w:rPr>
                <w:rFonts w:cstheme="majorHAnsi"/>
                <w:b/>
                <w:bCs/>
                <w:sz w:val="20"/>
                <w:szCs w:val="20"/>
              </w:rPr>
            </w:pPr>
            <w:r w:rsidRPr="0053515C">
              <w:rPr>
                <w:rFonts w:cstheme="majorHAnsi"/>
                <w:bCs/>
                <w:sz w:val="20"/>
                <w:szCs w:val="20"/>
              </w:rPr>
              <w:t>din garanţiile de stat nr. 807 din 17 noiembrie 2014 şi nr. 101 din 1 aprilie 2015</w:t>
            </w:r>
          </w:p>
        </w:tc>
        <w:tc>
          <w:tcPr>
            <w:tcW w:w="6636" w:type="dxa"/>
            <w:vAlign w:val="center"/>
          </w:tcPr>
          <w:p w14:paraId="4FD190C7" w14:textId="3A806526" w:rsidR="0053515C" w:rsidRPr="0053515C" w:rsidRDefault="0053515C" w:rsidP="00FB1205">
            <w:pPr>
              <w:spacing w:line="276" w:lineRule="auto"/>
              <w:jc w:val="both"/>
              <w:rPr>
                <w:rFonts w:cstheme="majorHAnsi"/>
                <w:bCs/>
                <w:sz w:val="20"/>
                <w:szCs w:val="20"/>
              </w:rPr>
            </w:pPr>
            <w:r w:rsidRPr="0053515C">
              <w:rPr>
                <w:rFonts w:cstheme="majorHAnsi"/>
                <w:bCs/>
                <w:sz w:val="20"/>
                <w:szCs w:val="20"/>
              </w:rPr>
              <w:t>Stabileşte condiţiile de emisiune a obligaţiunilor de stat în vederea  executării de către Ministerul Finanţelor a obligaţiilor de plată derivate din garanţiile de stat nr.807 din 17 noiembrie 2014 şi nr.101 din 1 aprilie 2015, acordate Băncii Naţionale a Moldovei de către Ministerul Finanţelor pentru g</w:t>
            </w:r>
            <w:r w:rsidR="00B82319">
              <w:rPr>
                <w:rFonts w:cstheme="majorHAnsi"/>
                <w:bCs/>
                <w:sz w:val="20"/>
                <w:szCs w:val="20"/>
              </w:rPr>
              <w:t>arantarea creditelor de urgenţă</w:t>
            </w:r>
          </w:p>
        </w:tc>
        <w:tc>
          <w:tcPr>
            <w:tcW w:w="3712" w:type="dxa"/>
            <w:vAlign w:val="center"/>
          </w:tcPr>
          <w:p w14:paraId="35ABF6F7" w14:textId="77777777" w:rsidR="0053515C" w:rsidRPr="0053515C" w:rsidRDefault="0053515C" w:rsidP="00FB1205">
            <w:pPr>
              <w:spacing w:line="276" w:lineRule="auto"/>
              <w:jc w:val="both"/>
              <w:rPr>
                <w:rFonts w:cstheme="majorHAnsi"/>
                <w:b/>
                <w:bCs/>
                <w:i/>
                <w:iCs/>
                <w:sz w:val="20"/>
                <w:szCs w:val="20"/>
              </w:rPr>
            </w:pPr>
            <w:r w:rsidRPr="0053515C">
              <w:rPr>
                <w:rFonts w:cstheme="majorHAnsi"/>
                <w:b/>
                <w:bCs/>
                <w:i/>
                <w:iCs/>
                <w:sz w:val="20"/>
                <w:szCs w:val="20"/>
              </w:rPr>
              <w:t>Administrarea datoriei de stat interne</w:t>
            </w:r>
          </w:p>
        </w:tc>
      </w:tr>
      <w:tr w:rsidR="0053515C" w:rsidRPr="0053515C" w14:paraId="43F81A46" w14:textId="77777777" w:rsidTr="0044576A">
        <w:trPr>
          <w:trHeight w:val="377"/>
        </w:trPr>
        <w:tc>
          <w:tcPr>
            <w:tcW w:w="15026" w:type="dxa"/>
            <w:gridSpan w:val="4"/>
            <w:vAlign w:val="center"/>
          </w:tcPr>
          <w:p w14:paraId="0166131E" w14:textId="77777777" w:rsidR="0053515C" w:rsidRPr="0053515C" w:rsidRDefault="0053515C" w:rsidP="0044576A">
            <w:pPr>
              <w:spacing w:line="276" w:lineRule="auto"/>
              <w:jc w:val="center"/>
              <w:rPr>
                <w:rFonts w:cstheme="majorHAnsi"/>
                <w:b/>
                <w:bCs/>
                <w:sz w:val="20"/>
                <w:szCs w:val="20"/>
              </w:rPr>
            </w:pPr>
            <w:r w:rsidRPr="0053515C">
              <w:rPr>
                <w:rFonts w:cstheme="majorHAnsi"/>
                <w:b/>
                <w:bCs/>
                <w:sz w:val="20"/>
                <w:szCs w:val="20"/>
              </w:rPr>
              <w:t>II. HOTĂRÂRI DE GUVERN</w:t>
            </w:r>
          </w:p>
        </w:tc>
      </w:tr>
      <w:tr w:rsidR="0053515C" w:rsidRPr="0053515C" w14:paraId="56F8FA31" w14:textId="77777777" w:rsidTr="0044576A">
        <w:trPr>
          <w:trHeight w:val="809"/>
        </w:trPr>
        <w:tc>
          <w:tcPr>
            <w:tcW w:w="620" w:type="dxa"/>
            <w:vAlign w:val="center"/>
          </w:tcPr>
          <w:p w14:paraId="2014C800"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2.1.</w:t>
            </w:r>
          </w:p>
        </w:tc>
        <w:tc>
          <w:tcPr>
            <w:tcW w:w="4058" w:type="dxa"/>
            <w:vAlign w:val="center"/>
          </w:tcPr>
          <w:p w14:paraId="58495B66"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Hotărârea Guvernului nr.1136 din 18.10.2007 </w:t>
            </w:r>
          </w:p>
          <w:p w14:paraId="11444920" w14:textId="44E34E2B" w:rsidR="0053515C" w:rsidRPr="0053515C" w:rsidRDefault="0053515C" w:rsidP="00FB1205">
            <w:pPr>
              <w:spacing w:line="276" w:lineRule="auto"/>
              <w:jc w:val="both"/>
              <w:rPr>
                <w:rFonts w:cstheme="majorHAnsi"/>
                <w:sz w:val="20"/>
                <w:szCs w:val="20"/>
              </w:rPr>
            </w:pPr>
            <w:r w:rsidRPr="0053515C">
              <w:rPr>
                <w:rFonts w:cstheme="majorHAnsi"/>
                <w:sz w:val="20"/>
                <w:szCs w:val="20"/>
              </w:rPr>
              <w:t>cu privire la unele măsuri de executare a Legii nr.419-XVIdin 22 decembrie 2006 cu privire la datoria sectorului public,</w:t>
            </w:r>
            <w:r w:rsidR="00B82319">
              <w:rPr>
                <w:rFonts w:cstheme="majorHAnsi"/>
                <w:sz w:val="20"/>
                <w:szCs w:val="20"/>
              </w:rPr>
              <w:t xml:space="preserve"> </w:t>
            </w:r>
            <w:r w:rsidRPr="0053515C">
              <w:rPr>
                <w:rFonts w:cstheme="majorHAnsi"/>
                <w:sz w:val="20"/>
                <w:szCs w:val="20"/>
              </w:rPr>
              <w:t>garanţiile de stat şi recreditarea de stat</w:t>
            </w:r>
          </w:p>
          <w:p w14:paraId="03B607C7" w14:textId="77777777" w:rsidR="0053515C" w:rsidRPr="0053515C" w:rsidRDefault="0053515C" w:rsidP="00FB1205">
            <w:pPr>
              <w:spacing w:line="276" w:lineRule="auto"/>
              <w:jc w:val="both"/>
              <w:rPr>
                <w:rFonts w:cstheme="majorHAnsi"/>
                <w:sz w:val="20"/>
                <w:szCs w:val="20"/>
              </w:rPr>
            </w:pPr>
            <w:r w:rsidRPr="0053515C">
              <w:rPr>
                <w:rFonts w:cstheme="majorHAnsi"/>
                <w:bCs/>
                <w:sz w:val="20"/>
                <w:szCs w:val="20"/>
              </w:rPr>
              <w:t>(cu modificările ulterioare)</w:t>
            </w:r>
          </w:p>
        </w:tc>
        <w:tc>
          <w:tcPr>
            <w:tcW w:w="6636" w:type="dxa"/>
            <w:vAlign w:val="center"/>
          </w:tcPr>
          <w:p w14:paraId="795504C7" w14:textId="04CF85E2" w:rsidR="0053515C" w:rsidRPr="0053515C" w:rsidRDefault="0053515C" w:rsidP="00FB1205">
            <w:pPr>
              <w:spacing w:line="276" w:lineRule="auto"/>
              <w:jc w:val="both"/>
              <w:rPr>
                <w:rFonts w:cstheme="majorHAnsi"/>
                <w:sz w:val="20"/>
                <w:szCs w:val="20"/>
              </w:rPr>
            </w:pPr>
            <w:r w:rsidRPr="0053515C">
              <w:rPr>
                <w:rFonts w:cstheme="majorHAnsi"/>
                <w:sz w:val="20"/>
                <w:szCs w:val="20"/>
              </w:rPr>
              <w:t xml:space="preserve">Aprobă: (1) Regulamentul privind raportarea datoriei publice, conform anexei nr. 1; (2) Regulamentul cu privire la Raportul privind datoria de stat, conform anexei nr.2; (3) Regulamentul cu privire la Raportul privind garanţiile de stat, conform anexei nr.3; (4) Regulamentul cu privire la Raportul privind recreditarea de stat, conform anexei nr.4; (5) Regulamentul privind recreditarea de stat, conform anexei nr.5; (6) Regulamentul privind determinarea cuantumului plăţii de risc la acordarea garanţiei de stat, conform anexei nr.6; (7) Regulamentul privind procedura de contractare şi debursare a împrumuturilor de stat externe </w:t>
            </w:r>
            <w:r w:rsidR="00B82319">
              <w:rPr>
                <w:rFonts w:cstheme="majorHAnsi"/>
                <w:sz w:val="20"/>
                <w:szCs w:val="20"/>
              </w:rPr>
              <w:t>şi interne, conform anexei nr.7</w:t>
            </w:r>
          </w:p>
        </w:tc>
        <w:tc>
          <w:tcPr>
            <w:tcW w:w="3712" w:type="dxa"/>
            <w:shd w:val="clear" w:color="auto" w:fill="auto"/>
            <w:vAlign w:val="center"/>
          </w:tcPr>
          <w:p w14:paraId="4DA53BEE" w14:textId="77777777" w:rsidR="0053515C" w:rsidRPr="0053515C" w:rsidRDefault="0053515C" w:rsidP="00FB1205">
            <w:pPr>
              <w:spacing w:line="276" w:lineRule="auto"/>
              <w:jc w:val="both"/>
              <w:rPr>
                <w:rFonts w:cstheme="majorHAnsi"/>
                <w:b/>
                <w:bCs/>
                <w:i/>
                <w:iCs/>
                <w:sz w:val="20"/>
                <w:szCs w:val="20"/>
              </w:rPr>
            </w:pPr>
            <w:r w:rsidRPr="0053515C">
              <w:rPr>
                <w:rFonts w:cstheme="majorHAnsi"/>
                <w:b/>
                <w:bCs/>
                <w:i/>
                <w:iCs/>
                <w:sz w:val="20"/>
                <w:szCs w:val="20"/>
              </w:rPr>
              <w:t>Administrarea datoriei de stat, garanțiilor de stat și recreditării de stat</w:t>
            </w:r>
          </w:p>
        </w:tc>
      </w:tr>
      <w:tr w:rsidR="0053515C" w:rsidRPr="0053515C" w14:paraId="6E47691F" w14:textId="77777777" w:rsidTr="0044576A">
        <w:trPr>
          <w:trHeight w:val="809"/>
        </w:trPr>
        <w:tc>
          <w:tcPr>
            <w:tcW w:w="620" w:type="dxa"/>
            <w:vAlign w:val="center"/>
          </w:tcPr>
          <w:p w14:paraId="28A316C0"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2.2.</w:t>
            </w:r>
          </w:p>
        </w:tc>
        <w:tc>
          <w:tcPr>
            <w:tcW w:w="4058" w:type="dxa"/>
            <w:vAlign w:val="center"/>
          </w:tcPr>
          <w:p w14:paraId="13AC7B46"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Hotărârea Guvernului nr.56 din 05.02.2020 </w:t>
            </w:r>
          </w:p>
          <w:p w14:paraId="5B01F6C2" w14:textId="77777777" w:rsidR="0053515C" w:rsidRPr="0053515C" w:rsidRDefault="0053515C" w:rsidP="00FB1205">
            <w:pPr>
              <w:spacing w:line="276" w:lineRule="auto"/>
              <w:jc w:val="both"/>
              <w:rPr>
                <w:rFonts w:cstheme="majorHAnsi"/>
                <w:b/>
                <w:bCs/>
                <w:sz w:val="20"/>
                <w:szCs w:val="20"/>
              </w:rPr>
            </w:pPr>
            <w:r w:rsidRPr="0053515C">
              <w:rPr>
                <w:rFonts w:cstheme="majorHAnsi"/>
                <w:bCs/>
                <w:sz w:val="20"/>
                <w:szCs w:val="20"/>
              </w:rPr>
              <w:t>Cu privire la aprobarea Programului „Managementul datoriei de stat pe termen mediu (2020 - 2022)”</w:t>
            </w:r>
            <w:r w:rsidRPr="0053515C">
              <w:rPr>
                <w:rFonts w:cstheme="majorHAnsi"/>
                <w:b/>
                <w:bCs/>
                <w:sz w:val="20"/>
                <w:szCs w:val="20"/>
              </w:rPr>
              <w:t xml:space="preserve"> </w:t>
            </w:r>
          </w:p>
        </w:tc>
        <w:tc>
          <w:tcPr>
            <w:tcW w:w="6636" w:type="dxa"/>
            <w:vAlign w:val="center"/>
          </w:tcPr>
          <w:p w14:paraId="75645181" w14:textId="77777777" w:rsidR="0053515C" w:rsidRPr="0053515C" w:rsidRDefault="0053515C" w:rsidP="00FB1205">
            <w:pPr>
              <w:spacing w:line="276" w:lineRule="auto"/>
              <w:jc w:val="both"/>
              <w:rPr>
                <w:rFonts w:cstheme="majorHAnsi"/>
                <w:sz w:val="20"/>
                <w:szCs w:val="20"/>
              </w:rPr>
            </w:pPr>
            <w:r w:rsidRPr="0053515C">
              <w:rPr>
                <w:rFonts w:cstheme="majorHAnsi"/>
                <w:sz w:val="20"/>
                <w:szCs w:val="20"/>
              </w:rPr>
              <w:t>Stabilește obiectivul fundamental al procesului de management al datoriei de stat, obiectivele specifice, precum și acțiunile care vor fi întreprinse de către autorități în vederea asigurării finanțării și îmbunătățirii structurii portofoliului datoriei de stat, iar implementarea acestora nu va crea presiuni asupra sustenabilității politicii fiscale în ansamblu</w:t>
            </w:r>
          </w:p>
        </w:tc>
        <w:tc>
          <w:tcPr>
            <w:tcW w:w="3712" w:type="dxa"/>
            <w:vAlign w:val="center"/>
          </w:tcPr>
          <w:p w14:paraId="2497CAAF" w14:textId="77777777" w:rsidR="0053515C" w:rsidRPr="0053515C" w:rsidRDefault="0053515C" w:rsidP="00FB1205">
            <w:pPr>
              <w:spacing w:line="276" w:lineRule="auto"/>
              <w:jc w:val="both"/>
              <w:rPr>
                <w:rFonts w:cstheme="majorHAnsi"/>
                <w:b/>
                <w:bCs/>
                <w:i/>
                <w:iCs/>
                <w:sz w:val="20"/>
                <w:szCs w:val="20"/>
              </w:rPr>
            </w:pPr>
            <w:r w:rsidRPr="0053515C">
              <w:rPr>
                <w:rFonts w:cstheme="majorHAnsi"/>
                <w:b/>
                <w:bCs/>
                <w:i/>
                <w:iCs/>
                <w:sz w:val="20"/>
                <w:szCs w:val="20"/>
              </w:rPr>
              <w:t>Administrarea datoriei de stat, garanțiilor de stat și recreditării de stat</w:t>
            </w:r>
          </w:p>
        </w:tc>
      </w:tr>
      <w:tr w:rsidR="0053515C" w:rsidRPr="0053515C" w14:paraId="0B10AD6B" w14:textId="77777777" w:rsidTr="0044576A">
        <w:trPr>
          <w:trHeight w:val="809"/>
        </w:trPr>
        <w:tc>
          <w:tcPr>
            <w:tcW w:w="620" w:type="dxa"/>
            <w:vAlign w:val="center"/>
          </w:tcPr>
          <w:p w14:paraId="4498CA64"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2.3.</w:t>
            </w:r>
          </w:p>
        </w:tc>
        <w:tc>
          <w:tcPr>
            <w:tcW w:w="4058" w:type="dxa"/>
            <w:vAlign w:val="center"/>
          </w:tcPr>
          <w:p w14:paraId="3499292F"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Hotărârea Guvernului nr.202 din 28.02.2018 </w:t>
            </w:r>
          </w:p>
          <w:p w14:paraId="72CDB528"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Cu privire la aprobarea Regulamentului de implementare a Programului de stat „Prima casă”</w:t>
            </w:r>
          </w:p>
          <w:p w14:paraId="58ABAB80" w14:textId="77777777" w:rsidR="0053515C" w:rsidRPr="0053515C" w:rsidRDefault="0053515C" w:rsidP="00FB1205">
            <w:pPr>
              <w:spacing w:line="276" w:lineRule="auto"/>
              <w:jc w:val="both"/>
              <w:rPr>
                <w:rFonts w:cstheme="majorHAnsi"/>
                <w:b/>
                <w:bCs/>
                <w:sz w:val="20"/>
                <w:szCs w:val="20"/>
              </w:rPr>
            </w:pPr>
            <w:r w:rsidRPr="0053515C">
              <w:rPr>
                <w:rFonts w:cstheme="majorHAnsi"/>
                <w:bCs/>
                <w:sz w:val="20"/>
                <w:szCs w:val="20"/>
              </w:rPr>
              <w:t>(cu modificările ulterioare)</w:t>
            </w:r>
          </w:p>
        </w:tc>
        <w:tc>
          <w:tcPr>
            <w:tcW w:w="6636" w:type="dxa"/>
            <w:vAlign w:val="center"/>
          </w:tcPr>
          <w:p w14:paraId="4CDF43F6" w14:textId="77777777" w:rsidR="0053515C" w:rsidRPr="0053515C" w:rsidRDefault="0053515C" w:rsidP="00FB1205">
            <w:pPr>
              <w:spacing w:line="276" w:lineRule="auto"/>
              <w:jc w:val="both"/>
              <w:rPr>
                <w:rFonts w:cstheme="majorHAnsi"/>
                <w:sz w:val="20"/>
                <w:szCs w:val="20"/>
              </w:rPr>
            </w:pPr>
            <w:r w:rsidRPr="0053515C">
              <w:rPr>
                <w:rFonts w:cstheme="majorHAnsi"/>
                <w:sz w:val="20"/>
                <w:szCs w:val="20"/>
              </w:rPr>
              <w:t>Aprobă Regulamentul de implementare a Programului de stat „Prima casă”</w:t>
            </w:r>
          </w:p>
        </w:tc>
        <w:tc>
          <w:tcPr>
            <w:tcW w:w="3712" w:type="dxa"/>
            <w:vAlign w:val="center"/>
          </w:tcPr>
          <w:p w14:paraId="2C3F14E0"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bCs/>
                <w:i/>
                <w:iCs/>
                <w:sz w:val="20"/>
                <w:szCs w:val="20"/>
              </w:rPr>
              <w:t>Acordarea garanțiilor de stat interne</w:t>
            </w:r>
          </w:p>
        </w:tc>
      </w:tr>
      <w:tr w:rsidR="0053515C" w:rsidRPr="0053515C" w14:paraId="49684FC3" w14:textId="77777777" w:rsidTr="0044576A">
        <w:trPr>
          <w:trHeight w:val="1178"/>
        </w:trPr>
        <w:tc>
          <w:tcPr>
            <w:tcW w:w="620" w:type="dxa"/>
            <w:vAlign w:val="center"/>
          </w:tcPr>
          <w:p w14:paraId="19D9A5C2" w14:textId="77777777" w:rsidR="0053515C" w:rsidRPr="0053515C" w:rsidRDefault="0053515C" w:rsidP="00FB1205">
            <w:pPr>
              <w:spacing w:line="276" w:lineRule="auto"/>
              <w:jc w:val="both"/>
              <w:rPr>
                <w:rFonts w:cstheme="majorHAnsi"/>
                <w:b/>
                <w:bCs/>
                <w:sz w:val="20"/>
                <w:szCs w:val="20"/>
              </w:rPr>
            </w:pPr>
          </w:p>
        </w:tc>
        <w:tc>
          <w:tcPr>
            <w:tcW w:w="4058" w:type="dxa"/>
            <w:vAlign w:val="center"/>
          </w:tcPr>
          <w:p w14:paraId="4DB8CCAE"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Hotărârea Guvernului nr.338 din 03.06.2020</w:t>
            </w:r>
          </w:p>
          <w:p w14:paraId="45911ACF"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 xml:space="preserve">Cu privire la Oficiul de Gestionare a Programelor de Asistență Externă </w:t>
            </w:r>
          </w:p>
          <w:p w14:paraId="6ABE4ABE" w14:textId="77777777" w:rsidR="0053515C" w:rsidRPr="0053515C" w:rsidRDefault="0053515C" w:rsidP="00FB1205">
            <w:pPr>
              <w:spacing w:line="276" w:lineRule="auto"/>
              <w:jc w:val="both"/>
              <w:rPr>
                <w:rFonts w:cstheme="majorHAnsi"/>
                <w:b/>
                <w:bCs/>
                <w:sz w:val="20"/>
                <w:szCs w:val="20"/>
              </w:rPr>
            </w:pPr>
          </w:p>
        </w:tc>
        <w:tc>
          <w:tcPr>
            <w:tcW w:w="6636" w:type="dxa"/>
            <w:vAlign w:val="center"/>
          </w:tcPr>
          <w:p w14:paraId="2146492C" w14:textId="77777777" w:rsidR="0053515C" w:rsidRPr="0053515C" w:rsidRDefault="0053515C" w:rsidP="00FB1205">
            <w:pPr>
              <w:spacing w:line="276" w:lineRule="auto"/>
              <w:jc w:val="both"/>
              <w:rPr>
                <w:rFonts w:cstheme="majorHAnsi"/>
                <w:sz w:val="20"/>
                <w:szCs w:val="20"/>
              </w:rPr>
            </w:pPr>
            <w:r w:rsidRPr="0053515C">
              <w:rPr>
                <w:rFonts w:cstheme="majorHAnsi"/>
                <w:sz w:val="20"/>
                <w:szCs w:val="20"/>
              </w:rPr>
              <w:t>Aprobă statutul Instituției Publice „Oficiul de Gestionare a Programelor de Asistență Externă”</w:t>
            </w:r>
          </w:p>
        </w:tc>
        <w:tc>
          <w:tcPr>
            <w:tcW w:w="3712" w:type="dxa"/>
            <w:vAlign w:val="center"/>
          </w:tcPr>
          <w:p w14:paraId="2071D0E9"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bCs/>
                <w:i/>
                <w:iCs/>
                <w:sz w:val="20"/>
                <w:szCs w:val="20"/>
              </w:rPr>
              <w:t>Administrarea datoriei de stat externe</w:t>
            </w:r>
          </w:p>
        </w:tc>
      </w:tr>
      <w:tr w:rsidR="0053515C" w:rsidRPr="0053515C" w14:paraId="504E5F1F" w14:textId="77777777" w:rsidTr="0044576A">
        <w:trPr>
          <w:trHeight w:val="395"/>
        </w:trPr>
        <w:tc>
          <w:tcPr>
            <w:tcW w:w="15026" w:type="dxa"/>
            <w:gridSpan w:val="4"/>
            <w:vAlign w:val="center"/>
          </w:tcPr>
          <w:p w14:paraId="41C8D2DE" w14:textId="77777777" w:rsidR="0053515C" w:rsidRPr="0053515C" w:rsidRDefault="0053515C" w:rsidP="0044576A">
            <w:pPr>
              <w:spacing w:line="276" w:lineRule="auto"/>
              <w:jc w:val="center"/>
              <w:rPr>
                <w:rFonts w:cstheme="majorHAnsi"/>
                <w:b/>
                <w:bCs/>
                <w:sz w:val="20"/>
                <w:szCs w:val="20"/>
              </w:rPr>
            </w:pPr>
            <w:r w:rsidRPr="0053515C">
              <w:rPr>
                <w:rFonts w:cstheme="majorHAnsi"/>
                <w:b/>
                <w:bCs/>
                <w:sz w:val="20"/>
                <w:szCs w:val="20"/>
              </w:rPr>
              <w:t>III. ACORDURI DE ÎMPRUMUT 2020</w:t>
            </w:r>
          </w:p>
        </w:tc>
      </w:tr>
      <w:tr w:rsidR="0053515C" w:rsidRPr="0053515C" w14:paraId="042FF926" w14:textId="77777777" w:rsidTr="0044576A">
        <w:trPr>
          <w:trHeight w:val="998"/>
        </w:trPr>
        <w:tc>
          <w:tcPr>
            <w:tcW w:w="620" w:type="dxa"/>
            <w:vAlign w:val="center"/>
          </w:tcPr>
          <w:p w14:paraId="69A4053F"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3.1.</w:t>
            </w:r>
          </w:p>
        </w:tc>
        <w:tc>
          <w:tcPr>
            <w:tcW w:w="4058" w:type="dxa"/>
            <w:vAlign w:val="center"/>
          </w:tcPr>
          <w:p w14:paraId="546A2BAF"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nr.68 din 21.05.2020 </w:t>
            </w:r>
          </w:p>
          <w:p w14:paraId="081AC4B3" w14:textId="77777777" w:rsidR="0053515C" w:rsidRPr="0053515C" w:rsidRDefault="0053515C" w:rsidP="00FB1205">
            <w:pPr>
              <w:spacing w:line="276" w:lineRule="auto"/>
              <w:jc w:val="both"/>
              <w:rPr>
                <w:rFonts w:cstheme="majorHAnsi"/>
                <w:sz w:val="20"/>
                <w:szCs w:val="20"/>
              </w:rPr>
            </w:pPr>
            <w:r w:rsidRPr="0053515C">
              <w:rPr>
                <w:rFonts w:cstheme="majorHAnsi"/>
                <w:bCs/>
                <w:sz w:val="20"/>
                <w:szCs w:val="20"/>
              </w:rPr>
              <w:t>pentru ratificarea Acordului de finanţare dintre Republica Moldova şi Asociaţia Internaţională pentru Dezvoltare privind implementarea Proiectului „Răspuns de urgenţă la COVID-19”</w:t>
            </w:r>
          </w:p>
        </w:tc>
        <w:tc>
          <w:tcPr>
            <w:tcW w:w="6636" w:type="dxa"/>
            <w:vAlign w:val="center"/>
          </w:tcPr>
          <w:p w14:paraId="05F8BEA1" w14:textId="5F104528" w:rsidR="0053515C" w:rsidRPr="0053515C" w:rsidRDefault="0053515C" w:rsidP="00FB1205">
            <w:pPr>
              <w:spacing w:line="276" w:lineRule="auto"/>
              <w:jc w:val="both"/>
              <w:rPr>
                <w:rFonts w:cstheme="majorHAnsi"/>
                <w:sz w:val="20"/>
                <w:szCs w:val="20"/>
              </w:rPr>
            </w:pPr>
            <w:r w:rsidRPr="0053515C">
              <w:rPr>
                <w:rFonts w:cstheme="majorHAnsi"/>
                <w:bCs/>
                <w:sz w:val="20"/>
                <w:szCs w:val="20"/>
              </w:rPr>
              <w:t xml:space="preserve">Ratifică Acordul de finanţare dintre Republica Moldova şi Asociaţia Internaţională pentru Dezvoltare privind implementarea Proiectului „Răspuns de urgenţă la COVID-19”, în valoare de 52,9 milioane de </w:t>
            </w:r>
            <w:r w:rsidR="00B82319">
              <w:rPr>
                <w:rFonts w:cstheme="majorHAnsi"/>
                <w:bCs/>
                <w:sz w:val="20"/>
                <w:szCs w:val="20"/>
              </w:rPr>
              <w:t>euro, semnat la 28 aprilie 2020</w:t>
            </w:r>
          </w:p>
        </w:tc>
        <w:tc>
          <w:tcPr>
            <w:tcW w:w="3712" w:type="dxa"/>
            <w:vAlign w:val="center"/>
          </w:tcPr>
          <w:p w14:paraId="32B5D16C" w14:textId="77777777" w:rsidR="0053515C" w:rsidRPr="0053515C" w:rsidRDefault="0053515C" w:rsidP="00FB1205">
            <w:pPr>
              <w:spacing w:line="276" w:lineRule="auto"/>
              <w:jc w:val="both"/>
              <w:rPr>
                <w:rFonts w:cstheme="majorHAnsi"/>
                <w:b/>
                <w:i/>
                <w:sz w:val="20"/>
                <w:szCs w:val="20"/>
                <w:highlight w:val="yellow"/>
              </w:rPr>
            </w:pPr>
            <w:r w:rsidRPr="0053515C">
              <w:rPr>
                <w:rFonts w:cstheme="majorHAnsi"/>
                <w:b/>
                <w:i/>
                <w:sz w:val="20"/>
                <w:szCs w:val="20"/>
              </w:rPr>
              <w:t>Administrarea datoriei de stat externe</w:t>
            </w:r>
          </w:p>
        </w:tc>
      </w:tr>
      <w:tr w:rsidR="0053515C" w:rsidRPr="0053515C" w14:paraId="18D4CBAF" w14:textId="77777777" w:rsidTr="0044576A">
        <w:trPr>
          <w:trHeight w:val="998"/>
        </w:trPr>
        <w:tc>
          <w:tcPr>
            <w:tcW w:w="620" w:type="dxa"/>
            <w:vAlign w:val="center"/>
          </w:tcPr>
          <w:p w14:paraId="3F75E346"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3.2.</w:t>
            </w:r>
          </w:p>
        </w:tc>
        <w:tc>
          <w:tcPr>
            <w:tcW w:w="4058" w:type="dxa"/>
            <w:vAlign w:val="center"/>
          </w:tcPr>
          <w:p w14:paraId="289CBE50"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nr.103 din 18.06.2020 </w:t>
            </w:r>
          </w:p>
          <w:p w14:paraId="203DBA49"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pentru ratificarea Acordului de finanțare (Proiectul „Învățământul superior”) dintre Republica Moldova și Asociația Internațională pentru Dezvoltare</w:t>
            </w:r>
          </w:p>
        </w:tc>
        <w:tc>
          <w:tcPr>
            <w:tcW w:w="6636" w:type="dxa"/>
            <w:vAlign w:val="center"/>
          </w:tcPr>
          <w:p w14:paraId="7B205756" w14:textId="11EAC644" w:rsidR="0053515C" w:rsidRPr="0053515C" w:rsidRDefault="0053515C" w:rsidP="00FB1205">
            <w:pPr>
              <w:spacing w:line="276" w:lineRule="auto"/>
              <w:jc w:val="both"/>
              <w:rPr>
                <w:rFonts w:cstheme="majorHAnsi"/>
                <w:bCs/>
                <w:sz w:val="20"/>
                <w:szCs w:val="20"/>
              </w:rPr>
            </w:pPr>
            <w:r w:rsidRPr="0053515C">
              <w:rPr>
                <w:rFonts w:cstheme="majorHAnsi"/>
                <w:bCs/>
                <w:sz w:val="20"/>
                <w:szCs w:val="20"/>
              </w:rPr>
              <w:t>Ratifică Acordul de finanţare (Proiectul „Învăţământul superior”) dintre Republica Moldova şi Asociaţia Internaţională pentru De</w:t>
            </w:r>
            <w:r w:rsidR="00B82319">
              <w:rPr>
                <w:rFonts w:cstheme="majorHAnsi"/>
                <w:bCs/>
                <w:sz w:val="20"/>
                <w:szCs w:val="20"/>
              </w:rPr>
              <w:t>zvoltare, semnat la 19 mai 2020</w:t>
            </w:r>
          </w:p>
          <w:p w14:paraId="22C36FC3" w14:textId="77777777" w:rsidR="0053515C" w:rsidRPr="0053515C" w:rsidRDefault="0053515C" w:rsidP="00FB1205">
            <w:pPr>
              <w:spacing w:line="276" w:lineRule="auto"/>
              <w:jc w:val="both"/>
              <w:rPr>
                <w:rFonts w:cstheme="majorHAnsi"/>
                <w:sz w:val="20"/>
                <w:szCs w:val="20"/>
              </w:rPr>
            </w:pPr>
            <w:r w:rsidRPr="0053515C">
              <w:rPr>
                <w:rFonts w:cstheme="majorHAnsi"/>
                <w:bCs/>
                <w:sz w:val="20"/>
                <w:szCs w:val="20"/>
              </w:rPr>
              <w:t> </w:t>
            </w:r>
          </w:p>
        </w:tc>
        <w:tc>
          <w:tcPr>
            <w:tcW w:w="3712" w:type="dxa"/>
            <w:vAlign w:val="center"/>
          </w:tcPr>
          <w:p w14:paraId="3EA34682"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r w:rsidR="0053515C" w:rsidRPr="0053515C" w14:paraId="253F36BF" w14:textId="77777777" w:rsidTr="0044576A">
        <w:trPr>
          <w:trHeight w:val="998"/>
        </w:trPr>
        <w:tc>
          <w:tcPr>
            <w:tcW w:w="620" w:type="dxa"/>
            <w:vAlign w:val="center"/>
          </w:tcPr>
          <w:p w14:paraId="3696C5FA"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3.3.</w:t>
            </w:r>
          </w:p>
        </w:tc>
        <w:tc>
          <w:tcPr>
            <w:tcW w:w="4058" w:type="dxa"/>
            <w:vAlign w:val="center"/>
          </w:tcPr>
          <w:p w14:paraId="5135D3A6"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nr.171 din 10.09.2020 </w:t>
            </w:r>
          </w:p>
          <w:p w14:paraId="19055A41" w14:textId="77777777" w:rsidR="0053515C" w:rsidRPr="0053515C" w:rsidRDefault="0053515C" w:rsidP="00FB1205">
            <w:pPr>
              <w:spacing w:line="276" w:lineRule="auto"/>
              <w:jc w:val="both"/>
              <w:rPr>
                <w:rFonts w:cstheme="majorHAnsi"/>
                <w:b/>
                <w:bCs/>
                <w:sz w:val="20"/>
                <w:szCs w:val="20"/>
              </w:rPr>
            </w:pPr>
            <w:r w:rsidRPr="0053515C">
              <w:rPr>
                <w:rFonts w:cstheme="majorHAnsi"/>
                <w:bCs/>
                <w:sz w:val="20"/>
                <w:szCs w:val="20"/>
              </w:rPr>
              <w:t>pentru ratificarea Acordului de împrumut între Guvernul Republicii Moldova şi Agenţia Japoneză pentru Cooperare Internaţională în vederea realizării Proiectului „Modernizarea tehnicii şi a echipamentului agricol”</w:t>
            </w:r>
          </w:p>
        </w:tc>
        <w:tc>
          <w:tcPr>
            <w:tcW w:w="6636" w:type="dxa"/>
            <w:vAlign w:val="center"/>
          </w:tcPr>
          <w:p w14:paraId="7D642602" w14:textId="28037661" w:rsidR="0053515C" w:rsidRPr="0053515C" w:rsidRDefault="0053515C" w:rsidP="00FB1205">
            <w:pPr>
              <w:spacing w:line="276" w:lineRule="auto"/>
              <w:jc w:val="both"/>
              <w:rPr>
                <w:rFonts w:cstheme="majorHAnsi"/>
                <w:sz w:val="20"/>
                <w:szCs w:val="20"/>
              </w:rPr>
            </w:pPr>
            <w:r w:rsidRPr="0053515C">
              <w:rPr>
                <w:rFonts w:cstheme="majorHAnsi"/>
                <w:bCs/>
                <w:sz w:val="20"/>
                <w:szCs w:val="20"/>
              </w:rPr>
              <w:t>Ratifică Acordul de împrumut între Guvernul Republicii Moldova şi Agenţia Japoneză pentru Cooperare Internaţională în vederea realizării Proiectului „Modernizarea tehnicii şi a echipamentului agricol”, s</w:t>
            </w:r>
            <w:r w:rsidR="00B82319">
              <w:rPr>
                <w:rFonts w:cstheme="majorHAnsi"/>
                <w:bCs/>
                <w:sz w:val="20"/>
                <w:szCs w:val="20"/>
              </w:rPr>
              <w:t>emnat la Tokyo la 30 iunie 2020</w:t>
            </w:r>
          </w:p>
        </w:tc>
        <w:tc>
          <w:tcPr>
            <w:tcW w:w="3712" w:type="dxa"/>
            <w:vAlign w:val="center"/>
          </w:tcPr>
          <w:p w14:paraId="061315FD"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r w:rsidR="0053515C" w:rsidRPr="0053515C" w14:paraId="74DB0028" w14:textId="77777777" w:rsidTr="0044576A">
        <w:trPr>
          <w:trHeight w:val="998"/>
        </w:trPr>
        <w:tc>
          <w:tcPr>
            <w:tcW w:w="620" w:type="dxa"/>
            <w:vAlign w:val="center"/>
          </w:tcPr>
          <w:p w14:paraId="0523FAD5"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3.4.</w:t>
            </w:r>
          </w:p>
        </w:tc>
        <w:tc>
          <w:tcPr>
            <w:tcW w:w="4058" w:type="dxa"/>
            <w:vAlign w:val="center"/>
          </w:tcPr>
          <w:p w14:paraId="505A6EC2"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nr.166 din 10.09.2020 </w:t>
            </w:r>
          </w:p>
          <w:p w14:paraId="3857D6DA"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pentru ratificarea Acordului de împrumut dintre Republica Moldova şi Uniunea Europeană privind asistenţa macrofinanciară pentru Republica Moldova</w:t>
            </w:r>
          </w:p>
        </w:tc>
        <w:tc>
          <w:tcPr>
            <w:tcW w:w="6636" w:type="dxa"/>
            <w:vAlign w:val="center"/>
          </w:tcPr>
          <w:p w14:paraId="1CDA42E3" w14:textId="3B0B5AFE" w:rsidR="0053515C" w:rsidRPr="0053515C" w:rsidRDefault="0053515C" w:rsidP="00FB1205">
            <w:pPr>
              <w:spacing w:line="276" w:lineRule="auto"/>
              <w:jc w:val="both"/>
              <w:rPr>
                <w:rFonts w:cstheme="majorHAnsi"/>
                <w:sz w:val="20"/>
                <w:szCs w:val="20"/>
              </w:rPr>
            </w:pPr>
            <w:r w:rsidRPr="0053515C">
              <w:rPr>
                <w:rFonts w:cstheme="majorHAnsi"/>
                <w:bCs/>
                <w:sz w:val="20"/>
                <w:szCs w:val="20"/>
              </w:rPr>
              <w:t>Ratifică Acordul de împrumut dintre Republica Moldova şi Uniunea Europeană privind asistenţa macrofinanciară pentru Republica Moldova în valoare de 100 de milioane de euro, semnat la Chişinău la 21 iulie 2020 ş</w:t>
            </w:r>
            <w:r w:rsidR="00B82319">
              <w:rPr>
                <w:rFonts w:cstheme="majorHAnsi"/>
                <w:bCs/>
                <w:sz w:val="20"/>
                <w:szCs w:val="20"/>
              </w:rPr>
              <w:t>i la Bruxelles la 23 iulie 2020</w:t>
            </w:r>
          </w:p>
        </w:tc>
        <w:tc>
          <w:tcPr>
            <w:tcW w:w="3712" w:type="dxa"/>
            <w:vAlign w:val="center"/>
          </w:tcPr>
          <w:p w14:paraId="7C44C232"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r w:rsidR="0053515C" w:rsidRPr="0053515C" w14:paraId="3F4CD3C4" w14:textId="77777777" w:rsidTr="0044576A">
        <w:trPr>
          <w:trHeight w:val="998"/>
        </w:trPr>
        <w:tc>
          <w:tcPr>
            <w:tcW w:w="620" w:type="dxa"/>
            <w:vAlign w:val="center"/>
          </w:tcPr>
          <w:p w14:paraId="10A1F273"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3.5.</w:t>
            </w:r>
          </w:p>
        </w:tc>
        <w:tc>
          <w:tcPr>
            <w:tcW w:w="4058" w:type="dxa"/>
            <w:vAlign w:val="center"/>
          </w:tcPr>
          <w:p w14:paraId="2FDED941"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nr.168 din 10.09.2020 </w:t>
            </w:r>
          </w:p>
          <w:p w14:paraId="1341644A" w14:textId="77777777" w:rsidR="0053515C" w:rsidRPr="0053515C" w:rsidRDefault="0053515C" w:rsidP="00FB1205">
            <w:pPr>
              <w:spacing w:line="276" w:lineRule="auto"/>
              <w:jc w:val="both"/>
              <w:rPr>
                <w:rFonts w:cstheme="majorHAnsi"/>
                <w:b/>
                <w:bCs/>
                <w:sz w:val="20"/>
                <w:szCs w:val="20"/>
              </w:rPr>
            </w:pPr>
            <w:r w:rsidRPr="0053515C">
              <w:rPr>
                <w:rFonts w:cstheme="majorHAnsi"/>
                <w:bCs/>
                <w:sz w:val="20"/>
                <w:szCs w:val="20"/>
              </w:rPr>
              <w:t>privind ratificarea Acordului-cadru de împrumut dintre Republica Moldova şi Banca de Dezvoltare a Consiliului Europei pentru realizarea Proiectului „Răspuns de urgenţă la COVID-19 şi suport pentru întreprinderile micro, mici şi mijlocii”</w:t>
            </w:r>
          </w:p>
        </w:tc>
        <w:tc>
          <w:tcPr>
            <w:tcW w:w="6636" w:type="dxa"/>
            <w:vAlign w:val="center"/>
          </w:tcPr>
          <w:p w14:paraId="4EB11DE9" w14:textId="1C379608" w:rsidR="0053515C" w:rsidRPr="0053515C" w:rsidRDefault="0053515C" w:rsidP="00FB1205">
            <w:pPr>
              <w:spacing w:line="276" w:lineRule="auto"/>
              <w:jc w:val="both"/>
              <w:rPr>
                <w:rFonts w:cstheme="majorHAnsi"/>
                <w:sz w:val="20"/>
                <w:szCs w:val="20"/>
              </w:rPr>
            </w:pPr>
            <w:r w:rsidRPr="0053515C">
              <w:rPr>
                <w:rFonts w:cstheme="majorHAnsi"/>
                <w:bCs/>
                <w:sz w:val="20"/>
                <w:szCs w:val="20"/>
              </w:rPr>
              <w:t>Ratifică Acordul-cadru de împrumut dintre Republica Moldova şi Banca de Dezvoltare a Consiliului Europei pentru realizarea proiectului „Răspuns de urgenţă la COVID-19 şi suport pentru întreprinderile micro, mici şi mij</w:t>
            </w:r>
            <w:r w:rsidR="00B82319">
              <w:rPr>
                <w:rFonts w:cstheme="majorHAnsi"/>
                <w:bCs/>
                <w:sz w:val="20"/>
                <w:szCs w:val="20"/>
              </w:rPr>
              <w:t>locii”, semnat la 29 iulie 2020</w:t>
            </w:r>
          </w:p>
        </w:tc>
        <w:tc>
          <w:tcPr>
            <w:tcW w:w="3712" w:type="dxa"/>
            <w:vAlign w:val="center"/>
          </w:tcPr>
          <w:p w14:paraId="7BD541DE"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r w:rsidR="0053515C" w:rsidRPr="0053515C" w14:paraId="6479DABB" w14:textId="77777777" w:rsidTr="0044576A">
        <w:trPr>
          <w:trHeight w:val="998"/>
        </w:trPr>
        <w:tc>
          <w:tcPr>
            <w:tcW w:w="620" w:type="dxa"/>
            <w:vAlign w:val="center"/>
          </w:tcPr>
          <w:p w14:paraId="0164D242"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3.6.</w:t>
            </w:r>
          </w:p>
        </w:tc>
        <w:tc>
          <w:tcPr>
            <w:tcW w:w="4058" w:type="dxa"/>
            <w:vAlign w:val="center"/>
          </w:tcPr>
          <w:p w14:paraId="13E2EF78"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nr.194 din 19.11.2020 </w:t>
            </w:r>
          </w:p>
          <w:p w14:paraId="040978A2"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pentru ratificarea Acordului de finanţare dintre Republica Moldova şi Fondul Internaţional pentru Dezvoltarea Agricolă în vederea realizării Proiectului „Îmbunătăţirea capacităţilor pentru transformarea zonei rurale (IFAD VIII)”</w:t>
            </w:r>
          </w:p>
        </w:tc>
        <w:tc>
          <w:tcPr>
            <w:tcW w:w="6636" w:type="dxa"/>
            <w:vAlign w:val="center"/>
          </w:tcPr>
          <w:p w14:paraId="7A659A01" w14:textId="1B670D22" w:rsidR="0053515C" w:rsidRPr="0053515C" w:rsidRDefault="0053515C" w:rsidP="00FB1205">
            <w:pPr>
              <w:spacing w:line="276" w:lineRule="auto"/>
              <w:jc w:val="both"/>
              <w:rPr>
                <w:rFonts w:cstheme="majorHAnsi"/>
                <w:sz w:val="20"/>
                <w:szCs w:val="20"/>
              </w:rPr>
            </w:pPr>
            <w:r w:rsidRPr="0053515C">
              <w:rPr>
                <w:rFonts w:cstheme="majorHAnsi"/>
                <w:bCs/>
                <w:sz w:val="20"/>
                <w:szCs w:val="20"/>
              </w:rPr>
              <w:t xml:space="preserve">Ratifică Acordul de finanţare dintre Republica Moldova şi Fondul Internaţional pentru Dezvoltarea Agricolă în vederea realizării Proiectului „Îmbunătăţirea capacităţilor pentru transformarea zonei rurale (IFAD </w:t>
            </w:r>
            <w:r w:rsidR="00B82319">
              <w:rPr>
                <w:rFonts w:cstheme="majorHAnsi"/>
                <w:bCs/>
                <w:sz w:val="20"/>
                <w:szCs w:val="20"/>
              </w:rPr>
              <w:t>VIII)”, semnat la 26 iunie 2020</w:t>
            </w:r>
          </w:p>
        </w:tc>
        <w:tc>
          <w:tcPr>
            <w:tcW w:w="3712" w:type="dxa"/>
            <w:vAlign w:val="center"/>
          </w:tcPr>
          <w:p w14:paraId="26D214EF"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r w:rsidR="0053515C" w:rsidRPr="0053515C" w14:paraId="494D89CE" w14:textId="77777777" w:rsidTr="0044576A">
        <w:trPr>
          <w:trHeight w:val="998"/>
        </w:trPr>
        <w:tc>
          <w:tcPr>
            <w:tcW w:w="620" w:type="dxa"/>
            <w:vAlign w:val="center"/>
          </w:tcPr>
          <w:p w14:paraId="31C923D5"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3.7.</w:t>
            </w:r>
          </w:p>
        </w:tc>
        <w:tc>
          <w:tcPr>
            <w:tcW w:w="4058" w:type="dxa"/>
            <w:vAlign w:val="center"/>
          </w:tcPr>
          <w:p w14:paraId="0C706B70"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  Legea nr.193 din 19.11.2020</w:t>
            </w:r>
          </w:p>
          <w:p w14:paraId="4FD65EFC" w14:textId="29456BBC" w:rsidR="0053515C" w:rsidRPr="0053515C" w:rsidRDefault="0053515C" w:rsidP="00FB1205">
            <w:pPr>
              <w:spacing w:line="276" w:lineRule="auto"/>
              <w:jc w:val="both"/>
              <w:rPr>
                <w:rFonts w:cstheme="majorHAnsi"/>
                <w:bCs/>
                <w:sz w:val="20"/>
                <w:szCs w:val="20"/>
              </w:rPr>
            </w:pPr>
            <w:r w:rsidRPr="0053515C">
              <w:rPr>
                <w:rFonts w:cstheme="majorHAnsi"/>
                <w:bCs/>
                <w:sz w:val="20"/>
                <w:szCs w:val="20"/>
              </w:rPr>
              <w:t>pentru ratificarea Acordului de împrumut dintre Republica Moldova şi Banca</w:t>
            </w:r>
          </w:p>
          <w:p w14:paraId="6E06C555" w14:textId="77777777" w:rsidR="0053515C" w:rsidRPr="0053515C" w:rsidRDefault="0053515C" w:rsidP="00FB1205">
            <w:pPr>
              <w:spacing w:line="276" w:lineRule="auto"/>
              <w:jc w:val="both"/>
              <w:rPr>
                <w:rFonts w:cstheme="majorHAnsi"/>
                <w:b/>
                <w:bCs/>
                <w:sz w:val="20"/>
                <w:szCs w:val="20"/>
              </w:rPr>
            </w:pPr>
            <w:r w:rsidRPr="0053515C">
              <w:rPr>
                <w:rFonts w:cstheme="majorHAnsi"/>
                <w:bCs/>
                <w:sz w:val="20"/>
                <w:szCs w:val="20"/>
              </w:rPr>
              <w:t>Internaţională pentru Reconstrucţie şi Dezvoltare privind realizarea celui de-al doilea Proiect de îmbunătăţire a eficienţei sistemului de alimentare centralizată cu energie termică</w:t>
            </w:r>
          </w:p>
        </w:tc>
        <w:tc>
          <w:tcPr>
            <w:tcW w:w="6636" w:type="dxa"/>
            <w:vAlign w:val="center"/>
          </w:tcPr>
          <w:p w14:paraId="14CD3B47" w14:textId="4D6A64D2" w:rsidR="0053515C" w:rsidRPr="0053515C" w:rsidRDefault="0053515C" w:rsidP="00FB1205">
            <w:pPr>
              <w:spacing w:line="276" w:lineRule="auto"/>
              <w:jc w:val="both"/>
              <w:rPr>
                <w:rFonts w:cstheme="majorHAnsi"/>
                <w:sz w:val="20"/>
                <w:szCs w:val="20"/>
              </w:rPr>
            </w:pPr>
            <w:r w:rsidRPr="0053515C">
              <w:rPr>
                <w:rFonts w:cstheme="majorHAnsi"/>
                <w:bCs/>
                <w:sz w:val="20"/>
                <w:szCs w:val="20"/>
              </w:rPr>
              <w:t>Ratifică Acordul de împrumut dintre Republica Moldova şi Banca Internaţională pentru Reconstrucţie şi Dezvoltare privind realizarea celui de-al doilea Proiect de îmbunătăţire a eficienţei sistemului de alimentare centralizată cu energie termic</w:t>
            </w:r>
            <w:r w:rsidR="00B82319">
              <w:rPr>
                <w:rFonts w:cstheme="majorHAnsi"/>
                <w:bCs/>
                <w:sz w:val="20"/>
                <w:szCs w:val="20"/>
              </w:rPr>
              <w:t xml:space="preserve">ă, în valoare de 92 milioane </w:t>
            </w:r>
            <w:r w:rsidRPr="0053515C">
              <w:rPr>
                <w:rFonts w:cstheme="majorHAnsi"/>
                <w:bCs/>
                <w:sz w:val="20"/>
                <w:szCs w:val="20"/>
              </w:rPr>
              <w:t>euro, semnat la</w:t>
            </w:r>
            <w:r w:rsidR="00B82319">
              <w:rPr>
                <w:rFonts w:cstheme="majorHAnsi"/>
                <w:bCs/>
                <w:sz w:val="20"/>
                <w:szCs w:val="20"/>
              </w:rPr>
              <w:t xml:space="preserve"> Chişinău la 30 septembrie 2020</w:t>
            </w:r>
          </w:p>
        </w:tc>
        <w:tc>
          <w:tcPr>
            <w:tcW w:w="3712" w:type="dxa"/>
            <w:vAlign w:val="center"/>
          </w:tcPr>
          <w:p w14:paraId="2067CDC4"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r w:rsidR="0053515C" w:rsidRPr="0053515C" w14:paraId="7888B244" w14:textId="77777777" w:rsidTr="0044576A">
        <w:trPr>
          <w:trHeight w:val="998"/>
        </w:trPr>
        <w:tc>
          <w:tcPr>
            <w:tcW w:w="620" w:type="dxa"/>
            <w:vAlign w:val="center"/>
          </w:tcPr>
          <w:p w14:paraId="3EAC871E"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3.8.</w:t>
            </w:r>
          </w:p>
        </w:tc>
        <w:tc>
          <w:tcPr>
            <w:tcW w:w="4058" w:type="dxa"/>
            <w:vAlign w:val="center"/>
          </w:tcPr>
          <w:p w14:paraId="7BC85739"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  Legea nr.199 din 20.11.2020</w:t>
            </w:r>
          </w:p>
          <w:p w14:paraId="4FC710EE" w14:textId="449FB361" w:rsidR="0053515C" w:rsidRPr="0053515C" w:rsidRDefault="0053515C" w:rsidP="00FB1205">
            <w:pPr>
              <w:spacing w:line="276" w:lineRule="auto"/>
              <w:jc w:val="both"/>
              <w:rPr>
                <w:rFonts w:cstheme="majorHAnsi"/>
                <w:bCs/>
                <w:sz w:val="20"/>
                <w:szCs w:val="20"/>
              </w:rPr>
            </w:pPr>
            <w:r w:rsidRPr="0053515C">
              <w:rPr>
                <w:rFonts w:cstheme="majorHAnsi"/>
                <w:bCs/>
                <w:sz w:val="20"/>
                <w:szCs w:val="20"/>
              </w:rPr>
              <w:t>pentru ratificarea Acordului de finanţare (a treia finanţare adiţională) dintre Republica Moldova şi Asociaţia Internaţională pentru Dezvoltare în vederea realizării Proiectului „Agricultura competitivă”</w:t>
            </w:r>
          </w:p>
        </w:tc>
        <w:tc>
          <w:tcPr>
            <w:tcW w:w="6636" w:type="dxa"/>
            <w:vAlign w:val="center"/>
          </w:tcPr>
          <w:p w14:paraId="22E1519B" w14:textId="560C6D07" w:rsidR="0053515C" w:rsidRPr="0053515C" w:rsidRDefault="0053515C" w:rsidP="00FB1205">
            <w:pPr>
              <w:spacing w:line="276" w:lineRule="auto"/>
              <w:jc w:val="both"/>
              <w:rPr>
                <w:rFonts w:cstheme="majorHAnsi"/>
                <w:sz w:val="20"/>
                <w:szCs w:val="20"/>
              </w:rPr>
            </w:pPr>
            <w:r w:rsidRPr="0053515C">
              <w:rPr>
                <w:rFonts w:cstheme="majorHAnsi"/>
                <w:bCs/>
                <w:sz w:val="20"/>
                <w:szCs w:val="20"/>
              </w:rPr>
              <w:t xml:space="preserve">Ratifică Acordul de finanţare (a treia finanţare adiţională) dintre Republica Moldova şi Asociaţia Internaţională pentru Dezvoltare în vederea realizării Proiectului „Agricultura competitivă”, semnat </w:t>
            </w:r>
            <w:r w:rsidR="00B82319">
              <w:rPr>
                <w:rFonts w:cstheme="majorHAnsi"/>
                <w:bCs/>
                <w:sz w:val="20"/>
                <w:szCs w:val="20"/>
              </w:rPr>
              <w:t>la Chişinău la 1 octombrie 2020</w:t>
            </w:r>
          </w:p>
        </w:tc>
        <w:tc>
          <w:tcPr>
            <w:tcW w:w="3712" w:type="dxa"/>
            <w:vAlign w:val="center"/>
          </w:tcPr>
          <w:p w14:paraId="3904644D"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r w:rsidR="0053515C" w:rsidRPr="0053515C" w14:paraId="31967021" w14:textId="77777777" w:rsidTr="0044576A">
        <w:trPr>
          <w:trHeight w:val="998"/>
        </w:trPr>
        <w:tc>
          <w:tcPr>
            <w:tcW w:w="620" w:type="dxa"/>
            <w:vAlign w:val="center"/>
          </w:tcPr>
          <w:p w14:paraId="2F2BC1CE"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3.9.</w:t>
            </w:r>
          </w:p>
        </w:tc>
        <w:tc>
          <w:tcPr>
            <w:tcW w:w="4058" w:type="dxa"/>
            <w:vAlign w:val="center"/>
          </w:tcPr>
          <w:p w14:paraId="3CB6D347"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nr.58 din 23.04.2020 </w:t>
            </w:r>
          </w:p>
          <w:p w14:paraId="4CD423A8"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pentru atragerea împrumutului de stat extern din partea Fondului Monetar Internaţional prin intermediul mecanismului de creditare rapidă (RCF)</w:t>
            </w:r>
          </w:p>
        </w:tc>
        <w:tc>
          <w:tcPr>
            <w:tcW w:w="6636" w:type="dxa"/>
            <w:vAlign w:val="center"/>
          </w:tcPr>
          <w:p w14:paraId="0168CE35" w14:textId="0A70D877" w:rsidR="0053515C" w:rsidRPr="0053515C" w:rsidRDefault="0053515C" w:rsidP="00FB1205">
            <w:pPr>
              <w:spacing w:line="276" w:lineRule="auto"/>
              <w:jc w:val="both"/>
              <w:rPr>
                <w:rFonts w:cstheme="majorHAnsi"/>
                <w:sz w:val="20"/>
                <w:szCs w:val="20"/>
              </w:rPr>
            </w:pPr>
            <w:r w:rsidRPr="0053515C">
              <w:rPr>
                <w:rFonts w:cstheme="majorHAnsi"/>
                <w:sz w:val="20"/>
                <w:szCs w:val="20"/>
              </w:rPr>
              <w:t>Aprobă atragerea de către Guvernul Republicii Moldova a împrumutului de stat extern din partea Fondului Monetar Internaţional, prin intermediul mecanismului de creditare rapidă (RCF), în sumă de 57500000,00 de drepturi speciale de tragere (DST), care va fi utilizat pentru finanţare</w:t>
            </w:r>
            <w:r w:rsidR="00B82319">
              <w:rPr>
                <w:rFonts w:cstheme="majorHAnsi"/>
                <w:sz w:val="20"/>
                <w:szCs w:val="20"/>
              </w:rPr>
              <w:t>a deficitului bugetului de stat</w:t>
            </w:r>
          </w:p>
        </w:tc>
        <w:tc>
          <w:tcPr>
            <w:tcW w:w="3712" w:type="dxa"/>
            <w:vAlign w:val="center"/>
          </w:tcPr>
          <w:p w14:paraId="2CBB897E"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r w:rsidR="0053515C" w:rsidRPr="0053515C" w14:paraId="22049C0B" w14:textId="77777777" w:rsidTr="0044576A">
        <w:trPr>
          <w:trHeight w:val="998"/>
        </w:trPr>
        <w:tc>
          <w:tcPr>
            <w:tcW w:w="620" w:type="dxa"/>
            <w:vAlign w:val="center"/>
          </w:tcPr>
          <w:p w14:paraId="735880A8"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lastRenderedPageBreak/>
              <w:t>3.10.</w:t>
            </w:r>
          </w:p>
        </w:tc>
        <w:tc>
          <w:tcPr>
            <w:tcW w:w="4058" w:type="dxa"/>
            <w:vAlign w:val="center"/>
          </w:tcPr>
          <w:p w14:paraId="254CAD59" w14:textId="77777777" w:rsidR="0053515C" w:rsidRPr="0053515C" w:rsidRDefault="0053515C" w:rsidP="00FB1205">
            <w:pPr>
              <w:spacing w:line="276" w:lineRule="auto"/>
              <w:jc w:val="both"/>
              <w:rPr>
                <w:rFonts w:cstheme="majorHAnsi"/>
                <w:b/>
                <w:bCs/>
                <w:sz w:val="20"/>
                <w:szCs w:val="20"/>
              </w:rPr>
            </w:pPr>
            <w:r w:rsidRPr="0053515C">
              <w:rPr>
                <w:rFonts w:cstheme="majorHAnsi"/>
                <w:b/>
                <w:bCs/>
                <w:sz w:val="20"/>
                <w:szCs w:val="20"/>
              </w:rPr>
              <w:t xml:space="preserve">Legea nr.59 din 23.04.2020  </w:t>
            </w:r>
          </w:p>
          <w:p w14:paraId="09A2F864" w14:textId="77777777" w:rsidR="0053515C" w:rsidRPr="0053515C" w:rsidRDefault="0053515C" w:rsidP="00FB1205">
            <w:pPr>
              <w:spacing w:line="276" w:lineRule="auto"/>
              <w:jc w:val="both"/>
              <w:rPr>
                <w:rFonts w:cstheme="majorHAnsi"/>
                <w:bCs/>
                <w:sz w:val="20"/>
                <w:szCs w:val="20"/>
              </w:rPr>
            </w:pPr>
            <w:r w:rsidRPr="0053515C">
              <w:rPr>
                <w:rFonts w:cstheme="majorHAnsi"/>
                <w:bCs/>
                <w:sz w:val="20"/>
                <w:szCs w:val="20"/>
              </w:rPr>
              <w:t>pentru atragerea împrumutului de stat extern din partea Fondului Monetar Internaţional prin intermediul instrumentului de finanţare rapidă (RFI)</w:t>
            </w:r>
          </w:p>
        </w:tc>
        <w:tc>
          <w:tcPr>
            <w:tcW w:w="6636" w:type="dxa"/>
            <w:vAlign w:val="center"/>
          </w:tcPr>
          <w:p w14:paraId="4C1FCBA0" w14:textId="47BD58F4" w:rsidR="0053515C" w:rsidRPr="0053515C" w:rsidRDefault="0053515C" w:rsidP="00FB1205">
            <w:pPr>
              <w:spacing w:line="276" w:lineRule="auto"/>
              <w:jc w:val="both"/>
              <w:rPr>
                <w:rFonts w:cstheme="majorHAnsi"/>
                <w:sz w:val="20"/>
                <w:szCs w:val="20"/>
              </w:rPr>
            </w:pPr>
            <w:r w:rsidRPr="0053515C">
              <w:rPr>
                <w:rFonts w:cstheme="majorHAnsi"/>
                <w:sz w:val="20"/>
                <w:szCs w:val="20"/>
              </w:rPr>
              <w:t>Aprobă atragerea de către Guvernul Republicii Moldova a împrumutului de stat extern din partea Fondului Monetar Internaţional, prin intermediul instrumentului de finanţare rapidă (RFI), în sumă de 115000000,00 de drepturi speciale de tragere (DST), care va fi utilizat pentru finanţare</w:t>
            </w:r>
            <w:r w:rsidR="00B82319">
              <w:rPr>
                <w:rFonts w:cstheme="majorHAnsi"/>
                <w:sz w:val="20"/>
                <w:szCs w:val="20"/>
              </w:rPr>
              <w:t>a deficitului bugetului de stat</w:t>
            </w:r>
          </w:p>
        </w:tc>
        <w:tc>
          <w:tcPr>
            <w:tcW w:w="3712" w:type="dxa"/>
            <w:vAlign w:val="center"/>
          </w:tcPr>
          <w:p w14:paraId="7AD394E9" w14:textId="77777777" w:rsidR="0053515C" w:rsidRPr="0053515C" w:rsidRDefault="0053515C" w:rsidP="00FB1205">
            <w:pPr>
              <w:spacing w:line="276" w:lineRule="auto"/>
              <w:jc w:val="both"/>
              <w:rPr>
                <w:rFonts w:cstheme="majorHAnsi"/>
                <w:b/>
                <w:bCs/>
                <w:i/>
                <w:iCs/>
                <w:sz w:val="20"/>
                <w:szCs w:val="20"/>
                <w:highlight w:val="yellow"/>
              </w:rPr>
            </w:pPr>
            <w:r w:rsidRPr="0053515C">
              <w:rPr>
                <w:rFonts w:cstheme="majorHAnsi"/>
                <w:b/>
                <w:i/>
                <w:sz w:val="20"/>
                <w:szCs w:val="20"/>
              </w:rPr>
              <w:t>Administrarea datoriei de stat externe</w:t>
            </w:r>
          </w:p>
        </w:tc>
      </w:tr>
    </w:tbl>
    <w:p w14:paraId="638E1568" w14:textId="77777777" w:rsidR="0053515C" w:rsidRPr="0053515C" w:rsidRDefault="0053515C" w:rsidP="00FB1205">
      <w:pPr>
        <w:spacing w:after="0" w:line="276" w:lineRule="auto"/>
        <w:jc w:val="both"/>
        <w:rPr>
          <w:rFonts w:cstheme="majorHAnsi"/>
          <w:color w:val="5B9BD5" w:themeColor="accent1"/>
          <w:szCs w:val="24"/>
          <w14:glow w14:rad="0">
            <w14:schemeClr w14:val="tx1"/>
          </w14:glow>
        </w:rPr>
      </w:pPr>
    </w:p>
    <w:p w14:paraId="67693277" w14:textId="7DF6CDAD" w:rsidR="0053515C" w:rsidRDefault="0053515C" w:rsidP="00FB1205">
      <w:pPr>
        <w:spacing w:after="0" w:line="276" w:lineRule="auto"/>
        <w:jc w:val="both"/>
        <w:rPr>
          <w:rFonts w:cstheme="majorHAnsi"/>
          <w:b/>
          <w:i/>
          <w:color w:val="5B9BD5" w:themeColor="accent1"/>
          <w:szCs w:val="24"/>
          <w:lang w:val="ro-RO"/>
          <w14:glow w14:rad="0">
            <w14:schemeClr w14:val="tx1"/>
          </w14:glow>
        </w:rPr>
      </w:pPr>
    </w:p>
    <w:p w14:paraId="5940B279" w14:textId="4605D921" w:rsidR="0053515C" w:rsidRDefault="0053515C" w:rsidP="00FB1205">
      <w:pPr>
        <w:spacing w:after="0" w:line="276" w:lineRule="auto"/>
        <w:jc w:val="both"/>
        <w:rPr>
          <w:rFonts w:cstheme="majorHAnsi"/>
          <w:b/>
          <w:i/>
          <w:color w:val="5B9BD5" w:themeColor="accent1"/>
          <w:szCs w:val="24"/>
          <w:lang w:val="ro-RO"/>
          <w14:glow w14:rad="0">
            <w14:schemeClr w14:val="tx1"/>
          </w14:glow>
        </w:rPr>
        <w:sectPr w:rsidR="0053515C" w:rsidSect="005210E8">
          <w:pgSz w:w="16838" w:h="11906" w:orient="landscape" w:code="9"/>
          <w:pgMar w:top="1701" w:right="1138" w:bottom="850" w:left="1138" w:header="720" w:footer="720" w:gutter="0"/>
          <w:cols w:space="720"/>
          <w:docGrid w:linePitch="360"/>
        </w:sectPr>
      </w:pPr>
    </w:p>
    <w:p w14:paraId="0FC56886" w14:textId="77777777" w:rsidR="0053515C" w:rsidRDefault="0053515C" w:rsidP="00FB1205">
      <w:pPr>
        <w:spacing w:after="0" w:line="276" w:lineRule="auto"/>
        <w:jc w:val="both"/>
        <w:rPr>
          <w:rFonts w:cstheme="majorHAnsi"/>
          <w:b/>
          <w:i/>
          <w:color w:val="5B9BD5" w:themeColor="accent1"/>
          <w:szCs w:val="24"/>
          <w:lang w:val="ro-RO"/>
          <w14:glow w14:rad="0">
            <w14:schemeClr w14:val="tx1"/>
          </w14:glow>
        </w:rPr>
        <w:sectPr w:rsidR="0053515C" w:rsidSect="0053515C">
          <w:type w:val="continuous"/>
          <w:pgSz w:w="16838" w:h="11906" w:orient="landscape" w:code="9"/>
          <w:pgMar w:top="1701" w:right="1138" w:bottom="850" w:left="1138" w:header="720" w:footer="720" w:gutter="0"/>
          <w:cols w:space="720"/>
          <w:docGrid w:linePitch="360"/>
        </w:sectPr>
      </w:pPr>
    </w:p>
    <w:p w14:paraId="737DFB9C" w14:textId="626675E3" w:rsidR="0053515C" w:rsidRDefault="0053515C" w:rsidP="00FB1205">
      <w:pPr>
        <w:spacing w:after="0" w:line="276" w:lineRule="auto"/>
        <w:jc w:val="both"/>
        <w:rPr>
          <w:rFonts w:cstheme="majorHAnsi"/>
          <w:b/>
          <w:i/>
          <w:color w:val="5B9BD5" w:themeColor="accent1"/>
          <w:szCs w:val="24"/>
          <w:lang w:val="ro-RO"/>
          <w14:glow w14:rad="0">
            <w14:schemeClr w14:val="tx1"/>
          </w14:glow>
        </w:rPr>
      </w:pPr>
    </w:p>
    <w:p w14:paraId="1A40E337" w14:textId="77777777" w:rsidR="0053515C" w:rsidRDefault="0053515C" w:rsidP="00FB1205">
      <w:pPr>
        <w:spacing w:after="0" w:line="276" w:lineRule="auto"/>
        <w:jc w:val="both"/>
        <w:rPr>
          <w:rFonts w:cstheme="majorHAnsi"/>
          <w:b/>
          <w:i/>
          <w:color w:val="5B9BD5" w:themeColor="accent1"/>
          <w:szCs w:val="24"/>
          <w:lang w:val="ro-RO"/>
          <w14:glow w14:rad="0">
            <w14:schemeClr w14:val="tx1"/>
          </w14:glow>
        </w:rPr>
      </w:pPr>
    </w:p>
    <w:p w14:paraId="1B6986F7" w14:textId="2A863200" w:rsidR="0053515C" w:rsidRPr="006C5ECB" w:rsidRDefault="0053515C" w:rsidP="00AC1B14">
      <w:pPr>
        <w:spacing w:after="0" w:line="276" w:lineRule="auto"/>
        <w:jc w:val="right"/>
        <w:rPr>
          <w:rFonts w:cstheme="majorHAnsi"/>
          <w:b/>
          <w:i/>
          <w:color w:val="2E74B5" w:themeColor="accent1" w:themeShade="BF"/>
          <w:szCs w:val="24"/>
          <w:lang w:val="ro-RO"/>
          <w14:glow w14:rad="0">
            <w14:schemeClr w14:val="tx1"/>
          </w14:glow>
        </w:rPr>
      </w:pPr>
      <w:r w:rsidRPr="006C5ECB">
        <w:rPr>
          <w:rFonts w:cstheme="majorHAnsi"/>
          <w:b/>
          <w:i/>
          <w:color w:val="2E74B5" w:themeColor="accent1" w:themeShade="BF"/>
          <w:szCs w:val="24"/>
          <w:lang w:val="ro-RO"/>
          <w14:glow w14:rad="0">
            <w14:schemeClr w14:val="tx1"/>
          </w14:glow>
        </w:rPr>
        <w:t>Anexa nr. 2</w:t>
      </w:r>
    </w:p>
    <w:p w14:paraId="70D321D2" w14:textId="77777777" w:rsidR="006023D2" w:rsidRPr="006023D2" w:rsidRDefault="006023D2" w:rsidP="00AC1B14">
      <w:pPr>
        <w:spacing w:after="0" w:line="276" w:lineRule="auto"/>
        <w:jc w:val="center"/>
        <w:rPr>
          <w:rFonts w:cstheme="majorHAnsi"/>
          <w:b/>
          <w:i/>
          <w:szCs w:val="24"/>
          <w:lang w:val="ro-RO"/>
          <w14:glow w14:rad="0">
            <w14:schemeClr w14:val="tx1"/>
          </w14:glow>
        </w:rPr>
      </w:pPr>
      <w:r w:rsidRPr="00E13366">
        <w:rPr>
          <w:rFonts w:cstheme="majorHAnsi"/>
          <w:b/>
          <w:i/>
          <w:szCs w:val="24"/>
          <w:lang w:val="ro-RO"/>
          <w14:glow w14:rad="0">
            <w14:schemeClr w14:val="tx1"/>
          </w14:glow>
        </w:rPr>
        <w:t>Domeniul de aplicare și metodologia auditului</w:t>
      </w:r>
    </w:p>
    <w:p w14:paraId="6EC55B44" w14:textId="77777777" w:rsidR="006023D2" w:rsidRPr="006023D2" w:rsidRDefault="006023D2" w:rsidP="00AC1B14">
      <w:pPr>
        <w:spacing w:after="0" w:line="276" w:lineRule="auto"/>
        <w:rPr>
          <w:rFonts w:cstheme="majorHAnsi"/>
          <w:b/>
          <w:szCs w:val="24"/>
          <w:lang w:val="ro-RO"/>
          <w14:glow w14:rad="0">
            <w14:schemeClr w14:val="tx1"/>
          </w14:glow>
        </w:rPr>
      </w:pPr>
      <w:r w:rsidRPr="006023D2">
        <w:rPr>
          <w:rFonts w:cstheme="majorHAnsi"/>
          <w:b/>
          <w:szCs w:val="24"/>
          <w:lang w:val="ro-RO"/>
          <w14:glow w14:rad="0">
            <w14:schemeClr w14:val="tx1"/>
          </w14:glow>
        </w:rPr>
        <w:t>Domeniul de aplicare</w:t>
      </w:r>
    </w:p>
    <w:p w14:paraId="715BED04" w14:textId="6842C2A5" w:rsidR="006023D2" w:rsidRPr="006023D2" w:rsidRDefault="006023D2" w:rsidP="00AC1B14">
      <w:pPr>
        <w:spacing w:after="0" w:line="276" w:lineRule="auto"/>
        <w:jc w:val="both"/>
        <w:rPr>
          <w:rFonts w:cstheme="majorHAnsi"/>
          <w:szCs w:val="24"/>
          <w:lang w:val="ro-RO"/>
          <w14:glow w14:rad="0">
            <w14:schemeClr w14:val="tx1"/>
          </w14:glow>
        </w:rPr>
      </w:pPr>
      <w:r w:rsidRPr="006023D2">
        <w:rPr>
          <w:rFonts w:cstheme="majorHAnsi"/>
          <w:szCs w:val="24"/>
          <w:lang w:val="ro-RO"/>
          <w14:glow w14:rad="0">
            <w14:schemeClr w14:val="tx1"/>
          </w14:glow>
        </w:rPr>
        <w:t>Cur</w:t>
      </w:r>
      <w:r w:rsidR="001D0BE7">
        <w:rPr>
          <w:rFonts w:cstheme="majorHAnsi"/>
          <w:szCs w:val="24"/>
          <w:lang w:val="ro-RO"/>
          <w14:glow w14:rad="0">
            <w14:schemeClr w14:val="tx1"/>
          </w14:glow>
        </w:rPr>
        <w:t>t</w:t>
      </w:r>
      <w:r w:rsidRPr="006023D2">
        <w:rPr>
          <w:rFonts w:cstheme="majorHAnsi"/>
          <w:szCs w:val="24"/>
          <w:lang w:val="ro-RO"/>
          <w14:glow w14:rad="0">
            <w14:schemeClr w14:val="tx1"/>
          </w14:glow>
        </w:rPr>
        <w:t>ea de Conturi a Republicii Moldova, în conformitate cu Programul activității de</w:t>
      </w:r>
      <w:r w:rsidR="00E13366">
        <w:rPr>
          <w:rFonts w:cstheme="majorHAnsi"/>
          <w:szCs w:val="24"/>
          <w:lang w:val="ro-RO"/>
          <w14:glow w14:rad="0">
            <w14:schemeClr w14:val="tx1"/>
          </w14:glow>
        </w:rPr>
        <w:t xml:space="preserve"> audit pe anul 202</w:t>
      </w:r>
      <w:r w:rsidR="00DB073E">
        <w:rPr>
          <w:rFonts w:cstheme="majorHAnsi"/>
          <w:szCs w:val="24"/>
          <w:lang w:val="ro-RO"/>
          <w14:glow w14:rad="0">
            <w14:schemeClr w14:val="tx1"/>
          </w14:glow>
        </w:rPr>
        <w:t>1</w:t>
      </w:r>
      <w:r w:rsidRPr="006023D2">
        <w:rPr>
          <w:rFonts w:cstheme="majorHAnsi"/>
          <w:szCs w:val="24"/>
          <w:lang w:val="ro-RO"/>
          <w14:glow w14:rad="0">
            <w14:schemeClr w14:val="tx1"/>
          </w14:glow>
        </w:rPr>
        <w:t>, aprobat prin Ho</w:t>
      </w:r>
      <w:r w:rsidR="00E13366">
        <w:rPr>
          <w:rFonts w:cstheme="majorHAnsi"/>
          <w:szCs w:val="24"/>
          <w:lang w:val="ro-RO"/>
          <w14:glow w14:rad="0">
            <w14:schemeClr w14:val="tx1"/>
          </w14:glow>
        </w:rPr>
        <w:t>tărârea nr.</w:t>
      </w:r>
      <w:r w:rsidR="00DB073E">
        <w:rPr>
          <w:rFonts w:cstheme="majorHAnsi"/>
          <w:szCs w:val="24"/>
          <w:lang w:val="ro-RO"/>
          <w14:glow w14:rad="0">
            <w14:schemeClr w14:val="tx1"/>
          </w14:glow>
        </w:rPr>
        <w:t>62 din 10.12.2020</w:t>
      </w:r>
      <w:r w:rsidRPr="006023D2">
        <w:rPr>
          <w:rFonts w:cstheme="majorHAnsi"/>
          <w:szCs w:val="24"/>
          <w:lang w:val="ro-RO"/>
          <w14:glow w14:rad="0">
            <w14:schemeClr w14:val="tx1"/>
          </w14:glow>
        </w:rPr>
        <w:t xml:space="preserve">, a inițiat auditul </w:t>
      </w:r>
      <w:r w:rsidR="00DB073E">
        <w:rPr>
          <w:rFonts w:cstheme="majorHAnsi"/>
          <w:szCs w:val="24"/>
          <w:lang w:val="ro-RO"/>
          <w14:glow w14:rad="0">
            <w14:schemeClr w14:val="tx1"/>
          </w14:glow>
        </w:rPr>
        <w:t xml:space="preserve">conformității </w:t>
      </w:r>
      <w:r w:rsidR="00E13366">
        <w:rPr>
          <w:rFonts w:cstheme="majorHAnsi"/>
          <w:szCs w:val="24"/>
          <w:lang w:val="ro-RO"/>
          <w14:glow w14:rad="0">
            <w14:schemeClr w14:val="tx1"/>
          </w14:glow>
        </w:rPr>
        <w:t>managementului datoriei de stat, garanțiilor de stat și r</w:t>
      </w:r>
      <w:r w:rsidR="00DB073E">
        <w:rPr>
          <w:rFonts w:cstheme="majorHAnsi"/>
          <w:szCs w:val="24"/>
          <w:lang w:val="ro-RO"/>
          <w14:glow w14:rad="0">
            <w14:schemeClr w14:val="tx1"/>
          </w14:glow>
        </w:rPr>
        <w:t xml:space="preserve">ecreditării de stat în anul 2020. Scopul misiunii de audit este oferirea asigurării rezonabile asupra conformității managementului  datoriei de stat, garanțiilor de stat și recreditării de stat realizat de Ministerul Finanțeor în anul 2020, precum și asigurarea că raportarea acesteia este conformă ca parte componentă a Raportului Guvernului privind executarea bugetului de stat pe anul 2020. </w:t>
      </w:r>
      <w:r w:rsidRPr="006023D2">
        <w:rPr>
          <w:rFonts w:cstheme="majorHAnsi"/>
          <w:szCs w:val="24"/>
          <w:lang w:val="ro-RO"/>
          <w14:glow w14:rad="0">
            <w14:schemeClr w14:val="tx1"/>
          </w14:glow>
        </w:rPr>
        <w:t xml:space="preserve">Auditul a fost efectuat la </w:t>
      </w:r>
      <w:r w:rsidR="0040249D">
        <w:rPr>
          <w:rFonts w:cstheme="majorHAnsi"/>
          <w:szCs w:val="24"/>
          <w:lang w:val="ro-RO"/>
          <w14:glow w14:rad="0">
            <w14:schemeClr w14:val="tx1"/>
          </w14:glow>
        </w:rPr>
        <w:t>Ministerul Finanțelor</w:t>
      </w:r>
      <w:r w:rsidR="00DB073E">
        <w:rPr>
          <w:rFonts w:cstheme="majorHAnsi"/>
          <w:szCs w:val="24"/>
          <w:lang w:val="ro-RO"/>
          <w14:glow w14:rad="0">
            <w14:schemeClr w14:val="tx1"/>
          </w14:glow>
        </w:rPr>
        <w:t>.</w:t>
      </w:r>
    </w:p>
    <w:p w14:paraId="6EA099DA" w14:textId="6CF6A194" w:rsidR="0040249D" w:rsidRPr="0040249D" w:rsidRDefault="0040249D" w:rsidP="00FB1205">
      <w:pPr>
        <w:spacing w:line="276" w:lineRule="auto"/>
        <w:jc w:val="both"/>
        <w:rPr>
          <w:rFonts w:cstheme="majorHAnsi"/>
          <w:szCs w:val="24"/>
          <w:lang w:val="ro-RO"/>
          <w14:glow w14:rad="0">
            <w14:schemeClr w14:val="tx1"/>
          </w14:glow>
        </w:rPr>
      </w:pPr>
      <w:r w:rsidRPr="0040249D">
        <w:rPr>
          <w:rFonts w:cstheme="majorHAnsi"/>
          <w:szCs w:val="24"/>
          <w:lang w:val="ro-RO"/>
          <w14:glow w14:rad="0">
            <w14:schemeClr w14:val="tx1"/>
          </w14:glow>
        </w:rPr>
        <w:t>Pentru obținerea unor probe relevante și rezonabile, care să susțină concluziile și credibilitatea constatărilor expuse în Raportul de audit, echipa de audit a utilizat mai multe proceduri de audit, cum ar fi: examinarea documentelor</w:t>
      </w:r>
      <w:r w:rsidR="001D0BE7">
        <w:rPr>
          <w:rFonts w:cstheme="majorHAnsi"/>
          <w:szCs w:val="24"/>
          <w:lang w:val="ro-RO"/>
          <w14:glow w14:rad="0">
            <w14:schemeClr w14:val="tx1"/>
          </w14:glow>
        </w:rPr>
        <w:t xml:space="preserve"> și a rapoartelor, calcularea și compararea</w:t>
      </w:r>
      <w:r w:rsidRPr="0040249D">
        <w:rPr>
          <w:rFonts w:cstheme="majorHAnsi"/>
          <w:szCs w:val="24"/>
          <w:lang w:val="ro-RO"/>
          <w14:glow w14:rad="0">
            <w14:schemeClr w14:val="tx1"/>
          </w14:glow>
        </w:rPr>
        <w:t>, studierea standardelor/ghidurilor internaționale aferente domeniului auditat. Analizele au fost efectuate în baza datelor din rapoartele întocmite de MF, precum și a altor date solicitate de către echipa de audi</w:t>
      </w:r>
      <w:r w:rsidR="001D0BE7">
        <w:rPr>
          <w:rFonts w:cstheme="majorHAnsi"/>
          <w:szCs w:val="24"/>
          <w:lang w:val="ro-RO"/>
          <w14:glow w14:rad="0">
            <w14:schemeClr w14:val="tx1"/>
          </w14:glow>
        </w:rPr>
        <w:t xml:space="preserve">t. Totodată, se menționează că </w:t>
      </w:r>
      <w:r w:rsidRPr="0040249D">
        <w:rPr>
          <w:rFonts w:cstheme="majorHAnsi"/>
          <w:szCs w:val="24"/>
          <w:lang w:val="ro-RO"/>
          <w14:glow w14:rad="0">
            <w14:schemeClr w14:val="tx1"/>
          </w14:glow>
        </w:rPr>
        <w:t>datele/informațiile</w:t>
      </w:r>
      <w:r>
        <w:rPr>
          <w:rFonts w:cstheme="majorHAnsi"/>
          <w:szCs w:val="24"/>
          <w:lang w:val="ro-RO"/>
          <w14:glow w14:rad="0">
            <w14:schemeClr w14:val="tx1"/>
          </w14:glow>
        </w:rPr>
        <w:t xml:space="preserve"> pentru anul 20</w:t>
      </w:r>
      <w:r w:rsidR="00DB073E">
        <w:rPr>
          <w:rFonts w:cstheme="majorHAnsi"/>
          <w:szCs w:val="24"/>
          <w:lang w:val="ro-RO"/>
          <w14:glow w14:rad="0">
            <w14:schemeClr w14:val="tx1"/>
          </w14:glow>
        </w:rPr>
        <w:t>20</w:t>
      </w:r>
      <w:r w:rsidRPr="0040249D">
        <w:rPr>
          <w:rFonts w:cstheme="majorHAnsi"/>
          <w:szCs w:val="24"/>
          <w:lang w:val="ro-RO"/>
          <w14:glow w14:rad="0">
            <w14:schemeClr w14:val="tx1"/>
          </w14:glow>
        </w:rPr>
        <w:t xml:space="preserve"> s-au analizat</w:t>
      </w:r>
      <w:r>
        <w:rPr>
          <w:rFonts w:cstheme="majorHAnsi"/>
          <w:szCs w:val="24"/>
          <w:lang w:val="ro-RO"/>
          <w14:glow w14:rad="0">
            <w14:schemeClr w14:val="tx1"/>
          </w14:glow>
        </w:rPr>
        <w:t xml:space="preserve"> în comparație cu anii</w:t>
      </w:r>
      <w:r w:rsidR="00DB073E">
        <w:rPr>
          <w:rFonts w:cstheme="majorHAnsi"/>
          <w:szCs w:val="24"/>
          <w:lang w:val="ro-RO"/>
          <w14:glow w14:rad="0">
            <w14:schemeClr w14:val="tx1"/>
          </w14:glow>
        </w:rPr>
        <w:t xml:space="preserve"> 2019, 2018,</w:t>
      </w:r>
      <w:r>
        <w:rPr>
          <w:rFonts w:cstheme="majorHAnsi"/>
          <w:szCs w:val="24"/>
          <w:lang w:val="ro-RO"/>
          <w14:glow w14:rad="0">
            <w14:schemeClr w14:val="tx1"/>
          </w14:glow>
        </w:rPr>
        <w:t xml:space="preserve"> 2017 și 201</w:t>
      </w:r>
      <w:r w:rsidR="00DB073E">
        <w:rPr>
          <w:rFonts w:cstheme="majorHAnsi"/>
          <w:szCs w:val="24"/>
          <w:lang w:val="ro-RO"/>
          <w14:glow w14:rad="0">
            <w14:schemeClr w14:val="tx1"/>
          </w14:glow>
        </w:rPr>
        <w:t>6</w:t>
      </w:r>
      <w:r w:rsidRPr="0040249D">
        <w:rPr>
          <w:rFonts w:cstheme="majorHAnsi"/>
          <w:szCs w:val="24"/>
          <w:lang w:val="ro-RO"/>
          <w14:glow w14:rad="0">
            <w14:schemeClr w14:val="tx1"/>
          </w14:glow>
        </w:rPr>
        <w:t>.</w:t>
      </w:r>
    </w:p>
    <w:p w14:paraId="223B3383" w14:textId="77777777" w:rsidR="006023D2" w:rsidRPr="006023D2" w:rsidRDefault="006023D2" w:rsidP="00FB1205">
      <w:pPr>
        <w:spacing w:line="276" w:lineRule="auto"/>
        <w:jc w:val="both"/>
        <w:rPr>
          <w:rFonts w:cstheme="majorHAnsi"/>
          <w:szCs w:val="24"/>
          <w:lang w:val="ro-MD"/>
          <w14:glow w14:rad="0">
            <w14:schemeClr w14:val="tx1"/>
          </w14:glow>
        </w:rPr>
      </w:pPr>
      <w:r w:rsidRPr="006023D2">
        <w:rPr>
          <w:rFonts w:cstheme="majorHAnsi"/>
          <w:szCs w:val="24"/>
          <w:lang w:val="ro-MD"/>
          <w14:glow w14:rad="0">
            <w14:schemeClr w14:val="tx1"/>
          </w14:glow>
        </w:rPr>
        <w:t xml:space="preserve">Pe parcursul misiunii de audit, la efectuarea activităților aferente, echipa de audit a Curții de Conturi s-a ghidat de: </w:t>
      </w:r>
    </w:p>
    <w:p w14:paraId="5433F10B" w14:textId="77777777" w:rsidR="006023D2" w:rsidRPr="006023D2" w:rsidRDefault="006023D2" w:rsidP="00FB1205">
      <w:pPr>
        <w:numPr>
          <w:ilvl w:val="0"/>
          <w:numId w:val="2"/>
        </w:numPr>
        <w:spacing w:line="276" w:lineRule="auto"/>
        <w:contextualSpacing/>
        <w:jc w:val="both"/>
        <w:rPr>
          <w:rFonts w:cstheme="majorHAnsi"/>
          <w:szCs w:val="24"/>
          <w:lang w:val="ro-MD"/>
          <w14:glow w14:rad="0">
            <w14:schemeClr w14:val="tx1"/>
          </w14:glow>
        </w:rPr>
      </w:pPr>
      <w:r w:rsidRPr="006023D2">
        <w:rPr>
          <w:rFonts w:cstheme="majorHAnsi"/>
          <w:szCs w:val="24"/>
          <w:lang w:val="ro-MD"/>
          <w14:glow w14:rad="0">
            <w14:schemeClr w14:val="tx1"/>
          </w14:glow>
        </w:rPr>
        <w:t>ISSAI 100 „Principii fundamentale pentru auditul sectorului public”;</w:t>
      </w:r>
    </w:p>
    <w:p w14:paraId="7B625A8B" w14:textId="77777777" w:rsidR="0040249D" w:rsidRDefault="006023D2" w:rsidP="00FB1205">
      <w:pPr>
        <w:numPr>
          <w:ilvl w:val="0"/>
          <w:numId w:val="2"/>
        </w:numPr>
        <w:spacing w:line="276" w:lineRule="auto"/>
        <w:contextualSpacing/>
        <w:jc w:val="both"/>
        <w:rPr>
          <w:rFonts w:cstheme="majorHAnsi"/>
          <w:szCs w:val="24"/>
          <w:lang w:val="ro-MD"/>
          <w14:glow w14:rad="0">
            <w14:schemeClr w14:val="tx1"/>
          </w14:glow>
        </w:rPr>
      </w:pPr>
      <w:r w:rsidRPr="006023D2">
        <w:rPr>
          <w:rFonts w:cstheme="majorHAnsi"/>
          <w:szCs w:val="24"/>
          <w:lang w:val="ro-MD"/>
          <w14:glow w14:rad="0">
            <w14:schemeClr w14:val="tx1"/>
          </w14:glow>
        </w:rPr>
        <w:t>Actele legislative și normati</w:t>
      </w:r>
      <w:r w:rsidR="0040249D">
        <w:rPr>
          <w:rFonts w:cstheme="majorHAnsi"/>
          <w:szCs w:val="24"/>
          <w:lang w:val="ro-MD"/>
          <w14:glow w14:rad="0">
            <w14:schemeClr w14:val="tx1"/>
          </w14:glow>
        </w:rPr>
        <w:t>ve aferente domeniului auditat;</w:t>
      </w:r>
    </w:p>
    <w:p w14:paraId="07388128" w14:textId="71E1573D" w:rsidR="006023D2" w:rsidRDefault="001D0BE7" w:rsidP="00FB1205">
      <w:pPr>
        <w:numPr>
          <w:ilvl w:val="0"/>
          <w:numId w:val="2"/>
        </w:numPr>
        <w:spacing w:line="276" w:lineRule="auto"/>
        <w:contextualSpacing/>
        <w:jc w:val="both"/>
        <w:rPr>
          <w:rFonts w:cstheme="majorHAnsi"/>
          <w:szCs w:val="24"/>
          <w:lang w:val="ro-MD"/>
          <w14:glow w14:rad="0">
            <w14:schemeClr w14:val="tx1"/>
          </w14:glow>
        </w:rPr>
      </w:pPr>
      <w:r>
        <w:rPr>
          <w:rFonts w:cstheme="majorHAnsi"/>
          <w:szCs w:val="24"/>
          <w:lang w:val="ro-MD"/>
          <w14:glow w14:rad="0">
            <w14:schemeClr w14:val="tx1"/>
          </w14:glow>
        </w:rPr>
        <w:t>Bunele practici în domeniu</w:t>
      </w:r>
      <w:r w:rsidR="0040249D">
        <w:rPr>
          <w:rFonts w:cstheme="majorHAnsi"/>
          <w:szCs w:val="24"/>
          <w:lang w:val="ro-MD"/>
          <w14:glow w14:rad="0">
            <w14:schemeClr w14:val="tx1"/>
          </w14:glow>
        </w:rPr>
        <w:t xml:space="preserve"> </w:t>
      </w:r>
      <w:r w:rsidR="006023D2" w:rsidRPr="006023D2">
        <w:rPr>
          <w:rFonts w:cstheme="majorHAnsi"/>
          <w:szCs w:val="24"/>
          <w:lang w:val="ro-MD"/>
          <w14:glow w14:rad="0">
            <w14:schemeClr w14:val="tx1"/>
          </w14:glow>
        </w:rPr>
        <w:t>etc.</w:t>
      </w:r>
    </w:p>
    <w:p w14:paraId="1DBF9C59" w14:textId="1344137E" w:rsidR="001D0BE7" w:rsidRPr="006023D2" w:rsidRDefault="00CB5311" w:rsidP="00FB0FDF">
      <w:pPr>
        <w:spacing w:line="276" w:lineRule="auto"/>
        <w:ind w:left="360"/>
        <w:jc w:val="both"/>
        <w:rPr>
          <w:rFonts w:cstheme="majorHAnsi"/>
          <w:szCs w:val="24"/>
          <w:lang w:val="ro-MD"/>
          <w14:glow w14:rad="0">
            <w14:schemeClr w14:val="tx1"/>
          </w14:glow>
        </w:rPr>
      </w:pPr>
      <w:r w:rsidRPr="00CB5311">
        <w:rPr>
          <w:rFonts w:cstheme="majorHAnsi"/>
          <w:szCs w:val="24"/>
          <w:lang w:val="ro-MD"/>
          <w14:glow w14:rad="0">
            <w14:schemeClr w14:val="tx1"/>
          </w14:glow>
        </w:rPr>
        <w:t>Totodată, echipa de audit a consultat și s-a ghidat de prevederile incluse în Proiectul de GUID 5250 „Ghidul asupra auditului datoriei publice”, care este în proces de lucru și t</w:t>
      </w:r>
      <w:r w:rsidR="00B82319">
        <w:rPr>
          <w:rFonts w:cstheme="majorHAnsi"/>
          <w:szCs w:val="24"/>
          <w:lang w:val="ro-MD"/>
          <w14:glow w14:rad="0">
            <w14:schemeClr w14:val="tx1"/>
          </w14:glow>
        </w:rPr>
        <w:t xml:space="preserve">estare de către țările membre ale </w:t>
      </w:r>
      <w:r w:rsidRPr="00CB5311">
        <w:rPr>
          <w:rFonts w:cstheme="majorHAnsi"/>
          <w:szCs w:val="24"/>
          <w:lang w:val="ro-MD"/>
          <w14:glow w14:rad="0">
            <w14:schemeClr w14:val="tx1"/>
          </w14:glow>
        </w:rPr>
        <w:t>Grupului de lucru p</w:t>
      </w:r>
      <w:r w:rsidR="00FB0FDF">
        <w:rPr>
          <w:rFonts w:cstheme="majorHAnsi"/>
          <w:szCs w:val="24"/>
          <w:lang w:val="ro-MD"/>
          <w14:glow w14:rad="0">
            <w14:schemeClr w14:val="tx1"/>
          </w14:glow>
        </w:rPr>
        <w:t>rivind datoria publică INTOSAI.</w:t>
      </w:r>
    </w:p>
    <w:p w14:paraId="5ADDBA61" w14:textId="77777777" w:rsidR="006023D2" w:rsidRPr="006023D2" w:rsidRDefault="006023D2" w:rsidP="00FB1205">
      <w:pPr>
        <w:spacing w:line="276" w:lineRule="auto"/>
        <w:jc w:val="both"/>
        <w:rPr>
          <w:rFonts w:cstheme="majorHAnsi"/>
          <w:b/>
          <w:szCs w:val="24"/>
          <w:lang w:val="ro-MD"/>
          <w14:glow w14:rad="0">
            <w14:schemeClr w14:val="tx1"/>
          </w14:glow>
        </w:rPr>
      </w:pPr>
      <w:r w:rsidRPr="006023D2">
        <w:rPr>
          <w:rFonts w:cstheme="majorHAnsi"/>
          <w:b/>
          <w:szCs w:val="24"/>
          <w:lang w:val="ro-MD"/>
          <w14:glow w14:rad="0">
            <w14:schemeClr w14:val="tx1"/>
          </w14:glow>
        </w:rPr>
        <w:t>Metodologia auditului</w:t>
      </w:r>
    </w:p>
    <w:p w14:paraId="0743EFFC" w14:textId="17D508FB" w:rsidR="006023D2" w:rsidRPr="006023D2" w:rsidRDefault="006023D2" w:rsidP="00FB0FDF">
      <w:pPr>
        <w:spacing w:after="0" w:line="276" w:lineRule="auto"/>
        <w:jc w:val="both"/>
        <w:rPr>
          <w:rFonts w:cstheme="majorHAnsi"/>
          <w:szCs w:val="24"/>
          <w:lang w:val="ro-MD"/>
          <w14:glow w14:rad="0">
            <w14:schemeClr w14:val="tx1"/>
          </w14:glow>
        </w:rPr>
      </w:pPr>
      <w:r w:rsidRPr="006023D2">
        <w:rPr>
          <w:rFonts w:cstheme="majorHAnsi"/>
          <w:szCs w:val="24"/>
          <w:lang w:val="ro-MD"/>
          <w14:glow w14:rad="0">
            <w14:schemeClr w14:val="tx1"/>
          </w14:glow>
        </w:rPr>
        <w:lastRenderedPageBreak/>
        <w:t>Pentru obținerea unor probe suficiente și adecvate</w:t>
      </w:r>
      <w:r w:rsidR="00E7348E">
        <w:rPr>
          <w:rFonts w:cstheme="majorHAnsi"/>
          <w:szCs w:val="24"/>
          <w:lang w:val="ro-MD"/>
          <w14:glow w14:rad="0">
            <w14:schemeClr w14:val="tx1"/>
          </w14:glow>
        </w:rPr>
        <w:t xml:space="preserve"> </w:t>
      </w:r>
      <w:r w:rsidRPr="006023D2">
        <w:rPr>
          <w:rFonts w:cstheme="majorHAnsi"/>
          <w:szCs w:val="24"/>
          <w:lang w:val="ro-MD"/>
          <w14:glow w14:rad="0">
            <w14:schemeClr w14:val="tx1"/>
          </w14:glow>
        </w:rPr>
        <w:t xml:space="preserve">care să susțină concluziile și credibilitatea constatărilor expuse în Raportul de audit, echipa de audit a utilizat </w:t>
      </w:r>
      <w:r w:rsidR="0040249D" w:rsidRPr="006023D2">
        <w:rPr>
          <w:rFonts w:cstheme="majorHAnsi"/>
          <w:szCs w:val="24"/>
          <w:lang w:val="ro-RO"/>
        </w:rPr>
        <w:t>următoarele tehnici, metodologii și proceduri de audit</w:t>
      </w:r>
      <w:r w:rsidRPr="006023D2">
        <w:rPr>
          <w:rFonts w:cstheme="majorHAnsi"/>
          <w:szCs w:val="24"/>
          <w:lang w:val="ro-MD"/>
          <w14:glow w14:rad="0">
            <w14:schemeClr w14:val="tx1"/>
          </w14:glow>
        </w:rPr>
        <w:t>:</w:t>
      </w:r>
    </w:p>
    <w:p w14:paraId="545A5ABB" w14:textId="0C0A313C"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a fost examinat Raportul privind situația în domeniul datoriei sectorului public, garanțiilor de stat și r</w:t>
      </w:r>
      <w:r>
        <w:rPr>
          <w:rFonts w:cstheme="majorHAnsi"/>
          <w:szCs w:val="24"/>
          <w:lang w:val="ro-RO"/>
        </w:rPr>
        <w:t>ecreditării de stat pe anul 20</w:t>
      </w:r>
      <w:r w:rsidR="00DB073E">
        <w:rPr>
          <w:rFonts w:cstheme="majorHAnsi"/>
          <w:szCs w:val="24"/>
          <w:lang w:val="ro-RO"/>
        </w:rPr>
        <w:t>20</w:t>
      </w:r>
      <w:r>
        <w:rPr>
          <w:rFonts w:cstheme="majorHAnsi"/>
          <w:szCs w:val="24"/>
          <w:lang w:val="ro-RO"/>
        </w:rPr>
        <w:t>;</w:t>
      </w:r>
    </w:p>
    <w:p w14:paraId="29579D03" w14:textId="3784914D"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Pr>
          <w:rFonts w:cstheme="majorHAnsi"/>
          <w:szCs w:val="24"/>
          <w:lang w:val="ro-MD"/>
        </w:rPr>
        <w:t>a</w:t>
      </w:r>
      <w:r w:rsidRPr="0040249D">
        <w:rPr>
          <w:rFonts w:cstheme="majorHAnsi"/>
          <w:szCs w:val="24"/>
          <w:lang w:val="ro-RO"/>
        </w:rPr>
        <w:t xml:space="preserve"> fost examinat și analizat Programul „Managementul datorie</w:t>
      </w:r>
      <w:r w:rsidR="00E7348E">
        <w:rPr>
          <w:rFonts w:cstheme="majorHAnsi"/>
          <w:szCs w:val="24"/>
          <w:lang w:val="ro-RO"/>
        </w:rPr>
        <w:t xml:space="preserve">i de stat pe termen mediu </w:t>
      </w:r>
      <w:r>
        <w:rPr>
          <w:rFonts w:cstheme="majorHAnsi"/>
          <w:szCs w:val="24"/>
          <w:lang w:val="ro-RO"/>
        </w:rPr>
        <w:t>(20</w:t>
      </w:r>
      <w:r w:rsidR="00DB073E">
        <w:rPr>
          <w:rFonts w:cstheme="majorHAnsi"/>
          <w:szCs w:val="24"/>
          <w:lang w:val="ro-RO"/>
        </w:rPr>
        <w:t>20</w:t>
      </w:r>
      <w:r>
        <w:rPr>
          <w:rFonts w:cstheme="majorHAnsi"/>
          <w:szCs w:val="24"/>
          <w:lang w:val="ro-RO"/>
        </w:rPr>
        <w:t>-202</w:t>
      </w:r>
      <w:r w:rsidR="00DB073E">
        <w:rPr>
          <w:rFonts w:cstheme="majorHAnsi"/>
          <w:szCs w:val="24"/>
          <w:lang w:val="ro-RO"/>
        </w:rPr>
        <w:t>2</w:t>
      </w:r>
      <w:r w:rsidRPr="0040249D">
        <w:rPr>
          <w:rFonts w:cstheme="majorHAnsi"/>
          <w:szCs w:val="24"/>
          <w:lang w:val="ro-RO"/>
        </w:rPr>
        <w:t>)</w:t>
      </w:r>
      <w:r w:rsidR="00E7348E">
        <w:rPr>
          <w:rFonts w:cstheme="majorHAnsi"/>
          <w:szCs w:val="24"/>
          <w:lang w:val="ro-RO"/>
        </w:rPr>
        <w:t>”, aprobat prin Hotărâ</w:t>
      </w:r>
      <w:r w:rsidR="00DB073E">
        <w:rPr>
          <w:rFonts w:cstheme="majorHAnsi"/>
          <w:szCs w:val="24"/>
          <w:lang w:val="ro-RO"/>
        </w:rPr>
        <w:t>rea Guvernului nr.56 din 05.02.2020</w:t>
      </w:r>
      <w:r w:rsidRPr="0040249D">
        <w:rPr>
          <w:rFonts w:cstheme="majorHAnsi"/>
          <w:szCs w:val="24"/>
          <w:lang w:val="ro-RO"/>
        </w:rPr>
        <w:t>;</w:t>
      </w:r>
    </w:p>
    <w:p w14:paraId="212F5734" w14:textId="77777777"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au fost analizați</w:t>
      </w:r>
      <w:r>
        <w:rPr>
          <w:rFonts w:cstheme="majorHAnsi"/>
          <w:szCs w:val="24"/>
          <w:lang w:val="ro-RO"/>
        </w:rPr>
        <w:t xml:space="preserve"> și recalculați</w:t>
      </w:r>
      <w:r w:rsidRPr="0040249D">
        <w:rPr>
          <w:rFonts w:cstheme="majorHAnsi"/>
          <w:szCs w:val="24"/>
          <w:lang w:val="ro-RO"/>
        </w:rPr>
        <w:t xml:space="preserve"> indicatorii de risc și de sustenabilitate a</w:t>
      </w:r>
      <w:r w:rsidR="001D0BE7">
        <w:rPr>
          <w:rFonts w:cstheme="majorHAnsi"/>
          <w:szCs w:val="24"/>
          <w:lang w:val="ro-RO"/>
        </w:rPr>
        <w:t>i</w:t>
      </w:r>
      <w:r w:rsidRPr="0040249D">
        <w:rPr>
          <w:rFonts w:cstheme="majorHAnsi"/>
          <w:szCs w:val="24"/>
          <w:lang w:val="ro-RO"/>
        </w:rPr>
        <w:t xml:space="preserve"> datoriei de stat, precum și măsurile întreprinse de MF în vederea monitorizării acestor indicatori;</w:t>
      </w:r>
    </w:p>
    <w:p w14:paraId="30313AEF" w14:textId="77777777"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a fost analizată evoluția cheltuielilor aferente deservirii datoriei de stat, inclusiv a serviciului datoriei de stat interne și externe;</w:t>
      </w:r>
    </w:p>
    <w:p w14:paraId="6BAEC2E1" w14:textId="77777777"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a fost examinat portofoliul datoriei de stat în aspectul maturității, ratei dobânzii, monedei etc.;</w:t>
      </w:r>
    </w:p>
    <w:p w14:paraId="2A772CB2" w14:textId="77777777"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au fost analizate calendarele de desfășurare a licitațiilor de comercializare a VMS pe piața primară și a comunicatelor privind rezultatele acestora;</w:t>
      </w:r>
    </w:p>
    <w:p w14:paraId="38FA855A" w14:textId="77777777"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 xml:space="preserve">a fost solicitată informația privind volumul de VMS </w:t>
      </w:r>
      <w:r w:rsidR="00B461DD">
        <w:rPr>
          <w:rFonts w:cstheme="majorHAnsi"/>
          <w:szCs w:val="24"/>
          <w:lang w:val="ro-RO"/>
        </w:rPr>
        <w:t>deținut</w:t>
      </w:r>
      <w:r w:rsidRPr="0040249D">
        <w:rPr>
          <w:rFonts w:cstheme="majorHAnsi"/>
          <w:szCs w:val="24"/>
          <w:lang w:val="ro-RO"/>
        </w:rPr>
        <w:t xml:space="preserve"> de băncile comerciale (dealerii primari);</w:t>
      </w:r>
    </w:p>
    <w:p w14:paraId="7DDA9B9E" w14:textId="77777777"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 xml:space="preserve">au fost examinate ratele dobânzilor la VMS cu scadența de 91 zile, 182 zile, 364 zile, pentru instrumentele financiare cu termenul de scadență până la 1 an, 2-3 ani, </w:t>
      </w:r>
      <w:r w:rsidR="00B461DD">
        <w:rPr>
          <w:rFonts w:cstheme="majorHAnsi"/>
          <w:szCs w:val="24"/>
          <w:lang w:val="ro-RO"/>
        </w:rPr>
        <w:t xml:space="preserve">5 ani, </w:t>
      </w:r>
      <w:r w:rsidRPr="0040249D">
        <w:rPr>
          <w:rFonts w:cstheme="majorHAnsi"/>
          <w:szCs w:val="24"/>
          <w:lang w:val="ro-RO"/>
        </w:rPr>
        <w:t>ratele nominale medii ponderate ale dobânzii la VMS emise pe piața primară și la VMS convertite;</w:t>
      </w:r>
    </w:p>
    <w:p w14:paraId="4690F901" w14:textId="77777777" w:rsid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a fost analizată situația privind împrumuturile externe și nivelul de debursare aferent acestora;</w:t>
      </w:r>
    </w:p>
    <w:p w14:paraId="42AD77E6" w14:textId="77777777" w:rsidR="00B461DD" w:rsidRDefault="00B461DD" w:rsidP="00FB0FDF">
      <w:pPr>
        <w:numPr>
          <w:ilvl w:val="0"/>
          <w:numId w:val="3"/>
        </w:numPr>
        <w:tabs>
          <w:tab w:val="left" w:pos="284"/>
        </w:tabs>
        <w:spacing w:after="0" w:line="276" w:lineRule="auto"/>
        <w:ind w:left="0" w:hanging="11"/>
        <w:contextualSpacing/>
        <w:jc w:val="both"/>
        <w:rPr>
          <w:rFonts w:cstheme="majorHAnsi"/>
          <w:szCs w:val="24"/>
          <w:lang w:val="ro-RO"/>
        </w:rPr>
      </w:pPr>
      <w:r>
        <w:rPr>
          <w:rFonts w:cstheme="majorHAnsi"/>
          <w:szCs w:val="24"/>
          <w:lang w:val="ro-RO"/>
        </w:rPr>
        <w:t>au fost solicitate explicații de la persoanele responsabile privind nivelul redus de debursare a unor împrumuturi de stat externe;</w:t>
      </w:r>
    </w:p>
    <w:p w14:paraId="13DD98E9" w14:textId="1F90F6AA" w:rsidR="00B461DD" w:rsidRDefault="00B461DD" w:rsidP="00FB0FDF">
      <w:pPr>
        <w:numPr>
          <w:ilvl w:val="0"/>
          <w:numId w:val="3"/>
        </w:numPr>
        <w:tabs>
          <w:tab w:val="left" w:pos="284"/>
        </w:tabs>
        <w:spacing w:after="0" w:line="276" w:lineRule="auto"/>
        <w:ind w:left="0" w:hanging="11"/>
        <w:contextualSpacing/>
        <w:jc w:val="both"/>
        <w:rPr>
          <w:rFonts w:cstheme="majorHAnsi"/>
          <w:szCs w:val="24"/>
          <w:lang w:val="ro-RO"/>
        </w:rPr>
      </w:pPr>
      <w:r>
        <w:rPr>
          <w:rFonts w:cstheme="majorHAnsi"/>
          <w:szCs w:val="24"/>
          <w:lang w:val="ro-RO"/>
        </w:rPr>
        <w:t>a fost analizat aspectul cost-risc al împrumuturilor noi contractate în anul 20</w:t>
      </w:r>
      <w:r w:rsidR="00DB073E">
        <w:rPr>
          <w:rFonts w:cstheme="majorHAnsi"/>
          <w:szCs w:val="24"/>
          <w:lang w:val="ro-RO"/>
        </w:rPr>
        <w:t>20</w:t>
      </w:r>
      <w:r>
        <w:rPr>
          <w:rFonts w:cstheme="majorHAnsi"/>
          <w:szCs w:val="24"/>
          <w:lang w:val="ro-RO"/>
        </w:rPr>
        <w:t>;</w:t>
      </w:r>
    </w:p>
    <w:p w14:paraId="373FDAC4" w14:textId="77777777" w:rsidR="00DF4BED" w:rsidRDefault="00DF4BED" w:rsidP="00FB0FDF">
      <w:pPr>
        <w:numPr>
          <w:ilvl w:val="0"/>
          <w:numId w:val="3"/>
        </w:numPr>
        <w:tabs>
          <w:tab w:val="left" w:pos="284"/>
        </w:tabs>
        <w:spacing w:after="0" w:line="276" w:lineRule="auto"/>
        <w:ind w:left="0" w:hanging="11"/>
        <w:contextualSpacing/>
        <w:jc w:val="both"/>
        <w:rPr>
          <w:rFonts w:cstheme="majorHAnsi"/>
          <w:szCs w:val="24"/>
          <w:lang w:val="ro-RO"/>
        </w:rPr>
      </w:pPr>
      <w:r>
        <w:rPr>
          <w:rFonts w:cstheme="majorHAnsi"/>
          <w:szCs w:val="24"/>
          <w:lang w:val="ro-RO"/>
        </w:rPr>
        <w:t xml:space="preserve">a fost analizată informația privind conversiunea unor împrumuturi de stat externe din </w:t>
      </w:r>
      <w:r w:rsidR="003D5BDE">
        <w:rPr>
          <w:rFonts w:cstheme="majorHAnsi"/>
          <w:szCs w:val="24"/>
          <w:lang w:val="ro-RO"/>
        </w:rPr>
        <w:t>dol. SUA</w:t>
      </w:r>
      <w:r>
        <w:rPr>
          <w:rFonts w:cstheme="majorHAnsi"/>
          <w:szCs w:val="24"/>
          <w:lang w:val="ro-RO"/>
        </w:rPr>
        <w:t xml:space="preserve"> în euro, precum și costurile suportate de MF pentru efectuarea acestor operațiuni;</w:t>
      </w:r>
    </w:p>
    <w:p w14:paraId="27B86CEB" w14:textId="64B4878D" w:rsidR="00B461DD" w:rsidRPr="0040249D" w:rsidRDefault="00B461DD" w:rsidP="00FB0FDF">
      <w:pPr>
        <w:numPr>
          <w:ilvl w:val="0"/>
          <w:numId w:val="3"/>
        </w:numPr>
        <w:tabs>
          <w:tab w:val="left" w:pos="284"/>
        </w:tabs>
        <w:spacing w:after="0" w:line="276" w:lineRule="auto"/>
        <w:ind w:left="0" w:hanging="11"/>
        <w:contextualSpacing/>
        <w:jc w:val="both"/>
        <w:rPr>
          <w:rFonts w:cstheme="majorHAnsi"/>
          <w:szCs w:val="24"/>
          <w:lang w:val="ro-RO"/>
        </w:rPr>
      </w:pPr>
      <w:r>
        <w:rPr>
          <w:rFonts w:cstheme="majorHAnsi"/>
          <w:szCs w:val="24"/>
          <w:lang w:val="ro-RO"/>
        </w:rPr>
        <w:t>a fost analizat Planul de gestionare a riscului operațional și de continuitate a activității aferente managementului datoriei de stat pentru anul 20</w:t>
      </w:r>
      <w:r w:rsidR="00DB073E">
        <w:rPr>
          <w:rFonts w:cstheme="majorHAnsi"/>
          <w:szCs w:val="24"/>
          <w:lang w:val="ro-RO"/>
        </w:rPr>
        <w:t>20</w:t>
      </w:r>
      <w:r>
        <w:rPr>
          <w:rFonts w:cstheme="majorHAnsi"/>
          <w:szCs w:val="24"/>
          <w:lang w:val="ro-RO"/>
        </w:rPr>
        <w:t>;</w:t>
      </w:r>
    </w:p>
    <w:p w14:paraId="6937336F" w14:textId="77777777" w:rsidR="0040249D" w:rsidRP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a fost analizată situația debitorilor garantați și a beneficiarilor recreditați în aspectul onorării obligațiunilor față de bugetul de stat și a datoriilor cu termenul de achitare expirat;</w:t>
      </w:r>
    </w:p>
    <w:p w14:paraId="05BD0EC8" w14:textId="77777777" w:rsidR="0040249D"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lastRenderedPageBreak/>
        <w:t>a fost solicitată informația privind măsurile întreprinse de MF în vederea neadmiterii și reducerii datoriilor cu termenul de achitare expirat la împrumuturile recreditate și împrumuturile garantate, precum și asigurării veridicității datelor raportate de către beneficiarii împrumuturilor respective;</w:t>
      </w:r>
    </w:p>
    <w:p w14:paraId="558A27E7" w14:textId="77777777" w:rsidR="0040249D" w:rsidRPr="00B461DD" w:rsidRDefault="00B461DD" w:rsidP="00FB0FDF">
      <w:pPr>
        <w:numPr>
          <w:ilvl w:val="0"/>
          <w:numId w:val="3"/>
        </w:numPr>
        <w:tabs>
          <w:tab w:val="left" w:pos="284"/>
        </w:tabs>
        <w:spacing w:after="0" w:line="276" w:lineRule="auto"/>
        <w:ind w:left="0" w:hanging="11"/>
        <w:contextualSpacing/>
        <w:jc w:val="both"/>
        <w:rPr>
          <w:rFonts w:cstheme="majorHAnsi"/>
          <w:lang w:val="ro-MD"/>
        </w:rPr>
      </w:pPr>
      <w:r>
        <w:rPr>
          <w:rFonts w:ascii="Calibri Light" w:hAnsi="Calibri Light" w:cs="Calibri Light"/>
          <w:bCs/>
          <w:szCs w:val="24"/>
          <w:lang w:val="ro-MD"/>
        </w:rPr>
        <w:t>a</w:t>
      </w:r>
      <w:r w:rsidRPr="006023D2">
        <w:rPr>
          <w:rFonts w:ascii="Calibri Light" w:hAnsi="Calibri Light" w:cs="Calibri Light"/>
          <w:bCs/>
          <w:szCs w:val="24"/>
          <w:lang w:val="ro-MD"/>
        </w:rPr>
        <w:t>u fost analizate alte</w:t>
      </w:r>
      <w:r>
        <w:rPr>
          <w:rFonts w:ascii="Calibri Light" w:hAnsi="Calibri Light" w:cs="Calibri Light"/>
          <w:bCs/>
          <w:szCs w:val="24"/>
          <w:lang w:val="ro-MD"/>
        </w:rPr>
        <w:t xml:space="preserve"> informații relevante auditului;</w:t>
      </w:r>
    </w:p>
    <w:p w14:paraId="5519AA42" w14:textId="7B2BE0E5" w:rsidR="0085513A" w:rsidRPr="00FB0FDF" w:rsidRDefault="0040249D" w:rsidP="00FB0FDF">
      <w:pPr>
        <w:numPr>
          <w:ilvl w:val="0"/>
          <w:numId w:val="3"/>
        </w:numPr>
        <w:tabs>
          <w:tab w:val="left" w:pos="284"/>
        </w:tabs>
        <w:spacing w:after="0" w:line="276" w:lineRule="auto"/>
        <w:ind w:left="0" w:hanging="11"/>
        <w:contextualSpacing/>
        <w:jc w:val="both"/>
        <w:rPr>
          <w:rFonts w:cstheme="majorHAnsi"/>
          <w:szCs w:val="24"/>
          <w:lang w:val="ro-RO"/>
        </w:rPr>
      </w:pPr>
      <w:r w:rsidRPr="0040249D">
        <w:rPr>
          <w:rFonts w:cstheme="majorHAnsi"/>
          <w:szCs w:val="24"/>
          <w:lang w:val="ro-RO"/>
        </w:rPr>
        <w:t>au fost purtate discuții cu factorii de decizie privind unele aspecte constatate.</w:t>
      </w:r>
    </w:p>
    <w:p w14:paraId="7AEFE8E2" w14:textId="6D208817" w:rsidR="0085513A" w:rsidRDefault="0085513A" w:rsidP="00FB0FDF">
      <w:pPr>
        <w:pStyle w:val="af3"/>
        <w:spacing w:line="276" w:lineRule="auto"/>
        <w:jc w:val="both"/>
        <w:rPr>
          <w:rFonts w:asciiTheme="majorHAnsi" w:hAnsiTheme="majorHAnsi" w:cstheme="majorHAnsi"/>
          <w:sz w:val="24"/>
          <w:lang w:val="ro-MD" w:eastAsia="ru-RU"/>
        </w:rPr>
      </w:pPr>
      <w:r w:rsidRPr="004E5F9C">
        <w:rPr>
          <w:rFonts w:asciiTheme="majorHAnsi" w:hAnsiTheme="majorHAnsi" w:cstheme="majorHAnsi"/>
          <w:sz w:val="24"/>
          <w:lang w:val="ro-MD" w:eastAsia="ru-RU"/>
        </w:rPr>
        <w:t xml:space="preserve">Misiunea de audit a avut drept </w:t>
      </w:r>
      <w:r w:rsidRPr="004E5F9C">
        <w:rPr>
          <w:rFonts w:asciiTheme="majorHAnsi" w:hAnsiTheme="majorHAnsi" w:cstheme="majorHAnsi"/>
          <w:b/>
          <w:sz w:val="24"/>
          <w:lang w:val="ro-MD" w:eastAsia="ru-RU"/>
        </w:rPr>
        <w:t>obiectiv general</w:t>
      </w:r>
      <w:r w:rsidRPr="004E5F9C">
        <w:rPr>
          <w:rFonts w:asciiTheme="majorHAnsi" w:hAnsiTheme="majorHAnsi" w:cstheme="majorHAnsi"/>
          <w:sz w:val="24"/>
          <w:lang w:val="ro-MD" w:eastAsia="ru-RU"/>
        </w:rPr>
        <w:t xml:space="preserve"> dacă „</w:t>
      </w:r>
      <w:r w:rsidR="00E7348E">
        <w:rPr>
          <w:rFonts w:asciiTheme="majorHAnsi" w:hAnsiTheme="majorHAnsi" w:cstheme="majorHAnsi"/>
          <w:sz w:val="24"/>
          <w:lang w:val="ro-MD" w:eastAsia="ru-RU"/>
        </w:rPr>
        <w:t>G</w:t>
      </w:r>
      <w:r w:rsidRPr="004E5F9C">
        <w:rPr>
          <w:rFonts w:asciiTheme="majorHAnsi" w:hAnsiTheme="majorHAnsi" w:cstheme="majorHAnsi"/>
          <w:sz w:val="24"/>
          <w:lang w:val="ro-MD" w:eastAsia="ru-RU"/>
        </w:rPr>
        <w:t>estionarea datoriei de stat, garanțiilor de stat și recreditării de stat de către Ministerul Finanțelor în anul 2020 s-a realizat în conformitate cu cadrul legal aferent?”.</w:t>
      </w:r>
    </w:p>
    <w:p w14:paraId="1411C595" w14:textId="77777777" w:rsidR="00E7348E" w:rsidRPr="004E5F9C" w:rsidRDefault="00E7348E" w:rsidP="00FB0FDF">
      <w:pPr>
        <w:pStyle w:val="af3"/>
        <w:spacing w:line="276" w:lineRule="auto"/>
        <w:jc w:val="both"/>
        <w:rPr>
          <w:rFonts w:asciiTheme="majorHAnsi" w:hAnsiTheme="majorHAnsi" w:cstheme="majorHAnsi"/>
          <w:sz w:val="24"/>
          <w:lang w:val="ro-MD" w:eastAsia="ru-RU"/>
        </w:rPr>
      </w:pPr>
    </w:p>
    <w:p w14:paraId="7D3130EE" w14:textId="77777777" w:rsidR="00E7348E" w:rsidRPr="006023D2" w:rsidRDefault="00E7348E" w:rsidP="00E7348E">
      <w:pPr>
        <w:spacing w:after="0" w:line="276" w:lineRule="auto"/>
        <w:jc w:val="both"/>
        <w:rPr>
          <w:rFonts w:cstheme="majorHAnsi"/>
          <w:szCs w:val="24"/>
          <w:lang w:val="ro-RO"/>
        </w:rPr>
      </w:pPr>
      <w:r>
        <w:rPr>
          <w:rFonts w:cstheme="majorHAnsi"/>
          <w:szCs w:val="24"/>
          <w:lang w:val="ro-RO"/>
        </w:rPr>
        <w:t xml:space="preserve">În acest sens, au fost formulate </w:t>
      </w:r>
      <w:r w:rsidRPr="006023D2">
        <w:rPr>
          <w:rFonts w:cstheme="majorHAnsi"/>
          <w:szCs w:val="24"/>
          <w:lang w:val="ro-RO"/>
        </w:rPr>
        <w:t>următoarele obiective specifice</w:t>
      </w:r>
      <w:r>
        <w:rPr>
          <w:rFonts w:cstheme="majorHAnsi"/>
          <w:szCs w:val="24"/>
          <w:lang w:val="ro-RO"/>
        </w:rPr>
        <w:t xml:space="preserve"> de audit</w:t>
      </w:r>
      <w:r w:rsidRPr="006023D2">
        <w:rPr>
          <w:rFonts w:cstheme="majorHAnsi"/>
          <w:szCs w:val="24"/>
          <w:lang w:val="ro-RO"/>
        </w:rPr>
        <w:t>:</w:t>
      </w:r>
    </w:p>
    <w:p w14:paraId="632F241A" w14:textId="77777777" w:rsidR="00E7348E" w:rsidRPr="00F2437C" w:rsidRDefault="00E7348E" w:rsidP="00E7348E">
      <w:pPr>
        <w:tabs>
          <w:tab w:val="left" w:pos="284"/>
          <w:tab w:val="left" w:pos="567"/>
        </w:tabs>
        <w:spacing w:after="0" w:line="276" w:lineRule="auto"/>
        <w:jc w:val="both"/>
        <w:rPr>
          <w:rFonts w:cstheme="majorHAnsi"/>
          <w:szCs w:val="24"/>
          <w:lang w:val="ro-RO"/>
        </w:rPr>
      </w:pPr>
      <w:r w:rsidRPr="00F2437C">
        <w:rPr>
          <w:rFonts w:cstheme="majorHAnsi"/>
          <w:b/>
          <w:szCs w:val="24"/>
          <w:lang w:val="ro-RO"/>
        </w:rPr>
        <w:t xml:space="preserve">Obiectivul specific I. </w:t>
      </w:r>
      <w:r w:rsidRPr="00F2437C">
        <w:rPr>
          <w:rFonts w:cstheme="majorHAnsi"/>
          <w:szCs w:val="24"/>
          <w:lang w:val="ro-RO"/>
        </w:rPr>
        <w:t xml:space="preserve">Analiza structurii portofoliului datoriei de stat și </w:t>
      </w:r>
      <w:r>
        <w:rPr>
          <w:rFonts w:cstheme="majorHAnsi"/>
          <w:szCs w:val="24"/>
          <w:lang w:val="ro-RO"/>
        </w:rPr>
        <w:t xml:space="preserve">conformității </w:t>
      </w:r>
      <w:r w:rsidRPr="00F2437C">
        <w:rPr>
          <w:rFonts w:cstheme="majorHAnsi"/>
          <w:szCs w:val="24"/>
          <w:lang w:val="ro-RO"/>
        </w:rPr>
        <w:t>onorării obligațiunilor statului privind deservirea datoriei prin prisma Legii bugetare anuale</w:t>
      </w:r>
      <w:r w:rsidRPr="00526800">
        <w:rPr>
          <w:szCs w:val="24"/>
        </w:rPr>
        <w:t xml:space="preserve"> și Programului „Managementul datoriei de stat pe termen mediu (2020-2022)”</w:t>
      </w:r>
      <w:r w:rsidRPr="00526800">
        <w:rPr>
          <w:rFonts w:cstheme="majorHAnsi"/>
          <w:szCs w:val="24"/>
          <w:lang w:val="ro-RO"/>
        </w:rPr>
        <w:t>;</w:t>
      </w:r>
    </w:p>
    <w:p w14:paraId="2288ED36" w14:textId="77777777" w:rsidR="00E7348E" w:rsidRPr="00F2437C" w:rsidRDefault="00E7348E" w:rsidP="00E7348E">
      <w:pPr>
        <w:tabs>
          <w:tab w:val="left" w:pos="284"/>
          <w:tab w:val="left" w:pos="567"/>
        </w:tabs>
        <w:spacing w:after="0" w:line="276" w:lineRule="auto"/>
        <w:jc w:val="both"/>
        <w:rPr>
          <w:rFonts w:cstheme="majorHAnsi"/>
          <w:szCs w:val="24"/>
          <w:lang w:val="ro-RO"/>
        </w:rPr>
      </w:pPr>
      <w:r>
        <w:rPr>
          <w:rFonts w:cstheme="majorHAnsi"/>
          <w:b/>
          <w:szCs w:val="24"/>
          <w:lang w:val="ro-RO"/>
        </w:rPr>
        <w:t>Obiectivul specific II</w:t>
      </w:r>
      <w:r w:rsidRPr="00F2437C">
        <w:rPr>
          <w:rFonts w:cstheme="majorHAnsi"/>
          <w:b/>
          <w:szCs w:val="24"/>
          <w:lang w:val="ro-RO"/>
        </w:rPr>
        <w:t xml:space="preserve">. </w:t>
      </w:r>
      <w:r w:rsidRPr="00F2437C">
        <w:rPr>
          <w:rFonts w:cstheme="majorHAnsi"/>
          <w:szCs w:val="24"/>
          <w:lang w:val="ro-RO"/>
        </w:rPr>
        <w:t xml:space="preserve">Evaluarea </w:t>
      </w:r>
      <w:r>
        <w:rPr>
          <w:rFonts w:cstheme="majorHAnsi"/>
          <w:szCs w:val="24"/>
          <w:lang w:val="ro-RO"/>
        </w:rPr>
        <w:t>conformității</w:t>
      </w:r>
      <w:r w:rsidRPr="00F2437C">
        <w:rPr>
          <w:rFonts w:cstheme="majorHAnsi"/>
          <w:szCs w:val="24"/>
          <w:lang w:val="ro-RO"/>
        </w:rPr>
        <w:t xml:space="preserve"> a</w:t>
      </w:r>
      <w:r>
        <w:rPr>
          <w:rFonts w:cstheme="majorHAnsi"/>
          <w:szCs w:val="24"/>
          <w:lang w:val="ro-RO"/>
        </w:rPr>
        <w:t>cordă</w:t>
      </w:r>
      <w:r w:rsidRPr="00F2437C">
        <w:rPr>
          <w:rFonts w:cstheme="majorHAnsi"/>
          <w:szCs w:val="24"/>
          <w:lang w:val="ro-RO"/>
        </w:rPr>
        <w:t>r</w:t>
      </w:r>
      <w:r>
        <w:rPr>
          <w:rFonts w:cstheme="majorHAnsi"/>
          <w:szCs w:val="24"/>
          <w:lang w:val="ro-RO"/>
        </w:rPr>
        <w:t>ii</w:t>
      </w:r>
      <w:r w:rsidRPr="00F2437C">
        <w:rPr>
          <w:rFonts w:cstheme="majorHAnsi"/>
          <w:szCs w:val="24"/>
          <w:lang w:val="ro-RO"/>
        </w:rPr>
        <w:t xml:space="preserve"> garanțiilor de stat;</w:t>
      </w:r>
    </w:p>
    <w:p w14:paraId="7A00FC71" w14:textId="77777777" w:rsidR="00E7348E" w:rsidRDefault="00E7348E" w:rsidP="00E7348E">
      <w:pPr>
        <w:tabs>
          <w:tab w:val="left" w:pos="284"/>
          <w:tab w:val="left" w:pos="567"/>
        </w:tabs>
        <w:spacing w:after="0" w:line="276" w:lineRule="auto"/>
        <w:jc w:val="both"/>
        <w:rPr>
          <w:rFonts w:cstheme="majorHAnsi"/>
          <w:szCs w:val="24"/>
          <w:lang w:val="ro-RO"/>
        </w:rPr>
      </w:pPr>
      <w:r>
        <w:rPr>
          <w:rFonts w:cstheme="majorHAnsi"/>
          <w:b/>
          <w:szCs w:val="24"/>
          <w:lang w:val="ro-RO"/>
        </w:rPr>
        <w:t>Obiectivul specific III</w:t>
      </w:r>
      <w:r w:rsidRPr="00F2437C">
        <w:rPr>
          <w:rFonts w:cstheme="majorHAnsi"/>
          <w:b/>
          <w:szCs w:val="24"/>
          <w:lang w:val="ro-RO"/>
        </w:rPr>
        <w:t xml:space="preserve">. </w:t>
      </w:r>
      <w:r w:rsidRPr="00F2437C">
        <w:rPr>
          <w:rFonts w:cstheme="majorHAnsi"/>
          <w:szCs w:val="24"/>
          <w:lang w:val="ro-RO"/>
        </w:rPr>
        <w:t xml:space="preserve">Evaluarea </w:t>
      </w:r>
      <w:r>
        <w:rPr>
          <w:rFonts w:cstheme="majorHAnsi"/>
          <w:szCs w:val="24"/>
          <w:lang w:val="ro-RO"/>
        </w:rPr>
        <w:t>conformității administrării și monitorizării împrumuturilor recreditate de stat.</w:t>
      </w:r>
    </w:p>
    <w:p w14:paraId="6C0B224F" w14:textId="38CF80B1" w:rsidR="0085513A" w:rsidRDefault="0085513A" w:rsidP="00FB1205">
      <w:pPr>
        <w:tabs>
          <w:tab w:val="left" w:pos="284"/>
          <w:tab w:val="left" w:pos="567"/>
        </w:tabs>
        <w:spacing w:after="0" w:line="276" w:lineRule="auto"/>
        <w:jc w:val="both"/>
        <w:rPr>
          <w:rFonts w:cstheme="majorHAnsi"/>
          <w:szCs w:val="24"/>
          <w:lang w:val="ro-RO"/>
        </w:rPr>
      </w:pPr>
    </w:p>
    <w:p w14:paraId="3782D28B" w14:textId="68F19C5A" w:rsidR="00532D8D" w:rsidRDefault="00E7348E" w:rsidP="00FB1205">
      <w:pPr>
        <w:spacing w:line="276" w:lineRule="auto"/>
        <w:jc w:val="both"/>
        <w:rPr>
          <w:rFonts w:cstheme="majorHAnsi"/>
          <w:szCs w:val="24"/>
          <w:lang w:val="ro-MD" w:eastAsia="ru-RU"/>
        </w:rPr>
      </w:pPr>
      <w:r>
        <w:rPr>
          <w:rFonts w:cstheme="majorHAnsi"/>
          <w:szCs w:val="24"/>
          <w:lang w:val="ro-MD" w:eastAsia="ru-RU"/>
        </w:rPr>
        <w:t>Avâ</w:t>
      </w:r>
      <w:r w:rsidR="0085513A">
        <w:rPr>
          <w:rFonts w:cstheme="majorHAnsi"/>
          <w:szCs w:val="24"/>
          <w:lang w:val="ro-MD" w:eastAsia="ru-RU"/>
        </w:rPr>
        <w:t>nd în vedere că ponderea majoră în total</w:t>
      </w:r>
      <w:r w:rsidR="00584F9D">
        <w:rPr>
          <w:rFonts w:cstheme="majorHAnsi"/>
          <w:szCs w:val="24"/>
          <w:lang w:val="ro-MD" w:eastAsia="ru-RU"/>
        </w:rPr>
        <w:t>ul datoriei sectorului public</w:t>
      </w:r>
      <w:r w:rsidR="0085513A">
        <w:rPr>
          <w:rFonts w:cstheme="majorHAnsi"/>
          <w:szCs w:val="24"/>
          <w:lang w:val="ro-MD" w:eastAsia="ru-RU"/>
        </w:rPr>
        <w:t xml:space="preserve"> revine componentei datoria de stat (93,4%), aceasta a fost selectată ca domeniu semnificativ supus verificărilor de audit.</w:t>
      </w:r>
    </w:p>
    <w:p w14:paraId="6E7B7582" w14:textId="77777777" w:rsidR="00FB0FDF" w:rsidRDefault="00FB0FDF" w:rsidP="00FB1205">
      <w:pPr>
        <w:spacing w:line="276" w:lineRule="auto"/>
        <w:jc w:val="both"/>
        <w:rPr>
          <w:rFonts w:cstheme="majorHAnsi"/>
          <w:szCs w:val="24"/>
          <w:lang w:val="ro-MD" w:eastAsia="ru-RU"/>
        </w:rPr>
      </w:pPr>
    </w:p>
    <w:p w14:paraId="56F4E252" w14:textId="726EFFB3" w:rsidR="00AC1B14" w:rsidRDefault="00AC1B14" w:rsidP="00FB1205">
      <w:pPr>
        <w:spacing w:line="276" w:lineRule="auto"/>
        <w:jc w:val="both"/>
        <w:rPr>
          <w:rFonts w:cstheme="majorHAnsi"/>
          <w:szCs w:val="24"/>
          <w:lang w:val="ro-MD" w:eastAsia="ru-RU"/>
        </w:rPr>
      </w:pPr>
    </w:p>
    <w:p w14:paraId="11A969C9" w14:textId="5132D587" w:rsidR="00FB0FDF" w:rsidRDefault="00FB0FDF" w:rsidP="00FB1205">
      <w:pPr>
        <w:spacing w:line="276" w:lineRule="auto"/>
        <w:jc w:val="both"/>
        <w:rPr>
          <w:rFonts w:cstheme="majorHAnsi"/>
          <w:szCs w:val="24"/>
          <w:lang w:val="ro-MD" w:eastAsia="ru-RU"/>
        </w:rPr>
      </w:pPr>
    </w:p>
    <w:p w14:paraId="6A44A907" w14:textId="77777777" w:rsidR="005E0E5C" w:rsidRPr="006C5ECB" w:rsidRDefault="005E0E5C" w:rsidP="005E0E5C">
      <w:pPr>
        <w:spacing w:after="0" w:line="276" w:lineRule="auto"/>
        <w:jc w:val="right"/>
        <w:rPr>
          <w:rFonts w:cstheme="majorHAnsi"/>
          <w:b/>
          <w:i/>
          <w:color w:val="2E74B5" w:themeColor="accent1" w:themeShade="BF"/>
          <w:szCs w:val="24"/>
          <w:lang w:val="ro-RO"/>
          <w14:glow w14:rad="0">
            <w14:schemeClr w14:val="tx1"/>
          </w14:glow>
        </w:rPr>
      </w:pPr>
      <w:r w:rsidRPr="006C5ECB">
        <w:rPr>
          <w:rFonts w:cstheme="majorHAnsi"/>
          <w:b/>
          <w:i/>
          <w:color w:val="2E74B5" w:themeColor="accent1" w:themeShade="BF"/>
          <w:szCs w:val="24"/>
          <w:lang w:val="ro-RO"/>
          <w14:glow w14:rad="0">
            <w14:schemeClr w14:val="tx1"/>
          </w14:glow>
        </w:rPr>
        <w:t>Anexa nr. 3</w:t>
      </w:r>
    </w:p>
    <w:p w14:paraId="67156FB8" w14:textId="77777777" w:rsidR="005E0E5C" w:rsidRDefault="005E0E5C" w:rsidP="005E0E5C">
      <w:pPr>
        <w:spacing w:after="0" w:line="276" w:lineRule="auto"/>
        <w:jc w:val="both"/>
        <w:rPr>
          <w:rFonts w:cstheme="majorHAnsi"/>
          <w:b/>
          <w:i/>
          <w:color w:val="5B9BD5" w:themeColor="accent1"/>
          <w:szCs w:val="24"/>
          <w:lang w:val="ro-RO"/>
          <w14:glow w14:rad="0">
            <w14:schemeClr w14:val="tx1"/>
          </w14:glow>
        </w:rPr>
      </w:pPr>
    </w:p>
    <w:p w14:paraId="3C6BE18D" w14:textId="3BA15E61" w:rsidR="005E0E5C" w:rsidRPr="00524871" w:rsidRDefault="005E0E5C" w:rsidP="005E0E5C">
      <w:pPr>
        <w:spacing w:line="276" w:lineRule="auto"/>
        <w:jc w:val="center"/>
        <w:rPr>
          <w:rFonts w:cstheme="majorHAnsi"/>
          <w:b/>
          <w:i/>
          <w:szCs w:val="24"/>
          <w:lang w:val="ro-MD" w:eastAsia="ru-RU"/>
        </w:rPr>
      </w:pPr>
      <w:r w:rsidRPr="005E0E5C">
        <w:rPr>
          <w:rFonts w:cstheme="majorHAnsi"/>
          <w:b/>
          <w:i/>
          <w:szCs w:val="24"/>
          <w:lang w:val="ro-MD" w:eastAsia="ru-RU"/>
        </w:rPr>
        <w:t>Diagrama nr.1.</w:t>
      </w:r>
      <w:r w:rsidRPr="00524871">
        <w:rPr>
          <w:rFonts w:cstheme="majorHAnsi"/>
          <w:b/>
          <w:i/>
          <w:szCs w:val="24"/>
          <w:lang w:val="ro-MD" w:eastAsia="ru-RU"/>
        </w:rPr>
        <w:t xml:space="preserve"> Evoluția datoriei sectorului public, pe componente, </w:t>
      </w:r>
      <w:r w:rsidR="00584F9D">
        <w:rPr>
          <w:rFonts w:cstheme="majorHAnsi"/>
          <w:b/>
          <w:i/>
          <w:szCs w:val="24"/>
          <w:lang w:val="ro-MD" w:eastAsia="ru-RU"/>
        </w:rPr>
        <w:t xml:space="preserve">la </w:t>
      </w:r>
      <w:r w:rsidRPr="00524871">
        <w:rPr>
          <w:rFonts w:cstheme="majorHAnsi"/>
          <w:b/>
          <w:i/>
          <w:szCs w:val="24"/>
          <w:lang w:val="ro-MD" w:eastAsia="ru-RU"/>
        </w:rPr>
        <w:t>31.12.2014</w:t>
      </w:r>
      <w:r w:rsidR="00584F9D">
        <w:rPr>
          <w:rFonts w:cstheme="majorHAnsi"/>
          <w:b/>
          <w:i/>
          <w:szCs w:val="24"/>
          <w:lang w:val="ro-MD" w:eastAsia="ru-RU"/>
        </w:rPr>
        <w:t xml:space="preserve"> </w:t>
      </w:r>
      <w:r w:rsidRPr="00524871">
        <w:rPr>
          <w:rFonts w:cstheme="majorHAnsi"/>
          <w:b/>
          <w:i/>
          <w:szCs w:val="24"/>
          <w:lang w:val="ro-MD" w:eastAsia="ru-RU"/>
        </w:rPr>
        <w:t>-</w:t>
      </w:r>
      <w:r w:rsidR="00584F9D">
        <w:rPr>
          <w:rFonts w:cstheme="majorHAnsi"/>
          <w:b/>
          <w:i/>
          <w:szCs w:val="24"/>
          <w:lang w:val="ro-MD" w:eastAsia="ru-RU"/>
        </w:rPr>
        <w:t xml:space="preserve"> </w:t>
      </w:r>
      <w:r w:rsidRPr="00524871">
        <w:rPr>
          <w:rFonts w:cstheme="majorHAnsi"/>
          <w:b/>
          <w:i/>
          <w:szCs w:val="24"/>
          <w:lang w:val="ro-MD" w:eastAsia="ru-RU"/>
        </w:rPr>
        <w:t>31.12.2020 (mil.lei)</w:t>
      </w:r>
    </w:p>
    <w:p w14:paraId="11B8B3CB" w14:textId="77777777" w:rsidR="005E0E5C" w:rsidRPr="00727105" w:rsidRDefault="005E0E5C" w:rsidP="005E0E5C">
      <w:pPr>
        <w:spacing w:line="276" w:lineRule="auto"/>
        <w:jc w:val="both"/>
        <w:rPr>
          <w:rFonts w:cstheme="majorHAnsi"/>
          <w:i/>
          <w:szCs w:val="24"/>
          <w:highlight w:val="yellow"/>
          <w:lang w:val="ro-MD" w:eastAsia="ru-RU"/>
        </w:rPr>
      </w:pPr>
      <w:r w:rsidRPr="00727105">
        <w:rPr>
          <w:noProof/>
          <w:highlight w:val="yellow"/>
          <w:lang w:val="ru-RU" w:eastAsia="ru-RU"/>
        </w:rPr>
        <w:lastRenderedPageBreak/>
        <w:drawing>
          <wp:inline distT="0" distB="0" distL="0" distR="0" wp14:anchorId="21048C37" wp14:editId="4683DD57">
            <wp:extent cx="5940425" cy="3787140"/>
            <wp:effectExtent l="0" t="0" r="3175"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B24637" w14:textId="77777777" w:rsidR="006857EB" w:rsidRDefault="005E0E5C" w:rsidP="005E1884">
      <w:pPr>
        <w:spacing w:line="276" w:lineRule="auto"/>
        <w:ind w:firstLine="426"/>
        <w:jc w:val="both"/>
        <w:rPr>
          <w:rFonts w:cstheme="majorHAnsi"/>
          <w:i/>
          <w:sz w:val="20"/>
          <w:szCs w:val="20"/>
          <w:lang w:val="ro-MD" w:eastAsia="ru-RU"/>
        </w:rPr>
      </w:pPr>
      <w:r w:rsidRPr="00524871">
        <w:rPr>
          <w:rFonts w:cstheme="majorHAnsi"/>
          <w:b/>
          <w:i/>
          <w:sz w:val="20"/>
          <w:szCs w:val="20"/>
          <w:lang w:val="ro-MD" w:eastAsia="ru-RU"/>
        </w:rPr>
        <w:t>Sursa:</w:t>
      </w:r>
      <w:r w:rsidRPr="00524871">
        <w:rPr>
          <w:rFonts w:cstheme="majorHAnsi"/>
          <w:i/>
          <w:sz w:val="20"/>
          <w:szCs w:val="20"/>
          <w:lang w:val="ro-MD" w:eastAsia="ru-RU"/>
        </w:rPr>
        <w:t xml:space="preserve"> Rapoartele MF privind situația în domeniul datoriei sectorului public, garanțiilor de stat și recreditării de st</w:t>
      </w:r>
      <w:r w:rsidR="006857EB">
        <w:rPr>
          <w:rFonts w:cstheme="majorHAnsi"/>
          <w:i/>
          <w:sz w:val="20"/>
          <w:szCs w:val="20"/>
          <w:lang w:val="ro-MD" w:eastAsia="ru-RU"/>
        </w:rPr>
        <w:t>at pe anii 2014-2020</w:t>
      </w:r>
    </w:p>
    <w:p w14:paraId="4BA0BE11" w14:textId="0CC6B577" w:rsidR="005E0E5C" w:rsidRPr="005E1884" w:rsidRDefault="00F87413" w:rsidP="006857EB">
      <w:pPr>
        <w:spacing w:line="276" w:lineRule="auto"/>
        <w:jc w:val="both"/>
        <w:rPr>
          <w:rFonts w:cstheme="majorHAnsi"/>
          <w:i/>
          <w:sz w:val="20"/>
          <w:szCs w:val="20"/>
          <w:lang w:val="ro-MD" w:eastAsia="ru-RU"/>
        </w:rPr>
      </w:pPr>
      <w:r>
        <w:rPr>
          <w:rFonts w:cstheme="majorHAnsi"/>
          <w:i/>
          <w:noProof/>
          <w:sz w:val="20"/>
          <w:szCs w:val="20"/>
          <w:lang w:val="ru-RU" w:eastAsia="ru-RU"/>
        </w:rPr>
        <w:lastRenderedPageBreak/>
        <w:drawing>
          <wp:inline distT="0" distB="0" distL="0" distR="0" wp14:anchorId="06076465" wp14:editId="089720CC">
            <wp:extent cx="5939790" cy="3108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108960"/>
                    </a:xfrm>
                    <a:prstGeom prst="rect">
                      <a:avLst/>
                    </a:prstGeom>
                    <a:noFill/>
                  </pic:spPr>
                </pic:pic>
              </a:graphicData>
            </a:graphic>
          </wp:inline>
        </w:drawing>
      </w:r>
    </w:p>
    <w:p w14:paraId="528F4846" w14:textId="05F1B791" w:rsidR="006857EB" w:rsidRDefault="005E0E5C" w:rsidP="006857EB">
      <w:pPr>
        <w:pStyle w:val="af3"/>
        <w:jc w:val="both"/>
        <w:rPr>
          <w:rFonts w:asciiTheme="majorHAnsi" w:hAnsiTheme="majorHAnsi" w:cstheme="majorHAnsi"/>
          <w:i/>
          <w:sz w:val="18"/>
          <w:szCs w:val="18"/>
          <w:lang w:val="ro-MD" w:eastAsia="ru-RU"/>
        </w:rPr>
      </w:pPr>
      <w:r w:rsidRPr="003C7A96">
        <w:rPr>
          <w:rFonts w:asciiTheme="majorHAnsi" w:hAnsiTheme="majorHAnsi" w:cstheme="majorHAnsi"/>
          <w:b/>
          <w:i/>
          <w:sz w:val="18"/>
          <w:szCs w:val="18"/>
          <w:lang w:val="ro-MD" w:eastAsia="ru-RU"/>
        </w:rPr>
        <w:t>Sursa:</w:t>
      </w:r>
      <w:r w:rsidRPr="003C7A96">
        <w:rPr>
          <w:rFonts w:asciiTheme="majorHAnsi" w:hAnsiTheme="majorHAnsi" w:cstheme="majorHAnsi"/>
          <w:i/>
          <w:sz w:val="18"/>
          <w:szCs w:val="18"/>
          <w:lang w:val="ro-MD" w:eastAsia="ru-RU"/>
        </w:rPr>
        <w:t xml:space="preserve"> Comunicatele privind rezultatele licitațiilor de vânzare a VMS în anul 2020; Informația MF privind rezultatele comercializării VMS emise pe piața primară în anul 2020; Informația MF privind dinamica ratei anuale a dobânzii la VMS în anul 2020.</w:t>
      </w:r>
    </w:p>
    <w:p w14:paraId="251BEF99" w14:textId="77777777" w:rsidR="006857EB" w:rsidRPr="006857EB" w:rsidRDefault="006857EB" w:rsidP="006857EB">
      <w:pPr>
        <w:pStyle w:val="af3"/>
        <w:jc w:val="both"/>
        <w:rPr>
          <w:rFonts w:asciiTheme="majorHAnsi" w:hAnsiTheme="majorHAnsi" w:cstheme="majorHAnsi"/>
          <w:i/>
          <w:sz w:val="18"/>
          <w:szCs w:val="18"/>
          <w:lang w:val="ro-MD" w:eastAsia="ru-RU"/>
        </w:rPr>
      </w:pPr>
    </w:p>
    <w:p w14:paraId="4C1EB959" w14:textId="799B36B9" w:rsidR="00E514B5" w:rsidRPr="006C5ECB" w:rsidRDefault="006C5ECB" w:rsidP="006C5ECB">
      <w:pPr>
        <w:spacing w:line="276" w:lineRule="auto"/>
        <w:jc w:val="right"/>
        <w:rPr>
          <w:rFonts w:cstheme="majorHAnsi"/>
          <w:b/>
          <w:i/>
          <w:color w:val="2E74B5" w:themeColor="accent1" w:themeShade="BF"/>
          <w:szCs w:val="24"/>
          <w:lang w:val="ro-RO"/>
          <w14:glow w14:rad="0">
            <w14:schemeClr w14:val="tx1"/>
          </w14:glow>
        </w:rPr>
      </w:pPr>
      <w:r w:rsidRPr="006C5ECB">
        <w:rPr>
          <w:rFonts w:cstheme="majorHAnsi"/>
          <w:b/>
          <w:i/>
          <w:color w:val="2E74B5" w:themeColor="accent1" w:themeShade="BF"/>
          <w:szCs w:val="24"/>
          <w:lang w:val="ro-RO"/>
          <w14:glow w14:rad="0">
            <w14:schemeClr w14:val="tx1"/>
          </w14:glow>
        </w:rPr>
        <w:t>Anexa nr. 4</w:t>
      </w:r>
    </w:p>
    <w:p w14:paraId="7FDDB884" w14:textId="1D891136" w:rsidR="00E514B5" w:rsidRPr="00BB755E" w:rsidRDefault="00E514B5" w:rsidP="00E514B5">
      <w:pPr>
        <w:spacing w:after="0" w:line="276" w:lineRule="auto"/>
        <w:jc w:val="right"/>
        <w:rPr>
          <w:rFonts w:cstheme="majorHAnsi"/>
          <w:b/>
          <w:szCs w:val="24"/>
          <w:lang w:val="ro-MD" w:eastAsia="ru-RU"/>
        </w:rPr>
      </w:pPr>
      <w:r w:rsidRPr="006A79EA">
        <w:rPr>
          <w:rFonts w:cstheme="majorHAnsi"/>
          <w:b/>
          <w:i/>
          <w:szCs w:val="24"/>
          <w:lang w:val="ro-RO" w:eastAsia="ru-RU"/>
        </w:rPr>
        <w:t>Tabelul nr.</w:t>
      </w:r>
      <w:r w:rsidR="00215374">
        <w:rPr>
          <w:rFonts w:cstheme="majorHAnsi"/>
          <w:b/>
          <w:i/>
          <w:szCs w:val="24"/>
          <w:lang w:val="ro-RO" w:eastAsia="ru-RU"/>
        </w:rPr>
        <w:t>1</w:t>
      </w:r>
    </w:p>
    <w:p w14:paraId="77FC9C42" w14:textId="77777777" w:rsidR="00E514B5" w:rsidRPr="008B5B55" w:rsidRDefault="00E514B5" w:rsidP="00E514B5">
      <w:pPr>
        <w:spacing w:after="0" w:line="276" w:lineRule="auto"/>
        <w:jc w:val="center"/>
        <w:rPr>
          <w:rFonts w:cstheme="majorHAnsi"/>
          <w:b/>
          <w:szCs w:val="24"/>
          <w:lang w:val="ro-RO" w:eastAsia="ru-RU"/>
        </w:rPr>
      </w:pPr>
      <w:r w:rsidRPr="008B5B55">
        <w:rPr>
          <w:rFonts w:cstheme="majorHAnsi"/>
          <w:b/>
          <w:szCs w:val="24"/>
          <w:lang w:val="ro-RO" w:eastAsia="ru-RU"/>
        </w:rPr>
        <w:t>Analiza parametrilor de risc și de sustenabilitate aferenți datoriei de stat în anul 2020, în comparație cu limitele stabilite,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865"/>
        <w:gridCol w:w="1479"/>
        <w:gridCol w:w="1396"/>
      </w:tblGrid>
      <w:tr w:rsidR="00E514B5" w:rsidRPr="00FB1205" w14:paraId="65C4122D" w14:textId="77777777" w:rsidTr="004511C2">
        <w:trPr>
          <w:trHeight w:val="858"/>
        </w:trPr>
        <w:tc>
          <w:tcPr>
            <w:tcW w:w="4605" w:type="dxa"/>
            <w:vAlign w:val="center"/>
          </w:tcPr>
          <w:p w14:paraId="31037701" w14:textId="77777777" w:rsidR="00E514B5" w:rsidRPr="00FB1205" w:rsidRDefault="00E514B5" w:rsidP="004511C2">
            <w:pPr>
              <w:spacing w:after="0" w:line="276" w:lineRule="auto"/>
              <w:jc w:val="center"/>
              <w:rPr>
                <w:rFonts w:cstheme="majorHAnsi"/>
                <w:b/>
                <w:sz w:val="20"/>
                <w:szCs w:val="20"/>
                <w:lang w:eastAsia="ru-RU"/>
              </w:rPr>
            </w:pPr>
            <w:r w:rsidRPr="00FB1205">
              <w:rPr>
                <w:rFonts w:cstheme="majorHAnsi"/>
                <w:b/>
                <w:sz w:val="20"/>
                <w:szCs w:val="20"/>
                <w:lang w:eastAsia="ru-RU"/>
              </w:rPr>
              <w:t>Indicatori</w:t>
            </w:r>
          </w:p>
        </w:tc>
        <w:tc>
          <w:tcPr>
            <w:tcW w:w="1865" w:type="dxa"/>
            <w:vAlign w:val="center"/>
          </w:tcPr>
          <w:p w14:paraId="6CF931E9" w14:textId="77777777" w:rsidR="00E514B5" w:rsidRPr="00FB1205" w:rsidRDefault="00E514B5" w:rsidP="004511C2">
            <w:pPr>
              <w:spacing w:after="0" w:line="276" w:lineRule="auto"/>
              <w:jc w:val="center"/>
              <w:rPr>
                <w:rFonts w:cstheme="majorHAnsi"/>
                <w:b/>
                <w:sz w:val="20"/>
                <w:szCs w:val="20"/>
                <w:lang w:eastAsia="ru-RU"/>
              </w:rPr>
            </w:pPr>
            <w:r w:rsidRPr="00FB1205">
              <w:rPr>
                <w:rFonts w:cstheme="majorHAnsi"/>
                <w:b/>
                <w:sz w:val="20"/>
                <w:szCs w:val="20"/>
                <w:lang w:eastAsia="ru-RU"/>
              </w:rPr>
              <w:t>Limitele stabilite pentru perioada 2020-2022</w:t>
            </w:r>
          </w:p>
        </w:tc>
        <w:tc>
          <w:tcPr>
            <w:tcW w:w="1479" w:type="dxa"/>
            <w:vAlign w:val="center"/>
          </w:tcPr>
          <w:p w14:paraId="2EFC9B9A" w14:textId="77777777" w:rsidR="00E514B5" w:rsidRPr="00FB1205" w:rsidRDefault="00E514B5" w:rsidP="004511C2">
            <w:pPr>
              <w:spacing w:after="0" w:line="276" w:lineRule="auto"/>
              <w:jc w:val="center"/>
              <w:rPr>
                <w:rFonts w:cstheme="majorHAnsi"/>
                <w:b/>
                <w:sz w:val="20"/>
                <w:szCs w:val="20"/>
                <w:lang w:eastAsia="ru-RU"/>
              </w:rPr>
            </w:pPr>
            <w:r w:rsidRPr="00FB1205">
              <w:rPr>
                <w:rFonts w:cstheme="majorHAnsi"/>
                <w:b/>
                <w:sz w:val="20"/>
                <w:szCs w:val="20"/>
                <w:lang w:eastAsia="ru-RU"/>
              </w:rPr>
              <w:t>Realizat în anul 2020</w:t>
            </w:r>
          </w:p>
        </w:tc>
        <w:tc>
          <w:tcPr>
            <w:tcW w:w="1396" w:type="dxa"/>
          </w:tcPr>
          <w:p w14:paraId="2BEA2269" w14:textId="77777777" w:rsidR="00E514B5" w:rsidRPr="00FB1205" w:rsidRDefault="00E514B5" w:rsidP="004511C2">
            <w:pPr>
              <w:spacing w:after="0" w:line="276" w:lineRule="auto"/>
              <w:jc w:val="center"/>
              <w:rPr>
                <w:rFonts w:cstheme="majorHAnsi"/>
                <w:b/>
                <w:sz w:val="20"/>
                <w:szCs w:val="20"/>
                <w:lang w:eastAsia="ru-RU"/>
              </w:rPr>
            </w:pPr>
            <w:r w:rsidRPr="00FB1205">
              <w:rPr>
                <w:rFonts w:cstheme="majorHAnsi"/>
                <w:b/>
                <w:sz w:val="20"/>
                <w:szCs w:val="20"/>
                <w:lang w:eastAsia="ru-RU"/>
              </w:rPr>
              <w:t>Devieri, %</w:t>
            </w:r>
          </w:p>
          <w:p w14:paraId="5036EA37" w14:textId="77777777" w:rsidR="00E514B5" w:rsidRPr="00FB1205" w:rsidRDefault="00E514B5" w:rsidP="004511C2">
            <w:pPr>
              <w:spacing w:after="0" w:line="276" w:lineRule="auto"/>
              <w:jc w:val="center"/>
              <w:rPr>
                <w:rFonts w:cstheme="majorHAnsi"/>
                <w:b/>
                <w:sz w:val="20"/>
                <w:szCs w:val="20"/>
                <w:lang w:eastAsia="ru-RU"/>
              </w:rPr>
            </w:pPr>
            <w:r w:rsidRPr="00FB1205">
              <w:rPr>
                <w:rFonts w:cstheme="majorHAnsi"/>
                <w:b/>
                <w:sz w:val="20"/>
                <w:szCs w:val="20"/>
                <w:lang w:eastAsia="ru-RU"/>
              </w:rPr>
              <w:t>(+/-)</w:t>
            </w:r>
          </w:p>
        </w:tc>
      </w:tr>
      <w:tr w:rsidR="00E514B5" w:rsidRPr="00FB1205" w14:paraId="717CABE8" w14:textId="77777777" w:rsidTr="004511C2">
        <w:tc>
          <w:tcPr>
            <w:tcW w:w="9345" w:type="dxa"/>
            <w:gridSpan w:val="4"/>
          </w:tcPr>
          <w:p w14:paraId="2DFA2C27" w14:textId="77777777" w:rsidR="00E514B5" w:rsidRPr="00FB1205" w:rsidRDefault="00E514B5" w:rsidP="004511C2">
            <w:pPr>
              <w:spacing w:after="0" w:line="276" w:lineRule="auto"/>
              <w:jc w:val="center"/>
              <w:rPr>
                <w:rFonts w:cstheme="majorHAnsi"/>
                <w:b/>
                <w:sz w:val="20"/>
                <w:szCs w:val="20"/>
                <w:lang w:eastAsia="ru-RU"/>
              </w:rPr>
            </w:pPr>
            <w:r w:rsidRPr="00FB1205">
              <w:rPr>
                <w:rFonts w:cstheme="majorHAnsi"/>
                <w:b/>
                <w:sz w:val="20"/>
                <w:szCs w:val="20"/>
                <w:lang w:eastAsia="ru-RU"/>
              </w:rPr>
              <w:t>Parametrii de risc pentru perioada 2020-2022</w:t>
            </w:r>
          </w:p>
        </w:tc>
      </w:tr>
      <w:tr w:rsidR="00E514B5" w:rsidRPr="00FB1205" w14:paraId="6057D3E1" w14:textId="77777777" w:rsidTr="004511C2">
        <w:tc>
          <w:tcPr>
            <w:tcW w:w="4605" w:type="dxa"/>
            <w:shd w:val="clear" w:color="auto" w:fill="auto"/>
          </w:tcPr>
          <w:p w14:paraId="56DBD805" w14:textId="77777777" w:rsidR="00E514B5" w:rsidRPr="00FB1205" w:rsidRDefault="00E514B5" w:rsidP="004511C2">
            <w:pPr>
              <w:spacing w:after="0" w:line="276" w:lineRule="auto"/>
              <w:jc w:val="both"/>
              <w:rPr>
                <w:rFonts w:cstheme="majorHAnsi"/>
                <w:sz w:val="20"/>
                <w:szCs w:val="20"/>
                <w:lang w:eastAsia="ru-RU"/>
              </w:rPr>
            </w:pPr>
            <w:r w:rsidRPr="00FB1205">
              <w:rPr>
                <w:rFonts w:cstheme="majorHAnsi"/>
                <w:sz w:val="20"/>
                <w:szCs w:val="20"/>
                <w:lang w:eastAsia="ru-RU"/>
              </w:rPr>
              <w:t>Datoria de stat scadentă în decurs de un an (% din total)</w:t>
            </w:r>
          </w:p>
        </w:tc>
        <w:tc>
          <w:tcPr>
            <w:tcW w:w="1865" w:type="dxa"/>
            <w:shd w:val="clear" w:color="auto" w:fill="auto"/>
          </w:tcPr>
          <w:p w14:paraId="4AFB11A8"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15%-25% (max)</w:t>
            </w:r>
          </w:p>
        </w:tc>
        <w:tc>
          <w:tcPr>
            <w:tcW w:w="1479" w:type="dxa"/>
            <w:shd w:val="clear" w:color="auto" w:fill="auto"/>
          </w:tcPr>
          <w:p w14:paraId="1CE12BB5"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25,7%</w:t>
            </w:r>
          </w:p>
        </w:tc>
        <w:tc>
          <w:tcPr>
            <w:tcW w:w="1396" w:type="dxa"/>
            <w:shd w:val="clear" w:color="auto" w:fill="auto"/>
          </w:tcPr>
          <w:p w14:paraId="055671C9"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+ 0,7</w:t>
            </w:r>
          </w:p>
        </w:tc>
      </w:tr>
      <w:tr w:rsidR="00E514B5" w:rsidRPr="00FB1205" w14:paraId="683E9F14" w14:textId="77777777" w:rsidTr="004511C2">
        <w:tc>
          <w:tcPr>
            <w:tcW w:w="4605" w:type="dxa"/>
          </w:tcPr>
          <w:p w14:paraId="246850DB" w14:textId="77777777" w:rsidR="00E514B5" w:rsidRPr="00FB1205" w:rsidRDefault="00E514B5" w:rsidP="004511C2">
            <w:pPr>
              <w:spacing w:after="0" w:line="276" w:lineRule="auto"/>
              <w:jc w:val="both"/>
              <w:rPr>
                <w:rFonts w:cstheme="majorHAnsi"/>
                <w:sz w:val="20"/>
                <w:szCs w:val="20"/>
                <w:lang w:eastAsia="ru-RU"/>
              </w:rPr>
            </w:pPr>
            <w:r w:rsidRPr="00FB1205">
              <w:rPr>
                <w:rFonts w:cstheme="majorHAnsi"/>
                <w:sz w:val="20"/>
                <w:szCs w:val="20"/>
                <w:lang w:eastAsia="ru-RU"/>
              </w:rPr>
              <w:t>Datoria de stat internă (% din total)</w:t>
            </w:r>
          </w:p>
        </w:tc>
        <w:tc>
          <w:tcPr>
            <w:tcW w:w="1865" w:type="dxa"/>
          </w:tcPr>
          <w:p w14:paraId="50F2AD89"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35% (min)-50% (max)</w:t>
            </w:r>
          </w:p>
        </w:tc>
        <w:tc>
          <w:tcPr>
            <w:tcW w:w="1479" w:type="dxa"/>
          </w:tcPr>
          <w:p w14:paraId="08F841A8"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43,1%</w:t>
            </w:r>
          </w:p>
        </w:tc>
        <w:tc>
          <w:tcPr>
            <w:tcW w:w="1396" w:type="dxa"/>
          </w:tcPr>
          <w:p w14:paraId="36FB7830"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w:t>
            </w:r>
          </w:p>
        </w:tc>
      </w:tr>
      <w:tr w:rsidR="00E514B5" w:rsidRPr="00FB1205" w14:paraId="0A24B5FB" w14:textId="77777777" w:rsidTr="004511C2">
        <w:tc>
          <w:tcPr>
            <w:tcW w:w="4605" w:type="dxa"/>
          </w:tcPr>
          <w:p w14:paraId="4569B3B5" w14:textId="77777777" w:rsidR="00E514B5" w:rsidRPr="00FB1205" w:rsidRDefault="00E514B5" w:rsidP="004511C2">
            <w:pPr>
              <w:spacing w:after="0" w:line="276" w:lineRule="auto"/>
              <w:jc w:val="both"/>
              <w:rPr>
                <w:rFonts w:cstheme="majorHAnsi"/>
                <w:sz w:val="20"/>
                <w:szCs w:val="20"/>
                <w:lang w:eastAsia="ru-RU"/>
              </w:rPr>
            </w:pPr>
            <w:r w:rsidRPr="00FB1205">
              <w:rPr>
                <w:rFonts w:cstheme="majorHAnsi"/>
                <w:sz w:val="20"/>
                <w:szCs w:val="20"/>
                <w:lang w:eastAsia="ru-RU"/>
              </w:rPr>
              <w:t>Datoria de stat într-o anumită valută străină (% din total)</w:t>
            </w:r>
          </w:p>
        </w:tc>
        <w:tc>
          <w:tcPr>
            <w:tcW w:w="1865" w:type="dxa"/>
          </w:tcPr>
          <w:p w14:paraId="032000BF"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20%-40% (max)</w:t>
            </w:r>
          </w:p>
        </w:tc>
        <w:tc>
          <w:tcPr>
            <w:tcW w:w="1479" w:type="dxa"/>
          </w:tcPr>
          <w:p w14:paraId="7DC958A1"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33,1%</w:t>
            </w:r>
          </w:p>
        </w:tc>
        <w:tc>
          <w:tcPr>
            <w:tcW w:w="1396" w:type="dxa"/>
          </w:tcPr>
          <w:p w14:paraId="305A1001"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w:t>
            </w:r>
          </w:p>
        </w:tc>
      </w:tr>
      <w:tr w:rsidR="00E514B5" w:rsidRPr="00FB1205" w14:paraId="05DF6BE5" w14:textId="77777777" w:rsidTr="004511C2">
        <w:tc>
          <w:tcPr>
            <w:tcW w:w="4605" w:type="dxa"/>
          </w:tcPr>
          <w:p w14:paraId="3D6619D4" w14:textId="498B84E4" w:rsidR="00E514B5" w:rsidRPr="00FB1205" w:rsidRDefault="006857EB" w:rsidP="004511C2">
            <w:pPr>
              <w:spacing w:after="0" w:line="276" w:lineRule="auto"/>
              <w:jc w:val="both"/>
              <w:rPr>
                <w:rFonts w:cstheme="majorHAnsi"/>
                <w:sz w:val="20"/>
                <w:szCs w:val="20"/>
                <w:lang w:eastAsia="ru-RU"/>
              </w:rPr>
            </w:pPr>
            <w:r>
              <w:rPr>
                <w:rFonts w:cstheme="majorHAnsi"/>
                <w:sz w:val="20"/>
                <w:szCs w:val="20"/>
                <w:lang w:eastAsia="ru-RU"/>
              </w:rPr>
              <w:t>Datoria de stat cu rata dobâ</w:t>
            </w:r>
            <w:r w:rsidR="00E514B5" w:rsidRPr="00FB1205">
              <w:rPr>
                <w:rFonts w:cstheme="majorHAnsi"/>
                <w:sz w:val="20"/>
                <w:szCs w:val="20"/>
                <w:lang w:eastAsia="ru-RU"/>
              </w:rPr>
              <w:t>nzii variabilă</w:t>
            </w:r>
            <w:r w:rsidR="00E514B5" w:rsidRPr="00FB1205">
              <w:rPr>
                <w:rFonts w:cstheme="majorHAnsi"/>
                <w:sz w:val="20"/>
                <w:szCs w:val="20"/>
                <w:vertAlign w:val="superscript"/>
                <w:lang w:eastAsia="ru-RU"/>
              </w:rPr>
              <w:t>*</w:t>
            </w:r>
            <w:r w:rsidR="00E514B5" w:rsidRPr="00FB1205">
              <w:rPr>
                <w:rFonts w:cstheme="majorHAnsi"/>
                <w:sz w:val="20"/>
                <w:szCs w:val="20"/>
                <w:lang w:eastAsia="ru-RU"/>
              </w:rPr>
              <w:t xml:space="preserve"> (% din total)</w:t>
            </w:r>
          </w:p>
        </w:tc>
        <w:tc>
          <w:tcPr>
            <w:tcW w:w="1865" w:type="dxa"/>
          </w:tcPr>
          <w:p w14:paraId="10F9A3F9"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25%-40% (max)</w:t>
            </w:r>
          </w:p>
        </w:tc>
        <w:tc>
          <w:tcPr>
            <w:tcW w:w="1479" w:type="dxa"/>
          </w:tcPr>
          <w:p w14:paraId="541445A6"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36,9%</w:t>
            </w:r>
          </w:p>
        </w:tc>
        <w:tc>
          <w:tcPr>
            <w:tcW w:w="1396" w:type="dxa"/>
          </w:tcPr>
          <w:p w14:paraId="28C0C201"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w:t>
            </w:r>
          </w:p>
        </w:tc>
      </w:tr>
      <w:tr w:rsidR="00E514B5" w:rsidRPr="00FB1205" w14:paraId="2A0A5C04" w14:textId="77777777" w:rsidTr="004511C2">
        <w:tc>
          <w:tcPr>
            <w:tcW w:w="4605" w:type="dxa"/>
          </w:tcPr>
          <w:p w14:paraId="673AE743" w14:textId="77777777" w:rsidR="00E514B5" w:rsidRPr="00FB1205" w:rsidRDefault="00E514B5" w:rsidP="004511C2">
            <w:pPr>
              <w:spacing w:after="0" w:line="276" w:lineRule="auto"/>
              <w:jc w:val="both"/>
              <w:rPr>
                <w:rFonts w:cstheme="majorHAnsi"/>
                <w:sz w:val="20"/>
                <w:szCs w:val="20"/>
                <w:lang w:eastAsia="ru-RU"/>
              </w:rPr>
            </w:pPr>
            <w:r w:rsidRPr="00FB1205">
              <w:rPr>
                <w:rFonts w:cstheme="majorHAnsi"/>
                <w:sz w:val="20"/>
                <w:szCs w:val="20"/>
                <w:lang w:eastAsia="ru-RU"/>
              </w:rPr>
              <w:t>VMS emise pe piața primară scadente în decurs de un an (% din total)</w:t>
            </w:r>
          </w:p>
        </w:tc>
        <w:tc>
          <w:tcPr>
            <w:tcW w:w="1865" w:type="dxa"/>
          </w:tcPr>
          <w:p w14:paraId="59C6E296"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70%-85% (max)</w:t>
            </w:r>
          </w:p>
        </w:tc>
        <w:tc>
          <w:tcPr>
            <w:tcW w:w="1479" w:type="dxa"/>
          </w:tcPr>
          <w:p w14:paraId="3DEF67E3"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88,4%</w:t>
            </w:r>
          </w:p>
        </w:tc>
        <w:tc>
          <w:tcPr>
            <w:tcW w:w="1396" w:type="dxa"/>
          </w:tcPr>
          <w:p w14:paraId="24714FAD"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+3,4</w:t>
            </w:r>
          </w:p>
        </w:tc>
      </w:tr>
      <w:tr w:rsidR="00E514B5" w:rsidRPr="00FB1205" w14:paraId="61DC5DFD" w14:textId="77777777" w:rsidTr="004511C2">
        <w:tc>
          <w:tcPr>
            <w:tcW w:w="4605" w:type="dxa"/>
          </w:tcPr>
          <w:p w14:paraId="6A78D9D2" w14:textId="77777777" w:rsidR="00E514B5" w:rsidRPr="00FB1205" w:rsidRDefault="00E514B5" w:rsidP="004511C2">
            <w:pPr>
              <w:spacing w:after="0" w:line="276" w:lineRule="auto"/>
              <w:jc w:val="both"/>
              <w:rPr>
                <w:rFonts w:cstheme="majorHAnsi"/>
                <w:sz w:val="20"/>
                <w:szCs w:val="20"/>
                <w:lang w:eastAsia="ru-RU"/>
              </w:rPr>
            </w:pPr>
            <w:r w:rsidRPr="00FB1205">
              <w:rPr>
                <w:rFonts w:cstheme="majorHAnsi"/>
                <w:sz w:val="20"/>
                <w:szCs w:val="20"/>
                <w:lang w:eastAsia="ru-RU"/>
              </w:rPr>
              <w:lastRenderedPageBreak/>
              <w:t>ATM pentru VMS emise pe piața primară scadente în decurs de un an (% din total)</w:t>
            </w:r>
          </w:p>
        </w:tc>
        <w:tc>
          <w:tcPr>
            <w:tcW w:w="1865" w:type="dxa"/>
          </w:tcPr>
          <w:p w14:paraId="39493B5C"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1,0 (min) – 2,0</w:t>
            </w:r>
          </w:p>
        </w:tc>
        <w:tc>
          <w:tcPr>
            <w:tcW w:w="1479" w:type="dxa"/>
          </w:tcPr>
          <w:p w14:paraId="49770BBE"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0,8 ani</w:t>
            </w:r>
          </w:p>
        </w:tc>
        <w:tc>
          <w:tcPr>
            <w:tcW w:w="1396" w:type="dxa"/>
          </w:tcPr>
          <w:p w14:paraId="770A5143"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w:t>
            </w:r>
          </w:p>
        </w:tc>
      </w:tr>
      <w:tr w:rsidR="00E514B5" w:rsidRPr="00FB1205" w14:paraId="741FBB08" w14:textId="77777777" w:rsidTr="004511C2">
        <w:tc>
          <w:tcPr>
            <w:tcW w:w="9345" w:type="dxa"/>
            <w:gridSpan w:val="4"/>
          </w:tcPr>
          <w:p w14:paraId="5E0EAD6B" w14:textId="77777777" w:rsidR="00E514B5" w:rsidRPr="00FB1205" w:rsidRDefault="00E514B5" w:rsidP="004511C2">
            <w:pPr>
              <w:spacing w:after="0" w:line="276" w:lineRule="auto"/>
              <w:jc w:val="center"/>
              <w:rPr>
                <w:rFonts w:cstheme="majorHAnsi"/>
                <w:b/>
                <w:sz w:val="20"/>
                <w:szCs w:val="20"/>
                <w:lang w:eastAsia="ru-RU"/>
              </w:rPr>
            </w:pPr>
            <w:r w:rsidRPr="00FB1205">
              <w:rPr>
                <w:rFonts w:cstheme="majorHAnsi"/>
                <w:b/>
                <w:sz w:val="20"/>
                <w:szCs w:val="20"/>
                <w:lang w:eastAsia="ru-RU"/>
              </w:rPr>
              <w:t>Parametrii de sustenabilitate pentru perioada 2020-2022</w:t>
            </w:r>
          </w:p>
        </w:tc>
      </w:tr>
      <w:tr w:rsidR="00E514B5" w:rsidRPr="00FB1205" w14:paraId="722641B5" w14:textId="77777777" w:rsidTr="004511C2">
        <w:tc>
          <w:tcPr>
            <w:tcW w:w="4605" w:type="dxa"/>
          </w:tcPr>
          <w:p w14:paraId="005727F5" w14:textId="77777777" w:rsidR="00E514B5" w:rsidRPr="00FB1205" w:rsidRDefault="00E514B5" w:rsidP="004511C2">
            <w:pPr>
              <w:spacing w:after="0" w:line="276" w:lineRule="auto"/>
              <w:jc w:val="both"/>
              <w:rPr>
                <w:rFonts w:cstheme="majorHAnsi"/>
                <w:sz w:val="20"/>
                <w:szCs w:val="20"/>
                <w:lang w:eastAsia="ru-RU"/>
              </w:rPr>
            </w:pPr>
            <w:r w:rsidRPr="00FB1205">
              <w:rPr>
                <w:rFonts w:cstheme="majorHAnsi"/>
                <w:sz w:val="20"/>
                <w:szCs w:val="20"/>
                <w:lang w:eastAsia="ru-RU"/>
              </w:rPr>
              <w:t>Serviciul datoriei de stat (% în raport cu veniturile bugetului de stat)</w:t>
            </w:r>
          </w:p>
        </w:tc>
        <w:tc>
          <w:tcPr>
            <w:tcW w:w="1865" w:type="dxa"/>
          </w:tcPr>
          <w:p w14:paraId="2AA493D5"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 10%</w:t>
            </w:r>
          </w:p>
        </w:tc>
        <w:tc>
          <w:tcPr>
            <w:tcW w:w="1479" w:type="dxa"/>
          </w:tcPr>
          <w:p w14:paraId="06C82435"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4,4%</w:t>
            </w:r>
          </w:p>
        </w:tc>
        <w:tc>
          <w:tcPr>
            <w:tcW w:w="1396" w:type="dxa"/>
          </w:tcPr>
          <w:p w14:paraId="4721AE3D" w14:textId="77777777" w:rsidR="00E514B5" w:rsidRPr="00FB1205" w:rsidRDefault="00E514B5" w:rsidP="004511C2">
            <w:pPr>
              <w:spacing w:after="0" w:line="276" w:lineRule="auto"/>
              <w:jc w:val="center"/>
              <w:rPr>
                <w:rFonts w:cstheme="majorHAnsi"/>
                <w:sz w:val="20"/>
                <w:szCs w:val="20"/>
                <w:lang w:eastAsia="ru-RU"/>
              </w:rPr>
            </w:pPr>
            <w:r w:rsidRPr="00FB1205">
              <w:rPr>
                <w:rFonts w:cstheme="majorHAnsi"/>
                <w:sz w:val="20"/>
                <w:szCs w:val="20"/>
                <w:lang w:eastAsia="ru-RU"/>
              </w:rPr>
              <w:t>-</w:t>
            </w:r>
          </w:p>
        </w:tc>
      </w:tr>
    </w:tbl>
    <w:p w14:paraId="4A8D12F1" w14:textId="5C9271D7" w:rsidR="00E514B5" w:rsidRPr="006C5ECB" w:rsidRDefault="00E514B5" w:rsidP="00E514B5">
      <w:pPr>
        <w:pStyle w:val="af3"/>
        <w:spacing w:line="276" w:lineRule="auto"/>
        <w:rPr>
          <w:rFonts w:cstheme="majorHAnsi"/>
          <w:i/>
          <w:sz w:val="20"/>
          <w:szCs w:val="20"/>
          <w:lang w:val="ro-RO" w:eastAsia="ru-RU"/>
        </w:rPr>
      </w:pPr>
      <w:r w:rsidRPr="008B5B55">
        <w:rPr>
          <w:rFonts w:cstheme="majorHAnsi"/>
          <w:b/>
          <w:i/>
          <w:sz w:val="20"/>
          <w:szCs w:val="20"/>
          <w:lang w:val="ro-RO" w:eastAsia="ru-RU"/>
        </w:rPr>
        <w:t>Sursa:</w:t>
      </w:r>
      <w:r w:rsidRPr="008B5B55">
        <w:rPr>
          <w:rFonts w:cstheme="majorHAnsi"/>
          <w:i/>
          <w:sz w:val="20"/>
          <w:szCs w:val="20"/>
          <w:lang w:val="ro-RO" w:eastAsia="ru-RU"/>
        </w:rPr>
        <w:t xml:space="preserve"> </w:t>
      </w:r>
      <w:r w:rsidRPr="006857EB">
        <w:rPr>
          <w:rFonts w:cstheme="majorHAnsi"/>
          <w:i/>
          <w:sz w:val="20"/>
          <w:szCs w:val="20"/>
          <w:lang w:val="ro-RO" w:eastAsia="ru-RU"/>
        </w:rPr>
        <w:t>Elaborat de echipa de audit în baza informațiilo</w:t>
      </w:r>
      <w:r w:rsidR="006857EB">
        <w:rPr>
          <w:rFonts w:cstheme="majorHAnsi"/>
          <w:i/>
          <w:sz w:val="20"/>
          <w:szCs w:val="20"/>
          <w:lang w:val="ro-RO" w:eastAsia="ru-RU"/>
        </w:rPr>
        <w:t xml:space="preserve">r prezentate de MF și Programului </w:t>
      </w:r>
      <w:r w:rsidRPr="006857EB">
        <w:rPr>
          <w:rFonts w:cstheme="majorHAnsi"/>
          <w:i/>
          <w:sz w:val="20"/>
          <w:szCs w:val="20"/>
          <w:lang w:val="ro-RO" w:eastAsia="ru-RU"/>
        </w:rPr>
        <w:t>„Managementul datoriei de stat pe termen mediu (2020-2022)</w:t>
      </w:r>
      <w:r w:rsidR="006857EB">
        <w:rPr>
          <w:rFonts w:cstheme="majorHAnsi"/>
          <w:i/>
          <w:sz w:val="20"/>
          <w:szCs w:val="20"/>
          <w:lang w:val="ro-RO" w:eastAsia="ru-RU"/>
        </w:rPr>
        <w:t>”</w:t>
      </w:r>
      <w:r w:rsidRPr="006857EB">
        <w:rPr>
          <w:rFonts w:cstheme="majorHAnsi"/>
          <w:i/>
          <w:sz w:val="20"/>
          <w:szCs w:val="20"/>
          <w:lang w:val="ro-RO" w:eastAsia="ru-RU"/>
        </w:rPr>
        <w:t>.</w:t>
      </w:r>
    </w:p>
    <w:p w14:paraId="211C7494" w14:textId="292F7C99" w:rsidR="00E514B5" w:rsidRPr="00BB755E" w:rsidRDefault="00E514B5" w:rsidP="00E514B5">
      <w:pPr>
        <w:spacing w:after="0" w:line="276" w:lineRule="auto"/>
        <w:jc w:val="right"/>
        <w:rPr>
          <w:rFonts w:cstheme="majorHAnsi"/>
          <w:b/>
          <w:szCs w:val="24"/>
          <w:lang w:val="ro-MD" w:eastAsia="ru-RU"/>
        </w:rPr>
      </w:pPr>
      <w:r w:rsidRPr="006A79EA">
        <w:rPr>
          <w:rFonts w:cstheme="majorHAnsi"/>
          <w:b/>
          <w:i/>
          <w:szCs w:val="24"/>
          <w:lang w:val="ro-RO" w:eastAsia="ru-RU"/>
        </w:rPr>
        <w:t>Tabelul nr.</w:t>
      </w:r>
      <w:r w:rsidR="00F639BB">
        <w:rPr>
          <w:rFonts w:cstheme="majorHAnsi"/>
          <w:b/>
          <w:i/>
          <w:szCs w:val="24"/>
          <w:lang w:val="ro-RO" w:eastAsia="ru-RU"/>
        </w:rPr>
        <w:t>2</w:t>
      </w:r>
    </w:p>
    <w:p w14:paraId="5BB1211D" w14:textId="77777777" w:rsidR="00E514B5" w:rsidRPr="008B5B55" w:rsidRDefault="00E514B5" w:rsidP="00E514B5">
      <w:pPr>
        <w:spacing w:after="0" w:line="240" w:lineRule="auto"/>
        <w:jc w:val="center"/>
        <w:rPr>
          <w:rFonts w:cstheme="majorHAnsi"/>
          <w:b/>
          <w:i/>
          <w:color w:val="000000" w:themeColor="text1"/>
          <w:szCs w:val="24"/>
          <w:lang w:val="ro-RO"/>
          <w14:glow w14:rad="0">
            <w14:schemeClr w14:val="tx1"/>
          </w14:glow>
        </w:rPr>
      </w:pPr>
      <w:r w:rsidRPr="008B5B55">
        <w:rPr>
          <w:rFonts w:cstheme="majorHAnsi"/>
          <w:b/>
          <w:i/>
          <w:color w:val="000000" w:themeColor="text1"/>
          <w:szCs w:val="24"/>
          <w:lang w:val="ro-RO"/>
          <w14:glow w14:rad="0">
            <w14:schemeClr w14:val="tx1"/>
          </w14:glow>
        </w:rPr>
        <w:t>Evoluția principalilor indicatori ce caracterizează datoria de stat pe anii 2016-2020</w:t>
      </w:r>
    </w:p>
    <w:tbl>
      <w:tblPr>
        <w:tblStyle w:val="TableGrid12"/>
        <w:tblW w:w="9351" w:type="dxa"/>
        <w:tblLook w:val="04A0" w:firstRow="1" w:lastRow="0" w:firstColumn="1" w:lastColumn="0" w:noHBand="0" w:noVBand="1"/>
      </w:tblPr>
      <w:tblGrid>
        <w:gridCol w:w="3681"/>
        <w:gridCol w:w="801"/>
        <w:gridCol w:w="900"/>
        <w:gridCol w:w="992"/>
        <w:gridCol w:w="992"/>
        <w:gridCol w:w="993"/>
        <w:gridCol w:w="992"/>
      </w:tblGrid>
      <w:tr w:rsidR="00E514B5" w:rsidRPr="008B5B55" w14:paraId="21EA0774" w14:textId="77777777" w:rsidTr="004511C2">
        <w:tc>
          <w:tcPr>
            <w:tcW w:w="3681" w:type="dxa"/>
            <w:shd w:val="clear" w:color="auto" w:fill="auto"/>
          </w:tcPr>
          <w:p w14:paraId="35503D16"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Indicatori</w:t>
            </w:r>
          </w:p>
        </w:tc>
        <w:tc>
          <w:tcPr>
            <w:tcW w:w="801" w:type="dxa"/>
            <w:shd w:val="clear" w:color="auto" w:fill="auto"/>
          </w:tcPr>
          <w:p w14:paraId="62444FE1" w14:textId="77777777" w:rsidR="00E514B5" w:rsidRPr="008B5B55" w:rsidRDefault="00E514B5" w:rsidP="004511C2">
            <w:pPr>
              <w:jc w:val="center"/>
              <w:rPr>
                <w:rFonts w:cstheme="majorHAnsi"/>
                <w:b/>
                <w:sz w:val="18"/>
                <w:szCs w:val="18"/>
                <w:lang w:val="ro-MD" w:eastAsia="ru-RU"/>
              </w:rPr>
            </w:pPr>
            <w:r w:rsidRPr="008B5B55">
              <w:rPr>
                <w:rFonts w:cstheme="majorHAnsi"/>
                <w:b/>
                <w:sz w:val="18"/>
                <w:szCs w:val="18"/>
                <w:lang w:val="ro-MD" w:eastAsia="ru-RU"/>
              </w:rPr>
              <w:t>U.m.</w:t>
            </w:r>
          </w:p>
        </w:tc>
        <w:tc>
          <w:tcPr>
            <w:tcW w:w="900" w:type="dxa"/>
            <w:shd w:val="clear" w:color="auto" w:fill="auto"/>
          </w:tcPr>
          <w:p w14:paraId="71B9513D"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2016</w:t>
            </w:r>
          </w:p>
        </w:tc>
        <w:tc>
          <w:tcPr>
            <w:tcW w:w="992" w:type="dxa"/>
            <w:shd w:val="clear" w:color="auto" w:fill="auto"/>
          </w:tcPr>
          <w:p w14:paraId="6D6E7D94"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2017</w:t>
            </w:r>
          </w:p>
        </w:tc>
        <w:tc>
          <w:tcPr>
            <w:tcW w:w="992" w:type="dxa"/>
            <w:shd w:val="clear" w:color="auto" w:fill="auto"/>
          </w:tcPr>
          <w:p w14:paraId="42D490AD"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2018</w:t>
            </w:r>
          </w:p>
        </w:tc>
        <w:tc>
          <w:tcPr>
            <w:tcW w:w="993" w:type="dxa"/>
            <w:shd w:val="clear" w:color="auto" w:fill="auto"/>
          </w:tcPr>
          <w:p w14:paraId="6FBF04B4"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2019</w:t>
            </w:r>
          </w:p>
        </w:tc>
        <w:tc>
          <w:tcPr>
            <w:tcW w:w="992" w:type="dxa"/>
            <w:shd w:val="clear" w:color="auto" w:fill="auto"/>
          </w:tcPr>
          <w:p w14:paraId="0E244EA7"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2020</w:t>
            </w:r>
          </w:p>
        </w:tc>
      </w:tr>
      <w:tr w:rsidR="00E514B5" w:rsidRPr="008B5B55" w14:paraId="13EE8D02" w14:textId="77777777" w:rsidTr="004511C2">
        <w:tc>
          <w:tcPr>
            <w:tcW w:w="3681" w:type="dxa"/>
          </w:tcPr>
          <w:p w14:paraId="2A2CBC1E" w14:textId="77777777" w:rsidR="00E514B5" w:rsidRPr="008B5B55" w:rsidRDefault="00E514B5" w:rsidP="004511C2">
            <w:pPr>
              <w:jc w:val="both"/>
              <w:rPr>
                <w:rFonts w:cstheme="majorHAnsi"/>
                <w:b/>
                <w:sz w:val="20"/>
                <w:szCs w:val="20"/>
                <w:lang w:val="ro-MD" w:eastAsia="ru-RU"/>
              </w:rPr>
            </w:pPr>
            <w:r w:rsidRPr="008B5B55">
              <w:rPr>
                <w:rFonts w:cstheme="majorHAnsi"/>
                <w:b/>
                <w:sz w:val="20"/>
                <w:szCs w:val="20"/>
                <w:lang w:val="ro-MD" w:eastAsia="ru-RU"/>
              </w:rPr>
              <w:t>Ponderea datoriei de stat în PIB</w:t>
            </w:r>
          </w:p>
          <w:p w14:paraId="11398F9C" w14:textId="77777777" w:rsidR="00E514B5" w:rsidRPr="008B5B55" w:rsidRDefault="00E514B5" w:rsidP="004511C2">
            <w:pPr>
              <w:jc w:val="both"/>
              <w:rPr>
                <w:rFonts w:cstheme="majorHAnsi"/>
                <w:sz w:val="20"/>
                <w:szCs w:val="20"/>
                <w:lang w:val="ro-MD" w:eastAsia="ru-RU"/>
              </w:rPr>
            </w:pPr>
            <w:r w:rsidRPr="008B5B55">
              <w:rPr>
                <w:rFonts w:cstheme="majorHAnsi"/>
                <w:sz w:val="20"/>
                <w:szCs w:val="20"/>
                <w:lang w:val="ro-MD" w:eastAsia="ru-RU"/>
              </w:rPr>
              <w:t>Ponderea datoriei de stat externe în PIB</w:t>
            </w:r>
          </w:p>
          <w:p w14:paraId="68471CCD" w14:textId="77777777" w:rsidR="00E514B5" w:rsidRPr="008B5B55" w:rsidRDefault="00E514B5" w:rsidP="004511C2">
            <w:pPr>
              <w:jc w:val="both"/>
              <w:rPr>
                <w:rFonts w:cstheme="majorHAnsi"/>
                <w:sz w:val="20"/>
                <w:szCs w:val="20"/>
                <w:lang w:val="ro-MD" w:eastAsia="ru-RU"/>
              </w:rPr>
            </w:pPr>
            <w:r w:rsidRPr="008B5B55">
              <w:rPr>
                <w:rFonts w:cstheme="majorHAnsi"/>
                <w:sz w:val="20"/>
                <w:szCs w:val="20"/>
                <w:lang w:val="ro-MD" w:eastAsia="ru-RU"/>
              </w:rPr>
              <w:t>Ponderea datoriei de stat interne în PIB</w:t>
            </w:r>
          </w:p>
        </w:tc>
        <w:tc>
          <w:tcPr>
            <w:tcW w:w="801" w:type="dxa"/>
          </w:tcPr>
          <w:p w14:paraId="0B28C91B" w14:textId="77777777" w:rsidR="00E514B5" w:rsidRPr="008B5B55" w:rsidRDefault="00E514B5" w:rsidP="004511C2">
            <w:pPr>
              <w:jc w:val="center"/>
              <w:rPr>
                <w:rFonts w:cstheme="majorHAnsi"/>
                <w:sz w:val="18"/>
                <w:szCs w:val="18"/>
                <w:lang w:val="ro-MD" w:eastAsia="ru-RU"/>
              </w:rPr>
            </w:pPr>
            <w:r w:rsidRPr="008B5B55">
              <w:rPr>
                <w:rFonts w:cstheme="majorHAnsi"/>
                <w:sz w:val="18"/>
                <w:szCs w:val="18"/>
                <w:lang w:val="ro-MD" w:eastAsia="ru-RU"/>
              </w:rPr>
              <w:t>%</w:t>
            </w:r>
          </w:p>
        </w:tc>
        <w:tc>
          <w:tcPr>
            <w:tcW w:w="900" w:type="dxa"/>
          </w:tcPr>
          <w:p w14:paraId="36B7C21D"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31,6</w:t>
            </w:r>
          </w:p>
          <w:p w14:paraId="429E99F1"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18,2</w:t>
            </w:r>
          </w:p>
          <w:p w14:paraId="5984905C"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13,4</w:t>
            </w:r>
          </w:p>
        </w:tc>
        <w:tc>
          <w:tcPr>
            <w:tcW w:w="992" w:type="dxa"/>
          </w:tcPr>
          <w:p w14:paraId="4DA30325"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28,9</w:t>
            </w:r>
          </w:p>
          <w:p w14:paraId="01BC8799"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16,3</w:t>
            </w:r>
          </w:p>
          <w:p w14:paraId="38AAB44D"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12,6</w:t>
            </w:r>
          </w:p>
        </w:tc>
        <w:tc>
          <w:tcPr>
            <w:tcW w:w="992" w:type="dxa"/>
          </w:tcPr>
          <w:p w14:paraId="07D3BEE7"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27,0</w:t>
            </w:r>
          </w:p>
          <w:p w14:paraId="614F4EA0"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15,0</w:t>
            </w:r>
          </w:p>
          <w:p w14:paraId="3A883E7F"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12,0</w:t>
            </w:r>
          </w:p>
        </w:tc>
        <w:tc>
          <w:tcPr>
            <w:tcW w:w="993" w:type="dxa"/>
          </w:tcPr>
          <w:p w14:paraId="17D256F8"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25,0</w:t>
            </w:r>
          </w:p>
          <w:p w14:paraId="7B5F30D9"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14,0</w:t>
            </w:r>
          </w:p>
          <w:p w14:paraId="0DE1DCFC"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11,0</w:t>
            </w:r>
          </w:p>
        </w:tc>
        <w:tc>
          <w:tcPr>
            <w:tcW w:w="992" w:type="dxa"/>
          </w:tcPr>
          <w:p w14:paraId="2CE7759B"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32,9</w:t>
            </w:r>
          </w:p>
          <w:p w14:paraId="46978EC7"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18,7</w:t>
            </w:r>
          </w:p>
          <w:p w14:paraId="3F4D4F78"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14,2</w:t>
            </w:r>
          </w:p>
        </w:tc>
      </w:tr>
      <w:tr w:rsidR="00E514B5" w:rsidRPr="008B5B55" w14:paraId="2A236050" w14:textId="77777777" w:rsidTr="004511C2">
        <w:tc>
          <w:tcPr>
            <w:tcW w:w="3681" w:type="dxa"/>
          </w:tcPr>
          <w:p w14:paraId="41A4341B" w14:textId="77777777" w:rsidR="00E514B5" w:rsidRPr="008B5B55" w:rsidRDefault="00E514B5" w:rsidP="004511C2">
            <w:pPr>
              <w:jc w:val="both"/>
              <w:rPr>
                <w:rFonts w:cstheme="majorHAnsi"/>
                <w:b/>
                <w:sz w:val="20"/>
                <w:szCs w:val="20"/>
                <w:lang w:val="ro-MD" w:eastAsia="ru-RU"/>
              </w:rPr>
            </w:pPr>
            <w:r w:rsidRPr="008B5B55">
              <w:rPr>
                <w:rFonts w:cstheme="majorHAnsi"/>
                <w:b/>
                <w:sz w:val="20"/>
                <w:szCs w:val="20"/>
                <w:lang w:val="ro-MD" w:eastAsia="ru-RU"/>
              </w:rPr>
              <w:t>Ponderea datoriei de stat în veniturile bugetului de stat</w:t>
            </w:r>
          </w:p>
          <w:p w14:paraId="536FDA5B" w14:textId="77777777" w:rsidR="00E514B5" w:rsidRPr="008B5B55" w:rsidRDefault="00E514B5" w:rsidP="004511C2">
            <w:pPr>
              <w:jc w:val="both"/>
              <w:rPr>
                <w:rFonts w:cstheme="majorHAnsi"/>
                <w:sz w:val="20"/>
                <w:szCs w:val="20"/>
                <w:lang w:val="ro-MD" w:eastAsia="ru-RU"/>
              </w:rPr>
            </w:pPr>
            <w:r w:rsidRPr="008B5B55">
              <w:rPr>
                <w:rFonts w:cstheme="majorHAnsi"/>
                <w:sz w:val="20"/>
                <w:szCs w:val="20"/>
                <w:lang w:val="ro-MD" w:eastAsia="ru-RU"/>
              </w:rPr>
              <w:t>Ponderea datoriei de stat externe în veniturile bugetului de stat</w:t>
            </w:r>
          </w:p>
          <w:p w14:paraId="0518BA24" w14:textId="77777777" w:rsidR="00E514B5" w:rsidRPr="008B5B55" w:rsidRDefault="00E514B5" w:rsidP="004511C2">
            <w:pPr>
              <w:jc w:val="both"/>
              <w:rPr>
                <w:rFonts w:cstheme="majorHAnsi"/>
                <w:sz w:val="20"/>
                <w:szCs w:val="20"/>
                <w:lang w:val="ro-MD" w:eastAsia="ru-RU"/>
              </w:rPr>
            </w:pPr>
            <w:r w:rsidRPr="008B5B55">
              <w:rPr>
                <w:rFonts w:cstheme="majorHAnsi"/>
                <w:sz w:val="20"/>
                <w:szCs w:val="20"/>
                <w:lang w:val="ro-MD" w:eastAsia="ru-RU"/>
              </w:rPr>
              <w:t>Ponderea datoriei de stat interne în veniturile bugetului de stat</w:t>
            </w:r>
          </w:p>
        </w:tc>
        <w:tc>
          <w:tcPr>
            <w:tcW w:w="801" w:type="dxa"/>
          </w:tcPr>
          <w:p w14:paraId="20A9ABD4" w14:textId="77777777" w:rsidR="00E514B5" w:rsidRPr="008B5B55" w:rsidRDefault="00E514B5" w:rsidP="004511C2">
            <w:pPr>
              <w:jc w:val="center"/>
              <w:rPr>
                <w:rFonts w:cstheme="majorHAnsi"/>
                <w:sz w:val="18"/>
                <w:szCs w:val="18"/>
                <w:lang w:val="ro-MD" w:eastAsia="ru-RU"/>
              </w:rPr>
            </w:pPr>
            <w:r w:rsidRPr="008B5B55">
              <w:rPr>
                <w:rFonts w:cstheme="majorHAnsi"/>
                <w:sz w:val="18"/>
                <w:szCs w:val="18"/>
                <w:lang w:val="ro-MD" w:eastAsia="ru-RU"/>
              </w:rPr>
              <w:t>%</w:t>
            </w:r>
          </w:p>
        </w:tc>
        <w:tc>
          <w:tcPr>
            <w:tcW w:w="900" w:type="dxa"/>
          </w:tcPr>
          <w:p w14:paraId="2831B910"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175,9</w:t>
            </w:r>
          </w:p>
          <w:p w14:paraId="16955483" w14:textId="77777777" w:rsidR="00E514B5" w:rsidRPr="008B5B55" w:rsidRDefault="00E514B5" w:rsidP="004511C2">
            <w:pPr>
              <w:jc w:val="center"/>
              <w:rPr>
                <w:rFonts w:cstheme="majorHAnsi"/>
                <w:b/>
                <w:sz w:val="20"/>
                <w:szCs w:val="20"/>
                <w:lang w:val="ro-MD" w:eastAsia="ru-RU"/>
              </w:rPr>
            </w:pPr>
          </w:p>
          <w:p w14:paraId="79D7D3D1"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101,3</w:t>
            </w:r>
          </w:p>
          <w:p w14:paraId="67E5FBE6" w14:textId="77777777" w:rsidR="00E514B5" w:rsidRPr="008B5B55" w:rsidRDefault="00E514B5" w:rsidP="004511C2">
            <w:pPr>
              <w:jc w:val="center"/>
              <w:rPr>
                <w:rFonts w:cstheme="majorHAnsi"/>
                <w:sz w:val="20"/>
                <w:szCs w:val="20"/>
                <w:lang w:val="ro-MD" w:eastAsia="ru-RU"/>
              </w:rPr>
            </w:pPr>
          </w:p>
          <w:p w14:paraId="7CFD93DF"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74,5</w:t>
            </w:r>
          </w:p>
        </w:tc>
        <w:tc>
          <w:tcPr>
            <w:tcW w:w="992" w:type="dxa"/>
          </w:tcPr>
          <w:p w14:paraId="271ED2BE"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152,2</w:t>
            </w:r>
          </w:p>
          <w:p w14:paraId="648778E5" w14:textId="77777777" w:rsidR="00E514B5" w:rsidRPr="008B5B55" w:rsidRDefault="00E514B5" w:rsidP="004511C2">
            <w:pPr>
              <w:jc w:val="center"/>
              <w:rPr>
                <w:rFonts w:cstheme="majorHAnsi"/>
                <w:sz w:val="20"/>
                <w:szCs w:val="20"/>
                <w:lang w:val="ro-MD" w:eastAsia="ru-RU"/>
              </w:rPr>
            </w:pPr>
          </w:p>
          <w:p w14:paraId="3C35DA09"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85,7</w:t>
            </w:r>
          </w:p>
          <w:p w14:paraId="78FA53DF" w14:textId="77777777" w:rsidR="00E514B5" w:rsidRPr="008B5B55" w:rsidRDefault="00E514B5" w:rsidP="004511C2">
            <w:pPr>
              <w:jc w:val="center"/>
              <w:rPr>
                <w:rFonts w:cstheme="majorHAnsi"/>
                <w:sz w:val="20"/>
                <w:szCs w:val="20"/>
                <w:lang w:val="ro-MD" w:eastAsia="ru-RU"/>
              </w:rPr>
            </w:pPr>
          </w:p>
          <w:p w14:paraId="36709297"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66,5</w:t>
            </w:r>
          </w:p>
        </w:tc>
        <w:tc>
          <w:tcPr>
            <w:tcW w:w="992" w:type="dxa"/>
          </w:tcPr>
          <w:p w14:paraId="17B47902"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142,8</w:t>
            </w:r>
          </w:p>
          <w:p w14:paraId="01930684" w14:textId="77777777" w:rsidR="00E514B5" w:rsidRPr="008B5B55" w:rsidRDefault="00E514B5" w:rsidP="004511C2">
            <w:pPr>
              <w:jc w:val="center"/>
              <w:rPr>
                <w:rFonts w:cstheme="majorHAnsi"/>
                <w:sz w:val="20"/>
                <w:szCs w:val="20"/>
                <w:lang w:val="ro-MD" w:eastAsia="ru-RU"/>
              </w:rPr>
            </w:pPr>
          </w:p>
          <w:p w14:paraId="006D9FB1"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79,5</w:t>
            </w:r>
          </w:p>
          <w:p w14:paraId="08940373" w14:textId="77777777" w:rsidR="00E514B5" w:rsidRPr="008B5B55" w:rsidRDefault="00E514B5" w:rsidP="004511C2">
            <w:pPr>
              <w:jc w:val="center"/>
              <w:rPr>
                <w:rFonts w:cstheme="majorHAnsi"/>
                <w:sz w:val="20"/>
                <w:szCs w:val="20"/>
                <w:lang w:val="ro-MD" w:eastAsia="ru-RU"/>
              </w:rPr>
            </w:pPr>
          </w:p>
          <w:p w14:paraId="31550FF5"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63,3</w:t>
            </w:r>
          </w:p>
        </w:tc>
        <w:tc>
          <w:tcPr>
            <w:tcW w:w="993" w:type="dxa"/>
          </w:tcPr>
          <w:p w14:paraId="2751E58C"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131,3</w:t>
            </w:r>
          </w:p>
          <w:p w14:paraId="0BDFE76E" w14:textId="77777777" w:rsidR="00E514B5" w:rsidRPr="008B5B55" w:rsidRDefault="00E514B5" w:rsidP="004511C2">
            <w:pPr>
              <w:jc w:val="center"/>
              <w:rPr>
                <w:rFonts w:cstheme="majorHAnsi"/>
                <w:sz w:val="20"/>
                <w:szCs w:val="20"/>
                <w:lang w:val="ro-MD" w:eastAsia="ru-RU"/>
              </w:rPr>
            </w:pPr>
          </w:p>
          <w:p w14:paraId="27BE29F3"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73,4</w:t>
            </w:r>
          </w:p>
          <w:p w14:paraId="455C1197" w14:textId="77777777" w:rsidR="00E514B5" w:rsidRPr="008B5B55" w:rsidRDefault="00E514B5" w:rsidP="004511C2">
            <w:pPr>
              <w:jc w:val="center"/>
              <w:rPr>
                <w:rFonts w:cstheme="majorHAnsi"/>
                <w:sz w:val="20"/>
                <w:szCs w:val="20"/>
                <w:lang w:val="ro-MD" w:eastAsia="ru-RU"/>
              </w:rPr>
            </w:pPr>
          </w:p>
          <w:p w14:paraId="781B9E2D"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57,9</w:t>
            </w:r>
          </w:p>
        </w:tc>
        <w:tc>
          <w:tcPr>
            <w:tcW w:w="992" w:type="dxa"/>
          </w:tcPr>
          <w:p w14:paraId="569019C2"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176,1</w:t>
            </w:r>
          </w:p>
          <w:p w14:paraId="71391997" w14:textId="77777777" w:rsidR="00E514B5" w:rsidRPr="008B5B55" w:rsidRDefault="00E514B5" w:rsidP="004511C2">
            <w:pPr>
              <w:jc w:val="center"/>
              <w:rPr>
                <w:rFonts w:cstheme="majorHAnsi"/>
                <w:b/>
                <w:sz w:val="20"/>
                <w:szCs w:val="20"/>
                <w:lang w:val="ro-MD" w:eastAsia="ru-RU"/>
              </w:rPr>
            </w:pPr>
          </w:p>
          <w:p w14:paraId="3697A832"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100,2</w:t>
            </w:r>
          </w:p>
          <w:p w14:paraId="731C6732" w14:textId="77777777" w:rsidR="00E514B5" w:rsidRPr="008B5B55" w:rsidRDefault="00E514B5" w:rsidP="004511C2">
            <w:pPr>
              <w:jc w:val="center"/>
              <w:rPr>
                <w:rFonts w:cstheme="majorHAnsi"/>
                <w:sz w:val="20"/>
                <w:szCs w:val="20"/>
                <w:lang w:val="ro-MD" w:eastAsia="ru-RU"/>
              </w:rPr>
            </w:pPr>
          </w:p>
          <w:p w14:paraId="23AFCB9F"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75,9</w:t>
            </w:r>
          </w:p>
        </w:tc>
      </w:tr>
      <w:tr w:rsidR="00E514B5" w:rsidRPr="008B5B55" w14:paraId="53C415AE" w14:textId="77777777" w:rsidTr="004511C2">
        <w:tc>
          <w:tcPr>
            <w:tcW w:w="3681" w:type="dxa"/>
          </w:tcPr>
          <w:p w14:paraId="0A27829A" w14:textId="77777777" w:rsidR="00E514B5" w:rsidRPr="008B5B55" w:rsidRDefault="00E514B5" w:rsidP="004511C2">
            <w:pPr>
              <w:jc w:val="both"/>
              <w:rPr>
                <w:rFonts w:cstheme="majorHAnsi"/>
                <w:b/>
                <w:sz w:val="20"/>
                <w:szCs w:val="20"/>
                <w:lang w:val="ro-MD" w:eastAsia="ru-RU"/>
              </w:rPr>
            </w:pPr>
            <w:r w:rsidRPr="008B5B55">
              <w:rPr>
                <w:rFonts w:cstheme="majorHAnsi"/>
                <w:b/>
                <w:sz w:val="20"/>
                <w:szCs w:val="20"/>
                <w:lang w:val="ro-MD" w:eastAsia="ru-RU"/>
              </w:rPr>
              <w:t>Ponderea serviciului datoriei de stat în veniturile bugetului de stat</w:t>
            </w:r>
          </w:p>
          <w:p w14:paraId="28CA0DB6" w14:textId="77777777" w:rsidR="00E514B5" w:rsidRPr="008B5B55" w:rsidRDefault="00E514B5" w:rsidP="004511C2">
            <w:pPr>
              <w:jc w:val="both"/>
              <w:rPr>
                <w:rFonts w:cstheme="majorHAnsi"/>
                <w:sz w:val="20"/>
                <w:szCs w:val="20"/>
                <w:lang w:val="ro-MD" w:eastAsia="ru-RU"/>
              </w:rPr>
            </w:pPr>
            <w:r w:rsidRPr="008B5B55">
              <w:rPr>
                <w:rFonts w:cstheme="majorHAnsi"/>
                <w:sz w:val="20"/>
                <w:szCs w:val="20"/>
                <w:lang w:val="ro-MD" w:eastAsia="ru-RU"/>
              </w:rPr>
              <w:t>Ponderea serviciului datoriei de stat externe în veniturile bugetului de stat</w:t>
            </w:r>
          </w:p>
          <w:p w14:paraId="6A7CC8B2" w14:textId="77777777" w:rsidR="00E514B5" w:rsidRPr="008B5B55" w:rsidRDefault="00E514B5" w:rsidP="004511C2">
            <w:pPr>
              <w:jc w:val="both"/>
              <w:rPr>
                <w:rFonts w:cstheme="majorHAnsi"/>
                <w:sz w:val="20"/>
                <w:szCs w:val="20"/>
                <w:lang w:val="ro-MD" w:eastAsia="ru-RU"/>
              </w:rPr>
            </w:pPr>
            <w:r w:rsidRPr="008B5B55">
              <w:rPr>
                <w:rFonts w:cstheme="majorHAnsi"/>
                <w:sz w:val="20"/>
                <w:szCs w:val="20"/>
                <w:lang w:val="ro-MD" w:eastAsia="ru-RU"/>
              </w:rPr>
              <w:t>Ponderea serviciului datoriei de stat interne în veniturile bugetului de stat</w:t>
            </w:r>
          </w:p>
        </w:tc>
        <w:tc>
          <w:tcPr>
            <w:tcW w:w="801" w:type="dxa"/>
          </w:tcPr>
          <w:p w14:paraId="502C3CBD" w14:textId="77777777" w:rsidR="00E514B5" w:rsidRPr="008B5B55" w:rsidRDefault="00E514B5" w:rsidP="004511C2">
            <w:pPr>
              <w:jc w:val="center"/>
              <w:rPr>
                <w:rFonts w:cstheme="majorHAnsi"/>
                <w:sz w:val="18"/>
                <w:szCs w:val="18"/>
                <w:lang w:val="ro-MD" w:eastAsia="ru-RU"/>
              </w:rPr>
            </w:pPr>
            <w:r w:rsidRPr="008B5B55">
              <w:rPr>
                <w:rFonts w:cstheme="majorHAnsi"/>
                <w:sz w:val="18"/>
                <w:szCs w:val="18"/>
                <w:lang w:val="ro-MD" w:eastAsia="ru-RU"/>
              </w:rPr>
              <w:t>%</w:t>
            </w:r>
          </w:p>
        </w:tc>
        <w:tc>
          <w:tcPr>
            <w:tcW w:w="900" w:type="dxa"/>
          </w:tcPr>
          <w:p w14:paraId="4C2303F6"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6,0</w:t>
            </w:r>
          </w:p>
          <w:p w14:paraId="765BE462" w14:textId="77777777" w:rsidR="00E514B5" w:rsidRPr="008B5B55" w:rsidRDefault="00E514B5" w:rsidP="004511C2">
            <w:pPr>
              <w:jc w:val="center"/>
              <w:rPr>
                <w:rFonts w:cstheme="majorHAnsi"/>
                <w:b/>
                <w:sz w:val="20"/>
                <w:szCs w:val="20"/>
                <w:lang w:val="ro-MD" w:eastAsia="ru-RU"/>
              </w:rPr>
            </w:pPr>
          </w:p>
          <w:p w14:paraId="3E5572A5"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1,0</w:t>
            </w:r>
          </w:p>
          <w:p w14:paraId="6F1C0545" w14:textId="77777777" w:rsidR="00E514B5" w:rsidRPr="008B5B55" w:rsidRDefault="00E514B5" w:rsidP="004511C2">
            <w:pPr>
              <w:jc w:val="center"/>
              <w:rPr>
                <w:rFonts w:cstheme="majorHAnsi"/>
                <w:sz w:val="20"/>
                <w:szCs w:val="20"/>
                <w:lang w:val="ro-MD" w:eastAsia="ru-RU"/>
              </w:rPr>
            </w:pPr>
          </w:p>
          <w:p w14:paraId="21032666" w14:textId="77777777" w:rsidR="00E514B5" w:rsidRPr="008B5B55" w:rsidRDefault="00E514B5" w:rsidP="004511C2">
            <w:pPr>
              <w:jc w:val="center"/>
              <w:rPr>
                <w:rFonts w:cstheme="majorHAnsi"/>
                <w:b/>
                <w:sz w:val="20"/>
                <w:szCs w:val="20"/>
                <w:lang w:val="ro-MD" w:eastAsia="ru-RU"/>
              </w:rPr>
            </w:pPr>
            <w:r w:rsidRPr="008B5B55">
              <w:rPr>
                <w:rFonts w:cstheme="majorHAnsi"/>
                <w:sz w:val="20"/>
                <w:szCs w:val="20"/>
                <w:lang w:val="ro-MD" w:eastAsia="ru-RU"/>
              </w:rPr>
              <w:t>5,1</w:t>
            </w:r>
          </w:p>
        </w:tc>
        <w:tc>
          <w:tcPr>
            <w:tcW w:w="992" w:type="dxa"/>
          </w:tcPr>
          <w:p w14:paraId="10E4D420"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5,7</w:t>
            </w:r>
          </w:p>
          <w:p w14:paraId="35AA8486" w14:textId="77777777" w:rsidR="00E514B5" w:rsidRPr="008B5B55" w:rsidRDefault="00E514B5" w:rsidP="004511C2">
            <w:pPr>
              <w:jc w:val="center"/>
              <w:rPr>
                <w:rFonts w:cstheme="majorHAnsi"/>
                <w:sz w:val="20"/>
                <w:szCs w:val="20"/>
                <w:lang w:val="ro-MD" w:eastAsia="ru-RU"/>
              </w:rPr>
            </w:pPr>
          </w:p>
          <w:p w14:paraId="69AAEBA8"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1,1</w:t>
            </w:r>
          </w:p>
          <w:p w14:paraId="5D1F8A36" w14:textId="77777777" w:rsidR="00E514B5" w:rsidRPr="008B5B55" w:rsidRDefault="00E514B5" w:rsidP="004511C2">
            <w:pPr>
              <w:jc w:val="center"/>
              <w:rPr>
                <w:rFonts w:cstheme="majorHAnsi"/>
                <w:sz w:val="20"/>
                <w:szCs w:val="20"/>
                <w:lang w:val="ro-MD" w:eastAsia="ru-RU"/>
              </w:rPr>
            </w:pPr>
          </w:p>
          <w:p w14:paraId="1E060EF7"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4,6</w:t>
            </w:r>
          </w:p>
        </w:tc>
        <w:tc>
          <w:tcPr>
            <w:tcW w:w="992" w:type="dxa"/>
          </w:tcPr>
          <w:p w14:paraId="6978C8EF"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4,1</w:t>
            </w:r>
          </w:p>
          <w:p w14:paraId="59C1634C" w14:textId="77777777" w:rsidR="00E514B5" w:rsidRPr="008B5B55" w:rsidRDefault="00E514B5" w:rsidP="004511C2">
            <w:pPr>
              <w:jc w:val="center"/>
              <w:rPr>
                <w:rFonts w:cstheme="majorHAnsi"/>
                <w:sz w:val="20"/>
                <w:szCs w:val="20"/>
                <w:lang w:val="ro-MD" w:eastAsia="ru-RU"/>
              </w:rPr>
            </w:pPr>
          </w:p>
          <w:p w14:paraId="6B0B38B8"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1,0</w:t>
            </w:r>
          </w:p>
          <w:p w14:paraId="288BCA14" w14:textId="77777777" w:rsidR="00E514B5" w:rsidRPr="008B5B55" w:rsidRDefault="00E514B5" w:rsidP="004511C2">
            <w:pPr>
              <w:jc w:val="center"/>
              <w:rPr>
                <w:rFonts w:cstheme="majorHAnsi"/>
                <w:sz w:val="20"/>
                <w:szCs w:val="20"/>
                <w:lang w:val="ro-MD" w:eastAsia="ru-RU"/>
              </w:rPr>
            </w:pPr>
          </w:p>
          <w:p w14:paraId="15D43603"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3,1</w:t>
            </w:r>
          </w:p>
        </w:tc>
        <w:tc>
          <w:tcPr>
            <w:tcW w:w="993" w:type="dxa"/>
          </w:tcPr>
          <w:p w14:paraId="0928D547"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4,1</w:t>
            </w:r>
          </w:p>
          <w:p w14:paraId="7E8AC381" w14:textId="77777777" w:rsidR="00E514B5" w:rsidRPr="008B5B55" w:rsidRDefault="00E514B5" w:rsidP="004511C2">
            <w:pPr>
              <w:jc w:val="center"/>
              <w:rPr>
                <w:rFonts w:cstheme="majorHAnsi"/>
                <w:sz w:val="20"/>
                <w:szCs w:val="20"/>
                <w:lang w:val="ro-MD" w:eastAsia="ru-RU"/>
              </w:rPr>
            </w:pPr>
          </w:p>
          <w:p w14:paraId="2C7B2D57"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1,1</w:t>
            </w:r>
          </w:p>
          <w:p w14:paraId="0C8737A7" w14:textId="77777777" w:rsidR="00E514B5" w:rsidRPr="008B5B55" w:rsidRDefault="00E514B5" w:rsidP="004511C2">
            <w:pPr>
              <w:jc w:val="center"/>
              <w:rPr>
                <w:rFonts w:cstheme="majorHAnsi"/>
                <w:sz w:val="20"/>
                <w:szCs w:val="20"/>
                <w:lang w:val="ro-MD" w:eastAsia="ru-RU"/>
              </w:rPr>
            </w:pPr>
          </w:p>
          <w:p w14:paraId="3A6EBB5D"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3,0</w:t>
            </w:r>
          </w:p>
        </w:tc>
        <w:tc>
          <w:tcPr>
            <w:tcW w:w="992" w:type="dxa"/>
          </w:tcPr>
          <w:p w14:paraId="4516B361"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4,4</w:t>
            </w:r>
          </w:p>
          <w:p w14:paraId="12EC6CDA" w14:textId="77777777" w:rsidR="00E514B5" w:rsidRPr="008B5B55" w:rsidRDefault="00E514B5" w:rsidP="004511C2">
            <w:pPr>
              <w:jc w:val="center"/>
              <w:rPr>
                <w:rFonts w:cstheme="majorHAnsi"/>
                <w:b/>
                <w:sz w:val="20"/>
                <w:szCs w:val="20"/>
                <w:lang w:val="ro-MD" w:eastAsia="ru-RU"/>
              </w:rPr>
            </w:pPr>
          </w:p>
          <w:p w14:paraId="1318AE28"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0,9</w:t>
            </w:r>
          </w:p>
          <w:p w14:paraId="34DDE888" w14:textId="77777777" w:rsidR="00E514B5" w:rsidRPr="008B5B55" w:rsidRDefault="00E514B5" w:rsidP="004511C2">
            <w:pPr>
              <w:jc w:val="center"/>
              <w:rPr>
                <w:rFonts w:cstheme="majorHAnsi"/>
                <w:sz w:val="20"/>
                <w:szCs w:val="20"/>
                <w:lang w:val="ro-MD" w:eastAsia="ru-RU"/>
              </w:rPr>
            </w:pPr>
          </w:p>
          <w:p w14:paraId="402E857E" w14:textId="77777777" w:rsidR="00E514B5" w:rsidRPr="008B5B55" w:rsidRDefault="00E514B5" w:rsidP="004511C2">
            <w:pPr>
              <w:jc w:val="center"/>
              <w:rPr>
                <w:rFonts w:cstheme="majorHAnsi"/>
                <w:b/>
                <w:sz w:val="20"/>
                <w:szCs w:val="20"/>
                <w:lang w:val="ro-MD" w:eastAsia="ru-RU"/>
              </w:rPr>
            </w:pPr>
            <w:r w:rsidRPr="008B5B55">
              <w:rPr>
                <w:rFonts w:cstheme="majorHAnsi"/>
                <w:sz w:val="20"/>
                <w:szCs w:val="20"/>
                <w:lang w:val="ro-MD" w:eastAsia="ru-RU"/>
              </w:rPr>
              <w:t>3,5</w:t>
            </w:r>
          </w:p>
        </w:tc>
      </w:tr>
      <w:tr w:rsidR="00E514B5" w:rsidRPr="008B5B55" w14:paraId="75AC7EA6" w14:textId="77777777" w:rsidTr="004511C2">
        <w:tc>
          <w:tcPr>
            <w:tcW w:w="3681" w:type="dxa"/>
          </w:tcPr>
          <w:p w14:paraId="0A095217" w14:textId="77777777" w:rsidR="00E514B5" w:rsidRPr="008B5B55" w:rsidRDefault="00E514B5" w:rsidP="004511C2">
            <w:pPr>
              <w:jc w:val="both"/>
              <w:rPr>
                <w:rFonts w:cstheme="majorHAnsi"/>
                <w:b/>
                <w:sz w:val="20"/>
                <w:szCs w:val="20"/>
                <w:vertAlign w:val="superscript"/>
                <w:lang w:val="ro-MD" w:eastAsia="ru-RU"/>
              </w:rPr>
            </w:pPr>
            <w:r w:rsidRPr="008B5B55">
              <w:rPr>
                <w:rFonts w:cstheme="majorHAnsi"/>
                <w:b/>
                <w:sz w:val="20"/>
                <w:szCs w:val="20"/>
                <w:lang w:val="ro-MD" w:eastAsia="ru-RU"/>
              </w:rPr>
              <w:t>Ponderea serviciului datoriei de stat în exporturi de bunuri</w:t>
            </w:r>
            <w:r w:rsidRPr="008B5B55">
              <w:rPr>
                <w:rFonts w:cstheme="majorHAnsi"/>
                <w:b/>
                <w:sz w:val="20"/>
                <w:szCs w:val="20"/>
                <w:vertAlign w:val="superscript"/>
                <w:lang w:val="ro-MD" w:eastAsia="ru-RU"/>
              </w:rPr>
              <w:t>*</w:t>
            </w:r>
          </w:p>
          <w:p w14:paraId="229EFA66" w14:textId="77777777" w:rsidR="00E514B5" w:rsidRPr="008B5B55" w:rsidRDefault="00E514B5" w:rsidP="004511C2">
            <w:pPr>
              <w:jc w:val="both"/>
              <w:rPr>
                <w:rFonts w:cstheme="majorHAnsi"/>
                <w:sz w:val="20"/>
                <w:szCs w:val="20"/>
                <w:lang w:val="ro-MD" w:eastAsia="ru-RU"/>
              </w:rPr>
            </w:pPr>
            <w:r w:rsidRPr="008B5B55">
              <w:rPr>
                <w:rFonts w:cstheme="majorHAnsi"/>
                <w:sz w:val="20"/>
                <w:szCs w:val="20"/>
                <w:lang w:val="ro-MD" w:eastAsia="ru-RU"/>
              </w:rPr>
              <w:t>Ponderea serviciului datoriei de stat externe în exporturi de bunuri</w:t>
            </w:r>
          </w:p>
          <w:p w14:paraId="47F8DDD1" w14:textId="77777777" w:rsidR="00E514B5" w:rsidRPr="008B5B55" w:rsidRDefault="00E514B5" w:rsidP="004511C2">
            <w:pPr>
              <w:jc w:val="both"/>
              <w:rPr>
                <w:rFonts w:cstheme="majorHAnsi"/>
                <w:sz w:val="20"/>
                <w:szCs w:val="20"/>
                <w:lang w:val="ro-MD" w:eastAsia="ru-RU"/>
              </w:rPr>
            </w:pPr>
            <w:r w:rsidRPr="008B5B55">
              <w:rPr>
                <w:rFonts w:cstheme="majorHAnsi"/>
                <w:sz w:val="20"/>
                <w:szCs w:val="20"/>
                <w:lang w:val="ro-MD" w:eastAsia="ru-RU"/>
              </w:rPr>
              <w:t>Ponderea serviciului datoriei de stat interne în exporturi de bunuri</w:t>
            </w:r>
          </w:p>
        </w:tc>
        <w:tc>
          <w:tcPr>
            <w:tcW w:w="801" w:type="dxa"/>
          </w:tcPr>
          <w:p w14:paraId="31626EB2" w14:textId="77777777" w:rsidR="00E514B5" w:rsidRPr="008B5B55" w:rsidRDefault="00E514B5" w:rsidP="004511C2">
            <w:pPr>
              <w:jc w:val="center"/>
              <w:rPr>
                <w:rFonts w:cstheme="majorHAnsi"/>
                <w:sz w:val="18"/>
                <w:szCs w:val="18"/>
                <w:lang w:val="ro-MD" w:eastAsia="ru-RU"/>
              </w:rPr>
            </w:pPr>
            <w:r w:rsidRPr="008B5B55">
              <w:rPr>
                <w:rFonts w:cstheme="majorHAnsi"/>
                <w:sz w:val="18"/>
                <w:szCs w:val="18"/>
                <w:lang w:val="ro-MD" w:eastAsia="ru-RU"/>
              </w:rPr>
              <w:t>%</w:t>
            </w:r>
          </w:p>
        </w:tc>
        <w:tc>
          <w:tcPr>
            <w:tcW w:w="900" w:type="dxa"/>
          </w:tcPr>
          <w:p w14:paraId="283D7F5A"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4,3</w:t>
            </w:r>
          </w:p>
          <w:p w14:paraId="5A4B6D9F" w14:textId="77777777" w:rsidR="00E514B5" w:rsidRPr="008B5B55" w:rsidRDefault="00E514B5" w:rsidP="004511C2">
            <w:pPr>
              <w:jc w:val="center"/>
              <w:rPr>
                <w:rFonts w:cstheme="majorHAnsi"/>
                <w:b/>
                <w:sz w:val="20"/>
                <w:szCs w:val="20"/>
                <w:lang w:val="ro-MD" w:eastAsia="ru-RU"/>
              </w:rPr>
            </w:pPr>
          </w:p>
          <w:p w14:paraId="1AB94302"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0,7</w:t>
            </w:r>
          </w:p>
          <w:p w14:paraId="504C59D3" w14:textId="77777777" w:rsidR="00E514B5" w:rsidRPr="008B5B55" w:rsidRDefault="00E514B5" w:rsidP="004511C2">
            <w:pPr>
              <w:jc w:val="center"/>
              <w:rPr>
                <w:rFonts w:cstheme="majorHAnsi"/>
                <w:sz w:val="20"/>
                <w:szCs w:val="20"/>
                <w:lang w:val="ro-MD" w:eastAsia="ru-RU"/>
              </w:rPr>
            </w:pPr>
          </w:p>
          <w:p w14:paraId="1C1ED30A" w14:textId="77777777" w:rsidR="00E514B5" w:rsidRPr="008B5B55" w:rsidRDefault="00E514B5" w:rsidP="004511C2">
            <w:pPr>
              <w:jc w:val="center"/>
              <w:rPr>
                <w:rFonts w:cstheme="majorHAnsi"/>
                <w:b/>
                <w:sz w:val="20"/>
                <w:szCs w:val="20"/>
                <w:lang w:val="ro-MD" w:eastAsia="ru-RU"/>
              </w:rPr>
            </w:pPr>
            <w:r w:rsidRPr="008B5B55">
              <w:rPr>
                <w:rFonts w:cstheme="majorHAnsi"/>
                <w:sz w:val="20"/>
                <w:szCs w:val="20"/>
                <w:lang w:val="ro-MD" w:eastAsia="ru-RU"/>
              </w:rPr>
              <w:t>3,6</w:t>
            </w:r>
          </w:p>
        </w:tc>
        <w:tc>
          <w:tcPr>
            <w:tcW w:w="992" w:type="dxa"/>
          </w:tcPr>
          <w:p w14:paraId="6592E2E0"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4,3</w:t>
            </w:r>
          </w:p>
          <w:p w14:paraId="4F1686B6" w14:textId="77777777" w:rsidR="00E514B5" w:rsidRPr="008B5B55" w:rsidRDefault="00E514B5" w:rsidP="004511C2">
            <w:pPr>
              <w:jc w:val="center"/>
              <w:rPr>
                <w:rFonts w:cstheme="majorHAnsi"/>
                <w:sz w:val="20"/>
                <w:szCs w:val="20"/>
                <w:lang w:val="ro-MD" w:eastAsia="ru-RU"/>
              </w:rPr>
            </w:pPr>
          </w:p>
          <w:p w14:paraId="2E3ADE11"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0,8</w:t>
            </w:r>
          </w:p>
          <w:p w14:paraId="236605DF" w14:textId="77777777" w:rsidR="00E514B5" w:rsidRPr="008B5B55" w:rsidRDefault="00E514B5" w:rsidP="004511C2">
            <w:pPr>
              <w:jc w:val="center"/>
              <w:rPr>
                <w:rFonts w:cstheme="majorHAnsi"/>
                <w:sz w:val="20"/>
                <w:szCs w:val="20"/>
                <w:lang w:val="ro-MD" w:eastAsia="ru-RU"/>
              </w:rPr>
            </w:pPr>
          </w:p>
          <w:p w14:paraId="1BFC11BB"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3,5</w:t>
            </w:r>
          </w:p>
        </w:tc>
        <w:tc>
          <w:tcPr>
            <w:tcW w:w="992" w:type="dxa"/>
          </w:tcPr>
          <w:p w14:paraId="304104FB"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3,3</w:t>
            </w:r>
          </w:p>
          <w:p w14:paraId="4968E70D" w14:textId="77777777" w:rsidR="00E514B5" w:rsidRPr="008B5B55" w:rsidRDefault="00E514B5" w:rsidP="004511C2">
            <w:pPr>
              <w:jc w:val="center"/>
              <w:rPr>
                <w:rFonts w:cstheme="majorHAnsi"/>
                <w:sz w:val="20"/>
                <w:szCs w:val="20"/>
                <w:lang w:val="ro-MD" w:eastAsia="ru-RU"/>
              </w:rPr>
            </w:pPr>
          </w:p>
          <w:p w14:paraId="5874BDB4"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0,8</w:t>
            </w:r>
          </w:p>
          <w:p w14:paraId="119E9662" w14:textId="77777777" w:rsidR="00E514B5" w:rsidRPr="008B5B55" w:rsidRDefault="00E514B5" w:rsidP="004511C2">
            <w:pPr>
              <w:jc w:val="center"/>
              <w:rPr>
                <w:rFonts w:cstheme="majorHAnsi"/>
                <w:sz w:val="20"/>
                <w:szCs w:val="20"/>
                <w:lang w:val="ro-MD" w:eastAsia="ru-RU"/>
              </w:rPr>
            </w:pPr>
          </w:p>
          <w:p w14:paraId="0BFBE7F9"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2,5</w:t>
            </w:r>
          </w:p>
        </w:tc>
        <w:tc>
          <w:tcPr>
            <w:tcW w:w="993" w:type="dxa"/>
          </w:tcPr>
          <w:p w14:paraId="59FF020A"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3,3</w:t>
            </w:r>
          </w:p>
          <w:p w14:paraId="26FE1785" w14:textId="77777777" w:rsidR="00E514B5" w:rsidRPr="008B5B55" w:rsidRDefault="00E514B5" w:rsidP="004511C2">
            <w:pPr>
              <w:jc w:val="center"/>
              <w:rPr>
                <w:rFonts w:cstheme="majorHAnsi"/>
                <w:sz w:val="20"/>
                <w:szCs w:val="20"/>
                <w:lang w:val="ro-MD" w:eastAsia="ru-RU"/>
              </w:rPr>
            </w:pPr>
          </w:p>
          <w:p w14:paraId="7CD913A4"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0,8</w:t>
            </w:r>
          </w:p>
          <w:p w14:paraId="2ED381FA" w14:textId="77777777" w:rsidR="00E514B5" w:rsidRPr="008B5B55" w:rsidRDefault="00E514B5" w:rsidP="004511C2">
            <w:pPr>
              <w:jc w:val="center"/>
              <w:rPr>
                <w:rFonts w:cstheme="majorHAnsi"/>
                <w:sz w:val="20"/>
                <w:szCs w:val="20"/>
                <w:lang w:val="ro-MD" w:eastAsia="ru-RU"/>
              </w:rPr>
            </w:pPr>
          </w:p>
          <w:p w14:paraId="032E0FFE"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2,5</w:t>
            </w:r>
          </w:p>
        </w:tc>
        <w:tc>
          <w:tcPr>
            <w:tcW w:w="992" w:type="dxa"/>
          </w:tcPr>
          <w:p w14:paraId="19283148"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3,9</w:t>
            </w:r>
          </w:p>
          <w:p w14:paraId="35F75EDE" w14:textId="77777777" w:rsidR="00E514B5" w:rsidRPr="008B5B55" w:rsidRDefault="00E514B5" w:rsidP="004511C2">
            <w:pPr>
              <w:jc w:val="center"/>
              <w:rPr>
                <w:rFonts w:cstheme="majorHAnsi"/>
                <w:sz w:val="20"/>
                <w:szCs w:val="20"/>
                <w:lang w:val="ro-MD" w:eastAsia="ru-RU"/>
              </w:rPr>
            </w:pPr>
          </w:p>
          <w:p w14:paraId="6DFF2E9B"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0,8</w:t>
            </w:r>
          </w:p>
          <w:p w14:paraId="71ABE6D8" w14:textId="77777777" w:rsidR="00E514B5" w:rsidRPr="008B5B55" w:rsidRDefault="00E514B5" w:rsidP="004511C2">
            <w:pPr>
              <w:jc w:val="center"/>
              <w:rPr>
                <w:rFonts w:cstheme="majorHAnsi"/>
                <w:sz w:val="20"/>
                <w:szCs w:val="20"/>
                <w:lang w:val="ro-MD" w:eastAsia="ru-RU"/>
              </w:rPr>
            </w:pPr>
          </w:p>
          <w:p w14:paraId="6AC3D418" w14:textId="77777777" w:rsidR="00E514B5" w:rsidRPr="008B5B55" w:rsidRDefault="00E514B5" w:rsidP="004511C2">
            <w:pPr>
              <w:jc w:val="center"/>
              <w:rPr>
                <w:rFonts w:cstheme="majorHAnsi"/>
                <w:sz w:val="20"/>
                <w:szCs w:val="20"/>
                <w:lang w:val="ro-MD" w:eastAsia="ru-RU"/>
              </w:rPr>
            </w:pPr>
            <w:r w:rsidRPr="008B5B55">
              <w:rPr>
                <w:rFonts w:cstheme="majorHAnsi"/>
                <w:sz w:val="20"/>
                <w:szCs w:val="20"/>
                <w:lang w:val="ro-MD" w:eastAsia="ru-RU"/>
              </w:rPr>
              <w:t>3,1</w:t>
            </w:r>
          </w:p>
        </w:tc>
      </w:tr>
      <w:tr w:rsidR="00E514B5" w:rsidRPr="008B5B55" w14:paraId="0201B1BE" w14:textId="77777777" w:rsidTr="004511C2">
        <w:tc>
          <w:tcPr>
            <w:tcW w:w="3681" w:type="dxa"/>
            <w:shd w:val="clear" w:color="auto" w:fill="auto"/>
          </w:tcPr>
          <w:p w14:paraId="75838FA7" w14:textId="77777777" w:rsidR="00E514B5" w:rsidRPr="008B5B55" w:rsidRDefault="00E514B5" w:rsidP="004511C2">
            <w:pPr>
              <w:jc w:val="both"/>
              <w:rPr>
                <w:rFonts w:cstheme="majorHAnsi"/>
                <w:b/>
                <w:sz w:val="20"/>
                <w:szCs w:val="20"/>
                <w:lang w:val="ro-MD" w:eastAsia="ru-RU"/>
              </w:rPr>
            </w:pPr>
            <w:r w:rsidRPr="008B5B55">
              <w:rPr>
                <w:rFonts w:cstheme="majorHAnsi"/>
                <w:b/>
                <w:sz w:val="20"/>
                <w:szCs w:val="20"/>
                <w:lang w:val="ro-MD" w:eastAsia="ru-RU"/>
              </w:rPr>
              <w:t>Ponderea datoriei de stat externe în exporturi de bunuri</w:t>
            </w:r>
          </w:p>
        </w:tc>
        <w:tc>
          <w:tcPr>
            <w:tcW w:w="801" w:type="dxa"/>
            <w:shd w:val="clear" w:color="auto" w:fill="auto"/>
          </w:tcPr>
          <w:p w14:paraId="532AE27E" w14:textId="77777777" w:rsidR="00E514B5" w:rsidRPr="008B5B55" w:rsidRDefault="00E514B5" w:rsidP="004511C2">
            <w:pPr>
              <w:jc w:val="center"/>
              <w:rPr>
                <w:rFonts w:cstheme="majorHAnsi"/>
                <w:sz w:val="18"/>
                <w:szCs w:val="18"/>
                <w:lang w:val="ro-MD" w:eastAsia="ru-RU"/>
              </w:rPr>
            </w:pPr>
            <w:r w:rsidRPr="008B5B55">
              <w:rPr>
                <w:rFonts w:cstheme="majorHAnsi"/>
                <w:sz w:val="18"/>
                <w:szCs w:val="18"/>
                <w:lang w:val="ro-MD" w:eastAsia="ru-RU"/>
              </w:rPr>
              <w:t>%</w:t>
            </w:r>
          </w:p>
        </w:tc>
        <w:tc>
          <w:tcPr>
            <w:tcW w:w="900" w:type="dxa"/>
            <w:shd w:val="clear" w:color="auto" w:fill="auto"/>
          </w:tcPr>
          <w:p w14:paraId="2F3FDA1C"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71,8</w:t>
            </w:r>
          </w:p>
        </w:tc>
        <w:tc>
          <w:tcPr>
            <w:tcW w:w="992" w:type="dxa"/>
            <w:shd w:val="clear" w:color="auto" w:fill="auto"/>
          </w:tcPr>
          <w:p w14:paraId="3F9F31F3"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70,1</w:t>
            </w:r>
          </w:p>
        </w:tc>
        <w:tc>
          <w:tcPr>
            <w:tcW w:w="992" w:type="dxa"/>
            <w:shd w:val="clear" w:color="auto" w:fill="auto"/>
          </w:tcPr>
          <w:p w14:paraId="594BFF95"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62,4</w:t>
            </w:r>
          </w:p>
        </w:tc>
        <w:tc>
          <w:tcPr>
            <w:tcW w:w="993" w:type="dxa"/>
            <w:shd w:val="clear" w:color="auto" w:fill="auto"/>
          </w:tcPr>
          <w:p w14:paraId="5398DBD5"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61,3</w:t>
            </w:r>
          </w:p>
        </w:tc>
        <w:tc>
          <w:tcPr>
            <w:tcW w:w="992" w:type="dxa"/>
            <w:shd w:val="clear" w:color="auto" w:fill="auto"/>
          </w:tcPr>
          <w:p w14:paraId="2A365904" w14:textId="77777777" w:rsidR="00E514B5" w:rsidRPr="008B5B55" w:rsidRDefault="00E514B5" w:rsidP="004511C2">
            <w:pPr>
              <w:jc w:val="center"/>
              <w:rPr>
                <w:rFonts w:cstheme="majorHAnsi"/>
                <w:b/>
                <w:sz w:val="20"/>
                <w:szCs w:val="20"/>
                <w:lang w:val="ro-MD" w:eastAsia="ru-RU"/>
              </w:rPr>
            </w:pPr>
            <w:r w:rsidRPr="008B5B55">
              <w:rPr>
                <w:rFonts w:cstheme="majorHAnsi"/>
                <w:b/>
                <w:sz w:val="20"/>
                <w:szCs w:val="20"/>
                <w:lang w:val="ro-MD" w:eastAsia="ru-RU"/>
              </w:rPr>
              <w:t>90,2</w:t>
            </w:r>
          </w:p>
        </w:tc>
      </w:tr>
    </w:tbl>
    <w:p w14:paraId="506BCD17" w14:textId="0E955F4D" w:rsidR="006C5ECB" w:rsidRPr="006C30B5" w:rsidRDefault="00E514B5" w:rsidP="006C30B5">
      <w:pPr>
        <w:spacing w:after="0" w:line="240" w:lineRule="auto"/>
        <w:jc w:val="both"/>
        <w:rPr>
          <w:rFonts w:cstheme="majorHAnsi"/>
          <w:b/>
          <w:i/>
          <w:color w:val="000000" w:themeColor="text1"/>
          <w:sz w:val="20"/>
          <w:szCs w:val="20"/>
          <w:lang w:val="ro-RO"/>
          <w14:glow w14:rad="0">
            <w14:schemeClr w14:val="tx1"/>
          </w14:glow>
        </w:rPr>
      </w:pPr>
      <w:r w:rsidRPr="008B5B55">
        <w:rPr>
          <w:rFonts w:cstheme="majorHAnsi"/>
          <w:b/>
          <w:i/>
          <w:color w:val="000000" w:themeColor="text1"/>
          <w:sz w:val="20"/>
          <w:szCs w:val="20"/>
          <w:lang w:val="ro-RO"/>
          <w14:glow w14:rad="0">
            <w14:schemeClr w14:val="tx1"/>
          </w14:glow>
        </w:rPr>
        <w:t xml:space="preserve">Sursă: </w:t>
      </w:r>
      <w:r w:rsidRPr="008B5B55">
        <w:rPr>
          <w:rFonts w:cstheme="majorHAnsi"/>
          <w:i/>
          <w:color w:val="000000" w:themeColor="text1"/>
          <w:sz w:val="20"/>
          <w:szCs w:val="20"/>
          <w:lang w:val="ro-RO"/>
          <w14:glow w14:rad="0">
            <w14:schemeClr w14:val="tx1"/>
          </w14:glow>
        </w:rPr>
        <w:t xml:space="preserve">Datele Raportului privind executarea bugetului de stat pe anul 2020 și datele BNS plasate pe pagina </w:t>
      </w:r>
      <w:hyperlink r:id="rId18" w:history="1">
        <w:r w:rsidRPr="008B5B55">
          <w:rPr>
            <w:rFonts w:cstheme="majorHAnsi"/>
            <w:i/>
            <w:color w:val="0563C1" w:themeColor="hyperlink"/>
            <w:sz w:val="20"/>
            <w:szCs w:val="20"/>
            <w:u w:val="single"/>
            <w:lang w:val="ro-RO"/>
            <w14:glow w14:rad="0">
              <w14:schemeClr w14:val="tx1"/>
            </w14:glow>
          </w:rPr>
          <w:t>www.statistica.md</w:t>
        </w:r>
      </w:hyperlink>
      <w:r w:rsidRPr="008B5B55">
        <w:rPr>
          <w:rFonts w:cstheme="majorHAnsi"/>
          <w:i/>
          <w:color w:val="000000" w:themeColor="text1"/>
          <w:sz w:val="20"/>
          <w:szCs w:val="20"/>
          <w:lang w:val="ro-RO"/>
          <w14:glow w14:rad="0">
            <w14:schemeClr w14:val="tx1"/>
          </w14:glow>
        </w:rPr>
        <w:t xml:space="preserve"> ; Notă: * Date operative, informația nu include operațiunile de export-import ale întreprinderilor și organizațiilor din partea stîngă a Nistrului și mun. Bender</w:t>
      </w:r>
    </w:p>
    <w:p w14:paraId="54112B79" w14:textId="77777777" w:rsidR="006A79EA" w:rsidRDefault="006A79EA" w:rsidP="00E514B5">
      <w:pPr>
        <w:spacing w:after="0" w:line="276" w:lineRule="auto"/>
        <w:jc w:val="right"/>
        <w:rPr>
          <w:rFonts w:cstheme="majorHAnsi"/>
          <w:b/>
          <w:i/>
          <w:szCs w:val="24"/>
          <w:lang w:val="ro-RO" w:eastAsia="ru-RU"/>
        </w:rPr>
      </w:pPr>
    </w:p>
    <w:p w14:paraId="1A3CF96E" w14:textId="673E3AB4" w:rsidR="00E514B5" w:rsidRPr="00BB755E" w:rsidRDefault="00E514B5" w:rsidP="00E514B5">
      <w:pPr>
        <w:spacing w:after="0" w:line="276" w:lineRule="auto"/>
        <w:jc w:val="right"/>
        <w:rPr>
          <w:rFonts w:cstheme="majorHAnsi"/>
          <w:b/>
          <w:szCs w:val="24"/>
          <w:lang w:val="ro-MD" w:eastAsia="ru-RU"/>
        </w:rPr>
      </w:pPr>
      <w:r w:rsidRPr="006A79EA">
        <w:rPr>
          <w:rFonts w:cstheme="majorHAnsi"/>
          <w:b/>
          <w:i/>
          <w:szCs w:val="24"/>
          <w:lang w:val="ro-RO" w:eastAsia="ru-RU"/>
        </w:rPr>
        <w:t>Tabelul nr.</w:t>
      </w:r>
      <w:r w:rsidR="00AF1017">
        <w:rPr>
          <w:rFonts w:cstheme="majorHAnsi"/>
          <w:b/>
          <w:i/>
          <w:szCs w:val="24"/>
          <w:lang w:val="ro-RO" w:eastAsia="ru-RU"/>
        </w:rPr>
        <w:t>3</w:t>
      </w:r>
    </w:p>
    <w:p w14:paraId="3039B2AD" w14:textId="77777777" w:rsidR="00E514B5" w:rsidRPr="00F5563F" w:rsidRDefault="00E514B5" w:rsidP="00E514B5">
      <w:pPr>
        <w:pStyle w:val="af3"/>
        <w:jc w:val="center"/>
        <w:rPr>
          <w:rFonts w:asciiTheme="majorHAnsi" w:hAnsiTheme="majorHAnsi" w:cstheme="majorHAnsi"/>
          <w:b/>
          <w:i/>
          <w:color w:val="000000" w:themeColor="text1"/>
          <w:sz w:val="24"/>
          <w:szCs w:val="24"/>
          <w:lang w:val="ro-MD" w:eastAsia="ru-RU"/>
        </w:rPr>
      </w:pPr>
      <w:r w:rsidRPr="004918BC">
        <w:rPr>
          <w:rFonts w:asciiTheme="majorHAnsi" w:hAnsiTheme="majorHAnsi" w:cstheme="majorHAnsi"/>
          <w:b/>
          <w:sz w:val="24"/>
          <w:szCs w:val="24"/>
          <w:lang w:val="ro-MD" w:eastAsia="ru-RU"/>
        </w:rPr>
        <w:t>Structura VMS în circulație emise pe piața primară, în funcție de rata dobânzii și tipul VMS</w:t>
      </w:r>
    </w:p>
    <w:tbl>
      <w:tblPr>
        <w:tblW w:w="9335" w:type="dxa"/>
        <w:tblLook w:val="04A0" w:firstRow="1" w:lastRow="0" w:firstColumn="1" w:lastColumn="0" w:noHBand="0" w:noVBand="1"/>
      </w:tblPr>
      <w:tblGrid>
        <w:gridCol w:w="3397"/>
        <w:gridCol w:w="2977"/>
        <w:gridCol w:w="1599"/>
        <w:gridCol w:w="1362"/>
      </w:tblGrid>
      <w:tr w:rsidR="00E514B5" w:rsidRPr="003F2271" w14:paraId="4786D8A8" w14:textId="77777777" w:rsidTr="006C5ECB">
        <w:trPr>
          <w:trHeight w:val="1044"/>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855CA" w14:textId="77777777" w:rsidR="00E514B5" w:rsidRPr="003F2271" w:rsidRDefault="00E514B5" w:rsidP="004511C2">
            <w:pPr>
              <w:spacing w:after="0" w:line="240" w:lineRule="auto"/>
              <w:jc w:val="both"/>
              <w:rPr>
                <w:rFonts w:eastAsia="Times New Roman" w:cs="Calibri"/>
                <w:b/>
                <w:bCs/>
                <w:sz w:val="20"/>
                <w:szCs w:val="20"/>
              </w:rPr>
            </w:pPr>
            <w:r w:rsidRPr="003F2271">
              <w:rPr>
                <w:rFonts w:eastAsia="Times New Roman" w:cs="Calibri"/>
                <w:b/>
                <w:bCs/>
                <w:sz w:val="20"/>
                <w:szCs w:val="20"/>
              </w:rPr>
              <w:lastRenderedPageBreak/>
              <w:t>Indicatori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94FF009" w14:textId="77777777" w:rsidR="00E514B5" w:rsidRPr="003F2271" w:rsidRDefault="00E514B5" w:rsidP="004511C2">
            <w:pPr>
              <w:spacing w:after="0" w:line="240" w:lineRule="auto"/>
              <w:jc w:val="both"/>
              <w:rPr>
                <w:rFonts w:eastAsia="Times New Roman" w:cs="Calibri"/>
                <w:b/>
                <w:bCs/>
                <w:sz w:val="20"/>
                <w:szCs w:val="20"/>
              </w:rPr>
            </w:pPr>
            <w:r w:rsidRPr="003F2271">
              <w:rPr>
                <w:rFonts w:eastAsia="Times New Roman" w:cs="Calibri"/>
                <w:b/>
                <w:bCs/>
                <w:sz w:val="20"/>
                <w:szCs w:val="20"/>
              </w:rPr>
              <w:t>Tipul de VMS</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0AB87851" w14:textId="77777777" w:rsidR="00E514B5" w:rsidRPr="003F2271" w:rsidRDefault="00E514B5" w:rsidP="004511C2">
            <w:pPr>
              <w:spacing w:after="0" w:line="240" w:lineRule="auto"/>
              <w:jc w:val="both"/>
              <w:rPr>
                <w:rFonts w:eastAsia="Times New Roman" w:cs="Calibri"/>
                <w:b/>
                <w:bCs/>
                <w:sz w:val="20"/>
                <w:szCs w:val="20"/>
              </w:rPr>
            </w:pPr>
            <w:r w:rsidRPr="003F2271">
              <w:rPr>
                <w:rFonts w:eastAsia="Times New Roman" w:cs="Calibri"/>
                <w:b/>
                <w:bCs/>
                <w:sz w:val="20"/>
                <w:szCs w:val="20"/>
              </w:rPr>
              <w:t>Valoarea VMS în circulație, mil.lei</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1EC7665" w14:textId="2B268069" w:rsidR="00E514B5" w:rsidRPr="003F2271" w:rsidRDefault="00E514B5" w:rsidP="004511C2">
            <w:pPr>
              <w:spacing w:after="0" w:line="240" w:lineRule="auto"/>
              <w:jc w:val="both"/>
              <w:rPr>
                <w:rFonts w:eastAsia="Times New Roman" w:cs="Calibri"/>
                <w:b/>
                <w:bCs/>
                <w:sz w:val="20"/>
                <w:szCs w:val="20"/>
              </w:rPr>
            </w:pPr>
            <w:r w:rsidRPr="003F2271">
              <w:rPr>
                <w:rFonts w:eastAsia="Times New Roman" w:cs="Calibri"/>
                <w:b/>
                <w:bCs/>
                <w:sz w:val="20"/>
                <w:szCs w:val="20"/>
              </w:rPr>
              <w:t>Ponderea în total VMS,</w:t>
            </w:r>
            <w:r w:rsidR="006857EB">
              <w:rPr>
                <w:rFonts w:eastAsia="Times New Roman" w:cs="Calibri"/>
                <w:b/>
                <w:bCs/>
                <w:sz w:val="20"/>
                <w:szCs w:val="20"/>
              </w:rPr>
              <w:t xml:space="preserve"> </w:t>
            </w:r>
            <w:r w:rsidRPr="003F2271">
              <w:rPr>
                <w:rFonts w:eastAsia="Times New Roman" w:cs="Calibri"/>
                <w:b/>
                <w:bCs/>
                <w:sz w:val="20"/>
                <w:szCs w:val="20"/>
              </w:rPr>
              <w:t>%</w:t>
            </w:r>
          </w:p>
        </w:tc>
      </w:tr>
      <w:tr w:rsidR="00E514B5" w:rsidRPr="003F2271" w14:paraId="1C267C20" w14:textId="77777777" w:rsidTr="004511C2">
        <w:trPr>
          <w:trHeight w:val="276"/>
        </w:trPr>
        <w:tc>
          <w:tcPr>
            <w:tcW w:w="3397" w:type="dxa"/>
            <w:vMerge w:val="restart"/>
            <w:tcBorders>
              <w:top w:val="nil"/>
              <w:left w:val="single" w:sz="4" w:space="0" w:color="auto"/>
              <w:bottom w:val="single" w:sz="4" w:space="0" w:color="auto"/>
              <w:right w:val="single" w:sz="4" w:space="0" w:color="auto"/>
            </w:tcBorders>
            <w:shd w:val="clear" w:color="auto" w:fill="auto"/>
            <w:noWrap/>
            <w:hideMark/>
          </w:tcPr>
          <w:p w14:paraId="1B328850"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VMS cu rată fixă</w:t>
            </w:r>
          </w:p>
        </w:tc>
        <w:tc>
          <w:tcPr>
            <w:tcW w:w="2977" w:type="dxa"/>
            <w:tcBorders>
              <w:top w:val="nil"/>
              <w:left w:val="nil"/>
              <w:bottom w:val="single" w:sz="4" w:space="0" w:color="auto"/>
              <w:right w:val="single" w:sz="4" w:space="0" w:color="auto"/>
            </w:tcBorders>
            <w:shd w:val="clear" w:color="auto" w:fill="auto"/>
            <w:noWrap/>
            <w:hideMark/>
          </w:tcPr>
          <w:p w14:paraId="7CA43263"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BT cu scadența de 91 zile</w:t>
            </w:r>
          </w:p>
        </w:tc>
        <w:tc>
          <w:tcPr>
            <w:tcW w:w="1599" w:type="dxa"/>
            <w:tcBorders>
              <w:top w:val="nil"/>
              <w:left w:val="nil"/>
              <w:bottom w:val="single" w:sz="4" w:space="0" w:color="auto"/>
              <w:right w:val="single" w:sz="4" w:space="0" w:color="auto"/>
            </w:tcBorders>
            <w:shd w:val="clear" w:color="auto" w:fill="auto"/>
            <w:noWrap/>
            <w:vAlign w:val="center"/>
            <w:hideMark/>
          </w:tcPr>
          <w:p w14:paraId="422DEB30"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498,11</w:t>
            </w:r>
          </w:p>
        </w:tc>
        <w:tc>
          <w:tcPr>
            <w:tcW w:w="1362" w:type="dxa"/>
            <w:tcBorders>
              <w:top w:val="nil"/>
              <w:left w:val="nil"/>
              <w:bottom w:val="single" w:sz="4" w:space="0" w:color="auto"/>
              <w:right w:val="single" w:sz="4" w:space="0" w:color="auto"/>
            </w:tcBorders>
            <w:shd w:val="clear" w:color="auto" w:fill="auto"/>
            <w:noWrap/>
            <w:vAlign w:val="center"/>
            <w:hideMark/>
          </w:tcPr>
          <w:p w14:paraId="76A46793" w14:textId="636CF6EE" w:rsidR="00E514B5" w:rsidRPr="003F2271" w:rsidRDefault="00E514B5" w:rsidP="00943A46">
            <w:pPr>
              <w:spacing w:after="0" w:line="240" w:lineRule="auto"/>
              <w:jc w:val="both"/>
              <w:rPr>
                <w:rFonts w:eastAsia="Times New Roman" w:cs="Calibri"/>
                <w:sz w:val="20"/>
                <w:szCs w:val="20"/>
              </w:rPr>
            </w:pPr>
            <w:r w:rsidRPr="003F2271">
              <w:rPr>
                <w:rFonts w:eastAsia="Times New Roman" w:cs="Calibri"/>
                <w:sz w:val="20"/>
                <w:szCs w:val="20"/>
              </w:rPr>
              <w:t>3,</w:t>
            </w:r>
            <w:r w:rsidR="00943A46">
              <w:rPr>
                <w:rFonts w:eastAsia="Times New Roman" w:cs="Calibri"/>
                <w:sz w:val="20"/>
                <w:szCs w:val="20"/>
              </w:rPr>
              <w:t>4</w:t>
            </w:r>
          </w:p>
        </w:tc>
      </w:tr>
      <w:tr w:rsidR="00E514B5" w:rsidRPr="003F2271" w14:paraId="6174C25B" w14:textId="77777777" w:rsidTr="004511C2">
        <w:trPr>
          <w:trHeight w:val="276"/>
        </w:trPr>
        <w:tc>
          <w:tcPr>
            <w:tcW w:w="3397" w:type="dxa"/>
            <w:vMerge/>
            <w:tcBorders>
              <w:top w:val="nil"/>
              <w:left w:val="single" w:sz="4" w:space="0" w:color="auto"/>
              <w:bottom w:val="single" w:sz="4" w:space="0" w:color="auto"/>
              <w:right w:val="single" w:sz="4" w:space="0" w:color="auto"/>
            </w:tcBorders>
            <w:vAlign w:val="center"/>
            <w:hideMark/>
          </w:tcPr>
          <w:p w14:paraId="0B7485B6" w14:textId="77777777" w:rsidR="00E514B5" w:rsidRPr="003F2271" w:rsidRDefault="00E514B5" w:rsidP="004511C2">
            <w:pPr>
              <w:spacing w:after="0" w:line="240" w:lineRule="auto"/>
              <w:jc w:val="both"/>
              <w:rPr>
                <w:rFonts w:eastAsia="Times New Roman" w:cs="Calibri"/>
                <w:sz w:val="20"/>
                <w:szCs w:val="20"/>
              </w:rPr>
            </w:pPr>
          </w:p>
        </w:tc>
        <w:tc>
          <w:tcPr>
            <w:tcW w:w="2977" w:type="dxa"/>
            <w:tcBorders>
              <w:top w:val="nil"/>
              <w:left w:val="nil"/>
              <w:bottom w:val="single" w:sz="4" w:space="0" w:color="auto"/>
              <w:right w:val="single" w:sz="4" w:space="0" w:color="auto"/>
            </w:tcBorders>
            <w:shd w:val="clear" w:color="auto" w:fill="auto"/>
            <w:noWrap/>
            <w:hideMark/>
          </w:tcPr>
          <w:p w14:paraId="103A3F6F"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BT cu scadența de 182 zile</w:t>
            </w:r>
          </w:p>
        </w:tc>
        <w:tc>
          <w:tcPr>
            <w:tcW w:w="1599" w:type="dxa"/>
            <w:tcBorders>
              <w:top w:val="nil"/>
              <w:left w:val="nil"/>
              <w:bottom w:val="single" w:sz="4" w:space="0" w:color="auto"/>
              <w:right w:val="single" w:sz="4" w:space="0" w:color="auto"/>
            </w:tcBorders>
            <w:shd w:val="clear" w:color="auto" w:fill="auto"/>
            <w:noWrap/>
            <w:vAlign w:val="bottom"/>
            <w:hideMark/>
          </w:tcPr>
          <w:p w14:paraId="25A02E29"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4.254,93</w:t>
            </w:r>
          </w:p>
        </w:tc>
        <w:tc>
          <w:tcPr>
            <w:tcW w:w="1362" w:type="dxa"/>
            <w:tcBorders>
              <w:top w:val="nil"/>
              <w:left w:val="nil"/>
              <w:bottom w:val="single" w:sz="4" w:space="0" w:color="auto"/>
              <w:right w:val="single" w:sz="4" w:space="0" w:color="auto"/>
            </w:tcBorders>
            <w:shd w:val="clear" w:color="auto" w:fill="auto"/>
            <w:noWrap/>
            <w:vAlign w:val="bottom"/>
            <w:hideMark/>
          </w:tcPr>
          <w:p w14:paraId="0D17B483" w14:textId="7EA6E34B" w:rsidR="00E514B5" w:rsidRPr="003F2271" w:rsidRDefault="00E514B5" w:rsidP="00CA0426">
            <w:pPr>
              <w:spacing w:after="0" w:line="240" w:lineRule="auto"/>
              <w:jc w:val="both"/>
              <w:rPr>
                <w:rFonts w:eastAsia="Times New Roman" w:cs="Calibri"/>
                <w:sz w:val="20"/>
                <w:szCs w:val="20"/>
              </w:rPr>
            </w:pPr>
            <w:r w:rsidRPr="003F2271">
              <w:rPr>
                <w:rFonts w:eastAsia="Times New Roman" w:cs="Calibri"/>
                <w:sz w:val="20"/>
                <w:szCs w:val="20"/>
              </w:rPr>
              <w:t>29,</w:t>
            </w:r>
            <w:r w:rsidR="00CA0426">
              <w:rPr>
                <w:rFonts w:eastAsia="Times New Roman" w:cs="Calibri"/>
                <w:sz w:val="20"/>
                <w:szCs w:val="20"/>
              </w:rPr>
              <w:t>8</w:t>
            </w:r>
          </w:p>
        </w:tc>
      </w:tr>
      <w:tr w:rsidR="00E514B5" w:rsidRPr="003F2271" w14:paraId="7A6A2E23" w14:textId="77777777" w:rsidTr="004511C2">
        <w:trPr>
          <w:trHeight w:val="276"/>
        </w:trPr>
        <w:tc>
          <w:tcPr>
            <w:tcW w:w="3397" w:type="dxa"/>
            <w:vMerge/>
            <w:tcBorders>
              <w:top w:val="nil"/>
              <w:left w:val="single" w:sz="4" w:space="0" w:color="auto"/>
              <w:bottom w:val="single" w:sz="4" w:space="0" w:color="auto"/>
              <w:right w:val="single" w:sz="4" w:space="0" w:color="auto"/>
            </w:tcBorders>
            <w:vAlign w:val="center"/>
            <w:hideMark/>
          </w:tcPr>
          <w:p w14:paraId="575102CF" w14:textId="77777777" w:rsidR="00E514B5" w:rsidRPr="003F2271" w:rsidRDefault="00E514B5" w:rsidP="004511C2">
            <w:pPr>
              <w:spacing w:after="0" w:line="240" w:lineRule="auto"/>
              <w:jc w:val="both"/>
              <w:rPr>
                <w:rFonts w:eastAsia="Times New Roman" w:cs="Calibri"/>
                <w:sz w:val="20"/>
                <w:szCs w:val="20"/>
              </w:rPr>
            </w:pPr>
          </w:p>
        </w:tc>
        <w:tc>
          <w:tcPr>
            <w:tcW w:w="2977" w:type="dxa"/>
            <w:tcBorders>
              <w:top w:val="nil"/>
              <w:left w:val="nil"/>
              <w:bottom w:val="single" w:sz="4" w:space="0" w:color="auto"/>
              <w:right w:val="single" w:sz="4" w:space="0" w:color="auto"/>
            </w:tcBorders>
            <w:shd w:val="clear" w:color="auto" w:fill="auto"/>
            <w:noWrap/>
            <w:hideMark/>
          </w:tcPr>
          <w:p w14:paraId="59E5B2AA"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BT cu scadența de 364 zile</w:t>
            </w:r>
          </w:p>
        </w:tc>
        <w:tc>
          <w:tcPr>
            <w:tcW w:w="1599" w:type="dxa"/>
            <w:tcBorders>
              <w:top w:val="nil"/>
              <w:left w:val="nil"/>
              <w:bottom w:val="single" w:sz="4" w:space="0" w:color="auto"/>
              <w:right w:val="single" w:sz="4" w:space="0" w:color="auto"/>
            </w:tcBorders>
            <w:shd w:val="clear" w:color="auto" w:fill="auto"/>
            <w:noWrap/>
            <w:vAlign w:val="bottom"/>
            <w:hideMark/>
          </w:tcPr>
          <w:p w14:paraId="5C03FA13" w14:textId="69B33E2B" w:rsidR="00E514B5" w:rsidRPr="003F2271" w:rsidRDefault="00872DF7" w:rsidP="004511C2">
            <w:pPr>
              <w:spacing w:after="0" w:line="240" w:lineRule="auto"/>
              <w:jc w:val="both"/>
              <w:rPr>
                <w:rFonts w:eastAsia="Times New Roman" w:cs="Calibri"/>
                <w:sz w:val="20"/>
                <w:szCs w:val="20"/>
              </w:rPr>
            </w:pPr>
            <w:r>
              <w:rPr>
                <w:rFonts w:eastAsia="Times New Roman" w:cs="Calibri"/>
                <w:sz w:val="20"/>
                <w:szCs w:val="20"/>
              </w:rPr>
              <w:t>7 355,87</w:t>
            </w:r>
          </w:p>
        </w:tc>
        <w:tc>
          <w:tcPr>
            <w:tcW w:w="1362" w:type="dxa"/>
            <w:tcBorders>
              <w:top w:val="nil"/>
              <w:left w:val="nil"/>
              <w:bottom w:val="single" w:sz="4" w:space="0" w:color="auto"/>
              <w:right w:val="single" w:sz="4" w:space="0" w:color="auto"/>
            </w:tcBorders>
            <w:shd w:val="clear" w:color="auto" w:fill="auto"/>
            <w:noWrap/>
            <w:vAlign w:val="bottom"/>
            <w:hideMark/>
          </w:tcPr>
          <w:p w14:paraId="1F9D8E56" w14:textId="35AC4E60" w:rsidR="00E514B5" w:rsidRPr="003F2271" w:rsidRDefault="00E514B5" w:rsidP="00CA0426">
            <w:pPr>
              <w:spacing w:after="0" w:line="240" w:lineRule="auto"/>
              <w:jc w:val="both"/>
              <w:rPr>
                <w:rFonts w:eastAsia="Times New Roman" w:cs="Calibri"/>
                <w:sz w:val="20"/>
                <w:szCs w:val="20"/>
              </w:rPr>
            </w:pPr>
            <w:r w:rsidRPr="003F2271">
              <w:rPr>
                <w:rFonts w:eastAsia="Times New Roman" w:cs="Calibri"/>
                <w:sz w:val="20"/>
                <w:szCs w:val="20"/>
              </w:rPr>
              <w:t>5</w:t>
            </w:r>
            <w:r w:rsidR="00CA0426">
              <w:rPr>
                <w:rFonts w:eastAsia="Times New Roman" w:cs="Calibri"/>
                <w:sz w:val="20"/>
                <w:szCs w:val="20"/>
              </w:rPr>
              <w:t>1</w:t>
            </w:r>
            <w:r w:rsidRPr="003F2271">
              <w:rPr>
                <w:rFonts w:eastAsia="Times New Roman" w:cs="Calibri"/>
                <w:sz w:val="20"/>
                <w:szCs w:val="20"/>
              </w:rPr>
              <w:t>,5</w:t>
            </w:r>
          </w:p>
        </w:tc>
      </w:tr>
      <w:tr w:rsidR="00E514B5" w:rsidRPr="003F2271" w14:paraId="2A71C2C6" w14:textId="77777777" w:rsidTr="004511C2">
        <w:trPr>
          <w:trHeight w:val="276"/>
        </w:trPr>
        <w:tc>
          <w:tcPr>
            <w:tcW w:w="3397" w:type="dxa"/>
            <w:vMerge/>
            <w:tcBorders>
              <w:top w:val="nil"/>
              <w:left w:val="single" w:sz="4" w:space="0" w:color="auto"/>
              <w:bottom w:val="single" w:sz="4" w:space="0" w:color="auto"/>
              <w:right w:val="single" w:sz="4" w:space="0" w:color="auto"/>
            </w:tcBorders>
            <w:vAlign w:val="center"/>
            <w:hideMark/>
          </w:tcPr>
          <w:p w14:paraId="5678FE0F" w14:textId="77777777" w:rsidR="00E514B5" w:rsidRPr="003F2271" w:rsidRDefault="00E514B5" w:rsidP="004511C2">
            <w:pPr>
              <w:spacing w:after="0" w:line="240" w:lineRule="auto"/>
              <w:jc w:val="both"/>
              <w:rPr>
                <w:rFonts w:eastAsia="Times New Roman" w:cs="Calibri"/>
                <w:sz w:val="20"/>
                <w:szCs w:val="20"/>
              </w:rPr>
            </w:pPr>
          </w:p>
        </w:tc>
        <w:tc>
          <w:tcPr>
            <w:tcW w:w="2977" w:type="dxa"/>
            <w:tcBorders>
              <w:top w:val="nil"/>
              <w:left w:val="nil"/>
              <w:bottom w:val="single" w:sz="4" w:space="0" w:color="auto"/>
              <w:right w:val="single" w:sz="4" w:space="0" w:color="auto"/>
            </w:tcBorders>
            <w:shd w:val="clear" w:color="auto" w:fill="auto"/>
            <w:noWrap/>
            <w:hideMark/>
          </w:tcPr>
          <w:p w14:paraId="7AB75D56"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OS cu maturitatea de 2 ani</w:t>
            </w:r>
          </w:p>
        </w:tc>
        <w:tc>
          <w:tcPr>
            <w:tcW w:w="1599" w:type="dxa"/>
            <w:tcBorders>
              <w:top w:val="nil"/>
              <w:left w:val="nil"/>
              <w:bottom w:val="single" w:sz="4" w:space="0" w:color="auto"/>
              <w:right w:val="single" w:sz="4" w:space="0" w:color="auto"/>
            </w:tcBorders>
            <w:shd w:val="clear" w:color="auto" w:fill="auto"/>
            <w:noWrap/>
            <w:vAlign w:val="bottom"/>
            <w:hideMark/>
          </w:tcPr>
          <w:p w14:paraId="6784AEEA"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429,81</w:t>
            </w:r>
          </w:p>
        </w:tc>
        <w:tc>
          <w:tcPr>
            <w:tcW w:w="1362" w:type="dxa"/>
            <w:tcBorders>
              <w:top w:val="nil"/>
              <w:left w:val="nil"/>
              <w:bottom w:val="single" w:sz="4" w:space="0" w:color="auto"/>
              <w:right w:val="single" w:sz="4" w:space="0" w:color="auto"/>
            </w:tcBorders>
            <w:shd w:val="clear" w:color="auto" w:fill="auto"/>
            <w:noWrap/>
            <w:vAlign w:val="bottom"/>
            <w:hideMark/>
          </w:tcPr>
          <w:p w14:paraId="68373ED1"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3,0</w:t>
            </w:r>
          </w:p>
        </w:tc>
      </w:tr>
      <w:tr w:rsidR="00E514B5" w:rsidRPr="003F2271" w14:paraId="710ECB38" w14:textId="77777777" w:rsidTr="004511C2">
        <w:trPr>
          <w:trHeight w:val="276"/>
        </w:trPr>
        <w:tc>
          <w:tcPr>
            <w:tcW w:w="3397" w:type="dxa"/>
            <w:vMerge/>
            <w:tcBorders>
              <w:top w:val="nil"/>
              <w:left w:val="single" w:sz="4" w:space="0" w:color="auto"/>
              <w:bottom w:val="single" w:sz="4" w:space="0" w:color="auto"/>
              <w:right w:val="single" w:sz="4" w:space="0" w:color="auto"/>
            </w:tcBorders>
            <w:vAlign w:val="center"/>
            <w:hideMark/>
          </w:tcPr>
          <w:p w14:paraId="694A0084" w14:textId="77777777" w:rsidR="00E514B5" w:rsidRPr="003F2271" w:rsidRDefault="00E514B5" w:rsidP="004511C2">
            <w:pPr>
              <w:spacing w:after="0" w:line="240" w:lineRule="auto"/>
              <w:jc w:val="both"/>
              <w:rPr>
                <w:rFonts w:eastAsia="Times New Roman" w:cs="Calibri"/>
                <w:sz w:val="20"/>
                <w:szCs w:val="20"/>
              </w:rPr>
            </w:pPr>
          </w:p>
        </w:tc>
        <w:tc>
          <w:tcPr>
            <w:tcW w:w="2977" w:type="dxa"/>
            <w:tcBorders>
              <w:top w:val="nil"/>
              <w:left w:val="nil"/>
              <w:bottom w:val="single" w:sz="4" w:space="0" w:color="auto"/>
              <w:right w:val="single" w:sz="4" w:space="0" w:color="auto"/>
            </w:tcBorders>
            <w:shd w:val="clear" w:color="auto" w:fill="auto"/>
            <w:noWrap/>
            <w:hideMark/>
          </w:tcPr>
          <w:p w14:paraId="5702B8F2"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OS cu maturitatea de 3 ani</w:t>
            </w:r>
          </w:p>
        </w:tc>
        <w:tc>
          <w:tcPr>
            <w:tcW w:w="1599" w:type="dxa"/>
            <w:tcBorders>
              <w:top w:val="nil"/>
              <w:left w:val="nil"/>
              <w:bottom w:val="single" w:sz="4" w:space="0" w:color="auto"/>
              <w:right w:val="single" w:sz="4" w:space="0" w:color="auto"/>
            </w:tcBorders>
            <w:shd w:val="clear" w:color="auto" w:fill="auto"/>
            <w:noWrap/>
            <w:vAlign w:val="bottom"/>
            <w:hideMark/>
          </w:tcPr>
          <w:p w14:paraId="1E7DF275"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900,33</w:t>
            </w:r>
          </w:p>
        </w:tc>
        <w:tc>
          <w:tcPr>
            <w:tcW w:w="1362" w:type="dxa"/>
            <w:tcBorders>
              <w:top w:val="nil"/>
              <w:left w:val="nil"/>
              <w:bottom w:val="single" w:sz="4" w:space="0" w:color="auto"/>
              <w:right w:val="single" w:sz="4" w:space="0" w:color="auto"/>
            </w:tcBorders>
            <w:shd w:val="clear" w:color="auto" w:fill="auto"/>
            <w:noWrap/>
            <w:vAlign w:val="bottom"/>
            <w:hideMark/>
          </w:tcPr>
          <w:p w14:paraId="60CB4479" w14:textId="74FA5B7F" w:rsidR="00E514B5" w:rsidRPr="003F2271" w:rsidRDefault="00E514B5" w:rsidP="00CA0426">
            <w:pPr>
              <w:spacing w:after="0" w:line="240" w:lineRule="auto"/>
              <w:jc w:val="both"/>
              <w:rPr>
                <w:rFonts w:eastAsia="Times New Roman" w:cs="Calibri"/>
                <w:sz w:val="20"/>
                <w:szCs w:val="20"/>
              </w:rPr>
            </w:pPr>
            <w:r w:rsidRPr="003F2271">
              <w:rPr>
                <w:rFonts w:eastAsia="Times New Roman" w:cs="Calibri"/>
                <w:sz w:val="20"/>
                <w:szCs w:val="20"/>
              </w:rPr>
              <w:t>6,</w:t>
            </w:r>
            <w:r w:rsidR="00CA0426">
              <w:rPr>
                <w:rFonts w:eastAsia="Times New Roman" w:cs="Calibri"/>
                <w:sz w:val="20"/>
                <w:szCs w:val="20"/>
              </w:rPr>
              <w:t>3</w:t>
            </w:r>
          </w:p>
        </w:tc>
      </w:tr>
      <w:tr w:rsidR="00E514B5" w:rsidRPr="003F2271" w14:paraId="1BEA2CA0" w14:textId="77777777" w:rsidTr="004511C2">
        <w:trPr>
          <w:trHeight w:val="276"/>
        </w:trPr>
        <w:tc>
          <w:tcPr>
            <w:tcW w:w="3397" w:type="dxa"/>
            <w:vMerge/>
            <w:tcBorders>
              <w:top w:val="nil"/>
              <w:left w:val="single" w:sz="4" w:space="0" w:color="auto"/>
              <w:bottom w:val="single" w:sz="4" w:space="0" w:color="auto"/>
              <w:right w:val="single" w:sz="4" w:space="0" w:color="auto"/>
            </w:tcBorders>
            <w:vAlign w:val="center"/>
            <w:hideMark/>
          </w:tcPr>
          <w:p w14:paraId="5F970772" w14:textId="77777777" w:rsidR="00E514B5" w:rsidRPr="003F2271" w:rsidRDefault="00E514B5" w:rsidP="004511C2">
            <w:pPr>
              <w:spacing w:after="0" w:line="240" w:lineRule="auto"/>
              <w:jc w:val="both"/>
              <w:rPr>
                <w:rFonts w:eastAsia="Times New Roman" w:cs="Calibri"/>
                <w:sz w:val="20"/>
                <w:szCs w:val="20"/>
              </w:rPr>
            </w:pPr>
          </w:p>
        </w:tc>
        <w:tc>
          <w:tcPr>
            <w:tcW w:w="2977" w:type="dxa"/>
            <w:tcBorders>
              <w:top w:val="nil"/>
              <w:left w:val="nil"/>
              <w:bottom w:val="single" w:sz="4" w:space="0" w:color="auto"/>
              <w:right w:val="single" w:sz="4" w:space="0" w:color="auto"/>
            </w:tcBorders>
            <w:shd w:val="clear" w:color="auto" w:fill="auto"/>
            <w:noWrap/>
            <w:hideMark/>
          </w:tcPr>
          <w:p w14:paraId="40059407"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OS cu maturitatea de 5 ani</w:t>
            </w:r>
          </w:p>
        </w:tc>
        <w:tc>
          <w:tcPr>
            <w:tcW w:w="1599" w:type="dxa"/>
            <w:tcBorders>
              <w:top w:val="nil"/>
              <w:left w:val="nil"/>
              <w:bottom w:val="single" w:sz="4" w:space="0" w:color="auto"/>
              <w:right w:val="single" w:sz="4" w:space="0" w:color="auto"/>
            </w:tcBorders>
            <w:shd w:val="clear" w:color="auto" w:fill="auto"/>
            <w:noWrap/>
            <w:vAlign w:val="bottom"/>
            <w:hideMark/>
          </w:tcPr>
          <w:p w14:paraId="310CB4CC"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832,50</w:t>
            </w:r>
          </w:p>
        </w:tc>
        <w:tc>
          <w:tcPr>
            <w:tcW w:w="1362" w:type="dxa"/>
            <w:tcBorders>
              <w:top w:val="nil"/>
              <w:left w:val="nil"/>
              <w:bottom w:val="single" w:sz="4" w:space="0" w:color="auto"/>
              <w:right w:val="single" w:sz="4" w:space="0" w:color="auto"/>
            </w:tcBorders>
            <w:shd w:val="clear" w:color="auto" w:fill="auto"/>
            <w:noWrap/>
            <w:vAlign w:val="bottom"/>
            <w:hideMark/>
          </w:tcPr>
          <w:p w14:paraId="4F80D14C" w14:textId="4EC7A257" w:rsidR="00E514B5" w:rsidRPr="003F2271" w:rsidRDefault="00E514B5" w:rsidP="00CA0426">
            <w:pPr>
              <w:spacing w:after="0" w:line="240" w:lineRule="auto"/>
              <w:jc w:val="both"/>
              <w:rPr>
                <w:rFonts w:eastAsia="Times New Roman" w:cs="Calibri"/>
                <w:sz w:val="20"/>
                <w:szCs w:val="20"/>
              </w:rPr>
            </w:pPr>
            <w:r w:rsidRPr="003F2271">
              <w:rPr>
                <w:rFonts w:eastAsia="Times New Roman" w:cs="Calibri"/>
                <w:sz w:val="20"/>
                <w:szCs w:val="20"/>
              </w:rPr>
              <w:t>5,</w:t>
            </w:r>
            <w:r w:rsidR="00CA0426">
              <w:rPr>
                <w:rFonts w:eastAsia="Times New Roman" w:cs="Calibri"/>
                <w:sz w:val="20"/>
                <w:szCs w:val="20"/>
              </w:rPr>
              <w:t>8</w:t>
            </w:r>
          </w:p>
        </w:tc>
      </w:tr>
      <w:tr w:rsidR="00E514B5" w:rsidRPr="003F2271" w14:paraId="70836613" w14:textId="77777777" w:rsidTr="004511C2">
        <w:trPr>
          <w:trHeight w:val="27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1BEABB4" w14:textId="77777777" w:rsidR="00E514B5" w:rsidRPr="003F2271" w:rsidRDefault="00E514B5" w:rsidP="004511C2">
            <w:pPr>
              <w:spacing w:after="0" w:line="240" w:lineRule="auto"/>
              <w:jc w:val="both"/>
              <w:rPr>
                <w:rFonts w:eastAsia="Times New Roman" w:cs="Calibri"/>
                <w:b/>
                <w:bCs/>
                <w:i/>
                <w:iCs/>
                <w:sz w:val="20"/>
                <w:szCs w:val="20"/>
              </w:rPr>
            </w:pPr>
            <w:r w:rsidRPr="003F2271">
              <w:rPr>
                <w:rFonts w:eastAsia="Times New Roman" w:cs="Calibri"/>
                <w:b/>
                <w:bCs/>
                <w:i/>
                <w:iCs/>
                <w:sz w:val="20"/>
                <w:szCs w:val="20"/>
              </w:rPr>
              <w:t>Total VMS cu rată fixă</w:t>
            </w:r>
          </w:p>
        </w:tc>
        <w:tc>
          <w:tcPr>
            <w:tcW w:w="2977" w:type="dxa"/>
            <w:tcBorders>
              <w:top w:val="nil"/>
              <w:left w:val="nil"/>
              <w:bottom w:val="single" w:sz="4" w:space="0" w:color="auto"/>
              <w:right w:val="single" w:sz="4" w:space="0" w:color="auto"/>
            </w:tcBorders>
            <w:shd w:val="clear" w:color="auto" w:fill="auto"/>
            <w:noWrap/>
            <w:hideMark/>
          </w:tcPr>
          <w:p w14:paraId="0ACDC700" w14:textId="77777777" w:rsidR="00E514B5" w:rsidRPr="003F2271" w:rsidRDefault="00E514B5" w:rsidP="004511C2">
            <w:pPr>
              <w:spacing w:after="0" w:line="240" w:lineRule="auto"/>
              <w:jc w:val="both"/>
              <w:rPr>
                <w:rFonts w:eastAsia="Times New Roman" w:cs="Calibri"/>
                <w:b/>
                <w:bCs/>
                <w:i/>
                <w:iCs/>
                <w:sz w:val="20"/>
                <w:szCs w:val="20"/>
              </w:rPr>
            </w:pPr>
            <w:r w:rsidRPr="003F2271">
              <w:rPr>
                <w:rFonts w:eastAsia="Times New Roman" w:cs="Calibri"/>
                <w:b/>
                <w:bCs/>
                <w:i/>
                <w:iCs/>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14:paraId="1357FDBB" w14:textId="2B82E1C6" w:rsidR="00E514B5" w:rsidRPr="003F2271" w:rsidRDefault="00872DF7" w:rsidP="004511C2">
            <w:pPr>
              <w:spacing w:after="0" w:line="240" w:lineRule="auto"/>
              <w:jc w:val="both"/>
              <w:rPr>
                <w:rFonts w:eastAsia="Times New Roman" w:cs="Calibri"/>
                <w:b/>
                <w:bCs/>
                <w:i/>
                <w:iCs/>
                <w:sz w:val="20"/>
                <w:szCs w:val="20"/>
              </w:rPr>
            </w:pPr>
            <w:r>
              <w:rPr>
                <w:rFonts w:eastAsia="Times New Roman" w:cs="Calibri"/>
                <w:b/>
                <w:bCs/>
                <w:i/>
                <w:iCs/>
                <w:sz w:val="20"/>
                <w:szCs w:val="20"/>
              </w:rPr>
              <w:t>14 271,5</w:t>
            </w:r>
          </w:p>
        </w:tc>
        <w:tc>
          <w:tcPr>
            <w:tcW w:w="1362" w:type="dxa"/>
            <w:tcBorders>
              <w:top w:val="nil"/>
              <w:left w:val="nil"/>
              <w:bottom w:val="single" w:sz="4" w:space="0" w:color="auto"/>
              <w:right w:val="single" w:sz="4" w:space="0" w:color="auto"/>
            </w:tcBorders>
            <w:shd w:val="clear" w:color="auto" w:fill="auto"/>
            <w:noWrap/>
            <w:vAlign w:val="bottom"/>
            <w:hideMark/>
          </w:tcPr>
          <w:p w14:paraId="31ADB848" w14:textId="77777777" w:rsidR="00E514B5" w:rsidRPr="003F2271" w:rsidRDefault="00E514B5" w:rsidP="004511C2">
            <w:pPr>
              <w:spacing w:after="0" w:line="240" w:lineRule="auto"/>
              <w:jc w:val="both"/>
              <w:rPr>
                <w:rFonts w:eastAsia="Times New Roman" w:cs="Calibri"/>
                <w:b/>
                <w:bCs/>
                <w:i/>
                <w:iCs/>
                <w:sz w:val="20"/>
                <w:szCs w:val="20"/>
              </w:rPr>
            </w:pPr>
            <w:r w:rsidRPr="003F2271">
              <w:rPr>
                <w:rFonts w:eastAsia="Times New Roman" w:cs="Calibri"/>
                <w:b/>
                <w:bCs/>
                <w:i/>
                <w:iCs/>
                <w:sz w:val="20"/>
                <w:szCs w:val="20"/>
              </w:rPr>
              <w:t>98,0</w:t>
            </w:r>
          </w:p>
        </w:tc>
      </w:tr>
      <w:tr w:rsidR="00E514B5" w:rsidRPr="003F2271" w14:paraId="138C23F1" w14:textId="77777777" w:rsidTr="004511C2">
        <w:trPr>
          <w:trHeight w:val="27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BEFED22"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VMS cu rată variabilă</w:t>
            </w:r>
          </w:p>
        </w:tc>
        <w:tc>
          <w:tcPr>
            <w:tcW w:w="2977" w:type="dxa"/>
            <w:tcBorders>
              <w:top w:val="nil"/>
              <w:left w:val="nil"/>
              <w:bottom w:val="single" w:sz="4" w:space="0" w:color="auto"/>
              <w:right w:val="single" w:sz="4" w:space="0" w:color="auto"/>
            </w:tcBorders>
            <w:shd w:val="clear" w:color="auto" w:fill="auto"/>
            <w:noWrap/>
            <w:hideMark/>
          </w:tcPr>
          <w:p w14:paraId="3E692E1C"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OS cu maturitatea de 2 ani</w:t>
            </w:r>
          </w:p>
        </w:tc>
        <w:tc>
          <w:tcPr>
            <w:tcW w:w="1599" w:type="dxa"/>
            <w:tcBorders>
              <w:top w:val="nil"/>
              <w:left w:val="nil"/>
              <w:bottom w:val="single" w:sz="4" w:space="0" w:color="auto"/>
              <w:right w:val="single" w:sz="4" w:space="0" w:color="auto"/>
            </w:tcBorders>
            <w:shd w:val="clear" w:color="auto" w:fill="auto"/>
            <w:noWrap/>
            <w:vAlign w:val="bottom"/>
            <w:hideMark/>
          </w:tcPr>
          <w:p w14:paraId="641AAC48"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289,47</w:t>
            </w:r>
          </w:p>
        </w:tc>
        <w:tc>
          <w:tcPr>
            <w:tcW w:w="1362" w:type="dxa"/>
            <w:tcBorders>
              <w:top w:val="nil"/>
              <w:left w:val="nil"/>
              <w:bottom w:val="single" w:sz="4" w:space="0" w:color="auto"/>
              <w:right w:val="single" w:sz="4" w:space="0" w:color="auto"/>
            </w:tcBorders>
            <w:shd w:val="clear" w:color="auto" w:fill="auto"/>
            <w:noWrap/>
            <w:vAlign w:val="bottom"/>
            <w:hideMark/>
          </w:tcPr>
          <w:p w14:paraId="6E502444" w14:textId="77777777" w:rsidR="00E514B5" w:rsidRPr="003F2271" w:rsidRDefault="00E514B5" w:rsidP="004511C2">
            <w:pPr>
              <w:spacing w:after="0" w:line="240" w:lineRule="auto"/>
              <w:jc w:val="both"/>
              <w:rPr>
                <w:rFonts w:eastAsia="Times New Roman" w:cs="Calibri"/>
                <w:sz w:val="20"/>
                <w:szCs w:val="20"/>
              </w:rPr>
            </w:pPr>
            <w:r w:rsidRPr="003F2271">
              <w:rPr>
                <w:rFonts w:eastAsia="Times New Roman" w:cs="Calibri"/>
                <w:sz w:val="20"/>
                <w:szCs w:val="20"/>
              </w:rPr>
              <w:t>2,0</w:t>
            </w:r>
          </w:p>
        </w:tc>
      </w:tr>
      <w:tr w:rsidR="00E514B5" w:rsidRPr="003F2271" w14:paraId="50D2709E" w14:textId="77777777" w:rsidTr="004511C2">
        <w:trPr>
          <w:trHeight w:val="27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24B82EF" w14:textId="77777777" w:rsidR="00E514B5" w:rsidRPr="003F2271" w:rsidRDefault="00E514B5" w:rsidP="004511C2">
            <w:pPr>
              <w:spacing w:after="0" w:line="240" w:lineRule="auto"/>
              <w:jc w:val="both"/>
              <w:rPr>
                <w:rFonts w:eastAsia="Times New Roman" w:cs="Calibri"/>
                <w:b/>
                <w:bCs/>
                <w:i/>
                <w:iCs/>
                <w:sz w:val="20"/>
                <w:szCs w:val="20"/>
              </w:rPr>
            </w:pPr>
            <w:r w:rsidRPr="003F2271">
              <w:rPr>
                <w:rFonts w:eastAsia="Times New Roman" w:cs="Calibri"/>
                <w:b/>
                <w:bCs/>
                <w:i/>
                <w:iCs/>
                <w:sz w:val="20"/>
                <w:szCs w:val="20"/>
              </w:rPr>
              <w:t>Total VMS cu rată variabilă</w:t>
            </w:r>
          </w:p>
        </w:tc>
        <w:tc>
          <w:tcPr>
            <w:tcW w:w="2977" w:type="dxa"/>
            <w:tcBorders>
              <w:top w:val="nil"/>
              <w:left w:val="nil"/>
              <w:bottom w:val="single" w:sz="4" w:space="0" w:color="auto"/>
              <w:right w:val="single" w:sz="4" w:space="0" w:color="auto"/>
            </w:tcBorders>
            <w:shd w:val="clear" w:color="auto" w:fill="auto"/>
            <w:noWrap/>
            <w:hideMark/>
          </w:tcPr>
          <w:p w14:paraId="25EACF03" w14:textId="77777777" w:rsidR="00E514B5" w:rsidRPr="003F2271" w:rsidRDefault="00E514B5" w:rsidP="004511C2">
            <w:pPr>
              <w:spacing w:after="0" w:line="240" w:lineRule="auto"/>
              <w:jc w:val="both"/>
              <w:rPr>
                <w:rFonts w:eastAsia="Times New Roman" w:cs="Calibri"/>
                <w:b/>
                <w:bCs/>
                <w:i/>
                <w:iCs/>
                <w:sz w:val="20"/>
                <w:szCs w:val="20"/>
              </w:rPr>
            </w:pPr>
            <w:r w:rsidRPr="003F2271">
              <w:rPr>
                <w:rFonts w:eastAsia="Times New Roman" w:cs="Calibri"/>
                <w:b/>
                <w:bCs/>
                <w:i/>
                <w:iCs/>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14:paraId="3C1464CF" w14:textId="77777777" w:rsidR="00E514B5" w:rsidRPr="003F2271" w:rsidRDefault="00E514B5" w:rsidP="004511C2">
            <w:pPr>
              <w:spacing w:after="0" w:line="240" w:lineRule="auto"/>
              <w:jc w:val="both"/>
              <w:rPr>
                <w:rFonts w:eastAsia="Times New Roman" w:cs="Calibri"/>
                <w:b/>
                <w:bCs/>
                <w:i/>
                <w:iCs/>
                <w:sz w:val="20"/>
                <w:szCs w:val="20"/>
              </w:rPr>
            </w:pPr>
            <w:r w:rsidRPr="003F2271">
              <w:rPr>
                <w:rFonts w:eastAsia="Times New Roman" w:cs="Calibri"/>
                <w:b/>
                <w:bCs/>
                <w:i/>
                <w:iCs/>
                <w:sz w:val="20"/>
                <w:szCs w:val="20"/>
              </w:rPr>
              <w:t>289,47</w:t>
            </w:r>
          </w:p>
        </w:tc>
        <w:tc>
          <w:tcPr>
            <w:tcW w:w="1362" w:type="dxa"/>
            <w:tcBorders>
              <w:top w:val="nil"/>
              <w:left w:val="nil"/>
              <w:bottom w:val="single" w:sz="4" w:space="0" w:color="auto"/>
              <w:right w:val="single" w:sz="4" w:space="0" w:color="auto"/>
            </w:tcBorders>
            <w:shd w:val="clear" w:color="auto" w:fill="auto"/>
            <w:noWrap/>
            <w:vAlign w:val="bottom"/>
            <w:hideMark/>
          </w:tcPr>
          <w:p w14:paraId="756C24F3" w14:textId="77777777" w:rsidR="00E514B5" w:rsidRPr="003F2271" w:rsidRDefault="00E514B5" w:rsidP="004511C2">
            <w:pPr>
              <w:spacing w:after="0" w:line="240" w:lineRule="auto"/>
              <w:jc w:val="both"/>
              <w:rPr>
                <w:rFonts w:eastAsia="Times New Roman" w:cs="Calibri"/>
                <w:b/>
                <w:bCs/>
                <w:i/>
                <w:iCs/>
                <w:sz w:val="20"/>
                <w:szCs w:val="20"/>
              </w:rPr>
            </w:pPr>
            <w:r w:rsidRPr="003F2271">
              <w:rPr>
                <w:rFonts w:eastAsia="Times New Roman" w:cs="Calibri"/>
                <w:b/>
                <w:bCs/>
                <w:i/>
                <w:iCs/>
                <w:sz w:val="20"/>
                <w:szCs w:val="20"/>
              </w:rPr>
              <w:t>2,0</w:t>
            </w:r>
          </w:p>
        </w:tc>
      </w:tr>
      <w:tr w:rsidR="00E514B5" w:rsidRPr="003F2271" w14:paraId="3312B5EC" w14:textId="77777777" w:rsidTr="004511C2">
        <w:trPr>
          <w:trHeight w:val="312"/>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4373E6E" w14:textId="77777777" w:rsidR="00E514B5" w:rsidRPr="003F2271" w:rsidRDefault="00E514B5" w:rsidP="004511C2">
            <w:pPr>
              <w:spacing w:after="0" w:line="240" w:lineRule="auto"/>
              <w:jc w:val="both"/>
              <w:rPr>
                <w:rFonts w:eastAsia="Times New Roman" w:cs="Calibri"/>
                <w:b/>
                <w:bCs/>
                <w:sz w:val="20"/>
                <w:szCs w:val="20"/>
              </w:rPr>
            </w:pPr>
            <w:r w:rsidRPr="003F2271">
              <w:rPr>
                <w:rFonts w:eastAsia="Times New Roman" w:cs="Calibri"/>
                <w:b/>
                <w:bCs/>
                <w:sz w:val="20"/>
                <w:szCs w:val="20"/>
              </w:rPr>
              <w:t>Total VMS în circulație</w:t>
            </w:r>
          </w:p>
        </w:tc>
        <w:tc>
          <w:tcPr>
            <w:tcW w:w="2977" w:type="dxa"/>
            <w:tcBorders>
              <w:top w:val="nil"/>
              <w:left w:val="nil"/>
              <w:bottom w:val="single" w:sz="4" w:space="0" w:color="auto"/>
              <w:right w:val="single" w:sz="4" w:space="0" w:color="auto"/>
            </w:tcBorders>
            <w:shd w:val="clear" w:color="auto" w:fill="auto"/>
            <w:noWrap/>
            <w:hideMark/>
          </w:tcPr>
          <w:p w14:paraId="4662E46B" w14:textId="77777777" w:rsidR="00E514B5" w:rsidRPr="003F2271" w:rsidRDefault="00E514B5" w:rsidP="004511C2">
            <w:pPr>
              <w:spacing w:after="0" w:line="240" w:lineRule="auto"/>
              <w:jc w:val="both"/>
              <w:rPr>
                <w:rFonts w:eastAsia="Times New Roman" w:cs="Calibri"/>
                <w:b/>
                <w:bCs/>
                <w:sz w:val="20"/>
                <w:szCs w:val="20"/>
              </w:rPr>
            </w:pPr>
            <w:r w:rsidRPr="003F2271">
              <w:rPr>
                <w:rFonts w:eastAsia="Times New Roman" w:cs="Calibri"/>
                <w:b/>
                <w:bCs/>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14:paraId="5AE1AA45" w14:textId="46A0F007" w:rsidR="00E514B5" w:rsidRPr="003F2271" w:rsidRDefault="00E514B5" w:rsidP="00CA0426">
            <w:pPr>
              <w:spacing w:after="0" w:line="240" w:lineRule="auto"/>
              <w:jc w:val="both"/>
              <w:rPr>
                <w:rFonts w:eastAsia="Times New Roman" w:cs="Calibri"/>
                <w:b/>
                <w:bCs/>
                <w:sz w:val="20"/>
                <w:szCs w:val="20"/>
              </w:rPr>
            </w:pPr>
            <w:r w:rsidRPr="003F2271">
              <w:rPr>
                <w:rFonts w:eastAsia="Times New Roman" w:cs="Calibri"/>
                <w:b/>
                <w:bCs/>
                <w:sz w:val="20"/>
                <w:szCs w:val="20"/>
              </w:rPr>
              <w:t>14.561,0</w:t>
            </w:r>
            <w:r w:rsidR="00CA0426">
              <w:rPr>
                <w:rFonts w:eastAsia="Times New Roman" w:cs="Calibri"/>
                <w:b/>
                <w:bCs/>
                <w:sz w:val="20"/>
                <w:szCs w:val="20"/>
              </w:rPr>
              <w:t>2</w:t>
            </w:r>
          </w:p>
        </w:tc>
        <w:tc>
          <w:tcPr>
            <w:tcW w:w="1362" w:type="dxa"/>
            <w:tcBorders>
              <w:top w:val="nil"/>
              <w:left w:val="nil"/>
              <w:bottom w:val="single" w:sz="4" w:space="0" w:color="auto"/>
              <w:right w:val="single" w:sz="4" w:space="0" w:color="auto"/>
            </w:tcBorders>
            <w:shd w:val="clear" w:color="auto" w:fill="auto"/>
            <w:noWrap/>
            <w:vAlign w:val="bottom"/>
            <w:hideMark/>
          </w:tcPr>
          <w:p w14:paraId="1E4E0B42" w14:textId="77777777" w:rsidR="00E514B5" w:rsidRPr="003F2271" w:rsidRDefault="00E514B5" w:rsidP="004511C2">
            <w:pPr>
              <w:spacing w:after="0" w:line="240" w:lineRule="auto"/>
              <w:jc w:val="both"/>
              <w:rPr>
                <w:rFonts w:eastAsia="Times New Roman" w:cs="Calibri"/>
                <w:b/>
                <w:bCs/>
                <w:sz w:val="20"/>
                <w:szCs w:val="20"/>
              </w:rPr>
            </w:pPr>
            <w:r w:rsidRPr="003F2271">
              <w:rPr>
                <w:rFonts w:eastAsia="Times New Roman" w:cs="Calibri"/>
                <w:b/>
                <w:bCs/>
                <w:sz w:val="20"/>
                <w:szCs w:val="20"/>
              </w:rPr>
              <w:t>100,0</w:t>
            </w:r>
          </w:p>
        </w:tc>
      </w:tr>
    </w:tbl>
    <w:p w14:paraId="40DC007E" w14:textId="5A0F9956" w:rsidR="008634C8" w:rsidRDefault="00E514B5" w:rsidP="008634C8">
      <w:pPr>
        <w:pStyle w:val="af3"/>
        <w:spacing w:after="240"/>
        <w:jc w:val="both"/>
        <w:rPr>
          <w:rFonts w:asciiTheme="majorHAnsi" w:hAnsiTheme="majorHAnsi" w:cstheme="majorHAnsi"/>
          <w:i/>
          <w:sz w:val="20"/>
          <w:szCs w:val="20"/>
          <w:lang w:val="ro-MD" w:eastAsia="ru-RU"/>
        </w:rPr>
      </w:pPr>
      <w:r w:rsidRPr="005B643E">
        <w:rPr>
          <w:rFonts w:asciiTheme="majorHAnsi" w:hAnsiTheme="majorHAnsi" w:cstheme="majorHAnsi"/>
          <w:b/>
          <w:i/>
          <w:sz w:val="20"/>
          <w:szCs w:val="20"/>
          <w:lang w:val="ro-MD" w:eastAsia="ru-RU"/>
        </w:rPr>
        <w:t>Sursa:</w:t>
      </w:r>
      <w:r w:rsidRPr="005B643E">
        <w:rPr>
          <w:rFonts w:asciiTheme="majorHAnsi" w:hAnsiTheme="majorHAnsi" w:cstheme="majorHAnsi"/>
          <w:i/>
          <w:sz w:val="20"/>
          <w:szCs w:val="20"/>
          <w:lang w:val="ro-MD" w:eastAsia="ru-RU"/>
        </w:rPr>
        <w:t xml:space="preserve"> Informația MF privind VMS în circulație (după scadență) la situația din 31.12.20</w:t>
      </w:r>
      <w:r>
        <w:rPr>
          <w:rFonts w:asciiTheme="majorHAnsi" w:hAnsiTheme="majorHAnsi" w:cstheme="majorHAnsi"/>
          <w:i/>
          <w:sz w:val="20"/>
          <w:szCs w:val="20"/>
          <w:lang w:val="ro-MD" w:eastAsia="ru-RU"/>
        </w:rPr>
        <w:t>20</w:t>
      </w:r>
      <w:r w:rsidRPr="005B643E">
        <w:rPr>
          <w:rFonts w:asciiTheme="majorHAnsi" w:hAnsiTheme="majorHAnsi" w:cstheme="majorHAnsi"/>
          <w:i/>
          <w:sz w:val="20"/>
          <w:szCs w:val="20"/>
          <w:lang w:val="ro-MD" w:eastAsia="ru-RU"/>
        </w:rPr>
        <w:t>; Informația lunară a MF privind VMS plasate pe piața internă sub</w:t>
      </w:r>
      <w:r w:rsidR="008634C8">
        <w:rPr>
          <w:rFonts w:asciiTheme="majorHAnsi" w:hAnsiTheme="majorHAnsi" w:cstheme="majorHAnsi"/>
          <w:i/>
          <w:sz w:val="20"/>
          <w:szCs w:val="20"/>
          <w:lang w:val="ro-MD" w:eastAsia="ru-RU"/>
        </w:rPr>
        <w:t xml:space="preserve"> formă de înscrieri în conturi</w:t>
      </w:r>
      <w:r w:rsidR="006857EB">
        <w:rPr>
          <w:rFonts w:asciiTheme="majorHAnsi" w:hAnsiTheme="majorHAnsi" w:cstheme="majorHAnsi"/>
          <w:i/>
          <w:sz w:val="20"/>
          <w:szCs w:val="20"/>
          <w:lang w:val="ro-MD" w:eastAsia="ru-RU"/>
        </w:rPr>
        <w:t>.</w:t>
      </w:r>
    </w:p>
    <w:p w14:paraId="13C91917" w14:textId="1A81BB4E" w:rsidR="00E514B5" w:rsidRPr="00162C42" w:rsidRDefault="00E514B5" w:rsidP="008634C8">
      <w:pPr>
        <w:pStyle w:val="af3"/>
        <w:spacing w:after="240"/>
        <w:jc w:val="right"/>
        <w:rPr>
          <w:rFonts w:asciiTheme="majorHAnsi" w:hAnsiTheme="majorHAnsi" w:cstheme="majorHAnsi"/>
          <w:b/>
          <w:i/>
          <w:color w:val="000000" w:themeColor="text1"/>
          <w:sz w:val="24"/>
          <w:szCs w:val="24"/>
          <w:lang w:val="ro-MD"/>
        </w:rPr>
      </w:pPr>
      <w:r w:rsidRPr="006A79EA">
        <w:rPr>
          <w:rFonts w:asciiTheme="majorHAnsi" w:hAnsiTheme="majorHAnsi" w:cstheme="majorHAnsi"/>
          <w:b/>
          <w:i/>
          <w:color w:val="000000" w:themeColor="text1"/>
          <w:sz w:val="24"/>
          <w:szCs w:val="24"/>
          <w:lang w:val="ro-MD"/>
        </w:rPr>
        <w:t>Tabelul nr.</w:t>
      </w:r>
      <w:r w:rsidR="00AF1017">
        <w:rPr>
          <w:rFonts w:asciiTheme="majorHAnsi" w:hAnsiTheme="majorHAnsi" w:cstheme="majorHAnsi"/>
          <w:b/>
          <w:i/>
          <w:color w:val="000000" w:themeColor="text1"/>
          <w:sz w:val="24"/>
          <w:szCs w:val="24"/>
          <w:lang w:val="ro-MD"/>
        </w:rPr>
        <w:t>4</w:t>
      </w:r>
    </w:p>
    <w:p w14:paraId="24D437FC" w14:textId="77777777" w:rsidR="00E514B5" w:rsidRPr="00162C42" w:rsidRDefault="00E514B5" w:rsidP="00E514B5">
      <w:pPr>
        <w:pStyle w:val="af3"/>
        <w:spacing w:line="276" w:lineRule="auto"/>
        <w:jc w:val="center"/>
        <w:rPr>
          <w:rFonts w:asciiTheme="majorHAnsi" w:hAnsiTheme="majorHAnsi" w:cstheme="majorHAnsi"/>
          <w:b/>
          <w:color w:val="000000" w:themeColor="text1"/>
          <w:sz w:val="24"/>
          <w:szCs w:val="24"/>
          <w:lang w:val="ro-MD"/>
        </w:rPr>
      </w:pPr>
      <w:r>
        <w:rPr>
          <w:rFonts w:asciiTheme="majorHAnsi" w:hAnsiTheme="majorHAnsi" w:cstheme="majorHAnsi"/>
          <w:b/>
          <w:color w:val="000000" w:themeColor="text1"/>
          <w:sz w:val="24"/>
          <w:szCs w:val="24"/>
          <w:lang w:val="ro-MD"/>
        </w:rPr>
        <w:t>Dinamica rambursărilor efectuate de către băncile aflate în proces de lichidare</w:t>
      </w:r>
      <w:r w:rsidRPr="00162C42">
        <w:rPr>
          <w:rFonts w:asciiTheme="majorHAnsi" w:hAnsiTheme="majorHAnsi" w:cstheme="majorHAnsi"/>
          <w:b/>
          <w:color w:val="000000" w:themeColor="text1"/>
          <w:sz w:val="24"/>
          <w:szCs w:val="24"/>
          <w:lang w:val="ro-MD"/>
        </w:rPr>
        <w:t>, mil. lei</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15"/>
        <w:gridCol w:w="1003"/>
        <w:gridCol w:w="1003"/>
        <w:gridCol w:w="1003"/>
        <w:gridCol w:w="1026"/>
        <w:gridCol w:w="1093"/>
        <w:gridCol w:w="1122"/>
      </w:tblGrid>
      <w:tr w:rsidR="00E514B5" w:rsidRPr="005726C2" w14:paraId="6908ECC4" w14:textId="77777777" w:rsidTr="004511C2">
        <w:trPr>
          <w:jc w:val="center"/>
        </w:trPr>
        <w:tc>
          <w:tcPr>
            <w:tcW w:w="1980" w:type="dxa"/>
            <w:shd w:val="clear" w:color="auto" w:fill="auto"/>
            <w:vAlign w:val="center"/>
          </w:tcPr>
          <w:p w14:paraId="7C7493F6"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Băncile supuse lichidării</w:t>
            </w:r>
          </w:p>
        </w:tc>
        <w:tc>
          <w:tcPr>
            <w:tcW w:w="1115" w:type="dxa"/>
            <w:shd w:val="clear" w:color="auto" w:fill="auto"/>
            <w:vAlign w:val="center"/>
          </w:tcPr>
          <w:p w14:paraId="1F5D4745"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Datoria inițială preluată</w:t>
            </w:r>
          </w:p>
        </w:tc>
        <w:tc>
          <w:tcPr>
            <w:tcW w:w="1003" w:type="dxa"/>
            <w:shd w:val="clear" w:color="auto" w:fill="auto"/>
            <w:vAlign w:val="center"/>
          </w:tcPr>
          <w:p w14:paraId="5883E221"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Rambursat în 2016</w:t>
            </w:r>
          </w:p>
        </w:tc>
        <w:tc>
          <w:tcPr>
            <w:tcW w:w="1003" w:type="dxa"/>
            <w:shd w:val="clear" w:color="auto" w:fill="auto"/>
            <w:vAlign w:val="center"/>
          </w:tcPr>
          <w:p w14:paraId="5686F171"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Rambursat în 2017</w:t>
            </w:r>
          </w:p>
        </w:tc>
        <w:tc>
          <w:tcPr>
            <w:tcW w:w="1003" w:type="dxa"/>
            <w:shd w:val="clear" w:color="auto" w:fill="auto"/>
            <w:vAlign w:val="center"/>
          </w:tcPr>
          <w:p w14:paraId="11E953A5"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Rambursat în 2018</w:t>
            </w:r>
          </w:p>
        </w:tc>
        <w:tc>
          <w:tcPr>
            <w:tcW w:w="1026" w:type="dxa"/>
            <w:shd w:val="clear" w:color="auto" w:fill="auto"/>
            <w:vAlign w:val="center"/>
          </w:tcPr>
          <w:p w14:paraId="3F3AA161"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Rambursat în 2019</w:t>
            </w:r>
          </w:p>
        </w:tc>
        <w:tc>
          <w:tcPr>
            <w:tcW w:w="1093" w:type="dxa"/>
            <w:shd w:val="clear" w:color="auto" w:fill="auto"/>
          </w:tcPr>
          <w:p w14:paraId="474DE82B"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Rambursat în 2020</w:t>
            </w:r>
          </w:p>
        </w:tc>
        <w:tc>
          <w:tcPr>
            <w:tcW w:w="1122" w:type="dxa"/>
            <w:shd w:val="clear" w:color="auto" w:fill="auto"/>
            <w:vAlign w:val="center"/>
          </w:tcPr>
          <w:p w14:paraId="12D0A2F9"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Soldul datoriei la 31.12.20</w:t>
            </w:r>
            <w:r>
              <w:rPr>
                <w:rFonts w:asciiTheme="majorHAnsi" w:eastAsia="Times New Roman" w:hAnsiTheme="majorHAnsi" w:cstheme="majorHAnsi"/>
                <w:b/>
                <w:bCs/>
                <w:color w:val="000000" w:themeColor="text1"/>
                <w:sz w:val="18"/>
                <w:szCs w:val="18"/>
                <w:lang w:val="ro-MD" w:eastAsia="ru-RU"/>
              </w:rPr>
              <w:t>20</w:t>
            </w:r>
          </w:p>
        </w:tc>
      </w:tr>
      <w:tr w:rsidR="00E514B5" w:rsidRPr="005726C2" w14:paraId="315E9807" w14:textId="77777777" w:rsidTr="004511C2">
        <w:trPr>
          <w:jc w:val="center"/>
        </w:trPr>
        <w:tc>
          <w:tcPr>
            <w:tcW w:w="1980" w:type="dxa"/>
          </w:tcPr>
          <w:p w14:paraId="167011E4" w14:textId="100F6903" w:rsidR="00E514B5" w:rsidRPr="005726C2" w:rsidRDefault="00E514B5" w:rsidP="004511C2">
            <w:pPr>
              <w:pStyle w:val="af3"/>
              <w:jc w:val="both"/>
              <w:rPr>
                <w:rFonts w:asciiTheme="majorHAnsi" w:eastAsia="Times New Roman" w:hAnsiTheme="majorHAnsi" w:cstheme="majorHAnsi"/>
                <w:bCs/>
                <w:color w:val="5B9BD5" w:themeColor="accent1"/>
                <w:sz w:val="18"/>
                <w:szCs w:val="18"/>
                <w:lang w:val="ro-MD" w:eastAsia="ru-RU"/>
              </w:rPr>
            </w:pPr>
            <w:r w:rsidRPr="005726C2">
              <w:rPr>
                <w:rFonts w:asciiTheme="majorHAnsi" w:hAnsiTheme="majorHAnsi" w:cstheme="majorHAnsi"/>
                <w:sz w:val="18"/>
                <w:szCs w:val="18"/>
                <w:lang w:val="ro-MD"/>
              </w:rPr>
              <w:t>„Banca de Economii” S</w:t>
            </w:r>
            <w:r w:rsidR="006857EB">
              <w:rPr>
                <w:rFonts w:asciiTheme="majorHAnsi" w:hAnsiTheme="majorHAnsi" w:cstheme="majorHAnsi"/>
                <w:sz w:val="18"/>
                <w:szCs w:val="18"/>
                <w:lang w:val="ro-MD"/>
              </w:rPr>
              <w:t>.</w:t>
            </w:r>
            <w:r w:rsidRPr="005726C2">
              <w:rPr>
                <w:rFonts w:asciiTheme="majorHAnsi" w:hAnsiTheme="majorHAnsi" w:cstheme="majorHAnsi"/>
                <w:sz w:val="18"/>
                <w:szCs w:val="18"/>
                <w:lang w:val="ro-MD"/>
              </w:rPr>
              <w:t>A</w:t>
            </w:r>
            <w:r w:rsidR="006857EB">
              <w:rPr>
                <w:rFonts w:asciiTheme="majorHAnsi" w:hAnsiTheme="majorHAnsi" w:cstheme="majorHAnsi"/>
                <w:sz w:val="18"/>
                <w:szCs w:val="18"/>
                <w:lang w:val="ro-MD"/>
              </w:rPr>
              <w:t>.</w:t>
            </w:r>
          </w:p>
        </w:tc>
        <w:tc>
          <w:tcPr>
            <w:tcW w:w="1115" w:type="dxa"/>
            <w:vAlign w:val="center"/>
          </w:tcPr>
          <w:p w14:paraId="646B26E0"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9 083,0</w:t>
            </w:r>
          </w:p>
        </w:tc>
        <w:tc>
          <w:tcPr>
            <w:tcW w:w="1003" w:type="dxa"/>
            <w:vAlign w:val="center"/>
          </w:tcPr>
          <w:p w14:paraId="7DBF516A"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28,2</w:t>
            </w:r>
          </w:p>
        </w:tc>
        <w:tc>
          <w:tcPr>
            <w:tcW w:w="1003" w:type="dxa"/>
            <w:vAlign w:val="center"/>
          </w:tcPr>
          <w:p w14:paraId="2FA33AE2"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109,8</w:t>
            </w:r>
          </w:p>
        </w:tc>
        <w:tc>
          <w:tcPr>
            <w:tcW w:w="1003" w:type="dxa"/>
            <w:vAlign w:val="center"/>
          </w:tcPr>
          <w:p w14:paraId="2416AED2"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544,5</w:t>
            </w:r>
          </w:p>
        </w:tc>
        <w:tc>
          <w:tcPr>
            <w:tcW w:w="1026" w:type="dxa"/>
            <w:vAlign w:val="center"/>
          </w:tcPr>
          <w:p w14:paraId="153D630B"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502,5</w:t>
            </w:r>
          </w:p>
        </w:tc>
        <w:tc>
          <w:tcPr>
            <w:tcW w:w="1093" w:type="dxa"/>
          </w:tcPr>
          <w:p w14:paraId="6F0D4BAD"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97,0</w:t>
            </w:r>
          </w:p>
        </w:tc>
        <w:tc>
          <w:tcPr>
            <w:tcW w:w="1122" w:type="dxa"/>
            <w:vAlign w:val="center"/>
          </w:tcPr>
          <w:p w14:paraId="6C1D0BE7"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Pr>
                <w:rFonts w:asciiTheme="majorHAnsi" w:eastAsia="Times New Roman" w:hAnsiTheme="majorHAnsi" w:cstheme="majorHAnsi"/>
                <w:bCs/>
                <w:color w:val="000000" w:themeColor="text1"/>
                <w:sz w:val="18"/>
                <w:szCs w:val="18"/>
                <w:lang w:val="ro-MD" w:eastAsia="ru-RU"/>
              </w:rPr>
              <w:t>7 801,0</w:t>
            </w:r>
          </w:p>
        </w:tc>
      </w:tr>
      <w:tr w:rsidR="00E514B5" w:rsidRPr="005726C2" w14:paraId="5303C57C" w14:textId="77777777" w:rsidTr="004511C2">
        <w:trPr>
          <w:jc w:val="center"/>
        </w:trPr>
        <w:tc>
          <w:tcPr>
            <w:tcW w:w="1980" w:type="dxa"/>
          </w:tcPr>
          <w:p w14:paraId="14FB08CE" w14:textId="4200B1D8" w:rsidR="00E514B5" w:rsidRPr="005726C2" w:rsidRDefault="00E514B5" w:rsidP="004511C2">
            <w:pPr>
              <w:pStyle w:val="af3"/>
              <w:jc w:val="both"/>
              <w:rPr>
                <w:rFonts w:asciiTheme="majorHAnsi" w:eastAsia="Times New Roman" w:hAnsiTheme="majorHAnsi" w:cstheme="majorHAnsi"/>
                <w:bCs/>
                <w:color w:val="5B9BD5" w:themeColor="accent1"/>
                <w:sz w:val="18"/>
                <w:szCs w:val="18"/>
                <w:lang w:val="ro-MD" w:eastAsia="ru-RU"/>
              </w:rPr>
            </w:pPr>
            <w:r w:rsidRPr="005726C2">
              <w:rPr>
                <w:rFonts w:asciiTheme="majorHAnsi" w:hAnsiTheme="majorHAnsi" w:cstheme="majorHAnsi"/>
                <w:sz w:val="18"/>
                <w:szCs w:val="18"/>
                <w:lang w:val="ro-MD"/>
              </w:rPr>
              <w:t>BC „Banca Socială” S</w:t>
            </w:r>
            <w:r w:rsidR="006857EB">
              <w:rPr>
                <w:rFonts w:asciiTheme="majorHAnsi" w:hAnsiTheme="majorHAnsi" w:cstheme="majorHAnsi"/>
                <w:sz w:val="18"/>
                <w:szCs w:val="18"/>
                <w:lang w:val="ro-MD"/>
              </w:rPr>
              <w:t>.</w:t>
            </w:r>
            <w:r w:rsidRPr="005726C2">
              <w:rPr>
                <w:rFonts w:asciiTheme="majorHAnsi" w:hAnsiTheme="majorHAnsi" w:cstheme="majorHAnsi"/>
                <w:sz w:val="18"/>
                <w:szCs w:val="18"/>
                <w:lang w:val="ro-MD"/>
              </w:rPr>
              <w:t>A</w:t>
            </w:r>
            <w:r w:rsidR="006857EB">
              <w:rPr>
                <w:rFonts w:asciiTheme="majorHAnsi" w:hAnsiTheme="majorHAnsi" w:cstheme="majorHAnsi"/>
                <w:sz w:val="18"/>
                <w:szCs w:val="18"/>
                <w:lang w:val="ro-MD"/>
              </w:rPr>
              <w:t>.</w:t>
            </w:r>
          </w:p>
        </w:tc>
        <w:tc>
          <w:tcPr>
            <w:tcW w:w="1115" w:type="dxa"/>
            <w:vAlign w:val="center"/>
          </w:tcPr>
          <w:p w14:paraId="7D8D8C84"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2 392,0</w:t>
            </w:r>
          </w:p>
        </w:tc>
        <w:tc>
          <w:tcPr>
            <w:tcW w:w="1003" w:type="dxa"/>
            <w:vAlign w:val="center"/>
          </w:tcPr>
          <w:p w14:paraId="3A54A14F"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44,0</w:t>
            </w:r>
          </w:p>
        </w:tc>
        <w:tc>
          <w:tcPr>
            <w:tcW w:w="1003" w:type="dxa"/>
            <w:vAlign w:val="center"/>
          </w:tcPr>
          <w:p w14:paraId="5BBD2931"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90,0</w:t>
            </w:r>
          </w:p>
        </w:tc>
        <w:tc>
          <w:tcPr>
            <w:tcW w:w="1003" w:type="dxa"/>
            <w:vAlign w:val="center"/>
          </w:tcPr>
          <w:p w14:paraId="02E2204F"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127,5</w:t>
            </w:r>
          </w:p>
        </w:tc>
        <w:tc>
          <w:tcPr>
            <w:tcW w:w="1026" w:type="dxa"/>
            <w:vAlign w:val="center"/>
          </w:tcPr>
          <w:p w14:paraId="37FE3291"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123,5</w:t>
            </w:r>
          </w:p>
        </w:tc>
        <w:tc>
          <w:tcPr>
            <w:tcW w:w="1093" w:type="dxa"/>
          </w:tcPr>
          <w:p w14:paraId="2DE6C38A"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71,0</w:t>
            </w:r>
          </w:p>
        </w:tc>
        <w:tc>
          <w:tcPr>
            <w:tcW w:w="1122" w:type="dxa"/>
            <w:vAlign w:val="center"/>
          </w:tcPr>
          <w:p w14:paraId="08E84DF8"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Pr>
                <w:rFonts w:asciiTheme="majorHAnsi" w:eastAsia="Times New Roman" w:hAnsiTheme="majorHAnsi" w:cstheme="majorHAnsi"/>
                <w:bCs/>
                <w:color w:val="000000" w:themeColor="text1"/>
                <w:sz w:val="18"/>
                <w:szCs w:val="18"/>
                <w:lang w:val="ro-MD" w:eastAsia="ru-RU"/>
              </w:rPr>
              <w:t>1 936,0</w:t>
            </w:r>
          </w:p>
        </w:tc>
      </w:tr>
      <w:tr w:rsidR="00E514B5" w:rsidRPr="005726C2" w14:paraId="24AF1777" w14:textId="77777777" w:rsidTr="004511C2">
        <w:trPr>
          <w:jc w:val="center"/>
        </w:trPr>
        <w:tc>
          <w:tcPr>
            <w:tcW w:w="1980" w:type="dxa"/>
          </w:tcPr>
          <w:p w14:paraId="52BC0E32" w14:textId="27C5F2AE" w:rsidR="00E514B5" w:rsidRPr="005726C2" w:rsidRDefault="00E514B5" w:rsidP="004511C2">
            <w:pPr>
              <w:pStyle w:val="af3"/>
              <w:jc w:val="both"/>
              <w:rPr>
                <w:rFonts w:asciiTheme="majorHAnsi" w:eastAsia="Times New Roman" w:hAnsiTheme="majorHAnsi" w:cstheme="majorHAnsi"/>
                <w:bCs/>
                <w:color w:val="5B9BD5" w:themeColor="accent1"/>
                <w:sz w:val="18"/>
                <w:szCs w:val="18"/>
                <w:lang w:val="ro-MD" w:eastAsia="ru-RU"/>
              </w:rPr>
            </w:pPr>
            <w:r w:rsidRPr="005726C2">
              <w:rPr>
                <w:rFonts w:asciiTheme="majorHAnsi" w:hAnsiTheme="majorHAnsi" w:cstheme="majorHAnsi"/>
                <w:sz w:val="18"/>
                <w:szCs w:val="18"/>
                <w:lang w:val="ro-MD"/>
              </w:rPr>
              <w:t>BC „Unibank” S</w:t>
            </w:r>
            <w:r w:rsidR="006857EB">
              <w:rPr>
                <w:rFonts w:asciiTheme="majorHAnsi" w:hAnsiTheme="majorHAnsi" w:cstheme="majorHAnsi"/>
                <w:sz w:val="18"/>
                <w:szCs w:val="18"/>
                <w:lang w:val="ro-MD"/>
              </w:rPr>
              <w:t>.</w:t>
            </w:r>
            <w:r w:rsidRPr="005726C2">
              <w:rPr>
                <w:rFonts w:asciiTheme="majorHAnsi" w:hAnsiTheme="majorHAnsi" w:cstheme="majorHAnsi"/>
                <w:sz w:val="18"/>
                <w:szCs w:val="18"/>
                <w:lang w:val="ro-MD"/>
              </w:rPr>
              <w:t>A</w:t>
            </w:r>
            <w:r w:rsidR="006857EB">
              <w:rPr>
                <w:rFonts w:asciiTheme="majorHAnsi" w:hAnsiTheme="majorHAnsi" w:cstheme="majorHAnsi"/>
                <w:sz w:val="18"/>
                <w:szCs w:val="18"/>
                <w:lang w:val="ro-MD"/>
              </w:rPr>
              <w:t>.</w:t>
            </w:r>
          </w:p>
        </w:tc>
        <w:tc>
          <w:tcPr>
            <w:tcW w:w="1115" w:type="dxa"/>
            <w:vAlign w:val="center"/>
          </w:tcPr>
          <w:p w14:paraId="13798070"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1 866,2</w:t>
            </w:r>
          </w:p>
        </w:tc>
        <w:tc>
          <w:tcPr>
            <w:tcW w:w="1003" w:type="dxa"/>
            <w:vAlign w:val="center"/>
          </w:tcPr>
          <w:p w14:paraId="37410E39"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8,5</w:t>
            </w:r>
          </w:p>
        </w:tc>
        <w:tc>
          <w:tcPr>
            <w:tcW w:w="1003" w:type="dxa"/>
            <w:vAlign w:val="center"/>
          </w:tcPr>
          <w:p w14:paraId="55CB69C3"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10,1</w:t>
            </w:r>
          </w:p>
        </w:tc>
        <w:tc>
          <w:tcPr>
            <w:tcW w:w="1003" w:type="dxa"/>
            <w:vAlign w:val="center"/>
          </w:tcPr>
          <w:p w14:paraId="77A53B7F" w14:textId="77777777" w:rsidR="00E514B5" w:rsidRPr="005726C2" w:rsidRDefault="00E514B5" w:rsidP="004511C2">
            <w:pPr>
              <w:spacing w:after="0" w:line="240" w:lineRule="auto"/>
              <w:jc w:val="center"/>
              <w:rPr>
                <w:rFonts w:cstheme="majorHAnsi"/>
                <w:sz w:val="18"/>
                <w:szCs w:val="18"/>
              </w:rPr>
            </w:pPr>
            <w:r w:rsidRPr="005726C2">
              <w:rPr>
                <w:rFonts w:cstheme="majorHAnsi"/>
                <w:sz w:val="18"/>
                <w:szCs w:val="18"/>
              </w:rPr>
              <w:t>6,8</w:t>
            </w:r>
          </w:p>
        </w:tc>
        <w:tc>
          <w:tcPr>
            <w:tcW w:w="1026" w:type="dxa"/>
            <w:vAlign w:val="center"/>
          </w:tcPr>
          <w:p w14:paraId="18E8794A"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13,0</w:t>
            </w:r>
          </w:p>
        </w:tc>
        <w:tc>
          <w:tcPr>
            <w:tcW w:w="1093" w:type="dxa"/>
          </w:tcPr>
          <w:p w14:paraId="2981D2FE"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sidRPr="005726C2">
              <w:rPr>
                <w:rFonts w:asciiTheme="majorHAnsi" w:eastAsia="Times New Roman" w:hAnsiTheme="majorHAnsi" w:cstheme="majorHAnsi"/>
                <w:bCs/>
                <w:color w:val="000000" w:themeColor="text1"/>
                <w:sz w:val="18"/>
                <w:szCs w:val="18"/>
                <w:lang w:val="ro-MD" w:eastAsia="ru-RU"/>
              </w:rPr>
              <w:t>0,5</w:t>
            </w:r>
          </w:p>
        </w:tc>
        <w:tc>
          <w:tcPr>
            <w:tcW w:w="1122" w:type="dxa"/>
            <w:vAlign w:val="center"/>
          </w:tcPr>
          <w:p w14:paraId="74881C35"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Pr>
                <w:rFonts w:asciiTheme="majorHAnsi" w:eastAsia="Times New Roman" w:hAnsiTheme="majorHAnsi" w:cstheme="majorHAnsi"/>
                <w:bCs/>
                <w:color w:val="000000" w:themeColor="text1"/>
                <w:sz w:val="18"/>
                <w:szCs w:val="18"/>
                <w:lang w:val="ro-MD" w:eastAsia="ru-RU"/>
              </w:rPr>
              <w:t>1 827,3</w:t>
            </w:r>
          </w:p>
        </w:tc>
      </w:tr>
      <w:tr w:rsidR="00E514B5" w:rsidRPr="005726C2" w14:paraId="53BD8ED3" w14:textId="77777777" w:rsidTr="004511C2">
        <w:trPr>
          <w:jc w:val="center"/>
        </w:trPr>
        <w:tc>
          <w:tcPr>
            <w:tcW w:w="1980" w:type="dxa"/>
          </w:tcPr>
          <w:p w14:paraId="6C23ED98" w14:textId="77777777" w:rsidR="00E514B5" w:rsidRPr="005726C2" w:rsidRDefault="00E514B5" w:rsidP="004511C2">
            <w:pPr>
              <w:pStyle w:val="af3"/>
              <w:jc w:val="both"/>
              <w:rPr>
                <w:rFonts w:asciiTheme="majorHAnsi" w:hAnsiTheme="majorHAnsi" w:cstheme="majorHAnsi"/>
                <w:sz w:val="18"/>
                <w:szCs w:val="18"/>
                <w:lang w:val="ro-MD"/>
              </w:rPr>
            </w:pPr>
            <w:r>
              <w:rPr>
                <w:rFonts w:asciiTheme="majorHAnsi" w:hAnsiTheme="majorHAnsi" w:cstheme="majorHAnsi"/>
                <w:sz w:val="18"/>
                <w:szCs w:val="18"/>
                <w:lang w:val="ro-MD"/>
              </w:rPr>
              <w:t>„Investprivatbank” S.A.</w:t>
            </w:r>
          </w:p>
        </w:tc>
        <w:tc>
          <w:tcPr>
            <w:tcW w:w="1115" w:type="dxa"/>
            <w:vAlign w:val="center"/>
          </w:tcPr>
          <w:p w14:paraId="395ED75B"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Pr>
                <w:rFonts w:asciiTheme="majorHAnsi" w:eastAsia="Times New Roman" w:hAnsiTheme="majorHAnsi" w:cstheme="majorHAnsi"/>
                <w:bCs/>
                <w:color w:val="000000" w:themeColor="text1"/>
                <w:sz w:val="18"/>
                <w:szCs w:val="18"/>
                <w:lang w:val="ro-MD" w:eastAsia="ru-RU"/>
              </w:rPr>
              <w:t>428,5</w:t>
            </w:r>
          </w:p>
        </w:tc>
        <w:tc>
          <w:tcPr>
            <w:tcW w:w="1003" w:type="dxa"/>
            <w:vAlign w:val="center"/>
          </w:tcPr>
          <w:p w14:paraId="067890B5" w14:textId="77777777" w:rsidR="00E514B5" w:rsidRPr="00267049" w:rsidRDefault="00E514B5" w:rsidP="004511C2">
            <w:pPr>
              <w:spacing w:after="0" w:line="240" w:lineRule="auto"/>
              <w:jc w:val="center"/>
              <w:rPr>
                <w:rFonts w:cstheme="majorHAnsi"/>
                <w:sz w:val="18"/>
                <w:szCs w:val="18"/>
                <w:vertAlign w:val="superscript"/>
              </w:rPr>
            </w:pPr>
            <w:r>
              <w:rPr>
                <w:rFonts w:cstheme="majorHAnsi"/>
                <w:sz w:val="18"/>
                <w:szCs w:val="18"/>
              </w:rPr>
              <w:t>69,5</w:t>
            </w:r>
            <w:r>
              <w:rPr>
                <w:rFonts w:cstheme="majorHAnsi"/>
                <w:sz w:val="18"/>
                <w:szCs w:val="18"/>
                <w:vertAlign w:val="superscript"/>
              </w:rPr>
              <w:t>*</w:t>
            </w:r>
          </w:p>
        </w:tc>
        <w:tc>
          <w:tcPr>
            <w:tcW w:w="1003" w:type="dxa"/>
            <w:vAlign w:val="center"/>
          </w:tcPr>
          <w:p w14:paraId="5A5430A4" w14:textId="77777777" w:rsidR="00E514B5" w:rsidRPr="005726C2" w:rsidRDefault="00E514B5" w:rsidP="004511C2">
            <w:pPr>
              <w:spacing w:after="0" w:line="240" w:lineRule="auto"/>
              <w:jc w:val="center"/>
              <w:rPr>
                <w:rFonts w:cstheme="majorHAnsi"/>
                <w:sz w:val="18"/>
                <w:szCs w:val="18"/>
              </w:rPr>
            </w:pPr>
            <w:r>
              <w:rPr>
                <w:rFonts w:cstheme="majorHAnsi"/>
                <w:sz w:val="18"/>
                <w:szCs w:val="18"/>
              </w:rPr>
              <w:t>0,7</w:t>
            </w:r>
          </w:p>
        </w:tc>
        <w:tc>
          <w:tcPr>
            <w:tcW w:w="1003" w:type="dxa"/>
            <w:vAlign w:val="center"/>
          </w:tcPr>
          <w:p w14:paraId="6ADAE8F4" w14:textId="77777777" w:rsidR="00E514B5" w:rsidRPr="005726C2" w:rsidRDefault="00E514B5" w:rsidP="004511C2">
            <w:pPr>
              <w:spacing w:after="0" w:line="240" w:lineRule="auto"/>
              <w:jc w:val="center"/>
              <w:rPr>
                <w:rFonts w:cstheme="majorHAnsi"/>
                <w:sz w:val="18"/>
                <w:szCs w:val="18"/>
              </w:rPr>
            </w:pPr>
            <w:r>
              <w:rPr>
                <w:rFonts w:cstheme="majorHAnsi"/>
                <w:sz w:val="18"/>
                <w:szCs w:val="18"/>
              </w:rPr>
              <w:t>0,3</w:t>
            </w:r>
          </w:p>
        </w:tc>
        <w:tc>
          <w:tcPr>
            <w:tcW w:w="1026" w:type="dxa"/>
            <w:vAlign w:val="center"/>
          </w:tcPr>
          <w:p w14:paraId="6B27CFA0"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Pr>
                <w:rFonts w:asciiTheme="majorHAnsi" w:eastAsia="Times New Roman" w:hAnsiTheme="majorHAnsi" w:cstheme="majorHAnsi"/>
                <w:bCs/>
                <w:color w:val="000000" w:themeColor="text1"/>
                <w:sz w:val="18"/>
                <w:szCs w:val="18"/>
                <w:lang w:val="ro-MD" w:eastAsia="ru-RU"/>
              </w:rPr>
              <w:t>0,4</w:t>
            </w:r>
          </w:p>
        </w:tc>
        <w:tc>
          <w:tcPr>
            <w:tcW w:w="1093" w:type="dxa"/>
          </w:tcPr>
          <w:p w14:paraId="7155180C" w14:textId="77777777" w:rsidR="00E514B5" w:rsidRPr="005726C2"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Pr>
                <w:rFonts w:asciiTheme="majorHAnsi" w:eastAsia="Times New Roman" w:hAnsiTheme="majorHAnsi" w:cstheme="majorHAnsi"/>
                <w:bCs/>
                <w:color w:val="000000" w:themeColor="text1"/>
                <w:sz w:val="18"/>
                <w:szCs w:val="18"/>
                <w:lang w:val="ro-MD" w:eastAsia="ru-RU"/>
              </w:rPr>
              <w:t>4,0</w:t>
            </w:r>
          </w:p>
        </w:tc>
        <w:tc>
          <w:tcPr>
            <w:tcW w:w="1122" w:type="dxa"/>
            <w:vAlign w:val="center"/>
          </w:tcPr>
          <w:p w14:paraId="688865FD" w14:textId="77777777" w:rsidR="00E514B5" w:rsidRDefault="00E514B5" w:rsidP="004511C2">
            <w:pPr>
              <w:pStyle w:val="af3"/>
              <w:jc w:val="center"/>
              <w:rPr>
                <w:rFonts w:asciiTheme="majorHAnsi" w:eastAsia="Times New Roman" w:hAnsiTheme="majorHAnsi" w:cstheme="majorHAnsi"/>
                <w:bCs/>
                <w:color w:val="000000" w:themeColor="text1"/>
                <w:sz w:val="18"/>
                <w:szCs w:val="18"/>
                <w:lang w:val="ro-MD" w:eastAsia="ru-RU"/>
              </w:rPr>
            </w:pPr>
            <w:r>
              <w:rPr>
                <w:rFonts w:asciiTheme="majorHAnsi" w:eastAsia="Times New Roman" w:hAnsiTheme="majorHAnsi" w:cstheme="majorHAnsi"/>
                <w:bCs/>
                <w:color w:val="000000" w:themeColor="text1"/>
                <w:sz w:val="18"/>
                <w:szCs w:val="18"/>
                <w:lang w:val="ro-MD" w:eastAsia="ru-RU"/>
              </w:rPr>
              <w:t>353,6</w:t>
            </w:r>
          </w:p>
        </w:tc>
      </w:tr>
      <w:tr w:rsidR="00E514B5" w:rsidRPr="005726C2" w14:paraId="21FC4BDF" w14:textId="77777777" w:rsidTr="004511C2">
        <w:trPr>
          <w:jc w:val="center"/>
        </w:trPr>
        <w:tc>
          <w:tcPr>
            <w:tcW w:w="1980" w:type="dxa"/>
          </w:tcPr>
          <w:p w14:paraId="2A1D0E6B" w14:textId="77777777" w:rsidR="00E514B5" w:rsidRPr="005726C2" w:rsidRDefault="00E514B5" w:rsidP="004511C2">
            <w:pPr>
              <w:pStyle w:val="af3"/>
              <w:jc w:val="both"/>
              <w:rPr>
                <w:rFonts w:asciiTheme="majorHAnsi" w:eastAsia="Times New Roman" w:hAnsiTheme="majorHAnsi" w:cstheme="majorHAnsi"/>
                <w:b/>
                <w:bCs/>
                <w:color w:val="000000" w:themeColor="text1"/>
                <w:sz w:val="18"/>
                <w:szCs w:val="18"/>
                <w:lang w:val="ro-MD" w:eastAsia="ru-RU"/>
              </w:rPr>
            </w:pPr>
            <w:r w:rsidRPr="005726C2">
              <w:rPr>
                <w:rFonts w:asciiTheme="majorHAnsi" w:eastAsia="Times New Roman" w:hAnsiTheme="majorHAnsi" w:cstheme="majorHAnsi"/>
                <w:b/>
                <w:bCs/>
                <w:color w:val="000000" w:themeColor="text1"/>
                <w:sz w:val="18"/>
                <w:szCs w:val="18"/>
                <w:lang w:val="ro-MD" w:eastAsia="ru-RU"/>
              </w:rPr>
              <w:t>Total</w:t>
            </w:r>
          </w:p>
        </w:tc>
        <w:tc>
          <w:tcPr>
            <w:tcW w:w="1115" w:type="dxa"/>
            <w:vAlign w:val="center"/>
          </w:tcPr>
          <w:p w14:paraId="37BEE993"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Pr>
                <w:rFonts w:asciiTheme="majorHAnsi" w:eastAsia="Times New Roman" w:hAnsiTheme="majorHAnsi" w:cstheme="majorHAnsi"/>
                <w:b/>
                <w:bCs/>
                <w:color w:val="000000" w:themeColor="text1"/>
                <w:sz w:val="18"/>
                <w:szCs w:val="18"/>
                <w:lang w:val="ro-MD" w:eastAsia="ru-RU"/>
              </w:rPr>
              <w:t>13 769,7</w:t>
            </w:r>
          </w:p>
        </w:tc>
        <w:tc>
          <w:tcPr>
            <w:tcW w:w="1003" w:type="dxa"/>
            <w:shd w:val="clear" w:color="auto" w:fill="auto"/>
            <w:vAlign w:val="center"/>
          </w:tcPr>
          <w:p w14:paraId="321389EA" w14:textId="77777777" w:rsidR="00E514B5" w:rsidRPr="005726C2" w:rsidRDefault="00E514B5" w:rsidP="004511C2">
            <w:pPr>
              <w:spacing w:after="0" w:line="240" w:lineRule="auto"/>
              <w:jc w:val="center"/>
              <w:rPr>
                <w:rFonts w:cstheme="majorHAnsi"/>
                <w:b/>
                <w:sz w:val="18"/>
                <w:szCs w:val="18"/>
              </w:rPr>
            </w:pPr>
            <w:r>
              <w:rPr>
                <w:rFonts w:cstheme="majorHAnsi"/>
                <w:b/>
                <w:sz w:val="18"/>
                <w:szCs w:val="18"/>
              </w:rPr>
              <w:t>150,2</w:t>
            </w:r>
          </w:p>
        </w:tc>
        <w:tc>
          <w:tcPr>
            <w:tcW w:w="1003" w:type="dxa"/>
            <w:shd w:val="clear" w:color="auto" w:fill="auto"/>
            <w:vAlign w:val="center"/>
          </w:tcPr>
          <w:p w14:paraId="329EA3DC" w14:textId="77777777" w:rsidR="00E514B5" w:rsidRPr="005726C2" w:rsidRDefault="00E514B5" w:rsidP="004511C2">
            <w:pPr>
              <w:spacing w:after="0" w:line="240" w:lineRule="auto"/>
              <w:jc w:val="center"/>
              <w:rPr>
                <w:rFonts w:cstheme="majorHAnsi"/>
                <w:b/>
                <w:sz w:val="18"/>
                <w:szCs w:val="18"/>
              </w:rPr>
            </w:pPr>
            <w:r>
              <w:rPr>
                <w:rFonts w:cstheme="majorHAnsi"/>
                <w:b/>
                <w:sz w:val="18"/>
                <w:szCs w:val="18"/>
              </w:rPr>
              <w:t>210,6</w:t>
            </w:r>
          </w:p>
        </w:tc>
        <w:tc>
          <w:tcPr>
            <w:tcW w:w="1003" w:type="dxa"/>
            <w:shd w:val="clear" w:color="auto" w:fill="auto"/>
            <w:vAlign w:val="center"/>
          </w:tcPr>
          <w:p w14:paraId="0B00FE33" w14:textId="77777777" w:rsidR="00E514B5" w:rsidRPr="005726C2" w:rsidRDefault="00E514B5" w:rsidP="004511C2">
            <w:pPr>
              <w:spacing w:after="0" w:line="240" w:lineRule="auto"/>
              <w:jc w:val="center"/>
              <w:rPr>
                <w:rFonts w:cstheme="majorHAnsi"/>
                <w:b/>
                <w:sz w:val="18"/>
                <w:szCs w:val="18"/>
              </w:rPr>
            </w:pPr>
            <w:r>
              <w:rPr>
                <w:rFonts w:cstheme="majorHAnsi"/>
                <w:b/>
                <w:sz w:val="18"/>
                <w:szCs w:val="18"/>
              </w:rPr>
              <w:t>679,1</w:t>
            </w:r>
          </w:p>
        </w:tc>
        <w:tc>
          <w:tcPr>
            <w:tcW w:w="1026" w:type="dxa"/>
            <w:vAlign w:val="center"/>
          </w:tcPr>
          <w:p w14:paraId="4024A4BF"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Pr>
                <w:rFonts w:asciiTheme="majorHAnsi" w:eastAsia="Times New Roman" w:hAnsiTheme="majorHAnsi" w:cstheme="majorHAnsi"/>
                <w:b/>
                <w:bCs/>
                <w:color w:val="000000" w:themeColor="text1"/>
                <w:sz w:val="18"/>
                <w:szCs w:val="18"/>
                <w:lang w:val="ro-MD" w:eastAsia="ru-RU"/>
              </w:rPr>
              <w:t>639,4</w:t>
            </w:r>
          </w:p>
        </w:tc>
        <w:tc>
          <w:tcPr>
            <w:tcW w:w="1093" w:type="dxa"/>
          </w:tcPr>
          <w:p w14:paraId="58D11265"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Pr>
                <w:rFonts w:asciiTheme="majorHAnsi" w:eastAsia="Times New Roman" w:hAnsiTheme="majorHAnsi" w:cstheme="majorHAnsi"/>
                <w:b/>
                <w:bCs/>
                <w:color w:val="000000" w:themeColor="text1"/>
                <w:sz w:val="18"/>
                <w:szCs w:val="18"/>
                <w:lang w:val="ro-MD" w:eastAsia="ru-RU"/>
              </w:rPr>
              <w:t>172,5</w:t>
            </w:r>
          </w:p>
        </w:tc>
        <w:tc>
          <w:tcPr>
            <w:tcW w:w="1122" w:type="dxa"/>
            <w:vAlign w:val="center"/>
          </w:tcPr>
          <w:p w14:paraId="67BB92D1" w14:textId="77777777" w:rsidR="00E514B5" w:rsidRPr="005726C2" w:rsidRDefault="00E514B5" w:rsidP="004511C2">
            <w:pPr>
              <w:pStyle w:val="af3"/>
              <w:jc w:val="center"/>
              <w:rPr>
                <w:rFonts w:asciiTheme="majorHAnsi" w:eastAsia="Times New Roman" w:hAnsiTheme="majorHAnsi" w:cstheme="majorHAnsi"/>
                <w:b/>
                <w:bCs/>
                <w:color w:val="000000" w:themeColor="text1"/>
                <w:sz w:val="18"/>
                <w:szCs w:val="18"/>
                <w:lang w:val="ro-MD" w:eastAsia="ru-RU"/>
              </w:rPr>
            </w:pPr>
            <w:r>
              <w:rPr>
                <w:rFonts w:asciiTheme="majorHAnsi" w:eastAsia="Times New Roman" w:hAnsiTheme="majorHAnsi" w:cstheme="majorHAnsi"/>
                <w:b/>
                <w:bCs/>
                <w:color w:val="000000" w:themeColor="text1"/>
                <w:sz w:val="18"/>
                <w:szCs w:val="18"/>
                <w:lang w:val="ro-MD" w:eastAsia="ru-RU"/>
              </w:rPr>
              <w:t>11 917,9</w:t>
            </w:r>
          </w:p>
        </w:tc>
      </w:tr>
    </w:tbl>
    <w:p w14:paraId="66F76BB9" w14:textId="77777777" w:rsidR="00E514B5" w:rsidRPr="00AD3BAE" w:rsidRDefault="00E514B5" w:rsidP="00E514B5">
      <w:pPr>
        <w:pStyle w:val="af3"/>
        <w:spacing w:after="240" w:line="276" w:lineRule="auto"/>
        <w:ind w:firstLine="567"/>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Informația MF </w:t>
      </w:r>
      <w:r>
        <w:rPr>
          <w:rFonts w:asciiTheme="majorHAnsi" w:hAnsiTheme="majorHAnsi" w:cstheme="majorHAnsi"/>
          <w:i/>
          <w:sz w:val="20"/>
          <w:szCs w:val="20"/>
          <w:lang w:val="ro-MD" w:eastAsia="ru-RU"/>
        </w:rPr>
        <w:t xml:space="preserve">privind </w:t>
      </w:r>
      <w:r w:rsidRPr="009B5172">
        <w:rPr>
          <w:rFonts w:asciiTheme="majorHAnsi" w:hAnsiTheme="majorHAnsi" w:cstheme="majorHAnsi"/>
          <w:i/>
          <w:sz w:val="20"/>
          <w:szCs w:val="20"/>
          <w:lang w:val="ro-MD" w:eastAsia="ru-RU"/>
        </w:rPr>
        <w:t>soldul datoriei băncilor în proces de lichidare față de MF</w:t>
      </w:r>
      <w:r>
        <w:rPr>
          <w:rFonts w:asciiTheme="majorHAnsi" w:hAnsiTheme="majorHAnsi" w:cstheme="majorHAnsi"/>
          <w:i/>
          <w:sz w:val="20"/>
          <w:szCs w:val="20"/>
          <w:lang w:val="ro-MD" w:eastAsia="ru-RU"/>
        </w:rPr>
        <w:t>; *- în totalul mijloacelor rambursate de către „Investprivatbank” S.A. sunt incluse mijloacele restituite pentru perioada 2012-2016, din care 3,0 mil. lei au fost restituite în anul 2016.</w:t>
      </w:r>
    </w:p>
    <w:p w14:paraId="1D04FE6A" w14:textId="0CDFD213" w:rsidR="00E514B5" w:rsidRPr="005E7064" w:rsidRDefault="00E514B5" w:rsidP="008634C8">
      <w:pPr>
        <w:spacing w:after="240"/>
        <w:ind w:firstLine="567"/>
        <w:jc w:val="right"/>
        <w:rPr>
          <w:rFonts w:cstheme="majorHAnsi"/>
          <w:b/>
          <w:i/>
          <w:szCs w:val="24"/>
          <w:lang w:val="ro-RO"/>
          <w14:glow w14:rad="0">
            <w14:schemeClr w14:val="tx1"/>
          </w14:glow>
        </w:rPr>
      </w:pPr>
      <w:r w:rsidRPr="006A79EA">
        <w:rPr>
          <w:rFonts w:cstheme="majorHAnsi"/>
          <w:b/>
          <w:i/>
          <w:szCs w:val="24"/>
          <w:lang w:val="ro-RO"/>
          <w14:glow w14:rad="0">
            <w14:schemeClr w14:val="tx1"/>
          </w14:glow>
        </w:rPr>
        <w:t>Tabelul nr.</w:t>
      </w:r>
      <w:r w:rsidR="00656726">
        <w:rPr>
          <w:rFonts w:cstheme="majorHAnsi"/>
          <w:b/>
          <w:i/>
          <w:szCs w:val="24"/>
          <w:lang w:val="ro-RO"/>
          <w14:glow w14:rad="0">
            <w14:schemeClr w14:val="tx1"/>
          </w14:glow>
        </w:rPr>
        <w:t>5</w:t>
      </w:r>
    </w:p>
    <w:p w14:paraId="63A0E439" w14:textId="77777777" w:rsidR="00E514B5" w:rsidRDefault="00E514B5" w:rsidP="00E514B5">
      <w:pPr>
        <w:spacing w:after="240" w:line="240" w:lineRule="auto"/>
        <w:jc w:val="center"/>
        <w:rPr>
          <w:rFonts w:ascii="Calibri Light" w:eastAsia="Calibri" w:hAnsi="Calibri Light" w:cs="Calibri Light"/>
          <w:b/>
          <w:i/>
          <w:szCs w:val="24"/>
          <w:lang w:val="ro-RO"/>
        </w:rPr>
      </w:pPr>
      <w:r>
        <w:rPr>
          <w:rFonts w:ascii="Calibri Light" w:eastAsia="Calibri" w:hAnsi="Calibri Light" w:cs="Calibri Light"/>
          <w:b/>
          <w:i/>
          <w:szCs w:val="24"/>
          <w:lang w:val="ro-RO"/>
        </w:rPr>
        <w:t>Împrumuturile externe noi contractate în anul 2020</w:t>
      </w:r>
    </w:p>
    <w:tbl>
      <w:tblPr>
        <w:tblStyle w:val="TableGrid7"/>
        <w:tblW w:w="9634" w:type="dxa"/>
        <w:tblLayout w:type="fixed"/>
        <w:tblLook w:val="04A0" w:firstRow="1" w:lastRow="0" w:firstColumn="1" w:lastColumn="0" w:noHBand="0" w:noVBand="1"/>
      </w:tblPr>
      <w:tblGrid>
        <w:gridCol w:w="449"/>
        <w:gridCol w:w="755"/>
        <w:gridCol w:w="1361"/>
        <w:gridCol w:w="2675"/>
        <w:gridCol w:w="1134"/>
        <w:gridCol w:w="992"/>
        <w:gridCol w:w="709"/>
        <w:gridCol w:w="851"/>
        <w:gridCol w:w="708"/>
      </w:tblGrid>
      <w:tr w:rsidR="00E514B5" w:rsidRPr="006774ED" w14:paraId="07CFC3D5" w14:textId="77777777" w:rsidTr="007965DC">
        <w:trPr>
          <w:trHeight w:val="243"/>
        </w:trPr>
        <w:tc>
          <w:tcPr>
            <w:tcW w:w="449" w:type="dxa"/>
            <w:vMerge w:val="restart"/>
            <w:shd w:val="clear" w:color="auto" w:fill="auto"/>
          </w:tcPr>
          <w:p w14:paraId="2E6055FF" w14:textId="77777777"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lastRenderedPageBreak/>
              <w:t>Nr. o/d</w:t>
            </w:r>
          </w:p>
        </w:tc>
        <w:tc>
          <w:tcPr>
            <w:tcW w:w="755" w:type="dxa"/>
            <w:vMerge w:val="restart"/>
            <w:shd w:val="clear" w:color="auto" w:fill="auto"/>
          </w:tcPr>
          <w:p w14:paraId="7EB6EB41" w14:textId="77777777" w:rsidR="007965DC" w:rsidRDefault="007965DC" w:rsidP="007965DC">
            <w:pPr>
              <w:spacing w:line="259" w:lineRule="auto"/>
              <w:jc w:val="center"/>
              <w:rPr>
                <w:rFonts w:cstheme="majorHAnsi"/>
                <w:b/>
                <w:sz w:val="16"/>
                <w:szCs w:val="16"/>
                <w:lang w:val="ro-MD"/>
              </w:rPr>
            </w:pPr>
          </w:p>
          <w:p w14:paraId="40CFD1B5" w14:textId="3F501809"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Creditor</w:t>
            </w:r>
          </w:p>
        </w:tc>
        <w:tc>
          <w:tcPr>
            <w:tcW w:w="1361" w:type="dxa"/>
            <w:vMerge w:val="restart"/>
            <w:shd w:val="clear" w:color="auto" w:fill="auto"/>
          </w:tcPr>
          <w:p w14:paraId="6DF9D65B" w14:textId="77777777" w:rsidR="007965DC" w:rsidRDefault="007965DC" w:rsidP="007965DC">
            <w:pPr>
              <w:spacing w:line="259" w:lineRule="auto"/>
              <w:jc w:val="center"/>
              <w:rPr>
                <w:rFonts w:cstheme="majorHAnsi"/>
                <w:b/>
                <w:sz w:val="16"/>
                <w:szCs w:val="16"/>
                <w:lang w:val="ro-MD"/>
              </w:rPr>
            </w:pPr>
          </w:p>
          <w:p w14:paraId="7FACDDD3" w14:textId="7057A8F6"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Baza legală</w:t>
            </w:r>
          </w:p>
        </w:tc>
        <w:tc>
          <w:tcPr>
            <w:tcW w:w="2675" w:type="dxa"/>
            <w:vMerge w:val="restart"/>
            <w:shd w:val="clear" w:color="auto" w:fill="auto"/>
          </w:tcPr>
          <w:p w14:paraId="25C6D606" w14:textId="77777777" w:rsidR="00E514B5" w:rsidRPr="006774ED" w:rsidRDefault="00E514B5" w:rsidP="007965DC">
            <w:pPr>
              <w:spacing w:line="259" w:lineRule="auto"/>
              <w:jc w:val="center"/>
              <w:rPr>
                <w:rFonts w:cstheme="majorHAnsi"/>
                <w:b/>
                <w:sz w:val="16"/>
                <w:szCs w:val="16"/>
                <w:lang w:val="ro-MD"/>
              </w:rPr>
            </w:pPr>
          </w:p>
          <w:p w14:paraId="580D6D15" w14:textId="77777777" w:rsidR="00E514B5" w:rsidRPr="006774ED" w:rsidRDefault="00E514B5" w:rsidP="007965DC">
            <w:pPr>
              <w:spacing w:line="259" w:lineRule="auto"/>
              <w:jc w:val="center"/>
              <w:rPr>
                <w:rFonts w:cstheme="majorHAnsi"/>
                <w:b/>
                <w:sz w:val="16"/>
                <w:szCs w:val="16"/>
                <w:lang w:val="ro-MD"/>
              </w:rPr>
            </w:pPr>
          </w:p>
          <w:p w14:paraId="161EB4B8" w14:textId="77777777"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Destinația împrumutului</w:t>
            </w:r>
          </w:p>
        </w:tc>
        <w:tc>
          <w:tcPr>
            <w:tcW w:w="2126" w:type="dxa"/>
            <w:gridSpan w:val="2"/>
            <w:shd w:val="clear" w:color="auto" w:fill="auto"/>
          </w:tcPr>
          <w:p w14:paraId="3307B483" w14:textId="77777777"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Valoarea împrumutului</w:t>
            </w:r>
          </w:p>
        </w:tc>
        <w:tc>
          <w:tcPr>
            <w:tcW w:w="709" w:type="dxa"/>
            <w:vMerge w:val="restart"/>
            <w:shd w:val="clear" w:color="auto" w:fill="auto"/>
          </w:tcPr>
          <w:p w14:paraId="53B532EA" w14:textId="77777777" w:rsidR="007965DC" w:rsidRDefault="007965DC" w:rsidP="007965DC">
            <w:pPr>
              <w:spacing w:line="259" w:lineRule="auto"/>
              <w:jc w:val="center"/>
              <w:rPr>
                <w:rFonts w:cstheme="majorHAnsi"/>
                <w:b/>
                <w:sz w:val="16"/>
                <w:szCs w:val="16"/>
                <w:lang w:val="ro-MD"/>
              </w:rPr>
            </w:pPr>
          </w:p>
          <w:p w14:paraId="49A4CBDF" w14:textId="2ABDF037"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Maturitate</w:t>
            </w:r>
          </w:p>
        </w:tc>
        <w:tc>
          <w:tcPr>
            <w:tcW w:w="851" w:type="dxa"/>
            <w:vMerge w:val="restart"/>
            <w:shd w:val="clear" w:color="auto" w:fill="auto"/>
          </w:tcPr>
          <w:p w14:paraId="72AE84F5" w14:textId="77777777" w:rsidR="007965DC" w:rsidRDefault="007965DC" w:rsidP="007965DC">
            <w:pPr>
              <w:spacing w:line="259" w:lineRule="auto"/>
              <w:jc w:val="center"/>
              <w:rPr>
                <w:rFonts w:cstheme="majorHAnsi"/>
                <w:b/>
                <w:sz w:val="16"/>
                <w:szCs w:val="16"/>
                <w:lang w:val="ro-MD"/>
              </w:rPr>
            </w:pPr>
          </w:p>
          <w:p w14:paraId="522E1263" w14:textId="1E59B62C"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Rata dobânzii</w:t>
            </w:r>
          </w:p>
        </w:tc>
        <w:tc>
          <w:tcPr>
            <w:tcW w:w="708" w:type="dxa"/>
            <w:vMerge w:val="restart"/>
            <w:shd w:val="clear" w:color="auto" w:fill="auto"/>
          </w:tcPr>
          <w:p w14:paraId="220AF999" w14:textId="77777777" w:rsidR="007965DC" w:rsidRDefault="007965DC" w:rsidP="007965DC">
            <w:pPr>
              <w:spacing w:line="259" w:lineRule="auto"/>
              <w:jc w:val="center"/>
              <w:rPr>
                <w:rFonts w:cstheme="majorHAnsi"/>
                <w:b/>
                <w:sz w:val="16"/>
                <w:szCs w:val="16"/>
                <w:lang w:val="ro-MD"/>
              </w:rPr>
            </w:pPr>
          </w:p>
          <w:p w14:paraId="4C843AC7" w14:textId="720AC3EB"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Perioada de grație</w:t>
            </w:r>
          </w:p>
        </w:tc>
      </w:tr>
      <w:tr w:rsidR="00E514B5" w:rsidRPr="006774ED" w14:paraId="6126D860" w14:textId="77777777" w:rsidTr="007965DC">
        <w:trPr>
          <w:trHeight w:val="810"/>
        </w:trPr>
        <w:tc>
          <w:tcPr>
            <w:tcW w:w="449" w:type="dxa"/>
            <w:vMerge/>
            <w:shd w:val="clear" w:color="auto" w:fill="D0CECE" w:themeFill="background2" w:themeFillShade="E6"/>
          </w:tcPr>
          <w:p w14:paraId="48986632" w14:textId="77777777" w:rsidR="00E514B5" w:rsidRPr="006774ED" w:rsidRDefault="00E514B5" w:rsidP="004511C2">
            <w:pPr>
              <w:spacing w:line="259" w:lineRule="auto"/>
              <w:jc w:val="both"/>
              <w:rPr>
                <w:rFonts w:cstheme="majorHAnsi"/>
                <w:sz w:val="16"/>
                <w:szCs w:val="16"/>
                <w:lang w:val="ro-MD"/>
              </w:rPr>
            </w:pPr>
          </w:p>
        </w:tc>
        <w:tc>
          <w:tcPr>
            <w:tcW w:w="755" w:type="dxa"/>
            <w:vMerge/>
            <w:shd w:val="clear" w:color="auto" w:fill="D0CECE" w:themeFill="background2" w:themeFillShade="E6"/>
          </w:tcPr>
          <w:p w14:paraId="19955F43" w14:textId="77777777" w:rsidR="00E514B5" w:rsidRPr="006774ED" w:rsidRDefault="00E514B5" w:rsidP="004511C2">
            <w:pPr>
              <w:spacing w:line="259" w:lineRule="auto"/>
              <w:jc w:val="both"/>
              <w:rPr>
                <w:rFonts w:cstheme="majorHAnsi"/>
                <w:sz w:val="16"/>
                <w:szCs w:val="16"/>
                <w:lang w:val="ro-MD"/>
              </w:rPr>
            </w:pPr>
          </w:p>
        </w:tc>
        <w:tc>
          <w:tcPr>
            <w:tcW w:w="1361" w:type="dxa"/>
            <w:vMerge/>
            <w:shd w:val="clear" w:color="auto" w:fill="D0CECE" w:themeFill="background2" w:themeFillShade="E6"/>
          </w:tcPr>
          <w:p w14:paraId="127451AD" w14:textId="77777777" w:rsidR="00E514B5" w:rsidRPr="006774ED" w:rsidRDefault="00E514B5" w:rsidP="004511C2">
            <w:pPr>
              <w:spacing w:line="259" w:lineRule="auto"/>
              <w:jc w:val="both"/>
              <w:rPr>
                <w:rFonts w:cstheme="majorHAnsi"/>
                <w:sz w:val="16"/>
                <w:szCs w:val="16"/>
                <w:lang w:val="ro-MD"/>
              </w:rPr>
            </w:pPr>
          </w:p>
        </w:tc>
        <w:tc>
          <w:tcPr>
            <w:tcW w:w="2675" w:type="dxa"/>
            <w:vMerge/>
            <w:shd w:val="clear" w:color="auto" w:fill="D0CECE" w:themeFill="background2" w:themeFillShade="E6"/>
          </w:tcPr>
          <w:p w14:paraId="136E2681" w14:textId="77777777" w:rsidR="00E514B5" w:rsidRPr="006774ED" w:rsidRDefault="00E514B5" w:rsidP="004511C2">
            <w:pPr>
              <w:spacing w:line="259" w:lineRule="auto"/>
              <w:jc w:val="both"/>
              <w:rPr>
                <w:rFonts w:cstheme="majorHAnsi"/>
                <w:b/>
                <w:sz w:val="16"/>
                <w:szCs w:val="16"/>
                <w:lang w:val="ro-MD"/>
              </w:rPr>
            </w:pPr>
          </w:p>
        </w:tc>
        <w:tc>
          <w:tcPr>
            <w:tcW w:w="1134" w:type="dxa"/>
            <w:shd w:val="clear" w:color="auto" w:fill="auto"/>
          </w:tcPr>
          <w:p w14:paraId="058B9BA9" w14:textId="77777777" w:rsidR="007965DC" w:rsidRDefault="007965DC" w:rsidP="007965DC">
            <w:pPr>
              <w:spacing w:line="259" w:lineRule="auto"/>
              <w:jc w:val="center"/>
              <w:rPr>
                <w:rFonts w:cstheme="majorHAnsi"/>
                <w:b/>
                <w:sz w:val="16"/>
                <w:szCs w:val="16"/>
                <w:lang w:val="ro-MD"/>
              </w:rPr>
            </w:pPr>
          </w:p>
          <w:p w14:paraId="03C7CF60" w14:textId="4764EAAC"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valuta de origine</w:t>
            </w:r>
          </w:p>
        </w:tc>
        <w:tc>
          <w:tcPr>
            <w:tcW w:w="992" w:type="dxa"/>
            <w:shd w:val="clear" w:color="auto" w:fill="auto"/>
          </w:tcPr>
          <w:p w14:paraId="6C50698D" w14:textId="77777777" w:rsidR="007965DC" w:rsidRDefault="007965DC" w:rsidP="007965DC">
            <w:pPr>
              <w:spacing w:line="259" w:lineRule="auto"/>
              <w:jc w:val="center"/>
              <w:rPr>
                <w:rFonts w:cstheme="majorHAnsi"/>
                <w:b/>
                <w:sz w:val="16"/>
                <w:szCs w:val="16"/>
                <w:lang w:val="ro-MD"/>
              </w:rPr>
            </w:pPr>
          </w:p>
          <w:p w14:paraId="236B454F" w14:textId="0C9286F7"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mil.dol.</w:t>
            </w:r>
          </w:p>
          <w:p w14:paraId="654E9A59" w14:textId="77777777" w:rsidR="00E514B5" w:rsidRPr="006774ED" w:rsidRDefault="00E514B5" w:rsidP="007965DC">
            <w:pPr>
              <w:spacing w:line="259" w:lineRule="auto"/>
              <w:jc w:val="center"/>
              <w:rPr>
                <w:rFonts w:cstheme="majorHAnsi"/>
                <w:b/>
                <w:sz w:val="16"/>
                <w:szCs w:val="16"/>
                <w:lang w:val="ro-MD"/>
              </w:rPr>
            </w:pPr>
            <w:r w:rsidRPr="006774ED">
              <w:rPr>
                <w:rFonts w:cstheme="majorHAnsi"/>
                <w:b/>
                <w:sz w:val="16"/>
                <w:szCs w:val="16"/>
                <w:lang w:val="ro-MD"/>
              </w:rPr>
              <w:t>SUA</w:t>
            </w:r>
          </w:p>
        </w:tc>
        <w:tc>
          <w:tcPr>
            <w:tcW w:w="709" w:type="dxa"/>
            <w:vMerge/>
            <w:shd w:val="clear" w:color="auto" w:fill="D0CECE" w:themeFill="background2" w:themeFillShade="E6"/>
          </w:tcPr>
          <w:p w14:paraId="13844072" w14:textId="77777777" w:rsidR="00E514B5" w:rsidRPr="006774ED" w:rsidRDefault="00E514B5" w:rsidP="004511C2">
            <w:pPr>
              <w:spacing w:line="259" w:lineRule="auto"/>
              <w:jc w:val="both"/>
              <w:rPr>
                <w:rFonts w:cstheme="majorHAnsi"/>
                <w:b/>
                <w:sz w:val="16"/>
                <w:szCs w:val="16"/>
                <w:lang w:val="ro-MD"/>
              </w:rPr>
            </w:pPr>
          </w:p>
        </w:tc>
        <w:tc>
          <w:tcPr>
            <w:tcW w:w="851" w:type="dxa"/>
            <w:vMerge/>
            <w:shd w:val="clear" w:color="auto" w:fill="D0CECE" w:themeFill="background2" w:themeFillShade="E6"/>
          </w:tcPr>
          <w:p w14:paraId="53A90F68" w14:textId="77777777" w:rsidR="00E514B5" w:rsidRPr="006774ED" w:rsidRDefault="00E514B5" w:rsidP="004511C2">
            <w:pPr>
              <w:spacing w:line="259" w:lineRule="auto"/>
              <w:jc w:val="both"/>
              <w:rPr>
                <w:rFonts w:cstheme="majorHAnsi"/>
                <w:b/>
                <w:sz w:val="16"/>
                <w:szCs w:val="16"/>
                <w:lang w:val="ro-MD"/>
              </w:rPr>
            </w:pPr>
          </w:p>
        </w:tc>
        <w:tc>
          <w:tcPr>
            <w:tcW w:w="708" w:type="dxa"/>
            <w:vMerge/>
            <w:shd w:val="clear" w:color="auto" w:fill="D0CECE" w:themeFill="background2" w:themeFillShade="E6"/>
          </w:tcPr>
          <w:p w14:paraId="17C0F940" w14:textId="77777777" w:rsidR="00E514B5" w:rsidRPr="006774ED" w:rsidRDefault="00E514B5" w:rsidP="004511C2">
            <w:pPr>
              <w:spacing w:line="259" w:lineRule="auto"/>
              <w:jc w:val="both"/>
              <w:rPr>
                <w:rFonts w:cstheme="majorHAnsi"/>
                <w:b/>
                <w:sz w:val="16"/>
                <w:szCs w:val="16"/>
                <w:lang w:val="ro-MD"/>
              </w:rPr>
            </w:pPr>
          </w:p>
        </w:tc>
      </w:tr>
      <w:tr w:rsidR="00E514B5" w:rsidRPr="006774ED" w14:paraId="1F117DF2" w14:textId="77777777" w:rsidTr="004511C2">
        <w:trPr>
          <w:trHeight w:val="143"/>
        </w:trPr>
        <w:tc>
          <w:tcPr>
            <w:tcW w:w="9634" w:type="dxa"/>
            <w:gridSpan w:val="9"/>
            <w:shd w:val="clear" w:color="auto" w:fill="auto"/>
          </w:tcPr>
          <w:p w14:paraId="2A47C9B2"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Asociația Internațională de Dezvoltare</w:t>
            </w:r>
          </w:p>
        </w:tc>
      </w:tr>
      <w:tr w:rsidR="00E514B5" w:rsidRPr="006774ED" w14:paraId="168B07A3" w14:textId="77777777" w:rsidTr="004511C2">
        <w:trPr>
          <w:trHeight w:val="380"/>
        </w:trPr>
        <w:tc>
          <w:tcPr>
            <w:tcW w:w="449" w:type="dxa"/>
          </w:tcPr>
          <w:p w14:paraId="7D195CF1"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w:t>
            </w:r>
          </w:p>
        </w:tc>
        <w:tc>
          <w:tcPr>
            <w:tcW w:w="755" w:type="dxa"/>
          </w:tcPr>
          <w:p w14:paraId="510F73F3" w14:textId="77777777" w:rsidR="00E514B5" w:rsidRPr="006774ED" w:rsidRDefault="00E514B5" w:rsidP="004511C2">
            <w:pPr>
              <w:spacing w:line="259" w:lineRule="auto"/>
              <w:jc w:val="both"/>
              <w:rPr>
                <w:rFonts w:cstheme="majorHAnsi"/>
                <w:b/>
                <w:sz w:val="16"/>
                <w:szCs w:val="16"/>
                <w:lang w:val="ro-MD"/>
              </w:rPr>
            </w:pPr>
            <w:r w:rsidRPr="006774ED">
              <w:rPr>
                <w:rFonts w:cstheme="majorHAnsi"/>
                <w:b/>
                <w:sz w:val="16"/>
                <w:szCs w:val="16"/>
                <w:lang w:val="ro-MD"/>
              </w:rPr>
              <w:t>AID</w:t>
            </w:r>
          </w:p>
        </w:tc>
        <w:tc>
          <w:tcPr>
            <w:tcW w:w="1361" w:type="dxa"/>
          </w:tcPr>
          <w:p w14:paraId="58E0086B"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Legea nr.68 din 21.05.2020</w:t>
            </w:r>
          </w:p>
        </w:tc>
        <w:tc>
          <w:tcPr>
            <w:tcW w:w="2675" w:type="dxa"/>
          </w:tcPr>
          <w:p w14:paraId="25AFD43A"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Proiectul „Răspuns de Urgență la COVID-19”</w:t>
            </w:r>
          </w:p>
        </w:tc>
        <w:tc>
          <w:tcPr>
            <w:tcW w:w="1134" w:type="dxa"/>
          </w:tcPr>
          <w:p w14:paraId="656D895D"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52,9 mil. euro</w:t>
            </w:r>
          </w:p>
        </w:tc>
        <w:tc>
          <w:tcPr>
            <w:tcW w:w="992" w:type="dxa"/>
            <w:vAlign w:val="center"/>
          </w:tcPr>
          <w:p w14:paraId="363B9BE3"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57,4 mil. dol. SUA</w:t>
            </w:r>
          </w:p>
        </w:tc>
        <w:tc>
          <w:tcPr>
            <w:tcW w:w="709" w:type="dxa"/>
            <w:vAlign w:val="center"/>
          </w:tcPr>
          <w:p w14:paraId="27D82AE8"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30 ani</w:t>
            </w:r>
          </w:p>
        </w:tc>
        <w:tc>
          <w:tcPr>
            <w:tcW w:w="851" w:type="dxa"/>
            <w:vAlign w:val="center"/>
          </w:tcPr>
          <w:p w14:paraId="2AF2DF26"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1,20%</w:t>
            </w:r>
          </w:p>
        </w:tc>
        <w:tc>
          <w:tcPr>
            <w:tcW w:w="708" w:type="dxa"/>
            <w:vAlign w:val="center"/>
          </w:tcPr>
          <w:p w14:paraId="4267789D"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 ani</w:t>
            </w:r>
          </w:p>
        </w:tc>
      </w:tr>
      <w:tr w:rsidR="00E514B5" w:rsidRPr="006774ED" w14:paraId="2B82D6C5" w14:textId="77777777" w:rsidTr="004511C2">
        <w:trPr>
          <w:trHeight w:val="380"/>
        </w:trPr>
        <w:tc>
          <w:tcPr>
            <w:tcW w:w="449" w:type="dxa"/>
          </w:tcPr>
          <w:p w14:paraId="6EB0C191"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2</w:t>
            </w:r>
          </w:p>
        </w:tc>
        <w:tc>
          <w:tcPr>
            <w:tcW w:w="755" w:type="dxa"/>
          </w:tcPr>
          <w:p w14:paraId="0DFED136" w14:textId="77777777" w:rsidR="00E514B5" w:rsidRPr="006774ED" w:rsidRDefault="00E514B5" w:rsidP="004511C2">
            <w:pPr>
              <w:spacing w:line="259" w:lineRule="auto"/>
              <w:jc w:val="both"/>
              <w:rPr>
                <w:rFonts w:cstheme="majorHAnsi"/>
                <w:b/>
                <w:sz w:val="16"/>
                <w:szCs w:val="16"/>
                <w:lang w:val="ro-MD"/>
              </w:rPr>
            </w:pPr>
            <w:r w:rsidRPr="006774ED">
              <w:rPr>
                <w:rFonts w:cstheme="majorHAnsi"/>
                <w:b/>
                <w:sz w:val="16"/>
                <w:szCs w:val="16"/>
                <w:lang w:val="ro-MD"/>
              </w:rPr>
              <w:t>AID</w:t>
            </w:r>
          </w:p>
        </w:tc>
        <w:tc>
          <w:tcPr>
            <w:tcW w:w="1361" w:type="dxa"/>
          </w:tcPr>
          <w:p w14:paraId="03ACD013"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Legea nr. 103 din 18.06.2020</w:t>
            </w:r>
          </w:p>
        </w:tc>
        <w:tc>
          <w:tcPr>
            <w:tcW w:w="2675" w:type="dxa"/>
          </w:tcPr>
          <w:p w14:paraId="17B71902"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Proiectul „Învățământul superior”</w:t>
            </w:r>
          </w:p>
        </w:tc>
        <w:tc>
          <w:tcPr>
            <w:tcW w:w="1134" w:type="dxa"/>
          </w:tcPr>
          <w:p w14:paraId="66472CBA"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35,7 mil. euro</w:t>
            </w:r>
          </w:p>
        </w:tc>
        <w:tc>
          <w:tcPr>
            <w:tcW w:w="992" w:type="dxa"/>
            <w:vAlign w:val="center"/>
          </w:tcPr>
          <w:p w14:paraId="538BD4F4"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40 mil. dol. SUA</w:t>
            </w:r>
          </w:p>
        </w:tc>
        <w:tc>
          <w:tcPr>
            <w:tcW w:w="709" w:type="dxa"/>
            <w:vAlign w:val="center"/>
          </w:tcPr>
          <w:p w14:paraId="3675785F"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30 ani</w:t>
            </w:r>
          </w:p>
        </w:tc>
        <w:tc>
          <w:tcPr>
            <w:tcW w:w="851" w:type="dxa"/>
            <w:vAlign w:val="center"/>
          </w:tcPr>
          <w:p w14:paraId="5397A549"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1,00%</w:t>
            </w:r>
          </w:p>
        </w:tc>
        <w:tc>
          <w:tcPr>
            <w:tcW w:w="708" w:type="dxa"/>
            <w:vAlign w:val="center"/>
          </w:tcPr>
          <w:p w14:paraId="7BACB403"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 ani</w:t>
            </w:r>
          </w:p>
        </w:tc>
      </w:tr>
      <w:tr w:rsidR="00E514B5" w:rsidRPr="006774ED" w14:paraId="5F4D292C" w14:textId="77777777" w:rsidTr="004511C2">
        <w:trPr>
          <w:trHeight w:val="204"/>
        </w:trPr>
        <w:tc>
          <w:tcPr>
            <w:tcW w:w="449" w:type="dxa"/>
          </w:tcPr>
          <w:p w14:paraId="55760AD2"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3</w:t>
            </w:r>
          </w:p>
        </w:tc>
        <w:tc>
          <w:tcPr>
            <w:tcW w:w="755" w:type="dxa"/>
          </w:tcPr>
          <w:p w14:paraId="2C8A1087" w14:textId="77777777" w:rsidR="00E514B5" w:rsidRPr="006774ED" w:rsidRDefault="00E514B5" w:rsidP="004511C2">
            <w:pPr>
              <w:spacing w:line="259" w:lineRule="auto"/>
              <w:jc w:val="both"/>
              <w:rPr>
                <w:rFonts w:cstheme="majorHAnsi"/>
                <w:b/>
                <w:sz w:val="16"/>
                <w:szCs w:val="16"/>
                <w:lang w:val="ro-MD"/>
              </w:rPr>
            </w:pPr>
            <w:r w:rsidRPr="006774ED">
              <w:rPr>
                <w:rFonts w:cstheme="majorHAnsi"/>
                <w:b/>
                <w:sz w:val="16"/>
                <w:szCs w:val="16"/>
                <w:lang w:val="ro-MD"/>
              </w:rPr>
              <w:t>AID</w:t>
            </w:r>
          </w:p>
        </w:tc>
        <w:tc>
          <w:tcPr>
            <w:tcW w:w="1361" w:type="dxa"/>
          </w:tcPr>
          <w:p w14:paraId="47A8D6A5"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Legea nr.199 din 20.11.2020</w:t>
            </w:r>
          </w:p>
        </w:tc>
        <w:tc>
          <w:tcPr>
            <w:tcW w:w="2675" w:type="dxa"/>
          </w:tcPr>
          <w:p w14:paraId="333F5C59"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Proiectul „Agricultura Competitivă”</w:t>
            </w:r>
          </w:p>
        </w:tc>
        <w:tc>
          <w:tcPr>
            <w:tcW w:w="1134" w:type="dxa"/>
          </w:tcPr>
          <w:p w14:paraId="20C68518"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13,5 mil. euro</w:t>
            </w:r>
          </w:p>
          <w:p w14:paraId="7AECBD7C" w14:textId="77777777" w:rsidR="00E514B5" w:rsidRPr="006774ED" w:rsidRDefault="00E514B5" w:rsidP="004511C2">
            <w:pPr>
              <w:spacing w:line="259" w:lineRule="auto"/>
              <w:jc w:val="both"/>
              <w:rPr>
                <w:rFonts w:cstheme="majorHAnsi"/>
                <w:sz w:val="16"/>
                <w:szCs w:val="16"/>
                <w:lang w:val="ro-MD"/>
              </w:rPr>
            </w:pPr>
          </w:p>
        </w:tc>
        <w:tc>
          <w:tcPr>
            <w:tcW w:w="992" w:type="dxa"/>
            <w:vAlign w:val="center"/>
          </w:tcPr>
          <w:p w14:paraId="672E4118"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15,0 mil. dol. SUA</w:t>
            </w:r>
          </w:p>
        </w:tc>
        <w:tc>
          <w:tcPr>
            <w:tcW w:w="709" w:type="dxa"/>
            <w:vAlign w:val="center"/>
          </w:tcPr>
          <w:p w14:paraId="74842A14"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30 ani</w:t>
            </w:r>
          </w:p>
        </w:tc>
        <w:tc>
          <w:tcPr>
            <w:tcW w:w="851" w:type="dxa"/>
            <w:vAlign w:val="center"/>
          </w:tcPr>
          <w:p w14:paraId="0D4F44D8"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1,25%</w:t>
            </w:r>
          </w:p>
        </w:tc>
        <w:tc>
          <w:tcPr>
            <w:tcW w:w="708" w:type="dxa"/>
            <w:vAlign w:val="center"/>
          </w:tcPr>
          <w:p w14:paraId="3510C472"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 ani</w:t>
            </w:r>
          </w:p>
        </w:tc>
      </w:tr>
      <w:tr w:rsidR="00E514B5" w:rsidRPr="006774ED" w14:paraId="36A5E546" w14:textId="77777777" w:rsidTr="004511C2">
        <w:trPr>
          <w:trHeight w:val="204"/>
        </w:trPr>
        <w:tc>
          <w:tcPr>
            <w:tcW w:w="9634" w:type="dxa"/>
            <w:gridSpan w:val="9"/>
          </w:tcPr>
          <w:p w14:paraId="2E315C12" w14:textId="77777777" w:rsidR="00E514B5" w:rsidRPr="006774ED" w:rsidRDefault="00E514B5" w:rsidP="004511C2">
            <w:pPr>
              <w:jc w:val="center"/>
              <w:rPr>
                <w:rFonts w:cstheme="majorHAnsi"/>
                <w:b/>
                <w:sz w:val="16"/>
                <w:szCs w:val="16"/>
                <w:lang w:val="ro-MD"/>
              </w:rPr>
            </w:pPr>
            <w:r w:rsidRPr="006774ED">
              <w:rPr>
                <w:rFonts w:cstheme="majorHAnsi"/>
                <w:b/>
                <w:sz w:val="16"/>
                <w:szCs w:val="16"/>
                <w:lang w:val="ro-MD"/>
              </w:rPr>
              <w:t>Banca Internațională pentru Reconstrucție și Dezvoltare</w:t>
            </w:r>
          </w:p>
        </w:tc>
      </w:tr>
      <w:tr w:rsidR="00E514B5" w:rsidRPr="006774ED" w14:paraId="15ECAC10" w14:textId="77777777" w:rsidTr="004511C2">
        <w:trPr>
          <w:trHeight w:val="204"/>
        </w:trPr>
        <w:tc>
          <w:tcPr>
            <w:tcW w:w="449" w:type="dxa"/>
          </w:tcPr>
          <w:p w14:paraId="155973E4"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4</w:t>
            </w:r>
          </w:p>
        </w:tc>
        <w:tc>
          <w:tcPr>
            <w:tcW w:w="755" w:type="dxa"/>
          </w:tcPr>
          <w:p w14:paraId="23BFB3EB" w14:textId="77777777" w:rsidR="00E514B5" w:rsidRPr="006774ED" w:rsidRDefault="00E514B5" w:rsidP="004511C2">
            <w:pPr>
              <w:spacing w:line="259" w:lineRule="auto"/>
              <w:jc w:val="both"/>
              <w:rPr>
                <w:rFonts w:cstheme="majorHAnsi"/>
                <w:b/>
                <w:sz w:val="16"/>
                <w:szCs w:val="16"/>
                <w:lang w:val="ro-MD"/>
              </w:rPr>
            </w:pPr>
            <w:r w:rsidRPr="006774ED">
              <w:rPr>
                <w:rFonts w:cstheme="majorHAnsi"/>
                <w:b/>
                <w:sz w:val="16"/>
                <w:szCs w:val="16"/>
                <w:lang w:val="ro-MD"/>
              </w:rPr>
              <w:t>BIRD</w:t>
            </w:r>
          </w:p>
        </w:tc>
        <w:tc>
          <w:tcPr>
            <w:tcW w:w="1361" w:type="dxa"/>
          </w:tcPr>
          <w:p w14:paraId="0C65F9CB"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Legea nr.193 din 19.11.2020</w:t>
            </w:r>
          </w:p>
        </w:tc>
        <w:tc>
          <w:tcPr>
            <w:tcW w:w="2675" w:type="dxa"/>
          </w:tcPr>
          <w:p w14:paraId="3F2C95CC" w14:textId="51FB0346" w:rsidR="00E514B5" w:rsidRPr="006774ED" w:rsidRDefault="00D07375" w:rsidP="00D07375">
            <w:pPr>
              <w:spacing w:line="259" w:lineRule="auto"/>
              <w:jc w:val="both"/>
              <w:rPr>
                <w:rFonts w:cstheme="majorHAnsi"/>
                <w:sz w:val="16"/>
                <w:szCs w:val="16"/>
                <w:lang w:val="ro-MD"/>
              </w:rPr>
            </w:pPr>
            <w:r>
              <w:rPr>
                <w:rFonts w:cstheme="majorHAnsi"/>
                <w:sz w:val="16"/>
                <w:szCs w:val="16"/>
                <w:lang w:val="ro-MD"/>
              </w:rPr>
              <w:t xml:space="preserve">Proiectul </w:t>
            </w:r>
            <w:r w:rsidR="00E514B5" w:rsidRPr="006774ED">
              <w:rPr>
                <w:rFonts w:cstheme="majorHAnsi"/>
                <w:sz w:val="16"/>
                <w:szCs w:val="16"/>
                <w:lang w:val="ro-MD"/>
              </w:rPr>
              <w:t>de Îmbunătățire a eficienței sistemului de alimentare centralizată</w:t>
            </w:r>
          </w:p>
        </w:tc>
        <w:tc>
          <w:tcPr>
            <w:tcW w:w="1134" w:type="dxa"/>
          </w:tcPr>
          <w:p w14:paraId="2C7B7DAA"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92,0 mil. euro</w:t>
            </w:r>
          </w:p>
        </w:tc>
        <w:tc>
          <w:tcPr>
            <w:tcW w:w="992" w:type="dxa"/>
            <w:vAlign w:val="center"/>
          </w:tcPr>
          <w:p w14:paraId="1890B256" w14:textId="77777777" w:rsidR="00E514B5" w:rsidRPr="006774ED" w:rsidRDefault="00E514B5" w:rsidP="004511C2">
            <w:pPr>
              <w:spacing w:line="259" w:lineRule="auto"/>
              <w:jc w:val="both"/>
              <w:rPr>
                <w:rFonts w:cstheme="majorHAnsi"/>
                <w:sz w:val="16"/>
                <w:szCs w:val="16"/>
                <w:lang w:val="ro-MD"/>
              </w:rPr>
            </w:pPr>
            <w:r w:rsidRPr="00247749">
              <w:rPr>
                <w:rFonts w:cstheme="majorHAnsi"/>
                <w:sz w:val="16"/>
                <w:szCs w:val="16"/>
                <w:lang w:val="ro-MD"/>
              </w:rPr>
              <w:t>107,57 mil. dol. SUA*</w:t>
            </w:r>
          </w:p>
        </w:tc>
        <w:tc>
          <w:tcPr>
            <w:tcW w:w="709" w:type="dxa"/>
            <w:vAlign w:val="center"/>
          </w:tcPr>
          <w:p w14:paraId="02163CFA"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30 ani</w:t>
            </w:r>
          </w:p>
        </w:tc>
        <w:tc>
          <w:tcPr>
            <w:tcW w:w="851" w:type="dxa"/>
            <w:vAlign w:val="center"/>
          </w:tcPr>
          <w:p w14:paraId="2A2DEAFC"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flotantă</w:t>
            </w:r>
          </w:p>
        </w:tc>
        <w:tc>
          <w:tcPr>
            <w:tcW w:w="708" w:type="dxa"/>
            <w:vAlign w:val="center"/>
          </w:tcPr>
          <w:p w14:paraId="3E9C86D0"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 ani</w:t>
            </w:r>
          </w:p>
        </w:tc>
      </w:tr>
      <w:tr w:rsidR="00E514B5" w:rsidRPr="006774ED" w14:paraId="7304EA75" w14:textId="77777777" w:rsidTr="004511C2">
        <w:trPr>
          <w:trHeight w:val="204"/>
        </w:trPr>
        <w:tc>
          <w:tcPr>
            <w:tcW w:w="9634" w:type="dxa"/>
            <w:gridSpan w:val="9"/>
          </w:tcPr>
          <w:p w14:paraId="339194C4"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Agenţia Japoneză pentru Cooperare Internaţională</w:t>
            </w:r>
          </w:p>
        </w:tc>
      </w:tr>
      <w:tr w:rsidR="00E514B5" w:rsidRPr="006774ED" w14:paraId="60F48C67" w14:textId="77777777" w:rsidTr="004511C2">
        <w:trPr>
          <w:trHeight w:val="204"/>
        </w:trPr>
        <w:tc>
          <w:tcPr>
            <w:tcW w:w="449" w:type="dxa"/>
            <w:shd w:val="clear" w:color="auto" w:fill="auto"/>
          </w:tcPr>
          <w:p w14:paraId="1EA380BE"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w:t>
            </w:r>
          </w:p>
        </w:tc>
        <w:tc>
          <w:tcPr>
            <w:tcW w:w="755" w:type="dxa"/>
            <w:shd w:val="clear" w:color="auto" w:fill="auto"/>
          </w:tcPr>
          <w:p w14:paraId="018EC4C8" w14:textId="77777777" w:rsidR="00E514B5" w:rsidRPr="006774ED" w:rsidRDefault="00E514B5" w:rsidP="004511C2">
            <w:pPr>
              <w:spacing w:line="259" w:lineRule="auto"/>
              <w:jc w:val="both"/>
              <w:rPr>
                <w:rFonts w:cstheme="majorHAnsi"/>
                <w:b/>
                <w:sz w:val="16"/>
                <w:szCs w:val="16"/>
                <w:lang w:val="ro-MD"/>
              </w:rPr>
            </w:pPr>
            <w:r w:rsidRPr="006774ED">
              <w:rPr>
                <w:rFonts w:cstheme="majorHAnsi"/>
                <w:b/>
                <w:sz w:val="16"/>
                <w:szCs w:val="16"/>
                <w:lang w:val="ro-MD"/>
              </w:rPr>
              <w:t>JICA</w:t>
            </w:r>
          </w:p>
        </w:tc>
        <w:tc>
          <w:tcPr>
            <w:tcW w:w="1361" w:type="dxa"/>
            <w:shd w:val="clear" w:color="auto" w:fill="auto"/>
          </w:tcPr>
          <w:p w14:paraId="5D1FD245"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Legea nr.171 din 10.09.2020</w:t>
            </w:r>
          </w:p>
        </w:tc>
        <w:tc>
          <w:tcPr>
            <w:tcW w:w="2675" w:type="dxa"/>
            <w:shd w:val="clear" w:color="auto" w:fill="auto"/>
          </w:tcPr>
          <w:p w14:paraId="28D281F4"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Proiectul „Modernizarea tehnicii și a echipamentului agricol”</w:t>
            </w:r>
          </w:p>
        </w:tc>
        <w:tc>
          <w:tcPr>
            <w:tcW w:w="1134" w:type="dxa"/>
            <w:shd w:val="clear" w:color="auto" w:fill="auto"/>
            <w:vAlign w:val="center"/>
          </w:tcPr>
          <w:p w14:paraId="2ED02743"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2 059,0 mil. yeni japonezi</w:t>
            </w:r>
          </w:p>
        </w:tc>
        <w:tc>
          <w:tcPr>
            <w:tcW w:w="992" w:type="dxa"/>
          </w:tcPr>
          <w:p w14:paraId="027F02F8" w14:textId="77777777" w:rsidR="00E514B5" w:rsidRPr="006774ED" w:rsidRDefault="00E514B5" w:rsidP="004511C2">
            <w:pPr>
              <w:spacing w:line="259" w:lineRule="auto"/>
              <w:jc w:val="both"/>
              <w:rPr>
                <w:rFonts w:cstheme="majorHAnsi"/>
                <w:sz w:val="16"/>
                <w:szCs w:val="16"/>
                <w:highlight w:val="yellow"/>
                <w:lang w:val="ro-MD"/>
              </w:rPr>
            </w:pPr>
            <w:r w:rsidRPr="006774ED">
              <w:rPr>
                <w:rFonts w:cstheme="majorHAnsi"/>
                <w:sz w:val="16"/>
                <w:szCs w:val="16"/>
                <w:lang w:val="ro-MD"/>
              </w:rPr>
              <w:t>18,65 mil. dol. SUA</w:t>
            </w:r>
          </w:p>
        </w:tc>
        <w:tc>
          <w:tcPr>
            <w:tcW w:w="709" w:type="dxa"/>
          </w:tcPr>
          <w:p w14:paraId="5DA19E76" w14:textId="77777777" w:rsidR="00E514B5" w:rsidRPr="006774ED" w:rsidRDefault="00E514B5" w:rsidP="004511C2">
            <w:pPr>
              <w:spacing w:line="259" w:lineRule="auto"/>
              <w:jc w:val="both"/>
              <w:rPr>
                <w:rFonts w:cstheme="majorHAnsi"/>
                <w:sz w:val="16"/>
                <w:szCs w:val="16"/>
                <w:highlight w:val="yellow"/>
                <w:lang w:val="ro-MD"/>
              </w:rPr>
            </w:pPr>
            <w:r w:rsidRPr="006774ED">
              <w:rPr>
                <w:rFonts w:cstheme="majorHAnsi"/>
                <w:sz w:val="16"/>
                <w:szCs w:val="16"/>
                <w:lang w:val="ro-MD"/>
              </w:rPr>
              <w:t>40 ani</w:t>
            </w:r>
          </w:p>
        </w:tc>
        <w:tc>
          <w:tcPr>
            <w:tcW w:w="851" w:type="dxa"/>
          </w:tcPr>
          <w:p w14:paraId="1C4901D1"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0,1%</w:t>
            </w:r>
          </w:p>
        </w:tc>
        <w:tc>
          <w:tcPr>
            <w:tcW w:w="708" w:type="dxa"/>
          </w:tcPr>
          <w:p w14:paraId="37D77D74"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12 ani</w:t>
            </w:r>
          </w:p>
        </w:tc>
      </w:tr>
      <w:tr w:rsidR="00E514B5" w:rsidRPr="006774ED" w14:paraId="47C4B8CF" w14:textId="77777777" w:rsidTr="004511C2">
        <w:trPr>
          <w:trHeight w:val="204"/>
        </w:trPr>
        <w:tc>
          <w:tcPr>
            <w:tcW w:w="9634" w:type="dxa"/>
            <w:gridSpan w:val="9"/>
          </w:tcPr>
          <w:p w14:paraId="20BB2D47" w14:textId="77777777" w:rsidR="00E514B5" w:rsidRPr="006774ED" w:rsidRDefault="00E514B5" w:rsidP="004511C2">
            <w:pPr>
              <w:jc w:val="center"/>
              <w:rPr>
                <w:rFonts w:cstheme="majorHAnsi"/>
                <w:b/>
                <w:sz w:val="16"/>
                <w:szCs w:val="16"/>
                <w:lang w:val="ro-MD"/>
              </w:rPr>
            </w:pPr>
            <w:r w:rsidRPr="006774ED">
              <w:rPr>
                <w:rFonts w:cstheme="majorHAnsi"/>
                <w:b/>
                <w:sz w:val="16"/>
                <w:szCs w:val="16"/>
                <w:lang w:val="ro-MD"/>
              </w:rPr>
              <w:t>Uninunea Europeană</w:t>
            </w:r>
          </w:p>
        </w:tc>
      </w:tr>
      <w:tr w:rsidR="00E514B5" w:rsidRPr="006774ED" w14:paraId="159DE97F" w14:textId="77777777" w:rsidTr="004511C2">
        <w:trPr>
          <w:trHeight w:val="204"/>
        </w:trPr>
        <w:tc>
          <w:tcPr>
            <w:tcW w:w="449" w:type="dxa"/>
          </w:tcPr>
          <w:p w14:paraId="60F2C9FE"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6</w:t>
            </w:r>
          </w:p>
          <w:p w14:paraId="5D3C0B95" w14:textId="77777777" w:rsidR="00E514B5" w:rsidRPr="006774ED" w:rsidRDefault="00E514B5" w:rsidP="004511C2">
            <w:pPr>
              <w:jc w:val="both"/>
              <w:rPr>
                <w:rFonts w:cstheme="majorHAnsi"/>
                <w:sz w:val="16"/>
                <w:szCs w:val="16"/>
                <w:lang w:val="ro-MD"/>
              </w:rPr>
            </w:pPr>
          </w:p>
        </w:tc>
        <w:tc>
          <w:tcPr>
            <w:tcW w:w="755" w:type="dxa"/>
          </w:tcPr>
          <w:p w14:paraId="63954C10" w14:textId="77777777" w:rsidR="00E514B5" w:rsidRPr="006774ED" w:rsidRDefault="00E514B5" w:rsidP="004511C2">
            <w:pPr>
              <w:jc w:val="both"/>
              <w:rPr>
                <w:rFonts w:cstheme="majorHAnsi"/>
                <w:b/>
                <w:sz w:val="16"/>
                <w:szCs w:val="16"/>
                <w:lang w:val="ro-MD"/>
              </w:rPr>
            </w:pPr>
            <w:r w:rsidRPr="006774ED">
              <w:rPr>
                <w:rFonts w:cstheme="majorHAnsi"/>
                <w:b/>
                <w:sz w:val="16"/>
                <w:szCs w:val="16"/>
                <w:lang w:val="ro-MD"/>
              </w:rPr>
              <w:t>UE</w:t>
            </w:r>
          </w:p>
        </w:tc>
        <w:tc>
          <w:tcPr>
            <w:tcW w:w="1361" w:type="dxa"/>
          </w:tcPr>
          <w:p w14:paraId="7193E218" w14:textId="77777777" w:rsidR="00E514B5" w:rsidRPr="006774ED" w:rsidRDefault="00E514B5" w:rsidP="004511C2">
            <w:pPr>
              <w:jc w:val="both"/>
              <w:rPr>
                <w:rFonts w:cstheme="majorHAnsi"/>
                <w:sz w:val="16"/>
                <w:szCs w:val="16"/>
                <w:highlight w:val="yellow"/>
                <w:lang w:val="ro-MD"/>
              </w:rPr>
            </w:pPr>
            <w:r w:rsidRPr="006774ED">
              <w:rPr>
                <w:rFonts w:cstheme="majorHAnsi"/>
                <w:sz w:val="16"/>
                <w:szCs w:val="16"/>
                <w:lang w:val="ro-MD"/>
              </w:rPr>
              <w:t>Legea nr.166 din 10.09.2020</w:t>
            </w:r>
          </w:p>
        </w:tc>
        <w:tc>
          <w:tcPr>
            <w:tcW w:w="2675" w:type="dxa"/>
          </w:tcPr>
          <w:p w14:paraId="51559C38" w14:textId="77777777" w:rsidR="00E514B5" w:rsidRPr="006774ED" w:rsidRDefault="00E514B5" w:rsidP="004511C2">
            <w:pPr>
              <w:jc w:val="both"/>
              <w:rPr>
                <w:rFonts w:cstheme="majorHAnsi"/>
                <w:sz w:val="16"/>
                <w:szCs w:val="16"/>
                <w:highlight w:val="yellow"/>
                <w:lang w:val="ro-MD"/>
              </w:rPr>
            </w:pPr>
            <w:r w:rsidRPr="006774ED">
              <w:rPr>
                <w:rFonts w:cstheme="majorHAnsi"/>
                <w:sz w:val="16"/>
                <w:szCs w:val="16"/>
                <w:lang w:val="ro-MD"/>
              </w:rPr>
              <w:t>Asistența macrofinanciară</w:t>
            </w:r>
          </w:p>
        </w:tc>
        <w:tc>
          <w:tcPr>
            <w:tcW w:w="1134" w:type="dxa"/>
            <w:vAlign w:val="center"/>
          </w:tcPr>
          <w:p w14:paraId="5C56E097" w14:textId="77777777" w:rsidR="00E514B5" w:rsidRPr="006774ED" w:rsidRDefault="00E514B5" w:rsidP="004511C2">
            <w:pPr>
              <w:jc w:val="both"/>
              <w:rPr>
                <w:rFonts w:cstheme="majorHAnsi"/>
                <w:sz w:val="16"/>
                <w:szCs w:val="16"/>
                <w:highlight w:val="yellow"/>
                <w:lang w:val="ro-MD"/>
              </w:rPr>
            </w:pPr>
            <w:r w:rsidRPr="006774ED">
              <w:rPr>
                <w:rFonts w:cstheme="majorHAnsi"/>
                <w:sz w:val="16"/>
                <w:szCs w:val="16"/>
                <w:lang w:val="ro-MD"/>
              </w:rPr>
              <w:t>100,0 mil. euro</w:t>
            </w:r>
          </w:p>
        </w:tc>
        <w:tc>
          <w:tcPr>
            <w:tcW w:w="992" w:type="dxa"/>
          </w:tcPr>
          <w:p w14:paraId="0BF2EF4E" w14:textId="77777777" w:rsidR="00E514B5" w:rsidRPr="006774ED" w:rsidRDefault="00E514B5" w:rsidP="004511C2">
            <w:pPr>
              <w:jc w:val="both"/>
              <w:rPr>
                <w:rFonts w:cstheme="majorHAnsi"/>
                <w:sz w:val="16"/>
                <w:szCs w:val="16"/>
                <w:highlight w:val="yellow"/>
                <w:lang w:val="ro-MD"/>
              </w:rPr>
            </w:pPr>
            <w:r w:rsidRPr="00247749">
              <w:rPr>
                <w:rFonts w:cstheme="majorHAnsi"/>
                <w:sz w:val="16"/>
                <w:szCs w:val="16"/>
                <w:lang w:val="ro-MD"/>
              </w:rPr>
              <w:t>114,50 mil. dol. SUA*</w:t>
            </w:r>
          </w:p>
        </w:tc>
        <w:tc>
          <w:tcPr>
            <w:tcW w:w="709" w:type="dxa"/>
          </w:tcPr>
          <w:p w14:paraId="01D32CC7" w14:textId="77777777" w:rsidR="00E514B5" w:rsidRPr="006774ED" w:rsidRDefault="00E514B5" w:rsidP="004511C2">
            <w:pPr>
              <w:jc w:val="both"/>
              <w:rPr>
                <w:rFonts w:cstheme="majorHAnsi"/>
                <w:sz w:val="16"/>
                <w:szCs w:val="16"/>
                <w:highlight w:val="yellow"/>
                <w:lang w:val="ro-MD"/>
              </w:rPr>
            </w:pPr>
            <w:r w:rsidRPr="006774ED">
              <w:rPr>
                <w:rFonts w:cstheme="majorHAnsi"/>
                <w:sz w:val="16"/>
                <w:szCs w:val="16"/>
                <w:lang w:val="ro-MD"/>
              </w:rPr>
              <w:t>15 ani</w:t>
            </w:r>
          </w:p>
        </w:tc>
        <w:tc>
          <w:tcPr>
            <w:tcW w:w="851" w:type="dxa"/>
          </w:tcPr>
          <w:p w14:paraId="1D696C91"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&lt;1,0%</w:t>
            </w:r>
          </w:p>
        </w:tc>
        <w:tc>
          <w:tcPr>
            <w:tcW w:w="708" w:type="dxa"/>
          </w:tcPr>
          <w:p w14:paraId="7076B8D6"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15 ani</w:t>
            </w:r>
          </w:p>
        </w:tc>
      </w:tr>
      <w:tr w:rsidR="00E514B5" w:rsidRPr="006774ED" w14:paraId="14734A69" w14:textId="77777777" w:rsidTr="004511C2">
        <w:trPr>
          <w:trHeight w:val="204"/>
        </w:trPr>
        <w:tc>
          <w:tcPr>
            <w:tcW w:w="9634" w:type="dxa"/>
            <w:gridSpan w:val="9"/>
          </w:tcPr>
          <w:p w14:paraId="66137B6F"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Banca de Dezvoltare a Consiliului Europei</w:t>
            </w:r>
          </w:p>
        </w:tc>
      </w:tr>
      <w:tr w:rsidR="00E514B5" w:rsidRPr="006774ED" w14:paraId="136CD8A1" w14:textId="77777777" w:rsidTr="004511C2">
        <w:trPr>
          <w:trHeight w:val="204"/>
        </w:trPr>
        <w:tc>
          <w:tcPr>
            <w:tcW w:w="449" w:type="dxa"/>
          </w:tcPr>
          <w:p w14:paraId="25FA6601"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7</w:t>
            </w:r>
          </w:p>
        </w:tc>
        <w:tc>
          <w:tcPr>
            <w:tcW w:w="755" w:type="dxa"/>
          </w:tcPr>
          <w:p w14:paraId="1227EF43" w14:textId="77777777" w:rsidR="00E514B5" w:rsidRPr="006774ED" w:rsidRDefault="00E514B5" w:rsidP="004511C2">
            <w:pPr>
              <w:spacing w:line="259" w:lineRule="auto"/>
              <w:jc w:val="both"/>
              <w:rPr>
                <w:rFonts w:cstheme="majorHAnsi"/>
                <w:b/>
                <w:sz w:val="16"/>
                <w:szCs w:val="16"/>
                <w:lang w:val="ro-MD"/>
              </w:rPr>
            </w:pPr>
            <w:r w:rsidRPr="006774ED">
              <w:rPr>
                <w:rFonts w:cstheme="majorHAnsi"/>
                <w:b/>
                <w:sz w:val="16"/>
                <w:szCs w:val="16"/>
                <w:lang w:val="ro-MD"/>
              </w:rPr>
              <w:t>BDCE</w:t>
            </w:r>
          </w:p>
        </w:tc>
        <w:tc>
          <w:tcPr>
            <w:tcW w:w="1361" w:type="dxa"/>
          </w:tcPr>
          <w:p w14:paraId="211287FA"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Legea nr.168 din 10.09.2020</w:t>
            </w:r>
          </w:p>
        </w:tc>
        <w:tc>
          <w:tcPr>
            <w:tcW w:w="2675" w:type="dxa"/>
          </w:tcPr>
          <w:p w14:paraId="5EF742DB"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Proiectul „Răspuns de urgență la COVID-19 și suport pentru întreprinderile micro, mici și mijlocii ”</w:t>
            </w:r>
          </w:p>
        </w:tc>
        <w:tc>
          <w:tcPr>
            <w:tcW w:w="1134" w:type="dxa"/>
          </w:tcPr>
          <w:p w14:paraId="4ECCBEDF"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70,0 mil.euro</w:t>
            </w:r>
          </w:p>
        </w:tc>
        <w:tc>
          <w:tcPr>
            <w:tcW w:w="992" w:type="dxa"/>
            <w:vAlign w:val="center"/>
          </w:tcPr>
          <w:p w14:paraId="1FC35FC2" w14:textId="77777777" w:rsidR="00E514B5" w:rsidRPr="006774ED" w:rsidRDefault="00E514B5" w:rsidP="004511C2">
            <w:pPr>
              <w:spacing w:line="259" w:lineRule="auto"/>
              <w:jc w:val="both"/>
              <w:rPr>
                <w:rFonts w:cstheme="majorHAnsi"/>
                <w:sz w:val="16"/>
                <w:szCs w:val="16"/>
                <w:highlight w:val="yellow"/>
                <w:lang w:val="ro-MD"/>
              </w:rPr>
            </w:pPr>
            <w:r w:rsidRPr="00247749">
              <w:rPr>
                <w:rFonts w:cstheme="majorHAnsi"/>
                <w:sz w:val="16"/>
                <w:szCs w:val="16"/>
                <w:lang w:val="ro-MD"/>
              </w:rPr>
              <w:t>82,14 mil. dol. SUA*</w:t>
            </w:r>
          </w:p>
        </w:tc>
        <w:tc>
          <w:tcPr>
            <w:tcW w:w="709" w:type="dxa"/>
            <w:vAlign w:val="center"/>
          </w:tcPr>
          <w:p w14:paraId="253D5ACA"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15/6 ani</w:t>
            </w:r>
          </w:p>
        </w:tc>
        <w:tc>
          <w:tcPr>
            <w:tcW w:w="851" w:type="dxa"/>
            <w:vAlign w:val="center"/>
          </w:tcPr>
          <w:p w14:paraId="3DD0AB89"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flotantă</w:t>
            </w:r>
          </w:p>
        </w:tc>
        <w:tc>
          <w:tcPr>
            <w:tcW w:w="708" w:type="dxa"/>
            <w:vAlign w:val="center"/>
          </w:tcPr>
          <w:p w14:paraId="09516A6F"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4/1 ani</w:t>
            </w:r>
          </w:p>
        </w:tc>
      </w:tr>
      <w:tr w:rsidR="00E514B5" w:rsidRPr="006774ED" w14:paraId="3195E2A1" w14:textId="77777777" w:rsidTr="004511C2">
        <w:trPr>
          <w:trHeight w:val="204"/>
        </w:trPr>
        <w:tc>
          <w:tcPr>
            <w:tcW w:w="9634" w:type="dxa"/>
            <w:gridSpan w:val="9"/>
          </w:tcPr>
          <w:p w14:paraId="51BF43B9" w14:textId="77777777" w:rsidR="00E514B5" w:rsidRPr="006774ED" w:rsidRDefault="00E514B5" w:rsidP="004511C2">
            <w:pPr>
              <w:jc w:val="center"/>
              <w:rPr>
                <w:rFonts w:cstheme="majorHAnsi"/>
                <w:b/>
                <w:sz w:val="16"/>
                <w:szCs w:val="16"/>
                <w:highlight w:val="yellow"/>
                <w:lang w:val="ro-MD"/>
              </w:rPr>
            </w:pPr>
            <w:r w:rsidRPr="006774ED">
              <w:rPr>
                <w:rFonts w:cstheme="majorHAnsi"/>
                <w:b/>
                <w:sz w:val="16"/>
                <w:szCs w:val="16"/>
                <w:lang w:val="ro-MD"/>
              </w:rPr>
              <w:t>Fondul Internaţional pentru Dezvoltarea Agricolă</w:t>
            </w:r>
          </w:p>
        </w:tc>
      </w:tr>
      <w:tr w:rsidR="00E514B5" w:rsidRPr="006774ED" w14:paraId="13CE52EB" w14:textId="77777777" w:rsidTr="004511C2">
        <w:trPr>
          <w:trHeight w:val="204"/>
        </w:trPr>
        <w:tc>
          <w:tcPr>
            <w:tcW w:w="449" w:type="dxa"/>
          </w:tcPr>
          <w:p w14:paraId="5E240CD5"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8</w:t>
            </w:r>
          </w:p>
          <w:p w14:paraId="280D391F" w14:textId="77777777" w:rsidR="00E514B5" w:rsidRPr="006774ED" w:rsidRDefault="00E514B5" w:rsidP="004511C2">
            <w:pPr>
              <w:jc w:val="both"/>
              <w:rPr>
                <w:rFonts w:cstheme="majorHAnsi"/>
                <w:sz w:val="16"/>
                <w:szCs w:val="16"/>
                <w:lang w:val="ro-MD"/>
              </w:rPr>
            </w:pPr>
          </w:p>
        </w:tc>
        <w:tc>
          <w:tcPr>
            <w:tcW w:w="755" w:type="dxa"/>
          </w:tcPr>
          <w:p w14:paraId="1E5529C3" w14:textId="77777777" w:rsidR="00E514B5" w:rsidRPr="006774ED" w:rsidRDefault="00E514B5" w:rsidP="004511C2">
            <w:pPr>
              <w:jc w:val="both"/>
              <w:rPr>
                <w:rFonts w:cstheme="majorHAnsi"/>
                <w:b/>
                <w:sz w:val="16"/>
                <w:szCs w:val="16"/>
                <w:lang w:val="ro-MD"/>
              </w:rPr>
            </w:pPr>
            <w:r w:rsidRPr="006774ED">
              <w:rPr>
                <w:rFonts w:cstheme="majorHAnsi"/>
                <w:b/>
                <w:sz w:val="16"/>
                <w:szCs w:val="16"/>
                <w:lang w:val="ro-MD"/>
              </w:rPr>
              <w:t>FIDA</w:t>
            </w:r>
          </w:p>
        </w:tc>
        <w:tc>
          <w:tcPr>
            <w:tcW w:w="1361" w:type="dxa"/>
          </w:tcPr>
          <w:p w14:paraId="442FECF7"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Legea nr.194 din 19.11.2020</w:t>
            </w:r>
          </w:p>
        </w:tc>
        <w:tc>
          <w:tcPr>
            <w:tcW w:w="2675" w:type="dxa"/>
          </w:tcPr>
          <w:p w14:paraId="7DA2925F"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Proiectul „Agricultura Competitivă”</w:t>
            </w:r>
          </w:p>
        </w:tc>
        <w:tc>
          <w:tcPr>
            <w:tcW w:w="1134" w:type="dxa"/>
          </w:tcPr>
          <w:p w14:paraId="60D65420"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13,5 mil. euro</w:t>
            </w:r>
          </w:p>
        </w:tc>
        <w:tc>
          <w:tcPr>
            <w:tcW w:w="992" w:type="dxa"/>
            <w:vAlign w:val="center"/>
          </w:tcPr>
          <w:p w14:paraId="19663528" w14:textId="77777777" w:rsidR="00E514B5" w:rsidRPr="006774ED" w:rsidRDefault="00E514B5" w:rsidP="004511C2">
            <w:pPr>
              <w:jc w:val="both"/>
              <w:rPr>
                <w:rFonts w:cstheme="majorHAnsi"/>
                <w:sz w:val="16"/>
                <w:szCs w:val="16"/>
                <w:highlight w:val="yellow"/>
                <w:lang w:val="ro-MD"/>
              </w:rPr>
            </w:pPr>
            <w:r w:rsidRPr="00247749">
              <w:rPr>
                <w:rFonts w:cstheme="majorHAnsi"/>
                <w:sz w:val="16"/>
                <w:szCs w:val="16"/>
                <w:lang w:val="ro-MD"/>
              </w:rPr>
              <w:t>15,85 mil. dol. SUA*</w:t>
            </w:r>
          </w:p>
        </w:tc>
        <w:tc>
          <w:tcPr>
            <w:tcW w:w="709" w:type="dxa"/>
            <w:vAlign w:val="center"/>
          </w:tcPr>
          <w:p w14:paraId="0111F7BB" w14:textId="77777777" w:rsidR="00E514B5" w:rsidRPr="006774ED" w:rsidRDefault="00E514B5" w:rsidP="004511C2">
            <w:pPr>
              <w:jc w:val="both"/>
              <w:rPr>
                <w:rFonts w:cstheme="majorHAnsi"/>
                <w:sz w:val="16"/>
                <w:szCs w:val="16"/>
                <w:highlight w:val="yellow"/>
                <w:lang w:val="ro-MD"/>
              </w:rPr>
            </w:pPr>
            <w:r w:rsidRPr="006774ED">
              <w:rPr>
                <w:rFonts w:cstheme="majorHAnsi"/>
                <w:sz w:val="16"/>
                <w:szCs w:val="16"/>
                <w:lang w:val="ro-MD"/>
              </w:rPr>
              <w:t>25 ani</w:t>
            </w:r>
          </w:p>
        </w:tc>
        <w:tc>
          <w:tcPr>
            <w:tcW w:w="851" w:type="dxa"/>
            <w:vAlign w:val="center"/>
          </w:tcPr>
          <w:p w14:paraId="29597D41"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1,25%</w:t>
            </w:r>
          </w:p>
        </w:tc>
        <w:tc>
          <w:tcPr>
            <w:tcW w:w="708" w:type="dxa"/>
            <w:vAlign w:val="center"/>
          </w:tcPr>
          <w:p w14:paraId="6926E28E" w14:textId="77777777" w:rsidR="00E514B5" w:rsidRPr="006774ED" w:rsidRDefault="00E514B5" w:rsidP="004511C2">
            <w:pPr>
              <w:jc w:val="both"/>
              <w:rPr>
                <w:rFonts w:cstheme="majorHAnsi"/>
                <w:sz w:val="16"/>
                <w:szCs w:val="16"/>
                <w:lang w:val="ro-MD"/>
              </w:rPr>
            </w:pPr>
            <w:r w:rsidRPr="006774ED">
              <w:rPr>
                <w:rFonts w:cstheme="majorHAnsi"/>
                <w:sz w:val="16"/>
                <w:szCs w:val="16"/>
                <w:lang w:val="ro-MD"/>
              </w:rPr>
              <w:t>5 ani</w:t>
            </w:r>
          </w:p>
        </w:tc>
      </w:tr>
      <w:tr w:rsidR="00E514B5" w:rsidRPr="006774ED" w14:paraId="272FCB1E" w14:textId="77777777" w:rsidTr="004511C2">
        <w:trPr>
          <w:trHeight w:val="204"/>
        </w:trPr>
        <w:tc>
          <w:tcPr>
            <w:tcW w:w="9634" w:type="dxa"/>
            <w:gridSpan w:val="9"/>
          </w:tcPr>
          <w:p w14:paraId="6D4FBDC3"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Fondul Monetar Internațional</w:t>
            </w:r>
          </w:p>
        </w:tc>
      </w:tr>
      <w:tr w:rsidR="00E514B5" w:rsidRPr="006774ED" w14:paraId="03F8D7A2" w14:textId="77777777" w:rsidTr="004511C2">
        <w:trPr>
          <w:trHeight w:val="204"/>
        </w:trPr>
        <w:tc>
          <w:tcPr>
            <w:tcW w:w="449" w:type="dxa"/>
          </w:tcPr>
          <w:p w14:paraId="6F8FF950"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9</w:t>
            </w:r>
          </w:p>
        </w:tc>
        <w:tc>
          <w:tcPr>
            <w:tcW w:w="755" w:type="dxa"/>
          </w:tcPr>
          <w:p w14:paraId="015C73D8" w14:textId="77777777" w:rsidR="00E514B5" w:rsidRPr="006774ED" w:rsidRDefault="00E514B5" w:rsidP="004511C2">
            <w:pPr>
              <w:spacing w:line="259" w:lineRule="auto"/>
              <w:jc w:val="both"/>
              <w:rPr>
                <w:rFonts w:cstheme="majorHAnsi"/>
                <w:b/>
                <w:sz w:val="16"/>
                <w:szCs w:val="16"/>
                <w:lang w:val="ro-MD"/>
              </w:rPr>
            </w:pPr>
            <w:r w:rsidRPr="006774ED">
              <w:rPr>
                <w:rFonts w:cstheme="majorHAnsi"/>
                <w:b/>
                <w:sz w:val="16"/>
                <w:szCs w:val="16"/>
                <w:lang w:val="ro-MD"/>
              </w:rPr>
              <w:t>FMI</w:t>
            </w:r>
          </w:p>
        </w:tc>
        <w:tc>
          <w:tcPr>
            <w:tcW w:w="1361" w:type="dxa"/>
          </w:tcPr>
          <w:p w14:paraId="52D4C9A9"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Legea nr.58 din 23.04.2020</w:t>
            </w:r>
          </w:p>
        </w:tc>
        <w:tc>
          <w:tcPr>
            <w:tcW w:w="2675" w:type="dxa"/>
          </w:tcPr>
          <w:p w14:paraId="484927F8" w14:textId="2FB19093" w:rsidR="00E514B5" w:rsidRPr="006774ED" w:rsidRDefault="00E514B5" w:rsidP="00D07375">
            <w:pPr>
              <w:spacing w:line="259" w:lineRule="auto"/>
              <w:jc w:val="both"/>
              <w:rPr>
                <w:rFonts w:cstheme="majorHAnsi"/>
                <w:sz w:val="16"/>
                <w:szCs w:val="16"/>
                <w:lang w:val="ro-MD"/>
              </w:rPr>
            </w:pPr>
            <w:r w:rsidRPr="006774ED">
              <w:rPr>
                <w:rFonts w:cstheme="majorHAnsi"/>
                <w:sz w:val="16"/>
                <w:szCs w:val="16"/>
                <w:lang w:val="ro-MD"/>
              </w:rPr>
              <w:t>Mecanismul de creditare rapidă (RCF)</w:t>
            </w:r>
          </w:p>
        </w:tc>
        <w:tc>
          <w:tcPr>
            <w:tcW w:w="1134" w:type="dxa"/>
          </w:tcPr>
          <w:p w14:paraId="398F36A7"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57,5 mil. DST</w:t>
            </w:r>
          </w:p>
        </w:tc>
        <w:tc>
          <w:tcPr>
            <w:tcW w:w="992" w:type="dxa"/>
            <w:vAlign w:val="center"/>
          </w:tcPr>
          <w:p w14:paraId="46306B2D"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77,97 mil. dol. SUA</w:t>
            </w:r>
          </w:p>
        </w:tc>
        <w:tc>
          <w:tcPr>
            <w:tcW w:w="709" w:type="dxa"/>
            <w:vAlign w:val="center"/>
          </w:tcPr>
          <w:p w14:paraId="4A8C7444"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10 ani</w:t>
            </w:r>
          </w:p>
        </w:tc>
        <w:tc>
          <w:tcPr>
            <w:tcW w:w="851" w:type="dxa"/>
            <w:vAlign w:val="center"/>
          </w:tcPr>
          <w:p w14:paraId="09552328"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w:t>
            </w:r>
          </w:p>
        </w:tc>
        <w:tc>
          <w:tcPr>
            <w:tcW w:w="708" w:type="dxa"/>
            <w:vAlign w:val="center"/>
          </w:tcPr>
          <w:p w14:paraId="22326FD4"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 ani</w:t>
            </w:r>
          </w:p>
        </w:tc>
      </w:tr>
      <w:tr w:rsidR="00E514B5" w:rsidRPr="006774ED" w14:paraId="1DD6E249" w14:textId="77777777" w:rsidTr="004511C2">
        <w:trPr>
          <w:trHeight w:val="204"/>
        </w:trPr>
        <w:tc>
          <w:tcPr>
            <w:tcW w:w="449" w:type="dxa"/>
          </w:tcPr>
          <w:p w14:paraId="7C751D7E"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10</w:t>
            </w:r>
          </w:p>
        </w:tc>
        <w:tc>
          <w:tcPr>
            <w:tcW w:w="755" w:type="dxa"/>
          </w:tcPr>
          <w:p w14:paraId="33F95B18" w14:textId="77777777" w:rsidR="00E514B5" w:rsidRPr="006774ED" w:rsidRDefault="00E514B5" w:rsidP="004511C2">
            <w:pPr>
              <w:spacing w:line="259" w:lineRule="auto"/>
              <w:jc w:val="both"/>
              <w:rPr>
                <w:rFonts w:cstheme="majorHAnsi"/>
                <w:b/>
                <w:sz w:val="16"/>
                <w:szCs w:val="16"/>
                <w:lang w:val="ro-MD"/>
              </w:rPr>
            </w:pPr>
            <w:r w:rsidRPr="006774ED">
              <w:rPr>
                <w:rFonts w:cstheme="majorHAnsi"/>
                <w:b/>
                <w:sz w:val="16"/>
                <w:szCs w:val="16"/>
                <w:lang w:val="ro-MD"/>
              </w:rPr>
              <w:t>FMI</w:t>
            </w:r>
          </w:p>
        </w:tc>
        <w:tc>
          <w:tcPr>
            <w:tcW w:w="1361" w:type="dxa"/>
          </w:tcPr>
          <w:p w14:paraId="002865FD"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Legea nr.59 din 23.04.2020</w:t>
            </w:r>
          </w:p>
        </w:tc>
        <w:tc>
          <w:tcPr>
            <w:tcW w:w="2675" w:type="dxa"/>
          </w:tcPr>
          <w:p w14:paraId="28DD4C37" w14:textId="14DAC008" w:rsidR="00E514B5" w:rsidRPr="006774ED" w:rsidRDefault="00E514B5" w:rsidP="00D07375">
            <w:pPr>
              <w:spacing w:line="259" w:lineRule="auto"/>
              <w:jc w:val="both"/>
              <w:rPr>
                <w:rFonts w:cstheme="majorHAnsi"/>
                <w:sz w:val="16"/>
                <w:szCs w:val="16"/>
                <w:lang w:val="ro-MD"/>
              </w:rPr>
            </w:pPr>
            <w:r w:rsidRPr="006774ED">
              <w:rPr>
                <w:rFonts w:cstheme="majorHAnsi"/>
                <w:sz w:val="16"/>
                <w:szCs w:val="16"/>
                <w:lang w:val="ro-MD"/>
              </w:rPr>
              <w:t>Instrumentul de finanțare rapidă (RFI)</w:t>
            </w:r>
          </w:p>
        </w:tc>
        <w:tc>
          <w:tcPr>
            <w:tcW w:w="1134" w:type="dxa"/>
          </w:tcPr>
          <w:p w14:paraId="4CC1A163"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115,0 mil. DST</w:t>
            </w:r>
          </w:p>
        </w:tc>
        <w:tc>
          <w:tcPr>
            <w:tcW w:w="992" w:type="dxa"/>
            <w:vAlign w:val="center"/>
          </w:tcPr>
          <w:p w14:paraId="3B593F29"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155,93 mil. dol.SUA</w:t>
            </w:r>
          </w:p>
        </w:tc>
        <w:tc>
          <w:tcPr>
            <w:tcW w:w="709" w:type="dxa"/>
            <w:vAlign w:val="center"/>
          </w:tcPr>
          <w:p w14:paraId="69D8ECD2"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10 ani</w:t>
            </w:r>
          </w:p>
        </w:tc>
        <w:tc>
          <w:tcPr>
            <w:tcW w:w="851" w:type="dxa"/>
            <w:vAlign w:val="center"/>
          </w:tcPr>
          <w:p w14:paraId="420227D4"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w:t>
            </w:r>
          </w:p>
        </w:tc>
        <w:tc>
          <w:tcPr>
            <w:tcW w:w="708" w:type="dxa"/>
            <w:vAlign w:val="center"/>
          </w:tcPr>
          <w:p w14:paraId="67BECD4D" w14:textId="77777777" w:rsidR="00E514B5" w:rsidRPr="006774ED" w:rsidRDefault="00E514B5" w:rsidP="004511C2">
            <w:pPr>
              <w:spacing w:line="259" w:lineRule="auto"/>
              <w:jc w:val="both"/>
              <w:rPr>
                <w:rFonts w:cstheme="majorHAnsi"/>
                <w:sz w:val="16"/>
                <w:szCs w:val="16"/>
                <w:lang w:val="ro-MD"/>
              </w:rPr>
            </w:pPr>
            <w:r w:rsidRPr="006774ED">
              <w:rPr>
                <w:rFonts w:cstheme="majorHAnsi"/>
                <w:sz w:val="16"/>
                <w:szCs w:val="16"/>
                <w:lang w:val="ro-MD"/>
              </w:rPr>
              <w:t>5 ani</w:t>
            </w:r>
          </w:p>
        </w:tc>
      </w:tr>
      <w:tr w:rsidR="00E514B5" w:rsidRPr="006774ED" w14:paraId="75C0F4F1" w14:textId="77777777" w:rsidTr="007965DC">
        <w:trPr>
          <w:trHeight w:val="204"/>
        </w:trPr>
        <w:tc>
          <w:tcPr>
            <w:tcW w:w="1204" w:type="dxa"/>
            <w:gridSpan w:val="2"/>
            <w:shd w:val="clear" w:color="auto" w:fill="auto"/>
          </w:tcPr>
          <w:p w14:paraId="57B3BFCB"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Total</w:t>
            </w:r>
          </w:p>
        </w:tc>
        <w:tc>
          <w:tcPr>
            <w:tcW w:w="1361" w:type="dxa"/>
            <w:shd w:val="clear" w:color="auto" w:fill="auto"/>
          </w:tcPr>
          <w:p w14:paraId="25D1AE35"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x</w:t>
            </w:r>
          </w:p>
        </w:tc>
        <w:tc>
          <w:tcPr>
            <w:tcW w:w="2675" w:type="dxa"/>
            <w:shd w:val="clear" w:color="auto" w:fill="auto"/>
          </w:tcPr>
          <w:p w14:paraId="7814EA76"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x</w:t>
            </w:r>
          </w:p>
        </w:tc>
        <w:tc>
          <w:tcPr>
            <w:tcW w:w="1134" w:type="dxa"/>
            <w:shd w:val="clear" w:color="auto" w:fill="auto"/>
            <w:vAlign w:val="center"/>
          </w:tcPr>
          <w:p w14:paraId="5573AE72"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x</w:t>
            </w:r>
          </w:p>
        </w:tc>
        <w:tc>
          <w:tcPr>
            <w:tcW w:w="992" w:type="dxa"/>
            <w:shd w:val="clear" w:color="auto" w:fill="auto"/>
            <w:vAlign w:val="center"/>
          </w:tcPr>
          <w:p w14:paraId="51F835BD" w14:textId="578A9673" w:rsidR="00E514B5" w:rsidRPr="006774ED" w:rsidRDefault="00F657F1" w:rsidP="004511C2">
            <w:pPr>
              <w:spacing w:line="259" w:lineRule="auto"/>
              <w:jc w:val="center"/>
              <w:rPr>
                <w:rFonts w:cstheme="majorHAnsi"/>
                <w:b/>
                <w:sz w:val="16"/>
                <w:szCs w:val="16"/>
                <w:lang w:val="ro-MD"/>
              </w:rPr>
            </w:pPr>
            <w:r>
              <w:rPr>
                <w:rFonts w:cstheme="majorHAnsi"/>
                <w:b/>
                <w:sz w:val="16"/>
                <w:szCs w:val="16"/>
                <w:lang w:val="ro-MD"/>
              </w:rPr>
              <w:t>685,01</w:t>
            </w:r>
          </w:p>
        </w:tc>
        <w:tc>
          <w:tcPr>
            <w:tcW w:w="709" w:type="dxa"/>
            <w:shd w:val="clear" w:color="auto" w:fill="auto"/>
            <w:vAlign w:val="center"/>
          </w:tcPr>
          <w:p w14:paraId="3A3263D6"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x</w:t>
            </w:r>
          </w:p>
        </w:tc>
        <w:tc>
          <w:tcPr>
            <w:tcW w:w="851" w:type="dxa"/>
            <w:shd w:val="clear" w:color="auto" w:fill="auto"/>
            <w:vAlign w:val="center"/>
          </w:tcPr>
          <w:p w14:paraId="3A2CC9DB"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x</w:t>
            </w:r>
          </w:p>
        </w:tc>
        <w:tc>
          <w:tcPr>
            <w:tcW w:w="708" w:type="dxa"/>
            <w:shd w:val="clear" w:color="auto" w:fill="auto"/>
            <w:vAlign w:val="center"/>
          </w:tcPr>
          <w:p w14:paraId="6348AA7A" w14:textId="77777777" w:rsidR="00E514B5" w:rsidRPr="006774ED" w:rsidRDefault="00E514B5" w:rsidP="004511C2">
            <w:pPr>
              <w:spacing w:line="259" w:lineRule="auto"/>
              <w:jc w:val="center"/>
              <w:rPr>
                <w:rFonts w:cstheme="majorHAnsi"/>
                <w:b/>
                <w:sz w:val="16"/>
                <w:szCs w:val="16"/>
                <w:lang w:val="ro-MD"/>
              </w:rPr>
            </w:pPr>
            <w:r w:rsidRPr="006774ED">
              <w:rPr>
                <w:rFonts w:cstheme="majorHAnsi"/>
                <w:b/>
                <w:sz w:val="16"/>
                <w:szCs w:val="16"/>
                <w:lang w:val="ro-MD"/>
              </w:rPr>
              <w:t>x</w:t>
            </w:r>
          </w:p>
        </w:tc>
      </w:tr>
    </w:tbl>
    <w:p w14:paraId="37ED9DB9" w14:textId="722E377D" w:rsidR="00E514B5" w:rsidRPr="00A37697" w:rsidRDefault="00E514B5" w:rsidP="005540B7">
      <w:pPr>
        <w:jc w:val="both"/>
        <w:rPr>
          <w:rFonts w:cstheme="majorHAnsi"/>
          <w:i/>
          <w:sz w:val="16"/>
          <w:szCs w:val="16"/>
          <w:lang w:val="ro-MD"/>
        </w:rPr>
      </w:pPr>
      <w:r w:rsidRPr="00A37697">
        <w:rPr>
          <w:rFonts w:cstheme="majorHAnsi"/>
          <w:b/>
          <w:i/>
          <w:sz w:val="16"/>
          <w:szCs w:val="16"/>
          <w:lang w:val="ro-MD"/>
        </w:rPr>
        <w:t xml:space="preserve">Sursă: </w:t>
      </w:r>
      <w:r w:rsidRPr="00A37697">
        <w:rPr>
          <w:rFonts w:cstheme="majorHAnsi"/>
          <w:i/>
          <w:sz w:val="16"/>
          <w:szCs w:val="16"/>
          <w:lang w:val="ro-MD"/>
        </w:rPr>
        <w:t>Elaborat de auditor în baza</w:t>
      </w:r>
      <w:r w:rsidRPr="00A37697">
        <w:rPr>
          <w:rFonts w:cstheme="majorHAnsi"/>
          <w:b/>
          <w:i/>
          <w:sz w:val="16"/>
          <w:szCs w:val="16"/>
          <w:lang w:val="ro-MD"/>
        </w:rPr>
        <w:t xml:space="preserve"> </w:t>
      </w:r>
      <w:r w:rsidRPr="00A37697">
        <w:rPr>
          <w:rFonts w:cstheme="majorHAnsi"/>
          <w:i/>
          <w:sz w:val="16"/>
          <w:szCs w:val="16"/>
          <w:lang w:val="ro-MD"/>
        </w:rPr>
        <w:t>Informației prezentată de MF; Notă: * Valoarea calculată de către audit conform cursului valutar BN</w:t>
      </w:r>
      <w:r w:rsidR="005540B7" w:rsidRPr="00A37697">
        <w:rPr>
          <w:rFonts w:cstheme="majorHAnsi"/>
          <w:i/>
          <w:sz w:val="16"/>
          <w:szCs w:val="16"/>
          <w:lang w:val="ro-MD"/>
        </w:rPr>
        <w:t>M la data semnării Acordurilor.</w:t>
      </w:r>
    </w:p>
    <w:p w14:paraId="4BC05069" w14:textId="77777777" w:rsidR="005540B7" w:rsidRDefault="005540B7" w:rsidP="00E514B5">
      <w:pPr>
        <w:tabs>
          <w:tab w:val="left" w:pos="284"/>
          <w:tab w:val="left" w:pos="567"/>
        </w:tabs>
        <w:spacing w:after="0" w:line="276" w:lineRule="auto"/>
        <w:jc w:val="right"/>
        <w:rPr>
          <w:rFonts w:ascii="Calibri Light" w:eastAsia="Calibri" w:hAnsi="Calibri Light" w:cs="Calibri Light"/>
          <w:b/>
          <w:i/>
          <w:szCs w:val="24"/>
          <w:lang w:val="ro-RO"/>
        </w:rPr>
      </w:pPr>
    </w:p>
    <w:p w14:paraId="59992501" w14:textId="5F5A2418" w:rsidR="00E514B5" w:rsidRPr="0047410E" w:rsidRDefault="00E514B5" w:rsidP="00E514B5">
      <w:pPr>
        <w:tabs>
          <w:tab w:val="left" w:pos="284"/>
          <w:tab w:val="left" w:pos="567"/>
        </w:tabs>
        <w:spacing w:after="0" w:line="276" w:lineRule="auto"/>
        <w:jc w:val="right"/>
        <w:rPr>
          <w:rFonts w:ascii="Calibri Light" w:eastAsia="Calibri" w:hAnsi="Calibri Light" w:cs="Calibri Light"/>
          <w:b/>
          <w:i/>
          <w:szCs w:val="24"/>
          <w:lang w:val="ro-RO"/>
        </w:rPr>
      </w:pPr>
      <w:r w:rsidRPr="0047410E">
        <w:rPr>
          <w:rFonts w:ascii="Calibri Light" w:eastAsia="Calibri" w:hAnsi="Calibri Light" w:cs="Calibri Light"/>
          <w:b/>
          <w:i/>
          <w:szCs w:val="24"/>
          <w:lang w:val="ro-RO"/>
        </w:rPr>
        <w:t>Tabelul nr.</w:t>
      </w:r>
      <w:r w:rsidR="00656726">
        <w:rPr>
          <w:rFonts w:ascii="Calibri Light" w:eastAsia="Calibri" w:hAnsi="Calibri Light" w:cs="Calibri Light"/>
          <w:b/>
          <w:i/>
          <w:szCs w:val="24"/>
          <w:lang w:val="ro-RO"/>
        </w:rPr>
        <w:t>6</w:t>
      </w:r>
    </w:p>
    <w:p w14:paraId="632D7360" w14:textId="77777777" w:rsidR="00E514B5" w:rsidRPr="00CC458C" w:rsidRDefault="00E514B5" w:rsidP="00E514B5">
      <w:pPr>
        <w:tabs>
          <w:tab w:val="left" w:pos="284"/>
          <w:tab w:val="left" w:pos="567"/>
        </w:tabs>
        <w:spacing w:after="0" w:line="276" w:lineRule="auto"/>
        <w:jc w:val="center"/>
        <w:rPr>
          <w:rFonts w:ascii="Calibri Light" w:eastAsia="Calibri" w:hAnsi="Calibri Light" w:cs="Calibri Light"/>
          <w:b/>
          <w:szCs w:val="24"/>
          <w:lang w:val="ro-RO"/>
        </w:rPr>
      </w:pPr>
      <w:r w:rsidRPr="0047410E">
        <w:rPr>
          <w:rFonts w:ascii="Calibri Light" w:eastAsia="Calibri" w:hAnsi="Calibri Light" w:cs="Calibri Light"/>
          <w:b/>
          <w:szCs w:val="24"/>
          <w:lang w:val="ro-RO"/>
        </w:rPr>
        <w:t>Datoriile debitorilor garantați față de MF la împrumuturile interne și externe acordate sub formă</w:t>
      </w:r>
      <w:r w:rsidRPr="00CC458C">
        <w:rPr>
          <w:rFonts w:ascii="Calibri Light" w:eastAsia="Calibri" w:hAnsi="Calibri Light" w:cs="Calibri Light"/>
          <w:b/>
          <w:szCs w:val="24"/>
          <w:lang w:val="ro-RO"/>
        </w:rPr>
        <w:t xml:space="preserve"> de garanție de stat</w:t>
      </w:r>
    </w:p>
    <w:tbl>
      <w:tblPr>
        <w:tblStyle w:val="TableGrid21"/>
        <w:tblW w:w="9351" w:type="dxa"/>
        <w:tblLook w:val="04A0" w:firstRow="1" w:lastRow="0" w:firstColumn="1" w:lastColumn="0" w:noHBand="0" w:noVBand="1"/>
      </w:tblPr>
      <w:tblGrid>
        <w:gridCol w:w="498"/>
        <w:gridCol w:w="2758"/>
        <w:gridCol w:w="1134"/>
        <w:gridCol w:w="1275"/>
        <w:gridCol w:w="1134"/>
        <w:gridCol w:w="1134"/>
        <w:gridCol w:w="1418"/>
      </w:tblGrid>
      <w:tr w:rsidR="00E514B5" w:rsidRPr="00131E29" w14:paraId="0EBCDE58" w14:textId="77777777" w:rsidTr="007965DC">
        <w:trPr>
          <w:cantSplit/>
          <w:trHeight w:val="768"/>
        </w:trPr>
        <w:tc>
          <w:tcPr>
            <w:tcW w:w="498" w:type="dxa"/>
            <w:shd w:val="clear" w:color="auto" w:fill="auto"/>
            <w:vAlign w:val="center"/>
          </w:tcPr>
          <w:p w14:paraId="61B005CF" w14:textId="77777777" w:rsidR="00E514B5" w:rsidRPr="00131E29" w:rsidRDefault="00E514B5" w:rsidP="004511C2">
            <w:pPr>
              <w:spacing w:line="276" w:lineRule="auto"/>
              <w:jc w:val="center"/>
              <w:rPr>
                <w:rFonts w:ascii="Calibri Light" w:hAnsi="Calibri Light" w:cs="Calibri Light"/>
                <w:b/>
                <w:sz w:val="18"/>
                <w:szCs w:val="20"/>
                <w:lang w:val="ro-RO"/>
              </w:rPr>
            </w:pPr>
            <w:r w:rsidRPr="00131E29">
              <w:rPr>
                <w:rFonts w:ascii="Calibri Light" w:hAnsi="Calibri Light" w:cs="Calibri Light"/>
                <w:b/>
                <w:sz w:val="18"/>
                <w:szCs w:val="20"/>
                <w:lang w:val="ro-RO"/>
              </w:rPr>
              <w:t>Nr.</w:t>
            </w:r>
          </w:p>
        </w:tc>
        <w:tc>
          <w:tcPr>
            <w:tcW w:w="2758" w:type="dxa"/>
            <w:shd w:val="clear" w:color="auto" w:fill="auto"/>
            <w:vAlign w:val="center"/>
          </w:tcPr>
          <w:p w14:paraId="38DBD188" w14:textId="77777777" w:rsidR="00E514B5" w:rsidRPr="00131E29" w:rsidRDefault="00E514B5" w:rsidP="004511C2">
            <w:pPr>
              <w:spacing w:line="276" w:lineRule="auto"/>
              <w:jc w:val="center"/>
              <w:rPr>
                <w:rFonts w:ascii="Calibri Light" w:hAnsi="Calibri Light" w:cs="Calibri Light"/>
                <w:b/>
                <w:sz w:val="18"/>
                <w:szCs w:val="20"/>
                <w:lang w:val="ro-RO"/>
              </w:rPr>
            </w:pPr>
            <w:r w:rsidRPr="00131E29">
              <w:rPr>
                <w:rFonts w:ascii="Calibri Light" w:hAnsi="Calibri Light" w:cs="Calibri Light"/>
                <w:b/>
                <w:sz w:val="18"/>
                <w:szCs w:val="20"/>
                <w:lang w:val="ro-RO"/>
              </w:rPr>
              <w:t>Denumirea debitorului garantat</w:t>
            </w:r>
          </w:p>
        </w:tc>
        <w:tc>
          <w:tcPr>
            <w:tcW w:w="1134" w:type="dxa"/>
            <w:shd w:val="clear" w:color="auto" w:fill="auto"/>
            <w:vAlign w:val="center"/>
          </w:tcPr>
          <w:p w14:paraId="6402277E" w14:textId="29F6FC9F" w:rsidR="00E514B5" w:rsidRPr="00131E29" w:rsidRDefault="00E514B5" w:rsidP="004511C2">
            <w:pPr>
              <w:spacing w:line="276" w:lineRule="auto"/>
              <w:jc w:val="center"/>
              <w:rPr>
                <w:rFonts w:ascii="Calibri Light" w:hAnsi="Calibri Light" w:cs="Calibri Light"/>
                <w:b/>
                <w:sz w:val="18"/>
                <w:szCs w:val="20"/>
                <w:lang w:val="ro-RO"/>
              </w:rPr>
            </w:pPr>
            <w:r w:rsidRPr="00131E29">
              <w:rPr>
                <w:rFonts w:ascii="Calibri Light" w:hAnsi="Calibri Light" w:cs="Calibri Light"/>
                <w:b/>
                <w:sz w:val="18"/>
                <w:szCs w:val="20"/>
                <w:lang w:val="ro-RO"/>
              </w:rPr>
              <w:t>mii u.m</w:t>
            </w:r>
            <w:r w:rsidR="00A37697">
              <w:rPr>
                <w:rFonts w:ascii="Calibri Light" w:hAnsi="Calibri Light" w:cs="Calibri Light"/>
                <w:b/>
                <w:sz w:val="18"/>
                <w:szCs w:val="20"/>
                <w:lang w:val="ro-RO"/>
              </w:rPr>
              <w:t>.</w:t>
            </w:r>
          </w:p>
        </w:tc>
        <w:tc>
          <w:tcPr>
            <w:tcW w:w="1275" w:type="dxa"/>
            <w:shd w:val="clear" w:color="auto" w:fill="auto"/>
            <w:vAlign w:val="center"/>
          </w:tcPr>
          <w:p w14:paraId="41B20BDA" w14:textId="77777777" w:rsidR="00E514B5" w:rsidRPr="00131E29" w:rsidRDefault="00E514B5" w:rsidP="004511C2">
            <w:pPr>
              <w:spacing w:line="276" w:lineRule="auto"/>
              <w:jc w:val="center"/>
              <w:rPr>
                <w:rFonts w:ascii="Calibri Light" w:hAnsi="Calibri Light" w:cs="Calibri Light"/>
                <w:b/>
                <w:sz w:val="18"/>
                <w:szCs w:val="20"/>
                <w:lang w:val="ro-RO"/>
              </w:rPr>
            </w:pPr>
            <w:r w:rsidRPr="00131E29">
              <w:rPr>
                <w:rFonts w:ascii="Calibri Light" w:hAnsi="Calibri Light" w:cs="Calibri Light"/>
                <w:b/>
                <w:sz w:val="18"/>
                <w:szCs w:val="20"/>
                <w:lang w:val="ro-RO"/>
              </w:rPr>
              <w:t>Soldul datoriei la 01.01.2020</w:t>
            </w:r>
          </w:p>
        </w:tc>
        <w:tc>
          <w:tcPr>
            <w:tcW w:w="1134" w:type="dxa"/>
            <w:shd w:val="clear" w:color="auto" w:fill="auto"/>
            <w:vAlign w:val="center"/>
          </w:tcPr>
          <w:p w14:paraId="667D866E" w14:textId="77777777" w:rsidR="00E514B5" w:rsidRPr="00131E29" w:rsidRDefault="00E514B5" w:rsidP="004511C2">
            <w:pPr>
              <w:spacing w:line="276" w:lineRule="auto"/>
              <w:jc w:val="center"/>
              <w:rPr>
                <w:rFonts w:ascii="Calibri Light" w:hAnsi="Calibri Light" w:cs="Calibri Light"/>
                <w:b/>
                <w:sz w:val="18"/>
                <w:szCs w:val="20"/>
                <w:lang w:val="ro-RO"/>
              </w:rPr>
            </w:pPr>
            <w:r w:rsidRPr="00131E29">
              <w:rPr>
                <w:rFonts w:ascii="Calibri Light" w:hAnsi="Calibri Light" w:cs="Calibri Light"/>
                <w:b/>
                <w:sz w:val="18"/>
                <w:szCs w:val="20"/>
                <w:lang w:val="ro-RO"/>
              </w:rPr>
              <w:t>Modificări în anul 2020</w:t>
            </w:r>
          </w:p>
        </w:tc>
        <w:tc>
          <w:tcPr>
            <w:tcW w:w="1134" w:type="dxa"/>
            <w:shd w:val="clear" w:color="auto" w:fill="auto"/>
            <w:vAlign w:val="center"/>
          </w:tcPr>
          <w:p w14:paraId="789B1ACD" w14:textId="77777777" w:rsidR="00E514B5" w:rsidRPr="00131E29" w:rsidRDefault="00E514B5" w:rsidP="004511C2">
            <w:pPr>
              <w:spacing w:line="276" w:lineRule="auto"/>
              <w:jc w:val="center"/>
              <w:rPr>
                <w:rFonts w:ascii="Calibri Light" w:hAnsi="Calibri Light" w:cs="Calibri Light"/>
                <w:b/>
                <w:sz w:val="18"/>
                <w:szCs w:val="20"/>
                <w:lang w:val="ro-RO"/>
              </w:rPr>
            </w:pPr>
            <w:r w:rsidRPr="00131E29">
              <w:rPr>
                <w:rFonts w:ascii="Calibri Light" w:hAnsi="Calibri Light" w:cs="Calibri Light"/>
                <w:b/>
                <w:sz w:val="18"/>
                <w:szCs w:val="20"/>
                <w:lang w:val="ro-RO"/>
              </w:rPr>
              <w:t>Soldul datoriei la 31.12.2020</w:t>
            </w:r>
          </w:p>
        </w:tc>
        <w:tc>
          <w:tcPr>
            <w:tcW w:w="1418" w:type="dxa"/>
            <w:shd w:val="clear" w:color="auto" w:fill="auto"/>
            <w:vAlign w:val="center"/>
          </w:tcPr>
          <w:p w14:paraId="71601970" w14:textId="77777777" w:rsidR="00E514B5" w:rsidRPr="00131E29" w:rsidRDefault="00E514B5" w:rsidP="004511C2">
            <w:pPr>
              <w:spacing w:line="276" w:lineRule="auto"/>
              <w:jc w:val="center"/>
              <w:rPr>
                <w:rFonts w:ascii="Calibri Light" w:hAnsi="Calibri Light" w:cs="Calibri Light"/>
                <w:b/>
                <w:sz w:val="18"/>
                <w:szCs w:val="20"/>
                <w:lang w:val="ro-RO"/>
              </w:rPr>
            </w:pPr>
            <w:r w:rsidRPr="00131E29">
              <w:rPr>
                <w:rFonts w:ascii="Calibri Light" w:hAnsi="Calibri Light" w:cs="Calibri Light"/>
                <w:b/>
                <w:sz w:val="18"/>
                <w:szCs w:val="20"/>
                <w:lang w:val="ro-RO"/>
              </w:rPr>
              <w:t xml:space="preserve">Diferența datorată cursului de schimb </w:t>
            </w:r>
            <w:r w:rsidRPr="00131E29">
              <w:rPr>
                <w:rFonts w:ascii="Calibri Light" w:hAnsi="Calibri Light" w:cs="Calibri Light"/>
                <w:b/>
                <w:sz w:val="18"/>
                <w:szCs w:val="20"/>
                <w:lang w:val="ro-RO"/>
              </w:rPr>
              <w:lastRenderedPageBreak/>
              <w:t>valutar și modificărilor în anul 2020 (mii lei)</w:t>
            </w:r>
          </w:p>
        </w:tc>
      </w:tr>
      <w:tr w:rsidR="00E514B5" w:rsidRPr="00131E29" w14:paraId="322C97E5" w14:textId="77777777" w:rsidTr="004511C2">
        <w:trPr>
          <w:cantSplit/>
          <w:trHeight w:val="270"/>
        </w:trPr>
        <w:tc>
          <w:tcPr>
            <w:tcW w:w="498" w:type="dxa"/>
            <w:shd w:val="clear" w:color="auto" w:fill="auto"/>
            <w:vAlign w:val="center"/>
          </w:tcPr>
          <w:p w14:paraId="7EAA84CC" w14:textId="77777777" w:rsidR="00E514B5" w:rsidRPr="00131E29" w:rsidRDefault="00E514B5" w:rsidP="004511C2">
            <w:pPr>
              <w:jc w:val="center"/>
              <w:rPr>
                <w:rFonts w:ascii="Calibri Light" w:hAnsi="Calibri Light" w:cs="Calibri Light"/>
                <w:b/>
                <w:i/>
                <w:sz w:val="16"/>
                <w:szCs w:val="20"/>
                <w:lang w:val="ro-RO"/>
              </w:rPr>
            </w:pPr>
            <w:r w:rsidRPr="00131E29">
              <w:rPr>
                <w:rFonts w:ascii="Calibri Light" w:hAnsi="Calibri Light" w:cs="Calibri Light"/>
                <w:b/>
                <w:i/>
                <w:sz w:val="16"/>
                <w:szCs w:val="20"/>
                <w:lang w:val="ro-RO"/>
              </w:rPr>
              <w:lastRenderedPageBreak/>
              <w:t>1</w:t>
            </w:r>
          </w:p>
        </w:tc>
        <w:tc>
          <w:tcPr>
            <w:tcW w:w="2758" w:type="dxa"/>
            <w:shd w:val="clear" w:color="auto" w:fill="auto"/>
            <w:vAlign w:val="center"/>
          </w:tcPr>
          <w:p w14:paraId="6EB5741A" w14:textId="77777777" w:rsidR="00E514B5" w:rsidRPr="00131E29" w:rsidRDefault="00E514B5" w:rsidP="004511C2">
            <w:pPr>
              <w:jc w:val="center"/>
              <w:rPr>
                <w:rFonts w:ascii="Calibri Light" w:hAnsi="Calibri Light" w:cs="Calibri Light"/>
                <w:b/>
                <w:i/>
                <w:sz w:val="16"/>
                <w:szCs w:val="20"/>
                <w:lang w:val="ro-RO"/>
              </w:rPr>
            </w:pPr>
            <w:r w:rsidRPr="00131E29">
              <w:rPr>
                <w:rFonts w:ascii="Calibri Light" w:hAnsi="Calibri Light" w:cs="Calibri Light"/>
                <w:b/>
                <w:i/>
                <w:sz w:val="16"/>
                <w:szCs w:val="20"/>
                <w:lang w:val="ro-RO"/>
              </w:rPr>
              <w:t>2</w:t>
            </w:r>
          </w:p>
        </w:tc>
        <w:tc>
          <w:tcPr>
            <w:tcW w:w="1134" w:type="dxa"/>
            <w:shd w:val="clear" w:color="auto" w:fill="auto"/>
            <w:vAlign w:val="center"/>
          </w:tcPr>
          <w:p w14:paraId="4233FC29" w14:textId="77777777" w:rsidR="00E514B5" w:rsidRPr="00131E29" w:rsidRDefault="00E514B5" w:rsidP="004511C2">
            <w:pPr>
              <w:jc w:val="center"/>
              <w:rPr>
                <w:rFonts w:ascii="Calibri Light" w:hAnsi="Calibri Light" w:cs="Calibri Light"/>
                <w:b/>
                <w:i/>
                <w:sz w:val="16"/>
                <w:szCs w:val="20"/>
                <w:lang w:val="ro-RO"/>
              </w:rPr>
            </w:pPr>
            <w:r w:rsidRPr="00131E29">
              <w:rPr>
                <w:rFonts w:ascii="Calibri Light" w:hAnsi="Calibri Light" w:cs="Calibri Light"/>
                <w:b/>
                <w:i/>
                <w:sz w:val="16"/>
                <w:szCs w:val="20"/>
                <w:lang w:val="ro-RO"/>
              </w:rPr>
              <w:t>3</w:t>
            </w:r>
          </w:p>
        </w:tc>
        <w:tc>
          <w:tcPr>
            <w:tcW w:w="1275" w:type="dxa"/>
            <w:shd w:val="clear" w:color="auto" w:fill="auto"/>
            <w:vAlign w:val="center"/>
          </w:tcPr>
          <w:p w14:paraId="5F5D8E54" w14:textId="77777777" w:rsidR="00E514B5" w:rsidRPr="00131E29" w:rsidRDefault="00E514B5" w:rsidP="004511C2">
            <w:pPr>
              <w:jc w:val="center"/>
              <w:rPr>
                <w:rFonts w:ascii="Calibri Light" w:hAnsi="Calibri Light" w:cs="Calibri Light"/>
                <w:b/>
                <w:i/>
                <w:sz w:val="16"/>
                <w:szCs w:val="20"/>
                <w:lang w:val="ro-RO"/>
              </w:rPr>
            </w:pPr>
            <w:r w:rsidRPr="00131E29">
              <w:rPr>
                <w:rFonts w:ascii="Calibri Light" w:hAnsi="Calibri Light" w:cs="Calibri Light"/>
                <w:b/>
                <w:i/>
                <w:sz w:val="16"/>
                <w:szCs w:val="20"/>
                <w:lang w:val="ro-RO"/>
              </w:rPr>
              <w:t>4</w:t>
            </w:r>
          </w:p>
        </w:tc>
        <w:tc>
          <w:tcPr>
            <w:tcW w:w="1134" w:type="dxa"/>
            <w:shd w:val="clear" w:color="auto" w:fill="auto"/>
            <w:vAlign w:val="center"/>
          </w:tcPr>
          <w:p w14:paraId="232A19C3" w14:textId="77777777" w:rsidR="00E514B5" w:rsidRPr="00131E29" w:rsidRDefault="00E514B5" w:rsidP="004511C2">
            <w:pPr>
              <w:jc w:val="center"/>
              <w:rPr>
                <w:rFonts w:ascii="Calibri Light" w:hAnsi="Calibri Light" w:cs="Calibri Light"/>
                <w:b/>
                <w:i/>
                <w:sz w:val="16"/>
                <w:szCs w:val="20"/>
                <w:lang w:val="ro-RO"/>
              </w:rPr>
            </w:pPr>
            <w:r w:rsidRPr="00131E29">
              <w:rPr>
                <w:rFonts w:ascii="Calibri Light" w:hAnsi="Calibri Light" w:cs="Calibri Light"/>
                <w:b/>
                <w:i/>
                <w:sz w:val="16"/>
                <w:szCs w:val="20"/>
                <w:lang w:val="ro-RO"/>
              </w:rPr>
              <w:t>5</w:t>
            </w:r>
          </w:p>
        </w:tc>
        <w:tc>
          <w:tcPr>
            <w:tcW w:w="1134" w:type="dxa"/>
            <w:shd w:val="clear" w:color="auto" w:fill="auto"/>
            <w:vAlign w:val="center"/>
          </w:tcPr>
          <w:p w14:paraId="212B213D" w14:textId="77777777" w:rsidR="00E514B5" w:rsidRPr="00131E29" w:rsidRDefault="00E514B5" w:rsidP="004511C2">
            <w:pPr>
              <w:jc w:val="center"/>
              <w:rPr>
                <w:rFonts w:ascii="Calibri Light" w:hAnsi="Calibri Light" w:cs="Calibri Light"/>
                <w:b/>
                <w:i/>
                <w:sz w:val="16"/>
                <w:szCs w:val="20"/>
                <w:lang w:val="ro-RO"/>
              </w:rPr>
            </w:pPr>
            <w:r w:rsidRPr="00131E29">
              <w:rPr>
                <w:rFonts w:ascii="Calibri Light" w:hAnsi="Calibri Light" w:cs="Calibri Light"/>
                <w:b/>
                <w:i/>
                <w:sz w:val="16"/>
                <w:szCs w:val="20"/>
                <w:lang w:val="ro-RO"/>
              </w:rPr>
              <w:t>6</w:t>
            </w:r>
          </w:p>
        </w:tc>
        <w:tc>
          <w:tcPr>
            <w:tcW w:w="1418" w:type="dxa"/>
            <w:shd w:val="clear" w:color="auto" w:fill="auto"/>
            <w:vAlign w:val="center"/>
          </w:tcPr>
          <w:p w14:paraId="0EA6DB02" w14:textId="77777777" w:rsidR="00E514B5" w:rsidRPr="00131E29" w:rsidRDefault="00E514B5" w:rsidP="004511C2">
            <w:pPr>
              <w:jc w:val="center"/>
              <w:rPr>
                <w:rFonts w:ascii="Calibri Light" w:hAnsi="Calibri Light" w:cs="Calibri Light"/>
                <w:b/>
                <w:i/>
                <w:sz w:val="16"/>
                <w:szCs w:val="20"/>
                <w:lang w:val="ro-RO"/>
              </w:rPr>
            </w:pPr>
            <w:r w:rsidRPr="00131E29">
              <w:rPr>
                <w:rFonts w:ascii="Calibri Light" w:hAnsi="Calibri Light" w:cs="Calibri Light"/>
                <w:b/>
                <w:i/>
                <w:sz w:val="16"/>
                <w:szCs w:val="20"/>
                <w:lang w:val="ro-RO"/>
              </w:rPr>
              <w:t>7 = 6 - 4</w:t>
            </w:r>
          </w:p>
        </w:tc>
      </w:tr>
      <w:tr w:rsidR="00E514B5" w:rsidRPr="00131E29" w14:paraId="0317EEF4" w14:textId="77777777" w:rsidTr="004511C2">
        <w:trPr>
          <w:trHeight w:val="412"/>
        </w:trPr>
        <w:tc>
          <w:tcPr>
            <w:tcW w:w="498" w:type="dxa"/>
          </w:tcPr>
          <w:p w14:paraId="73CC008F"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w:t>
            </w:r>
          </w:p>
        </w:tc>
        <w:tc>
          <w:tcPr>
            <w:tcW w:w="2758" w:type="dxa"/>
          </w:tcPr>
          <w:p w14:paraId="743E5C04" w14:textId="77777777" w:rsidR="00E514B5" w:rsidRPr="00131E29" w:rsidRDefault="00E514B5" w:rsidP="004511C2">
            <w:pPr>
              <w:rPr>
                <w:rFonts w:ascii="Calibri Light" w:hAnsi="Calibri Light" w:cs="Calibri Light"/>
                <w:sz w:val="18"/>
                <w:szCs w:val="18"/>
                <w:lang w:val="ro-RO"/>
              </w:rPr>
            </w:pPr>
            <w:r w:rsidRPr="00131E29">
              <w:rPr>
                <w:rFonts w:ascii="Calibri Light" w:hAnsi="Calibri Light" w:cs="Calibri Light"/>
                <w:sz w:val="18"/>
                <w:szCs w:val="18"/>
                <w:lang w:val="ro-RO"/>
              </w:rPr>
              <w:t>SA „Flamingo-96”</w:t>
            </w:r>
          </w:p>
        </w:tc>
        <w:tc>
          <w:tcPr>
            <w:tcW w:w="1134" w:type="dxa"/>
          </w:tcPr>
          <w:p w14:paraId="175CFF37"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65B79AE6"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2 418,53</w:t>
            </w:r>
          </w:p>
        </w:tc>
        <w:tc>
          <w:tcPr>
            <w:tcW w:w="1134" w:type="dxa"/>
          </w:tcPr>
          <w:p w14:paraId="4FBE530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w:t>
            </w:r>
          </w:p>
        </w:tc>
        <w:tc>
          <w:tcPr>
            <w:tcW w:w="1134" w:type="dxa"/>
          </w:tcPr>
          <w:p w14:paraId="53851055"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2 418,53</w:t>
            </w:r>
          </w:p>
        </w:tc>
        <w:tc>
          <w:tcPr>
            <w:tcW w:w="1418" w:type="dxa"/>
          </w:tcPr>
          <w:p w14:paraId="32D07B53"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w:t>
            </w:r>
          </w:p>
        </w:tc>
      </w:tr>
      <w:tr w:rsidR="00E514B5" w:rsidRPr="00131E29" w14:paraId="052576E8" w14:textId="77777777" w:rsidTr="004511C2">
        <w:tc>
          <w:tcPr>
            <w:tcW w:w="498" w:type="dxa"/>
          </w:tcPr>
          <w:p w14:paraId="4836CB46"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w:t>
            </w:r>
          </w:p>
        </w:tc>
        <w:tc>
          <w:tcPr>
            <w:tcW w:w="2758" w:type="dxa"/>
          </w:tcPr>
          <w:p w14:paraId="792124F4" w14:textId="77777777" w:rsidR="00E514B5" w:rsidRPr="00131E29" w:rsidRDefault="00E514B5" w:rsidP="004511C2">
            <w:pPr>
              <w:rPr>
                <w:rFonts w:ascii="Calibri Light" w:hAnsi="Calibri Light" w:cs="Calibri Light"/>
                <w:sz w:val="18"/>
                <w:szCs w:val="18"/>
                <w:lang w:val="ro-RO"/>
              </w:rPr>
            </w:pPr>
            <w:r w:rsidRPr="00131E29">
              <w:rPr>
                <w:rFonts w:ascii="Calibri Light" w:hAnsi="Calibri Light" w:cs="Calibri Light"/>
                <w:sz w:val="18"/>
                <w:szCs w:val="18"/>
                <w:lang w:val="ro-RO"/>
              </w:rPr>
              <w:t>Ion Prodaniuc (Programul de stat „Prima casă”)</w:t>
            </w:r>
          </w:p>
        </w:tc>
        <w:tc>
          <w:tcPr>
            <w:tcW w:w="1134" w:type="dxa"/>
          </w:tcPr>
          <w:p w14:paraId="0793A466"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461684F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0,00</w:t>
            </w:r>
          </w:p>
        </w:tc>
        <w:tc>
          <w:tcPr>
            <w:tcW w:w="1134" w:type="dxa"/>
          </w:tcPr>
          <w:p w14:paraId="68F8D6F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167,69</w:t>
            </w:r>
          </w:p>
        </w:tc>
        <w:tc>
          <w:tcPr>
            <w:tcW w:w="1134" w:type="dxa"/>
          </w:tcPr>
          <w:p w14:paraId="2D5CBC7F"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167,69</w:t>
            </w:r>
          </w:p>
        </w:tc>
        <w:tc>
          <w:tcPr>
            <w:tcW w:w="1418" w:type="dxa"/>
          </w:tcPr>
          <w:p w14:paraId="59B80F07"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167,69</w:t>
            </w:r>
          </w:p>
        </w:tc>
      </w:tr>
      <w:tr w:rsidR="00E514B5" w:rsidRPr="00131E29" w14:paraId="23FC4E0A" w14:textId="77777777" w:rsidTr="004511C2">
        <w:tc>
          <w:tcPr>
            <w:tcW w:w="3256" w:type="dxa"/>
            <w:gridSpan w:val="2"/>
          </w:tcPr>
          <w:p w14:paraId="094F6353"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Total împrumuturi interne</w:t>
            </w:r>
          </w:p>
        </w:tc>
        <w:tc>
          <w:tcPr>
            <w:tcW w:w="1134" w:type="dxa"/>
          </w:tcPr>
          <w:p w14:paraId="45A20DBE"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lei</w:t>
            </w:r>
          </w:p>
        </w:tc>
        <w:tc>
          <w:tcPr>
            <w:tcW w:w="1275" w:type="dxa"/>
          </w:tcPr>
          <w:p w14:paraId="74F5FA67"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2 418,53</w:t>
            </w:r>
          </w:p>
        </w:tc>
        <w:tc>
          <w:tcPr>
            <w:tcW w:w="1134" w:type="dxa"/>
          </w:tcPr>
          <w:p w14:paraId="1B942D18"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167,69</w:t>
            </w:r>
          </w:p>
        </w:tc>
        <w:tc>
          <w:tcPr>
            <w:tcW w:w="1134" w:type="dxa"/>
          </w:tcPr>
          <w:p w14:paraId="1E92A5F2"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2 586,22</w:t>
            </w:r>
          </w:p>
        </w:tc>
        <w:tc>
          <w:tcPr>
            <w:tcW w:w="1418" w:type="dxa"/>
          </w:tcPr>
          <w:p w14:paraId="7AF4FF8A"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167,69</w:t>
            </w:r>
          </w:p>
        </w:tc>
      </w:tr>
      <w:tr w:rsidR="00E514B5" w:rsidRPr="00131E29" w14:paraId="2AD0F5D4" w14:textId="77777777" w:rsidTr="004511C2">
        <w:tc>
          <w:tcPr>
            <w:tcW w:w="498" w:type="dxa"/>
          </w:tcPr>
          <w:p w14:paraId="214AA7A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w:t>
            </w:r>
          </w:p>
        </w:tc>
        <w:tc>
          <w:tcPr>
            <w:tcW w:w="2758" w:type="dxa"/>
          </w:tcPr>
          <w:p w14:paraId="480F9414" w14:textId="77777777" w:rsidR="00E514B5" w:rsidRPr="00131E29" w:rsidRDefault="00E514B5" w:rsidP="004511C2">
            <w:pPr>
              <w:rPr>
                <w:rFonts w:ascii="Calibri Light" w:hAnsi="Calibri Light" w:cs="Calibri Light"/>
                <w:sz w:val="18"/>
                <w:szCs w:val="18"/>
                <w:lang w:val="ro-RO"/>
              </w:rPr>
            </w:pPr>
            <w:r w:rsidRPr="00131E29">
              <w:rPr>
                <w:rFonts w:ascii="Calibri Light" w:hAnsi="Calibri Light" w:cs="Calibri Light"/>
                <w:sz w:val="18"/>
                <w:szCs w:val="18"/>
                <w:lang w:val="ro-RO"/>
              </w:rPr>
              <w:t>„Moldinteragro”</w:t>
            </w:r>
          </w:p>
        </w:tc>
        <w:tc>
          <w:tcPr>
            <w:tcW w:w="1134" w:type="dxa"/>
          </w:tcPr>
          <w:p w14:paraId="18B0A340" w14:textId="77777777" w:rsidR="00E514B5"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dol. SUA/</w:t>
            </w:r>
          </w:p>
          <w:p w14:paraId="4B739BE0"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2D2FC11C"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1 200,00/</w:t>
            </w:r>
          </w:p>
          <w:p w14:paraId="1C1015C2"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20 651,16</w:t>
            </w:r>
          </w:p>
        </w:tc>
        <w:tc>
          <w:tcPr>
            <w:tcW w:w="1134" w:type="dxa"/>
          </w:tcPr>
          <w:p w14:paraId="301F6B00"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-1 200,00</w:t>
            </w:r>
          </w:p>
          <w:p w14:paraId="4058A954" w14:textId="77777777" w:rsidR="00E514B5" w:rsidRPr="00131E29" w:rsidRDefault="00E514B5" w:rsidP="004511C2">
            <w:pPr>
              <w:jc w:val="center"/>
              <w:rPr>
                <w:rFonts w:ascii="Calibri Light" w:hAnsi="Calibri Light" w:cs="Calibri Light"/>
                <w:sz w:val="18"/>
                <w:szCs w:val="18"/>
                <w:lang w:val="ro-RO"/>
              </w:rPr>
            </w:pPr>
          </w:p>
        </w:tc>
        <w:tc>
          <w:tcPr>
            <w:tcW w:w="1134" w:type="dxa"/>
          </w:tcPr>
          <w:p w14:paraId="2464DC8D"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0,00</w:t>
            </w:r>
          </w:p>
        </w:tc>
        <w:tc>
          <w:tcPr>
            <w:tcW w:w="1418" w:type="dxa"/>
          </w:tcPr>
          <w:p w14:paraId="4C6DC951"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-20 651,16</w:t>
            </w:r>
          </w:p>
        </w:tc>
      </w:tr>
      <w:tr w:rsidR="00E514B5" w:rsidRPr="00131E29" w14:paraId="29BFAB95" w14:textId="77777777" w:rsidTr="004511C2">
        <w:tc>
          <w:tcPr>
            <w:tcW w:w="498" w:type="dxa"/>
            <w:vMerge w:val="restart"/>
          </w:tcPr>
          <w:p w14:paraId="2D7391D8"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w:t>
            </w:r>
          </w:p>
        </w:tc>
        <w:tc>
          <w:tcPr>
            <w:tcW w:w="2758" w:type="dxa"/>
            <w:vMerge w:val="restart"/>
          </w:tcPr>
          <w:p w14:paraId="45AEDE6A" w14:textId="77777777" w:rsidR="00E514B5" w:rsidRPr="00131E29" w:rsidRDefault="00E514B5" w:rsidP="004511C2">
            <w:pPr>
              <w:rPr>
                <w:rFonts w:ascii="Calibri Light" w:hAnsi="Calibri Light" w:cs="Calibri Light"/>
                <w:sz w:val="18"/>
                <w:szCs w:val="18"/>
                <w:lang w:val="ro-RO"/>
              </w:rPr>
            </w:pPr>
            <w:r w:rsidRPr="00131E29">
              <w:rPr>
                <w:rFonts w:ascii="Calibri Light" w:hAnsi="Calibri Light" w:cs="Calibri Light"/>
                <w:sz w:val="18"/>
                <w:szCs w:val="18"/>
                <w:lang w:val="ro-RO"/>
              </w:rPr>
              <w:t>„Vininvest” SRL</w:t>
            </w:r>
          </w:p>
        </w:tc>
        <w:tc>
          <w:tcPr>
            <w:tcW w:w="1134" w:type="dxa"/>
          </w:tcPr>
          <w:p w14:paraId="60976544" w14:textId="77777777" w:rsidR="00E514B5"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dol. SUA/</w:t>
            </w:r>
          </w:p>
          <w:p w14:paraId="2B14DCF6"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5A6D9B7D"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1 381,68/</w:t>
            </w:r>
          </w:p>
          <w:p w14:paraId="39F2E73F"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23 777,74</w:t>
            </w:r>
          </w:p>
        </w:tc>
        <w:tc>
          <w:tcPr>
            <w:tcW w:w="1134" w:type="dxa"/>
          </w:tcPr>
          <w:p w14:paraId="369E37C0"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w:t>
            </w:r>
          </w:p>
          <w:p w14:paraId="6ECD8EBF" w14:textId="77777777" w:rsidR="00E514B5" w:rsidRPr="00131E29" w:rsidRDefault="00E514B5" w:rsidP="004511C2">
            <w:pPr>
              <w:jc w:val="center"/>
              <w:rPr>
                <w:rFonts w:ascii="Calibri Light" w:hAnsi="Calibri Light" w:cs="Calibri Light"/>
                <w:sz w:val="18"/>
                <w:szCs w:val="18"/>
                <w:lang w:val="ro-RO"/>
              </w:rPr>
            </w:pPr>
          </w:p>
        </w:tc>
        <w:tc>
          <w:tcPr>
            <w:tcW w:w="1134" w:type="dxa"/>
          </w:tcPr>
          <w:p w14:paraId="5EEA38F6"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1 381,68/</w:t>
            </w:r>
          </w:p>
          <w:p w14:paraId="5A980DB5"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23 785,07</w:t>
            </w:r>
          </w:p>
        </w:tc>
        <w:tc>
          <w:tcPr>
            <w:tcW w:w="1418" w:type="dxa"/>
          </w:tcPr>
          <w:p w14:paraId="1652B884"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+7,33</w:t>
            </w:r>
          </w:p>
          <w:p w14:paraId="7E7D58AC" w14:textId="77777777" w:rsidR="00E514B5" w:rsidRPr="00131E29" w:rsidRDefault="00E514B5" w:rsidP="004511C2">
            <w:pPr>
              <w:jc w:val="center"/>
              <w:rPr>
                <w:rFonts w:ascii="Calibri Light" w:hAnsi="Calibri Light" w:cs="Calibri Light"/>
                <w:sz w:val="18"/>
                <w:szCs w:val="18"/>
                <w:lang w:val="ro-RO"/>
              </w:rPr>
            </w:pPr>
          </w:p>
        </w:tc>
      </w:tr>
      <w:tr w:rsidR="00E514B5" w:rsidRPr="00131E29" w14:paraId="0A7354B5" w14:textId="77777777" w:rsidTr="004511C2">
        <w:tc>
          <w:tcPr>
            <w:tcW w:w="498" w:type="dxa"/>
            <w:vMerge/>
          </w:tcPr>
          <w:p w14:paraId="39263897" w14:textId="77777777" w:rsidR="00E514B5" w:rsidRPr="00131E29" w:rsidRDefault="00E514B5" w:rsidP="004511C2">
            <w:pPr>
              <w:jc w:val="center"/>
              <w:rPr>
                <w:rFonts w:ascii="Calibri Light" w:hAnsi="Calibri Light" w:cs="Calibri Light"/>
                <w:sz w:val="18"/>
                <w:szCs w:val="18"/>
                <w:highlight w:val="yellow"/>
                <w:lang w:val="ro-RO"/>
              </w:rPr>
            </w:pPr>
          </w:p>
        </w:tc>
        <w:tc>
          <w:tcPr>
            <w:tcW w:w="2758" w:type="dxa"/>
            <w:vMerge/>
          </w:tcPr>
          <w:p w14:paraId="0A55BAF2" w14:textId="77777777" w:rsidR="00E514B5" w:rsidRPr="00131E29" w:rsidRDefault="00E514B5" w:rsidP="004511C2">
            <w:pPr>
              <w:rPr>
                <w:rFonts w:ascii="Calibri Light" w:hAnsi="Calibri Light" w:cs="Calibri Light"/>
                <w:sz w:val="18"/>
                <w:szCs w:val="18"/>
                <w:highlight w:val="yellow"/>
                <w:lang w:val="ro-RO"/>
              </w:rPr>
            </w:pPr>
          </w:p>
        </w:tc>
        <w:tc>
          <w:tcPr>
            <w:tcW w:w="1134" w:type="dxa"/>
          </w:tcPr>
          <w:p w14:paraId="15F19156" w14:textId="77777777" w:rsidR="00E514B5"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euro/</w:t>
            </w:r>
          </w:p>
          <w:p w14:paraId="6F61454A"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01AC18C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1 232,73/</w:t>
            </w:r>
          </w:p>
          <w:p w14:paraId="4240401F"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23 742,99</w:t>
            </w:r>
          </w:p>
        </w:tc>
        <w:tc>
          <w:tcPr>
            <w:tcW w:w="1134" w:type="dxa"/>
          </w:tcPr>
          <w:p w14:paraId="35E8C253"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w:t>
            </w:r>
          </w:p>
          <w:p w14:paraId="3D73CB8F" w14:textId="77777777" w:rsidR="00E514B5" w:rsidRPr="00131E29" w:rsidRDefault="00E514B5" w:rsidP="004511C2">
            <w:pPr>
              <w:jc w:val="center"/>
              <w:rPr>
                <w:rFonts w:ascii="Calibri Light" w:hAnsi="Calibri Light" w:cs="Calibri Light"/>
                <w:sz w:val="18"/>
                <w:szCs w:val="18"/>
                <w:lang w:val="ro-RO"/>
              </w:rPr>
            </w:pPr>
          </w:p>
        </w:tc>
        <w:tc>
          <w:tcPr>
            <w:tcW w:w="1134" w:type="dxa"/>
          </w:tcPr>
          <w:p w14:paraId="1E550BE3"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1 232,73/</w:t>
            </w:r>
          </w:p>
          <w:p w14:paraId="3FB5BC43"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26 043,39</w:t>
            </w:r>
          </w:p>
        </w:tc>
        <w:tc>
          <w:tcPr>
            <w:tcW w:w="1418" w:type="dxa"/>
          </w:tcPr>
          <w:p w14:paraId="3A04240B"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+2 300,41</w:t>
            </w:r>
          </w:p>
          <w:p w14:paraId="4BE77B55" w14:textId="77777777" w:rsidR="00E514B5" w:rsidRPr="00131E29" w:rsidRDefault="00E514B5" w:rsidP="004511C2">
            <w:pPr>
              <w:jc w:val="center"/>
              <w:rPr>
                <w:rFonts w:ascii="Calibri Light" w:hAnsi="Calibri Light" w:cs="Calibri Light"/>
                <w:sz w:val="18"/>
                <w:szCs w:val="18"/>
                <w:lang w:val="ro-RO"/>
              </w:rPr>
            </w:pPr>
          </w:p>
        </w:tc>
      </w:tr>
      <w:tr w:rsidR="00E514B5" w:rsidRPr="00131E29" w14:paraId="77DD3271" w14:textId="77777777" w:rsidTr="004511C2">
        <w:tc>
          <w:tcPr>
            <w:tcW w:w="498" w:type="dxa"/>
            <w:vMerge w:val="restart"/>
          </w:tcPr>
          <w:p w14:paraId="05855BA8"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3.</w:t>
            </w:r>
          </w:p>
        </w:tc>
        <w:tc>
          <w:tcPr>
            <w:tcW w:w="2758" w:type="dxa"/>
            <w:vMerge w:val="restart"/>
          </w:tcPr>
          <w:p w14:paraId="6819DC79" w14:textId="77777777" w:rsidR="00E514B5" w:rsidRPr="00131E29" w:rsidRDefault="00E514B5" w:rsidP="004511C2">
            <w:pPr>
              <w:rPr>
                <w:rFonts w:ascii="Calibri Light" w:hAnsi="Calibri Light" w:cs="Calibri Light"/>
                <w:sz w:val="18"/>
                <w:szCs w:val="18"/>
                <w:lang w:val="ro-RO"/>
              </w:rPr>
            </w:pPr>
            <w:r w:rsidRPr="00131E29">
              <w:rPr>
                <w:rFonts w:ascii="Calibri Light" w:hAnsi="Calibri Light" w:cs="Calibri Light"/>
                <w:sz w:val="18"/>
                <w:szCs w:val="18"/>
                <w:lang w:val="ro-RO"/>
              </w:rPr>
              <w:t>SA „Termocom”</w:t>
            </w:r>
          </w:p>
        </w:tc>
        <w:tc>
          <w:tcPr>
            <w:tcW w:w="1134" w:type="dxa"/>
          </w:tcPr>
          <w:p w14:paraId="432C00BF" w14:textId="77777777" w:rsidR="00E514B5"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dol. SUA/</w:t>
            </w:r>
          </w:p>
          <w:p w14:paraId="0A2583B8"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5C3AE5A3"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64,01/</w:t>
            </w:r>
          </w:p>
          <w:p w14:paraId="5A88761B"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1 101,56</w:t>
            </w:r>
          </w:p>
        </w:tc>
        <w:tc>
          <w:tcPr>
            <w:tcW w:w="1134" w:type="dxa"/>
          </w:tcPr>
          <w:p w14:paraId="4027C61F"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w:t>
            </w:r>
          </w:p>
          <w:p w14:paraId="50E864B5" w14:textId="77777777" w:rsidR="00E514B5" w:rsidRPr="00131E29" w:rsidRDefault="00E514B5" w:rsidP="004511C2">
            <w:pPr>
              <w:jc w:val="center"/>
              <w:rPr>
                <w:rFonts w:ascii="Calibri Light" w:hAnsi="Calibri Light" w:cs="Calibri Light"/>
                <w:sz w:val="18"/>
                <w:szCs w:val="18"/>
                <w:lang w:val="ro-RO"/>
              </w:rPr>
            </w:pPr>
          </w:p>
        </w:tc>
        <w:tc>
          <w:tcPr>
            <w:tcW w:w="1134" w:type="dxa"/>
          </w:tcPr>
          <w:p w14:paraId="7E6C5E99"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64,01/</w:t>
            </w:r>
          </w:p>
          <w:p w14:paraId="1E761489"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1 101,91</w:t>
            </w:r>
          </w:p>
        </w:tc>
        <w:tc>
          <w:tcPr>
            <w:tcW w:w="1418" w:type="dxa"/>
          </w:tcPr>
          <w:p w14:paraId="32FE9679"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+0,35</w:t>
            </w:r>
          </w:p>
          <w:p w14:paraId="6BDF7D77" w14:textId="77777777" w:rsidR="00E514B5" w:rsidRPr="00131E29" w:rsidRDefault="00E514B5" w:rsidP="004511C2">
            <w:pPr>
              <w:jc w:val="center"/>
              <w:rPr>
                <w:rFonts w:ascii="Calibri Light" w:hAnsi="Calibri Light" w:cs="Calibri Light"/>
                <w:sz w:val="18"/>
                <w:szCs w:val="18"/>
                <w:lang w:val="ro-RO"/>
              </w:rPr>
            </w:pPr>
          </w:p>
        </w:tc>
      </w:tr>
      <w:tr w:rsidR="00E514B5" w:rsidRPr="00131E29" w14:paraId="702D6D31" w14:textId="77777777" w:rsidTr="004511C2">
        <w:tc>
          <w:tcPr>
            <w:tcW w:w="498" w:type="dxa"/>
            <w:vMerge/>
          </w:tcPr>
          <w:p w14:paraId="7BE50EC3" w14:textId="77777777" w:rsidR="00E514B5" w:rsidRPr="00131E29" w:rsidRDefault="00E514B5" w:rsidP="004511C2">
            <w:pPr>
              <w:jc w:val="center"/>
              <w:rPr>
                <w:rFonts w:ascii="Calibri Light" w:hAnsi="Calibri Light" w:cs="Calibri Light"/>
                <w:sz w:val="18"/>
                <w:szCs w:val="18"/>
                <w:lang w:val="ro-RO"/>
              </w:rPr>
            </w:pPr>
          </w:p>
        </w:tc>
        <w:tc>
          <w:tcPr>
            <w:tcW w:w="2758" w:type="dxa"/>
            <w:vMerge/>
          </w:tcPr>
          <w:p w14:paraId="1D743678" w14:textId="77777777" w:rsidR="00E514B5" w:rsidRPr="00131E29" w:rsidRDefault="00E514B5" w:rsidP="004511C2">
            <w:pPr>
              <w:rPr>
                <w:rFonts w:ascii="Calibri Light" w:hAnsi="Calibri Light" w:cs="Calibri Light"/>
                <w:sz w:val="18"/>
                <w:szCs w:val="18"/>
                <w:lang w:val="ro-RO"/>
              </w:rPr>
            </w:pPr>
          </w:p>
        </w:tc>
        <w:tc>
          <w:tcPr>
            <w:tcW w:w="1134" w:type="dxa"/>
          </w:tcPr>
          <w:p w14:paraId="0E5A552A" w14:textId="77777777" w:rsidR="00E514B5"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euro/</w:t>
            </w:r>
          </w:p>
          <w:p w14:paraId="3A81EF3F"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25C40633"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325,98/</w:t>
            </w:r>
          </w:p>
          <w:p w14:paraId="6C2EA2D9"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6 278,53</w:t>
            </w:r>
          </w:p>
        </w:tc>
        <w:tc>
          <w:tcPr>
            <w:tcW w:w="1134" w:type="dxa"/>
          </w:tcPr>
          <w:p w14:paraId="542A543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w:t>
            </w:r>
          </w:p>
          <w:p w14:paraId="76EEC0A3" w14:textId="77777777" w:rsidR="00E514B5" w:rsidRPr="00131E29" w:rsidRDefault="00E514B5" w:rsidP="004511C2">
            <w:pPr>
              <w:jc w:val="center"/>
              <w:rPr>
                <w:rFonts w:ascii="Calibri Light" w:hAnsi="Calibri Light" w:cs="Calibri Light"/>
                <w:sz w:val="18"/>
                <w:szCs w:val="18"/>
                <w:lang w:val="ro-RO"/>
              </w:rPr>
            </w:pPr>
          </w:p>
        </w:tc>
        <w:tc>
          <w:tcPr>
            <w:tcW w:w="1134" w:type="dxa"/>
          </w:tcPr>
          <w:p w14:paraId="40611F8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325,98/</w:t>
            </w:r>
          </w:p>
          <w:p w14:paraId="69046B9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6 886,85</w:t>
            </w:r>
          </w:p>
        </w:tc>
        <w:tc>
          <w:tcPr>
            <w:tcW w:w="1418" w:type="dxa"/>
          </w:tcPr>
          <w:p w14:paraId="69A16EDA"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+608,32</w:t>
            </w:r>
          </w:p>
          <w:p w14:paraId="712694F5" w14:textId="77777777" w:rsidR="00E514B5" w:rsidRPr="00131E29" w:rsidRDefault="00E514B5" w:rsidP="004511C2">
            <w:pPr>
              <w:jc w:val="center"/>
              <w:rPr>
                <w:rFonts w:ascii="Calibri Light" w:hAnsi="Calibri Light" w:cs="Calibri Light"/>
                <w:sz w:val="18"/>
                <w:szCs w:val="18"/>
                <w:lang w:val="ro-RO"/>
              </w:rPr>
            </w:pPr>
          </w:p>
        </w:tc>
      </w:tr>
      <w:tr w:rsidR="00E514B5" w:rsidRPr="00131E29" w14:paraId="27ABE44D" w14:textId="77777777" w:rsidTr="004511C2">
        <w:tc>
          <w:tcPr>
            <w:tcW w:w="498" w:type="dxa"/>
          </w:tcPr>
          <w:p w14:paraId="19C2EA1D"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4.</w:t>
            </w:r>
          </w:p>
        </w:tc>
        <w:tc>
          <w:tcPr>
            <w:tcW w:w="2758" w:type="dxa"/>
          </w:tcPr>
          <w:p w14:paraId="659C1102" w14:textId="77777777" w:rsidR="00E514B5" w:rsidRPr="00131E29" w:rsidRDefault="00E514B5" w:rsidP="004511C2">
            <w:pPr>
              <w:rPr>
                <w:rFonts w:ascii="Calibri Light" w:hAnsi="Calibri Light" w:cs="Calibri Light"/>
                <w:sz w:val="18"/>
                <w:szCs w:val="18"/>
                <w:lang w:val="ro-RO"/>
              </w:rPr>
            </w:pPr>
            <w:r w:rsidRPr="00131E29">
              <w:rPr>
                <w:rFonts w:ascii="Calibri Light" w:hAnsi="Calibri Light" w:cs="Calibri Light"/>
                <w:sz w:val="18"/>
                <w:szCs w:val="18"/>
                <w:lang w:val="ro-RO"/>
              </w:rPr>
              <w:t>ÎS „Moldtranselectro”</w:t>
            </w:r>
          </w:p>
        </w:tc>
        <w:tc>
          <w:tcPr>
            <w:tcW w:w="1134" w:type="dxa"/>
          </w:tcPr>
          <w:p w14:paraId="2F455597" w14:textId="77777777" w:rsidR="00E514B5"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dol. SUA/</w:t>
            </w:r>
          </w:p>
          <w:p w14:paraId="11F14FDC"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719161C4"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863,17/</w:t>
            </w:r>
          </w:p>
          <w:p w14:paraId="71609AE7"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14 854,55</w:t>
            </w:r>
          </w:p>
        </w:tc>
        <w:tc>
          <w:tcPr>
            <w:tcW w:w="1134" w:type="dxa"/>
          </w:tcPr>
          <w:p w14:paraId="2223961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w:t>
            </w:r>
          </w:p>
          <w:p w14:paraId="4A42BCAA" w14:textId="77777777" w:rsidR="00E514B5" w:rsidRPr="00131E29" w:rsidRDefault="00E514B5" w:rsidP="004511C2">
            <w:pPr>
              <w:jc w:val="center"/>
              <w:rPr>
                <w:rFonts w:ascii="Calibri Light" w:hAnsi="Calibri Light" w:cs="Calibri Light"/>
                <w:sz w:val="18"/>
                <w:szCs w:val="18"/>
                <w:lang w:val="ro-RO"/>
              </w:rPr>
            </w:pPr>
          </w:p>
        </w:tc>
        <w:tc>
          <w:tcPr>
            <w:tcW w:w="1134" w:type="dxa"/>
          </w:tcPr>
          <w:p w14:paraId="7D4C8F55"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863,17/</w:t>
            </w:r>
          </w:p>
          <w:p w14:paraId="7D23BE50"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14 859,13</w:t>
            </w:r>
          </w:p>
        </w:tc>
        <w:tc>
          <w:tcPr>
            <w:tcW w:w="1418" w:type="dxa"/>
          </w:tcPr>
          <w:p w14:paraId="5F490ECD"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+4,58</w:t>
            </w:r>
          </w:p>
          <w:p w14:paraId="10C9C589" w14:textId="77777777" w:rsidR="00E514B5" w:rsidRPr="00131E29" w:rsidRDefault="00E514B5" w:rsidP="004511C2">
            <w:pPr>
              <w:jc w:val="center"/>
              <w:rPr>
                <w:rFonts w:ascii="Calibri Light" w:hAnsi="Calibri Light" w:cs="Calibri Light"/>
                <w:sz w:val="18"/>
                <w:szCs w:val="18"/>
                <w:lang w:val="ro-RO"/>
              </w:rPr>
            </w:pPr>
          </w:p>
        </w:tc>
      </w:tr>
      <w:tr w:rsidR="00E514B5" w:rsidRPr="00131E29" w14:paraId="5E21603D" w14:textId="77777777" w:rsidTr="004511C2">
        <w:tc>
          <w:tcPr>
            <w:tcW w:w="498" w:type="dxa"/>
          </w:tcPr>
          <w:p w14:paraId="0862150C"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5.</w:t>
            </w:r>
          </w:p>
        </w:tc>
        <w:tc>
          <w:tcPr>
            <w:tcW w:w="2758" w:type="dxa"/>
          </w:tcPr>
          <w:p w14:paraId="35CE343E" w14:textId="77777777" w:rsidR="00E514B5" w:rsidRPr="00131E29" w:rsidRDefault="00E514B5" w:rsidP="004511C2">
            <w:pPr>
              <w:rPr>
                <w:rFonts w:ascii="Calibri Light" w:hAnsi="Calibri Light" w:cs="Calibri Light"/>
                <w:sz w:val="18"/>
                <w:szCs w:val="18"/>
                <w:lang w:val="ro-RO"/>
              </w:rPr>
            </w:pPr>
            <w:r w:rsidRPr="00131E29">
              <w:rPr>
                <w:rFonts w:ascii="Calibri Light" w:hAnsi="Calibri Light" w:cs="Calibri Light"/>
                <w:sz w:val="18"/>
                <w:szCs w:val="18"/>
                <w:lang w:val="ro-RO"/>
              </w:rPr>
              <w:t>SA „Santek”</w:t>
            </w:r>
          </w:p>
        </w:tc>
        <w:tc>
          <w:tcPr>
            <w:tcW w:w="1134" w:type="dxa"/>
          </w:tcPr>
          <w:p w14:paraId="42B701EB"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euro/</w:t>
            </w:r>
          </w:p>
          <w:p w14:paraId="01D17495"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lei</w:t>
            </w:r>
          </w:p>
        </w:tc>
        <w:tc>
          <w:tcPr>
            <w:tcW w:w="1275" w:type="dxa"/>
          </w:tcPr>
          <w:p w14:paraId="5B72344C"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17 563,59/</w:t>
            </w:r>
          </w:p>
          <w:p w14:paraId="474D1BFB"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338 283,53</w:t>
            </w:r>
          </w:p>
        </w:tc>
        <w:tc>
          <w:tcPr>
            <w:tcW w:w="1134" w:type="dxa"/>
          </w:tcPr>
          <w:p w14:paraId="74374AE4"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603,91</w:t>
            </w:r>
          </w:p>
          <w:p w14:paraId="0840FD73" w14:textId="77777777" w:rsidR="00E514B5" w:rsidRPr="00131E29" w:rsidRDefault="00E514B5" w:rsidP="004511C2">
            <w:pPr>
              <w:jc w:val="center"/>
              <w:rPr>
                <w:rFonts w:ascii="Calibri Light" w:hAnsi="Calibri Light" w:cs="Calibri Light"/>
                <w:sz w:val="18"/>
                <w:szCs w:val="18"/>
                <w:lang w:val="ro-RO"/>
              </w:rPr>
            </w:pPr>
          </w:p>
        </w:tc>
        <w:tc>
          <w:tcPr>
            <w:tcW w:w="1134" w:type="dxa"/>
          </w:tcPr>
          <w:p w14:paraId="4047D88E"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18 167,50/</w:t>
            </w:r>
          </w:p>
          <w:p w14:paraId="1F4B86C5"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383 817,57</w:t>
            </w:r>
          </w:p>
        </w:tc>
        <w:tc>
          <w:tcPr>
            <w:tcW w:w="1418" w:type="dxa"/>
          </w:tcPr>
          <w:p w14:paraId="2F7DFC79" w14:textId="77777777" w:rsidR="00E514B5" w:rsidRPr="00131E29" w:rsidRDefault="00E514B5" w:rsidP="004511C2">
            <w:pPr>
              <w:jc w:val="center"/>
              <w:rPr>
                <w:rFonts w:ascii="Calibri Light" w:hAnsi="Calibri Light" w:cs="Calibri Light"/>
                <w:sz w:val="18"/>
                <w:szCs w:val="18"/>
                <w:lang w:val="ro-RO"/>
              </w:rPr>
            </w:pPr>
            <w:r w:rsidRPr="00131E29">
              <w:rPr>
                <w:rFonts w:ascii="Calibri Light" w:hAnsi="Calibri Light" w:cs="Calibri Light"/>
                <w:sz w:val="18"/>
                <w:szCs w:val="18"/>
                <w:lang w:val="ro-RO"/>
              </w:rPr>
              <w:t>+45 533,98</w:t>
            </w:r>
          </w:p>
          <w:p w14:paraId="0F4B7DAF" w14:textId="77777777" w:rsidR="00E514B5" w:rsidRPr="00131E29" w:rsidRDefault="00E514B5" w:rsidP="004511C2">
            <w:pPr>
              <w:jc w:val="center"/>
              <w:rPr>
                <w:rFonts w:ascii="Calibri Light" w:hAnsi="Calibri Light" w:cs="Calibri Light"/>
                <w:sz w:val="18"/>
                <w:szCs w:val="18"/>
                <w:highlight w:val="yellow"/>
                <w:lang w:val="ro-RO"/>
              </w:rPr>
            </w:pPr>
          </w:p>
        </w:tc>
      </w:tr>
      <w:tr w:rsidR="00E514B5" w:rsidRPr="00131E29" w14:paraId="59C5E93A" w14:textId="77777777" w:rsidTr="004511C2">
        <w:tc>
          <w:tcPr>
            <w:tcW w:w="3256" w:type="dxa"/>
            <w:gridSpan w:val="2"/>
          </w:tcPr>
          <w:p w14:paraId="4175F0CE"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Total împrumuturi externe</w:t>
            </w:r>
          </w:p>
        </w:tc>
        <w:tc>
          <w:tcPr>
            <w:tcW w:w="1134" w:type="dxa"/>
          </w:tcPr>
          <w:p w14:paraId="64A3F736"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lei</w:t>
            </w:r>
          </w:p>
        </w:tc>
        <w:tc>
          <w:tcPr>
            <w:tcW w:w="1275" w:type="dxa"/>
          </w:tcPr>
          <w:p w14:paraId="014FAD6F"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428 690,16</w:t>
            </w:r>
          </w:p>
        </w:tc>
        <w:tc>
          <w:tcPr>
            <w:tcW w:w="1134" w:type="dxa"/>
          </w:tcPr>
          <w:p w14:paraId="68BD347E" w14:textId="77777777" w:rsidR="00E514B5" w:rsidRPr="00131E29" w:rsidRDefault="00E514B5" w:rsidP="004511C2">
            <w:pPr>
              <w:jc w:val="center"/>
              <w:rPr>
                <w:rFonts w:ascii="Calibri Light" w:hAnsi="Calibri Light" w:cs="Calibri Light"/>
                <w:b/>
                <w:i/>
                <w:sz w:val="18"/>
                <w:szCs w:val="18"/>
                <w:lang w:val="ro-RO"/>
              </w:rPr>
            </w:pPr>
          </w:p>
        </w:tc>
        <w:tc>
          <w:tcPr>
            <w:tcW w:w="1134" w:type="dxa"/>
          </w:tcPr>
          <w:p w14:paraId="3D93B651" w14:textId="77777777" w:rsidR="00E514B5" w:rsidRPr="00131E29" w:rsidRDefault="00E514B5" w:rsidP="004511C2">
            <w:pPr>
              <w:jc w:val="center"/>
              <w:rPr>
                <w:rFonts w:ascii="Calibri Light" w:hAnsi="Calibri Light" w:cs="Calibri Light"/>
                <w:b/>
                <w:i/>
                <w:sz w:val="18"/>
                <w:szCs w:val="18"/>
                <w:lang w:val="ro-RO"/>
              </w:rPr>
            </w:pPr>
            <w:r w:rsidRPr="00131E29">
              <w:rPr>
                <w:rFonts w:ascii="Calibri Light" w:hAnsi="Calibri Light" w:cs="Calibri Light"/>
                <w:b/>
                <w:i/>
                <w:sz w:val="18"/>
                <w:szCs w:val="18"/>
                <w:lang w:val="ro-RO"/>
              </w:rPr>
              <w:t>456 493,97</w:t>
            </w:r>
          </w:p>
        </w:tc>
        <w:tc>
          <w:tcPr>
            <w:tcW w:w="1418" w:type="dxa"/>
          </w:tcPr>
          <w:p w14:paraId="66C61FFC" w14:textId="77777777" w:rsidR="00E514B5" w:rsidRPr="00131E29" w:rsidRDefault="00E514B5" w:rsidP="004511C2">
            <w:pPr>
              <w:jc w:val="center"/>
              <w:rPr>
                <w:rFonts w:ascii="Calibri Light" w:hAnsi="Calibri Light" w:cs="Calibri Light"/>
                <w:b/>
                <w:i/>
                <w:sz w:val="18"/>
                <w:szCs w:val="18"/>
                <w:highlight w:val="yellow"/>
                <w:lang w:val="ro-RO"/>
              </w:rPr>
            </w:pPr>
            <w:r w:rsidRPr="00131E29">
              <w:rPr>
                <w:rFonts w:ascii="Calibri Light" w:hAnsi="Calibri Light" w:cs="Calibri Light"/>
                <w:b/>
                <w:i/>
                <w:sz w:val="18"/>
                <w:szCs w:val="18"/>
                <w:lang w:val="ro-RO"/>
              </w:rPr>
              <w:t>+27 803,81</w:t>
            </w:r>
          </w:p>
        </w:tc>
      </w:tr>
      <w:tr w:rsidR="00E514B5" w:rsidRPr="00131E29" w14:paraId="6D23D773" w14:textId="77777777" w:rsidTr="007965DC">
        <w:tc>
          <w:tcPr>
            <w:tcW w:w="3256" w:type="dxa"/>
            <w:gridSpan w:val="2"/>
            <w:shd w:val="clear" w:color="auto" w:fill="auto"/>
          </w:tcPr>
          <w:p w14:paraId="18913861" w14:textId="77777777" w:rsidR="00E514B5" w:rsidRPr="00131E29" w:rsidRDefault="00E514B5" w:rsidP="004511C2">
            <w:pPr>
              <w:jc w:val="center"/>
              <w:rPr>
                <w:rFonts w:ascii="Calibri Light" w:hAnsi="Calibri Light" w:cs="Calibri Light"/>
                <w:b/>
                <w:sz w:val="18"/>
                <w:szCs w:val="18"/>
                <w:lang w:val="ro-RO"/>
              </w:rPr>
            </w:pPr>
            <w:r w:rsidRPr="00131E29">
              <w:rPr>
                <w:rFonts w:ascii="Calibri Light" w:hAnsi="Calibri Light" w:cs="Calibri Light"/>
                <w:b/>
                <w:sz w:val="18"/>
                <w:szCs w:val="18"/>
                <w:lang w:val="ro-RO"/>
              </w:rPr>
              <w:t>TOTAL</w:t>
            </w:r>
          </w:p>
        </w:tc>
        <w:tc>
          <w:tcPr>
            <w:tcW w:w="1134" w:type="dxa"/>
            <w:shd w:val="clear" w:color="auto" w:fill="auto"/>
          </w:tcPr>
          <w:p w14:paraId="162CA0B5" w14:textId="77777777" w:rsidR="00E514B5" w:rsidRPr="00131E29" w:rsidRDefault="00E514B5" w:rsidP="004511C2">
            <w:pPr>
              <w:jc w:val="center"/>
              <w:rPr>
                <w:rFonts w:ascii="Calibri Light" w:hAnsi="Calibri Light" w:cs="Calibri Light"/>
                <w:b/>
                <w:sz w:val="18"/>
                <w:szCs w:val="18"/>
                <w:lang w:val="ro-RO"/>
              </w:rPr>
            </w:pPr>
            <w:r w:rsidRPr="00131E29">
              <w:rPr>
                <w:rFonts w:ascii="Calibri Light" w:hAnsi="Calibri Light" w:cs="Calibri Light"/>
                <w:b/>
                <w:sz w:val="18"/>
                <w:szCs w:val="18"/>
                <w:lang w:val="ro-RO"/>
              </w:rPr>
              <w:t>lei</w:t>
            </w:r>
          </w:p>
        </w:tc>
        <w:tc>
          <w:tcPr>
            <w:tcW w:w="1275" w:type="dxa"/>
            <w:shd w:val="clear" w:color="auto" w:fill="auto"/>
          </w:tcPr>
          <w:p w14:paraId="491DED76" w14:textId="77777777" w:rsidR="00E514B5" w:rsidRPr="00131E29" w:rsidRDefault="00E514B5" w:rsidP="004511C2">
            <w:pPr>
              <w:jc w:val="center"/>
              <w:rPr>
                <w:rFonts w:ascii="Calibri Light" w:hAnsi="Calibri Light" w:cs="Calibri Light"/>
                <w:b/>
                <w:sz w:val="18"/>
                <w:szCs w:val="18"/>
                <w:lang w:val="ro-RO"/>
              </w:rPr>
            </w:pPr>
            <w:r w:rsidRPr="00131E29">
              <w:rPr>
                <w:rFonts w:ascii="Calibri Light" w:hAnsi="Calibri Light" w:cs="Calibri Light"/>
                <w:b/>
                <w:sz w:val="18"/>
                <w:szCs w:val="18"/>
                <w:lang w:val="ro-RO"/>
              </w:rPr>
              <w:t>431 108,70</w:t>
            </w:r>
          </w:p>
        </w:tc>
        <w:tc>
          <w:tcPr>
            <w:tcW w:w="1134" w:type="dxa"/>
            <w:shd w:val="clear" w:color="auto" w:fill="auto"/>
          </w:tcPr>
          <w:p w14:paraId="1C2B9A11" w14:textId="77777777" w:rsidR="00E514B5" w:rsidRPr="00131E29" w:rsidRDefault="00E514B5" w:rsidP="004511C2">
            <w:pPr>
              <w:jc w:val="center"/>
              <w:rPr>
                <w:rFonts w:ascii="Calibri Light" w:hAnsi="Calibri Light" w:cs="Calibri Light"/>
                <w:b/>
                <w:sz w:val="18"/>
                <w:szCs w:val="18"/>
                <w:lang w:val="ro-RO"/>
              </w:rPr>
            </w:pPr>
          </w:p>
        </w:tc>
        <w:tc>
          <w:tcPr>
            <w:tcW w:w="1134" w:type="dxa"/>
            <w:shd w:val="clear" w:color="auto" w:fill="auto"/>
          </w:tcPr>
          <w:p w14:paraId="4FC23B9E" w14:textId="77777777" w:rsidR="00E514B5" w:rsidRPr="00131E29" w:rsidRDefault="00E514B5" w:rsidP="004511C2">
            <w:pPr>
              <w:jc w:val="center"/>
              <w:rPr>
                <w:rFonts w:ascii="Calibri Light" w:hAnsi="Calibri Light" w:cs="Calibri Light"/>
                <w:b/>
                <w:sz w:val="18"/>
                <w:szCs w:val="18"/>
                <w:lang w:val="ro-RO"/>
              </w:rPr>
            </w:pPr>
            <w:r w:rsidRPr="00131E29">
              <w:rPr>
                <w:rFonts w:ascii="Calibri Light" w:hAnsi="Calibri Light" w:cs="Calibri Light"/>
                <w:b/>
                <w:sz w:val="18"/>
                <w:szCs w:val="18"/>
                <w:lang w:val="ro-RO"/>
              </w:rPr>
              <w:t>459 080,19</w:t>
            </w:r>
          </w:p>
        </w:tc>
        <w:tc>
          <w:tcPr>
            <w:tcW w:w="1418" w:type="dxa"/>
            <w:shd w:val="clear" w:color="auto" w:fill="auto"/>
          </w:tcPr>
          <w:p w14:paraId="6975F423" w14:textId="77777777" w:rsidR="00E514B5" w:rsidRPr="00131E29" w:rsidRDefault="00E514B5" w:rsidP="004511C2">
            <w:pPr>
              <w:jc w:val="center"/>
              <w:rPr>
                <w:rFonts w:ascii="Calibri Light" w:hAnsi="Calibri Light" w:cs="Calibri Light"/>
                <w:b/>
                <w:sz w:val="18"/>
                <w:szCs w:val="18"/>
                <w:lang w:val="ro-RO"/>
              </w:rPr>
            </w:pPr>
            <w:r w:rsidRPr="00131E29">
              <w:rPr>
                <w:rFonts w:ascii="Calibri Light" w:hAnsi="Calibri Light" w:cs="Calibri Light"/>
                <w:b/>
                <w:sz w:val="18"/>
                <w:szCs w:val="18"/>
                <w:lang w:val="ro-RO"/>
              </w:rPr>
              <w:t>27 971,51</w:t>
            </w:r>
          </w:p>
        </w:tc>
      </w:tr>
    </w:tbl>
    <w:p w14:paraId="130D56D5" w14:textId="77777777" w:rsidR="00E514B5" w:rsidRDefault="00E514B5" w:rsidP="00E514B5">
      <w:pPr>
        <w:spacing w:after="240" w:line="240" w:lineRule="auto"/>
        <w:jc w:val="both"/>
        <w:rPr>
          <w:rFonts w:ascii="Calibri Light" w:eastAsia="Calibri" w:hAnsi="Calibri Light" w:cs="Calibri Light"/>
          <w:i/>
          <w:sz w:val="20"/>
          <w:szCs w:val="24"/>
          <w:lang w:val="ro-RO"/>
        </w:rPr>
      </w:pPr>
      <w:r w:rsidRPr="00131E29">
        <w:rPr>
          <w:rFonts w:ascii="Calibri Light" w:eastAsia="Calibri" w:hAnsi="Calibri Light" w:cs="Calibri Light"/>
          <w:b/>
          <w:i/>
          <w:sz w:val="20"/>
          <w:szCs w:val="24"/>
          <w:lang w:val="ro-RO"/>
        </w:rPr>
        <w:t>Sursa:</w:t>
      </w:r>
      <w:r w:rsidRPr="00131E29">
        <w:rPr>
          <w:rFonts w:ascii="Calibri Light" w:eastAsia="Calibri" w:hAnsi="Calibri Light" w:cs="Calibri Light"/>
          <w:i/>
          <w:sz w:val="20"/>
          <w:szCs w:val="24"/>
          <w:lang w:val="ro-RO"/>
        </w:rPr>
        <w:t xml:space="preserve"> Raportul privind datoriile debitorilor garantați față de MF pe anul 2020.</w:t>
      </w:r>
    </w:p>
    <w:p w14:paraId="6D3835BA" w14:textId="05A55E12" w:rsidR="00E514B5" w:rsidRDefault="00E514B5" w:rsidP="00E514B5">
      <w:pPr>
        <w:spacing w:after="0" w:line="276" w:lineRule="auto"/>
        <w:jc w:val="right"/>
        <w:rPr>
          <w:rFonts w:cstheme="majorHAnsi"/>
          <w:b/>
          <w:i/>
          <w:color w:val="5B9BD5" w:themeColor="accent1"/>
          <w:szCs w:val="24"/>
          <w:lang w:val="ro-RO"/>
          <w14:glow w14:rad="0">
            <w14:schemeClr w14:val="tx1"/>
          </w14:glow>
        </w:rPr>
      </w:pPr>
      <w:r w:rsidRPr="0047410E">
        <w:rPr>
          <w:rFonts w:ascii="Calibri Light" w:eastAsia="Times New Roman" w:hAnsi="Calibri Light" w:cs="Calibri Light"/>
          <w:b/>
          <w:i/>
          <w:szCs w:val="24"/>
          <w:lang w:val="ro-RO" w:eastAsia="ru-RU"/>
        </w:rPr>
        <w:t>Tabelul nr.</w:t>
      </w:r>
      <w:r w:rsidR="00656726">
        <w:rPr>
          <w:rFonts w:ascii="Calibri Light" w:eastAsia="Times New Roman" w:hAnsi="Calibri Light" w:cs="Calibri Light"/>
          <w:b/>
          <w:i/>
          <w:szCs w:val="24"/>
          <w:lang w:val="ro-RO" w:eastAsia="ru-RU"/>
        </w:rPr>
        <w:t>7</w:t>
      </w:r>
      <w:r>
        <w:rPr>
          <w:rFonts w:cstheme="majorHAnsi"/>
          <w:b/>
          <w:i/>
          <w:color w:val="5B9BD5" w:themeColor="accent1"/>
          <w:szCs w:val="24"/>
          <w:lang w:val="ro-RO"/>
          <w14:glow w14:rad="0">
            <w14:schemeClr w14:val="tx1"/>
          </w14:glow>
        </w:rPr>
        <w:t xml:space="preserve"> </w:t>
      </w:r>
    </w:p>
    <w:p w14:paraId="207213F6" w14:textId="77777777" w:rsidR="00E514B5" w:rsidRPr="007F6FE6" w:rsidRDefault="00E514B5" w:rsidP="00E514B5">
      <w:pPr>
        <w:spacing w:after="0" w:line="240" w:lineRule="auto"/>
        <w:jc w:val="center"/>
        <w:rPr>
          <w:rFonts w:ascii="Calibri Light" w:eastAsia="Times New Roman" w:hAnsi="Calibri Light" w:cs="Calibri Light"/>
          <w:b/>
          <w:szCs w:val="24"/>
          <w:lang w:val="ro-RO"/>
        </w:rPr>
      </w:pPr>
      <w:r w:rsidRPr="007F6FE6">
        <w:rPr>
          <w:rFonts w:ascii="Calibri Light" w:eastAsia="Times New Roman" w:hAnsi="Calibri Light" w:cs="Calibri Light"/>
          <w:b/>
          <w:szCs w:val="24"/>
          <w:lang w:val="ro-RO"/>
        </w:rPr>
        <w:t>Beneficiarii recreditați în anul 2020 prin intermediul MF</w:t>
      </w:r>
    </w:p>
    <w:tbl>
      <w:tblPr>
        <w:tblW w:w="91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206"/>
        <w:gridCol w:w="1842"/>
        <w:gridCol w:w="1560"/>
        <w:gridCol w:w="1134"/>
        <w:gridCol w:w="992"/>
      </w:tblGrid>
      <w:tr w:rsidR="00E514B5" w:rsidRPr="007F6FE6" w14:paraId="687E500F" w14:textId="77777777" w:rsidTr="007965DC">
        <w:trPr>
          <w:trHeight w:val="609"/>
        </w:trPr>
        <w:tc>
          <w:tcPr>
            <w:tcW w:w="442" w:type="dxa"/>
            <w:shd w:val="clear" w:color="auto" w:fill="auto"/>
            <w:vAlign w:val="center"/>
          </w:tcPr>
          <w:p w14:paraId="537493B7" w14:textId="77777777" w:rsidR="00E514B5" w:rsidRPr="007F6FE6" w:rsidRDefault="00E514B5" w:rsidP="00A37697">
            <w:pPr>
              <w:spacing w:after="0" w:line="240" w:lineRule="auto"/>
              <w:jc w:val="center"/>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Nr. d/o</w:t>
            </w:r>
          </w:p>
        </w:tc>
        <w:tc>
          <w:tcPr>
            <w:tcW w:w="3206" w:type="dxa"/>
            <w:shd w:val="clear" w:color="auto" w:fill="auto"/>
          </w:tcPr>
          <w:p w14:paraId="3A53BB08" w14:textId="77777777" w:rsidR="00E514B5" w:rsidRPr="007F6FE6" w:rsidRDefault="00E514B5" w:rsidP="00A37697">
            <w:pPr>
              <w:spacing w:after="0" w:line="240" w:lineRule="auto"/>
              <w:jc w:val="center"/>
              <w:rPr>
                <w:rFonts w:ascii="Calibri Light" w:eastAsia="Times New Roman" w:hAnsi="Calibri Light" w:cs="Calibri Light"/>
                <w:b/>
                <w:sz w:val="16"/>
                <w:szCs w:val="16"/>
                <w:lang w:val="ro-RO"/>
              </w:rPr>
            </w:pPr>
          </w:p>
          <w:p w14:paraId="393AFCCC" w14:textId="77777777" w:rsidR="00E514B5" w:rsidRPr="007F6FE6" w:rsidRDefault="00E514B5" w:rsidP="00A37697">
            <w:pPr>
              <w:spacing w:after="0" w:line="240" w:lineRule="auto"/>
              <w:jc w:val="center"/>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Denumirea proiectului</w:t>
            </w:r>
          </w:p>
        </w:tc>
        <w:tc>
          <w:tcPr>
            <w:tcW w:w="1842" w:type="dxa"/>
            <w:shd w:val="clear" w:color="auto" w:fill="auto"/>
          </w:tcPr>
          <w:p w14:paraId="2700DE40" w14:textId="77777777" w:rsidR="00E514B5" w:rsidRPr="007F6FE6" w:rsidRDefault="00E514B5" w:rsidP="00A37697">
            <w:pPr>
              <w:spacing w:after="0" w:line="240" w:lineRule="auto"/>
              <w:jc w:val="center"/>
              <w:rPr>
                <w:rFonts w:ascii="Calibri Light" w:eastAsia="Times New Roman" w:hAnsi="Calibri Light" w:cs="Calibri Light"/>
                <w:b/>
                <w:sz w:val="16"/>
                <w:szCs w:val="16"/>
                <w:lang w:val="ro-RO"/>
              </w:rPr>
            </w:pPr>
          </w:p>
          <w:p w14:paraId="675B034E" w14:textId="77777777" w:rsidR="00E514B5" w:rsidRPr="007F6FE6" w:rsidRDefault="00E514B5" w:rsidP="00A37697">
            <w:pPr>
              <w:spacing w:after="0" w:line="240" w:lineRule="auto"/>
              <w:jc w:val="center"/>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Finanțatorul</w:t>
            </w:r>
          </w:p>
        </w:tc>
        <w:tc>
          <w:tcPr>
            <w:tcW w:w="1560" w:type="dxa"/>
            <w:shd w:val="clear" w:color="auto" w:fill="auto"/>
            <w:vAlign w:val="center"/>
          </w:tcPr>
          <w:p w14:paraId="299AC12C" w14:textId="77777777" w:rsidR="00E514B5" w:rsidRPr="007F6FE6" w:rsidRDefault="00E514B5" w:rsidP="00A37697">
            <w:pPr>
              <w:spacing w:after="0" w:line="240" w:lineRule="auto"/>
              <w:jc w:val="center"/>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Beneficiarul recreditat</w:t>
            </w:r>
          </w:p>
        </w:tc>
        <w:tc>
          <w:tcPr>
            <w:tcW w:w="1134" w:type="dxa"/>
            <w:shd w:val="clear" w:color="auto" w:fill="auto"/>
            <w:vAlign w:val="center"/>
          </w:tcPr>
          <w:p w14:paraId="30F175CC" w14:textId="77777777" w:rsidR="00E514B5" w:rsidRPr="007F6FE6" w:rsidRDefault="00E514B5" w:rsidP="00A37697">
            <w:pPr>
              <w:spacing w:after="0" w:line="240" w:lineRule="auto"/>
              <w:jc w:val="center"/>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u.m.</w:t>
            </w:r>
          </w:p>
        </w:tc>
        <w:tc>
          <w:tcPr>
            <w:tcW w:w="992" w:type="dxa"/>
            <w:shd w:val="clear" w:color="auto" w:fill="auto"/>
            <w:vAlign w:val="center"/>
          </w:tcPr>
          <w:p w14:paraId="3A40F185" w14:textId="77777777" w:rsidR="00E514B5" w:rsidRPr="007F6FE6" w:rsidRDefault="00E514B5" w:rsidP="00A37697">
            <w:pPr>
              <w:spacing w:after="0" w:line="240" w:lineRule="auto"/>
              <w:jc w:val="center"/>
              <w:rPr>
                <w:rFonts w:ascii="Calibri Light" w:eastAsia="Times New Roman" w:hAnsi="Calibri Light" w:cs="Times New Roman"/>
                <w:b/>
                <w:sz w:val="16"/>
                <w:lang w:val="ro-RO"/>
              </w:rPr>
            </w:pPr>
            <w:r w:rsidRPr="007F6FE6">
              <w:rPr>
                <w:rFonts w:ascii="Calibri Light" w:eastAsia="Times New Roman" w:hAnsi="Calibri Light" w:cs="Calibri Light"/>
                <w:b/>
                <w:sz w:val="16"/>
                <w:szCs w:val="16"/>
                <w:lang w:val="ro-RO"/>
              </w:rPr>
              <w:t>Recreditat în anul 2020</w:t>
            </w:r>
          </w:p>
        </w:tc>
      </w:tr>
      <w:tr w:rsidR="00E514B5" w:rsidRPr="007F6FE6" w14:paraId="04E48D52" w14:textId="77777777" w:rsidTr="004511C2">
        <w:trPr>
          <w:trHeight w:val="953"/>
        </w:trPr>
        <w:tc>
          <w:tcPr>
            <w:tcW w:w="442" w:type="dxa"/>
            <w:shd w:val="clear" w:color="auto" w:fill="FFFFFF"/>
          </w:tcPr>
          <w:p w14:paraId="50D239FF"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1</w:t>
            </w:r>
          </w:p>
        </w:tc>
        <w:tc>
          <w:tcPr>
            <w:tcW w:w="3206" w:type="dxa"/>
            <w:shd w:val="clear" w:color="auto" w:fill="FFFFFF"/>
          </w:tcPr>
          <w:p w14:paraId="2C07D0B7"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 xml:space="preserve">Proiectul „Construcția locuințelor sociale pentru păturile socialmente vulnerabile”, faza II </w:t>
            </w:r>
          </w:p>
          <w:p w14:paraId="42DED798"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p w14:paraId="7A01B742"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Total</w:t>
            </w:r>
          </w:p>
        </w:tc>
        <w:tc>
          <w:tcPr>
            <w:tcW w:w="1842" w:type="dxa"/>
            <w:shd w:val="clear" w:color="auto" w:fill="FFFFFF"/>
          </w:tcPr>
          <w:p w14:paraId="2EE06566"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Banca de Dezvoltare a Consiliului Europei</w:t>
            </w:r>
          </w:p>
        </w:tc>
        <w:tc>
          <w:tcPr>
            <w:tcW w:w="1560" w:type="dxa"/>
            <w:shd w:val="clear" w:color="auto" w:fill="FFFFFF"/>
          </w:tcPr>
          <w:p w14:paraId="38B15AA9" w14:textId="77777777" w:rsidR="00E514B5" w:rsidRDefault="00A4546D" w:rsidP="004511C2">
            <w:pPr>
              <w:spacing w:after="0" w:line="240" w:lineRule="auto"/>
              <w:jc w:val="both"/>
              <w:rPr>
                <w:rFonts w:ascii="Calibri Light" w:eastAsia="Times New Roman" w:hAnsi="Calibri Light" w:cs="Calibri Light"/>
                <w:sz w:val="16"/>
                <w:szCs w:val="16"/>
                <w:lang w:val="ro-RO"/>
              </w:rPr>
            </w:pPr>
            <w:r>
              <w:rPr>
                <w:rFonts w:ascii="Calibri Light" w:eastAsia="Times New Roman" w:hAnsi="Calibri Light" w:cs="Calibri Light"/>
                <w:sz w:val="16"/>
                <w:szCs w:val="16"/>
                <w:lang w:val="ro-RO"/>
              </w:rPr>
              <w:t>Consiliul raional Cahul</w:t>
            </w:r>
          </w:p>
          <w:p w14:paraId="719ECECC" w14:textId="344E49F4" w:rsidR="00A4546D" w:rsidRPr="007F6FE6" w:rsidRDefault="00A4546D" w:rsidP="004511C2">
            <w:pPr>
              <w:spacing w:after="0" w:line="240" w:lineRule="auto"/>
              <w:jc w:val="both"/>
              <w:rPr>
                <w:rFonts w:ascii="Calibri Light" w:eastAsia="Times New Roman" w:hAnsi="Calibri Light" w:cs="Calibri Light"/>
                <w:sz w:val="16"/>
                <w:szCs w:val="16"/>
                <w:lang w:val="ro-RO"/>
              </w:rPr>
            </w:pPr>
            <w:r>
              <w:rPr>
                <w:rFonts w:ascii="Calibri Light" w:eastAsia="Times New Roman" w:hAnsi="Calibri Light" w:cs="Calibri Light"/>
                <w:sz w:val="16"/>
                <w:szCs w:val="16"/>
                <w:lang w:val="ro-RO"/>
              </w:rPr>
              <w:t>Consiliul raional Cimișlia</w:t>
            </w:r>
          </w:p>
        </w:tc>
        <w:tc>
          <w:tcPr>
            <w:tcW w:w="1134" w:type="dxa"/>
            <w:shd w:val="clear" w:color="auto" w:fill="FFFFFF"/>
          </w:tcPr>
          <w:p w14:paraId="010BD199" w14:textId="2DEBB71A" w:rsidR="0088159F" w:rsidRDefault="00A4546D" w:rsidP="004511C2">
            <w:pPr>
              <w:spacing w:after="0" w:line="240" w:lineRule="auto"/>
              <w:jc w:val="both"/>
              <w:rPr>
                <w:rFonts w:ascii="Calibri Light" w:eastAsia="MS Mincho" w:hAnsi="Calibri Light" w:cs="Calibri Light"/>
                <w:i/>
                <w:sz w:val="16"/>
                <w:szCs w:val="16"/>
                <w:lang w:val="ro-RO" w:eastAsia="ru-RU"/>
              </w:rPr>
            </w:pPr>
            <w:r>
              <w:rPr>
                <w:rFonts w:ascii="Calibri Light" w:eastAsia="MS Mincho" w:hAnsi="Calibri Light" w:cs="Calibri Light"/>
                <w:i/>
                <w:sz w:val="16"/>
                <w:szCs w:val="16"/>
                <w:lang w:val="ro-RO" w:eastAsia="ru-RU"/>
              </w:rPr>
              <w:t>mil.Euro</w:t>
            </w:r>
          </w:p>
          <w:p w14:paraId="2DC65C36" w14:textId="17F397C5" w:rsidR="0088159F" w:rsidRDefault="0088159F" w:rsidP="004511C2">
            <w:pPr>
              <w:spacing w:after="0" w:line="240" w:lineRule="auto"/>
              <w:jc w:val="both"/>
              <w:rPr>
                <w:rFonts w:ascii="Calibri Light" w:eastAsia="MS Mincho" w:hAnsi="Calibri Light" w:cs="Calibri Light"/>
                <w:i/>
                <w:sz w:val="16"/>
                <w:szCs w:val="16"/>
                <w:lang w:val="ro-RO" w:eastAsia="ru-RU"/>
              </w:rPr>
            </w:pPr>
          </w:p>
          <w:p w14:paraId="77122E90" w14:textId="2E11EA8C" w:rsidR="0088159F" w:rsidRDefault="0088159F" w:rsidP="004511C2">
            <w:pPr>
              <w:spacing w:after="0" w:line="240" w:lineRule="auto"/>
              <w:jc w:val="both"/>
              <w:rPr>
                <w:rFonts w:ascii="Calibri Light" w:eastAsia="MS Mincho" w:hAnsi="Calibri Light" w:cs="Calibri Light"/>
                <w:i/>
                <w:sz w:val="16"/>
                <w:szCs w:val="16"/>
                <w:lang w:val="ro-RO" w:eastAsia="ru-RU"/>
              </w:rPr>
            </w:pPr>
            <w:r>
              <w:rPr>
                <w:rFonts w:ascii="Calibri Light" w:eastAsia="MS Mincho" w:hAnsi="Calibri Light" w:cs="Calibri Light"/>
                <w:i/>
                <w:sz w:val="16"/>
                <w:szCs w:val="16"/>
                <w:lang w:val="ro-RO" w:eastAsia="ru-RU"/>
              </w:rPr>
              <w:t>mil. Euro</w:t>
            </w:r>
          </w:p>
          <w:p w14:paraId="4C71D0C9" w14:textId="77777777" w:rsidR="0088159F" w:rsidRDefault="0088159F" w:rsidP="004511C2">
            <w:pPr>
              <w:spacing w:after="0" w:line="240" w:lineRule="auto"/>
              <w:jc w:val="both"/>
              <w:rPr>
                <w:rFonts w:ascii="Calibri Light" w:eastAsia="MS Mincho" w:hAnsi="Calibri Light" w:cs="Calibri Light"/>
                <w:b/>
                <w:i/>
                <w:sz w:val="16"/>
                <w:szCs w:val="16"/>
                <w:lang w:val="ro-RO" w:eastAsia="ru-RU"/>
              </w:rPr>
            </w:pPr>
          </w:p>
          <w:p w14:paraId="4B36EE37" w14:textId="3C401253"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MS Mincho" w:hAnsi="Calibri Light" w:cs="Calibri Light"/>
                <w:b/>
                <w:i/>
                <w:sz w:val="16"/>
                <w:szCs w:val="16"/>
                <w:lang w:val="ro-RO" w:eastAsia="ru-RU"/>
              </w:rPr>
              <w:t>mil. Euro</w:t>
            </w:r>
          </w:p>
        </w:tc>
        <w:tc>
          <w:tcPr>
            <w:tcW w:w="992" w:type="dxa"/>
            <w:shd w:val="clear" w:color="auto" w:fill="FFFFFF"/>
          </w:tcPr>
          <w:p w14:paraId="155D90AB" w14:textId="3C9BDD61" w:rsidR="00E514B5" w:rsidRPr="00A4546D" w:rsidRDefault="00A4546D" w:rsidP="004511C2">
            <w:pPr>
              <w:spacing w:after="0" w:line="240" w:lineRule="auto"/>
              <w:jc w:val="both"/>
              <w:rPr>
                <w:rFonts w:ascii="Calibri Light" w:eastAsia="Times New Roman" w:hAnsi="Calibri Light" w:cs="Calibri Light"/>
                <w:sz w:val="16"/>
                <w:szCs w:val="16"/>
                <w:lang w:val="ro-RO"/>
              </w:rPr>
            </w:pPr>
            <w:r w:rsidRPr="00A4546D">
              <w:rPr>
                <w:rFonts w:ascii="Calibri Light" w:eastAsia="Times New Roman" w:hAnsi="Calibri Light" w:cs="Calibri Light"/>
                <w:sz w:val="16"/>
                <w:szCs w:val="16"/>
                <w:lang w:val="ro-RO"/>
              </w:rPr>
              <w:t>0,2</w:t>
            </w:r>
          </w:p>
          <w:p w14:paraId="4183BE0C"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p>
          <w:p w14:paraId="761EA899" w14:textId="26DE647F" w:rsidR="00E514B5" w:rsidRPr="0088159F" w:rsidRDefault="0088159F" w:rsidP="004511C2">
            <w:pPr>
              <w:spacing w:after="0" w:line="240" w:lineRule="auto"/>
              <w:jc w:val="both"/>
              <w:rPr>
                <w:rFonts w:ascii="Calibri Light" w:eastAsia="Times New Roman" w:hAnsi="Calibri Light" w:cs="Calibri Light"/>
                <w:sz w:val="16"/>
                <w:szCs w:val="16"/>
                <w:lang w:val="ro-RO"/>
              </w:rPr>
            </w:pPr>
            <w:r w:rsidRPr="0088159F">
              <w:rPr>
                <w:rFonts w:ascii="Calibri Light" w:eastAsia="Times New Roman" w:hAnsi="Calibri Light" w:cs="Calibri Light"/>
                <w:sz w:val="16"/>
                <w:szCs w:val="16"/>
                <w:lang w:val="ro-RO"/>
              </w:rPr>
              <w:t>0</w:t>
            </w:r>
            <w:r w:rsidR="00A4546D">
              <w:rPr>
                <w:rFonts w:ascii="Calibri Light" w:eastAsia="Times New Roman" w:hAnsi="Calibri Light" w:cs="Calibri Light"/>
                <w:sz w:val="16"/>
                <w:szCs w:val="16"/>
                <w:lang w:val="ro-RO"/>
              </w:rPr>
              <w:t>,2</w:t>
            </w:r>
          </w:p>
          <w:p w14:paraId="4EFA12D2" w14:textId="77777777" w:rsidR="0088159F" w:rsidRDefault="0088159F" w:rsidP="004511C2">
            <w:pPr>
              <w:spacing w:after="0" w:line="240" w:lineRule="auto"/>
              <w:jc w:val="both"/>
              <w:rPr>
                <w:rFonts w:ascii="Calibri Light" w:eastAsia="Times New Roman" w:hAnsi="Calibri Light" w:cs="Calibri Light"/>
                <w:b/>
                <w:sz w:val="16"/>
                <w:szCs w:val="16"/>
                <w:lang w:val="ro-RO"/>
              </w:rPr>
            </w:pPr>
          </w:p>
          <w:p w14:paraId="1136F869" w14:textId="0C37AD25"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0,4</w:t>
            </w:r>
          </w:p>
        </w:tc>
      </w:tr>
      <w:tr w:rsidR="00E514B5" w:rsidRPr="007F6FE6" w14:paraId="12014204" w14:textId="77777777" w:rsidTr="004511C2">
        <w:tc>
          <w:tcPr>
            <w:tcW w:w="442" w:type="dxa"/>
            <w:shd w:val="clear" w:color="auto" w:fill="FFFFFF"/>
          </w:tcPr>
          <w:p w14:paraId="4F0E269B"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2</w:t>
            </w:r>
          </w:p>
        </w:tc>
        <w:tc>
          <w:tcPr>
            <w:tcW w:w="3206" w:type="dxa"/>
            <w:shd w:val="clear" w:color="auto" w:fill="FFFFFF"/>
          </w:tcPr>
          <w:p w14:paraId="6CEBDB67"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Proiectul de îmbunătățire a eficienței sistemului de alimentare centralizată cu energie termică</w:t>
            </w:r>
          </w:p>
          <w:p w14:paraId="2F4CE91E"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b/>
                <w:sz w:val="16"/>
                <w:szCs w:val="16"/>
                <w:lang w:val="ro-RO"/>
              </w:rPr>
              <w:t>Total</w:t>
            </w:r>
          </w:p>
        </w:tc>
        <w:tc>
          <w:tcPr>
            <w:tcW w:w="1842" w:type="dxa"/>
            <w:shd w:val="clear" w:color="auto" w:fill="FFFFFF"/>
          </w:tcPr>
          <w:p w14:paraId="3497F08D"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Banca Mondială</w:t>
            </w:r>
          </w:p>
        </w:tc>
        <w:tc>
          <w:tcPr>
            <w:tcW w:w="1560" w:type="dxa"/>
            <w:shd w:val="clear" w:color="auto" w:fill="FFFFFF"/>
          </w:tcPr>
          <w:p w14:paraId="43F42418"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ÎS „Termoelectrica”</w:t>
            </w:r>
          </w:p>
        </w:tc>
        <w:tc>
          <w:tcPr>
            <w:tcW w:w="1134" w:type="dxa"/>
            <w:shd w:val="clear" w:color="auto" w:fill="FFFFFF"/>
          </w:tcPr>
          <w:p w14:paraId="08198284"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MS Mincho" w:hAnsi="Calibri Light" w:cs="Calibri Light"/>
                <w:i/>
                <w:sz w:val="16"/>
                <w:szCs w:val="16"/>
                <w:lang w:val="ro-RO" w:eastAsia="ru-RU"/>
              </w:rPr>
              <w:t>mil. Euro</w:t>
            </w:r>
          </w:p>
          <w:p w14:paraId="55B0B49B"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p w14:paraId="770D700D" w14:textId="77777777" w:rsidR="00E514B5" w:rsidRPr="007F6FE6" w:rsidRDefault="00E514B5" w:rsidP="004511C2">
            <w:pPr>
              <w:spacing w:after="0" w:line="240" w:lineRule="auto"/>
              <w:jc w:val="both"/>
              <w:rPr>
                <w:rFonts w:ascii="Calibri Light" w:eastAsia="MS Mincho" w:hAnsi="Calibri Light" w:cs="Calibri Light"/>
                <w:b/>
                <w:i/>
                <w:sz w:val="16"/>
                <w:szCs w:val="16"/>
                <w:lang w:val="ro-RO" w:eastAsia="ru-RU"/>
              </w:rPr>
            </w:pPr>
          </w:p>
          <w:p w14:paraId="5990A971"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MS Mincho" w:hAnsi="Calibri Light" w:cs="Calibri Light"/>
                <w:b/>
                <w:i/>
                <w:sz w:val="16"/>
                <w:szCs w:val="16"/>
                <w:lang w:val="ro-RO" w:eastAsia="ru-RU"/>
              </w:rPr>
              <w:t>mil. Euro</w:t>
            </w:r>
          </w:p>
        </w:tc>
        <w:tc>
          <w:tcPr>
            <w:tcW w:w="992" w:type="dxa"/>
            <w:shd w:val="clear" w:color="auto" w:fill="FFFFFF"/>
          </w:tcPr>
          <w:p w14:paraId="1DC144AC"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1,1</w:t>
            </w:r>
          </w:p>
          <w:p w14:paraId="1A742E30"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p>
          <w:p w14:paraId="761CA7A6"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p>
          <w:p w14:paraId="44587EB2"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1,1</w:t>
            </w:r>
          </w:p>
        </w:tc>
      </w:tr>
      <w:tr w:rsidR="00E514B5" w:rsidRPr="007F6FE6" w14:paraId="783FEB59" w14:textId="77777777" w:rsidTr="004511C2">
        <w:tc>
          <w:tcPr>
            <w:tcW w:w="442" w:type="dxa"/>
            <w:shd w:val="clear" w:color="auto" w:fill="FFFFFF"/>
          </w:tcPr>
          <w:p w14:paraId="554E54A4"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3</w:t>
            </w:r>
          </w:p>
        </w:tc>
        <w:tc>
          <w:tcPr>
            <w:tcW w:w="3206" w:type="dxa"/>
            <w:shd w:val="clear" w:color="auto" w:fill="FFFFFF"/>
          </w:tcPr>
          <w:p w14:paraId="3911F278"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Proiect „Împrumutul destinat reabilitării rețelelor de transport ale ÎS „Moldelectrica””</w:t>
            </w:r>
          </w:p>
          <w:p w14:paraId="008FA5BD"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Total</w:t>
            </w:r>
          </w:p>
        </w:tc>
        <w:tc>
          <w:tcPr>
            <w:tcW w:w="1842" w:type="dxa"/>
            <w:shd w:val="clear" w:color="auto" w:fill="FFFFFF"/>
          </w:tcPr>
          <w:p w14:paraId="21D5E35B"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 xml:space="preserve">Banca Europeană pentru Reconstrucție și Dezvoltare </w:t>
            </w:r>
          </w:p>
        </w:tc>
        <w:tc>
          <w:tcPr>
            <w:tcW w:w="1560" w:type="dxa"/>
            <w:shd w:val="clear" w:color="auto" w:fill="FFFFFF"/>
          </w:tcPr>
          <w:p w14:paraId="257FED88"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ÎS „Moldelectrica”</w:t>
            </w:r>
          </w:p>
        </w:tc>
        <w:tc>
          <w:tcPr>
            <w:tcW w:w="1134" w:type="dxa"/>
            <w:shd w:val="clear" w:color="auto" w:fill="FFFFFF"/>
          </w:tcPr>
          <w:p w14:paraId="37C846B9" w14:textId="77777777" w:rsidR="00E514B5" w:rsidRPr="007F6FE6" w:rsidRDefault="00E514B5" w:rsidP="004511C2">
            <w:pPr>
              <w:spacing w:after="0" w:line="240" w:lineRule="auto"/>
              <w:jc w:val="both"/>
              <w:rPr>
                <w:rFonts w:ascii="Calibri Light" w:eastAsia="Times New Roman" w:hAnsi="Calibri Light" w:cs="Calibri Light"/>
                <w:i/>
                <w:sz w:val="16"/>
                <w:szCs w:val="16"/>
                <w:lang w:val="ro-RO"/>
              </w:rPr>
            </w:pPr>
            <w:r w:rsidRPr="007F6FE6">
              <w:rPr>
                <w:rFonts w:ascii="Calibri Light" w:eastAsia="Times New Roman" w:hAnsi="Calibri Light" w:cs="Calibri Light"/>
                <w:i/>
                <w:sz w:val="16"/>
                <w:szCs w:val="16"/>
                <w:lang w:val="ro-RO"/>
              </w:rPr>
              <w:t>mil. dol. SUA</w:t>
            </w:r>
          </w:p>
          <w:p w14:paraId="194DEDE8"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MS Mincho" w:hAnsi="Calibri Light" w:cs="Calibri Light"/>
                <w:i/>
                <w:sz w:val="16"/>
                <w:szCs w:val="16"/>
                <w:lang w:val="ro-RO" w:eastAsia="ru-RU"/>
              </w:rPr>
              <w:t>mil. Euro</w:t>
            </w:r>
          </w:p>
          <w:p w14:paraId="5DAC8C09" w14:textId="77777777" w:rsidR="00E514B5" w:rsidRPr="007F6FE6" w:rsidRDefault="00E514B5" w:rsidP="004511C2">
            <w:pPr>
              <w:spacing w:after="0" w:line="240" w:lineRule="auto"/>
              <w:jc w:val="both"/>
              <w:rPr>
                <w:rFonts w:ascii="Calibri Light" w:eastAsia="Times New Roman" w:hAnsi="Calibri Light" w:cs="Calibri Light"/>
                <w:b/>
                <w:i/>
                <w:sz w:val="16"/>
                <w:szCs w:val="16"/>
                <w:lang w:val="ro-RO"/>
              </w:rPr>
            </w:pPr>
            <w:r w:rsidRPr="007F6FE6">
              <w:rPr>
                <w:rFonts w:ascii="Calibri Light" w:eastAsia="Times New Roman" w:hAnsi="Calibri Light" w:cs="Calibri Light"/>
                <w:b/>
                <w:i/>
                <w:sz w:val="16"/>
                <w:szCs w:val="16"/>
                <w:lang w:val="ro-RO"/>
              </w:rPr>
              <w:t>mil. dol. SUA</w:t>
            </w:r>
          </w:p>
          <w:p w14:paraId="3F851C4C"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MS Mincho" w:hAnsi="Calibri Light" w:cs="Calibri Light"/>
                <w:b/>
                <w:i/>
                <w:sz w:val="16"/>
                <w:szCs w:val="16"/>
                <w:lang w:val="ro-RO" w:eastAsia="ru-RU"/>
              </w:rPr>
              <w:t>mil. Euro</w:t>
            </w:r>
          </w:p>
        </w:tc>
        <w:tc>
          <w:tcPr>
            <w:tcW w:w="992" w:type="dxa"/>
            <w:shd w:val="clear" w:color="auto" w:fill="FFFFFF"/>
          </w:tcPr>
          <w:p w14:paraId="709B6014"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0.4</w:t>
            </w:r>
          </w:p>
          <w:p w14:paraId="13C1E29E"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3,5</w:t>
            </w:r>
          </w:p>
          <w:p w14:paraId="101F8AE9"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0,4</w:t>
            </w:r>
          </w:p>
          <w:p w14:paraId="2520D960"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3,5</w:t>
            </w:r>
          </w:p>
        </w:tc>
      </w:tr>
      <w:tr w:rsidR="00E514B5" w:rsidRPr="007F6FE6" w14:paraId="38BECF9D" w14:textId="77777777" w:rsidTr="004511C2">
        <w:tc>
          <w:tcPr>
            <w:tcW w:w="442" w:type="dxa"/>
            <w:shd w:val="clear" w:color="auto" w:fill="FFFFFF"/>
          </w:tcPr>
          <w:p w14:paraId="4734AD5E"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4</w:t>
            </w:r>
          </w:p>
        </w:tc>
        <w:tc>
          <w:tcPr>
            <w:tcW w:w="3206" w:type="dxa"/>
            <w:shd w:val="clear" w:color="auto" w:fill="FFFFFF"/>
          </w:tcPr>
          <w:p w14:paraId="4AEBC8B0"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Proiectul de interconectare a rețelelor de energie electrică dintre Republica Moldova și România, Faza I</w:t>
            </w:r>
          </w:p>
          <w:p w14:paraId="527EE419"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Total</w:t>
            </w:r>
          </w:p>
        </w:tc>
        <w:tc>
          <w:tcPr>
            <w:tcW w:w="1842" w:type="dxa"/>
            <w:shd w:val="clear" w:color="auto" w:fill="FFFFFF"/>
          </w:tcPr>
          <w:p w14:paraId="69017CF4" w14:textId="77777777" w:rsidR="00E514B5" w:rsidRPr="007F6FE6" w:rsidRDefault="00E514B5" w:rsidP="004511C2">
            <w:pPr>
              <w:spacing w:after="0" w:line="240" w:lineRule="auto"/>
              <w:jc w:val="both"/>
              <w:rPr>
                <w:rFonts w:ascii="Calibri Light" w:eastAsia="Times New Roman" w:hAnsi="Calibri Light" w:cs="Calibri Light"/>
                <w:sz w:val="16"/>
                <w:szCs w:val="16"/>
                <w:lang w:val="ro-MD"/>
              </w:rPr>
            </w:pPr>
            <w:r w:rsidRPr="007F6FE6">
              <w:rPr>
                <w:rFonts w:ascii="Calibri Light" w:eastAsia="Times New Roman" w:hAnsi="Calibri Light" w:cs="Calibri Light"/>
                <w:sz w:val="16"/>
                <w:szCs w:val="16"/>
                <w:lang w:val="ro-RO"/>
              </w:rPr>
              <w:t>Banca Europeană pentru Reconstrucție și Dezvoltare</w:t>
            </w:r>
          </w:p>
        </w:tc>
        <w:tc>
          <w:tcPr>
            <w:tcW w:w="1560" w:type="dxa"/>
            <w:shd w:val="clear" w:color="auto" w:fill="FFFFFF"/>
          </w:tcPr>
          <w:p w14:paraId="79238FBA"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ÎS „Moldelectrica”</w:t>
            </w:r>
          </w:p>
        </w:tc>
        <w:tc>
          <w:tcPr>
            <w:tcW w:w="1134" w:type="dxa"/>
            <w:shd w:val="clear" w:color="auto" w:fill="FFFFFF"/>
          </w:tcPr>
          <w:p w14:paraId="644DD2C5"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MS Mincho" w:hAnsi="Calibri Light" w:cs="Calibri Light"/>
                <w:i/>
                <w:sz w:val="16"/>
                <w:szCs w:val="16"/>
                <w:lang w:val="ro-RO" w:eastAsia="ru-RU"/>
              </w:rPr>
              <w:t>mil. Euro</w:t>
            </w:r>
          </w:p>
          <w:p w14:paraId="189BC7AE" w14:textId="77777777" w:rsidR="00E514B5" w:rsidRPr="007F6FE6" w:rsidRDefault="00E514B5" w:rsidP="004511C2">
            <w:pPr>
              <w:spacing w:after="0" w:line="240" w:lineRule="auto"/>
              <w:jc w:val="both"/>
              <w:rPr>
                <w:rFonts w:ascii="Calibri Light" w:eastAsia="MS Mincho" w:hAnsi="Calibri Light" w:cs="Calibri Light"/>
                <w:b/>
                <w:i/>
                <w:sz w:val="16"/>
                <w:szCs w:val="16"/>
                <w:lang w:val="ro-RO" w:eastAsia="ru-RU"/>
              </w:rPr>
            </w:pPr>
          </w:p>
          <w:p w14:paraId="2B481835" w14:textId="77777777" w:rsidR="00E514B5" w:rsidRPr="007F6FE6" w:rsidRDefault="00E514B5" w:rsidP="004511C2">
            <w:pPr>
              <w:spacing w:after="0" w:line="240" w:lineRule="auto"/>
              <w:jc w:val="both"/>
              <w:rPr>
                <w:rFonts w:ascii="Calibri Light" w:eastAsia="MS Mincho" w:hAnsi="Calibri Light" w:cs="Calibri Light"/>
                <w:b/>
                <w:i/>
                <w:sz w:val="16"/>
                <w:szCs w:val="16"/>
                <w:lang w:val="ro-RO" w:eastAsia="ru-RU"/>
              </w:rPr>
            </w:pPr>
          </w:p>
          <w:p w14:paraId="07D5735D"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MS Mincho" w:hAnsi="Calibri Light" w:cs="Calibri Light"/>
                <w:b/>
                <w:i/>
                <w:sz w:val="16"/>
                <w:szCs w:val="16"/>
                <w:lang w:val="ro-RO" w:eastAsia="ru-RU"/>
              </w:rPr>
              <w:t>mil. Euro</w:t>
            </w:r>
          </w:p>
        </w:tc>
        <w:tc>
          <w:tcPr>
            <w:tcW w:w="992" w:type="dxa"/>
            <w:shd w:val="clear" w:color="auto" w:fill="FFFFFF"/>
          </w:tcPr>
          <w:p w14:paraId="22B75C8D"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0,5</w:t>
            </w:r>
          </w:p>
          <w:p w14:paraId="6F6655AD"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p w14:paraId="43F1C07D"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p w14:paraId="2C7251F4"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0,5</w:t>
            </w:r>
          </w:p>
        </w:tc>
      </w:tr>
      <w:tr w:rsidR="00E514B5" w:rsidRPr="007F6FE6" w14:paraId="6567AF8C" w14:textId="77777777" w:rsidTr="004511C2">
        <w:tc>
          <w:tcPr>
            <w:tcW w:w="442" w:type="dxa"/>
            <w:shd w:val="clear" w:color="auto" w:fill="FFFFFF"/>
          </w:tcPr>
          <w:p w14:paraId="0B2F88F0"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lastRenderedPageBreak/>
              <w:t>5</w:t>
            </w:r>
          </w:p>
        </w:tc>
        <w:tc>
          <w:tcPr>
            <w:tcW w:w="3206" w:type="dxa"/>
            <w:shd w:val="clear" w:color="auto" w:fill="FFFFFF"/>
          </w:tcPr>
          <w:p w14:paraId="39A51CEE"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Proiectul „Pentru a mări capacitatea și a îmbunătăți siguranța sistemului de transport al energiei electrice din Moldova”</w:t>
            </w:r>
          </w:p>
          <w:p w14:paraId="0E53A3B7"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b/>
                <w:sz w:val="16"/>
                <w:szCs w:val="16"/>
                <w:lang w:val="ro-RO"/>
              </w:rPr>
              <w:t>Total</w:t>
            </w:r>
          </w:p>
        </w:tc>
        <w:tc>
          <w:tcPr>
            <w:tcW w:w="1842" w:type="dxa"/>
            <w:shd w:val="clear" w:color="auto" w:fill="FFFFFF"/>
          </w:tcPr>
          <w:p w14:paraId="39BC615F"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Banca Europeană de Investiții</w:t>
            </w:r>
          </w:p>
        </w:tc>
        <w:tc>
          <w:tcPr>
            <w:tcW w:w="1560" w:type="dxa"/>
            <w:shd w:val="clear" w:color="auto" w:fill="FFFFFF"/>
          </w:tcPr>
          <w:p w14:paraId="0AF054B4"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ÎS „Moldelectrica”</w:t>
            </w:r>
          </w:p>
        </w:tc>
        <w:tc>
          <w:tcPr>
            <w:tcW w:w="1134" w:type="dxa"/>
            <w:shd w:val="clear" w:color="auto" w:fill="FFFFFF"/>
          </w:tcPr>
          <w:p w14:paraId="40EE330A"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MS Mincho" w:hAnsi="Calibri Light" w:cs="Calibri Light"/>
                <w:i/>
                <w:sz w:val="16"/>
                <w:szCs w:val="16"/>
                <w:lang w:val="ro-RO" w:eastAsia="ru-RU"/>
              </w:rPr>
              <w:t>mil. Euro</w:t>
            </w:r>
          </w:p>
          <w:p w14:paraId="0D28E293" w14:textId="77777777" w:rsidR="00E514B5" w:rsidRPr="007F6FE6" w:rsidRDefault="00E514B5" w:rsidP="004511C2">
            <w:pPr>
              <w:spacing w:after="0" w:line="240" w:lineRule="auto"/>
              <w:jc w:val="both"/>
              <w:rPr>
                <w:rFonts w:ascii="Calibri Light" w:eastAsia="MS Mincho" w:hAnsi="Calibri Light" w:cs="Calibri Light"/>
                <w:b/>
                <w:i/>
                <w:sz w:val="16"/>
                <w:szCs w:val="16"/>
                <w:lang w:val="ro-RO" w:eastAsia="ru-RU"/>
              </w:rPr>
            </w:pPr>
          </w:p>
          <w:p w14:paraId="7488D001" w14:textId="77777777" w:rsidR="00E514B5" w:rsidRPr="007F6FE6" w:rsidRDefault="00E514B5" w:rsidP="004511C2">
            <w:pPr>
              <w:spacing w:after="0" w:line="240" w:lineRule="auto"/>
              <w:jc w:val="both"/>
              <w:rPr>
                <w:rFonts w:ascii="Calibri Light" w:eastAsia="MS Mincho" w:hAnsi="Calibri Light" w:cs="Calibri Light"/>
                <w:b/>
                <w:i/>
                <w:sz w:val="16"/>
                <w:szCs w:val="16"/>
                <w:lang w:val="ro-RO" w:eastAsia="ru-RU"/>
              </w:rPr>
            </w:pPr>
          </w:p>
          <w:p w14:paraId="3FA0B5D1"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MS Mincho" w:hAnsi="Calibri Light" w:cs="Calibri Light"/>
                <w:b/>
                <w:i/>
                <w:sz w:val="16"/>
                <w:szCs w:val="16"/>
                <w:lang w:val="ro-RO" w:eastAsia="ru-RU"/>
              </w:rPr>
              <w:t>mil. Euro</w:t>
            </w:r>
          </w:p>
        </w:tc>
        <w:tc>
          <w:tcPr>
            <w:tcW w:w="992" w:type="dxa"/>
            <w:shd w:val="clear" w:color="auto" w:fill="FFFFFF"/>
          </w:tcPr>
          <w:p w14:paraId="136BEBB8"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4,1</w:t>
            </w:r>
          </w:p>
          <w:p w14:paraId="2E3EAEB0"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p w14:paraId="35C05C4C"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p w14:paraId="2FA19897"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4,1</w:t>
            </w:r>
          </w:p>
        </w:tc>
      </w:tr>
      <w:tr w:rsidR="00E514B5" w:rsidRPr="007F6FE6" w14:paraId="4D1450FF" w14:textId="77777777" w:rsidTr="004511C2">
        <w:tc>
          <w:tcPr>
            <w:tcW w:w="442" w:type="dxa"/>
            <w:shd w:val="clear" w:color="auto" w:fill="FFFFFF"/>
          </w:tcPr>
          <w:p w14:paraId="55C66DC4"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6</w:t>
            </w:r>
          </w:p>
        </w:tc>
        <w:tc>
          <w:tcPr>
            <w:tcW w:w="3206" w:type="dxa"/>
            <w:shd w:val="clear" w:color="auto" w:fill="FFFFFF"/>
          </w:tcPr>
          <w:p w14:paraId="386DE539"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Proiectul de achiziție a locomotivelor și restructurarea infrastructurii feroviare</w:t>
            </w:r>
          </w:p>
          <w:p w14:paraId="6AFFA08F"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b/>
                <w:sz w:val="16"/>
                <w:szCs w:val="16"/>
                <w:lang w:val="ro-RO"/>
              </w:rPr>
              <w:t>Total</w:t>
            </w:r>
          </w:p>
        </w:tc>
        <w:tc>
          <w:tcPr>
            <w:tcW w:w="1842" w:type="dxa"/>
            <w:shd w:val="clear" w:color="auto" w:fill="FFFFFF"/>
          </w:tcPr>
          <w:p w14:paraId="6BBF7A85"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Banca Europeană pentru Reconstrucție și Dezvoltare</w:t>
            </w:r>
          </w:p>
        </w:tc>
        <w:tc>
          <w:tcPr>
            <w:tcW w:w="1560" w:type="dxa"/>
            <w:shd w:val="clear" w:color="auto" w:fill="FFFFFF"/>
          </w:tcPr>
          <w:p w14:paraId="2BCC21CD"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ÎS „Calea Ferată”</w:t>
            </w:r>
          </w:p>
        </w:tc>
        <w:tc>
          <w:tcPr>
            <w:tcW w:w="1134" w:type="dxa"/>
            <w:shd w:val="clear" w:color="auto" w:fill="FFFFFF"/>
          </w:tcPr>
          <w:p w14:paraId="51397516"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MS Mincho" w:hAnsi="Calibri Light" w:cs="Calibri Light"/>
                <w:i/>
                <w:sz w:val="16"/>
                <w:szCs w:val="16"/>
                <w:lang w:val="ro-RO" w:eastAsia="ru-RU"/>
              </w:rPr>
              <w:t>mil. Euro</w:t>
            </w:r>
          </w:p>
          <w:p w14:paraId="244DAF00" w14:textId="77777777" w:rsidR="00E514B5" w:rsidRPr="007F6FE6" w:rsidRDefault="00E514B5" w:rsidP="004511C2">
            <w:pPr>
              <w:spacing w:after="0" w:line="240" w:lineRule="auto"/>
              <w:jc w:val="both"/>
              <w:rPr>
                <w:rFonts w:ascii="Calibri Light" w:eastAsia="MS Mincho" w:hAnsi="Calibri Light" w:cs="Calibri Light"/>
                <w:b/>
                <w:i/>
                <w:sz w:val="16"/>
                <w:szCs w:val="16"/>
                <w:lang w:val="ro-RO" w:eastAsia="ru-RU"/>
              </w:rPr>
            </w:pPr>
          </w:p>
          <w:p w14:paraId="533F5CF4"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MS Mincho" w:hAnsi="Calibri Light" w:cs="Calibri Light"/>
                <w:b/>
                <w:i/>
                <w:sz w:val="16"/>
                <w:szCs w:val="16"/>
                <w:lang w:val="ro-RO" w:eastAsia="ru-RU"/>
              </w:rPr>
              <w:t>mil. Euro</w:t>
            </w:r>
          </w:p>
        </w:tc>
        <w:tc>
          <w:tcPr>
            <w:tcW w:w="992" w:type="dxa"/>
            <w:shd w:val="clear" w:color="auto" w:fill="FFFFFF"/>
          </w:tcPr>
          <w:p w14:paraId="40DDE132"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r w:rsidRPr="007F6FE6">
              <w:rPr>
                <w:rFonts w:ascii="Calibri Light" w:eastAsia="Times New Roman" w:hAnsi="Calibri Light" w:cs="Calibri Light"/>
                <w:sz w:val="16"/>
                <w:szCs w:val="16"/>
                <w:lang w:val="ro-RO"/>
              </w:rPr>
              <w:t>13,5</w:t>
            </w:r>
          </w:p>
          <w:p w14:paraId="1B150BDD"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p w14:paraId="1174E8D1"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13,5</w:t>
            </w:r>
          </w:p>
        </w:tc>
      </w:tr>
      <w:tr w:rsidR="00E514B5" w:rsidRPr="007F6FE6" w14:paraId="24370601" w14:textId="77777777" w:rsidTr="007965DC">
        <w:tc>
          <w:tcPr>
            <w:tcW w:w="442" w:type="dxa"/>
            <w:vMerge w:val="restart"/>
            <w:shd w:val="clear" w:color="auto" w:fill="auto"/>
          </w:tcPr>
          <w:p w14:paraId="1F7433E2"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tc>
        <w:tc>
          <w:tcPr>
            <w:tcW w:w="3206" w:type="dxa"/>
            <w:shd w:val="clear" w:color="auto" w:fill="auto"/>
          </w:tcPr>
          <w:p w14:paraId="47F7387F"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Total general</w:t>
            </w:r>
          </w:p>
        </w:tc>
        <w:tc>
          <w:tcPr>
            <w:tcW w:w="1842" w:type="dxa"/>
            <w:shd w:val="clear" w:color="auto" w:fill="auto"/>
          </w:tcPr>
          <w:p w14:paraId="723F4058"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p>
        </w:tc>
        <w:tc>
          <w:tcPr>
            <w:tcW w:w="1560" w:type="dxa"/>
            <w:shd w:val="clear" w:color="auto" w:fill="auto"/>
          </w:tcPr>
          <w:p w14:paraId="7F94527F"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p>
        </w:tc>
        <w:tc>
          <w:tcPr>
            <w:tcW w:w="1134" w:type="dxa"/>
            <w:shd w:val="clear" w:color="auto" w:fill="auto"/>
          </w:tcPr>
          <w:p w14:paraId="782DCCF1"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mil. Euro</w:t>
            </w:r>
          </w:p>
        </w:tc>
        <w:tc>
          <w:tcPr>
            <w:tcW w:w="992" w:type="dxa"/>
            <w:shd w:val="clear" w:color="auto" w:fill="auto"/>
          </w:tcPr>
          <w:p w14:paraId="101C2EAB"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23,1</w:t>
            </w:r>
          </w:p>
        </w:tc>
      </w:tr>
      <w:tr w:rsidR="00E514B5" w:rsidRPr="007F6FE6" w14:paraId="115824F9" w14:textId="77777777" w:rsidTr="007965DC">
        <w:tc>
          <w:tcPr>
            <w:tcW w:w="442" w:type="dxa"/>
            <w:vMerge/>
            <w:shd w:val="clear" w:color="auto" w:fill="auto"/>
          </w:tcPr>
          <w:p w14:paraId="6DEE0A76" w14:textId="77777777" w:rsidR="00E514B5" w:rsidRPr="007F6FE6" w:rsidRDefault="00E514B5" w:rsidP="004511C2">
            <w:pPr>
              <w:spacing w:after="0" w:line="240" w:lineRule="auto"/>
              <w:jc w:val="both"/>
              <w:rPr>
                <w:rFonts w:ascii="Calibri Light" w:eastAsia="Times New Roman" w:hAnsi="Calibri Light" w:cs="Calibri Light"/>
                <w:sz w:val="16"/>
                <w:szCs w:val="16"/>
                <w:lang w:val="ro-RO"/>
              </w:rPr>
            </w:pPr>
          </w:p>
        </w:tc>
        <w:tc>
          <w:tcPr>
            <w:tcW w:w="3206" w:type="dxa"/>
            <w:shd w:val="clear" w:color="auto" w:fill="auto"/>
          </w:tcPr>
          <w:p w14:paraId="60143040"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Total general</w:t>
            </w:r>
          </w:p>
        </w:tc>
        <w:tc>
          <w:tcPr>
            <w:tcW w:w="1842" w:type="dxa"/>
            <w:shd w:val="clear" w:color="auto" w:fill="auto"/>
          </w:tcPr>
          <w:p w14:paraId="018BE9EF"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p>
        </w:tc>
        <w:tc>
          <w:tcPr>
            <w:tcW w:w="1560" w:type="dxa"/>
            <w:shd w:val="clear" w:color="auto" w:fill="auto"/>
          </w:tcPr>
          <w:p w14:paraId="6F9A31C4"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p>
        </w:tc>
        <w:tc>
          <w:tcPr>
            <w:tcW w:w="1134" w:type="dxa"/>
            <w:shd w:val="clear" w:color="auto" w:fill="auto"/>
          </w:tcPr>
          <w:p w14:paraId="09741209"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mil. dol. SUA</w:t>
            </w:r>
          </w:p>
        </w:tc>
        <w:tc>
          <w:tcPr>
            <w:tcW w:w="992" w:type="dxa"/>
            <w:shd w:val="clear" w:color="auto" w:fill="auto"/>
          </w:tcPr>
          <w:p w14:paraId="44E49C97" w14:textId="77777777" w:rsidR="00E514B5" w:rsidRPr="007F6FE6" w:rsidRDefault="00E514B5" w:rsidP="004511C2">
            <w:pPr>
              <w:spacing w:after="0" w:line="240" w:lineRule="auto"/>
              <w:jc w:val="both"/>
              <w:rPr>
                <w:rFonts w:ascii="Calibri Light" w:eastAsia="Times New Roman" w:hAnsi="Calibri Light" w:cs="Calibri Light"/>
                <w:b/>
                <w:sz w:val="16"/>
                <w:szCs w:val="16"/>
                <w:lang w:val="ro-RO"/>
              </w:rPr>
            </w:pPr>
            <w:r w:rsidRPr="007F6FE6">
              <w:rPr>
                <w:rFonts w:ascii="Calibri Light" w:eastAsia="Times New Roman" w:hAnsi="Calibri Light" w:cs="Calibri Light"/>
                <w:b/>
                <w:sz w:val="16"/>
                <w:szCs w:val="16"/>
                <w:lang w:val="ro-RO"/>
              </w:rPr>
              <w:t>0,4</w:t>
            </w:r>
          </w:p>
        </w:tc>
      </w:tr>
    </w:tbl>
    <w:p w14:paraId="7916D525" w14:textId="02835C54" w:rsidR="00E514B5" w:rsidRPr="005540B7" w:rsidRDefault="00E514B5" w:rsidP="005540B7">
      <w:pPr>
        <w:spacing w:after="0" w:line="240" w:lineRule="auto"/>
        <w:ind w:left="180"/>
        <w:jc w:val="both"/>
        <w:rPr>
          <w:rFonts w:ascii="Calibri Light" w:eastAsia="Calibri" w:hAnsi="Calibri Light" w:cs="Calibri Light"/>
          <w:sz w:val="16"/>
          <w:szCs w:val="16"/>
          <w:lang w:val="ro-MD" w:eastAsia="ru-RU"/>
        </w:rPr>
      </w:pPr>
      <w:r w:rsidRPr="007F6FE6">
        <w:rPr>
          <w:rFonts w:ascii="Calibri Light" w:eastAsia="Times New Roman" w:hAnsi="Calibri Light" w:cs="Calibri Light"/>
          <w:b/>
          <w:bCs/>
          <w:i/>
          <w:iCs/>
          <w:sz w:val="20"/>
          <w:szCs w:val="20"/>
          <w:lang w:val="ro-RO" w:eastAsia="ru-RU"/>
        </w:rPr>
        <w:t xml:space="preserve"> </w:t>
      </w:r>
      <w:r w:rsidRPr="007F6FE6">
        <w:rPr>
          <w:rFonts w:ascii="Calibri Light" w:eastAsia="Calibri" w:hAnsi="Calibri Light" w:cs="Calibri Light"/>
          <w:b/>
          <w:i/>
          <w:sz w:val="16"/>
          <w:szCs w:val="16"/>
          <w:lang w:val="ro-MD" w:eastAsia="ru-RU"/>
        </w:rPr>
        <w:t>Sursa:</w:t>
      </w:r>
      <w:r w:rsidRPr="007F6FE6">
        <w:rPr>
          <w:rFonts w:ascii="Calibri Light" w:eastAsia="Calibri" w:hAnsi="Calibri Light" w:cs="Calibri Light"/>
          <w:sz w:val="16"/>
          <w:szCs w:val="16"/>
          <w:lang w:val="ro-MD" w:eastAsia="ru-RU"/>
        </w:rPr>
        <w:t xml:space="preserve"> </w:t>
      </w:r>
      <w:r w:rsidRPr="007F6FE6">
        <w:rPr>
          <w:rFonts w:ascii="Cambria" w:eastAsia="Times New Roman" w:hAnsi="Cambria" w:cs="Times New Roman"/>
          <w:sz w:val="16"/>
          <w:szCs w:val="16"/>
          <w:lang w:val="ro-RO" w:eastAsia="ru-RU"/>
        </w:rPr>
        <w:t xml:space="preserve"> </w:t>
      </w:r>
      <w:r w:rsidRPr="007F6FE6">
        <w:rPr>
          <w:rFonts w:ascii="Calibri Light" w:eastAsia="Calibri" w:hAnsi="Calibri Light" w:cs="Calibri Light"/>
          <w:sz w:val="16"/>
          <w:szCs w:val="16"/>
          <w:lang w:val="ro-MD" w:eastAsia="ru-RU"/>
        </w:rPr>
        <w:t>Elaborată de către echipa de audit în baza analizei datelor din Raportul privind situația în domeniul datoriei sectorului public, garanțiilor de stat și rec</w:t>
      </w:r>
      <w:r>
        <w:rPr>
          <w:rFonts w:ascii="Calibri Light" w:eastAsia="Calibri" w:hAnsi="Calibri Light" w:cs="Calibri Light"/>
          <w:sz w:val="16"/>
          <w:szCs w:val="16"/>
          <w:lang w:val="ro-MD" w:eastAsia="ru-RU"/>
        </w:rPr>
        <w:t>reditării de stat pe anul 2020.</w:t>
      </w:r>
    </w:p>
    <w:p w14:paraId="07AFEA5A" w14:textId="51782179" w:rsidR="00E514B5" w:rsidRDefault="00E514B5" w:rsidP="0047410E">
      <w:pPr>
        <w:spacing w:after="0" w:line="240" w:lineRule="auto"/>
        <w:jc w:val="right"/>
        <w:rPr>
          <w:rFonts w:ascii="Calibri Light" w:eastAsia="Times New Roman" w:hAnsi="Calibri Light" w:cs="Calibri Light"/>
          <w:b/>
          <w:szCs w:val="24"/>
          <w:lang w:val="ro-RO" w:eastAsia="ru-RU"/>
        </w:rPr>
      </w:pPr>
      <w:r w:rsidRPr="0047410E">
        <w:rPr>
          <w:rFonts w:ascii="Calibri Light" w:eastAsia="Times New Roman" w:hAnsi="Calibri Light" w:cs="Calibri Light"/>
          <w:b/>
          <w:i/>
          <w:szCs w:val="24"/>
          <w:lang w:val="ro-RO" w:eastAsia="ru-RU"/>
        </w:rPr>
        <w:t>Tabelul nr.</w:t>
      </w:r>
      <w:r w:rsidR="00656726">
        <w:rPr>
          <w:rFonts w:ascii="Calibri Light" w:eastAsia="Times New Roman" w:hAnsi="Calibri Light" w:cs="Calibri Light"/>
          <w:b/>
          <w:i/>
          <w:szCs w:val="24"/>
          <w:lang w:val="ro-RO" w:eastAsia="ru-RU"/>
        </w:rPr>
        <w:t>8</w:t>
      </w:r>
    </w:p>
    <w:p w14:paraId="02BE30AD" w14:textId="5B4E7506" w:rsidR="00E514B5" w:rsidRPr="007F6FE6" w:rsidRDefault="00E514B5" w:rsidP="00E514B5">
      <w:pPr>
        <w:spacing w:after="0" w:line="240" w:lineRule="auto"/>
        <w:jc w:val="center"/>
        <w:rPr>
          <w:rFonts w:ascii="Calibri Light" w:eastAsia="Times New Roman" w:hAnsi="Calibri Light" w:cs="Calibri Light"/>
          <w:b/>
          <w:szCs w:val="24"/>
          <w:lang w:val="ro-RO" w:eastAsia="ru-RU"/>
        </w:rPr>
      </w:pPr>
      <w:r w:rsidRPr="007F6FE6">
        <w:rPr>
          <w:rFonts w:ascii="Calibri Light" w:eastAsia="Times New Roman" w:hAnsi="Calibri Light" w:cs="Calibri Light"/>
          <w:b/>
          <w:szCs w:val="24"/>
          <w:lang w:val="ro-RO" w:eastAsia="ru-RU"/>
        </w:rPr>
        <w:t xml:space="preserve">Împrumuturi recreditate în anul 2020 prin intermediul OGP AE și </w:t>
      </w:r>
      <w:r w:rsidR="00281BB8">
        <w:rPr>
          <w:rFonts w:ascii="Calibri Light" w:eastAsia="Times New Roman" w:hAnsi="Calibri Light" w:cs="Calibri Light"/>
          <w:b/>
          <w:szCs w:val="24"/>
          <w:lang w:val="ro-RO" w:eastAsia="ru-RU"/>
        </w:rPr>
        <w:t>UCIP</w:t>
      </w:r>
      <w:r w:rsidRPr="007F6FE6">
        <w:rPr>
          <w:rFonts w:ascii="Calibri Light" w:eastAsia="Times New Roman" w:hAnsi="Calibri Light" w:cs="Calibri Light"/>
          <w:b/>
          <w:szCs w:val="24"/>
          <w:lang w:val="ro-RO" w:eastAsia="ru-RU"/>
        </w:rPr>
        <w:t>FIDA</w:t>
      </w:r>
    </w:p>
    <w:tbl>
      <w:tblPr>
        <w:tblStyle w:val="TableGrid11"/>
        <w:tblW w:w="9176" w:type="dxa"/>
        <w:tblInd w:w="175" w:type="dxa"/>
        <w:tblLook w:val="04A0" w:firstRow="1" w:lastRow="0" w:firstColumn="1" w:lastColumn="0" w:noHBand="0" w:noVBand="1"/>
      </w:tblPr>
      <w:tblGrid>
        <w:gridCol w:w="499"/>
        <w:gridCol w:w="6267"/>
        <w:gridCol w:w="1134"/>
        <w:gridCol w:w="1276"/>
      </w:tblGrid>
      <w:tr w:rsidR="00E514B5" w:rsidRPr="007F6FE6" w14:paraId="70A47A0B" w14:textId="77777777" w:rsidTr="007965DC">
        <w:tc>
          <w:tcPr>
            <w:tcW w:w="499" w:type="dxa"/>
            <w:shd w:val="clear" w:color="auto" w:fill="auto"/>
          </w:tcPr>
          <w:p w14:paraId="555E163E" w14:textId="77777777" w:rsidR="00E514B5" w:rsidRPr="007F6FE6" w:rsidRDefault="00E514B5" w:rsidP="00A37697">
            <w:pPr>
              <w:jc w:val="center"/>
              <w:rPr>
                <w:rFonts w:ascii="Calibri Light" w:hAnsi="Calibri Light" w:cs="Calibri Light"/>
                <w:b/>
                <w:sz w:val="16"/>
                <w:szCs w:val="16"/>
                <w:lang w:val="ro-RO"/>
              </w:rPr>
            </w:pPr>
            <w:r w:rsidRPr="007F6FE6">
              <w:rPr>
                <w:rFonts w:ascii="Calibri Light" w:hAnsi="Calibri Light" w:cs="Calibri Light"/>
                <w:b/>
                <w:sz w:val="16"/>
                <w:szCs w:val="16"/>
                <w:lang w:val="ro-RO"/>
              </w:rPr>
              <w:t>Nr. d/o</w:t>
            </w:r>
          </w:p>
        </w:tc>
        <w:tc>
          <w:tcPr>
            <w:tcW w:w="6267" w:type="dxa"/>
            <w:shd w:val="clear" w:color="auto" w:fill="auto"/>
          </w:tcPr>
          <w:p w14:paraId="1588279D" w14:textId="77777777" w:rsidR="00E514B5" w:rsidRPr="007F6FE6" w:rsidRDefault="00E514B5" w:rsidP="00A37697">
            <w:pPr>
              <w:jc w:val="center"/>
              <w:rPr>
                <w:rFonts w:ascii="Calibri Light" w:hAnsi="Calibri Light" w:cs="Calibri Light"/>
                <w:b/>
                <w:sz w:val="16"/>
                <w:szCs w:val="16"/>
                <w:lang w:val="ro-RO"/>
              </w:rPr>
            </w:pPr>
            <w:r w:rsidRPr="007F6FE6">
              <w:rPr>
                <w:rFonts w:ascii="Calibri Light" w:hAnsi="Calibri Light" w:cs="Calibri Light"/>
                <w:b/>
                <w:sz w:val="16"/>
                <w:szCs w:val="16"/>
                <w:lang w:val="ro-RO"/>
              </w:rPr>
              <w:t>Denumirea proiectului</w:t>
            </w:r>
          </w:p>
        </w:tc>
        <w:tc>
          <w:tcPr>
            <w:tcW w:w="1134" w:type="dxa"/>
            <w:shd w:val="clear" w:color="auto" w:fill="auto"/>
          </w:tcPr>
          <w:p w14:paraId="23646969" w14:textId="77777777" w:rsidR="00E514B5" w:rsidRPr="007F6FE6" w:rsidRDefault="00E514B5" w:rsidP="00A37697">
            <w:pPr>
              <w:jc w:val="center"/>
              <w:rPr>
                <w:rFonts w:ascii="Calibri Light" w:hAnsi="Calibri Light" w:cs="Calibri Light"/>
                <w:b/>
                <w:sz w:val="16"/>
                <w:szCs w:val="16"/>
                <w:lang w:val="ro-RO"/>
              </w:rPr>
            </w:pPr>
            <w:r w:rsidRPr="007F6FE6">
              <w:rPr>
                <w:rFonts w:ascii="Calibri Light" w:hAnsi="Calibri Light" w:cs="Calibri Light"/>
                <w:b/>
                <w:sz w:val="16"/>
                <w:szCs w:val="16"/>
                <w:lang w:val="ro-RO"/>
              </w:rPr>
              <w:t>u.m.</w:t>
            </w:r>
          </w:p>
        </w:tc>
        <w:tc>
          <w:tcPr>
            <w:tcW w:w="1276" w:type="dxa"/>
            <w:shd w:val="clear" w:color="auto" w:fill="auto"/>
          </w:tcPr>
          <w:p w14:paraId="5E2C9D89" w14:textId="77777777" w:rsidR="00E514B5" w:rsidRPr="007F6FE6" w:rsidRDefault="00E514B5" w:rsidP="00A37697">
            <w:pPr>
              <w:jc w:val="center"/>
              <w:rPr>
                <w:rFonts w:ascii="Calibri Light" w:hAnsi="Calibri Light" w:cs="Calibri Light"/>
                <w:b/>
                <w:sz w:val="16"/>
                <w:szCs w:val="16"/>
                <w:lang w:val="ro-RO"/>
              </w:rPr>
            </w:pPr>
            <w:r w:rsidRPr="007F6FE6">
              <w:rPr>
                <w:rFonts w:ascii="Calibri Light" w:hAnsi="Calibri Light" w:cs="Calibri Light"/>
                <w:b/>
                <w:sz w:val="16"/>
                <w:szCs w:val="16"/>
                <w:lang w:val="ro-RO"/>
              </w:rPr>
              <w:t>Recreditat în anul 2020</w:t>
            </w:r>
          </w:p>
        </w:tc>
      </w:tr>
      <w:tr w:rsidR="00A37697" w:rsidRPr="007F6FE6" w14:paraId="267857EB" w14:textId="77777777" w:rsidTr="005008C8">
        <w:tc>
          <w:tcPr>
            <w:tcW w:w="9176" w:type="dxa"/>
            <w:gridSpan w:val="4"/>
          </w:tcPr>
          <w:p w14:paraId="54644A04" w14:textId="1093EB15" w:rsidR="00A37697" w:rsidRPr="007F6FE6" w:rsidRDefault="00A37697" w:rsidP="00A37697">
            <w:pPr>
              <w:jc w:val="center"/>
              <w:rPr>
                <w:rFonts w:ascii="Calibri Light" w:hAnsi="Calibri Light" w:cs="Calibri Light"/>
                <w:b/>
                <w:sz w:val="16"/>
                <w:szCs w:val="16"/>
                <w:lang w:val="ro-RO"/>
              </w:rPr>
            </w:pPr>
            <w:r w:rsidRPr="007F6FE6">
              <w:rPr>
                <w:rFonts w:ascii="Calibri Light" w:hAnsi="Calibri Light" w:cs="Calibri Light"/>
                <w:b/>
                <w:i/>
                <w:sz w:val="16"/>
                <w:szCs w:val="16"/>
                <w:lang w:val="ro-RO"/>
              </w:rPr>
              <w:t>Prin intermediul OGP AE</w:t>
            </w:r>
          </w:p>
        </w:tc>
      </w:tr>
      <w:tr w:rsidR="00A37697" w:rsidRPr="007F6FE6" w14:paraId="5D697529" w14:textId="77777777" w:rsidTr="005008C8">
        <w:tc>
          <w:tcPr>
            <w:tcW w:w="9176" w:type="dxa"/>
            <w:gridSpan w:val="4"/>
            <w:tcBorders>
              <w:bottom w:val="single" w:sz="4" w:space="0" w:color="auto"/>
            </w:tcBorders>
          </w:tcPr>
          <w:p w14:paraId="0EDD5DF0" w14:textId="04AF5C71" w:rsidR="00A37697" w:rsidRPr="007F6FE6" w:rsidRDefault="00A37697" w:rsidP="00A37697">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Mijloace directe</w:t>
            </w:r>
          </w:p>
        </w:tc>
      </w:tr>
      <w:tr w:rsidR="00E514B5" w:rsidRPr="007F6FE6" w14:paraId="38761B84" w14:textId="77777777" w:rsidTr="004511C2">
        <w:tc>
          <w:tcPr>
            <w:tcW w:w="499" w:type="dxa"/>
            <w:tcBorders>
              <w:top w:val="single" w:sz="4" w:space="0" w:color="auto"/>
              <w:left w:val="single" w:sz="4" w:space="0" w:color="auto"/>
              <w:bottom w:val="nil"/>
              <w:right w:val="single" w:sz="4" w:space="0" w:color="auto"/>
            </w:tcBorders>
          </w:tcPr>
          <w:p w14:paraId="31C08FD8"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w:t>
            </w:r>
          </w:p>
        </w:tc>
        <w:tc>
          <w:tcPr>
            <w:tcW w:w="6267" w:type="dxa"/>
            <w:tcBorders>
              <w:top w:val="single" w:sz="4" w:space="0" w:color="auto"/>
              <w:left w:val="single" w:sz="4" w:space="0" w:color="auto"/>
              <w:bottom w:val="nil"/>
              <w:right w:val="single" w:sz="4" w:space="0" w:color="auto"/>
            </w:tcBorders>
          </w:tcPr>
          <w:p w14:paraId="435B252A"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 xml:space="preserve">Proiectul de Ameliorare a Competitivității, faza 2 </w:t>
            </w:r>
            <w:r w:rsidRPr="007F6FE6">
              <w:rPr>
                <w:rFonts w:ascii="Calibri Light" w:hAnsi="Calibri Light" w:cs="Calibri Light"/>
                <w:b/>
                <w:sz w:val="16"/>
                <w:szCs w:val="16"/>
                <w:lang w:val="ro-RO"/>
              </w:rPr>
              <w:t>(PAC 2)</w:t>
            </w:r>
          </w:p>
        </w:tc>
        <w:tc>
          <w:tcPr>
            <w:tcW w:w="1134" w:type="dxa"/>
            <w:tcBorders>
              <w:left w:val="single" w:sz="4" w:space="0" w:color="auto"/>
            </w:tcBorders>
          </w:tcPr>
          <w:p w14:paraId="1AAD91FA"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0FC5F5DF"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40,6</w:t>
            </w:r>
          </w:p>
        </w:tc>
      </w:tr>
      <w:tr w:rsidR="00E514B5" w:rsidRPr="007F6FE6" w14:paraId="08A3ED8F" w14:textId="77777777" w:rsidTr="004511C2">
        <w:tc>
          <w:tcPr>
            <w:tcW w:w="499" w:type="dxa"/>
            <w:tcBorders>
              <w:top w:val="nil"/>
              <w:left w:val="single" w:sz="4" w:space="0" w:color="auto"/>
              <w:bottom w:val="nil"/>
              <w:right w:val="single" w:sz="4" w:space="0" w:color="auto"/>
            </w:tcBorders>
          </w:tcPr>
          <w:p w14:paraId="260A76F0"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nil"/>
              <w:right w:val="single" w:sz="4" w:space="0" w:color="auto"/>
            </w:tcBorders>
          </w:tcPr>
          <w:p w14:paraId="7A81A2CF" w14:textId="77777777" w:rsidR="00E514B5" w:rsidRPr="007F6FE6" w:rsidRDefault="00E514B5" w:rsidP="004511C2">
            <w:pPr>
              <w:jc w:val="both"/>
              <w:rPr>
                <w:rFonts w:ascii="Calibri Light" w:hAnsi="Calibri Light" w:cs="Calibri Light"/>
                <w:sz w:val="16"/>
                <w:szCs w:val="16"/>
                <w:lang w:val="ro-RO"/>
              </w:rPr>
            </w:pPr>
          </w:p>
        </w:tc>
        <w:tc>
          <w:tcPr>
            <w:tcW w:w="1134" w:type="dxa"/>
            <w:tcBorders>
              <w:left w:val="single" w:sz="4" w:space="0" w:color="auto"/>
            </w:tcBorders>
          </w:tcPr>
          <w:p w14:paraId="5A4FE64B"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dol. SUA</w:t>
            </w:r>
          </w:p>
        </w:tc>
        <w:tc>
          <w:tcPr>
            <w:tcW w:w="1276" w:type="dxa"/>
          </w:tcPr>
          <w:p w14:paraId="4642B844"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w:t>
            </w:r>
          </w:p>
        </w:tc>
      </w:tr>
      <w:tr w:rsidR="00E514B5" w:rsidRPr="007F6FE6" w14:paraId="0FA52EF0" w14:textId="77777777" w:rsidTr="004511C2">
        <w:tc>
          <w:tcPr>
            <w:tcW w:w="499" w:type="dxa"/>
            <w:tcBorders>
              <w:top w:val="nil"/>
              <w:left w:val="single" w:sz="4" w:space="0" w:color="auto"/>
              <w:bottom w:val="single" w:sz="4" w:space="0" w:color="auto"/>
              <w:right w:val="single" w:sz="4" w:space="0" w:color="auto"/>
            </w:tcBorders>
          </w:tcPr>
          <w:p w14:paraId="13DD4D29"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single" w:sz="4" w:space="0" w:color="auto"/>
              <w:right w:val="single" w:sz="4" w:space="0" w:color="auto"/>
            </w:tcBorders>
          </w:tcPr>
          <w:p w14:paraId="2BE5D8F1" w14:textId="77777777" w:rsidR="00E514B5" w:rsidRPr="007F6FE6" w:rsidRDefault="00E514B5" w:rsidP="004511C2">
            <w:pPr>
              <w:jc w:val="both"/>
              <w:rPr>
                <w:rFonts w:ascii="Calibri Light" w:hAnsi="Calibri Light" w:cs="Calibri Light"/>
                <w:sz w:val="16"/>
                <w:szCs w:val="16"/>
                <w:lang w:val="ro-RO"/>
              </w:rPr>
            </w:pPr>
          </w:p>
        </w:tc>
        <w:tc>
          <w:tcPr>
            <w:tcW w:w="1134" w:type="dxa"/>
            <w:tcBorders>
              <w:left w:val="single" w:sz="4" w:space="0" w:color="auto"/>
            </w:tcBorders>
          </w:tcPr>
          <w:p w14:paraId="2BC04E20"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0B81DA6D"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2,2</w:t>
            </w:r>
          </w:p>
        </w:tc>
      </w:tr>
      <w:tr w:rsidR="00E514B5" w:rsidRPr="007F6FE6" w14:paraId="64B2A414" w14:textId="77777777" w:rsidTr="004511C2">
        <w:trPr>
          <w:trHeight w:val="228"/>
        </w:trPr>
        <w:tc>
          <w:tcPr>
            <w:tcW w:w="499" w:type="dxa"/>
            <w:vMerge w:val="restart"/>
            <w:tcBorders>
              <w:top w:val="single" w:sz="4" w:space="0" w:color="auto"/>
            </w:tcBorders>
          </w:tcPr>
          <w:p w14:paraId="4F066E86"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2</w:t>
            </w:r>
          </w:p>
        </w:tc>
        <w:tc>
          <w:tcPr>
            <w:tcW w:w="6267" w:type="dxa"/>
            <w:vMerge w:val="restart"/>
            <w:tcBorders>
              <w:top w:val="single" w:sz="4" w:space="0" w:color="auto"/>
            </w:tcBorders>
          </w:tcPr>
          <w:p w14:paraId="44CAF381"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Livada Moldovei</w:t>
            </w:r>
          </w:p>
          <w:p w14:paraId="38EC7A20" w14:textId="77777777" w:rsidR="00E514B5" w:rsidRPr="007F6FE6" w:rsidRDefault="00E514B5" w:rsidP="004511C2">
            <w:pPr>
              <w:jc w:val="both"/>
              <w:rPr>
                <w:rFonts w:ascii="Calibri Light" w:hAnsi="Calibri Light" w:cs="Calibri Light"/>
                <w:sz w:val="16"/>
                <w:szCs w:val="16"/>
                <w:lang w:val="ro-RO"/>
              </w:rPr>
            </w:pPr>
          </w:p>
        </w:tc>
        <w:tc>
          <w:tcPr>
            <w:tcW w:w="1134" w:type="dxa"/>
          </w:tcPr>
          <w:p w14:paraId="6315E46E"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59E942C0"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101,2</w:t>
            </w:r>
          </w:p>
        </w:tc>
      </w:tr>
      <w:tr w:rsidR="00E514B5" w:rsidRPr="007F6FE6" w14:paraId="130DA0B4" w14:textId="77777777" w:rsidTr="004511C2">
        <w:trPr>
          <w:trHeight w:val="156"/>
        </w:trPr>
        <w:tc>
          <w:tcPr>
            <w:tcW w:w="499" w:type="dxa"/>
            <w:vMerge/>
          </w:tcPr>
          <w:p w14:paraId="344D756C" w14:textId="77777777" w:rsidR="00E514B5" w:rsidRPr="007F6FE6" w:rsidRDefault="00E514B5" w:rsidP="004511C2">
            <w:pPr>
              <w:jc w:val="both"/>
              <w:rPr>
                <w:rFonts w:ascii="Calibri Light" w:hAnsi="Calibri Light" w:cs="Calibri Light"/>
                <w:b/>
                <w:i/>
                <w:sz w:val="16"/>
                <w:szCs w:val="16"/>
                <w:lang w:val="ro-RO"/>
              </w:rPr>
            </w:pPr>
          </w:p>
        </w:tc>
        <w:tc>
          <w:tcPr>
            <w:tcW w:w="6267" w:type="dxa"/>
            <w:vMerge/>
          </w:tcPr>
          <w:p w14:paraId="1A9E8821" w14:textId="77777777" w:rsidR="00E514B5" w:rsidRPr="007F6FE6" w:rsidRDefault="00E514B5" w:rsidP="004511C2">
            <w:pPr>
              <w:jc w:val="both"/>
              <w:rPr>
                <w:rFonts w:ascii="Calibri Light" w:hAnsi="Calibri Light" w:cs="Calibri Light"/>
                <w:sz w:val="16"/>
                <w:szCs w:val="16"/>
                <w:lang w:val="ro-RO"/>
              </w:rPr>
            </w:pPr>
          </w:p>
        </w:tc>
        <w:tc>
          <w:tcPr>
            <w:tcW w:w="1134" w:type="dxa"/>
          </w:tcPr>
          <w:p w14:paraId="4ED90FF0"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78453BA2"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11,4</w:t>
            </w:r>
          </w:p>
        </w:tc>
      </w:tr>
      <w:tr w:rsidR="00E514B5" w:rsidRPr="007F6FE6" w14:paraId="51ACFA5E" w14:textId="77777777" w:rsidTr="004511C2">
        <w:tc>
          <w:tcPr>
            <w:tcW w:w="499" w:type="dxa"/>
          </w:tcPr>
          <w:p w14:paraId="0CDACDC5"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3</w:t>
            </w:r>
          </w:p>
        </w:tc>
        <w:tc>
          <w:tcPr>
            <w:tcW w:w="6267" w:type="dxa"/>
          </w:tcPr>
          <w:p w14:paraId="4114B0C5"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 xml:space="preserve"> Proiectul Livada Moldovei, componenta leasing</w:t>
            </w:r>
          </w:p>
        </w:tc>
        <w:tc>
          <w:tcPr>
            <w:tcW w:w="1134" w:type="dxa"/>
          </w:tcPr>
          <w:p w14:paraId="51CE43DE"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710E6E5E"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0,14</w:t>
            </w:r>
          </w:p>
        </w:tc>
      </w:tr>
      <w:tr w:rsidR="00E514B5" w:rsidRPr="007F6FE6" w14:paraId="521D6DEE" w14:textId="77777777" w:rsidTr="004511C2">
        <w:tc>
          <w:tcPr>
            <w:tcW w:w="499" w:type="dxa"/>
          </w:tcPr>
          <w:p w14:paraId="740DC97A"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4</w:t>
            </w:r>
          </w:p>
        </w:tc>
        <w:tc>
          <w:tcPr>
            <w:tcW w:w="6267" w:type="dxa"/>
          </w:tcPr>
          <w:p w14:paraId="4FF74BA6"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COVID – 19 răspuns de urgență și suport ÎMMM</w:t>
            </w:r>
          </w:p>
        </w:tc>
        <w:tc>
          <w:tcPr>
            <w:tcW w:w="1134" w:type="dxa"/>
          </w:tcPr>
          <w:p w14:paraId="5D1E02BC"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635BC18F"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4,2</w:t>
            </w:r>
          </w:p>
        </w:tc>
      </w:tr>
      <w:tr w:rsidR="00E514B5" w:rsidRPr="007F6FE6" w14:paraId="449E7E99" w14:textId="77777777" w:rsidTr="004511C2">
        <w:tc>
          <w:tcPr>
            <w:tcW w:w="499" w:type="dxa"/>
            <w:tcBorders>
              <w:top w:val="single" w:sz="4" w:space="0" w:color="auto"/>
              <w:left w:val="single" w:sz="4" w:space="0" w:color="auto"/>
              <w:bottom w:val="nil"/>
              <w:right w:val="single" w:sz="4" w:space="0" w:color="auto"/>
            </w:tcBorders>
          </w:tcPr>
          <w:p w14:paraId="4E0F1B47"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single" w:sz="4" w:space="0" w:color="auto"/>
              <w:left w:val="single" w:sz="4" w:space="0" w:color="auto"/>
              <w:bottom w:val="nil"/>
              <w:right w:val="single" w:sz="4" w:space="0" w:color="auto"/>
            </w:tcBorders>
          </w:tcPr>
          <w:p w14:paraId="34964823" w14:textId="77777777" w:rsidR="00E514B5" w:rsidRPr="007F6FE6" w:rsidRDefault="00E514B5" w:rsidP="004511C2">
            <w:pPr>
              <w:jc w:val="both"/>
              <w:rPr>
                <w:rFonts w:ascii="Calibri Light" w:hAnsi="Calibri Light" w:cs="Calibri Light"/>
                <w:b/>
                <w:sz w:val="16"/>
                <w:szCs w:val="16"/>
                <w:lang w:val="ro-RO"/>
              </w:rPr>
            </w:pPr>
            <w:r w:rsidRPr="007F6FE6">
              <w:rPr>
                <w:rFonts w:ascii="Calibri Light" w:hAnsi="Calibri Light" w:cs="Calibri Light"/>
                <w:b/>
                <w:sz w:val="16"/>
                <w:szCs w:val="16"/>
                <w:lang w:val="ro-RO"/>
              </w:rPr>
              <w:t>Total</w:t>
            </w:r>
          </w:p>
        </w:tc>
        <w:tc>
          <w:tcPr>
            <w:tcW w:w="1134" w:type="dxa"/>
            <w:tcBorders>
              <w:left w:val="single" w:sz="4" w:space="0" w:color="auto"/>
            </w:tcBorders>
          </w:tcPr>
          <w:p w14:paraId="045A3C49"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14C780A2"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146,0</w:t>
            </w:r>
          </w:p>
        </w:tc>
      </w:tr>
      <w:tr w:rsidR="00E514B5" w:rsidRPr="007F6FE6" w14:paraId="5DC5CA70" w14:textId="77777777" w:rsidTr="004511C2">
        <w:tc>
          <w:tcPr>
            <w:tcW w:w="499" w:type="dxa"/>
            <w:tcBorders>
              <w:top w:val="nil"/>
              <w:left w:val="single" w:sz="4" w:space="0" w:color="auto"/>
              <w:bottom w:val="nil"/>
              <w:right w:val="single" w:sz="4" w:space="0" w:color="auto"/>
            </w:tcBorders>
          </w:tcPr>
          <w:p w14:paraId="0F6B92D2"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nil"/>
              <w:right w:val="single" w:sz="4" w:space="0" w:color="auto"/>
            </w:tcBorders>
          </w:tcPr>
          <w:p w14:paraId="2CEC3099" w14:textId="77777777" w:rsidR="00E514B5" w:rsidRPr="007F6FE6" w:rsidRDefault="00E514B5" w:rsidP="004511C2">
            <w:pPr>
              <w:jc w:val="both"/>
              <w:rPr>
                <w:rFonts w:ascii="Calibri Light" w:hAnsi="Calibri Light" w:cs="Calibri Light"/>
                <w:b/>
                <w:i/>
                <w:sz w:val="16"/>
                <w:szCs w:val="16"/>
                <w:lang w:val="ro-RO"/>
              </w:rPr>
            </w:pPr>
          </w:p>
        </w:tc>
        <w:tc>
          <w:tcPr>
            <w:tcW w:w="1134" w:type="dxa"/>
            <w:tcBorders>
              <w:left w:val="single" w:sz="4" w:space="0" w:color="auto"/>
            </w:tcBorders>
          </w:tcPr>
          <w:p w14:paraId="7C111ACC"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.dol. SUA</w:t>
            </w:r>
          </w:p>
        </w:tc>
        <w:tc>
          <w:tcPr>
            <w:tcW w:w="1276" w:type="dxa"/>
          </w:tcPr>
          <w:p w14:paraId="373DED4F"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w:t>
            </w:r>
          </w:p>
        </w:tc>
      </w:tr>
      <w:tr w:rsidR="00E514B5" w:rsidRPr="007F6FE6" w14:paraId="581004B7" w14:textId="77777777" w:rsidTr="004511C2">
        <w:tc>
          <w:tcPr>
            <w:tcW w:w="499" w:type="dxa"/>
            <w:tcBorders>
              <w:top w:val="nil"/>
              <w:left w:val="single" w:sz="4" w:space="0" w:color="auto"/>
              <w:bottom w:val="single" w:sz="4" w:space="0" w:color="auto"/>
              <w:right w:val="single" w:sz="4" w:space="0" w:color="auto"/>
            </w:tcBorders>
          </w:tcPr>
          <w:p w14:paraId="07F40342"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single" w:sz="4" w:space="0" w:color="auto"/>
              <w:right w:val="single" w:sz="4" w:space="0" w:color="auto"/>
            </w:tcBorders>
          </w:tcPr>
          <w:p w14:paraId="372DA2EA" w14:textId="77777777" w:rsidR="00E514B5" w:rsidRPr="007F6FE6" w:rsidRDefault="00E514B5" w:rsidP="004511C2">
            <w:pPr>
              <w:jc w:val="both"/>
              <w:rPr>
                <w:rFonts w:ascii="Calibri Light" w:hAnsi="Calibri Light" w:cs="Calibri Light"/>
                <w:b/>
                <w:i/>
                <w:sz w:val="16"/>
                <w:szCs w:val="16"/>
                <w:lang w:val="ro-RO"/>
              </w:rPr>
            </w:pPr>
          </w:p>
        </w:tc>
        <w:tc>
          <w:tcPr>
            <w:tcW w:w="1134" w:type="dxa"/>
            <w:tcBorders>
              <w:left w:val="single" w:sz="4" w:space="0" w:color="auto"/>
            </w:tcBorders>
          </w:tcPr>
          <w:p w14:paraId="6CCFBDBA"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78AE76C9"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13,7</w:t>
            </w:r>
          </w:p>
        </w:tc>
      </w:tr>
      <w:tr w:rsidR="00A37697" w:rsidRPr="007F6FE6" w14:paraId="26627408" w14:textId="77777777" w:rsidTr="005008C8">
        <w:tc>
          <w:tcPr>
            <w:tcW w:w="9176" w:type="dxa"/>
            <w:gridSpan w:val="4"/>
            <w:tcBorders>
              <w:top w:val="single" w:sz="4" w:space="0" w:color="auto"/>
            </w:tcBorders>
          </w:tcPr>
          <w:p w14:paraId="6660B090" w14:textId="2F9AC9D9" w:rsidR="00A37697" w:rsidRPr="007F6FE6" w:rsidRDefault="00A37697" w:rsidP="00A37697">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Mijloace circulante acumulate</w:t>
            </w:r>
          </w:p>
        </w:tc>
      </w:tr>
      <w:tr w:rsidR="00E514B5" w:rsidRPr="007F6FE6" w14:paraId="1DB813CB" w14:textId="77777777" w:rsidTr="004511C2">
        <w:tc>
          <w:tcPr>
            <w:tcW w:w="499" w:type="dxa"/>
            <w:tcBorders>
              <w:bottom w:val="nil"/>
            </w:tcBorders>
          </w:tcPr>
          <w:p w14:paraId="2A0A2A14"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5</w:t>
            </w:r>
          </w:p>
        </w:tc>
        <w:tc>
          <w:tcPr>
            <w:tcW w:w="6267" w:type="dxa"/>
            <w:tcBorders>
              <w:bottom w:val="nil"/>
            </w:tcBorders>
          </w:tcPr>
          <w:p w14:paraId="62FD0C91" w14:textId="77777777" w:rsidR="00E514B5" w:rsidRPr="007F6FE6" w:rsidRDefault="00E514B5" w:rsidP="004511C2">
            <w:pPr>
              <w:jc w:val="both"/>
              <w:rPr>
                <w:rFonts w:ascii="Calibri Light" w:hAnsi="Calibri Light" w:cs="Calibri Light"/>
                <w:b/>
                <w:i/>
                <w:sz w:val="16"/>
                <w:szCs w:val="16"/>
                <w:lang w:val="ro-RO"/>
              </w:rPr>
            </w:pPr>
          </w:p>
        </w:tc>
        <w:tc>
          <w:tcPr>
            <w:tcW w:w="1134" w:type="dxa"/>
          </w:tcPr>
          <w:p w14:paraId="20D80592"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1A5A8549"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104,9</w:t>
            </w:r>
          </w:p>
        </w:tc>
      </w:tr>
      <w:tr w:rsidR="00E514B5" w:rsidRPr="007F6FE6" w14:paraId="7914739F" w14:textId="77777777" w:rsidTr="004511C2">
        <w:trPr>
          <w:trHeight w:val="259"/>
        </w:trPr>
        <w:tc>
          <w:tcPr>
            <w:tcW w:w="499" w:type="dxa"/>
            <w:tcBorders>
              <w:top w:val="nil"/>
              <w:bottom w:val="single" w:sz="4" w:space="0" w:color="auto"/>
            </w:tcBorders>
          </w:tcPr>
          <w:p w14:paraId="39DC1728"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bottom w:val="single" w:sz="4" w:space="0" w:color="auto"/>
            </w:tcBorders>
          </w:tcPr>
          <w:p w14:paraId="4B712D27"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Finanțare Rurală și Dezvoltare a Întreprinderilor Mici (FIDA 1)</w:t>
            </w:r>
          </w:p>
        </w:tc>
        <w:tc>
          <w:tcPr>
            <w:tcW w:w="1134" w:type="dxa"/>
            <w:tcBorders>
              <w:bottom w:val="single" w:sz="4" w:space="0" w:color="auto"/>
            </w:tcBorders>
          </w:tcPr>
          <w:p w14:paraId="4FDDFFEB"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dol. SUA</w:t>
            </w:r>
          </w:p>
        </w:tc>
        <w:tc>
          <w:tcPr>
            <w:tcW w:w="1276" w:type="dxa"/>
            <w:tcBorders>
              <w:bottom w:val="single" w:sz="4" w:space="0" w:color="auto"/>
            </w:tcBorders>
          </w:tcPr>
          <w:p w14:paraId="12AFB08B"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w:t>
            </w:r>
          </w:p>
        </w:tc>
      </w:tr>
      <w:tr w:rsidR="00E514B5" w:rsidRPr="007F6FE6" w14:paraId="5A7CB9F3" w14:textId="77777777" w:rsidTr="004511C2">
        <w:tc>
          <w:tcPr>
            <w:tcW w:w="499" w:type="dxa"/>
            <w:tcBorders>
              <w:top w:val="single" w:sz="4" w:space="0" w:color="auto"/>
              <w:bottom w:val="single" w:sz="4" w:space="0" w:color="auto"/>
            </w:tcBorders>
          </w:tcPr>
          <w:p w14:paraId="20A4A4A2"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single" w:sz="4" w:space="0" w:color="auto"/>
              <w:bottom w:val="single" w:sz="4" w:space="0" w:color="auto"/>
            </w:tcBorders>
          </w:tcPr>
          <w:p w14:paraId="674C96B8" w14:textId="77777777" w:rsidR="00E514B5" w:rsidRPr="007F6FE6" w:rsidRDefault="00E514B5" w:rsidP="004511C2">
            <w:pPr>
              <w:jc w:val="both"/>
              <w:rPr>
                <w:rFonts w:ascii="Calibri Light" w:hAnsi="Calibri Light" w:cs="Calibri Light"/>
                <w:b/>
                <w:i/>
                <w:sz w:val="16"/>
                <w:szCs w:val="16"/>
                <w:lang w:val="ro-RO"/>
              </w:rPr>
            </w:pPr>
          </w:p>
        </w:tc>
        <w:tc>
          <w:tcPr>
            <w:tcW w:w="1134" w:type="dxa"/>
            <w:tcBorders>
              <w:top w:val="single" w:sz="4" w:space="0" w:color="auto"/>
              <w:bottom w:val="single" w:sz="4" w:space="0" w:color="auto"/>
            </w:tcBorders>
          </w:tcPr>
          <w:p w14:paraId="003EEFB5"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Borders>
              <w:top w:val="single" w:sz="4" w:space="0" w:color="auto"/>
              <w:bottom w:val="single" w:sz="4" w:space="0" w:color="auto"/>
            </w:tcBorders>
          </w:tcPr>
          <w:p w14:paraId="097EA496"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0,47</w:t>
            </w:r>
          </w:p>
        </w:tc>
      </w:tr>
      <w:tr w:rsidR="00E514B5" w:rsidRPr="007F6FE6" w14:paraId="5040321C" w14:textId="77777777" w:rsidTr="004511C2">
        <w:tc>
          <w:tcPr>
            <w:tcW w:w="499" w:type="dxa"/>
            <w:tcBorders>
              <w:top w:val="single" w:sz="4" w:space="0" w:color="auto"/>
              <w:left w:val="single" w:sz="4" w:space="0" w:color="auto"/>
              <w:bottom w:val="nil"/>
              <w:right w:val="single" w:sz="4" w:space="0" w:color="auto"/>
            </w:tcBorders>
          </w:tcPr>
          <w:p w14:paraId="7DF694FA"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6</w:t>
            </w:r>
          </w:p>
        </w:tc>
        <w:tc>
          <w:tcPr>
            <w:tcW w:w="6267" w:type="dxa"/>
            <w:tcBorders>
              <w:top w:val="single" w:sz="4" w:space="0" w:color="auto"/>
              <w:left w:val="single" w:sz="4" w:space="0" w:color="auto"/>
              <w:bottom w:val="nil"/>
              <w:right w:val="single" w:sz="4" w:space="0" w:color="auto"/>
            </w:tcBorders>
          </w:tcPr>
          <w:p w14:paraId="77BE3972"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Revitalizare a Agriculturii (FIDA 2, PRA)</w:t>
            </w:r>
          </w:p>
        </w:tc>
        <w:tc>
          <w:tcPr>
            <w:tcW w:w="1134" w:type="dxa"/>
            <w:tcBorders>
              <w:top w:val="single" w:sz="4" w:space="0" w:color="auto"/>
              <w:left w:val="single" w:sz="4" w:space="0" w:color="auto"/>
              <w:bottom w:val="single" w:sz="4" w:space="0" w:color="auto"/>
              <w:right w:val="single" w:sz="4" w:space="0" w:color="auto"/>
            </w:tcBorders>
          </w:tcPr>
          <w:p w14:paraId="57AEC9B7"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Borders>
              <w:top w:val="single" w:sz="4" w:space="0" w:color="auto"/>
              <w:left w:val="single" w:sz="4" w:space="0" w:color="auto"/>
              <w:bottom w:val="single" w:sz="4" w:space="0" w:color="auto"/>
              <w:right w:val="single" w:sz="4" w:space="0" w:color="auto"/>
            </w:tcBorders>
          </w:tcPr>
          <w:p w14:paraId="677D62B2"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87,2</w:t>
            </w:r>
          </w:p>
        </w:tc>
      </w:tr>
      <w:tr w:rsidR="00E514B5" w:rsidRPr="007F6FE6" w14:paraId="0F263373" w14:textId="77777777" w:rsidTr="004511C2">
        <w:tc>
          <w:tcPr>
            <w:tcW w:w="499" w:type="dxa"/>
            <w:tcBorders>
              <w:top w:val="nil"/>
            </w:tcBorders>
          </w:tcPr>
          <w:p w14:paraId="49CF4825"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tcBorders>
          </w:tcPr>
          <w:p w14:paraId="300F8377" w14:textId="77777777" w:rsidR="00E514B5" w:rsidRPr="007F6FE6" w:rsidRDefault="00E514B5" w:rsidP="004511C2">
            <w:pPr>
              <w:jc w:val="both"/>
              <w:rPr>
                <w:rFonts w:ascii="Calibri Light" w:hAnsi="Calibri Light" w:cs="Calibri Light"/>
                <w:sz w:val="16"/>
                <w:szCs w:val="16"/>
                <w:lang w:val="ro-RO"/>
              </w:rPr>
            </w:pPr>
          </w:p>
        </w:tc>
        <w:tc>
          <w:tcPr>
            <w:tcW w:w="1134" w:type="dxa"/>
            <w:tcBorders>
              <w:top w:val="single" w:sz="4" w:space="0" w:color="auto"/>
            </w:tcBorders>
          </w:tcPr>
          <w:p w14:paraId="5E3345C5"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Borders>
              <w:top w:val="single" w:sz="4" w:space="0" w:color="auto"/>
            </w:tcBorders>
          </w:tcPr>
          <w:p w14:paraId="700872BA"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0,2</w:t>
            </w:r>
          </w:p>
        </w:tc>
      </w:tr>
      <w:tr w:rsidR="00E514B5" w:rsidRPr="007F6FE6" w14:paraId="2C269E8F" w14:textId="77777777" w:rsidTr="004511C2">
        <w:tc>
          <w:tcPr>
            <w:tcW w:w="499" w:type="dxa"/>
            <w:tcBorders>
              <w:bottom w:val="single" w:sz="4" w:space="0" w:color="auto"/>
            </w:tcBorders>
          </w:tcPr>
          <w:p w14:paraId="47906937"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7</w:t>
            </w:r>
          </w:p>
        </w:tc>
        <w:tc>
          <w:tcPr>
            <w:tcW w:w="6267" w:type="dxa"/>
          </w:tcPr>
          <w:p w14:paraId="0A2143CB"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Dezvoltare a Afacerilor Rurale (FIDA 3, PDAR)</w:t>
            </w:r>
          </w:p>
        </w:tc>
        <w:tc>
          <w:tcPr>
            <w:tcW w:w="1134" w:type="dxa"/>
          </w:tcPr>
          <w:p w14:paraId="393269EF"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5E16CF96"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27,3</w:t>
            </w:r>
          </w:p>
        </w:tc>
      </w:tr>
      <w:tr w:rsidR="00E514B5" w:rsidRPr="007F6FE6" w14:paraId="4504AFB1" w14:textId="77777777" w:rsidTr="004511C2">
        <w:tc>
          <w:tcPr>
            <w:tcW w:w="499" w:type="dxa"/>
            <w:tcBorders>
              <w:bottom w:val="nil"/>
            </w:tcBorders>
          </w:tcPr>
          <w:p w14:paraId="609DB175"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8</w:t>
            </w:r>
          </w:p>
        </w:tc>
        <w:tc>
          <w:tcPr>
            <w:tcW w:w="6267" w:type="dxa"/>
            <w:tcBorders>
              <w:bottom w:val="nil"/>
            </w:tcBorders>
          </w:tcPr>
          <w:p w14:paraId="1CADC9B8"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 xml:space="preserve">Proiectul de Servicii Financiare  Rurale </w:t>
            </w:r>
            <w:r w:rsidRPr="007F6FE6">
              <w:rPr>
                <w:rFonts w:ascii="Calibri Light" w:hAnsi="Calibri Light" w:cs="Calibri Light"/>
                <w:sz w:val="16"/>
                <w:lang w:val="ro-RO"/>
              </w:rPr>
              <w:t>și Marketing</w:t>
            </w:r>
            <w:r w:rsidRPr="007F6FE6">
              <w:rPr>
                <w:rFonts w:ascii="Calibri Light" w:hAnsi="Calibri Light" w:cs="Calibri Light"/>
                <w:sz w:val="16"/>
                <w:szCs w:val="16"/>
                <w:lang w:val="ro-RO"/>
              </w:rPr>
              <w:t xml:space="preserve"> (FIDA 4)</w:t>
            </w:r>
          </w:p>
        </w:tc>
        <w:tc>
          <w:tcPr>
            <w:tcW w:w="1134" w:type="dxa"/>
            <w:tcBorders>
              <w:bottom w:val="single" w:sz="4" w:space="0" w:color="auto"/>
            </w:tcBorders>
          </w:tcPr>
          <w:p w14:paraId="5220671E"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Borders>
              <w:bottom w:val="single" w:sz="4" w:space="0" w:color="auto"/>
            </w:tcBorders>
          </w:tcPr>
          <w:p w14:paraId="4020CA7B"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4,4</w:t>
            </w:r>
          </w:p>
        </w:tc>
      </w:tr>
      <w:tr w:rsidR="00E514B5" w:rsidRPr="007F6FE6" w14:paraId="208C439B" w14:textId="77777777" w:rsidTr="004511C2">
        <w:tc>
          <w:tcPr>
            <w:tcW w:w="499" w:type="dxa"/>
            <w:tcBorders>
              <w:top w:val="nil"/>
              <w:left w:val="single" w:sz="4" w:space="0" w:color="auto"/>
              <w:bottom w:val="single" w:sz="4" w:space="0" w:color="auto"/>
              <w:right w:val="single" w:sz="4" w:space="0" w:color="auto"/>
            </w:tcBorders>
          </w:tcPr>
          <w:p w14:paraId="5FD4FF6D"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single" w:sz="4" w:space="0" w:color="auto"/>
              <w:right w:val="single" w:sz="4" w:space="0" w:color="auto"/>
            </w:tcBorders>
          </w:tcPr>
          <w:p w14:paraId="0957E88B" w14:textId="77777777" w:rsidR="00E514B5" w:rsidRPr="007F6FE6" w:rsidRDefault="00E514B5" w:rsidP="004511C2">
            <w:pPr>
              <w:jc w:val="both"/>
              <w:rPr>
                <w:rFonts w:ascii="Calibri Light" w:hAnsi="Calibri Light" w:cs="Calibri Light"/>
                <w:sz w:val="16"/>
                <w:szCs w:val="16"/>
                <w:lang w:val="ro-RO"/>
              </w:rPr>
            </w:pPr>
          </w:p>
        </w:tc>
        <w:tc>
          <w:tcPr>
            <w:tcW w:w="1134" w:type="dxa"/>
            <w:tcBorders>
              <w:left w:val="single" w:sz="4" w:space="0" w:color="auto"/>
              <w:bottom w:val="single" w:sz="4" w:space="0" w:color="auto"/>
            </w:tcBorders>
          </w:tcPr>
          <w:p w14:paraId="0C80DE36"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Borders>
              <w:right w:val="single" w:sz="4" w:space="0" w:color="auto"/>
            </w:tcBorders>
          </w:tcPr>
          <w:p w14:paraId="46D97C8F"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0,02</w:t>
            </w:r>
          </w:p>
        </w:tc>
      </w:tr>
      <w:tr w:rsidR="00E514B5" w:rsidRPr="007F6FE6" w14:paraId="33D16B39" w14:textId="77777777" w:rsidTr="004511C2">
        <w:tc>
          <w:tcPr>
            <w:tcW w:w="499" w:type="dxa"/>
            <w:tcBorders>
              <w:top w:val="single" w:sz="4" w:space="0" w:color="auto"/>
              <w:bottom w:val="nil"/>
            </w:tcBorders>
          </w:tcPr>
          <w:p w14:paraId="400A59FD"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9</w:t>
            </w:r>
          </w:p>
        </w:tc>
        <w:tc>
          <w:tcPr>
            <w:tcW w:w="6267" w:type="dxa"/>
            <w:tcBorders>
              <w:top w:val="single" w:sz="4" w:space="0" w:color="auto"/>
              <w:bottom w:val="nil"/>
            </w:tcBorders>
          </w:tcPr>
          <w:p w14:paraId="682B2017"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Servicii Financiare Rurale și Dezvoltarea Businessului Agricol (FIDA 5)</w:t>
            </w:r>
          </w:p>
        </w:tc>
        <w:tc>
          <w:tcPr>
            <w:tcW w:w="1134" w:type="dxa"/>
            <w:tcBorders>
              <w:top w:val="single" w:sz="4" w:space="0" w:color="auto"/>
              <w:bottom w:val="single" w:sz="4" w:space="0" w:color="auto"/>
            </w:tcBorders>
          </w:tcPr>
          <w:p w14:paraId="597B02BF"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5F2544E8"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120,4</w:t>
            </w:r>
          </w:p>
        </w:tc>
      </w:tr>
      <w:tr w:rsidR="00E514B5" w:rsidRPr="007F6FE6" w14:paraId="7C574D5C" w14:textId="77777777" w:rsidTr="004511C2">
        <w:tc>
          <w:tcPr>
            <w:tcW w:w="499" w:type="dxa"/>
            <w:tcBorders>
              <w:top w:val="nil"/>
              <w:left w:val="single" w:sz="4" w:space="0" w:color="auto"/>
              <w:bottom w:val="single" w:sz="4" w:space="0" w:color="auto"/>
              <w:right w:val="single" w:sz="4" w:space="0" w:color="auto"/>
            </w:tcBorders>
          </w:tcPr>
          <w:p w14:paraId="040B359D"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single" w:sz="4" w:space="0" w:color="auto"/>
              <w:right w:val="single" w:sz="4" w:space="0" w:color="auto"/>
            </w:tcBorders>
          </w:tcPr>
          <w:p w14:paraId="3D147B96" w14:textId="77777777" w:rsidR="00E514B5" w:rsidRPr="007F6FE6" w:rsidRDefault="00E514B5" w:rsidP="004511C2">
            <w:pPr>
              <w:jc w:val="both"/>
              <w:rPr>
                <w:rFonts w:ascii="Calibri Light" w:hAnsi="Calibri Light" w:cs="Calibri Light"/>
                <w:sz w:val="16"/>
                <w:szCs w:val="16"/>
                <w:lang w:val="ro-RO"/>
              </w:rPr>
            </w:pPr>
          </w:p>
        </w:tc>
        <w:tc>
          <w:tcPr>
            <w:tcW w:w="1134" w:type="dxa"/>
            <w:tcBorders>
              <w:top w:val="single" w:sz="4" w:space="0" w:color="auto"/>
              <w:left w:val="single" w:sz="4" w:space="0" w:color="auto"/>
            </w:tcBorders>
          </w:tcPr>
          <w:p w14:paraId="55D60222"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0E1CA7A0"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0,13</w:t>
            </w:r>
          </w:p>
        </w:tc>
      </w:tr>
      <w:tr w:rsidR="00E514B5" w:rsidRPr="007F6FE6" w14:paraId="06109F5B" w14:textId="77777777" w:rsidTr="004511C2">
        <w:tc>
          <w:tcPr>
            <w:tcW w:w="499" w:type="dxa"/>
            <w:tcBorders>
              <w:top w:val="single" w:sz="4" w:space="0" w:color="auto"/>
              <w:bottom w:val="single" w:sz="4" w:space="0" w:color="auto"/>
            </w:tcBorders>
          </w:tcPr>
          <w:p w14:paraId="3C3FB104"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10</w:t>
            </w:r>
          </w:p>
        </w:tc>
        <w:tc>
          <w:tcPr>
            <w:tcW w:w="6267" w:type="dxa"/>
            <w:tcBorders>
              <w:top w:val="single" w:sz="4" w:space="0" w:color="auto"/>
              <w:bottom w:val="single" w:sz="4" w:space="0" w:color="auto"/>
            </w:tcBorders>
          </w:tcPr>
          <w:p w14:paraId="7276C430"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Programul Rural de Reziliență Economică-Climatică Incluzivă (FIDA 6)</w:t>
            </w:r>
          </w:p>
        </w:tc>
        <w:tc>
          <w:tcPr>
            <w:tcW w:w="1134" w:type="dxa"/>
          </w:tcPr>
          <w:p w14:paraId="51514831"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364B693A"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0,1</w:t>
            </w:r>
          </w:p>
        </w:tc>
      </w:tr>
      <w:tr w:rsidR="00E514B5" w:rsidRPr="007F6FE6" w14:paraId="75142963" w14:textId="77777777" w:rsidTr="004511C2">
        <w:tc>
          <w:tcPr>
            <w:tcW w:w="499" w:type="dxa"/>
            <w:tcBorders>
              <w:top w:val="single" w:sz="4" w:space="0" w:color="auto"/>
              <w:left w:val="single" w:sz="4" w:space="0" w:color="auto"/>
              <w:bottom w:val="nil"/>
              <w:right w:val="single" w:sz="4" w:space="0" w:color="auto"/>
            </w:tcBorders>
          </w:tcPr>
          <w:p w14:paraId="46BE0BE6"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11</w:t>
            </w:r>
          </w:p>
        </w:tc>
        <w:tc>
          <w:tcPr>
            <w:tcW w:w="6267" w:type="dxa"/>
            <w:tcBorders>
              <w:top w:val="single" w:sz="4" w:space="0" w:color="auto"/>
              <w:left w:val="single" w:sz="4" w:space="0" w:color="auto"/>
              <w:bottom w:val="nil"/>
              <w:right w:val="single" w:sz="4" w:space="0" w:color="auto"/>
            </w:tcBorders>
          </w:tcPr>
          <w:p w14:paraId="03DB45FC"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Investiții și Servicii Rurale, faza I ( RISP I)</w:t>
            </w:r>
          </w:p>
        </w:tc>
        <w:tc>
          <w:tcPr>
            <w:tcW w:w="1134" w:type="dxa"/>
            <w:tcBorders>
              <w:top w:val="single" w:sz="4" w:space="0" w:color="auto"/>
              <w:left w:val="single" w:sz="4" w:space="0" w:color="auto"/>
              <w:bottom w:val="single" w:sz="4" w:space="0" w:color="auto"/>
              <w:right w:val="single" w:sz="4" w:space="0" w:color="auto"/>
            </w:tcBorders>
          </w:tcPr>
          <w:p w14:paraId="0E187658"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5B80BE5F"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40,0</w:t>
            </w:r>
          </w:p>
        </w:tc>
      </w:tr>
      <w:tr w:rsidR="00E514B5" w:rsidRPr="007F6FE6" w14:paraId="5A7F85C9" w14:textId="77777777" w:rsidTr="004511C2">
        <w:tc>
          <w:tcPr>
            <w:tcW w:w="499" w:type="dxa"/>
            <w:tcBorders>
              <w:top w:val="nil"/>
              <w:left w:val="single" w:sz="4" w:space="0" w:color="auto"/>
              <w:bottom w:val="single" w:sz="4" w:space="0" w:color="auto"/>
              <w:right w:val="single" w:sz="4" w:space="0" w:color="auto"/>
            </w:tcBorders>
          </w:tcPr>
          <w:p w14:paraId="2184A3DE"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single" w:sz="4" w:space="0" w:color="auto"/>
              <w:right w:val="single" w:sz="4" w:space="0" w:color="auto"/>
            </w:tcBorders>
          </w:tcPr>
          <w:p w14:paraId="788F3A83" w14:textId="77777777" w:rsidR="00E514B5" w:rsidRPr="007F6FE6" w:rsidRDefault="00E514B5" w:rsidP="004511C2">
            <w:pPr>
              <w:jc w:val="both"/>
              <w:rPr>
                <w:rFonts w:ascii="Calibri Light" w:hAnsi="Calibri Light" w:cs="Calibri Light"/>
                <w:sz w:val="16"/>
                <w:szCs w:val="16"/>
                <w:lang w:val="ro-RO"/>
              </w:rPr>
            </w:pPr>
          </w:p>
        </w:tc>
        <w:tc>
          <w:tcPr>
            <w:tcW w:w="1134" w:type="dxa"/>
            <w:tcBorders>
              <w:left w:val="single" w:sz="4" w:space="0" w:color="auto"/>
            </w:tcBorders>
          </w:tcPr>
          <w:p w14:paraId="29C49CA4"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76BA0C87"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0,04</w:t>
            </w:r>
          </w:p>
        </w:tc>
      </w:tr>
      <w:tr w:rsidR="00E514B5" w:rsidRPr="007F6FE6" w14:paraId="4C8E07DE" w14:textId="77777777" w:rsidTr="004511C2">
        <w:tc>
          <w:tcPr>
            <w:tcW w:w="499" w:type="dxa"/>
            <w:tcBorders>
              <w:top w:val="single" w:sz="4" w:space="0" w:color="auto"/>
            </w:tcBorders>
          </w:tcPr>
          <w:p w14:paraId="693C5BD7"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12</w:t>
            </w:r>
          </w:p>
        </w:tc>
        <w:tc>
          <w:tcPr>
            <w:tcW w:w="6267" w:type="dxa"/>
            <w:tcBorders>
              <w:top w:val="single" w:sz="4" w:space="0" w:color="auto"/>
            </w:tcBorders>
          </w:tcPr>
          <w:p w14:paraId="4B9C2F8E"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Investiții și Servicii Rurale, faza II ( RISP II)</w:t>
            </w:r>
          </w:p>
        </w:tc>
        <w:tc>
          <w:tcPr>
            <w:tcW w:w="1134" w:type="dxa"/>
            <w:tcBorders>
              <w:top w:val="single" w:sz="4" w:space="0" w:color="auto"/>
              <w:left w:val="single" w:sz="4" w:space="0" w:color="auto"/>
              <w:bottom w:val="single" w:sz="4" w:space="0" w:color="auto"/>
              <w:right w:val="single" w:sz="4" w:space="0" w:color="auto"/>
            </w:tcBorders>
          </w:tcPr>
          <w:p w14:paraId="41D93C5E"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45EDBD90"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26,5</w:t>
            </w:r>
          </w:p>
        </w:tc>
      </w:tr>
      <w:tr w:rsidR="00E514B5" w:rsidRPr="007F6FE6" w14:paraId="76332C96" w14:textId="77777777" w:rsidTr="004511C2">
        <w:tc>
          <w:tcPr>
            <w:tcW w:w="499" w:type="dxa"/>
            <w:tcBorders>
              <w:top w:val="single" w:sz="4" w:space="0" w:color="auto"/>
              <w:left w:val="single" w:sz="4" w:space="0" w:color="auto"/>
              <w:bottom w:val="nil"/>
              <w:right w:val="single" w:sz="4" w:space="0" w:color="auto"/>
            </w:tcBorders>
          </w:tcPr>
          <w:p w14:paraId="7FD09F38"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13</w:t>
            </w:r>
          </w:p>
        </w:tc>
        <w:tc>
          <w:tcPr>
            <w:tcW w:w="6267" w:type="dxa"/>
            <w:tcBorders>
              <w:top w:val="single" w:sz="4" w:space="0" w:color="auto"/>
              <w:left w:val="single" w:sz="4" w:space="0" w:color="auto"/>
              <w:bottom w:val="nil"/>
              <w:right w:val="single" w:sz="4" w:space="0" w:color="auto"/>
            </w:tcBorders>
          </w:tcPr>
          <w:p w14:paraId="017923CE"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„Crearea stațiilor de deservire agrotehnică” (KFW)</w:t>
            </w:r>
          </w:p>
        </w:tc>
        <w:tc>
          <w:tcPr>
            <w:tcW w:w="1134" w:type="dxa"/>
            <w:tcBorders>
              <w:top w:val="single" w:sz="4" w:space="0" w:color="auto"/>
              <w:left w:val="single" w:sz="4" w:space="0" w:color="auto"/>
              <w:bottom w:val="single" w:sz="4" w:space="0" w:color="auto"/>
              <w:right w:val="single" w:sz="4" w:space="0" w:color="auto"/>
            </w:tcBorders>
          </w:tcPr>
          <w:p w14:paraId="1F5F3E13"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23DD2723"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24,3</w:t>
            </w:r>
          </w:p>
        </w:tc>
      </w:tr>
      <w:tr w:rsidR="00E514B5" w:rsidRPr="007F6FE6" w14:paraId="7C28D4BD" w14:textId="77777777" w:rsidTr="004511C2">
        <w:tc>
          <w:tcPr>
            <w:tcW w:w="499" w:type="dxa"/>
            <w:tcBorders>
              <w:top w:val="nil"/>
              <w:left w:val="single" w:sz="4" w:space="0" w:color="auto"/>
              <w:bottom w:val="single" w:sz="4" w:space="0" w:color="auto"/>
              <w:right w:val="single" w:sz="4" w:space="0" w:color="auto"/>
            </w:tcBorders>
          </w:tcPr>
          <w:p w14:paraId="244267E6"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single" w:sz="4" w:space="0" w:color="auto"/>
              <w:right w:val="single" w:sz="4" w:space="0" w:color="auto"/>
            </w:tcBorders>
          </w:tcPr>
          <w:p w14:paraId="2298A5EB" w14:textId="77777777" w:rsidR="00E514B5" w:rsidRPr="007F6FE6" w:rsidRDefault="00E514B5" w:rsidP="004511C2">
            <w:pPr>
              <w:jc w:val="both"/>
              <w:rPr>
                <w:rFonts w:ascii="Calibri Light" w:hAnsi="Calibri Light" w:cs="Calibri Light"/>
                <w:sz w:val="16"/>
                <w:szCs w:val="16"/>
                <w:lang w:val="ro-RO"/>
              </w:rPr>
            </w:pPr>
          </w:p>
        </w:tc>
        <w:tc>
          <w:tcPr>
            <w:tcW w:w="1134" w:type="dxa"/>
            <w:tcBorders>
              <w:left w:val="single" w:sz="4" w:space="0" w:color="auto"/>
            </w:tcBorders>
          </w:tcPr>
          <w:p w14:paraId="5521E729"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10ADF1FB"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0,45</w:t>
            </w:r>
          </w:p>
        </w:tc>
      </w:tr>
      <w:tr w:rsidR="00E514B5" w:rsidRPr="007F6FE6" w14:paraId="3F9A7CCC" w14:textId="77777777" w:rsidTr="004511C2">
        <w:tc>
          <w:tcPr>
            <w:tcW w:w="499" w:type="dxa"/>
            <w:vMerge w:val="restart"/>
            <w:tcBorders>
              <w:top w:val="single" w:sz="4" w:space="0" w:color="auto"/>
              <w:left w:val="single" w:sz="4" w:space="0" w:color="auto"/>
              <w:bottom w:val="single" w:sz="4" w:space="0" w:color="auto"/>
              <w:right w:val="single" w:sz="4" w:space="0" w:color="auto"/>
            </w:tcBorders>
          </w:tcPr>
          <w:p w14:paraId="45765D75"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14</w:t>
            </w:r>
          </w:p>
        </w:tc>
        <w:tc>
          <w:tcPr>
            <w:tcW w:w="6267" w:type="dxa"/>
            <w:tcBorders>
              <w:top w:val="single" w:sz="4" w:space="0" w:color="auto"/>
              <w:left w:val="single" w:sz="4" w:space="0" w:color="auto"/>
              <w:bottom w:val="nil"/>
              <w:right w:val="single" w:sz="4" w:space="0" w:color="auto"/>
            </w:tcBorders>
          </w:tcPr>
          <w:p w14:paraId="68EC22A6" w14:textId="6F7B965F"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 xml:space="preserve">Proiectul </w:t>
            </w:r>
            <w:r w:rsidR="009C7A35">
              <w:rPr>
                <w:rFonts w:ascii="Calibri Light" w:hAnsi="Calibri Light" w:cs="Calibri Light"/>
                <w:sz w:val="16"/>
                <w:szCs w:val="16"/>
                <w:lang w:val="ro-RO"/>
              </w:rPr>
              <w:t>„</w:t>
            </w:r>
            <w:r w:rsidRPr="007F6FE6">
              <w:rPr>
                <w:rFonts w:ascii="Calibri Light" w:hAnsi="Calibri Light" w:cs="Calibri Light"/>
                <w:sz w:val="16"/>
                <w:szCs w:val="16"/>
                <w:lang w:val="ro-RO"/>
              </w:rPr>
              <w:t>Filiere du Vin</w:t>
            </w:r>
            <w:r w:rsidR="009C7A35">
              <w:rPr>
                <w:rFonts w:ascii="Calibri Light" w:hAnsi="Calibri Light" w:cs="Calibri Light"/>
                <w:sz w:val="16"/>
                <w:szCs w:val="16"/>
                <w:lang w:val="ro-RO"/>
              </w:rPr>
              <w:t>”</w:t>
            </w:r>
          </w:p>
        </w:tc>
        <w:tc>
          <w:tcPr>
            <w:tcW w:w="1134" w:type="dxa"/>
            <w:tcBorders>
              <w:top w:val="single" w:sz="4" w:space="0" w:color="auto"/>
              <w:left w:val="single" w:sz="4" w:space="0" w:color="auto"/>
              <w:bottom w:val="single" w:sz="4" w:space="0" w:color="auto"/>
              <w:right w:val="single" w:sz="4" w:space="0" w:color="auto"/>
            </w:tcBorders>
          </w:tcPr>
          <w:p w14:paraId="45FA2FA4"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2A0291A7"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41,7</w:t>
            </w:r>
          </w:p>
        </w:tc>
      </w:tr>
      <w:tr w:rsidR="00E514B5" w:rsidRPr="007F6FE6" w14:paraId="5EA70617" w14:textId="77777777" w:rsidTr="004511C2">
        <w:tc>
          <w:tcPr>
            <w:tcW w:w="499" w:type="dxa"/>
            <w:vMerge/>
            <w:tcBorders>
              <w:top w:val="nil"/>
              <w:left w:val="single" w:sz="4" w:space="0" w:color="auto"/>
              <w:bottom w:val="single" w:sz="4" w:space="0" w:color="auto"/>
              <w:right w:val="single" w:sz="4" w:space="0" w:color="auto"/>
            </w:tcBorders>
          </w:tcPr>
          <w:p w14:paraId="24B282BD"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single" w:sz="4" w:space="0" w:color="auto"/>
              <w:right w:val="single" w:sz="4" w:space="0" w:color="auto"/>
            </w:tcBorders>
          </w:tcPr>
          <w:p w14:paraId="6F4E6453" w14:textId="77777777" w:rsidR="00E514B5" w:rsidRPr="007F6FE6" w:rsidRDefault="00E514B5" w:rsidP="004511C2">
            <w:pPr>
              <w:jc w:val="both"/>
              <w:rPr>
                <w:rFonts w:ascii="Calibri Light" w:hAnsi="Calibri Light" w:cs="Calibri Light"/>
                <w:sz w:val="16"/>
                <w:szCs w:val="16"/>
                <w:lang w:val="ro-RO"/>
              </w:rPr>
            </w:pPr>
          </w:p>
        </w:tc>
        <w:tc>
          <w:tcPr>
            <w:tcW w:w="1134" w:type="dxa"/>
            <w:tcBorders>
              <w:left w:val="single" w:sz="4" w:space="0" w:color="auto"/>
            </w:tcBorders>
          </w:tcPr>
          <w:p w14:paraId="2D6BB1EC"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1795889F"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1,2</w:t>
            </w:r>
          </w:p>
        </w:tc>
      </w:tr>
      <w:tr w:rsidR="00E514B5" w:rsidRPr="007F6FE6" w14:paraId="6FE6D2CF" w14:textId="77777777" w:rsidTr="004511C2">
        <w:trPr>
          <w:trHeight w:val="231"/>
        </w:trPr>
        <w:tc>
          <w:tcPr>
            <w:tcW w:w="499" w:type="dxa"/>
            <w:vMerge w:val="restart"/>
            <w:tcBorders>
              <w:top w:val="single" w:sz="4" w:space="0" w:color="auto"/>
            </w:tcBorders>
          </w:tcPr>
          <w:p w14:paraId="48A18163"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15</w:t>
            </w:r>
          </w:p>
        </w:tc>
        <w:tc>
          <w:tcPr>
            <w:tcW w:w="6267" w:type="dxa"/>
            <w:vMerge w:val="restart"/>
            <w:tcBorders>
              <w:top w:val="single" w:sz="4" w:space="0" w:color="auto"/>
            </w:tcBorders>
          </w:tcPr>
          <w:p w14:paraId="76ED956B"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Ameliorare a Competitivității (PAC 1)</w:t>
            </w:r>
          </w:p>
        </w:tc>
        <w:tc>
          <w:tcPr>
            <w:tcW w:w="1134" w:type="dxa"/>
          </w:tcPr>
          <w:p w14:paraId="138A1DA3"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349FC21E"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17,0</w:t>
            </w:r>
          </w:p>
        </w:tc>
      </w:tr>
      <w:tr w:rsidR="00E514B5" w:rsidRPr="007F6FE6" w14:paraId="7DFE2CE6" w14:textId="77777777" w:rsidTr="004511C2">
        <w:trPr>
          <w:trHeight w:val="50"/>
        </w:trPr>
        <w:tc>
          <w:tcPr>
            <w:tcW w:w="499" w:type="dxa"/>
            <w:vMerge/>
            <w:tcBorders>
              <w:bottom w:val="nil"/>
            </w:tcBorders>
          </w:tcPr>
          <w:p w14:paraId="05324E35" w14:textId="77777777" w:rsidR="00E514B5" w:rsidRPr="007F6FE6" w:rsidRDefault="00E514B5" w:rsidP="004511C2">
            <w:pPr>
              <w:jc w:val="both"/>
              <w:rPr>
                <w:rFonts w:ascii="Calibri Light" w:hAnsi="Calibri Light" w:cs="Calibri Light"/>
                <w:b/>
                <w:i/>
                <w:sz w:val="16"/>
                <w:szCs w:val="16"/>
                <w:lang w:val="ro-RO"/>
              </w:rPr>
            </w:pPr>
          </w:p>
        </w:tc>
        <w:tc>
          <w:tcPr>
            <w:tcW w:w="6267" w:type="dxa"/>
            <w:vMerge/>
            <w:tcBorders>
              <w:bottom w:val="nil"/>
            </w:tcBorders>
          </w:tcPr>
          <w:p w14:paraId="75EEF63B" w14:textId="77777777" w:rsidR="00E514B5" w:rsidRPr="007F6FE6" w:rsidRDefault="00E514B5" w:rsidP="004511C2">
            <w:pPr>
              <w:jc w:val="both"/>
              <w:rPr>
                <w:rFonts w:ascii="Calibri Light" w:hAnsi="Calibri Light" w:cs="Calibri Light"/>
                <w:sz w:val="16"/>
                <w:szCs w:val="16"/>
                <w:lang w:val="ro-RO"/>
              </w:rPr>
            </w:pPr>
          </w:p>
        </w:tc>
        <w:tc>
          <w:tcPr>
            <w:tcW w:w="1134" w:type="dxa"/>
          </w:tcPr>
          <w:p w14:paraId="6B69315D"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dol. SUA</w:t>
            </w:r>
          </w:p>
        </w:tc>
        <w:tc>
          <w:tcPr>
            <w:tcW w:w="1276" w:type="dxa"/>
          </w:tcPr>
          <w:p w14:paraId="3D97A769"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w:t>
            </w:r>
          </w:p>
        </w:tc>
      </w:tr>
      <w:tr w:rsidR="00E514B5" w:rsidRPr="007F6FE6" w14:paraId="1C4F8386" w14:textId="77777777" w:rsidTr="004511C2">
        <w:tc>
          <w:tcPr>
            <w:tcW w:w="499" w:type="dxa"/>
            <w:tcBorders>
              <w:top w:val="nil"/>
              <w:bottom w:val="single" w:sz="4" w:space="0" w:color="auto"/>
            </w:tcBorders>
          </w:tcPr>
          <w:p w14:paraId="1B0D77E1"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bottom w:val="single" w:sz="4" w:space="0" w:color="auto"/>
            </w:tcBorders>
          </w:tcPr>
          <w:p w14:paraId="6EBCC42F" w14:textId="77777777" w:rsidR="00E514B5" w:rsidRPr="007F6FE6" w:rsidRDefault="00E514B5" w:rsidP="004511C2">
            <w:pPr>
              <w:jc w:val="both"/>
              <w:rPr>
                <w:rFonts w:ascii="Calibri Light" w:hAnsi="Calibri Light" w:cs="Calibri Light"/>
                <w:b/>
                <w:i/>
                <w:sz w:val="16"/>
                <w:szCs w:val="16"/>
                <w:lang w:val="ro-RO"/>
              </w:rPr>
            </w:pPr>
          </w:p>
        </w:tc>
        <w:tc>
          <w:tcPr>
            <w:tcW w:w="1134" w:type="dxa"/>
          </w:tcPr>
          <w:p w14:paraId="5ABF29EC"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72B81D78" w14:textId="2C2F34E8" w:rsidR="00E514B5" w:rsidRPr="007F6FE6" w:rsidRDefault="00F7085B" w:rsidP="004511C2">
            <w:pPr>
              <w:jc w:val="center"/>
              <w:rPr>
                <w:rFonts w:ascii="Calibri Light" w:hAnsi="Calibri Light" w:cs="Calibri Light"/>
                <w:b/>
                <w:i/>
                <w:sz w:val="16"/>
                <w:szCs w:val="16"/>
                <w:lang w:val="ro-RO"/>
              </w:rPr>
            </w:pPr>
            <w:r>
              <w:rPr>
                <w:rFonts w:ascii="Calibri Light" w:hAnsi="Calibri Light" w:cs="Calibri Light"/>
                <w:b/>
                <w:i/>
                <w:sz w:val="16"/>
                <w:szCs w:val="16"/>
                <w:lang w:val="ro-RO"/>
              </w:rPr>
              <w:t>0,14</w:t>
            </w:r>
          </w:p>
        </w:tc>
      </w:tr>
      <w:tr w:rsidR="00E514B5" w:rsidRPr="007F6FE6" w14:paraId="459F0A32" w14:textId="77777777" w:rsidTr="004511C2">
        <w:trPr>
          <w:trHeight w:val="180"/>
        </w:trPr>
        <w:tc>
          <w:tcPr>
            <w:tcW w:w="499" w:type="dxa"/>
            <w:vMerge w:val="restart"/>
          </w:tcPr>
          <w:p w14:paraId="31757A21"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16</w:t>
            </w:r>
          </w:p>
        </w:tc>
        <w:tc>
          <w:tcPr>
            <w:tcW w:w="6267" w:type="dxa"/>
            <w:vMerge w:val="restart"/>
          </w:tcPr>
          <w:p w14:paraId="02DB24A6"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Ameliorare a Competitivității, faza 2 (PAC 2)</w:t>
            </w:r>
          </w:p>
        </w:tc>
        <w:tc>
          <w:tcPr>
            <w:tcW w:w="1134" w:type="dxa"/>
          </w:tcPr>
          <w:p w14:paraId="2C19B3EC"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71182061"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2,9</w:t>
            </w:r>
          </w:p>
        </w:tc>
      </w:tr>
      <w:tr w:rsidR="00E514B5" w:rsidRPr="007F6FE6" w14:paraId="305A26A1" w14:textId="77777777" w:rsidTr="004511C2">
        <w:trPr>
          <w:trHeight w:val="204"/>
        </w:trPr>
        <w:tc>
          <w:tcPr>
            <w:tcW w:w="499" w:type="dxa"/>
            <w:vMerge/>
            <w:tcBorders>
              <w:bottom w:val="nil"/>
            </w:tcBorders>
          </w:tcPr>
          <w:p w14:paraId="0156FBCE" w14:textId="77777777" w:rsidR="00E514B5" w:rsidRPr="007F6FE6" w:rsidRDefault="00E514B5" w:rsidP="004511C2">
            <w:pPr>
              <w:jc w:val="both"/>
              <w:rPr>
                <w:rFonts w:ascii="Calibri Light" w:hAnsi="Calibri Light" w:cs="Calibri Light"/>
                <w:b/>
                <w:i/>
                <w:sz w:val="16"/>
                <w:szCs w:val="16"/>
                <w:lang w:val="ro-RO"/>
              </w:rPr>
            </w:pPr>
          </w:p>
        </w:tc>
        <w:tc>
          <w:tcPr>
            <w:tcW w:w="6267" w:type="dxa"/>
            <w:vMerge/>
            <w:tcBorders>
              <w:bottom w:val="nil"/>
            </w:tcBorders>
          </w:tcPr>
          <w:p w14:paraId="0106C6EF" w14:textId="77777777" w:rsidR="00E514B5" w:rsidRPr="007F6FE6" w:rsidRDefault="00E514B5" w:rsidP="004511C2">
            <w:pPr>
              <w:jc w:val="both"/>
              <w:rPr>
                <w:rFonts w:ascii="Calibri Light" w:hAnsi="Calibri Light" w:cs="Calibri Light"/>
                <w:sz w:val="16"/>
                <w:szCs w:val="16"/>
                <w:lang w:val="ro-RO"/>
              </w:rPr>
            </w:pPr>
          </w:p>
        </w:tc>
        <w:tc>
          <w:tcPr>
            <w:tcW w:w="1134" w:type="dxa"/>
          </w:tcPr>
          <w:p w14:paraId="7C0A8208"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3A2B75FC"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0,03</w:t>
            </w:r>
          </w:p>
        </w:tc>
      </w:tr>
      <w:tr w:rsidR="00E514B5" w:rsidRPr="007F6FE6" w14:paraId="35558A5E" w14:textId="77777777" w:rsidTr="004511C2">
        <w:tc>
          <w:tcPr>
            <w:tcW w:w="499" w:type="dxa"/>
            <w:tcBorders>
              <w:bottom w:val="nil"/>
            </w:tcBorders>
          </w:tcPr>
          <w:p w14:paraId="0D88BF6A"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bottom w:val="nil"/>
            </w:tcBorders>
          </w:tcPr>
          <w:p w14:paraId="5223FF94" w14:textId="77777777" w:rsidR="00E514B5" w:rsidRPr="007F6FE6" w:rsidRDefault="00E514B5" w:rsidP="004511C2">
            <w:pPr>
              <w:jc w:val="both"/>
              <w:rPr>
                <w:rFonts w:ascii="Calibri Light" w:hAnsi="Calibri Light" w:cs="Calibri Light"/>
                <w:b/>
                <w:sz w:val="16"/>
                <w:szCs w:val="16"/>
                <w:lang w:val="ro-RO"/>
              </w:rPr>
            </w:pPr>
            <w:r w:rsidRPr="007F6FE6">
              <w:rPr>
                <w:rFonts w:ascii="Calibri Light" w:hAnsi="Calibri Light" w:cs="Calibri Light"/>
                <w:b/>
                <w:sz w:val="16"/>
                <w:szCs w:val="16"/>
                <w:lang w:val="ro-RO"/>
              </w:rPr>
              <w:t>Total</w:t>
            </w:r>
          </w:p>
        </w:tc>
        <w:tc>
          <w:tcPr>
            <w:tcW w:w="1134" w:type="dxa"/>
          </w:tcPr>
          <w:p w14:paraId="4A10A1D6"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Pr>
          <w:p w14:paraId="7B1D7D1C"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496,7</w:t>
            </w:r>
          </w:p>
        </w:tc>
      </w:tr>
      <w:tr w:rsidR="00E514B5" w:rsidRPr="007F6FE6" w14:paraId="644CD8FD" w14:textId="77777777" w:rsidTr="004511C2">
        <w:tc>
          <w:tcPr>
            <w:tcW w:w="499" w:type="dxa"/>
            <w:tcBorders>
              <w:top w:val="nil"/>
              <w:bottom w:val="nil"/>
            </w:tcBorders>
          </w:tcPr>
          <w:p w14:paraId="2DAA00E8"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bottom w:val="nil"/>
            </w:tcBorders>
          </w:tcPr>
          <w:p w14:paraId="6DF18611" w14:textId="77777777" w:rsidR="00E514B5" w:rsidRPr="007F6FE6" w:rsidRDefault="00E514B5" w:rsidP="004511C2">
            <w:pPr>
              <w:jc w:val="both"/>
              <w:rPr>
                <w:rFonts w:ascii="Calibri Light" w:hAnsi="Calibri Light" w:cs="Calibri Light"/>
                <w:b/>
                <w:i/>
                <w:sz w:val="16"/>
                <w:szCs w:val="16"/>
                <w:lang w:val="ro-RO"/>
              </w:rPr>
            </w:pPr>
          </w:p>
        </w:tc>
        <w:tc>
          <w:tcPr>
            <w:tcW w:w="1134" w:type="dxa"/>
          </w:tcPr>
          <w:p w14:paraId="65B12672"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dol. SUA</w:t>
            </w:r>
          </w:p>
        </w:tc>
        <w:tc>
          <w:tcPr>
            <w:tcW w:w="1276" w:type="dxa"/>
          </w:tcPr>
          <w:p w14:paraId="581CCF62"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w:t>
            </w:r>
          </w:p>
        </w:tc>
      </w:tr>
      <w:tr w:rsidR="00E514B5" w:rsidRPr="007F6FE6" w14:paraId="7555CCC0" w14:textId="77777777" w:rsidTr="004511C2">
        <w:tc>
          <w:tcPr>
            <w:tcW w:w="499" w:type="dxa"/>
            <w:tcBorders>
              <w:top w:val="nil"/>
              <w:bottom w:val="single" w:sz="4" w:space="0" w:color="auto"/>
            </w:tcBorders>
          </w:tcPr>
          <w:p w14:paraId="732D3B72"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bottom w:val="single" w:sz="4" w:space="0" w:color="auto"/>
            </w:tcBorders>
          </w:tcPr>
          <w:p w14:paraId="294E86F1" w14:textId="77777777" w:rsidR="00E514B5" w:rsidRPr="007F6FE6" w:rsidRDefault="00E514B5" w:rsidP="004511C2">
            <w:pPr>
              <w:jc w:val="both"/>
              <w:rPr>
                <w:rFonts w:ascii="Calibri Light" w:hAnsi="Calibri Light" w:cs="Calibri Light"/>
                <w:b/>
                <w:i/>
                <w:sz w:val="16"/>
                <w:szCs w:val="16"/>
                <w:lang w:val="ro-RO"/>
              </w:rPr>
            </w:pPr>
          </w:p>
        </w:tc>
        <w:tc>
          <w:tcPr>
            <w:tcW w:w="1134" w:type="dxa"/>
          </w:tcPr>
          <w:p w14:paraId="449B8F36"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Pr>
          <w:p w14:paraId="1ED1E548"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2,7</w:t>
            </w:r>
          </w:p>
        </w:tc>
      </w:tr>
      <w:tr w:rsidR="00E514B5" w:rsidRPr="007F6FE6" w14:paraId="5CE51342" w14:textId="77777777" w:rsidTr="004511C2">
        <w:tc>
          <w:tcPr>
            <w:tcW w:w="499" w:type="dxa"/>
            <w:tcBorders>
              <w:bottom w:val="nil"/>
            </w:tcBorders>
          </w:tcPr>
          <w:p w14:paraId="779CDA88"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bottom w:val="nil"/>
            </w:tcBorders>
          </w:tcPr>
          <w:p w14:paraId="57788C1D"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TOTAL, prin intermediul OGP AE</w:t>
            </w:r>
          </w:p>
        </w:tc>
        <w:tc>
          <w:tcPr>
            <w:tcW w:w="1134" w:type="dxa"/>
          </w:tcPr>
          <w:p w14:paraId="46A4265A"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mil. lei</w:t>
            </w:r>
          </w:p>
        </w:tc>
        <w:tc>
          <w:tcPr>
            <w:tcW w:w="1276" w:type="dxa"/>
          </w:tcPr>
          <w:p w14:paraId="2260212A"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642,7</w:t>
            </w:r>
          </w:p>
        </w:tc>
      </w:tr>
      <w:tr w:rsidR="00E514B5" w:rsidRPr="007F6FE6" w14:paraId="296D22AD" w14:textId="77777777" w:rsidTr="004511C2">
        <w:tc>
          <w:tcPr>
            <w:tcW w:w="499" w:type="dxa"/>
            <w:tcBorders>
              <w:top w:val="nil"/>
              <w:bottom w:val="nil"/>
            </w:tcBorders>
          </w:tcPr>
          <w:p w14:paraId="5B20C45C"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bottom w:val="nil"/>
            </w:tcBorders>
          </w:tcPr>
          <w:p w14:paraId="1319E128" w14:textId="77777777" w:rsidR="00E514B5" w:rsidRPr="007F6FE6" w:rsidRDefault="00E514B5" w:rsidP="004511C2">
            <w:pPr>
              <w:jc w:val="both"/>
              <w:rPr>
                <w:rFonts w:ascii="Calibri Light" w:hAnsi="Calibri Light" w:cs="Calibri Light"/>
                <w:b/>
                <w:i/>
                <w:sz w:val="16"/>
                <w:szCs w:val="16"/>
                <w:lang w:val="ro-RO"/>
              </w:rPr>
            </w:pPr>
          </w:p>
        </w:tc>
        <w:tc>
          <w:tcPr>
            <w:tcW w:w="1134" w:type="dxa"/>
          </w:tcPr>
          <w:p w14:paraId="62DF65F0"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mil. dol. SUA</w:t>
            </w:r>
          </w:p>
        </w:tc>
        <w:tc>
          <w:tcPr>
            <w:tcW w:w="1276" w:type="dxa"/>
          </w:tcPr>
          <w:p w14:paraId="2F56A10C"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0,0</w:t>
            </w:r>
          </w:p>
        </w:tc>
      </w:tr>
      <w:tr w:rsidR="00E514B5" w:rsidRPr="007F6FE6" w14:paraId="421D2AE0" w14:textId="77777777" w:rsidTr="004511C2">
        <w:tc>
          <w:tcPr>
            <w:tcW w:w="499" w:type="dxa"/>
            <w:tcBorders>
              <w:top w:val="nil"/>
              <w:bottom w:val="single" w:sz="4" w:space="0" w:color="auto"/>
            </w:tcBorders>
          </w:tcPr>
          <w:p w14:paraId="5AD80E1A"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bottom w:val="single" w:sz="4" w:space="0" w:color="auto"/>
            </w:tcBorders>
          </w:tcPr>
          <w:p w14:paraId="2DA1F1AF" w14:textId="77777777" w:rsidR="00E514B5" w:rsidRPr="007F6FE6" w:rsidRDefault="00E514B5" w:rsidP="004511C2">
            <w:pPr>
              <w:jc w:val="both"/>
              <w:rPr>
                <w:rFonts w:ascii="Calibri Light" w:hAnsi="Calibri Light" w:cs="Calibri Light"/>
                <w:b/>
                <w:i/>
                <w:sz w:val="16"/>
                <w:szCs w:val="16"/>
                <w:lang w:val="ro-RO"/>
              </w:rPr>
            </w:pPr>
          </w:p>
        </w:tc>
        <w:tc>
          <w:tcPr>
            <w:tcW w:w="1134" w:type="dxa"/>
            <w:tcBorders>
              <w:bottom w:val="single" w:sz="4" w:space="0" w:color="auto"/>
            </w:tcBorders>
          </w:tcPr>
          <w:p w14:paraId="38C1922D"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mil. Euro</w:t>
            </w:r>
          </w:p>
        </w:tc>
        <w:tc>
          <w:tcPr>
            <w:tcW w:w="1276" w:type="dxa"/>
            <w:tcBorders>
              <w:bottom w:val="single" w:sz="4" w:space="0" w:color="auto"/>
            </w:tcBorders>
          </w:tcPr>
          <w:p w14:paraId="7511ACC0"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16,4</w:t>
            </w:r>
          </w:p>
        </w:tc>
      </w:tr>
      <w:tr w:rsidR="00A37697" w:rsidRPr="007F6FE6" w14:paraId="1EDE5FDD" w14:textId="77777777" w:rsidTr="005008C8">
        <w:tc>
          <w:tcPr>
            <w:tcW w:w="9176" w:type="dxa"/>
            <w:gridSpan w:val="4"/>
            <w:tcBorders>
              <w:top w:val="single" w:sz="4" w:space="0" w:color="auto"/>
              <w:bottom w:val="nil"/>
            </w:tcBorders>
          </w:tcPr>
          <w:p w14:paraId="020F4533" w14:textId="7276381B" w:rsidR="00A37697" w:rsidRPr="007F6FE6" w:rsidRDefault="00A37697" w:rsidP="00A37697">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Prin intermediul  FIDA</w:t>
            </w:r>
          </w:p>
        </w:tc>
      </w:tr>
      <w:tr w:rsidR="00E514B5" w:rsidRPr="007F6FE6" w14:paraId="59D63298" w14:textId="77777777" w:rsidTr="004511C2">
        <w:tc>
          <w:tcPr>
            <w:tcW w:w="499" w:type="dxa"/>
            <w:tcBorders>
              <w:top w:val="single" w:sz="4" w:space="0" w:color="auto"/>
              <w:bottom w:val="nil"/>
              <w:right w:val="single" w:sz="4" w:space="0" w:color="auto"/>
            </w:tcBorders>
          </w:tcPr>
          <w:p w14:paraId="54106CD0"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17</w:t>
            </w:r>
          </w:p>
        </w:tc>
        <w:tc>
          <w:tcPr>
            <w:tcW w:w="6267" w:type="dxa"/>
            <w:tcBorders>
              <w:top w:val="single" w:sz="4" w:space="0" w:color="auto"/>
              <w:left w:val="single" w:sz="4" w:space="0" w:color="auto"/>
              <w:bottom w:val="nil"/>
              <w:right w:val="single" w:sz="4" w:space="0" w:color="auto"/>
            </w:tcBorders>
          </w:tcPr>
          <w:p w14:paraId="152B5C01" w14:textId="0A7BB6F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Programu</w:t>
            </w:r>
            <w:r w:rsidR="00CB3179">
              <w:rPr>
                <w:rFonts w:ascii="Calibri Light" w:hAnsi="Calibri Light" w:cs="Calibri Light"/>
                <w:sz w:val="16"/>
                <w:szCs w:val="16"/>
                <w:lang w:val="ro-RO"/>
              </w:rPr>
              <w:t>l Rural de Reziliență Economică-</w:t>
            </w:r>
            <w:r w:rsidRPr="007F6FE6">
              <w:rPr>
                <w:rFonts w:ascii="Calibri Light" w:hAnsi="Calibri Light" w:cs="Calibri Light"/>
                <w:sz w:val="16"/>
                <w:szCs w:val="16"/>
                <w:lang w:val="ro-RO"/>
              </w:rPr>
              <w:t>Climatică Incluzivă (FIDA 6)</w:t>
            </w:r>
          </w:p>
        </w:tc>
        <w:tc>
          <w:tcPr>
            <w:tcW w:w="1134" w:type="dxa"/>
            <w:tcBorders>
              <w:top w:val="single" w:sz="4" w:space="0" w:color="auto"/>
              <w:left w:val="single" w:sz="4" w:space="0" w:color="auto"/>
              <w:bottom w:val="single" w:sz="4" w:space="0" w:color="auto"/>
              <w:right w:val="single" w:sz="4" w:space="0" w:color="auto"/>
            </w:tcBorders>
          </w:tcPr>
          <w:p w14:paraId="3B75502E"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Borders>
              <w:top w:val="single" w:sz="4" w:space="0" w:color="auto"/>
              <w:left w:val="single" w:sz="4" w:space="0" w:color="auto"/>
              <w:bottom w:val="single" w:sz="4" w:space="0" w:color="auto"/>
            </w:tcBorders>
          </w:tcPr>
          <w:p w14:paraId="1E91C8EF"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21,8</w:t>
            </w:r>
          </w:p>
        </w:tc>
      </w:tr>
      <w:tr w:rsidR="00E514B5" w:rsidRPr="007F6FE6" w14:paraId="3C0F786E" w14:textId="77777777" w:rsidTr="004511C2">
        <w:tc>
          <w:tcPr>
            <w:tcW w:w="499" w:type="dxa"/>
            <w:tcBorders>
              <w:top w:val="nil"/>
              <w:bottom w:val="single" w:sz="4" w:space="0" w:color="auto"/>
              <w:right w:val="single" w:sz="4" w:space="0" w:color="auto"/>
            </w:tcBorders>
          </w:tcPr>
          <w:p w14:paraId="095FCCC9"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single" w:sz="4" w:space="0" w:color="auto"/>
              <w:right w:val="single" w:sz="4" w:space="0" w:color="auto"/>
            </w:tcBorders>
          </w:tcPr>
          <w:p w14:paraId="3B3FED26" w14:textId="77777777" w:rsidR="00E514B5" w:rsidRPr="007F6FE6" w:rsidRDefault="00E514B5" w:rsidP="004511C2">
            <w:pPr>
              <w:jc w:val="both"/>
              <w:rPr>
                <w:rFonts w:ascii="Calibri Light" w:hAnsi="Calibri Light" w:cs="Calibri Light"/>
                <w:sz w:val="16"/>
                <w:szCs w:val="16"/>
                <w:lang w:val="ro-RO"/>
              </w:rPr>
            </w:pPr>
          </w:p>
        </w:tc>
        <w:tc>
          <w:tcPr>
            <w:tcW w:w="1134" w:type="dxa"/>
            <w:tcBorders>
              <w:top w:val="single" w:sz="4" w:space="0" w:color="auto"/>
              <w:left w:val="single" w:sz="4" w:space="0" w:color="auto"/>
              <w:bottom w:val="single" w:sz="4" w:space="0" w:color="auto"/>
              <w:right w:val="single" w:sz="4" w:space="0" w:color="auto"/>
            </w:tcBorders>
          </w:tcPr>
          <w:p w14:paraId="1E799224"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Borders>
              <w:top w:val="single" w:sz="4" w:space="0" w:color="auto"/>
              <w:left w:val="single" w:sz="4" w:space="0" w:color="auto"/>
              <w:bottom w:val="single" w:sz="4" w:space="0" w:color="auto"/>
            </w:tcBorders>
          </w:tcPr>
          <w:p w14:paraId="38E81F8F"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0,1</w:t>
            </w:r>
          </w:p>
        </w:tc>
      </w:tr>
      <w:tr w:rsidR="00E514B5" w:rsidRPr="007F6FE6" w14:paraId="371CA1CE" w14:textId="77777777" w:rsidTr="004511C2">
        <w:trPr>
          <w:trHeight w:val="108"/>
        </w:trPr>
        <w:tc>
          <w:tcPr>
            <w:tcW w:w="499" w:type="dxa"/>
            <w:vMerge w:val="restart"/>
            <w:tcBorders>
              <w:top w:val="single" w:sz="4" w:space="0" w:color="auto"/>
              <w:right w:val="single" w:sz="4" w:space="0" w:color="auto"/>
            </w:tcBorders>
          </w:tcPr>
          <w:p w14:paraId="388BF8BE" w14:textId="77777777" w:rsidR="00E514B5" w:rsidRPr="007F6FE6" w:rsidRDefault="00E514B5" w:rsidP="004511C2">
            <w:pPr>
              <w:jc w:val="both"/>
              <w:rPr>
                <w:rFonts w:ascii="Calibri Light" w:hAnsi="Calibri Light" w:cs="Calibri Light"/>
                <w:b/>
                <w:i/>
                <w:sz w:val="16"/>
                <w:szCs w:val="16"/>
                <w:lang w:val="ro-RO"/>
              </w:rPr>
            </w:pPr>
            <w:r w:rsidRPr="007F6FE6">
              <w:rPr>
                <w:rFonts w:ascii="Calibri Light" w:hAnsi="Calibri Light" w:cs="Calibri Light"/>
                <w:b/>
                <w:i/>
                <w:sz w:val="16"/>
                <w:szCs w:val="16"/>
                <w:lang w:val="ro-RO"/>
              </w:rPr>
              <w:t>18</w:t>
            </w:r>
          </w:p>
        </w:tc>
        <w:tc>
          <w:tcPr>
            <w:tcW w:w="6267" w:type="dxa"/>
            <w:vMerge w:val="restart"/>
            <w:tcBorders>
              <w:top w:val="single" w:sz="4" w:space="0" w:color="auto"/>
              <w:left w:val="single" w:sz="4" w:space="0" w:color="auto"/>
              <w:right w:val="single" w:sz="4" w:space="0" w:color="auto"/>
            </w:tcBorders>
          </w:tcPr>
          <w:p w14:paraId="6CD25043"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sz w:val="16"/>
                <w:szCs w:val="16"/>
                <w:lang w:val="ro-RO"/>
              </w:rPr>
              <w:t>Proiectul de Reziliență Rurală (FIDA 7, PRR)</w:t>
            </w:r>
          </w:p>
        </w:tc>
        <w:tc>
          <w:tcPr>
            <w:tcW w:w="1134" w:type="dxa"/>
            <w:tcBorders>
              <w:top w:val="single" w:sz="4" w:space="0" w:color="auto"/>
              <w:left w:val="single" w:sz="4" w:space="0" w:color="auto"/>
              <w:bottom w:val="single" w:sz="4" w:space="0" w:color="auto"/>
              <w:right w:val="single" w:sz="4" w:space="0" w:color="auto"/>
            </w:tcBorders>
          </w:tcPr>
          <w:p w14:paraId="5B5DFFDE"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lei</w:t>
            </w:r>
          </w:p>
        </w:tc>
        <w:tc>
          <w:tcPr>
            <w:tcW w:w="1276" w:type="dxa"/>
            <w:tcBorders>
              <w:top w:val="single" w:sz="4" w:space="0" w:color="auto"/>
              <w:left w:val="single" w:sz="4" w:space="0" w:color="auto"/>
              <w:bottom w:val="single" w:sz="4" w:space="0" w:color="auto"/>
            </w:tcBorders>
          </w:tcPr>
          <w:p w14:paraId="402DC648"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42,6</w:t>
            </w:r>
          </w:p>
        </w:tc>
      </w:tr>
      <w:tr w:rsidR="00E514B5" w:rsidRPr="007F6FE6" w14:paraId="04A46736" w14:textId="77777777" w:rsidTr="004511C2">
        <w:trPr>
          <w:trHeight w:val="108"/>
        </w:trPr>
        <w:tc>
          <w:tcPr>
            <w:tcW w:w="499" w:type="dxa"/>
            <w:vMerge/>
            <w:tcBorders>
              <w:top w:val="single" w:sz="4" w:space="0" w:color="auto"/>
              <w:right w:val="single" w:sz="4" w:space="0" w:color="auto"/>
            </w:tcBorders>
          </w:tcPr>
          <w:p w14:paraId="60783A05" w14:textId="77777777" w:rsidR="00E514B5" w:rsidRPr="007F6FE6" w:rsidRDefault="00E514B5" w:rsidP="004511C2">
            <w:pPr>
              <w:jc w:val="both"/>
              <w:rPr>
                <w:rFonts w:ascii="Calibri Light" w:hAnsi="Calibri Light" w:cs="Calibri Light"/>
                <w:b/>
                <w:i/>
                <w:sz w:val="16"/>
                <w:szCs w:val="16"/>
                <w:lang w:val="ro-RO"/>
              </w:rPr>
            </w:pPr>
          </w:p>
        </w:tc>
        <w:tc>
          <w:tcPr>
            <w:tcW w:w="6267" w:type="dxa"/>
            <w:vMerge/>
            <w:tcBorders>
              <w:top w:val="single" w:sz="4" w:space="0" w:color="auto"/>
              <w:left w:val="single" w:sz="4" w:space="0" w:color="auto"/>
              <w:right w:val="single" w:sz="4" w:space="0" w:color="auto"/>
            </w:tcBorders>
          </w:tcPr>
          <w:p w14:paraId="7F56B804" w14:textId="77777777" w:rsidR="00E514B5" w:rsidRPr="007F6FE6" w:rsidRDefault="00E514B5" w:rsidP="004511C2">
            <w:pPr>
              <w:jc w:val="both"/>
              <w:rPr>
                <w:rFonts w:ascii="Calibri Light" w:hAnsi="Calibri Light" w:cs="Calibri Light"/>
                <w:sz w:val="16"/>
                <w:szCs w:val="16"/>
                <w:lang w:val="ro-RO"/>
              </w:rPr>
            </w:pPr>
          </w:p>
        </w:tc>
        <w:tc>
          <w:tcPr>
            <w:tcW w:w="1134" w:type="dxa"/>
            <w:tcBorders>
              <w:top w:val="single" w:sz="4" w:space="0" w:color="auto"/>
              <w:left w:val="single" w:sz="4" w:space="0" w:color="auto"/>
              <w:bottom w:val="single" w:sz="4" w:space="0" w:color="auto"/>
              <w:right w:val="single" w:sz="4" w:space="0" w:color="auto"/>
            </w:tcBorders>
          </w:tcPr>
          <w:p w14:paraId="3CDE685D"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dol. SUA</w:t>
            </w:r>
          </w:p>
        </w:tc>
        <w:tc>
          <w:tcPr>
            <w:tcW w:w="1276" w:type="dxa"/>
            <w:tcBorders>
              <w:top w:val="single" w:sz="4" w:space="0" w:color="auto"/>
              <w:left w:val="single" w:sz="4" w:space="0" w:color="auto"/>
              <w:bottom w:val="single" w:sz="4" w:space="0" w:color="auto"/>
            </w:tcBorders>
          </w:tcPr>
          <w:p w14:paraId="3B569BD1"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0,1</w:t>
            </w:r>
          </w:p>
        </w:tc>
      </w:tr>
      <w:tr w:rsidR="00E514B5" w:rsidRPr="007F6FE6" w14:paraId="58BF5607" w14:textId="77777777" w:rsidTr="004511C2">
        <w:trPr>
          <w:trHeight w:val="84"/>
        </w:trPr>
        <w:tc>
          <w:tcPr>
            <w:tcW w:w="499" w:type="dxa"/>
            <w:vMerge/>
            <w:tcBorders>
              <w:bottom w:val="single" w:sz="4" w:space="0" w:color="auto"/>
              <w:right w:val="single" w:sz="4" w:space="0" w:color="auto"/>
            </w:tcBorders>
          </w:tcPr>
          <w:p w14:paraId="321844A1" w14:textId="77777777" w:rsidR="00E514B5" w:rsidRPr="007F6FE6" w:rsidRDefault="00E514B5" w:rsidP="004511C2">
            <w:pPr>
              <w:jc w:val="both"/>
              <w:rPr>
                <w:rFonts w:ascii="Calibri Light" w:hAnsi="Calibri Light" w:cs="Calibri Light"/>
                <w:b/>
                <w:i/>
                <w:sz w:val="16"/>
                <w:szCs w:val="16"/>
                <w:lang w:val="ro-RO"/>
              </w:rPr>
            </w:pPr>
          </w:p>
        </w:tc>
        <w:tc>
          <w:tcPr>
            <w:tcW w:w="6267" w:type="dxa"/>
            <w:vMerge/>
            <w:tcBorders>
              <w:left w:val="single" w:sz="4" w:space="0" w:color="auto"/>
              <w:bottom w:val="single" w:sz="4" w:space="0" w:color="auto"/>
              <w:right w:val="single" w:sz="4" w:space="0" w:color="auto"/>
            </w:tcBorders>
          </w:tcPr>
          <w:p w14:paraId="680DAF4D" w14:textId="77777777" w:rsidR="00E514B5" w:rsidRPr="007F6FE6" w:rsidRDefault="00E514B5" w:rsidP="004511C2">
            <w:pPr>
              <w:jc w:val="both"/>
              <w:rPr>
                <w:rFonts w:ascii="Calibri Light" w:hAnsi="Calibri Light" w:cs="Calibri Light"/>
                <w:sz w:val="16"/>
                <w:szCs w:val="16"/>
                <w:lang w:val="ro-RO"/>
              </w:rPr>
            </w:pPr>
          </w:p>
        </w:tc>
        <w:tc>
          <w:tcPr>
            <w:tcW w:w="1134" w:type="dxa"/>
            <w:tcBorders>
              <w:top w:val="single" w:sz="4" w:space="0" w:color="auto"/>
              <w:left w:val="single" w:sz="4" w:space="0" w:color="auto"/>
              <w:bottom w:val="single" w:sz="4" w:space="0" w:color="auto"/>
              <w:right w:val="single" w:sz="4" w:space="0" w:color="auto"/>
            </w:tcBorders>
          </w:tcPr>
          <w:p w14:paraId="700AFC81" w14:textId="77777777" w:rsidR="00E514B5" w:rsidRPr="007F6FE6" w:rsidRDefault="00E514B5" w:rsidP="004511C2">
            <w:pPr>
              <w:jc w:val="center"/>
              <w:rPr>
                <w:rFonts w:ascii="Calibri Light" w:hAnsi="Calibri Light" w:cs="Calibri Light"/>
                <w:i/>
                <w:sz w:val="16"/>
                <w:szCs w:val="16"/>
                <w:lang w:val="ro-RO"/>
              </w:rPr>
            </w:pPr>
            <w:r w:rsidRPr="007F6FE6">
              <w:rPr>
                <w:rFonts w:ascii="Calibri Light" w:hAnsi="Calibri Light" w:cs="Calibri Light"/>
                <w:i/>
                <w:sz w:val="16"/>
                <w:szCs w:val="16"/>
                <w:lang w:val="ro-RO"/>
              </w:rPr>
              <w:t>mil. Euro</w:t>
            </w:r>
          </w:p>
        </w:tc>
        <w:tc>
          <w:tcPr>
            <w:tcW w:w="1276" w:type="dxa"/>
            <w:tcBorders>
              <w:top w:val="single" w:sz="4" w:space="0" w:color="auto"/>
              <w:left w:val="single" w:sz="4" w:space="0" w:color="auto"/>
              <w:bottom w:val="single" w:sz="4" w:space="0" w:color="auto"/>
            </w:tcBorders>
          </w:tcPr>
          <w:p w14:paraId="7085D167"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0,3</w:t>
            </w:r>
          </w:p>
        </w:tc>
      </w:tr>
      <w:tr w:rsidR="00E514B5" w:rsidRPr="007F6FE6" w14:paraId="05154FCF" w14:textId="77777777" w:rsidTr="004511C2">
        <w:trPr>
          <w:trHeight w:val="84"/>
        </w:trPr>
        <w:tc>
          <w:tcPr>
            <w:tcW w:w="499" w:type="dxa"/>
            <w:tcBorders>
              <w:top w:val="single" w:sz="4" w:space="0" w:color="auto"/>
              <w:left w:val="single" w:sz="4" w:space="0" w:color="auto"/>
              <w:bottom w:val="nil"/>
              <w:right w:val="single" w:sz="4" w:space="0" w:color="auto"/>
            </w:tcBorders>
            <w:shd w:val="clear" w:color="auto" w:fill="auto"/>
          </w:tcPr>
          <w:p w14:paraId="3F541CE4"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single" w:sz="4" w:space="0" w:color="auto"/>
              <w:left w:val="single" w:sz="4" w:space="0" w:color="auto"/>
              <w:bottom w:val="nil"/>
              <w:right w:val="single" w:sz="4" w:space="0" w:color="auto"/>
            </w:tcBorders>
            <w:shd w:val="clear" w:color="auto" w:fill="auto"/>
          </w:tcPr>
          <w:p w14:paraId="18E52235" w14:textId="77777777" w:rsidR="00E514B5" w:rsidRPr="007F6FE6" w:rsidRDefault="00E514B5" w:rsidP="004511C2">
            <w:pPr>
              <w:jc w:val="both"/>
              <w:rPr>
                <w:rFonts w:ascii="Calibri Light" w:hAnsi="Calibri Light" w:cs="Calibri Light"/>
                <w:sz w:val="16"/>
                <w:szCs w:val="16"/>
                <w:lang w:val="ro-RO"/>
              </w:rPr>
            </w:pPr>
            <w:r w:rsidRPr="007F6FE6">
              <w:rPr>
                <w:rFonts w:ascii="Calibri Light" w:hAnsi="Calibri Light" w:cs="Calibri Light"/>
                <w:b/>
                <w:i/>
                <w:sz w:val="16"/>
                <w:szCs w:val="16"/>
                <w:lang w:val="ro-RO"/>
              </w:rPr>
              <w:t>TOTAL, prin intermediul FIDA</w:t>
            </w:r>
          </w:p>
        </w:tc>
        <w:tc>
          <w:tcPr>
            <w:tcW w:w="1134" w:type="dxa"/>
            <w:tcBorders>
              <w:left w:val="single" w:sz="4" w:space="0" w:color="auto"/>
            </w:tcBorders>
            <w:shd w:val="clear" w:color="auto" w:fill="auto"/>
          </w:tcPr>
          <w:p w14:paraId="295E1AC1"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mil. lei</w:t>
            </w:r>
          </w:p>
        </w:tc>
        <w:tc>
          <w:tcPr>
            <w:tcW w:w="1276" w:type="dxa"/>
            <w:tcBorders>
              <w:top w:val="single" w:sz="4" w:space="0" w:color="auto"/>
              <w:left w:val="single" w:sz="4" w:space="0" w:color="auto"/>
              <w:bottom w:val="single" w:sz="4" w:space="0" w:color="auto"/>
            </w:tcBorders>
            <w:shd w:val="clear" w:color="auto" w:fill="auto"/>
          </w:tcPr>
          <w:p w14:paraId="1A352D3D"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64,4</w:t>
            </w:r>
          </w:p>
        </w:tc>
      </w:tr>
      <w:tr w:rsidR="00E514B5" w:rsidRPr="007F6FE6" w14:paraId="39A868FD" w14:textId="77777777" w:rsidTr="004511C2">
        <w:trPr>
          <w:trHeight w:val="84"/>
        </w:trPr>
        <w:tc>
          <w:tcPr>
            <w:tcW w:w="499" w:type="dxa"/>
            <w:tcBorders>
              <w:top w:val="nil"/>
              <w:left w:val="single" w:sz="4" w:space="0" w:color="auto"/>
              <w:bottom w:val="nil"/>
              <w:right w:val="single" w:sz="4" w:space="0" w:color="auto"/>
            </w:tcBorders>
            <w:shd w:val="clear" w:color="auto" w:fill="auto"/>
          </w:tcPr>
          <w:p w14:paraId="1DA37917"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bottom w:val="nil"/>
              <w:right w:val="single" w:sz="4" w:space="0" w:color="auto"/>
            </w:tcBorders>
            <w:shd w:val="clear" w:color="auto" w:fill="auto"/>
          </w:tcPr>
          <w:p w14:paraId="2369265F" w14:textId="77777777" w:rsidR="00E514B5" w:rsidRPr="007F6FE6" w:rsidRDefault="00E514B5" w:rsidP="004511C2">
            <w:pPr>
              <w:jc w:val="both"/>
              <w:rPr>
                <w:rFonts w:ascii="Calibri Light" w:hAnsi="Calibri Light" w:cs="Calibri Light"/>
                <w:sz w:val="16"/>
                <w:szCs w:val="16"/>
                <w:lang w:val="ro-RO"/>
              </w:rPr>
            </w:pPr>
          </w:p>
        </w:tc>
        <w:tc>
          <w:tcPr>
            <w:tcW w:w="1134" w:type="dxa"/>
            <w:tcBorders>
              <w:left w:val="single" w:sz="4" w:space="0" w:color="auto"/>
            </w:tcBorders>
            <w:shd w:val="clear" w:color="auto" w:fill="auto"/>
          </w:tcPr>
          <w:p w14:paraId="13F1DB23"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mil. dol. SUA</w:t>
            </w:r>
          </w:p>
        </w:tc>
        <w:tc>
          <w:tcPr>
            <w:tcW w:w="1276" w:type="dxa"/>
            <w:tcBorders>
              <w:top w:val="single" w:sz="4" w:space="0" w:color="auto"/>
              <w:left w:val="single" w:sz="4" w:space="0" w:color="auto"/>
              <w:bottom w:val="single" w:sz="4" w:space="0" w:color="auto"/>
            </w:tcBorders>
            <w:shd w:val="clear" w:color="auto" w:fill="auto"/>
          </w:tcPr>
          <w:p w14:paraId="40709246"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0,1</w:t>
            </w:r>
          </w:p>
        </w:tc>
      </w:tr>
      <w:tr w:rsidR="00E514B5" w:rsidRPr="007F6FE6" w14:paraId="28B79940" w14:textId="77777777" w:rsidTr="004511C2">
        <w:trPr>
          <w:trHeight w:val="84"/>
        </w:trPr>
        <w:tc>
          <w:tcPr>
            <w:tcW w:w="499" w:type="dxa"/>
            <w:tcBorders>
              <w:top w:val="nil"/>
              <w:right w:val="single" w:sz="4" w:space="0" w:color="auto"/>
            </w:tcBorders>
            <w:shd w:val="clear" w:color="auto" w:fill="auto"/>
          </w:tcPr>
          <w:p w14:paraId="0CD0786C" w14:textId="77777777" w:rsidR="00E514B5" w:rsidRPr="007F6FE6" w:rsidRDefault="00E514B5" w:rsidP="004511C2">
            <w:pPr>
              <w:jc w:val="both"/>
              <w:rPr>
                <w:rFonts w:ascii="Calibri Light" w:hAnsi="Calibri Light" w:cs="Calibri Light"/>
                <w:b/>
                <w:i/>
                <w:sz w:val="16"/>
                <w:szCs w:val="16"/>
                <w:lang w:val="ro-RO"/>
              </w:rPr>
            </w:pPr>
          </w:p>
        </w:tc>
        <w:tc>
          <w:tcPr>
            <w:tcW w:w="6267" w:type="dxa"/>
            <w:tcBorders>
              <w:top w:val="nil"/>
              <w:left w:val="single" w:sz="4" w:space="0" w:color="auto"/>
              <w:right w:val="single" w:sz="4" w:space="0" w:color="auto"/>
            </w:tcBorders>
            <w:shd w:val="clear" w:color="auto" w:fill="auto"/>
          </w:tcPr>
          <w:p w14:paraId="34A877CA" w14:textId="77777777" w:rsidR="00E514B5" w:rsidRPr="007F6FE6" w:rsidRDefault="00E514B5" w:rsidP="004511C2">
            <w:pPr>
              <w:jc w:val="both"/>
              <w:rPr>
                <w:rFonts w:ascii="Calibri Light" w:hAnsi="Calibri Light" w:cs="Calibri Light"/>
                <w:sz w:val="16"/>
                <w:szCs w:val="16"/>
                <w:lang w:val="ro-RO"/>
              </w:rPr>
            </w:pPr>
          </w:p>
        </w:tc>
        <w:tc>
          <w:tcPr>
            <w:tcW w:w="1134" w:type="dxa"/>
            <w:tcBorders>
              <w:bottom w:val="single" w:sz="4" w:space="0" w:color="auto"/>
            </w:tcBorders>
            <w:shd w:val="clear" w:color="auto" w:fill="auto"/>
          </w:tcPr>
          <w:p w14:paraId="3E084ED5"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mil. Euro</w:t>
            </w:r>
          </w:p>
        </w:tc>
        <w:tc>
          <w:tcPr>
            <w:tcW w:w="1276" w:type="dxa"/>
            <w:tcBorders>
              <w:top w:val="single" w:sz="4" w:space="0" w:color="auto"/>
              <w:left w:val="single" w:sz="4" w:space="0" w:color="auto"/>
            </w:tcBorders>
            <w:shd w:val="clear" w:color="auto" w:fill="auto"/>
          </w:tcPr>
          <w:p w14:paraId="5FC52209" w14:textId="77777777" w:rsidR="00E514B5" w:rsidRPr="007F6FE6" w:rsidRDefault="00E514B5" w:rsidP="004511C2">
            <w:pPr>
              <w:jc w:val="center"/>
              <w:rPr>
                <w:rFonts w:ascii="Calibri Light" w:hAnsi="Calibri Light" w:cs="Calibri Light"/>
                <w:b/>
                <w:i/>
                <w:sz w:val="16"/>
                <w:szCs w:val="16"/>
                <w:lang w:val="ro-RO"/>
              </w:rPr>
            </w:pPr>
            <w:r w:rsidRPr="007F6FE6">
              <w:rPr>
                <w:rFonts w:ascii="Calibri Light" w:hAnsi="Calibri Light" w:cs="Calibri Light"/>
                <w:b/>
                <w:i/>
                <w:sz w:val="16"/>
                <w:szCs w:val="16"/>
                <w:lang w:val="ro-RO"/>
              </w:rPr>
              <w:t>0,4</w:t>
            </w:r>
          </w:p>
        </w:tc>
      </w:tr>
    </w:tbl>
    <w:p w14:paraId="54BC1ADB" w14:textId="313C8AEE" w:rsidR="007965DC" w:rsidRPr="00A37697" w:rsidRDefault="00E514B5" w:rsidP="005E1884">
      <w:pPr>
        <w:spacing w:after="0" w:line="240" w:lineRule="auto"/>
        <w:ind w:left="180"/>
        <w:jc w:val="both"/>
        <w:rPr>
          <w:rFonts w:ascii="Calibri Light" w:eastAsia="Calibri" w:hAnsi="Calibri Light" w:cs="Calibri Light"/>
          <w:i/>
          <w:sz w:val="16"/>
          <w:szCs w:val="16"/>
          <w:lang w:val="ro-MD" w:eastAsia="ru-RU"/>
        </w:rPr>
      </w:pPr>
      <w:r w:rsidRPr="007F6FE6">
        <w:rPr>
          <w:rFonts w:ascii="Cambria" w:eastAsia="Times New Roman" w:hAnsi="Cambria" w:cs="Times New Roman"/>
          <w:b/>
          <w:i/>
          <w:sz w:val="16"/>
          <w:szCs w:val="16"/>
          <w:lang w:val="ro-RO" w:eastAsia="ru-RU"/>
        </w:rPr>
        <w:t xml:space="preserve"> </w:t>
      </w:r>
      <w:r w:rsidRPr="007F6FE6">
        <w:rPr>
          <w:rFonts w:ascii="Calibri Light" w:eastAsia="Calibri" w:hAnsi="Calibri Light" w:cs="Calibri Light"/>
          <w:b/>
          <w:i/>
          <w:sz w:val="16"/>
          <w:szCs w:val="16"/>
          <w:lang w:val="ro-MD" w:eastAsia="ru-RU"/>
        </w:rPr>
        <w:t>Sursa:</w:t>
      </w:r>
      <w:r w:rsidRPr="007F6FE6">
        <w:rPr>
          <w:rFonts w:ascii="Calibri Light" w:eastAsia="Calibri" w:hAnsi="Calibri Light" w:cs="Calibri Light"/>
          <w:sz w:val="16"/>
          <w:szCs w:val="16"/>
          <w:lang w:val="ro-MD" w:eastAsia="ru-RU"/>
        </w:rPr>
        <w:t xml:space="preserve"> </w:t>
      </w:r>
      <w:r w:rsidRPr="007F6FE6">
        <w:rPr>
          <w:rFonts w:ascii="Cambria" w:eastAsia="Times New Roman" w:hAnsi="Cambria" w:cs="Times New Roman"/>
          <w:sz w:val="16"/>
          <w:szCs w:val="16"/>
          <w:lang w:val="ro-RO" w:eastAsia="ru-RU"/>
        </w:rPr>
        <w:t xml:space="preserve"> </w:t>
      </w:r>
      <w:r w:rsidRPr="00A37697">
        <w:rPr>
          <w:rFonts w:ascii="Calibri Light" w:eastAsia="Calibri" w:hAnsi="Calibri Light" w:cs="Calibri Light"/>
          <w:i/>
          <w:sz w:val="16"/>
          <w:szCs w:val="16"/>
          <w:lang w:val="ro-MD" w:eastAsia="ru-RU"/>
        </w:rPr>
        <w:t>Elaborată de către echipa de audit în baza analizei datelor din Raportul privind situația în domeniul datoriei sectorului public, garanțiilor de stat și rec</w:t>
      </w:r>
      <w:r w:rsidR="008634C8" w:rsidRPr="00A37697">
        <w:rPr>
          <w:rFonts w:ascii="Calibri Light" w:eastAsia="Calibri" w:hAnsi="Calibri Light" w:cs="Calibri Light"/>
          <w:i/>
          <w:sz w:val="16"/>
          <w:szCs w:val="16"/>
          <w:lang w:val="ro-MD" w:eastAsia="ru-RU"/>
        </w:rPr>
        <w:t>reditării de stat pe anul 2020.</w:t>
      </w:r>
    </w:p>
    <w:p w14:paraId="3B3D107C" w14:textId="44953A7F" w:rsidR="00E514B5" w:rsidRDefault="00E514B5" w:rsidP="00E514B5">
      <w:pPr>
        <w:tabs>
          <w:tab w:val="left" w:pos="284"/>
        </w:tabs>
        <w:spacing w:after="0" w:line="240" w:lineRule="auto"/>
        <w:contextualSpacing/>
        <w:jc w:val="right"/>
        <w:rPr>
          <w:rFonts w:ascii="Calibri Light" w:eastAsia="Times New Roman" w:hAnsi="Calibri Light" w:cs="Calibri Light"/>
          <w:b/>
          <w:i/>
          <w:color w:val="000000"/>
          <w:szCs w:val="24"/>
          <w:lang w:val="ro-RO" w:eastAsia="ro-RO"/>
        </w:rPr>
      </w:pPr>
      <w:r w:rsidRPr="0047410E">
        <w:rPr>
          <w:rFonts w:ascii="Calibri Light" w:eastAsia="Times New Roman" w:hAnsi="Calibri Light" w:cs="Calibri Light"/>
          <w:b/>
          <w:i/>
          <w:color w:val="000000"/>
          <w:szCs w:val="24"/>
          <w:lang w:val="ro-RO" w:eastAsia="ro-RO"/>
        </w:rPr>
        <w:t>Tabelul nr.</w:t>
      </w:r>
      <w:r w:rsidR="00656726">
        <w:rPr>
          <w:rFonts w:ascii="Calibri Light" w:eastAsia="Times New Roman" w:hAnsi="Calibri Light" w:cs="Calibri Light"/>
          <w:b/>
          <w:i/>
          <w:color w:val="000000"/>
          <w:szCs w:val="24"/>
          <w:lang w:val="ro-RO" w:eastAsia="ro-RO"/>
        </w:rPr>
        <w:t>9</w:t>
      </w:r>
    </w:p>
    <w:p w14:paraId="30AE3E83" w14:textId="77777777" w:rsidR="00E514B5" w:rsidRPr="000D05EE" w:rsidRDefault="00E514B5" w:rsidP="00E514B5">
      <w:pPr>
        <w:tabs>
          <w:tab w:val="left" w:pos="284"/>
        </w:tabs>
        <w:spacing w:after="0" w:line="240" w:lineRule="auto"/>
        <w:contextualSpacing/>
        <w:jc w:val="center"/>
        <w:rPr>
          <w:rFonts w:ascii="Calibri Light" w:eastAsia="Times New Roman" w:hAnsi="Calibri Light" w:cs="Calibri Light"/>
          <w:b/>
          <w:i/>
          <w:color w:val="000000"/>
          <w:szCs w:val="24"/>
          <w:lang w:val="ro-RO" w:eastAsia="ro-RO"/>
        </w:rPr>
      </w:pPr>
      <w:r w:rsidRPr="000D05EE">
        <w:rPr>
          <w:rFonts w:ascii="Calibri Light" w:eastAsia="Calibri" w:hAnsi="Calibri Light" w:cs="Calibri Light"/>
          <w:b/>
          <w:szCs w:val="24"/>
          <w:lang w:val="ro-MD"/>
        </w:rPr>
        <w:t xml:space="preserve">Mijloacelor recreditate </w:t>
      </w:r>
      <w:r>
        <w:rPr>
          <w:rFonts w:ascii="Calibri Light" w:eastAsia="Calibri" w:hAnsi="Calibri Light" w:cs="Calibri Light"/>
          <w:b/>
          <w:szCs w:val="24"/>
          <w:lang w:val="ro-MD"/>
        </w:rPr>
        <w:t xml:space="preserve">în </w:t>
      </w:r>
      <w:r w:rsidRPr="000D05EE">
        <w:rPr>
          <w:rFonts w:ascii="Calibri Light" w:eastAsia="Calibri" w:hAnsi="Calibri Light" w:cs="Calibri Light"/>
          <w:b/>
          <w:szCs w:val="24"/>
          <w:lang w:val="ro-MD"/>
        </w:rPr>
        <w:t>aspectul ramurilor economiei naționale</w:t>
      </w:r>
    </w:p>
    <w:tbl>
      <w:tblPr>
        <w:tblStyle w:val="TableGrid18"/>
        <w:tblW w:w="9413" w:type="dxa"/>
        <w:tblInd w:w="0" w:type="dxa"/>
        <w:tblLook w:val="04A0" w:firstRow="1" w:lastRow="0" w:firstColumn="1" w:lastColumn="0" w:noHBand="0" w:noVBand="1"/>
      </w:tblPr>
      <w:tblGrid>
        <w:gridCol w:w="3539"/>
        <w:gridCol w:w="992"/>
        <w:gridCol w:w="993"/>
        <w:gridCol w:w="992"/>
        <w:gridCol w:w="992"/>
        <w:gridCol w:w="989"/>
        <w:gridCol w:w="916"/>
      </w:tblGrid>
      <w:tr w:rsidR="00E514B5" w:rsidRPr="000F2C65" w14:paraId="72D7E248" w14:textId="77777777" w:rsidTr="004511C2">
        <w:tc>
          <w:tcPr>
            <w:tcW w:w="3539" w:type="dxa"/>
            <w:vMerge w:val="restart"/>
            <w:tcBorders>
              <w:top w:val="single" w:sz="4" w:space="0" w:color="auto"/>
              <w:left w:val="single" w:sz="4" w:space="0" w:color="auto"/>
              <w:right w:val="single" w:sz="4" w:space="0" w:color="auto"/>
            </w:tcBorders>
            <w:shd w:val="clear" w:color="auto" w:fill="auto"/>
          </w:tcPr>
          <w:p w14:paraId="27A0FCC9" w14:textId="77777777" w:rsidR="00E514B5" w:rsidRDefault="00E514B5" w:rsidP="004511C2">
            <w:pPr>
              <w:jc w:val="center"/>
              <w:rPr>
                <w:rFonts w:ascii="Calibri Light" w:eastAsia="Times New Roman" w:hAnsi="Calibri Light" w:cs="Calibri Light"/>
                <w:b/>
                <w:sz w:val="18"/>
                <w:szCs w:val="18"/>
                <w:lang w:val="ro-RO" w:eastAsia="ro-RO"/>
              </w:rPr>
            </w:pPr>
          </w:p>
          <w:p w14:paraId="660E72A6" w14:textId="77777777" w:rsidR="00E514B5" w:rsidRDefault="00E514B5" w:rsidP="004511C2">
            <w:pPr>
              <w:jc w:val="center"/>
              <w:rPr>
                <w:rFonts w:eastAsia="Times New Roman" w:cstheme="majorHAnsi"/>
                <w:b/>
                <w:bCs/>
                <w:color w:val="000000"/>
                <w:sz w:val="20"/>
                <w:szCs w:val="20"/>
              </w:rPr>
            </w:pPr>
            <w:r w:rsidRPr="006538EB">
              <w:rPr>
                <w:rFonts w:eastAsia="Times New Roman" w:cstheme="majorHAnsi"/>
                <w:b/>
                <w:bCs/>
                <w:color w:val="000000"/>
                <w:sz w:val="20"/>
                <w:szCs w:val="20"/>
              </w:rPr>
              <w:t>Ramurile economiei naționale</w:t>
            </w:r>
          </w:p>
          <w:p w14:paraId="53513D05" w14:textId="77777777" w:rsidR="00E514B5" w:rsidRPr="000F2C65" w:rsidRDefault="00E514B5" w:rsidP="004511C2">
            <w:pPr>
              <w:jc w:val="center"/>
              <w:rPr>
                <w:rFonts w:ascii="Calibri Light" w:eastAsia="Times New Roman" w:hAnsi="Calibri Light" w:cs="Calibri Light"/>
                <w:b/>
                <w:sz w:val="18"/>
                <w:szCs w:val="18"/>
                <w:lang w:val="ro-RO" w:eastAsia="ro-RO"/>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E9EC62D"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2018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C2592A0"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2019</w:t>
            </w:r>
          </w:p>
        </w:tc>
        <w:tc>
          <w:tcPr>
            <w:tcW w:w="1905" w:type="dxa"/>
            <w:gridSpan w:val="2"/>
            <w:tcBorders>
              <w:top w:val="single" w:sz="4" w:space="0" w:color="auto"/>
              <w:left w:val="single" w:sz="4" w:space="0" w:color="auto"/>
              <w:bottom w:val="single" w:sz="4" w:space="0" w:color="auto"/>
              <w:right w:val="single" w:sz="4" w:space="0" w:color="auto"/>
            </w:tcBorders>
            <w:shd w:val="clear" w:color="auto" w:fill="auto"/>
          </w:tcPr>
          <w:p w14:paraId="2876DBB8"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2020</w:t>
            </w:r>
          </w:p>
        </w:tc>
      </w:tr>
      <w:tr w:rsidR="00E514B5" w:rsidRPr="000F2C65" w14:paraId="4D26080B" w14:textId="77777777" w:rsidTr="004511C2">
        <w:tc>
          <w:tcPr>
            <w:tcW w:w="3539" w:type="dxa"/>
            <w:vMerge/>
            <w:tcBorders>
              <w:left w:val="single" w:sz="4" w:space="0" w:color="auto"/>
              <w:bottom w:val="single" w:sz="4" w:space="0" w:color="auto"/>
              <w:right w:val="single" w:sz="4" w:space="0" w:color="auto"/>
            </w:tcBorders>
            <w:shd w:val="clear" w:color="auto" w:fill="DEEAF6" w:themeFill="accent1" w:themeFillTint="33"/>
            <w:hideMark/>
          </w:tcPr>
          <w:p w14:paraId="5F10C616" w14:textId="77777777" w:rsidR="00E514B5" w:rsidRPr="000F2C65" w:rsidRDefault="00E514B5" w:rsidP="004511C2">
            <w:pPr>
              <w:jc w:val="center"/>
              <w:rPr>
                <w:rFonts w:ascii="Calibri Light" w:eastAsia="Times New Roman" w:hAnsi="Calibri Light" w:cs="Calibri Light"/>
                <w:b/>
                <w:sz w:val="18"/>
                <w:szCs w:val="18"/>
                <w:lang w:val="ro-RO" w:eastAsia="ro-RO"/>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8C236B"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mil.lei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378927"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ponderea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95695F"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mil.lei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F830EF"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ponderea (%)</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F7A2F59"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mil.lei</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D7719D0"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ponderea (%)</w:t>
            </w:r>
          </w:p>
        </w:tc>
      </w:tr>
      <w:tr w:rsidR="00E514B5" w:rsidRPr="000F2C65" w14:paraId="6F2F5ABB" w14:textId="77777777" w:rsidTr="004511C2">
        <w:tc>
          <w:tcPr>
            <w:tcW w:w="3539" w:type="dxa"/>
            <w:tcBorders>
              <w:top w:val="single" w:sz="4" w:space="0" w:color="auto"/>
              <w:left w:val="single" w:sz="4" w:space="0" w:color="auto"/>
              <w:bottom w:val="single" w:sz="4" w:space="0" w:color="auto"/>
              <w:right w:val="single" w:sz="4" w:space="0" w:color="auto"/>
            </w:tcBorders>
            <w:hideMark/>
          </w:tcPr>
          <w:p w14:paraId="470F72C6"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Agricultură, silvicultură și pescuit</w:t>
            </w:r>
          </w:p>
        </w:tc>
        <w:tc>
          <w:tcPr>
            <w:tcW w:w="992" w:type="dxa"/>
            <w:tcBorders>
              <w:top w:val="single" w:sz="4" w:space="0" w:color="auto"/>
              <w:left w:val="single" w:sz="4" w:space="0" w:color="auto"/>
              <w:bottom w:val="single" w:sz="4" w:space="0" w:color="auto"/>
              <w:right w:val="single" w:sz="4" w:space="0" w:color="auto"/>
            </w:tcBorders>
          </w:tcPr>
          <w:p w14:paraId="36B2FB89"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381,9</w:t>
            </w:r>
          </w:p>
        </w:tc>
        <w:tc>
          <w:tcPr>
            <w:tcW w:w="993" w:type="dxa"/>
            <w:tcBorders>
              <w:top w:val="single" w:sz="4" w:space="0" w:color="auto"/>
              <w:left w:val="single" w:sz="4" w:space="0" w:color="auto"/>
              <w:bottom w:val="single" w:sz="4" w:space="0" w:color="auto"/>
              <w:right w:val="single" w:sz="4" w:space="0" w:color="auto"/>
            </w:tcBorders>
          </w:tcPr>
          <w:p w14:paraId="0B6875F0"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44,1</w:t>
            </w:r>
          </w:p>
        </w:tc>
        <w:tc>
          <w:tcPr>
            <w:tcW w:w="992" w:type="dxa"/>
            <w:tcBorders>
              <w:top w:val="single" w:sz="4" w:space="0" w:color="auto"/>
              <w:left w:val="single" w:sz="4" w:space="0" w:color="auto"/>
              <w:bottom w:val="single" w:sz="4" w:space="0" w:color="auto"/>
              <w:right w:val="single" w:sz="4" w:space="0" w:color="auto"/>
            </w:tcBorders>
          </w:tcPr>
          <w:p w14:paraId="41813062"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497.4</w:t>
            </w:r>
          </w:p>
        </w:tc>
        <w:tc>
          <w:tcPr>
            <w:tcW w:w="992" w:type="dxa"/>
            <w:tcBorders>
              <w:top w:val="single" w:sz="4" w:space="0" w:color="auto"/>
              <w:left w:val="single" w:sz="4" w:space="0" w:color="auto"/>
              <w:bottom w:val="single" w:sz="4" w:space="0" w:color="auto"/>
              <w:right w:val="single" w:sz="4" w:space="0" w:color="auto"/>
            </w:tcBorders>
          </w:tcPr>
          <w:p w14:paraId="142A0249"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55,0</w:t>
            </w:r>
          </w:p>
        </w:tc>
        <w:tc>
          <w:tcPr>
            <w:tcW w:w="989" w:type="dxa"/>
            <w:tcBorders>
              <w:top w:val="single" w:sz="4" w:space="0" w:color="auto"/>
              <w:left w:val="single" w:sz="4" w:space="0" w:color="auto"/>
              <w:bottom w:val="single" w:sz="4" w:space="0" w:color="auto"/>
              <w:right w:val="single" w:sz="4" w:space="0" w:color="auto"/>
            </w:tcBorders>
          </w:tcPr>
          <w:p w14:paraId="2AA66677"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813,8</w:t>
            </w:r>
          </w:p>
        </w:tc>
        <w:tc>
          <w:tcPr>
            <w:tcW w:w="916" w:type="dxa"/>
            <w:tcBorders>
              <w:top w:val="single" w:sz="4" w:space="0" w:color="auto"/>
              <w:left w:val="single" w:sz="4" w:space="0" w:color="auto"/>
              <w:bottom w:val="single" w:sz="4" w:space="0" w:color="auto"/>
              <w:right w:val="single" w:sz="4" w:space="0" w:color="auto"/>
            </w:tcBorders>
          </w:tcPr>
          <w:p w14:paraId="4CB5A2B2"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53,5</w:t>
            </w:r>
          </w:p>
        </w:tc>
      </w:tr>
      <w:tr w:rsidR="00E514B5" w:rsidRPr="000F2C65" w14:paraId="273FEF47" w14:textId="77777777" w:rsidTr="004511C2">
        <w:tc>
          <w:tcPr>
            <w:tcW w:w="3539" w:type="dxa"/>
            <w:tcBorders>
              <w:top w:val="single" w:sz="4" w:space="0" w:color="auto"/>
              <w:left w:val="single" w:sz="4" w:space="0" w:color="auto"/>
              <w:bottom w:val="single" w:sz="4" w:space="0" w:color="auto"/>
              <w:right w:val="single" w:sz="4" w:space="0" w:color="auto"/>
            </w:tcBorders>
          </w:tcPr>
          <w:p w14:paraId="06B8B07F"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Transport și dezvoltare</w:t>
            </w:r>
          </w:p>
        </w:tc>
        <w:tc>
          <w:tcPr>
            <w:tcW w:w="992" w:type="dxa"/>
            <w:tcBorders>
              <w:top w:val="single" w:sz="4" w:space="0" w:color="auto"/>
              <w:left w:val="single" w:sz="4" w:space="0" w:color="auto"/>
              <w:bottom w:val="single" w:sz="4" w:space="0" w:color="auto"/>
              <w:right w:val="single" w:sz="4" w:space="0" w:color="auto"/>
            </w:tcBorders>
          </w:tcPr>
          <w:p w14:paraId="7657B5A6"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80,6</w:t>
            </w:r>
          </w:p>
        </w:tc>
        <w:tc>
          <w:tcPr>
            <w:tcW w:w="993" w:type="dxa"/>
            <w:tcBorders>
              <w:top w:val="single" w:sz="4" w:space="0" w:color="auto"/>
              <w:left w:val="single" w:sz="4" w:space="0" w:color="auto"/>
              <w:bottom w:val="single" w:sz="4" w:space="0" w:color="auto"/>
              <w:right w:val="single" w:sz="4" w:space="0" w:color="auto"/>
            </w:tcBorders>
          </w:tcPr>
          <w:p w14:paraId="1DE0A661"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9,3</w:t>
            </w:r>
          </w:p>
        </w:tc>
        <w:tc>
          <w:tcPr>
            <w:tcW w:w="992" w:type="dxa"/>
            <w:tcBorders>
              <w:top w:val="single" w:sz="4" w:space="0" w:color="auto"/>
              <w:left w:val="single" w:sz="4" w:space="0" w:color="auto"/>
              <w:bottom w:val="single" w:sz="4" w:space="0" w:color="auto"/>
              <w:right w:val="single" w:sz="4" w:space="0" w:color="auto"/>
            </w:tcBorders>
          </w:tcPr>
          <w:p w14:paraId="4E5BA17E"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3,2</w:t>
            </w:r>
          </w:p>
        </w:tc>
        <w:tc>
          <w:tcPr>
            <w:tcW w:w="992" w:type="dxa"/>
            <w:tcBorders>
              <w:top w:val="single" w:sz="4" w:space="0" w:color="auto"/>
              <w:left w:val="single" w:sz="4" w:space="0" w:color="auto"/>
              <w:bottom w:val="single" w:sz="4" w:space="0" w:color="auto"/>
              <w:right w:val="single" w:sz="4" w:space="0" w:color="auto"/>
            </w:tcBorders>
          </w:tcPr>
          <w:p w14:paraId="2C4F38D7"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0,4</w:t>
            </w:r>
          </w:p>
        </w:tc>
        <w:tc>
          <w:tcPr>
            <w:tcW w:w="989" w:type="dxa"/>
            <w:tcBorders>
              <w:top w:val="single" w:sz="4" w:space="0" w:color="auto"/>
              <w:left w:val="single" w:sz="4" w:space="0" w:color="auto"/>
              <w:bottom w:val="single" w:sz="4" w:space="0" w:color="auto"/>
              <w:right w:val="single" w:sz="4" w:space="0" w:color="auto"/>
            </w:tcBorders>
          </w:tcPr>
          <w:p w14:paraId="76445051"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283,0</w:t>
            </w:r>
          </w:p>
        </w:tc>
        <w:tc>
          <w:tcPr>
            <w:tcW w:w="916" w:type="dxa"/>
            <w:tcBorders>
              <w:top w:val="single" w:sz="4" w:space="0" w:color="auto"/>
              <w:left w:val="single" w:sz="4" w:space="0" w:color="auto"/>
              <w:bottom w:val="single" w:sz="4" w:space="0" w:color="auto"/>
              <w:right w:val="single" w:sz="4" w:space="0" w:color="auto"/>
            </w:tcBorders>
          </w:tcPr>
          <w:p w14:paraId="35CA26D1"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18,6</w:t>
            </w:r>
          </w:p>
        </w:tc>
      </w:tr>
      <w:tr w:rsidR="00E514B5" w:rsidRPr="000F2C65" w14:paraId="6ADFD6D2" w14:textId="77777777" w:rsidTr="004511C2">
        <w:tc>
          <w:tcPr>
            <w:tcW w:w="3539" w:type="dxa"/>
            <w:tcBorders>
              <w:top w:val="single" w:sz="4" w:space="0" w:color="auto"/>
              <w:left w:val="single" w:sz="4" w:space="0" w:color="auto"/>
              <w:bottom w:val="single" w:sz="4" w:space="0" w:color="auto"/>
              <w:right w:val="single" w:sz="4" w:space="0" w:color="auto"/>
            </w:tcBorders>
            <w:hideMark/>
          </w:tcPr>
          <w:p w14:paraId="5ACB37FB"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Producția și furnizarea de energie electrică și termică, gaze, apă caldă și aer condiționat</w:t>
            </w:r>
          </w:p>
        </w:tc>
        <w:tc>
          <w:tcPr>
            <w:tcW w:w="992" w:type="dxa"/>
            <w:tcBorders>
              <w:top w:val="single" w:sz="4" w:space="0" w:color="auto"/>
              <w:left w:val="single" w:sz="4" w:space="0" w:color="auto"/>
              <w:bottom w:val="single" w:sz="4" w:space="0" w:color="auto"/>
              <w:right w:val="single" w:sz="4" w:space="0" w:color="auto"/>
            </w:tcBorders>
          </w:tcPr>
          <w:p w14:paraId="412F7312"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307,3</w:t>
            </w:r>
          </w:p>
        </w:tc>
        <w:tc>
          <w:tcPr>
            <w:tcW w:w="993" w:type="dxa"/>
            <w:tcBorders>
              <w:top w:val="single" w:sz="4" w:space="0" w:color="auto"/>
              <w:left w:val="single" w:sz="4" w:space="0" w:color="auto"/>
              <w:bottom w:val="single" w:sz="4" w:space="0" w:color="auto"/>
              <w:right w:val="single" w:sz="4" w:space="0" w:color="auto"/>
            </w:tcBorders>
          </w:tcPr>
          <w:p w14:paraId="545E600A"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35,5</w:t>
            </w:r>
          </w:p>
        </w:tc>
        <w:tc>
          <w:tcPr>
            <w:tcW w:w="992" w:type="dxa"/>
            <w:tcBorders>
              <w:top w:val="single" w:sz="4" w:space="0" w:color="auto"/>
              <w:left w:val="single" w:sz="4" w:space="0" w:color="auto"/>
              <w:bottom w:val="single" w:sz="4" w:space="0" w:color="auto"/>
              <w:right w:val="single" w:sz="4" w:space="0" w:color="auto"/>
            </w:tcBorders>
          </w:tcPr>
          <w:p w14:paraId="43974C0E"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219,9</w:t>
            </w:r>
          </w:p>
        </w:tc>
        <w:tc>
          <w:tcPr>
            <w:tcW w:w="992" w:type="dxa"/>
            <w:tcBorders>
              <w:top w:val="single" w:sz="4" w:space="0" w:color="auto"/>
              <w:left w:val="single" w:sz="4" w:space="0" w:color="auto"/>
              <w:bottom w:val="single" w:sz="4" w:space="0" w:color="auto"/>
              <w:right w:val="single" w:sz="4" w:space="0" w:color="auto"/>
            </w:tcBorders>
          </w:tcPr>
          <w:p w14:paraId="1E4D888F"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24,3</w:t>
            </w:r>
          </w:p>
        </w:tc>
        <w:tc>
          <w:tcPr>
            <w:tcW w:w="989" w:type="dxa"/>
            <w:tcBorders>
              <w:top w:val="single" w:sz="4" w:space="0" w:color="auto"/>
              <w:left w:val="single" w:sz="4" w:space="0" w:color="auto"/>
              <w:bottom w:val="single" w:sz="4" w:space="0" w:color="auto"/>
              <w:right w:val="single" w:sz="4" w:space="0" w:color="auto"/>
            </w:tcBorders>
          </w:tcPr>
          <w:p w14:paraId="1F7C96C4"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190,7</w:t>
            </w:r>
          </w:p>
        </w:tc>
        <w:tc>
          <w:tcPr>
            <w:tcW w:w="916" w:type="dxa"/>
            <w:tcBorders>
              <w:top w:val="single" w:sz="4" w:space="0" w:color="auto"/>
              <w:left w:val="single" w:sz="4" w:space="0" w:color="auto"/>
              <w:bottom w:val="single" w:sz="4" w:space="0" w:color="auto"/>
              <w:right w:val="single" w:sz="4" w:space="0" w:color="auto"/>
            </w:tcBorders>
          </w:tcPr>
          <w:p w14:paraId="09B09541"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12,5</w:t>
            </w:r>
          </w:p>
          <w:p w14:paraId="565A8CFE" w14:textId="77777777" w:rsidR="00E514B5" w:rsidRPr="000F2C65" w:rsidRDefault="00E514B5" w:rsidP="004511C2">
            <w:pPr>
              <w:jc w:val="center"/>
              <w:rPr>
                <w:rFonts w:ascii="Calibri Light" w:eastAsia="Times New Roman" w:hAnsi="Calibri Light" w:cs="Calibri Light"/>
                <w:sz w:val="18"/>
                <w:szCs w:val="18"/>
                <w:lang w:val="ro-RO" w:eastAsia="ro-RO"/>
              </w:rPr>
            </w:pPr>
          </w:p>
        </w:tc>
      </w:tr>
      <w:tr w:rsidR="00E514B5" w:rsidRPr="000F2C65" w14:paraId="0B04C1BD" w14:textId="77777777" w:rsidTr="004511C2">
        <w:tc>
          <w:tcPr>
            <w:tcW w:w="3539" w:type="dxa"/>
            <w:tcBorders>
              <w:top w:val="single" w:sz="4" w:space="0" w:color="auto"/>
              <w:left w:val="single" w:sz="4" w:space="0" w:color="auto"/>
              <w:bottom w:val="single" w:sz="4" w:space="0" w:color="auto"/>
              <w:right w:val="single" w:sz="4" w:space="0" w:color="auto"/>
            </w:tcBorders>
            <w:hideMark/>
          </w:tcPr>
          <w:p w14:paraId="28411B5E"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Industria prelucrătoare</w:t>
            </w:r>
          </w:p>
        </w:tc>
        <w:tc>
          <w:tcPr>
            <w:tcW w:w="992" w:type="dxa"/>
            <w:tcBorders>
              <w:top w:val="single" w:sz="4" w:space="0" w:color="auto"/>
              <w:left w:val="single" w:sz="4" w:space="0" w:color="auto"/>
              <w:bottom w:val="single" w:sz="4" w:space="0" w:color="auto"/>
              <w:right w:val="single" w:sz="4" w:space="0" w:color="auto"/>
            </w:tcBorders>
          </w:tcPr>
          <w:p w14:paraId="64C3C056"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58,9</w:t>
            </w:r>
          </w:p>
        </w:tc>
        <w:tc>
          <w:tcPr>
            <w:tcW w:w="993" w:type="dxa"/>
            <w:tcBorders>
              <w:top w:val="single" w:sz="4" w:space="0" w:color="auto"/>
              <w:left w:val="single" w:sz="4" w:space="0" w:color="auto"/>
              <w:bottom w:val="single" w:sz="4" w:space="0" w:color="auto"/>
              <w:right w:val="single" w:sz="4" w:space="0" w:color="auto"/>
            </w:tcBorders>
          </w:tcPr>
          <w:p w14:paraId="44B67F41"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6,8</w:t>
            </w:r>
          </w:p>
        </w:tc>
        <w:tc>
          <w:tcPr>
            <w:tcW w:w="992" w:type="dxa"/>
            <w:tcBorders>
              <w:top w:val="single" w:sz="4" w:space="0" w:color="auto"/>
              <w:left w:val="single" w:sz="4" w:space="0" w:color="auto"/>
              <w:bottom w:val="single" w:sz="4" w:space="0" w:color="auto"/>
              <w:right w:val="single" w:sz="4" w:space="0" w:color="auto"/>
            </w:tcBorders>
          </w:tcPr>
          <w:p w14:paraId="283CBC8D"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87,8</w:t>
            </w:r>
          </w:p>
        </w:tc>
        <w:tc>
          <w:tcPr>
            <w:tcW w:w="992" w:type="dxa"/>
            <w:tcBorders>
              <w:top w:val="single" w:sz="4" w:space="0" w:color="auto"/>
              <w:left w:val="single" w:sz="4" w:space="0" w:color="auto"/>
              <w:bottom w:val="single" w:sz="4" w:space="0" w:color="auto"/>
              <w:right w:val="single" w:sz="4" w:space="0" w:color="auto"/>
            </w:tcBorders>
          </w:tcPr>
          <w:p w14:paraId="3D1A4231"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9,7</w:t>
            </w:r>
          </w:p>
        </w:tc>
        <w:tc>
          <w:tcPr>
            <w:tcW w:w="989" w:type="dxa"/>
            <w:tcBorders>
              <w:top w:val="single" w:sz="4" w:space="0" w:color="auto"/>
              <w:left w:val="single" w:sz="4" w:space="0" w:color="auto"/>
              <w:bottom w:val="single" w:sz="4" w:space="0" w:color="auto"/>
              <w:right w:val="single" w:sz="4" w:space="0" w:color="auto"/>
            </w:tcBorders>
          </w:tcPr>
          <w:p w14:paraId="336A2AE4"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138,3</w:t>
            </w:r>
          </w:p>
        </w:tc>
        <w:tc>
          <w:tcPr>
            <w:tcW w:w="916" w:type="dxa"/>
            <w:tcBorders>
              <w:top w:val="single" w:sz="4" w:space="0" w:color="auto"/>
              <w:left w:val="single" w:sz="4" w:space="0" w:color="auto"/>
              <w:bottom w:val="single" w:sz="4" w:space="0" w:color="auto"/>
              <w:right w:val="single" w:sz="4" w:space="0" w:color="auto"/>
            </w:tcBorders>
          </w:tcPr>
          <w:p w14:paraId="0AFC458C"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9,1</w:t>
            </w:r>
          </w:p>
        </w:tc>
      </w:tr>
      <w:tr w:rsidR="00E514B5" w:rsidRPr="000F2C65" w14:paraId="5B6CDB69" w14:textId="77777777" w:rsidTr="004511C2">
        <w:tc>
          <w:tcPr>
            <w:tcW w:w="3539" w:type="dxa"/>
            <w:tcBorders>
              <w:top w:val="single" w:sz="4" w:space="0" w:color="auto"/>
              <w:left w:val="single" w:sz="4" w:space="0" w:color="auto"/>
              <w:bottom w:val="single" w:sz="4" w:space="0" w:color="auto"/>
              <w:right w:val="single" w:sz="4" w:space="0" w:color="auto"/>
            </w:tcBorders>
          </w:tcPr>
          <w:p w14:paraId="508913C6"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Activități de servicii administrative și activități de servicii suport</w:t>
            </w:r>
          </w:p>
        </w:tc>
        <w:tc>
          <w:tcPr>
            <w:tcW w:w="992" w:type="dxa"/>
            <w:tcBorders>
              <w:top w:val="single" w:sz="4" w:space="0" w:color="auto"/>
              <w:left w:val="single" w:sz="4" w:space="0" w:color="auto"/>
              <w:bottom w:val="single" w:sz="4" w:space="0" w:color="auto"/>
              <w:right w:val="single" w:sz="4" w:space="0" w:color="auto"/>
            </w:tcBorders>
          </w:tcPr>
          <w:p w14:paraId="35C881E6"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16,7</w:t>
            </w:r>
          </w:p>
        </w:tc>
        <w:tc>
          <w:tcPr>
            <w:tcW w:w="993" w:type="dxa"/>
            <w:tcBorders>
              <w:top w:val="single" w:sz="4" w:space="0" w:color="auto"/>
              <w:left w:val="single" w:sz="4" w:space="0" w:color="auto"/>
              <w:bottom w:val="single" w:sz="4" w:space="0" w:color="auto"/>
              <w:right w:val="single" w:sz="4" w:space="0" w:color="auto"/>
            </w:tcBorders>
          </w:tcPr>
          <w:p w14:paraId="682C2EC4"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1,9</w:t>
            </w:r>
          </w:p>
        </w:tc>
        <w:tc>
          <w:tcPr>
            <w:tcW w:w="992" w:type="dxa"/>
            <w:tcBorders>
              <w:top w:val="single" w:sz="4" w:space="0" w:color="auto"/>
              <w:left w:val="single" w:sz="4" w:space="0" w:color="auto"/>
              <w:bottom w:val="single" w:sz="4" w:space="0" w:color="auto"/>
              <w:right w:val="single" w:sz="4" w:space="0" w:color="auto"/>
            </w:tcBorders>
          </w:tcPr>
          <w:p w14:paraId="020B09B9"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26,2</w:t>
            </w:r>
          </w:p>
        </w:tc>
        <w:tc>
          <w:tcPr>
            <w:tcW w:w="992" w:type="dxa"/>
            <w:tcBorders>
              <w:top w:val="single" w:sz="4" w:space="0" w:color="auto"/>
              <w:left w:val="single" w:sz="4" w:space="0" w:color="auto"/>
              <w:bottom w:val="single" w:sz="4" w:space="0" w:color="auto"/>
              <w:right w:val="single" w:sz="4" w:space="0" w:color="auto"/>
            </w:tcBorders>
          </w:tcPr>
          <w:p w14:paraId="7C809CA0"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2,9</w:t>
            </w:r>
          </w:p>
        </w:tc>
        <w:tc>
          <w:tcPr>
            <w:tcW w:w="989" w:type="dxa"/>
            <w:tcBorders>
              <w:top w:val="single" w:sz="4" w:space="0" w:color="auto"/>
              <w:left w:val="single" w:sz="4" w:space="0" w:color="auto"/>
              <w:bottom w:val="single" w:sz="4" w:space="0" w:color="auto"/>
              <w:right w:val="single" w:sz="4" w:space="0" w:color="auto"/>
            </w:tcBorders>
          </w:tcPr>
          <w:p w14:paraId="6D059C96"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41,9</w:t>
            </w:r>
          </w:p>
        </w:tc>
        <w:tc>
          <w:tcPr>
            <w:tcW w:w="916" w:type="dxa"/>
            <w:tcBorders>
              <w:top w:val="single" w:sz="4" w:space="0" w:color="auto"/>
              <w:left w:val="single" w:sz="4" w:space="0" w:color="auto"/>
              <w:bottom w:val="single" w:sz="4" w:space="0" w:color="auto"/>
              <w:right w:val="single" w:sz="4" w:space="0" w:color="auto"/>
            </w:tcBorders>
          </w:tcPr>
          <w:p w14:paraId="0B551E02"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2,8</w:t>
            </w:r>
          </w:p>
        </w:tc>
      </w:tr>
      <w:tr w:rsidR="00E514B5" w:rsidRPr="000F2C65" w14:paraId="37FC6B26" w14:textId="77777777" w:rsidTr="004511C2">
        <w:tc>
          <w:tcPr>
            <w:tcW w:w="3539" w:type="dxa"/>
            <w:tcBorders>
              <w:top w:val="single" w:sz="4" w:space="0" w:color="auto"/>
              <w:left w:val="single" w:sz="4" w:space="0" w:color="auto"/>
              <w:bottom w:val="single" w:sz="4" w:space="0" w:color="auto"/>
              <w:right w:val="single" w:sz="4" w:space="0" w:color="auto"/>
            </w:tcBorders>
            <w:hideMark/>
          </w:tcPr>
          <w:p w14:paraId="7A2A3D2F"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Construcții</w:t>
            </w:r>
          </w:p>
        </w:tc>
        <w:tc>
          <w:tcPr>
            <w:tcW w:w="992" w:type="dxa"/>
            <w:tcBorders>
              <w:top w:val="single" w:sz="4" w:space="0" w:color="auto"/>
              <w:left w:val="single" w:sz="4" w:space="0" w:color="auto"/>
              <w:bottom w:val="single" w:sz="4" w:space="0" w:color="auto"/>
              <w:right w:val="single" w:sz="4" w:space="0" w:color="auto"/>
            </w:tcBorders>
          </w:tcPr>
          <w:p w14:paraId="417A1F72"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15,7</w:t>
            </w:r>
          </w:p>
        </w:tc>
        <w:tc>
          <w:tcPr>
            <w:tcW w:w="993" w:type="dxa"/>
            <w:tcBorders>
              <w:top w:val="single" w:sz="4" w:space="0" w:color="auto"/>
              <w:left w:val="single" w:sz="4" w:space="0" w:color="auto"/>
              <w:bottom w:val="single" w:sz="4" w:space="0" w:color="auto"/>
              <w:right w:val="single" w:sz="4" w:space="0" w:color="auto"/>
            </w:tcBorders>
          </w:tcPr>
          <w:p w14:paraId="05153D7F"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1,8</w:t>
            </w:r>
          </w:p>
        </w:tc>
        <w:tc>
          <w:tcPr>
            <w:tcW w:w="992" w:type="dxa"/>
            <w:tcBorders>
              <w:top w:val="single" w:sz="4" w:space="0" w:color="auto"/>
              <w:left w:val="single" w:sz="4" w:space="0" w:color="auto"/>
              <w:bottom w:val="single" w:sz="4" w:space="0" w:color="auto"/>
              <w:right w:val="single" w:sz="4" w:space="0" w:color="auto"/>
            </w:tcBorders>
          </w:tcPr>
          <w:p w14:paraId="1AE4E5E4"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31,1</w:t>
            </w:r>
          </w:p>
        </w:tc>
        <w:tc>
          <w:tcPr>
            <w:tcW w:w="992" w:type="dxa"/>
            <w:tcBorders>
              <w:top w:val="single" w:sz="4" w:space="0" w:color="auto"/>
              <w:left w:val="single" w:sz="4" w:space="0" w:color="auto"/>
              <w:bottom w:val="single" w:sz="4" w:space="0" w:color="auto"/>
              <w:right w:val="single" w:sz="4" w:space="0" w:color="auto"/>
            </w:tcBorders>
          </w:tcPr>
          <w:p w14:paraId="5A540A82"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3,4</w:t>
            </w:r>
          </w:p>
        </w:tc>
        <w:tc>
          <w:tcPr>
            <w:tcW w:w="989" w:type="dxa"/>
            <w:tcBorders>
              <w:top w:val="single" w:sz="4" w:space="0" w:color="auto"/>
              <w:left w:val="single" w:sz="4" w:space="0" w:color="auto"/>
              <w:bottom w:val="single" w:sz="4" w:space="0" w:color="auto"/>
              <w:right w:val="single" w:sz="4" w:space="0" w:color="auto"/>
            </w:tcBorders>
          </w:tcPr>
          <w:p w14:paraId="6523FD48"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18,5</w:t>
            </w:r>
          </w:p>
        </w:tc>
        <w:tc>
          <w:tcPr>
            <w:tcW w:w="916" w:type="dxa"/>
            <w:tcBorders>
              <w:top w:val="single" w:sz="4" w:space="0" w:color="auto"/>
              <w:left w:val="single" w:sz="4" w:space="0" w:color="auto"/>
              <w:bottom w:val="single" w:sz="4" w:space="0" w:color="auto"/>
              <w:right w:val="single" w:sz="4" w:space="0" w:color="auto"/>
            </w:tcBorders>
          </w:tcPr>
          <w:p w14:paraId="30B8AE1D"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1,2</w:t>
            </w:r>
          </w:p>
        </w:tc>
      </w:tr>
      <w:tr w:rsidR="00E514B5" w:rsidRPr="000F2C65" w14:paraId="0AA69F53" w14:textId="77777777" w:rsidTr="004511C2">
        <w:tc>
          <w:tcPr>
            <w:tcW w:w="3539" w:type="dxa"/>
            <w:tcBorders>
              <w:top w:val="single" w:sz="4" w:space="0" w:color="auto"/>
              <w:left w:val="single" w:sz="4" w:space="0" w:color="auto"/>
              <w:bottom w:val="single" w:sz="4" w:space="0" w:color="auto"/>
              <w:right w:val="single" w:sz="4" w:space="0" w:color="auto"/>
            </w:tcBorders>
          </w:tcPr>
          <w:p w14:paraId="69A757C2"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Comerț cu ridicata și cu amănuntul; întreținerea și repararea autovehiculelor și a motocicletelor</w:t>
            </w:r>
          </w:p>
        </w:tc>
        <w:tc>
          <w:tcPr>
            <w:tcW w:w="992" w:type="dxa"/>
            <w:tcBorders>
              <w:top w:val="single" w:sz="4" w:space="0" w:color="auto"/>
              <w:left w:val="single" w:sz="4" w:space="0" w:color="auto"/>
              <w:bottom w:val="single" w:sz="4" w:space="0" w:color="auto"/>
              <w:right w:val="single" w:sz="4" w:space="0" w:color="auto"/>
            </w:tcBorders>
          </w:tcPr>
          <w:p w14:paraId="53DEAE34"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5,5</w:t>
            </w:r>
          </w:p>
        </w:tc>
        <w:tc>
          <w:tcPr>
            <w:tcW w:w="993" w:type="dxa"/>
            <w:tcBorders>
              <w:top w:val="single" w:sz="4" w:space="0" w:color="auto"/>
              <w:left w:val="single" w:sz="4" w:space="0" w:color="auto"/>
              <w:bottom w:val="single" w:sz="4" w:space="0" w:color="auto"/>
              <w:right w:val="single" w:sz="4" w:space="0" w:color="auto"/>
            </w:tcBorders>
          </w:tcPr>
          <w:p w14:paraId="20CDDCFB"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0,6</w:t>
            </w:r>
          </w:p>
        </w:tc>
        <w:tc>
          <w:tcPr>
            <w:tcW w:w="992" w:type="dxa"/>
            <w:tcBorders>
              <w:top w:val="single" w:sz="4" w:space="0" w:color="auto"/>
              <w:left w:val="single" w:sz="4" w:space="0" w:color="auto"/>
              <w:bottom w:val="single" w:sz="4" w:space="0" w:color="auto"/>
              <w:right w:val="single" w:sz="4" w:space="0" w:color="auto"/>
            </w:tcBorders>
          </w:tcPr>
          <w:p w14:paraId="14A345BB"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35,8</w:t>
            </w:r>
          </w:p>
        </w:tc>
        <w:tc>
          <w:tcPr>
            <w:tcW w:w="992" w:type="dxa"/>
            <w:tcBorders>
              <w:top w:val="single" w:sz="4" w:space="0" w:color="auto"/>
              <w:left w:val="single" w:sz="4" w:space="0" w:color="auto"/>
              <w:bottom w:val="single" w:sz="4" w:space="0" w:color="auto"/>
              <w:right w:val="single" w:sz="4" w:space="0" w:color="auto"/>
            </w:tcBorders>
          </w:tcPr>
          <w:p w14:paraId="56B6C16B"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4,0</w:t>
            </w:r>
          </w:p>
        </w:tc>
        <w:tc>
          <w:tcPr>
            <w:tcW w:w="989" w:type="dxa"/>
            <w:tcBorders>
              <w:top w:val="single" w:sz="4" w:space="0" w:color="auto"/>
              <w:left w:val="single" w:sz="4" w:space="0" w:color="auto"/>
              <w:bottom w:val="single" w:sz="4" w:space="0" w:color="auto"/>
              <w:right w:val="single" w:sz="4" w:space="0" w:color="auto"/>
            </w:tcBorders>
          </w:tcPr>
          <w:p w14:paraId="3C26FF56"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14,1</w:t>
            </w:r>
          </w:p>
        </w:tc>
        <w:tc>
          <w:tcPr>
            <w:tcW w:w="916" w:type="dxa"/>
            <w:tcBorders>
              <w:top w:val="single" w:sz="4" w:space="0" w:color="auto"/>
              <w:left w:val="single" w:sz="4" w:space="0" w:color="auto"/>
              <w:bottom w:val="single" w:sz="4" w:space="0" w:color="auto"/>
              <w:right w:val="single" w:sz="4" w:space="0" w:color="auto"/>
            </w:tcBorders>
          </w:tcPr>
          <w:p w14:paraId="3F1E5B70"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0,9</w:t>
            </w:r>
          </w:p>
        </w:tc>
      </w:tr>
      <w:tr w:rsidR="00E514B5" w:rsidRPr="000F2C65" w14:paraId="376B3175" w14:textId="77777777" w:rsidTr="004511C2">
        <w:trPr>
          <w:trHeight w:val="285"/>
        </w:trPr>
        <w:tc>
          <w:tcPr>
            <w:tcW w:w="3539" w:type="dxa"/>
            <w:tcBorders>
              <w:top w:val="single" w:sz="4" w:space="0" w:color="auto"/>
              <w:left w:val="single" w:sz="4" w:space="0" w:color="auto"/>
              <w:bottom w:val="single" w:sz="4" w:space="0" w:color="auto"/>
              <w:right w:val="single" w:sz="4" w:space="0" w:color="auto"/>
            </w:tcBorders>
          </w:tcPr>
          <w:p w14:paraId="353AD924"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Sănătate și asistență socială</w:t>
            </w:r>
          </w:p>
        </w:tc>
        <w:tc>
          <w:tcPr>
            <w:tcW w:w="992" w:type="dxa"/>
            <w:tcBorders>
              <w:top w:val="single" w:sz="4" w:space="0" w:color="auto"/>
              <w:left w:val="single" w:sz="4" w:space="0" w:color="auto"/>
              <w:bottom w:val="single" w:sz="4" w:space="0" w:color="auto"/>
              <w:right w:val="single" w:sz="4" w:space="0" w:color="auto"/>
            </w:tcBorders>
          </w:tcPr>
          <w:p w14:paraId="2DA91771"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3" w:type="dxa"/>
            <w:tcBorders>
              <w:top w:val="single" w:sz="4" w:space="0" w:color="auto"/>
              <w:left w:val="single" w:sz="4" w:space="0" w:color="auto"/>
              <w:bottom w:val="single" w:sz="4" w:space="0" w:color="auto"/>
              <w:right w:val="single" w:sz="4" w:space="0" w:color="auto"/>
            </w:tcBorders>
          </w:tcPr>
          <w:p w14:paraId="4AF509F7"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2" w:type="dxa"/>
            <w:tcBorders>
              <w:top w:val="single" w:sz="4" w:space="0" w:color="auto"/>
              <w:left w:val="single" w:sz="4" w:space="0" w:color="auto"/>
              <w:bottom w:val="single" w:sz="4" w:space="0" w:color="auto"/>
              <w:right w:val="single" w:sz="4" w:space="0" w:color="auto"/>
            </w:tcBorders>
          </w:tcPr>
          <w:p w14:paraId="358C203F"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2,2</w:t>
            </w:r>
          </w:p>
        </w:tc>
        <w:tc>
          <w:tcPr>
            <w:tcW w:w="992" w:type="dxa"/>
            <w:tcBorders>
              <w:top w:val="single" w:sz="4" w:space="0" w:color="auto"/>
              <w:left w:val="single" w:sz="4" w:space="0" w:color="auto"/>
              <w:bottom w:val="single" w:sz="4" w:space="0" w:color="auto"/>
              <w:right w:val="single" w:sz="4" w:space="0" w:color="auto"/>
            </w:tcBorders>
          </w:tcPr>
          <w:p w14:paraId="5BBDF0B8"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0,2</w:t>
            </w:r>
          </w:p>
        </w:tc>
        <w:tc>
          <w:tcPr>
            <w:tcW w:w="989" w:type="dxa"/>
            <w:tcBorders>
              <w:top w:val="single" w:sz="4" w:space="0" w:color="auto"/>
              <w:left w:val="single" w:sz="4" w:space="0" w:color="auto"/>
              <w:bottom w:val="single" w:sz="4" w:space="0" w:color="auto"/>
              <w:right w:val="single" w:sz="4" w:space="0" w:color="auto"/>
            </w:tcBorders>
          </w:tcPr>
          <w:p w14:paraId="20C8A8E6"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12,7</w:t>
            </w:r>
          </w:p>
        </w:tc>
        <w:tc>
          <w:tcPr>
            <w:tcW w:w="916" w:type="dxa"/>
            <w:tcBorders>
              <w:top w:val="single" w:sz="4" w:space="0" w:color="auto"/>
              <w:left w:val="single" w:sz="4" w:space="0" w:color="auto"/>
              <w:bottom w:val="single" w:sz="4" w:space="0" w:color="auto"/>
              <w:right w:val="single" w:sz="4" w:space="0" w:color="auto"/>
            </w:tcBorders>
          </w:tcPr>
          <w:p w14:paraId="4D04422A"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0,8</w:t>
            </w:r>
          </w:p>
        </w:tc>
      </w:tr>
      <w:tr w:rsidR="00E514B5" w:rsidRPr="000F2C65" w14:paraId="523F57B0" w14:textId="77777777" w:rsidTr="004511C2">
        <w:trPr>
          <w:trHeight w:val="285"/>
        </w:trPr>
        <w:tc>
          <w:tcPr>
            <w:tcW w:w="3539" w:type="dxa"/>
            <w:tcBorders>
              <w:top w:val="single" w:sz="4" w:space="0" w:color="auto"/>
              <w:left w:val="single" w:sz="4" w:space="0" w:color="auto"/>
              <w:bottom w:val="single" w:sz="4" w:space="0" w:color="auto"/>
              <w:right w:val="single" w:sz="4" w:space="0" w:color="auto"/>
            </w:tcBorders>
          </w:tcPr>
          <w:p w14:paraId="26551412"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Industria extractivă</w:t>
            </w:r>
          </w:p>
        </w:tc>
        <w:tc>
          <w:tcPr>
            <w:tcW w:w="992" w:type="dxa"/>
            <w:tcBorders>
              <w:top w:val="single" w:sz="4" w:space="0" w:color="auto"/>
              <w:left w:val="single" w:sz="4" w:space="0" w:color="auto"/>
              <w:bottom w:val="single" w:sz="4" w:space="0" w:color="auto"/>
              <w:right w:val="single" w:sz="4" w:space="0" w:color="auto"/>
            </w:tcBorders>
          </w:tcPr>
          <w:p w14:paraId="28EFC3B8"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3" w:type="dxa"/>
            <w:tcBorders>
              <w:top w:val="single" w:sz="4" w:space="0" w:color="auto"/>
              <w:left w:val="single" w:sz="4" w:space="0" w:color="auto"/>
              <w:bottom w:val="single" w:sz="4" w:space="0" w:color="auto"/>
              <w:right w:val="single" w:sz="4" w:space="0" w:color="auto"/>
            </w:tcBorders>
          </w:tcPr>
          <w:p w14:paraId="113420C5"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2" w:type="dxa"/>
            <w:tcBorders>
              <w:top w:val="single" w:sz="4" w:space="0" w:color="auto"/>
              <w:left w:val="single" w:sz="4" w:space="0" w:color="auto"/>
              <w:bottom w:val="single" w:sz="4" w:space="0" w:color="auto"/>
              <w:right w:val="single" w:sz="4" w:space="0" w:color="auto"/>
            </w:tcBorders>
          </w:tcPr>
          <w:p w14:paraId="17D9DE84"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2" w:type="dxa"/>
            <w:tcBorders>
              <w:top w:val="single" w:sz="4" w:space="0" w:color="auto"/>
              <w:left w:val="single" w:sz="4" w:space="0" w:color="auto"/>
              <w:bottom w:val="single" w:sz="4" w:space="0" w:color="auto"/>
              <w:right w:val="single" w:sz="4" w:space="0" w:color="auto"/>
            </w:tcBorders>
          </w:tcPr>
          <w:p w14:paraId="1C3A233B"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89" w:type="dxa"/>
            <w:tcBorders>
              <w:top w:val="single" w:sz="4" w:space="0" w:color="auto"/>
              <w:left w:val="single" w:sz="4" w:space="0" w:color="auto"/>
              <w:bottom w:val="single" w:sz="4" w:space="0" w:color="auto"/>
              <w:right w:val="single" w:sz="4" w:space="0" w:color="auto"/>
            </w:tcBorders>
          </w:tcPr>
          <w:p w14:paraId="7D664787"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5,6</w:t>
            </w:r>
          </w:p>
        </w:tc>
        <w:tc>
          <w:tcPr>
            <w:tcW w:w="916" w:type="dxa"/>
            <w:tcBorders>
              <w:top w:val="single" w:sz="4" w:space="0" w:color="auto"/>
              <w:left w:val="single" w:sz="4" w:space="0" w:color="auto"/>
              <w:bottom w:val="single" w:sz="4" w:space="0" w:color="auto"/>
              <w:right w:val="single" w:sz="4" w:space="0" w:color="auto"/>
            </w:tcBorders>
          </w:tcPr>
          <w:p w14:paraId="57D2EF9E"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0,4</w:t>
            </w:r>
          </w:p>
        </w:tc>
      </w:tr>
      <w:tr w:rsidR="00E514B5" w:rsidRPr="000F2C65" w14:paraId="240C5ED5" w14:textId="77777777" w:rsidTr="004511C2">
        <w:trPr>
          <w:trHeight w:val="285"/>
        </w:trPr>
        <w:tc>
          <w:tcPr>
            <w:tcW w:w="3539" w:type="dxa"/>
            <w:tcBorders>
              <w:top w:val="single" w:sz="4" w:space="0" w:color="auto"/>
              <w:left w:val="single" w:sz="4" w:space="0" w:color="auto"/>
              <w:bottom w:val="single" w:sz="4" w:space="0" w:color="auto"/>
              <w:right w:val="single" w:sz="4" w:space="0" w:color="auto"/>
            </w:tcBorders>
          </w:tcPr>
          <w:p w14:paraId="6313EC3A"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Arta, activități de recreere și agrement</w:t>
            </w:r>
          </w:p>
        </w:tc>
        <w:tc>
          <w:tcPr>
            <w:tcW w:w="992" w:type="dxa"/>
            <w:tcBorders>
              <w:top w:val="single" w:sz="4" w:space="0" w:color="auto"/>
              <w:left w:val="single" w:sz="4" w:space="0" w:color="auto"/>
              <w:bottom w:val="single" w:sz="4" w:space="0" w:color="auto"/>
              <w:right w:val="single" w:sz="4" w:space="0" w:color="auto"/>
            </w:tcBorders>
          </w:tcPr>
          <w:p w14:paraId="0E5A5F7D"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3" w:type="dxa"/>
            <w:tcBorders>
              <w:top w:val="single" w:sz="4" w:space="0" w:color="auto"/>
              <w:left w:val="single" w:sz="4" w:space="0" w:color="auto"/>
              <w:bottom w:val="single" w:sz="4" w:space="0" w:color="auto"/>
              <w:right w:val="single" w:sz="4" w:space="0" w:color="auto"/>
            </w:tcBorders>
          </w:tcPr>
          <w:p w14:paraId="3C0DFFE6"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2" w:type="dxa"/>
            <w:tcBorders>
              <w:top w:val="single" w:sz="4" w:space="0" w:color="auto"/>
              <w:left w:val="single" w:sz="4" w:space="0" w:color="auto"/>
              <w:bottom w:val="single" w:sz="4" w:space="0" w:color="auto"/>
              <w:right w:val="single" w:sz="4" w:space="0" w:color="auto"/>
            </w:tcBorders>
          </w:tcPr>
          <w:p w14:paraId="001EEAF5"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2" w:type="dxa"/>
            <w:tcBorders>
              <w:top w:val="single" w:sz="4" w:space="0" w:color="auto"/>
              <w:left w:val="single" w:sz="4" w:space="0" w:color="auto"/>
              <w:bottom w:val="single" w:sz="4" w:space="0" w:color="auto"/>
              <w:right w:val="single" w:sz="4" w:space="0" w:color="auto"/>
            </w:tcBorders>
          </w:tcPr>
          <w:p w14:paraId="3D2868A9"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89" w:type="dxa"/>
            <w:tcBorders>
              <w:top w:val="single" w:sz="4" w:space="0" w:color="auto"/>
              <w:left w:val="single" w:sz="4" w:space="0" w:color="auto"/>
              <w:bottom w:val="single" w:sz="4" w:space="0" w:color="auto"/>
              <w:right w:val="single" w:sz="4" w:space="0" w:color="auto"/>
            </w:tcBorders>
          </w:tcPr>
          <w:p w14:paraId="5243E2F4"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2,1</w:t>
            </w:r>
          </w:p>
        </w:tc>
        <w:tc>
          <w:tcPr>
            <w:tcW w:w="916" w:type="dxa"/>
            <w:tcBorders>
              <w:top w:val="single" w:sz="4" w:space="0" w:color="auto"/>
              <w:left w:val="single" w:sz="4" w:space="0" w:color="auto"/>
              <w:bottom w:val="single" w:sz="4" w:space="0" w:color="auto"/>
              <w:right w:val="single" w:sz="4" w:space="0" w:color="auto"/>
            </w:tcBorders>
          </w:tcPr>
          <w:p w14:paraId="11667E6A"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0,1</w:t>
            </w:r>
          </w:p>
        </w:tc>
      </w:tr>
      <w:tr w:rsidR="00E514B5" w:rsidRPr="000F2C65" w14:paraId="23D35A3A" w14:textId="77777777" w:rsidTr="004511C2">
        <w:trPr>
          <w:trHeight w:val="285"/>
        </w:trPr>
        <w:tc>
          <w:tcPr>
            <w:tcW w:w="3539" w:type="dxa"/>
            <w:tcBorders>
              <w:top w:val="single" w:sz="4" w:space="0" w:color="auto"/>
              <w:left w:val="single" w:sz="4" w:space="0" w:color="auto"/>
              <w:bottom w:val="single" w:sz="4" w:space="0" w:color="auto"/>
              <w:right w:val="single" w:sz="4" w:space="0" w:color="auto"/>
            </w:tcBorders>
          </w:tcPr>
          <w:p w14:paraId="099EDF4F" w14:textId="77777777" w:rsidR="00E514B5" w:rsidRPr="000F2C65" w:rsidRDefault="00E514B5" w:rsidP="004511C2">
            <w:pPr>
              <w:jc w:val="both"/>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Activități de cazare și alimentație publică</w:t>
            </w:r>
          </w:p>
        </w:tc>
        <w:tc>
          <w:tcPr>
            <w:tcW w:w="992" w:type="dxa"/>
            <w:tcBorders>
              <w:top w:val="single" w:sz="4" w:space="0" w:color="auto"/>
              <w:left w:val="single" w:sz="4" w:space="0" w:color="auto"/>
              <w:bottom w:val="single" w:sz="4" w:space="0" w:color="auto"/>
              <w:right w:val="single" w:sz="4" w:space="0" w:color="auto"/>
            </w:tcBorders>
          </w:tcPr>
          <w:p w14:paraId="2EE98994"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3" w:type="dxa"/>
            <w:tcBorders>
              <w:top w:val="single" w:sz="4" w:space="0" w:color="auto"/>
              <w:left w:val="single" w:sz="4" w:space="0" w:color="auto"/>
              <w:bottom w:val="single" w:sz="4" w:space="0" w:color="auto"/>
              <w:right w:val="single" w:sz="4" w:space="0" w:color="auto"/>
            </w:tcBorders>
          </w:tcPr>
          <w:p w14:paraId="504FCF3A"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w:t>
            </w:r>
          </w:p>
        </w:tc>
        <w:tc>
          <w:tcPr>
            <w:tcW w:w="992" w:type="dxa"/>
            <w:tcBorders>
              <w:top w:val="single" w:sz="4" w:space="0" w:color="auto"/>
              <w:left w:val="single" w:sz="4" w:space="0" w:color="auto"/>
              <w:bottom w:val="single" w:sz="4" w:space="0" w:color="auto"/>
              <w:right w:val="single" w:sz="4" w:space="0" w:color="auto"/>
            </w:tcBorders>
          </w:tcPr>
          <w:p w14:paraId="20CDC375"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1,1</w:t>
            </w:r>
          </w:p>
        </w:tc>
        <w:tc>
          <w:tcPr>
            <w:tcW w:w="992" w:type="dxa"/>
            <w:tcBorders>
              <w:top w:val="single" w:sz="4" w:space="0" w:color="auto"/>
              <w:left w:val="single" w:sz="4" w:space="0" w:color="auto"/>
              <w:bottom w:val="single" w:sz="4" w:space="0" w:color="auto"/>
              <w:right w:val="single" w:sz="4" w:space="0" w:color="auto"/>
            </w:tcBorders>
          </w:tcPr>
          <w:p w14:paraId="10D01BC0"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0,1</w:t>
            </w:r>
          </w:p>
        </w:tc>
        <w:tc>
          <w:tcPr>
            <w:tcW w:w="989" w:type="dxa"/>
            <w:tcBorders>
              <w:top w:val="single" w:sz="4" w:space="0" w:color="auto"/>
              <w:left w:val="single" w:sz="4" w:space="0" w:color="auto"/>
              <w:bottom w:val="single" w:sz="4" w:space="0" w:color="auto"/>
              <w:right w:val="single" w:sz="4" w:space="0" w:color="auto"/>
            </w:tcBorders>
          </w:tcPr>
          <w:p w14:paraId="1AC549BA"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1,3</w:t>
            </w:r>
          </w:p>
        </w:tc>
        <w:tc>
          <w:tcPr>
            <w:tcW w:w="916" w:type="dxa"/>
            <w:tcBorders>
              <w:top w:val="single" w:sz="4" w:space="0" w:color="auto"/>
              <w:left w:val="single" w:sz="4" w:space="0" w:color="auto"/>
              <w:bottom w:val="single" w:sz="4" w:space="0" w:color="auto"/>
              <w:right w:val="single" w:sz="4" w:space="0" w:color="auto"/>
            </w:tcBorders>
          </w:tcPr>
          <w:p w14:paraId="1DAA2828" w14:textId="77777777" w:rsidR="00E514B5" w:rsidRPr="000F2C65" w:rsidRDefault="00E514B5" w:rsidP="004511C2">
            <w:pPr>
              <w:jc w:val="center"/>
              <w:rPr>
                <w:rFonts w:ascii="Calibri Light" w:eastAsia="Times New Roman" w:hAnsi="Calibri Light" w:cs="Calibri Light"/>
                <w:sz w:val="18"/>
                <w:szCs w:val="18"/>
                <w:lang w:val="ro-RO" w:eastAsia="ro-RO"/>
              </w:rPr>
            </w:pPr>
            <w:r w:rsidRPr="000F2C65">
              <w:rPr>
                <w:rFonts w:ascii="Calibri Light" w:eastAsia="Times New Roman" w:hAnsi="Calibri Light" w:cs="Calibri Light"/>
                <w:sz w:val="18"/>
                <w:szCs w:val="18"/>
                <w:lang w:val="ro-RO" w:eastAsia="ro-RO"/>
              </w:rPr>
              <w:t>0,1</w:t>
            </w:r>
          </w:p>
        </w:tc>
      </w:tr>
      <w:tr w:rsidR="00E514B5" w:rsidRPr="000F2C65" w14:paraId="28F2BA30" w14:textId="77777777" w:rsidTr="004511C2">
        <w:trPr>
          <w:trHeight w:val="156"/>
        </w:trPr>
        <w:tc>
          <w:tcPr>
            <w:tcW w:w="3539" w:type="dxa"/>
            <w:tcBorders>
              <w:top w:val="single" w:sz="4" w:space="0" w:color="auto"/>
              <w:left w:val="single" w:sz="4" w:space="0" w:color="auto"/>
              <w:bottom w:val="single" w:sz="4" w:space="0" w:color="auto"/>
              <w:right w:val="single" w:sz="4" w:space="0" w:color="auto"/>
            </w:tcBorders>
            <w:hideMark/>
          </w:tcPr>
          <w:p w14:paraId="7E3938C9" w14:textId="77777777" w:rsidR="00E514B5" w:rsidRPr="000F2C65" w:rsidRDefault="00E514B5" w:rsidP="004511C2">
            <w:pPr>
              <w:jc w:val="both"/>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TOTAL</w:t>
            </w:r>
          </w:p>
        </w:tc>
        <w:tc>
          <w:tcPr>
            <w:tcW w:w="992" w:type="dxa"/>
            <w:tcBorders>
              <w:top w:val="single" w:sz="4" w:space="0" w:color="auto"/>
              <w:left w:val="single" w:sz="4" w:space="0" w:color="auto"/>
              <w:bottom w:val="single" w:sz="4" w:space="0" w:color="auto"/>
              <w:right w:val="single" w:sz="4" w:space="0" w:color="auto"/>
            </w:tcBorders>
          </w:tcPr>
          <w:p w14:paraId="74446F6D"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866,6</w:t>
            </w:r>
          </w:p>
        </w:tc>
        <w:tc>
          <w:tcPr>
            <w:tcW w:w="993" w:type="dxa"/>
            <w:tcBorders>
              <w:top w:val="single" w:sz="4" w:space="0" w:color="auto"/>
              <w:left w:val="single" w:sz="4" w:space="0" w:color="auto"/>
              <w:bottom w:val="single" w:sz="4" w:space="0" w:color="auto"/>
              <w:right w:val="single" w:sz="4" w:space="0" w:color="auto"/>
            </w:tcBorders>
          </w:tcPr>
          <w:p w14:paraId="0073A4E8"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100,0</w:t>
            </w:r>
          </w:p>
        </w:tc>
        <w:tc>
          <w:tcPr>
            <w:tcW w:w="992" w:type="dxa"/>
            <w:tcBorders>
              <w:top w:val="single" w:sz="4" w:space="0" w:color="auto"/>
              <w:left w:val="single" w:sz="4" w:space="0" w:color="auto"/>
              <w:bottom w:val="single" w:sz="4" w:space="0" w:color="auto"/>
              <w:right w:val="single" w:sz="4" w:space="0" w:color="auto"/>
            </w:tcBorders>
          </w:tcPr>
          <w:p w14:paraId="6F8A18F1"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904,7</w:t>
            </w:r>
          </w:p>
        </w:tc>
        <w:tc>
          <w:tcPr>
            <w:tcW w:w="992" w:type="dxa"/>
            <w:tcBorders>
              <w:top w:val="single" w:sz="4" w:space="0" w:color="auto"/>
              <w:left w:val="single" w:sz="4" w:space="0" w:color="auto"/>
              <w:bottom w:val="single" w:sz="4" w:space="0" w:color="auto"/>
              <w:right w:val="single" w:sz="4" w:space="0" w:color="auto"/>
            </w:tcBorders>
          </w:tcPr>
          <w:p w14:paraId="1FEBCC64"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100,0</w:t>
            </w:r>
          </w:p>
        </w:tc>
        <w:tc>
          <w:tcPr>
            <w:tcW w:w="989" w:type="dxa"/>
            <w:tcBorders>
              <w:top w:val="single" w:sz="4" w:space="0" w:color="auto"/>
              <w:left w:val="single" w:sz="4" w:space="0" w:color="auto"/>
              <w:bottom w:val="single" w:sz="4" w:space="0" w:color="auto"/>
              <w:right w:val="single" w:sz="4" w:space="0" w:color="auto"/>
            </w:tcBorders>
          </w:tcPr>
          <w:p w14:paraId="340CDA7E"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1 522,0</w:t>
            </w:r>
          </w:p>
        </w:tc>
        <w:tc>
          <w:tcPr>
            <w:tcW w:w="916" w:type="dxa"/>
            <w:tcBorders>
              <w:top w:val="single" w:sz="4" w:space="0" w:color="auto"/>
              <w:left w:val="single" w:sz="4" w:space="0" w:color="auto"/>
              <w:bottom w:val="single" w:sz="4" w:space="0" w:color="auto"/>
              <w:right w:val="single" w:sz="4" w:space="0" w:color="auto"/>
            </w:tcBorders>
          </w:tcPr>
          <w:p w14:paraId="6C26D628" w14:textId="77777777" w:rsidR="00E514B5" w:rsidRPr="000F2C65" w:rsidRDefault="00E514B5" w:rsidP="004511C2">
            <w:pPr>
              <w:jc w:val="center"/>
              <w:rPr>
                <w:rFonts w:ascii="Calibri Light" w:eastAsia="Times New Roman" w:hAnsi="Calibri Light" w:cs="Calibri Light"/>
                <w:b/>
                <w:sz w:val="18"/>
                <w:szCs w:val="18"/>
                <w:lang w:val="ro-RO" w:eastAsia="ro-RO"/>
              </w:rPr>
            </w:pPr>
            <w:r w:rsidRPr="000F2C65">
              <w:rPr>
                <w:rFonts w:ascii="Calibri Light" w:eastAsia="Times New Roman" w:hAnsi="Calibri Light" w:cs="Calibri Light"/>
                <w:b/>
                <w:sz w:val="18"/>
                <w:szCs w:val="18"/>
                <w:lang w:val="ro-RO" w:eastAsia="ro-RO"/>
              </w:rPr>
              <w:t>100,0</w:t>
            </w:r>
          </w:p>
        </w:tc>
      </w:tr>
    </w:tbl>
    <w:p w14:paraId="02DD8E72" w14:textId="77777777" w:rsidR="00E514B5" w:rsidRDefault="00E514B5" w:rsidP="00E514B5">
      <w:pPr>
        <w:spacing w:after="240"/>
        <w:jc w:val="both"/>
        <w:rPr>
          <w:rFonts w:ascii="Calibri Light" w:eastAsia="Calibri" w:hAnsi="Calibri Light" w:cs="Calibri Light"/>
          <w:sz w:val="16"/>
          <w:szCs w:val="16"/>
          <w:lang w:val="ro-MD"/>
        </w:rPr>
      </w:pPr>
      <w:r w:rsidRPr="000F2C65">
        <w:rPr>
          <w:rFonts w:ascii="Calibri Light" w:eastAsia="Calibri" w:hAnsi="Calibri Light" w:cs="Calibri Light"/>
          <w:b/>
          <w:i/>
          <w:sz w:val="16"/>
          <w:szCs w:val="16"/>
          <w:lang w:val="ro-MD"/>
        </w:rPr>
        <w:t>Sursa:</w:t>
      </w:r>
      <w:r w:rsidRPr="000F2C65">
        <w:rPr>
          <w:rFonts w:ascii="Calibri Light" w:eastAsia="Calibri" w:hAnsi="Calibri Light" w:cs="Calibri Light"/>
          <w:i/>
          <w:sz w:val="16"/>
          <w:szCs w:val="16"/>
          <w:lang w:val="ro-MD"/>
        </w:rPr>
        <w:t xml:space="preserve"> </w:t>
      </w:r>
      <w:r w:rsidRPr="00980A0C">
        <w:rPr>
          <w:rFonts w:ascii="Calibri Light" w:eastAsia="Calibri" w:hAnsi="Calibri Light" w:cs="Calibri Light"/>
          <w:i/>
          <w:sz w:val="16"/>
          <w:szCs w:val="16"/>
          <w:lang w:val="ro-MD"/>
        </w:rPr>
        <w:t>Rapoartele privind situația în domeniul datoriei sectorului public, garanțiilor de stat și recreditării de stat pe ani 2018, 2019 și 2020.</w:t>
      </w:r>
    </w:p>
    <w:p w14:paraId="4E82EC10" w14:textId="77777777" w:rsidR="00AE0968" w:rsidRDefault="00AE0968" w:rsidP="007965DC">
      <w:pPr>
        <w:tabs>
          <w:tab w:val="left" w:pos="284"/>
        </w:tabs>
        <w:spacing w:line="276" w:lineRule="auto"/>
        <w:jc w:val="both"/>
        <w:rPr>
          <w:rFonts w:ascii="Calibri Light" w:eastAsia="Calibri" w:hAnsi="Calibri Light" w:cs="Calibri Light"/>
          <w:b/>
          <w:i/>
          <w:sz w:val="20"/>
          <w:szCs w:val="20"/>
          <w:lang w:val="ro-RO"/>
        </w:rPr>
        <w:sectPr w:rsidR="00AE0968" w:rsidSect="00C522C5">
          <w:pgSz w:w="11906" w:h="16838" w:code="9"/>
          <w:pgMar w:top="1138" w:right="850" w:bottom="1138" w:left="1701" w:header="720" w:footer="720" w:gutter="0"/>
          <w:cols w:space="720"/>
          <w:docGrid w:linePitch="360"/>
        </w:sectPr>
      </w:pPr>
    </w:p>
    <w:p w14:paraId="4568C4F0" w14:textId="55647E32" w:rsidR="00AE0968" w:rsidRPr="00AE0968" w:rsidRDefault="00AE0968" w:rsidP="00AE0968">
      <w:pPr>
        <w:tabs>
          <w:tab w:val="left" w:pos="284"/>
        </w:tabs>
        <w:spacing w:line="276" w:lineRule="auto"/>
        <w:jc w:val="right"/>
        <w:rPr>
          <w:rFonts w:eastAsia="Calibri" w:cstheme="majorHAnsi"/>
          <w:b/>
          <w:i/>
          <w:color w:val="2E74B5" w:themeColor="accent1" w:themeShade="BF"/>
          <w:sz w:val="22"/>
          <w:lang w:val="ro-RO"/>
        </w:rPr>
      </w:pPr>
      <w:r w:rsidRPr="00AE0968">
        <w:rPr>
          <w:rFonts w:eastAsia="Calibri" w:cstheme="majorHAnsi"/>
          <w:b/>
          <w:i/>
          <w:color w:val="2E74B5" w:themeColor="accent1" w:themeShade="BF"/>
          <w:sz w:val="22"/>
          <w:lang w:val="ro-RO"/>
        </w:rPr>
        <w:t>Anexa nr.5</w:t>
      </w:r>
    </w:p>
    <w:p w14:paraId="5A112337" w14:textId="78D5A8D2" w:rsidR="00AE0968" w:rsidRPr="00AE0968" w:rsidRDefault="00AE0968" w:rsidP="00AE0968">
      <w:pPr>
        <w:jc w:val="center"/>
        <w:rPr>
          <w:rFonts w:cstheme="majorHAnsi"/>
          <w:b/>
          <w:sz w:val="22"/>
          <w:lang w:val="ro-MD"/>
        </w:rPr>
      </w:pPr>
      <w:r w:rsidRPr="00AE0968">
        <w:rPr>
          <w:rFonts w:cstheme="majorHAnsi"/>
          <w:b/>
          <w:sz w:val="22"/>
          <w:lang w:val="ro-MD"/>
        </w:rPr>
        <w:t>Implementarea cerințelor și</w:t>
      </w:r>
      <w:r w:rsidR="00956661">
        <w:rPr>
          <w:rFonts w:cstheme="majorHAnsi"/>
          <w:b/>
          <w:sz w:val="22"/>
          <w:lang w:val="ro-MD"/>
        </w:rPr>
        <w:t xml:space="preserve"> recomandărilor expuse în Hotărâ</w:t>
      </w:r>
      <w:r w:rsidRPr="00AE0968">
        <w:rPr>
          <w:rFonts w:cstheme="majorHAnsi"/>
          <w:b/>
          <w:sz w:val="22"/>
          <w:lang w:val="ro-MD"/>
        </w:rPr>
        <w:t xml:space="preserve">rea Curții de Conturi nr.39 din 28 iulie 2020 </w:t>
      </w:r>
      <w:r w:rsidR="00956661">
        <w:rPr>
          <w:rFonts w:cstheme="majorHAnsi"/>
          <w:b/>
          <w:sz w:val="22"/>
          <w:lang w:val="ro-MD"/>
        </w:rPr>
        <w:t>„P</w:t>
      </w:r>
      <w:r w:rsidRPr="00AE0968">
        <w:rPr>
          <w:rFonts w:cstheme="majorHAnsi"/>
          <w:b/>
          <w:sz w:val="22"/>
          <w:lang w:val="ro-MD"/>
        </w:rPr>
        <w:t>rivind aprobarea Raportului auditului performanței asupra managementului datoriei de stat, garanțiilor de stat și recreditării de stat în anul 2019</w:t>
      </w:r>
      <w:r w:rsidR="00956661">
        <w:rPr>
          <w:rFonts w:cstheme="majorHAnsi"/>
          <w:b/>
          <w:sz w:val="22"/>
          <w:lang w:val="ro-MD"/>
        </w:rPr>
        <w:t>”</w:t>
      </w:r>
    </w:p>
    <w:tbl>
      <w:tblPr>
        <w:tblStyle w:val="TableGrid13"/>
        <w:tblW w:w="0" w:type="auto"/>
        <w:tblLook w:val="04A0" w:firstRow="1" w:lastRow="0" w:firstColumn="1" w:lastColumn="0" w:noHBand="0" w:noVBand="1"/>
      </w:tblPr>
      <w:tblGrid>
        <w:gridCol w:w="2070"/>
        <w:gridCol w:w="5858"/>
        <w:gridCol w:w="2517"/>
        <w:gridCol w:w="920"/>
        <w:gridCol w:w="920"/>
        <w:gridCol w:w="943"/>
      </w:tblGrid>
      <w:tr w:rsidR="00AE0968" w:rsidRPr="00AE0968" w14:paraId="71F50519" w14:textId="77777777" w:rsidTr="00BD0E31">
        <w:tc>
          <w:tcPr>
            <w:tcW w:w="2338" w:type="dxa"/>
            <w:vMerge w:val="restart"/>
          </w:tcPr>
          <w:p w14:paraId="5E80EB71"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Recomandarea</w:t>
            </w:r>
          </w:p>
        </w:tc>
        <w:tc>
          <w:tcPr>
            <w:tcW w:w="6304" w:type="dxa"/>
            <w:vMerge w:val="restart"/>
          </w:tcPr>
          <w:p w14:paraId="12D52E90"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Măsurile întreprinse</w:t>
            </w:r>
          </w:p>
        </w:tc>
        <w:tc>
          <w:tcPr>
            <w:tcW w:w="2977" w:type="dxa"/>
            <w:vMerge w:val="restart"/>
          </w:tcPr>
          <w:p w14:paraId="1767FBFE"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Confirmarea documentară a implementării recomandării</w:t>
            </w:r>
          </w:p>
        </w:tc>
        <w:tc>
          <w:tcPr>
            <w:tcW w:w="2933" w:type="dxa"/>
            <w:gridSpan w:val="3"/>
          </w:tcPr>
          <w:p w14:paraId="0B3B0329"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Statutul implementării recomandării</w:t>
            </w:r>
          </w:p>
        </w:tc>
      </w:tr>
      <w:tr w:rsidR="00B176C3" w:rsidRPr="00AE0968" w14:paraId="75990154" w14:textId="77777777" w:rsidTr="00BD0E31">
        <w:tc>
          <w:tcPr>
            <w:tcW w:w="2338" w:type="dxa"/>
            <w:vMerge/>
          </w:tcPr>
          <w:p w14:paraId="5FD17BAD" w14:textId="77777777" w:rsidR="00AE0968" w:rsidRPr="00AE0968" w:rsidRDefault="00AE0968" w:rsidP="00AE0968">
            <w:pPr>
              <w:jc w:val="both"/>
              <w:rPr>
                <w:rFonts w:cstheme="majorHAnsi"/>
                <w:b/>
                <w:sz w:val="18"/>
                <w:szCs w:val="18"/>
                <w:lang w:val="ro-MD"/>
              </w:rPr>
            </w:pPr>
          </w:p>
        </w:tc>
        <w:tc>
          <w:tcPr>
            <w:tcW w:w="6304" w:type="dxa"/>
            <w:vMerge/>
          </w:tcPr>
          <w:p w14:paraId="028295C3" w14:textId="77777777" w:rsidR="00AE0968" w:rsidRPr="00AE0968" w:rsidRDefault="00AE0968" w:rsidP="00AE0968">
            <w:pPr>
              <w:jc w:val="both"/>
              <w:rPr>
                <w:rFonts w:cstheme="majorHAnsi"/>
                <w:b/>
                <w:sz w:val="18"/>
                <w:szCs w:val="18"/>
                <w:lang w:val="ro-MD"/>
              </w:rPr>
            </w:pPr>
          </w:p>
        </w:tc>
        <w:tc>
          <w:tcPr>
            <w:tcW w:w="2977" w:type="dxa"/>
            <w:vMerge/>
          </w:tcPr>
          <w:p w14:paraId="66B7FB41" w14:textId="77777777" w:rsidR="00AE0968" w:rsidRPr="00AE0968" w:rsidRDefault="00AE0968" w:rsidP="00AE0968">
            <w:pPr>
              <w:jc w:val="center"/>
              <w:rPr>
                <w:rFonts w:cstheme="majorHAnsi"/>
                <w:b/>
                <w:sz w:val="18"/>
                <w:szCs w:val="18"/>
                <w:lang w:val="ro-MD"/>
              </w:rPr>
            </w:pPr>
          </w:p>
        </w:tc>
        <w:tc>
          <w:tcPr>
            <w:tcW w:w="992" w:type="dxa"/>
          </w:tcPr>
          <w:p w14:paraId="3B2EED45"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realizat</w:t>
            </w:r>
          </w:p>
        </w:tc>
        <w:tc>
          <w:tcPr>
            <w:tcW w:w="992" w:type="dxa"/>
          </w:tcPr>
          <w:p w14:paraId="125135D4"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parțial realizat</w:t>
            </w:r>
          </w:p>
        </w:tc>
        <w:tc>
          <w:tcPr>
            <w:tcW w:w="949" w:type="dxa"/>
          </w:tcPr>
          <w:p w14:paraId="508ABD9D"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nerealizat</w:t>
            </w:r>
          </w:p>
        </w:tc>
      </w:tr>
      <w:tr w:rsidR="00AE0968" w:rsidRPr="00AE0968" w14:paraId="4A0C8637" w14:textId="77777777" w:rsidTr="00AE0968">
        <w:tc>
          <w:tcPr>
            <w:tcW w:w="14552" w:type="dxa"/>
            <w:gridSpan w:val="6"/>
          </w:tcPr>
          <w:p w14:paraId="09D4F6CB" w14:textId="77777777" w:rsidR="00AE0968" w:rsidRPr="00AE0968" w:rsidRDefault="00AE0968" w:rsidP="00AE0968">
            <w:pPr>
              <w:jc w:val="both"/>
              <w:rPr>
                <w:rFonts w:cstheme="majorHAnsi"/>
                <w:b/>
                <w:sz w:val="18"/>
                <w:szCs w:val="18"/>
                <w:lang w:val="ro-MD"/>
              </w:rPr>
            </w:pPr>
            <w:r w:rsidRPr="00AE0968">
              <w:rPr>
                <w:rFonts w:cstheme="majorHAnsi"/>
                <w:b/>
                <w:sz w:val="18"/>
                <w:szCs w:val="18"/>
                <w:lang w:val="ro-MD"/>
              </w:rPr>
              <w:t>2.1. Ministerul Finanțelor</w:t>
            </w:r>
          </w:p>
        </w:tc>
      </w:tr>
      <w:tr w:rsidR="00AE0968" w:rsidRPr="00AE0968" w14:paraId="6D9E9681" w14:textId="77777777" w:rsidTr="00AE0968">
        <w:tc>
          <w:tcPr>
            <w:tcW w:w="14552" w:type="dxa"/>
            <w:gridSpan w:val="6"/>
          </w:tcPr>
          <w:p w14:paraId="5D85B5DC" w14:textId="2DFD7762" w:rsidR="00AE0968" w:rsidRPr="00AE0968" w:rsidRDefault="00AE0968" w:rsidP="00AE0968">
            <w:pPr>
              <w:jc w:val="center"/>
              <w:rPr>
                <w:rFonts w:cstheme="majorHAnsi"/>
                <w:b/>
                <w:sz w:val="18"/>
                <w:szCs w:val="18"/>
                <w:lang w:val="ro-MD"/>
              </w:rPr>
            </w:pPr>
            <w:r w:rsidRPr="00AE0968">
              <w:rPr>
                <w:rFonts w:cstheme="majorHAnsi"/>
                <w:b/>
                <w:sz w:val="18"/>
                <w:szCs w:val="18"/>
                <w:lang w:val="ro-MD"/>
              </w:rPr>
              <w:t>Cerinț</w:t>
            </w:r>
            <w:r w:rsidR="00956661">
              <w:rPr>
                <w:rFonts w:cstheme="majorHAnsi"/>
                <w:b/>
                <w:sz w:val="18"/>
                <w:szCs w:val="18"/>
                <w:lang w:val="ro-MD"/>
              </w:rPr>
              <w:t>e din partea hotărâ</w:t>
            </w:r>
            <w:r w:rsidRPr="00AE0968">
              <w:rPr>
                <w:rFonts w:cstheme="majorHAnsi"/>
                <w:b/>
                <w:sz w:val="18"/>
                <w:szCs w:val="18"/>
                <w:lang w:val="ro-MD"/>
              </w:rPr>
              <w:t>toare</w:t>
            </w:r>
          </w:p>
        </w:tc>
      </w:tr>
      <w:tr w:rsidR="00B176C3" w:rsidRPr="00AE0968" w14:paraId="37C34C07" w14:textId="77777777" w:rsidTr="00BD0E31">
        <w:tc>
          <w:tcPr>
            <w:tcW w:w="2338" w:type="dxa"/>
          </w:tcPr>
          <w:p w14:paraId="7800CE0B" w14:textId="77777777" w:rsidR="00AE0968" w:rsidRPr="00AE0968" w:rsidRDefault="00AE0968" w:rsidP="00AE0968">
            <w:pPr>
              <w:numPr>
                <w:ilvl w:val="2"/>
                <w:numId w:val="16"/>
              </w:numPr>
              <w:ind w:left="0" w:firstLine="23"/>
              <w:jc w:val="both"/>
              <w:rPr>
                <w:rFonts w:cstheme="majorHAnsi"/>
                <w:sz w:val="18"/>
                <w:szCs w:val="18"/>
                <w:lang w:val="ro-RO" w:eastAsia="ru-RU"/>
              </w:rPr>
            </w:pPr>
            <w:r w:rsidRPr="00AE0968">
              <w:rPr>
                <w:rFonts w:cstheme="majorHAnsi"/>
                <w:sz w:val="18"/>
                <w:szCs w:val="18"/>
                <w:lang w:val="ro-RO" w:eastAsia="ru-RU"/>
              </w:rPr>
              <w:t>Pentru luare de atitudine și asigurarea implementării recomandărilor cuprinse în Raportul de audit</w:t>
            </w:r>
          </w:p>
        </w:tc>
        <w:tc>
          <w:tcPr>
            <w:tcW w:w="6304" w:type="dxa"/>
          </w:tcPr>
          <w:p w14:paraId="51ED6D83" w14:textId="49E20FED" w:rsidR="00AE0968" w:rsidRPr="00AE0968" w:rsidRDefault="00AE0968" w:rsidP="0098620C">
            <w:pPr>
              <w:jc w:val="both"/>
              <w:rPr>
                <w:rFonts w:cstheme="majorHAnsi"/>
                <w:sz w:val="18"/>
                <w:szCs w:val="18"/>
                <w:lang w:val="ro-MD"/>
              </w:rPr>
            </w:pPr>
            <w:r w:rsidRPr="00AE0968">
              <w:rPr>
                <w:rFonts w:cstheme="majorHAnsi"/>
                <w:sz w:val="18"/>
                <w:szCs w:val="18"/>
              </w:rPr>
              <w:t>În scopul asigurării executării depline și în termen a recomandărilor înaintate de căt</w:t>
            </w:r>
            <w:r w:rsidR="0098620C">
              <w:rPr>
                <w:rFonts w:cstheme="majorHAnsi"/>
                <w:sz w:val="18"/>
                <w:szCs w:val="18"/>
              </w:rPr>
              <w:t>re Curtea de Conturi prin Hotărâ</w:t>
            </w:r>
            <w:r w:rsidRPr="00AE0968">
              <w:rPr>
                <w:rFonts w:cstheme="majorHAnsi"/>
                <w:sz w:val="18"/>
                <w:szCs w:val="18"/>
              </w:rPr>
              <w:t xml:space="preserve">rea nr.39/2020 „Cu privire la Raportul auditului performanței managementului datoriei de stat, garanțiilor de stat și recreditării de stat pe anul 2019”, prin Ordinul </w:t>
            </w:r>
            <w:r w:rsidR="0098620C">
              <w:rPr>
                <w:rFonts w:cstheme="majorHAnsi"/>
                <w:sz w:val="18"/>
                <w:szCs w:val="18"/>
              </w:rPr>
              <w:t>m</w:t>
            </w:r>
            <w:r w:rsidRPr="00AE0968">
              <w:rPr>
                <w:rFonts w:cstheme="majorHAnsi"/>
                <w:sz w:val="18"/>
                <w:szCs w:val="18"/>
              </w:rPr>
              <w:t>inistrului Finanțelor nr.115 din 22.09.2020 a fost aprobat Planul de acțiuni privind implementarea r</w:t>
            </w:r>
            <w:r w:rsidR="0098620C">
              <w:rPr>
                <w:rFonts w:cstheme="majorHAnsi"/>
                <w:sz w:val="18"/>
                <w:szCs w:val="18"/>
              </w:rPr>
              <w:t>eco</w:t>
            </w:r>
            <w:r w:rsidRPr="00AE0968">
              <w:rPr>
                <w:rFonts w:cstheme="majorHAnsi"/>
                <w:sz w:val="18"/>
                <w:szCs w:val="18"/>
              </w:rPr>
              <w:t xml:space="preserve">mandărilor Curții de </w:t>
            </w:r>
            <w:r w:rsidR="0098620C">
              <w:rPr>
                <w:rFonts w:cstheme="majorHAnsi"/>
                <w:sz w:val="18"/>
                <w:szCs w:val="18"/>
              </w:rPr>
              <w:t>Conturi din hotărârea sus-menționată</w:t>
            </w:r>
          </w:p>
        </w:tc>
        <w:tc>
          <w:tcPr>
            <w:tcW w:w="2977" w:type="dxa"/>
          </w:tcPr>
          <w:p w14:paraId="1C8F1BA0" w14:textId="77777777" w:rsidR="00AE0968" w:rsidRPr="00AE0968" w:rsidRDefault="00AE0968" w:rsidP="00AE0968">
            <w:pPr>
              <w:numPr>
                <w:ilvl w:val="0"/>
                <w:numId w:val="19"/>
              </w:numPr>
              <w:tabs>
                <w:tab w:val="left" w:pos="288"/>
              </w:tabs>
              <w:ind w:left="0" w:firstLine="16"/>
              <w:contextualSpacing/>
              <w:jc w:val="both"/>
              <w:rPr>
                <w:rFonts w:cstheme="majorHAnsi"/>
                <w:sz w:val="18"/>
                <w:szCs w:val="18"/>
                <w:lang w:val="ro-MD"/>
              </w:rPr>
            </w:pPr>
            <w:r w:rsidRPr="00AE0968">
              <w:rPr>
                <w:rFonts w:cstheme="majorHAnsi"/>
                <w:sz w:val="18"/>
                <w:szCs w:val="18"/>
                <w:lang w:val="ro-MD"/>
              </w:rPr>
              <w:t>Scrisoarea MF nr.05-10/08 din 09.02.2021;</w:t>
            </w:r>
          </w:p>
          <w:p w14:paraId="39238538" w14:textId="195090DC" w:rsidR="00AE0968" w:rsidRPr="00AE0968" w:rsidRDefault="00AE0968" w:rsidP="00AE0968">
            <w:pPr>
              <w:numPr>
                <w:ilvl w:val="0"/>
                <w:numId w:val="19"/>
              </w:numPr>
              <w:tabs>
                <w:tab w:val="left" w:pos="288"/>
              </w:tabs>
              <w:ind w:left="0" w:firstLine="16"/>
              <w:contextualSpacing/>
              <w:jc w:val="both"/>
              <w:rPr>
                <w:rFonts w:cstheme="majorHAnsi"/>
                <w:sz w:val="18"/>
                <w:szCs w:val="18"/>
                <w:lang w:val="ro-MD"/>
              </w:rPr>
            </w:pPr>
            <w:r w:rsidRPr="00AE0968">
              <w:rPr>
                <w:rFonts w:cstheme="majorHAnsi"/>
                <w:sz w:val="18"/>
                <w:szCs w:val="18"/>
                <w:lang w:val="ro-MD"/>
              </w:rPr>
              <w:t>OMF nr.115 din 22.09.2020 „Cu privire la aprobarea Planului de acțiuni pentru implementarea Rec</w:t>
            </w:r>
            <w:r w:rsidR="0098620C">
              <w:rPr>
                <w:rFonts w:cstheme="majorHAnsi"/>
                <w:sz w:val="18"/>
                <w:szCs w:val="18"/>
                <w:lang w:val="ro-MD"/>
              </w:rPr>
              <w:t>omandărilor din HCC nr.39/2020”</w:t>
            </w:r>
          </w:p>
          <w:p w14:paraId="22BA82BF" w14:textId="77777777" w:rsidR="00AE0968" w:rsidRPr="00AE0968" w:rsidRDefault="00AE0968" w:rsidP="00AE0968">
            <w:pPr>
              <w:jc w:val="both"/>
              <w:rPr>
                <w:rFonts w:cstheme="majorHAnsi"/>
                <w:sz w:val="18"/>
                <w:szCs w:val="18"/>
                <w:lang w:val="ro-MD"/>
              </w:rPr>
            </w:pPr>
          </w:p>
        </w:tc>
        <w:tc>
          <w:tcPr>
            <w:tcW w:w="992" w:type="dxa"/>
          </w:tcPr>
          <w:p w14:paraId="6836A536" w14:textId="77777777" w:rsidR="00AE0968" w:rsidRPr="00AE0968" w:rsidRDefault="00AE0968" w:rsidP="00AE0968">
            <w:pPr>
              <w:jc w:val="both"/>
              <w:rPr>
                <w:rFonts w:cstheme="majorHAnsi"/>
                <w:b/>
                <w:sz w:val="18"/>
                <w:szCs w:val="18"/>
                <w:lang w:val="ro-MD"/>
              </w:rPr>
            </w:pPr>
          </w:p>
          <w:p w14:paraId="136D01EE" w14:textId="77777777" w:rsidR="00AE0968" w:rsidRPr="00AE0968" w:rsidRDefault="00AE0968" w:rsidP="00AE0968">
            <w:pPr>
              <w:jc w:val="both"/>
              <w:rPr>
                <w:rFonts w:cstheme="majorHAnsi"/>
                <w:b/>
                <w:sz w:val="18"/>
                <w:szCs w:val="18"/>
                <w:lang w:val="ro-MD"/>
              </w:rPr>
            </w:pPr>
          </w:p>
          <w:p w14:paraId="57EFBDDC" w14:textId="77777777" w:rsidR="00AE0968" w:rsidRPr="00AE0968" w:rsidRDefault="00AE0968" w:rsidP="00AE0968">
            <w:pPr>
              <w:jc w:val="both"/>
              <w:rPr>
                <w:rFonts w:cstheme="majorHAnsi"/>
                <w:b/>
                <w:sz w:val="18"/>
                <w:szCs w:val="18"/>
                <w:lang w:val="ro-MD"/>
              </w:rPr>
            </w:pPr>
          </w:p>
          <w:p w14:paraId="235375D1"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V</w:t>
            </w:r>
          </w:p>
        </w:tc>
        <w:tc>
          <w:tcPr>
            <w:tcW w:w="992" w:type="dxa"/>
          </w:tcPr>
          <w:p w14:paraId="53DBA50C" w14:textId="77777777" w:rsidR="00AE0968" w:rsidRPr="00AE0968" w:rsidRDefault="00AE0968" w:rsidP="00AE0968">
            <w:pPr>
              <w:jc w:val="both"/>
              <w:rPr>
                <w:rFonts w:cstheme="majorHAnsi"/>
                <w:b/>
                <w:sz w:val="18"/>
                <w:szCs w:val="18"/>
                <w:lang w:val="ro-MD"/>
              </w:rPr>
            </w:pPr>
          </w:p>
        </w:tc>
        <w:tc>
          <w:tcPr>
            <w:tcW w:w="949" w:type="dxa"/>
          </w:tcPr>
          <w:p w14:paraId="2C579A32" w14:textId="77777777" w:rsidR="00AE0968" w:rsidRPr="00AE0968" w:rsidRDefault="00AE0968" w:rsidP="00AE0968">
            <w:pPr>
              <w:jc w:val="both"/>
              <w:rPr>
                <w:rFonts w:cstheme="majorHAnsi"/>
                <w:b/>
                <w:sz w:val="18"/>
                <w:szCs w:val="18"/>
                <w:lang w:val="ro-MD"/>
              </w:rPr>
            </w:pPr>
          </w:p>
        </w:tc>
      </w:tr>
      <w:tr w:rsidR="00B176C3" w:rsidRPr="00AE0968" w14:paraId="38ABABFE" w14:textId="77777777" w:rsidTr="00BD0E31">
        <w:tc>
          <w:tcPr>
            <w:tcW w:w="2338" w:type="dxa"/>
          </w:tcPr>
          <w:p w14:paraId="5A48768B" w14:textId="77777777" w:rsidR="00AE0968" w:rsidRPr="00AE0968" w:rsidRDefault="00AE0968" w:rsidP="00AE0968">
            <w:pPr>
              <w:numPr>
                <w:ilvl w:val="2"/>
                <w:numId w:val="16"/>
              </w:numPr>
              <w:ind w:left="0" w:firstLine="23"/>
              <w:jc w:val="both"/>
              <w:rPr>
                <w:rFonts w:cstheme="majorHAnsi"/>
                <w:sz w:val="18"/>
                <w:szCs w:val="18"/>
                <w:lang w:val="ro-RO" w:eastAsia="ru-RU"/>
              </w:rPr>
            </w:pPr>
            <w:r w:rsidRPr="00AE0968">
              <w:rPr>
                <w:rFonts w:cstheme="majorHAnsi"/>
                <w:i/>
                <w:sz w:val="18"/>
                <w:szCs w:val="18"/>
                <w:u w:val="single"/>
                <w:lang w:val="ro-MD"/>
              </w:rPr>
              <w:t>În comun cu Serviciul Fiscal de Stat</w:t>
            </w:r>
            <w:r w:rsidRPr="00AE0968">
              <w:rPr>
                <w:rFonts w:cstheme="majorHAnsi"/>
                <w:sz w:val="18"/>
                <w:szCs w:val="18"/>
                <w:lang w:val="ro-MD"/>
              </w:rPr>
              <w:t>, pentru continuarea și consolidarea măsurilor în vederea recuperării la bugetul de stat a datoriilor la împrumuturile acordate beneficiarilor recreditați și beneficiarilor garanțiilor de stat, inclusiv cu termenul de achitare expirat.</w:t>
            </w:r>
          </w:p>
        </w:tc>
        <w:tc>
          <w:tcPr>
            <w:tcW w:w="6304" w:type="dxa"/>
          </w:tcPr>
          <w:p w14:paraId="28F88FB5" w14:textId="4E2DEFA5" w:rsidR="00AE0968" w:rsidRPr="00AE0968" w:rsidRDefault="00AE0968" w:rsidP="00AE0968">
            <w:pPr>
              <w:jc w:val="both"/>
              <w:rPr>
                <w:rFonts w:cstheme="majorHAnsi"/>
                <w:sz w:val="18"/>
                <w:szCs w:val="18"/>
              </w:rPr>
            </w:pPr>
            <w:r w:rsidRPr="00AE0968">
              <w:rPr>
                <w:rFonts w:cstheme="majorHAnsi"/>
                <w:sz w:val="18"/>
                <w:szCs w:val="18"/>
              </w:rPr>
              <w:t xml:space="preserve">În vederea recuperării la bugetul de stat a datoriilor la împrumuturile acordate beneficiarilor recreditați și beneficiarilor garanțiilor de stat, inclusiv cu termenul de achitare expirat, Ministerul Finanțelor transmite </w:t>
            </w:r>
            <w:r w:rsidR="0098620C" w:rsidRPr="00AE0968">
              <w:rPr>
                <w:rFonts w:cstheme="majorHAnsi"/>
                <w:sz w:val="18"/>
                <w:szCs w:val="18"/>
              </w:rPr>
              <w:t xml:space="preserve">trimestrial </w:t>
            </w:r>
            <w:r w:rsidRPr="00AE0968">
              <w:rPr>
                <w:rFonts w:cstheme="majorHAnsi"/>
                <w:sz w:val="18"/>
                <w:szCs w:val="18"/>
              </w:rPr>
              <w:t>Serviciului Fiscal de Stat informați</w:t>
            </w:r>
            <w:r w:rsidR="0098620C">
              <w:rPr>
                <w:rFonts w:cstheme="majorHAnsi"/>
                <w:sz w:val="18"/>
                <w:szCs w:val="18"/>
              </w:rPr>
              <w:t>ile</w:t>
            </w:r>
            <w:r w:rsidRPr="00AE0968">
              <w:rPr>
                <w:rFonts w:cstheme="majorHAnsi"/>
                <w:sz w:val="18"/>
                <w:szCs w:val="18"/>
              </w:rPr>
              <w:t xml:space="preserve"> privind datoriile cu termen de achitare expirat ale beneficiarilor de împrumuturi recreditate prin intermediul Ministerului Finanțelor din surse externe, interne și beneficiarilor garantați la situația din 31.12 a anului de gestiune. Astfel, pe parcursul perioadei de referință, de către MF au fost elaborate și expediate către SFS:</w:t>
            </w:r>
          </w:p>
          <w:p w14:paraId="62ADEB18" w14:textId="02B45CF2" w:rsidR="00AE0968" w:rsidRPr="00AE0968" w:rsidRDefault="00455227" w:rsidP="00AE0968">
            <w:pPr>
              <w:numPr>
                <w:ilvl w:val="0"/>
                <w:numId w:val="17"/>
              </w:numPr>
              <w:tabs>
                <w:tab w:val="left" w:pos="312"/>
              </w:tabs>
              <w:ind w:left="32" w:firstLine="0"/>
              <w:contextualSpacing/>
              <w:jc w:val="both"/>
              <w:rPr>
                <w:rFonts w:cstheme="majorHAnsi"/>
                <w:sz w:val="18"/>
                <w:szCs w:val="18"/>
              </w:rPr>
            </w:pPr>
            <w:r>
              <w:rPr>
                <w:rFonts w:cstheme="majorHAnsi"/>
                <w:sz w:val="18"/>
                <w:szCs w:val="18"/>
              </w:rPr>
              <w:t>p</w:t>
            </w:r>
            <w:r w:rsidR="00AE0968" w:rsidRPr="00AE0968">
              <w:rPr>
                <w:rFonts w:cstheme="majorHAnsi"/>
                <w:sz w:val="18"/>
                <w:szCs w:val="18"/>
              </w:rPr>
              <w:t>rin Scrisoarea nr.11/2-6/209 din 28.10.2020 s-a transmis informația privind datoriile cu termen expirat ale beneficiarilor de împrumuturi recreditate prin intemediul MF din surse externe, interne și beneficiarilor garantați la situația din 30.09.20/15.10.20 (pentru întreprinderile vitivinicole) sub aspectul raioanelor;</w:t>
            </w:r>
          </w:p>
          <w:p w14:paraId="4520D77A" w14:textId="6ED5E86D" w:rsidR="00AE0968" w:rsidRPr="00AE0968" w:rsidRDefault="00455227" w:rsidP="00AE0968">
            <w:pPr>
              <w:numPr>
                <w:ilvl w:val="0"/>
                <w:numId w:val="17"/>
              </w:numPr>
              <w:tabs>
                <w:tab w:val="left" w:pos="384"/>
              </w:tabs>
              <w:ind w:left="32" w:firstLine="21"/>
              <w:contextualSpacing/>
              <w:jc w:val="both"/>
              <w:rPr>
                <w:rFonts w:cstheme="majorHAnsi"/>
                <w:sz w:val="18"/>
                <w:szCs w:val="18"/>
              </w:rPr>
            </w:pPr>
            <w:r>
              <w:rPr>
                <w:rFonts w:cstheme="majorHAnsi"/>
                <w:sz w:val="18"/>
                <w:szCs w:val="18"/>
              </w:rPr>
              <w:t>p</w:t>
            </w:r>
            <w:r w:rsidR="00AE0968" w:rsidRPr="00AE0968">
              <w:rPr>
                <w:rFonts w:cstheme="majorHAnsi"/>
                <w:sz w:val="18"/>
                <w:szCs w:val="18"/>
              </w:rPr>
              <w:t>rin Scrisoare</w:t>
            </w:r>
            <w:r>
              <w:rPr>
                <w:rFonts w:cstheme="majorHAnsi"/>
                <w:sz w:val="18"/>
                <w:szCs w:val="18"/>
              </w:rPr>
              <w:t>a</w:t>
            </w:r>
            <w:r w:rsidR="00AE0968" w:rsidRPr="00AE0968">
              <w:rPr>
                <w:rFonts w:cstheme="majorHAnsi"/>
                <w:sz w:val="18"/>
                <w:szCs w:val="18"/>
              </w:rPr>
              <w:t xml:space="preserve"> nr.11/2-6/21 din 25.01.2021</w:t>
            </w:r>
            <w:r>
              <w:rPr>
                <w:rFonts w:cstheme="majorHAnsi"/>
                <w:sz w:val="18"/>
                <w:szCs w:val="18"/>
              </w:rPr>
              <w:t xml:space="preserve"> </w:t>
            </w:r>
            <w:r w:rsidR="00AE0968" w:rsidRPr="00AE0968">
              <w:rPr>
                <w:rFonts w:cstheme="majorHAnsi"/>
                <w:sz w:val="18"/>
                <w:szCs w:val="18"/>
              </w:rPr>
              <w:t>s-a transmis informația privind datoriile cu termen expirat ale beneficiarilor de împrumuturi recreditate prin intermediul MF din surse externe, interne și beneficiarilor garantați la situația din 31.12.2020 sub aspectul raioanelor.</w:t>
            </w:r>
          </w:p>
          <w:p w14:paraId="17F74268" w14:textId="70BA500E" w:rsidR="00AE0968" w:rsidRPr="00AE0968" w:rsidRDefault="00455227" w:rsidP="00AE0968">
            <w:pPr>
              <w:tabs>
                <w:tab w:val="left" w:pos="384"/>
              </w:tabs>
              <w:ind w:left="53"/>
              <w:contextualSpacing/>
              <w:jc w:val="both"/>
              <w:rPr>
                <w:rFonts w:cstheme="majorHAnsi"/>
                <w:sz w:val="18"/>
                <w:szCs w:val="18"/>
              </w:rPr>
            </w:pPr>
            <w:r>
              <w:rPr>
                <w:rFonts w:cstheme="majorHAnsi"/>
                <w:sz w:val="18"/>
                <w:szCs w:val="18"/>
              </w:rPr>
              <w:t>L</w:t>
            </w:r>
            <w:r w:rsidR="00AE0968" w:rsidRPr="00AE0968">
              <w:rPr>
                <w:rFonts w:cstheme="majorHAnsi"/>
                <w:sz w:val="18"/>
                <w:szCs w:val="18"/>
              </w:rPr>
              <w:t>a fiecare perioadă scadentă sunt înaintate către beneficiarii recredet</w:t>
            </w:r>
            <w:r>
              <w:rPr>
                <w:rFonts w:cstheme="majorHAnsi"/>
                <w:sz w:val="18"/>
                <w:szCs w:val="18"/>
              </w:rPr>
              <w:t xml:space="preserve">itați cereri de plată. Astfel, </w:t>
            </w:r>
            <w:r w:rsidR="00AE0968" w:rsidRPr="00AE0968">
              <w:rPr>
                <w:rFonts w:cstheme="majorHAnsi"/>
                <w:sz w:val="18"/>
                <w:szCs w:val="18"/>
              </w:rPr>
              <w:t>pe parcursul perioadei de referință, către beneficiarii recreditați au fost înaintate 66 de cereri de plată.</w:t>
            </w:r>
          </w:p>
          <w:p w14:paraId="03BB5684" w14:textId="77777777" w:rsidR="00AE0968" w:rsidRPr="00AE0968" w:rsidRDefault="00AE0968" w:rsidP="00AE0968">
            <w:pPr>
              <w:tabs>
                <w:tab w:val="left" w:pos="384"/>
              </w:tabs>
              <w:ind w:left="53"/>
              <w:contextualSpacing/>
              <w:jc w:val="both"/>
              <w:rPr>
                <w:rFonts w:cstheme="majorHAnsi"/>
                <w:sz w:val="18"/>
                <w:szCs w:val="18"/>
              </w:rPr>
            </w:pPr>
            <w:r w:rsidRPr="00AE0968">
              <w:rPr>
                <w:rFonts w:cstheme="majorHAnsi"/>
                <w:sz w:val="18"/>
                <w:szCs w:val="18"/>
              </w:rPr>
              <w:t>De asemenea, la necesitate, MF înaintează către aceștia notificări prealabile sau avertizări privind rambursarea datoriilor cu termende achitare expirat. Auditul menționează că pe parcursul perioadei de referință notificări prealabile sau avertizări nu au fost înaintate de către MF.</w:t>
            </w:r>
          </w:p>
          <w:p w14:paraId="44F2CB69" w14:textId="77777777" w:rsidR="00AE0968" w:rsidRPr="00AE0968" w:rsidRDefault="00AE0968" w:rsidP="00AE0968">
            <w:pPr>
              <w:tabs>
                <w:tab w:val="left" w:pos="384"/>
              </w:tabs>
              <w:ind w:left="53"/>
              <w:contextualSpacing/>
              <w:jc w:val="both"/>
              <w:rPr>
                <w:rFonts w:cstheme="majorHAnsi"/>
                <w:sz w:val="18"/>
                <w:szCs w:val="18"/>
              </w:rPr>
            </w:pPr>
            <w:r w:rsidRPr="00AE0968">
              <w:rPr>
                <w:rFonts w:cstheme="majorHAnsi"/>
                <w:sz w:val="18"/>
                <w:szCs w:val="18"/>
              </w:rPr>
              <w:t>La fel, la necesitate, MF dispune activarea garanțiilor de rambursare a împrumuturilor recreditate în conformitate cu prevederile contractelor de recreditare încheiate sau chiar pregătește materialele pentru înaintarea acestora în instanțele de judecată competente. De menționat că astfel de acțiuni pe parcursul perioadei de referință de către MF nu au fost întreprinse.</w:t>
            </w:r>
          </w:p>
          <w:p w14:paraId="31726399" w14:textId="5F69D555" w:rsidR="00AE0968" w:rsidRPr="00AE0968" w:rsidRDefault="00AE0968" w:rsidP="00AE0968">
            <w:pPr>
              <w:jc w:val="both"/>
              <w:rPr>
                <w:rFonts w:cstheme="majorHAnsi"/>
                <w:sz w:val="18"/>
                <w:szCs w:val="18"/>
              </w:rPr>
            </w:pPr>
            <w:r w:rsidRPr="00AE0968">
              <w:rPr>
                <w:rFonts w:cstheme="majorHAnsi"/>
                <w:sz w:val="18"/>
                <w:szCs w:val="18"/>
              </w:rPr>
              <w:t xml:space="preserve">La fel, trimestrial, față de beneficiarii recreditați și garantați ce au acumulat datorii </w:t>
            </w:r>
            <w:r w:rsidR="00455227">
              <w:rPr>
                <w:rFonts w:cstheme="majorHAnsi"/>
                <w:sz w:val="18"/>
                <w:szCs w:val="18"/>
              </w:rPr>
              <w:t>c</w:t>
            </w:r>
            <w:r w:rsidRPr="00AE0968">
              <w:rPr>
                <w:rFonts w:cstheme="majorHAnsi"/>
                <w:sz w:val="18"/>
                <w:szCs w:val="18"/>
              </w:rPr>
              <w:t xml:space="preserve">u termen de expirat se ăntreprind măsuri conform legislației în vigoare privind executarea silită față de aceștia. Pe parcursul perioadei de referință, Serviciul Fiscal de Stat a prezintat 2 dări de seamă aferente acțiunilor de executare silită: </w:t>
            </w:r>
          </w:p>
          <w:p w14:paraId="0C63A001" w14:textId="2E39B8B7" w:rsidR="00AE0968" w:rsidRPr="00AE0968" w:rsidRDefault="00AE0968" w:rsidP="00AE0968">
            <w:pPr>
              <w:jc w:val="both"/>
              <w:rPr>
                <w:rFonts w:cstheme="majorHAnsi"/>
                <w:sz w:val="18"/>
                <w:szCs w:val="18"/>
              </w:rPr>
            </w:pPr>
            <w:r w:rsidRPr="00AE0968">
              <w:rPr>
                <w:rFonts w:cstheme="majorHAnsi"/>
                <w:sz w:val="18"/>
                <w:szCs w:val="18"/>
              </w:rPr>
              <w:t xml:space="preserve">- prin Scrisoarea nr.26-06/2-12-49262 din 07.10.2020 a prezentat MF darea de seamă aferentă acțiunilor de </w:t>
            </w:r>
            <w:r w:rsidR="00455227">
              <w:rPr>
                <w:rFonts w:cstheme="majorHAnsi"/>
                <w:sz w:val="18"/>
                <w:szCs w:val="18"/>
              </w:rPr>
              <w:t>executare silită întreprinse pâ</w:t>
            </w:r>
            <w:r w:rsidRPr="00AE0968">
              <w:rPr>
                <w:rFonts w:cstheme="majorHAnsi"/>
                <w:sz w:val="18"/>
                <w:szCs w:val="18"/>
              </w:rPr>
              <w:t>nă la situația din 30.09.2020, în scopul rambursării datoriilor de către agenții economici benficiari de credite interne și exte</w:t>
            </w:r>
            <w:r w:rsidR="00455227">
              <w:rPr>
                <w:rFonts w:cstheme="majorHAnsi"/>
                <w:sz w:val="18"/>
                <w:szCs w:val="18"/>
              </w:rPr>
              <w:t>rn</w:t>
            </w:r>
            <w:r w:rsidRPr="00AE0968">
              <w:rPr>
                <w:rFonts w:cstheme="majorHAnsi"/>
                <w:sz w:val="18"/>
                <w:szCs w:val="18"/>
              </w:rPr>
              <w:t>e, acordate prin intermediul MF</w:t>
            </w:r>
            <w:r w:rsidR="00455227">
              <w:rPr>
                <w:rFonts w:cstheme="majorHAnsi"/>
                <w:sz w:val="18"/>
                <w:szCs w:val="18"/>
              </w:rPr>
              <w:t>,</w:t>
            </w:r>
            <w:r w:rsidRPr="00AE0968">
              <w:rPr>
                <w:rFonts w:cstheme="majorHAnsi"/>
                <w:sz w:val="18"/>
                <w:szCs w:val="18"/>
              </w:rPr>
              <w:t xml:space="preserve"> precum și a mijloacelor dezafectate de la bugetul de stat pentru stingerea împrumuturilor acordate cu garanție de stat;</w:t>
            </w:r>
          </w:p>
          <w:p w14:paraId="64FDFB69" w14:textId="504B3FDD" w:rsidR="00AE0968" w:rsidRPr="00AE0968" w:rsidRDefault="00AE0968" w:rsidP="00AE0968">
            <w:pPr>
              <w:jc w:val="both"/>
              <w:rPr>
                <w:rFonts w:cstheme="majorHAnsi"/>
                <w:sz w:val="18"/>
                <w:szCs w:val="18"/>
              </w:rPr>
            </w:pPr>
            <w:r w:rsidRPr="00AE0968">
              <w:rPr>
                <w:rFonts w:cstheme="majorHAnsi"/>
                <w:sz w:val="18"/>
                <w:szCs w:val="18"/>
              </w:rPr>
              <w:t>-  prin</w:t>
            </w:r>
            <w:r w:rsidR="00455227">
              <w:rPr>
                <w:rFonts w:cstheme="majorHAnsi"/>
                <w:sz w:val="18"/>
                <w:szCs w:val="18"/>
              </w:rPr>
              <w:t xml:space="preserve"> Scrisoarea nr. 26-06/2-12/1914, SFS a prezentat MF </w:t>
            </w:r>
            <w:r w:rsidRPr="00AE0968">
              <w:rPr>
                <w:rFonts w:cstheme="majorHAnsi"/>
                <w:sz w:val="18"/>
                <w:szCs w:val="18"/>
              </w:rPr>
              <w:t xml:space="preserve">darea de seamă aferentă acțiunilor de executare silită întreprinse </w:t>
            </w:r>
            <w:r w:rsidR="00455227">
              <w:rPr>
                <w:rFonts w:cstheme="majorHAnsi"/>
                <w:sz w:val="18"/>
                <w:szCs w:val="18"/>
              </w:rPr>
              <w:t>până la situația din 31.12.2020</w:t>
            </w:r>
          </w:p>
          <w:p w14:paraId="7EA2DC0F" w14:textId="77777777" w:rsidR="00AE0968" w:rsidRPr="00AE0968" w:rsidRDefault="00AE0968" w:rsidP="00AE0968">
            <w:pPr>
              <w:tabs>
                <w:tab w:val="left" w:pos="384"/>
              </w:tabs>
              <w:ind w:left="53"/>
              <w:contextualSpacing/>
              <w:rPr>
                <w:rFonts w:cstheme="majorHAnsi"/>
                <w:sz w:val="18"/>
                <w:szCs w:val="18"/>
              </w:rPr>
            </w:pPr>
          </w:p>
        </w:tc>
        <w:tc>
          <w:tcPr>
            <w:tcW w:w="2977" w:type="dxa"/>
          </w:tcPr>
          <w:p w14:paraId="48E12163" w14:textId="77777777" w:rsidR="00AE0968" w:rsidRPr="00AE0968" w:rsidRDefault="00AE0968" w:rsidP="00AE0968">
            <w:pPr>
              <w:numPr>
                <w:ilvl w:val="0"/>
                <w:numId w:val="20"/>
              </w:numPr>
              <w:tabs>
                <w:tab w:val="left" w:pos="311"/>
              </w:tabs>
              <w:ind w:left="0" w:firstLine="16"/>
              <w:contextualSpacing/>
              <w:jc w:val="both"/>
              <w:rPr>
                <w:rFonts w:cstheme="majorHAnsi"/>
                <w:sz w:val="18"/>
                <w:szCs w:val="18"/>
                <w:lang w:val="ro-MD"/>
              </w:rPr>
            </w:pPr>
            <w:r w:rsidRPr="00AE0968">
              <w:rPr>
                <w:rFonts w:cstheme="majorHAnsi"/>
                <w:sz w:val="18"/>
                <w:szCs w:val="18"/>
                <w:lang w:val="ro-MD"/>
              </w:rPr>
              <w:t>Scrisoarea MF nr.11/2-6/209 din 28.10.2020;</w:t>
            </w:r>
          </w:p>
          <w:p w14:paraId="7FCAA934" w14:textId="77777777" w:rsidR="00AE0968" w:rsidRPr="00AE0968" w:rsidRDefault="00AE0968" w:rsidP="00AE0968">
            <w:pPr>
              <w:numPr>
                <w:ilvl w:val="0"/>
                <w:numId w:val="20"/>
              </w:numPr>
              <w:tabs>
                <w:tab w:val="left" w:pos="311"/>
              </w:tabs>
              <w:ind w:left="0" w:firstLine="16"/>
              <w:contextualSpacing/>
              <w:jc w:val="both"/>
              <w:rPr>
                <w:rFonts w:cstheme="majorHAnsi"/>
                <w:b/>
                <w:sz w:val="18"/>
                <w:szCs w:val="18"/>
                <w:lang w:val="ro-MD"/>
              </w:rPr>
            </w:pPr>
            <w:r w:rsidRPr="00AE0968">
              <w:rPr>
                <w:rFonts w:cstheme="majorHAnsi"/>
                <w:sz w:val="18"/>
                <w:szCs w:val="18"/>
                <w:lang w:val="ro-MD"/>
              </w:rPr>
              <w:t>Scrisoare MF nr.11/2-6/21 din 25.01.2021;</w:t>
            </w:r>
          </w:p>
          <w:p w14:paraId="1CCA32B8" w14:textId="77777777" w:rsidR="00AE0968" w:rsidRPr="00AE0968" w:rsidRDefault="00AE0968" w:rsidP="00AE0968">
            <w:pPr>
              <w:tabs>
                <w:tab w:val="left" w:pos="311"/>
              </w:tabs>
              <w:ind w:left="16"/>
              <w:contextualSpacing/>
              <w:jc w:val="both"/>
              <w:rPr>
                <w:rFonts w:cstheme="majorHAnsi"/>
                <w:b/>
                <w:sz w:val="18"/>
                <w:szCs w:val="18"/>
                <w:lang w:val="ro-MD"/>
              </w:rPr>
            </w:pPr>
          </w:p>
          <w:p w14:paraId="14087604" w14:textId="77777777" w:rsidR="00AE0968" w:rsidRPr="00AE0968" w:rsidRDefault="00AE0968" w:rsidP="00AE0968">
            <w:pPr>
              <w:numPr>
                <w:ilvl w:val="0"/>
                <w:numId w:val="20"/>
              </w:numPr>
              <w:tabs>
                <w:tab w:val="left" w:pos="311"/>
              </w:tabs>
              <w:ind w:left="0" w:firstLine="16"/>
              <w:contextualSpacing/>
              <w:jc w:val="both"/>
              <w:rPr>
                <w:rFonts w:cstheme="majorHAnsi"/>
                <w:sz w:val="18"/>
                <w:szCs w:val="18"/>
                <w:lang w:val="ro-MD"/>
              </w:rPr>
            </w:pPr>
            <w:r w:rsidRPr="00AE0968">
              <w:rPr>
                <w:rFonts w:cstheme="majorHAnsi"/>
                <w:sz w:val="18"/>
                <w:szCs w:val="18"/>
                <w:lang w:val="ro-MD"/>
              </w:rPr>
              <w:t>Scrisoarea SFS nr.26-06/2-12-49262 din 07.10.2020;</w:t>
            </w:r>
          </w:p>
          <w:p w14:paraId="23A441A2" w14:textId="77777777" w:rsidR="00AE0968" w:rsidRPr="00AE0968" w:rsidRDefault="00AE0968" w:rsidP="00AE0968">
            <w:pPr>
              <w:tabs>
                <w:tab w:val="left" w:pos="311"/>
              </w:tabs>
              <w:jc w:val="both"/>
              <w:rPr>
                <w:rFonts w:cstheme="majorHAnsi"/>
                <w:sz w:val="18"/>
                <w:szCs w:val="18"/>
                <w:lang w:val="ro-MD"/>
              </w:rPr>
            </w:pPr>
          </w:p>
          <w:p w14:paraId="6F76B6F2" w14:textId="77777777" w:rsidR="00AE0968" w:rsidRPr="00AE0968" w:rsidRDefault="00AE0968" w:rsidP="00AE0968">
            <w:pPr>
              <w:numPr>
                <w:ilvl w:val="0"/>
                <w:numId w:val="20"/>
              </w:numPr>
              <w:tabs>
                <w:tab w:val="left" w:pos="311"/>
              </w:tabs>
              <w:ind w:left="27" w:firstLine="0"/>
              <w:contextualSpacing/>
              <w:jc w:val="both"/>
              <w:rPr>
                <w:rFonts w:cstheme="majorHAnsi"/>
                <w:b/>
                <w:sz w:val="18"/>
                <w:szCs w:val="18"/>
                <w:lang w:val="ro-MD"/>
              </w:rPr>
            </w:pPr>
            <w:r w:rsidRPr="00AE0968">
              <w:rPr>
                <w:rFonts w:cstheme="majorHAnsi"/>
                <w:sz w:val="18"/>
                <w:szCs w:val="18"/>
                <w:lang w:val="ro-MD"/>
              </w:rPr>
              <w:t>Scrisoarea SFS nr. 26-06/2-12/1914</w:t>
            </w:r>
          </w:p>
        </w:tc>
        <w:tc>
          <w:tcPr>
            <w:tcW w:w="992" w:type="dxa"/>
          </w:tcPr>
          <w:p w14:paraId="38554C9D" w14:textId="77777777" w:rsidR="00AE0968" w:rsidRPr="00AE0968" w:rsidRDefault="00AE0968" w:rsidP="00AE0968">
            <w:pPr>
              <w:jc w:val="center"/>
              <w:rPr>
                <w:rFonts w:cstheme="majorHAnsi"/>
                <w:b/>
                <w:sz w:val="18"/>
                <w:szCs w:val="18"/>
                <w:lang w:val="ro-MD"/>
              </w:rPr>
            </w:pPr>
          </w:p>
        </w:tc>
        <w:tc>
          <w:tcPr>
            <w:tcW w:w="992" w:type="dxa"/>
          </w:tcPr>
          <w:p w14:paraId="3B68EFB0"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V</w:t>
            </w:r>
          </w:p>
        </w:tc>
        <w:tc>
          <w:tcPr>
            <w:tcW w:w="949" w:type="dxa"/>
          </w:tcPr>
          <w:p w14:paraId="43C005CF" w14:textId="77777777" w:rsidR="00AE0968" w:rsidRPr="00AE0968" w:rsidRDefault="00AE0968" w:rsidP="00AE0968">
            <w:pPr>
              <w:jc w:val="both"/>
              <w:rPr>
                <w:rFonts w:cstheme="majorHAnsi"/>
                <w:b/>
                <w:sz w:val="18"/>
                <w:szCs w:val="18"/>
                <w:lang w:val="ro-MD"/>
              </w:rPr>
            </w:pPr>
          </w:p>
        </w:tc>
      </w:tr>
      <w:tr w:rsidR="00AE0968" w:rsidRPr="00AE0968" w14:paraId="5C34D0A1" w14:textId="77777777" w:rsidTr="00AE0968">
        <w:tc>
          <w:tcPr>
            <w:tcW w:w="14552" w:type="dxa"/>
            <w:gridSpan w:val="6"/>
          </w:tcPr>
          <w:p w14:paraId="2CF2084A" w14:textId="2B863F7D" w:rsidR="00AE0968" w:rsidRPr="00AE0968" w:rsidRDefault="005A2E8A" w:rsidP="00AE0968">
            <w:pPr>
              <w:jc w:val="center"/>
              <w:rPr>
                <w:rFonts w:cstheme="majorHAnsi"/>
                <w:b/>
                <w:sz w:val="18"/>
                <w:szCs w:val="18"/>
                <w:lang w:val="ro-MD"/>
              </w:rPr>
            </w:pPr>
            <w:r>
              <w:rPr>
                <w:rFonts w:cstheme="majorHAnsi"/>
                <w:b/>
                <w:sz w:val="18"/>
                <w:szCs w:val="18"/>
                <w:lang w:val="ro-MD"/>
              </w:rPr>
              <w:t xml:space="preserve">Recomandări din </w:t>
            </w:r>
            <w:r w:rsidR="00AE0968" w:rsidRPr="00AE0968">
              <w:rPr>
                <w:rFonts w:cstheme="majorHAnsi"/>
                <w:b/>
                <w:sz w:val="18"/>
                <w:szCs w:val="18"/>
                <w:lang w:val="ro-MD"/>
              </w:rPr>
              <w:t>Raport</w:t>
            </w:r>
            <w:r>
              <w:rPr>
                <w:rFonts w:cstheme="majorHAnsi"/>
                <w:b/>
                <w:sz w:val="18"/>
                <w:szCs w:val="18"/>
                <w:lang w:val="ro-MD"/>
              </w:rPr>
              <w:t>ul de audit</w:t>
            </w:r>
          </w:p>
        </w:tc>
      </w:tr>
      <w:tr w:rsidR="00B176C3" w:rsidRPr="00AE0968" w14:paraId="0645E9FB" w14:textId="77777777" w:rsidTr="00BD0E31">
        <w:tc>
          <w:tcPr>
            <w:tcW w:w="2338" w:type="dxa"/>
          </w:tcPr>
          <w:p w14:paraId="713490D8" w14:textId="77777777" w:rsidR="00AE0968" w:rsidRPr="00AE0968" w:rsidRDefault="00AE0968" w:rsidP="00AE0968">
            <w:pPr>
              <w:ind w:left="23"/>
              <w:jc w:val="both"/>
              <w:rPr>
                <w:rFonts w:cstheme="majorHAnsi"/>
                <w:sz w:val="18"/>
                <w:szCs w:val="18"/>
                <w:lang w:val="ro-RO" w:eastAsia="ru-RU"/>
              </w:rPr>
            </w:pPr>
            <w:r w:rsidRPr="00AE0968">
              <w:rPr>
                <w:rFonts w:cstheme="majorHAnsi"/>
                <w:sz w:val="18"/>
                <w:szCs w:val="18"/>
                <w:lang w:val="ro-RO" w:eastAsia="ru-RU"/>
              </w:rPr>
              <w:t>1. Să continue asigurarea controlului asupra expunerii portofoliului datoriei de stat la riscurile de rată a dobânzii, de refinanțare și valutare.</w:t>
            </w:r>
          </w:p>
        </w:tc>
        <w:tc>
          <w:tcPr>
            <w:tcW w:w="6304" w:type="dxa"/>
          </w:tcPr>
          <w:p w14:paraId="08A59EF1" w14:textId="58E3CFEF" w:rsidR="00AE0968" w:rsidRPr="00AE0968" w:rsidRDefault="00AE0968" w:rsidP="00AE0968">
            <w:pPr>
              <w:jc w:val="both"/>
              <w:rPr>
                <w:rFonts w:cstheme="majorHAnsi"/>
                <w:sz w:val="18"/>
                <w:szCs w:val="18"/>
              </w:rPr>
            </w:pPr>
            <w:r w:rsidRPr="00AE0968">
              <w:rPr>
                <w:rFonts w:cstheme="majorHAnsi"/>
                <w:sz w:val="18"/>
                <w:szCs w:val="18"/>
              </w:rPr>
              <w:t>În acest scop</w:t>
            </w:r>
            <w:r w:rsidR="005A2E8A">
              <w:rPr>
                <w:rFonts w:cstheme="majorHAnsi"/>
                <w:sz w:val="18"/>
                <w:szCs w:val="18"/>
              </w:rPr>
              <w:t>,</w:t>
            </w:r>
            <w:r w:rsidRPr="00AE0968">
              <w:rPr>
                <w:rFonts w:cstheme="majorHAnsi"/>
                <w:sz w:val="18"/>
                <w:szCs w:val="18"/>
              </w:rPr>
              <w:t xml:space="preserve"> de către MF lunar sunt monitorizați indicatorii de risc a</w:t>
            </w:r>
            <w:r w:rsidR="005A2E8A">
              <w:rPr>
                <w:rFonts w:cstheme="majorHAnsi"/>
                <w:sz w:val="18"/>
                <w:szCs w:val="18"/>
              </w:rPr>
              <w:t>i</w:t>
            </w:r>
            <w:r w:rsidRPr="00AE0968">
              <w:rPr>
                <w:rFonts w:cstheme="majorHAnsi"/>
                <w:sz w:val="18"/>
                <w:szCs w:val="18"/>
              </w:rPr>
              <w:t xml:space="preserve"> datoriei de stat conform Programului „Managementul datoriei de stat pe termen mediu (2020-2022)</w:t>
            </w:r>
            <w:r w:rsidR="005A2E8A">
              <w:rPr>
                <w:rFonts w:cstheme="majorHAnsi"/>
                <w:sz w:val="18"/>
                <w:szCs w:val="18"/>
              </w:rPr>
              <w:t>”</w:t>
            </w:r>
            <w:r w:rsidRPr="00AE0968">
              <w:rPr>
                <w:rFonts w:cstheme="majorHAnsi"/>
                <w:sz w:val="18"/>
                <w:szCs w:val="18"/>
              </w:rPr>
              <w:t>. Astfel, Buletinele statistice elaborate sunt publicate pe pagin</w:t>
            </w:r>
            <w:r w:rsidR="005A2E8A">
              <w:rPr>
                <w:rFonts w:cstheme="majorHAnsi"/>
                <w:sz w:val="18"/>
                <w:szCs w:val="18"/>
              </w:rPr>
              <w:t>a web a Ministerului Finanțelor</w:t>
            </w:r>
            <w:r w:rsidRPr="00AE0968">
              <w:rPr>
                <w:rFonts w:cstheme="majorHAnsi"/>
                <w:sz w:val="18"/>
                <w:szCs w:val="18"/>
              </w:rPr>
              <w:t xml:space="preserve"> și pot fi accesate la următorul link: </w:t>
            </w:r>
            <w:r w:rsidRPr="00AE0968">
              <w:rPr>
                <w:rFonts w:cstheme="majorHAnsi"/>
                <w:i/>
                <w:sz w:val="18"/>
                <w:szCs w:val="18"/>
              </w:rPr>
              <w:t>http://mf.gov.md/ro/datoria-sectorului-public/rapoarte/datoria-de-stat.</w:t>
            </w:r>
          </w:p>
          <w:p w14:paraId="54CF2963" w14:textId="2C000AFA" w:rsidR="00AE0968" w:rsidRPr="00AE0968" w:rsidRDefault="00AE0968" w:rsidP="00AE0968">
            <w:pPr>
              <w:jc w:val="both"/>
              <w:rPr>
                <w:rFonts w:cstheme="majorHAnsi"/>
                <w:sz w:val="18"/>
                <w:szCs w:val="18"/>
              </w:rPr>
            </w:pPr>
            <w:r w:rsidRPr="00AE0968">
              <w:rPr>
                <w:rFonts w:cstheme="majorHAnsi"/>
                <w:sz w:val="18"/>
                <w:szCs w:val="18"/>
              </w:rPr>
              <w:t>În curs de elaborare este și Programul „Managementului datoriei de stat pe termen mediu (2021-2023)</w:t>
            </w:r>
            <w:r w:rsidR="005A2E8A">
              <w:rPr>
                <w:rFonts w:cstheme="majorHAnsi"/>
                <w:sz w:val="18"/>
                <w:szCs w:val="18"/>
              </w:rPr>
              <w:t xml:space="preserve">”. Astfel, Proiectul Programului </w:t>
            </w:r>
            <w:r w:rsidRPr="00AE0968">
              <w:rPr>
                <w:rFonts w:cstheme="majorHAnsi"/>
                <w:sz w:val="18"/>
                <w:szCs w:val="18"/>
              </w:rPr>
              <w:t>,,Managementul datoriei de stat pe termen mediu (2021-2023)" a fost elaborat în conformitate cu prognoza indicatorilor macroeconomici, care au stat la baza elaborării Legii bugetului de stat pentru anul 2021.</w:t>
            </w:r>
          </w:p>
          <w:p w14:paraId="2A73B0C1" w14:textId="4EC807A4" w:rsidR="00AE0968" w:rsidRPr="00AE0968" w:rsidRDefault="00AE0968" w:rsidP="00AE0968">
            <w:pPr>
              <w:jc w:val="both"/>
              <w:rPr>
                <w:rFonts w:cstheme="majorHAnsi"/>
                <w:b/>
                <w:i/>
                <w:sz w:val="18"/>
                <w:szCs w:val="18"/>
              </w:rPr>
            </w:pPr>
            <w:r w:rsidRPr="00AE0968">
              <w:rPr>
                <w:rFonts w:cstheme="majorHAnsi"/>
                <w:sz w:val="18"/>
                <w:szCs w:val="18"/>
              </w:rPr>
              <w:t>Proiectul a fost prezentat Cancelariei de Stat pentru înregistrare și examinare în ședința secretarilor generali, prin scrisoarea nr.13/3-3/51/1547 din 15.12.2020, a fost înregistrat de către Cancelaria de Stat (număr unic 1024/MF/2020) și remis spre avizare și expertiză juridică autorităților vizate prin scrisoarea nr.18-23-11411 din 17.12.2020. După avizare de către instituțiile interesate și după ce va fi supus expertizei juridice, proiectul urmează a fi remis Guvern</w:t>
            </w:r>
            <w:r w:rsidR="005A2E8A">
              <w:rPr>
                <w:rFonts w:cstheme="majorHAnsi"/>
                <w:sz w:val="18"/>
                <w:szCs w:val="18"/>
              </w:rPr>
              <w:t>ului spre examinare și aprobare</w:t>
            </w:r>
          </w:p>
        </w:tc>
        <w:tc>
          <w:tcPr>
            <w:tcW w:w="2977" w:type="dxa"/>
          </w:tcPr>
          <w:p w14:paraId="3350A445" w14:textId="60A4182C" w:rsidR="00AE0968" w:rsidRPr="00AE0968" w:rsidRDefault="00AE0968" w:rsidP="00AE0968">
            <w:pPr>
              <w:numPr>
                <w:ilvl w:val="0"/>
                <w:numId w:val="21"/>
              </w:numPr>
              <w:tabs>
                <w:tab w:val="left" w:pos="384"/>
              </w:tabs>
              <w:ind w:left="0" w:firstLine="16"/>
              <w:contextualSpacing/>
              <w:jc w:val="both"/>
              <w:rPr>
                <w:rFonts w:cstheme="majorHAnsi"/>
                <w:b/>
                <w:sz w:val="18"/>
                <w:szCs w:val="18"/>
                <w:lang w:val="ro-MD"/>
              </w:rPr>
            </w:pPr>
            <w:r w:rsidRPr="00AE0968">
              <w:rPr>
                <w:rFonts w:cstheme="majorHAnsi"/>
                <w:sz w:val="18"/>
                <w:szCs w:val="18"/>
              </w:rPr>
              <w:t>Programul „Managementul datoriei de stat pe termen mediu (2020-2022)</w:t>
            </w:r>
            <w:r w:rsidR="005A2E8A">
              <w:rPr>
                <w:rFonts w:cstheme="majorHAnsi"/>
                <w:sz w:val="18"/>
                <w:szCs w:val="18"/>
              </w:rPr>
              <w:t>”, aprobat prin Hotărâ</w:t>
            </w:r>
            <w:r w:rsidRPr="00AE0968">
              <w:rPr>
                <w:rFonts w:cstheme="majorHAnsi"/>
                <w:sz w:val="18"/>
                <w:szCs w:val="18"/>
              </w:rPr>
              <w:t xml:space="preserve">rea Guvernului nr.56 din 05.02.2020; </w:t>
            </w:r>
          </w:p>
          <w:p w14:paraId="37BAC1D6" w14:textId="18741666" w:rsidR="00AE0968" w:rsidRPr="00AE0968" w:rsidRDefault="00AE0968" w:rsidP="00AE0968">
            <w:pPr>
              <w:numPr>
                <w:ilvl w:val="0"/>
                <w:numId w:val="21"/>
              </w:numPr>
              <w:tabs>
                <w:tab w:val="left" w:pos="384"/>
              </w:tabs>
              <w:ind w:left="0" w:firstLine="16"/>
              <w:contextualSpacing/>
              <w:jc w:val="both"/>
              <w:rPr>
                <w:rFonts w:cstheme="majorHAnsi"/>
                <w:b/>
                <w:sz w:val="18"/>
                <w:szCs w:val="18"/>
                <w:lang w:val="ro-MD"/>
              </w:rPr>
            </w:pPr>
            <w:r w:rsidRPr="00AE0968">
              <w:rPr>
                <w:rFonts w:cstheme="majorHAnsi"/>
                <w:sz w:val="18"/>
                <w:szCs w:val="18"/>
              </w:rPr>
              <w:t>Proiectul Programului ,,Managementul datoriei de st</w:t>
            </w:r>
            <w:r w:rsidR="005A2E8A">
              <w:rPr>
                <w:rFonts w:cstheme="majorHAnsi"/>
                <w:sz w:val="18"/>
                <w:szCs w:val="18"/>
              </w:rPr>
              <w:t>at pe termen mediu (2021-2023)"</w:t>
            </w:r>
          </w:p>
        </w:tc>
        <w:tc>
          <w:tcPr>
            <w:tcW w:w="992" w:type="dxa"/>
          </w:tcPr>
          <w:p w14:paraId="12AAEF42" w14:textId="77777777" w:rsidR="00AE0968" w:rsidRPr="00AE0968" w:rsidRDefault="00AE0968" w:rsidP="00AE0968">
            <w:pPr>
              <w:jc w:val="center"/>
              <w:rPr>
                <w:rFonts w:cstheme="majorHAnsi"/>
                <w:b/>
                <w:sz w:val="18"/>
                <w:szCs w:val="18"/>
                <w:lang w:val="ro-MD"/>
              </w:rPr>
            </w:pPr>
          </w:p>
        </w:tc>
        <w:tc>
          <w:tcPr>
            <w:tcW w:w="992" w:type="dxa"/>
          </w:tcPr>
          <w:p w14:paraId="42A97983"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V</w:t>
            </w:r>
          </w:p>
        </w:tc>
        <w:tc>
          <w:tcPr>
            <w:tcW w:w="949" w:type="dxa"/>
          </w:tcPr>
          <w:p w14:paraId="7AA77BD1" w14:textId="77777777" w:rsidR="00AE0968" w:rsidRPr="00AE0968" w:rsidRDefault="00AE0968" w:rsidP="00AE0968">
            <w:pPr>
              <w:jc w:val="both"/>
              <w:rPr>
                <w:rFonts w:cstheme="majorHAnsi"/>
                <w:b/>
                <w:sz w:val="18"/>
                <w:szCs w:val="18"/>
                <w:lang w:val="ro-MD"/>
              </w:rPr>
            </w:pPr>
          </w:p>
        </w:tc>
      </w:tr>
      <w:tr w:rsidR="00B176C3" w:rsidRPr="00AE0968" w14:paraId="3137B37B" w14:textId="77777777" w:rsidTr="00BD0E31">
        <w:tc>
          <w:tcPr>
            <w:tcW w:w="2338" w:type="dxa"/>
          </w:tcPr>
          <w:p w14:paraId="432DE8C6" w14:textId="77777777" w:rsidR="00AE0968" w:rsidRPr="00AE0968" w:rsidRDefault="00AE0968" w:rsidP="00AE0968">
            <w:pPr>
              <w:tabs>
                <w:tab w:val="left" w:pos="743"/>
              </w:tabs>
              <w:jc w:val="both"/>
              <w:rPr>
                <w:rFonts w:cstheme="majorHAnsi"/>
                <w:sz w:val="18"/>
                <w:szCs w:val="18"/>
                <w:lang w:val="ro-RO" w:eastAsia="ru-RU"/>
              </w:rPr>
            </w:pPr>
            <w:r w:rsidRPr="00AE0968">
              <w:rPr>
                <w:rFonts w:cstheme="majorHAnsi"/>
                <w:sz w:val="18"/>
                <w:szCs w:val="18"/>
                <w:lang w:eastAsia="ru-RU"/>
              </w:rPr>
              <w:t xml:space="preserve">2. </w:t>
            </w:r>
            <w:r w:rsidRPr="00AE0968">
              <w:rPr>
                <w:rFonts w:cstheme="majorHAnsi"/>
                <w:sz w:val="18"/>
                <w:szCs w:val="18"/>
                <w:lang w:val="ro-RO" w:eastAsia="ru-RU"/>
              </w:rPr>
              <w:t>Să asigure diversificarea canalelor de vânzare a instrumentelor de contractare a datoriei de stat interne către potențialii investitori.</w:t>
            </w:r>
          </w:p>
        </w:tc>
        <w:tc>
          <w:tcPr>
            <w:tcW w:w="6304" w:type="dxa"/>
          </w:tcPr>
          <w:p w14:paraId="5347BC4F" w14:textId="4FE9213C" w:rsidR="00AE0968" w:rsidRPr="00AE0968" w:rsidRDefault="00AE0968" w:rsidP="005A2E8A">
            <w:pPr>
              <w:jc w:val="both"/>
              <w:rPr>
                <w:rFonts w:cstheme="majorHAnsi"/>
                <w:sz w:val="18"/>
                <w:szCs w:val="18"/>
              </w:rPr>
            </w:pPr>
            <w:r w:rsidRPr="00AE0968">
              <w:rPr>
                <w:rFonts w:cstheme="majorHAnsi"/>
                <w:sz w:val="18"/>
                <w:szCs w:val="18"/>
                <w:lang w:val="ro-RO"/>
              </w:rPr>
              <w:t>În acest sens</w:t>
            </w:r>
            <w:r w:rsidR="005A2E8A">
              <w:rPr>
                <w:rFonts w:cstheme="majorHAnsi"/>
                <w:sz w:val="18"/>
                <w:szCs w:val="18"/>
                <w:lang w:val="ro-RO"/>
              </w:rPr>
              <w:t xml:space="preserve">, </w:t>
            </w:r>
            <w:r w:rsidRPr="00AE0968">
              <w:rPr>
                <w:rFonts w:cstheme="majorHAnsi"/>
                <w:sz w:val="18"/>
                <w:szCs w:val="18"/>
                <w:lang w:val="ro-RO"/>
              </w:rPr>
              <w:t xml:space="preserve">MF a elaborat și </w:t>
            </w:r>
            <w:r w:rsidR="005A2E8A">
              <w:rPr>
                <w:rFonts w:cstheme="majorHAnsi"/>
                <w:sz w:val="18"/>
                <w:szCs w:val="18"/>
                <w:lang w:val="ro-RO"/>
              </w:rPr>
              <w:t xml:space="preserve">a </w:t>
            </w:r>
            <w:r w:rsidRPr="00AE0968">
              <w:rPr>
                <w:rFonts w:cstheme="majorHAnsi"/>
                <w:sz w:val="18"/>
                <w:szCs w:val="18"/>
              </w:rPr>
              <w:t>prezentat Cancelariei de Stat</w:t>
            </w:r>
            <w:r w:rsidR="005A2E8A">
              <w:rPr>
                <w:rFonts w:cstheme="majorHAnsi"/>
                <w:sz w:val="18"/>
                <w:szCs w:val="18"/>
              </w:rPr>
              <w:t>,</w:t>
            </w:r>
            <w:r w:rsidRPr="00AE0968">
              <w:rPr>
                <w:rFonts w:cstheme="majorHAnsi"/>
                <w:sz w:val="18"/>
                <w:szCs w:val="18"/>
              </w:rPr>
              <w:t xml:space="preserve"> prin scrisoarea nr.11/1-3/258/1502 din 09.12.2020</w:t>
            </w:r>
            <w:r w:rsidR="005A2E8A">
              <w:rPr>
                <w:rFonts w:cstheme="majorHAnsi"/>
                <w:sz w:val="18"/>
                <w:szCs w:val="18"/>
              </w:rPr>
              <w:t>,</w:t>
            </w:r>
            <w:r w:rsidRPr="00AE0968">
              <w:rPr>
                <w:rFonts w:cstheme="majorHAnsi"/>
                <w:sz w:val="18"/>
                <w:szCs w:val="18"/>
              </w:rPr>
              <w:t xml:space="preserve"> pentru înregistrare și examinare în ședința secretarilor generali</w:t>
            </w:r>
            <w:r w:rsidRPr="00AE0968">
              <w:rPr>
                <w:rFonts w:cstheme="majorHAnsi"/>
                <w:sz w:val="18"/>
                <w:szCs w:val="18"/>
                <w:lang w:val="ro-RO"/>
              </w:rPr>
              <w:t xml:space="preserve"> </w:t>
            </w:r>
            <w:r w:rsidRPr="00AE0968">
              <w:rPr>
                <w:rFonts w:cstheme="majorHAnsi"/>
                <w:sz w:val="18"/>
                <w:szCs w:val="18"/>
              </w:rPr>
              <w:t>Proiectul hotărârii de Guvern</w:t>
            </w:r>
            <w:r w:rsidR="005A2E8A">
              <w:rPr>
                <w:rFonts w:cstheme="majorHAnsi"/>
                <w:sz w:val="18"/>
                <w:szCs w:val="18"/>
              </w:rPr>
              <w:t xml:space="preserve"> </w:t>
            </w:r>
            <w:r w:rsidRPr="00AE0968">
              <w:rPr>
                <w:rFonts w:cstheme="majorHAnsi"/>
                <w:sz w:val="18"/>
                <w:szCs w:val="18"/>
              </w:rPr>
              <w:t>,,Cu privire la aprobarea Conceptului Programului de vânzare directă a valorilor mobiliare de stat persoanelor fizice în RM". Ulterior</w:t>
            </w:r>
            <w:r w:rsidR="005A2E8A">
              <w:rPr>
                <w:rFonts w:cstheme="majorHAnsi"/>
                <w:sz w:val="18"/>
                <w:szCs w:val="18"/>
              </w:rPr>
              <w:t>,</w:t>
            </w:r>
            <w:r w:rsidRPr="00AE0968">
              <w:rPr>
                <w:rFonts w:cstheme="majorHAnsi"/>
                <w:sz w:val="18"/>
                <w:szCs w:val="18"/>
              </w:rPr>
              <w:t xml:space="preserve"> Cancelaria de Stat, </w:t>
            </w:r>
            <w:r w:rsidR="005A2E8A">
              <w:rPr>
                <w:rFonts w:cstheme="majorHAnsi"/>
                <w:sz w:val="18"/>
                <w:szCs w:val="18"/>
              </w:rPr>
              <w:t>a înregistrat proiectul de hotărâ</w:t>
            </w:r>
            <w:r w:rsidRPr="00AE0968">
              <w:rPr>
                <w:rFonts w:cstheme="majorHAnsi"/>
                <w:sz w:val="18"/>
                <w:szCs w:val="18"/>
              </w:rPr>
              <w:t xml:space="preserve">re sus-menționat (număr unic 1004/MF/2020) și </w:t>
            </w:r>
            <w:r w:rsidR="005A2E8A">
              <w:rPr>
                <w:rFonts w:cstheme="majorHAnsi"/>
                <w:sz w:val="18"/>
                <w:szCs w:val="18"/>
              </w:rPr>
              <w:t xml:space="preserve">l-a </w:t>
            </w:r>
            <w:r w:rsidRPr="00AE0968">
              <w:rPr>
                <w:rFonts w:cstheme="majorHAnsi"/>
                <w:sz w:val="18"/>
                <w:szCs w:val="18"/>
              </w:rPr>
              <w:t>remis spre avizare, expertiză juridică și expertiză anticorupție autorităților vizate, prin scrisoare</w:t>
            </w:r>
            <w:r w:rsidR="005A2E8A">
              <w:rPr>
                <w:rFonts w:cstheme="majorHAnsi"/>
                <w:sz w:val="18"/>
                <w:szCs w:val="18"/>
              </w:rPr>
              <w:t>a nr.18-23-11178 din 10.12.2020</w:t>
            </w:r>
          </w:p>
        </w:tc>
        <w:tc>
          <w:tcPr>
            <w:tcW w:w="2977" w:type="dxa"/>
          </w:tcPr>
          <w:p w14:paraId="02100E60" w14:textId="77777777" w:rsidR="00AE0968" w:rsidRPr="00AE0968" w:rsidRDefault="00AE0968" w:rsidP="00AE0968">
            <w:pPr>
              <w:jc w:val="center"/>
              <w:rPr>
                <w:rFonts w:cstheme="majorHAnsi"/>
                <w:b/>
                <w:sz w:val="18"/>
                <w:szCs w:val="18"/>
                <w:lang w:val="ro-MD"/>
              </w:rPr>
            </w:pPr>
          </w:p>
        </w:tc>
        <w:tc>
          <w:tcPr>
            <w:tcW w:w="992" w:type="dxa"/>
          </w:tcPr>
          <w:p w14:paraId="3D042D07" w14:textId="77777777" w:rsidR="00AE0968" w:rsidRPr="00AE0968" w:rsidRDefault="00AE0968" w:rsidP="00AE0968">
            <w:pPr>
              <w:jc w:val="center"/>
              <w:rPr>
                <w:rFonts w:cstheme="majorHAnsi"/>
                <w:b/>
                <w:sz w:val="18"/>
                <w:szCs w:val="18"/>
                <w:lang w:val="ro-MD"/>
              </w:rPr>
            </w:pPr>
          </w:p>
        </w:tc>
        <w:tc>
          <w:tcPr>
            <w:tcW w:w="992" w:type="dxa"/>
          </w:tcPr>
          <w:p w14:paraId="64402934"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V</w:t>
            </w:r>
          </w:p>
        </w:tc>
        <w:tc>
          <w:tcPr>
            <w:tcW w:w="949" w:type="dxa"/>
          </w:tcPr>
          <w:p w14:paraId="0C79A18F" w14:textId="77777777" w:rsidR="00AE0968" w:rsidRPr="00AE0968" w:rsidRDefault="00AE0968" w:rsidP="00AE0968">
            <w:pPr>
              <w:jc w:val="both"/>
              <w:rPr>
                <w:rFonts w:cstheme="majorHAnsi"/>
                <w:b/>
                <w:sz w:val="18"/>
                <w:szCs w:val="18"/>
                <w:lang w:val="ro-MD"/>
              </w:rPr>
            </w:pPr>
          </w:p>
        </w:tc>
      </w:tr>
      <w:tr w:rsidR="00B176C3" w:rsidRPr="00AE0968" w14:paraId="6A3B03AC" w14:textId="77777777" w:rsidTr="00BD0E31">
        <w:tc>
          <w:tcPr>
            <w:tcW w:w="2338" w:type="dxa"/>
          </w:tcPr>
          <w:p w14:paraId="40ED48EE" w14:textId="77777777" w:rsidR="00AE0968" w:rsidRPr="00AE0968" w:rsidRDefault="00AE0968" w:rsidP="00AE0968">
            <w:pPr>
              <w:numPr>
                <w:ilvl w:val="0"/>
                <w:numId w:val="18"/>
              </w:numPr>
              <w:tabs>
                <w:tab w:val="left" w:pos="312"/>
              </w:tabs>
              <w:ind w:left="0" w:firstLine="0"/>
              <w:jc w:val="both"/>
              <w:rPr>
                <w:rFonts w:cstheme="majorHAnsi"/>
                <w:sz w:val="18"/>
                <w:szCs w:val="18"/>
                <w:lang w:val="ro-RO" w:eastAsia="ru-RU"/>
              </w:rPr>
            </w:pPr>
            <w:r w:rsidRPr="00AE0968">
              <w:rPr>
                <w:rFonts w:cstheme="majorHAnsi"/>
                <w:sz w:val="18"/>
                <w:szCs w:val="18"/>
                <w:lang w:val="ro-RO" w:eastAsia="ru-RU"/>
              </w:rPr>
              <w:t>Să continue analiza condițiilor financiare ale împrumuturilor externe noi ce urmează a fi contractate, în vederea acceptării condițiilor optime în funcție de raportul cost-risc.</w:t>
            </w:r>
          </w:p>
        </w:tc>
        <w:tc>
          <w:tcPr>
            <w:tcW w:w="6304" w:type="dxa"/>
          </w:tcPr>
          <w:p w14:paraId="0EA384B6" w14:textId="6C025D2E" w:rsidR="00AE0968" w:rsidRPr="00AE0968" w:rsidRDefault="00AE0968" w:rsidP="00AE0968">
            <w:pPr>
              <w:jc w:val="both"/>
              <w:rPr>
                <w:rFonts w:cstheme="majorHAnsi"/>
                <w:sz w:val="18"/>
                <w:szCs w:val="18"/>
                <w:lang w:val="ro-MD"/>
              </w:rPr>
            </w:pPr>
            <w:r w:rsidRPr="00AE0968">
              <w:rPr>
                <w:rFonts w:cstheme="majorHAnsi"/>
                <w:sz w:val="18"/>
                <w:szCs w:val="18"/>
                <w:lang w:val="ro-RO"/>
              </w:rPr>
              <w:t>Î</w:t>
            </w:r>
            <w:r w:rsidRPr="00AE0968">
              <w:rPr>
                <w:rFonts w:cstheme="majorHAnsi"/>
                <w:sz w:val="18"/>
                <w:szCs w:val="18"/>
                <w:lang w:val="ro-MD"/>
              </w:rPr>
              <w:t>n vederea acceptării condițiilor optime în funcție de raportul cost-risc ale împrumuturilor, MF negociază și semnează acorduri noi de împrumut la condiții financiare avantajoase (ex.maturitate, rată a dobînzii, etc). Astfel, pe pa</w:t>
            </w:r>
            <w:r w:rsidR="002A1D99">
              <w:rPr>
                <w:rFonts w:cstheme="majorHAnsi"/>
                <w:sz w:val="18"/>
                <w:szCs w:val="18"/>
                <w:lang w:val="ro-MD"/>
              </w:rPr>
              <w:t xml:space="preserve">rcursul perioadei de referință </w:t>
            </w:r>
            <w:r w:rsidR="002A1D99">
              <w:rPr>
                <w:rFonts w:cstheme="majorHAnsi"/>
                <w:sz w:val="18"/>
                <w:szCs w:val="18"/>
                <w:u w:val="single"/>
                <w:lang w:val="ro-MD"/>
              </w:rPr>
              <w:t>a</w:t>
            </w:r>
            <w:r w:rsidRPr="00AE0968">
              <w:rPr>
                <w:rFonts w:cstheme="majorHAnsi"/>
                <w:sz w:val="18"/>
                <w:szCs w:val="18"/>
                <w:u w:val="single"/>
                <w:lang w:val="ro-MD"/>
              </w:rPr>
              <w:t>u fost negociate si semnate 2 acorduri</w:t>
            </w:r>
            <w:r w:rsidRPr="00AE0968">
              <w:rPr>
                <w:rFonts w:cstheme="majorHAnsi"/>
                <w:sz w:val="18"/>
                <w:szCs w:val="18"/>
                <w:lang w:val="ro-MD"/>
              </w:rPr>
              <w:t>:</w:t>
            </w:r>
          </w:p>
          <w:p w14:paraId="3226E760" w14:textId="77777777" w:rsidR="00AE0968" w:rsidRPr="00AE0968" w:rsidRDefault="00AE0968" w:rsidP="00AE0968">
            <w:pPr>
              <w:jc w:val="both"/>
              <w:rPr>
                <w:rFonts w:cstheme="majorHAnsi"/>
                <w:sz w:val="18"/>
                <w:szCs w:val="18"/>
                <w:lang w:val="ro-MD"/>
              </w:rPr>
            </w:pPr>
            <w:r w:rsidRPr="00AE0968">
              <w:rPr>
                <w:rFonts w:cstheme="majorHAnsi"/>
                <w:b/>
                <w:i/>
                <w:sz w:val="18"/>
                <w:szCs w:val="18"/>
                <w:lang w:val="ro-MD"/>
              </w:rPr>
              <w:t>1. Acordul de împrumut dintre Republica Moldova Banca Internațională pentru Reconstrucție și Dezvoltare,</w:t>
            </w:r>
            <w:r w:rsidRPr="00AE0968">
              <w:rPr>
                <w:rFonts w:cstheme="majorHAnsi"/>
                <w:sz w:val="18"/>
                <w:szCs w:val="18"/>
                <w:lang w:val="ro-MD"/>
              </w:rPr>
              <w:t xml:space="preserve"> semnat la 30 septembrie 2020, privind realizarea celui de-al doilea Proiect de îmbunătățire a eficienței sistemului de alimentare centralizată cu energie termică, în sumă de 92,0 mil. euro, perioada de maturitate de 30 ani, inclusiv perioada de grație de 5 ani, rata dobânzii flotantă;</w:t>
            </w:r>
          </w:p>
          <w:p w14:paraId="19871CA1" w14:textId="5399315E" w:rsidR="00AE0968" w:rsidRPr="00AE0968" w:rsidRDefault="00AE0968" w:rsidP="00AE0968">
            <w:pPr>
              <w:jc w:val="both"/>
              <w:rPr>
                <w:rFonts w:cstheme="majorHAnsi"/>
                <w:sz w:val="18"/>
                <w:szCs w:val="18"/>
                <w:lang w:val="ro-MD"/>
              </w:rPr>
            </w:pPr>
            <w:r w:rsidRPr="00AE0968">
              <w:rPr>
                <w:rFonts w:cstheme="majorHAnsi"/>
                <w:b/>
                <w:i/>
                <w:sz w:val="18"/>
                <w:szCs w:val="18"/>
                <w:lang w:val="ro-MD"/>
              </w:rPr>
              <w:t>2. Acordul de împrumut dintre Republica Moldova și Asociația Internațională de Dezvoltare,</w:t>
            </w:r>
            <w:r w:rsidRPr="00AE0968">
              <w:rPr>
                <w:rFonts w:cstheme="majorHAnsi"/>
                <w:sz w:val="18"/>
                <w:szCs w:val="18"/>
                <w:lang w:val="ro-MD"/>
              </w:rPr>
              <w:t xml:space="preserve"> semnat la 01 octombrie 2020, pentru realizarea Proie</w:t>
            </w:r>
            <w:r w:rsidR="002A1D99">
              <w:rPr>
                <w:rFonts w:cstheme="majorHAnsi"/>
                <w:sz w:val="18"/>
                <w:szCs w:val="18"/>
                <w:lang w:val="ro-MD"/>
              </w:rPr>
              <w:t>ctului Agricultura Competitivă î</w:t>
            </w:r>
            <w:r w:rsidRPr="00AE0968">
              <w:rPr>
                <w:rFonts w:cstheme="majorHAnsi"/>
                <w:sz w:val="18"/>
                <w:szCs w:val="18"/>
                <w:lang w:val="ro-MD"/>
              </w:rPr>
              <w:t>n Moldova (Finanțare adițional</w:t>
            </w:r>
            <w:r w:rsidR="002A1D99">
              <w:rPr>
                <w:rFonts w:cstheme="majorHAnsi"/>
                <w:sz w:val="18"/>
                <w:szCs w:val="18"/>
                <w:lang w:val="ro-MD"/>
              </w:rPr>
              <w:t>ă</w:t>
            </w:r>
            <w:r w:rsidRPr="00AE0968">
              <w:rPr>
                <w:rFonts w:cstheme="majorHAnsi"/>
                <w:sz w:val="18"/>
                <w:szCs w:val="18"/>
                <w:lang w:val="ro-MD"/>
              </w:rPr>
              <w:t xml:space="preserve"> pentru gestionarea s</w:t>
            </w:r>
            <w:r w:rsidR="002A1D99">
              <w:rPr>
                <w:rFonts w:cstheme="majorHAnsi"/>
                <w:sz w:val="18"/>
                <w:szCs w:val="18"/>
                <w:lang w:val="ro-MD"/>
              </w:rPr>
              <w:t>ub-produselor de origine animală), î</w:t>
            </w:r>
            <w:r w:rsidRPr="00AE0968">
              <w:rPr>
                <w:rFonts w:cstheme="majorHAnsi"/>
                <w:sz w:val="18"/>
                <w:szCs w:val="18"/>
                <w:lang w:val="ro-MD"/>
              </w:rPr>
              <w:t xml:space="preserve">n valoare de 13,5 mil. euro, perioada de maturitate 30 ani, perioada de grație </w:t>
            </w:r>
            <w:r w:rsidR="002A1D99">
              <w:rPr>
                <w:rFonts w:cstheme="majorHAnsi"/>
                <w:sz w:val="18"/>
                <w:szCs w:val="18"/>
                <w:lang w:val="ro-MD"/>
              </w:rPr>
              <w:t>5 ani și rata dobânzii de 1,16%;</w:t>
            </w:r>
          </w:p>
          <w:p w14:paraId="6F61FC4A" w14:textId="4609E8B3" w:rsidR="00AE0968" w:rsidRPr="00AE0968" w:rsidRDefault="002A1D99" w:rsidP="00AE0968">
            <w:pPr>
              <w:jc w:val="both"/>
              <w:rPr>
                <w:rFonts w:cstheme="majorHAnsi"/>
                <w:sz w:val="18"/>
                <w:szCs w:val="18"/>
                <w:u w:val="single"/>
                <w:lang w:val="ro-MD"/>
              </w:rPr>
            </w:pPr>
            <w:r>
              <w:rPr>
                <w:rFonts w:cstheme="majorHAnsi"/>
                <w:sz w:val="18"/>
                <w:szCs w:val="18"/>
                <w:u w:val="single"/>
                <w:lang w:val="ro-MD"/>
              </w:rPr>
              <w:t>a</w:t>
            </w:r>
            <w:r w:rsidR="00AE0968" w:rsidRPr="00AE0968">
              <w:rPr>
                <w:rFonts w:cstheme="majorHAnsi"/>
                <w:sz w:val="18"/>
                <w:szCs w:val="18"/>
                <w:u w:val="single"/>
                <w:lang w:val="ro-MD"/>
              </w:rPr>
              <w:t>u fost inițiate negocieri la 2 împrumuturi de stat externe:</w:t>
            </w:r>
          </w:p>
          <w:p w14:paraId="1D189EBE" w14:textId="4EB277B4" w:rsidR="00AE0968" w:rsidRPr="00AE0968" w:rsidRDefault="00AE0968" w:rsidP="00AE0968">
            <w:pPr>
              <w:jc w:val="both"/>
              <w:rPr>
                <w:rFonts w:cstheme="majorHAnsi"/>
                <w:sz w:val="18"/>
                <w:szCs w:val="18"/>
                <w:lang w:val="ro-MD"/>
              </w:rPr>
            </w:pPr>
            <w:r w:rsidRPr="00AE0968">
              <w:rPr>
                <w:rFonts w:cstheme="majorHAnsi"/>
                <w:b/>
                <w:i/>
                <w:sz w:val="18"/>
                <w:szCs w:val="18"/>
                <w:lang w:val="ro-MD"/>
              </w:rPr>
              <w:t>1. Acordul dintre Guvernul Republicii Moldova și Guvernul Federației Ruse</w:t>
            </w:r>
            <w:r w:rsidRPr="00AE0968">
              <w:rPr>
                <w:rFonts w:cstheme="majorHAnsi"/>
                <w:sz w:val="18"/>
                <w:szCs w:val="18"/>
                <w:lang w:val="ro-MD"/>
              </w:rPr>
              <w:t xml:space="preserve"> privind acordarea Guvernului Republicii Moldova a unui împ</w:t>
            </w:r>
            <w:r w:rsidR="002A1D99">
              <w:rPr>
                <w:rFonts w:cstheme="majorHAnsi"/>
                <w:sz w:val="18"/>
                <w:szCs w:val="18"/>
                <w:lang w:val="ro-MD"/>
              </w:rPr>
              <w:t>rumut financiar de stat, in sumă</w:t>
            </w:r>
            <w:r w:rsidRPr="00AE0968">
              <w:rPr>
                <w:rFonts w:cstheme="majorHAnsi"/>
                <w:sz w:val="18"/>
                <w:szCs w:val="18"/>
                <w:lang w:val="ro-MD"/>
              </w:rPr>
              <w:t xml:space="preserve"> de 200,0 mil. euro;</w:t>
            </w:r>
          </w:p>
          <w:p w14:paraId="548E9C3D" w14:textId="35329EFC" w:rsidR="00AE0968" w:rsidRPr="00AE0968" w:rsidRDefault="00AE0968" w:rsidP="00AE0968">
            <w:pPr>
              <w:jc w:val="both"/>
              <w:rPr>
                <w:rFonts w:cstheme="majorHAnsi"/>
                <w:sz w:val="18"/>
                <w:szCs w:val="18"/>
                <w:lang w:val="ro-MD"/>
              </w:rPr>
            </w:pPr>
            <w:r w:rsidRPr="00AE0968">
              <w:rPr>
                <w:rFonts w:cstheme="majorHAnsi"/>
                <w:b/>
                <w:i/>
                <w:sz w:val="18"/>
                <w:szCs w:val="18"/>
                <w:lang w:val="ro-MD"/>
              </w:rPr>
              <w:t>2. Contractul de finanțare dintre Republica Moldova și Banca European</w:t>
            </w:r>
            <w:r w:rsidR="002A1D99">
              <w:rPr>
                <w:rFonts w:cstheme="majorHAnsi"/>
                <w:b/>
                <w:i/>
                <w:sz w:val="18"/>
                <w:szCs w:val="18"/>
                <w:lang w:val="ro-MD"/>
              </w:rPr>
              <w:t>ă</w:t>
            </w:r>
            <w:r w:rsidRPr="00AE0968">
              <w:rPr>
                <w:rFonts w:cstheme="majorHAnsi"/>
                <w:b/>
                <w:i/>
                <w:sz w:val="18"/>
                <w:szCs w:val="18"/>
                <w:lang w:val="ro-MD"/>
              </w:rPr>
              <w:t xml:space="preserve"> de Investiții privind realizarea Proiectului „Eficiența energetic</w:t>
            </w:r>
            <w:r w:rsidR="002A1D99">
              <w:rPr>
                <w:rFonts w:cstheme="majorHAnsi"/>
                <w:b/>
                <w:i/>
                <w:sz w:val="18"/>
                <w:szCs w:val="18"/>
                <w:lang w:val="ro-MD"/>
              </w:rPr>
              <w:t>ă</w:t>
            </w:r>
            <w:r w:rsidRPr="00AE0968">
              <w:rPr>
                <w:rFonts w:cstheme="majorHAnsi"/>
                <w:b/>
                <w:i/>
                <w:sz w:val="18"/>
                <w:szCs w:val="18"/>
                <w:lang w:val="ro-MD"/>
              </w:rPr>
              <w:t xml:space="preserve"> </w:t>
            </w:r>
            <w:r w:rsidR="002A1D99">
              <w:rPr>
                <w:rFonts w:cstheme="majorHAnsi"/>
                <w:b/>
                <w:i/>
                <w:sz w:val="18"/>
                <w:szCs w:val="18"/>
                <w:lang w:val="ro-MD"/>
              </w:rPr>
              <w:t>î</w:t>
            </w:r>
            <w:r w:rsidRPr="00AE0968">
              <w:rPr>
                <w:rFonts w:cstheme="majorHAnsi"/>
                <w:b/>
                <w:i/>
                <w:sz w:val="18"/>
                <w:szCs w:val="18"/>
                <w:lang w:val="ro-MD"/>
              </w:rPr>
              <w:t>n Republica Moldova”</w:t>
            </w:r>
            <w:r w:rsidR="002A1D99">
              <w:rPr>
                <w:rFonts w:cstheme="majorHAnsi"/>
                <w:sz w:val="18"/>
                <w:szCs w:val="18"/>
                <w:lang w:val="ro-MD"/>
              </w:rPr>
              <w:t>, în sumă</w:t>
            </w:r>
            <w:r w:rsidRPr="00AE0968">
              <w:rPr>
                <w:rFonts w:cstheme="majorHAnsi"/>
                <w:sz w:val="18"/>
                <w:szCs w:val="18"/>
                <w:lang w:val="ro-MD"/>
              </w:rPr>
              <w:t xml:space="preserve"> de 30,0 mil. </w:t>
            </w:r>
            <w:r w:rsidR="002A1D99">
              <w:rPr>
                <w:rFonts w:cstheme="majorHAnsi"/>
                <w:sz w:val="18"/>
                <w:szCs w:val="18"/>
                <w:lang w:val="ro-MD"/>
              </w:rPr>
              <w:t>E</w:t>
            </w:r>
            <w:r w:rsidRPr="00AE0968">
              <w:rPr>
                <w:rFonts w:cstheme="majorHAnsi"/>
                <w:sz w:val="18"/>
                <w:szCs w:val="18"/>
                <w:lang w:val="ro-MD"/>
              </w:rPr>
              <w:t>uro, care prevede maturitate de 20 ani, inclusiv 5 ani perioada de grați</w:t>
            </w:r>
            <w:r w:rsidR="002A1D99">
              <w:rPr>
                <w:rFonts w:cstheme="majorHAnsi"/>
                <w:sz w:val="18"/>
                <w:szCs w:val="18"/>
                <w:lang w:val="ro-MD"/>
              </w:rPr>
              <w:t>e. Rata dobânzii va fi stabilită la fiecare debursare în parte î</w:t>
            </w:r>
            <w:r w:rsidRPr="00AE0968">
              <w:rPr>
                <w:rFonts w:cstheme="majorHAnsi"/>
                <w:sz w:val="18"/>
                <w:szCs w:val="18"/>
                <w:lang w:val="ro-MD"/>
              </w:rPr>
              <w:t xml:space="preserve">n </w:t>
            </w:r>
            <w:r w:rsidR="002A1D99">
              <w:rPr>
                <w:rFonts w:cstheme="majorHAnsi"/>
                <w:sz w:val="18"/>
                <w:szCs w:val="18"/>
                <w:lang w:val="ro-MD"/>
              </w:rPr>
              <w:t xml:space="preserve">funcție </w:t>
            </w:r>
            <w:r w:rsidRPr="00AE0968">
              <w:rPr>
                <w:rFonts w:cstheme="majorHAnsi"/>
                <w:sz w:val="18"/>
                <w:szCs w:val="18"/>
                <w:lang w:val="ro-MD"/>
              </w:rPr>
              <w:t>de ratele aplicabile pe piața internațională.</w:t>
            </w:r>
          </w:p>
          <w:p w14:paraId="7E0CB95B" w14:textId="72504DFC" w:rsidR="00AE0968" w:rsidRPr="00AE0968" w:rsidRDefault="00AE0968" w:rsidP="00AE0968">
            <w:pPr>
              <w:jc w:val="both"/>
              <w:rPr>
                <w:rFonts w:cstheme="majorHAnsi"/>
                <w:sz w:val="18"/>
                <w:szCs w:val="18"/>
                <w:lang w:val="ro-MD"/>
              </w:rPr>
            </w:pPr>
            <w:r w:rsidRPr="00AE0968">
              <w:rPr>
                <w:rFonts w:cstheme="majorHAnsi"/>
                <w:sz w:val="18"/>
                <w:szCs w:val="18"/>
                <w:lang w:val="ro-MD"/>
              </w:rPr>
              <w:t>La fel, de MF sunt analizate și ulterior acceptate ofertele de debursare din contul împrumuturilor semnate cu creditorii: Banca Europeană de Investiții (BEI) și Banca de Dezvoltare a Consiliului Europei (BDCE) la condițiile financiare ce asigură menținerea parametrilor stabiliți a structurii portofoliului datoriei de stat. Astfel, în perioada de referință au fost analizate 8 oferte de debursare cu opțiuni multiple de condiții financiare din contul împrumutului acordat de către:</w:t>
            </w:r>
          </w:p>
          <w:p w14:paraId="492FD929" w14:textId="77777777" w:rsidR="00AE0968" w:rsidRPr="00AE0968" w:rsidRDefault="00AE0968" w:rsidP="00AE0968">
            <w:pPr>
              <w:jc w:val="both"/>
              <w:rPr>
                <w:rFonts w:cstheme="majorHAnsi"/>
                <w:sz w:val="18"/>
                <w:szCs w:val="18"/>
                <w:lang w:val="ro-MD"/>
              </w:rPr>
            </w:pPr>
            <w:r w:rsidRPr="00AE0968">
              <w:rPr>
                <w:rFonts w:cstheme="majorHAnsi"/>
                <w:sz w:val="18"/>
                <w:szCs w:val="18"/>
                <w:lang w:val="ro-MD"/>
              </w:rPr>
              <w:t>- Banca Europeană de Investiții pentru realizarea proiectului „Livada Moldovei”, fiind acceptate 3 oferte;</w:t>
            </w:r>
          </w:p>
          <w:p w14:paraId="4BAAD289" w14:textId="77777777" w:rsidR="00AE0968" w:rsidRPr="00AE0968" w:rsidRDefault="00AE0968" w:rsidP="00AE0968">
            <w:pPr>
              <w:jc w:val="both"/>
              <w:rPr>
                <w:rFonts w:cstheme="majorHAnsi"/>
                <w:sz w:val="18"/>
                <w:szCs w:val="18"/>
                <w:lang w:val="ro-MD"/>
              </w:rPr>
            </w:pPr>
            <w:r w:rsidRPr="00AE0968">
              <w:rPr>
                <w:rFonts w:cstheme="majorHAnsi"/>
                <w:sz w:val="18"/>
                <w:szCs w:val="18"/>
                <w:lang w:val="ro-MD"/>
              </w:rPr>
              <w:t>- Banca Europeană de Investiții pentru realizarea proiectului „MOLDOVA ROADS II”, fiind acceptată о ofertă;</w:t>
            </w:r>
          </w:p>
          <w:p w14:paraId="735BA709" w14:textId="0D7EEE4E" w:rsidR="00AE0968" w:rsidRPr="00AE0968" w:rsidRDefault="00AE0968" w:rsidP="00AE0968">
            <w:pPr>
              <w:jc w:val="both"/>
              <w:rPr>
                <w:rFonts w:cstheme="majorHAnsi"/>
                <w:sz w:val="18"/>
                <w:szCs w:val="18"/>
                <w:lang w:val="ro-MD"/>
              </w:rPr>
            </w:pPr>
            <w:r w:rsidRPr="00AE0968">
              <w:rPr>
                <w:rFonts w:cstheme="majorHAnsi"/>
                <w:sz w:val="18"/>
                <w:szCs w:val="18"/>
                <w:lang w:val="ro-MD"/>
              </w:rPr>
              <w:t>- Banca Europeană de Investiții pentru realizarea proiectului „MOLDOVA ROAD</w:t>
            </w:r>
            <w:r w:rsidR="00DA4C75">
              <w:rPr>
                <w:rFonts w:cstheme="majorHAnsi"/>
                <w:sz w:val="18"/>
                <w:szCs w:val="18"/>
                <w:lang w:val="ro-MD"/>
              </w:rPr>
              <w:t>S III”, fiind acceptată о ofertă</w:t>
            </w:r>
            <w:r w:rsidRPr="00AE0968">
              <w:rPr>
                <w:rFonts w:cstheme="majorHAnsi"/>
                <w:sz w:val="18"/>
                <w:szCs w:val="18"/>
                <w:lang w:val="ro-MD"/>
              </w:rPr>
              <w:t>;</w:t>
            </w:r>
          </w:p>
          <w:p w14:paraId="1E23F93C" w14:textId="77777777" w:rsidR="00AE0968" w:rsidRPr="00AE0968" w:rsidRDefault="00AE0968" w:rsidP="00AE0968">
            <w:pPr>
              <w:jc w:val="both"/>
              <w:rPr>
                <w:rFonts w:cstheme="majorHAnsi"/>
                <w:sz w:val="18"/>
                <w:szCs w:val="18"/>
                <w:lang w:val="ro-MD"/>
              </w:rPr>
            </w:pPr>
            <w:r w:rsidRPr="00AE0968">
              <w:rPr>
                <w:rFonts w:cstheme="majorHAnsi"/>
                <w:sz w:val="18"/>
                <w:szCs w:val="18"/>
                <w:lang w:val="ro-MD"/>
              </w:rPr>
              <w:t>- Banca Europeană de Investiții pentru realizarea proiectului „Reabilitarea rețelei electrice de</w:t>
            </w:r>
            <w:r w:rsidRPr="00AE0968">
              <w:rPr>
                <w:rFonts w:cstheme="majorHAnsi"/>
                <w:sz w:val="18"/>
                <w:szCs w:val="18"/>
                <w:lang w:val="ro-MD"/>
              </w:rPr>
              <w:tab/>
              <w:t>transport a Î.S. „Moldelectrica”, fiind acceptată о ofertă;</w:t>
            </w:r>
          </w:p>
          <w:p w14:paraId="651D3B1A" w14:textId="77777777" w:rsidR="00AE0968" w:rsidRPr="00AE0968" w:rsidRDefault="00AE0968" w:rsidP="00AE0968">
            <w:pPr>
              <w:jc w:val="both"/>
              <w:rPr>
                <w:rFonts w:cstheme="majorHAnsi"/>
                <w:sz w:val="18"/>
                <w:szCs w:val="18"/>
                <w:lang w:val="ro-MD"/>
              </w:rPr>
            </w:pPr>
            <w:r w:rsidRPr="00AE0968">
              <w:rPr>
                <w:rFonts w:cstheme="majorHAnsi"/>
                <w:sz w:val="18"/>
                <w:szCs w:val="18"/>
                <w:lang w:val="ro-MD"/>
              </w:rPr>
              <w:t>- Banca de Dezvoltare a Consiliului Europei pentru realizarea Proiectului privind proiectul „Răspuns de urgență la COVID-19 și suport pentru întreprinderile micro, mici și mijlocii”, fiind acceptată о ofertă.</w:t>
            </w:r>
          </w:p>
          <w:p w14:paraId="2D713927" w14:textId="4AF054A3" w:rsidR="00AE0968" w:rsidRPr="00AE0968" w:rsidRDefault="00AE0968" w:rsidP="00AE0968">
            <w:pPr>
              <w:jc w:val="both"/>
              <w:rPr>
                <w:rFonts w:cstheme="majorHAnsi"/>
                <w:sz w:val="18"/>
                <w:szCs w:val="18"/>
                <w:lang w:val="ro-MD"/>
              </w:rPr>
            </w:pPr>
            <w:r w:rsidRPr="00AE0968">
              <w:rPr>
                <w:rFonts w:cstheme="majorHAnsi"/>
                <w:sz w:val="18"/>
                <w:szCs w:val="18"/>
                <w:lang w:val="ro-MD"/>
              </w:rPr>
              <w:t>Toate ofertele acceptate, în opinia MF, au fo</w:t>
            </w:r>
            <w:r w:rsidR="00D13D00">
              <w:rPr>
                <w:rFonts w:cstheme="majorHAnsi"/>
                <w:sz w:val="18"/>
                <w:szCs w:val="18"/>
                <w:lang w:val="ro-MD"/>
              </w:rPr>
              <w:t>st cu cele mai optime condiții î</w:t>
            </w:r>
            <w:r w:rsidRPr="00AE0968">
              <w:rPr>
                <w:rFonts w:cstheme="majorHAnsi"/>
                <w:sz w:val="18"/>
                <w:szCs w:val="18"/>
                <w:lang w:val="ro-MD"/>
              </w:rPr>
              <w:t>n termeni de m</w:t>
            </w:r>
            <w:r w:rsidR="00D13D00">
              <w:rPr>
                <w:rFonts w:cstheme="majorHAnsi"/>
                <w:sz w:val="18"/>
                <w:szCs w:val="18"/>
                <w:lang w:val="ro-MD"/>
              </w:rPr>
              <w:t>aturitate a împrumutului și rată</w:t>
            </w:r>
            <w:r w:rsidR="00CF5DC8">
              <w:rPr>
                <w:rFonts w:cstheme="majorHAnsi"/>
                <w:sz w:val="18"/>
                <w:szCs w:val="18"/>
                <w:lang w:val="ro-MD"/>
              </w:rPr>
              <w:t xml:space="preserve"> a dobânzii</w:t>
            </w:r>
          </w:p>
        </w:tc>
        <w:tc>
          <w:tcPr>
            <w:tcW w:w="2977" w:type="dxa"/>
          </w:tcPr>
          <w:p w14:paraId="6BAA4570" w14:textId="77777777" w:rsidR="00AE0968" w:rsidRPr="00AE0968" w:rsidRDefault="00AE0968" w:rsidP="00AE0968">
            <w:pPr>
              <w:jc w:val="center"/>
              <w:rPr>
                <w:rFonts w:cstheme="majorHAnsi"/>
                <w:b/>
                <w:sz w:val="18"/>
                <w:szCs w:val="18"/>
                <w:lang w:val="ro-MD"/>
              </w:rPr>
            </w:pPr>
          </w:p>
        </w:tc>
        <w:tc>
          <w:tcPr>
            <w:tcW w:w="992" w:type="dxa"/>
          </w:tcPr>
          <w:p w14:paraId="7E36C355"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V</w:t>
            </w:r>
          </w:p>
        </w:tc>
        <w:tc>
          <w:tcPr>
            <w:tcW w:w="992" w:type="dxa"/>
          </w:tcPr>
          <w:p w14:paraId="15F09894" w14:textId="77777777" w:rsidR="00AE0968" w:rsidRPr="00AE0968" w:rsidRDefault="00AE0968" w:rsidP="00AE0968">
            <w:pPr>
              <w:jc w:val="both"/>
              <w:rPr>
                <w:rFonts w:cstheme="majorHAnsi"/>
                <w:b/>
                <w:sz w:val="18"/>
                <w:szCs w:val="18"/>
                <w:lang w:val="ro-MD"/>
              </w:rPr>
            </w:pPr>
          </w:p>
        </w:tc>
        <w:tc>
          <w:tcPr>
            <w:tcW w:w="949" w:type="dxa"/>
          </w:tcPr>
          <w:p w14:paraId="4A1A339E" w14:textId="77777777" w:rsidR="00AE0968" w:rsidRPr="00AE0968" w:rsidRDefault="00AE0968" w:rsidP="00AE0968">
            <w:pPr>
              <w:jc w:val="both"/>
              <w:rPr>
                <w:rFonts w:cstheme="majorHAnsi"/>
                <w:b/>
                <w:sz w:val="18"/>
                <w:szCs w:val="18"/>
                <w:lang w:val="ro-MD"/>
              </w:rPr>
            </w:pPr>
          </w:p>
        </w:tc>
      </w:tr>
      <w:tr w:rsidR="00B176C3" w:rsidRPr="00AE0968" w14:paraId="051E2457" w14:textId="77777777" w:rsidTr="00BD0E31">
        <w:tc>
          <w:tcPr>
            <w:tcW w:w="2338" w:type="dxa"/>
          </w:tcPr>
          <w:p w14:paraId="7508BE10" w14:textId="388F4993" w:rsidR="00AE0968" w:rsidRPr="00AE0968" w:rsidRDefault="00AE0968" w:rsidP="00AE0968">
            <w:pPr>
              <w:numPr>
                <w:ilvl w:val="0"/>
                <w:numId w:val="18"/>
              </w:numPr>
              <w:tabs>
                <w:tab w:val="left" w:pos="264"/>
              </w:tabs>
              <w:ind w:left="0" w:firstLine="0"/>
              <w:jc w:val="both"/>
              <w:rPr>
                <w:rFonts w:cstheme="majorHAnsi"/>
                <w:sz w:val="18"/>
                <w:szCs w:val="18"/>
                <w:lang w:val="ro-RO" w:eastAsia="ru-RU"/>
              </w:rPr>
            </w:pPr>
            <w:r w:rsidRPr="00AE0968">
              <w:rPr>
                <w:rFonts w:cstheme="majorHAnsi"/>
                <w:sz w:val="18"/>
                <w:szCs w:val="18"/>
                <w:lang w:val="ro-RO" w:eastAsia="ru-RU"/>
              </w:rPr>
              <w:t>Să asigure monitorizarea și recuperarea împrumuturilo</w:t>
            </w:r>
            <w:r w:rsidR="00CF5DC8">
              <w:rPr>
                <w:rFonts w:cstheme="majorHAnsi"/>
                <w:sz w:val="18"/>
                <w:szCs w:val="18"/>
                <w:lang w:val="ro-RO" w:eastAsia="ru-RU"/>
              </w:rPr>
              <w:t>r acordate sub garanții de stat</w:t>
            </w:r>
          </w:p>
        </w:tc>
        <w:tc>
          <w:tcPr>
            <w:tcW w:w="6304" w:type="dxa"/>
          </w:tcPr>
          <w:p w14:paraId="6B70712F" w14:textId="0659FDF8" w:rsidR="00AE0968" w:rsidRPr="00AE0968" w:rsidRDefault="00AE0968" w:rsidP="00AE0968">
            <w:pPr>
              <w:jc w:val="both"/>
              <w:rPr>
                <w:rFonts w:cstheme="majorHAnsi"/>
                <w:i/>
                <w:sz w:val="18"/>
                <w:szCs w:val="18"/>
                <w:lang w:val="ro-MD"/>
              </w:rPr>
            </w:pPr>
            <w:r w:rsidRPr="00AE0968">
              <w:rPr>
                <w:rFonts w:cstheme="majorHAnsi"/>
                <w:sz w:val="18"/>
                <w:szCs w:val="18"/>
                <w:lang w:val="ro-MD"/>
              </w:rPr>
              <w:t>În acest sens, lunar sunt întocmite Rapoarte privind garanțiile de stat interne în baza rapoartelor privind situația beneficiarilor Programului de stat „Prima casă”, prezentate de către creditori în co</w:t>
            </w:r>
            <w:r w:rsidR="00CF5DC8">
              <w:rPr>
                <w:rFonts w:cstheme="majorHAnsi"/>
                <w:sz w:val="18"/>
                <w:szCs w:val="18"/>
                <w:lang w:val="ro-MD"/>
              </w:rPr>
              <w:t>nformitate cu prevederile Hotărâ</w:t>
            </w:r>
            <w:r w:rsidRPr="00AE0968">
              <w:rPr>
                <w:rFonts w:cstheme="majorHAnsi"/>
                <w:sz w:val="18"/>
                <w:szCs w:val="18"/>
                <w:lang w:val="ro-MD"/>
              </w:rPr>
              <w:t>rii Guvernului nr.202/2018 „Cu privire la aprobarea Regulamentului de implementare a Programului de stat „Prima casă”</w:t>
            </w:r>
            <w:r w:rsidR="00CF5DC8">
              <w:rPr>
                <w:rFonts w:cstheme="majorHAnsi"/>
                <w:sz w:val="18"/>
                <w:szCs w:val="18"/>
                <w:lang w:val="ro-MD"/>
              </w:rPr>
              <w:t>”</w:t>
            </w:r>
            <w:r w:rsidRPr="00AE0968">
              <w:rPr>
                <w:rFonts w:cstheme="majorHAnsi"/>
                <w:sz w:val="18"/>
                <w:szCs w:val="18"/>
                <w:lang w:val="ro-MD"/>
              </w:rPr>
              <w:t xml:space="preserve"> și Ordinului </w:t>
            </w:r>
            <w:r w:rsidR="00CF5DC8">
              <w:rPr>
                <w:rFonts w:cstheme="majorHAnsi"/>
                <w:sz w:val="18"/>
                <w:szCs w:val="18"/>
                <w:lang w:val="ro-MD"/>
              </w:rPr>
              <w:t>m</w:t>
            </w:r>
            <w:r w:rsidRPr="00AE0968">
              <w:rPr>
                <w:rFonts w:cstheme="majorHAnsi"/>
                <w:sz w:val="18"/>
                <w:szCs w:val="18"/>
                <w:lang w:val="ro-MD"/>
              </w:rPr>
              <w:t>inistrului Finanțelor nr.97 din 22.05.2018. Astfel, pe parcursul perioadei de referință au fost întocmite 6 rapoarte privind situația beneficiarilor P</w:t>
            </w:r>
            <w:r w:rsidR="00CF5DC8">
              <w:rPr>
                <w:rFonts w:cstheme="majorHAnsi"/>
                <w:sz w:val="18"/>
                <w:szCs w:val="18"/>
                <w:lang w:val="ro-MD"/>
              </w:rPr>
              <w:t>rogramului de stat „Prima casă”</w:t>
            </w:r>
            <w:r w:rsidRPr="00AE0968">
              <w:rPr>
                <w:rFonts w:cstheme="majorHAnsi"/>
                <w:sz w:val="18"/>
                <w:szCs w:val="18"/>
                <w:lang w:val="ro-MD"/>
              </w:rPr>
              <w:t>. Raportul privind garanțiile de stat este publicat pe pagina web a Mini</w:t>
            </w:r>
            <w:r w:rsidR="00CF5DC8">
              <w:rPr>
                <w:rFonts w:cstheme="majorHAnsi"/>
                <w:sz w:val="18"/>
                <w:szCs w:val="18"/>
                <w:lang w:val="ro-MD"/>
              </w:rPr>
              <w:t xml:space="preserve">sterului Finanțelor </w:t>
            </w:r>
            <w:r w:rsidRPr="00AE0968">
              <w:rPr>
                <w:rFonts w:cstheme="majorHAnsi"/>
                <w:sz w:val="18"/>
                <w:szCs w:val="18"/>
                <w:lang w:val="ro-MD"/>
              </w:rPr>
              <w:t xml:space="preserve">și poate fi accesat la următorul link: </w:t>
            </w:r>
            <w:hyperlink r:id="rId19" w:history="1">
              <w:r w:rsidRPr="00AE0968">
                <w:rPr>
                  <w:rFonts w:cstheme="majorHAnsi"/>
                  <w:i/>
                  <w:color w:val="0563C1" w:themeColor="hyperlink"/>
                  <w:sz w:val="18"/>
                  <w:szCs w:val="18"/>
                  <w:u w:val="single"/>
                  <w:lang w:val="ro-MD"/>
                </w:rPr>
                <w:t>http://mf.gov.md/ro/datoria</w:t>
              </w:r>
            </w:hyperlink>
            <w:r w:rsidRPr="00AE0968">
              <w:rPr>
                <w:rFonts w:cstheme="majorHAnsi"/>
                <w:i/>
                <w:sz w:val="18"/>
                <w:szCs w:val="18"/>
                <w:lang w:val="ro-MD"/>
              </w:rPr>
              <w:t>sectoruluipublic/garan%C8%9Biile-de-stat.</w:t>
            </w:r>
          </w:p>
          <w:p w14:paraId="53B2FE33" w14:textId="4D8559E5" w:rsidR="00AE0968" w:rsidRPr="00AE0968" w:rsidRDefault="00AE0968" w:rsidP="00AE0968">
            <w:pPr>
              <w:jc w:val="both"/>
              <w:rPr>
                <w:rFonts w:cstheme="majorHAnsi"/>
                <w:sz w:val="18"/>
                <w:szCs w:val="18"/>
                <w:lang w:val="ro-MD"/>
              </w:rPr>
            </w:pPr>
            <w:r w:rsidRPr="00AE0968">
              <w:rPr>
                <w:rFonts w:cstheme="majorHAnsi"/>
                <w:sz w:val="18"/>
                <w:szCs w:val="18"/>
                <w:lang w:val="ro-MD"/>
              </w:rPr>
              <w:t>De asemenea, trimestrial sunt elaborate rapoarte privind datoria debitorilor garantați față de MF pe împrumuturile interne și externe acordate sub garanții de stat.  Pe p</w:t>
            </w:r>
            <w:r w:rsidR="00CF5DC8">
              <w:rPr>
                <w:rFonts w:cstheme="majorHAnsi"/>
                <w:sz w:val="18"/>
                <w:szCs w:val="18"/>
                <w:lang w:val="ro-MD"/>
              </w:rPr>
              <w:t xml:space="preserve">arcursul perioadei de referință, </w:t>
            </w:r>
            <w:r w:rsidRPr="00AE0968">
              <w:rPr>
                <w:rFonts w:cstheme="majorHAnsi"/>
                <w:sz w:val="18"/>
                <w:szCs w:val="18"/>
                <w:lang w:val="ro-MD"/>
              </w:rPr>
              <w:t xml:space="preserve">au fost elaborate 2 rapoarte privind datoria debitorilor garantați față de MF la situația din 30.06.2020 și </w:t>
            </w:r>
            <w:r w:rsidR="00CF5DC8">
              <w:rPr>
                <w:rFonts w:cstheme="majorHAnsi"/>
                <w:sz w:val="18"/>
                <w:szCs w:val="18"/>
                <w:lang w:val="ro-MD"/>
              </w:rPr>
              <w:t xml:space="preserve">din </w:t>
            </w:r>
            <w:r w:rsidRPr="00AE0968">
              <w:rPr>
                <w:rFonts w:cstheme="majorHAnsi"/>
                <w:sz w:val="18"/>
                <w:szCs w:val="18"/>
                <w:lang w:val="ro-MD"/>
              </w:rPr>
              <w:t>30.09.2020.</w:t>
            </w:r>
          </w:p>
          <w:p w14:paraId="14CEDA8C" w14:textId="629C35A3" w:rsidR="00AE0968" w:rsidRPr="00AE0968" w:rsidRDefault="00CF5DC8" w:rsidP="00CF5DC8">
            <w:pPr>
              <w:jc w:val="both"/>
              <w:rPr>
                <w:rFonts w:cstheme="majorHAnsi"/>
                <w:sz w:val="18"/>
                <w:szCs w:val="18"/>
                <w:lang w:val="ro-MD"/>
              </w:rPr>
            </w:pPr>
            <w:r>
              <w:rPr>
                <w:rFonts w:cstheme="majorHAnsi"/>
                <w:sz w:val="18"/>
                <w:szCs w:val="18"/>
                <w:lang w:val="ro-MD"/>
              </w:rPr>
              <w:t>Tot trimestrial</w:t>
            </w:r>
            <w:r w:rsidR="00AE0968" w:rsidRPr="00AE0968">
              <w:rPr>
                <w:rFonts w:cstheme="majorHAnsi"/>
                <w:sz w:val="18"/>
                <w:szCs w:val="18"/>
                <w:lang w:val="ro-MD"/>
              </w:rPr>
              <w:t xml:space="preserve"> se prezintă </w:t>
            </w:r>
            <w:r>
              <w:rPr>
                <w:rFonts w:cstheme="majorHAnsi"/>
                <w:sz w:val="18"/>
                <w:szCs w:val="18"/>
                <w:lang w:val="ro-MD"/>
              </w:rPr>
              <w:t xml:space="preserve">SFS </w:t>
            </w:r>
            <w:r w:rsidR="00AE0968" w:rsidRPr="00AE0968">
              <w:rPr>
                <w:rFonts w:cstheme="majorHAnsi"/>
                <w:sz w:val="18"/>
                <w:szCs w:val="18"/>
                <w:lang w:val="ro-MD"/>
              </w:rPr>
              <w:t xml:space="preserve">informația privind datoriile debitorilor garantați față de bugetul de stat </w:t>
            </w:r>
          </w:p>
        </w:tc>
        <w:tc>
          <w:tcPr>
            <w:tcW w:w="2977" w:type="dxa"/>
          </w:tcPr>
          <w:p w14:paraId="5EA2F58A" w14:textId="77777777" w:rsidR="00AE0968" w:rsidRPr="00AE0968" w:rsidRDefault="00AE0968" w:rsidP="00AE0968">
            <w:pPr>
              <w:jc w:val="center"/>
              <w:rPr>
                <w:rFonts w:cstheme="majorHAnsi"/>
                <w:b/>
                <w:sz w:val="18"/>
                <w:szCs w:val="18"/>
                <w:lang w:val="ro-MD"/>
              </w:rPr>
            </w:pPr>
          </w:p>
        </w:tc>
        <w:tc>
          <w:tcPr>
            <w:tcW w:w="992" w:type="dxa"/>
          </w:tcPr>
          <w:p w14:paraId="2CB29051" w14:textId="77777777" w:rsidR="00AE0968" w:rsidRPr="00AE0968" w:rsidRDefault="00AE0968" w:rsidP="00AE0968">
            <w:pPr>
              <w:jc w:val="center"/>
              <w:rPr>
                <w:rFonts w:cstheme="majorHAnsi"/>
                <w:b/>
                <w:sz w:val="18"/>
                <w:szCs w:val="18"/>
                <w:lang w:val="ro-MD"/>
              </w:rPr>
            </w:pPr>
          </w:p>
        </w:tc>
        <w:tc>
          <w:tcPr>
            <w:tcW w:w="992" w:type="dxa"/>
          </w:tcPr>
          <w:p w14:paraId="59573D74"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MD"/>
              </w:rPr>
              <w:t>V</w:t>
            </w:r>
          </w:p>
        </w:tc>
        <w:tc>
          <w:tcPr>
            <w:tcW w:w="949" w:type="dxa"/>
          </w:tcPr>
          <w:p w14:paraId="02DD76AB" w14:textId="77777777" w:rsidR="00AE0968" w:rsidRPr="00AE0968" w:rsidRDefault="00AE0968" w:rsidP="00AE0968">
            <w:pPr>
              <w:jc w:val="both"/>
              <w:rPr>
                <w:rFonts w:cstheme="majorHAnsi"/>
                <w:b/>
                <w:sz w:val="18"/>
                <w:szCs w:val="18"/>
                <w:lang w:val="ro-MD"/>
              </w:rPr>
            </w:pPr>
          </w:p>
        </w:tc>
      </w:tr>
      <w:tr w:rsidR="00B176C3" w:rsidRPr="00AE0968" w14:paraId="0C1BE117" w14:textId="77777777" w:rsidTr="00BD0E31">
        <w:tc>
          <w:tcPr>
            <w:tcW w:w="2338" w:type="dxa"/>
          </w:tcPr>
          <w:p w14:paraId="7064C325" w14:textId="4B156C0E" w:rsidR="00AE0968" w:rsidRPr="00AE0968" w:rsidRDefault="00AE0968" w:rsidP="00AE0968">
            <w:pPr>
              <w:numPr>
                <w:ilvl w:val="0"/>
                <w:numId w:val="18"/>
              </w:numPr>
              <w:tabs>
                <w:tab w:val="left" w:pos="276"/>
              </w:tabs>
              <w:ind w:left="34" w:firstLine="0"/>
              <w:jc w:val="both"/>
              <w:rPr>
                <w:rFonts w:cstheme="majorHAnsi"/>
                <w:sz w:val="18"/>
                <w:szCs w:val="18"/>
                <w:lang w:val="ro-RO" w:eastAsia="ru-RU"/>
              </w:rPr>
            </w:pPr>
            <w:r w:rsidRPr="00AE0968">
              <w:rPr>
                <w:rFonts w:cstheme="majorHAnsi"/>
                <w:sz w:val="18"/>
                <w:szCs w:val="18"/>
                <w:lang w:val="ro-RO" w:eastAsia="ru-RU"/>
              </w:rPr>
              <w:t xml:space="preserve">Să asigure întreprinderea măsurilor în vederea recuperării la bugetul de stat a datoriilor </w:t>
            </w:r>
            <w:r w:rsidR="00CF5DC8">
              <w:rPr>
                <w:rFonts w:cstheme="majorHAnsi"/>
                <w:sz w:val="18"/>
                <w:szCs w:val="18"/>
                <w:lang w:val="ro-RO" w:eastAsia="ru-RU"/>
              </w:rPr>
              <w:t>cu termenul de achitare expirat</w:t>
            </w:r>
          </w:p>
        </w:tc>
        <w:tc>
          <w:tcPr>
            <w:tcW w:w="6304" w:type="dxa"/>
          </w:tcPr>
          <w:p w14:paraId="649F5359" w14:textId="77777777" w:rsidR="00AE0968" w:rsidRPr="00AE0968" w:rsidRDefault="00AE0968" w:rsidP="00AE0968">
            <w:pPr>
              <w:jc w:val="both"/>
              <w:rPr>
                <w:rFonts w:cstheme="majorHAnsi"/>
                <w:b/>
                <w:sz w:val="18"/>
                <w:szCs w:val="18"/>
                <w:lang w:val="ro-MD"/>
              </w:rPr>
            </w:pPr>
            <w:r w:rsidRPr="00AE0968">
              <w:rPr>
                <w:rFonts w:cstheme="majorHAnsi"/>
                <w:b/>
                <w:sz w:val="18"/>
                <w:szCs w:val="18"/>
                <w:lang w:val="ro-MD"/>
              </w:rPr>
              <w:t>Măsurile întreprinse aferente recomandării 5 sunt expuse la recomandarea 2.1.2</w:t>
            </w:r>
          </w:p>
        </w:tc>
        <w:tc>
          <w:tcPr>
            <w:tcW w:w="2977" w:type="dxa"/>
          </w:tcPr>
          <w:p w14:paraId="4F4D640F" w14:textId="77777777" w:rsidR="00AE0968" w:rsidRPr="00AE0968" w:rsidRDefault="00AE0968" w:rsidP="00AE0968">
            <w:pPr>
              <w:jc w:val="center"/>
              <w:rPr>
                <w:rFonts w:cstheme="majorHAnsi"/>
                <w:b/>
                <w:sz w:val="18"/>
                <w:szCs w:val="18"/>
                <w:lang w:val="ro-RO" w:eastAsia="ru-RU"/>
              </w:rPr>
            </w:pPr>
          </w:p>
        </w:tc>
        <w:tc>
          <w:tcPr>
            <w:tcW w:w="992" w:type="dxa"/>
          </w:tcPr>
          <w:p w14:paraId="67046E69" w14:textId="77777777" w:rsidR="00AE0968" w:rsidRPr="00AE0968" w:rsidRDefault="00AE0968" w:rsidP="00AE0968">
            <w:pPr>
              <w:jc w:val="center"/>
              <w:rPr>
                <w:rFonts w:cstheme="majorHAnsi"/>
                <w:b/>
                <w:sz w:val="18"/>
                <w:szCs w:val="18"/>
                <w:lang w:val="ro-MD"/>
              </w:rPr>
            </w:pPr>
          </w:p>
        </w:tc>
        <w:tc>
          <w:tcPr>
            <w:tcW w:w="992" w:type="dxa"/>
          </w:tcPr>
          <w:p w14:paraId="300C9F9E" w14:textId="77777777" w:rsidR="00AE0968" w:rsidRPr="00AE0968" w:rsidRDefault="00AE0968" w:rsidP="00AE0968">
            <w:pPr>
              <w:jc w:val="center"/>
              <w:rPr>
                <w:rFonts w:cstheme="majorHAnsi"/>
                <w:b/>
                <w:sz w:val="18"/>
                <w:szCs w:val="18"/>
                <w:lang w:val="ro-MD"/>
              </w:rPr>
            </w:pPr>
            <w:r w:rsidRPr="00AE0968">
              <w:rPr>
                <w:rFonts w:cstheme="majorHAnsi"/>
                <w:b/>
                <w:sz w:val="18"/>
                <w:szCs w:val="18"/>
                <w:lang w:val="ro-RO" w:eastAsia="ru-RU"/>
              </w:rPr>
              <w:t>V</w:t>
            </w:r>
          </w:p>
        </w:tc>
        <w:tc>
          <w:tcPr>
            <w:tcW w:w="949" w:type="dxa"/>
          </w:tcPr>
          <w:p w14:paraId="6F543255" w14:textId="77777777" w:rsidR="00AE0968" w:rsidRPr="00AE0968" w:rsidRDefault="00AE0968" w:rsidP="00AE0968">
            <w:pPr>
              <w:jc w:val="both"/>
              <w:rPr>
                <w:rFonts w:cstheme="majorHAnsi"/>
                <w:b/>
                <w:sz w:val="18"/>
                <w:szCs w:val="18"/>
                <w:lang w:val="ro-MD"/>
              </w:rPr>
            </w:pPr>
          </w:p>
        </w:tc>
      </w:tr>
    </w:tbl>
    <w:p w14:paraId="0B4A1A43" w14:textId="77777777" w:rsidR="00AE0968" w:rsidRPr="00AE0968" w:rsidRDefault="00AE0968" w:rsidP="00AE0968">
      <w:pPr>
        <w:tabs>
          <w:tab w:val="left" w:pos="284"/>
        </w:tabs>
        <w:spacing w:line="276" w:lineRule="auto"/>
        <w:jc w:val="both"/>
        <w:rPr>
          <w:rFonts w:eastAsia="Calibri" w:cstheme="majorHAnsi"/>
          <w:b/>
          <w:i/>
          <w:color w:val="2E74B5" w:themeColor="accent1" w:themeShade="BF"/>
          <w:szCs w:val="24"/>
          <w:lang w:val="ro-MD"/>
        </w:rPr>
      </w:pPr>
    </w:p>
    <w:sectPr w:rsidR="00AE0968" w:rsidRPr="00AE0968" w:rsidSect="00B176C3">
      <w:pgSz w:w="16838" w:h="11906"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5E5A8" w14:textId="77777777" w:rsidR="000E222E" w:rsidRDefault="000E222E" w:rsidP="00C8468E">
      <w:pPr>
        <w:spacing w:after="0" w:line="240" w:lineRule="auto"/>
      </w:pPr>
      <w:r>
        <w:separator/>
      </w:r>
    </w:p>
  </w:endnote>
  <w:endnote w:type="continuationSeparator" w:id="0">
    <w:p w14:paraId="190DEB03" w14:textId="77777777" w:rsidR="000E222E" w:rsidRDefault="000E222E" w:rsidP="00C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13613"/>
      <w:docPartObj>
        <w:docPartGallery w:val="Page Numbers (Bottom of Page)"/>
        <w:docPartUnique/>
      </w:docPartObj>
    </w:sdtPr>
    <w:sdtEndPr>
      <w:rPr>
        <w:noProof/>
      </w:rPr>
    </w:sdtEndPr>
    <w:sdtContent>
      <w:p w14:paraId="1657FBA2" w14:textId="70AE666B" w:rsidR="0023122A" w:rsidRDefault="0023122A">
        <w:pPr>
          <w:pStyle w:val="ac"/>
          <w:jc w:val="right"/>
        </w:pPr>
        <w:r>
          <w:fldChar w:fldCharType="begin"/>
        </w:r>
        <w:r>
          <w:instrText xml:space="preserve"> PAGE   \* MERGEFORMAT </w:instrText>
        </w:r>
        <w:r>
          <w:fldChar w:fldCharType="separate"/>
        </w:r>
        <w:r w:rsidR="00D159B6">
          <w:rPr>
            <w:noProof/>
          </w:rPr>
          <w:t>2</w:t>
        </w:r>
        <w:r>
          <w:rPr>
            <w:noProof/>
          </w:rPr>
          <w:fldChar w:fldCharType="end"/>
        </w:r>
      </w:p>
    </w:sdtContent>
  </w:sdt>
  <w:p w14:paraId="485D235E" w14:textId="77777777" w:rsidR="0023122A" w:rsidRDefault="002312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B5BBE" w14:textId="77777777" w:rsidR="000E222E" w:rsidRDefault="000E222E" w:rsidP="00C8468E">
      <w:pPr>
        <w:spacing w:after="0" w:line="240" w:lineRule="auto"/>
      </w:pPr>
      <w:r>
        <w:separator/>
      </w:r>
    </w:p>
  </w:footnote>
  <w:footnote w:type="continuationSeparator" w:id="0">
    <w:p w14:paraId="50DA96EB" w14:textId="77777777" w:rsidR="000E222E" w:rsidRDefault="000E222E" w:rsidP="00C8468E">
      <w:pPr>
        <w:spacing w:after="0" w:line="240" w:lineRule="auto"/>
      </w:pPr>
      <w:r>
        <w:continuationSeparator/>
      </w:r>
    </w:p>
  </w:footnote>
  <w:footnote w:id="1">
    <w:p w14:paraId="1AD618BF" w14:textId="56481665" w:rsidR="0023122A" w:rsidRPr="001E7362" w:rsidRDefault="0023122A" w:rsidP="00F94FA4">
      <w:pPr>
        <w:pStyle w:val="a4"/>
        <w:jc w:val="both"/>
        <w:rPr>
          <w:rFonts w:asciiTheme="majorHAnsi" w:hAnsiTheme="majorHAnsi" w:cstheme="majorHAnsi"/>
          <w:sz w:val="16"/>
          <w:szCs w:val="16"/>
        </w:rPr>
      </w:pPr>
      <w:r w:rsidRPr="00D3069E">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D3069E">
        <w:rPr>
          <w:rFonts w:asciiTheme="majorHAnsi" w:hAnsiTheme="majorHAnsi" w:cstheme="majorHAnsi"/>
          <w:sz w:val="16"/>
          <w:szCs w:val="16"/>
        </w:rPr>
        <w:t xml:space="preserve">rea Guvernului nr.1136 din 18.10.2007 „Cu privire la unele măsuri de executare a Legii nr.419 din 22.12.2006 </w:t>
      </w:r>
      <w:r>
        <w:rPr>
          <w:rFonts w:asciiTheme="majorHAnsi" w:hAnsiTheme="majorHAnsi" w:cstheme="majorHAnsi"/>
          <w:sz w:val="16"/>
          <w:szCs w:val="16"/>
        </w:rPr>
        <w:t>c</w:t>
      </w:r>
      <w:r w:rsidRPr="00D3069E">
        <w:rPr>
          <w:rFonts w:asciiTheme="majorHAnsi" w:hAnsiTheme="majorHAnsi" w:cstheme="majorHAnsi"/>
          <w:sz w:val="16"/>
          <w:szCs w:val="16"/>
        </w:rPr>
        <w:t xml:space="preserve">u </w:t>
      </w:r>
      <w:r>
        <w:rPr>
          <w:rFonts w:asciiTheme="majorHAnsi" w:hAnsiTheme="majorHAnsi" w:cstheme="majorHAnsi"/>
          <w:sz w:val="16"/>
          <w:szCs w:val="16"/>
        </w:rPr>
        <w:t xml:space="preserve">privire la datoria publică, </w:t>
      </w:r>
      <w:r w:rsidRPr="001E7362">
        <w:rPr>
          <w:rFonts w:asciiTheme="majorHAnsi" w:hAnsiTheme="majorHAnsi" w:cstheme="majorHAnsi"/>
          <w:sz w:val="16"/>
          <w:szCs w:val="16"/>
        </w:rPr>
        <w:t>garanțiile de stat și recreditarea de stat” (în continuare – Legea nr.419 din 22.12.2006).</w:t>
      </w:r>
    </w:p>
  </w:footnote>
  <w:footnote w:id="2">
    <w:p w14:paraId="2D1530A9" w14:textId="72B84FF2" w:rsidR="0023122A" w:rsidRPr="000869BA" w:rsidRDefault="0023122A" w:rsidP="00F94FA4">
      <w:pPr>
        <w:pStyle w:val="a4"/>
        <w:jc w:val="both"/>
        <w:rPr>
          <w:rFonts w:asciiTheme="majorHAnsi" w:hAnsiTheme="majorHAnsi" w:cstheme="majorHAnsi"/>
          <w:sz w:val="16"/>
          <w:szCs w:val="16"/>
        </w:rPr>
      </w:pPr>
      <w:r w:rsidRPr="000869BA">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0869BA">
        <w:rPr>
          <w:rFonts w:asciiTheme="majorHAnsi" w:hAnsiTheme="majorHAnsi" w:cstheme="majorHAnsi"/>
          <w:sz w:val="16"/>
          <w:szCs w:val="16"/>
        </w:rPr>
        <w:t>rea Guvernului nr.696 din 30.08.2017 „Cu privire la organizarea și funcționarea Ministerului Finanțelor”</w:t>
      </w:r>
      <w:r>
        <w:rPr>
          <w:rFonts w:asciiTheme="majorHAnsi" w:hAnsiTheme="majorHAnsi" w:cstheme="majorHAnsi"/>
          <w:sz w:val="16"/>
          <w:szCs w:val="16"/>
        </w:rPr>
        <w:t xml:space="preserve"> (cu modificările ulterioare).</w:t>
      </w:r>
    </w:p>
  </w:footnote>
  <w:footnote w:id="3">
    <w:p w14:paraId="52A04040" w14:textId="77777777" w:rsidR="0023122A" w:rsidRPr="00675527" w:rsidRDefault="0023122A" w:rsidP="00BA1AC3">
      <w:pPr>
        <w:pStyle w:val="a4"/>
        <w:jc w:val="both"/>
        <w:rPr>
          <w:rFonts w:asciiTheme="majorHAnsi" w:hAnsiTheme="majorHAnsi" w:cstheme="majorHAnsi"/>
          <w:sz w:val="16"/>
          <w:szCs w:val="16"/>
        </w:rPr>
      </w:pPr>
      <w:r w:rsidRPr="00675527">
        <w:rPr>
          <w:rStyle w:val="a6"/>
          <w:rFonts w:asciiTheme="majorHAnsi" w:hAnsiTheme="majorHAnsi" w:cstheme="majorHAnsi"/>
          <w:sz w:val="16"/>
          <w:szCs w:val="16"/>
        </w:rPr>
        <w:footnoteRef/>
      </w:r>
      <w:r w:rsidRPr="00675527">
        <w:rPr>
          <w:rFonts w:asciiTheme="majorHAnsi" w:hAnsiTheme="majorHAnsi" w:cstheme="majorHAnsi"/>
          <w:sz w:val="16"/>
          <w:szCs w:val="16"/>
        </w:rPr>
        <w:t xml:space="preserve"> Legea bugetului de stat pentru anul 2020, nr.172 din 19.12.2019 (cu modificările ulterioare).</w:t>
      </w:r>
    </w:p>
  </w:footnote>
  <w:footnote w:id="4">
    <w:p w14:paraId="3A1283B9" w14:textId="77777777" w:rsidR="0023122A" w:rsidRPr="001F7FEF" w:rsidRDefault="0023122A" w:rsidP="00074E4A">
      <w:pPr>
        <w:pStyle w:val="a4"/>
        <w:rPr>
          <w:rFonts w:asciiTheme="majorHAnsi" w:hAnsiTheme="majorHAnsi" w:cstheme="majorHAnsi"/>
          <w:sz w:val="16"/>
          <w:szCs w:val="16"/>
        </w:rPr>
      </w:pPr>
      <w:r w:rsidRPr="001F7FEF">
        <w:rPr>
          <w:rStyle w:val="a6"/>
          <w:rFonts w:asciiTheme="majorHAnsi" w:hAnsiTheme="majorHAnsi" w:cstheme="majorHAnsi"/>
          <w:sz w:val="16"/>
          <w:szCs w:val="16"/>
        </w:rPr>
        <w:footnoteRef/>
      </w:r>
      <w:r w:rsidRPr="001F7FEF">
        <w:rPr>
          <w:rFonts w:asciiTheme="majorHAnsi" w:hAnsiTheme="majorHAnsi" w:cstheme="majorHAnsi"/>
          <w:sz w:val="16"/>
          <w:szCs w:val="16"/>
        </w:rPr>
        <w:t xml:space="preserve"> PIB-ul pentru anul 2020 este de 206 352,0 mil.lei. </w:t>
      </w:r>
    </w:p>
  </w:footnote>
  <w:footnote w:id="5">
    <w:p w14:paraId="20E7AFA7" w14:textId="5CB5930B" w:rsidR="0023122A" w:rsidRPr="00DE4659" w:rsidRDefault="0023122A" w:rsidP="00F94FA4">
      <w:pPr>
        <w:pStyle w:val="a4"/>
        <w:jc w:val="both"/>
        <w:rPr>
          <w:rFonts w:asciiTheme="majorHAnsi" w:hAnsiTheme="majorHAnsi" w:cstheme="majorHAnsi"/>
          <w:sz w:val="16"/>
          <w:szCs w:val="16"/>
        </w:rPr>
      </w:pPr>
      <w:r w:rsidRPr="00DE4659">
        <w:rPr>
          <w:rStyle w:val="a6"/>
          <w:rFonts w:asciiTheme="majorHAnsi" w:hAnsiTheme="majorHAnsi" w:cstheme="majorHAnsi"/>
          <w:sz w:val="16"/>
          <w:szCs w:val="16"/>
        </w:rPr>
        <w:footnoteRef/>
      </w:r>
      <w:r w:rsidRPr="00DE4659">
        <w:rPr>
          <w:rFonts w:asciiTheme="majorHAnsi" w:hAnsiTheme="majorHAnsi" w:cstheme="majorHAnsi"/>
          <w:sz w:val="16"/>
          <w:szCs w:val="16"/>
        </w:rPr>
        <w:t xml:space="preserve"> </w:t>
      </w:r>
      <w:r>
        <w:rPr>
          <w:rFonts w:asciiTheme="majorHAnsi" w:hAnsiTheme="majorHAnsi" w:cstheme="majorHAnsi"/>
          <w:sz w:val="16"/>
          <w:szCs w:val="16"/>
        </w:rPr>
        <w:t>Hotărârea Curții de Conturi nr.77 din 27.12.2019 „Privind aprobarea Programului activității de audit a Curții de Conturi pe anul 2020” (cu modificările și completările ulterioare); Hotărâ</w:t>
      </w:r>
      <w:r w:rsidRPr="00DE4659">
        <w:rPr>
          <w:rFonts w:asciiTheme="majorHAnsi" w:hAnsiTheme="majorHAnsi" w:cstheme="majorHAnsi"/>
          <w:sz w:val="16"/>
          <w:szCs w:val="16"/>
        </w:rPr>
        <w:t>rea Curții de Conturi nr.62 din 10.12.2020</w:t>
      </w:r>
      <w:r>
        <w:rPr>
          <w:rFonts w:asciiTheme="majorHAnsi" w:hAnsiTheme="majorHAnsi" w:cstheme="majorHAnsi"/>
          <w:sz w:val="16"/>
          <w:szCs w:val="16"/>
        </w:rPr>
        <w:t xml:space="preserve"> „Privind aprobarea Programului activității de audit a Curții de Conturi pe anul 2021” </w:t>
      </w:r>
      <w:r w:rsidRPr="00DE4659">
        <w:rPr>
          <w:rFonts w:asciiTheme="majorHAnsi" w:hAnsiTheme="majorHAnsi" w:cstheme="majorHAnsi"/>
          <w:sz w:val="16"/>
          <w:szCs w:val="16"/>
        </w:rPr>
        <w:t>(cu modificările ulterioare).</w:t>
      </w:r>
    </w:p>
  </w:footnote>
  <w:footnote w:id="6">
    <w:p w14:paraId="640C4E6F" w14:textId="6A9DDDF3" w:rsidR="0023122A" w:rsidRPr="004559F0" w:rsidRDefault="0023122A">
      <w:pPr>
        <w:pStyle w:val="a4"/>
        <w:rPr>
          <w:rFonts w:asciiTheme="majorHAnsi" w:hAnsiTheme="majorHAnsi" w:cstheme="majorHAnsi"/>
          <w:sz w:val="16"/>
          <w:szCs w:val="16"/>
        </w:rPr>
      </w:pPr>
      <w:r w:rsidRPr="004559F0">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4559F0">
        <w:rPr>
          <w:rFonts w:asciiTheme="majorHAnsi" w:hAnsiTheme="majorHAnsi" w:cstheme="majorHAnsi"/>
          <w:sz w:val="16"/>
          <w:szCs w:val="16"/>
        </w:rPr>
        <w:t>rea Curții de Conturi nr.2 din 24.01.2020 „Cu privire la Cadrul Declarațiilor Preofesionale ale INTOSAI”.</w:t>
      </w:r>
    </w:p>
  </w:footnote>
  <w:footnote w:id="7">
    <w:p w14:paraId="0F140308" w14:textId="7D470110" w:rsidR="0023122A" w:rsidRPr="00671FF8" w:rsidRDefault="0023122A">
      <w:pPr>
        <w:pStyle w:val="a4"/>
        <w:rPr>
          <w:rFonts w:asciiTheme="majorHAnsi" w:hAnsiTheme="majorHAnsi" w:cstheme="majorHAnsi"/>
          <w:sz w:val="16"/>
          <w:szCs w:val="16"/>
        </w:rPr>
      </w:pPr>
      <w:r w:rsidRPr="00671FF8">
        <w:rPr>
          <w:rStyle w:val="a6"/>
          <w:rFonts w:asciiTheme="majorHAnsi" w:hAnsiTheme="majorHAnsi" w:cstheme="majorHAnsi"/>
          <w:sz w:val="16"/>
          <w:szCs w:val="16"/>
        </w:rPr>
        <w:footnoteRef/>
      </w:r>
      <w:r w:rsidRPr="00671FF8">
        <w:rPr>
          <w:rFonts w:asciiTheme="majorHAnsi" w:hAnsiTheme="majorHAnsi" w:cstheme="majorHAnsi"/>
          <w:sz w:val="16"/>
          <w:szCs w:val="16"/>
        </w:rPr>
        <w:t xml:space="preserve"> Legea bugetului de stat pentru anul 2020 nr.172 din 19.12.2019 (cu modificările ulterioare).</w:t>
      </w:r>
    </w:p>
  </w:footnote>
  <w:footnote w:id="8">
    <w:p w14:paraId="6840848E" w14:textId="23674D47" w:rsidR="0023122A" w:rsidRPr="00FD4662" w:rsidRDefault="0023122A" w:rsidP="008B5B55">
      <w:pPr>
        <w:pStyle w:val="a4"/>
        <w:rPr>
          <w:rFonts w:asciiTheme="majorHAnsi" w:hAnsiTheme="majorHAnsi" w:cstheme="majorHAnsi"/>
          <w:sz w:val="16"/>
          <w:szCs w:val="16"/>
        </w:rPr>
      </w:pPr>
      <w:r w:rsidRPr="00FD4662">
        <w:rPr>
          <w:rStyle w:val="a6"/>
          <w:rFonts w:asciiTheme="majorHAnsi" w:hAnsiTheme="majorHAnsi" w:cstheme="majorHAnsi"/>
          <w:sz w:val="16"/>
          <w:szCs w:val="16"/>
        </w:rPr>
        <w:footnoteRef/>
      </w:r>
      <w:r w:rsidRPr="00FD4662">
        <w:rPr>
          <w:rFonts w:asciiTheme="majorHAnsi" w:hAnsiTheme="majorHAnsi" w:cstheme="majorHAnsi"/>
          <w:sz w:val="16"/>
          <w:szCs w:val="16"/>
        </w:rPr>
        <w:t xml:space="preserve"> Buletinele statistice lunare privind datoria de stat</w:t>
      </w:r>
      <w:r>
        <w:rPr>
          <w:rFonts w:asciiTheme="majorHAnsi" w:hAnsiTheme="majorHAnsi" w:cstheme="majorHAnsi"/>
          <w:sz w:val="16"/>
          <w:szCs w:val="16"/>
        </w:rPr>
        <w:t>.</w:t>
      </w:r>
    </w:p>
  </w:footnote>
  <w:footnote w:id="9">
    <w:p w14:paraId="0E2A3379" w14:textId="4DE45344" w:rsidR="0023122A" w:rsidRPr="00C36344" w:rsidRDefault="0023122A" w:rsidP="008B5B55">
      <w:pPr>
        <w:pStyle w:val="a4"/>
        <w:jc w:val="both"/>
        <w:rPr>
          <w:rFonts w:asciiTheme="majorHAnsi" w:hAnsiTheme="majorHAnsi" w:cstheme="majorHAnsi"/>
          <w:sz w:val="16"/>
          <w:szCs w:val="16"/>
          <w:lang w:val="ro-MD"/>
        </w:rPr>
      </w:pPr>
      <w:r w:rsidRPr="00C36344">
        <w:rPr>
          <w:rStyle w:val="a6"/>
          <w:rFonts w:asciiTheme="majorHAnsi" w:hAnsiTheme="majorHAnsi" w:cstheme="majorHAnsi"/>
          <w:sz w:val="16"/>
          <w:szCs w:val="16"/>
        </w:rPr>
        <w:footnoteRef/>
      </w:r>
      <w:r w:rsidRPr="00C36344">
        <w:rPr>
          <w:rFonts w:asciiTheme="majorHAnsi" w:hAnsiTheme="majorHAnsi" w:cstheme="majorHAnsi"/>
          <w:sz w:val="16"/>
          <w:szCs w:val="16"/>
        </w:rPr>
        <w:t xml:space="preserve"> </w:t>
      </w:r>
      <w:r w:rsidRPr="00C36344">
        <w:rPr>
          <w:rFonts w:asciiTheme="majorHAnsi" w:hAnsiTheme="majorHAnsi" w:cstheme="majorHAnsi"/>
          <w:sz w:val="16"/>
          <w:szCs w:val="16"/>
          <w:lang w:val="ro-MD"/>
        </w:rPr>
        <w:t>Indicator ce reflectă sporirea/reducerea poverii de îndatorare, exporturile fiind sursă importantă pentru asigurarea lichidit</w:t>
      </w:r>
      <w:r>
        <w:rPr>
          <w:rFonts w:asciiTheme="majorHAnsi" w:hAnsiTheme="majorHAnsi" w:cstheme="majorHAnsi"/>
          <w:sz w:val="16"/>
          <w:szCs w:val="16"/>
          <w:lang w:val="ro-MD"/>
        </w:rPr>
        <w:t>ății sistemului, și indică cu câ</w:t>
      </w:r>
      <w:r w:rsidRPr="00C36344">
        <w:rPr>
          <w:rFonts w:asciiTheme="majorHAnsi" w:hAnsiTheme="majorHAnsi" w:cstheme="majorHAnsi"/>
          <w:sz w:val="16"/>
          <w:szCs w:val="16"/>
          <w:lang w:val="ro-MD"/>
        </w:rPr>
        <w:t>t încasările anuale din exporturi acoperă plata serviciului datoriei de stat în același an.</w:t>
      </w:r>
    </w:p>
  </w:footnote>
  <w:footnote w:id="10">
    <w:p w14:paraId="0405746A" w14:textId="77777777" w:rsidR="0023122A" w:rsidRPr="00C36344" w:rsidRDefault="0023122A" w:rsidP="008B5B55">
      <w:pPr>
        <w:pStyle w:val="a4"/>
        <w:rPr>
          <w:rFonts w:asciiTheme="majorHAnsi" w:hAnsiTheme="majorHAnsi" w:cstheme="majorHAnsi"/>
          <w:sz w:val="16"/>
          <w:szCs w:val="16"/>
          <w:lang w:val="ro-MD"/>
        </w:rPr>
      </w:pPr>
      <w:r w:rsidRPr="00C36344">
        <w:rPr>
          <w:rStyle w:val="a6"/>
          <w:rFonts w:asciiTheme="majorHAnsi" w:hAnsiTheme="majorHAnsi" w:cstheme="majorHAnsi"/>
          <w:sz w:val="16"/>
          <w:szCs w:val="16"/>
        </w:rPr>
        <w:footnoteRef/>
      </w:r>
      <w:r w:rsidRPr="00C36344">
        <w:rPr>
          <w:rFonts w:asciiTheme="majorHAnsi" w:hAnsiTheme="majorHAnsi" w:cstheme="majorHAnsi"/>
          <w:sz w:val="16"/>
          <w:szCs w:val="16"/>
        </w:rPr>
        <w:t xml:space="preserve"> </w:t>
      </w:r>
      <w:r w:rsidRPr="00C36344">
        <w:rPr>
          <w:rFonts w:asciiTheme="majorHAnsi" w:hAnsiTheme="majorHAnsi" w:cstheme="majorHAnsi"/>
          <w:sz w:val="16"/>
          <w:szCs w:val="16"/>
          <w:lang w:val="ro-MD"/>
        </w:rPr>
        <w:t>Indicator ce măsoară sustenabilitatea datoriei de stat externe, iar creșterea indicatorului reflectă devansarea ritmului de creștere a datoriei de stat externe față de creșterea exporturilor (veniturilor externe).</w:t>
      </w:r>
    </w:p>
  </w:footnote>
  <w:footnote w:id="11">
    <w:p w14:paraId="349CFCED" w14:textId="3E717134" w:rsidR="0023122A" w:rsidRPr="00C94D0F" w:rsidRDefault="0023122A" w:rsidP="00C94D0F">
      <w:pPr>
        <w:pStyle w:val="a4"/>
        <w:jc w:val="both"/>
        <w:rPr>
          <w:rFonts w:asciiTheme="majorHAnsi" w:hAnsiTheme="majorHAnsi" w:cstheme="majorHAnsi"/>
          <w:sz w:val="16"/>
          <w:szCs w:val="16"/>
        </w:rPr>
      </w:pPr>
      <w:r w:rsidRPr="00C94D0F">
        <w:rPr>
          <w:rStyle w:val="a6"/>
          <w:rFonts w:asciiTheme="majorHAnsi" w:hAnsiTheme="majorHAnsi" w:cstheme="majorHAnsi"/>
          <w:sz w:val="16"/>
          <w:szCs w:val="16"/>
        </w:rPr>
        <w:footnoteRef/>
      </w:r>
      <w:r w:rsidRPr="00C94D0F">
        <w:rPr>
          <w:rFonts w:asciiTheme="majorHAnsi" w:hAnsiTheme="majorHAnsi" w:cstheme="majorHAnsi"/>
          <w:sz w:val="16"/>
          <w:szCs w:val="16"/>
        </w:rPr>
        <w:t xml:space="preserve"> Scrisoarea Ministerului Finanțelor nr.11/1-3/91/363 din 14.06.2021</w:t>
      </w:r>
      <w:r>
        <w:rPr>
          <w:rFonts w:asciiTheme="majorHAnsi" w:hAnsiTheme="majorHAnsi" w:cstheme="majorHAnsi"/>
          <w:sz w:val="16"/>
          <w:szCs w:val="16"/>
        </w:rPr>
        <w:t xml:space="preserve"> (pentru examinare și aprobare)</w:t>
      </w:r>
      <w:r w:rsidRPr="00C94D0F">
        <w:rPr>
          <w:rFonts w:asciiTheme="majorHAnsi" w:hAnsiTheme="majorHAnsi" w:cstheme="majorHAnsi"/>
          <w:sz w:val="16"/>
          <w:szCs w:val="16"/>
        </w:rPr>
        <w:t>; Scrisoarea Cancelariei de Stat nr.18-23-11178 din 10.12.2020</w:t>
      </w:r>
      <w:r>
        <w:rPr>
          <w:rFonts w:asciiTheme="majorHAnsi" w:hAnsiTheme="majorHAnsi" w:cstheme="majorHAnsi"/>
          <w:sz w:val="16"/>
          <w:szCs w:val="16"/>
        </w:rPr>
        <w:t xml:space="preserve"> (pentru avizare și expertizare)</w:t>
      </w:r>
      <w:r w:rsidRPr="00C94D0F">
        <w:rPr>
          <w:rFonts w:asciiTheme="majorHAnsi" w:hAnsiTheme="majorHAnsi" w:cstheme="majorHAnsi"/>
          <w:sz w:val="16"/>
          <w:szCs w:val="16"/>
        </w:rPr>
        <w:t>.</w:t>
      </w:r>
    </w:p>
  </w:footnote>
  <w:footnote w:id="12">
    <w:p w14:paraId="5ED933D0" w14:textId="20C0CFAC" w:rsidR="0023122A" w:rsidRPr="0087755C" w:rsidRDefault="0023122A">
      <w:pPr>
        <w:pStyle w:val="a4"/>
        <w:rPr>
          <w:rFonts w:asciiTheme="majorHAnsi" w:hAnsiTheme="majorHAnsi" w:cstheme="majorHAnsi"/>
          <w:sz w:val="16"/>
          <w:szCs w:val="16"/>
        </w:rPr>
      </w:pPr>
      <w:r w:rsidRPr="0087755C">
        <w:rPr>
          <w:rStyle w:val="a6"/>
          <w:rFonts w:asciiTheme="majorHAnsi" w:hAnsiTheme="majorHAnsi" w:cstheme="majorHAnsi"/>
          <w:sz w:val="16"/>
          <w:szCs w:val="16"/>
        </w:rPr>
        <w:footnoteRef/>
      </w:r>
      <w:r w:rsidRPr="0087755C">
        <w:rPr>
          <w:rFonts w:asciiTheme="majorHAnsi" w:hAnsiTheme="majorHAnsi" w:cstheme="majorHAnsi"/>
          <w:sz w:val="16"/>
          <w:szCs w:val="16"/>
        </w:rPr>
        <w:t xml:space="preserve"> Acordul privind reemisiunea valorilor mobiliare de stat emise în urma conversiunii împrumuturilor contractate anterior de la Banca Națională din 08.02.2019.</w:t>
      </w:r>
    </w:p>
  </w:footnote>
  <w:footnote w:id="13">
    <w:p w14:paraId="54D10697" w14:textId="5EAE2657" w:rsidR="0023122A" w:rsidRPr="00D0285B" w:rsidRDefault="0023122A">
      <w:pPr>
        <w:pStyle w:val="a4"/>
        <w:rPr>
          <w:rFonts w:asciiTheme="majorHAnsi" w:hAnsiTheme="majorHAnsi" w:cstheme="majorHAnsi"/>
          <w:sz w:val="16"/>
          <w:szCs w:val="16"/>
        </w:rPr>
      </w:pPr>
      <w:r w:rsidRPr="00D0285B">
        <w:rPr>
          <w:rStyle w:val="a6"/>
          <w:rFonts w:asciiTheme="majorHAnsi" w:hAnsiTheme="majorHAnsi" w:cstheme="majorHAnsi"/>
          <w:sz w:val="16"/>
          <w:szCs w:val="16"/>
        </w:rPr>
        <w:footnoteRef/>
      </w:r>
      <w:r w:rsidRPr="00D0285B">
        <w:rPr>
          <w:rFonts w:asciiTheme="majorHAnsi" w:hAnsiTheme="majorHAnsi" w:cstheme="majorHAnsi"/>
          <w:sz w:val="16"/>
          <w:szCs w:val="16"/>
        </w:rPr>
        <w:t xml:space="preserve"> L</w:t>
      </w:r>
      <w:r>
        <w:rPr>
          <w:rFonts w:asciiTheme="majorHAnsi" w:hAnsiTheme="majorHAnsi" w:cstheme="majorHAnsi"/>
          <w:sz w:val="16"/>
          <w:szCs w:val="16"/>
        </w:rPr>
        <w:t>egea nr.190 din 30.09.2011 p</w:t>
      </w:r>
      <w:r w:rsidRPr="00D0285B">
        <w:rPr>
          <w:rFonts w:asciiTheme="majorHAnsi" w:hAnsiTheme="majorHAnsi" w:cstheme="majorHAnsi"/>
          <w:sz w:val="16"/>
          <w:szCs w:val="16"/>
        </w:rPr>
        <w:t>ivind unele măsuri suplimentare de asigurare a stabilității financiare</w:t>
      </w:r>
      <w:r>
        <w:rPr>
          <w:rFonts w:asciiTheme="majorHAnsi" w:hAnsiTheme="majorHAnsi" w:cstheme="majorHAnsi"/>
          <w:sz w:val="16"/>
          <w:szCs w:val="16"/>
        </w:rPr>
        <w:t>.</w:t>
      </w:r>
    </w:p>
  </w:footnote>
  <w:footnote w:id="14">
    <w:p w14:paraId="0B7AA304" w14:textId="0BB2C1D0" w:rsidR="0023122A" w:rsidRPr="00D0285B" w:rsidRDefault="0023122A">
      <w:pPr>
        <w:pStyle w:val="a4"/>
        <w:rPr>
          <w:rFonts w:asciiTheme="majorHAnsi" w:hAnsiTheme="majorHAnsi" w:cstheme="majorHAnsi"/>
          <w:sz w:val="16"/>
          <w:szCs w:val="16"/>
        </w:rPr>
      </w:pPr>
      <w:r w:rsidRPr="00D0285B">
        <w:rPr>
          <w:rStyle w:val="a6"/>
          <w:rFonts w:asciiTheme="majorHAnsi" w:hAnsiTheme="majorHAnsi" w:cstheme="majorHAnsi"/>
          <w:sz w:val="16"/>
          <w:szCs w:val="16"/>
        </w:rPr>
        <w:footnoteRef/>
      </w:r>
      <w:r w:rsidRPr="00D0285B">
        <w:rPr>
          <w:rFonts w:asciiTheme="majorHAnsi" w:hAnsiTheme="majorHAnsi" w:cstheme="majorHAnsi"/>
          <w:sz w:val="16"/>
          <w:szCs w:val="16"/>
        </w:rPr>
        <w:t xml:space="preserve"> Legea nr.235 din 03.10.2016 privind emisiunea obligațiunilor de stat în vederea executării de către Ministerul Finanțelor a obligațiilor de plată derivate din garanțiile de stat nr.807 din 17.11.2014 și nr.101 din 01.04.2015.</w:t>
      </w:r>
    </w:p>
  </w:footnote>
  <w:footnote w:id="15">
    <w:p w14:paraId="72852996" w14:textId="6F4EC36B" w:rsidR="0023122A" w:rsidRPr="00FE5F62" w:rsidRDefault="0023122A">
      <w:pPr>
        <w:pStyle w:val="a4"/>
        <w:rPr>
          <w:rFonts w:asciiTheme="majorHAnsi" w:hAnsiTheme="majorHAnsi" w:cstheme="majorHAnsi"/>
          <w:sz w:val="16"/>
          <w:szCs w:val="16"/>
        </w:rPr>
      </w:pPr>
      <w:r w:rsidRPr="00FE5F62">
        <w:rPr>
          <w:rStyle w:val="a6"/>
          <w:rFonts w:asciiTheme="majorHAnsi" w:hAnsiTheme="majorHAnsi" w:cstheme="majorHAnsi"/>
          <w:sz w:val="16"/>
          <w:szCs w:val="16"/>
        </w:rPr>
        <w:footnoteRef/>
      </w:r>
      <w:r>
        <w:rPr>
          <w:rFonts w:asciiTheme="majorHAnsi" w:hAnsiTheme="majorHAnsi" w:cstheme="majorHAnsi"/>
          <w:sz w:val="16"/>
          <w:szCs w:val="16"/>
        </w:rPr>
        <w:t xml:space="preserve"> Legea nr.235 din 03.10.2016 </w:t>
      </w:r>
      <w:r w:rsidRPr="00FE5F62">
        <w:rPr>
          <w:rFonts w:asciiTheme="majorHAnsi" w:hAnsiTheme="majorHAnsi" w:cstheme="majorHAnsi"/>
          <w:sz w:val="16"/>
          <w:szCs w:val="16"/>
        </w:rPr>
        <w:t xml:space="preserve">privind emisiunea obligațiunilor de stat în vederea </w:t>
      </w:r>
      <w:r>
        <w:rPr>
          <w:rFonts w:asciiTheme="majorHAnsi" w:hAnsiTheme="majorHAnsi" w:cstheme="majorHAnsi"/>
          <w:sz w:val="16"/>
          <w:szCs w:val="16"/>
        </w:rPr>
        <w:t>executării de către Ministerul F</w:t>
      </w:r>
      <w:r w:rsidRPr="00FE5F62">
        <w:rPr>
          <w:rFonts w:asciiTheme="majorHAnsi" w:hAnsiTheme="majorHAnsi" w:cstheme="majorHAnsi"/>
          <w:sz w:val="16"/>
          <w:szCs w:val="16"/>
        </w:rPr>
        <w:t>inanțelor a obligațiilor de plată derivate din garanțiile de stat nr.807 din 17.11.2014 și nr.101 din 01.04.2015.</w:t>
      </w:r>
    </w:p>
  </w:footnote>
  <w:footnote w:id="16">
    <w:p w14:paraId="07058017" w14:textId="4BE41B13" w:rsidR="0023122A" w:rsidRPr="00DB4B1E" w:rsidRDefault="0023122A" w:rsidP="00DB4B1E">
      <w:pPr>
        <w:pStyle w:val="a4"/>
        <w:jc w:val="both"/>
        <w:rPr>
          <w:rFonts w:asciiTheme="majorHAnsi" w:hAnsiTheme="majorHAnsi" w:cstheme="majorHAnsi"/>
          <w:sz w:val="16"/>
          <w:szCs w:val="16"/>
        </w:rPr>
      </w:pPr>
      <w:r w:rsidRPr="00DB4B1E">
        <w:rPr>
          <w:rStyle w:val="a6"/>
          <w:rFonts w:asciiTheme="majorHAnsi" w:hAnsiTheme="majorHAnsi" w:cstheme="majorHAnsi"/>
          <w:sz w:val="16"/>
          <w:szCs w:val="16"/>
        </w:rPr>
        <w:footnoteRef/>
      </w:r>
      <w:r w:rsidRPr="00DB4B1E">
        <w:rPr>
          <w:rFonts w:asciiTheme="majorHAnsi" w:hAnsiTheme="majorHAnsi" w:cstheme="majorHAnsi"/>
          <w:sz w:val="16"/>
          <w:szCs w:val="16"/>
        </w:rPr>
        <w:t xml:space="preserve"> Art.20 alin.(6) din Legea nr.548 din 21.07.1995 cu privire</w:t>
      </w:r>
      <w:r>
        <w:rPr>
          <w:rFonts w:asciiTheme="majorHAnsi" w:hAnsiTheme="majorHAnsi" w:cstheme="majorHAnsi"/>
          <w:sz w:val="16"/>
          <w:szCs w:val="16"/>
        </w:rPr>
        <w:t xml:space="preserve"> la Banca Națională a Moldovei </w:t>
      </w:r>
      <w:r w:rsidRPr="00DB4B1E">
        <w:rPr>
          <w:rFonts w:asciiTheme="majorHAnsi" w:hAnsiTheme="majorHAnsi" w:cstheme="majorHAnsi"/>
          <w:sz w:val="16"/>
          <w:szCs w:val="16"/>
        </w:rPr>
        <w:t xml:space="preserve">stipulează că </w:t>
      </w:r>
      <w:r w:rsidRPr="00DB4B1E">
        <w:rPr>
          <w:rFonts w:asciiTheme="majorHAnsi" w:hAnsiTheme="majorHAnsi" w:cstheme="majorHAnsi"/>
          <w:i/>
          <w:sz w:val="16"/>
          <w:szCs w:val="16"/>
        </w:rPr>
        <w:t>„Soldul profitului disponibil pentru distribuire se transferă la venitul bugetului de stat în termen de 15 zile după primirea raportului auditorului extern asupra situațiilor financiare ale Băncii Naționale”.</w:t>
      </w:r>
    </w:p>
  </w:footnote>
  <w:footnote w:id="17">
    <w:p w14:paraId="4AFD50D8" w14:textId="45585757" w:rsidR="0023122A" w:rsidRPr="00072BA2" w:rsidRDefault="0023122A">
      <w:pPr>
        <w:pStyle w:val="a4"/>
        <w:rPr>
          <w:rFonts w:asciiTheme="majorHAnsi" w:hAnsiTheme="majorHAnsi" w:cstheme="majorHAnsi"/>
          <w:sz w:val="16"/>
          <w:szCs w:val="16"/>
        </w:rPr>
      </w:pPr>
      <w:r w:rsidRPr="00072BA2">
        <w:rPr>
          <w:rStyle w:val="a6"/>
          <w:rFonts w:asciiTheme="majorHAnsi" w:hAnsiTheme="majorHAnsi" w:cstheme="majorHAnsi"/>
          <w:sz w:val="16"/>
          <w:szCs w:val="16"/>
        </w:rPr>
        <w:footnoteRef/>
      </w:r>
      <w:r>
        <w:rPr>
          <w:rFonts w:asciiTheme="majorHAnsi" w:hAnsiTheme="majorHAnsi" w:cstheme="majorHAnsi"/>
          <w:sz w:val="16"/>
          <w:szCs w:val="16"/>
        </w:rPr>
        <w:t xml:space="preserve"> Legea nr.42 din 06.03.2020 c</w:t>
      </w:r>
      <w:r w:rsidRPr="00072BA2">
        <w:rPr>
          <w:rFonts w:asciiTheme="majorHAnsi" w:hAnsiTheme="majorHAnsi" w:cstheme="majorHAnsi"/>
          <w:sz w:val="16"/>
          <w:szCs w:val="16"/>
        </w:rPr>
        <w:t>u privire la mo</w:t>
      </w:r>
      <w:r>
        <w:rPr>
          <w:rFonts w:asciiTheme="majorHAnsi" w:hAnsiTheme="majorHAnsi" w:cstheme="majorHAnsi"/>
          <w:sz w:val="16"/>
          <w:szCs w:val="16"/>
        </w:rPr>
        <w:t>dificarea unor acte legislative</w:t>
      </w:r>
      <w:r w:rsidRPr="00072BA2">
        <w:rPr>
          <w:rFonts w:asciiTheme="majorHAnsi" w:hAnsiTheme="majorHAnsi" w:cstheme="majorHAnsi"/>
          <w:sz w:val="16"/>
          <w:szCs w:val="16"/>
        </w:rPr>
        <w:t>.</w:t>
      </w:r>
    </w:p>
  </w:footnote>
  <w:footnote w:id="18">
    <w:p w14:paraId="46198E57" w14:textId="37790AD1" w:rsidR="0023122A" w:rsidRPr="00072BA2" w:rsidRDefault="0023122A" w:rsidP="00072BA2">
      <w:pPr>
        <w:pStyle w:val="a4"/>
        <w:jc w:val="both"/>
        <w:rPr>
          <w:rFonts w:asciiTheme="majorHAnsi" w:hAnsiTheme="majorHAnsi" w:cstheme="majorHAnsi"/>
          <w:sz w:val="16"/>
          <w:szCs w:val="16"/>
        </w:rPr>
      </w:pPr>
      <w:r w:rsidRPr="00072BA2">
        <w:rPr>
          <w:rStyle w:val="a6"/>
          <w:rFonts w:asciiTheme="majorHAnsi" w:hAnsiTheme="majorHAnsi" w:cstheme="majorHAnsi"/>
          <w:sz w:val="16"/>
          <w:szCs w:val="16"/>
        </w:rPr>
        <w:footnoteRef/>
      </w:r>
      <w:r w:rsidRPr="00072BA2">
        <w:rPr>
          <w:rFonts w:asciiTheme="majorHAnsi" w:hAnsiTheme="majorHAnsi" w:cstheme="majorHAnsi"/>
          <w:sz w:val="16"/>
          <w:szCs w:val="16"/>
        </w:rPr>
        <w:t xml:space="preserve"> Legea nr.230 din 16.12.2020 pentru abrogarea Legii nr.235/2016 privind emisiunea obligațiunilor de stat în vederea </w:t>
      </w:r>
      <w:r>
        <w:rPr>
          <w:rFonts w:asciiTheme="majorHAnsi" w:hAnsiTheme="majorHAnsi" w:cstheme="majorHAnsi"/>
          <w:sz w:val="16"/>
          <w:szCs w:val="16"/>
        </w:rPr>
        <w:t>executării de către Ministerul F</w:t>
      </w:r>
      <w:r w:rsidRPr="00072BA2">
        <w:rPr>
          <w:rFonts w:asciiTheme="majorHAnsi" w:hAnsiTheme="majorHAnsi" w:cstheme="majorHAnsi"/>
          <w:sz w:val="16"/>
          <w:szCs w:val="16"/>
        </w:rPr>
        <w:t>inanțelor a obligațiilor de plată derivate din garanțiile de stat nr.807 din 17.1</w:t>
      </w:r>
      <w:r>
        <w:rPr>
          <w:rFonts w:asciiTheme="majorHAnsi" w:hAnsiTheme="majorHAnsi" w:cstheme="majorHAnsi"/>
          <w:sz w:val="16"/>
          <w:szCs w:val="16"/>
        </w:rPr>
        <w:t>1.2014 și nr.101 din 01.04.2015</w:t>
      </w:r>
      <w:r w:rsidRPr="00072BA2">
        <w:rPr>
          <w:rFonts w:asciiTheme="majorHAnsi" w:hAnsiTheme="majorHAnsi" w:cstheme="majorHAnsi"/>
          <w:sz w:val="16"/>
          <w:szCs w:val="16"/>
        </w:rPr>
        <w:t>.</w:t>
      </w:r>
    </w:p>
  </w:footnote>
  <w:footnote w:id="19">
    <w:p w14:paraId="14B7EBB9" w14:textId="495AEE46" w:rsidR="0023122A" w:rsidRPr="002B6195" w:rsidRDefault="0023122A" w:rsidP="00DB4B1E">
      <w:pPr>
        <w:pStyle w:val="a4"/>
        <w:jc w:val="both"/>
        <w:rPr>
          <w:rFonts w:asciiTheme="majorHAnsi" w:hAnsiTheme="majorHAnsi" w:cstheme="majorHAnsi"/>
          <w:sz w:val="16"/>
          <w:szCs w:val="16"/>
        </w:rPr>
      </w:pPr>
      <w:r w:rsidRPr="002B6195">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2B6195">
        <w:rPr>
          <w:rFonts w:asciiTheme="majorHAnsi" w:hAnsiTheme="majorHAnsi" w:cstheme="majorHAnsi"/>
          <w:sz w:val="16"/>
          <w:szCs w:val="16"/>
        </w:rPr>
        <w:t>rea Curții Const</w:t>
      </w:r>
      <w:r>
        <w:rPr>
          <w:rFonts w:asciiTheme="majorHAnsi" w:hAnsiTheme="majorHAnsi" w:cstheme="majorHAnsi"/>
          <w:sz w:val="16"/>
          <w:szCs w:val="16"/>
        </w:rPr>
        <w:t>ituționale nr.9 din 18.03.2021 (în vigoare din 18.03.2021)</w:t>
      </w:r>
    </w:p>
  </w:footnote>
  <w:footnote w:id="20">
    <w:p w14:paraId="72EAE67A" w14:textId="5EA593A5" w:rsidR="0023122A" w:rsidRPr="005D33A6" w:rsidRDefault="0023122A" w:rsidP="00DB4B1E">
      <w:pPr>
        <w:pStyle w:val="a4"/>
        <w:jc w:val="both"/>
        <w:rPr>
          <w:rFonts w:asciiTheme="majorHAnsi" w:hAnsiTheme="majorHAnsi" w:cstheme="majorHAnsi"/>
          <w:sz w:val="16"/>
          <w:szCs w:val="16"/>
        </w:rPr>
      </w:pPr>
      <w:r w:rsidRPr="005D33A6">
        <w:rPr>
          <w:rStyle w:val="a6"/>
          <w:rFonts w:asciiTheme="majorHAnsi" w:hAnsiTheme="majorHAnsi" w:cstheme="majorHAnsi"/>
          <w:sz w:val="16"/>
          <w:szCs w:val="16"/>
        </w:rPr>
        <w:footnoteRef/>
      </w:r>
      <w:r w:rsidRPr="005D33A6">
        <w:rPr>
          <w:rFonts w:asciiTheme="majorHAnsi" w:hAnsiTheme="majorHAnsi" w:cstheme="majorHAnsi"/>
          <w:sz w:val="16"/>
          <w:szCs w:val="16"/>
        </w:rPr>
        <w:t xml:space="preserve"> Legea bugetului de stat pentru anul 2020 nr. 172 din 19.12.2019 </w:t>
      </w:r>
      <w:r w:rsidRPr="005D33A6">
        <w:rPr>
          <w:rFonts w:asciiTheme="majorHAnsi" w:hAnsiTheme="majorHAnsi" w:cstheme="majorHAnsi"/>
          <w:i/>
          <w:sz w:val="16"/>
          <w:szCs w:val="16"/>
        </w:rPr>
        <w:t>(cu modificările ulterioare)</w:t>
      </w:r>
      <w:r>
        <w:rPr>
          <w:rFonts w:asciiTheme="majorHAnsi" w:hAnsiTheme="majorHAnsi" w:cstheme="majorHAnsi"/>
          <w:i/>
          <w:sz w:val="16"/>
          <w:szCs w:val="16"/>
        </w:rPr>
        <w:t>.</w:t>
      </w:r>
    </w:p>
  </w:footnote>
  <w:footnote w:id="21">
    <w:p w14:paraId="4BC72ED9" w14:textId="387D109F" w:rsidR="0023122A" w:rsidRPr="005B2959" w:rsidRDefault="0023122A">
      <w:pPr>
        <w:pStyle w:val="a4"/>
        <w:rPr>
          <w:rFonts w:asciiTheme="majorHAnsi" w:hAnsiTheme="majorHAnsi" w:cstheme="majorHAnsi"/>
          <w:sz w:val="16"/>
          <w:szCs w:val="16"/>
        </w:rPr>
      </w:pPr>
      <w:r w:rsidRPr="005B2959">
        <w:rPr>
          <w:rStyle w:val="a6"/>
          <w:rFonts w:asciiTheme="majorHAnsi" w:hAnsiTheme="majorHAnsi" w:cstheme="majorHAnsi"/>
          <w:sz w:val="16"/>
          <w:szCs w:val="16"/>
        </w:rPr>
        <w:footnoteRef/>
      </w:r>
      <w:r w:rsidRPr="005B2959">
        <w:rPr>
          <w:rFonts w:asciiTheme="majorHAnsi" w:hAnsiTheme="majorHAnsi" w:cstheme="majorHAnsi"/>
          <w:sz w:val="16"/>
          <w:szCs w:val="16"/>
        </w:rPr>
        <w:t xml:space="preserve"> </w:t>
      </w:r>
      <w:r>
        <w:rPr>
          <w:rFonts w:asciiTheme="majorHAnsi" w:hAnsiTheme="majorHAnsi" w:cstheme="majorHAnsi"/>
          <w:sz w:val="16"/>
          <w:szCs w:val="16"/>
        </w:rPr>
        <w:t xml:space="preserve">Legea nr.293 din 21.12.2017 </w:t>
      </w:r>
      <w:r w:rsidRPr="005B2959">
        <w:rPr>
          <w:rFonts w:asciiTheme="majorHAnsi" w:hAnsiTheme="majorHAnsi" w:cstheme="majorHAnsi"/>
          <w:sz w:val="16"/>
          <w:szCs w:val="16"/>
        </w:rPr>
        <w:t>privind unele măsuri în vederea implementării Programului de stat „Prima casă”.</w:t>
      </w:r>
      <w:r w:rsidRPr="005B2959">
        <w:rPr>
          <w:rFonts w:asciiTheme="majorHAnsi" w:hAnsiTheme="majorHAnsi" w:cstheme="majorHAnsi"/>
          <w:sz w:val="16"/>
          <w:szCs w:val="16"/>
        </w:rPr>
        <w:tab/>
      </w:r>
    </w:p>
  </w:footnote>
  <w:footnote w:id="22">
    <w:p w14:paraId="746C7E6C" w14:textId="7F43A37B" w:rsidR="0023122A" w:rsidRPr="00DA672D" w:rsidRDefault="0023122A">
      <w:pPr>
        <w:pStyle w:val="a4"/>
        <w:rPr>
          <w:rFonts w:asciiTheme="majorHAnsi" w:hAnsiTheme="majorHAnsi" w:cstheme="majorHAnsi"/>
          <w:sz w:val="16"/>
          <w:szCs w:val="16"/>
        </w:rPr>
      </w:pPr>
      <w:r w:rsidRPr="00DA672D">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DA672D">
        <w:rPr>
          <w:rFonts w:asciiTheme="majorHAnsi" w:hAnsiTheme="majorHAnsi" w:cstheme="majorHAnsi"/>
          <w:sz w:val="16"/>
          <w:szCs w:val="16"/>
        </w:rPr>
        <w:t xml:space="preserve">rea Guvernului nr.202 din 28.02.2018 „Cu privire la aprobarea Regulamentului de implementare </w:t>
      </w:r>
      <w:r>
        <w:rPr>
          <w:rFonts w:asciiTheme="majorHAnsi" w:hAnsiTheme="majorHAnsi" w:cstheme="majorHAnsi"/>
          <w:sz w:val="16"/>
          <w:szCs w:val="16"/>
        </w:rPr>
        <w:t>a Programului de stat „Prima casă””.</w:t>
      </w:r>
      <w:r w:rsidRPr="00DA672D">
        <w:rPr>
          <w:rFonts w:asciiTheme="majorHAnsi" w:hAnsiTheme="majorHAnsi" w:cstheme="majorHAnsi"/>
          <w:sz w:val="16"/>
          <w:szCs w:val="16"/>
        </w:rPr>
        <w:t xml:space="preserve"> </w:t>
      </w:r>
    </w:p>
  </w:footnote>
  <w:footnote w:id="23">
    <w:p w14:paraId="1689FC02" w14:textId="1A12920C" w:rsidR="0023122A" w:rsidRPr="005B2959" w:rsidRDefault="0023122A" w:rsidP="00A5159A">
      <w:pPr>
        <w:pStyle w:val="a4"/>
        <w:rPr>
          <w:rFonts w:asciiTheme="majorHAnsi" w:hAnsiTheme="majorHAnsi" w:cstheme="majorHAnsi"/>
          <w:sz w:val="16"/>
          <w:szCs w:val="16"/>
          <w:lang w:val="en-US"/>
        </w:rPr>
      </w:pPr>
      <w:r w:rsidRPr="005B2959">
        <w:rPr>
          <w:rStyle w:val="a6"/>
          <w:rFonts w:asciiTheme="majorHAnsi" w:hAnsiTheme="majorHAnsi" w:cstheme="majorHAnsi"/>
          <w:sz w:val="16"/>
          <w:szCs w:val="16"/>
        </w:rPr>
        <w:footnoteRef/>
      </w:r>
      <w:r w:rsidRPr="005B2959">
        <w:rPr>
          <w:rFonts w:asciiTheme="majorHAnsi" w:hAnsiTheme="majorHAnsi" w:cstheme="majorHAnsi"/>
          <w:sz w:val="16"/>
          <w:szCs w:val="16"/>
        </w:rPr>
        <w:t xml:space="preserve"> Legea bugetului de stat pentru anul 2020 nr. 172 din 19.12.2019</w:t>
      </w:r>
      <w:r>
        <w:rPr>
          <w:rFonts w:asciiTheme="majorHAnsi" w:hAnsiTheme="majorHAnsi" w:cstheme="majorHAnsi"/>
          <w:sz w:val="16"/>
          <w:szCs w:val="16"/>
        </w:rPr>
        <w:t>.</w:t>
      </w:r>
    </w:p>
  </w:footnote>
  <w:footnote w:id="24">
    <w:p w14:paraId="067B367F" w14:textId="6C428F11" w:rsidR="0023122A" w:rsidRPr="00E51D9A" w:rsidRDefault="0023122A">
      <w:pPr>
        <w:pStyle w:val="a4"/>
        <w:rPr>
          <w:rFonts w:asciiTheme="majorHAnsi" w:hAnsiTheme="majorHAnsi" w:cstheme="majorHAnsi"/>
          <w:sz w:val="16"/>
          <w:szCs w:val="16"/>
        </w:rPr>
      </w:pPr>
      <w:r w:rsidRPr="00E51D9A">
        <w:rPr>
          <w:rStyle w:val="a6"/>
          <w:rFonts w:asciiTheme="majorHAnsi" w:hAnsiTheme="majorHAnsi" w:cstheme="majorHAnsi"/>
          <w:sz w:val="16"/>
          <w:szCs w:val="16"/>
        </w:rPr>
        <w:footnoteRef/>
      </w:r>
      <w:r>
        <w:rPr>
          <w:rFonts w:asciiTheme="majorHAnsi" w:hAnsiTheme="majorHAnsi" w:cstheme="majorHAnsi"/>
          <w:sz w:val="16"/>
          <w:szCs w:val="16"/>
        </w:rPr>
        <w:t xml:space="preserve"> Aprobat prin Hotărâ</w:t>
      </w:r>
      <w:r w:rsidRPr="00E51D9A">
        <w:rPr>
          <w:rFonts w:asciiTheme="majorHAnsi" w:hAnsiTheme="majorHAnsi" w:cstheme="majorHAnsi"/>
          <w:sz w:val="16"/>
          <w:szCs w:val="16"/>
        </w:rPr>
        <w:t xml:space="preserve">rea Guvernului nr.202 din 28.02.2018 </w:t>
      </w:r>
      <w:r>
        <w:rPr>
          <w:rFonts w:asciiTheme="majorHAnsi" w:hAnsiTheme="majorHAnsi" w:cstheme="majorHAnsi"/>
          <w:sz w:val="16"/>
          <w:szCs w:val="16"/>
        </w:rPr>
        <w:t xml:space="preserve">„Cu privire la aprobarea Regulamentului de implementare a Programului de stat „Prima casă”” </w:t>
      </w:r>
      <w:r w:rsidRPr="00E51D9A">
        <w:rPr>
          <w:rFonts w:asciiTheme="majorHAnsi" w:hAnsiTheme="majorHAnsi" w:cstheme="majorHAnsi"/>
          <w:sz w:val="16"/>
          <w:szCs w:val="16"/>
        </w:rPr>
        <w:t>(cu modificările ulterioare)</w:t>
      </w:r>
      <w:r>
        <w:rPr>
          <w:rFonts w:asciiTheme="majorHAnsi" w:hAnsiTheme="majorHAnsi" w:cstheme="majorHAnsi"/>
          <w:sz w:val="16"/>
          <w:szCs w:val="16"/>
        </w:rPr>
        <w:t>.</w:t>
      </w:r>
    </w:p>
  </w:footnote>
  <w:footnote w:id="25">
    <w:p w14:paraId="1146126E" w14:textId="632D6A8D" w:rsidR="0023122A" w:rsidRPr="00E062F7" w:rsidRDefault="0023122A" w:rsidP="00C70556">
      <w:pPr>
        <w:pStyle w:val="a4"/>
        <w:rPr>
          <w:rFonts w:asciiTheme="majorHAnsi" w:hAnsiTheme="majorHAnsi" w:cstheme="majorHAnsi"/>
          <w:sz w:val="16"/>
          <w:szCs w:val="16"/>
          <w:lang w:val="ro-MD"/>
        </w:rPr>
      </w:pPr>
      <w:r w:rsidRPr="00E062F7">
        <w:rPr>
          <w:rStyle w:val="a6"/>
          <w:rFonts w:asciiTheme="majorHAnsi" w:hAnsiTheme="majorHAnsi" w:cstheme="majorHAnsi"/>
          <w:sz w:val="16"/>
          <w:szCs w:val="16"/>
        </w:rPr>
        <w:footnoteRef/>
      </w:r>
      <w:r w:rsidRPr="00E062F7">
        <w:rPr>
          <w:rFonts w:asciiTheme="majorHAnsi" w:hAnsiTheme="majorHAnsi" w:cstheme="majorHAnsi"/>
          <w:sz w:val="16"/>
          <w:szCs w:val="16"/>
        </w:rPr>
        <w:t xml:space="preserve"> Ordinul </w:t>
      </w:r>
      <w:r>
        <w:rPr>
          <w:rFonts w:asciiTheme="majorHAnsi" w:hAnsiTheme="majorHAnsi" w:cstheme="majorHAnsi"/>
          <w:sz w:val="16"/>
          <w:szCs w:val="16"/>
        </w:rPr>
        <w:t>m</w:t>
      </w:r>
      <w:r w:rsidRPr="00E062F7">
        <w:rPr>
          <w:rFonts w:asciiTheme="majorHAnsi" w:hAnsiTheme="majorHAnsi" w:cstheme="majorHAnsi"/>
          <w:sz w:val="16"/>
          <w:szCs w:val="16"/>
        </w:rPr>
        <w:t>inistrului Finanțelor nr.48 din 23.03.2020 „Cu privire la radierea unor datorii din Raportul privind datoriile debitorilor garantați față de Ministerul Finanțelor”</w:t>
      </w:r>
      <w:r>
        <w:rPr>
          <w:rFonts w:asciiTheme="majorHAnsi" w:hAnsiTheme="majorHAnsi" w:cstheme="majorHAnsi"/>
          <w:sz w:val="16"/>
          <w:szCs w:val="16"/>
        </w:rPr>
        <w:t>.</w:t>
      </w:r>
    </w:p>
  </w:footnote>
  <w:footnote w:id="26">
    <w:p w14:paraId="483DCD84" w14:textId="60DA4AC7" w:rsidR="0023122A" w:rsidRPr="00E062F7" w:rsidRDefault="0023122A" w:rsidP="00C70556">
      <w:pPr>
        <w:pStyle w:val="a4"/>
        <w:rPr>
          <w:rFonts w:asciiTheme="majorHAnsi" w:hAnsiTheme="majorHAnsi" w:cstheme="majorHAnsi"/>
          <w:sz w:val="16"/>
          <w:szCs w:val="16"/>
          <w:lang w:val="ro-MD"/>
        </w:rPr>
      </w:pPr>
      <w:r w:rsidRPr="00E062F7">
        <w:rPr>
          <w:rStyle w:val="a6"/>
          <w:rFonts w:asciiTheme="majorHAnsi" w:hAnsiTheme="majorHAnsi" w:cstheme="majorHAnsi"/>
          <w:sz w:val="16"/>
          <w:szCs w:val="16"/>
        </w:rPr>
        <w:footnoteRef/>
      </w:r>
      <w:r w:rsidRPr="00E062F7">
        <w:rPr>
          <w:rFonts w:asciiTheme="majorHAnsi" w:hAnsiTheme="majorHAnsi" w:cstheme="majorHAnsi"/>
          <w:sz w:val="16"/>
          <w:szCs w:val="16"/>
        </w:rPr>
        <w:t xml:space="preserve"> </w:t>
      </w:r>
      <w:r>
        <w:rPr>
          <w:rFonts w:asciiTheme="majorHAnsi" w:hAnsiTheme="majorHAnsi" w:cstheme="majorHAnsi"/>
          <w:sz w:val="16"/>
          <w:szCs w:val="16"/>
        </w:rPr>
        <w:t>Decizia ASP din 09.12.2019 privind eadierea din oficiu a persoanei juridice inactive din Registrul de stat al persoanelor juridice (</w:t>
      </w:r>
      <w:r w:rsidRPr="00E062F7">
        <w:rPr>
          <w:rFonts w:asciiTheme="majorHAnsi" w:hAnsiTheme="majorHAnsi" w:cstheme="majorHAnsi"/>
          <w:sz w:val="16"/>
          <w:szCs w:val="16"/>
          <w:lang w:val="ro-MD"/>
        </w:rPr>
        <w:t>Dosarul nr. 1019600024397 din 09.12.2019</w:t>
      </w:r>
      <w:r>
        <w:rPr>
          <w:rFonts w:asciiTheme="majorHAnsi" w:hAnsiTheme="majorHAnsi" w:cstheme="majorHAnsi"/>
          <w:sz w:val="16"/>
          <w:szCs w:val="16"/>
          <w:lang w:val="ro-MD"/>
        </w:rPr>
        <w:t>).</w:t>
      </w:r>
    </w:p>
  </w:footnote>
  <w:footnote w:id="27">
    <w:p w14:paraId="58631D7E" w14:textId="146F5CE9" w:rsidR="0023122A" w:rsidRPr="00AF4ACD" w:rsidRDefault="0023122A" w:rsidP="00AF4ACD">
      <w:pPr>
        <w:pStyle w:val="a4"/>
        <w:jc w:val="both"/>
        <w:rPr>
          <w:rFonts w:asciiTheme="majorHAnsi" w:hAnsiTheme="majorHAnsi" w:cstheme="majorHAnsi"/>
          <w:sz w:val="16"/>
          <w:szCs w:val="16"/>
        </w:rPr>
      </w:pPr>
      <w:r w:rsidRPr="00AF4ACD">
        <w:rPr>
          <w:rStyle w:val="a6"/>
          <w:rFonts w:asciiTheme="majorHAnsi" w:hAnsiTheme="majorHAnsi" w:cstheme="majorHAnsi"/>
          <w:sz w:val="16"/>
          <w:szCs w:val="16"/>
        </w:rPr>
        <w:footnoteRef/>
      </w:r>
      <w:r w:rsidRPr="00AF4ACD">
        <w:rPr>
          <w:rFonts w:asciiTheme="majorHAnsi" w:hAnsiTheme="majorHAnsi" w:cstheme="majorHAnsi"/>
          <w:sz w:val="16"/>
          <w:szCs w:val="16"/>
        </w:rPr>
        <w:t xml:space="preserve"> Raportul privind situația în domeniul datoriei sectorului public, garanțiilor de stat și recreditării de stat pe anul 2020; Informația cumulativă sub aspectul agenților economici beneficiari de împrumuturi recreditate prin intermediul Ministerului Finanțelor conform situației de la 31.12.2020.</w:t>
      </w:r>
    </w:p>
  </w:footnote>
  <w:footnote w:id="28">
    <w:p w14:paraId="6F7ED7D4" w14:textId="77777777" w:rsidR="0023122A" w:rsidRPr="00002BAD" w:rsidRDefault="0023122A" w:rsidP="00C70556">
      <w:pPr>
        <w:pStyle w:val="a4"/>
        <w:rPr>
          <w:rFonts w:asciiTheme="majorHAnsi" w:hAnsiTheme="majorHAnsi" w:cstheme="majorHAnsi"/>
          <w:sz w:val="16"/>
          <w:szCs w:val="16"/>
        </w:rPr>
      </w:pPr>
      <w:r w:rsidRPr="00002BAD">
        <w:rPr>
          <w:rStyle w:val="a6"/>
          <w:rFonts w:asciiTheme="majorHAnsi" w:hAnsiTheme="majorHAnsi" w:cstheme="majorHAnsi"/>
          <w:sz w:val="16"/>
          <w:szCs w:val="16"/>
        </w:rPr>
        <w:footnoteRef/>
      </w:r>
      <w:r w:rsidRPr="00002BAD">
        <w:rPr>
          <w:rFonts w:asciiTheme="majorHAnsi" w:hAnsiTheme="majorHAnsi" w:cstheme="majorHAnsi"/>
          <w:sz w:val="16"/>
          <w:szCs w:val="16"/>
        </w:rPr>
        <w:t xml:space="preserve"> S.A. „Văleni” și Î.S. „Combinatul de produse cerealiere din Bender”.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F42"/>
    <w:multiLevelType w:val="hybridMultilevel"/>
    <w:tmpl w:val="4A9CD60E"/>
    <w:lvl w:ilvl="0" w:tplc="0409000B">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47E4B"/>
    <w:multiLevelType w:val="hybridMultilevel"/>
    <w:tmpl w:val="9366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2166"/>
    <w:multiLevelType w:val="hybridMultilevel"/>
    <w:tmpl w:val="98AEC65C"/>
    <w:lvl w:ilvl="0" w:tplc="29C4A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00BC9"/>
    <w:multiLevelType w:val="hybridMultilevel"/>
    <w:tmpl w:val="4F60A0D0"/>
    <w:lvl w:ilvl="0" w:tplc="63C0576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E66C3"/>
    <w:multiLevelType w:val="hybridMultilevel"/>
    <w:tmpl w:val="9594B79A"/>
    <w:lvl w:ilvl="0" w:tplc="1B70D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F5D7D"/>
    <w:multiLevelType w:val="hybridMultilevel"/>
    <w:tmpl w:val="2F38C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F7995"/>
    <w:multiLevelType w:val="multilevel"/>
    <w:tmpl w:val="3E6282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02A5F"/>
    <w:multiLevelType w:val="hybridMultilevel"/>
    <w:tmpl w:val="33DE4336"/>
    <w:lvl w:ilvl="0" w:tplc="05167604">
      <w:start w:val="1"/>
      <w:numFmt w:val="bullet"/>
      <w:lvlText w:val=""/>
      <w:lvlJc w:val="left"/>
      <w:pPr>
        <w:ind w:left="1429"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13D3F32"/>
    <w:multiLevelType w:val="multilevel"/>
    <w:tmpl w:val="5AFCF4E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0C4097"/>
    <w:multiLevelType w:val="multilevel"/>
    <w:tmpl w:val="E4064882"/>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E1647"/>
    <w:multiLevelType w:val="multilevel"/>
    <w:tmpl w:val="B9D01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F421E4"/>
    <w:multiLevelType w:val="hybridMultilevel"/>
    <w:tmpl w:val="5296C198"/>
    <w:lvl w:ilvl="0" w:tplc="6B0AD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60564"/>
    <w:multiLevelType w:val="hybridMultilevel"/>
    <w:tmpl w:val="6FAA4A5E"/>
    <w:lvl w:ilvl="0" w:tplc="627CB54E">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11131"/>
    <w:multiLevelType w:val="multilevel"/>
    <w:tmpl w:val="5C581D30"/>
    <w:lvl w:ilvl="0">
      <w:start w:val="1"/>
      <w:numFmt w:val="decimal"/>
      <w:pStyle w:val="1"/>
      <w:lvlText w:val="%1"/>
      <w:lvlJc w:val="left"/>
      <w:pPr>
        <w:ind w:left="432" w:hanging="432"/>
      </w:p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76FA2C6D"/>
    <w:multiLevelType w:val="hybridMultilevel"/>
    <w:tmpl w:val="16B0A5DE"/>
    <w:lvl w:ilvl="0" w:tplc="EC6C9A6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64CF0"/>
    <w:multiLevelType w:val="hybridMultilevel"/>
    <w:tmpl w:val="2C90D448"/>
    <w:lvl w:ilvl="0" w:tplc="F502E358">
      <w:start w:val="3"/>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61B53"/>
    <w:multiLevelType w:val="hybridMultilevel"/>
    <w:tmpl w:val="D7CE89E2"/>
    <w:lvl w:ilvl="0" w:tplc="8FCABE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1"/>
  </w:num>
  <w:num w:numId="5">
    <w:abstractNumId w:val="0"/>
  </w:num>
  <w:num w:numId="6">
    <w:abstractNumId w:val="1"/>
  </w:num>
  <w:num w:numId="7">
    <w:abstractNumId w:val="5"/>
  </w:num>
  <w:num w:numId="8">
    <w:abstractNumId w:val="18"/>
  </w:num>
  <w:num w:numId="9">
    <w:abstractNumId w:val="8"/>
  </w:num>
  <w:num w:numId="10">
    <w:abstractNumId w:val="6"/>
  </w:num>
  <w:num w:numId="11">
    <w:abstractNumId w:val="17"/>
  </w:num>
  <w:num w:numId="12">
    <w:abstractNumId w:val="21"/>
  </w:num>
  <w:num w:numId="13">
    <w:abstractNumId w:val="9"/>
  </w:num>
  <w:num w:numId="14">
    <w:abstractNumId w:val="10"/>
  </w:num>
  <w:num w:numId="15">
    <w:abstractNumId w:val="20"/>
  </w:num>
  <w:num w:numId="16">
    <w:abstractNumId w:val="7"/>
  </w:num>
  <w:num w:numId="17">
    <w:abstractNumId w:val="4"/>
  </w:num>
  <w:num w:numId="18">
    <w:abstractNumId w:val="19"/>
  </w:num>
  <w:num w:numId="19">
    <w:abstractNumId w:val="2"/>
  </w:num>
  <w:num w:numId="20">
    <w:abstractNumId w:val="13"/>
  </w:num>
  <w:num w:numId="21">
    <w:abstractNumId w:val="3"/>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00268A"/>
    <w:rsid w:val="00002BAD"/>
    <w:rsid w:val="00003EAD"/>
    <w:rsid w:val="00003FCA"/>
    <w:rsid w:val="0000552A"/>
    <w:rsid w:val="00005576"/>
    <w:rsid w:val="00005DB1"/>
    <w:rsid w:val="00005E8C"/>
    <w:rsid w:val="0000696B"/>
    <w:rsid w:val="00006B73"/>
    <w:rsid w:val="00007DA4"/>
    <w:rsid w:val="0001032C"/>
    <w:rsid w:val="0001065A"/>
    <w:rsid w:val="0001142F"/>
    <w:rsid w:val="00011935"/>
    <w:rsid w:val="00012F1E"/>
    <w:rsid w:val="00013032"/>
    <w:rsid w:val="00014F08"/>
    <w:rsid w:val="000151D7"/>
    <w:rsid w:val="00015854"/>
    <w:rsid w:val="000174B6"/>
    <w:rsid w:val="00017C4A"/>
    <w:rsid w:val="00017D61"/>
    <w:rsid w:val="00017DD7"/>
    <w:rsid w:val="00020C8D"/>
    <w:rsid w:val="00024071"/>
    <w:rsid w:val="0002458B"/>
    <w:rsid w:val="00024907"/>
    <w:rsid w:val="00024CA8"/>
    <w:rsid w:val="00025BFE"/>
    <w:rsid w:val="00026651"/>
    <w:rsid w:val="00026E56"/>
    <w:rsid w:val="00027E30"/>
    <w:rsid w:val="00030127"/>
    <w:rsid w:val="000307CC"/>
    <w:rsid w:val="00032048"/>
    <w:rsid w:val="0003259F"/>
    <w:rsid w:val="00033A80"/>
    <w:rsid w:val="00033CD7"/>
    <w:rsid w:val="0003421C"/>
    <w:rsid w:val="00034BC8"/>
    <w:rsid w:val="00034E32"/>
    <w:rsid w:val="000367B1"/>
    <w:rsid w:val="00037384"/>
    <w:rsid w:val="000374B8"/>
    <w:rsid w:val="00042FB8"/>
    <w:rsid w:val="0004441B"/>
    <w:rsid w:val="000446EB"/>
    <w:rsid w:val="00047CBA"/>
    <w:rsid w:val="0005017D"/>
    <w:rsid w:val="000504F5"/>
    <w:rsid w:val="00053C04"/>
    <w:rsid w:val="00053C3B"/>
    <w:rsid w:val="00055335"/>
    <w:rsid w:val="0005555B"/>
    <w:rsid w:val="00055934"/>
    <w:rsid w:val="000561FB"/>
    <w:rsid w:val="0005778D"/>
    <w:rsid w:val="0006033B"/>
    <w:rsid w:val="0006038E"/>
    <w:rsid w:val="000612FF"/>
    <w:rsid w:val="00061848"/>
    <w:rsid w:val="00062319"/>
    <w:rsid w:val="00062370"/>
    <w:rsid w:val="000634C5"/>
    <w:rsid w:val="00064983"/>
    <w:rsid w:val="000663F2"/>
    <w:rsid w:val="0006647E"/>
    <w:rsid w:val="00070A5E"/>
    <w:rsid w:val="0007139E"/>
    <w:rsid w:val="0007282C"/>
    <w:rsid w:val="00072BA2"/>
    <w:rsid w:val="000734A7"/>
    <w:rsid w:val="000736C5"/>
    <w:rsid w:val="00074E4A"/>
    <w:rsid w:val="00075906"/>
    <w:rsid w:val="000762CA"/>
    <w:rsid w:val="000766DD"/>
    <w:rsid w:val="000768AA"/>
    <w:rsid w:val="00077955"/>
    <w:rsid w:val="00077A89"/>
    <w:rsid w:val="00081549"/>
    <w:rsid w:val="00081558"/>
    <w:rsid w:val="000815A7"/>
    <w:rsid w:val="00081C98"/>
    <w:rsid w:val="0008238E"/>
    <w:rsid w:val="000839D3"/>
    <w:rsid w:val="00083CAE"/>
    <w:rsid w:val="00083D29"/>
    <w:rsid w:val="000845E5"/>
    <w:rsid w:val="000869BA"/>
    <w:rsid w:val="00087303"/>
    <w:rsid w:val="00090267"/>
    <w:rsid w:val="00090CC4"/>
    <w:rsid w:val="0009184E"/>
    <w:rsid w:val="000919D6"/>
    <w:rsid w:val="00091FDC"/>
    <w:rsid w:val="00093177"/>
    <w:rsid w:val="00095048"/>
    <w:rsid w:val="00095134"/>
    <w:rsid w:val="00095DC8"/>
    <w:rsid w:val="00096380"/>
    <w:rsid w:val="00096E66"/>
    <w:rsid w:val="000976F2"/>
    <w:rsid w:val="000A275F"/>
    <w:rsid w:val="000A2B31"/>
    <w:rsid w:val="000A44BB"/>
    <w:rsid w:val="000A4733"/>
    <w:rsid w:val="000A5447"/>
    <w:rsid w:val="000B0B6A"/>
    <w:rsid w:val="000B0BAA"/>
    <w:rsid w:val="000B398B"/>
    <w:rsid w:val="000B3AAE"/>
    <w:rsid w:val="000B488E"/>
    <w:rsid w:val="000B55D2"/>
    <w:rsid w:val="000B5BEA"/>
    <w:rsid w:val="000B631D"/>
    <w:rsid w:val="000B6562"/>
    <w:rsid w:val="000B782B"/>
    <w:rsid w:val="000C00BD"/>
    <w:rsid w:val="000C040B"/>
    <w:rsid w:val="000C47AB"/>
    <w:rsid w:val="000C52D3"/>
    <w:rsid w:val="000C5D6A"/>
    <w:rsid w:val="000C6853"/>
    <w:rsid w:val="000C6D3C"/>
    <w:rsid w:val="000D058E"/>
    <w:rsid w:val="000D05EE"/>
    <w:rsid w:val="000D2606"/>
    <w:rsid w:val="000D2804"/>
    <w:rsid w:val="000D3C2C"/>
    <w:rsid w:val="000D3CA2"/>
    <w:rsid w:val="000D3D3E"/>
    <w:rsid w:val="000D42C6"/>
    <w:rsid w:val="000D6F47"/>
    <w:rsid w:val="000D70D9"/>
    <w:rsid w:val="000D778C"/>
    <w:rsid w:val="000E1785"/>
    <w:rsid w:val="000E222E"/>
    <w:rsid w:val="000E28F9"/>
    <w:rsid w:val="000E32A9"/>
    <w:rsid w:val="000E339D"/>
    <w:rsid w:val="000E3BCE"/>
    <w:rsid w:val="000E501B"/>
    <w:rsid w:val="000E6148"/>
    <w:rsid w:val="000E698C"/>
    <w:rsid w:val="000E6A18"/>
    <w:rsid w:val="000F2391"/>
    <w:rsid w:val="000F2C65"/>
    <w:rsid w:val="000F3288"/>
    <w:rsid w:val="000F3CD9"/>
    <w:rsid w:val="000F5AE2"/>
    <w:rsid w:val="000F5FBD"/>
    <w:rsid w:val="000F6997"/>
    <w:rsid w:val="000F6A54"/>
    <w:rsid w:val="000F7110"/>
    <w:rsid w:val="000F7C41"/>
    <w:rsid w:val="00102C50"/>
    <w:rsid w:val="00102EBE"/>
    <w:rsid w:val="00103650"/>
    <w:rsid w:val="0010469B"/>
    <w:rsid w:val="0010473A"/>
    <w:rsid w:val="00105281"/>
    <w:rsid w:val="00110489"/>
    <w:rsid w:val="00110D67"/>
    <w:rsid w:val="001128A6"/>
    <w:rsid w:val="00113163"/>
    <w:rsid w:val="001132F4"/>
    <w:rsid w:val="00114A62"/>
    <w:rsid w:val="00116417"/>
    <w:rsid w:val="00117094"/>
    <w:rsid w:val="00117ED0"/>
    <w:rsid w:val="0012079B"/>
    <w:rsid w:val="0012229B"/>
    <w:rsid w:val="00122E36"/>
    <w:rsid w:val="00123740"/>
    <w:rsid w:val="00123BCC"/>
    <w:rsid w:val="00124A40"/>
    <w:rsid w:val="00125126"/>
    <w:rsid w:val="00131233"/>
    <w:rsid w:val="00131E29"/>
    <w:rsid w:val="00133A99"/>
    <w:rsid w:val="00135F7A"/>
    <w:rsid w:val="00136251"/>
    <w:rsid w:val="001365B9"/>
    <w:rsid w:val="001369A3"/>
    <w:rsid w:val="00137782"/>
    <w:rsid w:val="00137BDD"/>
    <w:rsid w:val="00137D33"/>
    <w:rsid w:val="0014067E"/>
    <w:rsid w:val="00141EA1"/>
    <w:rsid w:val="0014266E"/>
    <w:rsid w:val="00142785"/>
    <w:rsid w:val="00142B94"/>
    <w:rsid w:val="001435C5"/>
    <w:rsid w:val="00143B1C"/>
    <w:rsid w:val="00145A92"/>
    <w:rsid w:val="0014794C"/>
    <w:rsid w:val="00147A4A"/>
    <w:rsid w:val="00147CB5"/>
    <w:rsid w:val="00147D69"/>
    <w:rsid w:val="001505F8"/>
    <w:rsid w:val="00150BB4"/>
    <w:rsid w:val="00151374"/>
    <w:rsid w:val="001517CA"/>
    <w:rsid w:val="00152020"/>
    <w:rsid w:val="00155BF0"/>
    <w:rsid w:val="001602ED"/>
    <w:rsid w:val="001605A7"/>
    <w:rsid w:val="0016162C"/>
    <w:rsid w:val="001619EA"/>
    <w:rsid w:val="00162C42"/>
    <w:rsid w:val="001634BB"/>
    <w:rsid w:val="00163D6D"/>
    <w:rsid w:val="00163FE8"/>
    <w:rsid w:val="001644CC"/>
    <w:rsid w:val="00164F90"/>
    <w:rsid w:val="00165DAF"/>
    <w:rsid w:val="00166148"/>
    <w:rsid w:val="0016771E"/>
    <w:rsid w:val="0016784A"/>
    <w:rsid w:val="001708BA"/>
    <w:rsid w:val="00172038"/>
    <w:rsid w:val="00172210"/>
    <w:rsid w:val="001727A9"/>
    <w:rsid w:val="00173227"/>
    <w:rsid w:val="00173877"/>
    <w:rsid w:val="001742A5"/>
    <w:rsid w:val="00174ADE"/>
    <w:rsid w:val="00175651"/>
    <w:rsid w:val="00175EE3"/>
    <w:rsid w:val="001763FA"/>
    <w:rsid w:val="00176FFA"/>
    <w:rsid w:val="001809A0"/>
    <w:rsid w:val="00180F93"/>
    <w:rsid w:val="00181418"/>
    <w:rsid w:val="00181D24"/>
    <w:rsid w:val="0018260B"/>
    <w:rsid w:val="00182F0D"/>
    <w:rsid w:val="00183BAA"/>
    <w:rsid w:val="00183C4E"/>
    <w:rsid w:val="00184E35"/>
    <w:rsid w:val="0018553A"/>
    <w:rsid w:val="00186537"/>
    <w:rsid w:val="00191829"/>
    <w:rsid w:val="00191D7B"/>
    <w:rsid w:val="00192344"/>
    <w:rsid w:val="001942F5"/>
    <w:rsid w:val="001946A6"/>
    <w:rsid w:val="00194723"/>
    <w:rsid w:val="00194F19"/>
    <w:rsid w:val="00196070"/>
    <w:rsid w:val="00196360"/>
    <w:rsid w:val="00197011"/>
    <w:rsid w:val="001971B2"/>
    <w:rsid w:val="001976BD"/>
    <w:rsid w:val="001A01E4"/>
    <w:rsid w:val="001A149A"/>
    <w:rsid w:val="001A181D"/>
    <w:rsid w:val="001A6314"/>
    <w:rsid w:val="001A752E"/>
    <w:rsid w:val="001B112F"/>
    <w:rsid w:val="001B1A1A"/>
    <w:rsid w:val="001B3168"/>
    <w:rsid w:val="001B4E2D"/>
    <w:rsid w:val="001B4E6E"/>
    <w:rsid w:val="001B54C2"/>
    <w:rsid w:val="001B6B54"/>
    <w:rsid w:val="001C0F87"/>
    <w:rsid w:val="001C2692"/>
    <w:rsid w:val="001C4633"/>
    <w:rsid w:val="001C5D4D"/>
    <w:rsid w:val="001D03CC"/>
    <w:rsid w:val="001D0BE7"/>
    <w:rsid w:val="001D1502"/>
    <w:rsid w:val="001D3F98"/>
    <w:rsid w:val="001D5738"/>
    <w:rsid w:val="001D5C4A"/>
    <w:rsid w:val="001D5D48"/>
    <w:rsid w:val="001D5F59"/>
    <w:rsid w:val="001D76FD"/>
    <w:rsid w:val="001E22EE"/>
    <w:rsid w:val="001E2498"/>
    <w:rsid w:val="001E2BC3"/>
    <w:rsid w:val="001E4050"/>
    <w:rsid w:val="001E41B3"/>
    <w:rsid w:val="001E4346"/>
    <w:rsid w:val="001E4457"/>
    <w:rsid w:val="001E5FC3"/>
    <w:rsid w:val="001E6EDC"/>
    <w:rsid w:val="001E7362"/>
    <w:rsid w:val="001E7849"/>
    <w:rsid w:val="001F05C3"/>
    <w:rsid w:val="001F183A"/>
    <w:rsid w:val="001F1912"/>
    <w:rsid w:val="001F52E1"/>
    <w:rsid w:val="001F5481"/>
    <w:rsid w:val="001F5AE8"/>
    <w:rsid w:val="001F601F"/>
    <w:rsid w:val="001F6B2A"/>
    <w:rsid w:val="001F7FEF"/>
    <w:rsid w:val="002007D3"/>
    <w:rsid w:val="00203C7D"/>
    <w:rsid w:val="0020451B"/>
    <w:rsid w:val="0020497C"/>
    <w:rsid w:val="00204D8A"/>
    <w:rsid w:val="00207DAD"/>
    <w:rsid w:val="0021108A"/>
    <w:rsid w:val="00212343"/>
    <w:rsid w:val="0021243B"/>
    <w:rsid w:val="00213941"/>
    <w:rsid w:val="00213A84"/>
    <w:rsid w:val="00213F9D"/>
    <w:rsid w:val="00214C14"/>
    <w:rsid w:val="00215374"/>
    <w:rsid w:val="00215B49"/>
    <w:rsid w:val="00215E3F"/>
    <w:rsid w:val="00216FFD"/>
    <w:rsid w:val="0021732B"/>
    <w:rsid w:val="002173ED"/>
    <w:rsid w:val="0021765E"/>
    <w:rsid w:val="0022013C"/>
    <w:rsid w:val="002204CF"/>
    <w:rsid w:val="002209CB"/>
    <w:rsid w:val="0022268C"/>
    <w:rsid w:val="002227A4"/>
    <w:rsid w:val="00223208"/>
    <w:rsid w:val="0022348C"/>
    <w:rsid w:val="0022356B"/>
    <w:rsid w:val="00224D25"/>
    <w:rsid w:val="00225E2D"/>
    <w:rsid w:val="00226244"/>
    <w:rsid w:val="0022634C"/>
    <w:rsid w:val="00226DDF"/>
    <w:rsid w:val="00226E06"/>
    <w:rsid w:val="002302E0"/>
    <w:rsid w:val="00230607"/>
    <w:rsid w:val="00230611"/>
    <w:rsid w:val="0023122A"/>
    <w:rsid w:val="00231588"/>
    <w:rsid w:val="00231826"/>
    <w:rsid w:val="00234665"/>
    <w:rsid w:val="0023466E"/>
    <w:rsid w:val="00234D21"/>
    <w:rsid w:val="002350D4"/>
    <w:rsid w:val="00235FC7"/>
    <w:rsid w:val="002377C9"/>
    <w:rsid w:val="0023784F"/>
    <w:rsid w:val="00237AC2"/>
    <w:rsid w:val="00237AE7"/>
    <w:rsid w:val="002401DD"/>
    <w:rsid w:val="00240331"/>
    <w:rsid w:val="0024039A"/>
    <w:rsid w:val="0024239B"/>
    <w:rsid w:val="00245314"/>
    <w:rsid w:val="002457CC"/>
    <w:rsid w:val="00246BFA"/>
    <w:rsid w:val="00250D88"/>
    <w:rsid w:val="00252E8E"/>
    <w:rsid w:val="00254B58"/>
    <w:rsid w:val="00254CA7"/>
    <w:rsid w:val="002550F7"/>
    <w:rsid w:val="002576EC"/>
    <w:rsid w:val="00257842"/>
    <w:rsid w:val="002608F5"/>
    <w:rsid w:val="0026326C"/>
    <w:rsid w:val="00263684"/>
    <w:rsid w:val="00264804"/>
    <w:rsid w:val="00265EF8"/>
    <w:rsid w:val="0026693A"/>
    <w:rsid w:val="00267049"/>
    <w:rsid w:val="00267125"/>
    <w:rsid w:val="0026728C"/>
    <w:rsid w:val="00267792"/>
    <w:rsid w:val="00270C7B"/>
    <w:rsid w:val="002727FC"/>
    <w:rsid w:val="002748A3"/>
    <w:rsid w:val="00274B41"/>
    <w:rsid w:val="00274BB2"/>
    <w:rsid w:val="00276A88"/>
    <w:rsid w:val="00276B10"/>
    <w:rsid w:val="00276BEA"/>
    <w:rsid w:val="00280252"/>
    <w:rsid w:val="00280EBA"/>
    <w:rsid w:val="00281BB8"/>
    <w:rsid w:val="00282858"/>
    <w:rsid w:val="00282F29"/>
    <w:rsid w:val="00284395"/>
    <w:rsid w:val="0028481F"/>
    <w:rsid w:val="00284ED1"/>
    <w:rsid w:val="00286789"/>
    <w:rsid w:val="00287C0B"/>
    <w:rsid w:val="002906AB"/>
    <w:rsid w:val="002907B8"/>
    <w:rsid w:val="00290D4E"/>
    <w:rsid w:val="00291B94"/>
    <w:rsid w:val="00292099"/>
    <w:rsid w:val="002921B4"/>
    <w:rsid w:val="002957E8"/>
    <w:rsid w:val="00296BFB"/>
    <w:rsid w:val="0029703A"/>
    <w:rsid w:val="002971D1"/>
    <w:rsid w:val="00297A0C"/>
    <w:rsid w:val="002A08B8"/>
    <w:rsid w:val="002A08FB"/>
    <w:rsid w:val="002A0EB3"/>
    <w:rsid w:val="002A1D49"/>
    <w:rsid w:val="002A1D99"/>
    <w:rsid w:val="002A2873"/>
    <w:rsid w:val="002A3A61"/>
    <w:rsid w:val="002A4EC8"/>
    <w:rsid w:val="002A5104"/>
    <w:rsid w:val="002A5137"/>
    <w:rsid w:val="002A6A73"/>
    <w:rsid w:val="002A6DC3"/>
    <w:rsid w:val="002A719B"/>
    <w:rsid w:val="002A72B5"/>
    <w:rsid w:val="002A79E5"/>
    <w:rsid w:val="002B0F13"/>
    <w:rsid w:val="002B3C36"/>
    <w:rsid w:val="002B4A0F"/>
    <w:rsid w:val="002B501C"/>
    <w:rsid w:val="002B5090"/>
    <w:rsid w:val="002B5F6B"/>
    <w:rsid w:val="002B6195"/>
    <w:rsid w:val="002B6726"/>
    <w:rsid w:val="002B6B00"/>
    <w:rsid w:val="002B6F87"/>
    <w:rsid w:val="002B768B"/>
    <w:rsid w:val="002C0C90"/>
    <w:rsid w:val="002C107F"/>
    <w:rsid w:val="002C2597"/>
    <w:rsid w:val="002C3461"/>
    <w:rsid w:val="002C34F0"/>
    <w:rsid w:val="002C3802"/>
    <w:rsid w:val="002C395A"/>
    <w:rsid w:val="002C4213"/>
    <w:rsid w:val="002C446C"/>
    <w:rsid w:val="002C47E2"/>
    <w:rsid w:val="002C709C"/>
    <w:rsid w:val="002C77CC"/>
    <w:rsid w:val="002D01CF"/>
    <w:rsid w:val="002D1084"/>
    <w:rsid w:val="002D2340"/>
    <w:rsid w:val="002D4527"/>
    <w:rsid w:val="002D488A"/>
    <w:rsid w:val="002D4DA3"/>
    <w:rsid w:val="002D5332"/>
    <w:rsid w:val="002D554F"/>
    <w:rsid w:val="002D5AFB"/>
    <w:rsid w:val="002D6148"/>
    <w:rsid w:val="002E006F"/>
    <w:rsid w:val="002E0EEC"/>
    <w:rsid w:val="002E0F91"/>
    <w:rsid w:val="002E175E"/>
    <w:rsid w:val="002E2EF3"/>
    <w:rsid w:val="002E52C7"/>
    <w:rsid w:val="002E6424"/>
    <w:rsid w:val="002E7404"/>
    <w:rsid w:val="002E7620"/>
    <w:rsid w:val="002F0106"/>
    <w:rsid w:val="002F14BC"/>
    <w:rsid w:val="002F2EC9"/>
    <w:rsid w:val="002F3298"/>
    <w:rsid w:val="002F35CD"/>
    <w:rsid w:val="002F5929"/>
    <w:rsid w:val="002F6B88"/>
    <w:rsid w:val="002F78A2"/>
    <w:rsid w:val="002F7EB4"/>
    <w:rsid w:val="00300BFF"/>
    <w:rsid w:val="00301556"/>
    <w:rsid w:val="00301B57"/>
    <w:rsid w:val="00302FCE"/>
    <w:rsid w:val="00303278"/>
    <w:rsid w:val="003039B3"/>
    <w:rsid w:val="003053A9"/>
    <w:rsid w:val="003055BF"/>
    <w:rsid w:val="00305ABC"/>
    <w:rsid w:val="00305C99"/>
    <w:rsid w:val="00306156"/>
    <w:rsid w:val="003122A6"/>
    <w:rsid w:val="00312E3E"/>
    <w:rsid w:val="00312F4F"/>
    <w:rsid w:val="0031322D"/>
    <w:rsid w:val="00314497"/>
    <w:rsid w:val="0031458E"/>
    <w:rsid w:val="00315247"/>
    <w:rsid w:val="003160B2"/>
    <w:rsid w:val="003166E9"/>
    <w:rsid w:val="00316E59"/>
    <w:rsid w:val="00317207"/>
    <w:rsid w:val="003174A1"/>
    <w:rsid w:val="00317523"/>
    <w:rsid w:val="0031774E"/>
    <w:rsid w:val="00321DA1"/>
    <w:rsid w:val="00324723"/>
    <w:rsid w:val="00325D29"/>
    <w:rsid w:val="00326E97"/>
    <w:rsid w:val="003273CB"/>
    <w:rsid w:val="00332CDC"/>
    <w:rsid w:val="0033300E"/>
    <w:rsid w:val="00333ACA"/>
    <w:rsid w:val="0033638C"/>
    <w:rsid w:val="003368AA"/>
    <w:rsid w:val="00337885"/>
    <w:rsid w:val="00342C88"/>
    <w:rsid w:val="00343B8D"/>
    <w:rsid w:val="00345E67"/>
    <w:rsid w:val="003469ED"/>
    <w:rsid w:val="00346B19"/>
    <w:rsid w:val="00346E6F"/>
    <w:rsid w:val="00347198"/>
    <w:rsid w:val="003501D0"/>
    <w:rsid w:val="00350917"/>
    <w:rsid w:val="00351765"/>
    <w:rsid w:val="0035256A"/>
    <w:rsid w:val="003533D4"/>
    <w:rsid w:val="00354DCC"/>
    <w:rsid w:val="00357C6B"/>
    <w:rsid w:val="003601BC"/>
    <w:rsid w:val="00360211"/>
    <w:rsid w:val="00361339"/>
    <w:rsid w:val="00361373"/>
    <w:rsid w:val="00361999"/>
    <w:rsid w:val="00361A6E"/>
    <w:rsid w:val="003627FD"/>
    <w:rsid w:val="003643CD"/>
    <w:rsid w:val="00364417"/>
    <w:rsid w:val="003719B0"/>
    <w:rsid w:val="003719FA"/>
    <w:rsid w:val="00371D38"/>
    <w:rsid w:val="00371E3D"/>
    <w:rsid w:val="00372E29"/>
    <w:rsid w:val="00373BF8"/>
    <w:rsid w:val="003750E4"/>
    <w:rsid w:val="00375A6E"/>
    <w:rsid w:val="00375D4B"/>
    <w:rsid w:val="0037642C"/>
    <w:rsid w:val="00376677"/>
    <w:rsid w:val="003769E5"/>
    <w:rsid w:val="00380B10"/>
    <w:rsid w:val="003810B8"/>
    <w:rsid w:val="00381AAA"/>
    <w:rsid w:val="00382214"/>
    <w:rsid w:val="00382628"/>
    <w:rsid w:val="003826A6"/>
    <w:rsid w:val="00382F46"/>
    <w:rsid w:val="0038494E"/>
    <w:rsid w:val="00384C83"/>
    <w:rsid w:val="00384E98"/>
    <w:rsid w:val="00385D7F"/>
    <w:rsid w:val="003863EF"/>
    <w:rsid w:val="00386BF4"/>
    <w:rsid w:val="00386E24"/>
    <w:rsid w:val="00390097"/>
    <w:rsid w:val="00390265"/>
    <w:rsid w:val="00390B40"/>
    <w:rsid w:val="00390B72"/>
    <w:rsid w:val="0039192E"/>
    <w:rsid w:val="00391965"/>
    <w:rsid w:val="00391A86"/>
    <w:rsid w:val="00392765"/>
    <w:rsid w:val="00392B90"/>
    <w:rsid w:val="00394867"/>
    <w:rsid w:val="00394FC6"/>
    <w:rsid w:val="00395121"/>
    <w:rsid w:val="00395E02"/>
    <w:rsid w:val="00396BBC"/>
    <w:rsid w:val="0039709C"/>
    <w:rsid w:val="003A09D4"/>
    <w:rsid w:val="003A150A"/>
    <w:rsid w:val="003A2013"/>
    <w:rsid w:val="003A27C3"/>
    <w:rsid w:val="003A2D94"/>
    <w:rsid w:val="003A5365"/>
    <w:rsid w:val="003A7AB8"/>
    <w:rsid w:val="003A7BC2"/>
    <w:rsid w:val="003B08EA"/>
    <w:rsid w:val="003B2218"/>
    <w:rsid w:val="003B3369"/>
    <w:rsid w:val="003B3F94"/>
    <w:rsid w:val="003B4F37"/>
    <w:rsid w:val="003B5176"/>
    <w:rsid w:val="003B5C4D"/>
    <w:rsid w:val="003B623D"/>
    <w:rsid w:val="003C3000"/>
    <w:rsid w:val="003C7A96"/>
    <w:rsid w:val="003D2197"/>
    <w:rsid w:val="003D2E96"/>
    <w:rsid w:val="003D38C5"/>
    <w:rsid w:val="003D4286"/>
    <w:rsid w:val="003D45CD"/>
    <w:rsid w:val="003D4D32"/>
    <w:rsid w:val="003D564C"/>
    <w:rsid w:val="003D5BDE"/>
    <w:rsid w:val="003D7C2D"/>
    <w:rsid w:val="003E1018"/>
    <w:rsid w:val="003E2F06"/>
    <w:rsid w:val="003E2F1B"/>
    <w:rsid w:val="003E4656"/>
    <w:rsid w:val="003E5F16"/>
    <w:rsid w:val="003E609C"/>
    <w:rsid w:val="003E60A7"/>
    <w:rsid w:val="003E6A33"/>
    <w:rsid w:val="003E7903"/>
    <w:rsid w:val="003F0616"/>
    <w:rsid w:val="003F0D14"/>
    <w:rsid w:val="003F1007"/>
    <w:rsid w:val="003F1D16"/>
    <w:rsid w:val="003F2271"/>
    <w:rsid w:val="003F49AF"/>
    <w:rsid w:val="003F5F10"/>
    <w:rsid w:val="00400633"/>
    <w:rsid w:val="004006F4"/>
    <w:rsid w:val="0040103A"/>
    <w:rsid w:val="0040108D"/>
    <w:rsid w:val="0040118B"/>
    <w:rsid w:val="00401EE9"/>
    <w:rsid w:val="0040249D"/>
    <w:rsid w:val="00404FCB"/>
    <w:rsid w:val="00405A7A"/>
    <w:rsid w:val="00407A9A"/>
    <w:rsid w:val="00407D35"/>
    <w:rsid w:val="00410C7B"/>
    <w:rsid w:val="00411885"/>
    <w:rsid w:val="00411F41"/>
    <w:rsid w:val="00414E24"/>
    <w:rsid w:val="0041687F"/>
    <w:rsid w:val="0041727A"/>
    <w:rsid w:val="00417802"/>
    <w:rsid w:val="00417D01"/>
    <w:rsid w:val="00417E69"/>
    <w:rsid w:val="00420F0E"/>
    <w:rsid w:val="004211A6"/>
    <w:rsid w:val="004217CE"/>
    <w:rsid w:val="00421B4C"/>
    <w:rsid w:val="00422014"/>
    <w:rsid w:val="0042398B"/>
    <w:rsid w:val="00423ECB"/>
    <w:rsid w:val="0042400D"/>
    <w:rsid w:val="004261B1"/>
    <w:rsid w:val="00427A7E"/>
    <w:rsid w:val="00430585"/>
    <w:rsid w:val="00430B87"/>
    <w:rsid w:val="00430C42"/>
    <w:rsid w:val="00432632"/>
    <w:rsid w:val="00432666"/>
    <w:rsid w:val="0043298B"/>
    <w:rsid w:val="004333F0"/>
    <w:rsid w:val="00433D9E"/>
    <w:rsid w:val="00436360"/>
    <w:rsid w:val="004413AD"/>
    <w:rsid w:val="00441BDC"/>
    <w:rsid w:val="004421B7"/>
    <w:rsid w:val="004430DC"/>
    <w:rsid w:val="0044540A"/>
    <w:rsid w:val="0044576A"/>
    <w:rsid w:val="00446060"/>
    <w:rsid w:val="004511C2"/>
    <w:rsid w:val="00452C46"/>
    <w:rsid w:val="004541F3"/>
    <w:rsid w:val="00454FEA"/>
    <w:rsid w:val="00455227"/>
    <w:rsid w:val="004559F0"/>
    <w:rsid w:val="0045759C"/>
    <w:rsid w:val="0045782B"/>
    <w:rsid w:val="00460F92"/>
    <w:rsid w:val="00463C91"/>
    <w:rsid w:val="00463ED4"/>
    <w:rsid w:val="00464001"/>
    <w:rsid w:val="00464317"/>
    <w:rsid w:val="00464C55"/>
    <w:rsid w:val="00464C67"/>
    <w:rsid w:val="00464E3F"/>
    <w:rsid w:val="00465CE2"/>
    <w:rsid w:val="00467C4E"/>
    <w:rsid w:val="00470274"/>
    <w:rsid w:val="0047286D"/>
    <w:rsid w:val="00473151"/>
    <w:rsid w:val="00473988"/>
    <w:rsid w:val="0047410E"/>
    <w:rsid w:val="00474782"/>
    <w:rsid w:val="0047675A"/>
    <w:rsid w:val="0048000B"/>
    <w:rsid w:val="00481CCE"/>
    <w:rsid w:val="00482E23"/>
    <w:rsid w:val="00484E09"/>
    <w:rsid w:val="00485452"/>
    <w:rsid w:val="004855D4"/>
    <w:rsid w:val="00485884"/>
    <w:rsid w:val="00485D36"/>
    <w:rsid w:val="004865FA"/>
    <w:rsid w:val="00486618"/>
    <w:rsid w:val="00486711"/>
    <w:rsid w:val="0048672D"/>
    <w:rsid w:val="00487259"/>
    <w:rsid w:val="00487905"/>
    <w:rsid w:val="00487F33"/>
    <w:rsid w:val="00490233"/>
    <w:rsid w:val="00490499"/>
    <w:rsid w:val="00490D1B"/>
    <w:rsid w:val="004915EA"/>
    <w:rsid w:val="00491689"/>
    <w:rsid w:val="004918BC"/>
    <w:rsid w:val="00491A8C"/>
    <w:rsid w:val="00492C7A"/>
    <w:rsid w:val="00492EA8"/>
    <w:rsid w:val="00493D2F"/>
    <w:rsid w:val="0049401C"/>
    <w:rsid w:val="004941F9"/>
    <w:rsid w:val="004949D1"/>
    <w:rsid w:val="0049541A"/>
    <w:rsid w:val="00496D89"/>
    <w:rsid w:val="00497FE6"/>
    <w:rsid w:val="004A0401"/>
    <w:rsid w:val="004A0E23"/>
    <w:rsid w:val="004A11A4"/>
    <w:rsid w:val="004A299E"/>
    <w:rsid w:val="004A3238"/>
    <w:rsid w:val="004A5F70"/>
    <w:rsid w:val="004A674F"/>
    <w:rsid w:val="004A67FA"/>
    <w:rsid w:val="004A72E3"/>
    <w:rsid w:val="004B0515"/>
    <w:rsid w:val="004B094D"/>
    <w:rsid w:val="004B218A"/>
    <w:rsid w:val="004B228A"/>
    <w:rsid w:val="004B2D4B"/>
    <w:rsid w:val="004B4F5F"/>
    <w:rsid w:val="004B64EF"/>
    <w:rsid w:val="004B68A0"/>
    <w:rsid w:val="004B6CFE"/>
    <w:rsid w:val="004B7660"/>
    <w:rsid w:val="004B7C18"/>
    <w:rsid w:val="004C03B2"/>
    <w:rsid w:val="004C06EA"/>
    <w:rsid w:val="004C3414"/>
    <w:rsid w:val="004C35C3"/>
    <w:rsid w:val="004C41D4"/>
    <w:rsid w:val="004C58C3"/>
    <w:rsid w:val="004D1CFA"/>
    <w:rsid w:val="004D223D"/>
    <w:rsid w:val="004D383B"/>
    <w:rsid w:val="004D4169"/>
    <w:rsid w:val="004D43EB"/>
    <w:rsid w:val="004D476D"/>
    <w:rsid w:val="004D4E5A"/>
    <w:rsid w:val="004D531D"/>
    <w:rsid w:val="004D6B4C"/>
    <w:rsid w:val="004E03B1"/>
    <w:rsid w:val="004E12CE"/>
    <w:rsid w:val="004E1785"/>
    <w:rsid w:val="004E2105"/>
    <w:rsid w:val="004E3E8E"/>
    <w:rsid w:val="004E3FFA"/>
    <w:rsid w:val="004E588A"/>
    <w:rsid w:val="004E58F2"/>
    <w:rsid w:val="004E5F9C"/>
    <w:rsid w:val="004E6C41"/>
    <w:rsid w:val="004F04CF"/>
    <w:rsid w:val="004F12FD"/>
    <w:rsid w:val="004F1768"/>
    <w:rsid w:val="004F1A02"/>
    <w:rsid w:val="004F29A4"/>
    <w:rsid w:val="004F311A"/>
    <w:rsid w:val="004F3FB8"/>
    <w:rsid w:val="004F454A"/>
    <w:rsid w:val="004F56BC"/>
    <w:rsid w:val="004F73BB"/>
    <w:rsid w:val="004F7E84"/>
    <w:rsid w:val="005008C8"/>
    <w:rsid w:val="00500F9A"/>
    <w:rsid w:val="005013B2"/>
    <w:rsid w:val="0050191A"/>
    <w:rsid w:val="00503B63"/>
    <w:rsid w:val="00507136"/>
    <w:rsid w:val="0050796C"/>
    <w:rsid w:val="0051065B"/>
    <w:rsid w:val="00510A8F"/>
    <w:rsid w:val="00510E6F"/>
    <w:rsid w:val="0051153B"/>
    <w:rsid w:val="0051194C"/>
    <w:rsid w:val="00513B64"/>
    <w:rsid w:val="00515260"/>
    <w:rsid w:val="005154C0"/>
    <w:rsid w:val="00515988"/>
    <w:rsid w:val="0051659C"/>
    <w:rsid w:val="005166FA"/>
    <w:rsid w:val="00516F02"/>
    <w:rsid w:val="00517096"/>
    <w:rsid w:val="00520EE5"/>
    <w:rsid w:val="005210E8"/>
    <w:rsid w:val="0052193F"/>
    <w:rsid w:val="00521ADF"/>
    <w:rsid w:val="0052263D"/>
    <w:rsid w:val="00522845"/>
    <w:rsid w:val="005232AC"/>
    <w:rsid w:val="005266A0"/>
    <w:rsid w:val="00526800"/>
    <w:rsid w:val="00527271"/>
    <w:rsid w:val="00527AC4"/>
    <w:rsid w:val="005302FA"/>
    <w:rsid w:val="005318B0"/>
    <w:rsid w:val="005324B6"/>
    <w:rsid w:val="005324DB"/>
    <w:rsid w:val="00532A37"/>
    <w:rsid w:val="00532D8D"/>
    <w:rsid w:val="00533486"/>
    <w:rsid w:val="0053482F"/>
    <w:rsid w:val="005350A0"/>
    <w:rsid w:val="0053515C"/>
    <w:rsid w:val="00535432"/>
    <w:rsid w:val="0053572D"/>
    <w:rsid w:val="0053770F"/>
    <w:rsid w:val="0054021F"/>
    <w:rsid w:val="005403F1"/>
    <w:rsid w:val="0054076F"/>
    <w:rsid w:val="00540E31"/>
    <w:rsid w:val="0054175B"/>
    <w:rsid w:val="0054246E"/>
    <w:rsid w:val="00543AA5"/>
    <w:rsid w:val="00544635"/>
    <w:rsid w:val="005452E2"/>
    <w:rsid w:val="00545FDB"/>
    <w:rsid w:val="005468AC"/>
    <w:rsid w:val="00546C9A"/>
    <w:rsid w:val="00547C7A"/>
    <w:rsid w:val="00550F3E"/>
    <w:rsid w:val="00551587"/>
    <w:rsid w:val="0055165A"/>
    <w:rsid w:val="005518AE"/>
    <w:rsid w:val="00551F8C"/>
    <w:rsid w:val="005529CD"/>
    <w:rsid w:val="00553CD3"/>
    <w:rsid w:val="005540B7"/>
    <w:rsid w:val="00554CDD"/>
    <w:rsid w:val="00555F57"/>
    <w:rsid w:val="00555FED"/>
    <w:rsid w:val="00556240"/>
    <w:rsid w:val="00556CBE"/>
    <w:rsid w:val="005572E7"/>
    <w:rsid w:val="00557300"/>
    <w:rsid w:val="00560D3B"/>
    <w:rsid w:val="005619C6"/>
    <w:rsid w:val="0056333D"/>
    <w:rsid w:val="005639C9"/>
    <w:rsid w:val="0056404A"/>
    <w:rsid w:val="00564439"/>
    <w:rsid w:val="00565D7D"/>
    <w:rsid w:val="00566522"/>
    <w:rsid w:val="00566727"/>
    <w:rsid w:val="00566BAB"/>
    <w:rsid w:val="005707F2"/>
    <w:rsid w:val="00571109"/>
    <w:rsid w:val="00571D3D"/>
    <w:rsid w:val="005725FE"/>
    <w:rsid w:val="005726C2"/>
    <w:rsid w:val="005727C0"/>
    <w:rsid w:val="00572804"/>
    <w:rsid w:val="0057284C"/>
    <w:rsid w:val="00572CD5"/>
    <w:rsid w:val="005738B3"/>
    <w:rsid w:val="00576248"/>
    <w:rsid w:val="005762F4"/>
    <w:rsid w:val="00576715"/>
    <w:rsid w:val="00580ABF"/>
    <w:rsid w:val="0058175E"/>
    <w:rsid w:val="00581E3B"/>
    <w:rsid w:val="005824BB"/>
    <w:rsid w:val="00582684"/>
    <w:rsid w:val="0058386F"/>
    <w:rsid w:val="005844D1"/>
    <w:rsid w:val="00584F9D"/>
    <w:rsid w:val="005850BD"/>
    <w:rsid w:val="005852DD"/>
    <w:rsid w:val="005857CF"/>
    <w:rsid w:val="005864E3"/>
    <w:rsid w:val="005901D3"/>
    <w:rsid w:val="00590477"/>
    <w:rsid w:val="005919C7"/>
    <w:rsid w:val="00591EAD"/>
    <w:rsid w:val="005925EA"/>
    <w:rsid w:val="005948A5"/>
    <w:rsid w:val="00594AE4"/>
    <w:rsid w:val="00594E02"/>
    <w:rsid w:val="00595970"/>
    <w:rsid w:val="005972C8"/>
    <w:rsid w:val="005A0327"/>
    <w:rsid w:val="005A0E20"/>
    <w:rsid w:val="005A1B66"/>
    <w:rsid w:val="005A1B6A"/>
    <w:rsid w:val="005A2E8A"/>
    <w:rsid w:val="005A2FAD"/>
    <w:rsid w:val="005A3487"/>
    <w:rsid w:val="005A4334"/>
    <w:rsid w:val="005A4BD7"/>
    <w:rsid w:val="005A4D9D"/>
    <w:rsid w:val="005A501F"/>
    <w:rsid w:val="005A5336"/>
    <w:rsid w:val="005A6652"/>
    <w:rsid w:val="005A68EB"/>
    <w:rsid w:val="005A6997"/>
    <w:rsid w:val="005A72C3"/>
    <w:rsid w:val="005B0473"/>
    <w:rsid w:val="005B1050"/>
    <w:rsid w:val="005B111C"/>
    <w:rsid w:val="005B1202"/>
    <w:rsid w:val="005B20F3"/>
    <w:rsid w:val="005B2244"/>
    <w:rsid w:val="005B26D0"/>
    <w:rsid w:val="005B2959"/>
    <w:rsid w:val="005B2DB1"/>
    <w:rsid w:val="005B2ECB"/>
    <w:rsid w:val="005B39C7"/>
    <w:rsid w:val="005B4A2C"/>
    <w:rsid w:val="005B4DA0"/>
    <w:rsid w:val="005B5BD4"/>
    <w:rsid w:val="005B5C10"/>
    <w:rsid w:val="005B6283"/>
    <w:rsid w:val="005B643E"/>
    <w:rsid w:val="005B6E82"/>
    <w:rsid w:val="005B7A1D"/>
    <w:rsid w:val="005B7CF5"/>
    <w:rsid w:val="005C0B20"/>
    <w:rsid w:val="005C0EAD"/>
    <w:rsid w:val="005C143F"/>
    <w:rsid w:val="005C2987"/>
    <w:rsid w:val="005C31BE"/>
    <w:rsid w:val="005C36A2"/>
    <w:rsid w:val="005C5379"/>
    <w:rsid w:val="005C5C6A"/>
    <w:rsid w:val="005C79E8"/>
    <w:rsid w:val="005C7E11"/>
    <w:rsid w:val="005D12CE"/>
    <w:rsid w:val="005D2BA4"/>
    <w:rsid w:val="005D33A6"/>
    <w:rsid w:val="005D3E18"/>
    <w:rsid w:val="005D4F65"/>
    <w:rsid w:val="005D5C97"/>
    <w:rsid w:val="005D7E2B"/>
    <w:rsid w:val="005E0E5C"/>
    <w:rsid w:val="005E1884"/>
    <w:rsid w:val="005E1B37"/>
    <w:rsid w:val="005E1DFB"/>
    <w:rsid w:val="005E20FD"/>
    <w:rsid w:val="005E21CE"/>
    <w:rsid w:val="005E2BA4"/>
    <w:rsid w:val="005E464B"/>
    <w:rsid w:val="005E482D"/>
    <w:rsid w:val="005E538C"/>
    <w:rsid w:val="005E555C"/>
    <w:rsid w:val="005E75E7"/>
    <w:rsid w:val="005E75E9"/>
    <w:rsid w:val="005F06D4"/>
    <w:rsid w:val="005F0776"/>
    <w:rsid w:val="005F0D9A"/>
    <w:rsid w:val="005F2476"/>
    <w:rsid w:val="005F24D3"/>
    <w:rsid w:val="005F2712"/>
    <w:rsid w:val="005F2A03"/>
    <w:rsid w:val="005F2B21"/>
    <w:rsid w:val="005F325C"/>
    <w:rsid w:val="005F72CA"/>
    <w:rsid w:val="005F7F4A"/>
    <w:rsid w:val="006006D7"/>
    <w:rsid w:val="0060080E"/>
    <w:rsid w:val="006023D2"/>
    <w:rsid w:val="0060468D"/>
    <w:rsid w:val="006053DC"/>
    <w:rsid w:val="00606269"/>
    <w:rsid w:val="00606592"/>
    <w:rsid w:val="00610794"/>
    <w:rsid w:val="0061296B"/>
    <w:rsid w:val="00613242"/>
    <w:rsid w:val="00616293"/>
    <w:rsid w:val="006167F5"/>
    <w:rsid w:val="00616B92"/>
    <w:rsid w:val="006179D9"/>
    <w:rsid w:val="006206D0"/>
    <w:rsid w:val="00621511"/>
    <w:rsid w:val="00621794"/>
    <w:rsid w:val="00621C9D"/>
    <w:rsid w:val="006222DD"/>
    <w:rsid w:val="00623057"/>
    <w:rsid w:val="0062332B"/>
    <w:rsid w:val="00624678"/>
    <w:rsid w:val="006259C3"/>
    <w:rsid w:val="00626EDF"/>
    <w:rsid w:val="006272A4"/>
    <w:rsid w:val="006300B5"/>
    <w:rsid w:val="00631862"/>
    <w:rsid w:val="00631FFB"/>
    <w:rsid w:val="00632FCC"/>
    <w:rsid w:val="00633332"/>
    <w:rsid w:val="00633CEF"/>
    <w:rsid w:val="00633E48"/>
    <w:rsid w:val="00634057"/>
    <w:rsid w:val="00634AE8"/>
    <w:rsid w:val="00634B85"/>
    <w:rsid w:val="006355E5"/>
    <w:rsid w:val="00635D37"/>
    <w:rsid w:val="00636097"/>
    <w:rsid w:val="0063713D"/>
    <w:rsid w:val="00637C48"/>
    <w:rsid w:val="0064180F"/>
    <w:rsid w:val="0064330B"/>
    <w:rsid w:val="0064375F"/>
    <w:rsid w:val="006447FE"/>
    <w:rsid w:val="0065062F"/>
    <w:rsid w:val="00651290"/>
    <w:rsid w:val="006519B5"/>
    <w:rsid w:val="006538EB"/>
    <w:rsid w:val="00653E1E"/>
    <w:rsid w:val="00654334"/>
    <w:rsid w:val="00654666"/>
    <w:rsid w:val="0065475B"/>
    <w:rsid w:val="00654A69"/>
    <w:rsid w:val="00654DEC"/>
    <w:rsid w:val="00655F41"/>
    <w:rsid w:val="00656726"/>
    <w:rsid w:val="00656C54"/>
    <w:rsid w:val="00657039"/>
    <w:rsid w:val="00657281"/>
    <w:rsid w:val="00657D98"/>
    <w:rsid w:val="006606F2"/>
    <w:rsid w:val="006619CF"/>
    <w:rsid w:val="00662D9F"/>
    <w:rsid w:val="0066331B"/>
    <w:rsid w:val="00664233"/>
    <w:rsid w:val="00664F10"/>
    <w:rsid w:val="00664F18"/>
    <w:rsid w:val="00665684"/>
    <w:rsid w:val="00666D4E"/>
    <w:rsid w:val="00667870"/>
    <w:rsid w:val="00667984"/>
    <w:rsid w:val="0067089A"/>
    <w:rsid w:val="00670C20"/>
    <w:rsid w:val="00670C80"/>
    <w:rsid w:val="00670CA3"/>
    <w:rsid w:val="00671FF8"/>
    <w:rsid w:val="006725A3"/>
    <w:rsid w:val="006729A1"/>
    <w:rsid w:val="00673D07"/>
    <w:rsid w:val="00674121"/>
    <w:rsid w:val="00675527"/>
    <w:rsid w:val="0067561E"/>
    <w:rsid w:val="00675726"/>
    <w:rsid w:val="00677E12"/>
    <w:rsid w:val="00680943"/>
    <w:rsid w:val="00681190"/>
    <w:rsid w:val="00682114"/>
    <w:rsid w:val="0068244E"/>
    <w:rsid w:val="006828F2"/>
    <w:rsid w:val="00682D09"/>
    <w:rsid w:val="0068478C"/>
    <w:rsid w:val="006857EB"/>
    <w:rsid w:val="0068606D"/>
    <w:rsid w:val="00687956"/>
    <w:rsid w:val="00690051"/>
    <w:rsid w:val="00690244"/>
    <w:rsid w:val="006907DF"/>
    <w:rsid w:val="00693ABF"/>
    <w:rsid w:val="00694821"/>
    <w:rsid w:val="00694ADA"/>
    <w:rsid w:val="00695723"/>
    <w:rsid w:val="00695979"/>
    <w:rsid w:val="0069699B"/>
    <w:rsid w:val="00696A09"/>
    <w:rsid w:val="00696B62"/>
    <w:rsid w:val="006A02EE"/>
    <w:rsid w:val="006A08E3"/>
    <w:rsid w:val="006A10B0"/>
    <w:rsid w:val="006A354C"/>
    <w:rsid w:val="006A5053"/>
    <w:rsid w:val="006A79EA"/>
    <w:rsid w:val="006B0343"/>
    <w:rsid w:val="006B2D8C"/>
    <w:rsid w:val="006B31FE"/>
    <w:rsid w:val="006B48CC"/>
    <w:rsid w:val="006B6B93"/>
    <w:rsid w:val="006B6F26"/>
    <w:rsid w:val="006B7D2A"/>
    <w:rsid w:val="006C0ECC"/>
    <w:rsid w:val="006C144C"/>
    <w:rsid w:val="006C1AC3"/>
    <w:rsid w:val="006C30B5"/>
    <w:rsid w:val="006C4A73"/>
    <w:rsid w:val="006C4EBC"/>
    <w:rsid w:val="006C5ECB"/>
    <w:rsid w:val="006C6071"/>
    <w:rsid w:val="006C6582"/>
    <w:rsid w:val="006C71A2"/>
    <w:rsid w:val="006C71B8"/>
    <w:rsid w:val="006C78CB"/>
    <w:rsid w:val="006D3C8E"/>
    <w:rsid w:val="006D4314"/>
    <w:rsid w:val="006D5367"/>
    <w:rsid w:val="006D66D2"/>
    <w:rsid w:val="006D76A9"/>
    <w:rsid w:val="006D7716"/>
    <w:rsid w:val="006E026A"/>
    <w:rsid w:val="006E05B8"/>
    <w:rsid w:val="006E0953"/>
    <w:rsid w:val="006E10DD"/>
    <w:rsid w:val="006E37F8"/>
    <w:rsid w:val="006E3FA4"/>
    <w:rsid w:val="006E543E"/>
    <w:rsid w:val="006E66F5"/>
    <w:rsid w:val="006E6963"/>
    <w:rsid w:val="006E6EE9"/>
    <w:rsid w:val="006E72EA"/>
    <w:rsid w:val="006E74CB"/>
    <w:rsid w:val="006F1A60"/>
    <w:rsid w:val="006F1E97"/>
    <w:rsid w:val="006F221C"/>
    <w:rsid w:val="006F2BF8"/>
    <w:rsid w:val="006F2CE0"/>
    <w:rsid w:val="006F2EC7"/>
    <w:rsid w:val="006F3B72"/>
    <w:rsid w:val="006F405E"/>
    <w:rsid w:val="006F4CBE"/>
    <w:rsid w:val="006F5516"/>
    <w:rsid w:val="006F55C8"/>
    <w:rsid w:val="006F58D4"/>
    <w:rsid w:val="006F5E45"/>
    <w:rsid w:val="006F69ED"/>
    <w:rsid w:val="006F7615"/>
    <w:rsid w:val="006F7837"/>
    <w:rsid w:val="00700D64"/>
    <w:rsid w:val="0070143E"/>
    <w:rsid w:val="00701B17"/>
    <w:rsid w:val="007034A7"/>
    <w:rsid w:val="007037DA"/>
    <w:rsid w:val="00704A37"/>
    <w:rsid w:val="00706094"/>
    <w:rsid w:val="00706AED"/>
    <w:rsid w:val="0070737C"/>
    <w:rsid w:val="007077FF"/>
    <w:rsid w:val="00710E9F"/>
    <w:rsid w:val="00711151"/>
    <w:rsid w:val="00712335"/>
    <w:rsid w:val="00712FA2"/>
    <w:rsid w:val="007150E3"/>
    <w:rsid w:val="00715E1C"/>
    <w:rsid w:val="00716159"/>
    <w:rsid w:val="007170FF"/>
    <w:rsid w:val="00717480"/>
    <w:rsid w:val="00717B4E"/>
    <w:rsid w:val="00717E0E"/>
    <w:rsid w:val="00721BE2"/>
    <w:rsid w:val="007225E3"/>
    <w:rsid w:val="00722E42"/>
    <w:rsid w:val="007233CF"/>
    <w:rsid w:val="00723CC6"/>
    <w:rsid w:val="00726F2B"/>
    <w:rsid w:val="00726F68"/>
    <w:rsid w:val="0072705E"/>
    <w:rsid w:val="00727105"/>
    <w:rsid w:val="0072783C"/>
    <w:rsid w:val="007306CE"/>
    <w:rsid w:val="00734223"/>
    <w:rsid w:val="0073463E"/>
    <w:rsid w:val="00736EE2"/>
    <w:rsid w:val="00740843"/>
    <w:rsid w:val="00740EF6"/>
    <w:rsid w:val="00741103"/>
    <w:rsid w:val="007429A8"/>
    <w:rsid w:val="00743763"/>
    <w:rsid w:val="00743BBE"/>
    <w:rsid w:val="00743F99"/>
    <w:rsid w:val="007440E0"/>
    <w:rsid w:val="0074429A"/>
    <w:rsid w:val="007445CF"/>
    <w:rsid w:val="00744A5F"/>
    <w:rsid w:val="007453BF"/>
    <w:rsid w:val="00747B03"/>
    <w:rsid w:val="0075029F"/>
    <w:rsid w:val="0075061C"/>
    <w:rsid w:val="0075065F"/>
    <w:rsid w:val="00750B9A"/>
    <w:rsid w:val="00751428"/>
    <w:rsid w:val="007516B0"/>
    <w:rsid w:val="007519A1"/>
    <w:rsid w:val="0075279E"/>
    <w:rsid w:val="00754D49"/>
    <w:rsid w:val="0075534A"/>
    <w:rsid w:val="00755730"/>
    <w:rsid w:val="0075598D"/>
    <w:rsid w:val="007568F7"/>
    <w:rsid w:val="00756AD2"/>
    <w:rsid w:val="00764443"/>
    <w:rsid w:val="00766618"/>
    <w:rsid w:val="007678D9"/>
    <w:rsid w:val="00767BF7"/>
    <w:rsid w:val="00770108"/>
    <w:rsid w:val="007717A6"/>
    <w:rsid w:val="00771C52"/>
    <w:rsid w:val="00771D9A"/>
    <w:rsid w:val="007739D1"/>
    <w:rsid w:val="007806C4"/>
    <w:rsid w:val="00780B04"/>
    <w:rsid w:val="00781478"/>
    <w:rsid w:val="00784532"/>
    <w:rsid w:val="007876E3"/>
    <w:rsid w:val="00791EE1"/>
    <w:rsid w:val="0079208E"/>
    <w:rsid w:val="007934C8"/>
    <w:rsid w:val="00794686"/>
    <w:rsid w:val="007958D3"/>
    <w:rsid w:val="00795AF3"/>
    <w:rsid w:val="00795CC5"/>
    <w:rsid w:val="007961A3"/>
    <w:rsid w:val="007965DC"/>
    <w:rsid w:val="007966B6"/>
    <w:rsid w:val="00797269"/>
    <w:rsid w:val="007A0A93"/>
    <w:rsid w:val="007A0B31"/>
    <w:rsid w:val="007A1396"/>
    <w:rsid w:val="007A1BBE"/>
    <w:rsid w:val="007A44C3"/>
    <w:rsid w:val="007A609D"/>
    <w:rsid w:val="007B1D48"/>
    <w:rsid w:val="007B1E93"/>
    <w:rsid w:val="007B4167"/>
    <w:rsid w:val="007B43EC"/>
    <w:rsid w:val="007B5500"/>
    <w:rsid w:val="007B77D6"/>
    <w:rsid w:val="007C13AE"/>
    <w:rsid w:val="007C13BD"/>
    <w:rsid w:val="007C16A0"/>
    <w:rsid w:val="007C2714"/>
    <w:rsid w:val="007C5BB3"/>
    <w:rsid w:val="007C7756"/>
    <w:rsid w:val="007C7B0F"/>
    <w:rsid w:val="007D11CD"/>
    <w:rsid w:val="007D3AC1"/>
    <w:rsid w:val="007D5852"/>
    <w:rsid w:val="007D5FBE"/>
    <w:rsid w:val="007D6678"/>
    <w:rsid w:val="007D7715"/>
    <w:rsid w:val="007D7820"/>
    <w:rsid w:val="007E2310"/>
    <w:rsid w:val="007E39D8"/>
    <w:rsid w:val="007E3F38"/>
    <w:rsid w:val="007E52C8"/>
    <w:rsid w:val="007E6EC0"/>
    <w:rsid w:val="007E7A89"/>
    <w:rsid w:val="007F1A15"/>
    <w:rsid w:val="007F1B51"/>
    <w:rsid w:val="007F2B9C"/>
    <w:rsid w:val="007F2E5A"/>
    <w:rsid w:val="007F43B9"/>
    <w:rsid w:val="007F4A04"/>
    <w:rsid w:val="007F5444"/>
    <w:rsid w:val="007F5538"/>
    <w:rsid w:val="007F64AA"/>
    <w:rsid w:val="007F6D88"/>
    <w:rsid w:val="007F6FE6"/>
    <w:rsid w:val="008002CF"/>
    <w:rsid w:val="00800997"/>
    <w:rsid w:val="00801231"/>
    <w:rsid w:val="00801903"/>
    <w:rsid w:val="0080263E"/>
    <w:rsid w:val="0080389D"/>
    <w:rsid w:val="00803CB1"/>
    <w:rsid w:val="00804CF3"/>
    <w:rsid w:val="00805557"/>
    <w:rsid w:val="00805570"/>
    <w:rsid w:val="00805751"/>
    <w:rsid w:val="0080590F"/>
    <w:rsid w:val="0081171D"/>
    <w:rsid w:val="00811962"/>
    <w:rsid w:val="00813016"/>
    <w:rsid w:val="008137AF"/>
    <w:rsid w:val="00813C1E"/>
    <w:rsid w:val="00814193"/>
    <w:rsid w:val="00814C6F"/>
    <w:rsid w:val="00816352"/>
    <w:rsid w:val="008168A8"/>
    <w:rsid w:val="00816C37"/>
    <w:rsid w:val="00820FC3"/>
    <w:rsid w:val="00821F6A"/>
    <w:rsid w:val="0082252F"/>
    <w:rsid w:val="00823507"/>
    <w:rsid w:val="008249E6"/>
    <w:rsid w:val="008267BE"/>
    <w:rsid w:val="00826F2A"/>
    <w:rsid w:val="00830DFD"/>
    <w:rsid w:val="00832646"/>
    <w:rsid w:val="008335CD"/>
    <w:rsid w:val="0083399E"/>
    <w:rsid w:val="00834639"/>
    <w:rsid w:val="008362B5"/>
    <w:rsid w:val="00837A13"/>
    <w:rsid w:val="00841B78"/>
    <w:rsid w:val="008426FF"/>
    <w:rsid w:val="008428EF"/>
    <w:rsid w:val="00843B6B"/>
    <w:rsid w:val="0084412A"/>
    <w:rsid w:val="00844FA5"/>
    <w:rsid w:val="008457AC"/>
    <w:rsid w:val="00846069"/>
    <w:rsid w:val="00846357"/>
    <w:rsid w:val="00846C66"/>
    <w:rsid w:val="00847333"/>
    <w:rsid w:val="008477F1"/>
    <w:rsid w:val="00847BCD"/>
    <w:rsid w:val="00850C2E"/>
    <w:rsid w:val="00851B37"/>
    <w:rsid w:val="00852F38"/>
    <w:rsid w:val="00853E66"/>
    <w:rsid w:val="00854021"/>
    <w:rsid w:val="00854357"/>
    <w:rsid w:val="00854A64"/>
    <w:rsid w:val="008550BF"/>
    <w:rsid w:val="008550E7"/>
    <w:rsid w:val="0085513A"/>
    <w:rsid w:val="008558C1"/>
    <w:rsid w:val="00856CBE"/>
    <w:rsid w:val="00856FF2"/>
    <w:rsid w:val="008634C8"/>
    <w:rsid w:val="00863CE0"/>
    <w:rsid w:val="00863E8F"/>
    <w:rsid w:val="00864878"/>
    <w:rsid w:val="008666A2"/>
    <w:rsid w:val="00866765"/>
    <w:rsid w:val="0086680B"/>
    <w:rsid w:val="00866FDA"/>
    <w:rsid w:val="00867008"/>
    <w:rsid w:val="00870780"/>
    <w:rsid w:val="00871200"/>
    <w:rsid w:val="00872DF7"/>
    <w:rsid w:val="00873C3F"/>
    <w:rsid w:val="008742D5"/>
    <w:rsid w:val="008743D8"/>
    <w:rsid w:val="0087523D"/>
    <w:rsid w:val="00875261"/>
    <w:rsid w:val="00875AEC"/>
    <w:rsid w:val="00875FFE"/>
    <w:rsid w:val="00876935"/>
    <w:rsid w:val="00876B99"/>
    <w:rsid w:val="0087747D"/>
    <w:rsid w:val="0087755C"/>
    <w:rsid w:val="0088023A"/>
    <w:rsid w:val="0088159F"/>
    <w:rsid w:val="00881EBA"/>
    <w:rsid w:val="008827BC"/>
    <w:rsid w:val="00883029"/>
    <w:rsid w:val="00883250"/>
    <w:rsid w:val="00883A25"/>
    <w:rsid w:val="00884CC3"/>
    <w:rsid w:val="0088533D"/>
    <w:rsid w:val="008854DD"/>
    <w:rsid w:val="008859F4"/>
    <w:rsid w:val="0088675D"/>
    <w:rsid w:val="008873A4"/>
    <w:rsid w:val="00892A51"/>
    <w:rsid w:val="00893121"/>
    <w:rsid w:val="0089331E"/>
    <w:rsid w:val="00893492"/>
    <w:rsid w:val="00893E1B"/>
    <w:rsid w:val="008941C8"/>
    <w:rsid w:val="00894E30"/>
    <w:rsid w:val="008957BF"/>
    <w:rsid w:val="00897E3F"/>
    <w:rsid w:val="008A0070"/>
    <w:rsid w:val="008A0285"/>
    <w:rsid w:val="008A0F62"/>
    <w:rsid w:val="008A1EFF"/>
    <w:rsid w:val="008A289A"/>
    <w:rsid w:val="008A3322"/>
    <w:rsid w:val="008A5D82"/>
    <w:rsid w:val="008A6708"/>
    <w:rsid w:val="008A6B72"/>
    <w:rsid w:val="008A78BC"/>
    <w:rsid w:val="008B0FBB"/>
    <w:rsid w:val="008B116A"/>
    <w:rsid w:val="008B1DC3"/>
    <w:rsid w:val="008B27A1"/>
    <w:rsid w:val="008B2989"/>
    <w:rsid w:val="008B4C3F"/>
    <w:rsid w:val="008B5B55"/>
    <w:rsid w:val="008B7DA2"/>
    <w:rsid w:val="008C2685"/>
    <w:rsid w:val="008C3474"/>
    <w:rsid w:val="008C35B9"/>
    <w:rsid w:val="008C4D3B"/>
    <w:rsid w:val="008C689B"/>
    <w:rsid w:val="008D0589"/>
    <w:rsid w:val="008D0DD0"/>
    <w:rsid w:val="008D1346"/>
    <w:rsid w:val="008D1A01"/>
    <w:rsid w:val="008D2933"/>
    <w:rsid w:val="008D2FFD"/>
    <w:rsid w:val="008D3454"/>
    <w:rsid w:val="008D3D8D"/>
    <w:rsid w:val="008D412A"/>
    <w:rsid w:val="008D429E"/>
    <w:rsid w:val="008D7227"/>
    <w:rsid w:val="008D72B4"/>
    <w:rsid w:val="008D7CA7"/>
    <w:rsid w:val="008D7E9A"/>
    <w:rsid w:val="008E0375"/>
    <w:rsid w:val="008E1736"/>
    <w:rsid w:val="008E1D50"/>
    <w:rsid w:val="008E2EC9"/>
    <w:rsid w:val="008E3711"/>
    <w:rsid w:val="008E5816"/>
    <w:rsid w:val="008E6A3F"/>
    <w:rsid w:val="008E7363"/>
    <w:rsid w:val="008E79E8"/>
    <w:rsid w:val="008F0B6D"/>
    <w:rsid w:val="008F1319"/>
    <w:rsid w:val="008F15EA"/>
    <w:rsid w:val="008F16B1"/>
    <w:rsid w:val="008F2565"/>
    <w:rsid w:val="008F38D2"/>
    <w:rsid w:val="008F3BE4"/>
    <w:rsid w:val="008F5151"/>
    <w:rsid w:val="008F6144"/>
    <w:rsid w:val="008F62DA"/>
    <w:rsid w:val="008F6839"/>
    <w:rsid w:val="008F6C27"/>
    <w:rsid w:val="00902216"/>
    <w:rsid w:val="00904D80"/>
    <w:rsid w:val="00905BCF"/>
    <w:rsid w:val="00906356"/>
    <w:rsid w:val="00906519"/>
    <w:rsid w:val="00906B16"/>
    <w:rsid w:val="00906C6C"/>
    <w:rsid w:val="00907068"/>
    <w:rsid w:val="009077EA"/>
    <w:rsid w:val="00907D56"/>
    <w:rsid w:val="00912106"/>
    <w:rsid w:val="009131AB"/>
    <w:rsid w:val="00913733"/>
    <w:rsid w:val="0091399C"/>
    <w:rsid w:val="00913DC2"/>
    <w:rsid w:val="0091670E"/>
    <w:rsid w:val="009215D9"/>
    <w:rsid w:val="00922C79"/>
    <w:rsid w:val="00922F66"/>
    <w:rsid w:val="009233C2"/>
    <w:rsid w:val="009252BA"/>
    <w:rsid w:val="009258A7"/>
    <w:rsid w:val="00926913"/>
    <w:rsid w:val="00927972"/>
    <w:rsid w:val="00927A16"/>
    <w:rsid w:val="00930222"/>
    <w:rsid w:val="00930A31"/>
    <w:rsid w:val="00931B44"/>
    <w:rsid w:val="00933605"/>
    <w:rsid w:val="00934640"/>
    <w:rsid w:val="00934769"/>
    <w:rsid w:val="0093504C"/>
    <w:rsid w:val="00936677"/>
    <w:rsid w:val="009379E3"/>
    <w:rsid w:val="00940849"/>
    <w:rsid w:val="00941A3A"/>
    <w:rsid w:val="00942C8F"/>
    <w:rsid w:val="00943A46"/>
    <w:rsid w:val="00943C88"/>
    <w:rsid w:val="00945273"/>
    <w:rsid w:val="009465B6"/>
    <w:rsid w:val="009466F7"/>
    <w:rsid w:val="00947225"/>
    <w:rsid w:val="00947599"/>
    <w:rsid w:val="00950624"/>
    <w:rsid w:val="00951894"/>
    <w:rsid w:val="009532A7"/>
    <w:rsid w:val="00953888"/>
    <w:rsid w:val="0095397A"/>
    <w:rsid w:val="00953AD4"/>
    <w:rsid w:val="00953F67"/>
    <w:rsid w:val="00955C91"/>
    <w:rsid w:val="00956661"/>
    <w:rsid w:val="009570E4"/>
    <w:rsid w:val="009574E1"/>
    <w:rsid w:val="00957A36"/>
    <w:rsid w:val="00961459"/>
    <w:rsid w:val="00961811"/>
    <w:rsid w:val="009635E0"/>
    <w:rsid w:val="00963CE1"/>
    <w:rsid w:val="00963E74"/>
    <w:rsid w:val="00963FD7"/>
    <w:rsid w:val="00965320"/>
    <w:rsid w:val="00967A06"/>
    <w:rsid w:val="0097007C"/>
    <w:rsid w:val="00970BB6"/>
    <w:rsid w:val="00971529"/>
    <w:rsid w:val="00972EAC"/>
    <w:rsid w:val="009741C9"/>
    <w:rsid w:val="00974BD9"/>
    <w:rsid w:val="009771E0"/>
    <w:rsid w:val="00977782"/>
    <w:rsid w:val="00980071"/>
    <w:rsid w:val="00980328"/>
    <w:rsid w:val="0098061D"/>
    <w:rsid w:val="00980A0C"/>
    <w:rsid w:val="00983591"/>
    <w:rsid w:val="0098620C"/>
    <w:rsid w:val="00986443"/>
    <w:rsid w:val="00986F3D"/>
    <w:rsid w:val="00986FB4"/>
    <w:rsid w:val="00987439"/>
    <w:rsid w:val="009874F9"/>
    <w:rsid w:val="0099089A"/>
    <w:rsid w:val="00990F52"/>
    <w:rsid w:val="009912E6"/>
    <w:rsid w:val="0099158D"/>
    <w:rsid w:val="009918F8"/>
    <w:rsid w:val="00993094"/>
    <w:rsid w:val="009944FA"/>
    <w:rsid w:val="00994694"/>
    <w:rsid w:val="00995F95"/>
    <w:rsid w:val="00997241"/>
    <w:rsid w:val="009A0FC0"/>
    <w:rsid w:val="009A15BF"/>
    <w:rsid w:val="009A182B"/>
    <w:rsid w:val="009A1972"/>
    <w:rsid w:val="009A1991"/>
    <w:rsid w:val="009A1A99"/>
    <w:rsid w:val="009A2F1D"/>
    <w:rsid w:val="009A3D7D"/>
    <w:rsid w:val="009A4497"/>
    <w:rsid w:val="009A5625"/>
    <w:rsid w:val="009A5CBF"/>
    <w:rsid w:val="009A6464"/>
    <w:rsid w:val="009B0A92"/>
    <w:rsid w:val="009B2500"/>
    <w:rsid w:val="009B2C57"/>
    <w:rsid w:val="009B4049"/>
    <w:rsid w:val="009B4A7D"/>
    <w:rsid w:val="009B5172"/>
    <w:rsid w:val="009B5C20"/>
    <w:rsid w:val="009B614E"/>
    <w:rsid w:val="009B72FE"/>
    <w:rsid w:val="009B7779"/>
    <w:rsid w:val="009B7D34"/>
    <w:rsid w:val="009C0254"/>
    <w:rsid w:val="009C086D"/>
    <w:rsid w:val="009C08EF"/>
    <w:rsid w:val="009C1331"/>
    <w:rsid w:val="009C1E7D"/>
    <w:rsid w:val="009C2889"/>
    <w:rsid w:val="009C3AC8"/>
    <w:rsid w:val="009C405A"/>
    <w:rsid w:val="009C42C4"/>
    <w:rsid w:val="009C4AEE"/>
    <w:rsid w:val="009C5EF3"/>
    <w:rsid w:val="009C7448"/>
    <w:rsid w:val="009C7A35"/>
    <w:rsid w:val="009C7EEF"/>
    <w:rsid w:val="009D0770"/>
    <w:rsid w:val="009D0FC0"/>
    <w:rsid w:val="009D0FCA"/>
    <w:rsid w:val="009D1C50"/>
    <w:rsid w:val="009D2ECA"/>
    <w:rsid w:val="009D3A1B"/>
    <w:rsid w:val="009D3B5A"/>
    <w:rsid w:val="009D3E5F"/>
    <w:rsid w:val="009D4C07"/>
    <w:rsid w:val="009D4C5F"/>
    <w:rsid w:val="009D5AE6"/>
    <w:rsid w:val="009D6B24"/>
    <w:rsid w:val="009D79DE"/>
    <w:rsid w:val="009E06AB"/>
    <w:rsid w:val="009E1BE7"/>
    <w:rsid w:val="009E3A38"/>
    <w:rsid w:val="009E3D23"/>
    <w:rsid w:val="009E43C4"/>
    <w:rsid w:val="009E446D"/>
    <w:rsid w:val="009E49C0"/>
    <w:rsid w:val="009E4B49"/>
    <w:rsid w:val="009E5146"/>
    <w:rsid w:val="009E7CDC"/>
    <w:rsid w:val="009E7E06"/>
    <w:rsid w:val="009F1F93"/>
    <w:rsid w:val="009F532B"/>
    <w:rsid w:val="009F5385"/>
    <w:rsid w:val="009F664C"/>
    <w:rsid w:val="009F7B1E"/>
    <w:rsid w:val="00A01A32"/>
    <w:rsid w:val="00A039C4"/>
    <w:rsid w:val="00A07D82"/>
    <w:rsid w:val="00A10451"/>
    <w:rsid w:val="00A105F9"/>
    <w:rsid w:val="00A108D4"/>
    <w:rsid w:val="00A10B16"/>
    <w:rsid w:val="00A10D68"/>
    <w:rsid w:val="00A11150"/>
    <w:rsid w:val="00A11C21"/>
    <w:rsid w:val="00A11D5E"/>
    <w:rsid w:val="00A136A9"/>
    <w:rsid w:val="00A1550A"/>
    <w:rsid w:val="00A15905"/>
    <w:rsid w:val="00A214E6"/>
    <w:rsid w:val="00A21A04"/>
    <w:rsid w:val="00A23732"/>
    <w:rsid w:val="00A2440C"/>
    <w:rsid w:val="00A26013"/>
    <w:rsid w:val="00A2602A"/>
    <w:rsid w:val="00A275F2"/>
    <w:rsid w:val="00A304F3"/>
    <w:rsid w:val="00A319B7"/>
    <w:rsid w:val="00A32393"/>
    <w:rsid w:val="00A32DC5"/>
    <w:rsid w:val="00A33F33"/>
    <w:rsid w:val="00A340B0"/>
    <w:rsid w:val="00A34326"/>
    <w:rsid w:val="00A37697"/>
    <w:rsid w:val="00A378B2"/>
    <w:rsid w:val="00A40C21"/>
    <w:rsid w:val="00A42387"/>
    <w:rsid w:val="00A42A0A"/>
    <w:rsid w:val="00A4546D"/>
    <w:rsid w:val="00A45A2E"/>
    <w:rsid w:val="00A45E59"/>
    <w:rsid w:val="00A46A0E"/>
    <w:rsid w:val="00A5159A"/>
    <w:rsid w:val="00A517DB"/>
    <w:rsid w:val="00A524EC"/>
    <w:rsid w:val="00A52625"/>
    <w:rsid w:val="00A53DC6"/>
    <w:rsid w:val="00A56164"/>
    <w:rsid w:val="00A57041"/>
    <w:rsid w:val="00A57057"/>
    <w:rsid w:val="00A5705E"/>
    <w:rsid w:val="00A570B1"/>
    <w:rsid w:val="00A57FB8"/>
    <w:rsid w:val="00A61939"/>
    <w:rsid w:val="00A61AD4"/>
    <w:rsid w:val="00A62250"/>
    <w:rsid w:val="00A65587"/>
    <w:rsid w:val="00A657B0"/>
    <w:rsid w:val="00A65BA0"/>
    <w:rsid w:val="00A65DFE"/>
    <w:rsid w:val="00A67A91"/>
    <w:rsid w:val="00A67BA9"/>
    <w:rsid w:val="00A711EB"/>
    <w:rsid w:val="00A71DFF"/>
    <w:rsid w:val="00A73472"/>
    <w:rsid w:val="00A7364C"/>
    <w:rsid w:val="00A750FF"/>
    <w:rsid w:val="00A7634C"/>
    <w:rsid w:val="00A77A7C"/>
    <w:rsid w:val="00A8156A"/>
    <w:rsid w:val="00A838D4"/>
    <w:rsid w:val="00A85D9A"/>
    <w:rsid w:val="00A864E0"/>
    <w:rsid w:val="00A865BC"/>
    <w:rsid w:val="00A87074"/>
    <w:rsid w:val="00A87AF3"/>
    <w:rsid w:val="00A908C9"/>
    <w:rsid w:val="00A921C6"/>
    <w:rsid w:val="00A93168"/>
    <w:rsid w:val="00A9537A"/>
    <w:rsid w:val="00A95B24"/>
    <w:rsid w:val="00A96072"/>
    <w:rsid w:val="00A97F35"/>
    <w:rsid w:val="00AA02B4"/>
    <w:rsid w:val="00AA02C2"/>
    <w:rsid w:val="00AA0436"/>
    <w:rsid w:val="00AA07FA"/>
    <w:rsid w:val="00AA0DAF"/>
    <w:rsid w:val="00AA1316"/>
    <w:rsid w:val="00AA1448"/>
    <w:rsid w:val="00AA387D"/>
    <w:rsid w:val="00AA39E1"/>
    <w:rsid w:val="00AA525D"/>
    <w:rsid w:val="00AA61C4"/>
    <w:rsid w:val="00AA675A"/>
    <w:rsid w:val="00AA6BDF"/>
    <w:rsid w:val="00AA71D6"/>
    <w:rsid w:val="00AB1413"/>
    <w:rsid w:val="00AB1629"/>
    <w:rsid w:val="00AB1E33"/>
    <w:rsid w:val="00AB22E7"/>
    <w:rsid w:val="00AB3805"/>
    <w:rsid w:val="00AB4970"/>
    <w:rsid w:val="00AB5C44"/>
    <w:rsid w:val="00AB6553"/>
    <w:rsid w:val="00AB6E80"/>
    <w:rsid w:val="00AB75FC"/>
    <w:rsid w:val="00AB760F"/>
    <w:rsid w:val="00AC0F6D"/>
    <w:rsid w:val="00AC19F6"/>
    <w:rsid w:val="00AC1B14"/>
    <w:rsid w:val="00AC2861"/>
    <w:rsid w:val="00AC292E"/>
    <w:rsid w:val="00AC4409"/>
    <w:rsid w:val="00AC5861"/>
    <w:rsid w:val="00AC63B9"/>
    <w:rsid w:val="00AC648E"/>
    <w:rsid w:val="00AC722B"/>
    <w:rsid w:val="00AD2760"/>
    <w:rsid w:val="00AD27F3"/>
    <w:rsid w:val="00AD2BE8"/>
    <w:rsid w:val="00AD352E"/>
    <w:rsid w:val="00AD3BAE"/>
    <w:rsid w:val="00AD3FAF"/>
    <w:rsid w:val="00AD4662"/>
    <w:rsid w:val="00AD52DB"/>
    <w:rsid w:val="00AD5621"/>
    <w:rsid w:val="00AD7553"/>
    <w:rsid w:val="00AE03B5"/>
    <w:rsid w:val="00AE04F6"/>
    <w:rsid w:val="00AE0968"/>
    <w:rsid w:val="00AE24B8"/>
    <w:rsid w:val="00AE3443"/>
    <w:rsid w:val="00AE40A3"/>
    <w:rsid w:val="00AE4C75"/>
    <w:rsid w:val="00AE4F7B"/>
    <w:rsid w:val="00AE5301"/>
    <w:rsid w:val="00AE7915"/>
    <w:rsid w:val="00AE7B4B"/>
    <w:rsid w:val="00AF1017"/>
    <w:rsid w:val="00AF19D3"/>
    <w:rsid w:val="00AF21BF"/>
    <w:rsid w:val="00AF21FF"/>
    <w:rsid w:val="00AF3DBC"/>
    <w:rsid w:val="00AF4ACD"/>
    <w:rsid w:val="00AF4C38"/>
    <w:rsid w:val="00AF4CB6"/>
    <w:rsid w:val="00AF66CF"/>
    <w:rsid w:val="00AF7647"/>
    <w:rsid w:val="00AF7A14"/>
    <w:rsid w:val="00B0142C"/>
    <w:rsid w:val="00B01DDA"/>
    <w:rsid w:val="00B01FEA"/>
    <w:rsid w:val="00B04FA1"/>
    <w:rsid w:val="00B07360"/>
    <w:rsid w:val="00B075B6"/>
    <w:rsid w:val="00B14D4E"/>
    <w:rsid w:val="00B153AD"/>
    <w:rsid w:val="00B15968"/>
    <w:rsid w:val="00B16113"/>
    <w:rsid w:val="00B16A82"/>
    <w:rsid w:val="00B176C3"/>
    <w:rsid w:val="00B17E90"/>
    <w:rsid w:val="00B20229"/>
    <w:rsid w:val="00B20B4D"/>
    <w:rsid w:val="00B215F9"/>
    <w:rsid w:val="00B22AC0"/>
    <w:rsid w:val="00B24F3E"/>
    <w:rsid w:val="00B25A7E"/>
    <w:rsid w:val="00B26751"/>
    <w:rsid w:val="00B26F13"/>
    <w:rsid w:val="00B274FE"/>
    <w:rsid w:val="00B27DCA"/>
    <w:rsid w:val="00B30B4D"/>
    <w:rsid w:val="00B31FFB"/>
    <w:rsid w:val="00B32646"/>
    <w:rsid w:val="00B33210"/>
    <w:rsid w:val="00B3392B"/>
    <w:rsid w:val="00B34FC9"/>
    <w:rsid w:val="00B36939"/>
    <w:rsid w:val="00B36C86"/>
    <w:rsid w:val="00B3704E"/>
    <w:rsid w:val="00B371FE"/>
    <w:rsid w:val="00B375EF"/>
    <w:rsid w:val="00B40F3B"/>
    <w:rsid w:val="00B43305"/>
    <w:rsid w:val="00B43A27"/>
    <w:rsid w:val="00B43EF2"/>
    <w:rsid w:val="00B441FF"/>
    <w:rsid w:val="00B461DD"/>
    <w:rsid w:val="00B474B0"/>
    <w:rsid w:val="00B503AA"/>
    <w:rsid w:val="00B508FD"/>
    <w:rsid w:val="00B519E2"/>
    <w:rsid w:val="00B524EA"/>
    <w:rsid w:val="00B5272F"/>
    <w:rsid w:val="00B52D05"/>
    <w:rsid w:val="00B53310"/>
    <w:rsid w:val="00B53A52"/>
    <w:rsid w:val="00B53EBD"/>
    <w:rsid w:val="00B5460D"/>
    <w:rsid w:val="00B5563A"/>
    <w:rsid w:val="00B561E8"/>
    <w:rsid w:val="00B564D6"/>
    <w:rsid w:val="00B579FD"/>
    <w:rsid w:val="00B65319"/>
    <w:rsid w:val="00B66C7B"/>
    <w:rsid w:val="00B66D95"/>
    <w:rsid w:val="00B67B18"/>
    <w:rsid w:val="00B7047E"/>
    <w:rsid w:val="00B7094D"/>
    <w:rsid w:val="00B71350"/>
    <w:rsid w:val="00B7157E"/>
    <w:rsid w:val="00B71F5E"/>
    <w:rsid w:val="00B736AB"/>
    <w:rsid w:val="00B73DC5"/>
    <w:rsid w:val="00B77059"/>
    <w:rsid w:val="00B807EC"/>
    <w:rsid w:val="00B80946"/>
    <w:rsid w:val="00B82319"/>
    <w:rsid w:val="00B83C96"/>
    <w:rsid w:val="00B840BB"/>
    <w:rsid w:val="00B8490C"/>
    <w:rsid w:val="00B84F41"/>
    <w:rsid w:val="00B85721"/>
    <w:rsid w:val="00B8575C"/>
    <w:rsid w:val="00B85E1C"/>
    <w:rsid w:val="00B86518"/>
    <w:rsid w:val="00B86709"/>
    <w:rsid w:val="00B86C26"/>
    <w:rsid w:val="00B86E99"/>
    <w:rsid w:val="00B876E1"/>
    <w:rsid w:val="00B90D01"/>
    <w:rsid w:val="00B93421"/>
    <w:rsid w:val="00B94CE5"/>
    <w:rsid w:val="00B956A8"/>
    <w:rsid w:val="00B96470"/>
    <w:rsid w:val="00B9729D"/>
    <w:rsid w:val="00B972C3"/>
    <w:rsid w:val="00B97416"/>
    <w:rsid w:val="00B97679"/>
    <w:rsid w:val="00BA1AC3"/>
    <w:rsid w:val="00BA1C87"/>
    <w:rsid w:val="00BA1E1F"/>
    <w:rsid w:val="00BA22BC"/>
    <w:rsid w:val="00BA22C1"/>
    <w:rsid w:val="00BA2ACF"/>
    <w:rsid w:val="00BA3344"/>
    <w:rsid w:val="00BA4004"/>
    <w:rsid w:val="00BA41AA"/>
    <w:rsid w:val="00BA7B57"/>
    <w:rsid w:val="00BB0A7E"/>
    <w:rsid w:val="00BB0F52"/>
    <w:rsid w:val="00BB345A"/>
    <w:rsid w:val="00BB3CA7"/>
    <w:rsid w:val="00BB54D5"/>
    <w:rsid w:val="00BB755E"/>
    <w:rsid w:val="00BC3210"/>
    <w:rsid w:val="00BC36AE"/>
    <w:rsid w:val="00BC37FC"/>
    <w:rsid w:val="00BC38AA"/>
    <w:rsid w:val="00BC3A6A"/>
    <w:rsid w:val="00BC3C0E"/>
    <w:rsid w:val="00BC4A7A"/>
    <w:rsid w:val="00BC4F19"/>
    <w:rsid w:val="00BC4FDD"/>
    <w:rsid w:val="00BC56DE"/>
    <w:rsid w:val="00BC621E"/>
    <w:rsid w:val="00BC6891"/>
    <w:rsid w:val="00BD0744"/>
    <w:rsid w:val="00BD0E31"/>
    <w:rsid w:val="00BD1E6D"/>
    <w:rsid w:val="00BD2B3E"/>
    <w:rsid w:val="00BD32D2"/>
    <w:rsid w:val="00BD3CD1"/>
    <w:rsid w:val="00BD4382"/>
    <w:rsid w:val="00BD4E28"/>
    <w:rsid w:val="00BD513F"/>
    <w:rsid w:val="00BD5D9D"/>
    <w:rsid w:val="00BD6BF3"/>
    <w:rsid w:val="00BD71D5"/>
    <w:rsid w:val="00BD7353"/>
    <w:rsid w:val="00BE035A"/>
    <w:rsid w:val="00BE04E2"/>
    <w:rsid w:val="00BE0765"/>
    <w:rsid w:val="00BE07DE"/>
    <w:rsid w:val="00BE121F"/>
    <w:rsid w:val="00BE1718"/>
    <w:rsid w:val="00BE1E17"/>
    <w:rsid w:val="00BE4895"/>
    <w:rsid w:val="00BE6385"/>
    <w:rsid w:val="00BE67AC"/>
    <w:rsid w:val="00BE6F45"/>
    <w:rsid w:val="00BE7E4F"/>
    <w:rsid w:val="00BF21E6"/>
    <w:rsid w:val="00BF2F32"/>
    <w:rsid w:val="00BF3460"/>
    <w:rsid w:val="00BF4325"/>
    <w:rsid w:val="00BF44E1"/>
    <w:rsid w:val="00BF6B7A"/>
    <w:rsid w:val="00BF6E0D"/>
    <w:rsid w:val="00BF7BB4"/>
    <w:rsid w:val="00C0063E"/>
    <w:rsid w:val="00C00E9A"/>
    <w:rsid w:val="00C00ED5"/>
    <w:rsid w:val="00C0362A"/>
    <w:rsid w:val="00C04417"/>
    <w:rsid w:val="00C04C50"/>
    <w:rsid w:val="00C055CC"/>
    <w:rsid w:val="00C06F2D"/>
    <w:rsid w:val="00C10AE5"/>
    <w:rsid w:val="00C11C99"/>
    <w:rsid w:val="00C132B1"/>
    <w:rsid w:val="00C1499A"/>
    <w:rsid w:val="00C15C23"/>
    <w:rsid w:val="00C15C7A"/>
    <w:rsid w:val="00C16F09"/>
    <w:rsid w:val="00C20E76"/>
    <w:rsid w:val="00C215B4"/>
    <w:rsid w:val="00C218AF"/>
    <w:rsid w:val="00C21EF9"/>
    <w:rsid w:val="00C224FA"/>
    <w:rsid w:val="00C2264C"/>
    <w:rsid w:val="00C2291F"/>
    <w:rsid w:val="00C23BCB"/>
    <w:rsid w:val="00C24BDE"/>
    <w:rsid w:val="00C24FBA"/>
    <w:rsid w:val="00C263E5"/>
    <w:rsid w:val="00C26C7F"/>
    <w:rsid w:val="00C2742F"/>
    <w:rsid w:val="00C2751B"/>
    <w:rsid w:val="00C30668"/>
    <w:rsid w:val="00C30769"/>
    <w:rsid w:val="00C30B16"/>
    <w:rsid w:val="00C321B2"/>
    <w:rsid w:val="00C32242"/>
    <w:rsid w:val="00C3259C"/>
    <w:rsid w:val="00C32F2F"/>
    <w:rsid w:val="00C361CE"/>
    <w:rsid w:val="00C373C7"/>
    <w:rsid w:val="00C40E36"/>
    <w:rsid w:val="00C4116A"/>
    <w:rsid w:val="00C414A7"/>
    <w:rsid w:val="00C421DC"/>
    <w:rsid w:val="00C43052"/>
    <w:rsid w:val="00C44812"/>
    <w:rsid w:val="00C45F93"/>
    <w:rsid w:val="00C46C8A"/>
    <w:rsid w:val="00C47F54"/>
    <w:rsid w:val="00C516A5"/>
    <w:rsid w:val="00C522C5"/>
    <w:rsid w:val="00C5284A"/>
    <w:rsid w:val="00C5301D"/>
    <w:rsid w:val="00C54373"/>
    <w:rsid w:val="00C574EF"/>
    <w:rsid w:val="00C57812"/>
    <w:rsid w:val="00C57AC7"/>
    <w:rsid w:val="00C6014B"/>
    <w:rsid w:val="00C60E12"/>
    <w:rsid w:val="00C61E3E"/>
    <w:rsid w:val="00C62356"/>
    <w:rsid w:val="00C629D6"/>
    <w:rsid w:val="00C632C3"/>
    <w:rsid w:val="00C646EE"/>
    <w:rsid w:val="00C6498C"/>
    <w:rsid w:val="00C6623B"/>
    <w:rsid w:val="00C66655"/>
    <w:rsid w:val="00C6784D"/>
    <w:rsid w:val="00C67A00"/>
    <w:rsid w:val="00C70487"/>
    <w:rsid w:val="00C70556"/>
    <w:rsid w:val="00C7063A"/>
    <w:rsid w:val="00C714E9"/>
    <w:rsid w:val="00C72B32"/>
    <w:rsid w:val="00C7321E"/>
    <w:rsid w:val="00C7490C"/>
    <w:rsid w:val="00C75BB9"/>
    <w:rsid w:val="00C80201"/>
    <w:rsid w:val="00C82525"/>
    <w:rsid w:val="00C827E4"/>
    <w:rsid w:val="00C82CAD"/>
    <w:rsid w:val="00C82D40"/>
    <w:rsid w:val="00C8468E"/>
    <w:rsid w:val="00C85848"/>
    <w:rsid w:val="00C864EC"/>
    <w:rsid w:val="00C8693D"/>
    <w:rsid w:val="00C876C2"/>
    <w:rsid w:val="00C87B4D"/>
    <w:rsid w:val="00C9070B"/>
    <w:rsid w:val="00C90F0A"/>
    <w:rsid w:val="00C9268B"/>
    <w:rsid w:val="00C94D0F"/>
    <w:rsid w:val="00C9511B"/>
    <w:rsid w:val="00C952B8"/>
    <w:rsid w:val="00C95B34"/>
    <w:rsid w:val="00C97B5C"/>
    <w:rsid w:val="00CA0426"/>
    <w:rsid w:val="00CA11EF"/>
    <w:rsid w:val="00CA279B"/>
    <w:rsid w:val="00CA3316"/>
    <w:rsid w:val="00CA4C93"/>
    <w:rsid w:val="00CA5D2A"/>
    <w:rsid w:val="00CA63D5"/>
    <w:rsid w:val="00CA6525"/>
    <w:rsid w:val="00CA65B9"/>
    <w:rsid w:val="00CA6E4F"/>
    <w:rsid w:val="00CB0823"/>
    <w:rsid w:val="00CB09A4"/>
    <w:rsid w:val="00CB1B4D"/>
    <w:rsid w:val="00CB1CBD"/>
    <w:rsid w:val="00CB24B4"/>
    <w:rsid w:val="00CB3179"/>
    <w:rsid w:val="00CB4081"/>
    <w:rsid w:val="00CB4F4C"/>
    <w:rsid w:val="00CB5311"/>
    <w:rsid w:val="00CB53D4"/>
    <w:rsid w:val="00CB65E5"/>
    <w:rsid w:val="00CB799A"/>
    <w:rsid w:val="00CC0387"/>
    <w:rsid w:val="00CC1C22"/>
    <w:rsid w:val="00CC270F"/>
    <w:rsid w:val="00CC2D07"/>
    <w:rsid w:val="00CC3513"/>
    <w:rsid w:val="00CC3E1D"/>
    <w:rsid w:val="00CC458C"/>
    <w:rsid w:val="00CC5A70"/>
    <w:rsid w:val="00CC5C1A"/>
    <w:rsid w:val="00CC6481"/>
    <w:rsid w:val="00CC7E40"/>
    <w:rsid w:val="00CD0596"/>
    <w:rsid w:val="00CD1DD4"/>
    <w:rsid w:val="00CD3EE4"/>
    <w:rsid w:val="00CD45F3"/>
    <w:rsid w:val="00CD5D0D"/>
    <w:rsid w:val="00CD6B12"/>
    <w:rsid w:val="00CE0079"/>
    <w:rsid w:val="00CE2778"/>
    <w:rsid w:val="00CE2823"/>
    <w:rsid w:val="00CE3832"/>
    <w:rsid w:val="00CE3AED"/>
    <w:rsid w:val="00CE5B35"/>
    <w:rsid w:val="00CE63A0"/>
    <w:rsid w:val="00CE7F74"/>
    <w:rsid w:val="00CF0178"/>
    <w:rsid w:val="00CF0657"/>
    <w:rsid w:val="00CF1A17"/>
    <w:rsid w:val="00CF37A1"/>
    <w:rsid w:val="00CF49E1"/>
    <w:rsid w:val="00CF5DC8"/>
    <w:rsid w:val="00CF70EB"/>
    <w:rsid w:val="00CF74DE"/>
    <w:rsid w:val="00D014CC"/>
    <w:rsid w:val="00D0285B"/>
    <w:rsid w:val="00D048A5"/>
    <w:rsid w:val="00D04C35"/>
    <w:rsid w:val="00D07375"/>
    <w:rsid w:val="00D07AE9"/>
    <w:rsid w:val="00D11510"/>
    <w:rsid w:val="00D120D1"/>
    <w:rsid w:val="00D13D00"/>
    <w:rsid w:val="00D159B6"/>
    <w:rsid w:val="00D15A32"/>
    <w:rsid w:val="00D167C2"/>
    <w:rsid w:val="00D17A0D"/>
    <w:rsid w:val="00D2019F"/>
    <w:rsid w:val="00D20722"/>
    <w:rsid w:val="00D20FD7"/>
    <w:rsid w:val="00D2100E"/>
    <w:rsid w:val="00D211DA"/>
    <w:rsid w:val="00D21425"/>
    <w:rsid w:val="00D21FBB"/>
    <w:rsid w:val="00D22151"/>
    <w:rsid w:val="00D222E0"/>
    <w:rsid w:val="00D22729"/>
    <w:rsid w:val="00D25492"/>
    <w:rsid w:val="00D263D5"/>
    <w:rsid w:val="00D2644B"/>
    <w:rsid w:val="00D30681"/>
    <w:rsid w:val="00D3069E"/>
    <w:rsid w:val="00D30DEB"/>
    <w:rsid w:val="00D30F2E"/>
    <w:rsid w:val="00D313A5"/>
    <w:rsid w:val="00D32985"/>
    <w:rsid w:val="00D32DC1"/>
    <w:rsid w:val="00D33A3F"/>
    <w:rsid w:val="00D3408F"/>
    <w:rsid w:val="00D357AA"/>
    <w:rsid w:val="00D3675A"/>
    <w:rsid w:val="00D37E2A"/>
    <w:rsid w:val="00D43501"/>
    <w:rsid w:val="00D43FA4"/>
    <w:rsid w:val="00D44FBA"/>
    <w:rsid w:val="00D45A87"/>
    <w:rsid w:val="00D45B15"/>
    <w:rsid w:val="00D4670A"/>
    <w:rsid w:val="00D472FF"/>
    <w:rsid w:val="00D47774"/>
    <w:rsid w:val="00D51C22"/>
    <w:rsid w:val="00D51EEB"/>
    <w:rsid w:val="00D5217E"/>
    <w:rsid w:val="00D53227"/>
    <w:rsid w:val="00D53411"/>
    <w:rsid w:val="00D53877"/>
    <w:rsid w:val="00D56AB5"/>
    <w:rsid w:val="00D56BE5"/>
    <w:rsid w:val="00D56CD8"/>
    <w:rsid w:val="00D577CD"/>
    <w:rsid w:val="00D62F27"/>
    <w:rsid w:val="00D62FFE"/>
    <w:rsid w:val="00D6362A"/>
    <w:rsid w:val="00D63965"/>
    <w:rsid w:val="00D6411B"/>
    <w:rsid w:val="00D64576"/>
    <w:rsid w:val="00D650EF"/>
    <w:rsid w:val="00D65C10"/>
    <w:rsid w:val="00D66621"/>
    <w:rsid w:val="00D6709E"/>
    <w:rsid w:val="00D70A17"/>
    <w:rsid w:val="00D71F3A"/>
    <w:rsid w:val="00D72ECB"/>
    <w:rsid w:val="00D73DBC"/>
    <w:rsid w:val="00D7638B"/>
    <w:rsid w:val="00D80D8C"/>
    <w:rsid w:val="00D80F5C"/>
    <w:rsid w:val="00D80F9D"/>
    <w:rsid w:val="00D81C52"/>
    <w:rsid w:val="00D82C8B"/>
    <w:rsid w:val="00D83066"/>
    <w:rsid w:val="00D835C4"/>
    <w:rsid w:val="00D8364B"/>
    <w:rsid w:val="00D842AD"/>
    <w:rsid w:val="00D86798"/>
    <w:rsid w:val="00D876E1"/>
    <w:rsid w:val="00D9113B"/>
    <w:rsid w:val="00D918C1"/>
    <w:rsid w:val="00D924CA"/>
    <w:rsid w:val="00D934C7"/>
    <w:rsid w:val="00D941E6"/>
    <w:rsid w:val="00D961B5"/>
    <w:rsid w:val="00D970B7"/>
    <w:rsid w:val="00D97C4A"/>
    <w:rsid w:val="00DA0C27"/>
    <w:rsid w:val="00DA0C6B"/>
    <w:rsid w:val="00DA1AF4"/>
    <w:rsid w:val="00DA36DE"/>
    <w:rsid w:val="00DA4C75"/>
    <w:rsid w:val="00DA5B45"/>
    <w:rsid w:val="00DA6473"/>
    <w:rsid w:val="00DA672D"/>
    <w:rsid w:val="00DA7324"/>
    <w:rsid w:val="00DA7BC1"/>
    <w:rsid w:val="00DB073E"/>
    <w:rsid w:val="00DB0FBB"/>
    <w:rsid w:val="00DB1473"/>
    <w:rsid w:val="00DB391B"/>
    <w:rsid w:val="00DB4B1E"/>
    <w:rsid w:val="00DB5B8B"/>
    <w:rsid w:val="00DB5F78"/>
    <w:rsid w:val="00DB6458"/>
    <w:rsid w:val="00DB72B7"/>
    <w:rsid w:val="00DC1B5B"/>
    <w:rsid w:val="00DC2378"/>
    <w:rsid w:val="00DD04A3"/>
    <w:rsid w:val="00DD122A"/>
    <w:rsid w:val="00DD1478"/>
    <w:rsid w:val="00DD20C2"/>
    <w:rsid w:val="00DD24DB"/>
    <w:rsid w:val="00DD4741"/>
    <w:rsid w:val="00DD69FB"/>
    <w:rsid w:val="00DD70F6"/>
    <w:rsid w:val="00DD73CC"/>
    <w:rsid w:val="00DE2A06"/>
    <w:rsid w:val="00DE3D94"/>
    <w:rsid w:val="00DE4659"/>
    <w:rsid w:val="00DE4D03"/>
    <w:rsid w:val="00DE506C"/>
    <w:rsid w:val="00DE5ADA"/>
    <w:rsid w:val="00DE5B67"/>
    <w:rsid w:val="00DE60AE"/>
    <w:rsid w:val="00DE7433"/>
    <w:rsid w:val="00DE792B"/>
    <w:rsid w:val="00DE7D01"/>
    <w:rsid w:val="00DE7D06"/>
    <w:rsid w:val="00DF0063"/>
    <w:rsid w:val="00DF0176"/>
    <w:rsid w:val="00DF027F"/>
    <w:rsid w:val="00DF05C7"/>
    <w:rsid w:val="00DF0626"/>
    <w:rsid w:val="00DF07D8"/>
    <w:rsid w:val="00DF157E"/>
    <w:rsid w:val="00DF15D1"/>
    <w:rsid w:val="00DF18DB"/>
    <w:rsid w:val="00DF2904"/>
    <w:rsid w:val="00DF2E79"/>
    <w:rsid w:val="00DF4935"/>
    <w:rsid w:val="00DF4BED"/>
    <w:rsid w:val="00DF6625"/>
    <w:rsid w:val="00DF7375"/>
    <w:rsid w:val="00E009C9"/>
    <w:rsid w:val="00E00B43"/>
    <w:rsid w:val="00E01520"/>
    <w:rsid w:val="00E0163C"/>
    <w:rsid w:val="00E01D19"/>
    <w:rsid w:val="00E023AC"/>
    <w:rsid w:val="00E0260C"/>
    <w:rsid w:val="00E028F4"/>
    <w:rsid w:val="00E0316E"/>
    <w:rsid w:val="00E039A4"/>
    <w:rsid w:val="00E06188"/>
    <w:rsid w:val="00E06F32"/>
    <w:rsid w:val="00E10E2F"/>
    <w:rsid w:val="00E10FDA"/>
    <w:rsid w:val="00E11753"/>
    <w:rsid w:val="00E11BAD"/>
    <w:rsid w:val="00E11C61"/>
    <w:rsid w:val="00E12558"/>
    <w:rsid w:val="00E12C71"/>
    <w:rsid w:val="00E13366"/>
    <w:rsid w:val="00E13C9F"/>
    <w:rsid w:val="00E1483A"/>
    <w:rsid w:val="00E1525D"/>
    <w:rsid w:val="00E17290"/>
    <w:rsid w:val="00E1769B"/>
    <w:rsid w:val="00E177B6"/>
    <w:rsid w:val="00E17E60"/>
    <w:rsid w:val="00E2010C"/>
    <w:rsid w:val="00E20D3D"/>
    <w:rsid w:val="00E22201"/>
    <w:rsid w:val="00E234E3"/>
    <w:rsid w:val="00E25514"/>
    <w:rsid w:val="00E26808"/>
    <w:rsid w:val="00E26BCA"/>
    <w:rsid w:val="00E3103D"/>
    <w:rsid w:val="00E31CE4"/>
    <w:rsid w:val="00E32027"/>
    <w:rsid w:val="00E32967"/>
    <w:rsid w:val="00E3394B"/>
    <w:rsid w:val="00E33EFD"/>
    <w:rsid w:val="00E342E2"/>
    <w:rsid w:val="00E348D2"/>
    <w:rsid w:val="00E35233"/>
    <w:rsid w:val="00E367A8"/>
    <w:rsid w:val="00E375BB"/>
    <w:rsid w:val="00E37DC6"/>
    <w:rsid w:val="00E402E6"/>
    <w:rsid w:val="00E40A07"/>
    <w:rsid w:val="00E4224D"/>
    <w:rsid w:val="00E43260"/>
    <w:rsid w:val="00E435D6"/>
    <w:rsid w:val="00E44388"/>
    <w:rsid w:val="00E444A0"/>
    <w:rsid w:val="00E4557E"/>
    <w:rsid w:val="00E45D6D"/>
    <w:rsid w:val="00E4614C"/>
    <w:rsid w:val="00E46B33"/>
    <w:rsid w:val="00E46C02"/>
    <w:rsid w:val="00E477FD"/>
    <w:rsid w:val="00E514B5"/>
    <w:rsid w:val="00E51D9A"/>
    <w:rsid w:val="00E52128"/>
    <w:rsid w:val="00E52264"/>
    <w:rsid w:val="00E529D3"/>
    <w:rsid w:val="00E52E98"/>
    <w:rsid w:val="00E52FCE"/>
    <w:rsid w:val="00E53E55"/>
    <w:rsid w:val="00E54478"/>
    <w:rsid w:val="00E55BFA"/>
    <w:rsid w:val="00E5668B"/>
    <w:rsid w:val="00E57CAA"/>
    <w:rsid w:val="00E61396"/>
    <w:rsid w:val="00E616C3"/>
    <w:rsid w:val="00E61DD3"/>
    <w:rsid w:val="00E62C59"/>
    <w:rsid w:val="00E64154"/>
    <w:rsid w:val="00E64754"/>
    <w:rsid w:val="00E64A5D"/>
    <w:rsid w:val="00E64D4F"/>
    <w:rsid w:val="00E66876"/>
    <w:rsid w:val="00E67110"/>
    <w:rsid w:val="00E675A0"/>
    <w:rsid w:val="00E675DA"/>
    <w:rsid w:val="00E7337C"/>
    <w:rsid w:val="00E7348E"/>
    <w:rsid w:val="00E73699"/>
    <w:rsid w:val="00E74002"/>
    <w:rsid w:val="00E75114"/>
    <w:rsid w:val="00E7560B"/>
    <w:rsid w:val="00E75634"/>
    <w:rsid w:val="00E764BC"/>
    <w:rsid w:val="00E76F78"/>
    <w:rsid w:val="00E7766A"/>
    <w:rsid w:val="00E81732"/>
    <w:rsid w:val="00E819E0"/>
    <w:rsid w:val="00E85242"/>
    <w:rsid w:val="00E8597A"/>
    <w:rsid w:val="00E85DB7"/>
    <w:rsid w:val="00E8624A"/>
    <w:rsid w:val="00E86DD2"/>
    <w:rsid w:val="00E87D76"/>
    <w:rsid w:val="00E87EC4"/>
    <w:rsid w:val="00E91380"/>
    <w:rsid w:val="00E91AA6"/>
    <w:rsid w:val="00E91FB4"/>
    <w:rsid w:val="00E9376A"/>
    <w:rsid w:val="00E94098"/>
    <w:rsid w:val="00E94CB9"/>
    <w:rsid w:val="00E94EAD"/>
    <w:rsid w:val="00E94F4A"/>
    <w:rsid w:val="00E95895"/>
    <w:rsid w:val="00E95C23"/>
    <w:rsid w:val="00E95C95"/>
    <w:rsid w:val="00E96242"/>
    <w:rsid w:val="00EA01F0"/>
    <w:rsid w:val="00EA08D5"/>
    <w:rsid w:val="00EA1093"/>
    <w:rsid w:val="00EA147A"/>
    <w:rsid w:val="00EA21EB"/>
    <w:rsid w:val="00EA2D7F"/>
    <w:rsid w:val="00EA4404"/>
    <w:rsid w:val="00EA4844"/>
    <w:rsid w:val="00EA6E6E"/>
    <w:rsid w:val="00EB1BE4"/>
    <w:rsid w:val="00EB2741"/>
    <w:rsid w:val="00EB3A42"/>
    <w:rsid w:val="00EB4AF5"/>
    <w:rsid w:val="00EB60D5"/>
    <w:rsid w:val="00EB6417"/>
    <w:rsid w:val="00EB7A85"/>
    <w:rsid w:val="00EC1B45"/>
    <w:rsid w:val="00EC443B"/>
    <w:rsid w:val="00EC4BD9"/>
    <w:rsid w:val="00EC6D60"/>
    <w:rsid w:val="00ED032E"/>
    <w:rsid w:val="00ED09B2"/>
    <w:rsid w:val="00ED2CB3"/>
    <w:rsid w:val="00ED2FEE"/>
    <w:rsid w:val="00ED446E"/>
    <w:rsid w:val="00ED5E92"/>
    <w:rsid w:val="00ED6339"/>
    <w:rsid w:val="00ED638F"/>
    <w:rsid w:val="00ED63E6"/>
    <w:rsid w:val="00ED7B44"/>
    <w:rsid w:val="00EE15EC"/>
    <w:rsid w:val="00EE1801"/>
    <w:rsid w:val="00EE1898"/>
    <w:rsid w:val="00EE2018"/>
    <w:rsid w:val="00EE291C"/>
    <w:rsid w:val="00EE2E4C"/>
    <w:rsid w:val="00EE40D4"/>
    <w:rsid w:val="00EE4645"/>
    <w:rsid w:val="00EE46E9"/>
    <w:rsid w:val="00EE55EF"/>
    <w:rsid w:val="00EE5977"/>
    <w:rsid w:val="00EE60C5"/>
    <w:rsid w:val="00EE6A77"/>
    <w:rsid w:val="00EE7746"/>
    <w:rsid w:val="00EF13D7"/>
    <w:rsid w:val="00EF1B58"/>
    <w:rsid w:val="00EF32BF"/>
    <w:rsid w:val="00EF398D"/>
    <w:rsid w:val="00EF7A57"/>
    <w:rsid w:val="00EF7E74"/>
    <w:rsid w:val="00F002DD"/>
    <w:rsid w:val="00F00591"/>
    <w:rsid w:val="00F00F26"/>
    <w:rsid w:val="00F01C03"/>
    <w:rsid w:val="00F0269A"/>
    <w:rsid w:val="00F0360E"/>
    <w:rsid w:val="00F03A37"/>
    <w:rsid w:val="00F04539"/>
    <w:rsid w:val="00F047E8"/>
    <w:rsid w:val="00F04976"/>
    <w:rsid w:val="00F05087"/>
    <w:rsid w:val="00F05C60"/>
    <w:rsid w:val="00F11ACF"/>
    <w:rsid w:val="00F12590"/>
    <w:rsid w:val="00F12D5F"/>
    <w:rsid w:val="00F13517"/>
    <w:rsid w:val="00F13766"/>
    <w:rsid w:val="00F14633"/>
    <w:rsid w:val="00F15593"/>
    <w:rsid w:val="00F15BAE"/>
    <w:rsid w:val="00F15E36"/>
    <w:rsid w:val="00F160C9"/>
    <w:rsid w:val="00F16DFF"/>
    <w:rsid w:val="00F17B59"/>
    <w:rsid w:val="00F22D28"/>
    <w:rsid w:val="00F2410E"/>
    <w:rsid w:val="00F2427E"/>
    <w:rsid w:val="00F2437C"/>
    <w:rsid w:val="00F2473C"/>
    <w:rsid w:val="00F24F0A"/>
    <w:rsid w:val="00F2520E"/>
    <w:rsid w:val="00F25C19"/>
    <w:rsid w:val="00F26112"/>
    <w:rsid w:val="00F26567"/>
    <w:rsid w:val="00F27F48"/>
    <w:rsid w:val="00F308BB"/>
    <w:rsid w:val="00F3118B"/>
    <w:rsid w:val="00F318B6"/>
    <w:rsid w:val="00F33BC4"/>
    <w:rsid w:val="00F36229"/>
    <w:rsid w:val="00F36274"/>
    <w:rsid w:val="00F3702A"/>
    <w:rsid w:val="00F37E55"/>
    <w:rsid w:val="00F37EE2"/>
    <w:rsid w:val="00F4428C"/>
    <w:rsid w:val="00F4526F"/>
    <w:rsid w:val="00F4535B"/>
    <w:rsid w:val="00F4551C"/>
    <w:rsid w:val="00F45E34"/>
    <w:rsid w:val="00F47F9C"/>
    <w:rsid w:val="00F50B57"/>
    <w:rsid w:val="00F50E5E"/>
    <w:rsid w:val="00F52105"/>
    <w:rsid w:val="00F5280E"/>
    <w:rsid w:val="00F54082"/>
    <w:rsid w:val="00F5563F"/>
    <w:rsid w:val="00F55AC0"/>
    <w:rsid w:val="00F55EAC"/>
    <w:rsid w:val="00F57147"/>
    <w:rsid w:val="00F57333"/>
    <w:rsid w:val="00F57472"/>
    <w:rsid w:val="00F5786E"/>
    <w:rsid w:val="00F57E75"/>
    <w:rsid w:val="00F6057F"/>
    <w:rsid w:val="00F60E31"/>
    <w:rsid w:val="00F61040"/>
    <w:rsid w:val="00F6177B"/>
    <w:rsid w:val="00F62C10"/>
    <w:rsid w:val="00F632C9"/>
    <w:rsid w:val="00F63797"/>
    <w:rsid w:val="00F639BB"/>
    <w:rsid w:val="00F643FB"/>
    <w:rsid w:val="00F648F9"/>
    <w:rsid w:val="00F657F1"/>
    <w:rsid w:val="00F65B15"/>
    <w:rsid w:val="00F664B1"/>
    <w:rsid w:val="00F70081"/>
    <w:rsid w:val="00F7084A"/>
    <w:rsid w:val="00F7085B"/>
    <w:rsid w:val="00F7250B"/>
    <w:rsid w:val="00F73405"/>
    <w:rsid w:val="00F75880"/>
    <w:rsid w:val="00F75C2F"/>
    <w:rsid w:val="00F7737E"/>
    <w:rsid w:val="00F77B84"/>
    <w:rsid w:val="00F77F45"/>
    <w:rsid w:val="00F818B1"/>
    <w:rsid w:val="00F82714"/>
    <w:rsid w:val="00F82745"/>
    <w:rsid w:val="00F849D1"/>
    <w:rsid w:val="00F85715"/>
    <w:rsid w:val="00F85A9B"/>
    <w:rsid w:val="00F86ABA"/>
    <w:rsid w:val="00F87413"/>
    <w:rsid w:val="00F87F79"/>
    <w:rsid w:val="00F90C4B"/>
    <w:rsid w:val="00F91A5F"/>
    <w:rsid w:val="00F92650"/>
    <w:rsid w:val="00F93D9A"/>
    <w:rsid w:val="00F93F5A"/>
    <w:rsid w:val="00F94FA4"/>
    <w:rsid w:val="00F9598F"/>
    <w:rsid w:val="00F9684E"/>
    <w:rsid w:val="00F9701A"/>
    <w:rsid w:val="00F97C38"/>
    <w:rsid w:val="00FA0306"/>
    <w:rsid w:val="00FA1C3B"/>
    <w:rsid w:val="00FA2426"/>
    <w:rsid w:val="00FA38E3"/>
    <w:rsid w:val="00FA3E7B"/>
    <w:rsid w:val="00FA601C"/>
    <w:rsid w:val="00FA6E16"/>
    <w:rsid w:val="00FB0FDF"/>
    <w:rsid w:val="00FB0FEA"/>
    <w:rsid w:val="00FB1154"/>
    <w:rsid w:val="00FB1205"/>
    <w:rsid w:val="00FB2AFB"/>
    <w:rsid w:val="00FB2CD4"/>
    <w:rsid w:val="00FB2FF3"/>
    <w:rsid w:val="00FB34A1"/>
    <w:rsid w:val="00FB4824"/>
    <w:rsid w:val="00FB4DD1"/>
    <w:rsid w:val="00FB6427"/>
    <w:rsid w:val="00FB6F1A"/>
    <w:rsid w:val="00FB735C"/>
    <w:rsid w:val="00FB7951"/>
    <w:rsid w:val="00FC00C3"/>
    <w:rsid w:val="00FC07B4"/>
    <w:rsid w:val="00FC0B79"/>
    <w:rsid w:val="00FC166D"/>
    <w:rsid w:val="00FC2C1E"/>
    <w:rsid w:val="00FC2E7C"/>
    <w:rsid w:val="00FC5251"/>
    <w:rsid w:val="00FC634E"/>
    <w:rsid w:val="00FC67B0"/>
    <w:rsid w:val="00FC68C2"/>
    <w:rsid w:val="00FC73CE"/>
    <w:rsid w:val="00FC7E09"/>
    <w:rsid w:val="00FD32A9"/>
    <w:rsid w:val="00FD368F"/>
    <w:rsid w:val="00FD4662"/>
    <w:rsid w:val="00FD5797"/>
    <w:rsid w:val="00FD6262"/>
    <w:rsid w:val="00FD67EC"/>
    <w:rsid w:val="00FD7A6D"/>
    <w:rsid w:val="00FE0F2F"/>
    <w:rsid w:val="00FE29C8"/>
    <w:rsid w:val="00FE4447"/>
    <w:rsid w:val="00FE5C5E"/>
    <w:rsid w:val="00FE5F62"/>
    <w:rsid w:val="00FF09D7"/>
    <w:rsid w:val="00FF151B"/>
    <w:rsid w:val="00FF2265"/>
    <w:rsid w:val="00FF2F05"/>
    <w:rsid w:val="00FF3307"/>
    <w:rsid w:val="00FF34CC"/>
    <w:rsid w:val="00FF3E15"/>
    <w:rsid w:val="00FF4028"/>
    <w:rsid w:val="00FF4107"/>
    <w:rsid w:val="00FF71DC"/>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5034"/>
  <w15:chartTrackingRefBased/>
  <w15:docId w15:val="{6B1B9586-48BC-4294-8730-63821A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26"/>
    <w:rPr>
      <w:rFonts w:asciiTheme="majorHAnsi" w:hAnsiTheme="majorHAnsi"/>
      <w:sz w:val="24"/>
    </w:rPr>
  </w:style>
  <w:style w:type="paragraph" w:styleId="1">
    <w:name w:val="heading 1"/>
    <w:basedOn w:val="a"/>
    <w:next w:val="a"/>
    <w:link w:val="10"/>
    <w:uiPriority w:val="9"/>
    <w:qFormat/>
    <w:rsid w:val="00AF4C38"/>
    <w:pPr>
      <w:keepNext/>
      <w:keepLines/>
      <w:numPr>
        <w:numId w:val="11"/>
      </w:numPr>
      <w:spacing w:before="240" w:after="0"/>
      <w:outlineLvl w:val="0"/>
    </w:pPr>
    <w:rPr>
      <w:rFonts w:eastAsiaTheme="majorEastAsia" w:cstheme="majorBidi"/>
      <w:b/>
      <w:sz w:val="28"/>
      <w:szCs w:val="32"/>
    </w:rPr>
  </w:style>
  <w:style w:type="paragraph" w:styleId="2">
    <w:name w:val="heading 2"/>
    <w:basedOn w:val="a"/>
    <w:next w:val="a"/>
    <w:link w:val="20"/>
    <w:uiPriority w:val="9"/>
    <w:unhideWhenUsed/>
    <w:qFormat/>
    <w:rsid w:val="00AF4C38"/>
    <w:pPr>
      <w:keepNext/>
      <w:keepLines/>
      <w:numPr>
        <w:ilvl w:val="1"/>
        <w:numId w:val="11"/>
      </w:numPr>
      <w:spacing w:before="40" w:after="0"/>
      <w:outlineLvl w:val="1"/>
    </w:pPr>
    <w:rPr>
      <w:rFonts w:eastAsiaTheme="majorEastAsia" w:cstheme="majorBidi"/>
      <w:b/>
      <w:i/>
      <w:sz w:val="26"/>
      <w:szCs w:val="26"/>
    </w:rPr>
  </w:style>
  <w:style w:type="paragraph" w:styleId="3">
    <w:name w:val="heading 3"/>
    <w:basedOn w:val="a"/>
    <w:next w:val="a"/>
    <w:link w:val="30"/>
    <w:uiPriority w:val="9"/>
    <w:unhideWhenUsed/>
    <w:qFormat/>
    <w:rsid w:val="00AF4C38"/>
    <w:pPr>
      <w:keepNext/>
      <w:keepLines/>
      <w:numPr>
        <w:ilvl w:val="2"/>
        <w:numId w:val="11"/>
      </w:numPr>
      <w:spacing w:before="40" w:after="0"/>
      <w:outlineLvl w:val="2"/>
    </w:pPr>
    <w:rPr>
      <w:rFonts w:eastAsiaTheme="majorEastAsia" w:cstheme="majorBidi"/>
      <w:b/>
      <w:i/>
      <w:szCs w:val="24"/>
    </w:rPr>
  </w:style>
  <w:style w:type="paragraph" w:styleId="4">
    <w:name w:val="heading 4"/>
    <w:basedOn w:val="a"/>
    <w:next w:val="a"/>
    <w:link w:val="40"/>
    <w:uiPriority w:val="9"/>
    <w:unhideWhenUsed/>
    <w:qFormat/>
    <w:rsid w:val="008A289A"/>
    <w:pPr>
      <w:keepNext/>
      <w:keepLines/>
      <w:numPr>
        <w:ilvl w:val="3"/>
        <w:numId w:val="14"/>
      </w:numPr>
      <w:spacing w:before="40" w:after="0"/>
      <w:outlineLvl w:val="3"/>
    </w:pPr>
    <w:rPr>
      <w:rFonts w:eastAsiaTheme="majorEastAsia" w:cstheme="majorBidi"/>
      <w:b/>
      <w:i/>
      <w:iCs/>
    </w:rPr>
  </w:style>
  <w:style w:type="paragraph" w:styleId="5">
    <w:name w:val="heading 5"/>
    <w:basedOn w:val="a"/>
    <w:next w:val="a"/>
    <w:link w:val="50"/>
    <w:uiPriority w:val="9"/>
    <w:unhideWhenUsed/>
    <w:qFormat/>
    <w:rsid w:val="00AF4C38"/>
    <w:pPr>
      <w:keepNext/>
      <w:keepLines/>
      <w:numPr>
        <w:ilvl w:val="4"/>
        <w:numId w:val="11"/>
      </w:numPr>
      <w:spacing w:before="40" w:after="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AF4C38"/>
    <w:pPr>
      <w:keepNext/>
      <w:keepLines/>
      <w:numPr>
        <w:ilvl w:val="5"/>
        <w:numId w:val="11"/>
      </w:numPr>
      <w:spacing w:before="40" w:after="0"/>
      <w:outlineLvl w:val="5"/>
    </w:pPr>
    <w:rPr>
      <w:rFonts w:eastAsiaTheme="majorEastAsia" w:cstheme="majorBidi"/>
      <w:color w:val="1F4D78" w:themeColor="accent1" w:themeShade="7F"/>
    </w:rPr>
  </w:style>
  <w:style w:type="paragraph" w:styleId="7">
    <w:name w:val="heading 7"/>
    <w:basedOn w:val="a"/>
    <w:next w:val="a"/>
    <w:link w:val="70"/>
    <w:uiPriority w:val="9"/>
    <w:semiHidden/>
    <w:unhideWhenUsed/>
    <w:qFormat/>
    <w:rsid w:val="00AF4C38"/>
    <w:pPr>
      <w:keepNext/>
      <w:keepLines/>
      <w:numPr>
        <w:ilvl w:val="6"/>
        <w:numId w:val="11"/>
      </w:numPr>
      <w:spacing w:before="40" w:after="0"/>
      <w:outlineLvl w:val="6"/>
    </w:pPr>
    <w:rPr>
      <w:rFonts w:eastAsiaTheme="majorEastAsia" w:cstheme="majorBidi"/>
      <w:i/>
      <w:iCs/>
      <w:color w:val="1F4D78" w:themeColor="accent1" w:themeShade="7F"/>
    </w:rPr>
  </w:style>
  <w:style w:type="paragraph" w:styleId="8">
    <w:name w:val="heading 8"/>
    <w:basedOn w:val="a"/>
    <w:next w:val="a"/>
    <w:link w:val="80"/>
    <w:uiPriority w:val="9"/>
    <w:semiHidden/>
    <w:unhideWhenUsed/>
    <w:qFormat/>
    <w:rsid w:val="00AF4C38"/>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9">
    <w:name w:val="heading 9"/>
    <w:basedOn w:val="a"/>
    <w:next w:val="a"/>
    <w:link w:val="90"/>
    <w:uiPriority w:val="9"/>
    <w:semiHidden/>
    <w:unhideWhenUsed/>
    <w:qFormat/>
    <w:rsid w:val="00AF4C38"/>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C38"/>
    <w:rPr>
      <w:rFonts w:asciiTheme="majorHAnsi" w:eastAsiaTheme="majorEastAsia" w:hAnsiTheme="majorHAnsi" w:cstheme="majorBidi"/>
      <w:b/>
      <w:sz w:val="28"/>
      <w:szCs w:val="32"/>
    </w:rPr>
  </w:style>
  <w:style w:type="character" w:customStyle="1" w:styleId="20">
    <w:name w:val="Заголовок 2 Знак"/>
    <w:basedOn w:val="a0"/>
    <w:link w:val="2"/>
    <w:uiPriority w:val="9"/>
    <w:rsid w:val="00AF4C38"/>
    <w:rPr>
      <w:rFonts w:asciiTheme="majorHAnsi" w:eastAsiaTheme="majorEastAsia" w:hAnsiTheme="majorHAnsi" w:cstheme="majorBidi"/>
      <w:b/>
      <w:i/>
      <w:sz w:val="26"/>
      <w:szCs w:val="26"/>
    </w:rPr>
  </w:style>
  <w:style w:type="paragraph" w:customStyle="1" w:styleId="CharChar1">
    <w:name w:val="Char Char1"/>
    <w:basedOn w:val="a"/>
    <w:rsid w:val="00A136A9"/>
    <w:pPr>
      <w:spacing w:line="240" w:lineRule="exact"/>
      <w:jc w:val="both"/>
    </w:pPr>
    <w:rPr>
      <w:rFonts w:ascii="Arial" w:eastAsia="Batang" w:hAnsi="Arial" w:cs="Arial"/>
      <w:sz w:val="20"/>
      <w:szCs w:val="20"/>
    </w:rPr>
  </w:style>
  <w:style w:type="paragraph" w:customStyle="1" w:styleId="CharChar10">
    <w:name w:val="Char Char1"/>
    <w:basedOn w:val="a"/>
    <w:rsid w:val="00ED2FEE"/>
    <w:pPr>
      <w:spacing w:line="240" w:lineRule="exact"/>
      <w:jc w:val="both"/>
    </w:pPr>
    <w:rPr>
      <w:rFonts w:ascii="Arial" w:eastAsia="Batang" w:hAnsi="Arial" w:cs="Arial"/>
      <w:sz w:val="20"/>
      <w:szCs w:val="20"/>
    </w:rPr>
  </w:style>
  <w:style w:type="table" w:styleId="a3">
    <w:name w:val="Table Grid"/>
    <w:basedOn w:val="a1"/>
    <w:uiPriority w:val="39"/>
    <w:rsid w:val="00C8468E"/>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a"/>
    <w:link w:val="a5"/>
    <w:uiPriority w:val="99"/>
    <w:unhideWhenUsed/>
    <w:qFormat/>
    <w:rsid w:val="00C8468E"/>
    <w:pPr>
      <w:spacing w:after="0" w:line="240" w:lineRule="auto"/>
    </w:pPr>
    <w:rPr>
      <w:rFonts w:ascii="Times New Roman" w:hAnsi="Times New Roman"/>
      <w:sz w:val="20"/>
      <w:szCs w:val="20"/>
      <w:lang w:val="ro-RO"/>
    </w:rPr>
  </w:style>
  <w:style w:type="character" w:customStyle="1" w:styleId="a5">
    <w:name w:val="Текст сноски Знак"/>
    <w:aliases w:val="Знак Знак,Char Знак,Знак1 Знак, Знак Знак, Char Знак, Знак1 Знак,single space Знак,footnote text Знак,FOOTNOTES Знак,fn Знак,Footnote Text Char1 Знак,Footnote Text Char2 Char Знак,Footnote Text Char1 Char Char Знак, Cha Знак,Cha Знак"/>
    <w:basedOn w:val="a0"/>
    <w:link w:val="a4"/>
    <w:uiPriority w:val="99"/>
    <w:rsid w:val="00C8468E"/>
    <w:rPr>
      <w:rFonts w:ascii="Times New Roman" w:hAnsi="Times New Roman"/>
      <w:sz w:val="20"/>
      <w:szCs w:val="20"/>
      <w:lang w:val="ro-RO"/>
    </w:rPr>
  </w:style>
  <w:style w:type="character" w:styleId="a6">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C8468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rsid w:val="00C8468E"/>
    <w:pPr>
      <w:spacing w:line="240" w:lineRule="exact"/>
    </w:pPr>
    <w:rPr>
      <w:vertAlign w:val="superscript"/>
    </w:rPr>
  </w:style>
  <w:style w:type="table" w:customStyle="1" w:styleId="TableGrid1">
    <w:name w:val="Table Grid1"/>
    <w:basedOn w:val="a1"/>
    <w:next w:val="a3"/>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strikethrough"/>
    <w:basedOn w:val="a"/>
    <w:link w:val="a8"/>
    <w:uiPriority w:val="34"/>
    <w:qFormat/>
    <w:rsid w:val="00AD5621"/>
    <w:pPr>
      <w:ind w:left="720"/>
      <w:contextualSpacing/>
    </w:pPr>
  </w:style>
  <w:style w:type="character" w:customStyle="1" w:styleId="a8">
    <w:name w:val="Абзац списка Знак"/>
    <w:aliases w:val="strikethrough Знак"/>
    <w:link w:val="a7"/>
    <w:uiPriority w:val="34"/>
    <w:rsid w:val="00497FE6"/>
  </w:style>
  <w:style w:type="paragraph" w:styleId="a9">
    <w:name w:val="Normal (Web)"/>
    <w:basedOn w:val="a"/>
    <w:uiPriority w:val="99"/>
    <w:unhideWhenUsed/>
    <w:rsid w:val="00433D9E"/>
    <w:rPr>
      <w:rFonts w:ascii="Times New Roman" w:hAnsi="Times New Roman" w:cs="Times New Roman"/>
      <w:szCs w:val="24"/>
    </w:rPr>
  </w:style>
  <w:style w:type="paragraph" w:styleId="aa">
    <w:name w:val="header"/>
    <w:basedOn w:val="a"/>
    <w:link w:val="ab"/>
    <w:uiPriority w:val="99"/>
    <w:unhideWhenUsed/>
    <w:rsid w:val="00291B94"/>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291B94"/>
  </w:style>
  <w:style w:type="paragraph" w:styleId="ac">
    <w:name w:val="footer"/>
    <w:basedOn w:val="a"/>
    <w:link w:val="ad"/>
    <w:uiPriority w:val="99"/>
    <w:unhideWhenUsed/>
    <w:rsid w:val="00291B94"/>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91B94"/>
  </w:style>
  <w:style w:type="paragraph" w:customStyle="1" w:styleId="CharChar11">
    <w:name w:val="Char Char1"/>
    <w:basedOn w:val="a"/>
    <w:rsid w:val="00BC621E"/>
    <w:pPr>
      <w:spacing w:line="240" w:lineRule="exact"/>
      <w:jc w:val="both"/>
    </w:pPr>
    <w:rPr>
      <w:rFonts w:ascii="Arial" w:eastAsia="Batang" w:hAnsi="Arial" w:cs="Arial"/>
      <w:sz w:val="20"/>
      <w:szCs w:val="20"/>
    </w:rPr>
  </w:style>
  <w:style w:type="paragraph" w:styleId="ae">
    <w:name w:val="TOC Heading"/>
    <w:basedOn w:val="1"/>
    <w:next w:val="a"/>
    <w:uiPriority w:val="39"/>
    <w:unhideWhenUsed/>
    <w:qFormat/>
    <w:rsid w:val="00FB4824"/>
    <w:pPr>
      <w:outlineLvl w:val="9"/>
    </w:pPr>
  </w:style>
  <w:style w:type="paragraph" w:styleId="11">
    <w:name w:val="toc 1"/>
    <w:basedOn w:val="a"/>
    <w:next w:val="a"/>
    <w:autoRedefine/>
    <w:uiPriority w:val="39"/>
    <w:unhideWhenUsed/>
    <w:rsid w:val="00FB4824"/>
    <w:pPr>
      <w:spacing w:after="100"/>
    </w:pPr>
  </w:style>
  <w:style w:type="character" w:styleId="af">
    <w:name w:val="Hyperlink"/>
    <w:basedOn w:val="a0"/>
    <w:uiPriority w:val="99"/>
    <w:unhideWhenUsed/>
    <w:rsid w:val="00FB4824"/>
    <w:rPr>
      <w:color w:val="0563C1" w:themeColor="hyperlink"/>
      <w:u w:val="single"/>
    </w:rPr>
  </w:style>
  <w:style w:type="paragraph" w:styleId="21">
    <w:name w:val="toc 2"/>
    <w:basedOn w:val="a"/>
    <w:next w:val="a"/>
    <w:autoRedefine/>
    <w:uiPriority w:val="39"/>
    <w:unhideWhenUsed/>
    <w:rsid w:val="00813016"/>
    <w:pPr>
      <w:tabs>
        <w:tab w:val="left" w:pos="1100"/>
        <w:tab w:val="right" w:leader="dot" w:pos="9345"/>
      </w:tabs>
      <w:spacing w:after="100"/>
      <w:ind w:left="220"/>
      <w:jc w:val="both"/>
    </w:pPr>
    <w:rPr>
      <w:rFonts w:eastAsia="Times New Roman" w:cstheme="majorHAnsi"/>
      <w:bCs/>
      <w:noProof/>
      <w:lang w:val="ro-MD" w:eastAsia="ru-RU"/>
    </w:rPr>
  </w:style>
  <w:style w:type="paragraph" w:styleId="31">
    <w:name w:val="toc 3"/>
    <w:basedOn w:val="a"/>
    <w:next w:val="a"/>
    <w:autoRedefine/>
    <w:uiPriority w:val="39"/>
    <w:unhideWhenUsed/>
    <w:rsid w:val="00FB1205"/>
    <w:pPr>
      <w:tabs>
        <w:tab w:val="left" w:pos="1320"/>
        <w:tab w:val="right" w:leader="dot" w:pos="9345"/>
      </w:tabs>
      <w:spacing w:after="100"/>
      <w:ind w:left="440"/>
    </w:pPr>
    <w:rPr>
      <w:rFonts w:eastAsiaTheme="minorEastAsia" w:cs="Times New Roman"/>
      <w:noProof/>
    </w:rPr>
  </w:style>
  <w:style w:type="paragraph" w:styleId="af0">
    <w:name w:val="Balloon Text"/>
    <w:basedOn w:val="a"/>
    <w:link w:val="af1"/>
    <w:uiPriority w:val="99"/>
    <w:semiHidden/>
    <w:unhideWhenUsed/>
    <w:rsid w:val="00FB482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B4824"/>
    <w:rPr>
      <w:rFonts w:ascii="Segoe UI" w:hAnsi="Segoe UI" w:cs="Segoe UI"/>
      <w:sz w:val="18"/>
      <w:szCs w:val="18"/>
    </w:rPr>
  </w:style>
  <w:style w:type="character" w:customStyle="1" w:styleId="af2">
    <w:name w:val="_"/>
    <w:basedOn w:val="a0"/>
    <w:rsid w:val="00207DAD"/>
  </w:style>
  <w:style w:type="character" w:customStyle="1" w:styleId="pg-1ff1">
    <w:name w:val="pg-1ff1"/>
    <w:basedOn w:val="a0"/>
    <w:rsid w:val="00207DAD"/>
  </w:style>
  <w:style w:type="table" w:customStyle="1" w:styleId="TableGrid2">
    <w:name w:val="Table Grid2"/>
    <w:basedOn w:val="a1"/>
    <w:next w:val="a3"/>
    <w:uiPriority w:val="39"/>
    <w:rsid w:val="004C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5324B6"/>
    <w:pPr>
      <w:spacing w:after="0" w:line="240" w:lineRule="auto"/>
    </w:pPr>
  </w:style>
  <w:style w:type="character" w:customStyle="1" w:styleId="af4">
    <w:name w:val="Без интервала Знак"/>
    <w:basedOn w:val="a0"/>
    <w:link w:val="af3"/>
    <w:uiPriority w:val="1"/>
    <w:locked/>
    <w:rsid w:val="008B27A1"/>
  </w:style>
  <w:style w:type="table" w:customStyle="1" w:styleId="TableGrid3">
    <w:name w:val="Table Grid3"/>
    <w:basedOn w:val="a1"/>
    <w:next w:val="a3"/>
    <w:uiPriority w:val="39"/>
    <w:rsid w:val="00F55AC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F90C4B"/>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39"/>
    <w:rsid w:val="00C646EE"/>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Sample"/>
    <w:basedOn w:val="a0"/>
    <w:uiPriority w:val="99"/>
    <w:semiHidden/>
    <w:rsid w:val="008B27A1"/>
    <w:rPr>
      <w:rFonts w:ascii="Courier New" w:hAnsi="Courier New" w:cs="Courier New"/>
    </w:rPr>
  </w:style>
  <w:style w:type="paragraph" w:customStyle="1" w:styleId="cn">
    <w:name w:val="cn"/>
    <w:basedOn w:val="a"/>
    <w:rsid w:val="002A5137"/>
    <w:pPr>
      <w:spacing w:after="0" w:line="240" w:lineRule="auto"/>
      <w:jc w:val="center"/>
    </w:pPr>
    <w:rPr>
      <w:rFonts w:ascii="Times New Roman" w:eastAsia="Times New Roman" w:hAnsi="Times New Roman" w:cs="Times New Roman"/>
      <w:szCs w:val="24"/>
    </w:rPr>
  </w:style>
  <w:style w:type="paragraph" w:customStyle="1" w:styleId="rg">
    <w:name w:val="rg"/>
    <w:basedOn w:val="a"/>
    <w:rsid w:val="002A5137"/>
    <w:pPr>
      <w:spacing w:after="0" w:line="240" w:lineRule="auto"/>
      <w:jc w:val="right"/>
    </w:pPr>
    <w:rPr>
      <w:rFonts w:ascii="Times New Roman" w:eastAsia="Times New Roman" w:hAnsi="Times New Roman" w:cs="Times New Roman"/>
      <w:szCs w:val="24"/>
    </w:rPr>
  </w:style>
  <w:style w:type="paragraph" w:customStyle="1" w:styleId="tt">
    <w:name w:val="tt"/>
    <w:basedOn w:val="a"/>
    <w:rsid w:val="002A5137"/>
    <w:pPr>
      <w:spacing w:after="0" w:line="240" w:lineRule="auto"/>
      <w:jc w:val="center"/>
    </w:pPr>
    <w:rPr>
      <w:rFonts w:ascii="Times New Roman" w:eastAsia="Times New Roman" w:hAnsi="Times New Roman" w:cs="Times New Roman"/>
      <w:b/>
      <w:bCs/>
      <w:szCs w:val="24"/>
    </w:rPr>
  </w:style>
  <w:style w:type="character" w:styleId="af5">
    <w:name w:val="annotation reference"/>
    <w:basedOn w:val="a0"/>
    <w:uiPriority w:val="99"/>
    <w:semiHidden/>
    <w:unhideWhenUsed/>
    <w:rsid w:val="00657D98"/>
    <w:rPr>
      <w:sz w:val="16"/>
      <w:szCs w:val="16"/>
    </w:rPr>
  </w:style>
  <w:style w:type="paragraph" w:styleId="af6">
    <w:name w:val="annotation text"/>
    <w:basedOn w:val="a"/>
    <w:link w:val="af7"/>
    <w:uiPriority w:val="99"/>
    <w:unhideWhenUsed/>
    <w:rsid w:val="00657D98"/>
    <w:pPr>
      <w:spacing w:line="240" w:lineRule="auto"/>
    </w:pPr>
    <w:rPr>
      <w:sz w:val="20"/>
      <w:szCs w:val="20"/>
    </w:rPr>
  </w:style>
  <w:style w:type="character" w:customStyle="1" w:styleId="af7">
    <w:name w:val="Текст примечания Знак"/>
    <w:basedOn w:val="a0"/>
    <w:link w:val="af6"/>
    <w:uiPriority w:val="99"/>
    <w:rsid w:val="00657D98"/>
    <w:rPr>
      <w:sz w:val="20"/>
      <w:szCs w:val="20"/>
    </w:rPr>
  </w:style>
  <w:style w:type="table" w:customStyle="1" w:styleId="TableGrid6">
    <w:name w:val="Table Grid6"/>
    <w:basedOn w:val="a1"/>
    <w:next w:val="a3"/>
    <w:uiPriority w:val="39"/>
    <w:rsid w:val="00D9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9"/>
    <w:link w:val="13"/>
    <w:autoRedefine/>
    <w:qFormat/>
    <w:rsid w:val="002E0EEC"/>
    <w:pPr>
      <w:spacing w:after="0" w:line="240" w:lineRule="auto"/>
      <w:ind w:left="180" w:hanging="180"/>
      <w:jc w:val="both"/>
    </w:pPr>
    <w:rPr>
      <w:rFonts w:asciiTheme="majorHAnsi" w:eastAsia="Times New Roman" w:hAnsiTheme="majorHAnsi" w:cstheme="majorHAnsi"/>
      <w:sz w:val="16"/>
      <w:szCs w:val="16"/>
    </w:rPr>
  </w:style>
  <w:style w:type="character" w:customStyle="1" w:styleId="13">
    <w:name w:val="Стиль1 Знак"/>
    <w:basedOn w:val="a0"/>
    <w:link w:val="12"/>
    <w:rsid w:val="002E0EEC"/>
    <w:rPr>
      <w:rFonts w:asciiTheme="majorHAnsi" w:eastAsia="Times New Roman" w:hAnsiTheme="majorHAnsi" w:cstheme="majorHAnsi"/>
      <w:sz w:val="16"/>
      <w:szCs w:val="16"/>
    </w:rPr>
  </w:style>
  <w:style w:type="table" w:customStyle="1" w:styleId="TableGrid16">
    <w:name w:val="Table Grid16"/>
    <w:basedOn w:val="a1"/>
    <w:next w:val="a3"/>
    <w:uiPriority w:val="39"/>
    <w:rsid w:val="0049401C"/>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3"/>
    <w:uiPriority w:val="39"/>
    <w:rsid w:val="00673D07"/>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3"/>
    <w:uiPriority w:val="39"/>
    <w:rsid w:val="007C7B0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next w:val="a3"/>
    <w:uiPriority w:val="39"/>
    <w:rsid w:val="007C7B0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3"/>
    <w:uiPriority w:val="39"/>
    <w:rsid w:val="0046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59"/>
    <w:rsid w:val="0002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131E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3"/>
    <w:uiPriority w:val="39"/>
    <w:rsid w:val="00706AED"/>
    <w:pPr>
      <w:spacing w:after="0" w:line="240" w:lineRule="auto"/>
    </w:pPr>
    <w:rPr>
      <w:rFonts w:ascii="Calibri" w:eastAsia="Calibri" w:hAnsi="Calibri"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3"/>
    <w:uiPriority w:val="39"/>
    <w:rsid w:val="0053515C"/>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D33A6"/>
    <w:pP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1">
    <w:name w:val="xl71"/>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2">
    <w:name w:val="xl72"/>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3">
    <w:name w:val="xl73"/>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74">
    <w:name w:val="xl74"/>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18"/>
      <w:szCs w:val="18"/>
    </w:rPr>
  </w:style>
  <w:style w:type="paragraph" w:customStyle="1" w:styleId="xl75">
    <w:name w:val="xl75"/>
    <w:basedOn w:val="a"/>
    <w:rsid w:val="005D33A6"/>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76">
    <w:name w:val="xl76"/>
    <w:basedOn w:val="a"/>
    <w:rsid w:val="005D33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7">
    <w:name w:val="xl7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8">
    <w:name w:val="xl78"/>
    <w:basedOn w:val="a"/>
    <w:rsid w:val="005D33A6"/>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9">
    <w:name w:val="xl79"/>
    <w:basedOn w:val="a"/>
    <w:rsid w:val="005D33A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0">
    <w:name w:val="xl80"/>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1">
    <w:name w:val="xl81"/>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2">
    <w:name w:val="xl82"/>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3">
    <w:name w:val="xl83"/>
    <w:basedOn w:val="a"/>
    <w:rsid w:val="005D33A6"/>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4">
    <w:name w:val="xl84"/>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Calibri Light" w:eastAsia="Times New Roman" w:hAnsi="Calibri Light" w:cs="Calibri Light"/>
      <w:sz w:val="18"/>
      <w:szCs w:val="18"/>
    </w:rPr>
  </w:style>
  <w:style w:type="paragraph" w:customStyle="1" w:styleId="xl85">
    <w:name w:val="xl85"/>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86">
    <w:name w:val="xl8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87">
    <w:name w:val="xl87"/>
    <w:basedOn w:val="a"/>
    <w:rsid w:val="005D33A6"/>
    <w:pPr>
      <w:spacing w:before="100" w:beforeAutospacing="1" w:after="100" w:afterAutospacing="1" w:line="240" w:lineRule="auto"/>
    </w:pPr>
    <w:rPr>
      <w:rFonts w:ascii="Arial" w:eastAsia="Times New Roman" w:hAnsi="Arial" w:cs="Arial"/>
      <w:b/>
      <w:bCs/>
      <w:sz w:val="20"/>
      <w:szCs w:val="20"/>
    </w:rPr>
  </w:style>
  <w:style w:type="paragraph" w:customStyle="1" w:styleId="xl88">
    <w:name w:val="xl88"/>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89">
    <w:name w:val="xl89"/>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90">
    <w:name w:val="xl90"/>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91">
    <w:name w:val="xl91"/>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pPr>
    <w:rPr>
      <w:rFonts w:ascii="Calibri Light" w:eastAsia="Times New Roman" w:hAnsi="Calibri Light" w:cs="Calibri Light"/>
      <w:b/>
      <w:bCs/>
      <w:sz w:val="18"/>
      <w:szCs w:val="18"/>
    </w:rPr>
  </w:style>
  <w:style w:type="paragraph" w:customStyle="1" w:styleId="xl92">
    <w:name w:val="xl92"/>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93">
    <w:name w:val="xl93"/>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94">
    <w:name w:val="xl94"/>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95">
    <w:name w:val="xl95"/>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Cs w:val="24"/>
    </w:rPr>
  </w:style>
  <w:style w:type="paragraph" w:customStyle="1" w:styleId="xl96">
    <w:name w:val="xl9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i/>
      <w:iCs/>
      <w:szCs w:val="24"/>
    </w:rPr>
  </w:style>
  <w:style w:type="paragraph" w:customStyle="1" w:styleId="xl97">
    <w:name w:val="xl9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8">
    <w:name w:val="xl98"/>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9">
    <w:name w:val="xl99"/>
    <w:basedOn w:val="a"/>
    <w:rsid w:val="005D33A6"/>
    <w:pPr>
      <w:spacing w:before="100" w:beforeAutospacing="1" w:after="100" w:afterAutospacing="1" w:line="240" w:lineRule="auto"/>
    </w:pPr>
    <w:rPr>
      <w:rFonts w:ascii="Arial" w:eastAsia="Times New Roman" w:hAnsi="Arial" w:cs="Arial"/>
      <w:i/>
      <w:iCs/>
      <w:szCs w:val="24"/>
    </w:rPr>
  </w:style>
  <w:style w:type="paragraph" w:customStyle="1" w:styleId="xl100">
    <w:name w:val="xl100"/>
    <w:basedOn w:val="a"/>
    <w:rsid w:val="005D33A6"/>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1">
    <w:name w:val="xl101"/>
    <w:basedOn w:val="a"/>
    <w:rsid w:val="005D33A6"/>
    <w:pPr>
      <w:spacing w:before="100" w:beforeAutospacing="1" w:after="100" w:afterAutospacing="1" w:line="240" w:lineRule="auto"/>
    </w:pPr>
    <w:rPr>
      <w:rFonts w:ascii="Arial" w:eastAsia="Times New Roman" w:hAnsi="Arial" w:cs="Arial"/>
      <w:i/>
      <w:iCs/>
      <w:sz w:val="20"/>
      <w:szCs w:val="20"/>
    </w:rPr>
  </w:style>
  <w:style w:type="paragraph" w:customStyle="1" w:styleId="xl102">
    <w:name w:val="xl102"/>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3">
    <w:name w:val="xl103"/>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4">
    <w:name w:val="xl104"/>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5">
    <w:name w:val="xl105"/>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textAlignment w:val="top"/>
    </w:pPr>
    <w:rPr>
      <w:rFonts w:ascii="Calibri Light" w:eastAsia="Times New Roman" w:hAnsi="Calibri Light" w:cs="Calibri Light"/>
      <w:b/>
      <w:bCs/>
      <w:i/>
      <w:iCs/>
      <w:sz w:val="18"/>
      <w:szCs w:val="18"/>
    </w:rPr>
  </w:style>
  <w:style w:type="paragraph" w:customStyle="1" w:styleId="xl106">
    <w:name w:val="xl10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 w:val="18"/>
      <w:szCs w:val="18"/>
    </w:rPr>
  </w:style>
  <w:style w:type="paragraph" w:customStyle="1" w:styleId="xl107">
    <w:name w:val="xl10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8">
    <w:name w:val="xl108"/>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9">
    <w:name w:val="xl109"/>
    <w:basedOn w:val="a"/>
    <w:rsid w:val="005D33A6"/>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0">
    <w:name w:val="xl110"/>
    <w:basedOn w:val="a"/>
    <w:rsid w:val="005D33A6"/>
    <w:pPr>
      <w:pBdr>
        <w:top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1">
    <w:name w:val="xl111"/>
    <w:basedOn w:val="a"/>
    <w:rsid w:val="005D33A6"/>
    <w:pPr>
      <w:pBdr>
        <w:top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font5">
    <w:name w:val="font5"/>
    <w:basedOn w:val="a"/>
    <w:rsid w:val="00E009C9"/>
    <w:pPr>
      <w:spacing w:before="100" w:beforeAutospacing="1" w:after="100" w:afterAutospacing="1" w:line="240" w:lineRule="auto"/>
    </w:pPr>
    <w:rPr>
      <w:rFonts w:ascii="Calibri" w:eastAsia="Times New Roman" w:hAnsi="Calibri" w:cs="Calibri"/>
      <w:i/>
      <w:iCs/>
      <w:sz w:val="16"/>
      <w:szCs w:val="16"/>
    </w:rPr>
  </w:style>
  <w:style w:type="paragraph" w:customStyle="1" w:styleId="xl112">
    <w:name w:val="xl112"/>
    <w:basedOn w:val="a"/>
    <w:rsid w:val="00E0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a"/>
    <w:rsid w:val="00E009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4">
    <w:name w:val="xl114"/>
    <w:basedOn w:val="a"/>
    <w:rsid w:val="00E009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a"/>
    <w:rsid w:val="00E009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E0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8">
    <w:name w:val="xl118"/>
    <w:basedOn w:val="a"/>
    <w:rsid w:val="00E009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9">
    <w:name w:val="xl119"/>
    <w:basedOn w:val="a"/>
    <w:rsid w:val="00E009C9"/>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0">
    <w:name w:val="xl120"/>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1">
    <w:name w:val="xl121"/>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rFonts w:ascii="Times New Roman" w:eastAsia="Times New Roman" w:hAnsi="Times New Roman" w:cs="Times New Roman"/>
      <w:b/>
      <w:bCs/>
      <w:i/>
      <w:iCs/>
      <w:sz w:val="18"/>
      <w:szCs w:val="18"/>
    </w:rPr>
  </w:style>
  <w:style w:type="paragraph" w:customStyle="1" w:styleId="xl122">
    <w:name w:val="xl122"/>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23">
    <w:name w:val="xl123"/>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character" w:customStyle="1" w:styleId="docbody">
    <w:name w:val="doc_body"/>
    <w:basedOn w:val="a0"/>
    <w:rsid w:val="00E009C9"/>
  </w:style>
  <w:style w:type="table" w:customStyle="1" w:styleId="TableGrid11">
    <w:name w:val="Table Grid11"/>
    <w:basedOn w:val="a1"/>
    <w:next w:val="a3"/>
    <w:uiPriority w:val="39"/>
    <w:rsid w:val="007F6FE6"/>
    <w:pPr>
      <w:spacing w:after="0" w:line="240" w:lineRule="auto"/>
    </w:pPr>
    <w:rPr>
      <w:rFonts w:eastAsia="MS Mincho"/>
      <w:sz w:val="21"/>
      <w:szCs w:val="21"/>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3"/>
    <w:uiPriority w:val="39"/>
    <w:rsid w:val="008B5B55"/>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39"/>
    <w:rsid w:val="00CC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F4C38"/>
    <w:rPr>
      <w:rFonts w:asciiTheme="majorHAnsi" w:eastAsiaTheme="majorEastAsia" w:hAnsiTheme="majorHAnsi" w:cstheme="majorBidi"/>
      <w:b/>
      <w:i/>
      <w:sz w:val="24"/>
      <w:szCs w:val="24"/>
    </w:rPr>
  </w:style>
  <w:style w:type="character" w:customStyle="1" w:styleId="40">
    <w:name w:val="Заголовок 4 Знак"/>
    <w:basedOn w:val="a0"/>
    <w:link w:val="4"/>
    <w:uiPriority w:val="9"/>
    <w:rsid w:val="008A289A"/>
    <w:rPr>
      <w:rFonts w:asciiTheme="majorHAnsi" w:eastAsiaTheme="majorEastAsia" w:hAnsiTheme="majorHAnsi" w:cstheme="majorBidi"/>
      <w:b/>
      <w:i/>
      <w:iCs/>
      <w:sz w:val="24"/>
    </w:rPr>
  </w:style>
  <w:style w:type="character" w:customStyle="1" w:styleId="50">
    <w:name w:val="Заголовок 5 Знак"/>
    <w:basedOn w:val="a0"/>
    <w:link w:val="5"/>
    <w:uiPriority w:val="9"/>
    <w:rsid w:val="00AF4C38"/>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AF4C38"/>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AF4C38"/>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AF4C3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F4C38"/>
    <w:rPr>
      <w:rFonts w:asciiTheme="majorHAnsi" w:eastAsiaTheme="majorEastAsia" w:hAnsiTheme="majorHAnsi" w:cstheme="majorBidi"/>
      <w:i/>
      <w:iCs/>
      <w:color w:val="272727" w:themeColor="text1" w:themeTint="D8"/>
      <w:sz w:val="21"/>
      <w:szCs w:val="21"/>
    </w:rPr>
  </w:style>
  <w:style w:type="table" w:customStyle="1" w:styleId="TableGrid13">
    <w:name w:val="Table Grid13"/>
    <w:basedOn w:val="a1"/>
    <w:next w:val="a3"/>
    <w:uiPriority w:val="39"/>
    <w:rsid w:val="00AE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617">
      <w:bodyDiv w:val="1"/>
      <w:marLeft w:val="0"/>
      <w:marRight w:val="0"/>
      <w:marTop w:val="0"/>
      <w:marBottom w:val="0"/>
      <w:divBdr>
        <w:top w:val="none" w:sz="0" w:space="0" w:color="auto"/>
        <w:left w:val="none" w:sz="0" w:space="0" w:color="auto"/>
        <w:bottom w:val="none" w:sz="0" w:space="0" w:color="auto"/>
        <w:right w:val="none" w:sz="0" w:space="0" w:color="auto"/>
      </w:divBdr>
    </w:div>
    <w:div w:id="34473906">
      <w:bodyDiv w:val="1"/>
      <w:marLeft w:val="0"/>
      <w:marRight w:val="0"/>
      <w:marTop w:val="0"/>
      <w:marBottom w:val="0"/>
      <w:divBdr>
        <w:top w:val="none" w:sz="0" w:space="0" w:color="auto"/>
        <w:left w:val="none" w:sz="0" w:space="0" w:color="auto"/>
        <w:bottom w:val="none" w:sz="0" w:space="0" w:color="auto"/>
        <w:right w:val="none" w:sz="0" w:space="0" w:color="auto"/>
      </w:divBdr>
    </w:div>
    <w:div w:id="59181822">
      <w:bodyDiv w:val="1"/>
      <w:marLeft w:val="0"/>
      <w:marRight w:val="0"/>
      <w:marTop w:val="0"/>
      <w:marBottom w:val="0"/>
      <w:divBdr>
        <w:top w:val="none" w:sz="0" w:space="0" w:color="auto"/>
        <w:left w:val="none" w:sz="0" w:space="0" w:color="auto"/>
        <w:bottom w:val="none" w:sz="0" w:space="0" w:color="auto"/>
        <w:right w:val="none" w:sz="0" w:space="0" w:color="auto"/>
      </w:divBdr>
    </w:div>
    <w:div w:id="102698908">
      <w:bodyDiv w:val="1"/>
      <w:marLeft w:val="0"/>
      <w:marRight w:val="0"/>
      <w:marTop w:val="0"/>
      <w:marBottom w:val="0"/>
      <w:divBdr>
        <w:top w:val="none" w:sz="0" w:space="0" w:color="auto"/>
        <w:left w:val="none" w:sz="0" w:space="0" w:color="auto"/>
        <w:bottom w:val="none" w:sz="0" w:space="0" w:color="auto"/>
        <w:right w:val="none" w:sz="0" w:space="0" w:color="auto"/>
      </w:divBdr>
    </w:div>
    <w:div w:id="121730733">
      <w:bodyDiv w:val="1"/>
      <w:marLeft w:val="0"/>
      <w:marRight w:val="0"/>
      <w:marTop w:val="0"/>
      <w:marBottom w:val="0"/>
      <w:divBdr>
        <w:top w:val="none" w:sz="0" w:space="0" w:color="auto"/>
        <w:left w:val="none" w:sz="0" w:space="0" w:color="auto"/>
        <w:bottom w:val="none" w:sz="0" w:space="0" w:color="auto"/>
        <w:right w:val="none" w:sz="0" w:space="0" w:color="auto"/>
      </w:divBdr>
    </w:div>
    <w:div w:id="167065543">
      <w:bodyDiv w:val="1"/>
      <w:marLeft w:val="0"/>
      <w:marRight w:val="0"/>
      <w:marTop w:val="0"/>
      <w:marBottom w:val="0"/>
      <w:divBdr>
        <w:top w:val="none" w:sz="0" w:space="0" w:color="auto"/>
        <w:left w:val="none" w:sz="0" w:space="0" w:color="auto"/>
        <w:bottom w:val="none" w:sz="0" w:space="0" w:color="auto"/>
        <w:right w:val="none" w:sz="0" w:space="0" w:color="auto"/>
      </w:divBdr>
    </w:div>
    <w:div w:id="179588414">
      <w:bodyDiv w:val="1"/>
      <w:marLeft w:val="0"/>
      <w:marRight w:val="0"/>
      <w:marTop w:val="0"/>
      <w:marBottom w:val="0"/>
      <w:divBdr>
        <w:top w:val="none" w:sz="0" w:space="0" w:color="auto"/>
        <w:left w:val="none" w:sz="0" w:space="0" w:color="auto"/>
        <w:bottom w:val="none" w:sz="0" w:space="0" w:color="auto"/>
        <w:right w:val="none" w:sz="0" w:space="0" w:color="auto"/>
      </w:divBdr>
    </w:div>
    <w:div w:id="180970137">
      <w:bodyDiv w:val="1"/>
      <w:marLeft w:val="0"/>
      <w:marRight w:val="0"/>
      <w:marTop w:val="0"/>
      <w:marBottom w:val="0"/>
      <w:divBdr>
        <w:top w:val="none" w:sz="0" w:space="0" w:color="auto"/>
        <w:left w:val="none" w:sz="0" w:space="0" w:color="auto"/>
        <w:bottom w:val="none" w:sz="0" w:space="0" w:color="auto"/>
        <w:right w:val="none" w:sz="0" w:space="0" w:color="auto"/>
      </w:divBdr>
    </w:div>
    <w:div w:id="181938434">
      <w:bodyDiv w:val="1"/>
      <w:marLeft w:val="0"/>
      <w:marRight w:val="0"/>
      <w:marTop w:val="0"/>
      <w:marBottom w:val="0"/>
      <w:divBdr>
        <w:top w:val="none" w:sz="0" w:space="0" w:color="auto"/>
        <w:left w:val="none" w:sz="0" w:space="0" w:color="auto"/>
        <w:bottom w:val="none" w:sz="0" w:space="0" w:color="auto"/>
        <w:right w:val="none" w:sz="0" w:space="0" w:color="auto"/>
      </w:divBdr>
    </w:div>
    <w:div w:id="213975815">
      <w:bodyDiv w:val="1"/>
      <w:marLeft w:val="0"/>
      <w:marRight w:val="0"/>
      <w:marTop w:val="0"/>
      <w:marBottom w:val="0"/>
      <w:divBdr>
        <w:top w:val="none" w:sz="0" w:space="0" w:color="auto"/>
        <w:left w:val="none" w:sz="0" w:space="0" w:color="auto"/>
        <w:bottom w:val="none" w:sz="0" w:space="0" w:color="auto"/>
        <w:right w:val="none" w:sz="0" w:space="0" w:color="auto"/>
      </w:divBdr>
    </w:div>
    <w:div w:id="229779585">
      <w:bodyDiv w:val="1"/>
      <w:marLeft w:val="0"/>
      <w:marRight w:val="0"/>
      <w:marTop w:val="0"/>
      <w:marBottom w:val="0"/>
      <w:divBdr>
        <w:top w:val="none" w:sz="0" w:space="0" w:color="auto"/>
        <w:left w:val="none" w:sz="0" w:space="0" w:color="auto"/>
        <w:bottom w:val="none" w:sz="0" w:space="0" w:color="auto"/>
        <w:right w:val="none" w:sz="0" w:space="0" w:color="auto"/>
      </w:divBdr>
    </w:div>
    <w:div w:id="231358357">
      <w:bodyDiv w:val="1"/>
      <w:marLeft w:val="0"/>
      <w:marRight w:val="0"/>
      <w:marTop w:val="0"/>
      <w:marBottom w:val="0"/>
      <w:divBdr>
        <w:top w:val="none" w:sz="0" w:space="0" w:color="auto"/>
        <w:left w:val="none" w:sz="0" w:space="0" w:color="auto"/>
        <w:bottom w:val="none" w:sz="0" w:space="0" w:color="auto"/>
        <w:right w:val="none" w:sz="0" w:space="0" w:color="auto"/>
      </w:divBdr>
    </w:div>
    <w:div w:id="241107257">
      <w:bodyDiv w:val="1"/>
      <w:marLeft w:val="0"/>
      <w:marRight w:val="0"/>
      <w:marTop w:val="0"/>
      <w:marBottom w:val="0"/>
      <w:divBdr>
        <w:top w:val="none" w:sz="0" w:space="0" w:color="auto"/>
        <w:left w:val="none" w:sz="0" w:space="0" w:color="auto"/>
        <w:bottom w:val="none" w:sz="0" w:space="0" w:color="auto"/>
        <w:right w:val="none" w:sz="0" w:space="0" w:color="auto"/>
      </w:divBdr>
    </w:div>
    <w:div w:id="267322620">
      <w:bodyDiv w:val="1"/>
      <w:marLeft w:val="0"/>
      <w:marRight w:val="0"/>
      <w:marTop w:val="0"/>
      <w:marBottom w:val="0"/>
      <w:divBdr>
        <w:top w:val="none" w:sz="0" w:space="0" w:color="auto"/>
        <w:left w:val="none" w:sz="0" w:space="0" w:color="auto"/>
        <w:bottom w:val="none" w:sz="0" w:space="0" w:color="auto"/>
        <w:right w:val="none" w:sz="0" w:space="0" w:color="auto"/>
      </w:divBdr>
    </w:div>
    <w:div w:id="282657743">
      <w:bodyDiv w:val="1"/>
      <w:marLeft w:val="0"/>
      <w:marRight w:val="0"/>
      <w:marTop w:val="0"/>
      <w:marBottom w:val="0"/>
      <w:divBdr>
        <w:top w:val="none" w:sz="0" w:space="0" w:color="auto"/>
        <w:left w:val="none" w:sz="0" w:space="0" w:color="auto"/>
        <w:bottom w:val="none" w:sz="0" w:space="0" w:color="auto"/>
        <w:right w:val="none" w:sz="0" w:space="0" w:color="auto"/>
      </w:divBdr>
    </w:div>
    <w:div w:id="285936632">
      <w:bodyDiv w:val="1"/>
      <w:marLeft w:val="0"/>
      <w:marRight w:val="0"/>
      <w:marTop w:val="0"/>
      <w:marBottom w:val="0"/>
      <w:divBdr>
        <w:top w:val="none" w:sz="0" w:space="0" w:color="auto"/>
        <w:left w:val="none" w:sz="0" w:space="0" w:color="auto"/>
        <w:bottom w:val="none" w:sz="0" w:space="0" w:color="auto"/>
        <w:right w:val="none" w:sz="0" w:space="0" w:color="auto"/>
      </w:divBdr>
    </w:div>
    <w:div w:id="287323058">
      <w:bodyDiv w:val="1"/>
      <w:marLeft w:val="0"/>
      <w:marRight w:val="0"/>
      <w:marTop w:val="0"/>
      <w:marBottom w:val="0"/>
      <w:divBdr>
        <w:top w:val="none" w:sz="0" w:space="0" w:color="auto"/>
        <w:left w:val="none" w:sz="0" w:space="0" w:color="auto"/>
        <w:bottom w:val="none" w:sz="0" w:space="0" w:color="auto"/>
        <w:right w:val="none" w:sz="0" w:space="0" w:color="auto"/>
      </w:divBdr>
    </w:div>
    <w:div w:id="309991603">
      <w:bodyDiv w:val="1"/>
      <w:marLeft w:val="0"/>
      <w:marRight w:val="0"/>
      <w:marTop w:val="0"/>
      <w:marBottom w:val="0"/>
      <w:divBdr>
        <w:top w:val="none" w:sz="0" w:space="0" w:color="auto"/>
        <w:left w:val="none" w:sz="0" w:space="0" w:color="auto"/>
        <w:bottom w:val="none" w:sz="0" w:space="0" w:color="auto"/>
        <w:right w:val="none" w:sz="0" w:space="0" w:color="auto"/>
      </w:divBdr>
    </w:div>
    <w:div w:id="331032547">
      <w:bodyDiv w:val="1"/>
      <w:marLeft w:val="0"/>
      <w:marRight w:val="0"/>
      <w:marTop w:val="0"/>
      <w:marBottom w:val="0"/>
      <w:divBdr>
        <w:top w:val="none" w:sz="0" w:space="0" w:color="auto"/>
        <w:left w:val="none" w:sz="0" w:space="0" w:color="auto"/>
        <w:bottom w:val="none" w:sz="0" w:space="0" w:color="auto"/>
        <w:right w:val="none" w:sz="0" w:space="0" w:color="auto"/>
      </w:divBdr>
    </w:div>
    <w:div w:id="333579650">
      <w:bodyDiv w:val="1"/>
      <w:marLeft w:val="0"/>
      <w:marRight w:val="0"/>
      <w:marTop w:val="0"/>
      <w:marBottom w:val="0"/>
      <w:divBdr>
        <w:top w:val="none" w:sz="0" w:space="0" w:color="auto"/>
        <w:left w:val="none" w:sz="0" w:space="0" w:color="auto"/>
        <w:bottom w:val="none" w:sz="0" w:space="0" w:color="auto"/>
        <w:right w:val="none" w:sz="0" w:space="0" w:color="auto"/>
      </w:divBdr>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70032223">
      <w:bodyDiv w:val="1"/>
      <w:marLeft w:val="0"/>
      <w:marRight w:val="0"/>
      <w:marTop w:val="0"/>
      <w:marBottom w:val="0"/>
      <w:divBdr>
        <w:top w:val="none" w:sz="0" w:space="0" w:color="auto"/>
        <w:left w:val="none" w:sz="0" w:space="0" w:color="auto"/>
        <w:bottom w:val="none" w:sz="0" w:space="0" w:color="auto"/>
        <w:right w:val="none" w:sz="0" w:space="0" w:color="auto"/>
      </w:divBdr>
    </w:div>
    <w:div w:id="395475818">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7578109">
      <w:bodyDiv w:val="1"/>
      <w:marLeft w:val="0"/>
      <w:marRight w:val="0"/>
      <w:marTop w:val="0"/>
      <w:marBottom w:val="0"/>
      <w:divBdr>
        <w:top w:val="none" w:sz="0" w:space="0" w:color="auto"/>
        <w:left w:val="none" w:sz="0" w:space="0" w:color="auto"/>
        <w:bottom w:val="none" w:sz="0" w:space="0" w:color="auto"/>
        <w:right w:val="none" w:sz="0" w:space="0" w:color="auto"/>
      </w:divBdr>
    </w:div>
    <w:div w:id="436217036">
      <w:bodyDiv w:val="1"/>
      <w:marLeft w:val="0"/>
      <w:marRight w:val="0"/>
      <w:marTop w:val="0"/>
      <w:marBottom w:val="0"/>
      <w:divBdr>
        <w:top w:val="none" w:sz="0" w:space="0" w:color="auto"/>
        <w:left w:val="none" w:sz="0" w:space="0" w:color="auto"/>
        <w:bottom w:val="none" w:sz="0" w:space="0" w:color="auto"/>
        <w:right w:val="none" w:sz="0" w:space="0" w:color="auto"/>
      </w:divBdr>
    </w:div>
    <w:div w:id="459343678">
      <w:bodyDiv w:val="1"/>
      <w:marLeft w:val="0"/>
      <w:marRight w:val="0"/>
      <w:marTop w:val="0"/>
      <w:marBottom w:val="0"/>
      <w:divBdr>
        <w:top w:val="none" w:sz="0" w:space="0" w:color="auto"/>
        <w:left w:val="none" w:sz="0" w:space="0" w:color="auto"/>
        <w:bottom w:val="none" w:sz="0" w:space="0" w:color="auto"/>
        <w:right w:val="none" w:sz="0" w:space="0" w:color="auto"/>
      </w:divBdr>
    </w:div>
    <w:div w:id="459957012">
      <w:bodyDiv w:val="1"/>
      <w:marLeft w:val="0"/>
      <w:marRight w:val="0"/>
      <w:marTop w:val="0"/>
      <w:marBottom w:val="0"/>
      <w:divBdr>
        <w:top w:val="none" w:sz="0" w:space="0" w:color="auto"/>
        <w:left w:val="none" w:sz="0" w:space="0" w:color="auto"/>
        <w:bottom w:val="none" w:sz="0" w:space="0" w:color="auto"/>
        <w:right w:val="none" w:sz="0" w:space="0" w:color="auto"/>
      </w:divBdr>
    </w:div>
    <w:div w:id="474687202">
      <w:bodyDiv w:val="1"/>
      <w:marLeft w:val="0"/>
      <w:marRight w:val="0"/>
      <w:marTop w:val="0"/>
      <w:marBottom w:val="0"/>
      <w:divBdr>
        <w:top w:val="none" w:sz="0" w:space="0" w:color="auto"/>
        <w:left w:val="none" w:sz="0" w:space="0" w:color="auto"/>
        <w:bottom w:val="none" w:sz="0" w:space="0" w:color="auto"/>
        <w:right w:val="none" w:sz="0" w:space="0" w:color="auto"/>
      </w:divBdr>
    </w:div>
    <w:div w:id="490022593">
      <w:bodyDiv w:val="1"/>
      <w:marLeft w:val="0"/>
      <w:marRight w:val="0"/>
      <w:marTop w:val="0"/>
      <w:marBottom w:val="0"/>
      <w:divBdr>
        <w:top w:val="none" w:sz="0" w:space="0" w:color="auto"/>
        <w:left w:val="none" w:sz="0" w:space="0" w:color="auto"/>
        <w:bottom w:val="none" w:sz="0" w:space="0" w:color="auto"/>
        <w:right w:val="none" w:sz="0" w:space="0" w:color="auto"/>
      </w:divBdr>
    </w:div>
    <w:div w:id="496655279">
      <w:bodyDiv w:val="1"/>
      <w:marLeft w:val="0"/>
      <w:marRight w:val="0"/>
      <w:marTop w:val="0"/>
      <w:marBottom w:val="0"/>
      <w:divBdr>
        <w:top w:val="none" w:sz="0" w:space="0" w:color="auto"/>
        <w:left w:val="none" w:sz="0" w:space="0" w:color="auto"/>
        <w:bottom w:val="none" w:sz="0" w:space="0" w:color="auto"/>
        <w:right w:val="none" w:sz="0" w:space="0" w:color="auto"/>
      </w:divBdr>
    </w:div>
    <w:div w:id="50235284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14534183">
      <w:bodyDiv w:val="1"/>
      <w:marLeft w:val="0"/>
      <w:marRight w:val="0"/>
      <w:marTop w:val="0"/>
      <w:marBottom w:val="0"/>
      <w:divBdr>
        <w:top w:val="none" w:sz="0" w:space="0" w:color="auto"/>
        <w:left w:val="none" w:sz="0" w:space="0" w:color="auto"/>
        <w:bottom w:val="none" w:sz="0" w:space="0" w:color="auto"/>
        <w:right w:val="none" w:sz="0" w:space="0" w:color="auto"/>
      </w:divBdr>
    </w:div>
    <w:div w:id="586158520">
      <w:bodyDiv w:val="1"/>
      <w:marLeft w:val="0"/>
      <w:marRight w:val="0"/>
      <w:marTop w:val="0"/>
      <w:marBottom w:val="0"/>
      <w:divBdr>
        <w:top w:val="none" w:sz="0" w:space="0" w:color="auto"/>
        <w:left w:val="none" w:sz="0" w:space="0" w:color="auto"/>
        <w:bottom w:val="none" w:sz="0" w:space="0" w:color="auto"/>
        <w:right w:val="none" w:sz="0" w:space="0" w:color="auto"/>
      </w:divBdr>
    </w:div>
    <w:div w:id="617027793">
      <w:bodyDiv w:val="1"/>
      <w:marLeft w:val="0"/>
      <w:marRight w:val="0"/>
      <w:marTop w:val="0"/>
      <w:marBottom w:val="0"/>
      <w:divBdr>
        <w:top w:val="none" w:sz="0" w:space="0" w:color="auto"/>
        <w:left w:val="none" w:sz="0" w:space="0" w:color="auto"/>
        <w:bottom w:val="none" w:sz="0" w:space="0" w:color="auto"/>
        <w:right w:val="none" w:sz="0" w:space="0" w:color="auto"/>
      </w:divBdr>
    </w:div>
    <w:div w:id="620109852">
      <w:bodyDiv w:val="1"/>
      <w:marLeft w:val="0"/>
      <w:marRight w:val="0"/>
      <w:marTop w:val="0"/>
      <w:marBottom w:val="0"/>
      <w:divBdr>
        <w:top w:val="none" w:sz="0" w:space="0" w:color="auto"/>
        <w:left w:val="none" w:sz="0" w:space="0" w:color="auto"/>
        <w:bottom w:val="none" w:sz="0" w:space="0" w:color="auto"/>
        <w:right w:val="none" w:sz="0" w:space="0" w:color="auto"/>
      </w:divBdr>
    </w:div>
    <w:div w:id="628820750">
      <w:bodyDiv w:val="1"/>
      <w:marLeft w:val="0"/>
      <w:marRight w:val="0"/>
      <w:marTop w:val="0"/>
      <w:marBottom w:val="0"/>
      <w:divBdr>
        <w:top w:val="none" w:sz="0" w:space="0" w:color="auto"/>
        <w:left w:val="none" w:sz="0" w:space="0" w:color="auto"/>
        <w:bottom w:val="none" w:sz="0" w:space="0" w:color="auto"/>
        <w:right w:val="none" w:sz="0" w:space="0" w:color="auto"/>
      </w:divBdr>
    </w:div>
    <w:div w:id="637228901">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75558659">
      <w:bodyDiv w:val="1"/>
      <w:marLeft w:val="0"/>
      <w:marRight w:val="0"/>
      <w:marTop w:val="0"/>
      <w:marBottom w:val="0"/>
      <w:divBdr>
        <w:top w:val="none" w:sz="0" w:space="0" w:color="auto"/>
        <w:left w:val="none" w:sz="0" w:space="0" w:color="auto"/>
        <w:bottom w:val="none" w:sz="0" w:space="0" w:color="auto"/>
        <w:right w:val="none" w:sz="0" w:space="0" w:color="auto"/>
      </w:divBdr>
    </w:div>
    <w:div w:id="782119299">
      <w:bodyDiv w:val="1"/>
      <w:marLeft w:val="0"/>
      <w:marRight w:val="0"/>
      <w:marTop w:val="0"/>
      <w:marBottom w:val="0"/>
      <w:divBdr>
        <w:top w:val="none" w:sz="0" w:space="0" w:color="auto"/>
        <w:left w:val="none" w:sz="0" w:space="0" w:color="auto"/>
        <w:bottom w:val="none" w:sz="0" w:space="0" w:color="auto"/>
        <w:right w:val="none" w:sz="0" w:space="0" w:color="auto"/>
      </w:divBdr>
    </w:div>
    <w:div w:id="808206906">
      <w:bodyDiv w:val="1"/>
      <w:marLeft w:val="0"/>
      <w:marRight w:val="0"/>
      <w:marTop w:val="0"/>
      <w:marBottom w:val="0"/>
      <w:divBdr>
        <w:top w:val="none" w:sz="0" w:space="0" w:color="auto"/>
        <w:left w:val="none" w:sz="0" w:space="0" w:color="auto"/>
        <w:bottom w:val="none" w:sz="0" w:space="0" w:color="auto"/>
        <w:right w:val="none" w:sz="0" w:space="0" w:color="auto"/>
      </w:divBdr>
    </w:div>
    <w:div w:id="814763773">
      <w:bodyDiv w:val="1"/>
      <w:marLeft w:val="0"/>
      <w:marRight w:val="0"/>
      <w:marTop w:val="0"/>
      <w:marBottom w:val="0"/>
      <w:divBdr>
        <w:top w:val="none" w:sz="0" w:space="0" w:color="auto"/>
        <w:left w:val="none" w:sz="0" w:space="0" w:color="auto"/>
        <w:bottom w:val="none" w:sz="0" w:space="0" w:color="auto"/>
        <w:right w:val="none" w:sz="0" w:space="0" w:color="auto"/>
      </w:divBdr>
    </w:div>
    <w:div w:id="837577021">
      <w:bodyDiv w:val="1"/>
      <w:marLeft w:val="0"/>
      <w:marRight w:val="0"/>
      <w:marTop w:val="0"/>
      <w:marBottom w:val="0"/>
      <w:divBdr>
        <w:top w:val="none" w:sz="0" w:space="0" w:color="auto"/>
        <w:left w:val="none" w:sz="0" w:space="0" w:color="auto"/>
        <w:bottom w:val="none" w:sz="0" w:space="0" w:color="auto"/>
        <w:right w:val="none" w:sz="0" w:space="0" w:color="auto"/>
      </w:divBdr>
    </w:div>
    <w:div w:id="843783641">
      <w:bodyDiv w:val="1"/>
      <w:marLeft w:val="0"/>
      <w:marRight w:val="0"/>
      <w:marTop w:val="0"/>
      <w:marBottom w:val="0"/>
      <w:divBdr>
        <w:top w:val="none" w:sz="0" w:space="0" w:color="auto"/>
        <w:left w:val="none" w:sz="0" w:space="0" w:color="auto"/>
        <w:bottom w:val="none" w:sz="0" w:space="0" w:color="auto"/>
        <w:right w:val="none" w:sz="0" w:space="0" w:color="auto"/>
      </w:divBdr>
    </w:div>
    <w:div w:id="861674666">
      <w:bodyDiv w:val="1"/>
      <w:marLeft w:val="0"/>
      <w:marRight w:val="0"/>
      <w:marTop w:val="0"/>
      <w:marBottom w:val="0"/>
      <w:divBdr>
        <w:top w:val="none" w:sz="0" w:space="0" w:color="auto"/>
        <w:left w:val="none" w:sz="0" w:space="0" w:color="auto"/>
        <w:bottom w:val="none" w:sz="0" w:space="0" w:color="auto"/>
        <w:right w:val="none" w:sz="0" w:space="0" w:color="auto"/>
      </w:divBdr>
    </w:div>
    <w:div w:id="887648126">
      <w:bodyDiv w:val="1"/>
      <w:marLeft w:val="0"/>
      <w:marRight w:val="0"/>
      <w:marTop w:val="0"/>
      <w:marBottom w:val="0"/>
      <w:divBdr>
        <w:top w:val="none" w:sz="0" w:space="0" w:color="auto"/>
        <w:left w:val="none" w:sz="0" w:space="0" w:color="auto"/>
        <w:bottom w:val="none" w:sz="0" w:space="0" w:color="auto"/>
        <w:right w:val="none" w:sz="0" w:space="0" w:color="auto"/>
      </w:divBdr>
    </w:div>
    <w:div w:id="918977878">
      <w:bodyDiv w:val="1"/>
      <w:marLeft w:val="0"/>
      <w:marRight w:val="0"/>
      <w:marTop w:val="0"/>
      <w:marBottom w:val="0"/>
      <w:divBdr>
        <w:top w:val="none" w:sz="0" w:space="0" w:color="auto"/>
        <w:left w:val="none" w:sz="0" w:space="0" w:color="auto"/>
        <w:bottom w:val="none" w:sz="0" w:space="0" w:color="auto"/>
        <w:right w:val="none" w:sz="0" w:space="0" w:color="auto"/>
      </w:divBdr>
    </w:div>
    <w:div w:id="945036052">
      <w:bodyDiv w:val="1"/>
      <w:marLeft w:val="0"/>
      <w:marRight w:val="0"/>
      <w:marTop w:val="0"/>
      <w:marBottom w:val="0"/>
      <w:divBdr>
        <w:top w:val="none" w:sz="0" w:space="0" w:color="auto"/>
        <w:left w:val="none" w:sz="0" w:space="0" w:color="auto"/>
        <w:bottom w:val="none" w:sz="0" w:space="0" w:color="auto"/>
        <w:right w:val="none" w:sz="0" w:space="0" w:color="auto"/>
      </w:divBdr>
    </w:div>
    <w:div w:id="955141258">
      <w:bodyDiv w:val="1"/>
      <w:marLeft w:val="0"/>
      <w:marRight w:val="0"/>
      <w:marTop w:val="0"/>
      <w:marBottom w:val="0"/>
      <w:divBdr>
        <w:top w:val="none" w:sz="0" w:space="0" w:color="auto"/>
        <w:left w:val="none" w:sz="0" w:space="0" w:color="auto"/>
        <w:bottom w:val="none" w:sz="0" w:space="0" w:color="auto"/>
        <w:right w:val="none" w:sz="0" w:space="0" w:color="auto"/>
      </w:divBdr>
    </w:div>
    <w:div w:id="962808713">
      <w:bodyDiv w:val="1"/>
      <w:marLeft w:val="0"/>
      <w:marRight w:val="0"/>
      <w:marTop w:val="0"/>
      <w:marBottom w:val="0"/>
      <w:divBdr>
        <w:top w:val="none" w:sz="0" w:space="0" w:color="auto"/>
        <w:left w:val="none" w:sz="0" w:space="0" w:color="auto"/>
        <w:bottom w:val="none" w:sz="0" w:space="0" w:color="auto"/>
        <w:right w:val="none" w:sz="0" w:space="0" w:color="auto"/>
      </w:divBdr>
    </w:div>
    <w:div w:id="976179285">
      <w:bodyDiv w:val="1"/>
      <w:marLeft w:val="0"/>
      <w:marRight w:val="0"/>
      <w:marTop w:val="0"/>
      <w:marBottom w:val="0"/>
      <w:divBdr>
        <w:top w:val="none" w:sz="0" w:space="0" w:color="auto"/>
        <w:left w:val="none" w:sz="0" w:space="0" w:color="auto"/>
        <w:bottom w:val="none" w:sz="0" w:space="0" w:color="auto"/>
        <w:right w:val="none" w:sz="0" w:space="0" w:color="auto"/>
      </w:divBdr>
    </w:div>
    <w:div w:id="990330267">
      <w:bodyDiv w:val="1"/>
      <w:marLeft w:val="0"/>
      <w:marRight w:val="0"/>
      <w:marTop w:val="0"/>
      <w:marBottom w:val="0"/>
      <w:divBdr>
        <w:top w:val="none" w:sz="0" w:space="0" w:color="auto"/>
        <w:left w:val="none" w:sz="0" w:space="0" w:color="auto"/>
        <w:bottom w:val="none" w:sz="0" w:space="0" w:color="auto"/>
        <w:right w:val="none" w:sz="0" w:space="0" w:color="auto"/>
      </w:divBdr>
    </w:div>
    <w:div w:id="990476081">
      <w:bodyDiv w:val="1"/>
      <w:marLeft w:val="0"/>
      <w:marRight w:val="0"/>
      <w:marTop w:val="0"/>
      <w:marBottom w:val="0"/>
      <w:divBdr>
        <w:top w:val="none" w:sz="0" w:space="0" w:color="auto"/>
        <w:left w:val="none" w:sz="0" w:space="0" w:color="auto"/>
        <w:bottom w:val="none" w:sz="0" w:space="0" w:color="auto"/>
        <w:right w:val="none" w:sz="0" w:space="0" w:color="auto"/>
      </w:divBdr>
    </w:div>
    <w:div w:id="1014306170">
      <w:bodyDiv w:val="1"/>
      <w:marLeft w:val="0"/>
      <w:marRight w:val="0"/>
      <w:marTop w:val="0"/>
      <w:marBottom w:val="0"/>
      <w:divBdr>
        <w:top w:val="none" w:sz="0" w:space="0" w:color="auto"/>
        <w:left w:val="none" w:sz="0" w:space="0" w:color="auto"/>
        <w:bottom w:val="none" w:sz="0" w:space="0" w:color="auto"/>
        <w:right w:val="none" w:sz="0" w:space="0" w:color="auto"/>
      </w:divBdr>
    </w:div>
    <w:div w:id="1016273950">
      <w:bodyDiv w:val="1"/>
      <w:marLeft w:val="0"/>
      <w:marRight w:val="0"/>
      <w:marTop w:val="0"/>
      <w:marBottom w:val="0"/>
      <w:divBdr>
        <w:top w:val="none" w:sz="0" w:space="0" w:color="auto"/>
        <w:left w:val="none" w:sz="0" w:space="0" w:color="auto"/>
        <w:bottom w:val="none" w:sz="0" w:space="0" w:color="auto"/>
        <w:right w:val="none" w:sz="0" w:space="0" w:color="auto"/>
      </w:divBdr>
    </w:div>
    <w:div w:id="1018653197">
      <w:bodyDiv w:val="1"/>
      <w:marLeft w:val="0"/>
      <w:marRight w:val="0"/>
      <w:marTop w:val="0"/>
      <w:marBottom w:val="0"/>
      <w:divBdr>
        <w:top w:val="none" w:sz="0" w:space="0" w:color="auto"/>
        <w:left w:val="none" w:sz="0" w:space="0" w:color="auto"/>
        <w:bottom w:val="none" w:sz="0" w:space="0" w:color="auto"/>
        <w:right w:val="none" w:sz="0" w:space="0" w:color="auto"/>
      </w:divBdr>
    </w:div>
    <w:div w:id="1021862199">
      <w:bodyDiv w:val="1"/>
      <w:marLeft w:val="0"/>
      <w:marRight w:val="0"/>
      <w:marTop w:val="0"/>
      <w:marBottom w:val="0"/>
      <w:divBdr>
        <w:top w:val="none" w:sz="0" w:space="0" w:color="auto"/>
        <w:left w:val="none" w:sz="0" w:space="0" w:color="auto"/>
        <w:bottom w:val="none" w:sz="0" w:space="0" w:color="auto"/>
        <w:right w:val="none" w:sz="0" w:space="0" w:color="auto"/>
      </w:divBdr>
    </w:div>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 w:id="1044521987">
      <w:bodyDiv w:val="1"/>
      <w:marLeft w:val="0"/>
      <w:marRight w:val="0"/>
      <w:marTop w:val="0"/>
      <w:marBottom w:val="0"/>
      <w:divBdr>
        <w:top w:val="none" w:sz="0" w:space="0" w:color="auto"/>
        <w:left w:val="none" w:sz="0" w:space="0" w:color="auto"/>
        <w:bottom w:val="none" w:sz="0" w:space="0" w:color="auto"/>
        <w:right w:val="none" w:sz="0" w:space="0" w:color="auto"/>
      </w:divBdr>
    </w:div>
    <w:div w:id="1046832154">
      <w:bodyDiv w:val="1"/>
      <w:marLeft w:val="0"/>
      <w:marRight w:val="0"/>
      <w:marTop w:val="0"/>
      <w:marBottom w:val="0"/>
      <w:divBdr>
        <w:top w:val="none" w:sz="0" w:space="0" w:color="auto"/>
        <w:left w:val="none" w:sz="0" w:space="0" w:color="auto"/>
        <w:bottom w:val="none" w:sz="0" w:space="0" w:color="auto"/>
        <w:right w:val="none" w:sz="0" w:space="0" w:color="auto"/>
      </w:divBdr>
    </w:div>
    <w:div w:id="1056780596">
      <w:bodyDiv w:val="1"/>
      <w:marLeft w:val="0"/>
      <w:marRight w:val="0"/>
      <w:marTop w:val="0"/>
      <w:marBottom w:val="0"/>
      <w:divBdr>
        <w:top w:val="none" w:sz="0" w:space="0" w:color="auto"/>
        <w:left w:val="none" w:sz="0" w:space="0" w:color="auto"/>
        <w:bottom w:val="none" w:sz="0" w:space="0" w:color="auto"/>
        <w:right w:val="none" w:sz="0" w:space="0" w:color="auto"/>
      </w:divBdr>
    </w:div>
    <w:div w:id="1067924453">
      <w:bodyDiv w:val="1"/>
      <w:marLeft w:val="0"/>
      <w:marRight w:val="0"/>
      <w:marTop w:val="0"/>
      <w:marBottom w:val="0"/>
      <w:divBdr>
        <w:top w:val="none" w:sz="0" w:space="0" w:color="auto"/>
        <w:left w:val="none" w:sz="0" w:space="0" w:color="auto"/>
        <w:bottom w:val="none" w:sz="0" w:space="0" w:color="auto"/>
        <w:right w:val="none" w:sz="0" w:space="0" w:color="auto"/>
      </w:divBdr>
    </w:div>
    <w:div w:id="1068772086">
      <w:bodyDiv w:val="1"/>
      <w:marLeft w:val="0"/>
      <w:marRight w:val="0"/>
      <w:marTop w:val="0"/>
      <w:marBottom w:val="0"/>
      <w:divBdr>
        <w:top w:val="none" w:sz="0" w:space="0" w:color="auto"/>
        <w:left w:val="none" w:sz="0" w:space="0" w:color="auto"/>
        <w:bottom w:val="none" w:sz="0" w:space="0" w:color="auto"/>
        <w:right w:val="none" w:sz="0" w:space="0" w:color="auto"/>
      </w:divBdr>
    </w:div>
    <w:div w:id="1090196270">
      <w:bodyDiv w:val="1"/>
      <w:marLeft w:val="0"/>
      <w:marRight w:val="0"/>
      <w:marTop w:val="0"/>
      <w:marBottom w:val="0"/>
      <w:divBdr>
        <w:top w:val="none" w:sz="0" w:space="0" w:color="auto"/>
        <w:left w:val="none" w:sz="0" w:space="0" w:color="auto"/>
        <w:bottom w:val="none" w:sz="0" w:space="0" w:color="auto"/>
        <w:right w:val="none" w:sz="0" w:space="0" w:color="auto"/>
      </w:divBdr>
    </w:div>
    <w:div w:id="1118599552">
      <w:bodyDiv w:val="1"/>
      <w:marLeft w:val="0"/>
      <w:marRight w:val="0"/>
      <w:marTop w:val="0"/>
      <w:marBottom w:val="0"/>
      <w:divBdr>
        <w:top w:val="none" w:sz="0" w:space="0" w:color="auto"/>
        <w:left w:val="none" w:sz="0" w:space="0" w:color="auto"/>
        <w:bottom w:val="none" w:sz="0" w:space="0" w:color="auto"/>
        <w:right w:val="none" w:sz="0" w:space="0" w:color="auto"/>
      </w:divBdr>
    </w:div>
    <w:div w:id="1140415762">
      <w:bodyDiv w:val="1"/>
      <w:marLeft w:val="0"/>
      <w:marRight w:val="0"/>
      <w:marTop w:val="0"/>
      <w:marBottom w:val="0"/>
      <w:divBdr>
        <w:top w:val="none" w:sz="0" w:space="0" w:color="auto"/>
        <w:left w:val="none" w:sz="0" w:space="0" w:color="auto"/>
        <w:bottom w:val="none" w:sz="0" w:space="0" w:color="auto"/>
        <w:right w:val="none" w:sz="0" w:space="0" w:color="auto"/>
      </w:divBdr>
    </w:div>
    <w:div w:id="1185168907">
      <w:bodyDiv w:val="1"/>
      <w:marLeft w:val="0"/>
      <w:marRight w:val="0"/>
      <w:marTop w:val="0"/>
      <w:marBottom w:val="0"/>
      <w:divBdr>
        <w:top w:val="none" w:sz="0" w:space="0" w:color="auto"/>
        <w:left w:val="none" w:sz="0" w:space="0" w:color="auto"/>
        <w:bottom w:val="none" w:sz="0" w:space="0" w:color="auto"/>
        <w:right w:val="none" w:sz="0" w:space="0" w:color="auto"/>
      </w:divBdr>
    </w:div>
    <w:div w:id="1185902066">
      <w:bodyDiv w:val="1"/>
      <w:marLeft w:val="0"/>
      <w:marRight w:val="0"/>
      <w:marTop w:val="0"/>
      <w:marBottom w:val="0"/>
      <w:divBdr>
        <w:top w:val="none" w:sz="0" w:space="0" w:color="auto"/>
        <w:left w:val="none" w:sz="0" w:space="0" w:color="auto"/>
        <w:bottom w:val="none" w:sz="0" w:space="0" w:color="auto"/>
        <w:right w:val="none" w:sz="0" w:space="0" w:color="auto"/>
      </w:divBdr>
    </w:div>
    <w:div w:id="1191575929">
      <w:bodyDiv w:val="1"/>
      <w:marLeft w:val="0"/>
      <w:marRight w:val="0"/>
      <w:marTop w:val="0"/>
      <w:marBottom w:val="0"/>
      <w:divBdr>
        <w:top w:val="none" w:sz="0" w:space="0" w:color="auto"/>
        <w:left w:val="none" w:sz="0" w:space="0" w:color="auto"/>
        <w:bottom w:val="none" w:sz="0" w:space="0" w:color="auto"/>
        <w:right w:val="none" w:sz="0" w:space="0" w:color="auto"/>
      </w:divBdr>
    </w:div>
    <w:div w:id="1230995337">
      <w:bodyDiv w:val="1"/>
      <w:marLeft w:val="0"/>
      <w:marRight w:val="0"/>
      <w:marTop w:val="0"/>
      <w:marBottom w:val="0"/>
      <w:divBdr>
        <w:top w:val="none" w:sz="0" w:space="0" w:color="auto"/>
        <w:left w:val="none" w:sz="0" w:space="0" w:color="auto"/>
        <w:bottom w:val="none" w:sz="0" w:space="0" w:color="auto"/>
        <w:right w:val="none" w:sz="0" w:space="0" w:color="auto"/>
      </w:divBdr>
    </w:div>
    <w:div w:id="1242063377">
      <w:bodyDiv w:val="1"/>
      <w:marLeft w:val="0"/>
      <w:marRight w:val="0"/>
      <w:marTop w:val="0"/>
      <w:marBottom w:val="0"/>
      <w:divBdr>
        <w:top w:val="none" w:sz="0" w:space="0" w:color="auto"/>
        <w:left w:val="none" w:sz="0" w:space="0" w:color="auto"/>
        <w:bottom w:val="none" w:sz="0" w:space="0" w:color="auto"/>
        <w:right w:val="none" w:sz="0" w:space="0" w:color="auto"/>
      </w:divBdr>
    </w:div>
    <w:div w:id="1270698345">
      <w:bodyDiv w:val="1"/>
      <w:marLeft w:val="0"/>
      <w:marRight w:val="0"/>
      <w:marTop w:val="0"/>
      <w:marBottom w:val="0"/>
      <w:divBdr>
        <w:top w:val="none" w:sz="0" w:space="0" w:color="auto"/>
        <w:left w:val="none" w:sz="0" w:space="0" w:color="auto"/>
        <w:bottom w:val="none" w:sz="0" w:space="0" w:color="auto"/>
        <w:right w:val="none" w:sz="0" w:space="0" w:color="auto"/>
      </w:divBdr>
    </w:div>
    <w:div w:id="1277371896">
      <w:bodyDiv w:val="1"/>
      <w:marLeft w:val="0"/>
      <w:marRight w:val="0"/>
      <w:marTop w:val="0"/>
      <w:marBottom w:val="0"/>
      <w:divBdr>
        <w:top w:val="none" w:sz="0" w:space="0" w:color="auto"/>
        <w:left w:val="none" w:sz="0" w:space="0" w:color="auto"/>
        <w:bottom w:val="none" w:sz="0" w:space="0" w:color="auto"/>
        <w:right w:val="none" w:sz="0" w:space="0" w:color="auto"/>
      </w:divBdr>
    </w:div>
    <w:div w:id="1278607884">
      <w:bodyDiv w:val="1"/>
      <w:marLeft w:val="0"/>
      <w:marRight w:val="0"/>
      <w:marTop w:val="0"/>
      <w:marBottom w:val="0"/>
      <w:divBdr>
        <w:top w:val="none" w:sz="0" w:space="0" w:color="auto"/>
        <w:left w:val="none" w:sz="0" w:space="0" w:color="auto"/>
        <w:bottom w:val="none" w:sz="0" w:space="0" w:color="auto"/>
        <w:right w:val="none" w:sz="0" w:space="0" w:color="auto"/>
      </w:divBdr>
    </w:div>
    <w:div w:id="1280919941">
      <w:bodyDiv w:val="1"/>
      <w:marLeft w:val="0"/>
      <w:marRight w:val="0"/>
      <w:marTop w:val="0"/>
      <w:marBottom w:val="0"/>
      <w:divBdr>
        <w:top w:val="none" w:sz="0" w:space="0" w:color="auto"/>
        <w:left w:val="none" w:sz="0" w:space="0" w:color="auto"/>
        <w:bottom w:val="none" w:sz="0" w:space="0" w:color="auto"/>
        <w:right w:val="none" w:sz="0" w:space="0" w:color="auto"/>
      </w:divBdr>
    </w:div>
    <w:div w:id="1286352972">
      <w:bodyDiv w:val="1"/>
      <w:marLeft w:val="0"/>
      <w:marRight w:val="0"/>
      <w:marTop w:val="0"/>
      <w:marBottom w:val="0"/>
      <w:divBdr>
        <w:top w:val="none" w:sz="0" w:space="0" w:color="auto"/>
        <w:left w:val="none" w:sz="0" w:space="0" w:color="auto"/>
        <w:bottom w:val="none" w:sz="0" w:space="0" w:color="auto"/>
        <w:right w:val="none" w:sz="0" w:space="0" w:color="auto"/>
      </w:divBdr>
    </w:div>
    <w:div w:id="1291715316">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26205462">
      <w:bodyDiv w:val="1"/>
      <w:marLeft w:val="0"/>
      <w:marRight w:val="0"/>
      <w:marTop w:val="0"/>
      <w:marBottom w:val="0"/>
      <w:divBdr>
        <w:top w:val="none" w:sz="0" w:space="0" w:color="auto"/>
        <w:left w:val="none" w:sz="0" w:space="0" w:color="auto"/>
        <w:bottom w:val="none" w:sz="0" w:space="0" w:color="auto"/>
        <w:right w:val="none" w:sz="0" w:space="0" w:color="auto"/>
      </w:divBdr>
    </w:div>
    <w:div w:id="1334189371">
      <w:bodyDiv w:val="1"/>
      <w:marLeft w:val="0"/>
      <w:marRight w:val="0"/>
      <w:marTop w:val="0"/>
      <w:marBottom w:val="0"/>
      <w:divBdr>
        <w:top w:val="none" w:sz="0" w:space="0" w:color="auto"/>
        <w:left w:val="none" w:sz="0" w:space="0" w:color="auto"/>
        <w:bottom w:val="none" w:sz="0" w:space="0" w:color="auto"/>
        <w:right w:val="none" w:sz="0" w:space="0" w:color="auto"/>
      </w:divBdr>
    </w:div>
    <w:div w:id="1362783713">
      <w:bodyDiv w:val="1"/>
      <w:marLeft w:val="0"/>
      <w:marRight w:val="0"/>
      <w:marTop w:val="0"/>
      <w:marBottom w:val="0"/>
      <w:divBdr>
        <w:top w:val="none" w:sz="0" w:space="0" w:color="auto"/>
        <w:left w:val="none" w:sz="0" w:space="0" w:color="auto"/>
        <w:bottom w:val="none" w:sz="0" w:space="0" w:color="auto"/>
        <w:right w:val="none" w:sz="0" w:space="0" w:color="auto"/>
      </w:divBdr>
    </w:div>
    <w:div w:id="1363822603">
      <w:bodyDiv w:val="1"/>
      <w:marLeft w:val="0"/>
      <w:marRight w:val="0"/>
      <w:marTop w:val="0"/>
      <w:marBottom w:val="0"/>
      <w:divBdr>
        <w:top w:val="none" w:sz="0" w:space="0" w:color="auto"/>
        <w:left w:val="none" w:sz="0" w:space="0" w:color="auto"/>
        <w:bottom w:val="none" w:sz="0" w:space="0" w:color="auto"/>
        <w:right w:val="none" w:sz="0" w:space="0" w:color="auto"/>
      </w:divBdr>
    </w:div>
    <w:div w:id="1372144691">
      <w:bodyDiv w:val="1"/>
      <w:marLeft w:val="0"/>
      <w:marRight w:val="0"/>
      <w:marTop w:val="0"/>
      <w:marBottom w:val="0"/>
      <w:divBdr>
        <w:top w:val="none" w:sz="0" w:space="0" w:color="auto"/>
        <w:left w:val="none" w:sz="0" w:space="0" w:color="auto"/>
        <w:bottom w:val="none" w:sz="0" w:space="0" w:color="auto"/>
        <w:right w:val="none" w:sz="0" w:space="0" w:color="auto"/>
      </w:divBdr>
    </w:div>
    <w:div w:id="1378898588">
      <w:bodyDiv w:val="1"/>
      <w:marLeft w:val="0"/>
      <w:marRight w:val="0"/>
      <w:marTop w:val="0"/>
      <w:marBottom w:val="0"/>
      <w:divBdr>
        <w:top w:val="none" w:sz="0" w:space="0" w:color="auto"/>
        <w:left w:val="none" w:sz="0" w:space="0" w:color="auto"/>
        <w:bottom w:val="none" w:sz="0" w:space="0" w:color="auto"/>
        <w:right w:val="none" w:sz="0" w:space="0" w:color="auto"/>
      </w:divBdr>
    </w:div>
    <w:div w:id="1380129937">
      <w:bodyDiv w:val="1"/>
      <w:marLeft w:val="0"/>
      <w:marRight w:val="0"/>
      <w:marTop w:val="0"/>
      <w:marBottom w:val="0"/>
      <w:divBdr>
        <w:top w:val="none" w:sz="0" w:space="0" w:color="auto"/>
        <w:left w:val="none" w:sz="0" w:space="0" w:color="auto"/>
        <w:bottom w:val="none" w:sz="0" w:space="0" w:color="auto"/>
        <w:right w:val="none" w:sz="0" w:space="0" w:color="auto"/>
      </w:divBdr>
    </w:div>
    <w:div w:id="1391729164">
      <w:bodyDiv w:val="1"/>
      <w:marLeft w:val="0"/>
      <w:marRight w:val="0"/>
      <w:marTop w:val="0"/>
      <w:marBottom w:val="0"/>
      <w:divBdr>
        <w:top w:val="none" w:sz="0" w:space="0" w:color="auto"/>
        <w:left w:val="none" w:sz="0" w:space="0" w:color="auto"/>
        <w:bottom w:val="none" w:sz="0" w:space="0" w:color="auto"/>
        <w:right w:val="none" w:sz="0" w:space="0" w:color="auto"/>
      </w:divBdr>
    </w:div>
    <w:div w:id="1406341293">
      <w:bodyDiv w:val="1"/>
      <w:marLeft w:val="0"/>
      <w:marRight w:val="0"/>
      <w:marTop w:val="0"/>
      <w:marBottom w:val="0"/>
      <w:divBdr>
        <w:top w:val="none" w:sz="0" w:space="0" w:color="auto"/>
        <w:left w:val="none" w:sz="0" w:space="0" w:color="auto"/>
        <w:bottom w:val="none" w:sz="0" w:space="0" w:color="auto"/>
        <w:right w:val="none" w:sz="0" w:space="0" w:color="auto"/>
      </w:divBdr>
    </w:div>
    <w:div w:id="1417089746">
      <w:bodyDiv w:val="1"/>
      <w:marLeft w:val="0"/>
      <w:marRight w:val="0"/>
      <w:marTop w:val="0"/>
      <w:marBottom w:val="0"/>
      <w:divBdr>
        <w:top w:val="none" w:sz="0" w:space="0" w:color="auto"/>
        <w:left w:val="none" w:sz="0" w:space="0" w:color="auto"/>
        <w:bottom w:val="none" w:sz="0" w:space="0" w:color="auto"/>
        <w:right w:val="none" w:sz="0" w:space="0" w:color="auto"/>
      </w:divBdr>
    </w:div>
    <w:div w:id="1437213304">
      <w:bodyDiv w:val="1"/>
      <w:marLeft w:val="0"/>
      <w:marRight w:val="0"/>
      <w:marTop w:val="0"/>
      <w:marBottom w:val="0"/>
      <w:divBdr>
        <w:top w:val="none" w:sz="0" w:space="0" w:color="auto"/>
        <w:left w:val="none" w:sz="0" w:space="0" w:color="auto"/>
        <w:bottom w:val="none" w:sz="0" w:space="0" w:color="auto"/>
        <w:right w:val="none" w:sz="0" w:space="0" w:color="auto"/>
      </w:divBdr>
    </w:div>
    <w:div w:id="1443263524">
      <w:bodyDiv w:val="1"/>
      <w:marLeft w:val="0"/>
      <w:marRight w:val="0"/>
      <w:marTop w:val="0"/>
      <w:marBottom w:val="0"/>
      <w:divBdr>
        <w:top w:val="none" w:sz="0" w:space="0" w:color="auto"/>
        <w:left w:val="none" w:sz="0" w:space="0" w:color="auto"/>
        <w:bottom w:val="none" w:sz="0" w:space="0" w:color="auto"/>
        <w:right w:val="none" w:sz="0" w:space="0" w:color="auto"/>
      </w:divBdr>
    </w:div>
    <w:div w:id="1449743256">
      <w:bodyDiv w:val="1"/>
      <w:marLeft w:val="0"/>
      <w:marRight w:val="0"/>
      <w:marTop w:val="0"/>
      <w:marBottom w:val="0"/>
      <w:divBdr>
        <w:top w:val="none" w:sz="0" w:space="0" w:color="auto"/>
        <w:left w:val="none" w:sz="0" w:space="0" w:color="auto"/>
        <w:bottom w:val="none" w:sz="0" w:space="0" w:color="auto"/>
        <w:right w:val="none" w:sz="0" w:space="0" w:color="auto"/>
      </w:divBdr>
    </w:div>
    <w:div w:id="1456217756">
      <w:bodyDiv w:val="1"/>
      <w:marLeft w:val="0"/>
      <w:marRight w:val="0"/>
      <w:marTop w:val="0"/>
      <w:marBottom w:val="0"/>
      <w:divBdr>
        <w:top w:val="none" w:sz="0" w:space="0" w:color="auto"/>
        <w:left w:val="none" w:sz="0" w:space="0" w:color="auto"/>
        <w:bottom w:val="none" w:sz="0" w:space="0" w:color="auto"/>
        <w:right w:val="none" w:sz="0" w:space="0" w:color="auto"/>
      </w:divBdr>
    </w:div>
    <w:div w:id="1494711990">
      <w:bodyDiv w:val="1"/>
      <w:marLeft w:val="0"/>
      <w:marRight w:val="0"/>
      <w:marTop w:val="0"/>
      <w:marBottom w:val="0"/>
      <w:divBdr>
        <w:top w:val="none" w:sz="0" w:space="0" w:color="auto"/>
        <w:left w:val="none" w:sz="0" w:space="0" w:color="auto"/>
        <w:bottom w:val="none" w:sz="0" w:space="0" w:color="auto"/>
        <w:right w:val="none" w:sz="0" w:space="0" w:color="auto"/>
      </w:divBdr>
    </w:div>
    <w:div w:id="1532768268">
      <w:bodyDiv w:val="1"/>
      <w:marLeft w:val="0"/>
      <w:marRight w:val="0"/>
      <w:marTop w:val="0"/>
      <w:marBottom w:val="0"/>
      <w:divBdr>
        <w:top w:val="none" w:sz="0" w:space="0" w:color="auto"/>
        <w:left w:val="none" w:sz="0" w:space="0" w:color="auto"/>
        <w:bottom w:val="none" w:sz="0" w:space="0" w:color="auto"/>
        <w:right w:val="none" w:sz="0" w:space="0" w:color="auto"/>
      </w:divBdr>
    </w:div>
    <w:div w:id="1556701565">
      <w:bodyDiv w:val="1"/>
      <w:marLeft w:val="0"/>
      <w:marRight w:val="0"/>
      <w:marTop w:val="0"/>
      <w:marBottom w:val="0"/>
      <w:divBdr>
        <w:top w:val="none" w:sz="0" w:space="0" w:color="auto"/>
        <w:left w:val="none" w:sz="0" w:space="0" w:color="auto"/>
        <w:bottom w:val="none" w:sz="0" w:space="0" w:color="auto"/>
        <w:right w:val="none" w:sz="0" w:space="0" w:color="auto"/>
      </w:divBdr>
    </w:div>
    <w:div w:id="1559127297">
      <w:bodyDiv w:val="1"/>
      <w:marLeft w:val="0"/>
      <w:marRight w:val="0"/>
      <w:marTop w:val="0"/>
      <w:marBottom w:val="0"/>
      <w:divBdr>
        <w:top w:val="none" w:sz="0" w:space="0" w:color="auto"/>
        <w:left w:val="none" w:sz="0" w:space="0" w:color="auto"/>
        <w:bottom w:val="none" w:sz="0" w:space="0" w:color="auto"/>
        <w:right w:val="none" w:sz="0" w:space="0" w:color="auto"/>
      </w:divBdr>
    </w:div>
    <w:div w:id="1566060915">
      <w:bodyDiv w:val="1"/>
      <w:marLeft w:val="0"/>
      <w:marRight w:val="0"/>
      <w:marTop w:val="0"/>
      <w:marBottom w:val="0"/>
      <w:divBdr>
        <w:top w:val="none" w:sz="0" w:space="0" w:color="auto"/>
        <w:left w:val="none" w:sz="0" w:space="0" w:color="auto"/>
        <w:bottom w:val="none" w:sz="0" w:space="0" w:color="auto"/>
        <w:right w:val="none" w:sz="0" w:space="0" w:color="auto"/>
      </w:divBdr>
    </w:div>
    <w:div w:id="1599411408">
      <w:bodyDiv w:val="1"/>
      <w:marLeft w:val="0"/>
      <w:marRight w:val="0"/>
      <w:marTop w:val="0"/>
      <w:marBottom w:val="0"/>
      <w:divBdr>
        <w:top w:val="none" w:sz="0" w:space="0" w:color="auto"/>
        <w:left w:val="none" w:sz="0" w:space="0" w:color="auto"/>
        <w:bottom w:val="none" w:sz="0" w:space="0" w:color="auto"/>
        <w:right w:val="none" w:sz="0" w:space="0" w:color="auto"/>
      </w:divBdr>
    </w:div>
    <w:div w:id="1602109910">
      <w:bodyDiv w:val="1"/>
      <w:marLeft w:val="0"/>
      <w:marRight w:val="0"/>
      <w:marTop w:val="0"/>
      <w:marBottom w:val="0"/>
      <w:divBdr>
        <w:top w:val="none" w:sz="0" w:space="0" w:color="auto"/>
        <w:left w:val="none" w:sz="0" w:space="0" w:color="auto"/>
        <w:bottom w:val="none" w:sz="0" w:space="0" w:color="auto"/>
        <w:right w:val="none" w:sz="0" w:space="0" w:color="auto"/>
      </w:divBdr>
    </w:div>
    <w:div w:id="1609121733">
      <w:bodyDiv w:val="1"/>
      <w:marLeft w:val="0"/>
      <w:marRight w:val="0"/>
      <w:marTop w:val="0"/>
      <w:marBottom w:val="0"/>
      <w:divBdr>
        <w:top w:val="none" w:sz="0" w:space="0" w:color="auto"/>
        <w:left w:val="none" w:sz="0" w:space="0" w:color="auto"/>
        <w:bottom w:val="none" w:sz="0" w:space="0" w:color="auto"/>
        <w:right w:val="none" w:sz="0" w:space="0" w:color="auto"/>
      </w:divBdr>
    </w:div>
    <w:div w:id="1609922409">
      <w:bodyDiv w:val="1"/>
      <w:marLeft w:val="0"/>
      <w:marRight w:val="0"/>
      <w:marTop w:val="0"/>
      <w:marBottom w:val="0"/>
      <w:divBdr>
        <w:top w:val="none" w:sz="0" w:space="0" w:color="auto"/>
        <w:left w:val="none" w:sz="0" w:space="0" w:color="auto"/>
        <w:bottom w:val="none" w:sz="0" w:space="0" w:color="auto"/>
        <w:right w:val="none" w:sz="0" w:space="0" w:color="auto"/>
      </w:divBdr>
    </w:div>
    <w:div w:id="1622418321">
      <w:bodyDiv w:val="1"/>
      <w:marLeft w:val="0"/>
      <w:marRight w:val="0"/>
      <w:marTop w:val="0"/>
      <w:marBottom w:val="0"/>
      <w:divBdr>
        <w:top w:val="none" w:sz="0" w:space="0" w:color="auto"/>
        <w:left w:val="none" w:sz="0" w:space="0" w:color="auto"/>
        <w:bottom w:val="none" w:sz="0" w:space="0" w:color="auto"/>
        <w:right w:val="none" w:sz="0" w:space="0" w:color="auto"/>
      </w:divBdr>
    </w:div>
    <w:div w:id="1624458406">
      <w:bodyDiv w:val="1"/>
      <w:marLeft w:val="0"/>
      <w:marRight w:val="0"/>
      <w:marTop w:val="0"/>
      <w:marBottom w:val="0"/>
      <w:divBdr>
        <w:top w:val="none" w:sz="0" w:space="0" w:color="auto"/>
        <w:left w:val="none" w:sz="0" w:space="0" w:color="auto"/>
        <w:bottom w:val="none" w:sz="0" w:space="0" w:color="auto"/>
        <w:right w:val="none" w:sz="0" w:space="0" w:color="auto"/>
      </w:divBdr>
    </w:div>
    <w:div w:id="1636134357">
      <w:bodyDiv w:val="1"/>
      <w:marLeft w:val="0"/>
      <w:marRight w:val="0"/>
      <w:marTop w:val="0"/>
      <w:marBottom w:val="0"/>
      <w:divBdr>
        <w:top w:val="none" w:sz="0" w:space="0" w:color="auto"/>
        <w:left w:val="none" w:sz="0" w:space="0" w:color="auto"/>
        <w:bottom w:val="none" w:sz="0" w:space="0" w:color="auto"/>
        <w:right w:val="none" w:sz="0" w:space="0" w:color="auto"/>
      </w:divBdr>
    </w:div>
    <w:div w:id="1645894545">
      <w:bodyDiv w:val="1"/>
      <w:marLeft w:val="0"/>
      <w:marRight w:val="0"/>
      <w:marTop w:val="0"/>
      <w:marBottom w:val="0"/>
      <w:divBdr>
        <w:top w:val="none" w:sz="0" w:space="0" w:color="auto"/>
        <w:left w:val="none" w:sz="0" w:space="0" w:color="auto"/>
        <w:bottom w:val="none" w:sz="0" w:space="0" w:color="auto"/>
        <w:right w:val="none" w:sz="0" w:space="0" w:color="auto"/>
      </w:divBdr>
    </w:div>
    <w:div w:id="1648588414">
      <w:bodyDiv w:val="1"/>
      <w:marLeft w:val="0"/>
      <w:marRight w:val="0"/>
      <w:marTop w:val="0"/>
      <w:marBottom w:val="0"/>
      <w:divBdr>
        <w:top w:val="none" w:sz="0" w:space="0" w:color="auto"/>
        <w:left w:val="none" w:sz="0" w:space="0" w:color="auto"/>
        <w:bottom w:val="none" w:sz="0" w:space="0" w:color="auto"/>
        <w:right w:val="none" w:sz="0" w:space="0" w:color="auto"/>
      </w:divBdr>
    </w:div>
    <w:div w:id="1682583421">
      <w:bodyDiv w:val="1"/>
      <w:marLeft w:val="0"/>
      <w:marRight w:val="0"/>
      <w:marTop w:val="0"/>
      <w:marBottom w:val="0"/>
      <w:divBdr>
        <w:top w:val="none" w:sz="0" w:space="0" w:color="auto"/>
        <w:left w:val="none" w:sz="0" w:space="0" w:color="auto"/>
        <w:bottom w:val="none" w:sz="0" w:space="0" w:color="auto"/>
        <w:right w:val="none" w:sz="0" w:space="0" w:color="auto"/>
      </w:divBdr>
    </w:div>
    <w:div w:id="1714505063">
      <w:bodyDiv w:val="1"/>
      <w:marLeft w:val="0"/>
      <w:marRight w:val="0"/>
      <w:marTop w:val="0"/>
      <w:marBottom w:val="0"/>
      <w:divBdr>
        <w:top w:val="none" w:sz="0" w:space="0" w:color="auto"/>
        <w:left w:val="none" w:sz="0" w:space="0" w:color="auto"/>
        <w:bottom w:val="none" w:sz="0" w:space="0" w:color="auto"/>
        <w:right w:val="none" w:sz="0" w:space="0" w:color="auto"/>
      </w:divBdr>
    </w:div>
    <w:div w:id="1743211427">
      <w:bodyDiv w:val="1"/>
      <w:marLeft w:val="0"/>
      <w:marRight w:val="0"/>
      <w:marTop w:val="0"/>
      <w:marBottom w:val="0"/>
      <w:divBdr>
        <w:top w:val="none" w:sz="0" w:space="0" w:color="auto"/>
        <w:left w:val="none" w:sz="0" w:space="0" w:color="auto"/>
        <w:bottom w:val="none" w:sz="0" w:space="0" w:color="auto"/>
        <w:right w:val="none" w:sz="0" w:space="0" w:color="auto"/>
      </w:divBdr>
    </w:div>
    <w:div w:id="1750080565">
      <w:bodyDiv w:val="1"/>
      <w:marLeft w:val="0"/>
      <w:marRight w:val="0"/>
      <w:marTop w:val="0"/>
      <w:marBottom w:val="0"/>
      <w:divBdr>
        <w:top w:val="none" w:sz="0" w:space="0" w:color="auto"/>
        <w:left w:val="none" w:sz="0" w:space="0" w:color="auto"/>
        <w:bottom w:val="none" w:sz="0" w:space="0" w:color="auto"/>
        <w:right w:val="none" w:sz="0" w:space="0" w:color="auto"/>
      </w:divBdr>
    </w:div>
    <w:div w:id="1750158263">
      <w:bodyDiv w:val="1"/>
      <w:marLeft w:val="0"/>
      <w:marRight w:val="0"/>
      <w:marTop w:val="0"/>
      <w:marBottom w:val="0"/>
      <w:divBdr>
        <w:top w:val="none" w:sz="0" w:space="0" w:color="auto"/>
        <w:left w:val="none" w:sz="0" w:space="0" w:color="auto"/>
        <w:bottom w:val="none" w:sz="0" w:space="0" w:color="auto"/>
        <w:right w:val="none" w:sz="0" w:space="0" w:color="auto"/>
      </w:divBdr>
    </w:div>
    <w:div w:id="1763600311">
      <w:bodyDiv w:val="1"/>
      <w:marLeft w:val="0"/>
      <w:marRight w:val="0"/>
      <w:marTop w:val="0"/>
      <w:marBottom w:val="0"/>
      <w:divBdr>
        <w:top w:val="none" w:sz="0" w:space="0" w:color="auto"/>
        <w:left w:val="none" w:sz="0" w:space="0" w:color="auto"/>
        <w:bottom w:val="none" w:sz="0" w:space="0" w:color="auto"/>
        <w:right w:val="none" w:sz="0" w:space="0" w:color="auto"/>
      </w:divBdr>
    </w:div>
    <w:div w:id="1770158297">
      <w:bodyDiv w:val="1"/>
      <w:marLeft w:val="0"/>
      <w:marRight w:val="0"/>
      <w:marTop w:val="0"/>
      <w:marBottom w:val="0"/>
      <w:divBdr>
        <w:top w:val="none" w:sz="0" w:space="0" w:color="auto"/>
        <w:left w:val="none" w:sz="0" w:space="0" w:color="auto"/>
        <w:bottom w:val="none" w:sz="0" w:space="0" w:color="auto"/>
        <w:right w:val="none" w:sz="0" w:space="0" w:color="auto"/>
      </w:divBdr>
    </w:div>
    <w:div w:id="1771731399">
      <w:bodyDiv w:val="1"/>
      <w:marLeft w:val="0"/>
      <w:marRight w:val="0"/>
      <w:marTop w:val="0"/>
      <w:marBottom w:val="0"/>
      <w:divBdr>
        <w:top w:val="none" w:sz="0" w:space="0" w:color="auto"/>
        <w:left w:val="none" w:sz="0" w:space="0" w:color="auto"/>
        <w:bottom w:val="none" w:sz="0" w:space="0" w:color="auto"/>
        <w:right w:val="none" w:sz="0" w:space="0" w:color="auto"/>
      </w:divBdr>
    </w:div>
    <w:div w:id="1778787240">
      <w:bodyDiv w:val="1"/>
      <w:marLeft w:val="0"/>
      <w:marRight w:val="0"/>
      <w:marTop w:val="0"/>
      <w:marBottom w:val="0"/>
      <w:divBdr>
        <w:top w:val="none" w:sz="0" w:space="0" w:color="auto"/>
        <w:left w:val="none" w:sz="0" w:space="0" w:color="auto"/>
        <w:bottom w:val="none" w:sz="0" w:space="0" w:color="auto"/>
        <w:right w:val="none" w:sz="0" w:space="0" w:color="auto"/>
      </w:divBdr>
    </w:div>
    <w:div w:id="1780488952">
      <w:bodyDiv w:val="1"/>
      <w:marLeft w:val="0"/>
      <w:marRight w:val="0"/>
      <w:marTop w:val="0"/>
      <w:marBottom w:val="0"/>
      <w:divBdr>
        <w:top w:val="none" w:sz="0" w:space="0" w:color="auto"/>
        <w:left w:val="none" w:sz="0" w:space="0" w:color="auto"/>
        <w:bottom w:val="none" w:sz="0" w:space="0" w:color="auto"/>
        <w:right w:val="none" w:sz="0" w:space="0" w:color="auto"/>
      </w:divBdr>
    </w:div>
    <w:div w:id="1790856023">
      <w:bodyDiv w:val="1"/>
      <w:marLeft w:val="0"/>
      <w:marRight w:val="0"/>
      <w:marTop w:val="0"/>
      <w:marBottom w:val="0"/>
      <w:divBdr>
        <w:top w:val="none" w:sz="0" w:space="0" w:color="auto"/>
        <w:left w:val="none" w:sz="0" w:space="0" w:color="auto"/>
        <w:bottom w:val="none" w:sz="0" w:space="0" w:color="auto"/>
        <w:right w:val="none" w:sz="0" w:space="0" w:color="auto"/>
      </w:divBdr>
    </w:div>
    <w:div w:id="1838304974">
      <w:bodyDiv w:val="1"/>
      <w:marLeft w:val="0"/>
      <w:marRight w:val="0"/>
      <w:marTop w:val="0"/>
      <w:marBottom w:val="0"/>
      <w:divBdr>
        <w:top w:val="none" w:sz="0" w:space="0" w:color="auto"/>
        <w:left w:val="none" w:sz="0" w:space="0" w:color="auto"/>
        <w:bottom w:val="none" w:sz="0" w:space="0" w:color="auto"/>
        <w:right w:val="none" w:sz="0" w:space="0" w:color="auto"/>
      </w:divBdr>
    </w:div>
    <w:div w:id="1877237206">
      <w:bodyDiv w:val="1"/>
      <w:marLeft w:val="0"/>
      <w:marRight w:val="0"/>
      <w:marTop w:val="0"/>
      <w:marBottom w:val="0"/>
      <w:divBdr>
        <w:top w:val="none" w:sz="0" w:space="0" w:color="auto"/>
        <w:left w:val="none" w:sz="0" w:space="0" w:color="auto"/>
        <w:bottom w:val="none" w:sz="0" w:space="0" w:color="auto"/>
        <w:right w:val="none" w:sz="0" w:space="0" w:color="auto"/>
      </w:divBdr>
    </w:div>
    <w:div w:id="1880045406">
      <w:bodyDiv w:val="1"/>
      <w:marLeft w:val="0"/>
      <w:marRight w:val="0"/>
      <w:marTop w:val="0"/>
      <w:marBottom w:val="0"/>
      <w:divBdr>
        <w:top w:val="none" w:sz="0" w:space="0" w:color="auto"/>
        <w:left w:val="none" w:sz="0" w:space="0" w:color="auto"/>
        <w:bottom w:val="none" w:sz="0" w:space="0" w:color="auto"/>
        <w:right w:val="none" w:sz="0" w:space="0" w:color="auto"/>
      </w:divBdr>
    </w:div>
    <w:div w:id="1894384135">
      <w:bodyDiv w:val="1"/>
      <w:marLeft w:val="0"/>
      <w:marRight w:val="0"/>
      <w:marTop w:val="0"/>
      <w:marBottom w:val="0"/>
      <w:divBdr>
        <w:top w:val="none" w:sz="0" w:space="0" w:color="auto"/>
        <w:left w:val="none" w:sz="0" w:space="0" w:color="auto"/>
        <w:bottom w:val="none" w:sz="0" w:space="0" w:color="auto"/>
        <w:right w:val="none" w:sz="0" w:space="0" w:color="auto"/>
      </w:divBdr>
    </w:div>
    <w:div w:id="1908609682">
      <w:bodyDiv w:val="1"/>
      <w:marLeft w:val="0"/>
      <w:marRight w:val="0"/>
      <w:marTop w:val="0"/>
      <w:marBottom w:val="0"/>
      <w:divBdr>
        <w:top w:val="none" w:sz="0" w:space="0" w:color="auto"/>
        <w:left w:val="none" w:sz="0" w:space="0" w:color="auto"/>
        <w:bottom w:val="none" w:sz="0" w:space="0" w:color="auto"/>
        <w:right w:val="none" w:sz="0" w:space="0" w:color="auto"/>
      </w:divBdr>
    </w:div>
    <w:div w:id="1911188290">
      <w:bodyDiv w:val="1"/>
      <w:marLeft w:val="0"/>
      <w:marRight w:val="0"/>
      <w:marTop w:val="0"/>
      <w:marBottom w:val="0"/>
      <w:divBdr>
        <w:top w:val="none" w:sz="0" w:space="0" w:color="auto"/>
        <w:left w:val="none" w:sz="0" w:space="0" w:color="auto"/>
        <w:bottom w:val="none" w:sz="0" w:space="0" w:color="auto"/>
        <w:right w:val="none" w:sz="0" w:space="0" w:color="auto"/>
      </w:divBdr>
    </w:div>
    <w:div w:id="1930387181">
      <w:bodyDiv w:val="1"/>
      <w:marLeft w:val="0"/>
      <w:marRight w:val="0"/>
      <w:marTop w:val="0"/>
      <w:marBottom w:val="0"/>
      <w:divBdr>
        <w:top w:val="none" w:sz="0" w:space="0" w:color="auto"/>
        <w:left w:val="none" w:sz="0" w:space="0" w:color="auto"/>
        <w:bottom w:val="none" w:sz="0" w:space="0" w:color="auto"/>
        <w:right w:val="none" w:sz="0" w:space="0" w:color="auto"/>
      </w:divBdr>
    </w:div>
    <w:div w:id="2016688549">
      <w:bodyDiv w:val="1"/>
      <w:marLeft w:val="0"/>
      <w:marRight w:val="0"/>
      <w:marTop w:val="0"/>
      <w:marBottom w:val="0"/>
      <w:divBdr>
        <w:top w:val="none" w:sz="0" w:space="0" w:color="auto"/>
        <w:left w:val="none" w:sz="0" w:space="0" w:color="auto"/>
        <w:bottom w:val="none" w:sz="0" w:space="0" w:color="auto"/>
        <w:right w:val="none" w:sz="0" w:space="0" w:color="auto"/>
      </w:divBdr>
    </w:div>
    <w:div w:id="2034917021">
      <w:bodyDiv w:val="1"/>
      <w:marLeft w:val="0"/>
      <w:marRight w:val="0"/>
      <w:marTop w:val="0"/>
      <w:marBottom w:val="0"/>
      <w:divBdr>
        <w:top w:val="none" w:sz="0" w:space="0" w:color="auto"/>
        <w:left w:val="none" w:sz="0" w:space="0" w:color="auto"/>
        <w:bottom w:val="none" w:sz="0" w:space="0" w:color="auto"/>
        <w:right w:val="none" w:sz="0" w:space="0" w:color="auto"/>
      </w:divBdr>
    </w:div>
    <w:div w:id="2035881054">
      <w:bodyDiv w:val="1"/>
      <w:marLeft w:val="0"/>
      <w:marRight w:val="0"/>
      <w:marTop w:val="0"/>
      <w:marBottom w:val="0"/>
      <w:divBdr>
        <w:top w:val="none" w:sz="0" w:space="0" w:color="auto"/>
        <w:left w:val="none" w:sz="0" w:space="0" w:color="auto"/>
        <w:bottom w:val="none" w:sz="0" w:space="0" w:color="auto"/>
        <w:right w:val="none" w:sz="0" w:space="0" w:color="auto"/>
      </w:divBdr>
    </w:div>
    <w:div w:id="2088962176">
      <w:bodyDiv w:val="1"/>
      <w:marLeft w:val="0"/>
      <w:marRight w:val="0"/>
      <w:marTop w:val="0"/>
      <w:marBottom w:val="0"/>
      <w:divBdr>
        <w:top w:val="none" w:sz="0" w:space="0" w:color="auto"/>
        <w:left w:val="none" w:sz="0" w:space="0" w:color="auto"/>
        <w:bottom w:val="none" w:sz="0" w:space="0" w:color="auto"/>
        <w:right w:val="none" w:sz="0" w:space="0" w:color="auto"/>
      </w:divBdr>
    </w:div>
    <w:div w:id="2095392657">
      <w:bodyDiv w:val="1"/>
      <w:marLeft w:val="0"/>
      <w:marRight w:val="0"/>
      <w:marTop w:val="0"/>
      <w:marBottom w:val="0"/>
      <w:divBdr>
        <w:top w:val="none" w:sz="0" w:space="0" w:color="auto"/>
        <w:left w:val="none" w:sz="0" w:space="0" w:color="auto"/>
        <w:bottom w:val="none" w:sz="0" w:space="0" w:color="auto"/>
        <w:right w:val="none" w:sz="0" w:space="0" w:color="auto"/>
      </w:divBdr>
    </w:div>
    <w:div w:id="2102873146">
      <w:bodyDiv w:val="1"/>
      <w:marLeft w:val="0"/>
      <w:marRight w:val="0"/>
      <w:marTop w:val="0"/>
      <w:marBottom w:val="0"/>
      <w:divBdr>
        <w:top w:val="none" w:sz="0" w:space="0" w:color="auto"/>
        <w:left w:val="none" w:sz="0" w:space="0" w:color="auto"/>
        <w:bottom w:val="none" w:sz="0" w:space="0" w:color="auto"/>
        <w:right w:val="none" w:sz="0" w:space="0" w:color="auto"/>
      </w:divBdr>
    </w:div>
    <w:div w:id="2106537953">
      <w:bodyDiv w:val="1"/>
      <w:marLeft w:val="0"/>
      <w:marRight w:val="0"/>
      <w:marTop w:val="0"/>
      <w:marBottom w:val="0"/>
      <w:divBdr>
        <w:top w:val="none" w:sz="0" w:space="0" w:color="auto"/>
        <w:left w:val="none" w:sz="0" w:space="0" w:color="auto"/>
        <w:bottom w:val="none" w:sz="0" w:space="0" w:color="auto"/>
        <w:right w:val="none" w:sz="0" w:space="0" w:color="auto"/>
      </w:divBdr>
    </w:div>
    <w:div w:id="2108456073">
      <w:bodyDiv w:val="1"/>
      <w:marLeft w:val="0"/>
      <w:marRight w:val="0"/>
      <w:marTop w:val="0"/>
      <w:marBottom w:val="0"/>
      <w:divBdr>
        <w:top w:val="none" w:sz="0" w:space="0" w:color="auto"/>
        <w:left w:val="none" w:sz="0" w:space="0" w:color="auto"/>
        <w:bottom w:val="none" w:sz="0" w:space="0" w:color="auto"/>
        <w:right w:val="none" w:sz="0" w:space="0" w:color="auto"/>
      </w:divBdr>
    </w:div>
    <w:div w:id="21330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www.statistica.m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mf.gov.md/ro/datoria" TargetMode="External"/><Relationship Id="rId4" Type="http://schemas.openxmlformats.org/officeDocument/2006/relationships/settings" Target="settings.xml"/><Relationship Id="rId9" Type="http://schemas.openxmlformats.org/officeDocument/2006/relationships/hyperlink" Target="mailto:ccrm@ccrm.md"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1" u="none" strike="noStrike" kern="1200" cap="none" spc="20" baseline="0">
                <a:solidFill>
                  <a:sysClr val="windowText" lastClr="000000"/>
                </a:solidFill>
                <a:latin typeface="+mj-lt"/>
                <a:ea typeface="+mn-ea"/>
                <a:cs typeface="+mn-cs"/>
              </a:defRPr>
            </a:pPr>
            <a:r>
              <a:rPr lang="ro-MD" sz="1200" b="1" i="1"/>
              <a:t>Diagrama nr.1. Evoluția datoriei de stat în PIB, 2016-2020, (%)</a:t>
            </a:r>
            <a:endParaRPr lang="en-US" sz="1200" b="1" i="1"/>
          </a:p>
        </c:rich>
      </c:tx>
      <c:layout/>
      <c:overlay val="0"/>
      <c:spPr>
        <a:noFill/>
        <a:ln>
          <a:noFill/>
        </a:ln>
        <a:effectLst/>
      </c:spPr>
      <c:txPr>
        <a:bodyPr rot="0" spcFirstLastPara="1" vertOverflow="ellipsis" vert="horz" wrap="square" anchor="ctr" anchorCtr="1"/>
        <a:lstStyle/>
        <a:p>
          <a:pPr>
            <a:defRPr sz="1200" b="1" i="1" u="none" strike="noStrike" kern="1200" cap="none" spc="20" baseline="0">
              <a:solidFill>
                <a:sysClr val="windowText" lastClr="000000"/>
              </a:solidFill>
              <a:latin typeface="+mj-lt"/>
              <a:ea typeface="+mn-ea"/>
              <a:cs typeface="+mn-cs"/>
            </a:defRPr>
          </a:pPr>
          <a:endParaRPr lang="ru-RU"/>
        </a:p>
      </c:txPr>
    </c:title>
    <c:autoTitleDeleted val="0"/>
    <c:plotArea>
      <c:layout>
        <c:manualLayout>
          <c:layoutTarget val="inner"/>
          <c:xMode val="edge"/>
          <c:yMode val="edge"/>
          <c:x val="6.569563625498176E-2"/>
          <c:y val="0.18704453441295546"/>
          <c:w val="0.64140057319131205"/>
          <c:h val="0.68772864930345246"/>
        </c:manualLayout>
      </c:layout>
      <c:lineChart>
        <c:grouping val="standard"/>
        <c:varyColors val="0"/>
        <c:ser>
          <c:idx val="0"/>
          <c:order val="0"/>
          <c:tx>
            <c:strRef>
              <c:f>Sheet1!$B$1</c:f>
              <c:strCache>
                <c:ptCount val="1"/>
                <c:pt idx="0">
                  <c:v>Datoria de stat/PIB</c:v>
                </c:pt>
              </c:strCache>
            </c:strRef>
          </c:tx>
          <c:spPr>
            <a:ln w="158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#,##0.0</c:formatCode>
                <c:ptCount val="5"/>
                <c:pt idx="0">
                  <c:v>31.6</c:v>
                </c:pt>
                <c:pt idx="1">
                  <c:v>28.9</c:v>
                </c:pt>
                <c:pt idx="2">
                  <c:v>27</c:v>
                </c:pt>
                <c:pt idx="3">
                  <c:v>25</c:v>
                </c:pt>
                <c:pt idx="4">
                  <c:v>32.9</c:v>
                </c:pt>
              </c:numCache>
            </c:numRef>
          </c:val>
          <c:smooth val="0"/>
          <c:extLst xmlns:c16r2="http://schemas.microsoft.com/office/drawing/2015/06/chart">
            <c:ext xmlns:c16="http://schemas.microsoft.com/office/drawing/2014/chart" uri="{C3380CC4-5D6E-409C-BE32-E72D297353CC}">
              <c16:uniqueId val="{00000000-EBA1-47A2-8D98-E125A79DE899}"/>
            </c:ext>
          </c:extLst>
        </c:ser>
        <c:ser>
          <c:idx val="1"/>
          <c:order val="1"/>
          <c:tx>
            <c:strRef>
              <c:f>Sheet1!$C$1</c:f>
              <c:strCache>
                <c:ptCount val="1"/>
                <c:pt idx="0">
                  <c:v>Datoria de stat internă/PIB</c:v>
                </c:pt>
              </c:strCache>
            </c:strRef>
          </c:tx>
          <c:spPr>
            <a:ln w="15875" cap="rnd">
              <a:solidFill>
                <a:schemeClr val="accent4"/>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#,##0.0</c:formatCode>
                <c:ptCount val="5"/>
                <c:pt idx="0">
                  <c:v>13.4</c:v>
                </c:pt>
                <c:pt idx="1">
                  <c:v>12.6</c:v>
                </c:pt>
                <c:pt idx="2">
                  <c:v>12</c:v>
                </c:pt>
                <c:pt idx="3">
                  <c:v>11</c:v>
                </c:pt>
                <c:pt idx="4">
                  <c:v>14.2</c:v>
                </c:pt>
              </c:numCache>
            </c:numRef>
          </c:val>
          <c:smooth val="0"/>
          <c:extLst xmlns:c16r2="http://schemas.microsoft.com/office/drawing/2015/06/chart">
            <c:ext xmlns:c16="http://schemas.microsoft.com/office/drawing/2014/chart" uri="{C3380CC4-5D6E-409C-BE32-E72D297353CC}">
              <c16:uniqueId val="{00000001-EBA1-47A2-8D98-E125A79DE899}"/>
            </c:ext>
          </c:extLst>
        </c:ser>
        <c:ser>
          <c:idx val="2"/>
          <c:order val="2"/>
          <c:tx>
            <c:strRef>
              <c:f>Sheet1!$D$1</c:f>
              <c:strCache>
                <c:ptCount val="1"/>
                <c:pt idx="0">
                  <c:v>Datoria de stat externă/PIB</c:v>
                </c:pt>
              </c:strCache>
            </c:strRef>
          </c:tx>
          <c:spPr>
            <a:ln w="158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Sheet1!$D$2:$D$6</c:f>
              <c:numCache>
                <c:formatCode>#,##0.0</c:formatCode>
                <c:ptCount val="5"/>
                <c:pt idx="0">
                  <c:v>18.2</c:v>
                </c:pt>
                <c:pt idx="1">
                  <c:v>16.3</c:v>
                </c:pt>
                <c:pt idx="2">
                  <c:v>15</c:v>
                </c:pt>
                <c:pt idx="3">
                  <c:v>13.9</c:v>
                </c:pt>
                <c:pt idx="4">
                  <c:v>18.7</c:v>
                </c:pt>
              </c:numCache>
            </c:numRef>
          </c:val>
          <c:smooth val="0"/>
          <c:extLst xmlns:c16r2="http://schemas.microsoft.com/office/drawing/2015/06/chart">
            <c:ext xmlns:c16="http://schemas.microsoft.com/office/drawing/2014/chart" uri="{C3380CC4-5D6E-409C-BE32-E72D297353CC}">
              <c16:uniqueId val="{00000002-EBA1-47A2-8D98-E125A79DE899}"/>
            </c:ext>
          </c:extLst>
        </c:ser>
        <c:dLbls>
          <c:showLegendKey val="0"/>
          <c:showVal val="1"/>
          <c:showCatName val="0"/>
          <c:showSerName val="0"/>
          <c:showPercent val="0"/>
          <c:showBubbleSize val="0"/>
        </c:dLbls>
        <c:smooth val="0"/>
        <c:axId val="151843312"/>
        <c:axId val="152559992"/>
      </c:lineChart>
      <c:catAx>
        <c:axId val="15184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152559992"/>
        <c:crossesAt val="0"/>
        <c:auto val="1"/>
        <c:lblAlgn val="ctr"/>
        <c:lblOffset val="100"/>
        <c:noMultiLvlLbl val="0"/>
      </c:catAx>
      <c:valAx>
        <c:axId val="152559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151843312"/>
        <c:crosses val="autoZero"/>
        <c:crossBetween val="between"/>
      </c:valAx>
      <c:spPr>
        <a:noFill/>
        <a:ln>
          <a:noFill/>
        </a:ln>
        <a:effectLst/>
      </c:spPr>
    </c:plotArea>
    <c:legend>
      <c:legendPos val="r"/>
      <c:layout>
        <c:manualLayout>
          <c:xMode val="edge"/>
          <c:yMode val="edge"/>
          <c:x val="0.71350989196900894"/>
          <c:y val="0.42719202609795232"/>
          <c:w val="0.27366274298556081"/>
          <c:h val="0.2732812649430966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in Microsoft Word]Sheet1'!$A$2</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3516100957354418E-3"/>
                  <c:y val="1.388888888888880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E74-4386-A9F1-9FD65026C91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Word]Sheet1'!$B$2</c:f>
              <c:numCache>
                <c:formatCode>0.0</c:formatCode>
                <c:ptCount val="1"/>
                <c:pt idx="0">
                  <c:v>156.88999999999999</c:v>
                </c:pt>
              </c:numCache>
            </c:numRef>
          </c:val>
          <c:extLst xmlns:c16r2="http://schemas.microsoft.com/office/drawing/2015/06/chart">
            <c:ext xmlns:c16="http://schemas.microsoft.com/office/drawing/2014/chart" uri="{C3380CC4-5D6E-409C-BE32-E72D297353CC}">
              <c16:uniqueId val="{00000001-8E74-4386-A9F1-9FD65026C917}"/>
            </c:ext>
          </c:extLst>
        </c:ser>
        <c:ser>
          <c:idx val="1"/>
          <c:order val="1"/>
          <c:tx>
            <c:strRef>
              <c:f>'[Chart in Microsoft Word]Sheet1'!$A$3</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Word]Sheet1'!$B$3</c:f>
              <c:numCache>
                <c:formatCode>0.0</c:formatCode>
                <c:ptCount val="1"/>
                <c:pt idx="0">
                  <c:v>167.36</c:v>
                </c:pt>
              </c:numCache>
            </c:numRef>
          </c:val>
          <c:extLst xmlns:c16r2="http://schemas.microsoft.com/office/drawing/2015/06/chart">
            <c:ext xmlns:c16="http://schemas.microsoft.com/office/drawing/2014/chart" uri="{C3380CC4-5D6E-409C-BE32-E72D297353CC}">
              <c16:uniqueId val="{00000002-8E74-4386-A9F1-9FD65026C917}"/>
            </c:ext>
          </c:extLst>
        </c:ser>
        <c:ser>
          <c:idx val="2"/>
          <c:order val="2"/>
          <c:tx>
            <c:strRef>
              <c:f>'[Chart in Microsoft Word]Sheet1'!$A$4</c:f>
              <c:strCache>
                <c:ptCount val="1"/>
                <c:pt idx="0">
                  <c:v>2023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3054830287206306E-2"/>
                  <c:y val="-4.629629629629671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E74-4386-A9F1-9FD65026C91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Word]Sheet1'!$B$4</c:f>
              <c:numCache>
                <c:formatCode>0.0</c:formatCode>
                <c:ptCount val="1"/>
                <c:pt idx="0">
                  <c:v>192.87</c:v>
                </c:pt>
              </c:numCache>
            </c:numRef>
          </c:val>
          <c:extLst xmlns:c16r2="http://schemas.microsoft.com/office/drawing/2015/06/chart">
            <c:ext xmlns:c16="http://schemas.microsoft.com/office/drawing/2014/chart" uri="{C3380CC4-5D6E-409C-BE32-E72D297353CC}">
              <c16:uniqueId val="{00000004-8E74-4386-A9F1-9FD65026C917}"/>
            </c:ext>
          </c:extLst>
        </c:ser>
        <c:ser>
          <c:idx val="3"/>
          <c:order val="3"/>
          <c:tx>
            <c:strRef>
              <c:f>'[Chart in Microsoft Word]Sheet1'!$A$5</c:f>
              <c:strCache>
                <c:ptCount val="1"/>
                <c:pt idx="0">
                  <c:v>2024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Word]Sheet1'!$B$5</c:f>
              <c:numCache>
                <c:formatCode>0.0</c:formatCode>
                <c:ptCount val="1"/>
                <c:pt idx="0">
                  <c:v>247.57</c:v>
                </c:pt>
              </c:numCache>
            </c:numRef>
          </c:val>
          <c:extLst xmlns:c16r2="http://schemas.microsoft.com/office/drawing/2015/06/chart">
            <c:ext xmlns:c16="http://schemas.microsoft.com/office/drawing/2014/chart" uri="{C3380CC4-5D6E-409C-BE32-E72D297353CC}">
              <c16:uniqueId val="{00000005-8E74-4386-A9F1-9FD65026C917}"/>
            </c:ext>
          </c:extLst>
        </c:ser>
        <c:ser>
          <c:idx val="4"/>
          <c:order val="4"/>
          <c:tx>
            <c:strRef>
              <c:f>'[Chart in Microsoft Word]Sheet1'!$A$6</c:f>
              <c:strCache>
                <c:ptCount val="1"/>
                <c:pt idx="0">
                  <c:v>2025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7032201914708437E-3"/>
                  <c:y val="4.629629629629629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E74-4386-A9F1-9FD65026C91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Word]Sheet1'!$B$6</c:f>
              <c:numCache>
                <c:formatCode>0.0</c:formatCode>
                <c:ptCount val="1"/>
                <c:pt idx="0">
                  <c:v>216.65</c:v>
                </c:pt>
              </c:numCache>
            </c:numRef>
          </c:val>
          <c:extLst xmlns:c16r2="http://schemas.microsoft.com/office/drawing/2015/06/chart">
            <c:ext xmlns:c16="http://schemas.microsoft.com/office/drawing/2014/chart" uri="{C3380CC4-5D6E-409C-BE32-E72D297353CC}">
              <c16:uniqueId val="{00000007-8E74-4386-A9F1-9FD65026C917}"/>
            </c:ext>
          </c:extLst>
        </c:ser>
        <c:ser>
          <c:idx val="5"/>
          <c:order val="5"/>
          <c:tx>
            <c:strRef>
              <c:f>'[Chart in Microsoft Word]Sheet1'!$A$7</c:f>
              <c:strCache>
                <c:ptCount val="1"/>
                <c:pt idx="0">
                  <c:v>2026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7032201914708437E-3"/>
                  <c:y val="9.259259259259258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E74-4386-A9F1-9FD65026C91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Word]Sheet1'!$B$7</c:f>
              <c:numCache>
                <c:formatCode>0.0</c:formatCode>
                <c:ptCount val="1"/>
                <c:pt idx="0">
                  <c:v>200.68</c:v>
                </c:pt>
              </c:numCache>
            </c:numRef>
          </c:val>
          <c:extLst xmlns:c16r2="http://schemas.microsoft.com/office/drawing/2015/06/chart">
            <c:ext xmlns:c16="http://schemas.microsoft.com/office/drawing/2014/chart" uri="{C3380CC4-5D6E-409C-BE32-E72D297353CC}">
              <c16:uniqueId val="{00000009-8E74-4386-A9F1-9FD65026C917}"/>
            </c:ext>
          </c:extLst>
        </c:ser>
        <c:ser>
          <c:idx val="6"/>
          <c:order val="6"/>
          <c:tx>
            <c:strRef>
              <c:f>'[Chart in Microsoft Word]Sheet1'!$A$8</c:f>
              <c:strCache>
                <c:ptCount val="1"/>
                <c:pt idx="0">
                  <c:v>2027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7032201914708437E-3"/>
                  <c:y val="9.259259259259258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E74-4386-A9F1-9FD65026C91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Word]Sheet1'!$B$8</c:f>
              <c:numCache>
                <c:formatCode>0.0</c:formatCode>
                <c:ptCount val="1"/>
                <c:pt idx="0">
                  <c:v>187.34</c:v>
                </c:pt>
              </c:numCache>
            </c:numRef>
          </c:val>
          <c:extLst xmlns:c16r2="http://schemas.microsoft.com/office/drawing/2015/06/chart">
            <c:ext xmlns:c16="http://schemas.microsoft.com/office/drawing/2014/chart" uri="{C3380CC4-5D6E-409C-BE32-E72D297353CC}">
              <c16:uniqueId val="{0000000B-8E74-4386-A9F1-9FD65026C917}"/>
            </c:ext>
          </c:extLst>
        </c:ser>
        <c:ser>
          <c:idx val="7"/>
          <c:order val="7"/>
          <c:tx>
            <c:strRef>
              <c:f>'[Chart in Microsoft Word]Sheet1'!$A$9</c:f>
              <c:strCache>
                <c:ptCount val="1"/>
                <c:pt idx="0">
                  <c:v>2028</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3054830287206106E-2"/>
                  <c:y val="1.851851851851847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E74-4386-A9F1-9FD65026C91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Word]Sheet1'!$B$9</c:f>
              <c:numCache>
                <c:formatCode>0.0</c:formatCode>
                <c:ptCount val="1"/>
                <c:pt idx="0">
                  <c:v>175.06</c:v>
                </c:pt>
              </c:numCache>
            </c:numRef>
          </c:val>
          <c:extLst xmlns:c16r2="http://schemas.microsoft.com/office/drawing/2015/06/chart">
            <c:ext xmlns:c16="http://schemas.microsoft.com/office/drawing/2014/chart" uri="{C3380CC4-5D6E-409C-BE32-E72D297353CC}">
              <c16:uniqueId val="{0000000D-8E74-4386-A9F1-9FD65026C917}"/>
            </c:ext>
          </c:extLst>
        </c:ser>
        <c:ser>
          <c:idx val="8"/>
          <c:order val="8"/>
          <c:tx>
            <c:strRef>
              <c:f>'[Chart in Microsoft Word]Sheet1'!$A$10</c:f>
              <c:strCache>
                <c:ptCount val="1"/>
                <c:pt idx="0">
                  <c:v>2029</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3516100957352623E-3"/>
                  <c:y val="2.35538533514125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E74-4386-A9F1-9FD65026C91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Word]Sheet1'!$B$10</c:f>
              <c:numCache>
                <c:formatCode>0.0</c:formatCode>
                <c:ptCount val="1"/>
                <c:pt idx="0">
                  <c:v>160.41</c:v>
                </c:pt>
              </c:numCache>
            </c:numRef>
          </c:val>
          <c:extLst xmlns:c16r2="http://schemas.microsoft.com/office/drawing/2015/06/chart">
            <c:ext xmlns:c16="http://schemas.microsoft.com/office/drawing/2014/chart" uri="{C3380CC4-5D6E-409C-BE32-E72D297353CC}">
              <c16:uniqueId val="{0000000F-8E74-4386-A9F1-9FD65026C917}"/>
            </c:ext>
          </c:extLst>
        </c:ser>
        <c:ser>
          <c:idx val="9"/>
          <c:order val="9"/>
          <c:tx>
            <c:strRef>
              <c:f>'[Chart in Microsoft Word]Sheet1'!$A$11</c:f>
              <c:strCache>
                <c:ptCount val="1"/>
                <c:pt idx="0">
                  <c:v>2030</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7032201914708437E-3"/>
                  <c:y val="9.259259259259258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247-4D3B-8ED8-24EC38B9E49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Word]Sheet1'!$B$11</c:f>
              <c:numCache>
                <c:formatCode>0.0</c:formatCode>
                <c:ptCount val="1"/>
                <c:pt idx="0">
                  <c:v>131.09</c:v>
                </c:pt>
              </c:numCache>
            </c:numRef>
          </c:val>
          <c:extLst xmlns:c16r2="http://schemas.microsoft.com/office/drawing/2015/06/chart">
            <c:ext xmlns:c16="http://schemas.microsoft.com/office/drawing/2014/chart" uri="{C3380CC4-5D6E-409C-BE32-E72D297353CC}">
              <c16:uniqueId val="{00000010-8E74-4386-A9F1-9FD65026C917}"/>
            </c:ext>
          </c:extLst>
        </c:ser>
        <c:dLbls>
          <c:dLblPos val="outEnd"/>
          <c:showLegendKey val="0"/>
          <c:showVal val="1"/>
          <c:showCatName val="0"/>
          <c:showSerName val="0"/>
          <c:showPercent val="0"/>
          <c:showBubbleSize val="0"/>
        </c:dLbls>
        <c:gapWidth val="100"/>
        <c:overlap val="-24"/>
        <c:axId val="152955784"/>
        <c:axId val="153048264"/>
      </c:barChart>
      <c:catAx>
        <c:axId val="152955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48264"/>
        <c:crosses val="autoZero"/>
        <c:auto val="1"/>
        <c:lblAlgn val="ctr"/>
        <c:lblOffset val="100"/>
        <c:noMultiLvlLbl val="0"/>
      </c:catAx>
      <c:valAx>
        <c:axId val="153048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955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7291876976916"/>
          <c:y val="7.5634920634920638E-2"/>
          <c:w val="0.85239996709812982"/>
          <c:h val="0.68994688163979501"/>
        </c:manualLayout>
      </c:layout>
      <c:barChart>
        <c:barDir val="col"/>
        <c:grouping val="clustered"/>
        <c:varyColors val="0"/>
        <c:ser>
          <c:idx val="0"/>
          <c:order val="0"/>
          <c:tx>
            <c:strRef>
              <c:f>Sheet1!$B$1</c:f>
              <c:strCache>
                <c:ptCount val="1"/>
                <c:pt idx="0">
                  <c:v>2021</c:v>
                </c:pt>
              </c:strCache>
            </c:strRef>
          </c:tx>
          <c:spPr>
            <a:solidFill>
              <a:schemeClr val="accent6"/>
            </a:solidFill>
            <a:ln>
              <a:noFill/>
            </a:ln>
            <a:effectLst/>
          </c:spPr>
          <c:invertIfNegative val="0"/>
          <c:dLbls>
            <c:dLbl>
              <c:idx val="0"/>
              <c:layout>
                <c:manualLayout>
                  <c:x val="2.1762964800034177E-17"/>
                  <c:y val="1.80358705161854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456-43D3-87A6-29B2ABDC62D6}"/>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Sheet1!$B$2</c:f>
              <c:numCache>
                <c:formatCode>#,##0.00</c:formatCode>
                <c:ptCount val="1"/>
                <c:pt idx="0">
                  <c:v>15.03</c:v>
                </c:pt>
              </c:numCache>
            </c:numRef>
          </c:val>
          <c:extLst xmlns:c16r2="http://schemas.microsoft.com/office/drawing/2015/06/chart">
            <c:ext xmlns:c16="http://schemas.microsoft.com/office/drawing/2014/chart" uri="{C3380CC4-5D6E-409C-BE32-E72D297353CC}">
              <c16:uniqueId val="{00000000-C456-43D3-87A6-29B2ABDC62D6}"/>
            </c:ext>
          </c:extLst>
        </c:ser>
        <c:ser>
          <c:idx val="1"/>
          <c:order val="1"/>
          <c:tx>
            <c:strRef>
              <c:f>Sheet1!$C$1</c:f>
              <c:strCache>
                <c:ptCount val="1"/>
                <c:pt idx="0">
                  <c:v>2022</c:v>
                </c:pt>
              </c:strCache>
            </c:strRef>
          </c:tx>
          <c:spPr>
            <a:solidFill>
              <a:schemeClr val="accent5"/>
            </a:solidFill>
            <a:ln>
              <a:noFill/>
            </a:ln>
            <a:effectLst/>
          </c:spPr>
          <c:invertIfNegative val="0"/>
          <c:dLbls>
            <c:dLbl>
              <c:idx val="0"/>
              <c:layout>
                <c:manualLayout>
                  <c:x val="-4.7483380816714582E-3"/>
                  <c:y val="1.000781152355955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456-43D3-87A6-29B2ABDC62D6}"/>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Sheet1!$C$2</c:f>
              <c:numCache>
                <c:formatCode>#,##0.00</c:formatCode>
                <c:ptCount val="1"/>
                <c:pt idx="0">
                  <c:v>1.03</c:v>
                </c:pt>
              </c:numCache>
            </c:numRef>
          </c:val>
          <c:extLst xmlns:c16r2="http://schemas.microsoft.com/office/drawing/2015/06/chart">
            <c:ext xmlns:c16="http://schemas.microsoft.com/office/drawing/2014/chart" uri="{C3380CC4-5D6E-409C-BE32-E72D297353CC}">
              <c16:uniqueId val="{00000001-C456-43D3-87A6-29B2ABDC62D6}"/>
            </c:ext>
          </c:extLst>
        </c:ser>
        <c:ser>
          <c:idx val="2"/>
          <c:order val="2"/>
          <c:tx>
            <c:strRef>
              <c:f>Sheet1!$D$1</c:f>
              <c:strCache>
                <c:ptCount val="1"/>
                <c:pt idx="0">
                  <c:v>2023</c:v>
                </c:pt>
              </c:strCache>
            </c:strRef>
          </c:tx>
          <c:spPr>
            <a:solidFill>
              <a:schemeClr val="accent4"/>
            </a:solidFill>
            <a:ln>
              <a:noFill/>
            </a:ln>
            <a:effectLst/>
          </c:spPr>
          <c:invertIfNegative val="0"/>
          <c:dLbls>
            <c:dLbl>
              <c:idx val="0"/>
              <c:layout>
                <c:manualLayout>
                  <c:x val="0"/>
                  <c:y val="1.535183102112221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456-43D3-87A6-29B2ABDC62D6}"/>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Sheet1!$D$2</c:f>
              <c:numCache>
                <c:formatCode>#,##0.00</c:formatCode>
                <c:ptCount val="1"/>
                <c:pt idx="0">
                  <c:v>0.85</c:v>
                </c:pt>
              </c:numCache>
            </c:numRef>
          </c:val>
          <c:extLst xmlns:c16r2="http://schemas.microsoft.com/office/drawing/2015/06/chart">
            <c:ext xmlns:c16="http://schemas.microsoft.com/office/drawing/2014/chart" uri="{C3380CC4-5D6E-409C-BE32-E72D297353CC}">
              <c16:uniqueId val="{00000002-C456-43D3-87A6-29B2ABDC62D6}"/>
            </c:ext>
          </c:extLst>
        </c:ser>
        <c:ser>
          <c:idx val="3"/>
          <c:order val="3"/>
          <c:tx>
            <c:strRef>
              <c:f>Sheet1!$E$1</c:f>
              <c:strCache>
                <c:ptCount val="1"/>
                <c:pt idx="0">
                  <c:v>2024</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Sheet1!$E$2</c:f>
              <c:numCache>
                <c:formatCode>#,##0.00</c:formatCode>
                <c:ptCount val="1"/>
                <c:pt idx="0">
                  <c:v>0.45</c:v>
                </c:pt>
              </c:numCache>
            </c:numRef>
          </c:val>
          <c:extLst xmlns:c16r2="http://schemas.microsoft.com/office/drawing/2015/06/chart">
            <c:ext xmlns:c16="http://schemas.microsoft.com/office/drawing/2014/chart" uri="{C3380CC4-5D6E-409C-BE32-E72D297353CC}">
              <c16:uniqueId val="{00000003-C456-43D3-87A6-29B2ABDC62D6}"/>
            </c:ext>
          </c:extLst>
        </c:ser>
        <c:ser>
          <c:idx val="4"/>
          <c:order val="4"/>
          <c:tx>
            <c:strRef>
              <c:f>Sheet1!$F$1</c:f>
              <c:strCache>
                <c:ptCount val="1"/>
                <c:pt idx="0">
                  <c:v>2025</c:v>
                </c:pt>
              </c:strCache>
            </c:strRef>
          </c:tx>
          <c:spPr>
            <a:solidFill>
              <a:schemeClr val="accent5">
                <a:lumMod val="60000"/>
              </a:schemeClr>
            </a:solidFill>
            <a:ln>
              <a:noFill/>
            </a:ln>
            <a:effectLst/>
          </c:spPr>
          <c:invertIfNegative val="0"/>
          <c:dLbls>
            <c:dLbl>
              <c:idx val="0"/>
              <c:layout>
                <c:manualLayout>
                  <c:x val="-2.3741690408357074E-3"/>
                  <c:y val="1.693163354580662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456-43D3-87A6-29B2ABDC62D6}"/>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Sheet1!$F$2</c:f>
              <c:numCache>
                <c:formatCode>#,##0.00</c:formatCode>
                <c:ptCount val="1"/>
                <c:pt idx="0">
                  <c:v>0.79</c:v>
                </c:pt>
              </c:numCache>
            </c:numRef>
          </c:val>
          <c:extLst xmlns:c16r2="http://schemas.microsoft.com/office/drawing/2015/06/chart">
            <c:ext xmlns:c16="http://schemas.microsoft.com/office/drawing/2014/chart" uri="{C3380CC4-5D6E-409C-BE32-E72D297353CC}">
              <c16:uniqueId val="{00000004-C456-43D3-87A6-29B2ABDC62D6}"/>
            </c:ext>
          </c:extLst>
        </c:ser>
        <c:ser>
          <c:idx val="5"/>
          <c:order val="5"/>
          <c:tx>
            <c:strRef>
              <c:f>Sheet1!$G$1</c:f>
              <c:strCache>
                <c:ptCount val="1"/>
                <c:pt idx="0">
                  <c:v>2026</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Sheet1!$G$2</c:f>
              <c:numCache>
                <c:formatCode>#,##0.00</c:formatCode>
                <c:ptCount val="1"/>
                <c:pt idx="0">
                  <c:v>0.39</c:v>
                </c:pt>
              </c:numCache>
            </c:numRef>
          </c:val>
          <c:extLst xmlns:c16r2="http://schemas.microsoft.com/office/drawing/2015/06/chart">
            <c:ext xmlns:c16="http://schemas.microsoft.com/office/drawing/2014/chart" uri="{C3380CC4-5D6E-409C-BE32-E72D297353CC}">
              <c16:uniqueId val="{00000005-C456-43D3-87A6-29B2ABDC62D6}"/>
            </c:ext>
          </c:extLst>
        </c:ser>
        <c:ser>
          <c:idx val="6"/>
          <c:order val="6"/>
          <c:tx>
            <c:strRef>
              <c:f>Sheet1!$H$1</c:f>
              <c:strCache>
                <c:ptCount val="1"/>
                <c:pt idx="0">
                  <c:v>2027</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Sheet1!$H$2</c:f>
              <c:numCache>
                <c:formatCode>#,##0.00</c:formatCode>
                <c:ptCount val="1"/>
                <c:pt idx="0">
                  <c:v>0.42</c:v>
                </c:pt>
              </c:numCache>
            </c:numRef>
          </c:val>
          <c:extLst xmlns:c16r2="http://schemas.microsoft.com/office/drawing/2015/06/chart">
            <c:ext xmlns:c16="http://schemas.microsoft.com/office/drawing/2014/chart" uri="{C3380CC4-5D6E-409C-BE32-E72D297353CC}">
              <c16:uniqueId val="{00000006-C456-43D3-87A6-29B2ABDC62D6}"/>
            </c:ext>
          </c:extLst>
        </c:ser>
        <c:ser>
          <c:idx val="7"/>
          <c:order val="7"/>
          <c:tx>
            <c:strRef>
              <c:f>Sheet1!$I$1</c:f>
              <c:strCache>
                <c:ptCount val="1"/>
                <c:pt idx="0">
                  <c:v>2028</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Sheet1!$I$2</c:f>
              <c:numCache>
                <c:formatCode>#,##0.00</c:formatCode>
                <c:ptCount val="1"/>
                <c:pt idx="0">
                  <c:v>0.45</c:v>
                </c:pt>
              </c:numCache>
            </c:numRef>
          </c:val>
          <c:extLst xmlns:c16r2="http://schemas.microsoft.com/office/drawing/2015/06/chart">
            <c:ext xmlns:c16="http://schemas.microsoft.com/office/drawing/2014/chart" uri="{C3380CC4-5D6E-409C-BE32-E72D297353CC}">
              <c16:uniqueId val="{00000007-C456-43D3-87A6-29B2ABDC62D6}"/>
            </c:ext>
          </c:extLst>
        </c:ser>
        <c:ser>
          <c:idx val="8"/>
          <c:order val="8"/>
          <c:tx>
            <c:strRef>
              <c:f>Sheet1!$J$1</c:f>
              <c:strCache>
                <c:ptCount val="1"/>
                <c:pt idx="0">
                  <c:v>2029</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Sheet1!$J$2</c:f>
              <c:numCache>
                <c:formatCode>#,##0.00</c:formatCode>
                <c:ptCount val="1"/>
                <c:pt idx="0">
                  <c:v>0.49</c:v>
                </c:pt>
              </c:numCache>
            </c:numRef>
          </c:val>
          <c:extLst xmlns:c16r2="http://schemas.microsoft.com/office/drawing/2015/06/chart">
            <c:ext xmlns:c16="http://schemas.microsoft.com/office/drawing/2014/chart" uri="{C3380CC4-5D6E-409C-BE32-E72D297353CC}">
              <c16:uniqueId val="{00000008-C456-43D3-87A6-29B2ABDC62D6}"/>
            </c:ext>
          </c:extLst>
        </c:ser>
        <c:ser>
          <c:idx val="9"/>
          <c:order val="9"/>
          <c:tx>
            <c:strRef>
              <c:f>Sheet1!$K$1</c:f>
              <c:strCache>
                <c:ptCount val="1"/>
                <c:pt idx="0">
                  <c:v>2030</c:v>
                </c:pt>
              </c:strCache>
            </c:strRef>
          </c:tx>
          <c:spPr>
            <a:solidFill>
              <a:schemeClr val="accent6">
                <a:lumMod val="80000"/>
              </a:schemeClr>
            </a:solidFill>
            <a:ln>
              <a:noFill/>
            </a:ln>
            <a:effectLst/>
          </c:spPr>
          <c:invertIfNegative val="0"/>
          <c:dLbls>
            <c:dLbl>
              <c:idx val="0"/>
              <c:layout>
                <c:manualLayout>
                  <c:x val="-4.4563279857397506E-3"/>
                  <c:y val="1.094988126484189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456-43D3-87A6-29B2ABDC62D6}"/>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Datoria de stat internă, mlrd.lei</c:v>
                </c:pt>
              </c:strCache>
            </c:strRef>
          </c:cat>
          <c:val>
            <c:numRef>
              <c:f>Sheet1!$K$2</c:f>
              <c:numCache>
                <c:formatCode>#,##0.00</c:formatCode>
                <c:ptCount val="1"/>
                <c:pt idx="0">
                  <c:v>0.53</c:v>
                </c:pt>
              </c:numCache>
            </c:numRef>
          </c:val>
          <c:extLst xmlns:c16r2="http://schemas.microsoft.com/office/drawing/2015/06/chart">
            <c:ext xmlns:c16="http://schemas.microsoft.com/office/drawing/2014/chart" uri="{C3380CC4-5D6E-409C-BE32-E72D297353CC}">
              <c16:uniqueId val="{00000009-C456-43D3-87A6-29B2ABDC62D6}"/>
            </c:ext>
          </c:extLst>
        </c:ser>
        <c:dLbls>
          <c:dLblPos val="inEnd"/>
          <c:showLegendKey val="0"/>
          <c:showVal val="1"/>
          <c:showCatName val="0"/>
          <c:showSerName val="0"/>
          <c:showPercent val="0"/>
          <c:showBubbleSize val="0"/>
        </c:dLbls>
        <c:gapWidth val="267"/>
        <c:overlap val="-43"/>
        <c:axId val="153583048"/>
        <c:axId val="153443048"/>
      </c:barChart>
      <c:catAx>
        <c:axId val="1535830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j-lt"/>
                <a:ea typeface="+mn-ea"/>
                <a:cs typeface="+mn-cs"/>
              </a:defRPr>
            </a:pPr>
            <a:endParaRPr lang="ru-RU"/>
          </a:p>
        </c:txPr>
        <c:crossAx val="153443048"/>
        <c:crosses val="autoZero"/>
        <c:auto val="1"/>
        <c:lblAlgn val="ctr"/>
        <c:lblOffset val="100"/>
        <c:noMultiLvlLbl val="0"/>
      </c:catAx>
      <c:valAx>
        <c:axId val="153443048"/>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j-lt"/>
                <a:ea typeface="+mn-ea"/>
                <a:cs typeface="+mn-cs"/>
              </a:defRPr>
            </a:pPr>
            <a:endParaRPr lang="ru-RU"/>
          </a:p>
        </c:txPr>
        <c:crossAx val="15358304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8664715707328028"/>
          <c:y val="0.87995938007749031"/>
          <c:w val="0.75593884654792465"/>
          <c:h val="9.62310961129858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j-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mj-lt"/>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mj-lt"/>
                <a:ea typeface="+mn-ea"/>
                <a:cs typeface="+mn-cs"/>
              </a:defRPr>
            </a:pPr>
            <a:r>
              <a:rPr lang="ro-MD" sz="1100" b="1" i="1"/>
              <a:t>Diagrama nr.3. Evoluția cheltuielilor suportate pentru serviciul datoriei de stat interne, mil.lei</a:t>
            </a:r>
            <a:endParaRPr lang="en-US" sz="1100" b="1" i="1"/>
          </a:p>
        </c:rich>
      </c:tx>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mj-lt"/>
              <a:ea typeface="+mn-ea"/>
              <a:cs typeface="+mn-cs"/>
            </a:defRPr>
          </a:pPr>
          <a:endParaRPr lang="ru-RU"/>
        </a:p>
      </c:txPr>
    </c:title>
    <c:autoTitleDeleted val="0"/>
    <c:plotArea>
      <c:layout>
        <c:manualLayout>
          <c:layoutTarget val="inner"/>
          <c:xMode val="edge"/>
          <c:yMode val="edge"/>
          <c:x val="5.9561352540856059E-2"/>
          <c:y val="0.25376986774958216"/>
          <c:w val="0.95335029686174722"/>
          <c:h val="0.54521458122819388"/>
        </c:manualLayout>
      </c:layout>
      <c:lineChart>
        <c:grouping val="standard"/>
        <c:varyColors val="0"/>
        <c:ser>
          <c:idx val="0"/>
          <c:order val="0"/>
          <c:tx>
            <c:strRef>
              <c:f>Sheet1!$B$1</c:f>
              <c:strCache>
                <c:ptCount val="1"/>
                <c:pt idx="0">
                  <c:v>Series 1</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5.737913486005089E-2"/>
                  <c:y val="3.9682539682539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8AB-491F-98AA-2A0A5AEAEE87}"/>
                </c:ext>
                <c:ext xmlns:c15="http://schemas.microsoft.com/office/drawing/2012/chart" uri="{CE6537A1-D6FC-4f65-9D91-7224C49458BB}">
                  <c15:layout/>
                </c:ext>
              </c:extLst>
            </c:dLbl>
            <c:dLbl>
              <c:idx val="1"/>
              <c:layout>
                <c:manualLayout>
                  <c:x val="-5.949957591178965E-2"/>
                  <c:y val="-4.36507936507936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8AB-491F-98AA-2A0A5AEAEE87}"/>
                </c:ext>
                <c:ext xmlns:c15="http://schemas.microsoft.com/office/drawing/2012/chart" uri="{CE6537A1-D6FC-4f65-9D91-7224C49458BB}">
                  <c15:layout/>
                </c:ext>
              </c:extLst>
            </c:dLbl>
            <c:dLbl>
              <c:idx val="2"/>
              <c:layout>
                <c:manualLayout>
                  <c:x val="-5.525869380831213E-2"/>
                  <c:y val="5.55555555555555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8AB-491F-98AA-2A0A5AEAEE87}"/>
                </c:ext>
                <c:ext xmlns:c15="http://schemas.microsoft.com/office/drawing/2012/chart" uri="{CE6537A1-D6FC-4f65-9D91-7224C49458BB}">
                  <c15:layout/>
                </c:ext>
              </c:extLst>
            </c:dLbl>
            <c:dLbl>
              <c:idx val="3"/>
              <c:layout>
                <c:manualLayout>
                  <c:x val="-5.5258693808312054E-2"/>
                  <c:y val="-4.734990753274484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8AB-491F-98AA-2A0A5AEAEE87}"/>
                </c:ext>
                <c:ext xmlns:c15="http://schemas.microsoft.com/office/drawing/2012/chart" uri="{CE6537A1-D6FC-4f65-9D91-7224C49458BB}">
                  <c15:layout/>
                </c:ext>
              </c:extLst>
            </c:dLbl>
            <c:dLbl>
              <c:idx val="4"/>
              <c:layout>
                <c:manualLayout>
                  <c:x val="-5.5258693808312283E-2"/>
                  <c:y val="4.36507936507935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8AB-491F-98AA-2A0A5AEAEE87}"/>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rgbClr val="00B050"/>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1462.5</c:v>
                </c:pt>
                <c:pt idx="1">
                  <c:v>1571.1</c:v>
                </c:pt>
                <c:pt idx="2">
                  <c:v>1125.3</c:v>
                </c:pt>
                <c:pt idx="3">
                  <c:v>1207.4000000000001</c:v>
                </c:pt>
                <c:pt idx="4">
                  <c:v>1322.7</c:v>
                </c:pt>
              </c:numCache>
            </c:numRef>
          </c:val>
          <c:smooth val="0"/>
          <c:extLst xmlns:c16r2="http://schemas.microsoft.com/office/drawing/2015/06/chart">
            <c:ext xmlns:c16="http://schemas.microsoft.com/office/drawing/2014/chart" uri="{C3380CC4-5D6E-409C-BE32-E72D297353CC}">
              <c16:uniqueId val="{00000000-78AB-491F-98AA-2A0A5AEAEE87}"/>
            </c:ext>
          </c:extLst>
        </c:ser>
        <c:dLbls>
          <c:dLblPos val="ctr"/>
          <c:showLegendKey val="0"/>
          <c:showVal val="1"/>
          <c:showCatName val="0"/>
          <c:showSerName val="0"/>
          <c:showPercent val="0"/>
          <c:showBubbleSize val="0"/>
        </c:dLbls>
        <c:marker val="1"/>
        <c:smooth val="0"/>
        <c:axId val="151281960"/>
        <c:axId val="152647096"/>
      </c:lineChart>
      <c:catAx>
        <c:axId val="151281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152647096"/>
        <c:crosses val="autoZero"/>
        <c:auto val="1"/>
        <c:lblAlgn val="ctr"/>
        <c:lblOffset val="100"/>
        <c:noMultiLvlLbl val="0"/>
      </c:catAx>
      <c:valAx>
        <c:axId val="152647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151281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mj-lt"/>
                <a:ea typeface="+mn-ea"/>
                <a:cs typeface="+mn-cs"/>
              </a:defRPr>
            </a:pPr>
            <a:r>
              <a:rPr lang="ro-RO" sz="1000" b="1" baseline="0">
                <a:solidFill>
                  <a:sysClr val="windowText" lastClr="000000"/>
                </a:solidFill>
                <a:latin typeface="+mj-lt"/>
              </a:rPr>
              <a:t>Diagrama nr.4. Structura datoriilor beneficiarilor recreditați în anul 2020, </a:t>
            </a:r>
            <a:r>
              <a:rPr lang="ro-RO" sz="1000" b="1" i="0" u="none" strike="noStrike" kern="1200" spc="0" baseline="0">
                <a:solidFill>
                  <a:sysClr val="windowText" lastClr="000000"/>
                </a:solidFill>
                <a:latin typeface="+mj-lt"/>
                <a:ea typeface="+mn-ea"/>
                <a:cs typeface="+mn-cs"/>
              </a:rPr>
              <a:t>mil. lei</a:t>
            </a:r>
            <a:endParaRPr lang="en-US" sz="1000" b="1" baseline="0">
              <a:solidFill>
                <a:sysClr val="windowText" lastClr="000000"/>
              </a:solidFill>
              <a:latin typeface="+mj-lt"/>
            </a:endParaRPr>
          </a:p>
        </c:rich>
      </c:tx>
      <c:layout>
        <c:manualLayout>
          <c:xMode val="edge"/>
          <c:yMode val="edge"/>
          <c:x val="0.16530808362913443"/>
          <c:y val="4.3011027205217094E-2"/>
        </c:manualLayout>
      </c:layout>
      <c:overlay val="0"/>
      <c:spPr>
        <a:noFill/>
        <a:ln w="25411">
          <a:noFill/>
        </a:ln>
        <a:effectLst/>
      </c:spPr>
      <c:txPr>
        <a:bodyPr rot="0" spcFirstLastPara="1" vertOverflow="ellipsis" vert="horz" wrap="square" anchor="ctr" anchorCtr="1"/>
        <a:lstStyle/>
        <a:p>
          <a:pPr algn="ctr">
            <a:defRPr sz="1200" b="1" i="0" u="none" strike="noStrike" kern="1200" spc="0" baseline="0">
              <a:solidFill>
                <a:sysClr val="windowText" lastClr="000000"/>
              </a:solidFill>
              <a:latin typeface="+mj-lt"/>
              <a:ea typeface="+mn-ea"/>
              <a:cs typeface="+mn-cs"/>
            </a:defRPr>
          </a:pPr>
          <a:endParaRPr lang="ru-RU"/>
        </a:p>
      </c:tx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30749875083995265"/>
          <c:y val="0.12715053763440853"/>
          <c:w val="0.66843122727820981"/>
          <c:h val="0.4941579883159769"/>
        </c:manualLayout>
      </c:layout>
      <c:bar3DChart>
        <c:barDir val="col"/>
        <c:grouping val="stacked"/>
        <c:varyColors val="0"/>
        <c:ser>
          <c:idx val="0"/>
          <c:order val="0"/>
          <c:tx>
            <c:strRef>
              <c:f>Sheet1!$B$1</c:f>
              <c:strCache>
                <c:ptCount val="1"/>
                <c:pt idx="0">
                  <c:v>curente</c:v>
                </c:pt>
              </c:strCache>
            </c:strRef>
          </c:tx>
          <c:spPr>
            <a:solidFill>
              <a:schemeClr val="accent6"/>
            </a:solidFill>
            <a:ln>
              <a:noFill/>
            </a:ln>
            <a:effectLst/>
            <a:sp3d/>
          </c:spPr>
          <c:invertIfNegative val="0"/>
          <c:cat>
            <c:strRef>
              <c:f>Sheet1!$A$2:$A$4</c:f>
              <c:strCache>
                <c:ptCount val="3"/>
                <c:pt idx="0">
                  <c:v>total </c:v>
                </c:pt>
                <c:pt idx="1">
                  <c:v>MF</c:v>
                </c:pt>
                <c:pt idx="2">
                  <c:v>OGP AE și FIDA</c:v>
                </c:pt>
              </c:strCache>
            </c:strRef>
          </c:cat>
          <c:val>
            <c:numRef>
              <c:f>Sheet1!$B$2:$B$4</c:f>
              <c:numCache>
                <c:formatCode>General</c:formatCode>
                <c:ptCount val="3"/>
                <c:pt idx="0">
                  <c:v>5519.9</c:v>
                </c:pt>
                <c:pt idx="1">
                  <c:v>2980.5</c:v>
                </c:pt>
                <c:pt idx="2">
                  <c:v>2539.4</c:v>
                </c:pt>
              </c:numCache>
            </c:numRef>
          </c:val>
          <c:extLst xmlns:c16r2="http://schemas.microsoft.com/office/drawing/2015/06/chart">
            <c:ext xmlns:c16="http://schemas.microsoft.com/office/drawing/2014/chart" uri="{C3380CC4-5D6E-409C-BE32-E72D297353CC}">
              <c16:uniqueId val="{00000000-C4F3-4A5A-BB90-21E216BD538B}"/>
            </c:ext>
          </c:extLst>
        </c:ser>
        <c:ser>
          <c:idx val="1"/>
          <c:order val="1"/>
          <c:tx>
            <c:strRef>
              <c:f>Sheet1!$C$1</c:f>
              <c:strCache>
                <c:ptCount val="1"/>
                <c:pt idx="0">
                  <c:v>cu termenul de achitare expirat</c:v>
                </c:pt>
              </c:strCache>
            </c:strRef>
          </c:tx>
          <c:spPr>
            <a:solidFill>
              <a:schemeClr val="accent5"/>
            </a:solidFill>
            <a:ln>
              <a:noFill/>
            </a:ln>
            <a:effectLst/>
            <a:sp3d/>
          </c:spPr>
          <c:invertIfNegative val="0"/>
          <c:cat>
            <c:strRef>
              <c:f>Sheet1!$A$2:$A$4</c:f>
              <c:strCache>
                <c:ptCount val="3"/>
                <c:pt idx="0">
                  <c:v>total </c:v>
                </c:pt>
                <c:pt idx="1">
                  <c:v>MF</c:v>
                </c:pt>
                <c:pt idx="2">
                  <c:v>OGP AE și FIDA</c:v>
                </c:pt>
              </c:strCache>
            </c:strRef>
          </c:cat>
          <c:val>
            <c:numRef>
              <c:f>Sheet1!$C$2:$C$4</c:f>
              <c:numCache>
                <c:formatCode>General</c:formatCode>
                <c:ptCount val="3"/>
                <c:pt idx="0">
                  <c:v>263.5</c:v>
                </c:pt>
                <c:pt idx="1">
                  <c:v>251.9</c:v>
                </c:pt>
                <c:pt idx="2">
                  <c:v>11.6</c:v>
                </c:pt>
              </c:numCache>
            </c:numRef>
          </c:val>
          <c:extLst xmlns:c16r2="http://schemas.microsoft.com/office/drawing/2015/06/chart">
            <c:ext xmlns:c16="http://schemas.microsoft.com/office/drawing/2014/chart" uri="{C3380CC4-5D6E-409C-BE32-E72D297353CC}">
              <c16:uniqueId val="{00000001-C4F3-4A5A-BB90-21E216BD538B}"/>
            </c:ext>
          </c:extLst>
        </c:ser>
        <c:dLbls>
          <c:showLegendKey val="0"/>
          <c:showVal val="0"/>
          <c:showCatName val="0"/>
          <c:showSerName val="0"/>
          <c:showPercent val="0"/>
          <c:showBubbleSize val="0"/>
        </c:dLbls>
        <c:gapWidth val="150"/>
        <c:shape val="box"/>
        <c:axId val="152035408"/>
        <c:axId val="152663736"/>
        <c:axId val="0"/>
      </c:bar3DChart>
      <c:catAx>
        <c:axId val="152035408"/>
        <c:scaling>
          <c:orientation val="minMax"/>
        </c:scaling>
        <c:delete val="0"/>
        <c:axPos val="b"/>
        <c:numFmt formatCode="General" sourceLinked="1"/>
        <c:majorTickMark val="none"/>
        <c:minorTickMark val="none"/>
        <c:tickLblPos val="nextTo"/>
        <c:spPr>
          <a:noFill/>
          <a:ln w="6353"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663736"/>
        <c:crosses val="autoZero"/>
        <c:auto val="1"/>
        <c:lblAlgn val="ctr"/>
        <c:lblOffset val="100"/>
        <c:noMultiLvlLbl val="0"/>
      </c:catAx>
      <c:valAx>
        <c:axId val="152663736"/>
        <c:scaling>
          <c:orientation val="minMax"/>
        </c:scaling>
        <c:delete val="1"/>
        <c:axPos val="l"/>
        <c:majorGridlines>
          <c:spPr>
            <a:ln w="9529"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crossAx val="152035408"/>
        <c:crosses val="autoZero"/>
        <c:crossBetween val="between"/>
      </c:valAx>
      <c:dTable>
        <c:showHorzBorder val="1"/>
        <c:showVertBorder val="1"/>
        <c:showOutline val="1"/>
        <c:showKeys val="1"/>
        <c:spPr>
          <a:noFill/>
          <a:ln w="9529"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mj-lt"/>
                <a:ea typeface="+mn-ea"/>
                <a:cs typeface="Times New Roman" panose="02020603050405020304" pitchFamily="18" charset="0"/>
              </a:defRPr>
            </a:pPr>
            <a:endParaRPr lang="ru-RU"/>
          </a:p>
        </c:txPr>
      </c:dTable>
      <c:spPr>
        <a:noFill/>
        <a:ln w="25411">
          <a:noFill/>
        </a:ln>
        <a:effectLst/>
      </c:spPr>
    </c:plotArea>
    <c:plotVisOnly val="1"/>
    <c:dispBlanksAs val="gap"/>
    <c:showDLblsOverMax val="0"/>
  </c:chart>
  <c:spPr>
    <a:solidFill>
      <a:schemeClr val="bg1"/>
    </a:solidFill>
    <a:ln w="9529" cap="flat" cmpd="sng" algn="ctr">
      <a:solidFill>
        <a:schemeClr val="tx1">
          <a:lumMod val="15000"/>
          <a:lumOff val="85000"/>
        </a:schemeClr>
      </a:solidFill>
      <a:prstDash val="solid"/>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340312351389005E-2"/>
          <c:y val="0.12426081571264266"/>
          <c:w val="0.96376811594202894"/>
          <c:h val="0.76432065932037196"/>
        </c:manualLayout>
      </c:layout>
      <c:lineChart>
        <c:grouping val="standard"/>
        <c:varyColors val="0"/>
        <c:ser>
          <c:idx val="0"/>
          <c:order val="0"/>
          <c:tx>
            <c:strRef>
              <c:f>'Evoluția DP'!$B$6</c:f>
              <c:strCache>
                <c:ptCount val="1"/>
                <c:pt idx="0">
                  <c:v>Dtoria de stat</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dLbls>
            <c:dLbl>
              <c:idx val="0"/>
              <c:layout>
                <c:manualLayout>
                  <c:x val="1.6149870801033296E-3"/>
                  <c:y val="1.23001230012299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A25-4B9A-A0E3-707C6EE220D6}"/>
                </c:ext>
                <c:ext xmlns:c15="http://schemas.microsoft.com/office/drawing/2012/chart" uri="{CE6537A1-D6FC-4f65-9D91-7224C49458BB}"/>
              </c:extLst>
            </c:dLbl>
            <c:dLbl>
              <c:idx val="2"/>
              <c:layout>
                <c:manualLayout>
                  <c:x val="-2.099483204134367E-2"/>
                  <c:y val="3.19803198031980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25-4B9A-A0E3-707C6EE220D6}"/>
                </c:ext>
                <c:ext xmlns:c15="http://schemas.microsoft.com/office/drawing/2012/chart" uri="{CE6537A1-D6FC-4f65-9D91-7224C49458BB}"/>
              </c:extLst>
            </c:dLbl>
            <c:dLbl>
              <c:idx val="3"/>
              <c:layout>
                <c:manualLayout>
                  <c:x val="-4.3604651162790754E-2"/>
                  <c:y val="2.460024600246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A25-4B9A-A0E3-707C6EE220D6}"/>
                </c:ext>
                <c:ext xmlns:c15="http://schemas.microsoft.com/office/drawing/2012/chart" uri="{CE6537A1-D6FC-4f65-9D91-7224C49458BB}"/>
              </c:extLst>
            </c:dLbl>
            <c:dLbl>
              <c:idx val="4"/>
              <c:layout>
                <c:manualLayout>
                  <c:x val="-4.6834625322997536E-2"/>
                  <c:y val="3.19803198031980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25-4B9A-A0E3-707C6EE220D6}"/>
                </c:ext>
                <c:ext xmlns:c15="http://schemas.microsoft.com/office/drawing/2012/chart" uri="{CE6537A1-D6FC-4f65-9D91-7224C49458BB}"/>
              </c:extLst>
            </c:dLbl>
            <c:dLbl>
              <c:idx val="5"/>
              <c:layout>
                <c:manualLayout>
                  <c:x val="-4.3604651162790817E-2"/>
                  <c:y val="3.444034440344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A25-4B9A-A0E3-707C6EE220D6}"/>
                </c:ext>
                <c:ext xmlns:c15="http://schemas.microsoft.com/office/drawing/2012/chart" uri="{CE6537A1-D6FC-4f65-9D91-7224C49458BB}"/>
              </c:extLst>
            </c:dLbl>
            <c:dLbl>
              <c:idx val="6"/>
              <c:layout>
                <c:manualLayout>
                  <c:x val="-1.5677709500843434E-16"/>
                  <c:y val="2.62172284644194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A25-4B9A-A0E3-707C6EE220D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DP'!$C$6:$I$6</c:f>
              <c:numCache>
                <c:formatCode>#,##0.00</c:formatCode>
                <c:ptCount val="7"/>
                <c:pt idx="0">
                  <c:v>67820.7</c:v>
                </c:pt>
                <c:pt idx="1">
                  <c:v>52494.3</c:v>
                </c:pt>
                <c:pt idx="2">
                  <c:v>52012.5</c:v>
                </c:pt>
                <c:pt idx="3">
                  <c:v>51660.3</c:v>
                </c:pt>
                <c:pt idx="4">
                  <c:v>50785.8</c:v>
                </c:pt>
                <c:pt idx="5">
                  <c:v>33509.199999999997</c:v>
                </c:pt>
                <c:pt idx="6">
                  <c:v>27470.6</c:v>
                </c:pt>
              </c:numCache>
            </c:numRef>
          </c:val>
          <c:smooth val="0"/>
          <c:extLst xmlns:c16r2="http://schemas.microsoft.com/office/drawing/2015/06/chart">
            <c:ext xmlns:c16="http://schemas.microsoft.com/office/drawing/2014/chart" uri="{C3380CC4-5D6E-409C-BE32-E72D297353CC}">
              <c16:uniqueId val="{00000006-DA25-4B9A-A0E3-707C6EE220D6}"/>
            </c:ext>
          </c:extLst>
        </c:ser>
        <c:ser>
          <c:idx val="1"/>
          <c:order val="1"/>
          <c:tx>
            <c:strRef>
              <c:f>'Evoluția DP'!$B$7</c:f>
              <c:strCache>
                <c:ptCount val="1"/>
                <c:pt idx="0">
                  <c:v>Datoria BNM</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dLbls>
            <c:dLbl>
              <c:idx val="0"/>
              <c:layout>
                <c:manualLayout>
                  <c:x val="-4.0374677002583993E-2"/>
                  <c:y val="-2.46002460024600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A25-4B9A-A0E3-707C6EE220D6}"/>
                </c:ext>
                <c:ext xmlns:c15="http://schemas.microsoft.com/office/drawing/2012/chart" uri="{CE6537A1-D6FC-4f65-9D91-7224C49458BB}"/>
              </c:extLst>
            </c:dLbl>
            <c:dLbl>
              <c:idx val="1"/>
              <c:layout>
                <c:manualLayout>
                  <c:x val="-4.1989664082687395E-2"/>
                  <c:y val="-2.95202952029519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A25-4B9A-A0E3-707C6EE220D6}"/>
                </c:ext>
                <c:ext xmlns:c15="http://schemas.microsoft.com/office/drawing/2012/chart" uri="{CE6537A1-D6FC-4f65-9D91-7224C49458BB}"/>
              </c:extLst>
            </c:dLbl>
            <c:dLbl>
              <c:idx val="2"/>
              <c:layout>
                <c:manualLayout>
                  <c:x val="-4.3604651162790699E-2"/>
                  <c:y val="-2.46002460024600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A25-4B9A-A0E3-707C6EE220D6}"/>
                </c:ext>
                <c:ext xmlns:c15="http://schemas.microsoft.com/office/drawing/2012/chart" uri="{CE6537A1-D6FC-4f65-9D91-7224C49458BB}"/>
              </c:extLst>
            </c:dLbl>
            <c:dLbl>
              <c:idx val="3"/>
              <c:layout>
                <c:manualLayout>
                  <c:x val="-4.0374677002583917E-2"/>
                  <c:y val="-2.70602706027060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A25-4B9A-A0E3-707C6EE220D6}"/>
                </c:ext>
                <c:ext xmlns:c15="http://schemas.microsoft.com/office/drawing/2012/chart" uri="{CE6537A1-D6FC-4f65-9D91-7224C49458BB}"/>
              </c:extLst>
            </c:dLbl>
            <c:dLbl>
              <c:idx val="4"/>
              <c:layout>
                <c:manualLayout>
                  <c:x val="-4.1989664082687457E-2"/>
                  <c:y val="-2.95202952029520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A25-4B9A-A0E3-707C6EE220D6}"/>
                </c:ext>
                <c:ext xmlns:c15="http://schemas.microsoft.com/office/drawing/2012/chart" uri="{CE6537A1-D6FC-4f65-9D91-7224C49458BB}"/>
              </c:extLst>
            </c:dLbl>
            <c:dLbl>
              <c:idx val="5"/>
              <c:layout>
                <c:manualLayout>
                  <c:x val="-3.8759689922480738E-2"/>
                  <c:y val="-2.95202952029520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A25-4B9A-A0E3-707C6EE220D6}"/>
                </c:ext>
                <c:ext xmlns:c15="http://schemas.microsoft.com/office/drawing/2012/chart" uri="{CE6537A1-D6FC-4f65-9D91-7224C49458BB}"/>
              </c:extLst>
            </c:dLbl>
            <c:dLbl>
              <c:idx val="6"/>
              <c:layout>
                <c:manualLayout>
                  <c:x val="-3.0684754521963942E-2"/>
                  <c:y val="-3.31785003317850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A25-4B9A-A0E3-707C6EE220D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DP'!$C$7:$I$7</c:f>
              <c:numCache>
                <c:formatCode>#,##0.00</c:formatCode>
                <c:ptCount val="7"/>
                <c:pt idx="0">
                  <c:v>2429.1999999999998</c:v>
                </c:pt>
                <c:pt idx="1">
                  <c:v>3106.5</c:v>
                </c:pt>
                <c:pt idx="2">
                  <c:v>3733.7</c:v>
                </c:pt>
                <c:pt idx="3">
                  <c:v>4519.3999999999996</c:v>
                </c:pt>
                <c:pt idx="4">
                  <c:v>5839.9</c:v>
                </c:pt>
                <c:pt idx="5">
                  <c:v>6669.7</c:v>
                </c:pt>
                <c:pt idx="6">
                  <c:v>6100.6</c:v>
                </c:pt>
              </c:numCache>
            </c:numRef>
          </c:val>
          <c:smooth val="0"/>
          <c:extLst xmlns:c16r2="http://schemas.microsoft.com/office/drawing/2015/06/chart">
            <c:ext xmlns:c16="http://schemas.microsoft.com/office/drawing/2014/chart" uri="{C3380CC4-5D6E-409C-BE32-E72D297353CC}">
              <c16:uniqueId val="{0000000E-DA25-4B9A-A0E3-707C6EE220D6}"/>
            </c:ext>
          </c:extLst>
        </c:ser>
        <c:ser>
          <c:idx val="2"/>
          <c:order val="2"/>
          <c:tx>
            <c:strRef>
              <c:f>'Evoluția DP'!$B$8</c:f>
              <c:strCache>
                <c:ptCount val="1"/>
                <c:pt idx="0">
                  <c:v>Datoria întreprinderilor din sectorul public</c:v>
                </c:pt>
              </c:strCache>
            </c:strRef>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dLbls>
            <c:dLbl>
              <c:idx val="0"/>
              <c:layout>
                <c:manualLayout>
                  <c:x val="-3.5529715762273914E-2"/>
                  <c:y val="-1.32714001327140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DA25-4B9A-A0E3-707C6EE220D6}"/>
                </c:ext>
                <c:ext xmlns:c15="http://schemas.microsoft.com/office/drawing/2012/chart" uri="{CE6537A1-D6FC-4f65-9D91-7224C49458BB}"/>
              </c:extLst>
            </c:dLbl>
            <c:dLbl>
              <c:idx val="1"/>
              <c:layout>
                <c:manualLayout>
                  <c:x val="-3.2299741602067182E-3"/>
                  <c:y val="-1.10595001105950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A25-4B9A-A0E3-707C6EE220D6}"/>
                </c:ext>
                <c:ext xmlns:c15="http://schemas.microsoft.com/office/drawing/2012/chart" uri="{CE6537A1-D6FC-4f65-9D91-7224C49458BB}"/>
              </c:extLst>
            </c:dLbl>
            <c:dLbl>
              <c:idx val="2"/>
              <c:layout>
                <c:manualLayout>
                  <c:x val="-1.776485788113695E-2"/>
                  <c:y val="-1.32714001327140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A25-4B9A-A0E3-707C6EE220D6}"/>
                </c:ext>
                <c:ext xmlns:c15="http://schemas.microsoft.com/office/drawing/2012/chart" uri="{CE6537A1-D6FC-4f65-9D91-7224C49458BB}"/>
              </c:extLst>
            </c:dLbl>
            <c:dLbl>
              <c:idx val="3"/>
              <c:layout>
                <c:manualLayout>
                  <c:x val="-1.6149870801033591E-3"/>
                  <c:y val="-1.32714001327140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A25-4B9A-A0E3-707C6EE220D6}"/>
                </c:ext>
                <c:ext xmlns:c15="http://schemas.microsoft.com/office/drawing/2012/chart" uri="{CE6537A1-D6FC-4f65-9D91-7224C49458BB}"/>
              </c:extLst>
            </c:dLbl>
            <c:dLbl>
              <c:idx val="4"/>
              <c:layout>
                <c:manualLayout>
                  <c:x val="-2.0994832041343787E-2"/>
                  <c:y val="-8.84760008847600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A25-4B9A-A0E3-707C6EE220D6}"/>
                </c:ext>
                <c:ext xmlns:c15="http://schemas.microsoft.com/office/drawing/2012/chart" uri="{CE6537A1-D6FC-4f65-9D91-7224C49458BB}"/>
              </c:extLst>
            </c:dLbl>
            <c:dLbl>
              <c:idx val="6"/>
              <c:layout>
                <c:manualLayout>
                  <c:x val="-1.61503596123173E-3"/>
                  <c:y val="-5.95712052847340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A25-4B9A-A0E3-707C6EE220D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DP'!$C$8:$I$8</c:f>
              <c:numCache>
                <c:formatCode>#,##0.00</c:formatCode>
                <c:ptCount val="7"/>
                <c:pt idx="0">
                  <c:v>1835.4</c:v>
                </c:pt>
                <c:pt idx="1">
                  <c:v>1726</c:v>
                </c:pt>
                <c:pt idx="2">
                  <c:v>1805.2</c:v>
                </c:pt>
                <c:pt idx="3">
                  <c:v>1883</c:v>
                </c:pt>
                <c:pt idx="4">
                  <c:v>2269.9</c:v>
                </c:pt>
                <c:pt idx="5">
                  <c:v>2673.4</c:v>
                </c:pt>
                <c:pt idx="6">
                  <c:v>2544.9</c:v>
                </c:pt>
              </c:numCache>
            </c:numRef>
          </c:val>
          <c:smooth val="0"/>
          <c:extLst xmlns:c16r2="http://schemas.microsoft.com/office/drawing/2015/06/chart">
            <c:ext xmlns:c16="http://schemas.microsoft.com/office/drawing/2014/chart" uri="{C3380CC4-5D6E-409C-BE32-E72D297353CC}">
              <c16:uniqueId val="{00000015-DA25-4B9A-A0E3-707C6EE220D6}"/>
            </c:ext>
          </c:extLst>
        </c:ser>
        <c:ser>
          <c:idx val="3"/>
          <c:order val="3"/>
          <c:tx>
            <c:strRef>
              <c:f>'Evoluția DP'!$B$9</c:f>
              <c:strCache>
                <c:ptCount val="1"/>
                <c:pt idx="0">
                  <c:v>Datoria UAT</c:v>
                </c:pt>
              </c:strCache>
            </c:strRef>
          </c:tx>
          <c:spPr>
            <a:ln w="22225" cap="rnd">
              <a:solidFill>
                <a:schemeClr val="accent6">
                  <a:lumMod val="60000"/>
                </a:schemeClr>
              </a:solidFill>
              <a:round/>
            </a:ln>
            <a:effectLst/>
          </c:spPr>
          <c:marker>
            <c:symbol val="x"/>
            <c:size val="6"/>
            <c:spPr>
              <a:noFill/>
              <a:ln w="9525">
                <a:solidFill>
                  <a:schemeClr val="accent6">
                    <a:lumMod val="60000"/>
                  </a:schemeClr>
                </a:solidFill>
                <a:round/>
              </a:ln>
              <a:effectLst/>
            </c:spPr>
          </c:marker>
          <c:dLbls>
            <c:dLbl>
              <c:idx val="0"/>
              <c:layout>
                <c:manualLayout>
                  <c:x val="-1.1781480281293005E-2"/>
                  <c:y val="1.51576277684390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DA25-4B9A-A0E3-707C6EE220D6}"/>
                </c:ext>
                <c:ext xmlns:c15="http://schemas.microsoft.com/office/drawing/2012/chart" uri="{CE6537A1-D6FC-4f65-9D91-7224C49458BB}"/>
              </c:extLst>
            </c:dLbl>
            <c:dLbl>
              <c:idx val="1"/>
              <c:layout>
                <c:manualLayout>
                  <c:x val="-1.444240100666202E-2"/>
                  <c:y val="1.73697248518092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DA25-4B9A-A0E3-707C6EE220D6}"/>
                </c:ext>
                <c:ext xmlns:c15="http://schemas.microsoft.com/office/drawing/2012/chart" uri="{CE6537A1-D6FC-4f65-9D91-7224C49458BB}"/>
              </c:extLst>
            </c:dLbl>
            <c:dLbl>
              <c:idx val="2"/>
              <c:layout>
                <c:manualLayout>
                  <c:x val="-5.8908243097084804E-3"/>
                  <c:y val="1.20908903241027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DA25-4B9A-A0E3-707C6EE220D6}"/>
                </c:ext>
                <c:ext xmlns:c15="http://schemas.microsoft.com/office/drawing/2012/chart" uri="{CE6537A1-D6FC-4f65-9D91-7224C49458BB}"/>
              </c:extLst>
            </c:dLbl>
            <c:dLbl>
              <c:idx val="3"/>
              <c:layout>
                <c:manualLayout>
                  <c:x val="-9.643586107054708E-3"/>
                  <c:y val="1.48049190480403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DA25-4B9A-A0E3-707C6EE220D6}"/>
                </c:ext>
                <c:ext xmlns:c15="http://schemas.microsoft.com/office/drawing/2012/chart" uri="{CE6537A1-D6FC-4f65-9D91-7224C49458BB}"/>
              </c:extLst>
            </c:dLbl>
            <c:dLbl>
              <c:idx val="4"/>
              <c:layout>
                <c:manualLayout>
                  <c:x val="-3.4960461583135968E-2"/>
                  <c:y val="1.78716564923766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DA25-4B9A-A0E3-707C6EE220D6}"/>
                </c:ext>
                <c:ext xmlns:c15="http://schemas.microsoft.com/office/drawing/2012/chart" uri="{CE6537A1-D6FC-4f65-9D91-7224C49458BB}"/>
              </c:extLst>
            </c:dLbl>
            <c:dLbl>
              <c:idx val="5"/>
              <c:layout>
                <c:manualLayout>
                  <c:x val="-5.3294503339407537E-2"/>
                  <c:y val="1.633814031673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DA25-4B9A-A0E3-707C6EE220D6}"/>
                </c:ext>
                <c:ext xmlns:c15="http://schemas.microsoft.com/office/drawing/2012/chart" uri="{CE6537A1-D6FC-4f65-9D91-7224C49458BB}"/>
              </c:extLst>
            </c:dLbl>
            <c:dLbl>
              <c:idx val="6"/>
              <c:layout>
                <c:manualLayout>
                  <c:x val="-6.9828337198096094E-3"/>
                  <c:y val="1.78716564923765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DA25-4B9A-A0E3-707C6EE220D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DP'!$C$9:$I$9</c:f>
              <c:numCache>
                <c:formatCode>#,##0.00</c:formatCode>
                <c:ptCount val="7"/>
                <c:pt idx="0">
                  <c:v>551</c:v>
                </c:pt>
                <c:pt idx="1">
                  <c:v>277.89999999999998</c:v>
                </c:pt>
                <c:pt idx="2">
                  <c:v>329.9</c:v>
                </c:pt>
                <c:pt idx="3" formatCode="General">
                  <c:v>388.8</c:v>
                </c:pt>
                <c:pt idx="4">
                  <c:v>407.4</c:v>
                </c:pt>
                <c:pt idx="5">
                  <c:v>416.8</c:v>
                </c:pt>
                <c:pt idx="6">
                  <c:v>286</c:v>
                </c:pt>
              </c:numCache>
            </c:numRef>
          </c:val>
          <c:smooth val="0"/>
          <c:extLst xmlns:c16r2="http://schemas.microsoft.com/office/drawing/2015/06/chart">
            <c:ext xmlns:c16="http://schemas.microsoft.com/office/drawing/2014/chart" uri="{C3380CC4-5D6E-409C-BE32-E72D297353CC}">
              <c16:uniqueId val="{0000001D-DA25-4B9A-A0E3-707C6EE220D6}"/>
            </c:ext>
          </c:extLst>
        </c:ser>
        <c:ser>
          <c:idx val="4"/>
          <c:order val="4"/>
          <c:tx>
            <c:strRef>
              <c:f>'Evoluția DP'!$B$10</c:f>
              <c:strCache>
                <c:ptCount val="1"/>
                <c:pt idx="0">
                  <c:v>Total</c:v>
                </c:pt>
              </c:strCache>
            </c:strRef>
          </c:tx>
          <c:spPr>
            <a:ln w="22225" cap="rnd">
              <a:solidFill>
                <a:schemeClr val="accent5">
                  <a:lumMod val="60000"/>
                </a:schemeClr>
              </a:solidFill>
              <a:round/>
            </a:ln>
            <a:effectLst/>
          </c:spPr>
          <c:marker>
            <c:symbol val="star"/>
            <c:size val="6"/>
            <c:spPr>
              <a:noFill/>
              <a:ln w="9525">
                <a:solidFill>
                  <a:schemeClr val="accent5">
                    <a:lumMod val="60000"/>
                  </a:schemeClr>
                </a:solidFill>
                <a:round/>
              </a:ln>
              <a:effectLst/>
            </c:spPr>
          </c:marker>
          <c:dLbls>
            <c:dLbl>
              <c:idx val="0"/>
              <c:layout>
                <c:manualLayout>
                  <c:x val="-5.5994729907773384E-2"/>
                  <c:y val="-3.19803198031981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DA25-4B9A-A0E3-707C6EE220D6}"/>
                </c:ext>
                <c:ext xmlns:c15="http://schemas.microsoft.com/office/drawing/2012/chart" uri="{CE6537A1-D6FC-4f65-9D91-7224C49458BB}"/>
              </c:extLst>
            </c:dLbl>
            <c:dLbl>
              <c:idx val="1"/>
              <c:layout>
                <c:manualLayout>
                  <c:x val="-7.4110671936758896E-2"/>
                  <c:y val="-2.46002460024600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DA25-4B9A-A0E3-707C6EE220D6}"/>
                </c:ext>
                <c:ext xmlns:c15="http://schemas.microsoft.com/office/drawing/2012/chart" uri="{CE6537A1-D6FC-4f65-9D91-7224C49458BB}"/>
              </c:extLst>
            </c:dLbl>
            <c:dLbl>
              <c:idx val="2"/>
              <c:layout>
                <c:manualLayout>
                  <c:x val="-4.4466403162055336E-2"/>
                  <c:y val="-3.19803198031980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DA25-4B9A-A0E3-707C6EE220D6}"/>
                </c:ext>
                <c:ext xmlns:c15="http://schemas.microsoft.com/office/drawing/2012/chart" uri="{CE6537A1-D6FC-4f65-9D91-7224C49458BB}"/>
              </c:extLst>
            </c:dLbl>
            <c:dLbl>
              <c:idx val="3"/>
              <c:layout>
                <c:manualLayout>
                  <c:x val="-4.7760210803689064E-2"/>
                  <c:y val="-3.19803198031980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DA25-4B9A-A0E3-707C6EE220D6}"/>
                </c:ext>
                <c:ext xmlns:c15="http://schemas.microsoft.com/office/drawing/2012/chart" uri="{CE6537A1-D6FC-4f65-9D91-7224C49458BB}"/>
              </c:extLst>
            </c:dLbl>
            <c:dLbl>
              <c:idx val="4"/>
              <c:layout>
                <c:manualLayout>
                  <c:x val="-4.2819499341238472E-2"/>
                  <c:y val="-2.95202952029520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DA25-4B9A-A0E3-707C6EE220D6}"/>
                </c:ext>
                <c:ext xmlns:c15="http://schemas.microsoft.com/office/drawing/2012/chart" uri="{CE6537A1-D6FC-4f65-9D91-7224C49458BB}"/>
              </c:extLst>
            </c:dLbl>
            <c:dLbl>
              <c:idx val="5"/>
              <c:layout>
                <c:manualLayout>
                  <c:x val="-6.9977989790292933E-2"/>
                  <c:y val="-4.12333268004749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DA25-4B9A-A0E3-707C6EE220D6}"/>
                </c:ext>
                <c:ext xmlns:c15="http://schemas.microsoft.com/office/drawing/2012/chart" uri="{CE6537A1-D6FC-4f65-9D91-7224C49458BB}"/>
              </c:extLst>
            </c:dLbl>
            <c:dLbl>
              <c:idx val="6"/>
              <c:layout>
                <c:manualLayout>
                  <c:x val="-1.5677709500843434E-16"/>
                  <c:y val="-3.2470286192391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DA25-4B9A-A0E3-707C6EE220D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DP'!$C$10:$I$10</c:f>
              <c:numCache>
                <c:formatCode>#,##0.00</c:formatCode>
                <c:ptCount val="7"/>
                <c:pt idx="0">
                  <c:v>72636.299999999988</c:v>
                </c:pt>
                <c:pt idx="1">
                  <c:v>57604.700000000004</c:v>
                </c:pt>
                <c:pt idx="2">
                  <c:v>57881.299999999996</c:v>
                </c:pt>
                <c:pt idx="3">
                  <c:v>58451.500000000007</c:v>
                </c:pt>
                <c:pt idx="4">
                  <c:v>59303.000000000007</c:v>
                </c:pt>
                <c:pt idx="5">
                  <c:v>43269.1</c:v>
                </c:pt>
                <c:pt idx="6">
                  <c:v>36402.1</c:v>
                </c:pt>
              </c:numCache>
            </c:numRef>
          </c:val>
          <c:smooth val="0"/>
          <c:extLst xmlns:c16r2="http://schemas.microsoft.com/office/drawing/2015/06/chart">
            <c:ext xmlns:c16="http://schemas.microsoft.com/office/drawing/2014/chart" uri="{C3380CC4-5D6E-409C-BE32-E72D297353CC}">
              <c16:uniqueId val="{00000025-DA25-4B9A-A0E3-707C6EE220D6}"/>
            </c:ext>
          </c:extLst>
        </c:ser>
        <c:dLbls>
          <c:showLegendKey val="0"/>
          <c:showVal val="1"/>
          <c:showCatName val="0"/>
          <c:showSerName val="0"/>
          <c:showPercent val="0"/>
          <c:showBubbleSize val="0"/>
        </c:dLbls>
        <c:marker val="1"/>
        <c:smooth val="0"/>
        <c:axId val="151817696"/>
        <c:axId val="151818088"/>
      </c:lineChart>
      <c:dateAx>
        <c:axId val="151817696"/>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51818088"/>
        <c:crosses val="autoZero"/>
        <c:auto val="1"/>
        <c:lblOffset val="100"/>
        <c:baseTimeUnit val="years"/>
      </c:dateAx>
      <c:valAx>
        <c:axId val="151818088"/>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51817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F7F7-B47E-461C-A3DB-28AD637F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20141</Words>
  <Characters>114808</Characters>
  <Application>Microsoft Office Word</Application>
  <DocSecurity>4</DocSecurity>
  <Lines>956</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 Irina</dc:creator>
  <cp:keywords/>
  <dc:description/>
  <cp:lastModifiedBy>Paiu Eugenia</cp:lastModifiedBy>
  <cp:revision>2</cp:revision>
  <cp:lastPrinted>2021-06-30T07:53:00Z</cp:lastPrinted>
  <dcterms:created xsi:type="dcterms:W3CDTF">2021-06-30T10:06:00Z</dcterms:created>
  <dcterms:modified xsi:type="dcterms:W3CDTF">2021-06-30T10:06:00Z</dcterms:modified>
</cp:coreProperties>
</file>