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8B9" w:rsidRPr="00AB3F50" w:rsidRDefault="009408B9" w:rsidP="003F2560">
      <w:pPr>
        <w:pStyle w:val="cn"/>
        <w:spacing w:line="276" w:lineRule="auto"/>
        <w:ind w:left="-567"/>
        <w:rPr>
          <w:lang w:val="ro-MD"/>
        </w:rPr>
      </w:pPr>
      <w:r w:rsidRPr="00AB3F50">
        <w:rPr>
          <w:noProof/>
          <w:sz w:val="26"/>
          <w:szCs w:val="26"/>
        </w:rPr>
        <w:drawing>
          <wp:inline distT="0" distB="0" distL="0" distR="0" wp14:anchorId="210B5F82" wp14:editId="4C5BBF30">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3F2560" w:rsidRPr="00AB3F50" w:rsidRDefault="003F2560" w:rsidP="003F2560">
      <w:pPr>
        <w:spacing w:after="0" w:line="276" w:lineRule="auto"/>
        <w:jc w:val="center"/>
        <w:rPr>
          <w:rFonts w:ascii="Times New Roman" w:eastAsia="Times New Roman" w:hAnsi="Times New Roman" w:cs="Times New Roman"/>
          <w:b/>
          <w:bCs/>
          <w:sz w:val="16"/>
          <w:szCs w:val="16"/>
          <w:lang w:val="ro-MD"/>
        </w:rPr>
      </w:pPr>
    </w:p>
    <w:p w:rsidR="003F2560" w:rsidRPr="00C45B3D" w:rsidRDefault="003F2560" w:rsidP="003F2560">
      <w:pPr>
        <w:spacing w:after="0" w:line="276" w:lineRule="auto"/>
        <w:ind w:left="-567"/>
        <w:jc w:val="center"/>
        <w:rPr>
          <w:rFonts w:ascii="Calibri Light" w:eastAsia="Times New Roman" w:hAnsi="Calibri Light" w:cs="Calibri Light"/>
          <w:bCs/>
          <w:sz w:val="24"/>
          <w:szCs w:val="24"/>
          <w:lang w:val="ro-MD"/>
        </w:rPr>
      </w:pPr>
      <w:r w:rsidRPr="00C45B3D">
        <w:rPr>
          <w:rFonts w:ascii="Calibri Light" w:eastAsia="Times New Roman" w:hAnsi="Calibri Light" w:cs="Calibri Light"/>
          <w:bCs/>
          <w:sz w:val="24"/>
          <w:szCs w:val="24"/>
          <w:lang w:val="ro-MD"/>
        </w:rPr>
        <w:t>CURTEA DE CONTURI A REPUBLICII MOLDOVA</w:t>
      </w:r>
    </w:p>
    <w:p w:rsidR="003F2560" w:rsidRPr="00AB3F50" w:rsidRDefault="003F2560" w:rsidP="003F2560">
      <w:pPr>
        <w:spacing w:after="0" w:line="276" w:lineRule="auto"/>
        <w:ind w:left="-567"/>
        <w:jc w:val="center"/>
        <w:rPr>
          <w:rFonts w:ascii="Calibri Light" w:eastAsia="Times New Roman" w:hAnsi="Calibri Light" w:cs="Calibri Light"/>
          <w:bCs/>
          <w:sz w:val="28"/>
          <w:szCs w:val="28"/>
          <w:lang w:val="ro-MD"/>
        </w:rPr>
      </w:pPr>
    </w:p>
    <w:p w:rsidR="003F2560" w:rsidRPr="00C45B3D" w:rsidRDefault="003F2560" w:rsidP="003F2560">
      <w:pPr>
        <w:spacing w:after="0" w:line="276" w:lineRule="auto"/>
        <w:ind w:left="-567"/>
        <w:jc w:val="center"/>
        <w:rPr>
          <w:rFonts w:ascii="Calibri Light" w:eastAsia="Times New Roman" w:hAnsi="Calibri Light" w:cs="Calibri Light"/>
          <w:b/>
          <w:bCs/>
          <w:sz w:val="24"/>
          <w:szCs w:val="24"/>
          <w:lang w:val="ro-MD"/>
        </w:rPr>
      </w:pPr>
      <w:bookmarkStart w:id="0" w:name="_Toc450123757"/>
      <w:r w:rsidRPr="00C45B3D">
        <w:rPr>
          <w:rFonts w:ascii="Calibri Light" w:eastAsia="Times New Roman" w:hAnsi="Calibri Light" w:cs="Calibri Light"/>
          <w:b/>
          <w:bCs/>
          <w:sz w:val="24"/>
          <w:szCs w:val="24"/>
          <w:lang w:val="ro-MD"/>
        </w:rPr>
        <w:t>H O T Ă R Â R E A nr.</w:t>
      </w:r>
      <w:bookmarkEnd w:id="0"/>
      <w:r w:rsidR="00273F10">
        <w:rPr>
          <w:rFonts w:ascii="Calibri Light" w:eastAsia="Times New Roman" w:hAnsi="Calibri Light" w:cs="Calibri Light"/>
          <w:b/>
          <w:bCs/>
          <w:sz w:val="24"/>
          <w:szCs w:val="24"/>
          <w:lang w:val="ro-MD"/>
        </w:rPr>
        <w:t>31</w:t>
      </w:r>
      <w:r w:rsidR="00A60FC2">
        <w:rPr>
          <w:rFonts w:ascii="Calibri Light" w:eastAsia="Times New Roman" w:hAnsi="Calibri Light" w:cs="Calibri Light"/>
          <w:b/>
          <w:bCs/>
          <w:sz w:val="24"/>
          <w:szCs w:val="24"/>
          <w:lang w:val="ro-MD"/>
        </w:rPr>
        <w:t xml:space="preserve"> </w:t>
      </w:r>
    </w:p>
    <w:p w:rsidR="003F2560" w:rsidRPr="00C45B3D" w:rsidRDefault="003F2560" w:rsidP="003F2560">
      <w:pPr>
        <w:spacing w:after="0" w:line="276" w:lineRule="auto"/>
        <w:ind w:left="-567"/>
        <w:jc w:val="center"/>
        <w:rPr>
          <w:rFonts w:ascii="Calibri Light" w:eastAsia="Times New Roman" w:hAnsi="Calibri Light" w:cs="Calibri Light"/>
          <w:b/>
          <w:bCs/>
          <w:sz w:val="24"/>
          <w:szCs w:val="24"/>
          <w:lang w:val="ro-MD"/>
        </w:rPr>
      </w:pPr>
      <w:r w:rsidRPr="00C45B3D">
        <w:rPr>
          <w:rFonts w:ascii="Calibri Light" w:eastAsia="Times New Roman" w:hAnsi="Calibri Light" w:cs="Calibri Light"/>
          <w:b/>
          <w:bCs/>
          <w:sz w:val="24"/>
          <w:szCs w:val="24"/>
          <w:lang w:val="ro-MD"/>
        </w:rPr>
        <w:t xml:space="preserve">din </w:t>
      </w:r>
      <w:r w:rsidR="00F764B1">
        <w:rPr>
          <w:rFonts w:ascii="Calibri Light" w:eastAsia="Times New Roman" w:hAnsi="Calibri Light" w:cs="Calibri Light"/>
          <w:b/>
          <w:bCs/>
          <w:sz w:val="24"/>
          <w:szCs w:val="24"/>
          <w:lang w:val="ro-MD"/>
        </w:rPr>
        <w:t>28</w:t>
      </w:r>
      <w:r w:rsidR="00A60FC2">
        <w:rPr>
          <w:rFonts w:ascii="Calibri Light" w:eastAsia="Times New Roman" w:hAnsi="Calibri Light" w:cs="Calibri Light"/>
          <w:b/>
          <w:bCs/>
          <w:sz w:val="24"/>
          <w:szCs w:val="24"/>
          <w:lang w:val="ro-MD"/>
        </w:rPr>
        <w:t xml:space="preserve"> iunie 2021</w:t>
      </w:r>
    </w:p>
    <w:p w:rsidR="00C1129F" w:rsidRDefault="003F2560" w:rsidP="00F764B1">
      <w:pPr>
        <w:spacing w:after="0" w:line="276" w:lineRule="auto"/>
        <w:ind w:left="-567"/>
        <w:jc w:val="center"/>
        <w:rPr>
          <w:rFonts w:asciiTheme="majorHAnsi" w:eastAsia="Times New Roman" w:hAnsiTheme="majorHAnsi" w:cstheme="majorHAnsi"/>
          <w:b/>
          <w:bCs/>
          <w:sz w:val="24"/>
          <w:szCs w:val="24"/>
          <w:lang w:val="ro-MD" w:eastAsia="ru-RU"/>
        </w:rPr>
      </w:pPr>
      <w:r w:rsidRPr="00C45B3D">
        <w:rPr>
          <w:rFonts w:asciiTheme="majorHAnsi" w:eastAsia="Times New Roman" w:hAnsiTheme="majorHAnsi" w:cstheme="majorHAnsi"/>
          <w:b/>
          <w:bCs/>
          <w:sz w:val="24"/>
          <w:szCs w:val="24"/>
          <w:lang w:val="ro-MD" w:eastAsia="ru-RU"/>
        </w:rPr>
        <w:t xml:space="preserve">cu privire la Raportul auditului </w:t>
      </w:r>
      <w:r w:rsidR="00F764B1">
        <w:rPr>
          <w:rFonts w:asciiTheme="majorHAnsi" w:eastAsia="Times New Roman" w:hAnsiTheme="majorHAnsi" w:cstheme="majorHAnsi"/>
          <w:b/>
          <w:bCs/>
          <w:sz w:val="24"/>
          <w:szCs w:val="24"/>
          <w:lang w:val="ro-MD" w:eastAsia="ru-RU"/>
        </w:rPr>
        <w:t xml:space="preserve">conformității </w:t>
      </w:r>
      <w:r w:rsidR="00C1129F">
        <w:rPr>
          <w:rFonts w:asciiTheme="majorHAnsi" w:eastAsia="Times New Roman" w:hAnsiTheme="majorHAnsi" w:cstheme="majorHAnsi"/>
          <w:b/>
          <w:bCs/>
          <w:sz w:val="24"/>
          <w:szCs w:val="24"/>
          <w:lang w:val="ro-MD" w:eastAsia="ru-RU"/>
        </w:rPr>
        <w:t xml:space="preserve">asupra </w:t>
      </w:r>
      <w:r w:rsidR="00F764B1">
        <w:rPr>
          <w:rFonts w:asciiTheme="majorHAnsi" w:eastAsia="Times New Roman" w:hAnsiTheme="majorHAnsi" w:cstheme="majorHAnsi"/>
          <w:b/>
          <w:bCs/>
          <w:sz w:val="24"/>
          <w:szCs w:val="24"/>
          <w:lang w:val="ro-MD" w:eastAsia="ru-RU"/>
        </w:rPr>
        <w:t xml:space="preserve">managementului datoriei de stat, </w:t>
      </w:r>
    </w:p>
    <w:p w:rsidR="003F2560" w:rsidRPr="00C45B3D" w:rsidRDefault="00F764B1" w:rsidP="00F764B1">
      <w:pPr>
        <w:spacing w:after="0" w:line="276" w:lineRule="auto"/>
        <w:ind w:left="-567"/>
        <w:jc w:val="center"/>
        <w:rPr>
          <w:rFonts w:asciiTheme="majorHAnsi" w:eastAsia="Times New Roman" w:hAnsiTheme="majorHAnsi" w:cstheme="majorHAnsi"/>
          <w:b/>
          <w:bCs/>
          <w:sz w:val="24"/>
          <w:szCs w:val="24"/>
          <w:lang w:val="ro-MD" w:eastAsia="ru-RU"/>
        </w:rPr>
      </w:pPr>
      <w:r>
        <w:rPr>
          <w:rFonts w:asciiTheme="majorHAnsi" w:eastAsia="Times New Roman" w:hAnsiTheme="majorHAnsi" w:cstheme="majorHAnsi"/>
          <w:b/>
          <w:bCs/>
          <w:sz w:val="24"/>
          <w:szCs w:val="24"/>
          <w:lang w:val="ro-MD" w:eastAsia="ru-RU"/>
        </w:rPr>
        <w:t>garanțiilor de stat și recreditării de stat în anul</w:t>
      </w:r>
      <w:r w:rsidR="003F2560" w:rsidRPr="00C45B3D">
        <w:rPr>
          <w:rFonts w:asciiTheme="majorHAnsi" w:eastAsia="Times New Roman" w:hAnsiTheme="majorHAnsi" w:cstheme="majorHAnsi"/>
          <w:b/>
          <w:bCs/>
          <w:sz w:val="24"/>
          <w:szCs w:val="24"/>
          <w:lang w:val="ro-MD" w:eastAsia="ru-RU"/>
        </w:rPr>
        <w:t xml:space="preserve"> 20</w:t>
      </w:r>
      <w:r w:rsidR="00A60FC2">
        <w:rPr>
          <w:rFonts w:asciiTheme="majorHAnsi" w:eastAsia="Times New Roman" w:hAnsiTheme="majorHAnsi" w:cstheme="majorHAnsi"/>
          <w:b/>
          <w:bCs/>
          <w:sz w:val="24"/>
          <w:szCs w:val="24"/>
          <w:lang w:val="ro-MD" w:eastAsia="ru-RU"/>
        </w:rPr>
        <w:t>20</w:t>
      </w:r>
    </w:p>
    <w:p w:rsidR="003F2560" w:rsidRPr="00AB3F50" w:rsidRDefault="003F2560" w:rsidP="003F2560">
      <w:pPr>
        <w:spacing w:after="0" w:line="276" w:lineRule="auto"/>
        <w:ind w:left="-567"/>
        <w:jc w:val="center"/>
        <w:rPr>
          <w:rFonts w:asciiTheme="majorHAnsi" w:eastAsia="Times New Roman" w:hAnsiTheme="majorHAnsi" w:cstheme="majorHAnsi"/>
          <w:sz w:val="16"/>
          <w:szCs w:val="16"/>
          <w:lang w:val="ro-MD"/>
        </w:rPr>
      </w:pPr>
    </w:p>
    <w:p w:rsidR="0001475E" w:rsidRDefault="003F2560" w:rsidP="00126438">
      <w:pPr>
        <w:spacing w:after="0" w:line="276" w:lineRule="auto"/>
        <w:ind w:firstLine="720"/>
        <w:jc w:val="both"/>
        <w:rPr>
          <w:rFonts w:asciiTheme="majorHAnsi" w:eastAsia="Times New Roman" w:hAnsiTheme="majorHAnsi" w:cstheme="majorHAnsi"/>
          <w:bCs/>
          <w:sz w:val="24"/>
          <w:szCs w:val="24"/>
          <w:lang w:val="ro-RO" w:eastAsia="ru-RU"/>
        </w:rPr>
      </w:pPr>
      <w:r w:rsidRPr="00AB3F50">
        <w:rPr>
          <w:rFonts w:asciiTheme="majorHAnsi" w:hAnsiTheme="majorHAnsi" w:cstheme="majorHAnsi"/>
          <w:sz w:val="24"/>
          <w:szCs w:val="24"/>
          <w:lang w:val="ro-RO"/>
        </w:rPr>
        <w:t xml:space="preserve">Curtea de Conturi, </w:t>
      </w:r>
      <w:r w:rsidR="0001475E">
        <w:rPr>
          <w:rFonts w:asciiTheme="majorHAnsi" w:eastAsia="Times New Roman" w:hAnsiTheme="majorHAnsi" w:cstheme="majorHAnsi"/>
          <w:sz w:val="24"/>
          <w:szCs w:val="24"/>
          <w:lang w:val="ro-RO"/>
        </w:rPr>
        <w:t xml:space="preserve">în prezența </w:t>
      </w:r>
      <w:r w:rsidR="0089689D" w:rsidRPr="0089689D">
        <w:rPr>
          <w:rFonts w:asciiTheme="majorHAnsi" w:eastAsia="Times New Roman" w:hAnsiTheme="majorHAnsi" w:cstheme="majorHAnsi"/>
          <w:sz w:val="24"/>
          <w:szCs w:val="24"/>
          <w:lang w:val="ro-RO"/>
        </w:rPr>
        <w:t>d</w:t>
      </w:r>
      <w:r w:rsidR="00CC3051">
        <w:rPr>
          <w:rFonts w:asciiTheme="majorHAnsi" w:eastAsia="Times New Roman" w:hAnsiTheme="majorHAnsi" w:cstheme="majorHAnsi"/>
          <w:sz w:val="24"/>
          <w:szCs w:val="24"/>
          <w:lang w:val="ro-RO"/>
        </w:rPr>
        <w:t>nei</w:t>
      </w:r>
      <w:r w:rsidR="0089689D" w:rsidRPr="0089689D">
        <w:rPr>
          <w:rFonts w:asciiTheme="majorHAnsi" w:eastAsia="Times New Roman" w:hAnsiTheme="majorHAnsi" w:cstheme="majorHAnsi"/>
          <w:sz w:val="24"/>
          <w:szCs w:val="24"/>
          <w:lang w:val="ro-RO"/>
        </w:rPr>
        <w:t xml:space="preserve"> </w:t>
      </w:r>
      <w:r w:rsidR="00CC3051">
        <w:rPr>
          <w:rFonts w:asciiTheme="majorHAnsi" w:eastAsia="Times New Roman" w:hAnsiTheme="majorHAnsi" w:cstheme="majorHAnsi"/>
          <w:sz w:val="24"/>
          <w:szCs w:val="24"/>
          <w:lang w:val="ro-RO"/>
        </w:rPr>
        <w:t xml:space="preserve">Tatiana </w:t>
      </w:r>
      <w:proofErr w:type="spellStart"/>
      <w:r w:rsidR="00CC3051">
        <w:rPr>
          <w:rFonts w:asciiTheme="majorHAnsi" w:eastAsia="Times New Roman" w:hAnsiTheme="majorHAnsi" w:cstheme="majorHAnsi"/>
          <w:sz w:val="24"/>
          <w:szCs w:val="24"/>
          <w:lang w:val="ro-RO"/>
        </w:rPr>
        <w:t>Ivanicichina</w:t>
      </w:r>
      <w:proofErr w:type="spellEnd"/>
      <w:r w:rsidR="0089689D" w:rsidRPr="0089689D">
        <w:rPr>
          <w:rFonts w:asciiTheme="majorHAnsi" w:eastAsia="Times New Roman" w:hAnsiTheme="majorHAnsi" w:cstheme="majorHAnsi"/>
          <w:sz w:val="24"/>
          <w:szCs w:val="24"/>
          <w:lang w:val="ro-RO"/>
        </w:rPr>
        <w:t>, Secretar</w:t>
      </w:r>
      <w:r w:rsidR="005B7953">
        <w:rPr>
          <w:rFonts w:asciiTheme="majorHAnsi" w:eastAsia="Times New Roman" w:hAnsiTheme="majorHAnsi" w:cstheme="majorHAnsi"/>
          <w:sz w:val="24"/>
          <w:szCs w:val="24"/>
          <w:lang w:val="ro-RO"/>
        </w:rPr>
        <w:t xml:space="preserve"> de stat</w:t>
      </w:r>
      <w:r w:rsidR="0089689D" w:rsidRPr="0089689D">
        <w:rPr>
          <w:rFonts w:asciiTheme="majorHAnsi" w:eastAsia="Times New Roman" w:hAnsiTheme="majorHAnsi" w:cstheme="majorHAnsi"/>
          <w:sz w:val="24"/>
          <w:szCs w:val="24"/>
          <w:lang w:val="ro-RO"/>
        </w:rPr>
        <w:t xml:space="preserve"> </w:t>
      </w:r>
      <w:r w:rsidRPr="00AB3F50">
        <w:rPr>
          <w:rFonts w:asciiTheme="majorHAnsi" w:eastAsia="Times New Roman" w:hAnsiTheme="majorHAnsi" w:cstheme="majorHAnsi"/>
          <w:sz w:val="24"/>
          <w:szCs w:val="24"/>
          <w:lang w:val="ro-RO"/>
        </w:rPr>
        <w:t xml:space="preserve">al </w:t>
      </w:r>
      <w:r>
        <w:rPr>
          <w:rFonts w:asciiTheme="majorHAnsi" w:eastAsia="Times New Roman" w:hAnsiTheme="majorHAnsi" w:cstheme="majorHAnsi"/>
          <w:sz w:val="24"/>
          <w:szCs w:val="24"/>
          <w:lang w:val="ro-RO"/>
        </w:rPr>
        <w:t xml:space="preserve">Ministerului </w:t>
      </w:r>
      <w:r w:rsidRPr="00AB3F50">
        <w:rPr>
          <w:rFonts w:asciiTheme="majorHAnsi" w:eastAsia="Times New Roman" w:hAnsiTheme="majorHAnsi" w:cstheme="majorHAnsi"/>
          <w:sz w:val="24"/>
          <w:szCs w:val="24"/>
          <w:lang w:val="ro-RO"/>
        </w:rPr>
        <w:t>F</w:t>
      </w:r>
      <w:r>
        <w:rPr>
          <w:rFonts w:asciiTheme="majorHAnsi" w:eastAsia="Times New Roman" w:hAnsiTheme="majorHAnsi" w:cstheme="majorHAnsi"/>
          <w:sz w:val="24"/>
          <w:szCs w:val="24"/>
          <w:lang w:val="ro-RO"/>
        </w:rPr>
        <w:t>inanțelor;</w:t>
      </w:r>
      <w:r w:rsidR="0001475E">
        <w:rPr>
          <w:rFonts w:asciiTheme="majorHAnsi" w:hAnsiTheme="majorHAnsi" w:cstheme="majorHAnsi"/>
          <w:sz w:val="24"/>
          <w:szCs w:val="24"/>
          <w:lang w:val="ro-RO"/>
        </w:rPr>
        <w:t xml:space="preserve"> dnei Gabriela </w:t>
      </w:r>
      <w:proofErr w:type="spellStart"/>
      <w:r w:rsidR="0001475E">
        <w:rPr>
          <w:rFonts w:asciiTheme="majorHAnsi" w:hAnsiTheme="majorHAnsi" w:cstheme="majorHAnsi"/>
          <w:sz w:val="24"/>
          <w:szCs w:val="24"/>
          <w:lang w:val="ro-RO"/>
        </w:rPr>
        <w:t>Cuneva</w:t>
      </w:r>
      <w:proofErr w:type="spellEnd"/>
      <w:r w:rsidR="0001475E">
        <w:rPr>
          <w:rFonts w:asciiTheme="majorHAnsi" w:hAnsiTheme="majorHAnsi" w:cstheme="majorHAnsi"/>
          <w:sz w:val="24"/>
          <w:szCs w:val="24"/>
          <w:lang w:val="ro-RO"/>
        </w:rPr>
        <w:t>, Secretar de stat al Ministerului Finanțelor</w:t>
      </w:r>
      <w:r w:rsidR="007C31A0">
        <w:rPr>
          <w:rFonts w:asciiTheme="majorHAnsi" w:hAnsiTheme="majorHAnsi" w:cstheme="majorHAnsi"/>
          <w:sz w:val="24"/>
          <w:szCs w:val="24"/>
          <w:lang w:val="ro-RO"/>
        </w:rPr>
        <w:t xml:space="preserve">; </w:t>
      </w:r>
      <w:r w:rsidRPr="00AB3F50">
        <w:rPr>
          <w:rFonts w:asciiTheme="majorHAnsi" w:hAnsiTheme="majorHAnsi" w:cstheme="majorHAnsi"/>
          <w:sz w:val="24"/>
          <w:szCs w:val="24"/>
          <w:lang w:val="ro-RO"/>
        </w:rPr>
        <w:t>dnei</w:t>
      </w:r>
      <w:r w:rsidR="0001475E">
        <w:rPr>
          <w:rFonts w:asciiTheme="majorHAnsi" w:hAnsiTheme="majorHAnsi" w:cstheme="majorHAnsi"/>
          <w:sz w:val="24"/>
          <w:szCs w:val="24"/>
          <w:lang w:val="ro-RO"/>
        </w:rPr>
        <w:t xml:space="preserve"> Elena </w:t>
      </w:r>
      <w:proofErr w:type="spellStart"/>
      <w:r w:rsidR="0001475E">
        <w:rPr>
          <w:rFonts w:asciiTheme="majorHAnsi" w:hAnsiTheme="majorHAnsi" w:cstheme="majorHAnsi"/>
          <w:sz w:val="24"/>
          <w:szCs w:val="24"/>
          <w:lang w:val="ro-RO"/>
        </w:rPr>
        <w:t>Matveeva</w:t>
      </w:r>
      <w:proofErr w:type="spellEnd"/>
      <w:r w:rsidR="0001475E">
        <w:rPr>
          <w:rFonts w:asciiTheme="majorHAnsi" w:hAnsiTheme="majorHAnsi" w:cstheme="majorHAnsi"/>
          <w:sz w:val="24"/>
          <w:szCs w:val="24"/>
          <w:lang w:val="ro-RO"/>
        </w:rPr>
        <w:t>, șef</w:t>
      </w:r>
      <w:r w:rsidRPr="00AB3F50">
        <w:rPr>
          <w:rFonts w:asciiTheme="majorHAnsi" w:hAnsiTheme="majorHAnsi" w:cstheme="majorHAnsi"/>
          <w:sz w:val="24"/>
          <w:szCs w:val="24"/>
          <w:lang w:val="ro-RO"/>
        </w:rPr>
        <w:t xml:space="preserve"> a</w:t>
      </w:r>
      <w:r>
        <w:rPr>
          <w:rFonts w:asciiTheme="majorHAnsi" w:hAnsiTheme="majorHAnsi" w:cstheme="majorHAnsi"/>
          <w:sz w:val="24"/>
          <w:szCs w:val="24"/>
          <w:lang w:val="ro-RO"/>
        </w:rPr>
        <w:t>l</w:t>
      </w:r>
      <w:r w:rsidRPr="00AB3F50">
        <w:rPr>
          <w:rFonts w:asciiTheme="majorHAnsi" w:hAnsiTheme="majorHAnsi" w:cstheme="majorHAnsi"/>
          <w:sz w:val="24"/>
          <w:szCs w:val="24"/>
          <w:lang w:val="ro-RO"/>
        </w:rPr>
        <w:t xml:space="preserve"> Direcției </w:t>
      </w:r>
      <w:r w:rsidR="005B7953">
        <w:rPr>
          <w:rFonts w:asciiTheme="majorHAnsi" w:hAnsiTheme="majorHAnsi" w:cstheme="majorHAnsi"/>
          <w:sz w:val="24"/>
          <w:szCs w:val="24"/>
          <w:lang w:val="ro-RO"/>
        </w:rPr>
        <w:t>datori</w:t>
      </w:r>
      <w:r w:rsidR="0001475E">
        <w:rPr>
          <w:rFonts w:asciiTheme="majorHAnsi" w:hAnsiTheme="majorHAnsi" w:cstheme="majorHAnsi"/>
          <w:sz w:val="24"/>
          <w:szCs w:val="24"/>
          <w:lang w:val="ro-RO"/>
        </w:rPr>
        <w:t>i publice din cadrul</w:t>
      </w:r>
      <w:r w:rsidRPr="00AB3F50">
        <w:rPr>
          <w:rFonts w:asciiTheme="majorHAnsi" w:hAnsiTheme="majorHAnsi" w:cstheme="majorHAnsi"/>
          <w:sz w:val="24"/>
          <w:szCs w:val="24"/>
          <w:lang w:val="ro-RO"/>
        </w:rPr>
        <w:t xml:space="preserve"> Ministerului Finanțelor;</w:t>
      </w:r>
      <w:r>
        <w:rPr>
          <w:rFonts w:asciiTheme="majorHAnsi" w:hAnsiTheme="majorHAnsi" w:cstheme="majorHAnsi"/>
          <w:sz w:val="24"/>
          <w:szCs w:val="24"/>
          <w:lang w:val="ro-RO"/>
        </w:rPr>
        <w:t xml:space="preserve"> </w:t>
      </w:r>
      <w:r w:rsidR="005B7953">
        <w:rPr>
          <w:rFonts w:asciiTheme="majorHAnsi" w:hAnsiTheme="majorHAnsi" w:cstheme="majorHAnsi"/>
          <w:sz w:val="24"/>
          <w:szCs w:val="24"/>
          <w:lang w:val="ro-RO"/>
        </w:rPr>
        <w:t xml:space="preserve">dlui Alexandru </w:t>
      </w:r>
      <w:proofErr w:type="spellStart"/>
      <w:r w:rsidR="005B7953">
        <w:rPr>
          <w:rFonts w:asciiTheme="majorHAnsi" w:hAnsiTheme="majorHAnsi" w:cstheme="majorHAnsi"/>
          <w:sz w:val="24"/>
          <w:szCs w:val="24"/>
          <w:lang w:val="ro-RO"/>
        </w:rPr>
        <w:t>Rodideal</w:t>
      </w:r>
      <w:proofErr w:type="spellEnd"/>
      <w:r w:rsidR="005B7953">
        <w:rPr>
          <w:rFonts w:asciiTheme="majorHAnsi" w:hAnsiTheme="majorHAnsi" w:cstheme="majorHAnsi"/>
          <w:sz w:val="24"/>
          <w:szCs w:val="24"/>
          <w:lang w:val="ro-RO"/>
        </w:rPr>
        <w:t xml:space="preserve">, șef al Secției datoria externă și recreditare din cadrul Ministerului Finanțelor; </w:t>
      </w:r>
      <w:r>
        <w:rPr>
          <w:rFonts w:asciiTheme="majorHAnsi" w:hAnsiTheme="majorHAnsi" w:cstheme="majorHAnsi"/>
          <w:sz w:val="24"/>
          <w:szCs w:val="24"/>
          <w:lang w:val="ro-RO"/>
        </w:rPr>
        <w:t xml:space="preserve">dnei </w:t>
      </w:r>
      <w:proofErr w:type="spellStart"/>
      <w:r w:rsidR="0001475E">
        <w:rPr>
          <w:rFonts w:asciiTheme="majorHAnsi" w:hAnsiTheme="majorHAnsi" w:cstheme="majorHAnsi"/>
          <w:sz w:val="24"/>
          <w:szCs w:val="24"/>
          <w:lang w:val="ro-RO"/>
        </w:rPr>
        <w:t>Raisa</w:t>
      </w:r>
      <w:proofErr w:type="spellEnd"/>
      <w:r w:rsidR="0001475E">
        <w:rPr>
          <w:rFonts w:asciiTheme="majorHAnsi" w:hAnsiTheme="majorHAnsi" w:cstheme="majorHAnsi"/>
          <w:sz w:val="24"/>
          <w:szCs w:val="24"/>
          <w:lang w:val="ro-RO"/>
        </w:rPr>
        <w:t xml:space="preserve"> Cantemir</w:t>
      </w:r>
      <w:r>
        <w:rPr>
          <w:rFonts w:asciiTheme="majorHAnsi" w:hAnsiTheme="majorHAnsi" w:cstheme="majorHAnsi"/>
          <w:sz w:val="24"/>
          <w:szCs w:val="24"/>
          <w:lang w:val="ro-RO"/>
        </w:rPr>
        <w:t xml:space="preserve">, </w:t>
      </w:r>
      <w:r w:rsidR="0001475E">
        <w:rPr>
          <w:rFonts w:asciiTheme="majorHAnsi" w:hAnsiTheme="majorHAnsi" w:cstheme="majorHAnsi"/>
          <w:sz w:val="24"/>
          <w:szCs w:val="24"/>
          <w:lang w:val="ro-RO"/>
        </w:rPr>
        <w:t>Director al Instituției Publice „Oficiu</w:t>
      </w:r>
      <w:r w:rsidR="00C1129F">
        <w:rPr>
          <w:rFonts w:asciiTheme="majorHAnsi" w:hAnsiTheme="majorHAnsi" w:cstheme="majorHAnsi"/>
          <w:sz w:val="24"/>
          <w:szCs w:val="24"/>
          <w:lang w:val="ro-RO"/>
        </w:rPr>
        <w:t>l</w:t>
      </w:r>
      <w:r w:rsidR="0001475E">
        <w:rPr>
          <w:rFonts w:asciiTheme="majorHAnsi" w:hAnsiTheme="majorHAnsi" w:cstheme="majorHAnsi"/>
          <w:sz w:val="24"/>
          <w:szCs w:val="24"/>
          <w:lang w:val="ro-RO"/>
        </w:rPr>
        <w:t xml:space="preserve"> de Gestionare a Programelor de Asistență Externă”</w:t>
      </w:r>
      <w:r w:rsidRPr="00A60FC2">
        <w:rPr>
          <w:rFonts w:asciiTheme="majorHAnsi" w:hAnsiTheme="majorHAnsi" w:cstheme="majorHAnsi"/>
          <w:sz w:val="24"/>
          <w:szCs w:val="24"/>
          <w:lang w:val="ro-RO"/>
        </w:rPr>
        <w:t xml:space="preserve">, în cadrul ședinței video, în legătură cu </w:t>
      </w:r>
      <w:r w:rsidRPr="00A60FC2">
        <w:rPr>
          <w:rFonts w:ascii="Calibri Light" w:hAnsi="Calibri Light" w:cs="Calibri Light"/>
          <w:sz w:val="24"/>
          <w:szCs w:val="24"/>
          <w:shd w:val="clear" w:color="auto" w:fill="FFFFFF"/>
          <w:lang w:val="ro-RO"/>
        </w:rPr>
        <w:t> </w:t>
      </w:r>
      <w:r w:rsidR="00A60FC2" w:rsidRPr="00A60FC2">
        <w:rPr>
          <w:rFonts w:ascii="Calibri Light" w:hAnsi="Calibri Light" w:cs="Calibri Light"/>
          <w:sz w:val="24"/>
          <w:szCs w:val="24"/>
          <w:shd w:val="clear" w:color="auto" w:fill="FFFFFF"/>
          <w:lang w:val="ro-RO"/>
        </w:rPr>
        <w:t xml:space="preserve">evoluția și tendința situației epidemiologice </w:t>
      </w:r>
      <w:r w:rsidR="000F2548">
        <w:rPr>
          <w:rFonts w:ascii="Calibri Light" w:hAnsi="Calibri Light" w:cs="Calibri Light"/>
          <w:sz w:val="24"/>
          <w:szCs w:val="24"/>
          <w:shd w:val="clear" w:color="auto" w:fill="FFFFFF"/>
          <w:lang w:val="ro-RO"/>
        </w:rPr>
        <w:t xml:space="preserve">a </w:t>
      </w:r>
      <w:r w:rsidR="00A60FC2" w:rsidRPr="00A60FC2">
        <w:rPr>
          <w:rFonts w:ascii="Calibri Light" w:hAnsi="Calibri Light" w:cs="Calibri Light"/>
          <w:sz w:val="24"/>
          <w:szCs w:val="24"/>
          <w:shd w:val="clear" w:color="auto" w:fill="FFFFFF"/>
          <w:lang w:val="ro-RO"/>
        </w:rPr>
        <w:t>infecției COVID-19</w:t>
      </w:r>
      <w:r w:rsidRPr="00A60FC2">
        <w:rPr>
          <w:rFonts w:ascii="Calibri Light" w:hAnsi="Calibri Light" w:cs="Calibri Light"/>
          <w:sz w:val="24"/>
          <w:szCs w:val="24"/>
          <w:shd w:val="clear" w:color="auto" w:fill="FFFFFF"/>
          <w:lang w:val="ro-RO"/>
        </w:rPr>
        <w:t> </w:t>
      </w:r>
      <w:r w:rsidRPr="00A60FC2">
        <w:rPr>
          <w:rFonts w:asciiTheme="majorHAnsi" w:hAnsiTheme="majorHAnsi" w:cstheme="majorHAnsi"/>
          <w:sz w:val="24"/>
          <w:szCs w:val="24"/>
          <w:lang w:val="ro-RO"/>
        </w:rPr>
        <w:t xml:space="preserve"> în Republica Moldova, </w:t>
      </w:r>
      <w:r w:rsidRPr="00A60FC2">
        <w:rPr>
          <w:rFonts w:asciiTheme="majorHAnsi" w:hAnsiTheme="majorHAnsi" w:cstheme="majorHAnsi"/>
          <w:bCs/>
          <w:sz w:val="24"/>
          <w:szCs w:val="24"/>
          <w:lang w:val="ro-RO"/>
        </w:rPr>
        <w:t>călăuzindu-se de</w:t>
      </w:r>
      <w:r w:rsidRPr="00A60FC2">
        <w:rPr>
          <w:rFonts w:asciiTheme="majorHAnsi" w:hAnsiTheme="majorHAnsi" w:cstheme="majorHAnsi"/>
          <w:sz w:val="24"/>
          <w:szCs w:val="24"/>
          <w:lang w:val="ro-RO"/>
        </w:rPr>
        <w:t xml:space="preserve"> art. 3 alin. (1) și art. 5 alin. (1) lit. a) din Legea privind organizarea și funcționarea Curții de Conturi a Republicii Moldova</w:t>
      </w:r>
      <w:r w:rsidRPr="00A60FC2">
        <w:rPr>
          <w:rStyle w:val="FootnoteReference1"/>
          <w:rFonts w:asciiTheme="majorHAnsi" w:hAnsiTheme="majorHAnsi" w:cstheme="majorHAnsi"/>
          <w:sz w:val="24"/>
          <w:szCs w:val="24"/>
          <w:lang w:val="ro-RO"/>
        </w:rPr>
        <w:footnoteReference w:id="1"/>
      </w:r>
      <w:r w:rsidRPr="00A60FC2">
        <w:rPr>
          <w:rFonts w:asciiTheme="majorHAnsi" w:hAnsiTheme="majorHAnsi" w:cstheme="majorHAnsi"/>
          <w:sz w:val="24"/>
          <w:szCs w:val="24"/>
          <w:lang w:val="ro-RO"/>
        </w:rPr>
        <w:t xml:space="preserve">, a examinat </w:t>
      </w:r>
      <w:r w:rsidRPr="00A60FC2">
        <w:rPr>
          <w:rFonts w:asciiTheme="majorHAnsi" w:eastAsia="Times New Roman" w:hAnsiTheme="majorHAnsi" w:cstheme="majorHAnsi"/>
          <w:bCs/>
          <w:sz w:val="24"/>
          <w:szCs w:val="24"/>
          <w:lang w:val="ro-RO" w:eastAsia="ru-RU"/>
        </w:rPr>
        <w:t xml:space="preserve">Raportul auditului </w:t>
      </w:r>
      <w:r w:rsidR="0001475E" w:rsidRPr="0001475E">
        <w:rPr>
          <w:rFonts w:asciiTheme="majorHAnsi" w:eastAsia="Times New Roman" w:hAnsiTheme="majorHAnsi" w:cstheme="majorHAnsi"/>
          <w:bCs/>
          <w:sz w:val="24"/>
          <w:szCs w:val="24"/>
          <w:lang w:val="ro-RO" w:eastAsia="ru-RU"/>
        </w:rPr>
        <w:t xml:space="preserve">conformității </w:t>
      </w:r>
      <w:r w:rsidR="00C1129F">
        <w:rPr>
          <w:rFonts w:asciiTheme="majorHAnsi" w:eastAsia="Times New Roman" w:hAnsiTheme="majorHAnsi" w:cstheme="majorHAnsi"/>
          <w:bCs/>
          <w:sz w:val="24"/>
          <w:szCs w:val="24"/>
          <w:lang w:val="ro-RO" w:eastAsia="ru-RU"/>
        </w:rPr>
        <w:t xml:space="preserve">asupra </w:t>
      </w:r>
      <w:r w:rsidR="0001475E" w:rsidRPr="0001475E">
        <w:rPr>
          <w:rFonts w:asciiTheme="majorHAnsi" w:eastAsia="Times New Roman" w:hAnsiTheme="majorHAnsi" w:cstheme="majorHAnsi"/>
          <w:bCs/>
          <w:sz w:val="24"/>
          <w:szCs w:val="24"/>
          <w:lang w:val="ro-RO" w:eastAsia="ru-RU"/>
        </w:rPr>
        <w:t>managementului datoriei de stat, garanțiilor de stat și recreditării de stat în anul 2020</w:t>
      </w:r>
      <w:r w:rsidR="0001475E">
        <w:rPr>
          <w:rFonts w:asciiTheme="majorHAnsi" w:eastAsia="Times New Roman" w:hAnsiTheme="majorHAnsi" w:cstheme="majorHAnsi"/>
          <w:bCs/>
          <w:sz w:val="24"/>
          <w:szCs w:val="24"/>
          <w:lang w:val="ro-RO" w:eastAsia="ru-RU"/>
        </w:rPr>
        <w:t>.</w:t>
      </w:r>
    </w:p>
    <w:p w:rsidR="003F2560" w:rsidRPr="00AB3F50" w:rsidRDefault="003F2560" w:rsidP="00126438">
      <w:pPr>
        <w:spacing w:after="0" w:line="276" w:lineRule="auto"/>
        <w:ind w:firstLine="720"/>
        <w:jc w:val="both"/>
        <w:rPr>
          <w:rFonts w:asciiTheme="majorHAnsi" w:hAnsiTheme="majorHAnsi" w:cstheme="majorHAnsi"/>
          <w:sz w:val="24"/>
          <w:szCs w:val="24"/>
          <w:lang w:val="ro-MD"/>
        </w:rPr>
      </w:pPr>
      <w:r w:rsidRPr="00AB3F50">
        <w:rPr>
          <w:rFonts w:asciiTheme="majorHAnsi" w:eastAsia="Times New Roman" w:hAnsiTheme="majorHAnsi" w:cstheme="majorHAnsi"/>
          <w:sz w:val="24"/>
          <w:szCs w:val="24"/>
          <w:lang w:val="ro-MD" w:eastAsia="ro-MD"/>
        </w:rPr>
        <w:t xml:space="preserve">Misiunea de audit public extern a fost realizată conform </w:t>
      </w:r>
      <w:r w:rsidRPr="00AB3F50">
        <w:rPr>
          <w:rFonts w:asciiTheme="majorHAnsi" w:hAnsiTheme="majorHAnsi" w:cstheme="majorHAnsi"/>
          <w:sz w:val="24"/>
          <w:szCs w:val="24"/>
          <w:lang w:val="ro-MD"/>
        </w:rPr>
        <w:t>Programului activității de audit a Curții de Conturi pe anul 202</w:t>
      </w:r>
      <w:r w:rsidR="00126438">
        <w:rPr>
          <w:rFonts w:asciiTheme="majorHAnsi" w:hAnsiTheme="majorHAnsi" w:cstheme="majorHAnsi"/>
          <w:sz w:val="24"/>
          <w:szCs w:val="24"/>
          <w:lang w:val="ro-MD"/>
        </w:rPr>
        <w:t>1</w:t>
      </w:r>
      <w:r w:rsidRPr="00AB3F50">
        <w:rPr>
          <w:rStyle w:val="FootnoteReference1"/>
          <w:rFonts w:asciiTheme="majorHAnsi" w:hAnsiTheme="majorHAnsi" w:cstheme="majorHAnsi"/>
          <w:sz w:val="24"/>
          <w:szCs w:val="24"/>
        </w:rPr>
        <w:footnoteReference w:id="2"/>
      </w:r>
      <w:r w:rsidRPr="00AB3F50">
        <w:rPr>
          <w:rFonts w:asciiTheme="majorHAnsi" w:hAnsiTheme="majorHAnsi" w:cstheme="majorHAnsi"/>
          <w:sz w:val="24"/>
          <w:szCs w:val="24"/>
          <w:lang w:val="ro-MD"/>
        </w:rPr>
        <w:t xml:space="preserve">, </w:t>
      </w:r>
      <w:r w:rsidRPr="00AB3F50">
        <w:rPr>
          <w:rFonts w:asciiTheme="majorHAnsi" w:eastAsia="Times New Roman" w:hAnsiTheme="majorHAnsi" w:cstheme="majorHAnsi"/>
          <w:sz w:val="24"/>
          <w:szCs w:val="24"/>
          <w:lang w:val="ro-MD"/>
        </w:rPr>
        <w:t xml:space="preserve">având drept scop </w:t>
      </w:r>
      <w:r w:rsidR="00126438">
        <w:rPr>
          <w:rFonts w:asciiTheme="majorHAnsi" w:hAnsiTheme="majorHAnsi" w:cstheme="majorHAnsi"/>
          <w:sz w:val="24"/>
          <w:szCs w:val="24"/>
          <w:lang w:val="ro-MD"/>
        </w:rPr>
        <w:t xml:space="preserve">oferirea asigurării rezonabile asupra conformității managementului datoriei de stat, garanțiilor de stat și recreditării de stat realizat de Ministerul Finanțelor în anul 2020, precum și </w:t>
      </w:r>
      <w:r w:rsidR="00220666">
        <w:rPr>
          <w:rFonts w:asciiTheme="majorHAnsi" w:hAnsiTheme="majorHAnsi" w:cstheme="majorHAnsi"/>
          <w:sz w:val="24"/>
          <w:szCs w:val="24"/>
          <w:lang w:val="ro-MD"/>
        </w:rPr>
        <w:t xml:space="preserve">că </w:t>
      </w:r>
      <w:r w:rsidR="00126438">
        <w:rPr>
          <w:rFonts w:asciiTheme="majorHAnsi" w:hAnsiTheme="majorHAnsi" w:cstheme="majorHAnsi"/>
          <w:sz w:val="24"/>
          <w:szCs w:val="24"/>
          <w:lang w:val="ro-MD"/>
        </w:rPr>
        <w:t>raportarea este conformă ca parte a Raportului Guvernului privind executarea bugetului de stat pe anul 2020, în vederea formulării unei concluzii generale de audit și înaintarea, după caz, a recomandărilor relevante.</w:t>
      </w:r>
    </w:p>
    <w:p w:rsidR="003F2560" w:rsidRPr="00AB3F50" w:rsidRDefault="003F2560" w:rsidP="003F2560">
      <w:pPr>
        <w:spacing w:after="0" w:line="276" w:lineRule="auto"/>
        <w:ind w:firstLine="720"/>
        <w:jc w:val="both"/>
        <w:rPr>
          <w:rFonts w:asciiTheme="majorHAnsi" w:eastAsia="Times New Roman" w:hAnsiTheme="majorHAnsi" w:cstheme="majorHAnsi"/>
          <w:sz w:val="24"/>
          <w:szCs w:val="24"/>
          <w:lang w:val="ro-MD"/>
        </w:rPr>
      </w:pPr>
      <w:r w:rsidRPr="00AB3F50">
        <w:rPr>
          <w:rFonts w:asciiTheme="majorHAnsi" w:eastAsia="Times New Roman" w:hAnsiTheme="majorHAnsi" w:cstheme="majorHAnsi"/>
          <w:sz w:val="24"/>
          <w:szCs w:val="24"/>
          <w:lang w:val="ro-MD"/>
        </w:rPr>
        <w:t>Auditul public extern s-a desfășurat în conformitate cu Standardele Internaționale ale Instituțiilor Supreme de Audi</w:t>
      </w:r>
      <w:r>
        <w:rPr>
          <w:rFonts w:asciiTheme="majorHAnsi" w:eastAsia="Times New Roman" w:hAnsiTheme="majorHAnsi" w:cstheme="majorHAnsi"/>
          <w:sz w:val="24"/>
          <w:szCs w:val="24"/>
          <w:lang w:val="ro-MD"/>
        </w:rPr>
        <w:t>t aplicate de Curtea de Conturi</w:t>
      </w:r>
      <w:r w:rsidR="00A712C9">
        <w:rPr>
          <w:rFonts w:asciiTheme="majorHAnsi" w:eastAsia="Times New Roman" w:hAnsiTheme="majorHAnsi" w:cstheme="majorHAnsi"/>
          <w:sz w:val="24"/>
          <w:szCs w:val="24"/>
          <w:lang w:val="ro-MD"/>
        </w:rPr>
        <w:t xml:space="preserve"> (ISSAI 100, ISSAI 400 și ISSAI 4000)</w:t>
      </w:r>
      <w:r w:rsidR="00A712C9">
        <w:rPr>
          <w:rStyle w:val="FootnoteReference"/>
          <w:rFonts w:asciiTheme="majorHAnsi" w:eastAsia="Times New Roman" w:hAnsiTheme="majorHAnsi" w:cstheme="majorHAnsi"/>
          <w:sz w:val="24"/>
          <w:szCs w:val="24"/>
          <w:lang w:val="ro-MD"/>
        </w:rPr>
        <w:footnoteReference w:id="3"/>
      </w:r>
      <w:r w:rsidRPr="00AB3F50">
        <w:rPr>
          <w:rFonts w:asciiTheme="majorHAnsi" w:eastAsia="Times New Roman" w:hAnsiTheme="majorHAnsi" w:cstheme="majorHAnsi"/>
          <w:sz w:val="24"/>
          <w:szCs w:val="24"/>
          <w:lang w:val="ro-MD"/>
        </w:rPr>
        <w:t xml:space="preserve">. </w:t>
      </w:r>
    </w:p>
    <w:p w:rsidR="003F2560" w:rsidRPr="00AB3F50" w:rsidRDefault="003F2560" w:rsidP="003F2560">
      <w:pPr>
        <w:spacing w:after="120" w:line="276" w:lineRule="auto"/>
        <w:ind w:firstLine="720"/>
        <w:jc w:val="both"/>
        <w:rPr>
          <w:rFonts w:asciiTheme="majorHAnsi" w:eastAsia="Times New Roman" w:hAnsiTheme="majorHAnsi" w:cstheme="majorHAnsi"/>
          <w:sz w:val="24"/>
          <w:szCs w:val="24"/>
          <w:lang w:val="ro-MD"/>
        </w:rPr>
      </w:pPr>
      <w:r w:rsidRPr="00AB3F50">
        <w:rPr>
          <w:rFonts w:asciiTheme="majorHAnsi" w:eastAsia="Times New Roman" w:hAnsiTheme="majorHAnsi" w:cstheme="majorHAnsi"/>
          <w:sz w:val="24"/>
          <w:szCs w:val="24"/>
          <w:lang w:val="ro-MD"/>
        </w:rPr>
        <w:t xml:space="preserve">Examinând Raportul de audit, Curtea de Conturi </w:t>
      </w:r>
    </w:p>
    <w:p w:rsidR="003F2560" w:rsidRPr="00C45B3D" w:rsidRDefault="003F2560" w:rsidP="003F2560">
      <w:pPr>
        <w:tabs>
          <w:tab w:val="left" w:pos="5310"/>
        </w:tabs>
        <w:spacing w:after="120" w:line="276" w:lineRule="auto"/>
        <w:jc w:val="center"/>
        <w:rPr>
          <w:rFonts w:asciiTheme="majorHAnsi" w:eastAsia="Times New Roman" w:hAnsiTheme="majorHAnsi" w:cstheme="majorHAnsi"/>
          <w:b/>
          <w:bCs/>
          <w:sz w:val="24"/>
          <w:szCs w:val="24"/>
          <w:lang w:val="ro-MD"/>
        </w:rPr>
      </w:pPr>
      <w:r w:rsidRPr="00C45B3D">
        <w:rPr>
          <w:rFonts w:asciiTheme="majorHAnsi" w:eastAsia="Times New Roman" w:hAnsiTheme="majorHAnsi" w:cstheme="majorHAnsi"/>
          <w:b/>
          <w:bCs/>
          <w:sz w:val="24"/>
          <w:szCs w:val="24"/>
          <w:lang w:val="ro-MD"/>
        </w:rPr>
        <w:t>A CONSTATAT:</w:t>
      </w:r>
    </w:p>
    <w:p w:rsidR="00C1129F" w:rsidRDefault="004072E2" w:rsidP="00AE477D">
      <w:pPr>
        <w:pStyle w:val="NormalWeb"/>
        <w:spacing w:line="276" w:lineRule="auto"/>
        <w:ind w:firstLine="720"/>
        <w:rPr>
          <w:rFonts w:asciiTheme="majorHAnsi" w:hAnsiTheme="majorHAnsi" w:cstheme="majorHAnsi"/>
          <w:lang w:val="ro-MD"/>
        </w:rPr>
      </w:pPr>
      <w:r>
        <w:rPr>
          <w:rFonts w:asciiTheme="majorHAnsi" w:hAnsiTheme="majorHAnsi" w:cstheme="majorHAnsi"/>
          <w:lang w:val="ro-MD"/>
        </w:rPr>
        <w:t xml:space="preserve">Ministerul Finanțelor, în anul 2020, a </w:t>
      </w:r>
      <w:r w:rsidRPr="00E35557">
        <w:rPr>
          <w:rFonts w:asciiTheme="majorHAnsi" w:hAnsiTheme="majorHAnsi" w:cstheme="majorHAnsi"/>
          <w:lang w:val="ro-MD"/>
        </w:rPr>
        <w:t>asigurat gestionarea</w:t>
      </w:r>
      <w:r>
        <w:rPr>
          <w:rFonts w:asciiTheme="majorHAnsi" w:hAnsiTheme="majorHAnsi" w:cstheme="majorHAnsi"/>
          <w:lang w:val="ro-MD"/>
        </w:rPr>
        <w:t xml:space="preserve"> datoriei de stat, garanțiilor de stat și recreditării de stat în conformitate cu cadrul legal </w:t>
      </w:r>
      <w:r w:rsidR="00982281">
        <w:rPr>
          <w:rFonts w:asciiTheme="majorHAnsi" w:hAnsiTheme="majorHAnsi" w:cstheme="majorHAnsi"/>
          <w:lang w:val="ro-MD"/>
        </w:rPr>
        <w:t>de</w:t>
      </w:r>
      <w:r>
        <w:rPr>
          <w:rFonts w:asciiTheme="majorHAnsi" w:hAnsiTheme="majorHAnsi" w:cstheme="majorHAnsi"/>
          <w:lang w:val="ro-MD"/>
        </w:rPr>
        <w:t xml:space="preserve"> reglement</w:t>
      </w:r>
      <w:r w:rsidR="00982281">
        <w:rPr>
          <w:rFonts w:asciiTheme="majorHAnsi" w:hAnsiTheme="majorHAnsi" w:cstheme="majorHAnsi"/>
          <w:lang w:val="ro-MD"/>
        </w:rPr>
        <w:t>are a</w:t>
      </w:r>
      <w:r>
        <w:rPr>
          <w:rFonts w:asciiTheme="majorHAnsi" w:hAnsiTheme="majorHAnsi" w:cstheme="majorHAnsi"/>
          <w:lang w:val="ro-MD"/>
        </w:rPr>
        <w:t xml:space="preserve"> domeniul</w:t>
      </w:r>
      <w:r w:rsidR="00982281">
        <w:rPr>
          <w:rFonts w:asciiTheme="majorHAnsi" w:hAnsiTheme="majorHAnsi" w:cstheme="majorHAnsi"/>
          <w:lang w:val="ro-MD"/>
        </w:rPr>
        <w:t>ui</w:t>
      </w:r>
      <w:r>
        <w:rPr>
          <w:rFonts w:asciiTheme="majorHAnsi" w:hAnsiTheme="majorHAnsi" w:cstheme="majorHAnsi"/>
          <w:lang w:val="ro-MD"/>
        </w:rPr>
        <w:t>, fiind respectate limitele aprobate at</w:t>
      </w:r>
      <w:r w:rsidR="00C1129F">
        <w:rPr>
          <w:rFonts w:asciiTheme="majorHAnsi" w:hAnsiTheme="majorHAnsi" w:cstheme="majorHAnsi"/>
          <w:lang w:val="ro-MD"/>
        </w:rPr>
        <w:t>â</w:t>
      </w:r>
      <w:r>
        <w:rPr>
          <w:rFonts w:asciiTheme="majorHAnsi" w:hAnsiTheme="majorHAnsi" w:cstheme="majorHAnsi"/>
          <w:lang w:val="ro-MD"/>
        </w:rPr>
        <w:t>t prin Legea bugetară anuală</w:t>
      </w:r>
      <w:r w:rsidR="00C1129F">
        <w:rPr>
          <w:rFonts w:asciiTheme="majorHAnsi" w:hAnsiTheme="majorHAnsi" w:cstheme="majorHAnsi"/>
          <w:lang w:val="ro-MD"/>
        </w:rPr>
        <w:t>,</w:t>
      </w:r>
      <w:r>
        <w:rPr>
          <w:rFonts w:asciiTheme="majorHAnsi" w:hAnsiTheme="majorHAnsi" w:cstheme="majorHAnsi"/>
          <w:lang w:val="ro-MD"/>
        </w:rPr>
        <w:t xml:space="preserve"> c</w:t>
      </w:r>
      <w:r w:rsidR="00C1129F">
        <w:rPr>
          <w:rFonts w:asciiTheme="majorHAnsi" w:hAnsiTheme="majorHAnsi" w:cstheme="majorHAnsi"/>
          <w:lang w:val="ro-MD"/>
        </w:rPr>
        <w:t>â</w:t>
      </w:r>
      <w:r>
        <w:rPr>
          <w:rFonts w:asciiTheme="majorHAnsi" w:hAnsiTheme="majorHAnsi" w:cstheme="majorHAnsi"/>
          <w:lang w:val="ro-MD"/>
        </w:rPr>
        <w:t>t și cele stabilite în Programul „Managementul datoriei de stat pe termen mediu (2020-2022)</w:t>
      </w:r>
      <w:r w:rsidR="00C1129F">
        <w:rPr>
          <w:rFonts w:asciiTheme="majorHAnsi" w:hAnsiTheme="majorHAnsi" w:cstheme="majorHAnsi"/>
          <w:lang w:val="ro-MD"/>
        </w:rPr>
        <w:t>”.</w:t>
      </w:r>
      <w:r>
        <w:rPr>
          <w:rFonts w:asciiTheme="majorHAnsi" w:hAnsiTheme="majorHAnsi" w:cstheme="majorHAnsi"/>
          <w:lang w:val="ro-MD"/>
        </w:rPr>
        <w:t xml:space="preserve"> </w:t>
      </w:r>
    </w:p>
    <w:p w:rsidR="005F5E1B" w:rsidRPr="00E35557" w:rsidRDefault="00C1129F" w:rsidP="00AE477D">
      <w:pPr>
        <w:pStyle w:val="NormalWeb"/>
        <w:spacing w:line="276" w:lineRule="auto"/>
        <w:ind w:firstLine="720"/>
        <w:rPr>
          <w:rFonts w:asciiTheme="majorHAnsi" w:hAnsiTheme="majorHAnsi" w:cstheme="majorHAnsi"/>
          <w:strike/>
          <w:lang w:val="ro-MD"/>
        </w:rPr>
      </w:pPr>
      <w:r>
        <w:rPr>
          <w:rFonts w:asciiTheme="majorHAnsi" w:hAnsiTheme="majorHAnsi" w:cstheme="majorHAnsi"/>
          <w:lang w:val="ro-MD"/>
        </w:rPr>
        <w:t>T</w:t>
      </w:r>
      <w:r w:rsidR="004072E2">
        <w:rPr>
          <w:rFonts w:asciiTheme="majorHAnsi" w:hAnsiTheme="majorHAnsi" w:cstheme="majorHAnsi"/>
          <w:lang w:val="ro-MD"/>
        </w:rPr>
        <w:t>otodată</w:t>
      </w:r>
      <w:r>
        <w:rPr>
          <w:rFonts w:asciiTheme="majorHAnsi" w:hAnsiTheme="majorHAnsi" w:cstheme="majorHAnsi"/>
          <w:lang w:val="ro-MD"/>
        </w:rPr>
        <w:t>,</w:t>
      </w:r>
      <w:r w:rsidR="004072E2">
        <w:rPr>
          <w:rFonts w:asciiTheme="majorHAnsi" w:hAnsiTheme="majorHAnsi" w:cstheme="majorHAnsi"/>
          <w:lang w:val="ro-MD"/>
        </w:rPr>
        <w:t xml:space="preserve"> </w:t>
      </w:r>
      <w:r>
        <w:rPr>
          <w:rFonts w:asciiTheme="majorHAnsi" w:hAnsiTheme="majorHAnsi" w:cstheme="majorHAnsi"/>
          <w:lang w:val="ro-MD"/>
        </w:rPr>
        <w:t>misiunea de audit a</w:t>
      </w:r>
      <w:r w:rsidR="004072E2">
        <w:rPr>
          <w:rFonts w:asciiTheme="majorHAnsi" w:hAnsiTheme="majorHAnsi" w:cstheme="majorHAnsi"/>
          <w:lang w:val="ro-MD"/>
        </w:rPr>
        <w:t xml:space="preserve"> identificat unele problematici</w:t>
      </w:r>
      <w:r w:rsidR="00982281">
        <w:rPr>
          <w:rFonts w:asciiTheme="majorHAnsi" w:hAnsiTheme="majorHAnsi" w:cstheme="majorHAnsi"/>
          <w:lang w:val="ro-MD"/>
        </w:rPr>
        <w:t>,</w:t>
      </w:r>
      <w:r w:rsidR="004072E2">
        <w:rPr>
          <w:rFonts w:asciiTheme="majorHAnsi" w:hAnsiTheme="majorHAnsi" w:cstheme="majorHAnsi"/>
          <w:lang w:val="ro-MD"/>
        </w:rPr>
        <w:t xml:space="preserve"> care se exprimă prin: </w:t>
      </w:r>
      <w:r w:rsidR="00F95942">
        <w:rPr>
          <w:rFonts w:asciiTheme="majorHAnsi" w:hAnsiTheme="majorHAnsi" w:cstheme="majorHAnsi"/>
          <w:lang w:val="ro-MD"/>
        </w:rPr>
        <w:t xml:space="preserve">prezența soldurilor considerabile ale datoriei debitorilor garantați pentru împrumuturile interne și externe și a beneficiarilor </w:t>
      </w:r>
      <w:proofErr w:type="spellStart"/>
      <w:r w:rsidR="00F95942">
        <w:rPr>
          <w:rFonts w:asciiTheme="majorHAnsi" w:hAnsiTheme="majorHAnsi" w:cstheme="majorHAnsi"/>
          <w:lang w:val="ro-MD"/>
        </w:rPr>
        <w:t>recreditați</w:t>
      </w:r>
      <w:proofErr w:type="spellEnd"/>
      <w:r w:rsidR="00F318B4">
        <w:rPr>
          <w:rFonts w:asciiTheme="majorHAnsi" w:hAnsiTheme="majorHAnsi" w:cstheme="majorHAnsi"/>
          <w:lang w:val="ro-MD"/>
        </w:rPr>
        <w:t>, care sunt în majoritate cu termenul de achitare expirat</w:t>
      </w:r>
      <w:r w:rsidR="00F95942">
        <w:rPr>
          <w:rFonts w:asciiTheme="majorHAnsi" w:hAnsiTheme="majorHAnsi" w:cstheme="majorHAnsi"/>
          <w:lang w:val="ro-MD"/>
        </w:rPr>
        <w:t xml:space="preserve">; imposibilitatea rambursării de către unii agenți economici a mijloacelor </w:t>
      </w:r>
      <w:proofErr w:type="spellStart"/>
      <w:r w:rsidR="00F95942">
        <w:rPr>
          <w:rFonts w:asciiTheme="majorHAnsi" w:hAnsiTheme="majorHAnsi" w:cstheme="majorHAnsi"/>
          <w:lang w:val="ro-MD"/>
        </w:rPr>
        <w:t>recreditate</w:t>
      </w:r>
      <w:proofErr w:type="spellEnd"/>
      <w:r w:rsidR="00F95942">
        <w:rPr>
          <w:rFonts w:asciiTheme="majorHAnsi" w:hAnsiTheme="majorHAnsi" w:cstheme="majorHAnsi"/>
          <w:lang w:val="ro-MD"/>
        </w:rPr>
        <w:t xml:space="preserve"> care </w:t>
      </w:r>
      <w:r w:rsidR="00F95942">
        <w:rPr>
          <w:rFonts w:asciiTheme="majorHAnsi" w:hAnsiTheme="majorHAnsi" w:cstheme="majorHAnsi"/>
          <w:lang w:val="ro-MD"/>
        </w:rPr>
        <w:lastRenderedPageBreak/>
        <w:t xml:space="preserve">condiționează anulări anuale ale acestor datorii și suportarea unor cheltuieli neprevăzute din contul bugetului de stat pentru onorarea obligațiunilor de stat; proiectele </w:t>
      </w:r>
      <w:proofErr w:type="spellStart"/>
      <w:r w:rsidR="00F95942">
        <w:rPr>
          <w:rFonts w:asciiTheme="majorHAnsi" w:hAnsiTheme="majorHAnsi" w:cstheme="majorHAnsi"/>
          <w:lang w:val="ro-MD"/>
        </w:rPr>
        <w:t>recreditate</w:t>
      </w:r>
      <w:proofErr w:type="spellEnd"/>
      <w:r w:rsidR="00F95942">
        <w:rPr>
          <w:rFonts w:asciiTheme="majorHAnsi" w:hAnsiTheme="majorHAnsi" w:cstheme="majorHAnsi"/>
          <w:lang w:val="ro-MD"/>
        </w:rPr>
        <w:t xml:space="preserve"> prin intermediul Ministerului Finanțelor înregistrează un nivel redus al ratei de recuperare a resurselor financiare</w:t>
      </w:r>
      <w:r w:rsidR="00876091" w:rsidRPr="002762DF">
        <w:rPr>
          <w:rFonts w:asciiTheme="majorHAnsi" w:hAnsiTheme="majorHAnsi" w:cstheme="majorHAnsi"/>
          <w:lang w:val="ro-MD"/>
        </w:rPr>
        <w:t xml:space="preserve">; </w:t>
      </w:r>
      <w:r w:rsidR="002762DF" w:rsidRPr="002762DF">
        <w:rPr>
          <w:rFonts w:asciiTheme="majorHAnsi" w:hAnsiTheme="majorHAnsi" w:cstheme="majorHAnsi"/>
          <w:lang w:val="ro-MD" w:eastAsia="ru-RU"/>
        </w:rPr>
        <w:t>implementarea proiectelor finanțate din surse externe co</w:t>
      </w:r>
      <w:r w:rsidR="002762DF">
        <w:rPr>
          <w:rFonts w:asciiTheme="majorHAnsi" w:hAnsiTheme="majorHAnsi" w:cstheme="majorHAnsi"/>
          <w:lang w:val="ro-MD" w:eastAsia="ru-RU"/>
        </w:rPr>
        <w:t>ntinuă să răm</w:t>
      </w:r>
      <w:r w:rsidR="00982281">
        <w:rPr>
          <w:rFonts w:asciiTheme="majorHAnsi" w:hAnsiTheme="majorHAnsi" w:cstheme="majorHAnsi"/>
          <w:lang w:val="ro-MD" w:eastAsia="ru-RU"/>
        </w:rPr>
        <w:t>â</w:t>
      </w:r>
      <w:r w:rsidR="002762DF">
        <w:rPr>
          <w:rFonts w:asciiTheme="majorHAnsi" w:hAnsiTheme="majorHAnsi" w:cstheme="majorHAnsi"/>
          <w:lang w:val="ro-MD" w:eastAsia="ru-RU"/>
        </w:rPr>
        <w:t>nă la nivel redus;</w:t>
      </w:r>
      <w:r w:rsidR="002762DF" w:rsidRPr="002762DF">
        <w:rPr>
          <w:rFonts w:asciiTheme="majorHAnsi" w:hAnsiTheme="majorHAnsi" w:cstheme="majorHAnsi"/>
          <w:lang w:val="ro-MD" w:eastAsia="ru-RU"/>
        </w:rPr>
        <w:t xml:space="preserve"> </w:t>
      </w:r>
      <w:r w:rsidR="002762DF" w:rsidRPr="00CC3E1D">
        <w:rPr>
          <w:rFonts w:ascii="Calibri Light" w:eastAsia="Calibri" w:hAnsi="Calibri Light" w:cs="Calibri Light"/>
          <w:lang w:val="ro-MD"/>
        </w:rPr>
        <w:t>debursarea împrumuturi</w:t>
      </w:r>
      <w:r w:rsidR="002762DF">
        <w:rPr>
          <w:rFonts w:ascii="Calibri Light" w:eastAsia="Calibri" w:hAnsi="Calibri Light" w:cs="Calibri Light"/>
          <w:lang w:val="ro-MD"/>
        </w:rPr>
        <w:t>lor</w:t>
      </w:r>
      <w:r w:rsidR="002762DF" w:rsidRPr="00CC3E1D">
        <w:rPr>
          <w:rFonts w:ascii="Calibri Light" w:eastAsia="Calibri" w:hAnsi="Calibri Light" w:cs="Calibri Light"/>
          <w:lang w:val="ro-MD"/>
        </w:rPr>
        <w:t xml:space="preserve"> are loc cu întârziere </w:t>
      </w:r>
      <w:r w:rsidR="00982281" w:rsidRPr="002762DF">
        <w:rPr>
          <w:rFonts w:asciiTheme="majorHAnsi" w:hAnsiTheme="majorHAnsi" w:cstheme="majorHAnsi"/>
          <w:lang w:val="ro-MD" w:eastAsia="ru-RU"/>
        </w:rPr>
        <w:t>în unele cazuri</w:t>
      </w:r>
      <w:r w:rsidR="00982281">
        <w:rPr>
          <w:rFonts w:asciiTheme="majorHAnsi" w:hAnsiTheme="majorHAnsi" w:cstheme="majorHAnsi"/>
          <w:lang w:val="ro-MD" w:eastAsia="ru-RU"/>
        </w:rPr>
        <w:t xml:space="preserve">, </w:t>
      </w:r>
      <w:r w:rsidR="002762DF" w:rsidRPr="00CC3E1D">
        <w:rPr>
          <w:rFonts w:ascii="Calibri Light" w:eastAsia="Calibri" w:hAnsi="Calibri Light" w:cs="Calibri Light"/>
          <w:lang w:val="ro-MD"/>
        </w:rPr>
        <w:t xml:space="preserve">iar achitarea comisioanelor prevăzute în acordurile de împrumut se efectuează din suma contractată și/sau </w:t>
      </w:r>
      <w:proofErr w:type="spellStart"/>
      <w:r w:rsidR="002762DF" w:rsidRPr="00CC3E1D">
        <w:rPr>
          <w:rFonts w:ascii="Calibri Light" w:eastAsia="Calibri" w:hAnsi="Calibri Light" w:cs="Calibri Light"/>
          <w:lang w:val="ro-MD"/>
        </w:rPr>
        <w:t>nedebursată</w:t>
      </w:r>
      <w:proofErr w:type="spellEnd"/>
      <w:r w:rsidR="002762DF" w:rsidRPr="00CC3E1D">
        <w:rPr>
          <w:rFonts w:ascii="Calibri Light" w:eastAsia="Calibri" w:hAnsi="Calibri Light" w:cs="Calibri Light"/>
          <w:lang w:val="ro-MD"/>
        </w:rPr>
        <w:t xml:space="preserve"> a împrumutului, ca rezultat fiind generate c</w:t>
      </w:r>
      <w:r w:rsidR="002762DF">
        <w:rPr>
          <w:rFonts w:ascii="Calibri Light" w:eastAsia="Calibri" w:hAnsi="Calibri Light" w:cs="Calibri Light"/>
          <w:lang w:val="ro-MD"/>
        </w:rPr>
        <w:t xml:space="preserve">heltuieli suplimentare la bugetul de stat. </w:t>
      </w:r>
      <w:r w:rsidR="00F318B4">
        <w:rPr>
          <w:rFonts w:asciiTheme="majorHAnsi" w:hAnsiTheme="majorHAnsi" w:cstheme="majorHAnsi"/>
          <w:lang w:val="ro-MD"/>
        </w:rPr>
        <w:t>În contextul celor relatate</w:t>
      </w:r>
      <w:r w:rsidR="00D84034">
        <w:rPr>
          <w:rFonts w:asciiTheme="majorHAnsi" w:hAnsiTheme="majorHAnsi" w:cstheme="majorHAnsi"/>
          <w:lang w:val="ro-MD"/>
        </w:rPr>
        <w:t>,</w:t>
      </w:r>
      <w:r w:rsidR="00F318B4">
        <w:rPr>
          <w:rFonts w:asciiTheme="majorHAnsi" w:hAnsiTheme="majorHAnsi" w:cstheme="majorHAnsi"/>
          <w:lang w:val="ro-MD"/>
        </w:rPr>
        <w:t xml:space="preserve"> managementul datoriei de stat, garanțiilor de stat și recreditării de stat necesită îmbunătățiri continue</w:t>
      </w:r>
      <w:r w:rsidR="00220666">
        <w:rPr>
          <w:rFonts w:asciiTheme="majorHAnsi" w:hAnsiTheme="majorHAnsi" w:cstheme="majorHAnsi"/>
          <w:lang w:val="ro-MD"/>
        </w:rPr>
        <w:t xml:space="preserve">. </w:t>
      </w:r>
    </w:p>
    <w:p w:rsidR="003F2560" w:rsidRPr="00FF1014" w:rsidRDefault="003F2560" w:rsidP="003F2560">
      <w:pPr>
        <w:pStyle w:val="NormalWeb"/>
        <w:spacing w:after="120" w:line="276" w:lineRule="auto"/>
        <w:ind w:firstLine="720"/>
        <w:rPr>
          <w:rFonts w:asciiTheme="majorHAnsi" w:hAnsiTheme="majorHAnsi" w:cstheme="majorHAnsi"/>
          <w:lang w:val="ro-RO"/>
        </w:rPr>
      </w:pPr>
      <w:r w:rsidRPr="00AB3F50">
        <w:rPr>
          <w:rFonts w:asciiTheme="majorHAnsi" w:hAnsiTheme="majorHAnsi" w:cstheme="majorHAnsi"/>
          <w:lang w:val="ro-MD"/>
        </w:rPr>
        <w:t>Reieșind din cele expuse, în temeiul art.14 alin.(2), art.15 lit. d) și art.37 alin.(2) din Legea   nr.260 din 07.12.2017, Curtea de Conturi</w:t>
      </w:r>
    </w:p>
    <w:p w:rsidR="003F2560" w:rsidRDefault="003F2560" w:rsidP="00CC3867">
      <w:pPr>
        <w:pStyle w:val="cp"/>
        <w:spacing w:after="120" w:line="276" w:lineRule="auto"/>
        <w:rPr>
          <w:rFonts w:asciiTheme="majorHAnsi" w:hAnsiTheme="majorHAnsi" w:cstheme="majorHAnsi"/>
          <w:lang w:val="ro-RO"/>
        </w:rPr>
      </w:pPr>
      <w:r w:rsidRPr="00C45B3D">
        <w:rPr>
          <w:rFonts w:asciiTheme="majorHAnsi" w:hAnsiTheme="majorHAnsi" w:cstheme="majorHAnsi"/>
          <w:lang w:val="ro-MD"/>
        </w:rPr>
        <w:t>HOTĂRĂŞTE:</w:t>
      </w:r>
      <w:r>
        <w:rPr>
          <w:rFonts w:asciiTheme="majorHAnsi" w:hAnsiTheme="majorHAnsi" w:cstheme="majorHAnsi"/>
          <w:lang w:val="ro-MD"/>
        </w:rPr>
        <w:tab/>
      </w:r>
    </w:p>
    <w:p w:rsidR="00CC3867" w:rsidRPr="00EA05B4" w:rsidRDefault="00CC3867" w:rsidP="0067238D">
      <w:pPr>
        <w:pStyle w:val="NormalWeb"/>
        <w:spacing w:after="120" w:line="276" w:lineRule="auto"/>
        <w:rPr>
          <w:rFonts w:asciiTheme="majorHAnsi" w:hAnsiTheme="majorHAnsi"/>
          <w:lang w:val="ro-MD"/>
        </w:rPr>
      </w:pPr>
      <w:r w:rsidRPr="003075EE">
        <w:rPr>
          <w:rFonts w:asciiTheme="majorHAnsi" w:hAnsiTheme="majorHAnsi"/>
          <w:b/>
          <w:bCs/>
          <w:lang w:val="ro-MD"/>
        </w:rPr>
        <w:t>1.</w:t>
      </w:r>
      <w:r w:rsidRPr="003075EE">
        <w:rPr>
          <w:rFonts w:asciiTheme="majorHAnsi" w:hAnsiTheme="majorHAnsi"/>
          <w:lang w:val="ro-MD"/>
        </w:rPr>
        <w:t xml:space="preserve"> </w:t>
      </w:r>
      <w:r w:rsidRPr="00755D18">
        <w:rPr>
          <w:rFonts w:asciiTheme="majorHAnsi" w:eastAsiaTheme="minorHAnsi" w:hAnsiTheme="majorHAnsi" w:cstheme="minorBidi"/>
          <w:bCs/>
          <w:lang w:val="ro-MD"/>
        </w:rPr>
        <w:t>Se</w:t>
      </w:r>
      <w:r w:rsidRPr="003075EE">
        <w:rPr>
          <w:rFonts w:asciiTheme="majorHAnsi" w:hAnsiTheme="majorHAnsi"/>
          <w:lang w:val="ro-MD"/>
        </w:rPr>
        <w:t xml:space="preserve"> aprobă Raportul</w:t>
      </w:r>
      <w:r w:rsidRPr="00EA05B4">
        <w:rPr>
          <w:rFonts w:asciiTheme="majorHAnsi" w:hAnsiTheme="majorHAnsi"/>
          <w:lang w:val="ro-MD"/>
        </w:rPr>
        <w:t xml:space="preserve"> </w:t>
      </w:r>
      <w:r w:rsidR="005F5E1B" w:rsidRPr="005F5E1B">
        <w:rPr>
          <w:rFonts w:asciiTheme="majorHAnsi" w:hAnsiTheme="majorHAnsi"/>
          <w:lang w:val="ro-MD"/>
        </w:rPr>
        <w:t xml:space="preserve">auditului conformității </w:t>
      </w:r>
      <w:r w:rsidR="000E733E">
        <w:rPr>
          <w:rFonts w:asciiTheme="majorHAnsi" w:hAnsiTheme="majorHAnsi"/>
          <w:lang w:val="ro-MD"/>
        </w:rPr>
        <w:t xml:space="preserve">asupra </w:t>
      </w:r>
      <w:r w:rsidR="005F5E1B" w:rsidRPr="005F5E1B">
        <w:rPr>
          <w:rFonts w:asciiTheme="majorHAnsi" w:hAnsiTheme="majorHAnsi"/>
          <w:lang w:val="ro-MD"/>
        </w:rPr>
        <w:t>managementului datoriei de stat, garanțiilor de stat și recreditării de stat în anul 2020</w:t>
      </w:r>
      <w:r w:rsidRPr="00EA05B4">
        <w:rPr>
          <w:rFonts w:asciiTheme="majorHAnsi" w:hAnsiTheme="majorHAnsi"/>
          <w:lang w:val="ro-MD"/>
        </w:rPr>
        <w:t>, anexat la prezenta Hotărâre.</w:t>
      </w:r>
    </w:p>
    <w:p w:rsidR="00CC3867" w:rsidRDefault="00CC3867" w:rsidP="0067238D">
      <w:pPr>
        <w:pStyle w:val="NormalWeb"/>
        <w:spacing w:after="120" w:line="276" w:lineRule="auto"/>
        <w:rPr>
          <w:rFonts w:asciiTheme="majorHAnsi" w:hAnsiTheme="majorHAnsi"/>
          <w:lang w:val="ro-MD"/>
        </w:rPr>
      </w:pPr>
      <w:r w:rsidRPr="00755D18">
        <w:rPr>
          <w:rFonts w:asciiTheme="majorHAnsi" w:hAnsiTheme="majorHAnsi"/>
          <w:b/>
          <w:bCs/>
          <w:lang w:val="ro-MD"/>
        </w:rPr>
        <w:t>2.</w:t>
      </w:r>
      <w:r w:rsidRPr="00755D18">
        <w:rPr>
          <w:rFonts w:asciiTheme="majorHAnsi" w:hAnsiTheme="majorHAnsi"/>
          <w:lang w:val="ro-MD"/>
        </w:rPr>
        <w:t xml:space="preserve"> </w:t>
      </w:r>
      <w:r w:rsidRPr="00755D18">
        <w:rPr>
          <w:rFonts w:asciiTheme="majorHAnsi" w:eastAsiaTheme="minorHAnsi" w:hAnsiTheme="majorHAnsi" w:cstheme="minorBidi"/>
          <w:bCs/>
          <w:lang w:val="ro-MD"/>
        </w:rPr>
        <w:t>Prezenta</w:t>
      </w:r>
      <w:r w:rsidRPr="00755D18">
        <w:rPr>
          <w:rFonts w:asciiTheme="majorHAnsi" w:hAnsiTheme="majorHAnsi"/>
          <w:lang w:val="ro-MD"/>
        </w:rPr>
        <w:t xml:space="preserve"> Hotărâre și Raportul de audit se remit:</w:t>
      </w:r>
    </w:p>
    <w:p w:rsidR="00A712C9" w:rsidRDefault="00CC3867" w:rsidP="00A712C9">
      <w:pPr>
        <w:ind w:firstLine="540"/>
        <w:jc w:val="both"/>
        <w:rPr>
          <w:rFonts w:asciiTheme="majorHAnsi" w:hAnsiTheme="majorHAnsi" w:cs="Times New Roman"/>
          <w:b/>
          <w:sz w:val="24"/>
          <w:szCs w:val="24"/>
          <w:lang w:val="ro-RO"/>
        </w:rPr>
      </w:pPr>
      <w:r w:rsidRPr="009830FF">
        <w:rPr>
          <w:rFonts w:asciiTheme="majorHAnsi" w:hAnsiTheme="majorHAnsi" w:cstheme="majorHAnsi"/>
          <w:b/>
          <w:sz w:val="24"/>
          <w:szCs w:val="24"/>
          <w:lang w:val="ro-MD"/>
        </w:rPr>
        <w:t>2.1.</w:t>
      </w:r>
      <w:r w:rsidRPr="00755D18">
        <w:rPr>
          <w:rFonts w:asciiTheme="majorHAnsi" w:hAnsiTheme="majorHAnsi"/>
          <w:lang w:val="ro-MD"/>
        </w:rPr>
        <w:t xml:space="preserve"> </w:t>
      </w:r>
      <w:r w:rsidR="00A712C9" w:rsidRPr="00AA6E21">
        <w:rPr>
          <w:rFonts w:asciiTheme="majorHAnsi" w:hAnsiTheme="majorHAnsi" w:cstheme="majorHAnsi"/>
          <w:b/>
          <w:sz w:val="24"/>
          <w:szCs w:val="24"/>
          <w:lang w:val="ro-MD"/>
        </w:rPr>
        <w:t>Guvernului Republicii Moldova</w:t>
      </w:r>
      <w:r w:rsidR="00A712C9" w:rsidRPr="00AA6E21">
        <w:rPr>
          <w:rFonts w:asciiTheme="majorHAnsi" w:hAnsiTheme="majorHAnsi" w:cstheme="majorHAnsi"/>
          <w:sz w:val="24"/>
          <w:szCs w:val="24"/>
          <w:lang w:val="ro-MD"/>
        </w:rPr>
        <w:t>, pentru informare și luare de atitudine referitor la:</w:t>
      </w:r>
      <w:r w:rsidR="00A712C9" w:rsidRPr="001E2E36">
        <w:rPr>
          <w:rFonts w:asciiTheme="majorHAnsi" w:hAnsiTheme="majorHAnsi" w:cs="Times New Roman"/>
          <w:b/>
          <w:sz w:val="24"/>
          <w:szCs w:val="24"/>
          <w:lang w:val="ro-RO"/>
        </w:rPr>
        <w:t xml:space="preserve"> </w:t>
      </w:r>
    </w:p>
    <w:p w:rsidR="009830FF" w:rsidRDefault="00A712C9" w:rsidP="009830FF">
      <w:pPr>
        <w:pStyle w:val="ListParagraph"/>
        <w:numPr>
          <w:ilvl w:val="2"/>
          <w:numId w:val="3"/>
        </w:numPr>
        <w:spacing w:line="276" w:lineRule="auto"/>
        <w:ind w:left="567" w:firstLine="0"/>
        <w:jc w:val="both"/>
        <w:rPr>
          <w:rFonts w:asciiTheme="majorHAnsi" w:eastAsiaTheme="minorEastAsia" w:hAnsiTheme="majorHAnsi" w:cstheme="majorHAnsi"/>
          <w:sz w:val="24"/>
          <w:szCs w:val="24"/>
          <w:lang w:val="ro-RO" w:eastAsia="ru-RU"/>
        </w:rPr>
      </w:pPr>
      <w:r w:rsidRPr="009830FF">
        <w:rPr>
          <w:rFonts w:asciiTheme="majorHAnsi" w:eastAsiaTheme="minorEastAsia" w:hAnsiTheme="majorHAnsi" w:cstheme="majorHAnsi"/>
          <w:sz w:val="24"/>
          <w:szCs w:val="24"/>
          <w:lang w:val="ro-RO" w:eastAsia="ru-RU"/>
        </w:rPr>
        <w:t xml:space="preserve">asigurarea monitorizării portofoliului garanțiilor de stat acordate în cadrul Programului de stat „Prima Casă”, </w:t>
      </w:r>
      <w:r w:rsidR="00AE477D">
        <w:rPr>
          <w:rFonts w:asciiTheme="majorHAnsi" w:eastAsiaTheme="minorEastAsia" w:hAnsiTheme="majorHAnsi" w:cstheme="majorHAnsi"/>
          <w:sz w:val="24"/>
          <w:szCs w:val="24"/>
          <w:lang w:val="ro-RO" w:eastAsia="ru-RU"/>
        </w:rPr>
        <w:t>în vederea</w:t>
      </w:r>
      <w:r w:rsidR="00AE477D" w:rsidRPr="009830FF">
        <w:rPr>
          <w:rFonts w:asciiTheme="majorHAnsi" w:eastAsiaTheme="minorEastAsia" w:hAnsiTheme="majorHAnsi" w:cstheme="majorHAnsi"/>
          <w:sz w:val="24"/>
          <w:szCs w:val="24"/>
          <w:lang w:val="ro-RO" w:eastAsia="ru-RU"/>
        </w:rPr>
        <w:t xml:space="preserve"> neadmiter</w:t>
      </w:r>
      <w:r w:rsidR="00AE477D">
        <w:rPr>
          <w:rFonts w:asciiTheme="majorHAnsi" w:eastAsiaTheme="minorEastAsia" w:hAnsiTheme="majorHAnsi" w:cstheme="majorHAnsi"/>
          <w:sz w:val="24"/>
          <w:szCs w:val="24"/>
          <w:lang w:val="ro-RO" w:eastAsia="ru-RU"/>
        </w:rPr>
        <w:t>ii</w:t>
      </w:r>
      <w:r w:rsidR="00AE477D" w:rsidRPr="009830FF">
        <w:rPr>
          <w:rFonts w:asciiTheme="majorHAnsi" w:eastAsiaTheme="minorEastAsia" w:hAnsiTheme="majorHAnsi" w:cstheme="majorHAnsi"/>
          <w:sz w:val="24"/>
          <w:szCs w:val="24"/>
          <w:lang w:val="ro-RO" w:eastAsia="ru-RU"/>
        </w:rPr>
        <w:t xml:space="preserve"> </w:t>
      </w:r>
      <w:r w:rsidRPr="009830FF">
        <w:rPr>
          <w:rFonts w:asciiTheme="majorHAnsi" w:eastAsiaTheme="minorEastAsia" w:hAnsiTheme="majorHAnsi" w:cstheme="majorHAnsi"/>
          <w:sz w:val="24"/>
          <w:szCs w:val="24"/>
          <w:lang w:val="ro-RO" w:eastAsia="ru-RU"/>
        </w:rPr>
        <w:t>majorării datoriei de stat interne și suportării unor costuri suplimentare de către bugetul de stat;</w:t>
      </w:r>
    </w:p>
    <w:p w:rsidR="00A712C9" w:rsidRPr="009830FF" w:rsidRDefault="00995BAB" w:rsidP="009830FF">
      <w:pPr>
        <w:pStyle w:val="ListParagraph"/>
        <w:numPr>
          <w:ilvl w:val="2"/>
          <w:numId w:val="3"/>
        </w:numPr>
        <w:spacing w:line="276" w:lineRule="auto"/>
        <w:ind w:left="567" w:firstLine="0"/>
        <w:jc w:val="both"/>
        <w:rPr>
          <w:rFonts w:asciiTheme="majorHAnsi" w:eastAsiaTheme="minorEastAsia" w:hAnsiTheme="majorHAnsi" w:cstheme="majorHAnsi"/>
          <w:sz w:val="24"/>
          <w:szCs w:val="24"/>
          <w:lang w:val="ro-RO" w:eastAsia="ru-RU"/>
        </w:rPr>
      </w:pPr>
      <w:r w:rsidRPr="009830FF">
        <w:rPr>
          <w:rFonts w:asciiTheme="majorHAnsi" w:hAnsiTheme="majorHAnsi" w:cstheme="majorHAnsi"/>
          <w:sz w:val="24"/>
          <w:szCs w:val="24"/>
          <w:lang w:val="ro-MD"/>
        </w:rPr>
        <w:t>recuper</w:t>
      </w:r>
      <w:r>
        <w:rPr>
          <w:rFonts w:asciiTheme="majorHAnsi" w:hAnsiTheme="majorHAnsi" w:cstheme="majorHAnsi"/>
          <w:sz w:val="24"/>
          <w:szCs w:val="24"/>
          <w:lang w:val="ro-MD"/>
        </w:rPr>
        <w:t>area</w:t>
      </w:r>
      <w:r w:rsidRPr="009830FF">
        <w:rPr>
          <w:rFonts w:asciiTheme="majorHAnsi" w:hAnsiTheme="majorHAnsi" w:cstheme="majorHAnsi"/>
          <w:sz w:val="24"/>
          <w:szCs w:val="24"/>
          <w:lang w:val="ro-MD"/>
        </w:rPr>
        <w:t xml:space="preserve"> </w:t>
      </w:r>
      <w:r>
        <w:rPr>
          <w:rFonts w:asciiTheme="majorHAnsi" w:hAnsiTheme="majorHAnsi" w:cstheme="majorHAnsi"/>
          <w:sz w:val="24"/>
          <w:szCs w:val="24"/>
          <w:lang w:val="ro-MD"/>
        </w:rPr>
        <w:t>în</w:t>
      </w:r>
      <w:r w:rsidRPr="009830FF">
        <w:rPr>
          <w:rFonts w:asciiTheme="majorHAnsi" w:hAnsiTheme="majorHAnsi" w:cstheme="majorHAnsi"/>
          <w:sz w:val="24"/>
          <w:szCs w:val="24"/>
          <w:lang w:val="ro-MD"/>
        </w:rPr>
        <w:t xml:space="preserve"> bugetul de stat</w:t>
      </w:r>
      <w:r w:rsidRPr="009830FF">
        <w:rPr>
          <w:rFonts w:asciiTheme="majorHAnsi" w:eastAsiaTheme="minorEastAsia" w:hAnsiTheme="majorHAnsi" w:cstheme="majorHAnsi"/>
          <w:sz w:val="24"/>
          <w:szCs w:val="24"/>
          <w:lang w:val="ro-RO" w:eastAsia="ru-RU"/>
        </w:rPr>
        <w:t xml:space="preserve"> </w:t>
      </w:r>
      <w:r>
        <w:rPr>
          <w:rFonts w:asciiTheme="majorHAnsi" w:eastAsiaTheme="minorEastAsia" w:hAnsiTheme="majorHAnsi" w:cstheme="majorHAnsi"/>
          <w:sz w:val="24"/>
          <w:szCs w:val="24"/>
          <w:lang w:val="ro-RO" w:eastAsia="ru-RU"/>
        </w:rPr>
        <w:t xml:space="preserve">a </w:t>
      </w:r>
      <w:r w:rsidR="00A712C9" w:rsidRPr="009830FF">
        <w:rPr>
          <w:rFonts w:asciiTheme="majorHAnsi" w:eastAsiaTheme="minorEastAsia" w:hAnsiTheme="majorHAnsi" w:cstheme="majorHAnsi"/>
          <w:sz w:val="24"/>
          <w:szCs w:val="24"/>
          <w:lang w:val="ro-RO" w:eastAsia="ru-RU"/>
        </w:rPr>
        <w:t>datoriil</w:t>
      </w:r>
      <w:r>
        <w:rPr>
          <w:rFonts w:asciiTheme="majorHAnsi" w:eastAsiaTheme="minorEastAsia" w:hAnsiTheme="majorHAnsi" w:cstheme="majorHAnsi"/>
          <w:sz w:val="24"/>
          <w:szCs w:val="24"/>
          <w:lang w:val="ro-RO" w:eastAsia="ru-RU"/>
        </w:rPr>
        <w:t xml:space="preserve">or </w:t>
      </w:r>
      <w:r w:rsidR="00A712C9" w:rsidRPr="009830FF">
        <w:rPr>
          <w:rFonts w:asciiTheme="majorHAnsi" w:eastAsiaTheme="minorEastAsia" w:hAnsiTheme="majorHAnsi" w:cstheme="majorHAnsi"/>
          <w:sz w:val="24"/>
          <w:szCs w:val="24"/>
          <w:lang w:val="ro-RO" w:eastAsia="ru-RU"/>
        </w:rPr>
        <w:t xml:space="preserve">aferente împrumuturilor acordate beneficiarilor </w:t>
      </w:r>
      <w:proofErr w:type="spellStart"/>
      <w:r w:rsidR="00A712C9" w:rsidRPr="009830FF">
        <w:rPr>
          <w:rFonts w:asciiTheme="majorHAnsi" w:eastAsiaTheme="minorEastAsia" w:hAnsiTheme="majorHAnsi" w:cstheme="majorHAnsi"/>
          <w:sz w:val="24"/>
          <w:szCs w:val="24"/>
          <w:lang w:val="ro-RO" w:eastAsia="ru-RU"/>
        </w:rPr>
        <w:t>recreditați</w:t>
      </w:r>
      <w:proofErr w:type="spellEnd"/>
      <w:r w:rsidR="00A712C9" w:rsidRPr="009830FF">
        <w:rPr>
          <w:rFonts w:asciiTheme="majorHAnsi" w:eastAsiaTheme="minorEastAsia" w:hAnsiTheme="majorHAnsi" w:cstheme="majorHAnsi"/>
          <w:sz w:val="24"/>
          <w:szCs w:val="24"/>
          <w:lang w:val="ro-RO" w:eastAsia="ru-RU"/>
        </w:rPr>
        <w:t xml:space="preserve"> și </w:t>
      </w:r>
      <w:r w:rsidR="00A712C9" w:rsidRPr="009830FF">
        <w:rPr>
          <w:rFonts w:asciiTheme="majorHAnsi" w:hAnsiTheme="majorHAnsi" w:cstheme="majorHAnsi"/>
          <w:sz w:val="24"/>
          <w:szCs w:val="24"/>
          <w:lang w:val="ro-MD"/>
        </w:rPr>
        <w:t>beneficiarilor garanțiilor de stat, inclusiv cu termenul de achitare expirat</w:t>
      </w:r>
      <w:r w:rsidR="000E733E">
        <w:rPr>
          <w:rFonts w:asciiTheme="majorHAnsi" w:hAnsiTheme="majorHAnsi" w:cstheme="majorHAnsi"/>
          <w:sz w:val="24"/>
          <w:szCs w:val="24"/>
          <w:lang w:val="ro-MD"/>
        </w:rPr>
        <w:t>;</w:t>
      </w:r>
    </w:p>
    <w:p w:rsidR="005D2B58" w:rsidRPr="001E2E36" w:rsidRDefault="00AA6E21" w:rsidP="00A712C9">
      <w:pPr>
        <w:ind w:firstLine="540"/>
        <w:jc w:val="both"/>
        <w:rPr>
          <w:rFonts w:asciiTheme="majorHAnsi" w:eastAsiaTheme="minorEastAsia" w:hAnsiTheme="majorHAnsi" w:cstheme="majorHAnsi"/>
          <w:sz w:val="24"/>
          <w:szCs w:val="24"/>
          <w:lang w:val="ro-RO" w:eastAsia="ru-RU"/>
        </w:rPr>
      </w:pPr>
      <w:r w:rsidRPr="00AA6E21">
        <w:rPr>
          <w:rFonts w:asciiTheme="majorHAnsi" w:hAnsiTheme="majorHAnsi" w:cstheme="majorHAnsi"/>
          <w:b/>
          <w:sz w:val="24"/>
          <w:szCs w:val="24"/>
          <w:lang w:val="ro-MD"/>
        </w:rPr>
        <w:t xml:space="preserve">2.2. </w:t>
      </w:r>
      <w:r w:rsidR="00A712C9" w:rsidRPr="00AA6E21">
        <w:rPr>
          <w:rFonts w:asciiTheme="majorHAnsi" w:hAnsiTheme="majorHAnsi" w:cstheme="majorHAnsi"/>
          <w:b/>
          <w:sz w:val="24"/>
          <w:szCs w:val="24"/>
          <w:lang w:val="ro-MD"/>
        </w:rPr>
        <w:t>Parlamentului Republicii Moldova</w:t>
      </w:r>
      <w:r w:rsidR="00A712C9" w:rsidRPr="00AA6E21">
        <w:rPr>
          <w:rFonts w:asciiTheme="majorHAnsi" w:hAnsiTheme="majorHAnsi" w:cstheme="majorHAnsi"/>
          <w:sz w:val="24"/>
          <w:szCs w:val="24"/>
          <w:lang w:val="ro-MD"/>
        </w:rPr>
        <w:t>,</w:t>
      </w:r>
      <w:r w:rsidR="00A712C9" w:rsidRPr="00AA6E21">
        <w:rPr>
          <w:rFonts w:eastAsia="Times New Roman"/>
          <w:sz w:val="24"/>
          <w:szCs w:val="24"/>
          <w:lang w:val="ro-MD" w:eastAsia="ru-RU"/>
        </w:rPr>
        <w:t xml:space="preserve"> </w:t>
      </w:r>
      <w:r w:rsidR="00A712C9" w:rsidRPr="00AA6E21">
        <w:rPr>
          <w:rFonts w:asciiTheme="majorHAnsi" w:hAnsiTheme="majorHAnsi" w:cstheme="majorHAnsi"/>
          <w:sz w:val="24"/>
          <w:szCs w:val="24"/>
          <w:lang w:val="ro-MD"/>
        </w:rPr>
        <w:t>pentru informare și examinare, după caz, în cadrul Comisiei parlamentare de control al finanțelor publice</w:t>
      </w:r>
      <w:r w:rsidR="000E733E" w:rsidRPr="00D778C7">
        <w:rPr>
          <w:rFonts w:asciiTheme="majorHAnsi" w:hAnsiTheme="majorHAnsi"/>
          <w:bCs/>
          <w:lang w:val="ro-MD"/>
        </w:rPr>
        <w:t>;</w:t>
      </w:r>
    </w:p>
    <w:p w:rsidR="00AA6E21" w:rsidRPr="00AA6E21" w:rsidRDefault="00AA6E21" w:rsidP="0076040B">
      <w:pPr>
        <w:spacing w:before="240" w:line="276" w:lineRule="auto"/>
        <w:ind w:left="360" w:firstLine="180"/>
        <w:contextualSpacing/>
        <w:jc w:val="both"/>
        <w:rPr>
          <w:rFonts w:asciiTheme="majorHAnsi" w:eastAsiaTheme="minorEastAsia" w:hAnsiTheme="majorHAnsi" w:cstheme="majorHAnsi"/>
          <w:sz w:val="24"/>
          <w:szCs w:val="24"/>
          <w:lang w:val="ro-MD"/>
        </w:rPr>
      </w:pPr>
      <w:r w:rsidRPr="00AA6E21">
        <w:rPr>
          <w:rFonts w:asciiTheme="majorHAnsi" w:eastAsiaTheme="minorEastAsia" w:hAnsiTheme="majorHAnsi" w:cstheme="majorHAnsi"/>
          <w:b/>
          <w:sz w:val="24"/>
          <w:szCs w:val="24"/>
          <w:lang w:val="ro-MD"/>
        </w:rPr>
        <w:t xml:space="preserve">2.3. </w:t>
      </w:r>
      <w:r w:rsidR="001D3874">
        <w:rPr>
          <w:rFonts w:asciiTheme="majorHAnsi" w:eastAsiaTheme="minorEastAsia" w:hAnsiTheme="majorHAnsi" w:cstheme="majorHAnsi"/>
          <w:b/>
          <w:sz w:val="24"/>
          <w:szCs w:val="24"/>
          <w:lang w:val="ro-MD"/>
        </w:rPr>
        <w:t xml:space="preserve"> </w:t>
      </w:r>
      <w:r w:rsidRPr="00AA6E21">
        <w:rPr>
          <w:rFonts w:asciiTheme="majorHAnsi" w:eastAsiaTheme="minorEastAsia" w:hAnsiTheme="majorHAnsi" w:cstheme="majorHAnsi"/>
          <w:b/>
          <w:sz w:val="24"/>
          <w:szCs w:val="24"/>
          <w:lang w:val="ro-MD"/>
        </w:rPr>
        <w:t>Președintelui Republicii Moldova</w:t>
      </w:r>
      <w:r w:rsidRPr="00AA6E21">
        <w:rPr>
          <w:rFonts w:asciiTheme="majorHAnsi" w:eastAsiaTheme="minorEastAsia" w:hAnsiTheme="majorHAnsi" w:cstheme="majorHAnsi"/>
          <w:sz w:val="24"/>
          <w:szCs w:val="24"/>
          <w:lang w:val="ro-MD"/>
        </w:rPr>
        <w:t>, pentru informare;</w:t>
      </w:r>
    </w:p>
    <w:p w:rsidR="00AA6E21" w:rsidRPr="00A712C9" w:rsidRDefault="00AA6E21" w:rsidP="00A712C9">
      <w:pPr>
        <w:pStyle w:val="NormalWeb"/>
        <w:spacing w:after="120" w:line="276" w:lineRule="auto"/>
        <w:rPr>
          <w:rFonts w:asciiTheme="majorHAnsi" w:hAnsiTheme="majorHAnsi"/>
          <w:b/>
          <w:lang w:val="ro-MD"/>
        </w:rPr>
      </w:pPr>
      <w:r w:rsidRPr="00AA6E21">
        <w:rPr>
          <w:rFonts w:asciiTheme="majorHAnsi" w:hAnsiTheme="majorHAnsi" w:cstheme="majorHAnsi"/>
          <w:b/>
          <w:lang w:val="ro-MD"/>
        </w:rPr>
        <w:t>2.4.</w:t>
      </w:r>
      <w:r w:rsidR="00A712C9">
        <w:rPr>
          <w:rFonts w:asciiTheme="majorHAnsi" w:hAnsiTheme="majorHAnsi" w:cstheme="majorHAnsi"/>
          <w:b/>
          <w:lang w:val="ro-MD"/>
        </w:rPr>
        <w:t xml:space="preserve"> </w:t>
      </w:r>
      <w:r w:rsidR="00A712C9">
        <w:rPr>
          <w:rFonts w:asciiTheme="majorHAnsi" w:eastAsiaTheme="minorHAnsi" w:hAnsiTheme="majorHAnsi" w:cstheme="minorBidi"/>
          <w:b/>
          <w:bCs/>
          <w:lang w:val="ro-MD"/>
        </w:rPr>
        <w:t>Ministerului Finanțelor</w:t>
      </w:r>
      <w:r w:rsidR="000E733E" w:rsidRPr="00D778C7">
        <w:rPr>
          <w:rFonts w:asciiTheme="majorHAnsi" w:hAnsiTheme="majorHAnsi"/>
          <w:lang w:val="ro-MD"/>
        </w:rPr>
        <w:t>,</w:t>
      </w:r>
      <w:r w:rsidR="00A712C9">
        <w:rPr>
          <w:rFonts w:asciiTheme="majorHAnsi" w:hAnsiTheme="majorHAnsi"/>
          <w:b/>
          <w:lang w:val="ro-MD"/>
        </w:rPr>
        <w:t xml:space="preserve"> </w:t>
      </w:r>
      <w:r w:rsidR="00A712C9" w:rsidRPr="00AB3F50">
        <w:rPr>
          <w:rFonts w:asciiTheme="majorHAnsi" w:hAnsiTheme="majorHAnsi" w:cstheme="majorHAnsi"/>
          <w:lang w:val="ro-RO"/>
        </w:rPr>
        <w:t xml:space="preserve">pentru </w:t>
      </w:r>
      <w:r w:rsidR="00A712C9" w:rsidRPr="00CE7087">
        <w:rPr>
          <w:rFonts w:asciiTheme="majorHAnsi" w:hAnsiTheme="majorHAnsi" w:cstheme="majorHAnsi"/>
          <w:lang w:val="ro-RO"/>
        </w:rPr>
        <w:t>luare de atitudine și asigurarea implementării recomandărilo</w:t>
      </w:r>
      <w:r w:rsidR="001D3874">
        <w:rPr>
          <w:rFonts w:asciiTheme="majorHAnsi" w:hAnsiTheme="majorHAnsi" w:cstheme="majorHAnsi"/>
          <w:lang w:val="ro-RO"/>
        </w:rPr>
        <w:t>r cuprinse în Raportul de audit.</w:t>
      </w:r>
    </w:p>
    <w:p w:rsidR="00CC3867" w:rsidRDefault="00CC3867" w:rsidP="0067238D">
      <w:pPr>
        <w:pStyle w:val="NormalWeb"/>
        <w:spacing w:after="120" w:line="276" w:lineRule="auto"/>
        <w:rPr>
          <w:rFonts w:asciiTheme="majorHAnsi" w:hAnsiTheme="majorHAnsi"/>
          <w:lang w:val="ro-MD"/>
        </w:rPr>
      </w:pPr>
      <w:r>
        <w:rPr>
          <w:rFonts w:asciiTheme="majorHAnsi" w:eastAsiaTheme="minorHAnsi" w:hAnsiTheme="majorHAnsi" w:cstheme="minorBidi"/>
          <w:b/>
          <w:bCs/>
          <w:lang w:val="ro-MD"/>
        </w:rPr>
        <w:t>3</w:t>
      </w:r>
      <w:r w:rsidRPr="001376A5">
        <w:rPr>
          <w:rFonts w:asciiTheme="majorHAnsi" w:eastAsiaTheme="minorHAnsi" w:hAnsiTheme="majorHAnsi" w:cstheme="minorBidi"/>
          <w:b/>
          <w:bCs/>
          <w:lang w:val="ro-MD"/>
        </w:rPr>
        <w:t>.</w:t>
      </w:r>
      <w:r>
        <w:rPr>
          <w:rFonts w:asciiTheme="majorHAnsi" w:eastAsiaTheme="minorHAnsi" w:hAnsiTheme="majorHAnsi" w:cstheme="minorBidi"/>
          <w:bCs/>
          <w:lang w:val="ro-MD"/>
        </w:rPr>
        <w:t xml:space="preserve"> Prin prezenta Hotărâre</w:t>
      </w:r>
      <w:r w:rsidRPr="00755D18">
        <w:rPr>
          <w:rFonts w:asciiTheme="majorHAnsi" w:hAnsiTheme="majorHAnsi"/>
          <w:bCs/>
          <w:lang w:val="ro-MD"/>
        </w:rPr>
        <w:t xml:space="preserve"> </w:t>
      </w:r>
      <w:r w:rsidRPr="00755D18">
        <w:rPr>
          <w:rFonts w:asciiTheme="majorHAnsi" w:hAnsiTheme="majorHAnsi"/>
          <w:lang w:val="ro-MD"/>
        </w:rPr>
        <w:t>se exclude din regim de monitorizare H</w:t>
      </w:r>
      <w:r>
        <w:rPr>
          <w:rFonts w:asciiTheme="majorHAnsi" w:hAnsiTheme="majorHAnsi"/>
          <w:lang w:val="ro-MD"/>
        </w:rPr>
        <w:t>otărârea Curții de Conturi nr.</w:t>
      </w:r>
      <w:r w:rsidR="00DF5A08">
        <w:rPr>
          <w:rFonts w:asciiTheme="majorHAnsi" w:hAnsiTheme="majorHAnsi"/>
          <w:lang w:val="ro-MD"/>
        </w:rPr>
        <w:t>39</w:t>
      </w:r>
      <w:r>
        <w:rPr>
          <w:rFonts w:asciiTheme="majorHAnsi" w:hAnsiTheme="majorHAnsi"/>
          <w:lang w:val="ro-MD"/>
        </w:rPr>
        <w:t xml:space="preserve"> din 2</w:t>
      </w:r>
      <w:r w:rsidR="00DF5A08">
        <w:rPr>
          <w:rFonts w:asciiTheme="majorHAnsi" w:hAnsiTheme="majorHAnsi"/>
          <w:lang w:val="ro-MD"/>
        </w:rPr>
        <w:t>8</w:t>
      </w:r>
      <w:r w:rsidR="000E733E">
        <w:rPr>
          <w:rFonts w:asciiTheme="majorHAnsi" w:hAnsiTheme="majorHAnsi"/>
          <w:lang w:val="ro-MD"/>
        </w:rPr>
        <w:t xml:space="preserve"> iulie </w:t>
      </w:r>
      <w:r w:rsidR="00C81D2C">
        <w:rPr>
          <w:rFonts w:asciiTheme="majorHAnsi" w:hAnsiTheme="majorHAnsi"/>
          <w:lang w:val="ro-MD"/>
        </w:rPr>
        <w:t>2020</w:t>
      </w:r>
      <w:r w:rsidRPr="00755D18">
        <w:rPr>
          <w:rFonts w:asciiTheme="majorHAnsi" w:hAnsiTheme="majorHAnsi"/>
          <w:lang w:val="ro-MD"/>
        </w:rPr>
        <w:t xml:space="preserve"> „Cu privire la Raportul auditului </w:t>
      </w:r>
      <w:r w:rsidR="00DF5A08" w:rsidRPr="00DF5A08">
        <w:rPr>
          <w:rFonts w:asciiTheme="majorHAnsi" w:hAnsiTheme="majorHAnsi"/>
          <w:lang w:val="ro-MD"/>
        </w:rPr>
        <w:t>performanței asupra managementului datoriei de stat, garanțiilor de stat și recreditării de stat în anul 2019</w:t>
      </w:r>
      <w:r w:rsidRPr="00755D18">
        <w:rPr>
          <w:rFonts w:asciiTheme="majorHAnsi" w:hAnsiTheme="majorHAnsi"/>
          <w:lang w:val="ro-MD"/>
        </w:rPr>
        <w:t>”.</w:t>
      </w:r>
    </w:p>
    <w:p w:rsidR="00CC3867" w:rsidRDefault="0076040B" w:rsidP="0067238D">
      <w:pPr>
        <w:pStyle w:val="NormalWeb"/>
        <w:spacing w:after="120" w:line="276" w:lineRule="auto"/>
        <w:rPr>
          <w:rFonts w:asciiTheme="majorHAnsi" w:hAnsiTheme="majorHAnsi" w:cstheme="majorHAnsi"/>
          <w:lang w:val="ro-MD"/>
        </w:rPr>
      </w:pPr>
      <w:r>
        <w:rPr>
          <w:rFonts w:asciiTheme="majorHAnsi" w:hAnsiTheme="majorHAnsi"/>
          <w:b/>
          <w:bCs/>
          <w:lang w:val="ro-MD"/>
        </w:rPr>
        <w:t>4</w:t>
      </w:r>
      <w:r w:rsidR="00CC3867" w:rsidRPr="00755D18">
        <w:rPr>
          <w:rFonts w:asciiTheme="majorHAnsi" w:eastAsiaTheme="minorHAnsi" w:hAnsiTheme="majorHAnsi" w:cstheme="minorBidi"/>
          <w:bCs/>
          <w:lang w:val="ro-MD"/>
        </w:rPr>
        <w:t>. Prezenta</w:t>
      </w:r>
      <w:r w:rsidR="00CC3867" w:rsidRPr="00755D18">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r w:rsidR="00CC3867">
        <w:rPr>
          <w:rFonts w:asciiTheme="majorHAnsi" w:hAnsiTheme="majorHAnsi" w:cstheme="majorHAnsi"/>
          <w:lang w:val="ro-MD"/>
        </w:rPr>
        <w:t xml:space="preserve"> </w:t>
      </w:r>
    </w:p>
    <w:p w:rsidR="00CC3867" w:rsidRPr="009F76CA" w:rsidRDefault="0076040B" w:rsidP="0067238D">
      <w:pPr>
        <w:pStyle w:val="NormalWeb"/>
        <w:spacing w:after="120" w:line="276" w:lineRule="auto"/>
        <w:rPr>
          <w:rFonts w:asciiTheme="majorHAnsi" w:hAnsiTheme="majorHAnsi" w:cstheme="majorHAnsi"/>
          <w:lang w:val="ro-MD"/>
        </w:rPr>
      </w:pPr>
      <w:r>
        <w:rPr>
          <w:rFonts w:asciiTheme="majorHAnsi" w:hAnsiTheme="majorHAnsi" w:cstheme="majorHAnsi"/>
          <w:b/>
          <w:lang w:val="ro-MD"/>
        </w:rPr>
        <w:lastRenderedPageBreak/>
        <w:t>5</w:t>
      </w:r>
      <w:r w:rsidR="00CC3867" w:rsidRPr="003D2BE5">
        <w:rPr>
          <w:rFonts w:asciiTheme="majorHAnsi" w:hAnsiTheme="majorHAnsi" w:cstheme="majorHAnsi"/>
          <w:b/>
          <w:lang w:val="ro-MD"/>
        </w:rPr>
        <w:t>.</w:t>
      </w:r>
      <w:r w:rsidR="00CC3867">
        <w:rPr>
          <w:rFonts w:asciiTheme="majorHAnsi" w:hAnsiTheme="majorHAnsi" w:cstheme="majorHAnsi"/>
          <w:lang w:val="ro-MD"/>
        </w:rPr>
        <w:t xml:space="preserve"> </w:t>
      </w:r>
      <w:r w:rsidR="00CC3867" w:rsidRPr="004D72E1">
        <w:rPr>
          <w:rFonts w:ascii="Calibri Light" w:hAnsi="Calibri Light" w:cs="Calibri Light"/>
          <w:noProof/>
          <w:lang w:val="ro-MD"/>
        </w:rPr>
        <w:t xml:space="preserve">Curtea de </w:t>
      </w:r>
      <w:r w:rsidR="00CC3867" w:rsidRPr="0067238D">
        <w:rPr>
          <w:rFonts w:ascii="Calibri Light" w:hAnsi="Calibri Light" w:cs="Calibri Light"/>
          <w:noProof/>
          <w:lang w:val="ro-MD"/>
        </w:rPr>
        <w:t xml:space="preserve">Conturi va fi informată, în termen de 6 luni din data </w:t>
      </w:r>
      <w:r w:rsidR="00CC3867" w:rsidRPr="0067238D">
        <w:rPr>
          <w:rFonts w:ascii="Calibri Light" w:hAnsi="Calibri Light" w:cs="Calibri Light"/>
          <w:noProof/>
          <w:lang w:val="ro-MD" w:eastAsia="ru-RU"/>
        </w:rPr>
        <w:t xml:space="preserve">publicării </w:t>
      </w:r>
      <w:r w:rsidR="00CC3867" w:rsidRPr="0067238D">
        <w:rPr>
          <w:rFonts w:ascii="Calibri Light" w:hAnsi="Calibri Light" w:cs="Calibri Light"/>
          <w:noProof/>
          <w:lang w:val="ro-MD"/>
        </w:rPr>
        <w:t>Hotărârii</w:t>
      </w:r>
      <w:r w:rsidR="00CC3867" w:rsidRPr="0067238D">
        <w:rPr>
          <w:rFonts w:ascii="Calibri Light" w:hAnsi="Calibri Light" w:cs="Calibri Light"/>
          <w:lang w:val="ro-MD"/>
        </w:rPr>
        <w:t xml:space="preserve"> în Monitorul Oficial al Republicii Moldova,</w:t>
      </w:r>
      <w:r w:rsidR="00CC3867" w:rsidRPr="0067238D">
        <w:rPr>
          <w:rFonts w:ascii="Calibri Light" w:hAnsi="Calibri Light" w:cs="Calibri Light"/>
          <w:noProof/>
          <w:lang w:val="ro-MD"/>
        </w:rPr>
        <w:t xml:space="preserve"> despre acțiunile întreprinse pentru executarea subpunct</w:t>
      </w:r>
      <w:r w:rsidR="00082420">
        <w:rPr>
          <w:rFonts w:ascii="Calibri Light" w:hAnsi="Calibri Light" w:cs="Calibri Light"/>
          <w:noProof/>
          <w:lang w:val="ro-MD"/>
        </w:rPr>
        <w:t>ului</w:t>
      </w:r>
      <w:r w:rsidR="00F571E6">
        <w:rPr>
          <w:rFonts w:ascii="Calibri Light" w:hAnsi="Calibri Light" w:cs="Calibri Light"/>
          <w:noProof/>
          <w:lang w:val="ro-MD"/>
        </w:rPr>
        <w:t xml:space="preserve"> 2.</w:t>
      </w:r>
      <w:r w:rsidR="00A712C9">
        <w:rPr>
          <w:rFonts w:ascii="Calibri Light" w:hAnsi="Calibri Light" w:cs="Calibri Light"/>
          <w:noProof/>
          <w:lang w:val="ro-MD"/>
        </w:rPr>
        <w:t>4</w:t>
      </w:r>
      <w:r w:rsidR="00F571E6">
        <w:rPr>
          <w:rFonts w:ascii="Calibri Light" w:hAnsi="Calibri Light" w:cs="Calibri Light"/>
          <w:noProof/>
          <w:lang w:val="ro-MD"/>
        </w:rPr>
        <w:t xml:space="preserve">. </w:t>
      </w:r>
      <w:r w:rsidR="00CC3867" w:rsidRPr="0067238D">
        <w:rPr>
          <w:rFonts w:ascii="Calibri Light" w:hAnsi="Calibri Light" w:cs="Calibri Light"/>
          <w:noProof/>
          <w:lang w:val="ro-MD"/>
        </w:rPr>
        <w:t>din prezenta Hotărâre.</w:t>
      </w:r>
    </w:p>
    <w:p w:rsidR="003F2560" w:rsidRPr="00AB3F50" w:rsidRDefault="005E257C" w:rsidP="0067238D">
      <w:pPr>
        <w:spacing w:after="120" w:line="276" w:lineRule="auto"/>
        <w:ind w:firstLine="567"/>
        <w:jc w:val="both"/>
        <w:rPr>
          <w:rFonts w:asciiTheme="majorHAnsi" w:eastAsia="Times New Roman" w:hAnsiTheme="majorHAnsi" w:cstheme="majorHAnsi"/>
          <w:sz w:val="24"/>
          <w:szCs w:val="24"/>
          <w:lang w:val="ro-MD"/>
        </w:rPr>
      </w:pPr>
      <w:r>
        <w:rPr>
          <w:rFonts w:asciiTheme="majorHAnsi" w:hAnsiTheme="majorHAnsi"/>
          <w:b/>
          <w:sz w:val="24"/>
          <w:szCs w:val="24"/>
          <w:lang w:val="ro-MD"/>
        </w:rPr>
        <w:t>6</w:t>
      </w:r>
      <w:r w:rsidR="00CC3867" w:rsidRPr="000F0D60">
        <w:rPr>
          <w:rFonts w:asciiTheme="majorHAnsi" w:hAnsiTheme="majorHAnsi"/>
          <w:b/>
          <w:sz w:val="24"/>
          <w:szCs w:val="24"/>
          <w:lang w:val="ro-MD"/>
        </w:rPr>
        <w:t>.</w:t>
      </w:r>
      <w:r w:rsidR="00CC3867" w:rsidRPr="000F0D60">
        <w:rPr>
          <w:rFonts w:asciiTheme="majorHAnsi" w:hAnsiTheme="majorHAnsi"/>
          <w:sz w:val="24"/>
          <w:szCs w:val="24"/>
          <w:lang w:val="ro-MD"/>
        </w:rPr>
        <w:t xml:space="preserve"> </w:t>
      </w:r>
      <w:r w:rsidR="00CC3867">
        <w:rPr>
          <w:rFonts w:asciiTheme="majorHAnsi" w:hAnsiTheme="majorHAnsi"/>
          <w:sz w:val="24"/>
          <w:szCs w:val="24"/>
          <w:lang w:val="ro-MD"/>
        </w:rPr>
        <w:t xml:space="preserve"> </w:t>
      </w:r>
      <w:r w:rsidR="00CC3867" w:rsidRPr="000F0D60">
        <w:rPr>
          <w:rFonts w:asciiTheme="majorHAnsi" w:hAnsiTheme="majorHAnsi"/>
          <w:sz w:val="24"/>
          <w:szCs w:val="24"/>
          <w:lang w:val="ro-MD"/>
        </w:rPr>
        <w:t xml:space="preserve">Hotărârea și Raportul auditului </w:t>
      </w:r>
      <w:r w:rsidR="00F571E6" w:rsidRPr="00F571E6">
        <w:rPr>
          <w:rFonts w:asciiTheme="majorHAnsi" w:hAnsiTheme="majorHAnsi"/>
          <w:sz w:val="24"/>
          <w:szCs w:val="24"/>
          <w:lang w:val="ro-MD"/>
        </w:rPr>
        <w:t xml:space="preserve">conformității </w:t>
      </w:r>
      <w:r w:rsidR="000E733E">
        <w:rPr>
          <w:rFonts w:asciiTheme="majorHAnsi" w:hAnsiTheme="majorHAnsi"/>
          <w:sz w:val="24"/>
          <w:szCs w:val="24"/>
          <w:lang w:val="ro-MD"/>
        </w:rPr>
        <w:t xml:space="preserve">asupra </w:t>
      </w:r>
      <w:r w:rsidR="00F571E6" w:rsidRPr="00F571E6">
        <w:rPr>
          <w:rFonts w:asciiTheme="majorHAnsi" w:hAnsiTheme="majorHAnsi"/>
          <w:sz w:val="24"/>
          <w:szCs w:val="24"/>
          <w:lang w:val="ro-MD"/>
        </w:rPr>
        <w:t>managementului datoriei de stat, garanțiilor de stat și recreditării de stat în anul 2020</w:t>
      </w:r>
      <w:r w:rsidR="00E1186A">
        <w:rPr>
          <w:rFonts w:asciiTheme="majorHAnsi" w:hAnsiTheme="majorHAnsi"/>
          <w:sz w:val="24"/>
          <w:szCs w:val="24"/>
          <w:lang w:val="ro-MD"/>
        </w:rPr>
        <w:t xml:space="preserve"> </w:t>
      </w:r>
      <w:r w:rsidR="00CC3867" w:rsidRPr="000F0D60">
        <w:rPr>
          <w:rFonts w:asciiTheme="majorHAnsi" w:hAnsiTheme="majorHAnsi"/>
          <w:sz w:val="24"/>
          <w:szCs w:val="24"/>
          <w:lang w:val="ro-MD"/>
        </w:rPr>
        <w:t xml:space="preserve">se plasează pe site-ul oficial al Curții de Conturi </w:t>
      </w:r>
      <w:r w:rsidR="00CC3867" w:rsidRPr="000F0D60">
        <w:rPr>
          <w:rFonts w:ascii="Calibri Light" w:hAnsi="Calibri Light" w:cs="Calibri Light"/>
          <w:sz w:val="24"/>
          <w:szCs w:val="24"/>
          <w:lang w:val="ro-MD"/>
        </w:rPr>
        <w:t>(</w:t>
      </w:r>
      <w:hyperlink r:id="rId9" w:history="1">
        <w:r w:rsidR="00CC3867" w:rsidRPr="000F0D60">
          <w:rPr>
            <w:rStyle w:val="Hyperlink"/>
            <w:rFonts w:ascii="Calibri Light" w:eastAsiaTheme="majorEastAsia" w:hAnsi="Calibri Light" w:cs="Calibri Light"/>
            <w:sz w:val="24"/>
            <w:szCs w:val="24"/>
            <w:lang w:val="ro-MD"/>
          </w:rPr>
          <w:t>http://www.ccrm.md/hotariri-si-rapoarte-1-95</w:t>
        </w:r>
      </w:hyperlink>
      <w:r w:rsidR="00CC3867" w:rsidRPr="000F0D60">
        <w:rPr>
          <w:rFonts w:ascii="Calibri Light" w:hAnsi="Calibri Light" w:cs="Calibri Light"/>
          <w:sz w:val="24"/>
          <w:szCs w:val="24"/>
          <w:lang w:val="ro-MD"/>
        </w:rPr>
        <w:t>).</w:t>
      </w:r>
      <w:r w:rsidR="003F2560" w:rsidRPr="00AB3F50">
        <w:rPr>
          <w:rFonts w:asciiTheme="majorHAnsi" w:eastAsia="Times New Roman" w:hAnsiTheme="majorHAnsi" w:cstheme="majorHAnsi"/>
          <w:sz w:val="24"/>
          <w:szCs w:val="24"/>
          <w:lang w:val="ro-MD"/>
        </w:rPr>
        <w:t xml:space="preserve">                                                                                                                                    </w:t>
      </w:r>
    </w:p>
    <w:p w:rsidR="000E733E" w:rsidRDefault="003F2560" w:rsidP="003F2560">
      <w:pPr>
        <w:spacing w:after="0" w:line="276" w:lineRule="auto"/>
        <w:rPr>
          <w:rFonts w:asciiTheme="majorHAnsi" w:eastAsia="Times New Roman" w:hAnsiTheme="majorHAnsi" w:cstheme="majorHAnsi"/>
          <w:sz w:val="24"/>
          <w:szCs w:val="24"/>
          <w:lang w:val="ro-MD"/>
        </w:rPr>
      </w:pPr>
      <w:r w:rsidRPr="00AB3F50">
        <w:rPr>
          <w:rFonts w:asciiTheme="majorHAnsi" w:eastAsia="Times New Roman" w:hAnsiTheme="majorHAnsi" w:cstheme="majorHAnsi"/>
          <w:sz w:val="24"/>
          <w:szCs w:val="24"/>
          <w:lang w:val="ro-MD"/>
        </w:rPr>
        <w:t xml:space="preserve">                                                                                                                                            </w:t>
      </w:r>
    </w:p>
    <w:p w:rsidR="000E733E" w:rsidRDefault="000E733E" w:rsidP="003F2560">
      <w:pPr>
        <w:spacing w:after="0" w:line="276" w:lineRule="auto"/>
        <w:rPr>
          <w:rFonts w:asciiTheme="majorHAnsi" w:eastAsia="Times New Roman" w:hAnsiTheme="majorHAnsi" w:cstheme="majorHAnsi"/>
          <w:sz w:val="24"/>
          <w:szCs w:val="24"/>
          <w:lang w:val="ro-MD"/>
        </w:rPr>
      </w:pPr>
    </w:p>
    <w:p w:rsidR="004F4379" w:rsidRDefault="003F2560" w:rsidP="004F4379">
      <w:pPr>
        <w:spacing w:after="0" w:line="276" w:lineRule="auto"/>
        <w:ind w:left="7200"/>
        <w:rPr>
          <w:rFonts w:asciiTheme="majorHAnsi" w:eastAsia="Times New Roman" w:hAnsiTheme="majorHAnsi" w:cstheme="majorHAnsi"/>
          <w:b/>
          <w:sz w:val="28"/>
          <w:szCs w:val="28"/>
          <w:lang w:val="ro-MD"/>
        </w:rPr>
      </w:pPr>
      <w:r w:rsidRPr="00AB3F50">
        <w:rPr>
          <w:rFonts w:asciiTheme="majorHAnsi" w:eastAsia="Times New Roman" w:hAnsiTheme="majorHAnsi" w:cstheme="majorHAnsi"/>
          <w:b/>
          <w:sz w:val="28"/>
          <w:szCs w:val="28"/>
          <w:lang w:val="ro-MD"/>
        </w:rPr>
        <w:t>Marian LUPU,</w:t>
      </w:r>
    </w:p>
    <w:p w:rsidR="003F2560" w:rsidRPr="00AB3F50" w:rsidRDefault="003F2560" w:rsidP="004F4379">
      <w:pPr>
        <w:spacing w:after="0" w:line="276" w:lineRule="auto"/>
        <w:ind w:left="7200"/>
        <w:rPr>
          <w:rFonts w:asciiTheme="majorHAnsi" w:eastAsia="Times New Roman" w:hAnsiTheme="majorHAnsi" w:cstheme="majorHAnsi"/>
          <w:b/>
          <w:sz w:val="28"/>
          <w:szCs w:val="28"/>
          <w:lang w:val="ro-MD"/>
        </w:rPr>
      </w:pPr>
      <w:r w:rsidRPr="00AB3F50">
        <w:rPr>
          <w:rFonts w:asciiTheme="majorHAnsi" w:eastAsia="Times New Roman" w:hAnsiTheme="majorHAnsi" w:cstheme="majorHAnsi"/>
          <w:b/>
          <w:sz w:val="28"/>
          <w:szCs w:val="28"/>
          <w:lang w:val="ro-MD"/>
        </w:rPr>
        <w:t>Președinte</w:t>
      </w:r>
    </w:p>
    <w:p w:rsidR="003F2560" w:rsidRDefault="003F2560" w:rsidP="003F2560">
      <w:pPr>
        <w:spacing w:after="0" w:line="276" w:lineRule="auto"/>
        <w:ind w:left="-567"/>
        <w:jc w:val="both"/>
        <w:rPr>
          <w:rFonts w:asciiTheme="majorHAnsi" w:eastAsia="Calibri" w:hAnsiTheme="majorHAnsi" w:cstheme="majorHAnsi"/>
          <w:sz w:val="24"/>
          <w:szCs w:val="24"/>
          <w:lang w:val="ro-RO"/>
        </w:rPr>
      </w:pPr>
    </w:p>
    <w:p w:rsidR="00D3467D" w:rsidRDefault="00D3467D" w:rsidP="003F2560">
      <w:pPr>
        <w:spacing w:after="0" w:line="276" w:lineRule="auto"/>
        <w:jc w:val="both"/>
        <w:rPr>
          <w:rFonts w:asciiTheme="majorHAnsi" w:eastAsia="Calibri" w:hAnsiTheme="majorHAnsi" w:cstheme="majorHAnsi"/>
          <w:sz w:val="24"/>
          <w:szCs w:val="24"/>
          <w:lang w:val="ro-RO"/>
        </w:rPr>
      </w:pPr>
    </w:p>
    <w:p w:rsidR="00D3467D" w:rsidRDefault="00D3467D" w:rsidP="003F2560">
      <w:pPr>
        <w:spacing w:after="0" w:line="276" w:lineRule="auto"/>
        <w:jc w:val="both"/>
        <w:rPr>
          <w:rFonts w:asciiTheme="majorHAnsi" w:eastAsia="Calibri" w:hAnsiTheme="majorHAnsi" w:cstheme="majorHAnsi"/>
          <w:sz w:val="24"/>
          <w:szCs w:val="24"/>
          <w:lang w:val="ro-RO"/>
        </w:rPr>
      </w:pPr>
    </w:p>
    <w:p w:rsidR="00D3467D" w:rsidRDefault="00D3467D"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803EEF" w:rsidRDefault="00803EEF"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p>
    <w:p w:rsidR="005E2DB6" w:rsidRDefault="005E2DB6" w:rsidP="003F2560">
      <w:pPr>
        <w:spacing w:after="0" w:line="276" w:lineRule="auto"/>
        <w:jc w:val="both"/>
        <w:rPr>
          <w:rFonts w:asciiTheme="majorHAnsi" w:eastAsia="Calibri" w:hAnsiTheme="majorHAnsi" w:cstheme="majorHAnsi"/>
          <w:sz w:val="24"/>
          <w:szCs w:val="24"/>
          <w:lang w:val="ro-RO"/>
        </w:rPr>
      </w:pPr>
    </w:p>
    <w:p w:rsidR="008F49CC" w:rsidRDefault="008F49CC" w:rsidP="003F2560">
      <w:pPr>
        <w:spacing w:after="0" w:line="276" w:lineRule="auto"/>
        <w:jc w:val="both"/>
        <w:rPr>
          <w:rFonts w:asciiTheme="majorHAnsi" w:eastAsia="Calibri" w:hAnsiTheme="majorHAnsi" w:cstheme="majorHAnsi"/>
          <w:sz w:val="24"/>
          <w:szCs w:val="24"/>
          <w:lang w:val="ro-RO"/>
        </w:rPr>
      </w:pPr>
    </w:p>
    <w:p w:rsidR="00B645E8" w:rsidRDefault="00B645E8" w:rsidP="003F2560">
      <w:pPr>
        <w:spacing w:after="0" w:line="276" w:lineRule="auto"/>
        <w:jc w:val="both"/>
        <w:rPr>
          <w:rFonts w:asciiTheme="majorHAnsi" w:eastAsia="Calibri" w:hAnsiTheme="majorHAnsi" w:cstheme="majorHAnsi"/>
          <w:sz w:val="24"/>
          <w:szCs w:val="24"/>
          <w:lang w:val="ro-RO"/>
        </w:rPr>
      </w:pPr>
      <w:bookmarkStart w:id="1" w:name="_GoBack"/>
      <w:bookmarkEnd w:id="1"/>
    </w:p>
    <w:sectPr w:rsidR="00B645E8" w:rsidSect="0067238D">
      <w:headerReference w:type="default" r:id="rId10"/>
      <w:footerReference w:type="default" r:id="rId11"/>
      <w:pgSz w:w="11906" w:h="16838" w:code="9"/>
      <w:pgMar w:top="1170" w:right="850" w:bottom="1134" w:left="1701" w:header="4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272" w:rsidRDefault="00246272" w:rsidP="003F2560">
      <w:pPr>
        <w:spacing w:after="0" w:line="240" w:lineRule="auto"/>
      </w:pPr>
      <w:r>
        <w:separator/>
      </w:r>
    </w:p>
  </w:endnote>
  <w:endnote w:type="continuationSeparator" w:id="0">
    <w:p w:rsidR="00246272" w:rsidRDefault="00246272" w:rsidP="003F2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232950"/>
      <w:docPartObj>
        <w:docPartGallery w:val="Page Numbers (Bottom of Page)"/>
        <w:docPartUnique/>
      </w:docPartObj>
    </w:sdtPr>
    <w:sdtEndPr>
      <w:rPr>
        <w:noProof/>
      </w:rPr>
    </w:sdtEndPr>
    <w:sdtContent>
      <w:p w:rsidR="00CB4882" w:rsidRDefault="007B7D3B">
        <w:pPr>
          <w:pStyle w:val="Footer"/>
          <w:jc w:val="right"/>
        </w:pPr>
        <w:r>
          <w:fldChar w:fldCharType="begin"/>
        </w:r>
        <w:r>
          <w:instrText xml:space="preserve"> PAGE   \* MERGEFORMAT </w:instrText>
        </w:r>
        <w:r>
          <w:fldChar w:fldCharType="separate"/>
        </w:r>
        <w:r w:rsidR="000F4755">
          <w:rPr>
            <w:noProof/>
          </w:rPr>
          <w:t>3</w:t>
        </w:r>
        <w:r>
          <w:rPr>
            <w:noProof/>
          </w:rPr>
          <w:fldChar w:fldCharType="end"/>
        </w:r>
      </w:p>
    </w:sdtContent>
  </w:sdt>
  <w:p w:rsidR="00CB4882" w:rsidRDefault="002462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272" w:rsidRDefault="00246272" w:rsidP="003F2560">
      <w:pPr>
        <w:spacing w:after="0" w:line="240" w:lineRule="auto"/>
      </w:pPr>
      <w:r>
        <w:separator/>
      </w:r>
    </w:p>
  </w:footnote>
  <w:footnote w:type="continuationSeparator" w:id="0">
    <w:p w:rsidR="00246272" w:rsidRDefault="00246272" w:rsidP="003F2560">
      <w:pPr>
        <w:spacing w:after="0" w:line="240" w:lineRule="auto"/>
      </w:pPr>
      <w:r>
        <w:continuationSeparator/>
      </w:r>
    </w:p>
  </w:footnote>
  <w:footnote w:id="1">
    <w:p w:rsidR="003F2560" w:rsidRPr="00DE440A" w:rsidRDefault="003F2560" w:rsidP="00982281">
      <w:pPr>
        <w:pStyle w:val="FootnoteText"/>
        <w:jc w:val="both"/>
        <w:rPr>
          <w:rFonts w:asciiTheme="majorHAnsi" w:eastAsia="Times New Roman" w:hAnsiTheme="majorHAnsi" w:cs="Times New Roman"/>
          <w:sz w:val="16"/>
          <w:szCs w:val="16"/>
          <w:lang w:val="ro-RO"/>
        </w:rPr>
      </w:pPr>
      <w:r w:rsidRPr="00DE440A">
        <w:rPr>
          <w:rFonts w:asciiTheme="majorHAnsi" w:eastAsia="Times New Roman" w:hAnsiTheme="majorHAnsi" w:cs="Times New Roman"/>
          <w:sz w:val="16"/>
          <w:szCs w:val="16"/>
          <w:vertAlign w:val="superscript"/>
          <w:lang w:val="ro-RO"/>
        </w:rPr>
        <w:footnoteRef/>
      </w:r>
      <w:r w:rsidRPr="00DE440A">
        <w:rPr>
          <w:rFonts w:asciiTheme="majorHAnsi" w:eastAsia="Times New Roman" w:hAnsiTheme="majorHAnsi" w:cs="Times New Roman"/>
          <w:sz w:val="16"/>
          <w:szCs w:val="16"/>
          <w:lang w:val="ro-RO"/>
        </w:rPr>
        <w:t xml:space="preserve"> Legea privind organizarea și funcționarea Curții de Conturi a Republicii Moldova nr. 260 din 07.12.2017 (în continuare </w:t>
      </w:r>
      <w:r w:rsidR="00982281">
        <w:rPr>
          <w:rFonts w:asciiTheme="majorHAnsi" w:eastAsia="Times New Roman" w:hAnsiTheme="majorHAnsi" w:cs="Times New Roman"/>
          <w:sz w:val="16"/>
          <w:szCs w:val="16"/>
          <w:lang w:val="ro-RO"/>
        </w:rPr>
        <w:t>–</w:t>
      </w:r>
      <w:r w:rsidRPr="00DE440A">
        <w:rPr>
          <w:rFonts w:asciiTheme="majorHAnsi" w:eastAsia="Times New Roman" w:hAnsiTheme="majorHAnsi" w:cs="Times New Roman"/>
          <w:sz w:val="16"/>
          <w:szCs w:val="16"/>
          <w:lang w:val="ro-RO"/>
        </w:rPr>
        <w:t xml:space="preserve"> Legea nr.260 din 07.12.2017).</w:t>
      </w:r>
    </w:p>
  </w:footnote>
  <w:footnote w:id="2">
    <w:p w:rsidR="003F2560" w:rsidRPr="00DE440A" w:rsidRDefault="003F2560" w:rsidP="00982281">
      <w:pPr>
        <w:pStyle w:val="FootnoteText"/>
        <w:jc w:val="both"/>
        <w:rPr>
          <w:rFonts w:asciiTheme="majorHAnsi" w:hAnsiTheme="majorHAnsi"/>
          <w:sz w:val="16"/>
          <w:szCs w:val="16"/>
        </w:rPr>
      </w:pPr>
      <w:r w:rsidRPr="00DE440A">
        <w:rPr>
          <w:rStyle w:val="FootnoteReference1"/>
          <w:rFonts w:asciiTheme="majorHAnsi" w:hAnsiTheme="majorHAnsi"/>
          <w:sz w:val="16"/>
          <w:szCs w:val="16"/>
          <w:lang w:val="ro-RO"/>
        </w:rPr>
        <w:footnoteRef/>
      </w:r>
      <w:r w:rsidRPr="00DE440A">
        <w:rPr>
          <w:rFonts w:asciiTheme="majorHAnsi" w:hAnsiTheme="majorHAnsi"/>
          <w:sz w:val="16"/>
          <w:szCs w:val="16"/>
          <w:lang w:val="ro-RO"/>
        </w:rPr>
        <w:t xml:space="preserve"> </w:t>
      </w:r>
      <w:r w:rsidRPr="00DE440A">
        <w:rPr>
          <w:rFonts w:asciiTheme="majorHAnsi" w:hAnsiTheme="majorHAnsi"/>
          <w:sz w:val="16"/>
          <w:szCs w:val="16"/>
          <w:lang w:val="ro-RO"/>
        </w:rPr>
        <w:t>Hotărârea Curții de Conturi nr.</w:t>
      </w:r>
      <w:r w:rsidR="00126438">
        <w:rPr>
          <w:rFonts w:asciiTheme="majorHAnsi" w:hAnsiTheme="majorHAnsi"/>
          <w:sz w:val="16"/>
          <w:szCs w:val="16"/>
          <w:lang w:val="ro-RO"/>
        </w:rPr>
        <w:t>62</w:t>
      </w:r>
      <w:r w:rsidRPr="00DE440A">
        <w:rPr>
          <w:rFonts w:asciiTheme="majorHAnsi" w:hAnsiTheme="majorHAnsi"/>
          <w:sz w:val="16"/>
          <w:szCs w:val="16"/>
          <w:lang w:val="ro-RO"/>
        </w:rPr>
        <w:t xml:space="preserve"> din </w:t>
      </w:r>
      <w:r w:rsidR="00126438">
        <w:rPr>
          <w:rFonts w:asciiTheme="majorHAnsi" w:hAnsiTheme="majorHAnsi"/>
          <w:sz w:val="16"/>
          <w:szCs w:val="16"/>
          <w:lang w:val="ro-RO"/>
        </w:rPr>
        <w:t>10.12.2020</w:t>
      </w:r>
      <w:r w:rsidRPr="00DE440A">
        <w:rPr>
          <w:rFonts w:asciiTheme="majorHAnsi" w:hAnsiTheme="majorHAnsi"/>
          <w:sz w:val="16"/>
          <w:szCs w:val="16"/>
          <w:lang w:val="ro-RO"/>
        </w:rPr>
        <w:t xml:space="preserve"> </w:t>
      </w:r>
      <w:r w:rsidRPr="00DE440A">
        <w:rPr>
          <w:rFonts w:asciiTheme="majorHAnsi" w:hAnsiTheme="majorHAnsi"/>
          <w:bCs/>
          <w:sz w:val="16"/>
          <w:szCs w:val="16"/>
          <w:lang w:val="ro-RO"/>
        </w:rPr>
        <w:t xml:space="preserve">„Privind aprobarea </w:t>
      </w:r>
      <w:r w:rsidRPr="00DE440A">
        <w:rPr>
          <w:rFonts w:asciiTheme="majorHAnsi" w:hAnsiTheme="majorHAnsi"/>
          <w:sz w:val="16"/>
          <w:szCs w:val="16"/>
          <w:lang w:val="ro-RO"/>
        </w:rPr>
        <w:t>Programului activității de audit a</w:t>
      </w:r>
      <w:r w:rsidR="00126438">
        <w:rPr>
          <w:rFonts w:asciiTheme="majorHAnsi" w:hAnsiTheme="majorHAnsi"/>
          <w:sz w:val="16"/>
          <w:szCs w:val="16"/>
          <w:lang w:val="ro-RO"/>
        </w:rPr>
        <w:t xml:space="preserve"> Curții de Conturi pe anul 2021</w:t>
      </w:r>
      <w:r w:rsidRPr="00DE440A">
        <w:rPr>
          <w:rFonts w:asciiTheme="majorHAnsi" w:hAnsiTheme="majorHAnsi"/>
          <w:sz w:val="16"/>
          <w:szCs w:val="16"/>
          <w:lang w:val="ro-RO"/>
        </w:rPr>
        <w:t>”.</w:t>
      </w:r>
    </w:p>
  </w:footnote>
  <w:footnote w:id="3">
    <w:p w:rsidR="00A712C9" w:rsidRPr="00A712C9" w:rsidRDefault="00A712C9" w:rsidP="00E35557">
      <w:pPr>
        <w:pStyle w:val="FootnoteText"/>
        <w:jc w:val="both"/>
        <w:rPr>
          <w:rFonts w:asciiTheme="majorHAnsi" w:hAnsiTheme="majorHAnsi" w:cstheme="majorHAnsi"/>
          <w:sz w:val="16"/>
          <w:szCs w:val="16"/>
          <w:lang w:val="ro-MD"/>
        </w:rPr>
      </w:pPr>
      <w:r w:rsidRPr="00A712C9">
        <w:rPr>
          <w:rStyle w:val="FootnoteReference"/>
          <w:rFonts w:asciiTheme="majorHAnsi" w:hAnsiTheme="majorHAnsi" w:cstheme="majorHAnsi"/>
          <w:sz w:val="16"/>
          <w:szCs w:val="16"/>
        </w:rPr>
        <w:footnoteRef/>
      </w:r>
      <w:r w:rsidRPr="00A712C9">
        <w:rPr>
          <w:rFonts w:asciiTheme="majorHAnsi" w:hAnsiTheme="majorHAnsi" w:cstheme="majorHAnsi"/>
          <w:sz w:val="16"/>
          <w:szCs w:val="16"/>
        </w:rPr>
        <w:t xml:space="preserve"> </w:t>
      </w:r>
      <w:r w:rsidRPr="00A712C9">
        <w:rPr>
          <w:rFonts w:asciiTheme="majorHAnsi" w:hAnsiTheme="majorHAnsi" w:cstheme="majorHAnsi"/>
          <w:sz w:val="16"/>
          <w:szCs w:val="16"/>
          <w:lang w:val="ro-MD"/>
        </w:rPr>
        <w:t>Hotărârea Curții de Conturi nr.2 din 24.01.2020 „Cu privire la Cadrul Declarațiilor Profesionale ale INTOSAI”.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F50" w:rsidRPr="00D64955" w:rsidRDefault="00246272" w:rsidP="00AB3F50">
    <w:pPr>
      <w:pStyle w:val="Header"/>
      <w:jc w:val="right"/>
      <w:rPr>
        <w:rFonts w:asciiTheme="majorHAnsi" w:hAnsiTheme="majorHAnsi" w:cstheme="maj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1535F"/>
    <w:multiLevelType w:val="multilevel"/>
    <w:tmpl w:val="7DC8F42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49022E4"/>
    <w:multiLevelType w:val="multilevel"/>
    <w:tmpl w:val="CBDC5B10"/>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EF8710F"/>
    <w:multiLevelType w:val="multilevel"/>
    <w:tmpl w:val="B05680F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95"/>
    <w:rsid w:val="0001475E"/>
    <w:rsid w:val="000349D3"/>
    <w:rsid w:val="00045085"/>
    <w:rsid w:val="00050406"/>
    <w:rsid w:val="00077136"/>
    <w:rsid w:val="00082420"/>
    <w:rsid w:val="0009500F"/>
    <w:rsid w:val="000971E6"/>
    <w:rsid w:val="000A51F5"/>
    <w:rsid w:val="000B06CE"/>
    <w:rsid w:val="000B0975"/>
    <w:rsid w:val="000B3AFE"/>
    <w:rsid w:val="000C41F5"/>
    <w:rsid w:val="000D37DD"/>
    <w:rsid w:val="000E0B94"/>
    <w:rsid w:val="000E7259"/>
    <w:rsid w:val="000E733E"/>
    <w:rsid w:val="000E769F"/>
    <w:rsid w:val="000F2548"/>
    <w:rsid w:val="000F4755"/>
    <w:rsid w:val="001001D4"/>
    <w:rsid w:val="001002E7"/>
    <w:rsid w:val="001214FF"/>
    <w:rsid w:val="001236E6"/>
    <w:rsid w:val="00126438"/>
    <w:rsid w:val="001365C1"/>
    <w:rsid w:val="00141DAE"/>
    <w:rsid w:val="001507C3"/>
    <w:rsid w:val="0015166A"/>
    <w:rsid w:val="00171672"/>
    <w:rsid w:val="0019794E"/>
    <w:rsid w:val="001C5971"/>
    <w:rsid w:val="001D21B9"/>
    <w:rsid w:val="001D3874"/>
    <w:rsid w:val="001E2227"/>
    <w:rsid w:val="001E2E36"/>
    <w:rsid w:val="001E5D5B"/>
    <w:rsid w:val="001F1790"/>
    <w:rsid w:val="001F2EE3"/>
    <w:rsid w:val="00220666"/>
    <w:rsid w:val="002247DD"/>
    <w:rsid w:val="00246272"/>
    <w:rsid w:val="00255F95"/>
    <w:rsid w:val="00273F10"/>
    <w:rsid w:val="002754A0"/>
    <w:rsid w:val="002762DF"/>
    <w:rsid w:val="00287309"/>
    <w:rsid w:val="00290F52"/>
    <w:rsid w:val="002A3C9E"/>
    <w:rsid w:val="002E770D"/>
    <w:rsid w:val="0030166A"/>
    <w:rsid w:val="00302736"/>
    <w:rsid w:val="0030446A"/>
    <w:rsid w:val="00345131"/>
    <w:rsid w:val="0035471F"/>
    <w:rsid w:val="00357F2C"/>
    <w:rsid w:val="003943F7"/>
    <w:rsid w:val="003B2D77"/>
    <w:rsid w:val="003B6B9F"/>
    <w:rsid w:val="003B7DC2"/>
    <w:rsid w:val="003C591E"/>
    <w:rsid w:val="003D0AAD"/>
    <w:rsid w:val="003F2560"/>
    <w:rsid w:val="004072E2"/>
    <w:rsid w:val="00426047"/>
    <w:rsid w:val="0043547E"/>
    <w:rsid w:val="00437145"/>
    <w:rsid w:val="00470ED7"/>
    <w:rsid w:val="00483FCF"/>
    <w:rsid w:val="00485090"/>
    <w:rsid w:val="004903F9"/>
    <w:rsid w:val="0049739A"/>
    <w:rsid w:val="004A7BFF"/>
    <w:rsid w:val="004B1DC0"/>
    <w:rsid w:val="004D5FEA"/>
    <w:rsid w:val="004E47E6"/>
    <w:rsid w:val="004E4C41"/>
    <w:rsid w:val="004E63AF"/>
    <w:rsid w:val="004F4379"/>
    <w:rsid w:val="00513C97"/>
    <w:rsid w:val="0051785F"/>
    <w:rsid w:val="00520E57"/>
    <w:rsid w:val="0052263C"/>
    <w:rsid w:val="00543F3C"/>
    <w:rsid w:val="00552800"/>
    <w:rsid w:val="00556A42"/>
    <w:rsid w:val="005633A9"/>
    <w:rsid w:val="00563BE6"/>
    <w:rsid w:val="00566676"/>
    <w:rsid w:val="005724C0"/>
    <w:rsid w:val="00592518"/>
    <w:rsid w:val="005B7953"/>
    <w:rsid w:val="005D29EE"/>
    <w:rsid w:val="005D2B58"/>
    <w:rsid w:val="005E257C"/>
    <w:rsid w:val="005E2DB6"/>
    <w:rsid w:val="005F0326"/>
    <w:rsid w:val="005F5E1B"/>
    <w:rsid w:val="00625E68"/>
    <w:rsid w:val="00635078"/>
    <w:rsid w:val="0067238D"/>
    <w:rsid w:val="00685A80"/>
    <w:rsid w:val="006C547D"/>
    <w:rsid w:val="006E6C1A"/>
    <w:rsid w:val="007164A6"/>
    <w:rsid w:val="00727AB4"/>
    <w:rsid w:val="0076040B"/>
    <w:rsid w:val="00772195"/>
    <w:rsid w:val="00777062"/>
    <w:rsid w:val="00786F55"/>
    <w:rsid w:val="007871AF"/>
    <w:rsid w:val="007A49D6"/>
    <w:rsid w:val="007B5471"/>
    <w:rsid w:val="007B7D3B"/>
    <w:rsid w:val="007C31A0"/>
    <w:rsid w:val="00803EEF"/>
    <w:rsid w:val="0081765B"/>
    <w:rsid w:val="008206DA"/>
    <w:rsid w:val="00822774"/>
    <w:rsid w:val="008324B8"/>
    <w:rsid w:val="00836E12"/>
    <w:rsid w:val="008707C1"/>
    <w:rsid w:val="00875039"/>
    <w:rsid w:val="00876091"/>
    <w:rsid w:val="008914ED"/>
    <w:rsid w:val="0089259B"/>
    <w:rsid w:val="0089689D"/>
    <w:rsid w:val="00896A15"/>
    <w:rsid w:val="008A4586"/>
    <w:rsid w:val="008E6961"/>
    <w:rsid w:val="008F0CA0"/>
    <w:rsid w:val="008F1D8C"/>
    <w:rsid w:val="008F49CC"/>
    <w:rsid w:val="009106C8"/>
    <w:rsid w:val="009141D2"/>
    <w:rsid w:val="00925451"/>
    <w:rsid w:val="009408B9"/>
    <w:rsid w:val="00943BC6"/>
    <w:rsid w:val="00956D7A"/>
    <w:rsid w:val="009605A6"/>
    <w:rsid w:val="00970035"/>
    <w:rsid w:val="00982281"/>
    <w:rsid w:val="009830FF"/>
    <w:rsid w:val="009872F0"/>
    <w:rsid w:val="0099377B"/>
    <w:rsid w:val="00995BAB"/>
    <w:rsid w:val="009A528E"/>
    <w:rsid w:val="009A6B22"/>
    <w:rsid w:val="009D3000"/>
    <w:rsid w:val="00A077B3"/>
    <w:rsid w:val="00A24FED"/>
    <w:rsid w:val="00A51C6B"/>
    <w:rsid w:val="00A60AC1"/>
    <w:rsid w:val="00A60FC2"/>
    <w:rsid w:val="00A63634"/>
    <w:rsid w:val="00A712C9"/>
    <w:rsid w:val="00A72F46"/>
    <w:rsid w:val="00AA50B5"/>
    <w:rsid w:val="00AA6E21"/>
    <w:rsid w:val="00AB32C2"/>
    <w:rsid w:val="00AB52E8"/>
    <w:rsid w:val="00AB6097"/>
    <w:rsid w:val="00AE477D"/>
    <w:rsid w:val="00AF1792"/>
    <w:rsid w:val="00AF5125"/>
    <w:rsid w:val="00B10A6D"/>
    <w:rsid w:val="00B31E6D"/>
    <w:rsid w:val="00B41DAB"/>
    <w:rsid w:val="00B61544"/>
    <w:rsid w:val="00B64098"/>
    <w:rsid w:val="00B645E8"/>
    <w:rsid w:val="00B96DA1"/>
    <w:rsid w:val="00BD04BE"/>
    <w:rsid w:val="00BD475D"/>
    <w:rsid w:val="00BE4E23"/>
    <w:rsid w:val="00BF7EF3"/>
    <w:rsid w:val="00C1129F"/>
    <w:rsid w:val="00C153B3"/>
    <w:rsid w:val="00C531CD"/>
    <w:rsid w:val="00C80ACA"/>
    <w:rsid w:val="00C81D2C"/>
    <w:rsid w:val="00C97530"/>
    <w:rsid w:val="00CB0C2D"/>
    <w:rsid w:val="00CB52AA"/>
    <w:rsid w:val="00CC3051"/>
    <w:rsid w:val="00CC3867"/>
    <w:rsid w:val="00CC7437"/>
    <w:rsid w:val="00CE7087"/>
    <w:rsid w:val="00CF021B"/>
    <w:rsid w:val="00D00EF0"/>
    <w:rsid w:val="00D01402"/>
    <w:rsid w:val="00D07549"/>
    <w:rsid w:val="00D3467D"/>
    <w:rsid w:val="00D465C0"/>
    <w:rsid w:val="00D474B0"/>
    <w:rsid w:val="00D64955"/>
    <w:rsid w:val="00D7600E"/>
    <w:rsid w:val="00D778C7"/>
    <w:rsid w:val="00D84034"/>
    <w:rsid w:val="00D94799"/>
    <w:rsid w:val="00DD1D97"/>
    <w:rsid w:val="00DD6D97"/>
    <w:rsid w:val="00DE0EB0"/>
    <w:rsid w:val="00DE440A"/>
    <w:rsid w:val="00DE59B2"/>
    <w:rsid w:val="00DF5A08"/>
    <w:rsid w:val="00E04171"/>
    <w:rsid w:val="00E10F69"/>
    <w:rsid w:val="00E1186A"/>
    <w:rsid w:val="00E14B61"/>
    <w:rsid w:val="00E17957"/>
    <w:rsid w:val="00E34377"/>
    <w:rsid w:val="00E34A07"/>
    <w:rsid w:val="00E35557"/>
    <w:rsid w:val="00E40457"/>
    <w:rsid w:val="00E43C57"/>
    <w:rsid w:val="00E67A99"/>
    <w:rsid w:val="00E87648"/>
    <w:rsid w:val="00E97A83"/>
    <w:rsid w:val="00EA2705"/>
    <w:rsid w:val="00EC09EF"/>
    <w:rsid w:val="00EF2DB7"/>
    <w:rsid w:val="00EF47F3"/>
    <w:rsid w:val="00F024A7"/>
    <w:rsid w:val="00F13E6F"/>
    <w:rsid w:val="00F201B3"/>
    <w:rsid w:val="00F318B4"/>
    <w:rsid w:val="00F32450"/>
    <w:rsid w:val="00F36710"/>
    <w:rsid w:val="00F571E6"/>
    <w:rsid w:val="00F65226"/>
    <w:rsid w:val="00F6598B"/>
    <w:rsid w:val="00F764B1"/>
    <w:rsid w:val="00F95942"/>
    <w:rsid w:val="00F961EA"/>
    <w:rsid w:val="00FA17F6"/>
    <w:rsid w:val="00FC6ABA"/>
    <w:rsid w:val="00FE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4B80B-489F-43CB-82FC-EC8BD465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560"/>
    <w:rPr>
      <w:color w:val="0563C1" w:themeColor="hyperlink"/>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3F2560"/>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semiHidden/>
    <w:locked/>
    <w:rsid w:val="003F2560"/>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semiHidden/>
    <w:unhideWhenUsed/>
    <w:qFormat/>
    <w:rsid w:val="003F2560"/>
    <w:pPr>
      <w:spacing w:after="0" w:line="240" w:lineRule="auto"/>
    </w:pPr>
    <w:rPr>
      <w:sz w:val="20"/>
      <w:szCs w:val="20"/>
    </w:rPr>
  </w:style>
  <w:style w:type="character" w:customStyle="1" w:styleId="FootnoteTextChar1">
    <w:name w:val="Footnote Text Char1"/>
    <w:basedOn w:val="DefaultParagraphFont"/>
    <w:uiPriority w:val="99"/>
    <w:semiHidden/>
    <w:rsid w:val="003F2560"/>
    <w:rPr>
      <w:sz w:val="20"/>
      <w:szCs w:val="20"/>
    </w:rPr>
  </w:style>
  <w:style w:type="paragraph" w:customStyle="1" w:styleId="cn">
    <w:name w:val="cn"/>
    <w:basedOn w:val="Normal"/>
    <w:uiPriority w:val="99"/>
    <w:rsid w:val="003F2560"/>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w:basedOn w:val="Normal"/>
    <w:link w:val="FootnoteReference1"/>
    <w:uiPriority w:val="99"/>
    <w:qFormat/>
    <w:rsid w:val="003F2560"/>
    <w:pPr>
      <w:spacing w:line="240" w:lineRule="exact"/>
    </w:pPr>
    <w:rPr>
      <w:vertAlign w:val="superscript"/>
      <w:lang w:val="ro-MD"/>
    </w:rPr>
  </w:style>
  <w:style w:type="paragraph" w:customStyle="1" w:styleId="cp">
    <w:name w:val="cp"/>
    <w:basedOn w:val="Normal"/>
    <w:uiPriority w:val="99"/>
    <w:rsid w:val="003F2560"/>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3F2560"/>
    <w:rPr>
      <w:vertAlign w:val="superscript"/>
      <w:lang w:val="ro-MD"/>
    </w:rPr>
  </w:style>
  <w:style w:type="paragraph" w:styleId="Header">
    <w:name w:val="header"/>
    <w:basedOn w:val="Normal"/>
    <w:link w:val="HeaderChar"/>
    <w:uiPriority w:val="99"/>
    <w:unhideWhenUsed/>
    <w:rsid w:val="003F2560"/>
    <w:pPr>
      <w:tabs>
        <w:tab w:val="center" w:pos="4844"/>
        <w:tab w:val="right" w:pos="9689"/>
      </w:tabs>
      <w:spacing w:after="0" w:line="240" w:lineRule="auto"/>
    </w:pPr>
  </w:style>
  <w:style w:type="character" w:customStyle="1" w:styleId="HeaderChar">
    <w:name w:val="Header Char"/>
    <w:basedOn w:val="DefaultParagraphFont"/>
    <w:link w:val="Header"/>
    <w:uiPriority w:val="99"/>
    <w:rsid w:val="003F2560"/>
  </w:style>
  <w:style w:type="paragraph" w:styleId="Footer">
    <w:name w:val="footer"/>
    <w:basedOn w:val="Normal"/>
    <w:link w:val="FooterChar"/>
    <w:uiPriority w:val="99"/>
    <w:unhideWhenUsed/>
    <w:rsid w:val="003F2560"/>
    <w:pPr>
      <w:tabs>
        <w:tab w:val="center" w:pos="4844"/>
        <w:tab w:val="right" w:pos="9689"/>
      </w:tabs>
      <w:spacing w:after="0" w:line="240" w:lineRule="auto"/>
    </w:pPr>
  </w:style>
  <w:style w:type="character" w:customStyle="1" w:styleId="FooterChar">
    <w:name w:val="Footer Char"/>
    <w:basedOn w:val="DefaultParagraphFont"/>
    <w:link w:val="Footer"/>
    <w:uiPriority w:val="99"/>
    <w:rsid w:val="003F2560"/>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locked/>
    <w:rsid w:val="003F256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6ABA"/>
    <w:rPr>
      <w:sz w:val="16"/>
      <w:szCs w:val="16"/>
    </w:rPr>
  </w:style>
  <w:style w:type="paragraph" w:styleId="CommentText">
    <w:name w:val="annotation text"/>
    <w:basedOn w:val="Normal"/>
    <w:link w:val="CommentTextChar"/>
    <w:uiPriority w:val="99"/>
    <w:semiHidden/>
    <w:unhideWhenUsed/>
    <w:rsid w:val="00FC6ABA"/>
    <w:pPr>
      <w:spacing w:line="240" w:lineRule="auto"/>
    </w:pPr>
    <w:rPr>
      <w:sz w:val="20"/>
      <w:szCs w:val="20"/>
    </w:rPr>
  </w:style>
  <w:style w:type="character" w:customStyle="1" w:styleId="CommentTextChar">
    <w:name w:val="Comment Text Char"/>
    <w:basedOn w:val="DefaultParagraphFont"/>
    <w:link w:val="CommentText"/>
    <w:uiPriority w:val="99"/>
    <w:semiHidden/>
    <w:rsid w:val="00FC6ABA"/>
    <w:rPr>
      <w:sz w:val="20"/>
      <w:szCs w:val="20"/>
    </w:rPr>
  </w:style>
  <w:style w:type="paragraph" w:styleId="CommentSubject">
    <w:name w:val="annotation subject"/>
    <w:basedOn w:val="CommentText"/>
    <w:next w:val="CommentText"/>
    <w:link w:val="CommentSubjectChar"/>
    <w:uiPriority w:val="99"/>
    <w:semiHidden/>
    <w:unhideWhenUsed/>
    <w:rsid w:val="00FC6ABA"/>
    <w:rPr>
      <w:b/>
      <w:bCs/>
    </w:rPr>
  </w:style>
  <w:style w:type="character" w:customStyle="1" w:styleId="CommentSubjectChar">
    <w:name w:val="Comment Subject Char"/>
    <w:basedOn w:val="CommentTextChar"/>
    <w:link w:val="CommentSubject"/>
    <w:uiPriority w:val="99"/>
    <w:semiHidden/>
    <w:rsid w:val="00FC6ABA"/>
    <w:rPr>
      <w:b/>
      <w:bCs/>
      <w:sz w:val="20"/>
      <w:szCs w:val="20"/>
    </w:rPr>
  </w:style>
  <w:style w:type="paragraph" w:styleId="BalloonText">
    <w:name w:val="Balloon Text"/>
    <w:basedOn w:val="Normal"/>
    <w:link w:val="BalloonTextChar"/>
    <w:uiPriority w:val="99"/>
    <w:semiHidden/>
    <w:unhideWhenUsed/>
    <w:rsid w:val="00FC6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BA"/>
    <w:rPr>
      <w:rFonts w:ascii="Segoe UI" w:hAnsi="Segoe UI" w:cs="Segoe UI"/>
      <w:sz w:val="18"/>
      <w:szCs w:val="18"/>
    </w:rPr>
  </w:style>
  <w:style w:type="character" w:styleId="FootnoteReference">
    <w:name w:val="footnote reference"/>
    <w:basedOn w:val="DefaultParagraphFont"/>
    <w:uiPriority w:val="99"/>
    <w:semiHidden/>
    <w:unhideWhenUsed/>
    <w:rsid w:val="00126438"/>
    <w:rPr>
      <w:vertAlign w:val="superscript"/>
    </w:rPr>
  </w:style>
  <w:style w:type="paragraph" w:styleId="ListParagraph">
    <w:name w:val="List Paragraph"/>
    <w:basedOn w:val="Normal"/>
    <w:uiPriority w:val="34"/>
    <w:qFormat/>
    <w:rsid w:val="001E2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6CFF0-439E-4B00-B9D8-423E35CB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944</Words>
  <Characters>5382</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Bulmaga Ion</dc:creator>
  <cp:keywords/>
  <dc:description/>
  <cp:lastModifiedBy>Paiu Eugenia</cp:lastModifiedBy>
  <cp:revision>4</cp:revision>
  <cp:lastPrinted>2021-06-18T08:17:00Z</cp:lastPrinted>
  <dcterms:created xsi:type="dcterms:W3CDTF">2021-06-30T10:04:00Z</dcterms:created>
  <dcterms:modified xsi:type="dcterms:W3CDTF">2021-07-01T08:19:00Z</dcterms:modified>
</cp:coreProperties>
</file>