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59C" w:rsidRPr="00973E5B" w:rsidRDefault="0004459C" w:rsidP="0004459C">
      <w:pPr>
        <w:tabs>
          <w:tab w:val="left" w:pos="720"/>
        </w:tabs>
        <w:spacing w:after="0" w:line="276" w:lineRule="auto"/>
        <w:jc w:val="right"/>
        <w:rPr>
          <w:rFonts w:asciiTheme="majorHAnsi" w:eastAsia="Times New Roman" w:hAnsiTheme="majorHAnsi" w:cstheme="majorHAnsi"/>
          <w:sz w:val="24"/>
          <w:szCs w:val="24"/>
          <w:lang w:val="ro-RO"/>
        </w:rPr>
      </w:pPr>
      <w:r w:rsidRPr="00973E5B">
        <w:rPr>
          <w:rFonts w:asciiTheme="majorHAnsi" w:eastAsia="Times New Roman" w:hAnsiTheme="majorHAnsi" w:cstheme="majorHAnsi"/>
          <w:sz w:val="24"/>
          <w:szCs w:val="24"/>
          <w:lang w:val="ro-RO"/>
        </w:rPr>
        <w:t xml:space="preserve">Anexă </w:t>
      </w:r>
    </w:p>
    <w:p w:rsidR="0004459C" w:rsidRPr="00E4517B" w:rsidRDefault="0004459C" w:rsidP="0004459C">
      <w:pPr>
        <w:tabs>
          <w:tab w:val="left" w:pos="720"/>
        </w:tabs>
        <w:spacing w:after="0" w:line="276" w:lineRule="auto"/>
        <w:jc w:val="right"/>
        <w:rPr>
          <w:rFonts w:asciiTheme="majorHAnsi" w:eastAsia="Times New Roman" w:hAnsiTheme="majorHAnsi" w:cstheme="majorHAnsi"/>
          <w:bCs/>
          <w:sz w:val="24"/>
          <w:szCs w:val="24"/>
          <w:lang w:val="ro-RO"/>
        </w:rPr>
      </w:pPr>
      <w:r w:rsidRPr="00B05CFC">
        <w:rPr>
          <w:rFonts w:asciiTheme="majorHAnsi" w:eastAsia="Times New Roman" w:hAnsiTheme="majorHAnsi" w:cstheme="majorHAnsi"/>
          <w:sz w:val="24"/>
          <w:szCs w:val="24"/>
          <w:lang w:val="ro-RO"/>
        </w:rPr>
        <w:t xml:space="preserve">la Hotărârea Curții de Conturi </w:t>
      </w:r>
    </w:p>
    <w:p w:rsidR="0004459C" w:rsidRPr="00E4517B" w:rsidRDefault="00FF6BF4" w:rsidP="0004459C">
      <w:pPr>
        <w:tabs>
          <w:tab w:val="left" w:pos="720"/>
        </w:tabs>
        <w:spacing w:after="0" w:line="276" w:lineRule="auto"/>
        <w:jc w:val="right"/>
        <w:rPr>
          <w:rFonts w:asciiTheme="majorHAnsi" w:eastAsia="Times New Roman" w:hAnsiTheme="majorHAnsi" w:cstheme="majorHAnsi"/>
          <w:bCs/>
          <w:color w:val="1F4E79" w:themeColor="accent1" w:themeShade="80"/>
          <w:sz w:val="24"/>
          <w:szCs w:val="24"/>
          <w:lang w:val="ro-RO"/>
        </w:rPr>
      </w:pPr>
      <w:r>
        <w:rPr>
          <w:rFonts w:asciiTheme="majorHAnsi" w:eastAsia="Times New Roman" w:hAnsiTheme="majorHAnsi" w:cstheme="majorHAnsi"/>
          <w:sz w:val="24"/>
          <w:szCs w:val="24"/>
          <w:lang w:val="ro-RO"/>
        </w:rPr>
        <w:t xml:space="preserve">nr.30 </w:t>
      </w:r>
      <w:r w:rsidR="0004459C" w:rsidRPr="00E4517B">
        <w:rPr>
          <w:rFonts w:asciiTheme="majorHAnsi" w:eastAsia="Times New Roman" w:hAnsiTheme="majorHAnsi" w:cstheme="majorHAnsi"/>
          <w:sz w:val="24"/>
          <w:szCs w:val="24"/>
          <w:lang w:val="ro-RO"/>
        </w:rPr>
        <w:t>din</w:t>
      </w:r>
      <w:r w:rsidR="00AC6703" w:rsidRPr="00E4517B">
        <w:rPr>
          <w:rFonts w:asciiTheme="majorHAnsi" w:eastAsia="Times New Roman" w:hAnsiTheme="majorHAnsi" w:cstheme="majorHAnsi"/>
          <w:sz w:val="24"/>
          <w:szCs w:val="24"/>
          <w:lang w:val="ro-RO"/>
        </w:rPr>
        <w:t xml:space="preserve"> 28 iunie 2021</w:t>
      </w:r>
    </w:p>
    <w:p w:rsidR="0004459C" w:rsidRPr="00E4517B" w:rsidRDefault="0004459C" w:rsidP="0004459C">
      <w:pPr>
        <w:spacing w:after="0" w:line="276" w:lineRule="auto"/>
        <w:jc w:val="center"/>
        <w:rPr>
          <w:rFonts w:asciiTheme="majorHAnsi" w:hAnsiTheme="majorHAnsi" w:cstheme="majorHAnsi"/>
          <w:b/>
          <w:sz w:val="24"/>
          <w:szCs w:val="24"/>
          <w:lang w:val="ro-RO"/>
        </w:rPr>
      </w:pPr>
    </w:p>
    <w:p w:rsidR="0004459C" w:rsidRPr="00E4517B" w:rsidRDefault="0004459C" w:rsidP="0004459C">
      <w:pPr>
        <w:spacing w:after="0" w:line="276" w:lineRule="auto"/>
        <w:jc w:val="center"/>
        <w:rPr>
          <w:rFonts w:asciiTheme="majorHAnsi" w:hAnsiTheme="majorHAnsi" w:cstheme="majorHAnsi"/>
          <w:b/>
          <w:sz w:val="24"/>
          <w:szCs w:val="24"/>
          <w:lang w:val="ro-RO"/>
        </w:rPr>
      </w:pPr>
      <w:r w:rsidRPr="004946B2">
        <w:rPr>
          <w:rFonts w:asciiTheme="majorHAnsi" w:hAnsiTheme="majorHAnsi" w:cstheme="majorHAnsi"/>
          <w:b/>
          <w:bCs/>
          <w:noProof/>
          <w:sz w:val="24"/>
          <w:szCs w:val="24"/>
          <w:lang w:val="ru-RU" w:eastAsia="ru-RU"/>
        </w:rPr>
        <w:drawing>
          <wp:inline distT="0" distB="0" distL="0" distR="0" wp14:anchorId="2315C5EF" wp14:editId="1557141B">
            <wp:extent cx="1377950" cy="13836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0" cy="1383665"/>
                    </a:xfrm>
                    <a:prstGeom prst="rect">
                      <a:avLst/>
                    </a:prstGeom>
                    <a:noFill/>
                  </pic:spPr>
                </pic:pic>
              </a:graphicData>
            </a:graphic>
          </wp:inline>
        </w:drawing>
      </w:r>
    </w:p>
    <w:p w:rsidR="0004459C" w:rsidRPr="00973E5B" w:rsidRDefault="0004459C" w:rsidP="0004459C">
      <w:pPr>
        <w:spacing w:after="0" w:line="276" w:lineRule="auto"/>
        <w:jc w:val="center"/>
        <w:rPr>
          <w:rFonts w:asciiTheme="majorHAnsi" w:hAnsiTheme="majorHAnsi" w:cstheme="majorHAnsi"/>
          <w:b/>
          <w:sz w:val="24"/>
          <w:szCs w:val="24"/>
          <w:lang w:val="ro-RO"/>
        </w:rPr>
      </w:pPr>
    </w:p>
    <w:p w:rsidR="0004459C" w:rsidRPr="00B05CFC" w:rsidRDefault="0004459C" w:rsidP="0004459C">
      <w:pPr>
        <w:spacing w:after="0" w:line="276" w:lineRule="auto"/>
        <w:jc w:val="center"/>
        <w:rPr>
          <w:rFonts w:asciiTheme="majorHAnsi" w:hAnsiTheme="majorHAnsi" w:cstheme="majorHAnsi"/>
          <w:b/>
          <w:sz w:val="24"/>
          <w:szCs w:val="24"/>
          <w:lang w:val="ro-RO"/>
        </w:rPr>
      </w:pPr>
    </w:p>
    <w:p w:rsidR="0004459C" w:rsidRPr="00E4517B" w:rsidRDefault="0004459C" w:rsidP="0004459C">
      <w:pPr>
        <w:spacing w:after="0" w:line="276" w:lineRule="auto"/>
        <w:rPr>
          <w:rFonts w:asciiTheme="majorHAnsi" w:hAnsiTheme="majorHAnsi" w:cstheme="majorHAnsi"/>
          <w:b/>
          <w:sz w:val="24"/>
          <w:szCs w:val="24"/>
          <w:lang w:val="ro-RO"/>
        </w:rPr>
      </w:pPr>
    </w:p>
    <w:p w:rsidR="0004459C" w:rsidRPr="00E4517B" w:rsidRDefault="0004459C" w:rsidP="0004459C">
      <w:pPr>
        <w:spacing w:after="0" w:line="276" w:lineRule="auto"/>
        <w:jc w:val="center"/>
        <w:rPr>
          <w:rFonts w:asciiTheme="majorHAnsi" w:hAnsiTheme="majorHAnsi" w:cstheme="majorHAnsi"/>
          <w:b/>
          <w:sz w:val="24"/>
          <w:szCs w:val="24"/>
          <w:lang w:val="ro-RO"/>
        </w:rPr>
      </w:pPr>
      <w:r w:rsidRPr="00E4517B">
        <w:rPr>
          <w:rFonts w:asciiTheme="majorHAnsi" w:hAnsiTheme="majorHAnsi" w:cstheme="majorHAnsi"/>
          <w:b/>
          <w:bCs/>
          <w:sz w:val="24"/>
          <w:szCs w:val="24"/>
          <w:lang w:val="ro-RO"/>
        </w:rPr>
        <w:t>CURTEA DE CONTURI A REPUBLICII MOLDOVA</w:t>
      </w:r>
    </w:p>
    <w:p w:rsidR="0004459C" w:rsidRPr="00E4517B" w:rsidRDefault="0004459C" w:rsidP="0004459C">
      <w:pPr>
        <w:spacing w:after="0" w:line="276" w:lineRule="auto"/>
        <w:rPr>
          <w:rFonts w:asciiTheme="majorHAnsi" w:hAnsiTheme="majorHAnsi" w:cstheme="majorHAnsi"/>
          <w:sz w:val="24"/>
          <w:szCs w:val="24"/>
          <w:lang w:val="ro-RO"/>
        </w:rPr>
      </w:pPr>
    </w:p>
    <w:p w:rsidR="0004459C" w:rsidRPr="00E4517B" w:rsidRDefault="0004459C" w:rsidP="0004459C">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RO"/>
        </w:rPr>
      </w:pPr>
    </w:p>
    <w:p w:rsidR="0004459C" w:rsidRPr="00E4517B" w:rsidRDefault="0004459C" w:rsidP="0004459C">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RO"/>
        </w:rPr>
      </w:pPr>
    </w:p>
    <w:tbl>
      <w:tblPr>
        <w:tblW w:w="0" w:type="auto"/>
        <w:tblBorders>
          <w:top w:val="thinThickSmallGap" w:sz="12" w:space="0" w:color="auto"/>
          <w:bottom w:val="thickThinSmallGap" w:sz="12" w:space="0" w:color="auto"/>
        </w:tblBorders>
        <w:tblLook w:val="04A0" w:firstRow="1" w:lastRow="0" w:firstColumn="1" w:lastColumn="0" w:noHBand="0" w:noVBand="1"/>
      </w:tblPr>
      <w:tblGrid>
        <w:gridCol w:w="9350"/>
      </w:tblGrid>
      <w:tr w:rsidR="0004459C" w:rsidRPr="00E4517B" w:rsidTr="00502813">
        <w:trPr>
          <w:trHeight w:val="435"/>
        </w:trPr>
        <w:tc>
          <w:tcPr>
            <w:tcW w:w="9350" w:type="dxa"/>
          </w:tcPr>
          <w:p w:rsidR="0004459C" w:rsidRPr="00E4517B" w:rsidRDefault="0004459C" w:rsidP="00DD5BFF">
            <w:pPr>
              <w:tabs>
                <w:tab w:val="left" w:pos="0"/>
              </w:tabs>
              <w:spacing w:after="0" w:line="276" w:lineRule="auto"/>
              <w:jc w:val="center"/>
              <w:rPr>
                <w:rFonts w:asciiTheme="majorHAnsi" w:hAnsiTheme="majorHAnsi" w:cstheme="majorHAnsi"/>
                <w:sz w:val="24"/>
                <w:szCs w:val="24"/>
                <w:lang w:val="ro-RO"/>
              </w:rPr>
            </w:pPr>
            <w:r w:rsidRPr="00E4517B">
              <w:rPr>
                <w:rFonts w:asciiTheme="majorHAnsi" w:hAnsiTheme="majorHAnsi" w:cstheme="majorHAnsi"/>
                <w:sz w:val="24"/>
                <w:szCs w:val="24"/>
                <w:lang w:val="ro-RO"/>
              </w:rPr>
              <w:t>MD-2001, mun. Chișinău, bd Ștefan cel Mare și Sfânt nr.69, tel.: (+</w:t>
            </w:r>
            <w:r w:rsidRPr="00935C8D">
              <w:rPr>
                <w:rFonts w:asciiTheme="majorHAnsi" w:hAnsiTheme="majorHAnsi" w:cstheme="majorHAnsi"/>
                <w:sz w:val="24"/>
                <w:szCs w:val="24"/>
                <w:lang w:val="ro-RO"/>
              </w:rPr>
              <w:t xml:space="preserve">373) </w:t>
            </w:r>
            <w:r w:rsidR="002A2E1D">
              <w:rPr>
                <w:rFonts w:asciiTheme="majorHAnsi" w:hAnsiTheme="majorHAnsi" w:cstheme="majorHAnsi"/>
                <w:sz w:val="24"/>
                <w:szCs w:val="24"/>
                <w:lang w:val="ro-RO"/>
              </w:rPr>
              <w:t>26 60 02</w:t>
            </w:r>
            <w:r w:rsidRPr="00935C8D">
              <w:rPr>
                <w:rFonts w:asciiTheme="majorHAnsi" w:hAnsiTheme="majorHAnsi" w:cstheme="majorHAnsi"/>
                <w:sz w:val="24"/>
                <w:szCs w:val="24"/>
                <w:lang w:val="ro-RO"/>
              </w:rPr>
              <w:t>, fax: (+373</w:t>
            </w:r>
            <w:r w:rsidR="002A2E1D">
              <w:rPr>
                <w:rFonts w:asciiTheme="majorHAnsi" w:hAnsiTheme="majorHAnsi" w:cstheme="majorHAnsi"/>
                <w:sz w:val="24"/>
                <w:szCs w:val="24"/>
                <w:lang w:val="ro-RO"/>
              </w:rPr>
              <w:t xml:space="preserve"> 22</w:t>
            </w:r>
            <w:r w:rsidRPr="00935C8D">
              <w:rPr>
                <w:rFonts w:asciiTheme="majorHAnsi" w:hAnsiTheme="majorHAnsi" w:cstheme="majorHAnsi"/>
                <w:sz w:val="24"/>
                <w:szCs w:val="24"/>
                <w:lang w:val="ro-RO"/>
              </w:rPr>
              <w:t xml:space="preserve">) </w:t>
            </w:r>
            <w:r w:rsidR="002A2E1D">
              <w:rPr>
                <w:rFonts w:asciiTheme="majorHAnsi" w:hAnsiTheme="majorHAnsi" w:cstheme="majorHAnsi"/>
                <w:sz w:val="24"/>
                <w:szCs w:val="24"/>
                <w:lang w:val="ro-RO"/>
              </w:rPr>
              <w:t>26 61 00</w:t>
            </w:r>
          </w:p>
          <w:p w:rsidR="0004459C" w:rsidRPr="00E4517B" w:rsidRDefault="00685CA8" w:rsidP="00502813">
            <w:pPr>
              <w:tabs>
                <w:tab w:val="left" w:pos="720"/>
              </w:tabs>
              <w:spacing w:after="0" w:line="276" w:lineRule="auto"/>
              <w:jc w:val="center"/>
              <w:rPr>
                <w:rFonts w:asciiTheme="majorHAnsi" w:hAnsiTheme="majorHAnsi" w:cstheme="majorHAnsi"/>
                <w:b/>
                <w:color w:val="0563C1" w:themeColor="hyperlink"/>
                <w:sz w:val="24"/>
                <w:szCs w:val="24"/>
                <w:u w:val="single"/>
                <w:lang w:val="ro-RO"/>
              </w:rPr>
            </w:pPr>
            <w:hyperlink r:id="rId9" w:history="1">
              <w:r w:rsidR="0004459C" w:rsidRPr="00E4517B">
                <w:rPr>
                  <w:rStyle w:val="a3"/>
                  <w:rFonts w:asciiTheme="majorHAnsi" w:hAnsiTheme="majorHAnsi" w:cstheme="majorHAnsi"/>
                  <w:sz w:val="24"/>
                  <w:szCs w:val="24"/>
                  <w:lang w:val="ro-RO"/>
                </w:rPr>
                <w:t>www.ccrm.md</w:t>
              </w:r>
            </w:hyperlink>
            <w:r w:rsidR="0004459C" w:rsidRPr="00E4517B">
              <w:rPr>
                <w:rStyle w:val="a3"/>
                <w:rFonts w:asciiTheme="majorHAnsi" w:hAnsiTheme="majorHAnsi" w:cstheme="majorHAnsi"/>
                <w:sz w:val="24"/>
                <w:szCs w:val="24"/>
                <w:lang w:val="ro-RO"/>
              </w:rPr>
              <w:t xml:space="preserve">; </w:t>
            </w:r>
            <w:r w:rsidR="0004459C" w:rsidRPr="00973E5B">
              <w:rPr>
                <w:rFonts w:asciiTheme="majorHAnsi" w:hAnsiTheme="majorHAnsi" w:cstheme="majorHAnsi"/>
                <w:sz w:val="24"/>
                <w:szCs w:val="24"/>
                <w:lang w:val="ro-RO"/>
              </w:rPr>
              <w:t xml:space="preserve">e-mail: </w:t>
            </w:r>
            <w:hyperlink r:id="rId10" w:history="1">
              <w:r w:rsidR="0004459C" w:rsidRPr="00E4517B">
                <w:rPr>
                  <w:rStyle w:val="a3"/>
                  <w:rFonts w:asciiTheme="majorHAnsi" w:hAnsiTheme="majorHAnsi" w:cstheme="majorHAnsi"/>
                  <w:sz w:val="24"/>
                  <w:szCs w:val="24"/>
                  <w:lang w:val="ro-RO"/>
                </w:rPr>
                <w:t>ccrm@ccrm.md</w:t>
              </w:r>
            </w:hyperlink>
          </w:p>
        </w:tc>
      </w:tr>
    </w:tbl>
    <w:p w:rsidR="0004459C" w:rsidRPr="00E4517B" w:rsidRDefault="0004459C" w:rsidP="0004459C">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RO"/>
        </w:rPr>
      </w:pPr>
    </w:p>
    <w:p w:rsidR="0004459C" w:rsidRPr="00973E5B" w:rsidRDefault="0004459C" w:rsidP="0004459C">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RO"/>
        </w:rPr>
      </w:pPr>
    </w:p>
    <w:p w:rsidR="0004459C" w:rsidRPr="00B05CFC" w:rsidRDefault="0004459C" w:rsidP="0004459C">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RO"/>
        </w:rPr>
      </w:pPr>
    </w:p>
    <w:p w:rsidR="0004459C" w:rsidRPr="00E4517B" w:rsidRDefault="0004459C" w:rsidP="0004459C">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RO"/>
        </w:rPr>
      </w:pPr>
    </w:p>
    <w:p w:rsidR="0004459C" w:rsidRPr="00E4517B" w:rsidRDefault="0004459C" w:rsidP="0004459C">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RO"/>
        </w:rPr>
      </w:pPr>
    </w:p>
    <w:p w:rsidR="0004459C" w:rsidRPr="00E4517B" w:rsidRDefault="0004459C" w:rsidP="0004459C">
      <w:pPr>
        <w:tabs>
          <w:tab w:val="left" w:pos="720"/>
        </w:tabs>
        <w:spacing w:after="0" w:line="276" w:lineRule="auto"/>
        <w:ind w:firstLine="720"/>
        <w:jc w:val="center"/>
        <w:rPr>
          <w:rFonts w:asciiTheme="majorHAnsi" w:eastAsia="Times New Roman" w:hAnsiTheme="majorHAnsi" w:cstheme="majorHAnsi"/>
          <w:b/>
          <w:bCs/>
          <w:sz w:val="24"/>
          <w:szCs w:val="24"/>
          <w:lang w:val="ro-RO"/>
        </w:rPr>
      </w:pPr>
      <w:r w:rsidRPr="00E4517B">
        <w:rPr>
          <w:rFonts w:asciiTheme="majorHAnsi" w:eastAsia="Times New Roman" w:hAnsiTheme="majorHAnsi" w:cstheme="majorHAnsi"/>
          <w:b/>
          <w:bCs/>
          <w:sz w:val="24"/>
          <w:szCs w:val="24"/>
          <w:lang w:val="ro-RO"/>
        </w:rPr>
        <w:t>.</w:t>
      </w:r>
    </w:p>
    <w:p w:rsidR="009371C6" w:rsidRPr="00F55BA6" w:rsidRDefault="009371C6" w:rsidP="009371C6">
      <w:pPr>
        <w:tabs>
          <w:tab w:val="left" w:pos="720"/>
        </w:tabs>
        <w:spacing w:after="0" w:line="276" w:lineRule="auto"/>
        <w:jc w:val="center"/>
        <w:rPr>
          <w:rFonts w:asciiTheme="majorHAnsi" w:eastAsia="Times New Roman" w:hAnsiTheme="majorHAnsi" w:cs="Times New Roman"/>
          <w:b/>
          <w:bCs/>
          <w:sz w:val="32"/>
          <w:szCs w:val="32"/>
          <w:lang w:val="ro-RO"/>
        </w:rPr>
      </w:pPr>
      <w:r w:rsidRPr="00F55BA6">
        <w:rPr>
          <w:rFonts w:asciiTheme="majorHAnsi" w:eastAsia="Times New Roman" w:hAnsiTheme="majorHAnsi" w:cs="Times New Roman"/>
          <w:b/>
          <w:bCs/>
          <w:sz w:val="32"/>
          <w:szCs w:val="32"/>
          <w:lang w:val="ro-RO"/>
        </w:rPr>
        <w:t xml:space="preserve">RAPORTUL </w:t>
      </w:r>
    </w:p>
    <w:p w:rsidR="009371C6" w:rsidRPr="00F55BA6" w:rsidRDefault="009371C6" w:rsidP="009371C6">
      <w:pPr>
        <w:tabs>
          <w:tab w:val="left" w:pos="0"/>
        </w:tabs>
        <w:spacing w:after="0" w:line="276" w:lineRule="auto"/>
        <w:jc w:val="center"/>
        <w:rPr>
          <w:rFonts w:asciiTheme="majorHAnsi" w:eastAsia="Times New Roman" w:hAnsiTheme="majorHAnsi" w:cs="Times New Roman"/>
          <w:b/>
          <w:bCs/>
          <w:sz w:val="32"/>
          <w:szCs w:val="32"/>
          <w:lang w:val="ro-RO"/>
        </w:rPr>
      </w:pPr>
      <w:r w:rsidRPr="00F55BA6">
        <w:rPr>
          <w:rFonts w:asciiTheme="majorHAnsi" w:eastAsia="Times New Roman" w:hAnsiTheme="majorHAnsi" w:cs="Times New Roman"/>
          <w:b/>
          <w:bCs/>
          <w:sz w:val="32"/>
          <w:szCs w:val="32"/>
          <w:lang w:val="ro-RO"/>
        </w:rPr>
        <w:t>auditului financiar asupra Raportului Guvernului privind executarea bugetului de stat pe anul 2020</w:t>
      </w:r>
    </w:p>
    <w:p w:rsidR="00663798" w:rsidRPr="00F55BA6" w:rsidRDefault="00663798">
      <w:pPr>
        <w:rPr>
          <w:lang w:val="ro-RO"/>
        </w:rPr>
      </w:pPr>
    </w:p>
    <w:p w:rsidR="006412F2" w:rsidRPr="00F55BA6" w:rsidRDefault="006412F2">
      <w:pPr>
        <w:rPr>
          <w:lang w:val="ro-RO"/>
        </w:rPr>
      </w:pPr>
    </w:p>
    <w:p w:rsidR="009E2B4F" w:rsidRPr="00F55BA6" w:rsidRDefault="009E2B4F">
      <w:pPr>
        <w:rPr>
          <w:lang w:val="ro-RO"/>
        </w:rPr>
      </w:pPr>
    </w:p>
    <w:p w:rsidR="009E2B4F" w:rsidRPr="00F55BA6" w:rsidRDefault="009E2B4F">
      <w:pPr>
        <w:rPr>
          <w:lang w:val="ro-RO"/>
        </w:rPr>
      </w:pPr>
    </w:p>
    <w:p w:rsidR="009E2B4F" w:rsidRPr="00F55BA6" w:rsidRDefault="009E2B4F">
      <w:pPr>
        <w:rPr>
          <w:lang w:val="ro-RO"/>
        </w:rPr>
      </w:pPr>
    </w:p>
    <w:p w:rsidR="009E2B4F" w:rsidRPr="00E4517B" w:rsidRDefault="009E2B4F" w:rsidP="00E051AA">
      <w:pPr>
        <w:spacing w:after="0" w:line="276" w:lineRule="auto"/>
        <w:rPr>
          <w:rFonts w:asciiTheme="majorHAnsi" w:hAnsiTheme="majorHAnsi" w:cstheme="majorHAnsi"/>
          <w:b/>
          <w:sz w:val="24"/>
          <w:szCs w:val="24"/>
          <w:lang w:val="ro-RO"/>
        </w:rPr>
      </w:pPr>
    </w:p>
    <w:p w:rsidR="00F7775C" w:rsidRPr="00F55BA6" w:rsidRDefault="00F7775C" w:rsidP="00F7775C">
      <w:pPr>
        <w:numPr>
          <w:ilvl w:val="0"/>
          <w:numId w:val="1"/>
        </w:numPr>
        <w:tabs>
          <w:tab w:val="left" w:pos="284"/>
        </w:tabs>
        <w:spacing w:after="0" w:line="276" w:lineRule="auto"/>
        <w:ind w:left="0" w:firstLine="0"/>
        <w:contextualSpacing/>
        <w:jc w:val="left"/>
        <w:outlineLvl w:val="0"/>
        <w:rPr>
          <w:rFonts w:asciiTheme="majorHAnsi" w:eastAsia="Times New Roman" w:hAnsiTheme="majorHAnsi" w:cs="Times New Roman"/>
          <w:b/>
          <w:bCs/>
          <w:szCs w:val="28"/>
          <w:lang w:val="ro-RO"/>
        </w:rPr>
      </w:pPr>
      <w:r w:rsidRPr="00F55BA6">
        <w:rPr>
          <w:rFonts w:asciiTheme="majorHAnsi" w:eastAsia="Times New Roman" w:hAnsiTheme="majorHAnsi" w:cs="Times New Roman"/>
          <w:b/>
          <w:bCs/>
          <w:szCs w:val="28"/>
          <w:lang w:val="ro-RO"/>
        </w:rPr>
        <w:lastRenderedPageBreak/>
        <w:t xml:space="preserve">OPINIE </w:t>
      </w:r>
    </w:p>
    <w:p w:rsidR="00F7775C" w:rsidRPr="00E4517B" w:rsidRDefault="00F7775C" w:rsidP="00F7775C">
      <w:pPr>
        <w:tabs>
          <w:tab w:val="left" w:pos="720"/>
        </w:tabs>
        <w:spacing w:after="0" w:line="276" w:lineRule="auto"/>
        <w:contextualSpacing/>
        <w:rPr>
          <w:rFonts w:asciiTheme="majorHAnsi" w:hAnsiTheme="majorHAnsi" w:cstheme="majorHAnsi"/>
          <w:sz w:val="24"/>
          <w:szCs w:val="24"/>
          <w:lang w:val="ro-RO"/>
        </w:rPr>
      </w:pPr>
      <w:r w:rsidRPr="00E4517B">
        <w:rPr>
          <w:rFonts w:asciiTheme="majorHAnsi" w:hAnsiTheme="majorHAnsi" w:cstheme="majorHAnsi"/>
          <w:sz w:val="24"/>
          <w:szCs w:val="24"/>
          <w:lang w:val="ro-RO"/>
        </w:rPr>
        <w:t>Am auditat Raportul Guvernului privind exec</w:t>
      </w:r>
      <w:r w:rsidRPr="00973E5B">
        <w:rPr>
          <w:rFonts w:asciiTheme="majorHAnsi" w:hAnsiTheme="majorHAnsi" w:cstheme="majorHAnsi"/>
          <w:sz w:val="24"/>
          <w:szCs w:val="24"/>
          <w:lang w:val="ro-RO"/>
        </w:rPr>
        <w:t>utarea bugetului de stat, întocmit de Ministerul Finanțelor pentru exercițiul bugetar încheiat la 31 decembrie 2020, ce cuprinde Formularele nr.1; nr.2; nr.3; nr.3.1; nr.3.2; nr.3.3; nr.3.4; nr.4; nr.5; nr.6; nr.6.1; nr.6.2; nr.7; nr.7.1; nr.7.1.1; nr.8; n</w:t>
      </w:r>
      <w:r w:rsidRPr="00B05CFC">
        <w:rPr>
          <w:rFonts w:asciiTheme="majorHAnsi" w:hAnsiTheme="majorHAnsi" w:cstheme="majorHAnsi"/>
          <w:sz w:val="24"/>
          <w:szCs w:val="24"/>
          <w:lang w:val="ro-RO"/>
        </w:rPr>
        <w:t>r.9; nr.10; nr.11; nr.12 și nr.13, precum și descrierea narativă</w:t>
      </w:r>
      <w:r w:rsidR="001A7BCE" w:rsidRPr="00E4517B">
        <w:rPr>
          <w:rFonts w:asciiTheme="majorHAnsi" w:hAnsiTheme="majorHAnsi" w:cstheme="majorHAnsi"/>
          <w:sz w:val="24"/>
          <w:szCs w:val="24"/>
          <w:lang w:val="ro-RO"/>
        </w:rPr>
        <w:t>,</w:t>
      </w:r>
      <w:r w:rsidRPr="00E4517B">
        <w:rPr>
          <w:rFonts w:asciiTheme="majorHAnsi" w:hAnsiTheme="majorHAnsi" w:cstheme="majorHAnsi"/>
          <w:sz w:val="24"/>
          <w:szCs w:val="24"/>
          <w:lang w:val="ro-RO"/>
        </w:rPr>
        <w:t xml:space="preserve"> cu excepția Formularului nr.14</w:t>
      </w:r>
      <w:r w:rsidRPr="00E4517B">
        <w:rPr>
          <w:rFonts w:asciiTheme="majorHAnsi" w:eastAsia="Times New Roman" w:hAnsiTheme="majorHAnsi" w:cstheme="majorHAnsi"/>
          <w:bCs/>
          <w:iCs/>
          <w:sz w:val="20"/>
          <w:szCs w:val="20"/>
          <w:lang w:val="ro-RO" w:eastAsia="ru-RU"/>
        </w:rPr>
        <w:t xml:space="preserve"> </w:t>
      </w:r>
      <w:r w:rsidR="001A7BCE" w:rsidRPr="00E4517B">
        <w:rPr>
          <w:rFonts w:asciiTheme="majorHAnsi" w:eastAsia="Times New Roman" w:hAnsiTheme="majorHAnsi" w:cstheme="majorHAnsi"/>
          <w:bCs/>
          <w:iCs/>
          <w:sz w:val="20"/>
          <w:szCs w:val="20"/>
          <w:lang w:val="ro-RO" w:eastAsia="ru-RU"/>
        </w:rPr>
        <w:t>„</w:t>
      </w:r>
      <w:r w:rsidRPr="00E4517B">
        <w:rPr>
          <w:rFonts w:asciiTheme="majorHAnsi" w:hAnsiTheme="majorHAnsi" w:cstheme="majorHAnsi"/>
          <w:bCs/>
          <w:iCs/>
          <w:sz w:val="24"/>
          <w:szCs w:val="24"/>
          <w:lang w:val="ro-RO"/>
        </w:rPr>
        <w:t>Raport privind executarea BPN”</w:t>
      </w:r>
      <w:r w:rsidR="00560025" w:rsidRPr="00E4517B">
        <w:rPr>
          <w:rStyle w:val="ac"/>
          <w:rFonts w:asciiTheme="majorHAnsi" w:hAnsiTheme="majorHAnsi" w:cstheme="majorHAnsi"/>
          <w:bCs/>
          <w:iCs/>
          <w:sz w:val="24"/>
          <w:szCs w:val="24"/>
          <w:lang w:val="ro-RO"/>
        </w:rPr>
        <w:footnoteReference w:id="1"/>
      </w:r>
      <w:r w:rsidRPr="00E4517B">
        <w:rPr>
          <w:rFonts w:asciiTheme="majorHAnsi" w:hAnsiTheme="majorHAnsi" w:cstheme="majorHAnsi"/>
          <w:sz w:val="24"/>
          <w:szCs w:val="24"/>
          <w:lang w:val="ro-RO"/>
        </w:rPr>
        <w:t>. În opinia noastră, Raportul Guvernului privind executarea bu</w:t>
      </w:r>
      <w:r w:rsidR="00FE7862" w:rsidRPr="00973E5B">
        <w:rPr>
          <w:rFonts w:asciiTheme="majorHAnsi" w:hAnsiTheme="majorHAnsi" w:cstheme="majorHAnsi"/>
          <w:sz w:val="24"/>
          <w:szCs w:val="24"/>
          <w:lang w:val="ro-RO"/>
        </w:rPr>
        <w:t>getului de stat pentru anul 2020</w:t>
      </w:r>
      <w:r w:rsidRPr="00E4517B">
        <w:rPr>
          <w:rFonts w:asciiTheme="majorHAnsi" w:hAnsiTheme="majorHAnsi" w:cstheme="majorHAnsi"/>
          <w:sz w:val="24"/>
          <w:szCs w:val="24"/>
          <w:lang w:val="ro-RO"/>
        </w:rPr>
        <w:t xml:space="preserve"> oferă, sub toate aspectele semnificative,</w:t>
      </w:r>
      <w:r w:rsidRPr="00E4517B">
        <w:rPr>
          <w:rFonts w:asciiTheme="majorHAnsi" w:hAnsiTheme="majorHAnsi" w:cstheme="majorHAnsi"/>
          <w:i/>
          <w:iCs/>
          <w:sz w:val="24"/>
          <w:szCs w:val="24"/>
          <w:lang w:val="ro-RO"/>
        </w:rPr>
        <w:t xml:space="preserve"> o imagine corectă și fidelă </w:t>
      </w:r>
      <w:r w:rsidR="001A7BCE" w:rsidRPr="00E4517B">
        <w:rPr>
          <w:rFonts w:asciiTheme="majorHAnsi" w:hAnsiTheme="majorHAnsi" w:cstheme="majorHAnsi"/>
          <w:i/>
          <w:iCs/>
          <w:sz w:val="24"/>
          <w:szCs w:val="24"/>
          <w:lang w:val="ro-RO"/>
        </w:rPr>
        <w:t>privind</w:t>
      </w:r>
      <w:r w:rsidRPr="00E4517B">
        <w:rPr>
          <w:rFonts w:asciiTheme="majorHAnsi" w:hAnsiTheme="majorHAnsi" w:cstheme="majorHAnsi"/>
          <w:i/>
          <w:iCs/>
          <w:sz w:val="24"/>
          <w:szCs w:val="24"/>
          <w:lang w:val="ro-RO"/>
        </w:rPr>
        <w:t xml:space="preserve"> executarea de casă, </w:t>
      </w:r>
      <w:r w:rsidRPr="00E4517B">
        <w:rPr>
          <w:rFonts w:asciiTheme="majorHAnsi" w:hAnsiTheme="majorHAnsi" w:cstheme="majorHAnsi"/>
          <w:sz w:val="24"/>
          <w:szCs w:val="24"/>
          <w:lang w:val="ro-RO"/>
        </w:rPr>
        <w:t>în conformitate cu cadrul de raportare financiară aplicabil</w:t>
      </w:r>
      <w:r w:rsidRPr="00E4517B">
        <w:rPr>
          <w:rFonts w:asciiTheme="majorHAnsi" w:hAnsiTheme="majorHAnsi" w:cstheme="majorHAnsi"/>
          <w:sz w:val="24"/>
          <w:szCs w:val="24"/>
          <w:vertAlign w:val="superscript"/>
          <w:lang w:val="ro-RO"/>
        </w:rPr>
        <w:footnoteReference w:id="2"/>
      </w:r>
      <w:r w:rsidRPr="00E4517B">
        <w:rPr>
          <w:rFonts w:asciiTheme="majorHAnsi" w:hAnsiTheme="majorHAnsi" w:cstheme="majorHAnsi"/>
          <w:sz w:val="24"/>
          <w:szCs w:val="24"/>
          <w:lang w:val="ro-RO"/>
        </w:rPr>
        <w:t>.</w:t>
      </w:r>
    </w:p>
    <w:p w:rsidR="00F7775C" w:rsidRPr="00F55BA6" w:rsidRDefault="00F7775C" w:rsidP="00F7775C">
      <w:pPr>
        <w:tabs>
          <w:tab w:val="left" w:pos="284"/>
          <w:tab w:val="left" w:pos="1560"/>
        </w:tabs>
        <w:spacing w:after="0" w:line="276" w:lineRule="auto"/>
        <w:contextualSpacing/>
        <w:jc w:val="left"/>
        <w:outlineLvl w:val="0"/>
        <w:rPr>
          <w:rFonts w:asciiTheme="minorHAnsi" w:hAnsiTheme="minorHAnsi"/>
          <w:sz w:val="24"/>
          <w:szCs w:val="24"/>
          <w:lang w:val="ro-RO"/>
        </w:rPr>
      </w:pPr>
      <w:bookmarkStart w:id="0" w:name="_Toc9338529"/>
    </w:p>
    <w:p w:rsidR="00F7775C" w:rsidRPr="00F55BA6" w:rsidRDefault="00F7775C" w:rsidP="00F7775C">
      <w:pPr>
        <w:numPr>
          <w:ilvl w:val="0"/>
          <w:numId w:val="1"/>
        </w:numPr>
        <w:tabs>
          <w:tab w:val="left" w:pos="284"/>
          <w:tab w:val="left" w:pos="1560"/>
        </w:tabs>
        <w:spacing w:after="0" w:line="276" w:lineRule="auto"/>
        <w:ind w:left="0" w:firstLine="0"/>
        <w:contextualSpacing/>
        <w:jc w:val="left"/>
        <w:outlineLvl w:val="0"/>
        <w:rPr>
          <w:rFonts w:asciiTheme="majorHAnsi" w:eastAsia="Times New Roman" w:hAnsiTheme="majorHAnsi" w:cs="Times New Roman"/>
          <w:b/>
          <w:bCs/>
          <w:szCs w:val="28"/>
          <w:lang w:val="ro-RO"/>
        </w:rPr>
      </w:pPr>
      <w:r w:rsidRPr="00F55BA6">
        <w:rPr>
          <w:rFonts w:asciiTheme="majorHAnsi" w:eastAsia="Times New Roman" w:hAnsiTheme="majorHAnsi" w:cs="Times New Roman"/>
          <w:b/>
          <w:bCs/>
          <w:szCs w:val="28"/>
          <w:lang w:val="ro-RO"/>
        </w:rPr>
        <w:t>BAZA PENTRU OPINI</w:t>
      </w:r>
      <w:bookmarkEnd w:id="0"/>
      <w:r w:rsidRPr="00F55BA6">
        <w:rPr>
          <w:rFonts w:asciiTheme="majorHAnsi" w:eastAsia="Times New Roman" w:hAnsiTheme="majorHAnsi" w:cs="Times New Roman"/>
          <w:b/>
          <w:bCs/>
          <w:szCs w:val="28"/>
          <w:lang w:val="ro-RO"/>
        </w:rPr>
        <w:t>E</w:t>
      </w:r>
    </w:p>
    <w:p w:rsidR="00F7775C" w:rsidRPr="00E4517B" w:rsidRDefault="00F7775C" w:rsidP="00F7775C">
      <w:pPr>
        <w:spacing w:after="0" w:line="276" w:lineRule="auto"/>
        <w:rPr>
          <w:rFonts w:asciiTheme="majorHAnsi" w:hAnsiTheme="majorHAnsi" w:cstheme="majorHAnsi"/>
          <w:sz w:val="24"/>
          <w:szCs w:val="24"/>
          <w:lang w:val="ro-RO"/>
        </w:rPr>
      </w:pPr>
      <w:r w:rsidRPr="00E4517B">
        <w:rPr>
          <w:rFonts w:asciiTheme="majorHAnsi" w:hAnsiTheme="majorHAnsi" w:cstheme="majorHAnsi"/>
          <w:sz w:val="24"/>
          <w:szCs w:val="24"/>
          <w:lang w:val="ro-RO"/>
        </w:rPr>
        <w:t>Am realizat misiunea de audit în conformitate cu Standardele Internaționale de Audit</w:t>
      </w:r>
      <w:r w:rsidRPr="00E4517B">
        <w:rPr>
          <w:rFonts w:asciiTheme="majorHAnsi" w:hAnsiTheme="majorHAnsi" w:cstheme="majorHAnsi"/>
          <w:sz w:val="24"/>
          <w:szCs w:val="24"/>
          <w:vertAlign w:val="superscript"/>
          <w:lang w:val="ro-RO"/>
        </w:rPr>
        <w:footnoteReference w:id="3"/>
      </w:r>
      <w:r w:rsidRPr="00E4517B">
        <w:rPr>
          <w:rFonts w:asciiTheme="majorHAnsi" w:hAnsiTheme="majorHAnsi" w:cstheme="majorHAnsi"/>
          <w:sz w:val="24"/>
          <w:szCs w:val="24"/>
          <w:lang w:val="ro-RO"/>
        </w:rPr>
        <w:t>. Responsabilități</w:t>
      </w:r>
      <w:r w:rsidRPr="00973E5B">
        <w:rPr>
          <w:rFonts w:asciiTheme="majorHAnsi" w:hAnsiTheme="majorHAnsi" w:cstheme="majorHAnsi"/>
          <w:sz w:val="24"/>
          <w:szCs w:val="24"/>
          <w:lang w:val="ro-RO"/>
        </w:rPr>
        <w:t xml:space="preserve">le noastre, potrivit standardelor respective, sunt expuse în secțiunea </w:t>
      </w:r>
      <w:r w:rsidRPr="00B05CFC">
        <w:rPr>
          <w:rFonts w:asciiTheme="majorHAnsi" w:hAnsiTheme="majorHAnsi" w:cstheme="majorHAnsi"/>
          <w:i/>
          <w:sz w:val="24"/>
          <w:szCs w:val="24"/>
          <w:lang w:val="ro-RO"/>
        </w:rPr>
        <w:t>Responsabilitățile auditorului într-un audit al situațiilor financiare</w:t>
      </w:r>
      <w:r w:rsidRPr="00E4517B">
        <w:rPr>
          <w:rFonts w:asciiTheme="majorHAnsi" w:hAnsiTheme="majorHAnsi" w:cstheme="majorHAnsi"/>
          <w:sz w:val="24"/>
          <w:szCs w:val="24"/>
          <w:lang w:val="ro-RO"/>
        </w:rPr>
        <w:t xml:space="preserve"> din prezentul Raport. Suntem independenți față de entitatea auditată și am îndeplinit responsabilitățile de etică, conform cerințelor Codului etic al Curții de Conturi. Considerăm că probele de audit pe care le-am obținut sunt suficiente și adecvate pentru a furniza o bază pentru opinia noastră.</w:t>
      </w:r>
    </w:p>
    <w:p w:rsidR="00F7775C" w:rsidRPr="00E4517B" w:rsidRDefault="00F7775C" w:rsidP="00F7775C">
      <w:pPr>
        <w:spacing w:after="0" w:line="276" w:lineRule="auto"/>
        <w:rPr>
          <w:rFonts w:asciiTheme="majorHAnsi" w:eastAsia="Times New Roman" w:hAnsiTheme="majorHAnsi" w:cstheme="majorHAnsi"/>
          <w:iCs/>
          <w:sz w:val="24"/>
          <w:szCs w:val="24"/>
          <w:lang w:val="ro-RO"/>
        </w:rPr>
      </w:pPr>
    </w:p>
    <w:p w:rsidR="00F7775C" w:rsidRPr="00F55BA6" w:rsidRDefault="00F7775C" w:rsidP="00F4090F">
      <w:pPr>
        <w:numPr>
          <w:ilvl w:val="0"/>
          <w:numId w:val="1"/>
        </w:numPr>
        <w:tabs>
          <w:tab w:val="left" w:pos="0"/>
          <w:tab w:val="left" w:pos="426"/>
        </w:tabs>
        <w:spacing w:after="0" w:line="276" w:lineRule="auto"/>
        <w:ind w:left="0" w:firstLine="0"/>
        <w:contextualSpacing/>
        <w:jc w:val="left"/>
        <w:outlineLvl w:val="0"/>
        <w:rPr>
          <w:rFonts w:asciiTheme="majorHAnsi" w:eastAsia="Times New Roman" w:hAnsiTheme="majorHAnsi" w:cs="Times New Roman"/>
          <w:b/>
          <w:bCs/>
          <w:szCs w:val="28"/>
          <w:lang w:val="ro-RO"/>
        </w:rPr>
      </w:pPr>
      <w:r w:rsidRPr="00F55BA6">
        <w:rPr>
          <w:rFonts w:asciiTheme="majorHAnsi" w:eastAsia="Times New Roman" w:hAnsiTheme="majorHAnsi" w:cs="Times New Roman"/>
          <w:b/>
          <w:bCs/>
          <w:szCs w:val="28"/>
          <w:lang w:val="ro-RO"/>
        </w:rPr>
        <w:t>PARAGRAF DE EVIDENȚIERE A UNOR ASPECTE</w:t>
      </w:r>
    </w:p>
    <w:p w:rsidR="00E61CC4" w:rsidRPr="00F55BA6" w:rsidRDefault="003B584D" w:rsidP="00E61CC4">
      <w:pPr>
        <w:pStyle w:val="af0"/>
        <w:numPr>
          <w:ilvl w:val="1"/>
          <w:numId w:val="29"/>
        </w:numPr>
        <w:tabs>
          <w:tab w:val="left" w:pos="0"/>
          <w:tab w:val="left" w:pos="426"/>
        </w:tabs>
        <w:spacing w:after="0" w:line="276" w:lineRule="auto"/>
        <w:ind w:left="0" w:firstLine="0"/>
        <w:rPr>
          <w:rFonts w:asciiTheme="majorHAnsi" w:eastAsia="Times New Roman" w:hAnsiTheme="majorHAnsi" w:cstheme="majorHAnsi"/>
          <w:sz w:val="24"/>
          <w:szCs w:val="24"/>
          <w:lang w:val="ro-RO"/>
        </w:rPr>
      </w:pPr>
      <w:r w:rsidRPr="00E4517B">
        <w:rPr>
          <w:rFonts w:asciiTheme="majorHAnsi" w:eastAsia="Times New Roman" w:hAnsiTheme="majorHAnsi" w:cstheme="majorHAnsi"/>
          <w:b/>
          <w:sz w:val="24"/>
          <w:szCs w:val="24"/>
          <w:lang w:val="ro-RO"/>
        </w:rPr>
        <w:t>Atragem atenția c</w:t>
      </w:r>
      <w:r w:rsidRPr="00F55BA6">
        <w:rPr>
          <w:rFonts w:asciiTheme="majorHAnsi" w:eastAsia="Times New Roman" w:hAnsiTheme="majorHAnsi" w:cstheme="majorHAnsi"/>
          <w:b/>
          <w:bCs/>
          <w:iCs/>
          <w:sz w:val="24"/>
          <w:szCs w:val="24"/>
          <w:lang w:val="ro-RO"/>
        </w:rPr>
        <w:t xml:space="preserve">ă specificul conceptului de planificare și finanțare a alocațiilor prin intermediul componentei </w:t>
      </w:r>
      <w:r w:rsidR="001A7BCE" w:rsidRPr="00973E5B">
        <w:rPr>
          <w:rFonts w:asciiTheme="majorHAnsi" w:eastAsia="Times New Roman" w:hAnsiTheme="majorHAnsi" w:cstheme="majorHAnsi"/>
          <w:b/>
          <w:bCs/>
          <w:iCs/>
          <w:sz w:val="24"/>
          <w:szCs w:val="24"/>
          <w:lang w:val="ro-RO"/>
        </w:rPr>
        <w:t>„</w:t>
      </w:r>
      <w:r w:rsidRPr="00B05CFC">
        <w:rPr>
          <w:rFonts w:asciiTheme="majorHAnsi" w:eastAsia="Times New Roman" w:hAnsiTheme="majorHAnsi" w:cstheme="majorHAnsi"/>
          <w:b/>
          <w:bCs/>
          <w:iCs/>
          <w:sz w:val="24"/>
          <w:szCs w:val="24"/>
          <w:lang w:val="ro-RO"/>
        </w:rPr>
        <w:t>Acțiuni generale”</w:t>
      </w:r>
      <w:r w:rsidRPr="00F55BA6">
        <w:rPr>
          <w:rFonts w:asciiTheme="majorHAnsi" w:eastAsia="Times New Roman" w:hAnsiTheme="majorHAnsi" w:cstheme="majorHAnsi"/>
          <w:b/>
          <w:sz w:val="24"/>
          <w:szCs w:val="24"/>
          <w:lang w:val="ro-RO"/>
        </w:rPr>
        <w:t xml:space="preserve"> </w:t>
      </w:r>
      <w:r w:rsidR="00873A0D" w:rsidRPr="00E4517B">
        <w:rPr>
          <w:rFonts w:asciiTheme="majorHAnsi" w:eastAsia="Times New Roman" w:hAnsiTheme="majorHAnsi" w:cstheme="majorHAnsi"/>
          <w:b/>
          <w:bCs/>
          <w:iCs/>
          <w:sz w:val="24"/>
          <w:szCs w:val="24"/>
          <w:lang w:val="ro-RO"/>
        </w:rPr>
        <w:t xml:space="preserve">nu </w:t>
      </w:r>
      <w:r w:rsidRPr="00E4517B">
        <w:rPr>
          <w:rFonts w:asciiTheme="majorHAnsi" w:eastAsia="Times New Roman" w:hAnsiTheme="majorHAnsi" w:cstheme="majorHAnsi"/>
          <w:b/>
          <w:bCs/>
          <w:iCs/>
          <w:sz w:val="24"/>
          <w:szCs w:val="24"/>
          <w:lang w:val="ro-RO"/>
        </w:rPr>
        <w:t>poate asigura</w:t>
      </w:r>
      <w:r w:rsidR="00AF60E3" w:rsidRPr="00E4517B">
        <w:rPr>
          <w:rFonts w:asciiTheme="majorHAnsi" w:eastAsia="Times New Roman" w:hAnsiTheme="majorHAnsi" w:cstheme="majorHAnsi"/>
          <w:b/>
          <w:bCs/>
          <w:iCs/>
          <w:sz w:val="24"/>
          <w:szCs w:val="24"/>
          <w:lang w:val="ro-RO"/>
        </w:rPr>
        <w:t xml:space="preserve">, </w:t>
      </w:r>
      <w:r w:rsidR="00AF60E3" w:rsidRPr="00E4517B">
        <w:rPr>
          <w:rFonts w:asciiTheme="majorHAnsi" w:eastAsia="Times New Roman" w:hAnsiTheme="majorHAnsi" w:cstheme="majorHAnsi"/>
          <w:b/>
          <w:sz w:val="24"/>
          <w:szCs w:val="24"/>
          <w:lang w:val="ro-RO"/>
        </w:rPr>
        <w:t>în opinia auditului,</w:t>
      </w:r>
      <w:r w:rsidR="00873A0D" w:rsidRPr="00E4517B">
        <w:rPr>
          <w:rFonts w:asciiTheme="majorHAnsi" w:eastAsia="Times New Roman" w:hAnsiTheme="majorHAnsi" w:cstheme="majorHAnsi"/>
          <w:b/>
          <w:bCs/>
          <w:iCs/>
          <w:sz w:val="24"/>
          <w:szCs w:val="24"/>
          <w:lang w:val="ro-RO"/>
        </w:rPr>
        <w:t xml:space="preserve"> transparența și buna administrare a fondurilor publice.</w:t>
      </w:r>
      <w:r w:rsidR="00873A0D" w:rsidRPr="00E4517B">
        <w:rPr>
          <w:rFonts w:asciiTheme="majorHAnsi" w:eastAsia="Times New Roman" w:hAnsiTheme="majorHAnsi" w:cstheme="majorHAnsi"/>
          <w:bCs/>
          <w:iCs/>
          <w:sz w:val="24"/>
          <w:szCs w:val="24"/>
          <w:lang w:val="ro-RO"/>
        </w:rPr>
        <w:t xml:space="preserve"> </w:t>
      </w:r>
      <w:r w:rsidRPr="00E4517B">
        <w:rPr>
          <w:rFonts w:asciiTheme="majorHAnsi" w:eastAsia="Times New Roman" w:hAnsiTheme="majorHAnsi" w:cstheme="majorHAnsi"/>
          <w:bCs/>
          <w:iCs/>
          <w:sz w:val="24"/>
          <w:szCs w:val="24"/>
          <w:lang w:val="ro-RO"/>
        </w:rPr>
        <w:t xml:space="preserve">Astfel, </w:t>
      </w:r>
      <w:r w:rsidR="009705FD" w:rsidRPr="00F55BA6">
        <w:rPr>
          <w:rFonts w:asciiTheme="majorHAnsi" w:eastAsia="Times New Roman" w:hAnsiTheme="majorHAnsi" w:cstheme="majorHAnsi"/>
          <w:sz w:val="24"/>
          <w:szCs w:val="24"/>
          <w:lang w:val="ro-RO"/>
        </w:rPr>
        <w:t>p</w:t>
      </w:r>
      <w:r w:rsidR="00E136AC" w:rsidRPr="00F55BA6">
        <w:rPr>
          <w:rFonts w:asciiTheme="majorHAnsi" w:eastAsia="Times New Roman" w:hAnsiTheme="majorHAnsi" w:cstheme="majorHAnsi"/>
          <w:sz w:val="24"/>
          <w:szCs w:val="24"/>
          <w:lang w:val="ro-RO"/>
        </w:rPr>
        <w:t xml:space="preserve">otrivit </w:t>
      </w:r>
      <w:r w:rsidR="00031B9C" w:rsidRPr="00F55BA6">
        <w:rPr>
          <w:rFonts w:asciiTheme="majorHAnsi" w:eastAsia="Times New Roman" w:hAnsiTheme="majorHAnsi" w:cstheme="majorHAnsi"/>
          <w:sz w:val="24"/>
          <w:szCs w:val="24"/>
          <w:lang w:val="ro-RO"/>
        </w:rPr>
        <w:t>Legii BS</w:t>
      </w:r>
      <w:r w:rsidR="00E136AC" w:rsidRPr="00F55BA6">
        <w:rPr>
          <w:rFonts w:asciiTheme="majorHAnsi" w:eastAsia="Times New Roman" w:hAnsiTheme="majorHAnsi" w:cstheme="majorHAnsi"/>
          <w:sz w:val="24"/>
          <w:szCs w:val="24"/>
          <w:lang w:val="ro-RO"/>
        </w:rPr>
        <w:t xml:space="preserve"> pentru anul 2020, la</w:t>
      </w:r>
      <w:r w:rsidR="00696B87" w:rsidRPr="00F55BA6">
        <w:rPr>
          <w:rFonts w:asciiTheme="majorHAnsi" w:eastAsia="Times New Roman" w:hAnsiTheme="majorHAnsi" w:cstheme="majorHAnsi"/>
          <w:sz w:val="24"/>
          <w:szCs w:val="24"/>
          <w:lang w:val="ro-RO"/>
        </w:rPr>
        <w:t xml:space="preserve"> </w:t>
      </w:r>
      <w:r w:rsidR="009705FD" w:rsidRPr="00F55BA6">
        <w:rPr>
          <w:rFonts w:asciiTheme="majorHAnsi" w:eastAsia="Times New Roman" w:hAnsiTheme="majorHAnsi" w:cstheme="majorHAnsi"/>
          <w:sz w:val="24"/>
          <w:szCs w:val="24"/>
          <w:lang w:val="ro-RO"/>
        </w:rPr>
        <w:t xml:space="preserve">Org1 </w:t>
      </w:r>
      <w:r w:rsidR="001A7BCE" w:rsidRPr="00F55BA6">
        <w:rPr>
          <w:rFonts w:asciiTheme="majorHAnsi" w:hAnsiTheme="majorHAnsi" w:cstheme="majorHAnsi"/>
          <w:sz w:val="24"/>
          <w:szCs w:val="24"/>
          <w:lang w:val="ro-RO"/>
        </w:rPr>
        <w:t>„</w:t>
      </w:r>
      <w:r w:rsidR="00E136AC" w:rsidRPr="00F55BA6">
        <w:rPr>
          <w:rFonts w:asciiTheme="majorHAnsi" w:hAnsiTheme="majorHAnsi" w:cstheme="majorHAnsi"/>
          <w:sz w:val="24"/>
          <w:szCs w:val="24"/>
          <w:lang w:val="ro-RO"/>
        </w:rPr>
        <w:t>Acțiuni generale”</w:t>
      </w:r>
      <w:r w:rsidR="001838F0" w:rsidRPr="00F55BA6">
        <w:rPr>
          <w:rStyle w:val="ac"/>
          <w:rFonts w:asciiTheme="majorHAnsi" w:hAnsiTheme="majorHAnsi" w:cstheme="majorHAnsi"/>
          <w:sz w:val="24"/>
          <w:szCs w:val="24"/>
          <w:lang w:val="ro-RO"/>
        </w:rPr>
        <w:footnoteReference w:id="4"/>
      </w:r>
      <w:r w:rsidR="00E136AC" w:rsidRPr="00F55BA6">
        <w:rPr>
          <w:rFonts w:asciiTheme="majorHAnsi" w:hAnsiTheme="majorHAnsi" w:cstheme="majorHAnsi"/>
          <w:sz w:val="24"/>
          <w:szCs w:val="24"/>
          <w:lang w:val="ro-RO"/>
        </w:rPr>
        <w:t xml:space="preserve"> </w:t>
      </w:r>
      <w:r w:rsidR="00884433" w:rsidRPr="00F55BA6">
        <w:rPr>
          <w:rFonts w:asciiTheme="majorHAnsi" w:hAnsiTheme="majorHAnsi" w:cstheme="majorHAnsi"/>
          <w:sz w:val="24"/>
          <w:szCs w:val="24"/>
          <w:lang w:val="ro-RO"/>
        </w:rPr>
        <w:t>(</w:t>
      </w:r>
      <w:r w:rsidR="00884433" w:rsidRPr="00F55BA6">
        <w:rPr>
          <w:rFonts w:asciiTheme="majorHAnsi" w:eastAsia="Times New Roman" w:hAnsiTheme="majorHAnsi" w:cstheme="majorHAnsi"/>
          <w:sz w:val="24"/>
          <w:szCs w:val="24"/>
          <w:lang w:val="ro-RO"/>
        </w:rPr>
        <w:t>0799)</w:t>
      </w:r>
      <w:r w:rsidR="00031B9C" w:rsidRPr="00F55BA6">
        <w:rPr>
          <w:rFonts w:asciiTheme="majorHAnsi" w:eastAsia="Times New Roman" w:hAnsiTheme="majorHAnsi" w:cstheme="majorHAnsi"/>
          <w:sz w:val="24"/>
          <w:szCs w:val="24"/>
          <w:lang w:val="ro-RO"/>
        </w:rPr>
        <w:t xml:space="preserve"> </w:t>
      </w:r>
      <w:r w:rsidR="00E136AC" w:rsidRPr="00F55BA6">
        <w:rPr>
          <w:rFonts w:asciiTheme="majorHAnsi" w:hAnsiTheme="majorHAnsi" w:cstheme="majorHAnsi"/>
          <w:sz w:val="24"/>
          <w:szCs w:val="24"/>
          <w:lang w:val="ro-RO"/>
        </w:rPr>
        <w:t>au fost aprobate alocații în sumă de 30 273,5 mil. lei</w:t>
      </w:r>
      <w:r w:rsidR="001A7BCE" w:rsidRPr="00F55BA6">
        <w:rPr>
          <w:rFonts w:asciiTheme="majorHAnsi" w:hAnsiTheme="majorHAnsi" w:cstheme="majorHAnsi"/>
          <w:sz w:val="24"/>
          <w:szCs w:val="24"/>
          <w:lang w:val="ro-RO"/>
        </w:rPr>
        <w:t>,</w:t>
      </w:r>
      <w:r w:rsidR="00E136AC" w:rsidRPr="00F55BA6">
        <w:rPr>
          <w:rFonts w:asciiTheme="majorHAnsi" w:hAnsiTheme="majorHAnsi" w:cstheme="majorHAnsi"/>
          <w:sz w:val="24"/>
          <w:szCs w:val="24"/>
          <w:lang w:val="ro-RO"/>
        </w:rPr>
        <w:t xml:space="preserve"> </w:t>
      </w:r>
      <w:r w:rsidR="009705FD" w:rsidRPr="00F55BA6">
        <w:rPr>
          <w:rFonts w:asciiTheme="majorHAnsi" w:hAnsiTheme="majorHAnsi" w:cstheme="majorHAnsi"/>
          <w:sz w:val="24"/>
          <w:szCs w:val="24"/>
          <w:lang w:val="ro-RO"/>
        </w:rPr>
        <w:t>ceea ce constituie circa</w:t>
      </w:r>
      <w:r w:rsidR="00E136AC" w:rsidRPr="00F55BA6">
        <w:rPr>
          <w:rFonts w:asciiTheme="majorHAnsi" w:hAnsiTheme="majorHAnsi" w:cstheme="majorHAnsi"/>
          <w:sz w:val="24"/>
          <w:szCs w:val="24"/>
          <w:lang w:val="ro-RO"/>
        </w:rPr>
        <w:t xml:space="preserve"> 56,9% din totalul cheltuielilor și activelor nefinanciare aprobate </w:t>
      </w:r>
      <w:r w:rsidR="009705FD" w:rsidRPr="00F55BA6">
        <w:rPr>
          <w:rFonts w:asciiTheme="majorHAnsi" w:hAnsiTheme="majorHAnsi" w:cstheme="majorHAnsi"/>
          <w:sz w:val="24"/>
          <w:szCs w:val="24"/>
          <w:lang w:val="ro-RO"/>
        </w:rPr>
        <w:t xml:space="preserve">integral pe BS </w:t>
      </w:r>
      <w:r w:rsidR="00E136AC" w:rsidRPr="00F55BA6">
        <w:rPr>
          <w:rFonts w:asciiTheme="majorHAnsi" w:hAnsiTheme="majorHAnsi" w:cstheme="majorHAnsi"/>
          <w:sz w:val="24"/>
          <w:szCs w:val="24"/>
          <w:lang w:val="ro-RO"/>
        </w:rPr>
        <w:t xml:space="preserve">(53 200,9 mil. lei). </w:t>
      </w:r>
      <w:r w:rsidR="00C12790" w:rsidRPr="00F55BA6">
        <w:rPr>
          <w:rFonts w:asciiTheme="majorHAnsi" w:hAnsiTheme="majorHAnsi" w:cstheme="majorHAnsi"/>
          <w:sz w:val="24"/>
          <w:szCs w:val="24"/>
          <w:lang w:val="ro-RO"/>
        </w:rPr>
        <w:t>A</w:t>
      </w:r>
      <w:r w:rsidR="009705FD" w:rsidRPr="00F55BA6">
        <w:rPr>
          <w:rFonts w:asciiTheme="majorHAnsi" w:hAnsiTheme="majorHAnsi" w:cstheme="majorHAnsi"/>
          <w:sz w:val="24"/>
          <w:szCs w:val="24"/>
          <w:lang w:val="ro-RO"/>
        </w:rPr>
        <w:t xml:space="preserve">cest context poate </w:t>
      </w:r>
      <w:r w:rsidR="00666523" w:rsidRPr="00F55BA6">
        <w:rPr>
          <w:rFonts w:asciiTheme="majorHAnsi" w:hAnsiTheme="majorHAnsi" w:cstheme="majorHAnsi"/>
          <w:sz w:val="24"/>
          <w:szCs w:val="24"/>
          <w:lang w:val="ro-RO"/>
        </w:rPr>
        <w:t>afecta</w:t>
      </w:r>
      <w:r w:rsidR="00E136AC" w:rsidRPr="00F55BA6">
        <w:rPr>
          <w:rFonts w:asciiTheme="majorHAnsi" w:hAnsiTheme="majorHAnsi" w:cstheme="majorHAnsi"/>
          <w:sz w:val="24"/>
          <w:szCs w:val="24"/>
          <w:lang w:val="ro-RO"/>
        </w:rPr>
        <w:t xml:space="preserve"> performanța programelor de cheltuieli bugetare</w:t>
      </w:r>
      <w:r w:rsidR="00D02481" w:rsidRPr="00F55BA6">
        <w:rPr>
          <w:rFonts w:asciiTheme="majorHAnsi" w:hAnsiTheme="majorHAnsi" w:cstheme="majorHAnsi"/>
          <w:sz w:val="24"/>
          <w:szCs w:val="24"/>
          <w:lang w:val="ro-RO"/>
        </w:rPr>
        <w:t>,</w:t>
      </w:r>
      <w:r w:rsidR="00E136AC" w:rsidRPr="00F55BA6">
        <w:rPr>
          <w:rFonts w:asciiTheme="majorHAnsi" w:hAnsiTheme="majorHAnsi" w:cstheme="majorHAnsi"/>
          <w:sz w:val="24"/>
          <w:szCs w:val="24"/>
          <w:lang w:val="ro-RO"/>
        </w:rPr>
        <w:t xml:space="preserve"> </w:t>
      </w:r>
      <w:r w:rsidR="00D02481" w:rsidRPr="00F55BA6">
        <w:rPr>
          <w:rFonts w:asciiTheme="majorHAnsi" w:hAnsiTheme="majorHAnsi" w:cstheme="majorHAnsi"/>
          <w:sz w:val="24"/>
          <w:szCs w:val="24"/>
          <w:lang w:val="ro-RO"/>
        </w:rPr>
        <w:t>precum și</w:t>
      </w:r>
      <w:r w:rsidR="004B7256" w:rsidRPr="00F55BA6">
        <w:rPr>
          <w:rFonts w:asciiTheme="majorHAnsi" w:hAnsiTheme="majorHAnsi" w:cstheme="majorHAnsi"/>
          <w:sz w:val="24"/>
          <w:szCs w:val="24"/>
          <w:lang w:val="ro-RO"/>
        </w:rPr>
        <w:t xml:space="preserve"> </w:t>
      </w:r>
      <w:r w:rsidR="00D02481" w:rsidRPr="00F55BA6">
        <w:rPr>
          <w:rFonts w:asciiTheme="majorHAnsi" w:hAnsiTheme="majorHAnsi" w:cstheme="majorHAnsi"/>
          <w:sz w:val="24"/>
          <w:szCs w:val="24"/>
          <w:lang w:val="ro-RO"/>
        </w:rPr>
        <w:t xml:space="preserve">poate </w:t>
      </w:r>
      <w:r w:rsidR="004B7256" w:rsidRPr="00F55BA6">
        <w:rPr>
          <w:rFonts w:asciiTheme="majorHAnsi" w:hAnsiTheme="majorHAnsi" w:cstheme="majorHAnsi"/>
          <w:sz w:val="24"/>
          <w:szCs w:val="24"/>
          <w:lang w:val="ro-RO"/>
        </w:rPr>
        <w:t>submina</w:t>
      </w:r>
      <w:r w:rsidR="00E136AC" w:rsidRPr="00F55BA6">
        <w:rPr>
          <w:rFonts w:asciiTheme="majorHAnsi" w:hAnsiTheme="majorHAnsi" w:cstheme="majorHAnsi"/>
          <w:sz w:val="24"/>
          <w:szCs w:val="24"/>
          <w:lang w:val="ro-RO"/>
        </w:rPr>
        <w:t xml:space="preserve"> </w:t>
      </w:r>
      <w:r w:rsidR="004B7256" w:rsidRPr="00F55BA6">
        <w:rPr>
          <w:rFonts w:asciiTheme="majorHAnsi" w:hAnsiTheme="majorHAnsi" w:cstheme="majorHAnsi"/>
          <w:sz w:val="24"/>
          <w:szCs w:val="24"/>
          <w:lang w:val="ro-RO"/>
        </w:rPr>
        <w:t>elaborarea și raportarea</w:t>
      </w:r>
      <w:r w:rsidR="003C450B" w:rsidRPr="00F55BA6">
        <w:rPr>
          <w:rFonts w:asciiTheme="majorHAnsi" w:hAnsiTheme="majorHAnsi" w:cstheme="majorHAnsi"/>
          <w:sz w:val="24"/>
          <w:szCs w:val="24"/>
          <w:lang w:val="ro-RO"/>
        </w:rPr>
        <w:t xml:space="preserve"> </w:t>
      </w:r>
      <w:r w:rsidR="00D02481" w:rsidRPr="00F55BA6">
        <w:rPr>
          <w:rFonts w:asciiTheme="majorHAnsi" w:hAnsiTheme="majorHAnsi" w:cstheme="majorHAnsi"/>
          <w:sz w:val="24"/>
          <w:szCs w:val="24"/>
          <w:lang w:val="ro-RO"/>
        </w:rPr>
        <w:t>bugetelor</w:t>
      </w:r>
      <w:r w:rsidR="00E136AC" w:rsidRPr="00F55BA6">
        <w:rPr>
          <w:rFonts w:asciiTheme="majorHAnsi" w:hAnsiTheme="majorHAnsi" w:cstheme="majorHAnsi"/>
          <w:sz w:val="24"/>
          <w:szCs w:val="24"/>
          <w:lang w:val="ro-RO"/>
        </w:rPr>
        <w:t xml:space="preserve"> fundamentat</w:t>
      </w:r>
      <w:r w:rsidR="0095594C" w:rsidRPr="00F55BA6">
        <w:rPr>
          <w:rFonts w:asciiTheme="majorHAnsi" w:hAnsiTheme="majorHAnsi" w:cstheme="majorHAnsi"/>
          <w:sz w:val="24"/>
          <w:szCs w:val="24"/>
          <w:lang w:val="ro-RO"/>
        </w:rPr>
        <w:t>e</w:t>
      </w:r>
      <w:r w:rsidR="00E136AC" w:rsidRPr="00F55BA6">
        <w:rPr>
          <w:rFonts w:asciiTheme="majorHAnsi" w:hAnsiTheme="majorHAnsi" w:cstheme="majorHAnsi"/>
          <w:sz w:val="24"/>
          <w:szCs w:val="24"/>
          <w:lang w:val="ro-RO"/>
        </w:rPr>
        <w:t xml:space="preserve"> pe programe și performanță</w:t>
      </w:r>
      <w:r w:rsidR="0095594C" w:rsidRPr="00F55BA6">
        <w:rPr>
          <w:rFonts w:asciiTheme="majorHAnsi" w:hAnsiTheme="majorHAnsi" w:cstheme="majorHAnsi"/>
          <w:sz w:val="24"/>
          <w:szCs w:val="24"/>
          <w:lang w:val="ro-RO"/>
        </w:rPr>
        <w:t xml:space="preserve"> a</w:t>
      </w:r>
      <w:r w:rsidR="00881B22">
        <w:rPr>
          <w:rFonts w:asciiTheme="majorHAnsi" w:hAnsiTheme="majorHAnsi" w:cstheme="majorHAnsi"/>
          <w:sz w:val="24"/>
          <w:szCs w:val="24"/>
          <w:lang w:val="ro-RO"/>
        </w:rPr>
        <w:t>le</w:t>
      </w:r>
      <w:r w:rsidR="0095594C" w:rsidRPr="00F55BA6">
        <w:rPr>
          <w:rFonts w:asciiTheme="majorHAnsi" w:hAnsiTheme="majorHAnsi" w:cstheme="majorHAnsi"/>
          <w:sz w:val="24"/>
          <w:szCs w:val="24"/>
          <w:lang w:val="ro-RO"/>
        </w:rPr>
        <w:t xml:space="preserve"> unor instituții/autorități bugetare</w:t>
      </w:r>
      <w:r w:rsidR="002547B4" w:rsidRPr="00F55BA6">
        <w:rPr>
          <w:rFonts w:asciiTheme="majorHAnsi" w:hAnsiTheme="majorHAnsi" w:cstheme="majorHAnsi"/>
          <w:sz w:val="24"/>
          <w:szCs w:val="24"/>
          <w:lang w:val="ro-RO"/>
        </w:rPr>
        <w:t>, în condițiile în care</w:t>
      </w:r>
      <w:r w:rsidR="00881B22">
        <w:rPr>
          <w:rFonts w:asciiTheme="majorHAnsi" w:hAnsiTheme="majorHAnsi" w:cstheme="majorHAnsi"/>
          <w:sz w:val="24"/>
          <w:szCs w:val="24"/>
          <w:lang w:val="ro-RO"/>
        </w:rPr>
        <w:t>,</w:t>
      </w:r>
      <w:r w:rsidR="002547B4" w:rsidRPr="00F55BA6">
        <w:rPr>
          <w:rFonts w:asciiTheme="majorHAnsi" w:hAnsiTheme="majorHAnsi" w:cstheme="majorHAnsi"/>
          <w:sz w:val="24"/>
          <w:szCs w:val="24"/>
          <w:lang w:val="ro-RO"/>
        </w:rPr>
        <w:t xml:space="preserve"> </w:t>
      </w:r>
      <w:r w:rsidR="002547B4" w:rsidRPr="00F55BA6">
        <w:rPr>
          <w:rFonts w:asciiTheme="majorHAnsi" w:eastAsia="Times New Roman" w:hAnsiTheme="majorHAnsi" w:cstheme="majorHAnsi"/>
          <w:sz w:val="24"/>
          <w:szCs w:val="24"/>
          <w:lang w:val="ro-RO"/>
        </w:rPr>
        <w:t>conform art.29 alin. (2) din Legea nr.181 din 25.07.2014, cheltuielile bugetare se efectuează doar prin intermediul autorităților/instituțiilor bugetare.</w:t>
      </w:r>
      <w:r w:rsidR="00E61CC4" w:rsidRPr="00F55BA6">
        <w:rPr>
          <w:rFonts w:asciiTheme="majorHAnsi" w:eastAsia="Times New Roman" w:hAnsiTheme="majorHAnsi" w:cstheme="majorHAnsi"/>
          <w:sz w:val="24"/>
          <w:szCs w:val="24"/>
          <w:lang w:val="ro-RO"/>
        </w:rPr>
        <w:t xml:space="preserve"> </w:t>
      </w:r>
      <w:r w:rsidR="001A7BCE" w:rsidRPr="00F55BA6">
        <w:rPr>
          <w:rFonts w:asciiTheme="majorHAnsi" w:eastAsia="Times New Roman" w:hAnsiTheme="majorHAnsi" w:cstheme="majorHAnsi"/>
          <w:sz w:val="24"/>
          <w:szCs w:val="24"/>
          <w:lang w:val="ro-RO"/>
        </w:rPr>
        <w:t xml:space="preserve">Ca </w:t>
      </w:r>
      <w:r w:rsidR="001A7BCE" w:rsidRPr="00F55BA6">
        <w:rPr>
          <w:rFonts w:asciiTheme="majorHAnsi" w:eastAsia="Times New Roman" w:hAnsiTheme="majorHAnsi" w:cstheme="majorHAnsi"/>
          <w:color w:val="000000"/>
          <w:sz w:val="24"/>
          <w:szCs w:val="24"/>
          <w:lang w:val="ro-RO" w:eastAsia="ro-RO" w:bidi="ro-RO"/>
        </w:rPr>
        <w:t>u</w:t>
      </w:r>
      <w:r w:rsidR="00E61CC4" w:rsidRPr="00F55BA6">
        <w:rPr>
          <w:rFonts w:asciiTheme="majorHAnsi" w:eastAsia="Times New Roman" w:hAnsiTheme="majorHAnsi" w:cstheme="majorHAnsi"/>
          <w:color w:val="000000"/>
          <w:sz w:val="24"/>
          <w:szCs w:val="24"/>
          <w:lang w:val="ro-RO" w:eastAsia="ro-RO" w:bidi="ro-RO"/>
        </w:rPr>
        <w:t xml:space="preserve">rmare </w:t>
      </w:r>
      <w:r w:rsidR="001A7BCE" w:rsidRPr="00F55BA6">
        <w:rPr>
          <w:rFonts w:asciiTheme="majorHAnsi" w:eastAsia="Times New Roman" w:hAnsiTheme="majorHAnsi" w:cstheme="majorHAnsi"/>
          <w:color w:val="000000"/>
          <w:sz w:val="24"/>
          <w:szCs w:val="24"/>
          <w:lang w:val="ro-RO" w:eastAsia="ro-RO" w:bidi="ro-RO"/>
        </w:rPr>
        <w:t xml:space="preserve">a </w:t>
      </w:r>
      <w:r w:rsidR="00E61CC4" w:rsidRPr="00F55BA6">
        <w:rPr>
          <w:rFonts w:asciiTheme="majorHAnsi" w:eastAsia="Times New Roman" w:hAnsiTheme="majorHAnsi" w:cstheme="majorHAnsi"/>
          <w:color w:val="000000"/>
          <w:sz w:val="24"/>
          <w:szCs w:val="24"/>
          <w:lang w:val="ro-RO" w:eastAsia="ro-RO" w:bidi="ro-RO"/>
        </w:rPr>
        <w:t xml:space="preserve">verificărilor </w:t>
      </w:r>
      <w:r w:rsidR="001A7BCE" w:rsidRPr="00F55BA6">
        <w:rPr>
          <w:rFonts w:asciiTheme="majorHAnsi" w:eastAsia="Times New Roman" w:hAnsiTheme="majorHAnsi" w:cstheme="majorHAnsi"/>
          <w:color w:val="000000"/>
          <w:sz w:val="24"/>
          <w:szCs w:val="24"/>
          <w:lang w:val="ro-RO" w:eastAsia="ro-RO" w:bidi="ro-RO"/>
        </w:rPr>
        <w:t xml:space="preserve">de </w:t>
      </w:r>
      <w:r w:rsidR="00E61CC4" w:rsidRPr="00F55BA6">
        <w:rPr>
          <w:rFonts w:asciiTheme="majorHAnsi" w:eastAsia="Times New Roman" w:hAnsiTheme="majorHAnsi" w:cstheme="majorHAnsi"/>
          <w:color w:val="000000"/>
          <w:sz w:val="24"/>
          <w:szCs w:val="24"/>
          <w:lang w:val="ro-RO" w:eastAsia="ro-RO" w:bidi="ro-RO"/>
        </w:rPr>
        <w:t xml:space="preserve">audit, s-a constatat că </w:t>
      </w:r>
      <w:r w:rsidR="001A7BCE" w:rsidRPr="00F55BA6">
        <w:rPr>
          <w:rFonts w:asciiTheme="majorHAnsi" w:eastAsia="Times New Roman" w:hAnsiTheme="majorHAnsi" w:cstheme="majorHAnsi"/>
          <w:color w:val="000000"/>
          <w:sz w:val="24"/>
          <w:szCs w:val="24"/>
          <w:lang w:val="ro-RO" w:eastAsia="ro-RO" w:bidi="ro-RO"/>
        </w:rPr>
        <w:t xml:space="preserve">este </w:t>
      </w:r>
      <w:r w:rsidR="00E61CC4" w:rsidRPr="00973E5B">
        <w:rPr>
          <w:rFonts w:asciiTheme="majorHAnsi" w:eastAsia="Times New Roman" w:hAnsiTheme="majorHAnsi" w:cstheme="majorHAnsi"/>
          <w:color w:val="000000"/>
          <w:sz w:val="24"/>
          <w:szCs w:val="24"/>
          <w:lang w:val="ro-RO" w:eastAsia="ro-RO" w:bidi="ro-RO"/>
        </w:rPr>
        <w:t>neces</w:t>
      </w:r>
      <w:r w:rsidR="001A7BCE" w:rsidRPr="00B05CFC">
        <w:rPr>
          <w:rFonts w:asciiTheme="majorHAnsi" w:eastAsia="Times New Roman" w:hAnsiTheme="majorHAnsi" w:cstheme="majorHAnsi"/>
          <w:color w:val="000000"/>
          <w:sz w:val="24"/>
          <w:szCs w:val="24"/>
          <w:lang w:val="ro-RO" w:eastAsia="ro-RO" w:bidi="ro-RO"/>
        </w:rPr>
        <w:t>ar</w:t>
      </w:r>
      <w:r w:rsidR="00E61CC4" w:rsidRPr="00E4517B">
        <w:rPr>
          <w:rFonts w:asciiTheme="majorHAnsi" w:eastAsia="Times New Roman" w:hAnsiTheme="majorHAnsi" w:cstheme="majorHAnsi"/>
          <w:color w:val="000000"/>
          <w:sz w:val="24"/>
          <w:szCs w:val="24"/>
          <w:lang w:val="ro-RO" w:eastAsia="ro-RO" w:bidi="ro-RO"/>
        </w:rPr>
        <w:t xml:space="preserve">ă îmbunătățirea planificării alocațiilor la compartimentul </w:t>
      </w:r>
      <w:r w:rsidR="001A7BCE" w:rsidRPr="00E4517B">
        <w:rPr>
          <w:rFonts w:asciiTheme="majorHAnsi" w:eastAsia="Times New Roman" w:hAnsiTheme="majorHAnsi" w:cstheme="majorHAnsi"/>
          <w:color w:val="000000"/>
          <w:sz w:val="24"/>
          <w:szCs w:val="24"/>
          <w:lang w:val="ro-RO" w:eastAsia="ro-RO" w:bidi="ro-RO"/>
        </w:rPr>
        <w:t>„</w:t>
      </w:r>
      <w:r w:rsidR="00E61CC4" w:rsidRPr="00E4517B">
        <w:rPr>
          <w:rFonts w:asciiTheme="majorHAnsi" w:eastAsia="Times New Roman" w:hAnsiTheme="majorHAnsi" w:cstheme="majorHAnsi"/>
          <w:color w:val="000000"/>
          <w:sz w:val="24"/>
          <w:szCs w:val="24"/>
          <w:lang w:val="ro-RO" w:eastAsia="ro-RO" w:bidi="ro-RO"/>
        </w:rPr>
        <w:t>Acțiuni generale”, prin d</w:t>
      </w:r>
      <w:r w:rsidR="00E61CC4" w:rsidRPr="00F55BA6">
        <w:rPr>
          <w:rFonts w:asciiTheme="majorHAnsi" w:eastAsia="Times New Roman" w:hAnsiTheme="majorHAnsi" w:cstheme="majorHAnsi"/>
          <w:color w:val="000000"/>
          <w:sz w:val="24"/>
          <w:szCs w:val="24"/>
          <w:lang w:val="ro-RO" w:eastAsia="ro-RO" w:bidi="ro-RO"/>
        </w:rPr>
        <w:t xml:space="preserve">ivizarea </w:t>
      </w:r>
      <w:r w:rsidR="00BD5DA4" w:rsidRPr="00F55BA6">
        <w:rPr>
          <w:rFonts w:asciiTheme="majorHAnsi" w:eastAsia="Times New Roman" w:hAnsiTheme="majorHAnsi" w:cstheme="majorHAnsi"/>
          <w:color w:val="000000"/>
          <w:sz w:val="24"/>
          <w:szCs w:val="24"/>
          <w:lang w:val="ro-RO" w:eastAsia="ro-RO" w:bidi="ro-RO"/>
        </w:rPr>
        <w:t>pe programe/subprograme</w:t>
      </w:r>
      <w:r w:rsidR="00E61CC4" w:rsidRPr="00F55BA6">
        <w:rPr>
          <w:rFonts w:asciiTheme="majorHAnsi" w:eastAsia="Times New Roman" w:hAnsiTheme="majorHAnsi" w:cstheme="majorHAnsi"/>
          <w:color w:val="000000"/>
          <w:sz w:val="24"/>
          <w:szCs w:val="24"/>
          <w:lang w:val="ro-RO" w:eastAsia="ro-RO" w:bidi="ro-RO"/>
        </w:rPr>
        <w:t xml:space="preserve"> de cheltuieli bugetare</w:t>
      </w:r>
      <w:r w:rsidR="001A7BCE" w:rsidRPr="00F55BA6">
        <w:rPr>
          <w:rFonts w:asciiTheme="majorHAnsi" w:eastAsia="Times New Roman" w:hAnsiTheme="majorHAnsi" w:cstheme="majorHAnsi"/>
          <w:color w:val="000000"/>
          <w:sz w:val="24"/>
          <w:szCs w:val="24"/>
          <w:lang w:val="ro-RO" w:eastAsia="ro-RO" w:bidi="ro-RO"/>
        </w:rPr>
        <w:t>,</w:t>
      </w:r>
      <w:r w:rsidR="00E61CC4" w:rsidRPr="00F55BA6">
        <w:rPr>
          <w:rFonts w:asciiTheme="majorHAnsi" w:eastAsia="Times New Roman" w:hAnsiTheme="majorHAnsi" w:cstheme="majorHAnsi"/>
          <w:color w:val="000000"/>
          <w:sz w:val="24"/>
          <w:szCs w:val="24"/>
          <w:lang w:val="ro-RO" w:eastAsia="ro-RO" w:bidi="ro-RO"/>
        </w:rPr>
        <w:t xml:space="preserve"> </w:t>
      </w:r>
      <w:r w:rsidR="00BD5DA4" w:rsidRPr="00F55BA6">
        <w:rPr>
          <w:rFonts w:asciiTheme="majorHAnsi" w:eastAsia="Times New Roman" w:hAnsiTheme="majorHAnsi" w:cstheme="majorHAnsi"/>
          <w:color w:val="000000"/>
          <w:sz w:val="24"/>
          <w:szCs w:val="24"/>
          <w:lang w:val="ro-RO" w:eastAsia="ro-RO" w:bidi="ro-RO"/>
        </w:rPr>
        <w:t>în vederea</w:t>
      </w:r>
      <w:r w:rsidR="00E61CC4" w:rsidRPr="00F55BA6">
        <w:rPr>
          <w:rFonts w:asciiTheme="majorHAnsi" w:eastAsia="Times New Roman" w:hAnsiTheme="majorHAnsi" w:cstheme="majorHAnsi"/>
          <w:color w:val="000000"/>
          <w:sz w:val="24"/>
          <w:szCs w:val="24"/>
          <w:lang w:val="ro-RO" w:eastAsia="ro-RO" w:bidi="ro-RO"/>
        </w:rPr>
        <w:t xml:space="preserve"> elaborării și raportării bugetului fundamentat pe programe și performanță.</w:t>
      </w:r>
      <w:r w:rsidR="00E61CC4" w:rsidRPr="00F55BA6">
        <w:rPr>
          <w:rFonts w:asciiTheme="majorHAnsi" w:eastAsia="Times New Roman" w:hAnsiTheme="majorHAnsi" w:cstheme="majorHAnsi"/>
          <w:b/>
          <w:color w:val="000000"/>
          <w:sz w:val="24"/>
          <w:szCs w:val="24"/>
          <w:lang w:val="ro-RO" w:eastAsia="ro-RO" w:bidi="ro-RO"/>
        </w:rPr>
        <w:t xml:space="preserve"> </w:t>
      </w:r>
    </w:p>
    <w:p w:rsidR="00F7775C" w:rsidRPr="00F55BA6" w:rsidRDefault="003A254A" w:rsidP="001322D4">
      <w:pPr>
        <w:pStyle w:val="af0"/>
        <w:numPr>
          <w:ilvl w:val="1"/>
          <w:numId w:val="29"/>
        </w:numPr>
        <w:tabs>
          <w:tab w:val="left" w:pos="0"/>
          <w:tab w:val="left" w:pos="426"/>
        </w:tabs>
        <w:spacing w:after="0" w:line="276" w:lineRule="auto"/>
        <w:ind w:left="0" w:firstLine="0"/>
        <w:rPr>
          <w:rFonts w:asciiTheme="majorHAnsi" w:eastAsia="Times New Roman" w:hAnsiTheme="majorHAnsi" w:cstheme="majorHAnsi"/>
          <w:b/>
          <w:sz w:val="24"/>
          <w:szCs w:val="24"/>
          <w:lang w:val="ro-RO"/>
        </w:rPr>
      </w:pPr>
      <w:r w:rsidRPr="00F55BA6">
        <w:rPr>
          <w:rFonts w:asciiTheme="majorHAnsi" w:eastAsia="Times New Roman" w:hAnsiTheme="majorHAnsi" w:cstheme="majorHAnsi"/>
          <w:b/>
          <w:color w:val="000000" w:themeColor="text1"/>
          <w:sz w:val="24"/>
          <w:szCs w:val="24"/>
          <w:lang w:val="ro-RO"/>
        </w:rPr>
        <w:t xml:space="preserve">Atragem atenția </w:t>
      </w:r>
      <w:r w:rsidR="00324C57" w:rsidRPr="00F55BA6">
        <w:rPr>
          <w:rFonts w:asciiTheme="majorHAnsi" w:eastAsia="Times New Roman" w:hAnsiTheme="majorHAnsi" w:cstheme="majorHAnsi"/>
          <w:b/>
          <w:color w:val="000000" w:themeColor="text1"/>
          <w:sz w:val="24"/>
          <w:szCs w:val="24"/>
          <w:lang w:val="ro-RO"/>
        </w:rPr>
        <w:t xml:space="preserve">că, </w:t>
      </w:r>
      <w:r w:rsidR="00AF60E3" w:rsidRPr="00F55BA6">
        <w:rPr>
          <w:rFonts w:asciiTheme="majorHAnsi" w:eastAsia="Times New Roman" w:hAnsiTheme="majorHAnsi" w:cstheme="majorHAnsi"/>
          <w:b/>
          <w:color w:val="000000" w:themeColor="text1"/>
          <w:sz w:val="24"/>
          <w:szCs w:val="24"/>
          <w:lang w:val="ro-RO"/>
        </w:rPr>
        <w:t xml:space="preserve">la componenta „Acțiuni generale”, </w:t>
      </w:r>
      <w:r w:rsidR="0022544E" w:rsidRPr="00F55BA6">
        <w:rPr>
          <w:rFonts w:asciiTheme="majorHAnsi" w:eastAsia="Times New Roman" w:hAnsiTheme="majorHAnsi" w:cstheme="majorHAnsi"/>
          <w:b/>
          <w:color w:val="000000" w:themeColor="text1"/>
          <w:sz w:val="24"/>
          <w:szCs w:val="24"/>
          <w:lang w:val="ro-RO"/>
        </w:rPr>
        <w:t>MF a planificat</w:t>
      </w:r>
      <w:r w:rsidRPr="00F55BA6">
        <w:rPr>
          <w:rFonts w:asciiTheme="majorHAnsi" w:eastAsia="Times New Roman" w:hAnsiTheme="majorHAnsi" w:cstheme="majorHAnsi"/>
          <w:b/>
          <w:color w:val="000000" w:themeColor="text1"/>
          <w:sz w:val="24"/>
          <w:szCs w:val="24"/>
          <w:lang w:val="ro-RO"/>
        </w:rPr>
        <w:t xml:space="preserve"> </w:t>
      </w:r>
      <w:r w:rsidR="0022544E" w:rsidRPr="00F55BA6">
        <w:rPr>
          <w:rFonts w:asciiTheme="majorHAnsi" w:eastAsia="Times New Roman" w:hAnsiTheme="majorHAnsi" w:cstheme="majorHAnsi"/>
          <w:b/>
          <w:color w:val="000000" w:themeColor="text1"/>
          <w:sz w:val="24"/>
          <w:szCs w:val="24"/>
          <w:lang w:val="ro-RO"/>
        </w:rPr>
        <w:t xml:space="preserve">alocații în sumă totală de 1 064,8 mil. lei la </w:t>
      </w:r>
      <w:r w:rsidR="00AF60E3" w:rsidRPr="00F55BA6">
        <w:rPr>
          <w:rFonts w:asciiTheme="majorHAnsi" w:eastAsia="Times New Roman" w:hAnsiTheme="majorHAnsi" w:cstheme="majorHAnsi"/>
          <w:b/>
          <w:color w:val="000000" w:themeColor="text1"/>
          <w:sz w:val="24"/>
          <w:szCs w:val="24"/>
          <w:lang w:val="ro-RO"/>
        </w:rPr>
        <w:t>„</w:t>
      </w:r>
      <w:r w:rsidR="0022544E" w:rsidRPr="00F55BA6">
        <w:rPr>
          <w:rFonts w:asciiTheme="majorHAnsi" w:eastAsia="Times New Roman" w:hAnsiTheme="majorHAnsi" w:cstheme="majorHAnsi"/>
          <w:b/>
          <w:color w:val="000000" w:themeColor="text1"/>
          <w:sz w:val="24"/>
          <w:szCs w:val="24"/>
          <w:lang w:val="ro-RO"/>
        </w:rPr>
        <w:t xml:space="preserve">servicii în domeniul economiei” </w:t>
      </w:r>
      <w:r w:rsidR="0022544E" w:rsidRPr="00F55BA6">
        <w:rPr>
          <w:rFonts w:asciiTheme="majorHAnsi" w:eastAsia="Times New Roman" w:hAnsiTheme="majorHAnsi" w:cstheme="majorHAnsi"/>
          <w:b/>
          <w:i/>
          <w:color w:val="000000" w:themeColor="text1"/>
          <w:sz w:val="24"/>
          <w:szCs w:val="24"/>
          <w:lang w:val="ro-RO"/>
        </w:rPr>
        <w:t>(04)</w:t>
      </w:r>
      <w:r w:rsidR="00BF5244" w:rsidRPr="00F55BA6">
        <w:rPr>
          <w:rFonts w:asciiTheme="majorHAnsi" w:eastAsia="Times New Roman" w:hAnsiTheme="majorHAnsi" w:cstheme="majorHAnsi"/>
          <w:b/>
          <w:color w:val="000000" w:themeColor="text1"/>
          <w:sz w:val="24"/>
          <w:szCs w:val="24"/>
          <w:lang w:val="ro-RO"/>
        </w:rPr>
        <w:t xml:space="preserve">, </w:t>
      </w:r>
      <w:r w:rsidRPr="00F55BA6">
        <w:rPr>
          <w:rFonts w:asciiTheme="majorHAnsi" w:eastAsia="Times New Roman" w:hAnsiTheme="majorHAnsi" w:cstheme="majorHAnsi"/>
          <w:b/>
          <w:color w:val="000000" w:themeColor="text1"/>
          <w:sz w:val="24"/>
          <w:szCs w:val="24"/>
          <w:lang w:val="ro-RO"/>
        </w:rPr>
        <w:t xml:space="preserve">din </w:t>
      </w:r>
      <w:r w:rsidR="00BF5244" w:rsidRPr="00F55BA6">
        <w:rPr>
          <w:rFonts w:asciiTheme="majorHAnsi" w:eastAsia="Times New Roman" w:hAnsiTheme="majorHAnsi" w:cstheme="majorHAnsi"/>
          <w:b/>
          <w:color w:val="000000" w:themeColor="text1"/>
          <w:sz w:val="24"/>
          <w:szCs w:val="24"/>
          <w:lang w:val="ro-RO"/>
        </w:rPr>
        <w:t>care</w:t>
      </w:r>
      <w:r w:rsidR="00AF60E3" w:rsidRPr="00F55BA6">
        <w:rPr>
          <w:rFonts w:asciiTheme="majorHAnsi" w:eastAsia="Times New Roman" w:hAnsiTheme="majorHAnsi" w:cstheme="majorHAnsi"/>
          <w:b/>
          <w:color w:val="000000" w:themeColor="text1"/>
          <w:sz w:val="24"/>
          <w:szCs w:val="24"/>
          <w:lang w:val="ro-RO"/>
        </w:rPr>
        <w:t>:</w:t>
      </w:r>
      <w:r w:rsidR="00BF5244" w:rsidRPr="00F55BA6">
        <w:rPr>
          <w:rFonts w:asciiTheme="majorHAnsi" w:eastAsia="Times New Roman" w:hAnsiTheme="majorHAnsi" w:cstheme="majorHAnsi"/>
          <w:b/>
          <w:color w:val="000000" w:themeColor="text1"/>
          <w:sz w:val="24"/>
          <w:szCs w:val="24"/>
          <w:lang w:val="ro-RO"/>
        </w:rPr>
        <w:t xml:space="preserve"> </w:t>
      </w:r>
      <w:r w:rsidR="0022544E" w:rsidRPr="00F55BA6">
        <w:rPr>
          <w:rFonts w:asciiTheme="majorHAnsi" w:eastAsia="Times New Roman" w:hAnsiTheme="majorHAnsi" w:cstheme="majorHAnsi"/>
          <w:b/>
          <w:color w:val="000000" w:themeColor="text1"/>
          <w:sz w:val="24"/>
          <w:szCs w:val="24"/>
          <w:lang w:val="ro-RO"/>
        </w:rPr>
        <w:t>pentru susținerea întreprinderilor mici și mijlocii</w:t>
      </w:r>
      <w:r w:rsidR="00BF5244" w:rsidRPr="00F55BA6">
        <w:rPr>
          <w:rFonts w:asciiTheme="majorHAnsi" w:eastAsia="Times New Roman" w:hAnsiTheme="majorHAnsi" w:cstheme="majorHAnsi"/>
          <w:b/>
          <w:color w:val="000000" w:themeColor="text1"/>
          <w:sz w:val="24"/>
          <w:szCs w:val="24"/>
          <w:lang w:val="ro-RO"/>
        </w:rPr>
        <w:t xml:space="preserve"> </w:t>
      </w:r>
      <w:r w:rsidR="00AF60E3" w:rsidRPr="00F55BA6">
        <w:rPr>
          <w:rFonts w:asciiTheme="majorHAnsi" w:eastAsia="Times New Roman" w:hAnsiTheme="majorHAnsi" w:cstheme="majorHAnsi"/>
          <w:b/>
          <w:color w:val="000000" w:themeColor="text1"/>
          <w:sz w:val="24"/>
          <w:szCs w:val="24"/>
          <w:lang w:val="ro-RO"/>
        </w:rPr>
        <w:t xml:space="preserve">– </w:t>
      </w:r>
      <w:r w:rsidR="00BF5244" w:rsidRPr="00F55BA6">
        <w:rPr>
          <w:rFonts w:asciiTheme="majorHAnsi" w:eastAsia="Times New Roman" w:hAnsiTheme="majorHAnsi" w:cstheme="majorHAnsi"/>
          <w:b/>
          <w:color w:val="000000" w:themeColor="text1"/>
          <w:sz w:val="24"/>
          <w:szCs w:val="24"/>
          <w:lang w:val="ro-RO"/>
        </w:rPr>
        <w:t>42,9 mil. lei</w:t>
      </w:r>
      <w:r w:rsidR="00AF60E3" w:rsidRPr="00F55BA6">
        <w:rPr>
          <w:rFonts w:asciiTheme="majorHAnsi" w:eastAsia="Times New Roman" w:hAnsiTheme="majorHAnsi" w:cstheme="majorHAnsi"/>
          <w:b/>
          <w:color w:val="000000" w:themeColor="text1"/>
          <w:sz w:val="24"/>
          <w:szCs w:val="24"/>
          <w:lang w:val="ro-RO"/>
        </w:rPr>
        <w:t>,</w:t>
      </w:r>
      <w:r w:rsidR="00BF5244" w:rsidRPr="00F55BA6">
        <w:rPr>
          <w:rFonts w:asciiTheme="majorHAnsi" w:eastAsia="Times New Roman" w:hAnsiTheme="majorHAnsi" w:cstheme="majorHAnsi"/>
          <w:b/>
          <w:color w:val="000000" w:themeColor="text1"/>
          <w:sz w:val="24"/>
          <w:szCs w:val="24"/>
          <w:lang w:val="ro-RO"/>
        </w:rPr>
        <w:t xml:space="preserve"> și pentru dezvoltarea drumurilor </w:t>
      </w:r>
      <w:r w:rsidR="00AF60E3" w:rsidRPr="00F55BA6">
        <w:rPr>
          <w:rFonts w:asciiTheme="majorHAnsi" w:eastAsia="Times New Roman" w:hAnsiTheme="majorHAnsi" w:cstheme="majorHAnsi"/>
          <w:b/>
          <w:color w:val="000000" w:themeColor="text1"/>
          <w:sz w:val="24"/>
          <w:szCs w:val="24"/>
          <w:lang w:val="ro-RO"/>
        </w:rPr>
        <w:t xml:space="preserve">– </w:t>
      </w:r>
      <w:r w:rsidR="00BF5244" w:rsidRPr="00F55BA6">
        <w:rPr>
          <w:rFonts w:asciiTheme="majorHAnsi" w:eastAsia="Times New Roman" w:hAnsiTheme="majorHAnsi" w:cstheme="majorHAnsi"/>
          <w:b/>
          <w:color w:val="000000" w:themeColor="text1"/>
          <w:sz w:val="24"/>
          <w:szCs w:val="24"/>
          <w:lang w:val="ro-RO"/>
        </w:rPr>
        <w:t>1 021,9 mil. lei</w:t>
      </w:r>
      <w:r w:rsidRPr="00F55BA6">
        <w:rPr>
          <w:rFonts w:asciiTheme="majorHAnsi" w:eastAsia="Times New Roman" w:hAnsiTheme="majorHAnsi" w:cstheme="majorHAnsi"/>
          <w:b/>
          <w:color w:val="000000" w:themeColor="text1"/>
          <w:sz w:val="24"/>
          <w:szCs w:val="24"/>
          <w:lang w:val="ro-RO"/>
        </w:rPr>
        <w:t xml:space="preserve">. Auditul menționează </w:t>
      </w:r>
      <w:r w:rsidRPr="00F55BA6">
        <w:rPr>
          <w:rFonts w:asciiTheme="majorHAnsi" w:eastAsia="Times New Roman" w:hAnsiTheme="majorHAnsi" w:cstheme="majorHAnsi"/>
          <w:b/>
          <w:color w:val="000000" w:themeColor="text1"/>
          <w:sz w:val="24"/>
          <w:szCs w:val="24"/>
          <w:lang w:val="ro-RO"/>
        </w:rPr>
        <w:lastRenderedPageBreak/>
        <w:t>că, deși aceste</w:t>
      </w:r>
      <w:r w:rsidR="00AF3088" w:rsidRPr="00F55BA6">
        <w:rPr>
          <w:rFonts w:asciiTheme="majorHAnsi" w:eastAsia="Times New Roman" w:hAnsiTheme="majorHAnsi" w:cstheme="majorHAnsi"/>
          <w:b/>
          <w:color w:val="000000" w:themeColor="text1"/>
          <w:sz w:val="24"/>
          <w:szCs w:val="24"/>
          <w:lang w:val="ro-RO"/>
        </w:rPr>
        <w:t xml:space="preserve"> </w:t>
      </w:r>
      <w:r w:rsidRPr="00F55BA6">
        <w:rPr>
          <w:rFonts w:asciiTheme="majorHAnsi" w:eastAsia="Times New Roman" w:hAnsiTheme="majorHAnsi" w:cstheme="majorHAnsi"/>
          <w:b/>
          <w:color w:val="000000" w:themeColor="text1"/>
          <w:sz w:val="24"/>
          <w:szCs w:val="24"/>
          <w:lang w:val="ro-RO"/>
        </w:rPr>
        <w:t xml:space="preserve">programe/subprograme se regăsesc </w:t>
      </w:r>
      <w:r w:rsidR="00324C57" w:rsidRPr="00F55BA6">
        <w:rPr>
          <w:rFonts w:asciiTheme="majorHAnsi" w:eastAsia="Times New Roman" w:hAnsiTheme="majorHAnsi" w:cstheme="majorHAnsi"/>
          <w:b/>
          <w:color w:val="000000" w:themeColor="text1"/>
          <w:sz w:val="24"/>
          <w:szCs w:val="24"/>
          <w:lang w:val="ro-RO"/>
        </w:rPr>
        <w:t xml:space="preserve">și </w:t>
      </w:r>
      <w:r w:rsidR="00097B27" w:rsidRPr="00F55BA6">
        <w:rPr>
          <w:rFonts w:asciiTheme="majorHAnsi" w:eastAsia="Times New Roman" w:hAnsiTheme="majorHAnsi" w:cstheme="majorHAnsi"/>
          <w:b/>
          <w:color w:val="000000" w:themeColor="text1"/>
          <w:sz w:val="24"/>
          <w:szCs w:val="24"/>
          <w:lang w:val="ro-RO"/>
        </w:rPr>
        <w:t>în bugetul</w:t>
      </w:r>
      <w:r w:rsidR="00AF3088" w:rsidRPr="00F55BA6">
        <w:rPr>
          <w:rFonts w:asciiTheme="majorHAnsi" w:eastAsia="Times New Roman" w:hAnsiTheme="majorHAnsi" w:cstheme="majorHAnsi"/>
          <w:b/>
          <w:color w:val="000000" w:themeColor="text1"/>
          <w:sz w:val="24"/>
          <w:szCs w:val="24"/>
          <w:lang w:val="ro-RO"/>
        </w:rPr>
        <w:t xml:space="preserve"> </w:t>
      </w:r>
      <w:r w:rsidR="00994B46" w:rsidRPr="00F55BA6">
        <w:rPr>
          <w:rFonts w:asciiTheme="majorHAnsi" w:eastAsia="Times New Roman" w:hAnsiTheme="majorHAnsi" w:cstheme="majorHAnsi"/>
          <w:b/>
          <w:color w:val="000000" w:themeColor="text1"/>
          <w:sz w:val="24"/>
          <w:szCs w:val="24"/>
          <w:lang w:val="ro-RO"/>
        </w:rPr>
        <w:t>MEI</w:t>
      </w:r>
      <w:r w:rsidRPr="00F55BA6">
        <w:rPr>
          <w:rFonts w:asciiTheme="majorHAnsi" w:eastAsia="Times New Roman" w:hAnsiTheme="majorHAnsi" w:cstheme="majorHAnsi"/>
          <w:b/>
          <w:color w:val="000000" w:themeColor="text1"/>
          <w:sz w:val="24"/>
          <w:szCs w:val="24"/>
          <w:lang w:val="ro-RO"/>
        </w:rPr>
        <w:t>,</w:t>
      </w:r>
      <w:r w:rsidR="00FC291C" w:rsidRPr="00F55BA6">
        <w:rPr>
          <w:rFonts w:asciiTheme="majorHAnsi" w:eastAsia="Times New Roman" w:hAnsiTheme="majorHAnsi" w:cstheme="majorHAnsi"/>
          <w:b/>
          <w:color w:val="000000" w:themeColor="text1"/>
          <w:sz w:val="24"/>
          <w:szCs w:val="24"/>
          <w:lang w:val="ro-RO"/>
        </w:rPr>
        <w:t xml:space="preserve"> </w:t>
      </w:r>
      <w:r w:rsidRPr="00F55BA6">
        <w:rPr>
          <w:rFonts w:asciiTheme="majorHAnsi" w:eastAsia="Times New Roman" w:hAnsiTheme="majorHAnsi" w:cstheme="majorHAnsi"/>
          <w:b/>
          <w:color w:val="000000" w:themeColor="text1"/>
          <w:sz w:val="24"/>
          <w:szCs w:val="24"/>
          <w:lang w:val="ro-RO"/>
        </w:rPr>
        <w:t xml:space="preserve">finanțarea/alocarea </w:t>
      </w:r>
      <w:r w:rsidR="00324C57" w:rsidRPr="00F55BA6">
        <w:rPr>
          <w:rFonts w:asciiTheme="majorHAnsi" w:eastAsia="Times New Roman" w:hAnsiTheme="majorHAnsi" w:cstheme="majorHAnsi"/>
          <w:b/>
          <w:color w:val="000000" w:themeColor="text1"/>
          <w:sz w:val="24"/>
          <w:szCs w:val="24"/>
          <w:lang w:val="ro-RO"/>
        </w:rPr>
        <w:t>resurse</w:t>
      </w:r>
      <w:r w:rsidR="001A7BCE" w:rsidRPr="00F55BA6">
        <w:rPr>
          <w:rFonts w:asciiTheme="majorHAnsi" w:eastAsia="Times New Roman" w:hAnsiTheme="majorHAnsi" w:cstheme="majorHAnsi"/>
          <w:b/>
          <w:color w:val="000000" w:themeColor="text1"/>
          <w:sz w:val="24"/>
          <w:szCs w:val="24"/>
          <w:lang w:val="ro-RO"/>
        </w:rPr>
        <w:t>lor</w:t>
      </w:r>
      <w:r w:rsidRPr="00F55BA6">
        <w:rPr>
          <w:rFonts w:asciiTheme="majorHAnsi" w:eastAsia="Times New Roman" w:hAnsiTheme="majorHAnsi" w:cstheme="majorHAnsi"/>
          <w:b/>
          <w:color w:val="000000" w:themeColor="text1"/>
          <w:sz w:val="24"/>
          <w:szCs w:val="24"/>
          <w:lang w:val="ro-RO"/>
        </w:rPr>
        <w:t xml:space="preserve"> financiare a </w:t>
      </w:r>
      <w:r w:rsidR="001A7BCE" w:rsidRPr="00F55BA6">
        <w:rPr>
          <w:rFonts w:asciiTheme="majorHAnsi" w:eastAsia="Times New Roman" w:hAnsiTheme="majorHAnsi" w:cstheme="majorHAnsi"/>
          <w:b/>
          <w:color w:val="000000" w:themeColor="text1"/>
          <w:sz w:val="24"/>
          <w:szCs w:val="24"/>
          <w:lang w:val="ro-RO"/>
        </w:rPr>
        <w:t xml:space="preserve">fost </w:t>
      </w:r>
      <w:r w:rsidRPr="00F55BA6">
        <w:rPr>
          <w:rFonts w:asciiTheme="majorHAnsi" w:eastAsia="Times New Roman" w:hAnsiTheme="majorHAnsi" w:cstheme="majorHAnsi"/>
          <w:b/>
          <w:color w:val="000000" w:themeColor="text1"/>
          <w:sz w:val="24"/>
          <w:szCs w:val="24"/>
          <w:lang w:val="ro-RO"/>
        </w:rPr>
        <w:t>exercitat</w:t>
      </w:r>
      <w:r w:rsidR="001A7BCE" w:rsidRPr="00F55BA6">
        <w:rPr>
          <w:rFonts w:asciiTheme="majorHAnsi" w:eastAsia="Times New Roman" w:hAnsiTheme="majorHAnsi" w:cstheme="majorHAnsi"/>
          <w:b/>
          <w:color w:val="000000" w:themeColor="text1"/>
          <w:sz w:val="24"/>
          <w:szCs w:val="24"/>
          <w:lang w:val="ro-RO"/>
        </w:rPr>
        <w:t>ă</w:t>
      </w:r>
      <w:r w:rsidRPr="00F55BA6">
        <w:rPr>
          <w:rFonts w:asciiTheme="majorHAnsi" w:eastAsia="Times New Roman" w:hAnsiTheme="majorHAnsi" w:cstheme="majorHAnsi"/>
          <w:b/>
          <w:color w:val="000000" w:themeColor="text1"/>
          <w:sz w:val="24"/>
          <w:szCs w:val="24"/>
          <w:lang w:val="ro-RO"/>
        </w:rPr>
        <w:t xml:space="preserve"> </w:t>
      </w:r>
      <w:r w:rsidR="00FC291C" w:rsidRPr="00F55BA6">
        <w:rPr>
          <w:rFonts w:asciiTheme="majorHAnsi" w:eastAsia="Times New Roman" w:hAnsiTheme="majorHAnsi" w:cstheme="majorHAnsi"/>
          <w:b/>
          <w:color w:val="000000" w:themeColor="text1"/>
          <w:sz w:val="24"/>
          <w:szCs w:val="24"/>
          <w:lang w:val="ro-RO"/>
        </w:rPr>
        <w:t>beneficiarilor</w:t>
      </w:r>
      <w:r w:rsidR="001A7BCE" w:rsidRPr="00F55BA6">
        <w:rPr>
          <w:rFonts w:asciiTheme="majorHAnsi" w:eastAsia="Times New Roman" w:hAnsiTheme="majorHAnsi" w:cstheme="majorHAnsi"/>
          <w:b/>
          <w:color w:val="000000" w:themeColor="text1"/>
          <w:sz w:val="24"/>
          <w:szCs w:val="24"/>
          <w:lang w:val="ro-RO"/>
        </w:rPr>
        <w:t xml:space="preserve"> </w:t>
      </w:r>
      <w:r w:rsidR="00097B27" w:rsidRPr="00F55BA6">
        <w:rPr>
          <w:rFonts w:asciiTheme="majorHAnsi" w:eastAsia="Times New Roman" w:hAnsiTheme="majorHAnsi" w:cstheme="majorHAnsi"/>
          <w:b/>
          <w:color w:val="000000" w:themeColor="text1"/>
          <w:sz w:val="24"/>
          <w:szCs w:val="24"/>
          <w:lang w:val="ro-RO"/>
        </w:rPr>
        <w:t xml:space="preserve">direct </w:t>
      </w:r>
      <w:r w:rsidR="001A7BCE" w:rsidRPr="00F55BA6">
        <w:rPr>
          <w:rFonts w:asciiTheme="majorHAnsi" w:eastAsia="Times New Roman" w:hAnsiTheme="majorHAnsi" w:cstheme="majorHAnsi"/>
          <w:b/>
          <w:color w:val="000000" w:themeColor="text1"/>
          <w:sz w:val="24"/>
          <w:szCs w:val="24"/>
          <w:lang w:val="ro-RO"/>
        </w:rPr>
        <w:t>de către MF</w:t>
      </w:r>
      <w:r w:rsidR="001A7BCE" w:rsidRPr="00F55BA6">
        <w:rPr>
          <w:rFonts w:asciiTheme="majorHAnsi" w:eastAsia="Times New Roman" w:hAnsiTheme="majorHAnsi" w:cstheme="majorHAnsi"/>
          <w:b/>
          <w:sz w:val="24"/>
          <w:szCs w:val="24"/>
          <w:lang w:val="ro-RO"/>
        </w:rPr>
        <w:t>.</w:t>
      </w:r>
    </w:p>
    <w:p w:rsidR="00041A2F" w:rsidRPr="00F55BA6" w:rsidRDefault="00733853" w:rsidP="00994197">
      <w:pPr>
        <w:tabs>
          <w:tab w:val="left" w:pos="142"/>
          <w:tab w:val="left" w:pos="993"/>
        </w:tabs>
        <w:spacing w:after="0" w:line="276" w:lineRule="auto"/>
        <w:contextualSpacing/>
        <w:rPr>
          <w:rFonts w:asciiTheme="majorHAnsi" w:hAnsiTheme="majorHAnsi" w:cstheme="majorHAnsi"/>
          <w:sz w:val="24"/>
          <w:szCs w:val="24"/>
          <w:lang w:val="ro-RO"/>
        </w:rPr>
      </w:pPr>
      <w:r w:rsidRPr="00F55BA6">
        <w:rPr>
          <w:rFonts w:asciiTheme="majorHAnsi" w:hAnsiTheme="majorHAnsi" w:cstheme="majorHAnsi"/>
          <w:b/>
          <w:sz w:val="24"/>
          <w:szCs w:val="24"/>
          <w:lang w:val="ro-RO"/>
        </w:rPr>
        <w:t>3.2.1</w:t>
      </w:r>
      <w:r w:rsidRPr="00F55BA6">
        <w:rPr>
          <w:rFonts w:asciiTheme="majorHAnsi" w:hAnsiTheme="majorHAnsi" w:cstheme="majorHAnsi"/>
          <w:sz w:val="24"/>
          <w:szCs w:val="24"/>
          <w:lang w:val="ro-RO"/>
        </w:rPr>
        <w:t xml:space="preserve"> </w:t>
      </w:r>
      <w:r w:rsidR="00855D55" w:rsidRPr="00F55BA6">
        <w:rPr>
          <w:rFonts w:asciiTheme="majorHAnsi" w:hAnsiTheme="majorHAnsi" w:cstheme="majorHAnsi"/>
          <w:sz w:val="24"/>
          <w:szCs w:val="24"/>
          <w:lang w:val="ro-RO"/>
        </w:rPr>
        <w:t>Astfel, c</w:t>
      </w:r>
      <w:r w:rsidR="00BD4716" w:rsidRPr="00F55BA6">
        <w:rPr>
          <w:rFonts w:asciiTheme="majorHAnsi" w:hAnsiTheme="majorHAnsi" w:cstheme="majorHAnsi"/>
          <w:sz w:val="24"/>
          <w:szCs w:val="24"/>
          <w:lang w:val="ro-RO"/>
        </w:rPr>
        <w:t xml:space="preserve">onform Legii BS pentru anul 2020, </w:t>
      </w:r>
      <w:r w:rsidR="00BD4716" w:rsidRPr="00F55BA6">
        <w:rPr>
          <w:rFonts w:asciiTheme="majorHAnsi" w:eastAsia="Times New Roman" w:hAnsiTheme="majorHAnsi" w:cstheme="majorHAnsi"/>
          <w:color w:val="000000" w:themeColor="text1"/>
          <w:sz w:val="24"/>
          <w:szCs w:val="24"/>
          <w:lang w:val="ro-RO"/>
        </w:rPr>
        <w:t xml:space="preserve">pentru susținerea întreprinderilor mici și mijlocii </w:t>
      </w:r>
      <w:r w:rsidR="00097B27" w:rsidRPr="00F55BA6">
        <w:rPr>
          <w:rFonts w:asciiTheme="majorHAnsi" w:eastAsia="Times New Roman" w:hAnsiTheme="majorHAnsi" w:cstheme="majorHAnsi"/>
          <w:color w:val="000000" w:themeColor="text1"/>
          <w:sz w:val="24"/>
          <w:szCs w:val="24"/>
          <w:lang w:val="ro-RO"/>
        </w:rPr>
        <w:t xml:space="preserve">inițial </w:t>
      </w:r>
      <w:r w:rsidR="00BD4716" w:rsidRPr="00F55BA6">
        <w:rPr>
          <w:rFonts w:asciiTheme="majorHAnsi" w:hAnsiTheme="majorHAnsi" w:cstheme="majorHAnsi"/>
          <w:sz w:val="24"/>
          <w:szCs w:val="24"/>
          <w:lang w:val="ro-RO"/>
        </w:rPr>
        <w:t>au fost aprobate alocații de 82,8 mil. lei,</w:t>
      </w:r>
      <w:r w:rsidR="00B93971" w:rsidRPr="00F55BA6">
        <w:rPr>
          <w:rFonts w:asciiTheme="majorHAnsi" w:hAnsiTheme="majorHAnsi" w:cstheme="majorHAnsi"/>
          <w:sz w:val="24"/>
          <w:szCs w:val="24"/>
          <w:lang w:val="ro-RO"/>
        </w:rPr>
        <w:t xml:space="preserve"> </w:t>
      </w:r>
      <w:r w:rsidR="00A40AC2" w:rsidRPr="00F55BA6">
        <w:rPr>
          <w:rFonts w:asciiTheme="majorHAnsi" w:hAnsiTheme="majorHAnsi" w:cstheme="majorHAnsi"/>
          <w:sz w:val="24"/>
          <w:szCs w:val="24"/>
          <w:lang w:val="ro-RO"/>
        </w:rPr>
        <w:t xml:space="preserve">fiind diminuate prin rectificare </w:t>
      </w:r>
      <w:r w:rsidR="00BD4716" w:rsidRPr="00F55BA6">
        <w:rPr>
          <w:rFonts w:asciiTheme="majorHAnsi" w:hAnsiTheme="majorHAnsi" w:cstheme="majorHAnsi"/>
          <w:sz w:val="24"/>
          <w:szCs w:val="24"/>
          <w:lang w:val="ro-RO"/>
        </w:rPr>
        <w:t>până la 42,9 mil. lei</w:t>
      </w:r>
      <w:r w:rsidR="00A40AC2" w:rsidRPr="00F55BA6">
        <w:rPr>
          <w:rFonts w:asciiTheme="majorHAnsi" w:hAnsiTheme="majorHAnsi" w:cstheme="majorHAnsi"/>
          <w:sz w:val="24"/>
          <w:szCs w:val="24"/>
          <w:lang w:val="ro-RO"/>
        </w:rPr>
        <w:t>,</w:t>
      </w:r>
      <w:r w:rsidR="00BD4716" w:rsidRPr="00F55BA6">
        <w:rPr>
          <w:rFonts w:asciiTheme="majorHAnsi" w:hAnsiTheme="majorHAnsi" w:cstheme="majorHAnsi"/>
          <w:sz w:val="24"/>
          <w:szCs w:val="24"/>
          <w:lang w:val="ro-RO"/>
        </w:rPr>
        <w:t xml:space="preserve"> </w:t>
      </w:r>
      <w:r w:rsidR="00AC5D29" w:rsidRPr="00F55BA6">
        <w:rPr>
          <w:rFonts w:asciiTheme="majorHAnsi" w:hAnsiTheme="majorHAnsi" w:cstheme="majorHAnsi"/>
          <w:sz w:val="24"/>
          <w:szCs w:val="24"/>
          <w:lang w:val="ro-RO"/>
        </w:rPr>
        <w:t>fiind</w:t>
      </w:r>
      <w:r w:rsidR="00BD4716" w:rsidRPr="00F55BA6">
        <w:rPr>
          <w:rFonts w:asciiTheme="majorHAnsi" w:hAnsiTheme="majorHAnsi" w:cstheme="majorHAnsi"/>
          <w:sz w:val="24"/>
          <w:szCs w:val="24"/>
          <w:lang w:val="ro-RO"/>
        </w:rPr>
        <w:t xml:space="preserve"> executate 21,2 mil. lei</w:t>
      </w:r>
      <w:r w:rsidR="00097B27" w:rsidRPr="00F55BA6">
        <w:rPr>
          <w:rFonts w:asciiTheme="majorHAnsi" w:hAnsiTheme="majorHAnsi" w:cstheme="majorHAnsi"/>
          <w:sz w:val="24"/>
          <w:szCs w:val="24"/>
          <w:lang w:val="ro-RO"/>
        </w:rPr>
        <w:t>,</w:t>
      </w:r>
      <w:r w:rsidR="009A2A43" w:rsidRPr="00F55BA6">
        <w:rPr>
          <w:rFonts w:asciiTheme="majorHAnsi" w:hAnsiTheme="majorHAnsi" w:cstheme="majorHAnsi"/>
          <w:sz w:val="24"/>
          <w:szCs w:val="24"/>
          <w:lang w:val="ro-RO"/>
        </w:rPr>
        <w:t xml:space="preserve"> sau 49,4%</w:t>
      </w:r>
      <w:r w:rsidR="00A40AC2" w:rsidRPr="00F55BA6">
        <w:rPr>
          <w:rFonts w:asciiTheme="majorHAnsi" w:hAnsiTheme="majorHAnsi" w:cstheme="majorHAnsi"/>
          <w:sz w:val="24"/>
          <w:szCs w:val="24"/>
          <w:lang w:val="ro-RO"/>
        </w:rPr>
        <w:t>. Potrivit motivației MF</w:t>
      </w:r>
      <w:r w:rsidR="008647B2" w:rsidRPr="00F55BA6">
        <w:rPr>
          <w:rFonts w:asciiTheme="majorHAnsi" w:hAnsiTheme="majorHAnsi" w:cstheme="majorHAnsi"/>
          <w:sz w:val="24"/>
          <w:szCs w:val="24"/>
          <w:lang w:val="ro-RO"/>
        </w:rPr>
        <w:t>,</w:t>
      </w:r>
      <w:r w:rsidR="00723F9F" w:rsidRPr="00F55BA6">
        <w:rPr>
          <w:rFonts w:asciiTheme="majorHAnsi" w:hAnsiTheme="majorHAnsi" w:cstheme="majorHAnsi"/>
          <w:sz w:val="24"/>
          <w:szCs w:val="24"/>
          <w:lang w:val="ro-RO"/>
        </w:rPr>
        <w:t xml:space="preserve"> neexecutarea alocațiilor a fost condiționată de faptul că</w:t>
      </w:r>
      <w:r w:rsidR="00BD4716" w:rsidRPr="00F55BA6">
        <w:rPr>
          <w:rFonts w:asciiTheme="majorHAnsi" w:hAnsiTheme="majorHAnsi" w:cstheme="majorHAnsi"/>
          <w:sz w:val="24"/>
          <w:szCs w:val="24"/>
          <w:lang w:val="ro-RO"/>
        </w:rPr>
        <w:t xml:space="preserve"> nu au fost depuse cereri de achitare a subvenției</w:t>
      </w:r>
      <w:r w:rsidR="00DC343B" w:rsidRPr="00F55BA6">
        <w:rPr>
          <w:rFonts w:asciiTheme="majorHAnsi" w:hAnsiTheme="majorHAnsi" w:cstheme="majorHAnsi"/>
          <w:sz w:val="24"/>
          <w:szCs w:val="24"/>
          <w:lang w:val="ro-RO"/>
        </w:rPr>
        <w:t>. În acest context</w:t>
      </w:r>
      <w:r w:rsidR="00097B27" w:rsidRPr="00F55BA6">
        <w:rPr>
          <w:rFonts w:asciiTheme="majorHAnsi" w:hAnsiTheme="majorHAnsi" w:cstheme="majorHAnsi"/>
          <w:sz w:val="24"/>
          <w:szCs w:val="24"/>
          <w:lang w:val="ro-RO"/>
        </w:rPr>
        <w:t>,</w:t>
      </w:r>
      <w:r w:rsidR="00DC343B" w:rsidRPr="00F55BA6">
        <w:rPr>
          <w:rFonts w:asciiTheme="majorHAnsi" w:hAnsiTheme="majorHAnsi" w:cstheme="majorHAnsi"/>
          <w:sz w:val="24"/>
          <w:szCs w:val="24"/>
          <w:lang w:val="ro-RO"/>
        </w:rPr>
        <w:t xml:space="preserve"> auditul atestă că, c</w:t>
      </w:r>
      <w:r w:rsidR="00BD4716" w:rsidRPr="00F55BA6">
        <w:rPr>
          <w:rFonts w:asciiTheme="majorHAnsi" w:hAnsiTheme="majorHAnsi" w:cstheme="majorHAnsi"/>
          <w:sz w:val="24"/>
          <w:szCs w:val="24"/>
          <w:lang w:val="ro-RO"/>
        </w:rPr>
        <w:t>onform HG nr.1145 din 20.12.2017</w:t>
      </w:r>
      <w:r w:rsidR="00BD4716" w:rsidRPr="00F55BA6">
        <w:rPr>
          <w:rStyle w:val="ac"/>
          <w:rFonts w:asciiTheme="majorHAnsi" w:hAnsiTheme="majorHAnsi" w:cstheme="majorHAnsi"/>
          <w:sz w:val="24"/>
          <w:szCs w:val="24"/>
          <w:lang w:val="ro-RO"/>
        </w:rPr>
        <w:footnoteReference w:id="5"/>
      </w:r>
      <w:r w:rsidR="00097B27" w:rsidRPr="00F55BA6">
        <w:rPr>
          <w:rFonts w:asciiTheme="majorHAnsi" w:hAnsiTheme="majorHAnsi" w:cstheme="majorHAnsi"/>
          <w:sz w:val="24"/>
          <w:szCs w:val="24"/>
          <w:lang w:val="ro-RO"/>
        </w:rPr>
        <w:t>,</w:t>
      </w:r>
      <w:r w:rsidR="00BD4716" w:rsidRPr="00F55BA6">
        <w:rPr>
          <w:rFonts w:asciiTheme="majorHAnsi" w:hAnsiTheme="majorHAnsi" w:cstheme="majorHAnsi"/>
          <w:sz w:val="24"/>
          <w:szCs w:val="24"/>
          <w:lang w:val="ro-RO"/>
        </w:rPr>
        <w:t xml:space="preserve"> MF</w:t>
      </w:r>
      <w:r w:rsidR="00097B27" w:rsidRPr="00F55BA6">
        <w:rPr>
          <w:rFonts w:asciiTheme="majorHAnsi" w:hAnsiTheme="majorHAnsi" w:cstheme="majorHAnsi"/>
          <w:sz w:val="24"/>
          <w:szCs w:val="24"/>
          <w:lang w:val="ro-RO"/>
        </w:rPr>
        <w:t>,</w:t>
      </w:r>
      <w:r w:rsidR="00BD4716" w:rsidRPr="00F55BA6">
        <w:rPr>
          <w:rFonts w:asciiTheme="majorHAnsi" w:hAnsiTheme="majorHAnsi" w:cstheme="majorHAnsi"/>
          <w:sz w:val="24"/>
          <w:szCs w:val="24"/>
          <w:lang w:val="ro-RO"/>
        </w:rPr>
        <w:t xml:space="preserve"> </w:t>
      </w:r>
      <w:r w:rsidR="00C52D8D" w:rsidRPr="00F55BA6">
        <w:rPr>
          <w:rFonts w:asciiTheme="majorHAnsi" w:hAnsiTheme="majorHAnsi" w:cstheme="majorHAnsi"/>
          <w:sz w:val="24"/>
          <w:szCs w:val="24"/>
          <w:lang w:val="ro-RO"/>
        </w:rPr>
        <w:t xml:space="preserve">la data de 29.12.2020, </w:t>
      </w:r>
      <w:r w:rsidR="00BD4716" w:rsidRPr="00F55BA6">
        <w:rPr>
          <w:rFonts w:asciiTheme="majorHAnsi" w:hAnsiTheme="majorHAnsi" w:cstheme="majorHAnsi"/>
          <w:sz w:val="24"/>
          <w:szCs w:val="24"/>
          <w:lang w:val="ro-RO"/>
        </w:rPr>
        <w:t xml:space="preserve">a </w:t>
      </w:r>
      <w:r w:rsidR="00074697" w:rsidRPr="00F55BA6">
        <w:rPr>
          <w:rFonts w:asciiTheme="majorHAnsi" w:hAnsiTheme="majorHAnsi" w:cstheme="majorHAnsi"/>
          <w:sz w:val="24"/>
          <w:szCs w:val="24"/>
          <w:lang w:val="ro-RO"/>
        </w:rPr>
        <w:t>transferat</w:t>
      </w:r>
      <w:r w:rsidR="00BD4716" w:rsidRPr="00F55BA6">
        <w:rPr>
          <w:rFonts w:asciiTheme="majorHAnsi" w:hAnsiTheme="majorHAnsi" w:cstheme="majorHAnsi"/>
          <w:sz w:val="24"/>
          <w:szCs w:val="24"/>
          <w:lang w:val="ro-RO"/>
        </w:rPr>
        <w:t xml:space="preserve"> 21,2 mil. lei întreprinderii </w:t>
      </w:r>
      <w:r w:rsidR="00491315" w:rsidRPr="00F55BA6">
        <w:rPr>
          <w:rFonts w:asciiTheme="majorHAnsi" w:eastAsia="Times New Roman" w:hAnsiTheme="majorHAnsi" w:cstheme="majorHAnsi"/>
          <w:sz w:val="24"/>
          <w:szCs w:val="24"/>
          <w:lang w:val="ro-RO"/>
        </w:rPr>
        <w:t xml:space="preserve">SE </w:t>
      </w:r>
      <w:r w:rsidR="00097B27" w:rsidRPr="00F55BA6">
        <w:rPr>
          <w:rFonts w:asciiTheme="majorHAnsi" w:eastAsia="Times New Roman" w:hAnsiTheme="majorHAnsi" w:cstheme="majorHAnsi"/>
          <w:sz w:val="24"/>
          <w:szCs w:val="24"/>
          <w:lang w:val="ro-RO"/>
        </w:rPr>
        <w:t>„</w:t>
      </w:r>
      <w:r w:rsidR="00491315" w:rsidRPr="00F55BA6">
        <w:rPr>
          <w:rFonts w:asciiTheme="majorHAnsi" w:eastAsia="Times New Roman" w:hAnsiTheme="majorHAnsi" w:cstheme="majorHAnsi"/>
          <w:sz w:val="24"/>
          <w:szCs w:val="24"/>
          <w:lang w:val="ro-RO"/>
        </w:rPr>
        <w:t>BORDNETZE” S.R.L.</w:t>
      </w:r>
      <w:r w:rsidR="00BD4716" w:rsidRPr="00F55BA6">
        <w:rPr>
          <w:rStyle w:val="ac"/>
          <w:rFonts w:asciiTheme="majorHAnsi" w:hAnsiTheme="majorHAnsi" w:cstheme="majorHAnsi"/>
          <w:sz w:val="24"/>
          <w:szCs w:val="24"/>
          <w:lang w:val="ro-RO"/>
        </w:rPr>
        <w:footnoteReference w:id="6"/>
      </w:r>
      <w:r w:rsidR="00097B27" w:rsidRPr="00F55BA6">
        <w:rPr>
          <w:rFonts w:asciiTheme="majorHAnsi" w:eastAsia="Times New Roman" w:hAnsiTheme="majorHAnsi" w:cstheme="majorHAnsi"/>
          <w:sz w:val="24"/>
          <w:szCs w:val="24"/>
          <w:lang w:val="ro-RO"/>
        </w:rPr>
        <w:t>,</w:t>
      </w:r>
      <w:r w:rsidR="00BD4716" w:rsidRPr="00F55BA6">
        <w:rPr>
          <w:rFonts w:asciiTheme="majorHAnsi" w:hAnsiTheme="majorHAnsi" w:cstheme="majorHAnsi"/>
          <w:sz w:val="24"/>
          <w:szCs w:val="24"/>
          <w:lang w:val="ro-RO"/>
        </w:rPr>
        <w:t xml:space="preserve"> </w:t>
      </w:r>
      <w:r w:rsidR="00BD4716" w:rsidRPr="00F55BA6">
        <w:rPr>
          <w:rFonts w:asciiTheme="majorHAnsi" w:eastAsia="Times New Roman" w:hAnsiTheme="majorHAnsi" w:cstheme="majorHAnsi"/>
          <w:sz w:val="24"/>
          <w:szCs w:val="24"/>
          <w:lang w:val="ro-RO"/>
        </w:rPr>
        <w:t xml:space="preserve">pentru subvenționarea creării locurilor de muncă </w:t>
      </w:r>
      <w:r w:rsidR="00097B27" w:rsidRPr="00F55BA6">
        <w:rPr>
          <w:rFonts w:asciiTheme="majorHAnsi" w:eastAsia="Times New Roman" w:hAnsiTheme="majorHAnsi" w:cstheme="majorHAnsi"/>
          <w:sz w:val="24"/>
          <w:szCs w:val="24"/>
          <w:lang w:val="ro-RO"/>
        </w:rPr>
        <w:t>destinate</w:t>
      </w:r>
      <w:r w:rsidR="00BD4716" w:rsidRPr="00F55BA6">
        <w:rPr>
          <w:rFonts w:asciiTheme="majorHAnsi" w:eastAsia="Times New Roman" w:hAnsiTheme="majorHAnsi" w:cstheme="majorHAnsi"/>
          <w:sz w:val="24"/>
          <w:szCs w:val="24"/>
          <w:lang w:val="ro-RO"/>
        </w:rPr>
        <w:t xml:space="preserve"> un</w:t>
      </w:r>
      <w:r w:rsidR="00097B27" w:rsidRPr="00F55BA6">
        <w:rPr>
          <w:rFonts w:asciiTheme="majorHAnsi" w:eastAsia="Times New Roman" w:hAnsiTheme="majorHAnsi" w:cstheme="majorHAnsi"/>
          <w:sz w:val="24"/>
          <w:szCs w:val="24"/>
          <w:lang w:val="ro-RO"/>
        </w:rPr>
        <w:t>or</w:t>
      </w:r>
      <w:r w:rsidR="00BD4716" w:rsidRPr="00F55BA6">
        <w:rPr>
          <w:rFonts w:asciiTheme="majorHAnsi" w:eastAsia="Times New Roman" w:hAnsiTheme="majorHAnsi" w:cstheme="majorHAnsi"/>
          <w:sz w:val="24"/>
          <w:szCs w:val="24"/>
          <w:lang w:val="ro-RO"/>
        </w:rPr>
        <w:t xml:space="preserve"> categorii de persoane cetățeni ai RM, în vederea relansării economiei naționale, inclusiv dezvoltării regionale și ajustării acesteia la condițiile pieței de muncă</w:t>
      </w:r>
      <w:r w:rsidR="003B4CB0" w:rsidRPr="00F55BA6">
        <w:rPr>
          <w:rStyle w:val="ac"/>
          <w:rFonts w:asciiTheme="majorHAnsi" w:eastAsia="Times New Roman" w:hAnsiTheme="majorHAnsi" w:cstheme="majorHAnsi"/>
          <w:sz w:val="24"/>
          <w:szCs w:val="24"/>
          <w:lang w:val="ro-RO"/>
        </w:rPr>
        <w:footnoteReference w:id="7"/>
      </w:r>
      <w:r w:rsidR="00B162F7" w:rsidRPr="00F55BA6">
        <w:rPr>
          <w:rFonts w:asciiTheme="majorHAnsi" w:eastAsia="Times New Roman" w:hAnsiTheme="majorHAnsi" w:cstheme="majorHAnsi"/>
          <w:sz w:val="24"/>
          <w:szCs w:val="24"/>
          <w:lang w:val="ro-RO"/>
        </w:rPr>
        <w:t xml:space="preserve">. </w:t>
      </w:r>
      <w:r w:rsidR="00097B27" w:rsidRPr="00F55BA6">
        <w:rPr>
          <w:rFonts w:asciiTheme="majorHAnsi" w:hAnsiTheme="majorHAnsi" w:cstheme="majorHAnsi"/>
          <w:sz w:val="24"/>
          <w:szCs w:val="24"/>
          <w:lang w:val="ro-RO"/>
        </w:rPr>
        <w:t xml:space="preserve">Potrivit </w:t>
      </w:r>
      <w:r w:rsidR="007F5044" w:rsidRPr="00F55BA6">
        <w:rPr>
          <w:rFonts w:asciiTheme="majorHAnsi" w:hAnsiTheme="majorHAnsi" w:cstheme="majorHAnsi"/>
          <w:sz w:val="24"/>
          <w:szCs w:val="24"/>
          <w:lang w:val="ro-RO"/>
        </w:rPr>
        <w:t>clauzelor contractuale</w:t>
      </w:r>
      <w:r w:rsidR="00097B27" w:rsidRPr="00F55BA6">
        <w:rPr>
          <w:rFonts w:asciiTheme="majorHAnsi" w:hAnsiTheme="majorHAnsi" w:cstheme="majorHAnsi"/>
          <w:sz w:val="24"/>
          <w:szCs w:val="24"/>
          <w:lang w:val="ro-RO"/>
        </w:rPr>
        <w:t>,</w:t>
      </w:r>
      <w:r w:rsidR="007F5044" w:rsidRPr="00F55BA6">
        <w:rPr>
          <w:rFonts w:asciiTheme="majorHAnsi" w:hAnsiTheme="majorHAnsi" w:cstheme="majorHAnsi"/>
          <w:sz w:val="24"/>
          <w:szCs w:val="24"/>
          <w:lang w:val="ro-RO"/>
        </w:rPr>
        <w:t xml:space="preserve"> întreprinderea este obligată să mențină numărul efectiv al salariaților, inclusiv al persoanelor subiecți ai subvenției, în decurs de cel puțin 3 ani de la ultima tranșă de plată a subvenției.</w:t>
      </w:r>
      <w:r w:rsidR="007F5044" w:rsidRPr="00F55BA6">
        <w:rPr>
          <w:rFonts w:asciiTheme="majorHAnsi" w:eastAsia="Times New Roman" w:hAnsiTheme="majorHAnsi" w:cstheme="majorHAnsi"/>
          <w:sz w:val="24"/>
          <w:szCs w:val="24"/>
          <w:lang w:val="ro-RO"/>
        </w:rPr>
        <w:t xml:space="preserve"> </w:t>
      </w:r>
      <w:r w:rsidR="00F133E9" w:rsidRPr="00F55BA6">
        <w:rPr>
          <w:rFonts w:asciiTheme="majorHAnsi" w:hAnsiTheme="majorHAnsi" w:cstheme="majorHAnsi"/>
          <w:sz w:val="24"/>
          <w:szCs w:val="24"/>
          <w:lang w:val="ro-RO"/>
        </w:rPr>
        <w:t xml:space="preserve">Respectarea condițiilor de eligibilitate și </w:t>
      </w:r>
      <w:r w:rsidR="00097B27" w:rsidRPr="00F55BA6">
        <w:rPr>
          <w:rFonts w:asciiTheme="majorHAnsi" w:hAnsiTheme="majorHAnsi" w:cstheme="majorHAnsi"/>
          <w:sz w:val="24"/>
          <w:szCs w:val="24"/>
          <w:lang w:val="ro-RO"/>
        </w:rPr>
        <w:t xml:space="preserve">a </w:t>
      </w:r>
      <w:r w:rsidR="00F133E9" w:rsidRPr="00F55BA6">
        <w:rPr>
          <w:rFonts w:asciiTheme="majorHAnsi" w:hAnsiTheme="majorHAnsi" w:cstheme="majorHAnsi"/>
          <w:sz w:val="24"/>
          <w:szCs w:val="24"/>
          <w:lang w:val="ro-RO"/>
        </w:rPr>
        <w:t>criteriilor de evaluare pentru anul 2019 a fost confirmat</w:t>
      </w:r>
      <w:r w:rsidR="00881B22">
        <w:rPr>
          <w:rFonts w:asciiTheme="majorHAnsi" w:hAnsiTheme="majorHAnsi" w:cstheme="majorHAnsi"/>
          <w:sz w:val="24"/>
          <w:szCs w:val="24"/>
          <w:lang w:val="ro-RO"/>
        </w:rPr>
        <w:t>ă</w:t>
      </w:r>
      <w:r w:rsidR="00F133E9" w:rsidRPr="00F55BA6">
        <w:rPr>
          <w:rFonts w:asciiTheme="majorHAnsi" w:hAnsiTheme="majorHAnsi" w:cstheme="majorHAnsi"/>
          <w:sz w:val="24"/>
          <w:szCs w:val="24"/>
          <w:lang w:val="ro-RO"/>
        </w:rPr>
        <w:t xml:space="preserve"> de către SFS</w:t>
      </w:r>
      <w:r w:rsidR="003B4CB0" w:rsidRPr="00F55BA6">
        <w:rPr>
          <w:rStyle w:val="ac"/>
          <w:rFonts w:asciiTheme="majorHAnsi" w:hAnsiTheme="majorHAnsi" w:cstheme="majorHAnsi"/>
          <w:sz w:val="24"/>
          <w:szCs w:val="24"/>
          <w:lang w:val="ro-RO"/>
        </w:rPr>
        <w:footnoteReference w:id="8"/>
      </w:r>
      <w:r w:rsidR="00BD4716" w:rsidRPr="00F55BA6">
        <w:rPr>
          <w:rFonts w:asciiTheme="majorHAnsi" w:hAnsiTheme="majorHAnsi" w:cstheme="majorHAnsi"/>
          <w:sz w:val="24"/>
          <w:szCs w:val="24"/>
          <w:lang w:val="ro-RO"/>
        </w:rPr>
        <w:t xml:space="preserve">. </w:t>
      </w:r>
      <w:r w:rsidR="003B4CB0" w:rsidRPr="00F55BA6">
        <w:rPr>
          <w:rFonts w:asciiTheme="majorHAnsi" w:hAnsiTheme="majorHAnsi" w:cstheme="majorHAnsi"/>
          <w:sz w:val="24"/>
          <w:szCs w:val="24"/>
          <w:lang w:val="ro-RO"/>
        </w:rPr>
        <w:t>Se menționează că, prin HG nr.940 din 22.12.2020</w:t>
      </w:r>
      <w:r w:rsidR="003B4CB0" w:rsidRPr="00F55BA6">
        <w:rPr>
          <w:rStyle w:val="ac"/>
          <w:rFonts w:asciiTheme="majorHAnsi" w:hAnsiTheme="majorHAnsi" w:cstheme="majorHAnsi"/>
          <w:sz w:val="24"/>
          <w:szCs w:val="24"/>
          <w:lang w:val="ro-RO"/>
        </w:rPr>
        <w:footnoteReference w:id="9"/>
      </w:r>
      <w:r w:rsidR="00097B27" w:rsidRPr="00F55BA6">
        <w:rPr>
          <w:rFonts w:asciiTheme="majorHAnsi" w:hAnsiTheme="majorHAnsi" w:cstheme="majorHAnsi"/>
          <w:sz w:val="24"/>
          <w:szCs w:val="24"/>
          <w:lang w:val="ro-RO"/>
        </w:rPr>
        <w:t>,</w:t>
      </w:r>
      <w:r w:rsidR="003B4CB0" w:rsidRPr="00F55BA6">
        <w:rPr>
          <w:rFonts w:asciiTheme="majorHAnsi" w:hAnsiTheme="majorHAnsi" w:cstheme="majorHAnsi"/>
          <w:sz w:val="24"/>
          <w:szCs w:val="24"/>
          <w:lang w:val="ro-RO"/>
        </w:rPr>
        <w:t xml:space="preserve"> a fost abrogată </w:t>
      </w:r>
      <w:r w:rsidR="00302607" w:rsidRPr="00F55BA6">
        <w:rPr>
          <w:rFonts w:asciiTheme="majorHAnsi" w:hAnsiTheme="majorHAnsi" w:cstheme="majorHAnsi"/>
          <w:sz w:val="24"/>
          <w:szCs w:val="24"/>
          <w:lang w:val="ro-RO"/>
        </w:rPr>
        <w:t>HG</w:t>
      </w:r>
      <w:r w:rsidR="008F077C" w:rsidRPr="00F55BA6">
        <w:rPr>
          <w:rFonts w:asciiTheme="majorHAnsi" w:hAnsiTheme="majorHAnsi" w:cstheme="majorHAnsi"/>
          <w:sz w:val="24"/>
          <w:szCs w:val="24"/>
          <w:lang w:val="ro-RO"/>
        </w:rPr>
        <w:t xml:space="preserve"> nr.</w:t>
      </w:r>
      <w:r w:rsidR="003B4CB0" w:rsidRPr="00F55BA6">
        <w:rPr>
          <w:rFonts w:asciiTheme="majorHAnsi" w:hAnsiTheme="majorHAnsi" w:cstheme="majorHAnsi"/>
          <w:sz w:val="24"/>
          <w:szCs w:val="24"/>
          <w:lang w:val="ro-RO"/>
        </w:rPr>
        <w:t xml:space="preserve">1145/2017 </w:t>
      </w:r>
      <w:r w:rsidR="00097B27" w:rsidRPr="00F55BA6">
        <w:rPr>
          <w:rFonts w:asciiTheme="majorHAnsi" w:hAnsiTheme="majorHAnsi" w:cstheme="majorHAnsi"/>
          <w:sz w:val="24"/>
          <w:szCs w:val="24"/>
          <w:lang w:val="ro-RO"/>
        </w:rPr>
        <w:t>„P</w:t>
      </w:r>
      <w:r w:rsidR="003B4CB0" w:rsidRPr="00F55BA6">
        <w:rPr>
          <w:rFonts w:asciiTheme="majorHAnsi" w:hAnsiTheme="majorHAnsi" w:cstheme="majorHAnsi"/>
          <w:sz w:val="24"/>
          <w:szCs w:val="24"/>
          <w:lang w:val="ro-RO"/>
        </w:rPr>
        <w:t>entru aprobarea Regulamentului privind subvenționarea creării locurilor de muncă”.</w:t>
      </w:r>
      <w:r w:rsidR="00994197" w:rsidRPr="00F55BA6">
        <w:rPr>
          <w:rFonts w:asciiTheme="majorHAnsi" w:hAnsiTheme="majorHAnsi" w:cstheme="majorHAnsi"/>
          <w:sz w:val="24"/>
          <w:szCs w:val="24"/>
          <w:lang w:val="ro-RO"/>
        </w:rPr>
        <w:t xml:space="preserve"> </w:t>
      </w:r>
      <w:r w:rsidR="009D0DE2" w:rsidRPr="00F55BA6">
        <w:rPr>
          <w:rFonts w:asciiTheme="majorHAnsi" w:eastAsia="Times New Roman" w:hAnsiTheme="majorHAnsi" w:cstheme="majorHAnsi"/>
          <w:sz w:val="24"/>
          <w:szCs w:val="24"/>
          <w:lang w:val="ro-RO"/>
        </w:rPr>
        <w:t>Concomitent</w:t>
      </w:r>
      <w:r w:rsidR="00041A2F" w:rsidRPr="00F55BA6">
        <w:rPr>
          <w:rFonts w:asciiTheme="majorHAnsi" w:eastAsia="Times New Roman" w:hAnsiTheme="majorHAnsi" w:cstheme="majorHAnsi"/>
          <w:sz w:val="24"/>
          <w:szCs w:val="24"/>
          <w:lang w:val="ro-RO"/>
        </w:rPr>
        <w:t xml:space="preserve"> </w:t>
      </w:r>
      <w:r w:rsidR="00EB2031" w:rsidRPr="00F55BA6">
        <w:rPr>
          <w:rFonts w:asciiTheme="majorHAnsi" w:eastAsia="Times New Roman" w:hAnsiTheme="majorHAnsi" w:cstheme="majorHAnsi"/>
          <w:sz w:val="24"/>
          <w:szCs w:val="24"/>
          <w:lang w:val="ro-RO"/>
        </w:rPr>
        <w:t>cu aceasta</w:t>
      </w:r>
      <w:r w:rsidR="00097B27" w:rsidRPr="00F55BA6">
        <w:rPr>
          <w:rFonts w:asciiTheme="majorHAnsi" w:eastAsia="Times New Roman" w:hAnsiTheme="majorHAnsi" w:cstheme="majorHAnsi"/>
          <w:sz w:val="24"/>
          <w:szCs w:val="24"/>
          <w:lang w:val="ro-RO"/>
        </w:rPr>
        <w:t>,</w:t>
      </w:r>
      <w:r w:rsidR="00EB2031" w:rsidRPr="00F55BA6">
        <w:rPr>
          <w:rFonts w:asciiTheme="majorHAnsi" w:eastAsia="Times New Roman" w:hAnsiTheme="majorHAnsi" w:cstheme="majorHAnsi"/>
          <w:sz w:val="24"/>
          <w:szCs w:val="24"/>
          <w:lang w:val="ro-RO"/>
        </w:rPr>
        <w:t xml:space="preserve"> auditul menționează că </w:t>
      </w:r>
      <w:r w:rsidR="00A43FA5" w:rsidRPr="00F55BA6">
        <w:rPr>
          <w:rFonts w:asciiTheme="majorHAnsi" w:eastAsia="Times New Roman" w:hAnsiTheme="majorHAnsi" w:cstheme="majorHAnsi"/>
          <w:sz w:val="24"/>
          <w:szCs w:val="24"/>
          <w:lang w:val="ro-RO"/>
        </w:rPr>
        <w:t xml:space="preserve">în anul 2020 </w:t>
      </w:r>
      <w:r w:rsidR="00041A2F" w:rsidRPr="00F55BA6">
        <w:rPr>
          <w:rFonts w:asciiTheme="majorHAnsi" w:eastAsia="Times New Roman" w:hAnsiTheme="majorHAnsi" w:cstheme="majorHAnsi"/>
          <w:sz w:val="24"/>
          <w:szCs w:val="24"/>
          <w:lang w:val="ro-RO"/>
        </w:rPr>
        <w:t xml:space="preserve">SE </w:t>
      </w:r>
      <w:r w:rsidR="00097B27" w:rsidRPr="00F55BA6">
        <w:rPr>
          <w:rFonts w:asciiTheme="majorHAnsi" w:eastAsia="Times New Roman" w:hAnsiTheme="majorHAnsi" w:cstheme="majorHAnsi"/>
          <w:sz w:val="24"/>
          <w:szCs w:val="24"/>
          <w:lang w:val="ro-RO"/>
        </w:rPr>
        <w:t>„</w:t>
      </w:r>
      <w:r w:rsidR="00041A2F" w:rsidRPr="00F55BA6">
        <w:rPr>
          <w:rFonts w:asciiTheme="majorHAnsi" w:eastAsia="Times New Roman" w:hAnsiTheme="majorHAnsi" w:cstheme="majorHAnsi"/>
          <w:sz w:val="24"/>
          <w:szCs w:val="24"/>
          <w:lang w:val="ro-RO"/>
        </w:rPr>
        <w:t xml:space="preserve">BORDNETZE” S.R.L. a </w:t>
      </w:r>
      <w:r w:rsidR="00AD5C18" w:rsidRPr="00F55BA6">
        <w:rPr>
          <w:rFonts w:asciiTheme="majorHAnsi" w:eastAsia="Times New Roman" w:hAnsiTheme="majorHAnsi" w:cstheme="majorHAnsi"/>
          <w:sz w:val="24"/>
          <w:szCs w:val="24"/>
          <w:lang w:val="ro-RO"/>
        </w:rPr>
        <w:t>instituit șomaj tehnic și/sau staționare</w:t>
      </w:r>
      <w:r w:rsidR="00EB2031" w:rsidRPr="00F55BA6">
        <w:rPr>
          <w:rFonts w:asciiTheme="majorHAnsi" w:eastAsia="Times New Roman" w:hAnsiTheme="majorHAnsi" w:cstheme="majorHAnsi"/>
          <w:sz w:val="24"/>
          <w:szCs w:val="24"/>
          <w:lang w:val="ro-RO"/>
        </w:rPr>
        <w:t>, context în care a devenit și</w:t>
      </w:r>
      <w:r w:rsidR="00041A2F" w:rsidRPr="00F55BA6">
        <w:rPr>
          <w:rFonts w:asciiTheme="majorHAnsi" w:eastAsia="Times New Roman" w:hAnsiTheme="majorHAnsi" w:cstheme="majorHAnsi"/>
          <w:sz w:val="24"/>
          <w:szCs w:val="24"/>
          <w:lang w:val="ro-RO"/>
        </w:rPr>
        <w:t xml:space="preserve"> subiect al subvenției conform Ordinului MF nr.58 din 29.04.2020</w:t>
      </w:r>
      <w:r w:rsidR="00041A2F" w:rsidRPr="00F55BA6">
        <w:rPr>
          <w:rFonts w:asciiTheme="majorHAnsi" w:eastAsia="Times New Roman" w:hAnsiTheme="majorHAnsi" w:cstheme="majorHAnsi"/>
          <w:sz w:val="24"/>
          <w:szCs w:val="24"/>
          <w:vertAlign w:val="superscript"/>
          <w:lang w:val="ro-RO"/>
        </w:rPr>
        <w:footnoteReference w:id="10"/>
      </w:r>
      <w:r w:rsidR="00041A2F" w:rsidRPr="00F55BA6">
        <w:rPr>
          <w:rFonts w:asciiTheme="majorHAnsi" w:eastAsia="Times New Roman" w:hAnsiTheme="majorHAnsi" w:cstheme="majorHAnsi"/>
          <w:sz w:val="24"/>
          <w:szCs w:val="24"/>
          <w:lang w:val="ro-RO"/>
        </w:rPr>
        <w:t xml:space="preserve">, </w:t>
      </w:r>
      <w:r w:rsidR="00EB2031" w:rsidRPr="00F55BA6">
        <w:rPr>
          <w:rFonts w:asciiTheme="majorHAnsi" w:eastAsia="Times New Roman" w:hAnsiTheme="majorHAnsi" w:cstheme="majorHAnsi"/>
          <w:sz w:val="24"/>
          <w:szCs w:val="24"/>
          <w:lang w:val="ro-RO"/>
        </w:rPr>
        <w:t>beneficiind suplimentar de</w:t>
      </w:r>
      <w:r w:rsidR="008A0A39" w:rsidRPr="00F55BA6">
        <w:rPr>
          <w:rFonts w:asciiTheme="majorHAnsi" w:eastAsia="Times New Roman" w:hAnsiTheme="majorHAnsi" w:cstheme="majorHAnsi"/>
          <w:sz w:val="24"/>
          <w:szCs w:val="24"/>
          <w:lang w:val="ro-RO"/>
        </w:rPr>
        <w:t xml:space="preserve"> mijloace</w:t>
      </w:r>
      <w:r w:rsidR="00EB2031" w:rsidRPr="00F55BA6">
        <w:rPr>
          <w:rFonts w:asciiTheme="majorHAnsi" w:eastAsia="Times New Roman" w:hAnsiTheme="majorHAnsi" w:cstheme="majorHAnsi"/>
          <w:sz w:val="24"/>
          <w:szCs w:val="24"/>
          <w:lang w:val="ro-RO"/>
        </w:rPr>
        <w:t xml:space="preserve"> bugetare</w:t>
      </w:r>
      <w:r w:rsidR="008A0A39" w:rsidRPr="00F55BA6">
        <w:rPr>
          <w:rFonts w:asciiTheme="majorHAnsi" w:eastAsia="Times New Roman" w:hAnsiTheme="majorHAnsi" w:cstheme="majorHAnsi"/>
          <w:sz w:val="24"/>
          <w:szCs w:val="24"/>
          <w:lang w:val="ro-RO"/>
        </w:rPr>
        <w:t xml:space="preserve"> în sumă de 7,8 mil. lei </w:t>
      </w:r>
      <w:r w:rsidR="00041A2F" w:rsidRPr="00F55BA6">
        <w:rPr>
          <w:rFonts w:asciiTheme="majorHAnsi" w:eastAsia="Times New Roman" w:hAnsiTheme="majorHAnsi" w:cstheme="majorHAnsi"/>
          <w:sz w:val="24"/>
          <w:szCs w:val="24"/>
          <w:lang w:val="ro-RO"/>
        </w:rPr>
        <w:t xml:space="preserve">în baza a 5 Decizii </w:t>
      </w:r>
      <w:r w:rsidR="00DB65C8" w:rsidRPr="00F55BA6">
        <w:rPr>
          <w:rFonts w:asciiTheme="majorHAnsi" w:eastAsia="Times New Roman" w:hAnsiTheme="majorHAnsi" w:cstheme="majorHAnsi"/>
          <w:sz w:val="24"/>
          <w:szCs w:val="24"/>
          <w:lang w:val="ro-RO"/>
        </w:rPr>
        <w:t>emise de</w:t>
      </w:r>
      <w:r w:rsidR="00041A2F" w:rsidRPr="00F55BA6">
        <w:rPr>
          <w:rFonts w:asciiTheme="majorHAnsi" w:eastAsia="Times New Roman" w:hAnsiTheme="majorHAnsi" w:cstheme="majorHAnsi"/>
          <w:sz w:val="24"/>
          <w:szCs w:val="24"/>
          <w:lang w:val="ro-RO"/>
        </w:rPr>
        <w:t xml:space="preserve"> SFS.</w:t>
      </w:r>
      <w:r w:rsidR="00F05EE8" w:rsidRPr="00F55BA6">
        <w:rPr>
          <w:rFonts w:asciiTheme="majorHAnsi" w:eastAsia="Times New Roman" w:hAnsiTheme="majorHAnsi" w:cstheme="majorHAnsi"/>
          <w:sz w:val="24"/>
          <w:szCs w:val="24"/>
          <w:lang w:val="ro-RO"/>
        </w:rPr>
        <w:t xml:space="preserve"> </w:t>
      </w:r>
    </w:p>
    <w:p w:rsidR="005572C8" w:rsidRPr="00F55BA6" w:rsidRDefault="00733853" w:rsidP="005572C8">
      <w:pPr>
        <w:pStyle w:val="af0"/>
        <w:tabs>
          <w:tab w:val="left" w:pos="426"/>
          <w:tab w:val="left" w:pos="851"/>
        </w:tabs>
        <w:spacing w:after="0" w:line="276" w:lineRule="auto"/>
        <w:ind w:left="0"/>
        <w:rPr>
          <w:rFonts w:asciiTheme="majorHAnsi" w:eastAsia="Times New Roman" w:hAnsiTheme="majorHAnsi" w:cstheme="majorHAnsi"/>
          <w:color w:val="000000" w:themeColor="text1"/>
          <w:sz w:val="24"/>
          <w:szCs w:val="24"/>
          <w:lang w:val="ro-RO"/>
        </w:rPr>
      </w:pPr>
      <w:r w:rsidRPr="00F55BA6">
        <w:rPr>
          <w:rFonts w:asciiTheme="majorHAnsi" w:hAnsiTheme="majorHAnsi" w:cstheme="majorHAnsi"/>
          <w:b/>
          <w:sz w:val="24"/>
          <w:szCs w:val="24"/>
          <w:lang w:val="ro-RO"/>
        </w:rPr>
        <w:t>3.2.2</w:t>
      </w:r>
      <w:r w:rsidRPr="00F55BA6">
        <w:rPr>
          <w:rFonts w:asciiTheme="majorHAnsi" w:hAnsiTheme="majorHAnsi" w:cstheme="majorHAnsi"/>
          <w:i/>
          <w:sz w:val="24"/>
          <w:szCs w:val="24"/>
          <w:lang w:val="ro-RO"/>
        </w:rPr>
        <w:t xml:space="preserve"> </w:t>
      </w:r>
      <w:r w:rsidR="000C43EE" w:rsidRPr="00F55BA6">
        <w:rPr>
          <w:rFonts w:asciiTheme="majorHAnsi" w:hAnsiTheme="majorHAnsi" w:cstheme="majorHAnsi"/>
          <w:sz w:val="24"/>
          <w:szCs w:val="24"/>
          <w:lang w:val="ro-RO"/>
        </w:rPr>
        <w:t xml:space="preserve">Conform Legii BS pentru anul 2020, </w:t>
      </w:r>
      <w:r w:rsidR="000C43EE" w:rsidRPr="00F55BA6">
        <w:rPr>
          <w:rFonts w:asciiTheme="majorHAnsi" w:eastAsia="Times New Roman" w:hAnsiTheme="majorHAnsi" w:cstheme="majorHAnsi"/>
          <w:color w:val="000000" w:themeColor="text1"/>
          <w:sz w:val="24"/>
          <w:szCs w:val="24"/>
          <w:lang w:val="ro-RO"/>
        </w:rPr>
        <w:t>pentru</w:t>
      </w:r>
      <w:r w:rsidR="008B4806" w:rsidRPr="00F55BA6">
        <w:rPr>
          <w:rFonts w:asciiTheme="majorHAnsi" w:eastAsia="Times New Roman" w:hAnsiTheme="majorHAnsi" w:cstheme="majorHAnsi"/>
          <w:color w:val="000000" w:themeColor="text1"/>
          <w:sz w:val="24"/>
          <w:szCs w:val="24"/>
          <w:lang w:val="ro-RO"/>
        </w:rPr>
        <w:t xml:space="preserve"> dezvoltarea</w:t>
      </w:r>
      <w:r w:rsidR="008E175A" w:rsidRPr="00F55BA6">
        <w:rPr>
          <w:rFonts w:asciiTheme="majorHAnsi" w:eastAsia="Times New Roman" w:hAnsiTheme="majorHAnsi" w:cstheme="majorHAnsi"/>
          <w:color w:val="000000" w:themeColor="text1"/>
          <w:sz w:val="24"/>
          <w:szCs w:val="24"/>
          <w:lang w:val="ro-RO"/>
        </w:rPr>
        <w:t>/infrastructura</w:t>
      </w:r>
      <w:r w:rsidR="008B4806" w:rsidRPr="00F55BA6">
        <w:rPr>
          <w:rFonts w:asciiTheme="majorHAnsi" w:eastAsia="Times New Roman" w:hAnsiTheme="majorHAnsi" w:cstheme="majorHAnsi"/>
          <w:color w:val="000000" w:themeColor="text1"/>
          <w:sz w:val="24"/>
          <w:szCs w:val="24"/>
          <w:lang w:val="ro-RO"/>
        </w:rPr>
        <w:t xml:space="preserve"> drumurilor</w:t>
      </w:r>
      <w:r w:rsidR="004E2E2C" w:rsidRPr="00F55BA6">
        <w:rPr>
          <w:rFonts w:asciiTheme="majorHAnsi" w:eastAsia="Times New Roman" w:hAnsiTheme="majorHAnsi" w:cstheme="majorHAnsi"/>
          <w:color w:val="000000" w:themeColor="text1"/>
          <w:sz w:val="24"/>
          <w:szCs w:val="24"/>
          <w:lang w:val="ro-RO"/>
        </w:rPr>
        <w:t xml:space="preserve"> </w:t>
      </w:r>
      <w:r w:rsidR="004E2E2C" w:rsidRPr="00F55BA6">
        <w:rPr>
          <w:rFonts w:asciiTheme="majorHAnsi" w:hAnsiTheme="majorHAnsi" w:cstheme="majorHAnsi"/>
          <w:sz w:val="24"/>
          <w:szCs w:val="24"/>
          <w:lang w:val="ro-RO"/>
        </w:rPr>
        <w:t>au fost aprobate alocații în sumă de</w:t>
      </w:r>
      <w:r w:rsidR="00D0247B" w:rsidRPr="00F55BA6">
        <w:rPr>
          <w:rFonts w:asciiTheme="majorHAnsi" w:hAnsiTheme="majorHAnsi" w:cstheme="majorHAnsi"/>
          <w:sz w:val="24"/>
          <w:szCs w:val="24"/>
          <w:lang w:val="ro-RO"/>
        </w:rPr>
        <w:t xml:space="preserve"> </w:t>
      </w:r>
      <w:r w:rsidR="00D0247B" w:rsidRPr="00F55BA6">
        <w:rPr>
          <w:rFonts w:asciiTheme="majorHAnsi" w:eastAsia="Times New Roman" w:hAnsiTheme="majorHAnsi" w:cstheme="majorHAnsi"/>
          <w:color w:val="000000" w:themeColor="text1"/>
          <w:sz w:val="24"/>
          <w:szCs w:val="24"/>
          <w:lang w:val="ro-RO"/>
        </w:rPr>
        <w:t>1 021,9 mil. lei</w:t>
      </w:r>
      <w:r w:rsidR="00D8683A" w:rsidRPr="00F55BA6">
        <w:rPr>
          <w:rFonts w:asciiTheme="majorHAnsi" w:eastAsia="Times New Roman" w:hAnsiTheme="majorHAnsi" w:cstheme="majorHAnsi"/>
          <w:color w:val="000000" w:themeColor="text1"/>
          <w:sz w:val="24"/>
          <w:szCs w:val="24"/>
          <w:lang w:val="ro-RO"/>
        </w:rPr>
        <w:t>,</w:t>
      </w:r>
      <w:r w:rsidR="00D0247B" w:rsidRPr="00F55BA6">
        <w:rPr>
          <w:rFonts w:asciiTheme="majorHAnsi" w:eastAsia="Times New Roman" w:hAnsiTheme="majorHAnsi" w:cstheme="majorHAnsi"/>
          <w:color w:val="000000" w:themeColor="text1"/>
          <w:sz w:val="24"/>
          <w:szCs w:val="24"/>
          <w:lang w:val="ro-RO"/>
        </w:rPr>
        <w:t xml:space="preserve"> </w:t>
      </w:r>
      <w:r w:rsidR="00052DFD" w:rsidRPr="00F55BA6">
        <w:rPr>
          <w:rFonts w:asciiTheme="majorHAnsi" w:eastAsia="Times New Roman" w:hAnsiTheme="majorHAnsi" w:cstheme="majorHAnsi"/>
          <w:color w:val="000000" w:themeColor="text1"/>
          <w:sz w:val="24"/>
          <w:szCs w:val="24"/>
          <w:lang w:val="ro-RO"/>
        </w:rPr>
        <w:t xml:space="preserve">fiind </w:t>
      </w:r>
      <w:r w:rsidR="00D0247B" w:rsidRPr="00F55BA6">
        <w:rPr>
          <w:rFonts w:asciiTheme="majorHAnsi" w:eastAsia="Times New Roman" w:hAnsiTheme="majorHAnsi" w:cstheme="majorHAnsi"/>
          <w:color w:val="000000" w:themeColor="text1"/>
          <w:sz w:val="24"/>
          <w:szCs w:val="24"/>
          <w:lang w:val="ro-RO"/>
        </w:rPr>
        <w:t xml:space="preserve">executate </w:t>
      </w:r>
      <w:r w:rsidR="003276AD" w:rsidRPr="00F55BA6">
        <w:rPr>
          <w:rFonts w:asciiTheme="majorHAnsi" w:eastAsia="Times New Roman" w:hAnsiTheme="majorHAnsi" w:cstheme="majorHAnsi"/>
          <w:color w:val="000000" w:themeColor="text1"/>
          <w:sz w:val="24"/>
          <w:szCs w:val="24"/>
          <w:lang w:val="ro-RO"/>
        </w:rPr>
        <w:t>988,7</w:t>
      </w:r>
      <w:r w:rsidR="00D0247B" w:rsidRPr="00F55BA6">
        <w:rPr>
          <w:rFonts w:asciiTheme="majorHAnsi" w:eastAsia="Times New Roman" w:hAnsiTheme="majorHAnsi" w:cstheme="majorHAnsi"/>
          <w:color w:val="000000" w:themeColor="text1"/>
          <w:sz w:val="24"/>
          <w:szCs w:val="24"/>
          <w:lang w:val="ro-RO"/>
        </w:rPr>
        <w:t xml:space="preserve"> mil. lei</w:t>
      </w:r>
      <w:r w:rsidR="00097B27" w:rsidRPr="00F55BA6">
        <w:rPr>
          <w:rFonts w:asciiTheme="majorHAnsi" w:eastAsia="Times New Roman" w:hAnsiTheme="majorHAnsi" w:cstheme="majorHAnsi"/>
          <w:color w:val="000000" w:themeColor="text1"/>
          <w:sz w:val="24"/>
          <w:szCs w:val="24"/>
          <w:lang w:val="ro-RO"/>
        </w:rPr>
        <w:t>,</w:t>
      </w:r>
      <w:r w:rsidR="00D0247B" w:rsidRPr="00F55BA6">
        <w:rPr>
          <w:rFonts w:asciiTheme="majorHAnsi" w:eastAsia="Times New Roman" w:hAnsiTheme="majorHAnsi" w:cstheme="majorHAnsi"/>
          <w:color w:val="000000" w:themeColor="text1"/>
          <w:sz w:val="24"/>
          <w:szCs w:val="24"/>
          <w:lang w:val="ro-RO"/>
        </w:rPr>
        <w:t xml:space="preserve"> sau 96,7%</w:t>
      </w:r>
      <w:r w:rsidR="00052DFD" w:rsidRPr="00F55BA6">
        <w:rPr>
          <w:rFonts w:asciiTheme="majorHAnsi" w:eastAsia="Times New Roman" w:hAnsiTheme="majorHAnsi" w:cstheme="majorHAnsi"/>
          <w:color w:val="000000" w:themeColor="text1"/>
          <w:sz w:val="24"/>
          <w:szCs w:val="24"/>
          <w:lang w:val="ro-RO"/>
        </w:rPr>
        <w:t>, din care</w:t>
      </w:r>
      <w:r w:rsidR="000055FD" w:rsidRPr="00F55BA6">
        <w:rPr>
          <w:rFonts w:asciiTheme="majorHAnsi" w:eastAsia="Times New Roman" w:hAnsiTheme="majorHAnsi" w:cstheme="majorHAnsi"/>
          <w:color w:val="000000" w:themeColor="text1"/>
          <w:sz w:val="24"/>
          <w:szCs w:val="24"/>
          <w:lang w:val="ro-RO"/>
        </w:rPr>
        <w:t>:</w:t>
      </w:r>
      <w:r w:rsidR="00052DFD" w:rsidRPr="00F55BA6">
        <w:rPr>
          <w:rFonts w:asciiTheme="majorHAnsi" w:eastAsia="Times New Roman" w:hAnsiTheme="majorHAnsi" w:cstheme="majorHAnsi"/>
          <w:color w:val="000000" w:themeColor="text1"/>
          <w:sz w:val="24"/>
          <w:szCs w:val="24"/>
          <w:lang w:val="ro-RO"/>
        </w:rPr>
        <w:t xml:space="preserve"> transferuri cu destinație specială </w:t>
      </w:r>
      <w:r w:rsidR="00A75FD0" w:rsidRPr="00F55BA6">
        <w:rPr>
          <w:rFonts w:asciiTheme="majorHAnsi" w:eastAsia="Times New Roman" w:hAnsiTheme="majorHAnsi" w:cstheme="majorHAnsi"/>
          <w:color w:val="000000" w:themeColor="text1"/>
          <w:sz w:val="24"/>
          <w:szCs w:val="24"/>
          <w:lang w:val="ro-RO"/>
        </w:rPr>
        <w:t>bugetelor</w:t>
      </w:r>
      <w:r w:rsidR="00052DFD" w:rsidRPr="00F55BA6">
        <w:rPr>
          <w:rFonts w:asciiTheme="majorHAnsi" w:eastAsia="Times New Roman" w:hAnsiTheme="majorHAnsi" w:cstheme="majorHAnsi"/>
          <w:color w:val="000000" w:themeColor="text1"/>
          <w:sz w:val="24"/>
          <w:szCs w:val="24"/>
          <w:lang w:val="ro-RO"/>
        </w:rPr>
        <w:t xml:space="preserve"> locale de nivelul </w:t>
      </w:r>
      <w:r w:rsidR="00097B27" w:rsidRPr="00F55BA6">
        <w:rPr>
          <w:rFonts w:asciiTheme="majorHAnsi" w:eastAsia="Times New Roman" w:hAnsiTheme="majorHAnsi" w:cstheme="majorHAnsi"/>
          <w:color w:val="000000" w:themeColor="text1"/>
          <w:sz w:val="24"/>
          <w:szCs w:val="24"/>
          <w:lang w:val="ro-RO"/>
        </w:rPr>
        <w:t>I</w:t>
      </w:r>
      <w:r w:rsidR="00052DFD" w:rsidRPr="00F55BA6">
        <w:rPr>
          <w:rFonts w:asciiTheme="majorHAnsi" w:eastAsia="Times New Roman" w:hAnsiTheme="majorHAnsi" w:cstheme="majorHAnsi"/>
          <w:color w:val="000000" w:themeColor="text1"/>
          <w:sz w:val="24"/>
          <w:szCs w:val="24"/>
          <w:lang w:val="ro-RO"/>
        </w:rPr>
        <w:t xml:space="preserve"> – 279,2 mil. lei</w:t>
      </w:r>
      <w:r w:rsidR="00097B27" w:rsidRPr="00F55BA6">
        <w:rPr>
          <w:rFonts w:asciiTheme="majorHAnsi" w:eastAsia="Times New Roman" w:hAnsiTheme="majorHAnsi" w:cstheme="majorHAnsi"/>
          <w:color w:val="000000" w:themeColor="text1"/>
          <w:sz w:val="24"/>
          <w:szCs w:val="24"/>
          <w:lang w:val="ro-RO"/>
        </w:rPr>
        <w:t>,</w:t>
      </w:r>
      <w:r w:rsidR="00052DFD" w:rsidRPr="00F55BA6">
        <w:rPr>
          <w:rFonts w:asciiTheme="majorHAnsi" w:eastAsia="Times New Roman" w:hAnsiTheme="majorHAnsi" w:cstheme="majorHAnsi"/>
          <w:color w:val="000000" w:themeColor="text1"/>
          <w:sz w:val="24"/>
          <w:szCs w:val="24"/>
          <w:lang w:val="ro-RO"/>
        </w:rPr>
        <w:t xml:space="preserve"> și de nivelul </w:t>
      </w:r>
      <w:r w:rsidR="00097B27" w:rsidRPr="00F55BA6">
        <w:rPr>
          <w:rFonts w:asciiTheme="majorHAnsi" w:eastAsia="Times New Roman" w:hAnsiTheme="majorHAnsi" w:cstheme="majorHAnsi"/>
          <w:color w:val="000000" w:themeColor="text1"/>
          <w:sz w:val="24"/>
          <w:szCs w:val="24"/>
          <w:lang w:val="ro-RO"/>
        </w:rPr>
        <w:t>II</w:t>
      </w:r>
      <w:r w:rsidR="00052DFD" w:rsidRPr="00F55BA6">
        <w:rPr>
          <w:rFonts w:asciiTheme="majorHAnsi" w:eastAsia="Times New Roman" w:hAnsiTheme="majorHAnsi" w:cstheme="majorHAnsi"/>
          <w:color w:val="000000" w:themeColor="text1"/>
          <w:sz w:val="24"/>
          <w:szCs w:val="24"/>
          <w:lang w:val="ro-RO"/>
        </w:rPr>
        <w:t xml:space="preserve"> – 709,5 mil. lei.</w:t>
      </w:r>
      <w:r w:rsidR="008E175A" w:rsidRPr="00F55BA6">
        <w:rPr>
          <w:rFonts w:asciiTheme="majorHAnsi" w:eastAsia="Times New Roman" w:hAnsiTheme="majorHAnsi" w:cstheme="majorHAnsi"/>
          <w:color w:val="000000" w:themeColor="text1"/>
          <w:sz w:val="24"/>
          <w:szCs w:val="24"/>
          <w:lang w:val="ro-RO"/>
        </w:rPr>
        <w:t xml:space="preserve"> </w:t>
      </w:r>
      <w:r w:rsidR="00097B27" w:rsidRPr="00F55BA6">
        <w:rPr>
          <w:rFonts w:asciiTheme="majorHAnsi" w:eastAsia="Times New Roman" w:hAnsiTheme="majorHAnsi" w:cstheme="majorHAnsi"/>
          <w:color w:val="000000" w:themeColor="text1"/>
          <w:sz w:val="24"/>
          <w:szCs w:val="24"/>
          <w:lang w:val="ro-RO"/>
        </w:rPr>
        <w:t>Totodată</w:t>
      </w:r>
      <w:r w:rsidR="000055FD" w:rsidRPr="00F55BA6">
        <w:rPr>
          <w:rFonts w:asciiTheme="majorHAnsi" w:eastAsia="Times New Roman" w:hAnsiTheme="majorHAnsi" w:cstheme="majorHAnsi"/>
          <w:color w:val="000000" w:themeColor="text1"/>
          <w:sz w:val="24"/>
          <w:szCs w:val="24"/>
          <w:lang w:val="ro-RO"/>
        </w:rPr>
        <w:t>, p</w:t>
      </w:r>
      <w:r w:rsidR="00A75FD0" w:rsidRPr="00F55BA6">
        <w:rPr>
          <w:rFonts w:asciiTheme="majorHAnsi" w:eastAsia="Times New Roman" w:hAnsiTheme="majorHAnsi" w:cstheme="majorHAnsi"/>
          <w:color w:val="000000" w:themeColor="text1"/>
          <w:sz w:val="24"/>
          <w:szCs w:val="24"/>
          <w:lang w:val="ro-RO"/>
        </w:rPr>
        <w:t xml:space="preserve">entru </w:t>
      </w:r>
      <w:r w:rsidR="00987BF8" w:rsidRPr="00F55BA6">
        <w:rPr>
          <w:rFonts w:asciiTheme="majorHAnsi" w:eastAsia="Times New Roman" w:hAnsiTheme="majorHAnsi" w:cstheme="majorHAnsi"/>
          <w:color w:val="000000" w:themeColor="text1"/>
          <w:sz w:val="24"/>
          <w:szCs w:val="24"/>
          <w:lang w:val="ro-RO"/>
        </w:rPr>
        <w:t>P</w:t>
      </w:r>
      <w:r w:rsidR="00671934" w:rsidRPr="00F55BA6">
        <w:rPr>
          <w:rFonts w:asciiTheme="majorHAnsi" w:eastAsia="Times New Roman" w:hAnsiTheme="majorHAnsi" w:cstheme="majorHAnsi"/>
          <w:color w:val="000000" w:themeColor="text1"/>
          <w:sz w:val="24"/>
          <w:szCs w:val="24"/>
          <w:lang w:val="ro-RO"/>
        </w:rPr>
        <w:t xml:space="preserve">rogramul </w:t>
      </w:r>
      <w:r w:rsidR="00987BF8" w:rsidRPr="00F55BA6">
        <w:rPr>
          <w:rFonts w:asciiTheme="majorHAnsi" w:eastAsia="Times New Roman" w:hAnsiTheme="majorHAnsi" w:cstheme="majorHAnsi"/>
          <w:color w:val="000000" w:themeColor="text1"/>
          <w:sz w:val="24"/>
          <w:szCs w:val="24"/>
          <w:lang w:val="ro-RO"/>
        </w:rPr>
        <w:t>„D</w:t>
      </w:r>
      <w:r w:rsidR="00A75FD0" w:rsidRPr="00F55BA6">
        <w:rPr>
          <w:rFonts w:asciiTheme="majorHAnsi" w:eastAsia="Times New Roman" w:hAnsiTheme="majorHAnsi" w:cstheme="majorHAnsi"/>
          <w:color w:val="000000" w:themeColor="text1"/>
          <w:sz w:val="24"/>
          <w:szCs w:val="24"/>
          <w:lang w:val="ro-RO"/>
        </w:rPr>
        <w:t>ezvoltarea drumurilor</w:t>
      </w:r>
      <w:r w:rsidR="00987BF8" w:rsidRPr="00F55BA6">
        <w:rPr>
          <w:rFonts w:asciiTheme="majorHAnsi" w:eastAsia="Times New Roman" w:hAnsiTheme="majorHAnsi" w:cstheme="majorHAnsi"/>
          <w:color w:val="000000" w:themeColor="text1"/>
          <w:sz w:val="24"/>
          <w:szCs w:val="24"/>
          <w:lang w:val="ro-RO"/>
        </w:rPr>
        <w:t>”</w:t>
      </w:r>
      <w:r w:rsidR="001322D4">
        <w:rPr>
          <w:rFonts w:asciiTheme="majorHAnsi" w:eastAsia="Times New Roman" w:hAnsiTheme="majorHAnsi" w:cstheme="majorHAnsi"/>
          <w:color w:val="000000" w:themeColor="text1"/>
          <w:sz w:val="24"/>
          <w:szCs w:val="24"/>
          <w:lang w:val="ro-RO"/>
        </w:rPr>
        <w:t xml:space="preserve"> </w:t>
      </w:r>
      <w:r w:rsidR="00671934" w:rsidRPr="00F55BA6">
        <w:rPr>
          <w:rFonts w:asciiTheme="majorHAnsi" w:eastAsia="Times New Roman" w:hAnsiTheme="majorHAnsi" w:cstheme="majorHAnsi"/>
          <w:color w:val="000000" w:themeColor="text1"/>
          <w:sz w:val="24"/>
          <w:szCs w:val="24"/>
          <w:lang w:val="ro-RO"/>
        </w:rPr>
        <w:t>s</w:t>
      </w:r>
      <w:r w:rsidR="00097B27" w:rsidRPr="00F55BA6">
        <w:rPr>
          <w:rFonts w:asciiTheme="majorHAnsi" w:eastAsia="Times New Roman" w:hAnsiTheme="majorHAnsi" w:cstheme="majorHAnsi"/>
          <w:color w:val="000000" w:themeColor="text1"/>
          <w:sz w:val="24"/>
          <w:szCs w:val="24"/>
          <w:lang w:val="ro-RO"/>
        </w:rPr>
        <w:t>u</w:t>
      </w:r>
      <w:r w:rsidR="00671934" w:rsidRPr="00F55BA6">
        <w:rPr>
          <w:rFonts w:asciiTheme="majorHAnsi" w:eastAsia="Times New Roman" w:hAnsiTheme="majorHAnsi" w:cstheme="majorHAnsi"/>
          <w:color w:val="000000" w:themeColor="text1"/>
          <w:sz w:val="24"/>
          <w:szCs w:val="24"/>
          <w:lang w:val="ro-RO"/>
        </w:rPr>
        <w:t xml:space="preserve">nt precizate alocații la MEI în sumă de 4 207,5 mil. lei și la MADRM </w:t>
      </w:r>
      <w:r w:rsidR="00097B27" w:rsidRPr="00F55BA6">
        <w:rPr>
          <w:rFonts w:asciiTheme="majorHAnsi" w:eastAsia="Times New Roman" w:hAnsiTheme="majorHAnsi" w:cstheme="majorHAnsi"/>
          <w:color w:val="000000" w:themeColor="text1"/>
          <w:sz w:val="24"/>
          <w:szCs w:val="24"/>
          <w:lang w:val="ro-RO"/>
        </w:rPr>
        <w:t xml:space="preserve">– </w:t>
      </w:r>
      <w:r w:rsidR="00987BF8" w:rsidRPr="00F55BA6">
        <w:rPr>
          <w:rFonts w:asciiTheme="majorHAnsi" w:eastAsia="Times New Roman" w:hAnsiTheme="majorHAnsi" w:cstheme="majorHAnsi"/>
          <w:color w:val="000000" w:themeColor="text1"/>
          <w:sz w:val="24"/>
          <w:szCs w:val="24"/>
          <w:lang w:val="ro-RO"/>
        </w:rPr>
        <w:t xml:space="preserve">de </w:t>
      </w:r>
      <w:r w:rsidR="00671934" w:rsidRPr="00F55BA6">
        <w:rPr>
          <w:rFonts w:asciiTheme="majorHAnsi" w:eastAsia="Times New Roman" w:hAnsiTheme="majorHAnsi" w:cstheme="majorHAnsi"/>
          <w:color w:val="000000" w:themeColor="text1"/>
          <w:sz w:val="24"/>
          <w:szCs w:val="24"/>
          <w:lang w:val="ro-RO"/>
        </w:rPr>
        <w:t>61,4 mil. lei.</w:t>
      </w:r>
    </w:p>
    <w:p w:rsidR="00167508" w:rsidRPr="00F55BA6" w:rsidRDefault="0032683B" w:rsidP="002559E1">
      <w:pPr>
        <w:pStyle w:val="af0"/>
        <w:numPr>
          <w:ilvl w:val="1"/>
          <w:numId w:val="29"/>
        </w:numPr>
        <w:tabs>
          <w:tab w:val="left" w:pos="0"/>
          <w:tab w:val="left" w:pos="142"/>
          <w:tab w:val="left" w:pos="426"/>
        </w:tabs>
        <w:spacing w:after="0" w:line="276" w:lineRule="auto"/>
        <w:ind w:left="0" w:firstLine="0"/>
        <w:rPr>
          <w:rFonts w:asciiTheme="majorHAnsi" w:eastAsia="Times New Roman" w:hAnsiTheme="majorHAnsi" w:cstheme="majorHAnsi"/>
          <w:sz w:val="24"/>
          <w:szCs w:val="24"/>
          <w:lang w:val="ro-RO"/>
        </w:rPr>
      </w:pPr>
      <w:r w:rsidRPr="00F55BA6">
        <w:rPr>
          <w:rFonts w:asciiTheme="majorHAnsi" w:eastAsia="Times New Roman" w:hAnsiTheme="majorHAnsi" w:cstheme="majorHAnsi"/>
          <w:b/>
          <w:color w:val="000000" w:themeColor="text1"/>
          <w:sz w:val="24"/>
          <w:szCs w:val="24"/>
          <w:lang w:val="ro-RO"/>
        </w:rPr>
        <w:t xml:space="preserve">Atragem </w:t>
      </w:r>
      <w:r w:rsidRPr="00F77762">
        <w:rPr>
          <w:rFonts w:asciiTheme="majorHAnsi" w:eastAsia="Times New Roman" w:hAnsiTheme="majorHAnsi" w:cstheme="majorHAnsi"/>
          <w:b/>
          <w:color w:val="000000" w:themeColor="text1"/>
          <w:sz w:val="24"/>
          <w:szCs w:val="24"/>
          <w:lang w:val="ro-RO"/>
        </w:rPr>
        <w:t xml:space="preserve">atenția că, în compartimentul </w:t>
      </w:r>
      <w:r w:rsidR="00097B27" w:rsidRPr="00F77762">
        <w:rPr>
          <w:rFonts w:asciiTheme="majorHAnsi" w:eastAsia="Times New Roman" w:hAnsiTheme="majorHAnsi" w:cstheme="majorHAnsi"/>
          <w:b/>
          <w:color w:val="000000" w:themeColor="text1"/>
          <w:sz w:val="24"/>
          <w:szCs w:val="24"/>
          <w:lang w:val="ro-RO"/>
        </w:rPr>
        <w:t>„</w:t>
      </w:r>
      <w:r w:rsidRPr="00F77762">
        <w:rPr>
          <w:rFonts w:asciiTheme="majorHAnsi" w:eastAsia="Times New Roman" w:hAnsiTheme="majorHAnsi" w:cstheme="majorHAnsi"/>
          <w:b/>
          <w:color w:val="000000" w:themeColor="text1"/>
          <w:sz w:val="24"/>
          <w:szCs w:val="24"/>
          <w:lang w:val="ro-RO"/>
        </w:rPr>
        <w:t xml:space="preserve">Acțiuni generale” revine </w:t>
      </w:r>
      <w:r w:rsidR="00B43C6F" w:rsidRPr="00F77762">
        <w:rPr>
          <w:rFonts w:asciiTheme="majorHAnsi" w:eastAsia="Times New Roman" w:hAnsiTheme="majorHAnsi" w:cstheme="majorHAnsi"/>
          <w:b/>
          <w:color w:val="000000" w:themeColor="text1"/>
          <w:sz w:val="24"/>
          <w:szCs w:val="24"/>
          <w:lang w:val="ro-RO"/>
        </w:rPr>
        <w:t>sub</w:t>
      </w:r>
      <w:r w:rsidR="003A5F4B" w:rsidRPr="00F77762">
        <w:rPr>
          <w:rFonts w:asciiTheme="majorHAnsi" w:eastAsia="Times New Roman" w:hAnsiTheme="majorHAnsi" w:cstheme="majorHAnsi"/>
          <w:b/>
          <w:color w:val="000000" w:themeColor="text1"/>
          <w:sz w:val="24"/>
          <w:szCs w:val="24"/>
          <w:lang w:val="ro-RO"/>
        </w:rPr>
        <w:t>programului</w:t>
      </w:r>
      <w:r w:rsidRPr="00F77762">
        <w:rPr>
          <w:rFonts w:asciiTheme="majorHAnsi" w:eastAsia="Times New Roman" w:hAnsiTheme="majorHAnsi" w:cstheme="majorHAnsi"/>
          <w:b/>
          <w:color w:val="000000" w:themeColor="text1"/>
          <w:sz w:val="24"/>
          <w:szCs w:val="24"/>
          <w:lang w:val="ro-RO"/>
        </w:rPr>
        <w:t xml:space="preserve"> </w:t>
      </w:r>
      <w:r w:rsidR="00097B27" w:rsidRPr="00F77762">
        <w:rPr>
          <w:rFonts w:asciiTheme="majorHAnsi" w:eastAsia="Times New Roman" w:hAnsiTheme="majorHAnsi" w:cstheme="majorHAnsi"/>
          <w:b/>
          <w:sz w:val="24"/>
          <w:szCs w:val="24"/>
          <w:lang w:val="ro-RO"/>
        </w:rPr>
        <w:t>„</w:t>
      </w:r>
      <w:r w:rsidR="00167508" w:rsidRPr="00F77762">
        <w:rPr>
          <w:rFonts w:asciiTheme="majorHAnsi" w:eastAsia="Times New Roman" w:hAnsiTheme="majorHAnsi" w:cstheme="majorHAnsi"/>
          <w:b/>
          <w:sz w:val="24"/>
          <w:szCs w:val="24"/>
          <w:lang w:val="ro-RO"/>
        </w:rPr>
        <w:t>Acțiuni cu caracter general” (0808)</w:t>
      </w:r>
      <w:r w:rsidR="00987BF8" w:rsidRPr="00F77762">
        <w:rPr>
          <w:rFonts w:asciiTheme="majorHAnsi" w:eastAsia="Times New Roman" w:hAnsiTheme="majorHAnsi" w:cstheme="majorHAnsi"/>
          <w:b/>
          <w:sz w:val="24"/>
          <w:szCs w:val="24"/>
          <w:lang w:val="ro-RO"/>
        </w:rPr>
        <w:t>,</w:t>
      </w:r>
      <w:r w:rsidRPr="00F77762">
        <w:rPr>
          <w:rFonts w:asciiTheme="majorHAnsi" w:eastAsia="Times New Roman" w:hAnsiTheme="majorHAnsi" w:cstheme="majorHAnsi"/>
          <w:b/>
          <w:sz w:val="24"/>
          <w:szCs w:val="24"/>
          <w:lang w:val="ro-RO"/>
        </w:rPr>
        <w:t xml:space="preserve"> </w:t>
      </w:r>
      <w:r w:rsidR="00762E27" w:rsidRPr="00F77762">
        <w:rPr>
          <w:rFonts w:asciiTheme="majorHAnsi" w:eastAsia="Times New Roman" w:hAnsiTheme="majorHAnsi" w:cstheme="majorHAnsi"/>
          <w:b/>
          <w:sz w:val="24"/>
          <w:szCs w:val="24"/>
          <w:lang w:val="ro-RO"/>
        </w:rPr>
        <w:t>la care</w:t>
      </w:r>
      <w:r w:rsidR="00762E27" w:rsidRPr="00F77762">
        <w:rPr>
          <w:rFonts w:asciiTheme="majorHAnsi" w:eastAsia="Times New Roman" w:hAnsiTheme="majorHAnsi" w:cstheme="majorHAnsi"/>
          <w:b/>
          <w:i/>
          <w:sz w:val="24"/>
          <w:szCs w:val="24"/>
          <w:lang w:val="ro-RO"/>
        </w:rPr>
        <w:t xml:space="preserve"> </w:t>
      </w:r>
      <w:r w:rsidR="00167508" w:rsidRPr="00F77762">
        <w:rPr>
          <w:rFonts w:asciiTheme="majorHAnsi" w:eastAsia="Times New Roman" w:hAnsiTheme="majorHAnsi" w:cstheme="majorHAnsi"/>
          <w:b/>
          <w:sz w:val="24"/>
          <w:szCs w:val="24"/>
          <w:lang w:val="ro-RO"/>
        </w:rPr>
        <w:t xml:space="preserve">inițial </w:t>
      </w:r>
      <w:r w:rsidR="003F5BC6" w:rsidRPr="00F77762">
        <w:rPr>
          <w:rFonts w:asciiTheme="majorHAnsi" w:eastAsia="Times New Roman" w:hAnsiTheme="majorHAnsi" w:cstheme="majorHAnsi"/>
          <w:b/>
          <w:sz w:val="24"/>
          <w:szCs w:val="24"/>
          <w:lang w:val="ro-RO"/>
        </w:rPr>
        <w:t xml:space="preserve">au fost aprobate </w:t>
      </w:r>
      <w:r w:rsidR="00167508" w:rsidRPr="00F77762">
        <w:rPr>
          <w:rFonts w:asciiTheme="majorHAnsi" w:eastAsia="Times New Roman" w:hAnsiTheme="majorHAnsi" w:cstheme="majorHAnsi"/>
          <w:b/>
          <w:sz w:val="24"/>
          <w:szCs w:val="24"/>
          <w:lang w:val="ro-RO"/>
        </w:rPr>
        <w:t xml:space="preserve">alocații în sumă </w:t>
      </w:r>
      <w:r w:rsidR="002C3C33" w:rsidRPr="00F77762">
        <w:rPr>
          <w:rFonts w:asciiTheme="majorHAnsi" w:eastAsia="Times New Roman" w:hAnsiTheme="majorHAnsi" w:cstheme="majorHAnsi"/>
          <w:b/>
          <w:sz w:val="24"/>
          <w:szCs w:val="24"/>
          <w:lang w:val="ro-RO"/>
        </w:rPr>
        <w:t>de 29,0 mil. lei</w:t>
      </w:r>
      <w:r w:rsidR="00097B27" w:rsidRPr="00F77762">
        <w:rPr>
          <w:rFonts w:asciiTheme="majorHAnsi" w:eastAsia="Times New Roman" w:hAnsiTheme="majorHAnsi" w:cstheme="majorHAnsi"/>
          <w:b/>
          <w:sz w:val="24"/>
          <w:szCs w:val="24"/>
          <w:lang w:val="ro-RO"/>
        </w:rPr>
        <w:t>,</w:t>
      </w:r>
      <w:r w:rsidR="007E43A1" w:rsidRPr="00F77762">
        <w:rPr>
          <w:rFonts w:asciiTheme="majorHAnsi" w:eastAsia="Times New Roman" w:hAnsiTheme="majorHAnsi" w:cstheme="majorHAnsi"/>
          <w:b/>
          <w:sz w:val="24"/>
          <w:szCs w:val="24"/>
          <w:lang w:val="ro-RO"/>
        </w:rPr>
        <w:t xml:space="preserve"> fără a fi delimitate pe </w:t>
      </w:r>
      <w:r w:rsidR="00B43C6F" w:rsidRPr="00F77762">
        <w:rPr>
          <w:rFonts w:asciiTheme="majorHAnsi" w:eastAsia="Times New Roman" w:hAnsiTheme="majorHAnsi" w:cstheme="majorHAnsi"/>
          <w:b/>
          <w:sz w:val="24"/>
          <w:szCs w:val="24"/>
          <w:lang w:val="ro-RO"/>
        </w:rPr>
        <w:t xml:space="preserve">alte </w:t>
      </w:r>
      <w:r w:rsidR="007E43A1" w:rsidRPr="00F77762">
        <w:rPr>
          <w:rFonts w:asciiTheme="majorHAnsi" w:eastAsia="Times New Roman" w:hAnsiTheme="majorHAnsi" w:cstheme="majorHAnsi"/>
          <w:b/>
          <w:sz w:val="24"/>
          <w:szCs w:val="24"/>
          <w:lang w:val="ro-RO"/>
        </w:rPr>
        <w:t>subprograme și activități</w:t>
      </w:r>
      <w:r w:rsidR="002C3C33" w:rsidRPr="00F77762">
        <w:rPr>
          <w:rFonts w:asciiTheme="majorHAnsi" w:eastAsia="Times New Roman" w:hAnsiTheme="majorHAnsi" w:cstheme="majorHAnsi"/>
          <w:b/>
          <w:sz w:val="24"/>
          <w:szCs w:val="24"/>
          <w:lang w:val="ro-RO"/>
        </w:rPr>
        <w:t>.</w:t>
      </w:r>
      <w:r w:rsidR="002C3C33" w:rsidRPr="00F77762">
        <w:rPr>
          <w:rFonts w:asciiTheme="majorHAnsi" w:eastAsia="Times New Roman" w:hAnsiTheme="majorHAnsi" w:cstheme="majorHAnsi"/>
          <w:sz w:val="24"/>
          <w:szCs w:val="24"/>
          <w:lang w:val="ro-RO"/>
        </w:rPr>
        <w:t xml:space="preserve"> De menționat că</w:t>
      </w:r>
      <w:r w:rsidR="00C41D3A" w:rsidRPr="00F77762">
        <w:rPr>
          <w:rFonts w:asciiTheme="majorHAnsi" w:eastAsia="Times New Roman" w:hAnsiTheme="majorHAnsi" w:cstheme="majorHAnsi"/>
          <w:sz w:val="24"/>
          <w:szCs w:val="24"/>
          <w:lang w:val="ro-RO"/>
        </w:rPr>
        <w:t>,</w:t>
      </w:r>
      <w:r w:rsidR="00167508" w:rsidRPr="00F77762">
        <w:rPr>
          <w:rFonts w:asciiTheme="majorHAnsi" w:eastAsia="Times New Roman" w:hAnsiTheme="majorHAnsi" w:cstheme="majorHAnsi"/>
          <w:sz w:val="24"/>
          <w:szCs w:val="24"/>
          <w:lang w:val="ro-RO"/>
        </w:rPr>
        <w:t xml:space="preserve"> ulterior </w:t>
      </w:r>
      <w:r w:rsidR="00D127E3" w:rsidRPr="00F77762">
        <w:rPr>
          <w:rFonts w:asciiTheme="majorHAnsi" w:eastAsia="Times New Roman" w:hAnsiTheme="majorHAnsi" w:cstheme="majorHAnsi"/>
          <w:sz w:val="24"/>
          <w:szCs w:val="24"/>
          <w:lang w:val="ro-RO"/>
        </w:rPr>
        <w:t>la rectificarea bugetului</w:t>
      </w:r>
      <w:r w:rsidR="00097B27" w:rsidRPr="00F77762">
        <w:rPr>
          <w:rFonts w:asciiTheme="majorHAnsi" w:eastAsia="Times New Roman" w:hAnsiTheme="majorHAnsi" w:cstheme="majorHAnsi"/>
          <w:sz w:val="24"/>
          <w:szCs w:val="24"/>
          <w:lang w:val="ro-RO"/>
        </w:rPr>
        <w:t>,</w:t>
      </w:r>
      <w:r w:rsidR="00D127E3" w:rsidRPr="00F77762">
        <w:rPr>
          <w:rFonts w:asciiTheme="majorHAnsi" w:eastAsia="Times New Roman" w:hAnsiTheme="majorHAnsi" w:cstheme="majorHAnsi"/>
          <w:sz w:val="24"/>
          <w:szCs w:val="24"/>
          <w:lang w:val="ro-RO"/>
        </w:rPr>
        <w:t xml:space="preserve"> </w:t>
      </w:r>
      <w:r w:rsidR="00CB65DF" w:rsidRPr="00F77762">
        <w:rPr>
          <w:rFonts w:asciiTheme="majorHAnsi" w:eastAsia="Times New Roman" w:hAnsiTheme="majorHAnsi" w:cstheme="majorHAnsi"/>
          <w:sz w:val="24"/>
          <w:szCs w:val="24"/>
          <w:lang w:val="ro-RO"/>
        </w:rPr>
        <w:t xml:space="preserve">deși </w:t>
      </w:r>
      <w:r w:rsidR="001B144A" w:rsidRPr="00F77762">
        <w:rPr>
          <w:rFonts w:asciiTheme="majorHAnsi" w:eastAsia="Times New Roman" w:hAnsiTheme="majorHAnsi" w:cstheme="majorHAnsi"/>
          <w:sz w:val="24"/>
          <w:szCs w:val="24"/>
          <w:lang w:val="ro-RO"/>
        </w:rPr>
        <w:t>aceste</w:t>
      </w:r>
      <w:r w:rsidR="002C3C33" w:rsidRPr="00F77762">
        <w:rPr>
          <w:rFonts w:asciiTheme="majorHAnsi" w:eastAsia="Times New Roman" w:hAnsiTheme="majorHAnsi" w:cstheme="majorHAnsi"/>
          <w:sz w:val="24"/>
          <w:szCs w:val="24"/>
          <w:lang w:val="ro-RO"/>
        </w:rPr>
        <w:t xml:space="preserve"> alocații au fost </w:t>
      </w:r>
      <w:r w:rsidR="00D127E3" w:rsidRPr="00F77762">
        <w:rPr>
          <w:rFonts w:asciiTheme="majorHAnsi" w:eastAsia="Times New Roman" w:hAnsiTheme="majorHAnsi" w:cstheme="majorHAnsi"/>
          <w:sz w:val="24"/>
          <w:szCs w:val="24"/>
          <w:lang w:val="ro-RO"/>
        </w:rPr>
        <w:t>majorate</w:t>
      </w:r>
      <w:r w:rsidR="007A5504" w:rsidRPr="00F77762">
        <w:rPr>
          <w:rFonts w:asciiTheme="majorHAnsi" w:eastAsia="Times New Roman" w:hAnsiTheme="majorHAnsi" w:cstheme="majorHAnsi"/>
          <w:sz w:val="24"/>
          <w:szCs w:val="24"/>
          <w:lang w:val="ro-RO"/>
        </w:rPr>
        <w:t xml:space="preserve"> de circa 19,8 ori</w:t>
      </w:r>
      <w:r w:rsidR="00097B27" w:rsidRPr="00F77762">
        <w:rPr>
          <w:rFonts w:asciiTheme="majorHAnsi" w:eastAsia="Times New Roman" w:hAnsiTheme="majorHAnsi" w:cstheme="majorHAnsi"/>
          <w:sz w:val="24"/>
          <w:szCs w:val="24"/>
          <w:lang w:val="ro-RO"/>
        </w:rPr>
        <w:t>,</w:t>
      </w:r>
      <w:r w:rsidR="007A5504" w:rsidRPr="00F77762">
        <w:rPr>
          <w:rFonts w:asciiTheme="majorHAnsi" w:eastAsia="Times New Roman" w:hAnsiTheme="majorHAnsi" w:cstheme="majorHAnsi"/>
          <w:sz w:val="24"/>
          <w:szCs w:val="24"/>
          <w:lang w:val="ro-RO"/>
        </w:rPr>
        <w:t xml:space="preserve"> sau</w:t>
      </w:r>
      <w:r w:rsidR="00D127E3" w:rsidRPr="00F77762">
        <w:rPr>
          <w:rFonts w:asciiTheme="majorHAnsi" w:eastAsia="Times New Roman" w:hAnsiTheme="majorHAnsi" w:cstheme="majorHAnsi"/>
          <w:sz w:val="24"/>
          <w:szCs w:val="24"/>
          <w:lang w:val="ro-RO"/>
        </w:rPr>
        <w:t xml:space="preserve"> cu 545,9 mil. lei (</w:t>
      </w:r>
      <w:r w:rsidR="00167508" w:rsidRPr="00F77762">
        <w:rPr>
          <w:rFonts w:asciiTheme="majorHAnsi" w:eastAsia="Times New Roman" w:hAnsiTheme="majorHAnsi" w:cstheme="majorHAnsi"/>
          <w:sz w:val="24"/>
          <w:szCs w:val="24"/>
          <w:lang w:val="ro-RO"/>
        </w:rPr>
        <w:t>574,9 mil. lei</w:t>
      </w:r>
      <w:r w:rsidR="00D127E3" w:rsidRPr="00F77762">
        <w:rPr>
          <w:rFonts w:asciiTheme="majorHAnsi" w:eastAsia="Times New Roman" w:hAnsiTheme="majorHAnsi" w:cstheme="majorHAnsi"/>
          <w:sz w:val="24"/>
          <w:szCs w:val="24"/>
          <w:lang w:val="ro-RO"/>
        </w:rPr>
        <w:t>)</w:t>
      </w:r>
      <w:r w:rsidR="00020F73" w:rsidRPr="00F77762">
        <w:rPr>
          <w:rFonts w:asciiTheme="majorHAnsi" w:eastAsia="Times New Roman" w:hAnsiTheme="majorHAnsi" w:cstheme="majorHAnsi"/>
          <w:sz w:val="24"/>
          <w:szCs w:val="24"/>
          <w:lang w:val="ro-RO"/>
        </w:rPr>
        <w:t xml:space="preserve">, </w:t>
      </w:r>
      <w:r w:rsidR="00CB65DF" w:rsidRPr="00F77762">
        <w:rPr>
          <w:rFonts w:asciiTheme="majorHAnsi" w:eastAsia="Times New Roman" w:hAnsiTheme="majorHAnsi" w:cstheme="majorHAnsi"/>
          <w:sz w:val="24"/>
          <w:szCs w:val="24"/>
          <w:lang w:val="ro-RO"/>
        </w:rPr>
        <w:t xml:space="preserve"> acestea au fost executate </w:t>
      </w:r>
      <w:r w:rsidR="0074798B" w:rsidRPr="00F77762">
        <w:rPr>
          <w:rFonts w:asciiTheme="majorHAnsi" w:eastAsia="Times New Roman" w:hAnsiTheme="majorHAnsi" w:cstheme="majorHAnsi"/>
          <w:sz w:val="24"/>
          <w:szCs w:val="24"/>
          <w:lang w:val="ro-RO"/>
        </w:rPr>
        <w:t>la nivel de 25,2</w:t>
      </w:r>
      <w:r w:rsidR="006E44AF" w:rsidRPr="00F77762">
        <w:rPr>
          <w:rFonts w:asciiTheme="majorHAnsi" w:eastAsia="Times New Roman" w:hAnsiTheme="majorHAnsi" w:cstheme="majorHAnsi"/>
          <w:sz w:val="24"/>
          <w:szCs w:val="24"/>
          <w:lang w:val="ro-RO"/>
        </w:rPr>
        <w:t>%</w:t>
      </w:r>
      <w:r w:rsidR="00097B27" w:rsidRPr="00F77762">
        <w:rPr>
          <w:rFonts w:asciiTheme="majorHAnsi" w:eastAsia="Times New Roman" w:hAnsiTheme="majorHAnsi" w:cstheme="majorHAnsi"/>
          <w:sz w:val="24"/>
          <w:szCs w:val="24"/>
          <w:lang w:val="ro-RO"/>
        </w:rPr>
        <w:t>,</w:t>
      </w:r>
      <w:r w:rsidR="006E44AF" w:rsidRPr="00F77762">
        <w:rPr>
          <w:rFonts w:asciiTheme="majorHAnsi" w:eastAsia="Times New Roman" w:hAnsiTheme="majorHAnsi" w:cstheme="majorHAnsi"/>
          <w:sz w:val="24"/>
          <w:szCs w:val="24"/>
          <w:lang w:val="ro-RO"/>
        </w:rPr>
        <w:t xml:space="preserve"> sau </w:t>
      </w:r>
      <w:r w:rsidR="00167508" w:rsidRPr="00F77762">
        <w:rPr>
          <w:rFonts w:asciiTheme="majorHAnsi" w:eastAsia="Times New Roman" w:hAnsiTheme="majorHAnsi" w:cstheme="majorHAnsi"/>
          <w:sz w:val="24"/>
          <w:szCs w:val="24"/>
          <w:lang w:val="ro-RO"/>
        </w:rPr>
        <w:t xml:space="preserve">în sumă de </w:t>
      </w:r>
      <w:r w:rsidR="0074798B" w:rsidRPr="00F77762">
        <w:rPr>
          <w:rFonts w:asciiTheme="majorHAnsi" w:eastAsia="Times New Roman" w:hAnsiTheme="majorHAnsi" w:cstheme="majorHAnsi"/>
          <w:sz w:val="24"/>
          <w:szCs w:val="24"/>
          <w:lang w:val="ro-RO"/>
        </w:rPr>
        <w:t>144,7</w:t>
      </w:r>
      <w:r w:rsidR="00167508" w:rsidRPr="00F77762">
        <w:rPr>
          <w:rFonts w:asciiTheme="majorHAnsi" w:eastAsia="Times New Roman" w:hAnsiTheme="majorHAnsi" w:cstheme="majorHAnsi"/>
          <w:sz w:val="24"/>
          <w:szCs w:val="24"/>
          <w:lang w:val="ro-RO"/>
        </w:rPr>
        <w:t xml:space="preserve"> mil. lei.</w:t>
      </w:r>
      <w:r w:rsidR="00D027B2" w:rsidRPr="00F77762">
        <w:rPr>
          <w:rFonts w:asciiTheme="majorHAnsi" w:eastAsia="Times New Roman" w:hAnsiTheme="majorHAnsi" w:cstheme="majorHAnsi"/>
          <w:sz w:val="24"/>
          <w:szCs w:val="24"/>
          <w:lang w:val="ro-RO"/>
        </w:rPr>
        <w:t xml:space="preserve"> </w:t>
      </w:r>
      <w:r w:rsidR="00020F73" w:rsidRPr="00F77762">
        <w:rPr>
          <w:rFonts w:asciiTheme="majorHAnsi" w:eastAsia="Times New Roman" w:hAnsiTheme="majorHAnsi" w:cstheme="majorHAnsi"/>
          <w:sz w:val="24"/>
          <w:szCs w:val="24"/>
          <w:lang w:val="ro-RO"/>
        </w:rPr>
        <w:t>A</w:t>
      </w:r>
      <w:r w:rsidR="005F45BB" w:rsidRPr="00F77762">
        <w:rPr>
          <w:rFonts w:asciiTheme="majorHAnsi" w:eastAsia="Times New Roman" w:hAnsiTheme="majorHAnsi" w:cstheme="majorHAnsi"/>
          <w:sz w:val="24"/>
          <w:szCs w:val="24"/>
          <w:lang w:val="ro-RO"/>
        </w:rPr>
        <w:t>naliza a</w:t>
      </w:r>
      <w:r w:rsidR="00020F73" w:rsidRPr="00F77762">
        <w:rPr>
          <w:rFonts w:asciiTheme="majorHAnsi" w:eastAsia="Times New Roman" w:hAnsiTheme="majorHAnsi" w:cstheme="majorHAnsi"/>
          <w:sz w:val="24"/>
          <w:szCs w:val="24"/>
          <w:lang w:val="ro-RO"/>
        </w:rPr>
        <w:t>uditul</w:t>
      </w:r>
      <w:r w:rsidR="005F45BB" w:rsidRPr="00F77762">
        <w:rPr>
          <w:rFonts w:asciiTheme="majorHAnsi" w:eastAsia="Times New Roman" w:hAnsiTheme="majorHAnsi" w:cstheme="majorHAnsi"/>
          <w:sz w:val="24"/>
          <w:szCs w:val="24"/>
          <w:lang w:val="ro-RO"/>
        </w:rPr>
        <w:t xml:space="preserve">ui denotă </w:t>
      </w:r>
      <w:r w:rsidR="00020F73" w:rsidRPr="00F77762">
        <w:rPr>
          <w:rFonts w:asciiTheme="majorHAnsi" w:eastAsia="Times New Roman" w:hAnsiTheme="majorHAnsi" w:cstheme="majorHAnsi"/>
          <w:sz w:val="24"/>
          <w:szCs w:val="24"/>
          <w:lang w:val="ro-RO"/>
        </w:rPr>
        <w:t>că indicatorul</w:t>
      </w:r>
      <w:r w:rsidR="00020F73" w:rsidRPr="00F55BA6">
        <w:rPr>
          <w:rFonts w:asciiTheme="majorHAnsi" w:eastAsia="Times New Roman" w:hAnsiTheme="majorHAnsi" w:cstheme="majorHAnsi"/>
          <w:sz w:val="24"/>
          <w:szCs w:val="24"/>
          <w:lang w:val="ro-RO"/>
        </w:rPr>
        <w:t xml:space="preserve"> respectiv este reflectat de către MF în sumă de 414,1 mil. lei</w:t>
      </w:r>
      <w:r w:rsidR="00097B27" w:rsidRPr="00F55BA6">
        <w:rPr>
          <w:rFonts w:asciiTheme="majorHAnsi" w:eastAsia="Times New Roman" w:hAnsiTheme="majorHAnsi" w:cstheme="majorHAnsi"/>
          <w:sz w:val="24"/>
          <w:szCs w:val="24"/>
          <w:lang w:val="ro-RO"/>
        </w:rPr>
        <w:t>,</w:t>
      </w:r>
      <w:r w:rsidR="00020F73" w:rsidRPr="00F55BA6">
        <w:rPr>
          <w:rFonts w:asciiTheme="majorHAnsi" w:eastAsia="Times New Roman" w:hAnsiTheme="majorHAnsi" w:cstheme="majorHAnsi"/>
          <w:sz w:val="24"/>
          <w:szCs w:val="24"/>
          <w:lang w:val="ro-RO"/>
        </w:rPr>
        <w:t xml:space="preserve"> sau cu o diferență față de legea bugetară anuală </w:t>
      </w:r>
      <w:r w:rsidR="00D8683A" w:rsidRPr="00F55BA6">
        <w:rPr>
          <w:rFonts w:asciiTheme="majorHAnsi" w:eastAsia="Times New Roman" w:hAnsiTheme="majorHAnsi" w:cstheme="majorHAnsi"/>
          <w:sz w:val="24"/>
          <w:szCs w:val="24"/>
          <w:lang w:val="ro-RO"/>
        </w:rPr>
        <w:t>de</w:t>
      </w:r>
      <w:r w:rsidR="00020F73" w:rsidRPr="00F55BA6">
        <w:rPr>
          <w:rFonts w:asciiTheme="majorHAnsi" w:eastAsia="Times New Roman" w:hAnsiTheme="majorHAnsi" w:cstheme="majorHAnsi"/>
          <w:sz w:val="24"/>
          <w:szCs w:val="24"/>
          <w:lang w:val="ro-RO"/>
        </w:rPr>
        <w:t xml:space="preserve"> 160,8 mil. lei. </w:t>
      </w:r>
      <w:r w:rsidR="00D027B2" w:rsidRPr="00F55BA6">
        <w:rPr>
          <w:rFonts w:asciiTheme="majorHAnsi" w:eastAsia="Times New Roman" w:hAnsiTheme="majorHAnsi" w:cstheme="majorHAnsi"/>
          <w:sz w:val="24"/>
          <w:szCs w:val="24"/>
          <w:lang w:val="ro-RO"/>
        </w:rPr>
        <w:t>Astfel,</w:t>
      </w:r>
      <w:r w:rsidR="002278EE" w:rsidRPr="00F55BA6">
        <w:rPr>
          <w:rFonts w:asciiTheme="majorHAnsi" w:eastAsia="Times New Roman" w:hAnsiTheme="majorHAnsi" w:cstheme="majorHAnsi"/>
          <w:sz w:val="24"/>
          <w:szCs w:val="24"/>
          <w:lang w:val="ro-RO"/>
        </w:rPr>
        <w:t xml:space="preserve"> la acest compartiment exemplificăm</w:t>
      </w:r>
      <w:r w:rsidR="00621392" w:rsidRPr="00F55BA6">
        <w:rPr>
          <w:rFonts w:asciiTheme="majorHAnsi" w:eastAsia="Times New Roman" w:hAnsiTheme="majorHAnsi" w:cstheme="majorHAnsi"/>
          <w:sz w:val="24"/>
          <w:szCs w:val="24"/>
          <w:lang w:val="ro-RO"/>
        </w:rPr>
        <w:t xml:space="preserve"> unele tipuri de cheltuieli</w:t>
      </w:r>
      <w:r w:rsidR="00097B27" w:rsidRPr="00F55BA6">
        <w:rPr>
          <w:rFonts w:asciiTheme="majorHAnsi" w:eastAsia="Times New Roman" w:hAnsiTheme="majorHAnsi" w:cstheme="majorHAnsi"/>
          <w:sz w:val="24"/>
          <w:szCs w:val="24"/>
          <w:lang w:val="ro-RO"/>
        </w:rPr>
        <w:t>,</w:t>
      </w:r>
      <w:r w:rsidR="00621392" w:rsidRPr="00F55BA6">
        <w:rPr>
          <w:rFonts w:asciiTheme="majorHAnsi" w:eastAsia="Times New Roman" w:hAnsiTheme="majorHAnsi" w:cstheme="majorHAnsi"/>
          <w:sz w:val="24"/>
          <w:szCs w:val="24"/>
          <w:lang w:val="ro-RO"/>
        </w:rPr>
        <w:t xml:space="preserve"> precum</w:t>
      </w:r>
      <w:r w:rsidR="002278EE" w:rsidRPr="00F55BA6">
        <w:rPr>
          <w:rFonts w:asciiTheme="majorHAnsi" w:eastAsia="Times New Roman" w:hAnsiTheme="majorHAnsi" w:cstheme="majorHAnsi"/>
          <w:sz w:val="24"/>
          <w:szCs w:val="24"/>
          <w:lang w:val="ro-RO"/>
        </w:rPr>
        <w:t>:</w:t>
      </w:r>
    </w:p>
    <w:p w:rsidR="002E57B2" w:rsidRPr="00F55BA6" w:rsidRDefault="001564EC" w:rsidP="00DB6BC4">
      <w:pPr>
        <w:pStyle w:val="af0"/>
        <w:numPr>
          <w:ilvl w:val="0"/>
          <w:numId w:val="5"/>
        </w:numPr>
        <w:tabs>
          <w:tab w:val="left" w:pos="284"/>
          <w:tab w:val="left" w:pos="993"/>
        </w:tabs>
        <w:spacing w:after="0" w:line="276" w:lineRule="auto"/>
        <w:ind w:left="0" w:firstLine="0"/>
        <w:rPr>
          <w:rFonts w:asciiTheme="majorHAnsi" w:eastAsia="Times New Roman" w:hAnsiTheme="majorHAnsi" w:cstheme="majorHAnsi"/>
          <w:sz w:val="24"/>
          <w:szCs w:val="24"/>
          <w:lang w:val="ro-RO"/>
        </w:rPr>
      </w:pPr>
      <w:r w:rsidRPr="00F55BA6">
        <w:rPr>
          <w:rFonts w:asciiTheme="majorHAnsi" w:eastAsia="Times New Roman" w:hAnsiTheme="majorHAnsi" w:cstheme="majorHAnsi"/>
          <w:i/>
          <w:sz w:val="24"/>
          <w:szCs w:val="24"/>
          <w:lang w:val="ro-RO"/>
        </w:rPr>
        <w:t>l</w:t>
      </w:r>
      <w:r w:rsidR="007E43A1" w:rsidRPr="00F55BA6">
        <w:rPr>
          <w:rFonts w:asciiTheme="majorHAnsi" w:eastAsia="Times New Roman" w:hAnsiTheme="majorHAnsi" w:cstheme="majorHAnsi"/>
          <w:i/>
          <w:sz w:val="24"/>
          <w:szCs w:val="24"/>
          <w:lang w:val="ro-RO"/>
        </w:rPr>
        <w:t xml:space="preserve">a </w:t>
      </w:r>
      <w:r w:rsidR="00B449B2" w:rsidRPr="00F55BA6">
        <w:rPr>
          <w:rFonts w:asciiTheme="majorHAnsi" w:eastAsia="Times New Roman" w:hAnsiTheme="majorHAnsi" w:cstheme="majorHAnsi"/>
          <w:i/>
          <w:sz w:val="24"/>
          <w:szCs w:val="24"/>
          <w:lang w:val="ro-RO"/>
        </w:rPr>
        <w:t>activități centralizate</w:t>
      </w:r>
      <w:r w:rsidR="00B449B2" w:rsidRPr="00F55BA6">
        <w:rPr>
          <w:rFonts w:asciiTheme="majorHAnsi" w:eastAsia="Times New Roman" w:hAnsiTheme="majorHAnsi" w:cstheme="majorHAnsi"/>
          <w:sz w:val="24"/>
          <w:szCs w:val="24"/>
          <w:lang w:val="ro-RO"/>
        </w:rPr>
        <w:t xml:space="preserve"> este reflectat soldul alocațiilor neutilizate la </w:t>
      </w:r>
      <w:r w:rsidR="00A4178A" w:rsidRPr="00F55BA6">
        <w:rPr>
          <w:rFonts w:asciiTheme="majorHAnsi" w:eastAsia="Times New Roman" w:hAnsiTheme="majorHAnsi" w:cstheme="majorHAnsi"/>
          <w:sz w:val="24"/>
          <w:szCs w:val="24"/>
          <w:lang w:val="ro-RO"/>
        </w:rPr>
        <w:t xml:space="preserve">codul economic 21 </w:t>
      </w:r>
      <w:r w:rsidRPr="00F55BA6">
        <w:rPr>
          <w:rFonts w:asciiTheme="majorHAnsi" w:eastAsia="Times New Roman" w:hAnsiTheme="majorHAnsi" w:cstheme="majorHAnsi"/>
          <w:sz w:val="24"/>
          <w:szCs w:val="24"/>
          <w:lang w:val="ro-RO"/>
        </w:rPr>
        <w:t>„</w:t>
      </w:r>
      <w:r w:rsidR="00A4178A" w:rsidRPr="00F55BA6">
        <w:rPr>
          <w:rFonts w:asciiTheme="majorHAnsi" w:eastAsia="Times New Roman" w:hAnsiTheme="majorHAnsi" w:cstheme="majorHAnsi"/>
          <w:sz w:val="24"/>
          <w:szCs w:val="24"/>
          <w:lang w:val="ro-RO"/>
        </w:rPr>
        <w:t>cheltuieli de personal”</w:t>
      </w:r>
      <w:r w:rsidR="00EE2CF7" w:rsidRPr="00F55BA6">
        <w:rPr>
          <w:rFonts w:asciiTheme="majorHAnsi" w:eastAsia="Times New Roman" w:hAnsiTheme="majorHAnsi" w:cstheme="majorHAnsi"/>
          <w:sz w:val="24"/>
          <w:szCs w:val="24"/>
          <w:lang w:val="ro-RO"/>
        </w:rPr>
        <w:t xml:space="preserve"> în sumă de 214,2 mil. lei</w:t>
      </w:r>
      <w:r w:rsidR="00D8683A" w:rsidRPr="00F55BA6">
        <w:rPr>
          <w:rFonts w:asciiTheme="majorHAnsi" w:eastAsia="Times New Roman" w:hAnsiTheme="majorHAnsi" w:cstheme="majorHAnsi"/>
          <w:sz w:val="24"/>
          <w:szCs w:val="24"/>
          <w:lang w:val="ro-RO"/>
        </w:rPr>
        <w:t xml:space="preserve"> </w:t>
      </w:r>
      <w:r w:rsidR="00D8683A" w:rsidRPr="00F55BA6">
        <w:rPr>
          <w:rFonts w:asciiTheme="majorHAnsi" w:eastAsia="Times New Roman" w:hAnsiTheme="majorHAnsi" w:cstheme="majorHAnsi"/>
          <w:i/>
          <w:sz w:val="24"/>
          <w:szCs w:val="24"/>
          <w:lang w:val="ro-RO"/>
        </w:rPr>
        <w:t>(vezi c</w:t>
      </w:r>
      <w:r w:rsidR="0025473D" w:rsidRPr="00F55BA6">
        <w:rPr>
          <w:rFonts w:asciiTheme="majorHAnsi" w:eastAsia="Times New Roman" w:hAnsiTheme="majorHAnsi" w:cstheme="majorHAnsi"/>
          <w:i/>
          <w:sz w:val="24"/>
          <w:szCs w:val="24"/>
          <w:lang w:val="ro-RO"/>
        </w:rPr>
        <w:t>onstatarea de la pct.6.</w:t>
      </w:r>
      <w:r w:rsidR="00A56AA0" w:rsidRPr="00F55BA6">
        <w:rPr>
          <w:rFonts w:asciiTheme="majorHAnsi" w:eastAsia="Times New Roman" w:hAnsiTheme="majorHAnsi" w:cstheme="majorHAnsi"/>
          <w:i/>
          <w:sz w:val="24"/>
          <w:szCs w:val="24"/>
          <w:lang w:val="ro-RO"/>
        </w:rPr>
        <w:t>7</w:t>
      </w:r>
      <w:r w:rsidR="0025473D" w:rsidRPr="00F55BA6">
        <w:rPr>
          <w:rFonts w:asciiTheme="majorHAnsi" w:eastAsia="Times New Roman" w:hAnsiTheme="majorHAnsi" w:cstheme="majorHAnsi"/>
          <w:i/>
          <w:sz w:val="24"/>
          <w:szCs w:val="24"/>
          <w:lang w:val="ro-RO"/>
        </w:rPr>
        <w:t xml:space="preserve"> din Raportul de audit)</w:t>
      </w:r>
      <w:r w:rsidRPr="00F55BA6">
        <w:rPr>
          <w:rFonts w:asciiTheme="majorHAnsi" w:eastAsia="Times New Roman" w:hAnsiTheme="majorHAnsi" w:cstheme="majorHAnsi"/>
          <w:i/>
          <w:sz w:val="24"/>
          <w:szCs w:val="24"/>
          <w:lang w:val="ro-RO"/>
        </w:rPr>
        <w:t>;</w:t>
      </w:r>
      <w:r w:rsidR="00A2544E" w:rsidRPr="00F55BA6">
        <w:rPr>
          <w:rFonts w:asciiTheme="majorHAnsi" w:eastAsia="Times New Roman" w:hAnsiTheme="majorHAnsi" w:cstheme="majorHAnsi"/>
          <w:sz w:val="24"/>
          <w:szCs w:val="24"/>
          <w:lang w:val="ro-RO"/>
        </w:rPr>
        <w:t xml:space="preserve"> </w:t>
      </w:r>
    </w:p>
    <w:p w:rsidR="003C2CD8" w:rsidRPr="00F55BA6" w:rsidRDefault="001564EC" w:rsidP="001564EC">
      <w:pPr>
        <w:pStyle w:val="af0"/>
        <w:numPr>
          <w:ilvl w:val="0"/>
          <w:numId w:val="5"/>
        </w:numPr>
        <w:tabs>
          <w:tab w:val="left" w:pos="284"/>
          <w:tab w:val="left" w:pos="993"/>
        </w:tabs>
        <w:spacing w:after="0" w:line="276" w:lineRule="auto"/>
        <w:ind w:left="0" w:firstLine="0"/>
        <w:rPr>
          <w:rFonts w:asciiTheme="majorHAnsi" w:eastAsia="Times New Roman" w:hAnsiTheme="majorHAnsi" w:cstheme="majorHAnsi"/>
          <w:sz w:val="24"/>
          <w:szCs w:val="24"/>
          <w:lang w:val="ro-RO"/>
        </w:rPr>
      </w:pPr>
      <w:r w:rsidRPr="00F55BA6">
        <w:rPr>
          <w:rFonts w:asciiTheme="majorHAnsi" w:eastAsia="Times New Roman" w:hAnsiTheme="majorHAnsi" w:cstheme="majorHAnsi"/>
          <w:i/>
          <w:sz w:val="24"/>
          <w:szCs w:val="24"/>
          <w:lang w:val="ro-RO"/>
        </w:rPr>
        <w:lastRenderedPageBreak/>
        <w:t>p</w:t>
      </w:r>
      <w:r w:rsidR="00F70D7F" w:rsidRPr="00F55BA6">
        <w:rPr>
          <w:rFonts w:asciiTheme="majorHAnsi" w:eastAsia="Times New Roman" w:hAnsiTheme="majorHAnsi" w:cstheme="majorHAnsi"/>
          <w:i/>
          <w:sz w:val="24"/>
          <w:szCs w:val="24"/>
          <w:lang w:val="ro-RO"/>
        </w:rPr>
        <w:t xml:space="preserve">entru despăgubiri civile </w:t>
      </w:r>
      <w:r w:rsidR="00F70D7F" w:rsidRPr="00F55BA6">
        <w:rPr>
          <w:rFonts w:asciiTheme="majorHAnsi" w:eastAsia="Times New Roman" w:hAnsiTheme="majorHAnsi" w:cstheme="majorHAnsi"/>
          <w:sz w:val="24"/>
          <w:szCs w:val="24"/>
          <w:lang w:val="ro-RO"/>
        </w:rPr>
        <w:t>i</w:t>
      </w:r>
      <w:r w:rsidR="005737F5" w:rsidRPr="00F55BA6">
        <w:rPr>
          <w:rFonts w:asciiTheme="majorHAnsi" w:eastAsia="Times New Roman" w:hAnsiTheme="majorHAnsi" w:cstheme="majorHAnsi"/>
          <w:sz w:val="24"/>
          <w:szCs w:val="24"/>
          <w:lang w:val="ro-RO"/>
        </w:rPr>
        <w:t>nițial au fost aprobate 19,0 mil. lei, precizate 89,9 mil. lei</w:t>
      </w:r>
      <w:r w:rsidRPr="00F55BA6">
        <w:rPr>
          <w:rFonts w:asciiTheme="majorHAnsi" w:eastAsia="Times New Roman" w:hAnsiTheme="majorHAnsi" w:cstheme="majorHAnsi"/>
          <w:sz w:val="24"/>
          <w:szCs w:val="24"/>
          <w:lang w:val="ro-RO"/>
        </w:rPr>
        <w:t>,</w:t>
      </w:r>
      <w:r w:rsidR="005737F5" w:rsidRPr="00F55BA6">
        <w:rPr>
          <w:rFonts w:asciiTheme="majorHAnsi" w:eastAsia="Times New Roman" w:hAnsiTheme="majorHAnsi" w:cstheme="majorHAnsi"/>
          <w:sz w:val="24"/>
          <w:szCs w:val="24"/>
          <w:lang w:val="ro-RO"/>
        </w:rPr>
        <w:t xml:space="preserve"> din care executate 5</w:t>
      </w:r>
      <w:r w:rsidR="00625233" w:rsidRPr="00F55BA6">
        <w:rPr>
          <w:rFonts w:asciiTheme="majorHAnsi" w:eastAsia="Times New Roman" w:hAnsiTheme="majorHAnsi" w:cstheme="majorHAnsi"/>
          <w:sz w:val="24"/>
          <w:szCs w:val="24"/>
          <w:lang w:val="ro-RO"/>
        </w:rPr>
        <w:t>1,5 mil. lei</w:t>
      </w:r>
      <w:r w:rsidRPr="00F55BA6">
        <w:rPr>
          <w:rFonts w:asciiTheme="majorHAnsi" w:eastAsia="Times New Roman" w:hAnsiTheme="majorHAnsi" w:cstheme="majorHAnsi"/>
          <w:sz w:val="24"/>
          <w:szCs w:val="24"/>
          <w:lang w:val="ro-RO"/>
        </w:rPr>
        <w:t>,</w:t>
      </w:r>
      <w:r w:rsidR="00625233" w:rsidRPr="00F55BA6">
        <w:rPr>
          <w:rFonts w:asciiTheme="majorHAnsi" w:eastAsia="Times New Roman" w:hAnsiTheme="majorHAnsi" w:cstheme="majorHAnsi"/>
          <w:sz w:val="24"/>
          <w:szCs w:val="24"/>
          <w:lang w:val="ro-RO"/>
        </w:rPr>
        <w:t xml:space="preserve"> sau 57,3%. </w:t>
      </w:r>
      <w:r w:rsidR="003E4C39" w:rsidRPr="00F55BA6">
        <w:rPr>
          <w:rFonts w:asciiTheme="majorHAnsi" w:eastAsia="Times New Roman" w:hAnsiTheme="majorHAnsi" w:cstheme="majorHAnsi"/>
          <w:sz w:val="24"/>
          <w:szCs w:val="24"/>
          <w:lang w:val="ro-RO"/>
        </w:rPr>
        <w:t>Totodată</w:t>
      </w:r>
      <w:r w:rsidR="003D4BEB" w:rsidRPr="00F55BA6">
        <w:rPr>
          <w:rFonts w:asciiTheme="majorHAnsi" w:eastAsia="Times New Roman" w:hAnsiTheme="majorHAnsi" w:cstheme="majorHAnsi"/>
          <w:sz w:val="24"/>
          <w:szCs w:val="24"/>
          <w:lang w:val="ro-RO"/>
        </w:rPr>
        <w:t xml:space="preserve">, la codul economic 28136 </w:t>
      </w:r>
      <w:r w:rsidRPr="00F55BA6">
        <w:rPr>
          <w:rFonts w:asciiTheme="majorHAnsi" w:eastAsia="Times New Roman" w:hAnsiTheme="majorHAnsi" w:cstheme="majorHAnsi"/>
          <w:sz w:val="24"/>
          <w:szCs w:val="24"/>
          <w:lang w:val="ro-RO"/>
        </w:rPr>
        <w:t>„</w:t>
      </w:r>
      <w:r w:rsidR="003D4BEB" w:rsidRPr="00F55BA6">
        <w:rPr>
          <w:rFonts w:asciiTheme="majorHAnsi" w:eastAsia="Times New Roman" w:hAnsiTheme="majorHAnsi" w:cstheme="majorHAnsi"/>
          <w:sz w:val="24"/>
          <w:szCs w:val="24"/>
          <w:lang w:val="ro-RO"/>
        </w:rPr>
        <w:t>Plăți aferente documentelor executorii” au fost aprobate alocații în sumă de 97,0 mil. lei</w:t>
      </w:r>
      <w:r w:rsidR="003E4C39" w:rsidRPr="00F55BA6">
        <w:rPr>
          <w:rFonts w:asciiTheme="majorHAnsi" w:eastAsia="Times New Roman" w:hAnsiTheme="majorHAnsi" w:cstheme="majorHAnsi"/>
          <w:sz w:val="24"/>
          <w:szCs w:val="24"/>
          <w:lang w:val="ro-RO"/>
        </w:rPr>
        <w:t>,</w:t>
      </w:r>
      <w:r w:rsidR="003D4BEB" w:rsidRPr="00F55BA6">
        <w:rPr>
          <w:rFonts w:asciiTheme="majorHAnsi" w:eastAsia="Times New Roman" w:hAnsiTheme="majorHAnsi" w:cstheme="majorHAnsi"/>
          <w:sz w:val="24"/>
          <w:szCs w:val="24"/>
          <w:lang w:val="ro-RO"/>
        </w:rPr>
        <w:t xml:space="preserve"> </w:t>
      </w:r>
      <w:r w:rsidR="003E4C39" w:rsidRPr="00F55BA6">
        <w:rPr>
          <w:rFonts w:asciiTheme="majorHAnsi" w:eastAsia="Times New Roman" w:hAnsiTheme="majorHAnsi" w:cstheme="majorHAnsi"/>
          <w:sz w:val="24"/>
          <w:szCs w:val="24"/>
          <w:lang w:val="ro-RO"/>
        </w:rPr>
        <w:t xml:space="preserve">fiind raportată executarea de </w:t>
      </w:r>
      <w:r w:rsidR="003D4BEB" w:rsidRPr="00F55BA6">
        <w:rPr>
          <w:rFonts w:asciiTheme="majorHAnsi" w:eastAsia="Times New Roman" w:hAnsiTheme="majorHAnsi" w:cstheme="majorHAnsi"/>
          <w:sz w:val="24"/>
          <w:szCs w:val="24"/>
          <w:lang w:val="ro-RO"/>
        </w:rPr>
        <w:t>58,2 mil. lei</w:t>
      </w:r>
      <w:r w:rsidRPr="00F55BA6">
        <w:rPr>
          <w:rFonts w:asciiTheme="majorHAnsi" w:eastAsia="Times New Roman" w:hAnsiTheme="majorHAnsi" w:cstheme="majorHAnsi"/>
          <w:sz w:val="24"/>
          <w:szCs w:val="24"/>
          <w:lang w:val="ro-RO"/>
        </w:rPr>
        <w:t>,</w:t>
      </w:r>
      <w:r w:rsidR="003D4BEB" w:rsidRPr="00F55BA6">
        <w:rPr>
          <w:rFonts w:asciiTheme="majorHAnsi" w:eastAsia="Times New Roman" w:hAnsiTheme="majorHAnsi" w:cstheme="majorHAnsi"/>
          <w:sz w:val="24"/>
          <w:szCs w:val="24"/>
          <w:lang w:val="ro-RO"/>
        </w:rPr>
        <w:t xml:space="preserve"> sau 60,0%</w:t>
      </w:r>
      <w:r w:rsidRPr="00F55BA6">
        <w:rPr>
          <w:rFonts w:asciiTheme="majorHAnsi" w:eastAsia="Times New Roman" w:hAnsiTheme="majorHAnsi" w:cstheme="majorHAnsi"/>
          <w:sz w:val="24"/>
          <w:szCs w:val="24"/>
          <w:lang w:val="ro-RO"/>
        </w:rPr>
        <w:t>,</w:t>
      </w:r>
      <w:r w:rsidR="00866B6C" w:rsidRPr="00F55BA6">
        <w:rPr>
          <w:rFonts w:asciiTheme="majorHAnsi" w:eastAsia="Times New Roman" w:hAnsiTheme="majorHAnsi" w:cstheme="majorHAnsi"/>
          <w:sz w:val="24"/>
          <w:szCs w:val="24"/>
          <w:lang w:val="ro-RO"/>
        </w:rPr>
        <w:t xml:space="preserve"> din care 51,5 mil. lei revin celor executate de MF</w:t>
      </w:r>
      <w:r w:rsidRPr="00F55BA6">
        <w:rPr>
          <w:rFonts w:asciiTheme="majorHAnsi" w:eastAsia="Times New Roman" w:hAnsiTheme="majorHAnsi" w:cstheme="majorHAnsi"/>
          <w:sz w:val="24"/>
          <w:szCs w:val="24"/>
          <w:lang w:val="ro-RO"/>
        </w:rPr>
        <w:t>,</w:t>
      </w:r>
      <w:r w:rsidR="00866B6C" w:rsidRPr="00F55BA6">
        <w:rPr>
          <w:rFonts w:asciiTheme="majorHAnsi" w:eastAsia="Times New Roman" w:hAnsiTheme="majorHAnsi" w:cstheme="majorHAnsi"/>
          <w:sz w:val="24"/>
          <w:szCs w:val="24"/>
          <w:lang w:val="ro-RO"/>
        </w:rPr>
        <w:t xml:space="preserve"> </w:t>
      </w:r>
      <w:r w:rsidR="00E1203F" w:rsidRPr="00F55BA6">
        <w:rPr>
          <w:rFonts w:asciiTheme="majorHAnsi" w:eastAsia="Times New Roman" w:hAnsiTheme="majorHAnsi" w:cstheme="majorHAnsi"/>
          <w:sz w:val="24"/>
          <w:szCs w:val="24"/>
          <w:lang w:val="ro-RO"/>
        </w:rPr>
        <w:t xml:space="preserve">iar 6,7 mil. lei </w:t>
      </w:r>
      <w:r w:rsidRPr="00F55BA6">
        <w:rPr>
          <w:rFonts w:asciiTheme="majorHAnsi" w:eastAsia="Times New Roman" w:hAnsiTheme="majorHAnsi" w:cstheme="majorHAnsi"/>
          <w:sz w:val="24"/>
          <w:szCs w:val="24"/>
          <w:lang w:val="ro-RO"/>
        </w:rPr>
        <w:t>–</w:t>
      </w:r>
      <w:r w:rsidR="00E1203F" w:rsidRPr="00F55BA6">
        <w:rPr>
          <w:rFonts w:asciiTheme="majorHAnsi" w:eastAsia="Times New Roman" w:hAnsiTheme="majorHAnsi" w:cstheme="majorHAnsi"/>
          <w:sz w:val="24"/>
          <w:szCs w:val="24"/>
          <w:lang w:val="ro-RO"/>
        </w:rPr>
        <w:t xml:space="preserve"> executorilor de buget</w:t>
      </w:r>
      <w:r w:rsidR="003D4BEB" w:rsidRPr="00F55BA6">
        <w:rPr>
          <w:rFonts w:asciiTheme="majorHAnsi" w:eastAsia="Times New Roman" w:hAnsiTheme="majorHAnsi" w:cstheme="majorHAnsi"/>
          <w:sz w:val="24"/>
          <w:szCs w:val="24"/>
          <w:lang w:val="ro-RO"/>
        </w:rPr>
        <w:t>.</w:t>
      </w:r>
      <w:r w:rsidR="00832DBE" w:rsidRPr="00F55BA6">
        <w:rPr>
          <w:rFonts w:asciiTheme="majorHAnsi" w:eastAsia="Times New Roman" w:hAnsiTheme="majorHAnsi" w:cstheme="majorHAnsi"/>
          <w:sz w:val="24"/>
          <w:szCs w:val="24"/>
          <w:lang w:val="ro-RO"/>
        </w:rPr>
        <w:t xml:space="preserve"> </w:t>
      </w:r>
      <w:r w:rsidR="009808C0" w:rsidRPr="00F55BA6">
        <w:rPr>
          <w:rFonts w:asciiTheme="majorHAnsi" w:eastAsia="Times New Roman" w:hAnsiTheme="majorHAnsi" w:cstheme="majorHAnsi"/>
          <w:sz w:val="24"/>
          <w:szCs w:val="24"/>
          <w:lang w:val="ro-RO"/>
        </w:rPr>
        <w:t>A</w:t>
      </w:r>
      <w:r w:rsidR="00832DBE" w:rsidRPr="00F55BA6">
        <w:rPr>
          <w:rFonts w:asciiTheme="majorHAnsi" w:eastAsia="Times New Roman" w:hAnsiTheme="majorHAnsi" w:cstheme="majorHAnsi"/>
          <w:sz w:val="24"/>
          <w:szCs w:val="24"/>
          <w:lang w:val="ro-RO"/>
        </w:rPr>
        <w:t xml:space="preserve">uditul denotă rezerve la planificarea </w:t>
      </w:r>
      <w:r w:rsidR="009808C0" w:rsidRPr="00F55BA6">
        <w:rPr>
          <w:rFonts w:asciiTheme="majorHAnsi" w:eastAsia="Times New Roman" w:hAnsiTheme="majorHAnsi" w:cstheme="majorHAnsi"/>
          <w:sz w:val="24"/>
          <w:szCs w:val="24"/>
          <w:lang w:val="ro-RO"/>
        </w:rPr>
        <w:t xml:space="preserve">alocațiilor </w:t>
      </w:r>
      <w:r w:rsidR="00832DBE" w:rsidRPr="00F55BA6">
        <w:rPr>
          <w:rFonts w:asciiTheme="majorHAnsi" w:eastAsia="Times New Roman" w:hAnsiTheme="majorHAnsi" w:cstheme="majorHAnsi"/>
          <w:sz w:val="24"/>
          <w:szCs w:val="24"/>
          <w:lang w:val="ro-RO"/>
        </w:rPr>
        <w:t>în aspectul tipurilor de cheltuieli</w:t>
      </w:r>
      <w:r w:rsidRPr="00F55BA6">
        <w:rPr>
          <w:rFonts w:asciiTheme="majorHAnsi" w:eastAsia="Times New Roman" w:hAnsiTheme="majorHAnsi" w:cstheme="majorHAnsi"/>
          <w:sz w:val="24"/>
          <w:szCs w:val="24"/>
          <w:lang w:val="ro-RO"/>
        </w:rPr>
        <w:t>;</w:t>
      </w:r>
    </w:p>
    <w:p w:rsidR="007C08E7" w:rsidRPr="00F55BA6" w:rsidRDefault="000104B0" w:rsidP="003B2F28">
      <w:pPr>
        <w:pStyle w:val="af0"/>
        <w:numPr>
          <w:ilvl w:val="0"/>
          <w:numId w:val="5"/>
        </w:numPr>
        <w:tabs>
          <w:tab w:val="left" w:pos="284"/>
          <w:tab w:val="left" w:pos="993"/>
        </w:tabs>
        <w:spacing w:after="0" w:line="276" w:lineRule="auto"/>
        <w:ind w:left="0" w:firstLine="0"/>
        <w:rPr>
          <w:rFonts w:asciiTheme="majorHAnsi" w:eastAsia="Times New Roman" w:hAnsiTheme="majorHAnsi" w:cstheme="majorHAnsi"/>
          <w:sz w:val="24"/>
          <w:szCs w:val="24"/>
          <w:lang w:val="ro-RO"/>
        </w:rPr>
      </w:pPr>
      <w:r w:rsidRPr="00F55BA6">
        <w:rPr>
          <w:rFonts w:asciiTheme="majorHAnsi" w:eastAsia="Times New Roman" w:hAnsiTheme="majorHAnsi" w:cstheme="majorHAnsi"/>
          <w:i/>
          <w:sz w:val="24"/>
          <w:szCs w:val="24"/>
          <w:lang w:val="ro-RO"/>
        </w:rPr>
        <w:t>p</w:t>
      </w:r>
      <w:r w:rsidR="00A34C9A" w:rsidRPr="00F55BA6">
        <w:rPr>
          <w:rFonts w:asciiTheme="majorHAnsi" w:eastAsia="Times New Roman" w:hAnsiTheme="majorHAnsi" w:cstheme="majorHAnsi"/>
          <w:i/>
          <w:sz w:val="24"/>
          <w:szCs w:val="24"/>
          <w:lang w:val="ro-RO"/>
        </w:rPr>
        <w:t xml:space="preserve">entru </w:t>
      </w:r>
      <w:r w:rsidR="007318FC" w:rsidRPr="00F55BA6">
        <w:rPr>
          <w:rFonts w:asciiTheme="majorHAnsi" w:eastAsia="Times New Roman" w:hAnsiTheme="majorHAnsi" w:cstheme="majorHAnsi"/>
          <w:i/>
          <w:sz w:val="24"/>
          <w:szCs w:val="24"/>
          <w:lang w:val="ro-RO"/>
        </w:rPr>
        <w:t xml:space="preserve">Programul </w:t>
      </w:r>
      <w:r w:rsidRPr="00F55BA6">
        <w:rPr>
          <w:rFonts w:asciiTheme="majorHAnsi" w:eastAsia="Times New Roman" w:hAnsiTheme="majorHAnsi" w:cstheme="majorHAnsi"/>
          <w:i/>
          <w:sz w:val="24"/>
          <w:szCs w:val="24"/>
          <w:lang w:val="ro-RO"/>
        </w:rPr>
        <w:t>„</w:t>
      </w:r>
      <w:r w:rsidR="007318FC" w:rsidRPr="00F55BA6">
        <w:rPr>
          <w:rFonts w:asciiTheme="majorHAnsi" w:eastAsia="Times New Roman" w:hAnsiTheme="majorHAnsi" w:cstheme="majorHAnsi"/>
          <w:i/>
          <w:sz w:val="24"/>
          <w:szCs w:val="24"/>
          <w:lang w:val="ro-RO"/>
        </w:rPr>
        <w:t>D</w:t>
      </w:r>
      <w:r w:rsidR="00A34C9A" w:rsidRPr="00F55BA6">
        <w:rPr>
          <w:rFonts w:asciiTheme="majorHAnsi" w:eastAsia="Times New Roman" w:hAnsiTheme="majorHAnsi" w:cstheme="majorHAnsi"/>
          <w:i/>
          <w:sz w:val="24"/>
          <w:szCs w:val="24"/>
          <w:lang w:val="ro-RO"/>
        </w:rPr>
        <w:t xml:space="preserve">iaspora Acasă Reușește DAR 1+3” </w:t>
      </w:r>
      <w:r w:rsidR="00A34C9A" w:rsidRPr="00F55BA6">
        <w:rPr>
          <w:rFonts w:asciiTheme="majorHAnsi" w:eastAsia="Times New Roman" w:hAnsiTheme="majorHAnsi" w:cstheme="majorHAnsi"/>
          <w:sz w:val="24"/>
          <w:szCs w:val="24"/>
          <w:lang w:val="ro-RO"/>
        </w:rPr>
        <w:t>î</w:t>
      </w:r>
      <w:r w:rsidR="008A5448" w:rsidRPr="00F55BA6">
        <w:rPr>
          <w:rFonts w:asciiTheme="majorHAnsi" w:eastAsia="Times New Roman" w:hAnsiTheme="majorHAnsi" w:cstheme="majorHAnsi"/>
          <w:sz w:val="24"/>
          <w:szCs w:val="24"/>
          <w:lang w:val="ro-RO"/>
        </w:rPr>
        <w:t xml:space="preserve">n Legea bugetară anuală au fost </w:t>
      </w:r>
      <w:r w:rsidRPr="00F55BA6">
        <w:rPr>
          <w:rFonts w:asciiTheme="majorHAnsi" w:eastAsia="Times New Roman" w:hAnsiTheme="majorHAnsi" w:cstheme="majorHAnsi"/>
          <w:sz w:val="24"/>
          <w:szCs w:val="24"/>
          <w:lang w:val="ro-RO"/>
        </w:rPr>
        <w:t xml:space="preserve">aprobate </w:t>
      </w:r>
      <w:r w:rsidR="008A5448" w:rsidRPr="00F55BA6">
        <w:rPr>
          <w:rFonts w:asciiTheme="majorHAnsi" w:eastAsia="Times New Roman" w:hAnsiTheme="majorHAnsi" w:cstheme="majorHAnsi"/>
          <w:sz w:val="24"/>
          <w:szCs w:val="24"/>
          <w:lang w:val="ro-RO"/>
        </w:rPr>
        <w:t>mijloace în sumă de 10,0 mil. lei</w:t>
      </w:r>
      <w:r w:rsidRPr="00F55BA6">
        <w:rPr>
          <w:rFonts w:asciiTheme="majorHAnsi" w:eastAsia="Times New Roman" w:hAnsiTheme="majorHAnsi" w:cstheme="majorHAnsi"/>
          <w:sz w:val="24"/>
          <w:szCs w:val="24"/>
          <w:lang w:val="ro-RO"/>
        </w:rPr>
        <w:t>,</w:t>
      </w:r>
      <w:r w:rsidR="008A5448" w:rsidRPr="00F55BA6">
        <w:rPr>
          <w:rFonts w:asciiTheme="majorHAnsi" w:eastAsia="Times New Roman" w:hAnsiTheme="majorHAnsi" w:cstheme="majorHAnsi"/>
          <w:sz w:val="24"/>
          <w:szCs w:val="24"/>
          <w:lang w:val="ro-RO"/>
        </w:rPr>
        <w:t xml:space="preserve"> din care au fost executate 9,8 mil. lei, transferuri capitale acordate la bugetele locale de nivelul </w:t>
      </w:r>
      <w:r w:rsidRPr="00F55BA6">
        <w:rPr>
          <w:rFonts w:asciiTheme="majorHAnsi" w:eastAsia="Times New Roman" w:hAnsiTheme="majorHAnsi" w:cstheme="majorHAnsi"/>
          <w:sz w:val="24"/>
          <w:szCs w:val="24"/>
          <w:lang w:val="ro-RO"/>
        </w:rPr>
        <w:t>II</w:t>
      </w:r>
      <w:r w:rsidR="008A5448" w:rsidRPr="00F55BA6">
        <w:rPr>
          <w:rFonts w:asciiTheme="majorHAnsi" w:eastAsia="Times New Roman" w:hAnsiTheme="majorHAnsi" w:cstheme="majorHAnsi"/>
          <w:sz w:val="24"/>
          <w:szCs w:val="24"/>
          <w:lang w:val="ro-RO"/>
        </w:rPr>
        <w:t xml:space="preserve"> (cod 291120) – 0,2 mil. lei</w:t>
      </w:r>
      <w:r w:rsidRPr="00F55BA6">
        <w:rPr>
          <w:rFonts w:asciiTheme="majorHAnsi" w:eastAsia="Times New Roman" w:hAnsiTheme="majorHAnsi" w:cstheme="majorHAnsi"/>
          <w:sz w:val="24"/>
          <w:szCs w:val="24"/>
          <w:lang w:val="ro-RO"/>
        </w:rPr>
        <w:t>,</w:t>
      </w:r>
      <w:r w:rsidR="008A5448" w:rsidRPr="00F55BA6">
        <w:rPr>
          <w:rFonts w:asciiTheme="majorHAnsi" w:eastAsia="Times New Roman" w:hAnsiTheme="majorHAnsi" w:cstheme="majorHAnsi"/>
          <w:sz w:val="24"/>
          <w:szCs w:val="24"/>
          <w:lang w:val="ro-RO"/>
        </w:rPr>
        <w:t xml:space="preserve"> și transferuri capitale acordate la bugetele locale de nivelul </w:t>
      </w:r>
      <w:r w:rsidRPr="00F55BA6">
        <w:rPr>
          <w:rFonts w:asciiTheme="majorHAnsi" w:eastAsia="Times New Roman" w:hAnsiTheme="majorHAnsi" w:cstheme="majorHAnsi"/>
          <w:sz w:val="24"/>
          <w:szCs w:val="24"/>
          <w:lang w:val="ro-RO"/>
        </w:rPr>
        <w:t>I</w:t>
      </w:r>
      <w:r w:rsidR="008A5448" w:rsidRPr="00F55BA6">
        <w:rPr>
          <w:rFonts w:asciiTheme="majorHAnsi" w:eastAsia="Times New Roman" w:hAnsiTheme="majorHAnsi" w:cstheme="majorHAnsi"/>
          <w:sz w:val="24"/>
          <w:szCs w:val="24"/>
          <w:lang w:val="ro-RO"/>
        </w:rPr>
        <w:t xml:space="preserve"> (cod 291220) – 9,55 mil. lei</w:t>
      </w:r>
      <w:r w:rsidRPr="00F55BA6">
        <w:rPr>
          <w:rFonts w:asciiTheme="majorHAnsi" w:eastAsia="Times New Roman" w:hAnsiTheme="majorHAnsi" w:cstheme="majorHAnsi"/>
          <w:sz w:val="24"/>
          <w:szCs w:val="24"/>
          <w:lang w:val="ro-RO"/>
        </w:rPr>
        <w:t>;</w:t>
      </w:r>
      <w:r w:rsidR="00DC3F80" w:rsidRPr="00F55BA6">
        <w:rPr>
          <w:rFonts w:asciiTheme="majorHAnsi" w:eastAsia="Times New Roman" w:hAnsiTheme="majorHAnsi" w:cstheme="majorHAnsi"/>
          <w:sz w:val="24"/>
          <w:szCs w:val="24"/>
          <w:lang w:val="ro-RO"/>
        </w:rPr>
        <w:t xml:space="preserve"> </w:t>
      </w:r>
    </w:p>
    <w:p w:rsidR="002A6525" w:rsidRPr="00F55BA6" w:rsidRDefault="00AF01D1" w:rsidP="0032683B">
      <w:pPr>
        <w:pStyle w:val="af0"/>
        <w:tabs>
          <w:tab w:val="left" w:pos="284"/>
          <w:tab w:val="left" w:pos="360"/>
        </w:tabs>
        <w:spacing w:after="0" w:line="276" w:lineRule="auto"/>
        <w:ind w:left="0"/>
        <w:rPr>
          <w:rFonts w:asciiTheme="majorHAnsi" w:eastAsia="Times New Roman" w:hAnsiTheme="majorHAnsi" w:cstheme="majorHAnsi"/>
          <w:sz w:val="24"/>
          <w:szCs w:val="24"/>
          <w:lang w:val="ro-RO"/>
        </w:rPr>
      </w:pPr>
      <w:r w:rsidRPr="00F55BA6">
        <w:rPr>
          <w:rFonts w:asciiTheme="majorHAnsi" w:hAnsiTheme="majorHAnsi" w:cstheme="majorHAnsi"/>
          <w:sz w:val="24"/>
          <w:szCs w:val="24"/>
          <w:lang w:val="ro-RO"/>
        </w:rPr>
        <w:t xml:space="preserve">- </w:t>
      </w:r>
      <w:r w:rsidR="00390C47" w:rsidRPr="00F55BA6">
        <w:rPr>
          <w:rFonts w:asciiTheme="majorHAnsi" w:hAnsiTheme="majorHAnsi" w:cstheme="majorHAnsi"/>
          <w:i/>
          <w:sz w:val="24"/>
          <w:szCs w:val="24"/>
          <w:lang w:val="ro-RO"/>
        </w:rPr>
        <w:t>p</w:t>
      </w:r>
      <w:r w:rsidRPr="00F55BA6">
        <w:rPr>
          <w:rFonts w:asciiTheme="majorHAnsi" w:hAnsiTheme="majorHAnsi" w:cstheme="majorHAnsi"/>
          <w:i/>
          <w:sz w:val="24"/>
          <w:szCs w:val="24"/>
          <w:lang w:val="ro-RO"/>
        </w:rPr>
        <w:t xml:space="preserve">entru </w:t>
      </w:r>
      <w:r w:rsidRPr="00F55BA6">
        <w:rPr>
          <w:rFonts w:asciiTheme="majorHAnsi" w:eastAsia="Times New Roman" w:hAnsiTheme="majorHAnsi" w:cstheme="majorHAnsi"/>
          <w:i/>
          <w:sz w:val="24"/>
          <w:szCs w:val="24"/>
          <w:lang w:val="ro-RO"/>
        </w:rPr>
        <w:t>subvenționarea întreprinderilor şi organizațiilor necomercial</w:t>
      </w:r>
      <w:r w:rsidRPr="00F55BA6">
        <w:rPr>
          <w:rFonts w:asciiTheme="majorHAnsi" w:eastAsia="Times New Roman" w:hAnsiTheme="majorHAnsi" w:cstheme="majorHAnsi"/>
          <w:sz w:val="24"/>
          <w:szCs w:val="24"/>
          <w:lang w:val="ro-RO"/>
        </w:rPr>
        <w:t>e care au instituit șomaj tehnic şi/sau staționare în perioada stării de urgență și subvenționarea sumei contribuțiilor de asigurări sociale de stat obligatorii în sumă fixă</w:t>
      </w:r>
      <w:r w:rsidR="008A5413" w:rsidRPr="00F55BA6">
        <w:rPr>
          <w:rStyle w:val="ac"/>
          <w:rFonts w:asciiTheme="majorHAnsi" w:eastAsia="Times New Roman" w:hAnsiTheme="majorHAnsi" w:cstheme="majorHAnsi"/>
          <w:sz w:val="24"/>
          <w:szCs w:val="24"/>
          <w:lang w:val="ro-RO"/>
        </w:rPr>
        <w:footnoteReference w:id="11"/>
      </w:r>
      <w:r w:rsidR="00707B0F" w:rsidRPr="00F55BA6">
        <w:rPr>
          <w:rFonts w:asciiTheme="majorHAnsi" w:hAnsiTheme="majorHAnsi" w:cstheme="majorHAnsi"/>
          <w:sz w:val="24"/>
          <w:szCs w:val="24"/>
          <w:lang w:val="ro-RO"/>
        </w:rPr>
        <w:t xml:space="preserve"> </w:t>
      </w:r>
      <w:r w:rsidR="003B2F28" w:rsidRPr="00F55BA6">
        <w:rPr>
          <w:rFonts w:asciiTheme="majorHAnsi" w:hAnsiTheme="majorHAnsi" w:cstheme="majorHAnsi"/>
          <w:sz w:val="24"/>
          <w:szCs w:val="24"/>
          <w:lang w:val="ro-RO"/>
        </w:rPr>
        <w:t xml:space="preserve">au fost aprobate alocații în sumă de </w:t>
      </w:r>
      <w:r w:rsidR="003B2F28" w:rsidRPr="00F55BA6">
        <w:rPr>
          <w:rFonts w:asciiTheme="majorHAnsi" w:eastAsia="Times New Roman" w:hAnsiTheme="majorHAnsi" w:cstheme="majorHAnsi"/>
          <w:sz w:val="24"/>
          <w:szCs w:val="24"/>
          <w:lang w:val="ro-RO"/>
        </w:rPr>
        <w:t>100,0 mil. lei</w:t>
      </w:r>
      <w:r w:rsidR="00390C47" w:rsidRPr="00F55BA6">
        <w:rPr>
          <w:rFonts w:asciiTheme="majorHAnsi" w:eastAsia="Times New Roman" w:hAnsiTheme="majorHAnsi" w:cstheme="majorHAnsi"/>
          <w:sz w:val="24"/>
          <w:szCs w:val="24"/>
          <w:lang w:val="ro-RO"/>
        </w:rPr>
        <w:t>,</w:t>
      </w:r>
      <w:r w:rsidR="003B2F28" w:rsidRPr="00F55BA6">
        <w:rPr>
          <w:rFonts w:asciiTheme="majorHAnsi" w:eastAsia="Times New Roman" w:hAnsiTheme="majorHAnsi" w:cstheme="majorHAnsi"/>
          <w:sz w:val="24"/>
          <w:szCs w:val="24"/>
          <w:lang w:val="ro-RO"/>
        </w:rPr>
        <w:t xml:space="preserve"> </w:t>
      </w:r>
      <w:r w:rsidR="008C0299" w:rsidRPr="00F55BA6">
        <w:rPr>
          <w:rFonts w:asciiTheme="majorHAnsi" w:eastAsia="Times New Roman" w:hAnsiTheme="majorHAnsi" w:cstheme="majorHAnsi"/>
          <w:sz w:val="24"/>
          <w:szCs w:val="24"/>
          <w:lang w:val="ro-RO"/>
        </w:rPr>
        <w:t>fiind</w:t>
      </w:r>
      <w:r w:rsidR="00FE669A" w:rsidRPr="00F55BA6">
        <w:rPr>
          <w:rFonts w:asciiTheme="majorHAnsi" w:eastAsia="Times New Roman" w:hAnsiTheme="majorHAnsi" w:cstheme="majorHAnsi"/>
          <w:sz w:val="24"/>
          <w:szCs w:val="24"/>
          <w:lang w:val="ro-RO"/>
        </w:rPr>
        <w:t xml:space="preserve"> executate 83,4 mil. </w:t>
      </w:r>
      <w:r w:rsidR="00843592" w:rsidRPr="00F55BA6">
        <w:rPr>
          <w:rFonts w:asciiTheme="majorHAnsi" w:eastAsia="Times New Roman" w:hAnsiTheme="majorHAnsi" w:cstheme="majorHAnsi"/>
          <w:sz w:val="24"/>
          <w:szCs w:val="24"/>
          <w:lang w:val="ro-RO"/>
        </w:rPr>
        <w:t>lei</w:t>
      </w:r>
      <w:r w:rsidR="00B8484D" w:rsidRPr="00F55BA6">
        <w:rPr>
          <w:rFonts w:asciiTheme="majorHAnsi" w:eastAsia="Times New Roman" w:hAnsiTheme="majorHAnsi" w:cstheme="majorHAnsi"/>
          <w:sz w:val="24"/>
          <w:szCs w:val="24"/>
          <w:lang w:val="ro-RO"/>
        </w:rPr>
        <w:t>. Achitarea sumelor aferente acestor tipuri de subvenții</w:t>
      </w:r>
      <w:r w:rsidR="003B2F28" w:rsidRPr="00F55BA6">
        <w:rPr>
          <w:rFonts w:asciiTheme="majorHAnsi" w:eastAsia="Times New Roman" w:hAnsiTheme="majorHAnsi" w:cstheme="majorHAnsi"/>
          <w:sz w:val="24"/>
          <w:szCs w:val="24"/>
          <w:lang w:val="ro-RO"/>
        </w:rPr>
        <w:t xml:space="preserve"> s-a efectuat în baza cererilor depuse </w:t>
      </w:r>
      <w:r w:rsidR="005A39AB" w:rsidRPr="00F55BA6">
        <w:rPr>
          <w:rFonts w:asciiTheme="majorHAnsi" w:eastAsia="Times New Roman" w:hAnsiTheme="majorHAnsi" w:cstheme="majorHAnsi"/>
          <w:sz w:val="24"/>
          <w:szCs w:val="24"/>
          <w:lang w:val="ro-RO"/>
        </w:rPr>
        <w:t xml:space="preserve">la SFS </w:t>
      </w:r>
      <w:r w:rsidR="003B2F28" w:rsidRPr="00F55BA6">
        <w:rPr>
          <w:rFonts w:asciiTheme="majorHAnsi" w:eastAsia="Times New Roman" w:hAnsiTheme="majorHAnsi" w:cstheme="majorHAnsi"/>
          <w:sz w:val="24"/>
          <w:szCs w:val="24"/>
          <w:lang w:val="ro-RO"/>
        </w:rPr>
        <w:t xml:space="preserve">de </w:t>
      </w:r>
      <w:r w:rsidR="005A39AB" w:rsidRPr="00F55BA6">
        <w:rPr>
          <w:rFonts w:asciiTheme="majorHAnsi" w:eastAsia="Times New Roman" w:hAnsiTheme="majorHAnsi" w:cstheme="majorHAnsi"/>
          <w:sz w:val="24"/>
          <w:szCs w:val="24"/>
          <w:lang w:val="ro-RO"/>
        </w:rPr>
        <w:t xml:space="preserve">către </w:t>
      </w:r>
      <w:r w:rsidR="003B2F28" w:rsidRPr="00F55BA6">
        <w:rPr>
          <w:rFonts w:asciiTheme="majorHAnsi" w:eastAsia="Times New Roman" w:hAnsiTheme="majorHAnsi" w:cstheme="majorHAnsi"/>
          <w:sz w:val="24"/>
          <w:szCs w:val="24"/>
          <w:lang w:val="ro-RO"/>
        </w:rPr>
        <w:t xml:space="preserve">subiecții </w:t>
      </w:r>
      <w:r w:rsidR="00E320C8" w:rsidRPr="00F55BA6">
        <w:rPr>
          <w:rFonts w:asciiTheme="majorHAnsi" w:eastAsia="Times New Roman" w:hAnsiTheme="majorHAnsi" w:cstheme="majorHAnsi"/>
          <w:sz w:val="24"/>
          <w:szCs w:val="24"/>
          <w:lang w:val="ro-RO"/>
        </w:rPr>
        <w:t>solicitanți</w:t>
      </w:r>
      <w:r w:rsidR="003B2F28" w:rsidRPr="00F55BA6">
        <w:rPr>
          <w:rFonts w:asciiTheme="majorHAnsi" w:eastAsia="Times New Roman" w:hAnsiTheme="majorHAnsi" w:cstheme="majorHAnsi"/>
          <w:sz w:val="24"/>
          <w:szCs w:val="24"/>
          <w:lang w:val="ro-RO"/>
        </w:rPr>
        <w:t>.</w:t>
      </w:r>
      <w:r w:rsidR="00AA141E" w:rsidRPr="00F55BA6">
        <w:rPr>
          <w:rFonts w:asciiTheme="majorHAnsi" w:eastAsia="Times New Roman" w:hAnsiTheme="majorHAnsi" w:cstheme="majorHAnsi"/>
          <w:sz w:val="24"/>
          <w:szCs w:val="24"/>
          <w:lang w:val="ro-RO"/>
        </w:rPr>
        <w:t xml:space="preserve"> </w:t>
      </w:r>
    </w:p>
    <w:p w:rsidR="006E7D3A" w:rsidRPr="00F55BA6" w:rsidRDefault="00AA141E" w:rsidP="006E7D3A">
      <w:pPr>
        <w:pStyle w:val="af0"/>
        <w:tabs>
          <w:tab w:val="left" w:pos="284"/>
          <w:tab w:val="left" w:pos="360"/>
        </w:tabs>
        <w:spacing w:after="0" w:line="276" w:lineRule="auto"/>
        <w:ind w:left="0"/>
        <w:rPr>
          <w:rFonts w:asciiTheme="majorHAnsi" w:hAnsiTheme="majorHAnsi" w:cstheme="majorHAnsi"/>
          <w:sz w:val="24"/>
          <w:szCs w:val="24"/>
          <w:lang w:val="ro-RO"/>
        </w:rPr>
      </w:pPr>
      <w:r w:rsidRPr="00F55BA6">
        <w:rPr>
          <w:rFonts w:asciiTheme="majorHAnsi" w:eastAsia="Times New Roman" w:hAnsiTheme="majorHAnsi" w:cstheme="majorHAnsi"/>
          <w:sz w:val="24"/>
          <w:szCs w:val="24"/>
          <w:lang w:val="ro-RO"/>
        </w:rPr>
        <w:t>Astfel,</w:t>
      </w:r>
      <w:r w:rsidR="002A6525" w:rsidRPr="00F55BA6">
        <w:rPr>
          <w:rFonts w:asciiTheme="majorHAnsi" w:hAnsiTheme="majorHAnsi" w:cstheme="majorHAnsi"/>
          <w:b/>
          <w:sz w:val="24"/>
          <w:szCs w:val="24"/>
          <w:lang w:val="ro-RO"/>
        </w:rPr>
        <w:t xml:space="preserve"> </w:t>
      </w:r>
      <w:r w:rsidR="006924D8" w:rsidRPr="00F55BA6">
        <w:rPr>
          <w:rFonts w:asciiTheme="majorHAnsi" w:hAnsiTheme="majorHAnsi" w:cstheme="majorHAnsi"/>
          <w:b/>
          <w:sz w:val="24"/>
          <w:szCs w:val="24"/>
          <w:lang w:val="ro-RO"/>
        </w:rPr>
        <w:t xml:space="preserve">(i) </w:t>
      </w:r>
      <w:r w:rsidR="002A6525" w:rsidRPr="00F55BA6">
        <w:rPr>
          <w:rFonts w:asciiTheme="majorHAnsi" w:hAnsiTheme="majorHAnsi" w:cstheme="majorHAnsi"/>
          <w:sz w:val="24"/>
          <w:szCs w:val="24"/>
          <w:lang w:val="ro-RO"/>
        </w:rPr>
        <w:t>c</w:t>
      </w:r>
      <w:r w:rsidR="00480254" w:rsidRPr="00F55BA6">
        <w:rPr>
          <w:rFonts w:asciiTheme="majorHAnsi" w:eastAsia="Times New Roman" w:hAnsiTheme="majorHAnsi" w:cstheme="majorHAnsi"/>
          <w:sz w:val="24"/>
          <w:szCs w:val="24"/>
          <w:lang w:val="ro-RO"/>
        </w:rPr>
        <w:t>onform Ordinului MF nr.66 din 20.05.2020</w:t>
      </w:r>
      <w:r w:rsidR="00480254" w:rsidRPr="00F55BA6">
        <w:rPr>
          <w:rFonts w:asciiTheme="majorHAnsi" w:eastAsia="Times New Roman" w:hAnsiTheme="majorHAnsi" w:cstheme="majorHAnsi"/>
          <w:sz w:val="24"/>
          <w:szCs w:val="24"/>
          <w:vertAlign w:val="superscript"/>
          <w:lang w:val="ro-RO"/>
        </w:rPr>
        <w:footnoteReference w:id="12"/>
      </w:r>
      <w:r w:rsidR="006568B7" w:rsidRPr="00F55BA6">
        <w:rPr>
          <w:rFonts w:asciiTheme="majorHAnsi" w:eastAsia="Times New Roman" w:hAnsiTheme="majorHAnsi" w:cstheme="majorHAnsi"/>
          <w:sz w:val="24"/>
          <w:szCs w:val="24"/>
          <w:lang w:val="ro-RO"/>
        </w:rPr>
        <w:t>,</w:t>
      </w:r>
      <w:r w:rsidR="00480254" w:rsidRPr="00F55BA6">
        <w:rPr>
          <w:rFonts w:asciiTheme="majorHAnsi" w:eastAsia="Times New Roman" w:hAnsiTheme="majorHAnsi" w:cstheme="majorHAnsi"/>
          <w:sz w:val="24"/>
          <w:szCs w:val="24"/>
          <w:lang w:val="ro-RO"/>
        </w:rPr>
        <w:t xml:space="preserve"> </w:t>
      </w:r>
      <w:r w:rsidR="006568B7" w:rsidRPr="00F55BA6">
        <w:rPr>
          <w:rFonts w:asciiTheme="majorHAnsi" w:eastAsia="Times New Roman" w:hAnsiTheme="majorHAnsi" w:cstheme="majorHAnsi"/>
          <w:sz w:val="24"/>
          <w:szCs w:val="24"/>
          <w:lang w:val="ro-RO"/>
        </w:rPr>
        <w:t>întreprinderilor private nefinanciare (cod ECO 252100)</w:t>
      </w:r>
      <w:r w:rsidR="00480254" w:rsidRPr="00F55BA6">
        <w:rPr>
          <w:rFonts w:asciiTheme="majorHAnsi" w:eastAsia="Times New Roman" w:hAnsiTheme="majorHAnsi" w:cstheme="majorHAnsi"/>
          <w:sz w:val="24"/>
          <w:szCs w:val="24"/>
          <w:lang w:val="ro-RO"/>
        </w:rPr>
        <w:t xml:space="preserve"> </w:t>
      </w:r>
      <w:r w:rsidR="00345CD2" w:rsidRPr="00F55BA6">
        <w:rPr>
          <w:rFonts w:asciiTheme="majorHAnsi" w:eastAsia="Times New Roman" w:hAnsiTheme="majorHAnsi" w:cstheme="majorHAnsi"/>
          <w:sz w:val="24"/>
          <w:szCs w:val="24"/>
          <w:lang w:val="ro-RO"/>
        </w:rPr>
        <w:t>le-</w:t>
      </w:r>
      <w:r w:rsidR="006568B7" w:rsidRPr="00F55BA6">
        <w:rPr>
          <w:rFonts w:asciiTheme="majorHAnsi" w:eastAsia="Times New Roman" w:hAnsiTheme="majorHAnsi" w:cstheme="majorHAnsi"/>
          <w:sz w:val="24"/>
          <w:szCs w:val="24"/>
          <w:lang w:val="ro-RO"/>
        </w:rPr>
        <w:t xml:space="preserve">au fost acordate subvenții </w:t>
      </w:r>
      <w:r w:rsidR="00480254" w:rsidRPr="00F55BA6">
        <w:rPr>
          <w:rFonts w:asciiTheme="majorHAnsi" w:eastAsia="Times New Roman" w:hAnsiTheme="majorHAnsi" w:cstheme="majorHAnsi"/>
          <w:sz w:val="24"/>
          <w:szCs w:val="24"/>
          <w:lang w:val="ro-RO"/>
        </w:rPr>
        <w:t>pentru dobânzile achitate până în luna decembrie 2020 inclusiv, aferent</w:t>
      </w:r>
      <w:r w:rsidR="006568B7" w:rsidRPr="00F55BA6">
        <w:rPr>
          <w:rFonts w:asciiTheme="majorHAnsi" w:eastAsia="Times New Roman" w:hAnsiTheme="majorHAnsi" w:cstheme="majorHAnsi"/>
          <w:sz w:val="24"/>
          <w:szCs w:val="24"/>
          <w:lang w:val="ro-RO"/>
        </w:rPr>
        <w:t>e</w:t>
      </w:r>
      <w:r w:rsidR="00480254" w:rsidRPr="00F55BA6">
        <w:rPr>
          <w:rFonts w:asciiTheme="majorHAnsi" w:eastAsia="Times New Roman" w:hAnsiTheme="majorHAnsi" w:cstheme="majorHAnsi"/>
          <w:sz w:val="24"/>
          <w:szCs w:val="24"/>
          <w:lang w:val="ro-RO"/>
        </w:rPr>
        <w:t xml:space="preserve"> creditelor bancare şi/sau nebancare contractate în perioada 1 mai 2020 – 31 decembrie 2020, indiferent de termenul de scadență a</w:t>
      </w:r>
      <w:r w:rsidR="00390C47" w:rsidRPr="00F55BA6">
        <w:rPr>
          <w:rFonts w:asciiTheme="majorHAnsi" w:eastAsia="Times New Roman" w:hAnsiTheme="majorHAnsi" w:cstheme="majorHAnsi"/>
          <w:sz w:val="24"/>
          <w:szCs w:val="24"/>
          <w:lang w:val="ro-RO"/>
        </w:rPr>
        <w:t>l</w:t>
      </w:r>
      <w:r w:rsidR="00480254" w:rsidRPr="00F55BA6">
        <w:rPr>
          <w:rFonts w:asciiTheme="majorHAnsi" w:eastAsia="Times New Roman" w:hAnsiTheme="majorHAnsi" w:cstheme="majorHAnsi"/>
          <w:sz w:val="24"/>
          <w:szCs w:val="24"/>
          <w:lang w:val="ro-RO"/>
        </w:rPr>
        <w:t xml:space="preserve"> acestora. </w:t>
      </w:r>
      <w:r w:rsidR="00D30186" w:rsidRPr="00F55BA6">
        <w:rPr>
          <w:rFonts w:asciiTheme="majorHAnsi" w:eastAsia="Times New Roman" w:hAnsiTheme="majorHAnsi" w:cstheme="majorHAnsi"/>
          <w:sz w:val="24"/>
          <w:szCs w:val="24"/>
          <w:lang w:val="ro-RO"/>
        </w:rPr>
        <w:t>Inițial</w:t>
      </w:r>
      <w:r w:rsidR="006568B7" w:rsidRPr="00F55BA6">
        <w:rPr>
          <w:rFonts w:asciiTheme="majorHAnsi" w:eastAsia="Times New Roman" w:hAnsiTheme="majorHAnsi" w:cstheme="majorHAnsi"/>
          <w:sz w:val="24"/>
          <w:szCs w:val="24"/>
          <w:lang w:val="ro-RO"/>
        </w:rPr>
        <w:t>, în aceste scopuri,</w:t>
      </w:r>
      <w:r w:rsidR="00D30186" w:rsidRPr="00F55BA6">
        <w:rPr>
          <w:rFonts w:asciiTheme="majorHAnsi" w:eastAsia="Times New Roman" w:hAnsiTheme="majorHAnsi" w:cstheme="majorHAnsi"/>
          <w:sz w:val="24"/>
          <w:szCs w:val="24"/>
          <w:lang w:val="ro-RO"/>
        </w:rPr>
        <w:t xml:space="preserve"> </w:t>
      </w:r>
      <w:r w:rsidR="00007FE3" w:rsidRPr="00F55BA6">
        <w:rPr>
          <w:rFonts w:asciiTheme="majorHAnsi" w:eastAsia="Times New Roman" w:hAnsiTheme="majorHAnsi" w:cstheme="majorHAnsi"/>
          <w:sz w:val="24"/>
          <w:szCs w:val="24"/>
          <w:lang w:val="ro-RO"/>
        </w:rPr>
        <w:t xml:space="preserve">nu </w:t>
      </w:r>
      <w:r w:rsidR="00D30186" w:rsidRPr="00F55BA6">
        <w:rPr>
          <w:rFonts w:asciiTheme="majorHAnsi" w:eastAsia="Times New Roman" w:hAnsiTheme="majorHAnsi" w:cstheme="majorHAnsi"/>
          <w:sz w:val="24"/>
          <w:szCs w:val="24"/>
          <w:lang w:val="ro-RO"/>
        </w:rPr>
        <w:t>au fost aprobate</w:t>
      </w:r>
      <w:r w:rsidR="00007FE3" w:rsidRPr="00F55BA6">
        <w:rPr>
          <w:rFonts w:asciiTheme="majorHAnsi" w:eastAsia="Times New Roman" w:hAnsiTheme="majorHAnsi" w:cstheme="majorHAnsi"/>
          <w:sz w:val="24"/>
          <w:szCs w:val="24"/>
          <w:lang w:val="ro-RO"/>
        </w:rPr>
        <w:t xml:space="preserve"> mijloace</w:t>
      </w:r>
      <w:r w:rsidR="008A36A8" w:rsidRPr="00F55BA6">
        <w:rPr>
          <w:rFonts w:asciiTheme="majorHAnsi" w:eastAsia="Times New Roman" w:hAnsiTheme="majorHAnsi" w:cstheme="majorHAnsi"/>
          <w:sz w:val="24"/>
          <w:szCs w:val="24"/>
          <w:lang w:val="ro-RO"/>
        </w:rPr>
        <w:t xml:space="preserve"> financiare</w:t>
      </w:r>
      <w:r w:rsidR="00441F51" w:rsidRPr="00F55BA6">
        <w:rPr>
          <w:rFonts w:asciiTheme="majorHAnsi" w:eastAsia="Times New Roman" w:hAnsiTheme="majorHAnsi" w:cstheme="majorHAnsi"/>
          <w:sz w:val="24"/>
          <w:szCs w:val="24"/>
          <w:lang w:val="ro-RO"/>
        </w:rPr>
        <w:t>,</w:t>
      </w:r>
      <w:r w:rsidR="00D30186" w:rsidRPr="00F55BA6">
        <w:rPr>
          <w:rFonts w:asciiTheme="majorHAnsi" w:eastAsia="Times New Roman" w:hAnsiTheme="majorHAnsi" w:cstheme="majorHAnsi"/>
          <w:sz w:val="24"/>
          <w:szCs w:val="24"/>
          <w:lang w:val="ro-RO"/>
        </w:rPr>
        <w:t xml:space="preserve"> </w:t>
      </w:r>
      <w:r w:rsidR="006568B7" w:rsidRPr="00F55BA6">
        <w:rPr>
          <w:rFonts w:asciiTheme="majorHAnsi" w:eastAsia="Times New Roman" w:hAnsiTheme="majorHAnsi" w:cstheme="majorHAnsi"/>
          <w:sz w:val="24"/>
          <w:szCs w:val="24"/>
          <w:lang w:val="ro-RO"/>
        </w:rPr>
        <w:t>acestea fiind precizate la rectificare în sumă de</w:t>
      </w:r>
      <w:r w:rsidR="00D30186" w:rsidRPr="00F55BA6">
        <w:rPr>
          <w:rFonts w:asciiTheme="majorHAnsi" w:eastAsia="Times New Roman" w:hAnsiTheme="majorHAnsi" w:cstheme="majorHAnsi"/>
          <w:sz w:val="24"/>
          <w:szCs w:val="24"/>
          <w:lang w:val="ro-RO"/>
        </w:rPr>
        <w:t xml:space="preserve"> </w:t>
      </w:r>
      <w:r w:rsidR="00007FE3" w:rsidRPr="00F55BA6">
        <w:rPr>
          <w:rFonts w:asciiTheme="majorHAnsi" w:eastAsia="Times New Roman" w:hAnsiTheme="majorHAnsi" w:cstheme="majorHAnsi"/>
          <w:sz w:val="24"/>
          <w:szCs w:val="24"/>
          <w:lang w:val="ro-RO"/>
        </w:rPr>
        <w:t>27,0</w:t>
      </w:r>
      <w:r w:rsidR="00D30186" w:rsidRPr="00F55BA6">
        <w:rPr>
          <w:rFonts w:asciiTheme="majorHAnsi" w:eastAsia="Times New Roman" w:hAnsiTheme="majorHAnsi" w:cstheme="majorHAnsi"/>
          <w:sz w:val="24"/>
          <w:szCs w:val="24"/>
          <w:lang w:val="ro-RO"/>
        </w:rPr>
        <w:t xml:space="preserve"> mil. lei</w:t>
      </w:r>
      <w:r w:rsidR="006568B7" w:rsidRPr="00F55BA6">
        <w:rPr>
          <w:rFonts w:asciiTheme="majorHAnsi" w:eastAsia="Times New Roman" w:hAnsiTheme="majorHAnsi" w:cstheme="majorHAnsi"/>
          <w:sz w:val="24"/>
          <w:szCs w:val="24"/>
          <w:lang w:val="ro-RO"/>
        </w:rPr>
        <w:t>,</w:t>
      </w:r>
      <w:r w:rsidR="00D30186" w:rsidRPr="00F55BA6">
        <w:rPr>
          <w:rFonts w:asciiTheme="majorHAnsi" w:eastAsia="Times New Roman" w:hAnsiTheme="majorHAnsi" w:cstheme="majorHAnsi"/>
          <w:sz w:val="24"/>
          <w:szCs w:val="24"/>
          <w:lang w:val="ro-RO"/>
        </w:rPr>
        <w:t xml:space="preserve"> din care au fost executate </w:t>
      </w:r>
      <w:r w:rsidR="00007FE3" w:rsidRPr="00F55BA6">
        <w:rPr>
          <w:rFonts w:asciiTheme="majorHAnsi" w:eastAsia="Times New Roman" w:hAnsiTheme="majorHAnsi" w:cstheme="majorHAnsi"/>
          <w:sz w:val="24"/>
          <w:szCs w:val="24"/>
          <w:lang w:val="ro-RO"/>
        </w:rPr>
        <w:t>23,6</w:t>
      </w:r>
      <w:r w:rsidR="00D30186" w:rsidRPr="00F55BA6">
        <w:rPr>
          <w:rFonts w:asciiTheme="majorHAnsi" w:eastAsia="Times New Roman" w:hAnsiTheme="majorHAnsi" w:cstheme="majorHAnsi"/>
          <w:sz w:val="24"/>
          <w:szCs w:val="24"/>
          <w:lang w:val="ro-RO"/>
        </w:rPr>
        <w:t xml:space="preserve"> mil. lei</w:t>
      </w:r>
      <w:r w:rsidR="00390C47" w:rsidRPr="00F55BA6">
        <w:rPr>
          <w:rFonts w:asciiTheme="majorHAnsi" w:eastAsia="Times New Roman" w:hAnsiTheme="majorHAnsi" w:cstheme="majorHAnsi"/>
          <w:sz w:val="24"/>
          <w:szCs w:val="24"/>
          <w:lang w:val="ro-RO"/>
        </w:rPr>
        <w:t>,</w:t>
      </w:r>
      <w:r w:rsidR="00D30186" w:rsidRPr="00F55BA6">
        <w:rPr>
          <w:rFonts w:asciiTheme="majorHAnsi" w:eastAsia="Times New Roman" w:hAnsiTheme="majorHAnsi" w:cstheme="majorHAnsi"/>
          <w:sz w:val="24"/>
          <w:szCs w:val="24"/>
          <w:lang w:val="ro-RO"/>
        </w:rPr>
        <w:t xml:space="preserve"> sau </w:t>
      </w:r>
      <w:r w:rsidR="00007FE3" w:rsidRPr="00F55BA6">
        <w:rPr>
          <w:rFonts w:asciiTheme="majorHAnsi" w:eastAsia="Times New Roman" w:hAnsiTheme="majorHAnsi" w:cstheme="majorHAnsi"/>
          <w:sz w:val="24"/>
          <w:szCs w:val="24"/>
          <w:lang w:val="ro-RO"/>
        </w:rPr>
        <w:t>87,4</w:t>
      </w:r>
      <w:r w:rsidR="00D30186" w:rsidRPr="00F55BA6">
        <w:rPr>
          <w:rFonts w:asciiTheme="majorHAnsi" w:eastAsia="Times New Roman" w:hAnsiTheme="majorHAnsi" w:cstheme="majorHAnsi"/>
          <w:sz w:val="24"/>
          <w:szCs w:val="24"/>
          <w:lang w:val="ro-RO"/>
        </w:rPr>
        <w:t>%</w:t>
      </w:r>
      <w:r w:rsidR="00007FE3" w:rsidRPr="00F55BA6">
        <w:rPr>
          <w:rFonts w:asciiTheme="majorHAnsi" w:eastAsia="Times New Roman" w:hAnsiTheme="majorHAnsi" w:cstheme="majorHAnsi"/>
          <w:sz w:val="24"/>
          <w:szCs w:val="24"/>
          <w:lang w:val="ro-RO"/>
        </w:rPr>
        <w:t>.</w:t>
      </w:r>
      <w:r w:rsidR="005E7957" w:rsidRPr="00F55BA6">
        <w:rPr>
          <w:rFonts w:asciiTheme="majorHAnsi" w:eastAsia="Times New Roman" w:hAnsiTheme="majorHAnsi" w:cstheme="majorHAnsi"/>
          <w:sz w:val="24"/>
          <w:szCs w:val="24"/>
          <w:lang w:val="ro-RO"/>
        </w:rPr>
        <w:t xml:space="preserve"> </w:t>
      </w:r>
      <w:r w:rsidR="00943437" w:rsidRPr="00F55BA6">
        <w:rPr>
          <w:rFonts w:asciiTheme="majorHAnsi" w:hAnsiTheme="majorHAnsi" w:cstheme="majorHAnsi"/>
          <w:color w:val="000000"/>
          <w:sz w:val="24"/>
          <w:szCs w:val="24"/>
          <w:lang w:val="ro-RO" w:eastAsia="ro-RO" w:bidi="ro-RO"/>
        </w:rPr>
        <w:t xml:space="preserve">Potrivit informației prezentate de SFS, </w:t>
      </w:r>
      <w:r w:rsidR="002F07A8" w:rsidRPr="00F55BA6">
        <w:rPr>
          <w:rFonts w:asciiTheme="majorHAnsi" w:hAnsiTheme="majorHAnsi" w:cstheme="majorHAnsi"/>
          <w:color w:val="000000"/>
          <w:sz w:val="24"/>
          <w:szCs w:val="24"/>
          <w:lang w:val="ro-RO" w:eastAsia="ro-RO" w:bidi="ro-RO"/>
        </w:rPr>
        <w:t xml:space="preserve">subiecții </w:t>
      </w:r>
      <w:r w:rsidR="00943437" w:rsidRPr="00F55BA6">
        <w:rPr>
          <w:rFonts w:asciiTheme="majorHAnsi" w:hAnsiTheme="majorHAnsi" w:cstheme="majorHAnsi"/>
          <w:color w:val="000000"/>
          <w:sz w:val="24"/>
          <w:szCs w:val="24"/>
          <w:lang w:val="ro-RO" w:eastAsia="ro-RO" w:bidi="ro-RO"/>
        </w:rPr>
        <w:t xml:space="preserve">au depus 1 557 </w:t>
      </w:r>
      <w:r w:rsidR="00390C47" w:rsidRPr="00F55BA6">
        <w:rPr>
          <w:rFonts w:asciiTheme="majorHAnsi" w:hAnsiTheme="majorHAnsi" w:cstheme="majorHAnsi"/>
          <w:color w:val="000000"/>
          <w:sz w:val="24"/>
          <w:szCs w:val="24"/>
          <w:lang w:val="ro-RO" w:eastAsia="ro-RO" w:bidi="ro-RO"/>
        </w:rPr>
        <w:t xml:space="preserve">de </w:t>
      </w:r>
      <w:r w:rsidR="00943437" w:rsidRPr="00F55BA6">
        <w:rPr>
          <w:rFonts w:asciiTheme="majorHAnsi" w:hAnsiTheme="majorHAnsi" w:cstheme="majorHAnsi"/>
          <w:color w:val="000000"/>
          <w:sz w:val="24"/>
          <w:szCs w:val="24"/>
          <w:lang w:val="ro-RO" w:eastAsia="ro-RO" w:bidi="ro-RO"/>
        </w:rPr>
        <w:t xml:space="preserve">cereri cu suma subvențiilor solicitată de 40,8 mil. lei. </w:t>
      </w:r>
      <w:r w:rsidR="00390C47" w:rsidRPr="00F55BA6">
        <w:rPr>
          <w:rFonts w:asciiTheme="majorHAnsi" w:hAnsiTheme="majorHAnsi" w:cstheme="majorHAnsi"/>
          <w:color w:val="000000"/>
          <w:sz w:val="24"/>
          <w:szCs w:val="24"/>
          <w:lang w:val="ro-RO" w:eastAsia="ro-RO" w:bidi="ro-RO"/>
        </w:rPr>
        <w:t xml:space="preserve">Ca </w:t>
      </w:r>
      <w:r w:rsidR="00390C47" w:rsidRPr="00973E5B">
        <w:rPr>
          <w:rFonts w:asciiTheme="majorHAnsi" w:hAnsiTheme="majorHAnsi" w:cstheme="majorHAnsi"/>
          <w:color w:val="000000"/>
          <w:sz w:val="24"/>
          <w:szCs w:val="24"/>
          <w:lang w:val="ro-RO" w:eastAsia="ro-RO" w:bidi="ro-RO"/>
        </w:rPr>
        <w:t>u</w:t>
      </w:r>
      <w:r w:rsidR="00943437" w:rsidRPr="00B05CFC">
        <w:rPr>
          <w:rFonts w:asciiTheme="majorHAnsi" w:hAnsiTheme="majorHAnsi" w:cstheme="majorHAnsi"/>
          <w:color w:val="000000"/>
          <w:sz w:val="24"/>
          <w:szCs w:val="24"/>
          <w:lang w:val="ro-RO" w:eastAsia="ro-RO" w:bidi="ro-RO"/>
        </w:rPr>
        <w:t>rmare a examinării cererilor acceptate</w:t>
      </w:r>
      <w:r w:rsidR="007E420C" w:rsidRPr="00E4517B">
        <w:rPr>
          <w:rFonts w:asciiTheme="majorHAnsi" w:hAnsiTheme="majorHAnsi" w:cstheme="majorHAnsi"/>
          <w:color w:val="000000"/>
          <w:sz w:val="24"/>
          <w:szCs w:val="24"/>
          <w:lang w:val="ro-RO" w:eastAsia="ro-RO" w:bidi="ro-RO"/>
        </w:rPr>
        <w:t xml:space="preserve"> de către SFS</w:t>
      </w:r>
      <w:r w:rsidR="00943437" w:rsidRPr="00E4517B">
        <w:rPr>
          <w:rFonts w:asciiTheme="majorHAnsi" w:hAnsiTheme="majorHAnsi" w:cstheme="majorHAnsi"/>
          <w:color w:val="000000"/>
          <w:sz w:val="24"/>
          <w:szCs w:val="24"/>
          <w:lang w:val="ro-RO" w:eastAsia="ro-RO" w:bidi="ro-RO"/>
        </w:rPr>
        <w:t>,</w:t>
      </w:r>
      <w:r w:rsidR="007E420C" w:rsidRPr="00E4517B">
        <w:rPr>
          <w:rFonts w:asciiTheme="majorHAnsi" w:hAnsiTheme="majorHAnsi" w:cstheme="majorHAnsi"/>
          <w:color w:val="000000"/>
          <w:sz w:val="24"/>
          <w:szCs w:val="24"/>
          <w:lang w:val="ro-RO" w:eastAsia="ro-RO" w:bidi="ro-RO"/>
        </w:rPr>
        <w:t xml:space="preserve"> </w:t>
      </w:r>
      <w:r w:rsidR="00943437" w:rsidRPr="00F55BA6">
        <w:rPr>
          <w:rFonts w:asciiTheme="majorHAnsi" w:hAnsiTheme="majorHAnsi" w:cstheme="majorHAnsi"/>
          <w:sz w:val="24"/>
          <w:szCs w:val="24"/>
          <w:lang w:val="ro-RO"/>
        </w:rPr>
        <w:t>în anul 2020 au fost adoptate 1 112 decizii privind acordarea subvențiilor aferente dobânzilor achitate, în valoare de 24,5 mil. lei</w:t>
      </w:r>
      <w:r w:rsidR="00390C47" w:rsidRPr="00F55BA6">
        <w:rPr>
          <w:rFonts w:asciiTheme="majorHAnsi" w:hAnsiTheme="majorHAnsi" w:cstheme="majorHAnsi"/>
          <w:sz w:val="24"/>
          <w:szCs w:val="24"/>
          <w:lang w:val="ro-RO"/>
        </w:rPr>
        <w:t>,</w:t>
      </w:r>
      <w:r w:rsidR="00943437" w:rsidRPr="00F55BA6">
        <w:rPr>
          <w:rFonts w:asciiTheme="majorHAnsi" w:hAnsiTheme="majorHAnsi" w:cstheme="majorHAnsi"/>
          <w:sz w:val="24"/>
          <w:szCs w:val="24"/>
          <w:lang w:val="ro-RO"/>
        </w:rPr>
        <w:t xml:space="preserve"> pentru 325 </w:t>
      </w:r>
      <w:r w:rsidR="00390C47" w:rsidRPr="00F55BA6">
        <w:rPr>
          <w:rFonts w:asciiTheme="majorHAnsi" w:hAnsiTheme="majorHAnsi" w:cstheme="majorHAnsi"/>
          <w:sz w:val="24"/>
          <w:szCs w:val="24"/>
          <w:lang w:val="ro-RO"/>
        </w:rPr>
        <w:t xml:space="preserve">de </w:t>
      </w:r>
      <w:r w:rsidR="00943437" w:rsidRPr="00F55BA6">
        <w:rPr>
          <w:rFonts w:asciiTheme="majorHAnsi" w:hAnsiTheme="majorHAnsi" w:cstheme="majorHAnsi"/>
          <w:sz w:val="24"/>
          <w:szCs w:val="24"/>
          <w:lang w:val="ro-RO"/>
        </w:rPr>
        <w:t>contribuabili</w:t>
      </w:r>
      <w:r w:rsidR="00390C47" w:rsidRPr="00F55BA6">
        <w:rPr>
          <w:rFonts w:asciiTheme="majorHAnsi" w:hAnsiTheme="majorHAnsi" w:cstheme="majorHAnsi"/>
          <w:sz w:val="24"/>
          <w:szCs w:val="24"/>
          <w:lang w:val="ro-RO"/>
        </w:rPr>
        <w:t>;</w:t>
      </w:r>
    </w:p>
    <w:p w:rsidR="001736E4" w:rsidRPr="00F55BA6" w:rsidRDefault="006E7D3A" w:rsidP="006E7D3A">
      <w:pPr>
        <w:pStyle w:val="af0"/>
        <w:tabs>
          <w:tab w:val="left" w:pos="284"/>
          <w:tab w:val="left" w:pos="360"/>
        </w:tabs>
        <w:spacing w:after="0" w:line="276" w:lineRule="auto"/>
        <w:ind w:left="0"/>
        <w:rPr>
          <w:rFonts w:asciiTheme="majorHAnsi" w:hAnsiTheme="majorHAnsi" w:cstheme="majorHAnsi"/>
          <w:sz w:val="24"/>
          <w:szCs w:val="24"/>
          <w:lang w:val="ro-RO"/>
        </w:rPr>
      </w:pPr>
      <w:r w:rsidRPr="00F55BA6">
        <w:rPr>
          <w:rFonts w:asciiTheme="majorHAnsi" w:hAnsiTheme="majorHAnsi" w:cstheme="majorHAnsi"/>
          <w:b/>
          <w:sz w:val="24"/>
          <w:szCs w:val="24"/>
          <w:lang w:val="ro-RO"/>
        </w:rPr>
        <w:t>(ii)</w:t>
      </w:r>
      <w:r w:rsidRPr="00F55BA6">
        <w:rPr>
          <w:rFonts w:asciiTheme="majorHAnsi" w:hAnsiTheme="majorHAnsi" w:cstheme="majorHAnsi"/>
          <w:sz w:val="24"/>
          <w:szCs w:val="24"/>
          <w:lang w:val="ro-RO"/>
        </w:rPr>
        <w:t xml:space="preserve"> </w:t>
      </w:r>
      <w:r w:rsidR="003B748C">
        <w:rPr>
          <w:rFonts w:asciiTheme="majorHAnsi" w:eastAsia="Times New Roman" w:hAnsiTheme="majorHAnsi" w:cstheme="majorHAnsi"/>
          <w:sz w:val="24"/>
          <w:szCs w:val="24"/>
          <w:lang w:val="ro-RO"/>
        </w:rPr>
        <w:t>c</w:t>
      </w:r>
      <w:r w:rsidR="00113E1A" w:rsidRPr="00F55BA6">
        <w:rPr>
          <w:rFonts w:asciiTheme="majorHAnsi" w:eastAsia="Times New Roman" w:hAnsiTheme="majorHAnsi" w:cstheme="majorHAnsi"/>
          <w:sz w:val="24"/>
          <w:szCs w:val="24"/>
          <w:lang w:val="ro-RO"/>
        </w:rPr>
        <w:t>onform Ordinului MF nr.58 din 29.04.2020</w:t>
      </w:r>
      <w:r w:rsidR="00113E1A" w:rsidRPr="00F55BA6">
        <w:rPr>
          <w:rStyle w:val="ac"/>
          <w:rFonts w:asciiTheme="majorHAnsi" w:eastAsia="Times New Roman" w:hAnsiTheme="majorHAnsi" w:cstheme="majorHAnsi"/>
          <w:sz w:val="24"/>
          <w:szCs w:val="24"/>
          <w:lang w:val="ro-RO"/>
        </w:rPr>
        <w:footnoteReference w:id="13"/>
      </w:r>
      <w:r w:rsidR="00390C47" w:rsidRPr="00F55BA6">
        <w:rPr>
          <w:rFonts w:asciiTheme="majorHAnsi" w:eastAsia="Times New Roman" w:hAnsiTheme="majorHAnsi" w:cstheme="majorHAnsi"/>
          <w:sz w:val="24"/>
          <w:szCs w:val="24"/>
          <w:lang w:val="ro-RO"/>
        </w:rPr>
        <w:t>,</w:t>
      </w:r>
      <w:r w:rsidR="00113E1A" w:rsidRPr="00F55BA6">
        <w:rPr>
          <w:rFonts w:asciiTheme="majorHAnsi" w:eastAsia="Times New Roman" w:hAnsiTheme="majorHAnsi" w:cstheme="majorHAnsi"/>
          <w:sz w:val="24"/>
          <w:szCs w:val="24"/>
          <w:lang w:val="ro-RO"/>
        </w:rPr>
        <w:t xml:space="preserve"> </w:t>
      </w:r>
      <w:r w:rsidR="007C3D45" w:rsidRPr="00F55BA6">
        <w:rPr>
          <w:rFonts w:asciiTheme="majorHAnsi" w:eastAsia="Times New Roman" w:hAnsiTheme="majorHAnsi" w:cstheme="majorHAnsi"/>
          <w:sz w:val="24"/>
          <w:szCs w:val="24"/>
          <w:lang w:val="ro-RO"/>
        </w:rPr>
        <w:t>întreprinderile</w:t>
      </w:r>
      <w:r w:rsidR="00113E1A" w:rsidRPr="00F55BA6">
        <w:rPr>
          <w:rFonts w:asciiTheme="majorHAnsi" w:eastAsia="Times New Roman" w:hAnsiTheme="majorHAnsi" w:cstheme="majorHAnsi"/>
          <w:sz w:val="24"/>
          <w:szCs w:val="24"/>
          <w:lang w:val="ro-RO"/>
        </w:rPr>
        <w:t xml:space="preserve"> şi</w:t>
      </w:r>
      <w:r w:rsidR="007C3D45" w:rsidRPr="00F55BA6">
        <w:rPr>
          <w:rFonts w:asciiTheme="majorHAnsi" w:eastAsia="Times New Roman" w:hAnsiTheme="majorHAnsi" w:cstheme="majorHAnsi"/>
          <w:sz w:val="24"/>
          <w:szCs w:val="24"/>
          <w:lang w:val="ro-RO"/>
        </w:rPr>
        <w:t xml:space="preserve"> organizațiile</w:t>
      </w:r>
      <w:r w:rsidR="00113E1A" w:rsidRPr="00F55BA6">
        <w:rPr>
          <w:rFonts w:asciiTheme="majorHAnsi" w:eastAsia="Times New Roman" w:hAnsiTheme="majorHAnsi" w:cstheme="majorHAnsi"/>
          <w:sz w:val="24"/>
          <w:szCs w:val="24"/>
          <w:lang w:val="ro-RO"/>
        </w:rPr>
        <w:t xml:space="preserve"> necomerciale, reziden</w:t>
      </w:r>
      <w:r w:rsidR="003B748C">
        <w:rPr>
          <w:rFonts w:asciiTheme="majorHAnsi" w:eastAsia="Times New Roman" w:hAnsiTheme="majorHAnsi" w:cstheme="majorHAnsi"/>
          <w:sz w:val="24"/>
          <w:szCs w:val="24"/>
          <w:lang w:val="ro-RO"/>
        </w:rPr>
        <w:t>te</w:t>
      </w:r>
      <w:r w:rsidR="00113E1A" w:rsidRPr="00F55BA6">
        <w:rPr>
          <w:rFonts w:asciiTheme="majorHAnsi" w:eastAsia="Times New Roman" w:hAnsiTheme="majorHAnsi" w:cstheme="majorHAnsi"/>
          <w:sz w:val="24"/>
          <w:szCs w:val="24"/>
          <w:lang w:val="ro-RO"/>
        </w:rPr>
        <w:t xml:space="preserve"> a</w:t>
      </w:r>
      <w:r w:rsidR="003B748C">
        <w:rPr>
          <w:rFonts w:asciiTheme="majorHAnsi" w:eastAsia="Times New Roman" w:hAnsiTheme="majorHAnsi" w:cstheme="majorHAnsi"/>
          <w:sz w:val="24"/>
          <w:szCs w:val="24"/>
          <w:lang w:val="ro-RO"/>
        </w:rPr>
        <w:t>le</w:t>
      </w:r>
      <w:r w:rsidR="00113E1A" w:rsidRPr="00F55BA6">
        <w:rPr>
          <w:rFonts w:asciiTheme="majorHAnsi" w:eastAsia="Times New Roman" w:hAnsiTheme="majorHAnsi" w:cstheme="majorHAnsi"/>
          <w:sz w:val="24"/>
          <w:szCs w:val="24"/>
          <w:lang w:val="ro-RO"/>
        </w:rPr>
        <w:t xml:space="preserve"> RM, care au instituit șomaj tehnic şi/sau staționare</w:t>
      </w:r>
      <w:r w:rsidR="00121552" w:rsidRPr="00F55BA6">
        <w:rPr>
          <w:rFonts w:asciiTheme="majorHAnsi" w:hAnsiTheme="majorHAnsi" w:cstheme="majorHAnsi"/>
          <w:sz w:val="16"/>
          <w:szCs w:val="16"/>
          <w:lang w:val="ro-RO"/>
        </w:rPr>
        <w:t xml:space="preserve"> </w:t>
      </w:r>
      <w:r w:rsidR="00390C47" w:rsidRPr="00F55BA6">
        <w:rPr>
          <w:rFonts w:asciiTheme="majorHAnsi" w:hAnsiTheme="majorHAnsi" w:cstheme="majorHAnsi"/>
          <w:sz w:val="24"/>
          <w:szCs w:val="24"/>
          <w:lang w:val="ro-RO"/>
        </w:rPr>
        <w:t xml:space="preserve">ca </w:t>
      </w:r>
      <w:r w:rsidR="00121552" w:rsidRPr="00F55BA6">
        <w:rPr>
          <w:rFonts w:asciiTheme="majorHAnsi" w:eastAsia="Times New Roman" w:hAnsiTheme="majorHAnsi" w:cstheme="majorHAnsi"/>
          <w:sz w:val="24"/>
          <w:szCs w:val="24"/>
          <w:lang w:val="ro-RO"/>
        </w:rPr>
        <w:t>urmare a situației epidemiologice (COVID-19)</w:t>
      </w:r>
      <w:r w:rsidR="00390C47" w:rsidRPr="00F55BA6">
        <w:rPr>
          <w:rFonts w:asciiTheme="majorHAnsi" w:eastAsia="Times New Roman" w:hAnsiTheme="majorHAnsi" w:cstheme="majorHAnsi"/>
          <w:sz w:val="24"/>
          <w:szCs w:val="24"/>
          <w:lang w:val="ro-RO"/>
        </w:rPr>
        <w:t>,</w:t>
      </w:r>
      <w:r w:rsidR="007C3D45" w:rsidRPr="00F55BA6">
        <w:rPr>
          <w:rFonts w:asciiTheme="majorHAnsi" w:eastAsia="Times New Roman" w:hAnsiTheme="majorHAnsi" w:cstheme="majorHAnsi"/>
          <w:sz w:val="24"/>
          <w:szCs w:val="24"/>
          <w:lang w:val="ro-RO"/>
        </w:rPr>
        <w:t xml:space="preserve"> au beneficiat de subvenții</w:t>
      </w:r>
      <w:r w:rsidR="00070D64" w:rsidRPr="00F55BA6">
        <w:rPr>
          <w:rFonts w:asciiTheme="majorHAnsi" w:eastAsia="Times New Roman" w:hAnsiTheme="majorHAnsi" w:cstheme="majorHAnsi"/>
          <w:sz w:val="24"/>
          <w:szCs w:val="24"/>
          <w:lang w:val="ro-RO"/>
        </w:rPr>
        <w:t xml:space="preserve"> planificate la același cod economic.</w:t>
      </w:r>
      <w:r w:rsidR="00113E1A" w:rsidRPr="00F55BA6">
        <w:rPr>
          <w:rFonts w:asciiTheme="majorHAnsi" w:eastAsia="Times New Roman" w:hAnsiTheme="majorHAnsi" w:cstheme="majorHAnsi"/>
          <w:sz w:val="24"/>
          <w:szCs w:val="24"/>
          <w:lang w:val="ro-RO"/>
        </w:rPr>
        <w:t xml:space="preserve"> </w:t>
      </w:r>
      <w:r w:rsidR="00716A22" w:rsidRPr="00F55BA6">
        <w:rPr>
          <w:rFonts w:asciiTheme="majorHAnsi" w:eastAsia="Times New Roman" w:hAnsiTheme="majorHAnsi" w:cstheme="majorHAnsi"/>
          <w:sz w:val="24"/>
          <w:szCs w:val="24"/>
          <w:lang w:val="ro-RO"/>
        </w:rPr>
        <w:t>Inițial nu au fost aprobate mijloace</w:t>
      </w:r>
      <w:r w:rsidR="00772FBC" w:rsidRPr="00F55BA6">
        <w:rPr>
          <w:rFonts w:asciiTheme="majorHAnsi" w:eastAsia="Times New Roman" w:hAnsiTheme="majorHAnsi" w:cstheme="majorHAnsi"/>
          <w:sz w:val="24"/>
          <w:szCs w:val="24"/>
          <w:lang w:val="ro-RO"/>
        </w:rPr>
        <w:t xml:space="preserve"> financiare</w:t>
      </w:r>
      <w:r w:rsidR="00716A22" w:rsidRPr="00F55BA6">
        <w:rPr>
          <w:rFonts w:asciiTheme="majorHAnsi" w:eastAsia="Times New Roman" w:hAnsiTheme="majorHAnsi" w:cstheme="majorHAnsi"/>
          <w:sz w:val="24"/>
          <w:szCs w:val="24"/>
          <w:lang w:val="ro-RO"/>
        </w:rPr>
        <w:t>, iar la rectificarea bugetului au fost precizate 73,0 mil. lei</w:t>
      </w:r>
      <w:r w:rsidR="00114E4E" w:rsidRPr="00F55BA6">
        <w:rPr>
          <w:rFonts w:asciiTheme="majorHAnsi" w:eastAsia="Times New Roman" w:hAnsiTheme="majorHAnsi" w:cstheme="majorHAnsi"/>
          <w:sz w:val="24"/>
          <w:szCs w:val="24"/>
          <w:lang w:val="ro-RO"/>
        </w:rPr>
        <w:t>,</w:t>
      </w:r>
      <w:r w:rsidR="004801BD" w:rsidRPr="00F55BA6">
        <w:rPr>
          <w:rFonts w:asciiTheme="majorHAnsi" w:eastAsia="Times New Roman" w:hAnsiTheme="majorHAnsi" w:cstheme="majorHAnsi"/>
          <w:sz w:val="24"/>
          <w:szCs w:val="24"/>
          <w:lang w:val="ro-RO"/>
        </w:rPr>
        <w:t xml:space="preserve"> din care </w:t>
      </w:r>
      <w:r w:rsidR="007E145E" w:rsidRPr="00F55BA6">
        <w:rPr>
          <w:rFonts w:asciiTheme="majorHAnsi" w:eastAsia="Times New Roman" w:hAnsiTheme="majorHAnsi" w:cstheme="majorHAnsi"/>
          <w:sz w:val="24"/>
          <w:szCs w:val="24"/>
          <w:lang w:val="ro-RO"/>
        </w:rPr>
        <w:t>fiind</w:t>
      </w:r>
      <w:r w:rsidR="004801BD" w:rsidRPr="00F55BA6">
        <w:rPr>
          <w:rFonts w:asciiTheme="majorHAnsi" w:eastAsia="Times New Roman" w:hAnsiTheme="majorHAnsi" w:cstheme="majorHAnsi"/>
          <w:sz w:val="24"/>
          <w:szCs w:val="24"/>
          <w:lang w:val="ro-RO"/>
        </w:rPr>
        <w:t xml:space="preserve"> executate 59,2 mil. lei</w:t>
      </w:r>
      <w:r w:rsidR="00390C47" w:rsidRPr="00F55BA6">
        <w:rPr>
          <w:rFonts w:asciiTheme="majorHAnsi" w:eastAsia="Times New Roman" w:hAnsiTheme="majorHAnsi" w:cstheme="majorHAnsi"/>
          <w:sz w:val="24"/>
          <w:szCs w:val="24"/>
          <w:lang w:val="ro-RO"/>
        </w:rPr>
        <w:t>,</w:t>
      </w:r>
      <w:r w:rsidR="004801BD" w:rsidRPr="00F55BA6">
        <w:rPr>
          <w:rFonts w:asciiTheme="majorHAnsi" w:eastAsia="Times New Roman" w:hAnsiTheme="majorHAnsi" w:cstheme="majorHAnsi"/>
          <w:sz w:val="24"/>
          <w:szCs w:val="24"/>
          <w:lang w:val="ro-RO"/>
        </w:rPr>
        <w:t xml:space="preserve"> sau 81,1</w:t>
      </w:r>
      <w:r w:rsidR="00070D64" w:rsidRPr="00F55BA6">
        <w:rPr>
          <w:rFonts w:asciiTheme="majorHAnsi" w:eastAsia="Times New Roman" w:hAnsiTheme="majorHAnsi" w:cstheme="majorHAnsi"/>
          <w:sz w:val="24"/>
          <w:szCs w:val="24"/>
          <w:lang w:val="ro-RO"/>
        </w:rPr>
        <w:t xml:space="preserve">%. </w:t>
      </w:r>
      <w:r w:rsidR="00A45A36" w:rsidRPr="00F55BA6">
        <w:rPr>
          <w:rFonts w:asciiTheme="majorHAnsi" w:hAnsiTheme="majorHAnsi" w:cstheme="majorHAnsi"/>
          <w:color w:val="000000"/>
          <w:sz w:val="24"/>
          <w:szCs w:val="24"/>
          <w:lang w:val="ro-RO" w:eastAsia="ro-RO" w:bidi="ro-RO"/>
        </w:rPr>
        <w:t xml:space="preserve">Potrivit informației prezentate de către SFS, </w:t>
      </w:r>
      <w:r w:rsidR="00A45A36" w:rsidRPr="00F55BA6">
        <w:rPr>
          <w:rFonts w:asciiTheme="majorHAnsi" w:eastAsia="Times New Roman" w:hAnsiTheme="majorHAnsi" w:cstheme="majorHAnsi"/>
          <w:color w:val="000000" w:themeColor="text1"/>
          <w:sz w:val="24"/>
          <w:szCs w:val="24"/>
          <w:lang w:val="ro-RO" w:bidi="ro-RO"/>
        </w:rPr>
        <w:t xml:space="preserve">au fost depuse 1 628 </w:t>
      </w:r>
      <w:r w:rsidR="00390C47" w:rsidRPr="00F55BA6">
        <w:rPr>
          <w:rFonts w:asciiTheme="majorHAnsi" w:eastAsia="Times New Roman" w:hAnsiTheme="majorHAnsi" w:cstheme="majorHAnsi"/>
          <w:color w:val="000000" w:themeColor="text1"/>
          <w:sz w:val="24"/>
          <w:szCs w:val="24"/>
          <w:lang w:val="ro-RO" w:bidi="ro-RO"/>
        </w:rPr>
        <w:t xml:space="preserve">de </w:t>
      </w:r>
      <w:r w:rsidR="00A45A36" w:rsidRPr="00F55BA6">
        <w:rPr>
          <w:rFonts w:asciiTheme="majorHAnsi" w:eastAsia="Times New Roman" w:hAnsiTheme="majorHAnsi" w:cstheme="majorHAnsi"/>
          <w:color w:val="000000" w:themeColor="text1"/>
          <w:sz w:val="24"/>
          <w:szCs w:val="24"/>
          <w:lang w:val="ro-RO" w:bidi="ro-RO"/>
        </w:rPr>
        <w:t xml:space="preserve">cereri privind solicitarea </w:t>
      </w:r>
      <w:r w:rsidR="00E81EF9" w:rsidRPr="00F55BA6">
        <w:rPr>
          <w:rFonts w:asciiTheme="majorHAnsi" w:eastAsia="Times New Roman" w:hAnsiTheme="majorHAnsi" w:cstheme="majorHAnsi"/>
          <w:color w:val="000000" w:themeColor="text1"/>
          <w:sz w:val="24"/>
          <w:szCs w:val="24"/>
          <w:lang w:val="ro-RO" w:bidi="ro-RO"/>
        </w:rPr>
        <w:t>subvențiilor</w:t>
      </w:r>
      <w:r w:rsidR="00A45A36" w:rsidRPr="00F55BA6">
        <w:rPr>
          <w:rFonts w:asciiTheme="majorHAnsi" w:eastAsia="Times New Roman" w:hAnsiTheme="majorHAnsi" w:cstheme="majorHAnsi"/>
          <w:color w:val="000000" w:themeColor="text1"/>
          <w:sz w:val="24"/>
          <w:szCs w:val="24"/>
          <w:lang w:val="ro-RO" w:bidi="ro-RO"/>
        </w:rPr>
        <w:t xml:space="preserve"> pentru cheltuielile legate de achitarea salariului/</w:t>
      </w:r>
      <w:r w:rsidR="00390C47" w:rsidRPr="00F55BA6">
        <w:rPr>
          <w:rFonts w:asciiTheme="majorHAnsi" w:eastAsia="Times New Roman" w:hAnsiTheme="majorHAnsi" w:cstheme="majorHAnsi"/>
          <w:color w:val="000000" w:themeColor="text1"/>
          <w:sz w:val="24"/>
          <w:szCs w:val="24"/>
          <w:lang w:val="ro-RO" w:bidi="ro-RO"/>
        </w:rPr>
        <w:t>i</w:t>
      </w:r>
      <w:r w:rsidR="00E81EF9" w:rsidRPr="00F55BA6">
        <w:rPr>
          <w:rFonts w:asciiTheme="majorHAnsi" w:eastAsia="Times New Roman" w:hAnsiTheme="majorHAnsi" w:cstheme="majorHAnsi"/>
          <w:color w:val="000000" w:themeColor="text1"/>
          <w:sz w:val="24"/>
          <w:szCs w:val="24"/>
          <w:lang w:val="ro-RO" w:bidi="ro-RO"/>
        </w:rPr>
        <w:t>ndemnizației</w:t>
      </w:r>
      <w:r w:rsidR="00A45A36" w:rsidRPr="00F55BA6">
        <w:rPr>
          <w:rFonts w:asciiTheme="majorHAnsi" w:eastAsia="Times New Roman" w:hAnsiTheme="majorHAnsi" w:cstheme="majorHAnsi"/>
          <w:color w:val="000000" w:themeColor="text1"/>
          <w:sz w:val="24"/>
          <w:szCs w:val="24"/>
          <w:lang w:val="ro-RO" w:bidi="ro-RO"/>
        </w:rPr>
        <w:t xml:space="preserve"> în cazul </w:t>
      </w:r>
      <w:r w:rsidR="00E81EF9" w:rsidRPr="00F55BA6">
        <w:rPr>
          <w:rFonts w:asciiTheme="majorHAnsi" w:eastAsia="Times New Roman" w:hAnsiTheme="majorHAnsi" w:cstheme="majorHAnsi"/>
          <w:color w:val="000000" w:themeColor="text1"/>
          <w:sz w:val="24"/>
          <w:szCs w:val="24"/>
          <w:lang w:val="ro-RO" w:bidi="ro-RO"/>
        </w:rPr>
        <w:t>șomajului</w:t>
      </w:r>
      <w:r w:rsidR="00A45A36" w:rsidRPr="00F55BA6">
        <w:rPr>
          <w:rFonts w:asciiTheme="majorHAnsi" w:eastAsia="Times New Roman" w:hAnsiTheme="majorHAnsi" w:cstheme="majorHAnsi"/>
          <w:color w:val="000000" w:themeColor="text1"/>
          <w:sz w:val="24"/>
          <w:szCs w:val="24"/>
          <w:lang w:val="ro-RO" w:bidi="ro-RO"/>
        </w:rPr>
        <w:t xml:space="preserve"> tehnic/</w:t>
      </w:r>
      <w:r w:rsidR="00E81EF9" w:rsidRPr="00F55BA6">
        <w:rPr>
          <w:rFonts w:asciiTheme="majorHAnsi" w:eastAsia="Times New Roman" w:hAnsiTheme="majorHAnsi" w:cstheme="majorHAnsi"/>
          <w:color w:val="000000" w:themeColor="text1"/>
          <w:sz w:val="24"/>
          <w:szCs w:val="24"/>
          <w:lang w:val="ro-RO" w:bidi="ro-RO"/>
        </w:rPr>
        <w:t>staționării</w:t>
      </w:r>
      <w:r w:rsidR="00A45A36" w:rsidRPr="00F55BA6">
        <w:rPr>
          <w:rFonts w:asciiTheme="majorHAnsi" w:eastAsia="Times New Roman" w:hAnsiTheme="majorHAnsi" w:cstheme="majorHAnsi"/>
          <w:color w:val="000000" w:themeColor="text1"/>
          <w:sz w:val="24"/>
          <w:szCs w:val="24"/>
          <w:lang w:val="ro-RO" w:bidi="ro-RO"/>
        </w:rPr>
        <w:t xml:space="preserve">, cu suma </w:t>
      </w:r>
      <w:r w:rsidR="00E81EF9" w:rsidRPr="00F55BA6">
        <w:rPr>
          <w:rFonts w:asciiTheme="majorHAnsi" w:eastAsia="Times New Roman" w:hAnsiTheme="majorHAnsi" w:cstheme="majorHAnsi"/>
          <w:color w:val="000000" w:themeColor="text1"/>
          <w:sz w:val="24"/>
          <w:szCs w:val="24"/>
          <w:lang w:val="ro-RO" w:bidi="ro-RO"/>
        </w:rPr>
        <w:t>subvențiilor</w:t>
      </w:r>
      <w:r w:rsidR="00A45A36" w:rsidRPr="00F55BA6">
        <w:rPr>
          <w:rFonts w:asciiTheme="majorHAnsi" w:eastAsia="Times New Roman" w:hAnsiTheme="majorHAnsi" w:cstheme="majorHAnsi"/>
          <w:color w:val="000000" w:themeColor="text1"/>
          <w:sz w:val="24"/>
          <w:szCs w:val="24"/>
          <w:lang w:val="ro-RO" w:bidi="ro-RO"/>
        </w:rPr>
        <w:t xml:space="preserve"> solicitată în valoare de 88,5 </w:t>
      </w:r>
      <w:r w:rsidR="00E81EF9" w:rsidRPr="00F55BA6">
        <w:rPr>
          <w:rFonts w:asciiTheme="majorHAnsi" w:eastAsia="Times New Roman" w:hAnsiTheme="majorHAnsi" w:cstheme="majorHAnsi"/>
          <w:color w:val="000000" w:themeColor="text1"/>
          <w:sz w:val="24"/>
          <w:szCs w:val="24"/>
          <w:lang w:val="ro-RO" w:bidi="ro-RO"/>
        </w:rPr>
        <w:t>mil.</w:t>
      </w:r>
      <w:r w:rsidR="00A45A36" w:rsidRPr="00F55BA6">
        <w:rPr>
          <w:rFonts w:asciiTheme="majorHAnsi" w:eastAsia="Times New Roman" w:hAnsiTheme="majorHAnsi" w:cstheme="majorHAnsi"/>
          <w:color w:val="000000" w:themeColor="text1"/>
          <w:sz w:val="24"/>
          <w:szCs w:val="24"/>
          <w:lang w:val="ro-RO" w:bidi="ro-RO"/>
        </w:rPr>
        <w:t xml:space="preserve"> lei.</w:t>
      </w:r>
      <w:r w:rsidR="00390C47" w:rsidRPr="00F55BA6">
        <w:rPr>
          <w:rFonts w:asciiTheme="majorHAnsi" w:eastAsia="Times New Roman" w:hAnsiTheme="majorHAnsi" w:cstheme="majorHAnsi"/>
          <w:color w:val="000000" w:themeColor="text1"/>
          <w:sz w:val="24"/>
          <w:szCs w:val="24"/>
          <w:lang w:val="ro-RO" w:bidi="ro-RO"/>
        </w:rPr>
        <w:t xml:space="preserve"> După</w:t>
      </w:r>
      <w:r w:rsidR="00346E11" w:rsidRPr="00B05CFC">
        <w:rPr>
          <w:rFonts w:asciiTheme="majorHAnsi" w:eastAsia="Times New Roman" w:hAnsiTheme="majorHAnsi" w:cstheme="majorHAnsi"/>
          <w:color w:val="000000" w:themeColor="text1"/>
          <w:sz w:val="24"/>
          <w:szCs w:val="24"/>
          <w:lang w:val="ro-RO" w:bidi="ro-RO"/>
        </w:rPr>
        <w:t xml:space="preserve"> examin</w:t>
      </w:r>
      <w:r w:rsidR="00390C47" w:rsidRPr="00E4517B">
        <w:rPr>
          <w:rFonts w:asciiTheme="majorHAnsi" w:eastAsia="Times New Roman" w:hAnsiTheme="majorHAnsi" w:cstheme="majorHAnsi"/>
          <w:color w:val="000000" w:themeColor="text1"/>
          <w:sz w:val="24"/>
          <w:szCs w:val="24"/>
          <w:lang w:val="ro-RO" w:bidi="ro-RO"/>
        </w:rPr>
        <w:t>area</w:t>
      </w:r>
      <w:r w:rsidR="00346E11" w:rsidRPr="00E4517B">
        <w:rPr>
          <w:rFonts w:asciiTheme="majorHAnsi" w:eastAsia="Times New Roman" w:hAnsiTheme="majorHAnsi" w:cstheme="majorHAnsi"/>
          <w:color w:val="000000" w:themeColor="text1"/>
          <w:sz w:val="24"/>
          <w:szCs w:val="24"/>
          <w:lang w:val="ro-RO" w:bidi="ro-RO"/>
        </w:rPr>
        <w:t xml:space="preserve"> cererilor acceptate, </w:t>
      </w:r>
      <w:r w:rsidR="00073479" w:rsidRPr="00E4517B">
        <w:rPr>
          <w:rFonts w:asciiTheme="majorHAnsi" w:eastAsia="Times New Roman" w:hAnsiTheme="majorHAnsi" w:cstheme="majorHAnsi"/>
          <w:color w:val="000000" w:themeColor="text1"/>
          <w:sz w:val="24"/>
          <w:szCs w:val="24"/>
          <w:lang w:val="ro-RO" w:bidi="ro-RO"/>
        </w:rPr>
        <w:t xml:space="preserve">SFS </w:t>
      </w:r>
      <w:r w:rsidR="00346E11" w:rsidRPr="00E4517B">
        <w:rPr>
          <w:rFonts w:asciiTheme="majorHAnsi" w:eastAsia="Times New Roman" w:hAnsiTheme="majorHAnsi" w:cstheme="majorHAnsi"/>
          <w:color w:val="000000" w:themeColor="text1"/>
          <w:sz w:val="24"/>
          <w:szCs w:val="24"/>
          <w:lang w:val="ro-RO" w:bidi="ro-RO"/>
        </w:rPr>
        <w:t>a adoptat</w:t>
      </w:r>
      <w:r w:rsidR="002950A5" w:rsidRPr="00E4517B">
        <w:rPr>
          <w:rFonts w:asciiTheme="majorHAnsi" w:eastAsia="Times New Roman" w:hAnsiTheme="majorHAnsi" w:cstheme="majorHAnsi"/>
          <w:color w:val="000000" w:themeColor="text1"/>
          <w:sz w:val="24"/>
          <w:szCs w:val="24"/>
          <w:lang w:val="ro-RO" w:bidi="ro-RO"/>
        </w:rPr>
        <w:t xml:space="preserve"> </w:t>
      </w:r>
      <w:r w:rsidR="00346E11" w:rsidRPr="00E4517B">
        <w:rPr>
          <w:rFonts w:asciiTheme="majorHAnsi" w:eastAsia="Times New Roman" w:hAnsiTheme="majorHAnsi" w:cstheme="majorHAnsi"/>
          <w:color w:val="000000" w:themeColor="text1"/>
          <w:sz w:val="24"/>
          <w:szCs w:val="24"/>
          <w:lang w:val="ro-RO" w:bidi="ro-RO"/>
        </w:rPr>
        <w:t xml:space="preserve">1 147 decizii în valoare de 59,2 mil. lei </w:t>
      </w:r>
      <w:r w:rsidR="00856E1B" w:rsidRPr="00E4517B">
        <w:rPr>
          <w:rFonts w:asciiTheme="majorHAnsi" w:eastAsia="Times New Roman" w:hAnsiTheme="majorHAnsi" w:cstheme="majorHAnsi"/>
          <w:color w:val="000000" w:themeColor="text1"/>
          <w:sz w:val="24"/>
          <w:szCs w:val="24"/>
          <w:lang w:val="ro-RO" w:bidi="ro-RO"/>
        </w:rPr>
        <w:t xml:space="preserve">pentru 415 contribuabili. </w:t>
      </w:r>
      <w:r w:rsidR="00390C47" w:rsidRPr="00E4517B">
        <w:rPr>
          <w:rFonts w:asciiTheme="majorHAnsi" w:eastAsia="Times New Roman" w:hAnsiTheme="majorHAnsi" w:cstheme="majorHAnsi"/>
          <w:color w:val="000000" w:themeColor="text1"/>
          <w:sz w:val="24"/>
          <w:szCs w:val="24"/>
          <w:lang w:val="ro-RO" w:bidi="ro-RO"/>
        </w:rPr>
        <w:t>Ca rezultat al</w:t>
      </w:r>
      <w:r w:rsidR="00202503" w:rsidRPr="00E4517B">
        <w:rPr>
          <w:rFonts w:asciiTheme="majorHAnsi" w:eastAsia="Times New Roman" w:hAnsiTheme="majorHAnsi" w:cstheme="majorHAnsi"/>
          <w:color w:val="000000" w:themeColor="text1"/>
          <w:sz w:val="24"/>
          <w:szCs w:val="24"/>
          <w:lang w:val="ro-RO" w:bidi="ro-RO"/>
        </w:rPr>
        <w:t xml:space="preserve"> verificărilor </w:t>
      </w:r>
      <w:r w:rsidR="00390C47" w:rsidRPr="00E4517B">
        <w:rPr>
          <w:rFonts w:asciiTheme="majorHAnsi" w:eastAsia="Times New Roman" w:hAnsiTheme="majorHAnsi" w:cstheme="majorHAnsi"/>
          <w:color w:val="000000" w:themeColor="text1"/>
          <w:sz w:val="24"/>
          <w:szCs w:val="24"/>
          <w:lang w:val="ro-RO" w:bidi="ro-RO"/>
        </w:rPr>
        <w:t xml:space="preserve">de </w:t>
      </w:r>
      <w:r w:rsidR="00202503" w:rsidRPr="00E4517B">
        <w:rPr>
          <w:rFonts w:asciiTheme="majorHAnsi" w:eastAsia="Times New Roman" w:hAnsiTheme="majorHAnsi" w:cstheme="majorHAnsi"/>
          <w:color w:val="000000" w:themeColor="text1"/>
          <w:sz w:val="24"/>
          <w:szCs w:val="24"/>
          <w:lang w:val="ro-RO" w:bidi="ro-RO"/>
        </w:rPr>
        <w:t>audit s-a constatat că</w:t>
      </w:r>
      <w:r w:rsidR="00390C47" w:rsidRPr="00E4517B">
        <w:rPr>
          <w:rFonts w:asciiTheme="majorHAnsi" w:eastAsia="Times New Roman" w:hAnsiTheme="majorHAnsi" w:cstheme="majorHAnsi"/>
          <w:color w:val="000000" w:themeColor="text1"/>
          <w:sz w:val="24"/>
          <w:szCs w:val="24"/>
          <w:lang w:val="ro-RO" w:bidi="ro-RO"/>
        </w:rPr>
        <w:t>,</w:t>
      </w:r>
      <w:r w:rsidR="00202503" w:rsidRPr="00E4517B">
        <w:rPr>
          <w:rFonts w:asciiTheme="majorHAnsi" w:eastAsia="Times New Roman" w:hAnsiTheme="majorHAnsi" w:cstheme="majorHAnsi"/>
          <w:color w:val="000000" w:themeColor="text1"/>
          <w:sz w:val="24"/>
          <w:szCs w:val="24"/>
          <w:lang w:val="ro-RO" w:bidi="ro-RO"/>
        </w:rPr>
        <w:t xml:space="preserve"> din 415 contribuabili,</w:t>
      </w:r>
      <w:r w:rsidR="004A6349" w:rsidRPr="00E4517B">
        <w:rPr>
          <w:rFonts w:asciiTheme="majorHAnsi" w:eastAsia="Times New Roman" w:hAnsiTheme="majorHAnsi" w:cstheme="majorHAnsi"/>
          <w:color w:val="000000" w:themeColor="text1"/>
          <w:sz w:val="24"/>
          <w:szCs w:val="24"/>
          <w:lang w:val="ro-RO" w:bidi="ro-RO"/>
        </w:rPr>
        <w:t xml:space="preserve"> ponderea majoră </w:t>
      </w:r>
      <w:r w:rsidR="00665822" w:rsidRPr="00E4517B">
        <w:rPr>
          <w:rFonts w:asciiTheme="majorHAnsi" w:eastAsia="Times New Roman" w:hAnsiTheme="majorHAnsi" w:cstheme="majorHAnsi"/>
          <w:color w:val="000000" w:themeColor="text1"/>
          <w:sz w:val="24"/>
          <w:szCs w:val="24"/>
          <w:lang w:val="ro-RO" w:bidi="ro-RO"/>
        </w:rPr>
        <w:t xml:space="preserve">de 46,4% </w:t>
      </w:r>
      <w:r w:rsidR="00390C47" w:rsidRPr="00E4517B">
        <w:rPr>
          <w:rFonts w:asciiTheme="majorHAnsi" w:eastAsia="Times New Roman" w:hAnsiTheme="majorHAnsi" w:cstheme="majorHAnsi"/>
          <w:color w:val="000000" w:themeColor="text1"/>
          <w:sz w:val="24"/>
          <w:szCs w:val="24"/>
          <w:lang w:val="ro-RO" w:bidi="ro-RO"/>
        </w:rPr>
        <w:t>din</w:t>
      </w:r>
      <w:r w:rsidR="004A6349" w:rsidRPr="00E4517B">
        <w:rPr>
          <w:rFonts w:asciiTheme="majorHAnsi" w:eastAsia="Times New Roman" w:hAnsiTheme="majorHAnsi" w:cstheme="majorHAnsi"/>
          <w:color w:val="000000" w:themeColor="text1"/>
          <w:sz w:val="24"/>
          <w:szCs w:val="24"/>
          <w:lang w:val="ro-RO" w:bidi="ro-RO"/>
        </w:rPr>
        <w:t xml:space="preserve"> subvenții revine la</w:t>
      </w:r>
      <w:r w:rsidR="00202503" w:rsidRPr="00E4517B">
        <w:rPr>
          <w:rFonts w:asciiTheme="majorHAnsi" w:eastAsia="Times New Roman" w:hAnsiTheme="majorHAnsi" w:cstheme="majorHAnsi"/>
          <w:color w:val="000000" w:themeColor="text1"/>
          <w:sz w:val="24"/>
          <w:szCs w:val="24"/>
          <w:lang w:val="ro-RO" w:bidi="ro-RO"/>
        </w:rPr>
        <w:t xml:space="preserve"> </w:t>
      </w:r>
      <w:r w:rsidR="00AB2D15" w:rsidRPr="00E4517B">
        <w:rPr>
          <w:rFonts w:asciiTheme="majorHAnsi" w:eastAsia="Times New Roman" w:hAnsiTheme="majorHAnsi" w:cstheme="majorHAnsi"/>
          <w:color w:val="000000" w:themeColor="text1"/>
          <w:sz w:val="24"/>
          <w:szCs w:val="24"/>
          <w:lang w:val="ro-RO" w:bidi="ro-RO"/>
        </w:rPr>
        <w:t>10</w:t>
      </w:r>
      <w:r w:rsidR="00202503" w:rsidRPr="00E4517B">
        <w:rPr>
          <w:rFonts w:asciiTheme="majorHAnsi" w:eastAsia="Times New Roman" w:hAnsiTheme="majorHAnsi" w:cstheme="majorHAnsi"/>
          <w:color w:val="000000" w:themeColor="text1"/>
          <w:sz w:val="24"/>
          <w:szCs w:val="24"/>
          <w:lang w:val="ro-RO" w:bidi="ro-RO"/>
        </w:rPr>
        <w:t xml:space="preserve"> contribuabili</w:t>
      </w:r>
      <w:r w:rsidR="004A6349" w:rsidRPr="00E4517B">
        <w:rPr>
          <w:rFonts w:asciiTheme="majorHAnsi" w:eastAsia="Times New Roman" w:hAnsiTheme="majorHAnsi" w:cstheme="majorHAnsi"/>
          <w:color w:val="000000" w:themeColor="text1"/>
          <w:sz w:val="24"/>
          <w:szCs w:val="24"/>
          <w:lang w:val="ro-RO" w:bidi="ro-RO"/>
        </w:rPr>
        <w:t>,</w:t>
      </w:r>
      <w:r w:rsidR="00202503" w:rsidRPr="00E4517B">
        <w:rPr>
          <w:rFonts w:asciiTheme="majorHAnsi" w:eastAsia="Times New Roman" w:hAnsiTheme="majorHAnsi" w:cstheme="majorHAnsi"/>
          <w:color w:val="000000" w:themeColor="text1"/>
          <w:sz w:val="24"/>
          <w:szCs w:val="24"/>
          <w:lang w:val="ro-RO" w:bidi="ro-RO"/>
        </w:rPr>
        <w:t xml:space="preserve"> </w:t>
      </w:r>
      <w:r w:rsidR="004A6349" w:rsidRPr="00E4517B">
        <w:rPr>
          <w:rFonts w:asciiTheme="majorHAnsi" w:eastAsia="Times New Roman" w:hAnsiTheme="majorHAnsi" w:cstheme="majorHAnsi"/>
          <w:color w:val="000000" w:themeColor="text1"/>
          <w:sz w:val="24"/>
          <w:szCs w:val="24"/>
          <w:lang w:val="ro-RO" w:bidi="ro-RO"/>
        </w:rPr>
        <w:t xml:space="preserve">care </w:t>
      </w:r>
      <w:r w:rsidR="00202503" w:rsidRPr="00E4517B">
        <w:rPr>
          <w:rFonts w:asciiTheme="majorHAnsi" w:eastAsia="Times New Roman" w:hAnsiTheme="majorHAnsi" w:cstheme="majorHAnsi"/>
          <w:color w:val="000000" w:themeColor="text1"/>
          <w:sz w:val="24"/>
          <w:szCs w:val="24"/>
          <w:lang w:val="ro-RO" w:bidi="ro-RO"/>
        </w:rPr>
        <w:t xml:space="preserve">au beneficiat de subvenționări mai mari de 1,0 mil. </w:t>
      </w:r>
      <w:r w:rsidR="00C377B4" w:rsidRPr="00E4517B">
        <w:rPr>
          <w:rFonts w:asciiTheme="majorHAnsi" w:eastAsia="Times New Roman" w:hAnsiTheme="majorHAnsi" w:cstheme="majorHAnsi"/>
          <w:color w:val="000000" w:themeColor="text1"/>
          <w:sz w:val="24"/>
          <w:szCs w:val="24"/>
          <w:lang w:val="ro-RO" w:bidi="ro-RO"/>
        </w:rPr>
        <w:t xml:space="preserve">lei, acestea constituind </w:t>
      </w:r>
      <w:r w:rsidR="002C3786" w:rsidRPr="00E4517B">
        <w:rPr>
          <w:rFonts w:asciiTheme="majorHAnsi" w:eastAsia="Times New Roman" w:hAnsiTheme="majorHAnsi" w:cstheme="majorHAnsi"/>
          <w:color w:val="000000" w:themeColor="text1"/>
          <w:sz w:val="24"/>
          <w:szCs w:val="24"/>
          <w:lang w:val="ro-RO" w:bidi="ro-RO"/>
        </w:rPr>
        <w:t xml:space="preserve">circa </w:t>
      </w:r>
      <w:r w:rsidR="00185C38" w:rsidRPr="00E4517B">
        <w:rPr>
          <w:rFonts w:asciiTheme="majorHAnsi" w:eastAsia="Times New Roman" w:hAnsiTheme="majorHAnsi" w:cstheme="majorHAnsi"/>
          <w:color w:val="000000" w:themeColor="text1"/>
          <w:sz w:val="24"/>
          <w:szCs w:val="24"/>
          <w:lang w:val="ro-RO" w:bidi="ro-RO"/>
        </w:rPr>
        <w:t>27,5</w:t>
      </w:r>
      <w:r w:rsidR="00665822" w:rsidRPr="00E4517B">
        <w:rPr>
          <w:rFonts w:asciiTheme="majorHAnsi" w:eastAsia="Times New Roman" w:hAnsiTheme="majorHAnsi" w:cstheme="majorHAnsi"/>
          <w:color w:val="000000" w:themeColor="text1"/>
          <w:sz w:val="24"/>
          <w:szCs w:val="24"/>
          <w:lang w:val="ro-RO" w:bidi="ro-RO"/>
        </w:rPr>
        <w:t xml:space="preserve"> mil. lei</w:t>
      </w:r>
      <w:r w:rsidR="00C377B4" w:rsidRPr="00E4517B">
        <w:rPr>
          <w:rFonts w:asciiTheme="majorHAnsi" w:eastAsia="Times New Roman" w:hAnsiTheme="majorHAnsi" w:cstheme="majorHAnsi"/>
          <w:color w:val="000000" w:themeColor="text1"/>
          <w:sz w:val="24"/>
          <w:szCs w:val="24"/>
          <w:lang w:val="ro-RO" w:bidi="ro-RO"/>
        </w:rPr>
        <w:t>.</w:t>
      </w:r>
      <w:r w:rsidR="0026590F" w:rsidRPr="00E4517B">
        <w:rPr>
          <w:rFonts w:asciiTheme="majorHAnsi" w:eastAsia="Times New Roman" w:hAnsiTheme="majorHAnsi" w:cstheme="majorHAnsi"/>
          <w:color w:val="000000" w:themeColor="text1"/>
          <w:sz w:val="24"/>
          <w:szCs w:val="24"/>
          <w:lang w:val="ro-RO" w:bidi="ro-RO"/>
        </w:rPr>
        <w:t xml:space="preserve"> </w:t>
      </w:r>
      <w:r w:rsidR="0026590F" w:rsidRPr="00E4517B">
        <w:rPr>
          <w:rFonts w:asciiTheme="majorHAnsi" w:eastAsia="Times New Roman" w:hAnsiTheme="majorHAnsi" w:cstheme="majorHAnsi"/>
          <w:i/>
          <w:color w:val="000000" w:themeColor="text1"/>
          <w:sz w:val="24"/>
          <w:szCs w:val="24"/>
          <w:lang w:val="ro-RO" w:bidi="ro-RO"/>
        </w:rPr>
        <w:t xml:space="preserve">Informația </w:t>
      </w:r>
      <w:r w:rsidR="0026590F" w:rsidRPr="00F55BA6">
        <w:rPr>
          <w:rFonts w:asciiTheme="majorHAnsi" w:eastAsia="Times New Roman" w:hAnsiTheme="majorHAnsi" w:cstheme="majorHAnsi"/>
          <w:i/>
          <w:color w:val="000000" w:themeColor="text1"/>
          <w:sz w:val="24"/>
          <w:szCs w:val="24"/>
          <w:lang w:val="ro-RO" w:bidi="ro-RO"/>
        </w:rPr>
        <w:t>se prezintă în Anexa nr.</w:t>
      </w:r>
      <w:r w:rsidR="00F13635" w:rsidRPr="00F55BA6">
        <w:rPr>
          <w:rFonts w:asciiTheme="majorHAnsi" w:eastAsia="Times New Roman" w:hAnsiTheme="majorHAnsi" w:cstheme="majorHAnsi"/>
          <w:i/>
          <w:color w:val="000000" w:themeColor="text1"/>
          <w:sz w:val="24"/>
          <w:szCs w:val="24"/>
          <w:lang w:val="ro-RO" w:bidi="ro-RO"/>
        </w:rPr>
        <w:t>2</w:t>
      </w:r>
      <w:r w:rsidR="0026590F" w:rsidRPr="00F55BA6">
        <w:rPr>
          <w:rFonts w:asciiTheme="majorHAnsi" w:eastAsia="Times New Roman" w:hAnsiTheme="majorHAnsi" w:cstheme="majorHAnsi"/>
          <w:i/>
          <w:color w:val="000000" w:themeColor="text1"/>
          <w:sz w:val="24"/>
          <w:szCs w:val="24"/>
          <w:lang w:val="ro-RO" w:bidi="ro-RO"/>
        </w:rPr>
        <w:t xml:space="preserve"> la prezentul Raport de audit.</w:t>
      </w:r>
    </w:p>
    <w:p w:rsidR="00985859" w:rsidRPr="00F55BA6" w:rsidRDefault="00323419" w:rsidP="00A45A36">
      <w:pPr>
        <w:pStyle w:val="af0"/>
        <w:tabs>
          <w:tab w:val="left" w:pos="426"/>
          <w:tab w:val="left" w:pos="851"/>
          <w:tab w:val="left" w:pos="993"/>
        </w:tabs>
        <w:spacing w:after="0" w:line="276" w:lineRule="auto"/>
        <w:ind w:left="0"/>
        <w:rPr>
          <w:rFonts w:asciiTheme="majorHAnsi" w:eastAsia="Times New Roman" w:hAnsiTheme="majorHAnsi" w:cstheme="majorHAnsi"/>
          <w:color w:val="000000" w:themeColor="text1"/>
          <w:sz w:val="24"/>
          <w:szCs w:val="24"/>
          <w:lang w:val="ro-RO"/>
        </w:rPr>
      </w:pPr>
      <w:r w:rsidRPr="00F55BA6">
        <w:rPr>
          <w:rFonts w:asciiTheme="majorHAnsi" w:eastAsia="Times New Roman" w:hAnsiTheme="majorHAnsi" w:cstheme="majorHAnsi"/>
          <w:color w:val="000000" w:themeColor="text1"/>
          <w:sz w:val="24"/>
          <w:szCs w:val="24"/>
          <w:lang w:val="ro-RO"/>
        </w:rPr>
        <w:lastRenderedPageBreak/>
        <w:t>Verificările auditului denotă că, deși l</w:t>
      </w:r>
      <w:r w:rsidR="00026A79" w:rsidRPr="00F55BA6">
        <w:rPr>
          <w:rFonts w:asciiTheme="majorHAnsi" w:eastAsia="Times New Roman" w:hAnsiTheme="majorHAnsi" w:cstheme="majorHAnsi"/>
          <w:color w:val="000000" w:themeColor="text1"/>
          <w:sz w:val="24"/>
          <w:szCs w:val="24"/>
          <w:lang w:val="ro-RO"/>
        </w:rPr>
        <w:t xml:space="preserve">a </w:t>
      </w:r>
      <w:r w:rsidRPr="00F55BA6">
        <w:rPr>
          <w:rFonts w:asciiTheme="majorHAnsi" w:eastAsia="Times New Roman" w:hAnsiTheme="majorHAnsi" w:cstheme="majorHAnsi"/>
          <w:color w:val="000000" w:themeColor="text1"/>
          <w:sz w:val="24"/>
          <w:szCs w:val="24"/>
          <w:lang w:val="ro-RO"/>
        </w:rPr>
        <w:t>40</w:t>
      </w:r>
      <w:r w:rsidR="00C137B0" w:rsidRPr="00F55BA6">
        <w:rPr>
          <w:rFonts w:asciiTheme="majorHAnsi" w:eastAsia="Times New Roman" w:hAnsiTheme="majorHAnsi" w:cstheme="majorHAnsi"/>
          <w:color w:val="000000" w:themeColor="text1"/>
          <w:sz w:val="24"/>
          <w:szCs w:val="24"/>
          <w:lang w:val="ro-RO"/>
        </w:rPr>
        <w:t xml:space="preserve"> de</w:t>
      </w:r>
      <w:r w:rsidRPr="00F55BA6">
        <w:rPr>
          <w:rFonts w:asciiTheme="majorHAnsi" w:eastAsia="Times New Roman" w:hAnsiTheme="majorHAnsi" w:cstheme="majorHAnsi"/>
          <w:color w:val="000000" w:themeColor="text1"/>
          <w:sz w:val="24"/>
          <w:szCs w:val="24"/>
          <w:lang w:val="ro-RO"/>
        </w:rPr>
        <w:t xml:space="preserve"> agenți economici</w:t>
      </w:r>
      <w:r w:rsidR="00026A79" w:rsidRPr="00F55BA6">
        <w:rPr>
          <w:rFonts w:asciiTheme="majorHAnsi" w:eastAsia="Times New Roman" w:hAnsiTheme="majorHAnsi" w:cstheme="majorHAnsi"/>
          <w:color w:val="000000" w:themeColor="text1"/>
          <w:sz w:val="24"/>
          <w:szCs w:val="24"/>
          <w:lang w:val="ro-RO"/>
        </w:rPr>
        <w:t xml:space="preserve"> pe parcursul anului 2020 au </w:t>
      </w:r>
      <w:r w:rsidRPr="00F55BA6">
        <w:rPr>
          <w:rFonts w:asciiTheme="majorHAnsi" w:eastAsia="Times New Roman" w:hAnsiTheme="majorHAnsi" w:cstheme="majorHAnsi"/>
          <w:color w:val="000000" w:themeColor="text1"/>
          <w:sz w:val="24"/>
          <w:szCs w:val="24"/>
          <w:lang w:val="ro-RO"/>
        </w:rPr>
        <w:t>fost transferate subvenții</w:t>
      </w:r>
      <w:r w:rsidR="00026A79" w:rsidRPr="00F55BA6">
        <w:rPr>
          <w:rFonts w:asciiTheme="majorHAnsi" w:eastAsia="Times New Roman" w:hAnsiTheme="majorHAnsi" w:cstheme="majorHAnsi"/>
          <w:color w:val="000000" w:themeColor="text1"/>
          <w:sz w:val="24"/>
          <w:szCs w:val="24"/>
          <w:lang w:val="ro-RO"/>
        </w:rPr>
        <w:t xml:space="preserve"> în sumă totală de 5,2 mil. lei </w:t>
      </w:r>
      <w:r w:rsidRPr="00F55BA6">
        <w:rPr>
          <w:rFonts w:asciiTheme="majorHAnsi" w:eastAsia="Times New Roman" w:hAnsiTheme="majorHAnsi" w:cstheme="majorHAnsi"/>
          <w:color w:val="000000" w:themeColor="text1"/>
          <w:sz w:val="24"/>
          <w:szCs w:val="24"/>
          <w:lang w:val="ro-RO"/>
        </w:rPr>
        <w:t>în baza deciziilor adoptate de către SFS,</w:t>
      </w:r>
      <w:r w:rsidRPr="00F55BA6">
        <w:rPr>
          <w:rFonts w:asciiTheme="majorHAnsi" w:eastAsia="Times New Roman" w:hAnsiTheme="majorHAnsi" w:cstheme="majorHAnsi"/>
          <w:sz w:val="24"/>
          <w:szCs w:val="24"/>
          <w:lang w:val="ro-RO"/>
        </w:rPr>
        <w:t xml:space="preserve"> </w:t>
      </w:r>
      <w:r w:rsidR="00437F05" w:rsidRPr="00F55BA6">
        <w:rPr>
          <w:rFonts w:asciiTheme="majorHAnsi" w:eastAsia="Times New Roman" w:hAnsiTheme="majorHAnsi" w:cstheme="majorHAnsi"/>
          <w:color w:val="000000" w:themeColor="text1"/>
          <w:sz w:val="24"/>
          <w:szCs w:val="24"/>
          <w:lang w:val="ro-RO"/>
        </w:rPr>
        <w:t xml:space="preserve">la </w:t>
      </w:r>
      <w:r w:rsidRPr="00F55BA6">
        <w:rPr>
          <w:rFonts w:asciiTheme="majorHAnsi" w:eastAsia="Times New Roman" w:hAnsiTheme="majorHAnsi" w:cstheme="majorHAnsi"/>
          <w:color w:val="000000" w:themeColor="text1"/>
          <w:sz w:val="24"/>
          <w:szCs w:val="24"/>
          <w:lang w:val="ro-RO"/>
        </w:rPr>
        <w:t>31.12.2020, în baza notelor de transfer</w:t>
      </w:r>
      <w:r w:rsidR="003A243A" w:rsidRPr="00F55BA6">
        <w:rPr>
          <w:rFonts w:asciiTheme="majorHAnsi" w:eastAsia="Times New Roman" w:hAnsiTheme="majorHAnsi" w:cstheme="majorHAnsi"/>
          <w:color w:val="000000" w:themeColor="text1"/>
          <w:sz w:val="24"/>
          <w:szCs w:val="24"/>
          <w:lang w:val="ro-RO"/>
        </w:rPr>
        <w:t xml:space="preserve"> prezentate de către SFS,</w:t>
      </w:r>
      <w:r w:rsidRPr="00F55BA6">
        <w:rPr>
          <w:rFonts w:asciiTheme="majorHAnsi" w:eastAsia="Times New Roman" w:hAnsiTheme="majorHAnsi" w:cstheme="majorHAnsi"/>
          <w:color w:val="000000" w:themeColor="text1"/>
          <w:sz w:val="24"/>
          <w:szCs w:val="24"/>
          <w:lang w:val="ro-RO"/>
        </w:rPr>
        <w:t xml:space="preserve"> MF a efectuat atribuirea acestor cheltuieli în</w:t>
      </w:r>
      <w:r w:rsidR="003B59E6" w:rsidRPr="00F55BA6">
        <w:rPr>
          <w:rFonts w:asciiTheme="majorHAnsi" w:eastAsia="Times New Roman" w:hAnsiTheme="majorHAnsi" w:cstheme="majorHAnsi"/>
          <w:sz w:val="24"/>
          <w:szCs w:val="24"/>
          <w:lang w:val="ro-RO"/>
        </w:rPr>
        <w:t xml:space="preserve"> contul restituirilor TVA</w:t>
      </w:r>
      <w:r w:rsidR="008A6D54" w:rsidRPr="00F55BA6">
        <w:rPr>
          <w:rFonts w:asciiTheme="majorHAnsi" w:eastAsia="Times New Roman" w:hAnsiTheme="majorHAnsi" w:cstheme="majorHAnsi"/>
          <w:sz w:val="24"/>
          <w:szCs w:val="24"/>
          <w:lang w:val="ro-RO"/>
        </w:rPr>
        <w:t>,</w:t>
      </w:r>
      <w:r w:rsidR="00026A79" w:rsidRPr="00F55BA6">
        <w:rPr>
          <w:rFonts w:asciiTheme="majorHAnsi" w:eastAsia="Times New Roman" w:hAnsiTheme="majorHAnsi" w:cstheme="majorHAnsi"/>
          <w:sz w:val="24"/>
          <w:szCs w:val="24"/>
          <w:lang w:val="ro-RO"/>
        </w:rPr>
        <w:t xml:space="preserve"> </w:t>
      </w:r>
      <w:r w:rsidRPr="00F55BA6">
        <w:rPr>
          <w:rFonts w:asciiTheme="majorHAnsi" w:eastAsia="Times New Roman" w:hAnsiTheme="majorHAnsi" w:cstheme="majorHAnsi"/>
          <w:sz w:val="24"/>
          <w:szCs w:val="24"/>
          <w:lang w:val="ro-RO"/>
        </w:rPr>
        <w:t xml:space="preserve">situația </w:t>
      </w:r>
      <w:r w:rsidR="00026A79" w:rsidRPr="00F55BA6">
        <w:rPr>
          <w:rFonts w:asciiTheme="majorHAnsi" w:eastAsia="Times New Roman" w:hAnsiTheme="majorHAnsi" w:cstheme="majorHAnsi"/>
          <w:sz w:val="24"/>
          <w:szCs w:val="24"/>
          <w:lang w:val="ro-RO"/>
        </w:rPr>
        <w:t>fiind motivat</w:t>
      </w:r>
      <w:r w:rsidRPr="00F55BA6">
        <w:rPr>
          <w:rFonts w:asciiTheme="majorHAnsi" w:eastAsia="Times New Roman" w:hAnsiTheme="majorHAnsi" w:cstheme="majorHAnsi"/>
          <w:sz w:val="24"/>
          <w:szCs w:val="24"/>
          <w:lang w:val="ro-RO"/>
        </w:rPr>
        <w:t>ă ca</w:t>
      </w:r>
      <w:r w:rsidR="00026A79" w:rsidRPr="00F55BA6">
        <w:rPr>
          <w:rFonts w:asciiTheme="majorHAnsi" w:eastAsia="Times New Roman" w:hAnsiTheme="majorHAnsi" w:cstheme="majorHAnsi"/>
          <w:sz w:val="24"/>
          <w:szCs w:val="24"/>
          <w:lang w:val="ro-RO"/>
        </w:rPr>
        <w:t xml:space="preserve"> o eroare </w:t>
      </w:r>
      <w:r w:rsidR="00C137B0" w:rsidRPr="00F55BA6">
        <w:rPr>
          <w:rFonts w:asciiTheme="majorHAnsi" w:eastAsia="Times New Roman" w:hAnsiTheme="majorHAnsi" w:cstheme="majorHAnsi"/>
          <w:sz w:val="24"/>
          <w:szCs w:val="24"/>
          <w:lang w:val="ro-RO"/>
        </w:rPr>
        <w:t>l</w:t>
      </w:r>
      <w:r w:rsidR="00026A79" w:rsidRPr="00F55BA6">
        <w:rPr>
          <w:rFonts w:asciiTheme="majorHAnsi" w:eastAsia="Times New Roman" w:hAnsiTheme="majorHAnsi" w:cstheme="majorHAnsi"/>
          <w:sz w:val="24"/>
          <w:szCs w:val="24"/>
          <w:lang w:val="ro-RO"/>
        </w:rPr>
        <w:t>a înregistr</w:t>
      </w:r>
      <w:r w:rsidR="00C137B0" w:rsidRPr="00F55BA6">
        <w:rPr>
          <w:rFonts w:asciiTheme="majorHAnsi" w:eastAsia="Times New Roman" w:hAnsiTheme="majorHAnsi" w:cstheme="majorHAnsi"/>
          <w:sz w:val="24"/>
          <w:szCs w:val="24"/>
          <w:lang w:val="ro-RO"/>
        </w:rPr>
        <w:t>area</w:t>
      </w:r>
      <w:r w:rsidR="00026A79" w:rsidRPr="00F55BA6">
        <w:rPr>
          <w:rFonts w:asciiTheme="majorHAnsi" w:eastAsia="Times New Roman" w:hAnsiTheme="majorHAnsi" w:cstheme="majorHAnsi"/>
          <w:sz w:val="24"/>
          <w:szCs w:val="24"/>
          <w:lang w:val="ro-RO"/>
        </w:rPr>
        <w:t xml:space="preserve"> deciziilor de către SFS</w:t>
      </w:r>
      <w:r w:rsidR="00C137B0" w:rsidRPr="00F55BA6">
        <w:rPr>
          <w:rFonts w:asciiTheme="majorHAnsi" w:eastAsia="Times New Roman" w:hAnsiTheme="majorHAnsi" w:cstheme="majorHAnsi"/>
          <w:sz w:val="24"/>
          <w:szCs w:val="24"/>
          <w:lang w:val="ro-RO"/>
        </w:rPr>
        <w:t>;</w:t>
      </w:r>
      <w:r w:rsidR="00E5190D" w:rsidRPr="00F55BA6">
        <w:rPr>
          <w:rFonts w:asciiTheme="majorHAnsi" w:eastAsia="Times New Roman" w:hAnsiTheme="majorHAnsi" w:cstheme="majorHAnsi"/>
          <w:sz w:val="24"/>
          <w:szCs w:val="24"/>
          <w:lang w:val="ro-RO"/>
        </w:rPr>
        <w:t xml:space="preserve"> </w:t>
      </w:r>
    </w:p>
    <w:p w:rsidR="001E450C" w:rsidRPr="00F55BA6" w:rsidRDefault="005E446A" w:rsidP="001E450C">
      <w:pPr>
        <w:pStyle w:val="af0"/>
        <w:numPr>
          <w:ilvl w:val="0"/>
          <w:numId w:val="31"/>
        </w:numPr>
        <w:tabs>
          <w:tab w:val="left" w:pos="284"/>
          <w:tab w:val="left" w:pos="426"/>
        </w:tabs>
        <w:spacing w:after="0" w:line="276" w:lineRule="auto"/>
        <w:ind w:left="0" w:firstLine="0"/>
        <w:rPr>
          <w:rFonts w:asciiTheme="majorHAnsi" w:eastAsia="Times New Roman" w:hAnsiTheme="majorHAnsi" w:cstheme="majorHAnsi"/>
          <w:sz w:val="24"/>
          <w:szCs w:val="24"/>
          <w:lang w:val="ro-RO"/>
        </w:rPr>
      </w:pPr>
      <w:r>
        <w:rPr>
          <w:rFonts w:asciiTheme="majorHAnsi" w:eastAsia="Times New Roman" w:hAnsiTheme="majorHAnsi" w:cstheme="majorHAnsi"/>
          <w:color w:val="000000"/>
          <w:sz w:val="24"/>
          <w:szCs w:val="24"/>
          <w:lang w:val="ro-RO" w:eastAsia="ro-RO" w:bidi="ro-RO"/>
        </w:rPr>
        <w:t>c</w:t>
      </w:r>
      <w:r w:rsidR="00985859" w:rsidRPr="00E4517B">
        <w:rPr>
          <w:rFonts w:asciiTheme="majorHAnsi" w:eastAsia="Times New Roman" w:hAnsiTheme="majorHAnsi" w:cstheme="majorHAnsi"/>
          <w:color w:val="000000"/>
          <w:sz w:val="24"/>
          <w:szCs w:val="24"/>
          <w:lang w:val="ro-RO" w:eastAsia="ro-RO" w:bidi="ro-RO"/>
        </w:rPr>
        <w:t>onform Ordinului MF nr.86 din</w:t>
      </w:r>
      <w:r w:rsidR="00985859" w:rsidRPr="00973E5B">
        <w:rPr>
          <w:rFonts w:asciiTheme="majorHAnsi" w:eastAsia="Times New Roman" w:hAnsiTheme="majorHAnsi" w:cstheme="majorHAnsi"/>
          <w:color w:val="000000"/>
          <w:sz w:val="24"/>
          <w:szCs w:val="24"/>
          <w:lang w:val="ro-RO" w:eastAsia="ro-RO" w:bidi="ro-RO"/>
        </w:rPr>
        <w:t xml:space="preserve"> 13.07.2020</w:t>
      </w:r>
      <w:r w:rsidR="00985859" w:rsidRPr="00E4517B">
        <w:rPr>
          <w:rStyle w:val="ac"/>
          <w:rFonts w:asciiTheme="majorHAnsi" w:eastAsia="Times New Roman" w:hAnsiTheme="majorHAnsi" w:cstheme="majorHAnsi"/>
          <w:color w:val="000000"/>
          <w:sz w:val="24"/>
          <w:szCs w:val="24"/>
          <w:lang w:val="ro-RO" w:eastAsia="ro-RO" w:bidi="ro-RO"/>
        </w:rPr>
        <w:footnoteReference w:id="14"/>
      </w:r>
      <w:r w:rsidR="00AF0760" w:rsidRPr="00F55BA6">
        <w:rPr>
          <w:rFonts w:asciiTheme="majorHAnsi" w:eastAsia="Times New Roman" w:hAnsiTheme="majorHAnsi" w:cstheme="majorHAnsi"/>
          <w:color w:val="000000"/>
          <w:sz w:val="24"/>
          <w:szCs w:val="24"/>
          <w:lang w:val="ro-RO" w:eastAsia="ro-RO" w:bidi="ro-RO"/>
        </w:rPr>
        <w:t>,</w:t>
      </w:r>
      <w:r w:rsidR="006E1D93" w:rsidRPr="00E4517B">
        <w:rPr>
          <w:rFonts w:asciiTheme="majorHAnsi" w:eastAsia="Times New Roman" w:hAnsiTheme="majorHAnsi" w:cstheme="majorHAnsi"/>
          <w:b/>
          <w:color w:val="000000"/>
          <w:sz w:val="24"/>
          <w:szCs w:val="24"/>
          <w:lang w:val="ro-RO" w:eastAsia="ro-RO" w:bidi="ro-RO"/>
        </w:rPr>
        <w:t xml:space="preserve"> </w:t>
      </w:r>
      <w:r w:rsidR="0080624E" w:rsidRPr="00973E5B">
        <w:rPr>
          <w:rFonts w:asciiTheme="majorHAnsi" w:eastAsia="Times New Roman" w:hAnsiTheme="majorHAnsi" w:cstheme="majorHAnsi"/>
          <w:color w:val="000000"/>
          <w:sz w:val="24"/>
          <w:szCs w:val="24"/>
          <w:lang w:val="ro-RO" w:eastAsia="ro-RO" w:bidi="ro-RO"/>
        </w:rPr>
        <w:t>SFS</w:t>
      </w:r>
      <w:r w:rsidR="00985859" w:rsidRPr="00B05CFC">
        <w:rPr>
          <w:rFonts w:asciiTheme="majorHAnsi" w:eastAsia="Times New Roman" w:hAnsiTheme="majorHAnsi" w:cstheme="majorHAnsi"/>
          <w:color w:val="000000"/>
          <w:sz w:val="24"/>
          <w:szCs w:val="24"/>
          <w:lang w:val="ro-RO" w:eastAsia="ro-RO" w:bidi="ro-RO"/>
        </w:rPr>
        <w:t xml:space="preserve"> a </w:t>
      </w:r>
      <w:r w:rsidR="006944E2" w:rsidRPr="00E4517B">
        <w:rPr>
          <w:rFonts w:asciiTheme="majorHAnsi" w:eastAsia="Times New Roman" w:hAnsiTheme="majorHAnsi" w:cstheme="majorHAnsi"/>
          <w:color w:val="000000"/>
          <w:sz w:val="24"/>
          <w:szCs w:val="24"/>
          <w:lang w:val="ro-RO" w:eastAsia="ro-RO" w:bidi="ro-RO"/>
        </w:rPr>
        <w:t>recepționat</w:t>
      </w:r>
      <w:r w:rsidR="00985859" w:rsidRPr="00E4517B">
        <w:rPr>
          <w:rFonts w:asciiTheme="majorHAnsi" w:eastAsia="Times New Roman" w:hAnsiTheme="majorHAnsi" w:cstheme="majorHAnsi"/>
          <w:color w:val="000000"/>
          <w:sz w:val="24"/>
          <w:szCs w:val="24"/>
          <w:lang w:val="ro-RO" w:eastAsia="ro-RO" w:bidi="ro-RO"/>
        </w:rPr>
        <w:t xml:space="preserve"> 311 cereri privind </w:t>
      </w:r>
      <w:r w:rsidR="006944E2" w:rsidRPr="00E4517B">
        <w:rPr>
          <w:rFonts w:asciiTheme="majorHAnsi" w:eastAsia="Times New Roman" w:hAnsiTheme="majorHAnsi" w:cstheme="majorHAnsi"/>
          <w:color w:val="000000"/>
          <w:sz w:val="24"/>
          <w:szCs w:val="24"/>
          <w:lang w:val="ro-RO" w:eastAsia="ro-RO" w:bidi="ro-RO"/>
        </w:rPr>
        <w:t>subvenționarea</w:t>
      </w:r>
      <w:r w:rsidR="00985859" w:rsidRPr="00E4517B">
        <w:rPr>
          <w:rFonts w:asciiTheme="majorHAnsi" w:eastAsia="Times New Roman" w:hAnsiTheme="majorHAnsi" w:cstheme="majorHAnsi"/>
          <w:color w:val="000000"/>
          <w:sz w:val="24"/>
          <w:szCs w:val="24"/>
          <w:lang w:val="ro-RO" w:eastAsia="ro-RO" w:bidi="ro-RO"/>
        </w:rPr>
        <w:t xml:space="preserve"> sumei </w:t>
      </w:r>
      <w:r w:rsidR="006944E2" w:rsidRPr="00E4517B">
        <w:rPr>
          <w:rFonts w:asciiTheme="majorHAnsi" w:eastAsia="Times New Roman" w:hAnsiTheme="majorHAnsi" w:cstheme="majorHAnsi"/>
          <w:color w:val="000000"/>
          <w:sz w:val="24"/>
          <w:szCs w:val="24"/>
          <w:lang w:val="ro-RO" w:eastAsia="ro-RO" w:bidi="ro-RO"/>
        </w:rPr>
        <w:t>contribuțiilor</w:t>
      </w:r>
      <w:r w:rsidR="00985859" w:rsidRPr="00E4517B">
        <w:rPr>
          <w:rFonts w:asciiTheme="majorHAnsi" w:eastAsia="Times New Roman" w:hAnsiTheme="majorHAnsi" w:cstheme="majorHAnsi"/>
          <w:color w:val="000000"/>
          <w:sz w:val="24"/>
          <w:szCs w:val="24"/>
          <w:lang w:val="ro-RO" w:eastAsia="ro-RO" w:bidi="ro-RO"/>
        </w:rPr>
        <w:t xml:space="preserve"> de asigurări sociale de stat obligatorii în sumă fixă, dintre care, în urma examinării au fost acceptate </w:t>
      </w:r>
      <w:r w:rsidR="008A0F8B" w:rsidRPr="00E4517B">
        <w:rPr>
          <w:rFonts w:asciiTheme="majorHAnsi" w:eastAsia="Times New Roman" w:hAnsiTheme="majorHAnsi" w:cstheme="majorHAnsi"/>
          <w:color w:val="000000"/>
          <w:sz w:val="24"/>
          <w:szCs w:val="24"/>
          <w:lang w:val="ro-RO" w:eastAsia="ro-RO" w:bidi="ro-RO"/>
        </w:rPr>
        <w:t>și</w:t>
      </w:r>
      <w:r w:rsidR="00985859" w:rsidRPr="00E4517B">
        <w:rPr>
          <w:rFonts w:asciiTheme="majorHAnsi" w:eastAsia="Times New Roman" w:hAnsiTheme="majorHAnsi" w:cstheme="majorHAnsi"/>
          <w:color w:val="000000"/>
          <w:sz w:val="24"/>
          <w:szCs w:val="24"/>
          <w:lang w:val="ro-RO" w:eastAsia="ro-RO" w:bidi="ro-RO"/>
        </w:rPr>
        <w:t xml:space="preserve"> remise în adresa </w:t>
      </w:r>
      <w:r w:rsidR="0080624E" w:rsidRPr="00E4517B">
        <w:rPr>
          <w:rFonts w:asciiTheme="majorHAnsi" w:eastAsia="Times New Roman" w:hAnsiTheme="majorHAnsi" w:cstheme="majorHAnsi"/>
          <w:color w:val="000000"/>
          <w:sz w:val="24"/>
          <w:szCs w:val="24"/>
          <w:lang w:val="ro-RO" w:eastAsia="ro-RO" w:bidi="ro-RO"/>
        </w:rPr>
        <w:t>CNAS</w:t>
      </w:r>
      <w:r w:rsidR="00985859" w:rsidRPr="00E4517B">
        <w:rPr>
          <w:rFonts w:asciiTheme="majorHAnsi" w:eastAsia="Times New Roman" w:hAnsiTheme="majorHAnsi" w:cstheme="majorHAnsi"/>
          <w:color w:val="000000"/>
          <w:sz w:val="24"/>
          <w:szCs w:val="24"/>
          <w:lang w:val="ro-RO" w:eastAsia="ro-RO" w:bidi="ro-RO"/>
        </w:rPr>
        <w:t xml:space="preserve"> </w:t>
      </w:r>
      <w:r w:rsidR="006944E2" w:rsidRPr="00E4517B">
        <w:rPr>
          <w:rFonts w:asciiTheme="majorHAnsi" w:eastAsia="Times New Roman" w:hAnsiTheme="majorHAnsi" w:cstheme="majorHAnsi"/>
          <w:color w:val="000000"/>
          <w:sz w:val="24"/>
          <w:szCs w:val="24"/>
          <w:lang w:val="ro-RO" w:eastAsia="ro-RO" w:bidi="ro-RO"/>
        </w:rPr>
        <w:t>informații</w:t>
      </w:r>
      <w:r w:rsidR="00985859" w:rsidRPr="00E4517B">
        <w:rPr>
          <w:rFonts w:asciiTheme="majorHAnsi" w:eastAsia="Times New Roman" w:hAnsiTheme="majorHAnsi" w:cstheme="majorHAnsi"/>
          <w:color w:val="000000"/>
          <w:sz w:val="24"/>
          <w:szCs w:val="24"/>
          <w:lang w:val="ro-RO" w:eastAsia="ro-RO" w:bidi="ro-RO"/>
        </w:rPr>
        <w:t xml:space="preserve"> aferente</w:t>
      </w:r>
      <w:r w:rsidR="00C137B0" w:rsidRPr="00E4517B">
        <w:rPr>
          <w:rFonts w:asciiTheme="majorHAnsi" w:eastAsia="Times New Roman" w:hAnsiTheme="majorHAnsi" w:cstheme="majorHAnsi"/>
          <w:color w:val="000000"/>
          <w:sz w:val="24"/>
          <w:szCs w:val="24"/>
          <w:lang w:val="ro-RO" w:eastAsia="ro-RO" w:bidi="ro-RO"/>
        </w:rPr>
        <w:t xml:space="preserve"> a</w:t>
      </w:r>
      <w:r w:rsidR="00985859" w:rsidRPr="00E4517B">
        <w:rPr>
          <w:rFonts w:asciiTheme="majorHAnsi" w:eastAsia="Times New Roman" w:hAnsiTheme="majorHAnsi" w:cstheme="majorHAnsi"/>
          <w:color w:val="000000"/>
          <w:sz w:val="24"/>
          <w:szCs w:val="24"/>
          <w:lang w:val="ro-RO" w:eastAsia="ro-RO" w:bidi="ro-RO"/>
        </w:rPr>
        <w:t xml:space="preserve"> 299 </w:t>
      </w:r>
      <w:r w:rsidR="00C137B0" w:rsidRPr="00E4517B">
        <w:rPr>
          <w:rFonts w:asciiTheme="majorHAnsi" w:eastAsia="Times New Roman" w:hAnsiTheme="majorHAnsi" w:cstheme="majorHAnsi"/>
          <w:color w:val="000000"/>
          <w:sz w:val="24"/>
          <w:szCs w:val="24"/>
          <w:lang w:val="ro-RO" w:eastAsia="ro-RO" w:bidi="ro-RO"/>
        </w:rPr>
        <w:t xml:space="preserve">de </w:t>
      </w:r>
      <w:r w:rsidR="006944E2" w:rsidRPr="00E4517B">
        <w:rPr>
          <w:rFonts w:asciiTheme="majorHAnsi" w:eastAsia="Times New Roman" w:hAnsiTheme="majorHAnsi" w:cstheme="majorHAnsi"/>
          <w:color w:val="000000"/>
          <w:sz w:val="24"/>
          <w:szCs w:val="24"/>
          <w:lang w:val="ro-RO" w:eastAsia="ro-RO" w:bidi="ro-RO"/>
        </w:rPr>
        <w:t>potențiali</w:t>
      </w:r>
      <w:r w:rsidR="00985859" w:rsidRPr="00E4517B">
        <w:rPr>
          <w:rFonts w:asciiTheme="majorHAnsi" w:eastAsia="Times New Roman" w:hAnsiTheme="majorHAnsi" w:cstheme="majorHAnsi"/>
          <w:color w:val="000000"/>
          <w:sz w:val="24"/>
          <w:szCs w:val="24"/>
          <w:lang w:val="ro-RO" w:eastAsia="ro-RO" w:bidi="ro-RO"/>
        </w:rPr>
        <w:t xml:space="preserve"> beneficiari, pentru determinarea </w:t>
      </w:r>
      <w:r w:rsidR="006944E2" w:rsidRPr="00E4517B">
        <w:rPr>
          <w:rFonts w:asciiTheme="majorHAnsi" w:eastAsia="Times New Roman" w:hAnsiTheme="majorHAnsi" w:cstheme="majorHAnsi"/>
          <w:color w:val="000000"/>
          <w:sz w:val="24"/>
          <w:szCs w:val="24"/>
          <w:lang w:val="ro-RO" w:eastAsia="ro-RO" w:bidi="ro-RO"/>
        </w:rPr>
        <w:t>subvenționării</w:t>
      </w:r>
      <w:r w:rsidR="00985859" w:rsidRPr="00E4517B">
        <w:rPr>
          <w:rFonts w:asciiTheme="majorHAnsi" w:eastAsia="Times New Roman" w:hAnsiTheme="majorHAnsi" w:cstheme="majorHAnsi"/>
          <w:color w:val="000000"/>
          <w:sz w:val="24"/>
          <w:szCs w:val="24"/>
          <w:lang w:val="ro-RO" w:eastAsia="ro-RO" w:bidi="ro-RO"/>
        </w:rPr>
        <w:t xml:space="preserve">, iar la 12 contribuabili au fost remise notificări privind imposibilitatea </w:t>
      </w:r>
      <w:r w:rsidR="006944E2" w:rsidRPr="00E4517B">
        <w:rPr>
          <w:rFonts w:asciiTheme="majorHAnsi" w:eastAsia="Times New Roman" w:hAnsiTheme="majorHAnsi" w:cstheme="majorHAnsi"/>
          <w:color w:val="000000"/>
          <w:sz w:val="24"/>
          <w:szCs w:val="24"/>
          <w:lang w:val="ro-RO" w:eastAsia="ro-RO" w:bidi="ro-RO"/>
        </w:rPr>
        <w:t>subvenționării</w:t>
      </w:r>
      <w:r w:rsidR="00985859" w:rsidRPr="00E4517B">
        <w:rPr>
          <w:rFonts w:asciiTheme="majorHAnsi" w:eastAsia="Times New Roman" w:hAnsiTheme="majorHAnsi" w:cstheme="majorHAnsi"/>
          <w:color w:val="000000"/>
          <w:sz w:val="24"/>
          <w:szCs w:val="24"/>
          <w:lang w:val="ro-RO" w:eastAsia="ro-RO" w:bidi="ro-RO"/>
        </w:rPr>
        <w:t>.</w:t>
      </w:r>
      <w:r w:rsidR="006944E2" w:rsidRPr="00E4517B">
        <w:rPr>
          <w:rFonts w:asciiTheme="majorHAnsi" w:eastAsia="Times New Roman" w:hAnsiTheme="majorHAnsi" w:cstheme="majorHAnsi"/>
          <w:color w:val="000000"/>
          <w:sz w:val="24"/>
          <w:szCs w:val="24"/>
          <w:lang w:val="ro-RO" w:eastAsia="ro-RO" w:bidi="ro-RO"/>
        </w:rPr>
        <w:t xml:space="preserve"> </w:t>
      </w:r>
      <w:r w:rsidR="00C137B0" w:rsidRPr="00E4517B">
        <w:rPr>
          <w:rFonts w:asciiTheme="majorHAnsi" w:eastAsia="Times New Roman" w:hAnsiTheme="majorHAnsi" w:cstheme="majorHAnsi"/>
          <w:color w:val="000000"/>
          <w:sz w:val="24"/>
          <w:szCs w:val="24"/>
          <w:lang w:val="ro-RO" w:eastAsia="ro-RO" w:bidi="ro-RO"/>
        </w:rPr>
        <w:t>Ca u</w:t>
      </w:r>
      <w:r w:rsidR="00985859" w:rsidRPr="00E4517B">
        <w:rPr>
          <w:rFonts w:asciiTheme="majorHAnsi" w:eastAsia="Times New Roman" w:hAnsiTheme="majorHAnsi" w:cstheme="majorHAnsi"/>
          <w:color w:val="000000"/>
          <w:sz w:val="24"/>
          <w:szCs w:val="24"/>
          <w:lang w:val="ro-RO" w:eastAsia="ro-RO" w:bidi="ro-RO"/>
        </w:rPr>
        <w:t xml:space="preserve">rmare a examinării </w:t>
      </w:r>
      <w:r w:rsidR="006944E2" w:rsidRPr="00E4517B">
        <w:rPr>
          <w:rFonts w:asciiTheme="majorHAnsi" w:eastAsia="Times New Roman" w:hAnsiTheme="majorHAnsi" w:cstheme="majorHAnsi"/>
          <w:color w:val="000000"/>
          <w:sz w:val="24"/>
          <w:szCs w:val="24"/>
          <w:lang w:val="ro-RO" w:eastAsia="ro-RO" w:bidi="ro-RO"/>
        </w:rPr>
        <w:t>informației</w:t>
      </w:r>
      <w:r w:rsidR="00985859" w:rsidRPr="00E4517B">
        <w:rPr>
          <w:rFonts w:asciiTheme="majorHAnsi" w:eastAsia="Times New Roman" w:hAnsiTheme="majorHAnsi" w:cstheme="majorHAnsi"/>
          <w:color w:val="000000"/>
          <w:sz w:val="24"/>
          <w:szCs w:val="24"/>
          <w:lang w:val="ro-RO" w:eastAsia="ro-RO" w:bidi="ro-RO"/>
        </w:rPr>
        <w:t xml:space="preserve"> </w:t>
      </w:r>
      <w:r w:rsidR="006944E2" w:rsidRPr="00E4517B">
        <w:rPr>
          <w:rFonts w:asciiTheme="majorHAnsi" w:eastAsia="Times New Roman" w:hAnsiTheme="majorHAnsi" w:cstheme="majorHAnsi"/>
          <w:color w:val="000000"/>
          <w:sz w:val="24"/>
          <w:szCs w:val="24"/>
          <w:lang w:val="ro-RO" w:eastAsia="ro-RO" w:bidi="ro-RO"/>
        </w:rPr>
        <w:t>recepționate</w:t>
      </w:r>
      <w:r w:rsidR="00985859" w:rsidRPr="00E4517B">
        <w:rPr>
          <w:rFonts w:asciiTheme="majorHAnsi" w:eastAsia="Times New Roman" w:hAnsiTheme="majorHAnsi" w:cstheme="majorHAnsi"/>
          <w:color w:val="000000"/>
          <w:sz w:val="24"/>
          <w:szCs w:val="24"/>
          <w:lang w:val="ro-RO" w:eastAsia="ro-RO" w:bidi="ro-RO"/>
        </w:rPr>
        <w:t xml:space="preserve">, CNAS a aprobat </w:t>
      </w:r>
      <w:r w:rsidR="006944E2" w:rsidRPr="00E4517B">
        <w:rPr>
          <w:rFonts w:asciiTheme="majorHAnsi" w:eastAsia="Times New Roman" w:hAnsiTheme="majorHAnsi" w:cstheme="majorHAnsi"/>
          <w:color w:val="000000"/>
          <w:sz w:val="24"/>
          <w:szCs w:val="24"/>
          <w:lang w:val="ro-RO" w:eastAsia="ro-RO" w:bidi="ro-RO"/>
        </w:rPr>
        <w:t>subvenționarea</w:t>
      </w:r>
      <w:r w:rsidR="00985859" w:rsidRPr="00E4517B">
        <w:rPr>
          <w:rFonts w:asciiTheme="majorHAnsi" w:eastAsia="Times New Roman" w:hAnsiTheme="majorHAnsi" w:cstheme="majorHAnsi"/>
          <w:color w:val="000000"/>
          <w:sz w:val="24"/>
          <w:szCs w:val="24"/>
          <w:lang w:val="ro-RO" w:eastAsia="ro-RO" w:bidi="ro-RO"/>
        </w:rPr>
        <w:t xml:space="preserve"> sumei </w:t>
      </w:r>
      <w:r w:rsidR="006944E2" w:rsidRPr="00E4517B">
        <w:rPr>
          <w:rFonts w:asciiTheme="majorHAnsi" w:eastAsia="Times New Roman" w:hAnsiTheme="majorHAnsi" w:cstheme="majorHAnsi"/>
          <w:color w:val="000000"/>
          <w:sz w:val="24"/>
          <w:szCs w:val="24"/>
          <w:lang w:val="ro-RO" w:eastAsia="ro-RO" w:bidi="ro-RO"/>
        </w:rPr>
        <w:t>contribuțiilor</w:t>
      </w:r>
      <w:r w:rsidR="00985859" w:rsidRPr="00E4517B">
        <w:rPr>
          <w:rFonts w:asciiTheme="majorHAnsi" w:eastAsia="Times New Roman" w:hAnsiTheme="majorHAnsi" w:cstheme="majorHAnsi"/>
          <w:color w:val="000000"/>
          <w:sz w:val="24"/>
          <w:szCs w:val="24"/>
          <w:lang w:val="ro-RO" w:eastAsia="ro-RO" w:bidi="ro-RO"/>
        </w:rPr>
        <w:t xml:space="preserve"> de asigurări sociale de stat obl</w:t>
      </w:r>
      <w:r w:rsidR="00125ED5" w:rsidRPr="00E4517B">
        <w:rPr>
          <w:rFonts w:asciiTheme="majorHAnsi" w:eastAsia="Times New Roman" w:hAnsiTheme="majorHAnsi" w:cstheme="majorHAnsi"/>
          <w:color w:val="000000"/>
          <w:sz w:val="24"/>
          <w:szCs w:val="24"/>
          <w:lang w:val="ro-RO" w:eastAsia="ro-RO" w:bidi="ro-RO"/>
        </w:rPr>
        <w:t>igatorii în sumă fixă</w:t>
      </w:r>
      <w:r w:rsidR="00C137B0" w:rsidRPr="00E4517B">
        <w:rPr>
          <w:rFonts w:asciiTheme="majorHAnsi" w:eastAsia="Times New Roman" w:hAnsiTheme="majorHAnsi" w:cstheme="majorHAnsi"/>
          <w:color w:val="000000"/>
          <w:sz w:val="24"/>
          <w:szCs w:val="24"/>
          <w:lang w:val="ro-RO" w:eastAsia="ro-RO" w:bidi="ro-RO"/>
        </w:rPr>
        <w:t>,</w:t>
      </w:r>
      <w:r w:rsidR="00125ED5" w:rsidRPr="00E4517B">
        <w:rPr>
          <w:rFonts w:asciiTheme="majorHAnsi" w:eastAsia="Times New Roman" w:hAnsiTheme="majorHAnsi" w:cstheme="majorHAnsi"/>
          <w:color w:val="000000"/>
          <w:sz w:val="24"/>
          <w:szCs w:val="24"/>
          <w:lang w:val="ro-RO" w:eastAsia="ro-RO" w:bidi="ro-RO"/>
        </w:rPr>
        <w:t xml:space="preserve"> </w:t>
      </w:r>
      <w:r w:rsidR="000E7A06" w:rsidRPr="00E4517B">
        <w:rPr>
          <w:rFonts w:asciiTheme="majorHAnsi" w:eastAsia="Times New Roman" w:hAnsiTheme="majorHAnsi" w:cstheme="majorHAnsi"/>
          <w:color w:val="000000"/>
          <w:sz w:val="24"/>
          <w:szCs w:val="24"/>
          <w:lang w:val="ro-RO" w:eastAsia="ro-RO" w:bidi="ro-RO"/>
        </w:rPr>
        <w:t>fiind executat</w:t>
      </w:r>
      <w:r w:rsidR="00C137B0" w:rsidRPr="00E4517B">
        <w:rPr>
          <w:rFonts w:asciiTheme="majorHAnsi" w:eastAsia="Times New Roman" w:hAnsiTheme="majorHAnsi" w:cstheme="majorHAnsi"/>
          <w:color w:val="000000"/>
          <w:sz w:val="24"/>
          <w:szCs w:val="24"/>
          <w:lang w:val="ro-RO" w:eastAsia="ro-RO" w:bidi="ro-RO"/>
        </w:rPr>
        <w:t>e</w:t>
      </w:r>
      <w:r w:rsidR="000E7A06" w:rsidRPr="00E4517B">
        <w:rPr>
          <w:rFonts w:asciiTheme="majorHAnsi" w:eastAsia="Times New Roman" w:hAnsiTheme="majorHAnsi" w:cstheme="majorHAnsi"/>
          <w:color w:val="000000"/>
          <w:sz w:val="24"/>
          <w:szCs w:val="24"/>
          <w:lang w:val="ro-RO" w:eastAsia="ro-RO" w:bidi="ro-RO"/>
        </w:rPr>
        <w:t xml:space="preserve"> </w:t>
      </w:r>
      <w:r w:rsidR="00125ED5" w:rsidRPr="00E4517B">
        <w:rPr>
          <w:rFonts w:asciiTheme="majorHAnsi" w:eastAsia="Times New Roman" w:hAnsiTheme="majorHAnsi" w:cstheme="majorHAnsi"/>
          <w:color w:val="000000"/>
          <w:sz w:val="24"/>
          <w:szCs w:val="24"/>
          <w:lang w:val="ro-RO" w:eastAsia="ro-RO" w:bidi="ro-RO"/>
        </w:rPr>
        <w:t>pentru 291</w:t>
      </w:r>
      <w:r w:rsidR="00985859" w:rsidRPr="00E4517B">
        <w:rPr>
          <w:rFonts w:asciiTheme="majorHAnsi" w:eastAsia="Times New Roman" w:hAnsiTheme="majorHAnsi" w:cstheme="majorHAnsi"/>
          <w:color w:val="000000"/>
          <w:sz w:val="24"/>
          <w:szCs w:val="24"/>
          <w:lang w:val="ro-RO" w:eastAsia="ro-RO" w:bidi="ro-RO"/>
        </w:rPr>
        <w:t xml:space="preserve"> </w:t>
      </w:r>
      <w:r w:rsidR="00C137B0" w:rsidRPr="00E4517B">
        <w:rPr>
          <w:rFonts w:asciiTheme="majorHAnsi" w:eastAsia="Times New Roman" w:hAnsiTheme="majorHAnsi" w:cstheme="majorHAnsi"/>
          <w:color w:val="000000"/>
          <w:sz w:val="24"/>
          <w:szCs w:val="24"/>
          <w:lang w:val="ro-RO" w:eastAsia="ro-RO" w:bidi="ro-RO"/>
        </w:rPr>
        <w:t xml:space="preserve">de </w:t>
      </w:r>
      <w:r w:rsidR="00985859" w:rsidRPr="00E4517B">
        <w:rPr>
          <w:rFonts w:asciiTheme="majorHAnsi" w:eastAsia="Times New Roman" w:hAnsiTheme="majorHAnsi" w:cstheme="majorHAnsi"/>
          <w:color w:val="000000"/>
          <w:sz w:val="24"/>
          <w:szCs w:val="24"/>
          <w:lang w:val="ro-RO" w:eastAsia="ro-RO" w:bidi="ro-RO"/>
        </w:rPr>
        <w:t xml:space="preserve">beneficiari în sumă totală de </w:t>
      </w:r>
      <w:r w:rsidR="005B416C" w:rsidRPr="00E4517B">
        <w:rPr>
          <w:rFonts w:asciiTheme="majorHAnsi" w:eastAsia="Times New Roman" w:hAnsiTheme="majorHAnsi" w:cstheme="majorHAnsi"/>
          <w:color w:val="000000"/>
          <w:sz w:val="24"/>
          <w:szCs w:val="24"/>
          <w:lang w:val="ro-RO" w:eastAsia="ro-RO" w:bidi="ro-RO"/>
        </w:rPr>
        <w:t>529,9</w:t>
      </w:r>
      <w:r w:rsidR="00985859" w:rsidRPr="00E4517B">
        <w:rPr>
          <w:rFonts w:asciiTheme="majorHAnsi" w:eastAsia="Times New Roman" w:hAnsiTheme="majorHAnsi" w:cstheme="majorHAnsi"/>
          <w:color w:val="000000"/>
          <w:sz w:val="24"/>
          <w:szCs w:val="24"/>
          <w:lang w:val="ro-RO" w:eastAsia="ro-RO" w:bidi="ro-RO"/>
        </w:rPr>
        <w:t xml:space="preserve"> mii lei, </w:t>
      </w:r>
      <w:r w:rsidR="00C137B0" w:rsidRPr="00E4517B">
        <w:rPr>
          <w:rFonts w:asciiTheme="majorHAnsi" w:eastAsia="Times New Roman" w:hAnsiTheme="majorHAnsi" w:cstheme="majorHAnsi"/>
          <w:color w:val="000000"/>
          <w:sz w:val="24"/>
          <w:szCs w:val="24"/>
          <w:lang w:val="ro-RO" w:eastAsia="ro-RO" w:bidi="ro-RO"/>
        </w:rPr>
        <w:t xml:space="preserve">sumă </w:t>
      </w:r>
      <w:r w:rsidR="00985859" w:rsidRPr="00E4517B">
        <w:rPr>
          <w:rFonts w:asciiTheme="majorHAnsi" w:eastAsia="Times New Roman" w:hAnsiTheme="majorHAnsi" w:cstheme="majorHAnsi"/>
          <w:color w:val="000000"/>
          <w:sz w:val="24"/>
          <w:szCs w:val="24"/>
          <w:lang w:val="ro-RO" w:eastAsia="ro-RO" w:bidi="ro-RO"/>
        </w:rPr>
        <w:t>transferată ulterior la conturile bancare sau ridicată în numerar</w:t>
      </w:r>
      <w:r w:rsidR="00AF0760" w:rsidRPr="00E4517B">
        <w:rPr>
          <w:rFonts w:asciiTheme="majorHAnsi" w:eastAsia="Times New Roman" w:hAnsiTheme="majorHAnsi" w:cstheme="majorHAnsi"/>
          <w:color w:val="000000"/>
          <w:sz w:val="24"/>
          <w:szCs w:val="24"/>
          <w:lang w:val="ro-RO" w:eastAsia="ro-RO" w:bidi="ro-RO"/>
        </w:rPr>
        <w:t xml:space="preserve"> (315,45 mii lei)</w:t>
      </w:r>
      <w:r w:rsidR="00985859" w:rsidRPr="00E4517B">
        <w:rPr>
          <w:rFonts w:asciiTheme="majorHAnsi" w:eastAsia="Times New Roman" w:hAnsiTheme="majorHAnsi" w:cstheme="majorHAnsi"/>
          <w:color w:val="000000"/>
          <w:sz w:val="24"/>
          <w:szCs w:val="24"/>
          <w:lang w:val="ro-RO" w:eastAsia="ro-RO" w:bidi="ro-RO"/>
        </w:rPr>
        <w:t xml:space="preserve"> de către beneficiari.</w:t>
      </w:r>
    </w:p>
    <w:p w:rsidR="00717CAB" w:rsidRPr="00973E5B" w:rsidRDefault="00717CAB" w:rsidP="00717CAB">
      <w:pPr>
        <w:spacing w:after="0"/>
        <w:rPr>
          <w:rFonts w:asciiTheme="majorHAnsi" w:hAnsiTheme="majorHAnsi" w:cstheme="majorHAnsi"/>
          <w:sz w:val="24"/>
          <w:szCs w:val="24"/>
          <w:lang w:val="ro-RO"/>
        </w:rPr>
      </w:pPr>
      <w:r w:rsidRPr="00E4517B">
        <w:rPr>
          <w:rFonts w:asciiTheme="majorHAnsi" w:hAnsiTheme="majorHAnsi" w:cstheme="majorHAnsi"/>
          <w:sz w:val="24"/>
          <w:szCs w:val="24"/>
          <w:lang w:val="ro-RO"/>
        </w:rPr>
        <w:t xml:space="preserve">Opinia nu este </w:t>
      </w:r>
      <w:r w:rsidRPr="00973E5B">
        <w:rPr>
          <w:rFonts w:asciiTheme="majorHAnsi" w:hAnsiTheme="majorHAnsi" w:cstheme="majorHAnsi"/>
          <w:sz w:val="24"/>
          <w:szCs w:val="24"/>
          <w:lang w:val="ro-RO"/>
        </w:rPr>
        <w:t>modificată din cauza acestor aspecte.</w:t>
      </w:r>
    </w:p>
    <w:p w:rsidR="00F7775C" w:rsidRPr="00F55BA6" w:rsidRDefault="00F7775C" w:rsidP="00F90423">
      <w:pPr>
        <w:pStyle w:val="af0"/>
        <w:tabs>
          <w:tab w:val="left" w:pos="426"/>
        </w:tabs>
        <w:spacing w:after="0" w:line="276" w:lineRule="auto"/>
        <w:ind w:left="0"/>
        <w:jc w:val="left"/>
        <w:rPr>
          <w:rFonts w:asciiTheme="majorHAnsi" w:eastAsia="Times New Roman" w:hAnsiTheme="majorHAnsi" w:cstheme="majorHAnsi"/>
          <w:b/>
          <w:color w:val="000000" w:themeColor="text1"/>
          <w:szCs w:val="28"/>
          <w:lang w:val="ro-RO"/>
        </w:rPr>
      </w:pPr>
    </w:p>
    <w:p w:rsidR="00F90423" w:rsidRPr="00F55BA6" w:rsidRDefault="00F90423" w:rsidP="00F90423">
      <w:pPr>
        <w:numPr>
          <w:ilvl w:val="0"/>
          <w:numId w:val="1"/>
        </w:numPr>
        <w:tabs>
          <w:tab w:val="left" w:pos="142"/>
          <w:tab w:val="left" w:pos="426"/>
        </w:tabs>
        <w:spacing w:after="0" w:line="276" w:lineRule="auto"/>
        <w:ind w:left="0" w:firstLine="0"/>
        <w:contextualSpacing/>
        <w:jc w:val="left"/>
        <w:outlineLvl w:val="0"/>
        <w:rPr>
          <w:rFonts w:asciiTheme="majorHAnsi" w:eastAsia="Times New Roman" w:hAnsiTheme="majorHAnsi" w:cs="Times New Roman"/>
          <w:b/>
          <w:bCs/>
          <w:szCs w:val="28"/>
          <w:lang w:val="ro-RO"/>
        </w:rPr>
      </w:pPr>
      <w:r w:rsidRPr="00F55BA6">
        <w:rPr>
          <w:rFonts w:asciiTheme="majorHAnsi" w:eastAsia="Times New Roman" w:hAnsiTheme="majorHAnsi" w:cstheme="majorHAnsi"/>
          <w:b/>
          <w:color w:val="000000" w:themeColor="text1"/>
          <w:szCs w:val="28"/>
          <w:lang w:val="ro-RO"/>
        </w:rPr>
        <w:t>ASPECTE-CHEIE DE AUDIT</w:t>
      </w:r>
    </w:p>
    <w:p w:rsidR="002B53CA" w:rsidRPr="00F55BA6" w:rsidRDefault="00F7775C" w:rsidP="00F7775C">
      <w:pPr>
        <w:tabs>
          <w:tab w:val="left" w:pos="720"/>
        </w:tabs>
        <w:spacing w:after="0" w:line="276" w:lineRule="auto"/>
        <w:ind w:right="49"/>
        <w:rPr>
          <w:rFonts w:asciiTheme="majorHAnsi" w:eastAsia="Calibri" w:hAnsiTheme="majorHAnsi" w:cstheme="majorHAnsi"/>
          <w:sz w:val="24"/>
          <w:szCs w:val="24"/>
          <w:lang w:val="ro-RO" w:eastAsia="zh-CN"/>
        </w:rPr>
      </w:pPr>
      <w:r w:rsidRPr="00E4517B">
        <w:rPr>
          <w:rFonts w:asciiTheme="majorHAnsi" w:eastAsia="Calibri" w:hAnsiTheme="majorHAnsi" w:cstheme="majorHAnsi"/>
          <w:sz w:val="24"/>
          <w:szCs w:val="24"/>
          <w:lang w:val="ro-RO"/>
        </w:rPr>
        <w:t xml:space="preserve">Aspectele-cheie de audit sunt acele aspecte care, în baza raționamentului nostru profesional, au avut cea mai mare importanță pentru auditul </w:t>
      </w:r>
      <w:r w:rsidRPr="00973E5B">
        <w:rPr>
          <w:rFonts w:asciiTheme="majorHAnsi" w:hAnsiTheme="majorHAnsi" w:cstheme="majorHAnsi"/>
          <w:sz w:val="24"/>
          <w:szCs w:val="24"/>
          <w:lang w:val="ro-RO"/>
        </w:rPr>
        <w:t>Raportului privind executarea bugetului de stat pe an</w:t>
      </w:r>
      <w:r w:rsidRPr="00B05CFC">
        <w:rPr>
          <w:rFonts w:asciiTheme="majorHAnsi" w:hAnsiTheme="majorHAnsi" w:cstheme="majorHAnsi"/>
          <w:sz w:val="24"/>
          <w:szCs w:val="24"/>
          <w:lang w:val="ro-RO"/>
        </w:rPr>
        <w:t>ul de gestiu</w:t>
      </w:r>
      <w:r w:rsidR="00FE63EF" w:rsidRPr="00E4517B">
        <w:rPr>
          <w:rFonts w:asciiTheme="majorHAnsi" w:hAnsiTheme="majorHAnsi" w:cstheme="majorHAnsi"/>
          <w:sz w:val="24"/>
          <w:szCs w:val="24"/>
          <w:lang w:val="ro-RO"/>
        </w:rPr>
        <w:t>ne încheiat la 31 decembrie 2020</w:t>
      </w:r>
      <w:r w:rsidRPr="00E4517B">
        <w:rPr>
          <w:rFonts w:asciiTheme="majorHAnsi" w:eastAsia="Calibri" w:hAnsiTheme="majorHAnsi" w:cstheme="majorHAnsi"/>
          <w:sz w:val="24"/>
          <w:szCs w:val="24"/>
          <w:lang w:val="ro-RO"/>
        </w:rPr>
        <w:t>. Aceste aspecte au fost abordate în contextul auditului Raportului în ansamblu și în formarea opiniei noastre asupra acestuia</w:t>
      </w:r>
      <w:r w:rsidR="00C137B0" w:rsidRPr="00E4517B">
        <w:rPr>
          <w:rFonts w:asciiTheme="majorHAnsi" w:eastAsia="Calibri" w:hAnsiTheme="majorHAnsi" w:cstheme="majorHAnsi"/>
          <w:sz w:val="24"/>
          <w:szCs w:val="24"/>
          <w:lang w:val="ro-RO"/>
        </w:rPr>
        <w:t>,</w:t>
      </w:r>
      <w:r w:rsidRPr="00E4517B">
        <w:rPr>
          <w:rFonts w:asciiTheme="majorHAnsi" w:eastAsia="Calibri" w:hAnsiTheme="majorHAnsi" w:cstheme="majorHAnsi"/>
          <w:sz w:val="24"/>
          <w:szCs w:val="24"/>
          <w:lang w:val="ro-RO"/>
        </w:rPr>
        <w:t xml:space="preserve"> și nu oferim o opinie separată cu privire la aceste aspecte. </w:t>
      </w:r>
    </w:p>
    <w:p w:rsidR="00E40DCE" w:rsidRPr="00E4517B" w:rsidRDefault="00E40DCE" w:rsidP="00473C3C">
      <w:pPr>
        <w:spacing w:after="0"/>
        <w:rPr>
          <w:rFonts w:asciiTheme="majorHAnsi" w:hAnsiTheme="majorHAnsi" w:cstheme="majorHAnsi"/>
          <w:sz w:val="24"/>
          <w:szCs w:val="24"/>
          <w:lang w:val="ro-RO"/>
        </w:rPr>
      </w:pPr>
    </w:p>
    <w:p w:rsidR="00F90423" w:rsidRPr="00F55BA6" w:rsidRDefault="00F90423" w:rsidP="00F90423">
      <w:pPr>
        <w:numPr>
          <w:ilvl w:val="0"/>
          <w:numId w:val="1"/>
        </w:numPr>
        <w:tabs>
          <w:tab w:val="left" w:pos="142"/>
          <w:tab w:val="left" w:pos="426"/>
        </w:tabs>
        <w:spacing w:after="0" w:line="276" w:lineRule="auto"/>
        <w:ind w:left="0" w:firstLine="0"/>
        <w:contextualSpacing/>
        <w:jc w:val="left"/>
        <w:outlineLvl w:val="0"/>
        <w:rPr>
          <w:rFonts w:asciiTheme="majorHAnsi" w:eastAsia="Times New Roman" w:hAnsiTheme="majorHAnsi" w:cs="Times New Roman"/>
          <w:b/>
          <w:bCs/>
          <w:szCs w:val="28"/>
          <w:lang w:val="ro-RO"/>
        </w:rPr>
      </w:pPr>
      <w:r w:rsidRPr="00F55BA6">
        <w:rPr>
          <w:rFonts w:asciiTheme="majorHAnsi" w:eastAsia="Times New Roman" w:hAnsiTheme="majorHAnsi" w:cstheme="majorHAnsi"/>
          <w:b/>
          <w:color w:val="000000" w:themeColor="text1"/>
          <w:szCs w:val="28"/>
          <w:lang w:val="ro-RO"/>
        </w:rPr>
        <w:t>ALTE INFORMAȚII</w:t>
      </w:r>
    </w:p>
    <w:p w:rsidR="00C77062" w:rsidRPr="00F55BA6" w:rsidRDefault="00C77062" w:rsidP="00611734">
      <w:pPr>
        <w:tabs>
          <w:tab w:val="left" w:pos="142"/>
          <w:tab w:val="left" w:pos="426"/>
        </w:tabs>
        <w:spacing w:after="0" w:line="276" w:lineRule="auto"/>
        <w:contextualSpacing/>
        <w:outlineLvl w:val="0"/>
        <w:rPr>
          <w:rFonts w:asciiTheme="majorHAnsi" w:eastAsia="Times New Roman" w:hAnsiTheme="majorHAnsi" w:cs="Times New Roman"/>
          <w:b/>
          <w:bCs/>
          <w:szCs w:val="28"/>
          <w:lang w:val="ro-RO"/>
        </w:rPr>
      </w:pPr>
      <w:r w:rsidRPr="00E4517B">
        <w:rPr>
          <w:rFonts w:asciiTheme="majorHAnsi" w:hAnsiTheme="majorHAnsi" w:cstheme="majorHAnsi"/>
          <w:b/>
          <w:sz w:val="24"/>
          <w:szCs w:val="24"/>
          <w:lang w:val="ro-RO"/>
        </w:rPr>
        <w:t xml:space="preserve">5.1 </w:t>
      </w:r>
      <w:r w:rsidRPr="00973E5B">
        <w:rPr>
          <w:rFonts w:asciiTheme="majorHAnsi" w:hAnsiTheme="majorHAnsi" w:cstheme="majorHAnsi"/>
          <w:b/>
          <w:sz w:val="24"/>
          <w:szCs w:val="24"/>
          <w:lang w:val="ro-RO"/>
        </w:rPr>
        <w:t>M</w:t>
      </w:r>
      <w:r w:rsidRPr="00B05CFC">
        <w:rPr>
          <w:rFonts w:asciiTheme="majorHAnsi" w:hAnsiTheme="majorHAnsi" w:cstheme="majorHAnsi"/>
          <w:b/>
          <w:sz w:val="24"/>
          <w:szCs w:val="24"/>
          <w:lang w:val="ro-RO"/>
        </w:rPr>
        <w:t xml:space="preserve">F raportează suma restanțelor față de BS doar </w:t>
      </w:r>
      <w:r w:rsidRPr="00F55BA6">
        <w:rPr>
          <w:rFonts w:asciiTheme="majorHAnsi" w:eastAsia="Times New Roman" w:hAnsiTheme="majorHAnsi" w:cstheme="majorHAnsi"/>
          <w:b/>
          <w:sz w:val="24"/>
          <w:szCs w:val="24"/>
          <w:lang w:val="ro-RO"/>
        </w:rPr>
        <w:t xml:space="preserve">la plățile pe care le administrează SFS și SV, </w:t>
      </w:r>
      <w:r w:rsidR="00C137B0" w:rsidRPr="00F55BA6">
        <w:rPr>
          <w:rFonts w:asciiTheme="majorHAnsi" w:eastAsia="Times New Roman" w:hAnsiTheme="majorHAnsi" w:cstheme="majorHAnsi"/>
          <w:b/>
          <w:sz w:val="24"/>
          <w:szCs w:val="24"/>
          <w:lang w:val="ro-RO"/>
        </w:rPr>
        <w:t xml:space="preserve">sume </w:t>
      </w:r>
      <w:r w:rsidRPr="00F55BA6">
        <w:rPr>
          <w:rFonts w:asciiTheme="majorHAnsi" w:eastAsia="Times New Roman" w:hAnsiTheme="majorHAnsi" w:cstheme="majorHAnsi"/>
          <w:b/>
          <w:sz w:val="24"/>
          <w:szCs w:val="24"/>
          <w:lang w:val="ro-RO"/>
        </w:rPr>
        <w:t>care s</w:t>
      </w:r>
      <w:r w:rsidR="00C137B0" w:rsidRPr="00F55BA6">
        <w:rPr>
          <w:rFonts w:asciiTheme="majorHAnsi" w:eastAsia="Times New Roman" w:hAnsiTheme="majorHAnsi" w:cstheme="majorHAnsi"/>
          <w:b/>
          <w:sz w:val="24"/>
          <w:szCs w:val="24"/>
          <w:lang w:val="ro-RO"/>
        </w:rPr>
        <w:t>u</w:t>
      </w:r>
      <w:r w:rsidRPr="00F55BA6">
        <w:rPr>
          <w:rFonts w:asciiTheme="majorHAnsi" w:eastAsia="Times New Roman" w:hAnsiTheme="majorHAnsi" w:cstheme="majorHAnsi"/>
          <w:b/>
          <w:sz w:val="24"/>
          <w:szCs w:val="24"/>
          <w:lang w:val="ro-RO"/>
        </w:rPr>
        <w:t>nt în creștere</w:t>
      </w:r>
      <w:r w:rsidR="005E446A">
        <w:rPr>
          <w:rFonts w:asciiTheme="majorHAnsi" w:eastAsia="Times New Roman" w:hAnsiTheme="majorHAnsi" w:cstheme="majorHAnsi"/>
          <w:b/>
          <w:sz w:val="24"/>
          <w:szCs w:val="24"/>
          <w:lang w:val="ro-RO"/>
        </w:rPr>
        <w:t>.</w:t>
      </w:r>
    </w:p>
    <w:p w:rsidR="004E5FA3" w:rsidRPr="00F55BA6" w:rsidRDefault="00873341" w:rsidP="004E5FA3">
      <w:pPr>
        <w:spacing w:after="0" w:line="276" w:lineRule="auto"/>
        <w:rPr>
          <w:rFonts w:asciiTheme="majorHAnsi" w:eastAsia="Times New Roman" w:hAnsiTheme="majorHAnsi" w:cstheme="majorHAnsi"/>
          <w:sz w:val="24"/>
          <w:szCs w:val="24"/>
          <w:lang w:val="ro-RO"/>
        </w:rPr>
      </w:pPr>
      <w:r w:rsidRPr="00F55BA6">
        <w:rPr>
          <w:rFonts w:asciiTheme="majorHAnsi" w:eastAsia="Times New Roman" w:hAnsiTheme="majorHAnsi" w:cstheme="majorHAnsi"/>
          <w:sz w:val="24"/>
          <w:szCs w:val="24"/>
          <w:lang w:val="ro-RO"/>
        </w:rPr>
        <w:t>Auditul</w:t>
      </w:r>
      <w:r w:rsidR="004E5FA3" w:rsidRPr="00F55BA6">
        <w:rPr>
          <w:rFonts w:asciiTheme="majorHAnsi" w:eastAsia="Times New Roman" w:hAnsiTheme="majorHAnsi" w:cstheme="majorHAnsi"/>
          <w:sz w:val="24"/>
          <w:szCs w:val="24"/>
          <w:lang w:val="ro-RO"/>
        </w:rPr>
        <w:t xml:space="preserve"> </w:t>
      </w:r>
      <w:r w:rsidRPr="00F55BA6">
        <w:rPr>
          <w:rFonts w:asciiTheme="majorHAnsi" w:eastAsia="Times New Roman" w:hAnsiTheme="majorHAnsi" w:cstheme="majorHAnsi"/>
          <w:sz w:val="24"/>
          <w:szCs w:val="24"/>
          <w:lang w:val="ro-RO"/>
        </w:rPr>
        <w:t xml:space="preserve">denotă </w:t>
      </w:r>
      <w:r w:rsidR="004E5FA3" w:rsidRPr="00F55BA6">
        <w:rPr>
          <w:rFonts w:asciiTheme="majorHAnsi" w:eastAsia="Times New Roman" w:hAnsiTheme="majorHAnsi" w:cstheme="majorHAnsi"/>
          <w:sz w:val="24"/>
          <w:szCs w:val="24"/>
          <w:lang w:val="ro-RO"/>
        </w:rPr>
        <w:t>că, în anul 2020</w:t>
      </w:r>
      <w:r w:rsidR="00FC4F1A" w:rsidRPr="00F55BA6">
        <w:rPr>
          <w:rFonts w:asciiTheme="majorHAnsi" w:eastAsia="Times New Roman" w:hAnsiTheme="majorHAnsi" w:cstheme="majorHAnsi"/>
          <w:sz w:val="24"/>
          <w:szCs w:val="24"/>
          <w:lang w:val="ro-RO"/>
        </w:rPr>
        <w:t>,</w:t>
      </w:r>
      <w:r w:rsidR="004E5FA3" w:rsidRPr="00F55BA6">
        <w:rPr>
          <w:rFonts w:asciiTheme="majorHAnsi" w:eastAsia="Times New Roman" w:hAnsiTheme="majorHAnsi" w:cstheme="majorHAnsi"/>
          <w:sz w:val="24"/>
          <w:szCs w:val="24"/>
          <w:lang w:val="ro-RO"/>
        </w:rPr>
        <w:t xml:space="preserve"> doar 2 administratori de venituri (SFS și SV) au prezentat MF dările de seamă privind restanțele la BS, deși cadrul normativ nu prevede</w:t>
      </w:r>
      <w:r w:rsidR="002C0C7A" w:rsidRPr="00F55BA6">
        <w:rPr>
          <w:rFonts w:asciiTheme="majorHAnsi" w:eastAsia="Times New Roman" w:hAnsiTheme="majorHAnsi" w:cstheme="majorHAnsi"/>
          <w:sz w:val="24"/>
          <w:szCs w:val="24"/>
          <w:lang w:val="ro-RO"/>
        </w:rPr>
        <w:t>a</w:t>
      </w:r>
      <w:r w:rsidR="004E5FA3" w:rsidRPr="00F55BA6">
        <w:rPr>
          <w:rFonts w:asciiTheme="majorHAnsi" w:eastAsia="Times New Roman" w:hAnsiTheme="majorHAnsi" w:cstheme="majorHAnsi"/>
          <w:sz w:val="24"/>
          <w:szCs w:val="24"/>
          <w:lang w:val="ro-RO"/>
        </w:rPr>
        <w:t xml:space="preserve"> obligativitatea prezentării acestora. Astfel, prin Ordinul MF nr.8 din 15.01.2020</w:t>
      </w:r>
      <w:r w:rsidR="004E5FA3" w:rsidRPr="00F55BA6">
        <w:rPr>
          <w:rFonts w:asciiTheme="majorHAnsi" w:eastAsia="Times New Roman" w:hAnsiTheme="majorHAnsi" w:cstheme="majorHAnsi"/>
          <w:sz w:val="24"/>
          <w:szCs w:val="24"/>
          <w:vertAlign w:val="superscript"/>
          <w:lang w:val="ro-RO"/>
        </w:rPr>
        <w:footnoteReference w:id="15"/>
      </w:r>
      <w:r w:rsidR="004E5FA3" w:rsidRPr="00F55BA6">
        <w:rPr>
          <w:rFonts w:asciiTheme="majorHAnsi" w:eastAsia="Times New Roman" w:hAnsiTheme="majorHAnsi" w:cstheme="majorHAnsi"/>
          <w:sz w:val="24"/>
          <w:szCs w:val="24"/>
          <w:lang w:val="ro-RO"/>
        </w:rPr>
        <w:t xml:space="preserve">, MF a exclus pct.3.9.4 din Ordinul MF nr.215 din 28.12.2015 referitor la prezentarea de către administratorii de venituri a dărilor de seamă privind restanțele la plățile pe care le administrează, reducând responsabilizarea acestora </w:t>
      </w:r>
      <w:r w:rsidR="00FC4F1A" w:rsidRPr="00F55BA6">
        <w:rPr>
          <w:rFonts w:asciiTheme="majorHAnsi" w:eastAsia="Times New Roman" w:hAnsiTheme="majorHAnsi" w:cstheme="majorHAnsi"/>
          <w:sz w:val="24"/>
          <w:szCs w:val="24"/>
          <w:lang w:val="ro-RO"/>
        </w:rPr>
        <w:t xml:space="preserve">de </w:t>
      </w:r>
      <w:r w:rsidR="004E5FA3" w:rsidRPr="00F55BA6">
        <w:rPr>
          <w:rFonts w:asciiTheme="majorHAnsi" w:eastAsia="Times New Roman" w:hAnsiTheme="majorHAnsi" w:cstheme="majorHAnsi"/>
          <w:sz w:val="24"/>
          <w:szCs w:val="24"/>
          <w:lang w:val="ro-RO"/>
        </w:rPr>
        <w:t>încasare</w:t>
      </w:r>
      <w:r w:rsidR="00FC4F1A" w:rsidRPr="00F55BA6">
        <w:rPr>
          <w:rFonts w:asciiTheme="majorHAnsi" w:eastAsia="Times New Roman" w:hAnsiTheme="majorHAnsi" w:cstheme="majorHAnsi"/>
          <w:sz w:val="24"/>
          <w:szCs w:val="24"/>
          <w:lang w:val="ro-RO"/>
        </w:rPr>
        <w:t xml:space="preserve"> </w:t>
      </w:r>
      <w:r w:rsidR="004E5FA3" w:rsidRPr="00F55BA6">
        <w:rPr>
          <w:rFonts w:asciiTheme="majorHAnsi" w:eastAsia="Times New Roman" w:hAnsiTheme="majorHAnsi" w:cstheme="majorHAnsi"/>
          <w:sz w:val="24"/>
          <w:szCs w:val="24"/>
          <w:lang w:val="ro-RO"/>
        </w:rPr>
        <w:t xml:space="preserve">a restanțelor bugetare. </w:t>
      </w:r>
      <w:r w:rsidR="00FC4F1A" w:rsidRPr="00F55BA6">
        <w:rPr>
          <w:rFonts w:asciiTheme="majorHAnsi" w:eastAsia="Times New Roman" w:hAnsiTheme="majorHAnsi" w:cstheme="majorHAnsi"/>
          <w:sz w:val="24"/>
          <w:szCs w:val="24"/>
          <w:lang w:val="ro-RO"/>
        </w:rPr>
        <w:t>Î</w:t>
      </w:r>
      <w:r w:rsidR="004E5FA3" w:rsidRPr="00F55BA6">
        <w:rPr>
          <w:rFonts w:asciiTheme="majorHAnsi" w:eastAsia="Times New Roman" w:hAnsiTheme="majorHAnsi" w:cstheme="majorHAnsi"/>
          <w:sz w:val="24"/>
          <w:szCs w:val="24"/>
          <w:lang w:val="ro-RO"/>
        </w:rPr>
        <w:t>n anul 2021 a</w:t>
      </w:r>
      <w:r w:rsidR="00BD2F99" w:rsidRPr="00F55BA6">
        <w:rPr>
          <w:rFonts w:asciiTheme="majorHAnsi" w:eastAsia="Times New Roman" w:hAnsiTheme="majorHAnsi" w:cstheme="majorHAnsi"/>
          <w:sz w:val="24"/>
          <w:szCs w:val="24"/>
          <w:lang w:val="ro-RO"/>
        </w:rPr>
        <w:t>u</w:t>
      </w:r>
      <w:r w:rsidR="004E5FA3" w:rsidRPr="00F55BA6">
        <w:rPr>
          <w:rFonts w:asciiTheme="majorHAnsi" w:eastAsia="Times New Roman" w:hAnsiTheme="majorHAnsi" w:cstheme="majorHAnsi"/>
          <w:sz w:val="24"/>
          <w:szCs w:val="24"/>
          <w:lang w:val="ro-RO"/>
        </w:rPr>
        <w:t xml:space="preserve"> fost </w:t>
      </w:r>
      <w:r w:rsidR="00BD2F99" w:rsidRPr="00F55BA6">
        <w:rPr>
          <w:rFonts w:asciiTheme="majorHAnsi" w:eastAsia="Times New Roman" w:hAnsiTheme="majorHAnsi" w:cstheme="majorHAnsi"/>
          <w:sz w:val="24"/>
          <w:szCs w:val="24"/>
          <w:lang w:val="ro-RO"/>
        </w:rPr>
        <w:t>aprobate de către MF</w:t>
      </w:r>
      <w:r w:rsidR="004E5FA3" w:rsidRPr="00F55BA6">
        <w:rPr>
          <w:rFonts w:asciiTheme="majorHAnsi" w:eastAsia="Times New Roman" w:hAnsiTheme="majorHAnsi" w:cstheme="majorHAnsi"/>
          <w:sz w:val="24"/>
          <w:szCs w:val="24"/>
          <w:lang w:val="ro-RO"/>
        </w:rPr>
        <w:t xml:space="preserve"> reglementări cu privire la obligativitatea, modul și periodicitatea raportării restanțelor către MF.</w:t>
      </w:r>
    </w:p>
    <w:p w:rsidR="004E5FA3" w:rsidRPr="00F55BA6" w:rsidRDefault="0066594C" w:rsidP="004E5FA3">
      <w:pPr>
        <w:spacing w:after="0" w:line="276" w:lineRule="auto"/>
        <w:rPr>
          <w:rFonts w:asciiTheme="majorHAnsi" w:hAnsiTheme="majorHAnsi" w:cstheme="majorHAnsi"/>
          <w:color w:val="000000"/>
          <w:spacing w:val="2"/>
          <w:sz w:val="24"/>
          <w:szCs w:val="24"/>
          <w:lang w:val="ro-RO"/>
        </w:rPr>
      </w:pPr>
      <w:r w:rsidRPr="00F55BA6">
        <w:rPr>
          <w:rFonts w:asciiTheme="majorHAnsi" w:hAnsiTheme="majorHAnsi" w:cstheme="majorHAnsi"/>
          <w:color w:val="000000"/>
          <w:spacing w:val="1"/>
          <w:sz w:val="24"/>
          <w:szCs w:val="24"/>
          <w:lang w:val="ro-RO"/>
        </w:rPr>
        <w:t>Astfel, c</w:t>
      </w:r>
      <w:r w:rsidR="004E5FA3" w:rsidRPr="00F55BA6">
        <w:rPr>
          <w:rFonts w:asciiTheme="majorHAnsi" w:hAnsiTheme="majorHAnsi" w:cstheme="majorHAnsi"/>
          <w:color w:val="000000"/>
          <w:spacing w:val="1"/>
          <w:sz w:val="24"/>
          <w:szCs w:val="24"/>
          <w:lang w:val="ro-RO"/>
        </w:rPr>
        <w:t xml:space="preserve">onform datelor </w:t>
      </w:r>
      <w:r w:rsidRPr="00F55BA6">
        <w:rPr>
          <w:rFonts w:asciiTheme="majorHAnsi" w:hAnsiTheme="majorHAnsi" w:cstheme="majorHAnsi"/>
          <w:color w:val="000000"/>
          <w:spacing w:val="1"/>
          <w:sz w:val="24"/>
          <w:szCs w:val="24"/>
          <w:lang w:val="ro-RO"/>
        </w:rPr>
        <w:t>raportate</w:t>
      </w:r>
      <w:r w:rsidR="004E5FA3" w:rsidRPr="00F55BA6">
        <w:rPr>
          <w:rFonts w:asciiTheme="majorHAnsi" w:hAnsiTheme="majorHAnsi" w:cstheme="majorHAnsi"/>
          <w:color w:val="000000"/>
          <w:spacing w:val="1"/>
          <w:sz w:val="24"/>
          <w:szCs w:val="24"/>
          <w:lang w:val="ro-RO"/>
        </w:rPr>
        <w:t xml:space="preserve"> de MF, restanțele la</w:t>
      </w:r>
      <w:r w:rsidR="004E5FA3" w:rsidRPr="00E4517B">
        <w:rPr>
          <w:rFonts w:asciiTheme="majorHAnsi" w:hAnsiTheme="majorHAnsi" w:cs="Times New Roman"/>
          <w:sz w:val="24"/>
          <w:szCs w:val="24"/>
          <w:lang w:val="ro-RO"/>
        </w:rPr>
        <w:t xml:space="preserve"> plat</w:t>
      </w:r>
      <w:r w:rsidR="004E5FA3" w:rsidRPr="00973E5B">
        <w:rPr>
          <w:rFonts w:asciiTheme="majorHAnsi" w:hAnsiTheme="majorHAnsi" w:cs="Times New Roman"/>
          <w:sz w:val="24"/>
          <w:szCs w:val="24"/>
          <w:lang w:val="ro-RO"/>
        </w:rPr>
        <w:t>a obligațiunilor contribuabililor față de</w:t>
      </w:r>
      <w:r w:rsidR="004E5FA3" w:rsidRPr="00F55BA6">
        <w:rPr>
          <w:rFonts w:asciiTheme="majorHAnsi" w:hAnsiTheme="majorHAnsi" w:cstheme="majorHAnsi"/>
          <w:color w:val="000000"/>
          <w:spacing w:val="1"/>
          <w:sz w:val="24"/>
          <w:szCs w:val="24"/>
          <w:lang w:val="ro-RO"/>
        </w:rPr>
        <w:t xml:space="preserve"> BS</w:t>
      </w:r>
      <w:r w:rsidR="004E5FA3" w:rsidRPr="00F55BA6">
        <w:rPr>
          <w:rFonts w:asciiTheme="majorHAnsi" w:hAnsiTheme="majorHAnsi" w:cstheme="majorHAnsi"/>
          <w:color w:val="000000"/>
          <w:sz w:val="24"/>
          <w:szCs w:val="24"/>
          <w:lang w:val="ro-RO"/>
        </w:rPr>
        <w:t xml:space="preserve"> au constituit </w:t>
      </w:r>
      <w:r w:rsidR="004E5FA3" w:rsidRPr="00E4517B">
        <w:rPr>
          <w:rFonts w:asciiTheme="majorHAnsi" w:eastAsia="Times New Roman" w:hAnsiTheme="majorHAnsi" w:cstheme="majorHAnsi"/>
          <w:bCs/>
          <w:iCs/>
          <w:color w:val="000000"/>
          <w:sz w:val="24"/>
          <w:szCs w:val="24"/>
          <w:lang w:val="ro-RO" w:eastAsia="ro-RO"/>
        </w:rPr>
        <w:t>1 3</w:t>
      </w:r>
      <w:r w:rsidR="004E5FA3" w:rsidRPr="00973E5B">
        <w:rPr>
          <w:rFonts w:asciiTheme="majorHAnsi" w:eastAsia="Times New Roman" w:hAnsiTheme="majorHAnsi" w:cstheme="majorHAnsi"/>
          <w:bCs/>
          <w:iCs/>
          <w:color w:val="000000"/>
          <w:sz w:val="24"/>
          <w:szCs w:val="24"/>
          <w:lang w:val="ro-RO" w:eastAsia="ro-RO"/>
        </w:rPr>
        <w:t>85,4</w:t>
      </w:r>
      <w:r w:rsidR="004E5FA3" w:rsidRPr="00F55BA6">
        <w:rPr>
          <w:rFonts w:asciiTheme="majorHAnsi" w:hAnsiTheme="majorHAnsi" w:cstheme="majorHAnsi"/>
          <w:color w:val="000000"/>
          <w:sz w:val="24"/>
          <w:szCs w:val="24"/>
          <w:lang w:val="ro-RO"/>
        </w:rPr>
        <w:t xml:space="preserve"> mil. lei (plăți de bază, majorări de întârziere, amenzi, cu excepția obligațiilor fiscale din evidența specială), care, comparativ cu anul precedent</w:t>
      </w:r>
      <w:r w:rsidR="00987BF8" w:rsidRPr="00F55BA6">
        <w:rPr>
          <w:rFonts w:asciiTheme="majorHAnsi" w:hAnsiTheme="majorHAnsi" w:cstheme="majorHAnsi"/>
          <w:color w:val="000000"/>
          <w:sz w:val="24"/>
          <w:szCs w:val="24"/>
          <w:lang w:val="ro-RO"/>
        </w:rPr>
        <w:t>,</w:t>
      </w:r>
      <w:r w:rsidR="004E5FA3" w:rsidRPr="00F55BA6">
        <w:rPr>
          <w:rFonts w:asciiTheme="majorHAnsi" w:hAnsiTheme="majorHAnsi" w:cstheme="majorHAnsi"/>
          <w:color w:val="000000"/>
          <w:sz w:val="24"/>
          <w:szCs w:val="24"/>
          <w:lang w:val="ro-RO"/>
        </w:rPr>
        <w:t xml:space="preserve"> s-au majorat </w:t>
      </w:r>
      <w:r w:rsidR="004E5FA3" w:rsidRPr="00F55BA6">
        <w:rPr>
          <w:rFonts w:asciiTheme="majorHAnsi" w:hAnsiTheme="majorHAnsi" w:cstheme="majorHAnsi"/>
          <w:color w:val="000000"/>
          <w:spacing w:val="2"/>
          <w:sz w:val="24"/>
          <w:szCs w:val="24"/>
          <w:lang w:val="ro-RO"/>
        </w:rPr>
        <w:t xml:space="preserve">cu 126,1 mil. lei </w:t>
      </w:r>
      <w:r w:rsidR="004E5FA3" w:rsidRPr="00F55BA6">
        <w:rPr>
          <w:rFonts w:asciiTheme="majorHAnsi" w:hAnsiTheme="majorHAnsi" w:cstheme="majorHAnsi"/>
          <w:color w:val="000000"/>
          <w:spacing w:val="2"/>
          <w:sz w:val="24"/>
          <w:szCs w:val="24"/>
          <w:lang w:val="ro-RO"/>
        </w:rPr>
        <w:lastRenderedPageBreak/>
        <w:t>(10,0%).</w:t>
      </w:r>
      <w:r w:rsidR="004E5FA3" w:rsidRPr="00F55BA6">
        <w:rPr>
          <w:rFonts w:asciiTheme="majorHAnsi" w:hAnsiTheme="majorHAnsi" w:cstheme="majorHAnsi"/>
          <w:color w:val="000000"/>
          <w:sz w:val="24"/>
          <w:szCs w:val="24"/>
          <w:lang w:val="ro-RO"/>
        </w:rPr>
        <w:t xml:space="preserve"> În structura restanțelor totale, partea preponderentă revine impozitelor și </w:t>
      </w:r>
      <w:r w:rsidR="004E5FA3" w:rsidRPr="00F55BA6">
        <w:rPr>
          <w:rFonts w:asciiTheme="majorHAnsi" w:hAnsiTheme="majorHAnsi" w:cstheme="majorHAnsi"/>
          <w:color w:val="000000"/>
          <w:spacing w:val="2"/>
          <w:sz w:val="24"/>
          <w:szCs w:val="24"/>
          <w:lang w:val="ro-RO"/>
        </w:rPr>
        <w:t xml:space="preserve">taxelor administrate de către organele </w:t>
      </w:r>
      <w:r w:rsidR="00305C76" w:rsidRPr="00F55BA6">
        <w:rPr>
          <w:rFonts w:asciiTheme="majorHAnsi" w:hAnsiTheme="majorHAnsi" w:cstheme="majorHAnsi"/>
          <w:color w:val="000000"/>
          <w:spacing w:val="2"/>
          <w:sz w:val="24"/>
          <w:szCs w:val="24"/>
          <w:lang w:val="ro-RO"/>
        </w:rPr>
        <w:t>SFS</w:t>
      </w:r>
      <w:r w:rsidR="004E5FA3" w:rsidRPr="00F55BA6">
        <w:rPr>
          <w:rFonts w:asciiTheme="majorHAnsi" w:hAnsiTheme="majorHAnsi" w:cstheme="majorHAnsi"/>
          <w:color w:val="000000"/>
          <w:spacing w:val="3"/>
          <w:sz w:val="24"/>
          <w:szCs w:val="24"/>
          <w:lang w:val="ro-RO"/>
        </w:rPr>
        <w:t xml:space="preserve">, care constituie 71,2% (986,2 mil. lei), înregistrând o creștere față de anul precedent cu 23,0% (184,1 mil. lei). Restanțele </w:t>
      </w:r>
      <w:r w:rsidR="004E5FA3" w:rsidRPr="00F55BA6">
        <w:rPr>
          <w:rFonts w:asciiTheme="majorHAnsi" w:hAnsiTheme="majorHAnsi" w:cstheme="majorHAnsi"/>
          <w:color w:val="000000"/>
          <w:spacing w:val="2"/>
          <w:sz w:val="24"/>
          <w:szCs w:val="24"/>
          <w:lang w:val="ro-RO"/>
        </w:rPr>
        <w:t>SV în anul 2020 au constituit</w:t>
      </w:r>
      <w:r w:rsidR="00767DE2" w:rsidRPr="00F55BA6">
        <w:rPr>
          <w:rFonts w:asciiTheme="majorHAnsi" w:hAnsiTheme="majorHAnsi" w:cstheme="majorHAnsi"/>
          <w:color w:val="000000"/>
          <w:spacing w:val="2"/>
          <w:sz w:val="24"/>
          <w:szCs w:val="24"/>
          <w:lang w:val="ro-RO"/>
        </w:rPr>
        <w:t xml:space="preserve"> 28,8</w:t>
      </w:r>
      <w:r w:rsidR="004E5FA3" w:rsidRPr="00F55BA6">
        <w:rPr>
          <w:rFonts w:asciiTheme="majorHAnsi" w:hAnsiTheme="majorHAnsi" w:cstheme="majorHAnsi"/>
          <w:color w:val="000000"/>
          <w:spacing w:val="2"/>
          <w:sz w:val="24"/>
          <w:szCs w:val="24"/>
          <w:lang w:val="ro-RO"/>
        </w:rPr>
        <w:t xml:space="preserve">% (399,2 </w:t>
      </w:r>
      <w:r w:rsidR="004E5FA3" w:rsidRPr="00F55BA6">
        <w:rPr>
          <w:rFonts w:asciiTheme="majorHAnsi" w:hAnsiTheme="majorHAnsi" w:cstheme="majorHAnsi"/>
          <w:color w:val="000000"/>
          <w:spacing w:val="3"/>
          <w:sz w:val="24"/>
          <w:szCs w:val="24"/>
          <w:lang w:val="ro-RO"/>
        </w:rPr>
        <w:t>mil.lei) din totalul restanțelor, înregistrând o descreștere cu 57,9 mil.lei</w:t>
      </w:r>
      <w:r w:rsidR="00987BF8" w:rsidRPr="00F55BA6">
        <w:rPr>
          <w:rFonts w:asciiTheme="majorHAnsi" w:hAnsiTheme="majorHAnsi" w:cstheme="majorHAnsi"/>
          <w:color w:val="000000"/>
          <w:spacing w:val="3"/>
          <w:sz w:val="24"/>
          <w:szCs w:val="24"/>
          <w:lang w:val="ro-RO"/>
        </w:rPr>
        <w:t>,</w:t>
      </w:r>
      <w:r w:rsidR="004E5FA3" w:rsidRPr="00F55BA6">
        <w:rPr>
          <w:rFonts w:asciiTheme="majorHAnsi" w:hAnsiTheme="majorHAnsi" w:cstheme="majorHAnsi"/>
          <w:color w:val="000000"/>
          <w:spacing w:val="3"/>
          <w:sz w:val="24"/>
          <w:szCs w:val="24"/>
          <w:lang w:val="ro-RO"/>
        </w:rPr>
        <w:t xml:space="preserve"> </w:t>
      </w:r>
      <w:r w:rsidR="00A3314B" w:rsidRPr="00F55BA6">
        <w:rPr>
          <w:rFonts w:asciiTheme="majorHAnsi" w:hAnsiTheme="majorHAnsi"/>
          <w:color w:val="000000" w:themeColor="text1"/>
          <w:spacing w:val="-1"/>
          <w:sz w:val="24"/>
          <w:szCs w:val="24"/>
          <w:lang w:val="ro-RO"/>
        </w:rPr>
        <w:t>sau cu 12,7%</w:t>
      </w:r>
      <w:r w:rsidR="004E5FA3" w:rsidRPr="00F55BA6">
        <w:rPr>
          <w:color w:val="000000"/>
          <w:spacing w:val="1"/>
          <w:szCs w:val="28"/>
          <w:lang w:val="ro-RO"/>
        </w:rPr>
        <w:t xml:space="preserve"> </w:t>
      </w:r>
      <w:r w:rsidR="004E5FA3" w:rsidRPr="00F55BA6">
        <w:rPr>
          <w:rFonts w:asciiTheme="majorHAnsi" w:hAnsiTheme="majorHAnsi" w:cstheme="majorHAnsi"/>
          <w:color w:val="000000"/>
          <w:spacing w:val="3"/>
          <w:sz w:val="24"/>
          <w:szCs w:val="24"/>
          <w:lang w:val="ro-RO"/>
        </w:rPr>
        <w:t>față de anul 2019</w:t>
      </w:r>
      <w:r w:rsidR="004E5FA3" w:rsidRPr="00F55BA6">
        <w:rPr>
          <w:rFonts w:asciiTheme="majorHAnsi" w:hAnsiTheme="majorHAnsi" w:cstheme="majorHAnsi"/>
          <w:color w:val="000000"/>
          <w:spacing w:val="-1"/>
          <w:sz w:val="24"/>
          <w:szCs w:val="24"/>
          <w:lang w:val="ro-RO"/>
        </w:rPr>
        <w:t>.</w:t>
      </w:r>
    </w:p>
    <w:p w:rsidR="004E5FA3" w:rsidRPr="00F55BA6" w:rsidRDefault="00987BF8" w:rsidP="004E5FA3">
      <w:pPr>
        <w:spacing w:after="0" w:line="276" w:lineRule="auto"/>
        <w:rPr>
          <w:rFonts w:asciiTheme="majorHAnsi" w:hAnsiTheme="majorHAnsi" w:cstheme="majorHAnsi"/>
          <w:color w:val="000000"/>
          <w:spacing w:val="2"/>
          <w:sz w:val="24"/>
          <w:szCs w:val="24"/>
          <w:lang w:val="ro-RO"/>
        </w:rPr>
      </w:pPr>
      <w:r w:rsidRPr="00F55BA6">
        <w:rPr>
          <w:rFonts w:asciiTheme="majorHAnsi" w:hAnsiTheme="majorHAnsi" w:cstheme="majorHAnsi"/>
          <w:color w:val="000000"/>
          <w:spacing w:val="2"/>
          <w:sz w:val="24"/>
          <w:szCs w:val="24"/>
          <w:lang w:val="ro-RO"/>
        </w:rPr>
        <w:t>Ca u</w:t>
      </w:r>
      <w:r w:rsidR="004E5FA3" w:rsidRPr="00F55BA6">
        <w:rPr>
          <w:rFonts w:asciiTheme="majorHAnsi" w:hAnsiTheme="majorHAnsi" w:cstheme="majorHAnsi"/>
          <w:color w:val="000000"/>
          <w:spacing w:val="2"/>
          <w:sz w:val="24"/>
          <w:szCs w:val="24"/>
          <w:lang w:val="ro-RO"/>
        </w:rPr>
        <w:t xml:space="preserve">rmare </w:t>
      </w:r>
      <w:r w:rsidRPr="00F55BA6">
        <w:rPr>
          <w:rFonts w:asciiTheme="majorHAnsi" w:hAnsiTheme="majorHAnsi" w:cstheme="majorHAnsi"/>
          <w:color w:val="000000"/>
          <w:spacing w:val="2"/>
          <w:sz w:val="24"/>
          <w:szCs w:val="24"/>
          <w:lang w:val="ro-RO"/>
        </w:rPr>
        <w:t xml:space="preserve">a </w:t>
      </w:r>
      <w:r w:rsidR="004E5FA3" w:rsidRPr="00F55BA6">
        <w:rPr>
          <w:rFonts w:asciiTheme="majorHAnsi" w:hAnsiTheme="majorHAnsi" w:cstheme="majorHAnsi"/>
          <w:color w:val="000000"/>
          <w:spacing w:val="2"/>
          <w:sz w:val="24"/>
          <w:szCs w:val="24"/>
          <w:lang w:val="ro-RO"/>
        </w:rPr>
        <w:t>verificărilor auditului</w:t>
      </w:r>
      <w:r w:rsidRPr="00F55BA6">
        <w:rPr>
          <w:rFonts w:asciiTheme="majorHAnsi" w:hAnsiTheme="majorHAnsi" w:cstheme="majorHAnsi"/>
          <w:color w:val="000000"/>
          <w:spacing w:val="2"/>
          <w:sz w:val="24"/>
          <w:szCs w:val="24"/>
          <w:lang w:val="ro-RO"/>
        </w:rPr>
        <w:t>,</w:t>
      </w:r>
      <w:r w:rsidR="004E5FA3" w:rsidRPr="00F55BA6">
        <w:rPr>
          <w:rFonts w:asciiTheme="majorHAnsi" w:hAnsiTheme="majorHAnsi" w:cstheme="majorHAnsi"/>
          <w:color w:val="000000"/>
          <w:spacing w:val="2"/>
          <w:sz w:val="24"/>
          <w:szCs w:val="24"/>
          <w:lang w:val="ro-RO"/>
        </w:rPr>
        <w:t xml:space="preserve"> s-a constatat că, în </w:t>
      </w:r>
      <w:r w:rsidRPr="00F55BA6">
        <w:rPr>
          <w:rFonts w:asciiTheme="majorHAnsi" w:hAnsiTheme="majorHAnsi" w:cstheme="majorHAnsi"/>
          <w:bCs/>
          <w:iCs/>
          <w:sz w:val="24"/>
          <w:szCs w:val="24"/>
          <w:lang w:val="ro-RO"/>
        </w:rPr>
        <w:t>„</w:t>
      </w:r>
      <w:r w:rsidR="004E5FA3" w:rsidRPr="00F55BA6">
        <w:rPr>
          <w:rFonts w:asciiTheme="majorHAnsi" w:hAnsiTheme="majorHAnsi" w:cstheme="majorHAnsi"/>
          <w:bCs/>
          <w:iCs/>
          <w:sz w:val="24"/>
          <w:szCs w:val="24"/>
          <w:lang w:val="ro-RO"/>
        </w:rPr>
        <w:t xml:space="preserve">Bilanțul contabil privind executarea bugetului de stat” </w:t>
      </w:r>
      <w:r w:rsidRPr="00F55BA6">
        <w:rPr>
          <w:rFonts w:asciiTheme="majorHAnsi" w:hAnsiTheme="majorHAnsi" w:cstheme="majorHAnsi"/>
          <w:bCs/>
          <w:iCs/>
          <w:sz w:val="24"/>
          <w:szCs w:val="24"/>
          <w:lang w:val="ro-RO"/>
        </w:rPr>
        <w:t>(</w:t>
      </w:r>
      <w:r w:rsidR="004E5FA3" w:rsidRPr="00F55BA6">
        <w:rPr>
          <w:rFonts w:asciiTheme="majorHAnsi" w:hAnsiTheme="majorHAnsi" w:cstheme="majorHAnsi"/>
          <w:bCs/>
          <w:iCs/>
          <w:sz w:val="24"/>
          <w:szCs w:val="24"/>
          <w:lang w:val="ro-RO"/>
        </w:rPr>
        <w:t xml:space="preserve">Formularul nr.13 </w:t>
      </w:r>
      <w:r w:rsidR="004E5FA3" w:rsidRPr="00F55BA6">
        <w:rPr>
          <w:rFonts w:asciiTheme="majorHAnsi" w:hAnsiTheme="majorHAnsi" w:cstheme="majorHAnsi"/>
          <w:sz w:val="24"/>
          <w:szCs w:val="24"/>
          <w:lang w:val="ro-RO"/>
        </w:rPr>
        <w:t>al Raportului privind executarea bugetului de stat în anul 2020</w:t>
      </w:r>
      <w:r w:rsidRPr="00F55BA6">
        <w:rPr>
          <w:rFonts w:asciiTheme="majorHAnsi" w:hAnsiTheme="majorHAnsi" w:cstheme="majorHAnsi"/>
          <w:sz w:val="24"/>
          <w:szCs w:val="24"/>
          <w:lang w:val="ro-RO"/>
        </w:rPr>
        <w:t>)</w:t>
      </w:r>
      <w:r w:rsidR="004E5FA3" w:rsidRPr="00F55BA6">
        <w:rPr>
          <w:rFonts w:asciiTheme="majorHAnsi" w:hAnsiTheme="majorHAnsi" w:cstheme="majorHAnsi"/>
          <w:sz w:val="24"/>
          <w:szCs w:val="24"/>
          <w:lang w:val="ro-RO"/>
        </w:rPr>
        <w:t>,</w:t>
      </w:r>
      <w:r w:rsidR="004E5FA3" w:rsidRPr="00F55BA6">
        <w:rPr>
          <w:rFonts w:asciiTheme="majorHAnsi" w:hAnsiTheme="majorHAnsi" w:cstheme="majorHAnsi"/>
          <w:bCs/>
          <w:iCs/>
          <w:sz w:val="24"/>
          <w:szCs w:val="24"/>
          <w:lang w:val="ro-RO"/>
        </w:rPr>
        <w:t xml:space="preserve"> MF a reflectat restanțe cu 99,0 mil. lei mai puțin față de datele raportate </w:t>
      </w:r>
      <w:r w:rsidRPr="00F55BA6">
        <w:rPr>
          <w:rFonts w:asciiTheme="majorHAnsi" w:hAnsiTheme="majorHAnsi" w:cstheme="majorHAnsi"/>
          <w:bCs/>
          <w:iCs/>
          <w:sz w:val="24"/>
          <w:szCs w:val="24"/>
          <w:lang w:val="ro-RO"/>
        </w:rPr>
        <w:t xml:space="preserve">MF </w:t>
      </w:r>
      <w:r w:rsidR="004E5FA3" w:rsidRPr="00F55BA6">
        <w:rPr>
          <w:rFonts w:asciiTheme="majorHAnsi" w:hAnsiTheme="majorHAnsi" w:cstheme="majorHAnsi"/>
          <w:bCs/>
          <w:iCs/>
          <w:sz w:val="24"/>
          <w:szCs w:val="24"/>
          <w:lang w:val="ro-RO"/>
        </w:rPr>
        <w:t xml:space="preserve">de către SFS și SV. Totodată, în </w:t>
      </w:r>
      <w:r w:rsidRPr="00F55BA6">
        <w:rPr>
          <w:rFonts w:asciiTheme="majorHAnsi" w:hAnsiTheme="majorHAnsi" w:cstheme="majorHAnsi"/>
          <w:bCs/>
          <w:iCs/>
          <w:sz w:val="24"/>
          <w:szCs w:val="24"/>
          <w:lang w:val="ro-RO"/>
        </w:rPr>
        <w:t>„</w:t>
      </w:r>
      <w:r w:rsidR="004E5FA3" w:rsidRPr="00F55BA6">
        <w:rPr>
          <w:rFonts w:asciiTheme="majorHAnsi" w:hAnsiTheme="majorHAnsi" w:cstheme="majorHAnsi"/>
          <w:bCs/>
          <w:iCs/>
          <w:sz w:val="24"/>
          <w:szCs w:val="24"/>
          <w:lang w:val="ro-RO"/>
        </w:rPr>
        <w:t>Raportul narativ privind executarea BS în anul 2020</w:t>
      </w:r>
      <w:r w:rsidRPr="00F55BA6">
        <w:rPr>
          <w:rFonts w:asciiTheme="majorHAnsi" w:hAnsiTheme="majorHAnsi" w:cstheme="majorHAnsi"/>
          <w:bCs/>
          <w:iCs/>
          <w:sz w:val="24"/>
          <w:szCs w:val="24"/>
          <w:lang w:val="ro-RO"/>
        </w:rPr>
        <w:t>”,</w:t>
      </w:r>
      <w:r w:rsidR="004E5FA3" w:rsidRPr="00F55BA6">
        <w:rPr>
          <w:rFonts w:asciiTheme="majorHAnsi" w:hAnsiTheme="majorHAnsi" w:cstheme="majorHAnsi"/>
          <w:bCs/>
          <w:iCs/>
          <w:sz w:val="24"/>
          <w:szCs w:val="24"/>
          <w:lang w:val="ro-RO"/>
        </w:rPr>
        <w:t xml:space="preserve"> soldul inițial al restanțelor a fost reflectat cu 8,9 mil. lei mai puțin față de soldul restanțelor raportat la sfârșitul anului 2019. </w:t>
      </w:r>
    </w:p>
    <w:p w:rsidR="004E5FA3" w:rsidRPr="00F55BA6" w:rsidRDefault="004E5FA3" w:rsidP="004E5FA3">
      <w:pPr>
        <w:spacing w:after="0" w:line="276" w:lineRule="auto"/>
        <w:rPr>
          <w:rFonts w:asciiTheme="majorHAnsi" w:hAnsiTheme="majorHAnsi" w:cstheme="majorHAnsi"/>
          <w:bCs/>
          <w:i/>
          <w:iCs/>
          <w:sz w:val="24"/>
          <w:szCs w:val="24"/>
          <w:lang w:val="ro-RO"/>
        </w:rPr>
      </w:pPr>
      <w:r w:rsidRPr="00F55BA6">
        <w:rPr>
          <w:rFonts w:asciiTheme="majorHAnsi" w:hAnsiTheme="majorHAnsi" w:cstheme="majorHAnsi"/>
          <w:b/>
          <w:bCs/>
          <w:i/>
          <w:iCs/>
          <w:sz w:val="24"/>
          <w:szCs w:val="24"/>
          <w:lang w:val="ro-RO"/>
        </w:rPr>
        <w:t>*</w:t>
      </w:r>
      <w:r w:rsidR="00987BF8" w:rsidRPr="00F55BA6">
        <w:rPr>
          <w:rFonts w:asciiTheme="majorHAnsi" w:hAnsiTheme="majorHAnsi" w:cstheme="majorHAnsi"/>
          <w:b/>
          <w:bCs/>
          <w:i/>
          <w:iCs/>
          <w:sz w:val="24"/>
          <w:szCs w:val="24"/>
          <w:lang w:val="ro-RO"/>
        </w:rPr>
        <w:t xml:space="preserve"> </w:t>
      </w:r>
      <w:r w:rsidRPr="00F55BA6">
        <w:rPr>
          <w:rFonts w:asciiTheme="majorHAnsi" w:hAnsiTheme="majorHAnsi" w:cstheme="majorHAnsi"/>
          <w:b/>
          <w:bCs/>
          <w:i/>
          <w:iCs/>
          <w:sz w:val="24"/>
          <w:szCs w:val="24"/>
          <w:lang w:val="ro-RO"/>
        </w:rPr>
        <w:t>Notă:</w:t>
      </w:r>
      <w:r w:rsidRPr="00F55BA6">
        <w:rPr>
          <w:rFonts w:asciiTheme="majorHAnsi" w:hAnsiTheme="majorHAnsi" w:cstheme="majorHAnsi"/>
          <w:bCs/>
          <w:i/>
          <w:iCs/>
          <w:sz w:val="24"/>
          <w:szCs w:val="24"/>
          <w:lang w:val="ro-RO"/>
        </w:rPr>
        <w:t xml:space="preserve"> Pe parcursul misiunii de audit</w:t>
      </w:r>
      <w:r w:rsidR="005E446A">
        <w:rPr>
          <w:rFonts w:asciiTheme="majorHAnsi" w:hAnsiTheme="majorHAnsi" w:cstheme="majorHAnsi"/>
          <w:bCs/>
          <w:i/>
          <w:iCs/>
          <w:sz w:val="24"/>
          <w:szCs w:val="24"/>
          <w:lang w:val="ro-RO"/>
        </w:rPr>
        <w:t>,</w:t>
      </w:r>
      <w:r w:rsidRPr="00F55BA6">
        <w:rPr>
          <w:rFonts w:asciiTheme="majorHAnsi" w:hAnsiTheme="majorHAnsi" w:cstheme="majorHAnsi"/>
          <w:bCs/>
          <w:i/>
          <w:iCs/>
          <w:sz w:val="24"/>
          <w:szCs w:val="24"/>
          <w:lang w:val="ro-RO"/>
        </w:rPr>
        <w:t xml:space="preserve"> MF a corecta</w:t>
      </w:r>
      <w:r w:rsidR="00987BF8" w:rsidRPr="00F55BA6">
        <w:rPr>
          <w:rFonts w:asciiTheme="majorHAnsi" w:hAnsiTheme="majorHAnsi" w:cstheme="majorHAnsi"/>
          <w:bCs/>
          <w:i/>
          <w:iCs/>
          <w:sz w:val="24"/>
          <w:szCs w:val="24"/>
          <w:lang w:val="ro-RO"/>
        </w:rPr>
        <w:t>t</w:t>
      </w:r>
      <w:r w:rsidRPr="00F55BA6">
        <w:rPr>
          <w:rFonts w:asciiTheme="majorHAnsi" w:hAnsiTheme="majorHAnsi" w:cstheme="majorHAnsi"/>
          <w:bCs/>
          <w:i/>
          <w:iCs/>
          <w:sz w:val="24"/>
          <w:szCs w:val="24"/>
          <w:lang w:val="ro-RO"/>
        </w:rPr>
        <w:t xml:space="preserve"> soldul creanțelor cu 99,0 mil.</w:t>
      </w:r>
      <w:r w:rsidR="005E446A">
        <w:rPr>
          <w:rFonts w:asciiTheme="majorHAnsi" w:hAnsiTheme="majorHAnsi" w:cstheme="majorHAnsi"/>
          <w:bCs/>
          <w:i/>
          <w:iCs/>
          <w:sz w:val="24"/>
          <w:szCs w:val="24"/>
          <w:lang w:val="ro-RO"/>
        </w:rPr>
        <w:t xml:space="preserve"> </w:t>
      </w:r>
      <w:r w:rsidRPr="00F55BA6">
        <w:rPr>
          <w:rFonts w:asciiTheme="majorHAnsi" w:hAnsiTheme="majorHAnsi" w:cstheme="majorHAnsi"/>
          <w:bCs/>
          <w:i/>
          <w:iCs/>
          <w:sz w:val="24"/>
          <w:szCs w:val="24"/>
          <w:lang w:val="ro-RO"/>
        </w:rPr>
        <w:t>lei și a prezentat Bilanțul contabil corectat la Curtea de Conturi și la Guvern</w:t>
      </w:r>
      <w:r w:rsidR="009D762F" w:rsidRPr="00F55BA6">
        <w:rPr>
          <w:rFonts w:asciiTheme="majorHAnsi" w:hAnsiTheme="majorHAnsi" w:cstheme="majorHAnsi"/>
          <w:bCs/>
          <w:i/>
          <w:iCs/>
          <w:sz w:val="24"/>
          <w:szCs w:val="24"/>
          <w:lang w:val="ro-RO"/>
        </w:rPr>
        <w:t xml:space="preserve"> la data de 08.06.2021</w:t>
      </w:r>
      <w:r w:rsidRPr="00F55BA6">
        <w:rPr>
          <w:rFonts w:asciiTheme="majorHAnsi" w:hAnsiTheme="majorHAnsi" w:cstheme="majorHAnsi"/>
          <w:bCs/>
          <w:i/>
          <w:iCs/>
          <w:sz w:val="24"/>
          <w:szCs w:val="24"/>
          <w:lang w:val="ro-RO"/>
        </w:rPr>
        <w:t>.</w:t>
      </w:r>
    </w:p>
    <w:p w:rsidR="006F3E45" w:rsidRPr="00F55BA6" w:rsidRDefault="00CE2598" w:rsidP="006F3E45">
      <w:pPr>
        <w:tabs>
          <w:tab w:val="left" w:pos="284"/>
          <w:tab w:val="left" w:pos="426"/>
        </w:tabs>
        <w:spacing w:after="0" w:line="276" w:lineRule="auto"/>
        <w:rPr>
          <w:rFonts w:asciiTheme="majorHAnsi" w:hAnsiTheme="majorHAnsi" w:cstheme="majorHAnsi"/>
          <w:sz w:val="24"/>
          <w:szCs w:val="24"/>
          <w:lang w:val="ro-RO"/>
        </w:rPr>
      </w:pPr>
      <w:r w:rsidRPr="00F55BA6">
        <w:rPr>
          <w:rFonts w:asciiTheme="majorHAnsi" w:hAnsiTheme="majorHAnsi" w:cstheme="majorHAnsi"/>
          <w:sz w:val="24"/>
          <w:szCs w:val="24"/>
          <w:lang w:val="ro-RO"/>
        </w:rPr>
        <w:t>În același context</w:t>
      </w:r>
      <w:r w:rsidR="00987BF8" w:rsidRPr="00F55BA6">
        <w:rPr>
          <w:rFonts w:asciiTheme="majorHAnsi" w:hAnsiTheme="majorHAnsi" w:cstheme="majorHAnsi"/>
          <w:sz w:val="24"/>
          <w:szCs w:val="24"/>
          <w:lang w:val="ro-RO"/>
        </w:rPr>
        <w:t>,</w:t>
      </w:r>
      <w:r w:rsidRPr="00F55BA6">
        <w:rPr>
          <w:rFonts w:asciiTheme="majorHAnsi" w:hAnsiTheme="majorHAnsi" w:cstheme="majorHAnsi"/>
          <w:sz w:val="24"/>
          <w:szCs w:val="24"/>
          <w:lang w:val="ro-RO"/>
        </w:rPr>
        <w:t xml:space="preserve"> se exemplifică o situație problematică identificată</w:t>
      </w:r>
      <w:r w:rsidR="00987BF8" w:rsidRPr="00B05CFC">
        <w:rPr>
          <w:rFonts w:asciiTheme="majorHAnsi" w:hAnsiTheme="majorHAnsi" w:cstheme="majorHAnsi"/>
          <w:sz w:val="24"/>
          <w:szCs w:val="24"/>
          <w:lang w:val="ro-RO"/>
        </w:rPr>
        <w:t xml:space="preserve"> ca</w:t>
      </w:r>
      <w:r w:rsidR="006F3E45" w:rsidRPr="00E4517B">
        <w:rPr>
          <w:rFonts w:asciiTheme="majorHAnsi" w:hAnsiTheme="majorHAnsi" w:cstheme="majorHAnsi"/>
          <w:sz w:val="24"/>
          <w:szCs w:val="24"/>
          <w:lang w:val="ro-RO"/>
        </w:rPr>
        <w:t xml:space="preserve"> rezultat</w:t>
      </w:r>
      <w:r w:rsidR="00987BF8" w:rsidRPr="00E4517B">
        <w:rPr>
          <w:rFonts w:asciiTheme="majorHAnsi" w:hAnsiTheme="majorHAnsi" w:cstheme="majorHAnsi"/>
          <w:sz w:val="24"/>
          <w:szCs w:val="24"/>
          <w:lang w:val="ro-RO"/>
        </w:rPr>
        <w:t xml:space="preserve"> al</w:t>
      </w:r>
      <w:r w:rsidR="006F3E45" w:rsidRPr="00E4517B">
        <w:rPr>
          <w:rFonts w:asciiTheme="majorHAnsi" w:hAnsiTheme="majorHAnsi" w:cstheme="majorHAnsi"/>
          <w:sz w:val="24"/>
          <w:szCs w:val="24"/>
          <w:lang w:val="ro-RO"/>
        </w:rPr>
        <w:t xml:space="preserve"> auditului public extern asupra rapoartelor financiare consolidate ale MF încheiate la 31.12.2020</w:t>
      </w:r>
      <w:r w:rsidR="006F3E45" w:rsidRPr="00E4517B">
        <w:rPr>
          <w:rStyle w:val="ac"/>
          <w:rFonts w:asciiTheme="majorHAnsi" w:hAnsiTheme="majorHAnsi" w:cstheme="majorHAnsi"/>
          <w:sz w:val="24"/>
          <w:szCs w:val="24"/>
          <w:lang w:val="ro-RO"/>
        </w:rPr>
        <w:footnoteReference w:id="16"/>
      </w:r>
      <w:r w:rsidR="00873341" w:rsidRPr="00E4517B">
        <w:rPr>
          <w:rFonts w:asciiTheme="majorHAnsi" w:hAnsiTheme="majorHAnsi" w:cstheme="majorHAnsi"/>
          <w:sz w:val="24"/>
          <w:szCs w:val="24"/>
          <w:lang w:val="ro-RO"/>
        </w:rPr>
        <w:t xml:space="preserve">, </w:t>
      </w:r>
      <w:r w:rsidR="006F3E45" w:rsidRPr="00973E5B">
        <w:rPr>
          <w:rFonts w:asciiTheme="majorHAnsi" w:hAnsiTheme="majorHAnsi" w:cstheme="majorHAnsi"/>
          <w:sz w:val="24"/>
          <w:szCs w:val="24"/>
          <w:lang w:val="ro-RO"/>
        </w:rPr>
        <w:t>constat</w:t>
      </w:r>
      <w:r w:rsidR="00873341" w:rsidRPr="00B05CFC">
        <w:rPr>
          <w:rFonts w:asciiTheme="majorHAnsi" w:hAnsiTheme="majorHAnsi" w:cstheme="majorHAnsi"/>
          <w:sz w:val="24"/>
          <w:szCs w:val="24"/>
          <w:lang w:val="ro-RO"/>
        </w:rPr>
        <w:t>ând</w:t>
      </w:r>
      <w:r w:rsidR="006F3E45" w:rsidRPr="00E4517B">
        <w:rPr>
          <w:rFonts w:asciiTheme="majorHAnsi" w:hAnsiTheme="majorHAnsi" w:cstheme="majorHAnsi"/>
          <w:sz w:val="24"/>
          <w:szCs w:val="24"/>
          <w:lang w:val="ro-RO"/>
        </w:rPr>
        <w:t xml:space="preserve"> reglementarea insuficientă a procedeelor </w:t>
      </w:r>
      <w:r w:rsidR="008D21F3" w:rsidRPr="00E4517B">
        <w:rPr>
          <w:rFonts w:asciiTheme="majorHAnsi" w:hAnsiTheme="majorHAnsi" w:cstheme="majorHAnsi"/>
          <w:sz w:val="24"/>
          <w:szCs w:val="24"/>
          <w:lang w:val="ro-RO"/>
        </w:rPr>
        <w:t>de</w:t>
      </w:r>
      <w:r w:rsidR="006F3E45" w:rsidRPr="00E4517B">
        <w:rPr>
          <w:rFonts w:asciiTheme="majorHAnsi" w:hAnsiTheme="majorHAnsi" w:cstheme="majorHAnsi"/>
          <w:sz w:val="24"/>
          <w:szCs w:val="24"/>
          <w:lang w:val="ro-RO"/>
        </w:rPr>
        <w:t xml:space="preserve"> evidenț</w:t>
      </w:r>
      <w:r w:rsidR="008D21F3" w:rsidRPr="00E4517B">
        <w:rPr>
          <w:rFonts w:asciiTheme="majorHAnsi" w:hAnsiTheme="majorHAnsi" w:cstheme="majorHAnsi"/>
          <w:sz w:val="24"/>
          <w:szCs w:val="24"/>
          <w:lang w:val="ro-RO"/>
        </w:rPr>
        <w:t xml:space="preserve">ă </w:t>
      </w:r>
      <w:r w:rsidR="006F3E45" w:rsidRPr="00E4517B">
        <w:rPr>
          <w:rFonts w:asciiTheme="majorHAnsi" w:hAnsiTheme="majorHAnsi" w:cstheme="majorHAnsi"/>
          <w:sz w:val="24"/>
          <w:szCs w:val="24"/>
          <w:lang w:val="ro-RO"/>
        </w:rPr>
        <w:t xml:space="preserve">a unor bunuri confiscate care nu aparțin MF și/sau instituțiilor subordonate, circumstanțe care generează neclarități privind </w:t>
      </w:r>
      <w:r w:rsidR="00873341" w:rsidRPr="00E4517B">
        <w:rPr>
          <w:rFonts w:asciiTheme="majorHAnsi" w:hAnsiTheme="majorHAnsi" w:cstheme="majorHAnsi"/>
          <w:sz w:val="24"/>
          <w:szCs w:val="24"/>
          <w:lang w:val="ro-RO"/>
        </w:rPr>
        <w:t>contabilizare</w:t>
      </w:r>
      <w:r w:rsidR="006F3E45" w:rsidRPr="00E4517B">
        <w:rPr>
          <w:rFonts w:asciiTheme="majorHAnsi" w:hAnsiTheme="majorHAnsi" w:cstheme="majorHAnsi"/>
          <w:sz w:val="24"/>
          <w:szCs w:val="24"/>
          <w:lang w:val="ro-RO"/>
        </w:rPr>
        <w:t xml:space="preserve">a acestora.  Astfel, deși SFS ține evidența analitică a bunurilor confiscate, primite pentru comercializare de la SV și </w:t>
      </w:r>
      <w:r w:rsidR="008D21F3" w:rsidRPr="00E4517B">
        <w:rPr>
          <w:rFonts w:asciiTheme="majorHAnsi" w:hAnsiTheme="majorHAnsi" w:cstheme="majorHAnsi"/>
          <w:sz w:val="24"/>
          <w:szCs w:val="24"/>
          <w:lang w:val="ro-RO"/>
        </w:rPr>
        <w:t xml:space="preserve">de </w:t>
      </w:r>
      <w:r w:rsidR="006F3E45" w:rsidRPr="00E4517B">
        <w:rPr>
          <w:rFonts w:asciiTheme="majorHAnsi" w:hAnsiTheme="majorHAnsi" w:cstheme="majorHAnsi"/>
          <w:sz w:val="24"/>
          <w:szCs w:val="24"/>
          <w:lang w:val="ro-RO"/>
        </w:rPr>
        <w:t>alte organe cu drept de confiscare, cu valoarea de 18,4 mil. lei (la 31.12.2020)</w:t>
      </w:r>
      <w:r w:rsidR="008D21F3" w:rsidRPr="00E4517B">
        <w:rPr>
          <w:rFonts w:asciiTheme="majorHAnsi" w:hAnsiTheme="majorHAnsi" w:cstheme="majorHAnsi"/>
          <w:sz w:val="24"/>
          <w:szCs w:val="24"/>
          <w:lang w:val="ro-RO"/>
        </w:rPr>
        <w:t>, această sumă</w:t>
      </w:r>
      <w:r w:rsidR="006F3E45" w:rsidRPr="00E4517B">
        <w:rPr>
          <w:rFonts w:asciiTheme="majorHAnsi" w:hAnsiTheme="majorHAnsi" w:cstheme="majorHAnsi"/>
          <w:sz w:val="24"/>
          <w:szCs w:val="24"/>
          <w:lang w:val="ro-RO"/>
        </w:rPr>
        <w:t xml:space="preserve"> nu este reflectată la grupa de conturi 8222 </w:t>
      </w:r>
      <w:r w:rsidR="006F3E45" w:rsidRPr="00E4517B">
        <w:rPr>
          <w:rFonts w:asciiTheme="majorHAnsi" w:hAnsiTheme="majorHAnsi" w:cstheme="majorHAnsi"/>
          <w:iCs/>
          <w:sz w:val="24"/>
          <w:szCs w:val="24"/>
          <w:lang w:val="ro-RO"/>
        </w:rPr>
        <w:t>„Valori în mărfuri şi materiale care nu aparțin instituției”</w:t>
      </w:r>
      <w:r w:rsidR="006F3E45" w:rsidRPr="00E4517B">
        <w:rPr>
          <w:rFonts w:asciiTheme="majorHAnsi" w:hAnsiTheme="majorHAnsi" w:cstheme="majorHAnsi"/>
          <w:sz w:val="24"/>
          <w:szCs w:val="24"/>
          <w:lang w:val="ro-RO"/>
        </w:rPr>
        <w:t xml:space="preserve">. Totodată, SV înregistrează activele confiscate la contul 82221 „Valori în mărfuri </w:t>
      </w:r>
      <w:r w:rsidR="006F3E45" w:rsidRPr="00F55BA6">
        <w:rPr>
          <w:rFonts w:asciiTheme="majorHAnsi" w:hAnsiTheme="majorHAnsi" w:cstheme="majorHAnsi"/>
          <w:sz w:val="24"/>
          <w:szCs w:val="24"/>
          <w:lang w:val="ro-RO"/>
        </w:rPr>
        <w:t>şi materiale primite în custodie”</w:t>
      </w:r>
      <w:r w:rsidR="008D21F3" w:rsidRPr="00F55BA6">
        <w:rPr>
          <w:rFonts w:asciiTheme="majorHAnsi" w:hAnsiTheme="majorHAnsi" w:cstheme="majorHAnsi"/>
          <w:sz w:val="24"/>
          <w:szCs w:val="24"/>
          <w:lang w:val="ro-RO"/>
        </w:rPr>
        <w:t>,</w:t>
      </w:r>
      <w:r w:rsidR="006F3E45" w:rsidRPr="00F55BA6">
        <w:rPr>
          <w:rFonts w:asciiTheme="majorHAnsi" w:hAnsiTheme="majorHAnsi" w:cstheme="majorHAnsi"/>
          <w:sz w:val="24"/>
          <w:szCs w:val="24"/>
          <w:lang w:val="ro-RO"/>
        </w:rPr>
        <w:t xml:space="preserve"> cu valoarea stabilită de agentul </w:t>
      </w:r>
      <w:r w:rsidR="006F3E45" w:rsidRPr="00F55BA6">
        <w:rPr>
          <w:rFonts w:asciiTheme="majorHAnsi" w:hAnsiTheme="majorHAnsi" w:cstheme="majorHAnsi"/>
          <w:iCs/>
          <w:sz w:val="24"/>
          <w:szCs w:val="24"/>
          <w:shd w:val="clear" w:color="auto" w:fill="FFFFFF"/>
          <w:lang w:val="ro-RO"/>
        </w:rPr>
        <w:t xml:space="preserve">constatator, pe când </w:t>
      </w:r>
      <w:r w:rsidR="006F3E45" w:rsidRPr="00F55BA6">
        <w:rPr>
          <w:rFonts w:asciiTheme="majorHAnsi" w:hAnsiTheme="majorHAnsi" w:cstheme="majorHAnsi"/>
          <w:sz w:val="24"/>
          <w:szCs w:val="24"/>
          <w:lang w:val="ro-RO"/>
        </w:rPr>
        <w:t>în procesele-verbale de transmitere SFS spre comercializare se indică valoarea activelor reevaluată de către laboratorul vamal. Ca rezultat, se formează o discrepanță între valoarea activelor confiscate de către SV și valoarea transmis</w:t>
      </w:r>
      <w:r w:rsidR="00E10830" w:rsidRPr="00F55BA6">
        <w:rPr>
          <w:rFonts w:asciiTheme="majorHAnsi" w:hAnsiTheme="majorHAnsi" w:cstheme="majorHAnsi"/>
          <w:sz w:val="24"/>
          <w:szCs w:val="24"/>
          <w:lang w:val="ro-RO"/>
        </w:rPr>
        <w:t>ă SFS.</w:t>
      </w:r>
    </w:p>
    <w:p w:rsidR="00C77062" w:rsidRPr="00F55BA6" w:rsidRDefault="00C77062" w:rsidP="00C77062">
      <w:pPr>
        <w:tabs>
          <w:tab w:val="left" w:pos="142"/>
          <w:tab w:val="left" w:pos="426"/>
        </w:tabs>
        <w:spacing w:after="0" w:line="276" w:lineRule="auto"/>
        <w:contextualSpacing/>
        <w:outlineLvl w:val="0"/>
        <w:rPr>
          <w:rFonts w:asciiTheme="majorHAnsi" w:eastAsia="Times New Roman" w:hAnsiTheme="majorHAnsi" w:cs="Times New Roman"/>
          <w:b/>
          <w:bCs/>
          <w:szCs w:val="28"/>
          <w:lang w:val="ro-RO"/>
        </w:rPr>
      </w:pPr>
      <w:r w:rsidRPr="00E4517B">
        <w:rPr>
          <w:rFonts w:asciiTheme="majorHAnsi" w:hAnsiTheme="majorHAnsi" w:cstheme="majorHAnsi"/>
          <w:b/>
          <w:sz w:val="24"/>
          <w:szCs w:val="24"/>
          <w:lang w:val="ro-RO"/>
        </w:rPr>
        <w:t>5.</w:t>
      </w:r>
      <w:r w:rsidRPr="00973E5B">
        <w:rPr>
          <w:rFonts w:asciiTheme="majorHAnsi" w:hAnsiTheme="majorHAnsi" w:cstheme="majorHAnsi"/>
          <w:b/>
          <w:sz w:val="24"/>
          <w:szCs w:val="24"/>
          <w:lang w:val="ro-RO"/>
        </w:rPr>
        <w:t>2 Lipsa reglementării modului de evidență, raportare și încasare a plăților din locațiunea terenurilor publice aferente obiectivelor privatizate a condus la neîncasarea unor posibile venituri la BS</w:t>
      </w:r>
      <w:r w:rsidR="005E446A">
        <w:rPr>
          <w:rFonts w:asciiTheme="majorHAnsi" w:hAnsiTheme="majorHAnsi" w:cstheme="majorHAnsi"/>
          <w:b/>
          <w:sz w:val="24"/>
          <w:szCs w:val="24"/>
          <w:lang w:val="ro-RO"/>
        </w:rPr>
        <w:t>.</w:t>
      </w:r>
    </w:p>
    <w:p w:rsidR="009C3649" w:rsidRPr="00F55BA6" w:rsidRDefault="00463477" w:rsidP="009C3649">
      <w:pPr>
        <w:tabs>
          <w:tab w:val="left" w:pos="284"/>
          <w:tab w:val="left" w:pos="426"/>
        </w:tabs>
        <w:spacing w:after="0" w:line="276" w:lineRule="auto"/>
        <w:rPr>
          <w:rFonts w:asciiTheme="majorHAnsi" w:hAnsiTheme="majorHAnsi" w:cstheme="majorHAnsi"/>
          <w:sz w:val="24"/>
          <w:szCs w:val="24"/>
          <w:lang w:val="ro-RO"/>
        </w:rPr>
      </w:pPr>
      <w:r w:rsidRPr="00F55BA6">
        <w:rPr>
          <w:rFonts w:asciiTheme="majorHAnsi" w:hAnsiTheme="majorHAnsi" w:cstheme="majorHAnsi"/>
          <w:sz w:val="24"/>
          <w:szCs w:val="24"/>
          <w:lang w:val="ro-RO"/>
        </w:rPr>
        <w:t>Conform Raportului cu privire la executarea BS,</w:t>
      </w:r>
      <w:r w:rsidR="00767DE2" w:rsidRPr="00F55BA6">
        <w:rPr>
          <w:rFonts w:asciiTheme="majorHAnsi" w:hAnsiTheme="majorHAnsi" w:cstheme="majorHAnsi"/>
          <w:sz w:val="24"/>
          <w:szCs w:val="24"/>
          <w:lang w:val="ro-RO"/>
        </w:rPr>
        <w:t xml:space="preserve"> la poziția respectivă </w:t>
      </w:r>
      <w:r w:rsidRPr="00F55BA6">
        <w:rPr>
          <w:rFonts w:asciiTheme="majorHAnsi" w:hAnsiTheme="majorHAnsi" w:cstheme="majorHAnsi"/>
          <w:sz w:val="24"/>
          <w:szCs w:val="24"/>
          <w:lang w:val="ro-RO"/>
        </w:rPr>
        <w:t>au fost precizate venituri în sumă de 0,5 mil. lei</w:t>
      </w:r>
      <w:r w:rsidR="00767DE2" w:rsidRPr="00F55BA6">
        <w:rPr>
          <w:rFonts w:asciiTheme="majorHAnsi" w:hAnsiTheme="majorHAnsi" w:cstheme="majorHAnsi"/>
          <w:sz w:val="24"/>
          <w:szCs w:val="24"/>
          <w:lang w:val="ro-RO"/>
        </w:rPr>
        <w:t>,</w:t>
      </w:r>
      <w:r w:rsidRPr="00F55BA6">
        <w:rPr>
          <w:rFonts w:asciiTheme="majorHAnsi" w:hAnsiTheme="majorHAnsi" w:cstheme="majorHAnsi"/>
          <w:sz w:val="24"/>
          <w:szCs w:val="24"/>
          <w:lang w:val="ro-RO"/>
        </w:rPr>
        <w:t xml:space="preserve"> executa</w:t>
      </w:r>
      <w:r w:rsidR="00767DE2" w:rsidRPr="00F55BA6">
        <w:rPr>
          <w:rFonts w:asciiTheme="majorHAnsi" w:hAnsiTheme="majorHAnsi" w:cstheme="majorHAnsi"/>
          <w:sz w:val="24"/>
          <w:szCs w:val="24"/>
          <w:lang w:val="ro-RO"/>
        </w:rPr>
        <w:t>r</w:t>
      </w:r>
      <w:r w:rsidRPr="00F55BA6">
        <w:rPr>
          <w:rFonts w:asciiTheme="majorHAnsi" w:hAnsiTheme="majorHAnsi" w:cstheme="majorHAnsi"/>
          <w:sz w:val="24"/>
          <w:szCs w:val="24"/>
          <w:lang w:val="ro-RO"/>
        </w:rPr>
        <w:t>e</w:t>
      </w:r>
      <w:r w:rsidR="00767DE2" w:rsidRPr="00F55BA6">
        <w:rPr>
          <w:rFonts w:asciiTheme="majorHAnsi" w:hAnsiTheme="majorHAnsi" w:cstheme="majorHAnsi"/>
          <w:sz w:val="24"/>
          <w:szCs w:val="24"/>
          <w:lang w:val="ro-RO"/>
        </w:rPr>
        <w:t>a fiind raportată</w:t>
      </w:r>
      <w:r w:rsidRPr="00F55BA6">
        <w:rPr>
          <w:rFonts w:asciiTheme="majorHAnsi" w:hAnsiTheme="majorHAnsi" w:cstheme="majorHAnsi"/>
          <w:sz w:val="24"/>
          <w:szCs w:val="24"/>
          <w:lang w:val="ro-RO"/>
        </w:rPr>
        <w:t xml:space="preserve"> în sumă de 3,4 mil. lei</w:t>
      </w:r>
      <w:r w:rsidR="00767DE2" w:rsidRPr="00F55BA6">
        <w:rPr>
          <w:rFonts w:asciiTheme="majorHAnsi" w:hAnsiTheme="majorHAnsi" w:cstheme="majorHAnsi"/>
          <w:sz w:val="24"/>
          <w:szCs w:val="24"/>
          <w:lang w:val="ro-RO"/>
        </w:rPr>
        <w:t xml:space="preserve">. </w:t>
      </w:r>
      <w:r w:rsidR="0032425C" w:rsidRPr="00F55BA6">
        <w:rPr>
          <w:rFonts w:asciiTheme="majorHAnsi" w:hAnsiTheme="majorHAnsi" w:cstheme="majorHAnsi"/>
          <w:sz w:val="24"/>
          <w:szCs w:val="24"/>
          <w:lang w:val="ro-RO"/>
        </w:rPr>
        <w:t>A</w:t>
      </w:r>
      <w:r w:rsidR="009C3649" w:rsidRPr="00F55BA6">
        <w:rPr>
          <w:rFonts w:asciiTheme="majorHAnsi" w:hAnsiTheme="majorHAnsi" w:cstheme="majorHAnsi"/>
          <w:sz w:val="24"/>
          <w:szCs w:val="24"/>
          <w:lang w:val="ro-RO"/>
        </w:rPr>
        <w:t xml:space="preserve">uditul public extern asupra privatizării bunurilor prin concursuri investiționale și comerciale în anii 2013-2019 a constatat lipsa </w:t>
      </w:r>
      <w:r w:rsidR="00767DE2" w:rsidRPr="00F55BA6">
        <w:rPr>
          <w:rFonts w:asciiTheme="majorHAnsi" w:hAnsiTheme="majorHAnsi" w:cstheme="majorHAnsi"/>
          <w:sz w:val="24"/>
          <w:szCs w:val="24"/>
          <w:lang w:val="ro-RO"/>
        </w:rPr>
        <w:t xml:space="preserve">reglementării și </w:t>
      </w:r>
      <w:r w:rsidR="009C3649" w:rsidRPr="00F55BA6">
        <w:rPr>
          <w:rFonts w:asciiTheme="majorHAnsi" w:hAnsiTheme="majorHAnsi" w:cstheme="majorHAnsi"/>
          <w:sz w:val="24"/>
          <w:szCs w:val="24"/>
          <w:lang w:val="ro-RO"/>
        </w:rPr>
        <w:t>implementării de către autoritățile abilitate ale statului a unui mecanism eficient care ar fi asigurat corectitudinea evidenței, încasării</w:t>
      </w:r>
      <w:r w:rsidR="00767DE2" w:rsidRPr="00F55BA6">
        <w:rPr>
          <w:rFonts w:asciiTheme="majorHAnsi" w:hAnsiTheme="majorHAnsi" w:cstheme="majorHAnsi"/>
          <w:sz w:val="24"/>
          <w:szCs w:val="24"/>
          <w:lang w:val="ro-RO"/>
        </w:rPr>
        <w:t>,</w:t>
      </w:r>
      <w:r w:rsidR="009C3649" w:rsidRPr="00F55BA6">
        <w:rPr>
          <w:rFonts w:asciiTheme="majorHAnsi" w:hAnsiTheme="majorHAnsi" w:cstheme="majorHAnsi"/>
          <w:sz w:val="24"/>
          <w:szCs w:val="24"/>
          <w:lang w:val="ro-RO"/>
        </w:rPr>
        <w:t xml:space="preserve"> precum </w:t>
      </w:r>
      <w:r w:rsidR="001C2698" w:rsidRPr="00F55BA6">
        <w:rPr>
          <w:rFonts w:asciiTheme="majorHAnsi" w:hAnsiTheme="majorHAnsi" w:cstheme="majorHAnsi"/>
          <w:sz w:val="24"/>
          <w:szCs w:val="24"/>
          <w:lang w:val="ro-RO"/>
        </w:rPr>
        <w:t xml:space="preserve">și </w:t>
      </w:r>
      <w:r w:rsidR="009C3649" w:rsidRPr="00F55BA6">
        <w:rPr>
          <w:rFonts w:asciiTheme="majorHAnsi" w:hAnsiTheme="majorHAnsi" w:cstheme="majorHAnsi"/>
          <w:sz w:val="24"/>
          <w:szCs w:val="24"/>
          <w:lang w:val="ro-RO"/>
        </w:rPr>
        <w:t>raport</w:t>
      </w:r>
      <w:r w:rsidR="00767DE2" w:rsidRPr="00F55BA6">
        <w:rPr>
          <w:rFonts w:asciiTheme="majorHAnsi" w:hAnsiTheme="majorHAnsi" w:cstheme="majorHAnsi"/>
          <w:sz w:val="24"/>
          <w:szCs w:val="24"/>
          <w:lang w:val="ro-RO"/>
        </w:rPr>
        <w:t>ă</w:t>
      </w:r>
      <w:r w:rsidR="009C3649" w:rsidRPr="00F55BA6">
        <w:rPr>
          <w:rFonts w:asciiTheme="majorHAnsi" w:hAnsiTheme="majorHAnsi" w:cstheme="majorHAnsi"/>
          <w:sz w:val="24"/>
          <w:szCs w:val="24"/>
          <w:lang w:val="ro-RO"/>
        </w:rPr>
        <w:t>r</w:t>
      </w:r>
      <w:r w:rsidR="00767DE2" w:rsidRPr="00F55BA6">
        <w:rPr>
          <w:rFonts w:asciiTheme="majorHAnsi" w:hAnsiTheme="majorHAnsi" w:cstheme="majorHAnsi"/>
          <w:sz w:val="24"/>
          <w:szCs w:val="24"/>
          <w:lang w:val="ro-RO"/>
        </w:rPr>
        <w:t>ii</w:t>
      </w:r>
      <w:r w:rsidR="009C3649" w:rsidRPr="00F55BA6">
        <w:rPr>
          <w:rFonts w:asciiTheme="majorHAnsi" w:hAnsiTheme="majorHAnsi" w:cstheme="majorHAnsi"/>
          <w:sz w:val="24"/>
          <w:szCs w:val="24"/>
          <w:lang w:val="ro-RO"/>
        </w:rPr>
        <w:t xml:space="preserve"> veniturilor provenite din darea în locațiune a terenurilor publice aferente obiectivelor privatizate. Această situație condiționează și imposibilitatea aplicării măsurilor de urmărire și executare silită a restanțelor la buget, în cazul neonorării de către agenții economici a plăților cuvenite statului din folosința terenurilor aferente. Este relevant de menționat că sumele calculate provenite din acest tip de venituri nu figurează la </w:t>
      </w:r>
      <w:r w:rsidR="00767DE2" w:rsidRPr="00F55BA6">
        <w:rPr>
          <w:rFonts w:asciiTheme="majorHAnsi" w:hAnsiTheme="majorHAnsi" w:cstheme="majorHAnsi"/>
          <w:sz w:val="24"/>
          <w:szCs w:val="24"/>
          <w:lang w:val="ro-RO"/>
        </w:rPr>
        <w:t>cod</w:t>
      </w:r>
      <w:r w:rsidR="009C3649" w:rsidRPr="00F55BA6">
        <w:rPr>
          <w:rFonts w:asciiTheme="majorHAnsi" w:hAnsiTheme="majorHAnsi" w:cstheme="majorHAnsi"/>
          <w:sz w:val="24"/>
          <w:szCs w:val="24"/>
          <w:lang w:val="ro-RO"/>
        </w:rPr>
        <w:t xml:space="preserve"> E</w:t>
      </w:r>
      <w:r w:rsidR="00767DE2" w:rsidRPr="00F55BA6">
        <w:rPr>
          <w:rFonts w:asciiTheme="majorHAnsi" w:hAnsiTheme="majorHAnsi" w:cstheme="majorHAnsi"/>
          <w:sz w:val="24"/>
          <w:szCs w:val="24"/>
          <w:lang w:val="ro-RO"/>
        </w:rPr>
        <w:t>CO</w:t>
      </w:r>
      <w:r w:rsidR="009C3649" w:rsidRPr="00F55BA6">
        <w:rPr>
          <w:rFonts w:asciiTheme="majorHAnsi" w:hAnsiTheme="majorHAnsi" w:cstheme="majorHAnsi"/>
          <w:sz w:val="24"/>
          <w:szCs w:val="24"/>
          <w:lang w:val="ro-RO"/>
        </w:rPr>
        <w:t xml:space="preserve"> 141531 „Arenda terenurilor cu altă destinație decât cea agricolă încasată în bugetul de stat” și</w:t>
      </w:r>
      <w:r w:rsidR="00767DE2" w:rsidRPr="00F55BA6">
        <w:rPr>
          <w:rFonts w:asciiTheme="majorHAnsi" w:hAnsiTheme="majorHAnsi" w:cstheme="majorHAnsi"/>
          <w:sz w:val="24"/>
          <w:szCs w:val="24"/>
          <w:lang w:val="ro-RO"/>
        </w:rPr>
        <w:t>,</w:t>
      </w:r>
      <w:r w:rsidR="009C3649" w:rsidRPr="00F55BA6">
        <w:rPr>
          <w:rFonts w:asciiTheme="majorHAnsi" w:hAnsiTheme="majorHAnsi" w:cstheme="majorHAnsi"/>
          <w:sz w:val="24"/>
          <w:szCs w:val="24"/>
          <w:lang w:val="ro-RO"/>
        </w:rPr>
        <w:t xml:space="preserve"> respectiv</w:t>
      </w:r>
      <w:r w:rsidR="00767DE2" w:rsidRPr="00F55BA6">
        <w:rPr>
          <w:rFonts w:asciiTheme="majorHAnsi" w:hAnsiTheme="majorHAnsi" w:cstheme="majorHAnsi"/>
          <w:sz w:val="24"/>
          <w:szCs w:val="24"/>
          <w:lang w:val="ro-RO"/>
        </w:rPr>
        <w:t>,</w:t>
      </w:r>
      <w:r w:rsidR="009C3649" w:rsidRPr="00F55BA6">
        <w:rPr>
          <w:rFonts w:asciiTheme="majorHAnsi" w:hAnsiTheme="majorHAnsi" w:cstheme="majorHAnsi"/>
          <w:sz w:val="24"/>
          <w:szCs w:val="24"/>
          <w:lang w:val="ro-RO"/>
        </w:rPr>
        <w:t xml:space="preserve"> </w:t>
      </w:r>
      <w:r w:rsidR="00640D87" w:rsidRPr="00F55BA6">
        <w:rPr>
          <w:rFonts w:asciiTheme="majorHAnsi" w:hAnsiTheme="majorHAnsi" w:cstheme="majorHAnsi"/>
          <w:sz w:val="24"/>
          <w:szCs w:val="24"/>
          <w:lang w:val="ro-RO"/>
        </w:rPr>
        <w:t xml:space="preserve">restantele </w:t>
      </w:r>
      <w:r w:rsidR="009C3649" w:rsidRPr="00F55BA6">
        <w:rPr>
          <w:rFonts w:asciiTheme="majorHAnsi" w:hAnsiTheme="majorHAnsi" w:cstheme="majorHAnsi"/>
          <w:sz w:val="24"/>
          <w:szCs w:val="24"/>
          <w:lang w:val="ro-RO"/>
        </w:rPr>
        <w:t>nu se regăsesc în rapo</w:t>
      </w:r>
      <w:r w:rsidR="001C2698" w:rsidRPr="00F55BA6">
        <w:rPr>
          <w:rFonts w:asciiTheme="majorHAnsi" w:hAnsiTheme="majorHAnsi" w:cstheme="majorHAnsi"/>
          <w:sz w:val="24"/>
          <w:szCs w:val="24"/>
          <w:lang w:val="ro-RO"/>
        </w:rPr>
        <w:t>a</w:t>
      </w:r>
      <w:r w:rsidR="009C3649" w:rsidRPr="00F55BA6">
        <w:rPr>
          <w:rFonts w:asciiTheme="majorHAnsi" w:hAnsiTheme="majorHAnsi" w:cstheme="majorHAnsi"/>
          <w:sz w:val="24"/>
          <w:szCs w:val="24"/>
          <w:lang w:val="ro-RO"/>
        </w:rPr>
        <w:t>rtel</w:t>
      </w:r>
      <w:r w:rsidR="009B2149" w:rsidRPr="00F55BA6">
        <w:rPr>
          <w:rFonts w:asciiTheme="majorHAnsi" w:hAnsiTheme="majorHAnsi" w:cstheme="majorHAnsi"/>
          <w:sz w:val="24"/>
          <w:szCs w:val="24"/>
          <w:lang w:val="ro-RO"/>
        </w:rPr>
        <w:t xml:space="preserve">e anuale ale </w:t>
      </w:r>
      <w:r w:rsidR="00767DE2" w:rsidRPr="00F55BA6">
        <w:rPr>
          <w:rFonts w:asciiTheme="majorHAnsi" w:hAnsiTheme="majorHAnsi" w:cstheme="majorHAnsi"/>
          <w:sz w:val="24"/>
          <w:szCs w:val="24"/>
          <w:lang w:val="ro-RO"/>
        </w:rPr>
        <w:t>BS</w:t>
      </w:r>
      <w:r w:rsidR="009B2149" w:rsidRPr="00F55BA6">
        <w:rPr>
          <w:rFonts w:asciiTheme="majorHAnsi" w:hAnsiTheme="majorHAnsi" w:cstheme="majorHAnsi"/>
          <w:sz w:val="24"/>
          <w:szCs w:val="24"/>
          <w:lang w:val="ro-RO"/>
        </w:rPr>
        <w:t xml:space="preserve">. </w:t>
      </w:r>
      <w:r w:rsidR="009C3649" w:rsidRPr="00F55BA6">
        <w:rPr>
          <w:rFonts w:asciiTheme="majorHAnsi" w:hAnsiTheme="majorHAnsi" w:cstheme="majorHAnsi"/>
          <w:sz w:val="24"/>
          <w:szCs w:val="24"/>
          <w:lang w:val="ro-RO"/>
        </w:rPr>
        <w:t>În acest context, auditul a constatat că</w:t>
      </w:r>
      <w:r w:rsidR="00767DE2" w:rsidRPr="00F55BA6">
        <w:rPr>
          <w:rFonts w:asciiTheme="majorHAnsi" w:hAnsiTheme="majorHAnsi" w:cstheme="majorHAnsi"/>
          <w:sz w:val="24"/>
          <w:szCs w:val="24"/>
          <w:lang w:val="ro-RO"/>
        </w:rPr>
        <w:t>,</w:t>
      </w:r>
      <w:r w:rsidR="009C3649" w:rsidRPr="00F55BA6">
        <w:rPr>
          <w:rFonts w:asciiTheme="majorHAnsi" w:hAnsiTheme="majorHAnsi" w:cstheme="majorHAnsi"/>
          <w:sz w:val="24"/>
          <w:szCs w:val="24"/>
          <w:lang w:val="ro-RO"/>
        </w:rPr>
        <w:t xml:space="preserve"> începând cu 01.07.2016, deși </w:t>
      </w:r>
      <w:r w:rsidR="00A346BA" w:rsidRPr="00F55BA6">
        <w:rPr>
          <w:rFonts w:asciiTheme="majorHAnsi" w:hAnsiTheme="majorHAnsi" w:cstheme="majorHAnsi"/>
          <w:sz w:val="24"/>
          <w:szCs w:val="24"/>
          <w:lang w:val="ro-RO"/>
        </w:rPr>
        <w:t>APP</w:t>
      </w:r>
      <w:r w:rsidR="009C3649" w:rsidRPr="00F55BA6">
        <w:rPr>
          <w:rFonts w:asciiTheme="majorHAnsi" w:hAnsiTheme="majorHAnsi" w:cstheme="majorHAnsi"/>
          <w:sz w:val="24"/>
          <w:szCs w:val="24"/>
          <w:lang w:val="ro-RO"/>
        </w:rPr>
        <w:t xml:space="preserve"> a calculat plata pentru folosirea terenurilor în sumă de 2,5 mil. </w:t>
      </w:r>
      <w:r w:rsidR="009C3649" w:rsidRPr="00F55BA6">
        <w:rPr>
          <w:rFonts w:asciiTheme="majorHAnsi" w:hAnsiTheme="majorHAnsi" w:cstheme="majorHAnsi"/>
          <w:sz w:val="24"/>
          <w:szCs w:val="24"/>
          <w:lang w:val="ro-RO"/>
        </w:rPr>
        <w:lastRenderedPageBreak/>
        <w:t xml:space="preserve">lei, efectiv la </w:t>
      </w:r>
      <w:r w:rsidR="00A346BA" w:rsidRPr="00F55BA6">
        <w:rPr>
          <w:rFonts w:asciiTheme="majorHAnsi" w:hAnsiTheme="majorHAnsi" w:cstheme="majorHAnsi"/>
          <w:sz w:val="24"/>
          <w:szCs w:val="24"/>
          <w:lang w:val="ro-RO"/>
        </w:rPr>
        <w:t>BS</w:t>
      </w:r>
      <w:r w:rsidR="001C2698" w:rsidRPr="00F55BA6">
        <w:rPr>
          <w:rFonts w:asciiTheme="majorHAnsi" w:hAnsiTheme="majorHAnsi" w:cstheme="majorHAnsi"/>
          <w:sz w:val="24"/>
          <w:szCs w:val="24"/>
          <w:lang w:val="ro-RO"/>
        </w:rPr>
        <w:t>,</w:t>
      </w:r>
      <w:r w:rsidR="009C3649" w:rsidRPr="00F55BA6">
        <w:rPr>
          <w:rFonts w:asciiTheme="majorHAnsi" w:hAnsiTheme="majorHAnsi" w:cstheme="majorHAnsi"/>
          <w:sz w:val="24"/>
          <w:szCs w:val="24"/>
          <w:lang w:val="ro-RO"/>
        </w:rPr>
        <w:t xml:space="preserve"> la </w:t>
      </w:r>
      <w:r w:rsidR="00767DE2" w:rsidRPr="00F55BA6">
        <w:rPr>
          <w:rFonts w:asciiTheme="majorHAnsi" w:hAnsiTheme="majorHAnsi" w:cstheme="majorHAnsi"/>
          <w:sz w:val="24"/>
          <w:szCs w:val="24"/>
          <w:lang w:val="ro-RO"/>
        </w:rPr>
        <w:t xml:space="preserve">cod ECO </w:t>
      </w:r>
      <w:r w:rsidR="001C2698" w:rsidRPr="00F55BA6">
        <w:rPr>
          <w:rFonts w:asciiTheme="majorHAnsi" w:hAnsiTheme="majorHAnsi" w:cstheme="majorHAnsi"/>
          <w:sz w:val="24"/>
          <w:szCs w:val="24"/>
          <w:lang w:val="ro-RO"/>
        </w:rPr>
        <w:t>menționat</w:t>
      </w:r>
      <w:r w:rsidR="009C3649" w:rsidRPr="00F55BA6">
        <w:rPr>
          <w:rFonts w:asciiTheme="majorHAnsi" w:hAnsiTheme="majorHAnsi" w:cstheme="majorHAnsi"/>
          <w:sz w:val="24"/>
          <w:szCs w:val="24"/>
          <w:lang w:val="ro-RO"/>
        </w:rPr>
        <w:t xml:space="preserve"> a</w:t>
      </w:r>
      <w:r w:rsidR="001C2698" w:rsidRPr="00F55BA6">
        <w:rPr>
          <w:rFonts w:asciiTheme="majorHAnsi" w:hAnsiTheme="majorHAnsi" w:cstheme="majorHAnsi"/>
          <w:sz w:val="24"/>
          <w:szCs w:val="24"/>
          <w:lang w:val="ro-RO"/>
        </w:rPr>
        <w:t>u</w:t>
      </w:r>
      <w:r w:rsidR="009C3649" w:rsidRPr="00F55BA6">
        <w:rPr>
          <w:rFonts w:asciiTheme="majorHAnsi" w:hAnsiTheme="majorHAnsi" w:cstheme="majorHAnsi"/>
          <w:sz w:val="24"/>
          <w:szCs w:val="24"/>
          <w:lang w:val="ro-RO"/>
        </w:rPr>
        <w:t xml:space="preserve"> fost încasat</w:t>
      </w:r>
      <w:r w:rsidR="001C2698" w:rsidRPr="00F55BA6">
        <w:rPr>
          <w:rFonts w:asciiTheme="majorHAnsi" w:hAnsiTheme="majorHAnsi" w:cstheme="majorHAnsi"/>
          <w:sz w:val="24"/>
          <w:szCs w:val="24"/>
          <w:lang w:val="ro-RO"/>
        </w:rPr>
        <w:t>e</w:t>
      </w:r>
      <w:r w:rsidR="009C3649" w:rsidRPr="00F55BA6">
        <w:rPr>
          <w:rFonts w:asciiTheme="majorHAnsi" w:hAnsiTheme="majorHAnsi" w:cstheme="majorHAnsi"/>
          <w:sz w:val="24"/>
          <w:szCs w:val="24"/>
          <w:lang w:val="ro-RO"/>
        </w:rPr>
        <w:t xml:space="preserve"> doar 0,4 mil. lei. În rest, suma de 2,1 mil. lei  reprezintă plățile calculate de APP pentru folosirea terenurilor aferente, dar neîncasate la </w:t>
      </w:r>
      <w:r w:rsidR="00767DE2" w:rsidRPr="00F55BA6">
        <w:rPr>
          <w:rFonts w:asciiTheme="majorHAnsi" w:hAnsiTheme="majorHAnsi" w:cstheme="majorHAnsi"/>
          <w:sz w:val="24"/>
          <w:szCs w:val="24"/>
          <w:lang w:val="ro-RO"/>
        </w:rPr>
        <w:t>BS</w:t>
      </w:r>
      <w:r w:rsidR="009C3649" w:rsidRPr="00F55BA6">
        <w:rPr>
          <w:rFonts w:asciiTheme="majorHAnsi" w:hAnsiTheme="majorHAnsi" w:cstheme="majorHAnsi"/>
          <w:sz w:val="24"/>
          <w:szCs w:val="24"/>
          <w:lang w:val="ro-RO"/>
        </w:rPr>
        <w:t xml:space="preserve">, dat fiind faptul că agenții economici refuză să le achite. Mai mult </w:t>
      </w:r>
      <w:r w:rsidR="00432BDD" w:rsidRPr="00F55BA6">
        <w:rPr>
          <w:rFonts w:asciiTheme="majorHAnsi" w:hAnsiTheme="majorHAnsi" w:cstheme="majorHAnsi"/>
          <w:sz w:val="24"/>
          <w:szCs w:val="24"/>
          <w:lang w:val="ro-RO"/>
        </w:rPr>
        <w:t>decât</w:t>
      </w:r>
      <w:r w:rsidR="009C3649" w:rsidRPr="00F55BA6">
        <w:rPr>
          <w:rFonts w:asciiTheme="majorHAnsi" w:hAnsiTheme="majorHAnsi" w:cstheme="majorHAnsi"/>
          <w:sz w:val="24"/>
          <w:szCs w:val="24"/>
          <w:lang w:val="ro-RO"/>
        </w:rPr>
        <w:t xml:space="preserve"> </w:t>
      </w:r>
      <w:r w:rsidR="009B2149" w:rsidRPr="00F55BA6">
        <w:rPr>
          <w:rFonts w:asciiTheme="majorHAnsi" w:hAnsiTheme="majorHAnsi" w:cstheme="majorHAnsi"/>
          <w:sz w:val="24"/>
          <w:szCs w:val="24"/>
          <w:lang w:val="ro-RO"/>
        </w:rPr>
        <w:t>atât</w:t>
      </w:r>
      <w:r w:rsidR="00797C84" w:rsidRPr="00F55BA6">
        <w:rPr>
          <w:rFonts w:asciiTheme="majorHAnsi" w:hAnsiTheme="majorHAnsi" w:cstheme="majorHAnsi"/>
          <w:sz w:val="24"/>
          <w:szCs w:val="24"/>
          <w:lang w:val="ro-RO"/>
        </w:rPr>
        <w:t>,</w:t>
      </w:r>
      <w:r w:rsidR="009C3649" w:rsidRPr="00F55BA6">
        <w:rPr>
          <w:rFonts w:asciiTheme="majorHAnsi" w:hAnsiTheme="majorHAnsi" w:cstheme="majorHAnsi"/>
          <w:sz w:val="24"/>
          <w:szCs w:val="24"/>
          <w:lang w:val="ro-RO"/>
        </w:rPr>
        <w:t xml:space="preserve"> pentru unele terenuri aferente </w:t>
      </w:r>
      <w:r w:rsidR="001C2698" w:rsidRPr="00F55BA6">
        <w:rPr>
          <w:rFonts w:asciiTheme="majorHAnsi" w:hAnsiTheme="majorHAnsi" w:cstheme="majorHAnsi"/>
          <w:sz w:val="24"/>
          <w:szCs w:val="24"/>
          <w:lang w:val="ro-RO"/>
        </w:rPr>
        <w:t xml:space="preserve">APP </w:t>
      </w:r>
      <w:r w:rsidR="009C3649" w:rsidRPr="00F55BA6">
        <w:rPr>
          <w:rFonts w:asciiTheme="majorHAnsi" w:hAnsiTheme="majorHAnsi" w:cstheme="majorHAnsi"/>
          <w:sz w:val="24"/>
          <w:szCs w:val="24"/>
          <w:lang w:val="ro-RO"/>
        </w:rPr>
        <w:t>nu a calculat plata din darea în folosință a acestora, valoarea că</w:t>
      </w:r>
      <w:r w:rsidR="00BA731E" w:rsidRPr="00F55BA6">
        <w:rPr>
          <w:rFonts w:asciiTheme="majorHAnsi" w:hAnsiTheme="majorHAnsi" w:cstheme="majorHAnsi"/>
          <w:sz w:val="24"/>
          <w:szCs w:val="24"/>
          <w:lang w:val="ro-RO"/>
        </w:rPr>
        <w:t>r</w:t>
      </w:r>
      <w:r w:rsidR="00743CEA" w:rsidRPr="00F55BA6">
        <w:rPr>
          <w:rFonts w:asciiTheme="majorHAnsi" w:hAnsiTheme="majorHAnsi" w:cstheme="majorHAnsi"/>
          <w:sz w:val="24"/>
          <w:szCs w:val="24"/>
          <w:lang w:val="ro-RO"/>
        </w:rPr>
        <w:t>eia</w:t>
      </w:r>
      <w:r w:rsidR="00BA731E" w:rsidRPr="00F55BA6">
        <w:rPr>
          <w:rFonts w:asciiTheme="majorHAnsi" w:hAnsiTheme="majorHAnsi" w:cstheme="majorHAnsi"/>
          <w:sz w:val="24"/>
          <w:szCs w:val="24"/>
          <w:lang w:val="ro-RO"/>
        </w:rPr>
        <w:t xml:space="preserve"> constituie 1,4 mil. lei</w:t>
      </w:r>
      <w:r w:rsidR="009C3649" w:rsidRPr="00F55BA6">
        <w:rPr>
          <w:rFonts w:asciiTheme="majorHAnsi" w:hAnsiTheme="majorHAnsi" w:cstheme="majorHAnsi"/>
          <w:sz w:val="24"/>
          <w:szCs w:val="24"/>
          <w:lang w:val="ro-RO"/>
        </w:rPr>
        <w:t>.</w:t>
      </w:r>
    </w:p>
    <w:p w:rsidR="00C77062" w:rsidRPr="00F55BA6" w:rsidRDefault="00C77062" w:rsidP="00C77062">
      <w:pPr>
        <w:tabs>
          <w:tab w:val="left" w:pos="142"/>
          <w:tab w:val="left" w:pos="426"/>
        </w:tabs>
        <w:spacing w:after="0" w:line="276" w:lineRule="auto"/>
        <w:contextualSpacing/>
        <w:outlineLvl w:val="0"/>
        <w:rPr>
          <w:rFonts w:asciiTheme="majorHAnsi" w:eastAsia="Times New Roman" w:hAnsiTheme="majorHAnsi" w:cs="Times New Roman"/>
          <w:b/>
          <w:bCs/>
          <w:szCs w:val="28"/>
          <w:lang w:val="ro-RO"/>
        </w:rPr>
      </w:pPr>
      <w:r w:rsidRPr="00E4517B">
        <w:rPr>
          <w:rFonts w:asciiTheme="majorHAnsi" w:hAnsiTheme="majorHAnsi" w:cstheme="majorHAnsi"/>
          <w:b/>
          <w:sz w:val="24"/>
          <w:szCs w:val="24"/>
          <w:lang w:val="ro-RO"/>
        </w:rPr>
        <w:t>5.</w:t>
      </w:r>
      <w:r w:rsidRPr="00973E5B">
        <w:rPr>
          <w:rFonts w:asciiTheme="majorHAnsi" w:hAnsiTheme="majorHAnsi" w:cstheme="majorHAnsi"/>
          <w:b/>
          <w:sz w:val="24"/>
          <w:szCs w:val="24"/>
          <w:lang w:val="ro-RO"/>
        </w:rPr>
        <w:t>3 În totalul sumei restituirilo</w:t>
      </w:r>
      <w:r w:rsidRPr="00B05CFC">
        <w:rPr>
          <w:rFonts w:asciiTheme="majorHAnsi" w:hAnsiTheme="majorHAnsi" w:cstheme="majorHAnsi"/>
          <w:b/>
          <w:sz w:val="24"/>
          <w:szCs w:val="24"/>
          <w:lang w:val="ro-RO"/>
        </w:rPr>
        <w:t>r TVA de 2 957,3 mil. lei au fost incluse mijloacele executate în sumă de 194,1 mil. lei pentru Programul de rambursare a TVA</w:t>
      </w:r>
      <w:r w:rsidR="005E446A">
        <w:rPr>
          <w:rFonts w:asciiTheme="majorHAnsi" w:hAnsiTheme="majorHAnsi" w:cstheme="majorHAnsi"/>
          <w:b/>
          <w:sz w:val="24"/>
          <w:szCs w:val="24"/>
          <w:lang w:val="ro-RO"/>
        </w:rPr>
        <w:t>.</w:t>
      </w:r>
    </w:p>
    <w:p w:rsidR="006E2E6A" w:rsidRPr="00F55BA6" w:rsidRDefault="00466616" w:rsidP="006E2E6A">
      <w:pPr>
        <w:spacing w:after="0" w:line="276" w:lineRule="auto"/>
        <w:rPr>
          <w:rFonts w:asciiTheme="majorHAnsi" w:eastAsia="Times New Roman" w:hAnsiTheme="majorHAnsi" w:cstheme="majorHAnsi"/>
          <w:sz w:val="24"/>
          <w:szCs w:val="24"/>
          <w:lang w:val="ro-RO"/>
        </w:rPr>
      </w:pPr>
      <w:r w:rsidRPr="00F55BA6">
        <w:rPr>
          <w:rFonts w:asciiTheme="majorHAnsi" w:eastAsia="Times New Roman" w:hAnsiTheme="majorHAnsi" w:cstheme="majorHAnsi"/>
          <w:sz w:val="24"/>
          <w:szCs w:val="24"/>
          <w:lang w:val="ro-RO"/>
        </w:rPr>
        <w:t xml:space="preserve">Prin Legea BS pentru anul 2020, </w:t>
      </w:r>
      <w:r w:rsidRPr="00F55BA6">
        <w:rPr>
          <w:rFonts w:asciiTheme="majorHAnsi" w:eastAsia="Times New Roman" w:hAnsiTheme="majorHAnsi" w:cstheme="majorHAnsi"/>
          <w:i/>
          <w:sz w:val="24"/>
          <w:szCs w:val="24"/>
          <w:lang w:val="ro-RO"/>
        </w:rPr>
        <w:t>pentru restituirea TVA</w:t>
      </w:r>
      <w:r w:rsidRPr="00F55BA6">
        <w:rPr>
          <w:rFonts w:asciiTheme="majorHAnsi" w:eastAsia="Times New Roman" w:hAnsiTheme="majorHAnsi" w:cstheme="majorHAnsi"/>
          <w:sz w:val="24"/>
          <w:szCs w:val="24"/>
          <w:lang w:val="ro-RO"/>
        </w:rPr>
        <w:t xml:space="preserve"> au fost aprobate inițial 3 290,0 mil. lei</w:t>
      </w:r>
      <w:r w:rsidR="00743CEA" w:rsidRPr="00F55BA6">
        <w:rPr>
          <w:rFonts w:asciiTheme="majorHAnsi" w:eastAsia="Times New Roman" w:hAnsiTheme="majorHAnsi" w:cstheme="majorHAnsi"/>
          <w:sz w:val="24"/>
          <w:szCs w:val="24"/>
          <w:lang w:val="ro-RO"/>
        </w:rPr>
        <w:t xml:space="preserve"> ca</w:t>
      </w:r>
      <w:r w:rsidRPr="00F55BA6">
        <w:rPr>
          <w:rFonts w:asciiTheme="majorHAnsi" w:eastAsia="Times New Roman" w:hAnsiTheme="majorHAnsi" w:cstheme="majorHAnsi"/>
          <w:sz w:val="24"/>
          <w:szCs w:val="24"/>
          <w:lang w:val="ro-RO"/>
        </w:rPr>
        <w:t xml:space="preserve"> urmare </w:t>
      </w:r>
      <w:r w:rsidR="00743CEA" w:rsidRPr="00F55BA6">
        <w:rPr>
          <w:rFonts w:asciiTheme="majorHAnsi" w:eastAsia="Times New Roman" w:hAnsiTheme="majorHAnsi" w:cstheme="majorHAnsi"/>
          <w:sz w:val="24"/>
          <w:szCs w:val="24"/>
          <w:lang w:val="ro-RO"/>
        </w:rPr>
        <w:t xml:space="preserve">a </w:t>
      </w:r>
      <w:r w:rsidRPr="00F55BA6">
        <w:rPr>
          <w:rFonts w:asciiTheme="majorHAnsi" w:eastAsia="Times New Roman" w:hAnsiTheme="majorHAnsi" w:cstheme="majorHAnsi"/>
          <w:sz w:val="24"/>
          <w:szCs w:val="24"/>
          <w:lang w:val="ro-RO"/>
        </w:rPr>
        <w:t>diminu</w:t>
      </w:r>
      <w:r w:rsidR="00743CEA" w:rsidRPr="00F55BA6">
        <w:rPr>
          <w:rFonts w:asciiTheme="majorHAnsi" w:eastAsia="Times New Roman" w:hAnsiTheme="majorHAnsi" w:cstheme="majorHAnsi"/>
          <w:sz w:val="24"/>
          <w:szCs w:val="24"/>
          <w:lang w:val="ro-RO"/>
        </w:rPr>
        <w:t>ării</w:t>
      </w:r>
      <w:r w:rsidRPr="00F55BA6">
        <w:rPr>
          <w:rFonts w:asciiTheme="majorHAnsi" w:eastAsia="Times New Roman" w:hAnsiTheme="majorHAnsi" w:cstheme="majorHAnsi"/>
          <w:sz w:val="24"/>
          <w:szCs w:val="24"/>
          <w:lang w:val="ro-RO"/>
        </w:rPr>
        <w:t xml:space="preserve"> </w:t>
      </w:r>
      <w:r w:rsidR="00743CEA" w:rsidRPr="00F55BA6">
        <w:rPr>
          <w:rFonts w:asciiTheme="majorHAnsi" w:eastAsia="Times New Roman" w:hAnsiTheme="majorHAnsi" w:cstheme="majorHAnsi"/>
          <w:sz w:val="24"/>
          <w:szCs w:val="24"/>
          <w:lang w:val="ro-RO"/>
        </w:rPr>
        <w:t xml:space="preserve">taxei </w:t>
      </w:r>
      <w:r w:rsidRPr="00F55BA6">
        <w:rPr>
          <w:rFonts w:asciiTheme="majorHAnsi" w:eastAsia="Times New Roman" w:hAnsiTheme="majorHAnsi" w:cstheme="majorHAnsi"/>
          <w:sz w:val="24"/>
          <w:szCs w:val="24"/>
          <w:lang w:val="ro-RO"/>
        </w:rPr>
        <w:t>cu 23,0 mil. lei (0,7%). În perioada auditată, executarea restituirilor TVA a fost efectuată în sumă de 2 957,3 mil. lei, ceea ce constituie 15,0% din suma TVA încasată la buget</w:t>
      </w:r>
      <w:r w:rsidR="00743CEA" w:rsidRPr="00F55BA6">
        <w:rPr>
          <w:rFonts w:asciiTheme="majorHAnsi" w:eastAsia="Times New Roman" w:hAnsiTheme="majorHAnsi" w:cstheme="majorHAnsi"/>
          <w:sz w:val="24"/>
          <w:szCs w:val="24"/>
          <w:lang w:val="ro-RO"/>
        </w:rPr>
        <w:t>,</w:t>
      </w:r>
      <w:r w:rsidRPr="00F55BA6">
        <w:rPr>
          <w:rFonts w:asciiTheme="majorHAnsi" w:eastAsia="Times New Roman" w:hAnsiTheme="majorHAnsi" w:cstheme="majorHAnsi"/>
          <w:sz w:val="24"/>
          <w:szCs w:val="24"/>
          <w:lang w:val="ro-RO"/>
        </w:rPr>
        <w:t xml:space="preserve"> sau </w:t>
      </w:r>
      <w:r w:rsidRPr="00F55BA6">
        <w:rPr>
          <w:rFonts w:asciiTheme="majorHAnsi" w:hAnsiTheme="majorHAnsi" w:cstheme="majorHAnsi"/>
          <w:sz w:val="24"/>
          <w:szCs w:val="24"/>
          <w:lang w:val="ro-RO"/>
        </w:rPr>
        <w:t>mai puțin față de anul 2019</w:t>
      </w:r>
      <w:r w:rsidRPr="00F55BA6">
        <w:rPr>
          <w:rFonts w:asciiTheme="majorHAnsi" w:eastAsia="Times New Roman" w:hAnsiTheme="majorHAnsi" w:cstheme="majorHAnsi"/>
          <w:sz w:val="24"/>
          <w:szCs w:val="24"/>
          <w:lang w:val="ro-RO"/>
        </w:rPr>
        <w:t xml:space="preserve"> cu </w:t>
      </w:r>
      <w:r w:rsidRPr="00F55BA6">
        <w:rPr>
          <w:rFonts w:asciiTheme="majorHAnsi" w:hAnsiTheme="majorHAnsi" w:cstheme="majorHAnsi"/>
          <w:sz w:val="24"/>
          <w:szCs w:val="24"/>
          <w:lang w:val="ro-RO"/>
        </w:rPr>
        <w:t>1,8%. (52,7 mil. lei).</w:t>
      </w:r>
      <w:r w:rsidRPr="00F55BA6">
        <w:rPr>
          <w:rFonts w:asciiTheme="majorHAnsi" w:eastAsia="Times New Roman" w:hAnsiTheme="majorHAnsi" w:cstheme="majorHAnsi"/>
          <w:sz w:val="24"/>
          <w:szCs w:val="24"/>
          <w:lang w:val="ro-RO"/>
        </w:rPr>
        <w:t xml:space="preserve"> Auditul constată că, în totalul </w:t>
      </w:r>
      <w:r w:rsidR="009E3C0C" w:rsidRPr="00F55BA6">
        <w:rPr>
          <w:rFonts w:asciiTheme="majorHAnsi" w:eastAsia="Times New Roman" w:hAnsiTheme="majorHAnsi" w:cstheme="majorHAnsi"/>
          <w:sz w:val="24"/>
          <w:szCs w:val="24"/>
          <w:lang w:val="ro-RO"/>
        </w:rPr>
        <w:t>sumei executate</w:t>
      </w:r>
      <w:r w:rsidR="00743CEA" w:rsidRPr="00F55BA6">
        <w:rPr>
          <w:rFonts w:asciiTheme="majorHAnsi" w:eastAsia="Times New Roman" w:hAnsiTheme="majorHAnsi" w:cstheme="majorHAnsi"/>
          <w:sz w:val="24"/>
          <w:szCs w:val="24"/>
          <w:lang w:val="ro-RO"/>
        </w:rPr>
        <w:t>,</w:t>
      </w:r>
      <w:r w:rsidR="009E3C0C" w:rsidRPr="00F55BA6">
        <w:rPr>
          <w:rFonts w:asciiTheme="majorHAnsi" w:eastAsia="Times New Roman" w:hAnsiTheme="majorHAnsi" w:cstheme="majorHAnsi"/>
          <w:sz w:val="24"/>
          <w:szCs w:val="24"/>
          <w:lang w:val="ro-RO"/>
        </w:rPr>
        <w:t xml:space="preserve"> la restituirea TVA </w:t>
      </w:r>
      <w:r w:rsidR="002127B8" w:rsidRPr="00F55BA6">
        <w:rPr>
          <w:rFonts w:asciiTheme="majorHAnsi" w:eastAsia="Times New Roman" w:hAnsiTheme="majorHAnsi" w:cstheme="majorHAnsi"/>
          <w:sz w:val="24"/>
          <w:szCs w:val="24"/>
          <w:lang w:val="ro-RO"/>
        </w:rPr>
        <w:t>s</w:t>
      </w:r>
      <w:r w:rsidR="00743CEA" w:rsidRPr="00F55BA6">
        <w:rPr>
          <w:rFonts w:asciiTheme="majorHAnsi" w:eastAsia="Times New Roman" w:hAnsiTheme="majorHAnsi" w:cstheme="majorHAnsi"/>
          <w:sz w:val="24"/>
          <w:szCs w:val="24"/>
          <w:lang w:val="ro-RO"/>
        </w:rPr>
        <w:t>u</w:t>
      </w:r>
      <w:r w:rsidR="002127B8" w:rsidRPr="00F55BA6">
        <w:rPr>
          <w:rFonts w:asciiTheme="majorHAnsi" w:eastAsia="Times New Roman" w:hAnsiTheme="majorHAnsi" w:cstheme="majorHAnsi"/>
          <w:sz w:val="24"/>
          <w:szCs w:val="24"/>
          <w:lang w:val="ro-RO"/>
        </w:rPr>
        <w:t>nt</w:t>
      </w:r>
      <w:r w:rsidR="009E3C0C" w:rsidRPr="00F55BA6">
        <w:rPr>
          <w:rFonts w:asciiTheme="majorHAnsi" w:eastAsia="Times New Roman" w:hAnsiTheme="majorHAnsi" w:cstheme="majorHAnsi"/>
          <w:sz w:val="24"/>
          <w:szCs w:val="24"/>
          <w:lang w:val="ro-RO"/>
        </w:rPr>
        <w:t xml:space="preserve"> incluse și mijloacele executate </w:t>
      </w:r>
      <w:r w:rsidR="00541BF1" w:rsidRPr="00F55BA6">
        <w:rPr>
          <w:rFonts w:asciiTheme="majorHAnsi" w:eastAsia="Times New Roman" w:hAnsiTheme="majorHAnsi" w:cstheme="majorHAnsi"/>
          <w:sz w:val="24"/>
          <w:szCs w:val="24"/>
          <w:lang w:val="ro-RO"/>
        </w:rPr>
        <w:t>conform</w:t>
      </w:r>
      <w:r w:rsidR="009E3C0C" w:rsidRPr="00F55BA6">
        <w:rPr>
          <w:rFonts w:asciiTheme="majorHAnsi" w:eastAsia="Times New Roman" w:hAnsiTheme="majorHAnsi" w:cstheme="majorHAnsi"/>
          <w:sz w:val="24"/>
          <w:szCs w:val="24"/>
          <w:lang w:val="ro-RO"/>
        </w:rPr>
        <w:t xml:space="preserve"> Programului de rambursare a TVA</w:t>
      </w:r>
      <w:r w:rsidR="00541BF1" w:rsidRPr="00F55BA6">
        <w:rPr>
          <w:rFonts w:asciiTheme="majorHAnsi" w:hAnsiTheme="majorHAnsi" w:cstheme="majorHAnsi"/>
          <w:sz w:val="24"/>
          <w:szCs w:val="24"/>
          <w:vertAlign w:val="superscript"/>
          <w:lang w:val="ro-RO"/>
        </w:rPr>
        <w:footnoteReference w:id="17"/>
      </w:r>
      <w:r w:rsidR="002127B8" w:rsidRPr="00F55BA6">
        <w:rPr>
          <w:rFonts w:asciiTheme="majorHAnsi" w:eastAsia="Times New Roman" w:hAnsiTheme="majorHAnsi" w:cstheme="majorHAnsi"/>
          <w:sz w:val="24"/>
          <w:szCs w:val="24"/>
          <w:lang w:val="ro-RO"/>
        </w:rPr>
        <w:t xml:space="preserve">. Verificările auditului denotă că, </w:t>
      </w:r>
      <w:r w:rsidR="006E2E6A" w:rsidRPr="00F55BA6">
        <w:rPr>
          <w:rFonts w:asciiTheme="majorHAnsi" w:hAnsiTheme="majorHAnsi" w:cstheme="majorHAnsi"/>
          <w:sz w:val="24"/>
          <w:szCs w:val="24"/>
          <w:lang w:val="ro-RO"/>
        </w:rPr>
        <w:t>la situația din 31.12.2020, conform datelor prezentate de către SFS</w:t>
      </w:r>
      <w:r w:rsidR="006E2E6A" w:rsidRPr="00F55BA6">
        <w:rPr>
          <w:rFonts w:asciiTheme="majorHAnsi" w:hAnsiTheme="majorHAnsi" w:cstheme="majorHAnsi"/>
          <w:sz w:val="24"/>
          <w:szCs w:val="24"/>
          <w:vertAlign w:val="superscript"/>
          <w:lang w:val="ro-RO"/>
        </w:rPr>
        <w:footnoteReference w:id="18"/>
      </w:r>
      <w:r w:rsidR="006E2E6A" w:rsidRPr="00F55BA6">
        <w:rPr>
          <w:rFonts w:asciiTheme="majorHAnsi" w:hAnsiTheme="majorHAnsi" w:cstheme="majorHAnsi"/>
          <w:sz w:val="24"/>
          <w:szCs w:val="24"/>
          <w:lang w:val="ro-RO"/>
        </w:rPr>
        <w:t xml:space="preserve"> echipei de audit,</w:t>
      </w:r>
      <w:r w:rsidR="00567BF7" w:rsidRPr="00F55BA6">
        <w:rPr>
          <w:rFonts w:asciiTheme="majorHAnsi" w:hAnsiTheme="majorHAnsi" w:cstheme="majorHAnsi"/>
          <w:sz w:val="24"/>
          <w:szCs w:val="24"/>
          <w:lang w:val="ro-RO"/>
        </w:rPr>
        <w:t xml:space="preserve"> au fost depuse 1 971</w:t>
      </w:r>
      <w:r w:rsidR="006E2E6A" w:rsidRPr="00F55BA6">
        <w:rPr>
          <w:rFonts w:asciiTheme="majorHAnsi" w:hAnsiTheme="majorHAnsi" w:cstheme="majorHAnsi"/>
          <w:sz w:val="24"/>
          <w:szCs w:val="24"/>
          <w:lang w:val="ro-RO"/>
        </w:rPr>
        <w:t xml:space="preserve"> </w:t>
      </w:r>
      <w:r w:rsidR="00743CEA" w:rsidRPr="00F55BA6">
        <w:rPr>
          <w:rFonts w:asciiTheme="majorHAnsi" w:hAnsiTheme="majorHAnsi" w:cstheme="majorHAnsi"/>
          <w:sz w:val="24"/>
          <w:szCs w:val="24"/>
          <w:lang w:val="ro-RO"/>
        </w:rPr>
        <w:t xml:space="preserve">de </w:t>
      </w:r>
      <w:r w:rsidR="006E2E6A" w:rsidRPr="00F55BA6">
        <w:rPr>
          <w:rFonts w:asciiTheme="majorHAnsi" w:hAnsiTheme="majorHAnsi" w:cstheme="majorHAnsi"/>
          <w:sz w:val="24"/>
          <w:szCs w:val="24"/>
          <w:lang w:val="ro-RO"/>
        </w:rPr>
        <w:t xml:space="preserve">cereri privind rambursarea TVA, </w:t>
      </w:r>
      <w:r w:rsidR="006E2E6A" w:rsidRPr="00F55BA6">
        <w:rPr>
          <w:rFonts w:asciiTheme="majorHAnsi" w:hAnsiTheme="majorHAnsi" w:cstheme="majorHAnsi"/>
          <w:color w:val="000000"/>
          <w:sz w:val="24"/>
          <w:szCs w:val="24"/>
          <w:lang w:val="ro-RO" w:eastAsia="ro-RO" w:bidi="ro-RO"/>
        </w:rPr>
        <w:t xml:space="preserve">în sumă de 325,6 mil. lei. Astfel, din numărul total de cereri depuse, 674 </w:t>
      </w:r>
      <w:r w:rsidR="00743CEA" w:rsidRPr="00F55BA6">
        <w:rPr>
          <w:rFonts w:asciiTheme="majorHAnsi" w:hAnsiTheme="majorHAnsi" w:cstheme="majorHAnsi"/>
          <w:color w:val="000000"/>
          <w:sz w:val="24"/>
          <w:szCs w:val="24"/>
          <w:lang w:val="ro-RO" w:eastAsia="ro-RO" w:bidi="ro-RO"/>
        </w:rPr>
        <w:t xml:space="preserve">de </w:t>
      </w:r>
      <w:r w:rsidR="006E2E6A" w:rsidRPr="00F55BA6">
        <w:rPr>
          <w:rFonts w:asciiTheme="majorHAnsi" w:hAnsiTheme="majorHAnsi" w:cstheme="majorHAnsi"/>
          <w:color w:val="000000"/>
          <w:sz w:val="24"/>
          <w:szCs w:val="24"/>
          <w:lang w:val="ro-RO" w:eastAsia="ro-RO" w:bidi="ro-RO"/>
        </w:rPr>
        <w:t xml:space="preserve">cereri cu suma totală a rambursărilor TVA solicitate în valoare de 97,6 mil. lei au fost retrase de către 408 contribuabili. Concomitent, pentru 27 de cereri cu sumele solicitate în valoare totală de 3,4 mil. lei, au fost remise notificări la 21 </w:t>
      </w:r>
      <w:r w:rsidR="00743CEA" w:rsidRPr="00F55BA6">
        <w:rPr>
          <w:rFonts w:asciiTheme="majorHAnsi" w:hAnsiTheme="majorHAnsi" w:cstheme="majorHAnsi"/>
          <w:color w:val="000000"/>
          <w:sz w:val="24"/>
          <w:szCs w:val="24"/>
          <w:lang w:val="ro-RO" w:eastAsia="ro-RO" w:bidi="ro-RO"/>
        </w:rPr>
        <w:t xml:space="preserve">de </w:t>
      </w:r>
      <w:r w:rsidR="006E2E6A" w:rsidRPr="00F55BA6">
        <w:rPr>
          <w:rFonts w:asciiTheme="majorHAnsi" w:hAnsiTheme="majorHAnsi" w:cstheme="majorHAnsi"/>
          <w:color w:val="000000"/>
          <w:sz w:val="24"/>
          <w:szCs w:val="24"/>
          <w:lang w:val="ro-RO" w:eastAsia="ro-RO" w:bidi="ro-RO"/>
        </w:rPr>
        <w:t xml:space="preserve">contribuabili privind informarea și prezentarea motivelor, </w:t>
      </w:r>
      <w:r w:rsidR="00743CEA" w:rsidRPr="00F55BA6">
        <w:rPr>
          <w:rFonts w:asciiTheme="majorHAnsi" w:hAnsiTheme="majorHAnsi" w:cstheme="majorHAnsi"/>
          <w:color w:val="000000"/>
          <w:sz w:val="24"/>
          <w:szCs w:val="24"/>
          <w:lang w:val="ro-RO" w:eastAsia="ro-RO" w:bidi="ro-RO"/>
        </w:rPr>
        <w:t xml:space="preserve">ceea </w:t>
      </w:r>
      <w:r w:rsidR="006E2E6A" w:rsidRPr="00F55BA6">
        <w:rPr>
          <w:rFonts w:asciiTheme="majorHAnsi" w:hAnsiTheme="majorHAnsi" w:cstheme="majorHAnsi"/>
          <w:color w:val="000000"/>
          <w:sz w:val="24"/>
          <w:szCs w:val="24"/>
          <w:lang w:val="ro-RO" w:eastAsia="ro-RO" w:bidi="ro-RO"/>
        </w:rPr>
        <w:t>ce în final a condus la imposibilitatea examinării cererilor depuse. În anul 2020</w:t>
      </w:r>
      <w:r w:rsidR="00DE48F2" w:rsidRPr="00F55BA6">
        <w:rPr>
          <w:rFonts w:asciiTheme="majorHAnsi" w:hAnsiTheme="majorHAnsi" w:cstheme="majorHAnsi"/>
          <w:color w:val="000000"/>
          <w:sz w:val="24"/>
          <w:szCs w:val="24"/>
          <w:lang w:val="ro-RO" w:eastAsia="ro-RO" w:bidi="ro-RO"/>
        </w:rPr>
        <w:t>,</w:t>
      </w:r>
      <w:r w:rsidR="006E2E6A" w:rsidRPr="00F55BA6">
        <w:rPr>
          <w:rFonts w:asciiTheme="majorHAnsi" w:hAnsiTheme="majorHAnsi" w:cstheme="majorHAnsi"/>
          <w:color w:val="000000"/>
          <w:sz w:val="24"/>
          <w:szCs w:val="24"/>
          <w:lang w:val="ro-RO" w:eastAsia="ro-RO" w:bidi="ro-RO"/>
        </w:rPr>
        <w:t xml:space="preserve"> SFS a adoptat 1 112 decizii privind acceptarea rambursării TVA, în valoare de 195,6 mil. lei</w:t>
      </w:r>
      <w:r w:rsidR="00743CEA" w:rsidRPr="00F55BA6">
        <w:rPr>
          <w:rFonts w:asciiTheme="majorHAnsi" w:hAnsiTheme="majorHAnsi" w:cstheme="majorHAnsi"/>
          <w:color w:val="000000"/>
          <w:sz w:val="24"/>
          <w:szCs w:val="24"/>
          <w:lang w:val="ro-RO" w:eastAsia="ro-RO" w:bidi="ro-RO"/>
        </w:rPr>
        <w:t>,</w:t>
      </w:r>
      <w:r w:rsidR="006E2E6A" w:rsidRPr="00F55BA6">
        <w:rPr>
          <w:rFonts w:asciiTheme="majorHAnsi" w:hAnsiTheme="majorHAnsi" w:cstheme="majorHAnsi"/>
          <w:color w:val="000000"/>
          <w:sz w:val="24"/>
          <w:szCs w:val="24"/>
          <w:lang w:val="ro-RO" w:eastAsia="ro-RO" w:bidi="ro-RO"/>
        </w:rPr>
        <w:t xml:space="preserve"> pentru 694 </w:t>
      </w:r>
      <w:r w:rsidR="00743CEA" w:rsidRPr="00F55BA6">
        <w:rPr>
          <w:rFonts w:asciiTheme="majorHAnsi" w:hAnsiTheme="majorHAnsi" w:cstheme="majorHAnsi"/>
          <w:color w:val="000000"/>
          <w:sz w:val="24"/>
          <w:szCs w:val="24"/>
          <w:lang w:val="ro-RO" w:eastAsia="ro-RO" w:bidi="ro-RO"/>
        </w:rPr>
        <w:t xml:space="preserve">de </w:t>
      </w:r>
      <w:r w:rsidR="006E2E6A" w:rsidRPr="00F55BA6">
        <w:rPr>
          <w:rFonts w:asciiTheme="majorHAnsi" w:hAnsiTheme="majorHAnsi" w:cstheme="majorHAnsi"/>
          <w:color w:val="000000"/>
          <w:sz w:val="24"/>
          <w:szCs w:val="24"/>
          <w:lang w:val="ro-RO" w:eastAsia="ro-RO" w:bidi="ro-RO"/>
        </w:rPr>
        <w:t>contribuabili, fiind întocmite 1 095 documente de plată</w:t>
      </w:r>
      <w:r w:rsidR="00D93DD2" w:rsidRPr="00F55BA6">
        <w:rPr>
          <w:rFonts w:asciiTheme="majorHAnsi" w:hAnsiTheme="majorHAnsi" w:cstheme="majorHAnsi"/>
          <w:color w:val="000000"/>
          <w:sz w:val="24"/>
          <w:szCs w:val="24"/>
          <w:lang w:val="ro-RO" w:eastAsia="ro-RO" w:bidi="ro-RO"/>
        </w:rPr>
        <w:t xml:space="preserve"> cu executare în anul 2020 </w:t>
      </w:r>
      <w:r w:rsidR="006E2E6A" w:rsidRPr="00F55BA6">
        <w:rPr>
          <w:rFonts w:asciiTheme="majorHAnsi" w:hAnsiTheme="majorHAnsi" w:cstheme="majorHAnsi"/>
          <w:color w:val="000000"/>
          <w:sz w:val="24"/>
          <w:szCs w:val="24"/>
          <w:lang w:val="ro-RO" w:eastAsia="ro-RO" w:bidi="ro-RO"/>
        </w:rPr>
        <w:t>aferente rambursării în baza deciziilor adoptate. Este de menționat că</w:t>
      </w:r>
      <w:r w:rsidR="00743CEA" w:rsidRPr="00F55BA6">
        <w:rPr>
          <w:rFonts w:asciiTheme="majorHAnsi" w:hAnsiTheme="majorHAnsi" w:cstheme="majorHAnsi"/>
          <w:color w:val="000000"/>
          <w:sz w:val="24"/>
          <w:szCs w:val="24"/>
          <w:lang w:val="ro-RO" w:eastAsia="ro-RO" w:bidi="ro-RO"/>
        </w:rPr>
        <w:t>,</w:t>
      </w:r>
      <w:r w:rsidR="006E2E6A" w:rsidRPr="00F55BA6">
        <w:rPr>
          <w:rFonts w:asciiTheme="majorHAnsi" w:hAnsiTheme="majorHAnsi" w:cstheme="majorHAnsi"/>
          <w:color w:val="000000"/>
          <w:sz w:val="24"/>
          <w:szCs w:val="24"/>
          <w:lang w:val="ro-RO" w:eastAsia="ro-RO" w:bidi="ro-RO"/>
        </w:rPr>
        <w:t xml:space="preserve"> pentru 17 decizii adoptate în anul 2020, documentele de plată au fost întocmite în luna ianuarie 2021.</w:t>
      </w:r>
    </w:p>
    <w:p w:rsidR="00B81A2C" w:rsidRPr="00F55BA6" w:rsidRDefault="006E2E6A" w:rsidP="0045540A">
      <w:pPr>
        <w:spacing w:after="0" w:line="276" w:lineRule="auto"/>
        <w:rPr>
          <w:rFonts w:asciiTheme="majorHAnsi" w:hAnsiTheme="majorHAnsi" w:cstheme="majorHAnsi"/>
          <w:sz w:val="24"/>
          <w:szCs w:val="24"/>
          <w:lang w:val="ro-RO"/>
        </w:rPr>
      </w:pPr>
      <w:r w:rsidRPr="00F55BA6">
        <w:rPr>
          <w:rFonts w:asciiTheme="majorHAnsi" w:hAnsiTheme="majorHAnsi" w:cstheme="majorHAnsi"/>
          <w:sz w:val="24"/>
          <w:szCs w:val="24"/>
          <w:lang w:val="ro-RO"/>
        </w:rPr>
        <w:t>MF</w:t>
      </w:r>
      <w:r w:rsidR="00743CEA" w:rsidRPr="00F55BA6">
        <w:rPr>
          <w:rFonts w:asciiTheme="majorHAnsi" w:hAnsiTheme="majorHAnsi" w:cstheme="majorHAnsi"/>
          <w:sz w:val="24"/>
          <w:szCs w:val="24"/>
          <w:lang w:val="ro-RO"/>
        </w:rPr>
        <w:t>,</w:t>
      </w:r>
      <w:r w:rsidRPr="00F55BA6">
        <w:rPr>
          <w:rFonts w:asciiTheme="majorHAnsi" w:hAnsiTheme="majorHAnsi" w:cstheme="majorHAnsi"/>
          <w:sz w:val="24"/>
          <w:szCs w:val="24"/>
          <w:lang w:val="ro-RO"/>
        </w:rPr>
        <w:t xml:space="preserve"> la situația din 31.12.2020</w:t>
      </w:r>
      <w:r w:rsidR="006E7389" w:rsidRPr="00F55BA6">
        <w:rPr>
          <w:rFonts w:asciiTheme="majorHAnsi" w:hAnsiTheme="majorHAnsi" w:cstheme="majorHAnsi"/>
          <w:sz w:val="24"/>
          <w:szCs w:val="24"/>
          <w:lang w:val="ro-RO"/>
        </w:rPr>
        <w:t>,</w:t>
      </w:r>
      <w:r w:rsidR="006269FB" w:rsidRPr="00F55BA6">
        <w:rPr>
          <w:rFonts w:asciiTheme="majorHAnsi" w:hAnsiTheme="majorHAnsi" w:cstheme="majorHAnsi"/>
          <w:sz w:val="24"/>
          <w:szCs w:val="24"/>
          <w:lang w:val="ro-RO"/>
        </w:rPr>
        <w:t xml:space="preserve"> a raportat</w:t>
      </w:r>
      <w:r w:rsidRPr="00F55BA6">
        <w:rPr>
          <w:rFonts w:asciiTheme="majorHAnsi" w:hAnsiTheme="majorHAnsi" w:cstheme="majorHAnsi"/>
          <w:sz w:val="24"/>
          <w:szCs w:val="24"/>
          <w:lang w:val="ro-RO"/>
        </w:rPr>
        <w:t xml:space="preserve"> rambursări</w:t>
      </w:r>
      <w:r w:rsidR="00A60232" w:rsidRPr="00F55BA6">
        <w:rPr>
          <w:rFonts w:asciiTheme="majorHAnsi" w:hAnsiTheme="majorHAnsi" w:cstheme="majorHAnsi"/>
          <w:sz w:val="24"/>
          <w:szCs w:val="24"/>
          <w:lang w:val="ro-RO"/>
        </w:rPr>
        <w:t xml:space="preserve"> de TVA</w:t>
      </w:r>
      <w:r w:rsidRPr="00F55BA6">
        <w:rPr>
          <w:rFonts w:asciiTheme="majorHAnsi" w:hAnsiTheme="majorHAnsi" w:cstheme="majorHAnsi"/>
          <w:sz w:val="24"/>
          <w:szCs w:val="24"/>
          <w:lang w:val="ro-RO"/>
        </w:rPr>
        <w:t xml:space="preserve"> în valoare de 194,1 mil. lei</w:t>
      </w:r>
      <w:r w:rsidR="006E7389" w:rsidRPr="00F55BA6">
        <w:rPr>
          <w:rFonts w:asciiTheme="majorHAnsi" w:hAnsiTheme="majorHAnsi" w:cstheme="majorHAnsi"/>
          <w:sz w:val="24"/>
          <w:szCs w:val="24"/>
          <w:lang w:val="ro-RO"/>
        </w:rPr>
        <w:t>,</w:t>
      </w:r>
      <w:r w:rsidR="00A60232" w:rsidRPr="00F55BA6">
        <w:rPr>
          <w:rFonts w:asciiTheme="majorHAnsi" w:hAnsiTheme="majorHAnsi" w:cstheme="majorHAnsi"/>
          <w:sz w:val="24"/>
          <w:szCs w:val="24"/>
          <w:lang w:val="ro-RO"/>
        </w:rPr>
        <w:t xml:space="preserve"> deși au fost executate ordinele de plată înaintate de către SFS la MF în sumă de 190,8 mil. lei. </w:t>
      </w:r>
      <w:r w:rsidR="00743CEA" w:rsidRPr="00F55BA6">
        <w:rPr>
          <w:rFonts w:asciiTheme="majorHAnsi" w:hAnsiTheme="majorHAnsi" w:cstheme="majorHAnsi"/>
          <w:sz w:val="24"/>
          <w:szCs w:val="24"/>
          <w:lang w:val="ro-RO"/>
        </w:rPr>
        <w:t>În urma</w:t>
      </w:r>
      <w:r w:rsidRPr="00F55BA6">
        <w:rPr>
          <w:rFonts w:asciiTheme="majorHAnsi" w:hAnsiTheme="majorHAnsi" w:cstheme="majorHAnsi"/>
          <w:sz w:val="24"/>
          <w:szCs w:val="24"/>
          <w:lang w:val="ro-RO"/>
        </w:rPr>
        <w:t xml:space="preserve"> verificărilor </w:t>
      </w:r>
      <w:r w:rsidR="00743CEA" w:rsidRPr="00F55BA6">
        <w:rPr>
          <w:rFonts w:asciiTheme="majorHAnsi" w:hAnsiTheme="majorHAnsi" w:cstheme="majorHAnsi"/>
          <w:sz w:val="24"/>
          <w:szCs w:val="24"/>
          <w:lang w:val="ro-RO"/>
        </w:rPr>
        <w:t xml:space="preserve">de </w:t>
      </w:r>
      <w:r w:rsidRPr="00F55BA6">
        <w:rPr>
          <w:rFonts w:asciiTheme="majorHAnsi" w:hAnsiTheme="majorHAnsi" w:cstheme="majorHAnsi"/>
          <w:sz w:val="24"/>
          <w:szCs w:val="24"/>
          <w:lang w:val="ro-RO"/>
        </w:rPr>
        <w:t>audit s-a</w:t>
      </w:r>
      <w:r w:rsidR="00F90423" w:rsidRPr="00F55BA6">
        <w:rPr>
          <w:rFonts w:asciiTheme="majorHAnsi" w:hAnsiTheme="majorHAnsi" w:cstheme="majorHAnsi"/>
          <w:sz w:val="24"/>
          <w:szCs w:val="24"/>
          <w:lang w:val="ro-RO"/>
        </w:rPr>
        <w:t>u</w:t>
      </w:r>
      <w:r w:rsidRPr="00F55BA6">
        <w:rPr>
          <w:rFonts w:asciiTheme="majorHAnsi" w:hAnsiTheme="majorHAnsi" w:cstheme="majorHAnsi"/>
          <w:sz w:val="24"/>
          <w:szCs w:val="24"/>
          <w:lang w:val="ro-RO"/>
        </w:rPr>
        <w:t xml:space="preserve"> constatat divergențe în sumă de </w:t>
      </w:r>
      <w:r w:rsidR="00310F5B" w:rsidRPr="00F55BA6">
        <w:rPr>
          <w:rFonts w:asciiTheme="majorHAnsi" w:hAnsiTheme="majorHAnsi" w:cstheme="majorHAnsi"/>
          <w:sz w:val="24"/>
          <w:szCs w:val="24"/>
          <w:lang w:val="ro-RO"/>
        </w:rPr>
        <w:t>3,3</w:t>
      </w:r>
      <w:r w:rsidR="00F90423" w:rsidRPr="00F55BA6">
        <w:rPr>
          <w:rFonts w:asciiTheme="majorHAnsi" w:hAnsiTheme="majorHAnsi" w:cstheme="majorHAnsi"/>
          <w:sz w:val="24"/>
          <w:szCs w:val="24"/>
          <w:lang w:val="ro-RO"/>
        </w:rPr>
        <w:t xml:space="preserve"> mil. lei</w:t>
      </w:r>
      <w:r w:rsidRPr="00F55BA6">
        <w:rPr>
          <w:rFonts w:asciiTheme="majorHAnsi" w:hAnsiTheme="majorHAnsi" w:cstheme="majorHAnsi"/>
          <w:sz w:val="24"/>
          <w:szCs w:val="24"/>
          <w:lang w:val="ro-RO"/>
        </w:rPr>
        <w:t xml:space="preserve"> între datele raportate de MF și datele prezentate de către SFS</w:t>
      </w:r>
      <w:r w:rsidR="002844D0" w:rsidRPr="00F55BA6">
        <w:rPr>
          <w:rFonts w:asciiTheme="majorHAnsi" w:hAnsiTheme="majorHAnsi" w:cstheme="majorHAnsi"/>
          <w:sz w:val="24"/>
          <w:szCs w:val="24"/>
          <w:lang w:val="ro-RO"/>
        </w:rPr>
        <w:t>.</w:t>
      </w:r>
      <w:r w:rsidR="00DA0656" w:rsidRPr="00F55BA6">
        <w:rPr>
          <w:rFonts w:asciiTheme="majorHAnsi" w:hAnsiTheme="majorHAnsi" w:cstheme="majorHAnsi"/>
          <w:sz w:val="24"/>
          <w:szCs w:val="24"/>
          <w:lang w:val="ro-RO"/>
        </w:rPr>
        <w:t xml:space="preserve"> </w:t>
      </w:r>
      <w:r w:rsidR="00A60232" w:rsidRPr="00F55BA6">
        <w:rPr>
          <w:rFonts w:asciiTheme="majorHAnsi" w:hAnsiTheme="majorHAnsi" w:cstheme="majorHAnsi"/>
          <w:sz w:val="24"/>
          <w:szCs w:val="24"/>
          <w:lang w:val="ro-RO"/>
        </w:rPr>
        <w:t xml:space="preserve">MF </w:t>
      </w:r>
      <w:r w:rsidR="00743CEA" w:rsidRPr="00F55BA6">
        <w:rPr>
          <w:rFonts w:asciiTheme="majorHAnsi" w:hAnsiTheme="majorHAnsi" w:cstheme="majorHAnsi"/>
          <w:sz w:val="24"/>
          <w:szCs w:val="24"/>
          <w:lang w:val="ro-RO"/>
        </w:rPr>
        <w:t xml:space="preserve">a </w:t>
      </w:r>
      <w:r w:rsidR="00A60232" w:rsidRPr="00F55BA6">
        <w:rPr>
          <w:rFonts w:asciiTheme="majorHAnsi" w:hAnsiTheme="majorHAnsi" w:cstheme="majorHAnsi"/>
          <w:sz w:val="24"/>
          <w:szCs w:val="24"/>
          <w:lang w:val="ro-RO"/>
        </w:rPr>
        <w:t>motiv</w:t>
      </w:r>
      <w:r w:rsidR="00743CEA" w:rsidRPr="00F55BA6">
        <w:rPr>
          <w:rFonts w:asciiTheme="majorHAnsi" w:hAnsiTheme="majorHAnsi" w:cstheme="majorHAnsi"/>
          <w:sz w:val="24"/>
          <w:szCs w:val="24"/>
          <w:lang w:val="ro-RO"/>
        </w:rPr>
        <w:t>at</w:t>
      </w:r>
      <w:r w:rsidR="00A60232" w:rsidRPr="00F55BA6">
        <w:rPr>
          <w:rFonts w:asciiTheme="majorHAnsi" w:hAnsiTheme="majorHAnsi" w:cstheme="majorHAnsi"/>
          <w:sz w:val="24"/>
          <w:szCs w:val="24"/>
          <w:lang w:val="ro-RO"/>
        </w:rPr>
        <w:t xml:space="preserve"> că suma raportată (194,1 mil. lei) în Raportul privind executarea BS a fost inclusă în baza unei informații operative.</w:t>
      </w:r>
    </w:p>
    <w:p w:rsidR="00A60232" w:rsidRPr="00F55BA6" w:rsidRDefault="00A60232" w:rsidP="0045540A">
      <w:pPr>
        <w:spacing w:after="0" w:line="276" w:lineRule="auto"/>
        <w:rPr>
          <w:rFonts w:asciiTheme="majorHAnsi" w:hAnsiTheme="majorHAnsi" w:cstheme="majorHAnsi"/>
          <w:sz w:val="24"/>
          <w:szCs w:val="24"/>
          <w:lang w:val="ro-RO"/>
        </w:rPr>
      </w:pPr>
    </w:p>
    <w:p w:rsidR="00364AFF" w:rsidRPr="00F55BA6" w:rsidRDefault="00364AFF" w:rsidP="00364AFF">
      <w:pPr>
        <w:numPr>
          <w:ilvl w:val="0"/>
          <w:numId w:val="1"/>
        </w:numPr>
        <w:tabs>
          <w:tab w:val="left" w:pos="426"/>
        </w:tabs>
        <w:spacing w:after="0" w:line="276" w:lineRule="auto"/>
        <w:ind w:left="0" w:firstLine="0"/>
        <w:contextualSpacing/>
        <w:jc w:val="left"/>
        <w:outlineLvl w:val="0"/>
        <w:rPr>
          <w:rFonts w:asciiTheme="majorHAnsi" w:hAnsiTheme="majorHAnsi" w:cstheme="majorHAnsi"/>
          <w:b/>
          <w:szCs w:val="28"/>
          <w:lang w:val="ro-RO"/>
        </w:rPr>
      </w:pPr>
      <w:r w:rsidRPr="00F55BA6">
        <w:rPr>
          <w:rFonts w:asciiTheme="majorHAnsi" w:hAnsiTheme="majorHAnsi" w:cstheme="majorHAnsi"/>
          <w:b/>
          <w:szCs w:val="28"/>
          <w:lang w:val="ro-RO"/>
        </w:rPr>
        <w:t>BUNA GUVERNANȚĂ</w:t>
      </w:r>
    </w:p>
    <w:p w:rsidR="00C77062" w:rsidRPr="00F55BA6" w:rsidRDefault="00C77062" w:rsidP="00C77062">
      <w:pPr>
        <w:tabs>
          <w:tab w:val="left" w:pos="426"/>
        </w:tabs>
        <w:spacing w:after="0" w:line="276" w:lineRule="auto"/>
        <w:contextualSpacing/>
        <w:jc w:val="left"/>
        <w:outlineLvl w:val="0"/>
        <w:rPr>
          <w:rFonts w:asciiTheme="majorHAnsi" w:hAnsiTheme="majorHAnsi" w:cstheme="majorHAnsi"/>
          <w:b/>
          <w:szCs w:val="28"/>
          <w:lang w:val="ro-RO"/>
        </w:rPr>
      </w:pPr>
      <w:r w:rsidRPr="00F55BA6">
        <w:rPr>
          <w:rFonts w:asciiTheme="majorHAnsi" w:hAnsiTheme="majorHAnsi" w:cstheme="majorHAnsi"/>
          <w:b/>
          <w:sz w:val="24"/>
          <w:szCs w:val="24"/>
          <w:lang w:val="ro-RO"/>
        </w:rPr>
        <w:t>6.1. Organizarea, implementarea, evaluarea și raportarea sistemului de control intern</w:t>
      </w:r>
    </w:p>
    <w:p w:rsidR="006412F2" w:rsidRPr="00F55BA6" w:rsidRDefault="00364AFF" w:rsidP="00813A1C">
      <w:pPr>
        <w:spacing w:after="0" w:line="276" w:lineRule="auto"/>
        <w:rPr>
          <w:rFonts w:asciiTheme="majorHAnsi" w:hAnsiTheme="majorHAnsi" w:cstheme="majorHAnsi"/>
          <w:sz w:val="24"/>
          <w:szCs w:val="24"/>
          <w:lang w:val="ro-RO"/>
        </w:rPr>
      </w:pPr>
      <w:r w:rsidRPr="00F55BA6">
        <w:rPr>
          <w:rFonts w:asciiTheme="majorHAnsi" w:hAnsiTheme="majorHAnsi" w:cstheme="majorHAnsi"/>
          <w:sz w:val="24"/>
          <w:szCs w:val="24"/>
          <w:lang w:val="ro-RO"/>
        </w:rPr>
        <w:t>Potrivit Legii nr.229 din 23.09.2010</w:t>
      </w:r>
      <w:r w:rsidRPr="00F55BA6">
        <w:rPr>
          <w:rFonts w:asciiTheme="majorHAnsi" w:hAnsiTheme="majorHAnsi" w:cstheme="majorHAnsi"/>
          <w:sz w:val="24"/>
          <w:szCs w:val="24"/>
          <w:vertAlign w:val="superscript"/>
          <w:lang w:val="ro-RO"/>
        </w:rPr>
        <w:footnoteReference w:id="19"/>
      </w:r>
      <w:r w:rsidRPr="00F55BA6">
        <w:rPr>
          <w:rFonts w:asciiTheme="majorHAnsi" w:hAnsiTheme="majorHAnsi" w:cstheme="majorHAnsi"/>
          <w:sz w:val="24"/>
          <w:szCs w:val="24"/>
          <w:lang w:val="ro-RO"/>
        </w:rPr>
        <w:t xml:space="preserve">, </w:t>
      </w:r>
      <w:r w:rsidRPr="00F55BA6">
        <w:rPr>
          <w:rFonts w:asciiTheme="majorHAnsi" w:eastAsia="Times New Roman" w:hAnsiTheme="majorHAnsi" w:cstheme="majorHAnsi"/>
          <w:sz w:val="24"/>
          <w:szCs w:val="24"/>
          <w:lang w:val="ro-RO"/>
        </w:rPr>
        <w:t>pentru promovarea unei bune guvernări a entităților publice, se implementează controlul financiar public intern, care include: controlul intern managerial, auditul intern, responsabili fiind managerii entităților publice, precum și coordonarea și armonizarea centr</w:t>
      </w:r>
      <w:r w:rsidR="00813A1C" w:rsidRPr="00F55BA6">
        <w:rPr>
          <w:rFonts w:asciiTheme="majorHAnsi" w:eastAsia="Times New Roman" w:hAnsiTheme="majorHAnsi" w:cstheme="majorHAnsi"/>
          <w:sz w:val="24"/>
          <w:szCs w:val="24"/>
          <w:lang w:val="ro-RO"/>
        </w:rPr>
        <w:t xml:space="preserve">alizată efectuată de către MF. </w:t>
      </w:r>
      <w:r w:rsidRPr="00F55BA6">
        <w:rPr>
          <w:rFonts w:asciiTheme="majorHAnsi" w:hAnsiTheme="majorHAnsi" w:cstheme="majorHAnsi"/>
          <w:sz w:val="24"/>
          <w:szCs w:val="24"/>
          <w:lang w:val="ro-RO"/>
        </w:rPr>
        <w:t xml:space="preserve">Potrivit Declarației de răspundere managerială, </w:t>
      </w:r>
      <w:r w:rsidR="00BF0D13" w:rsidRPr="00F55BA6">
        <w:rPr>
          <w:rFonts w:asciiTheme="majorHAnsi" w:hAnsiTheme="majorHAnsi" w:cstheme="majorHAnsi"/>
          <w:sz w:val="24"/>
          <w:szCs w:val="24"/>
          <w:lang w:val="ro-RO"/>
        </w:rPr>
        <w:t xml:space="preserve">pe baza rezultatelor autoevaluării, sistemul de control intern managerial al MF este parțial conform cu Standardele naționale de control intern în sectorul public. Astfel, în baza rezultatelor autoevaluării CIM de către MF și constatărilor auditului </w:t>
      </w:r>
      <w:r w:rsidR="00743CEA" w:rsidRPr="00F55BA6">
        <w:rPr>
          <w:rFonts w:asciiTheme="majorHAnsi" w:hAnsiTheme="majorHAnsi" w:cstheme="majorHAnsi"/>
          <w:sz w:val="24"/>
          <w:szCs w:val="24"/>
          <w:lang w:val="ro-RO"/>
        </w:rPr>
        <w:t xml:space="preserve">ca </w:t>
      </w:r>
      <w:r w:rsidR="00BF0D13" w:rsidRPr="00F55BA6">
        <w:rPr>
          <w:rFonts w:asciiTheme="majorHAnsi" w:hAnsiTheme="majorHAnsi" w:cstheme="majorHAnsi"/>
          <w:sz w:val="24"/>
          <w:szCs w:val="24"/>
          <w:lang w:val="ro-RO"/>
        </w:rPr>
        <w:t xml:space="preserve">urmare a testării controalelor interne, se confirmă că </w:t>
      </w:r>
      <w:r w:rsidR="00BF0D13" w:rsidRPr="00F55BA6">
        <w:rPr>
          <w:rFonts w:asciiTheme="majorHAnsi" w:hAnsiTheme="majorHAnsi" w:cstheme="majorHAnsi"/>
          <w:sz w:val="24"/>
          <w:szCs w:val="24"/>
          <w:lang w:val="ro-RO"/>
        </w:rPr>
        <w:lastRenderedPageBreak/>
        <w:t xml:space="preserve">organizarea și funcționarea sistemului de control intern managerial </w:t>
      </w:r>
      <w:r w:rsidR="00BF0D13" w:rsidRPr="00F55BA6">
        <w:rPr>
          <w:rFonts w:asciiTheme="majorHAnsi" w:hAnsiTheme="majorHAnsi" w:cstheme="majorHAnsi"/>
          <w:i/>
          <w:sz w:val="24"/>
          <w:szCs w:val="24"/>
          <w:lang w:val="ro-RO"/>
        </w:rPr>
        <w:t>permite furni</w:t>
      </w:r>
      <w:r w:rsidR="00EC085F" w:rsidRPr="00F55BA6">
        <w:rPr>
          <w:rFonts w:asciiTheme="majorHAnsi" w:hAnsiTheme="majorHAnsi" w:cstheme="majorHAnsi"/>
          <w:i/>
          <w:sz w:val="24"/>
          <w:szCs w:val="24"/>
          <w:lang w:val="ro-RO"/>
        </w:rPr>
        <w:t>zarea unei asigurări rezonabile,</w:t>
      </w:r>
      <w:r w:rsidR="007C3D9A" w:rsidRPr="00F55BA6">
        <w:rPr>
          <w:rFonts w:asciiTheme="majorHAnsi" w:hAnsiTheme="majorHAnsi" w:cstheme="majorHAnsi"/>
          <w:i/>
          <w:sz w:val="24"/>
          <w:szCs w:val="24"/>
          <w:lang w:val="ro-RO"/>
        </w:rPr>
        <w:t xml:space="preserve"> dar cu rezerve</w:t>
      </w:r>
      <w:r w:rsidR="00813A1C" w:rsidRPr="00F55BA6">
        <w:rPr>
          <w:rFonts w:asciiTheme="majorHAnsi" w:hAnsiTheme="majorHAnsi" w:cstheme="majorHAnsi"/>
          <w:i/>
          <w:sz w:val="24"/>
          <w:szCs w:val="24"/>
          <w:lang w:val="ro-RO"/>
        </w:rPr>
        <w:t xml:space="preserve"> </w:t>
      </w:r>
      <w:r w:rsidR="00EC085F" w:rsidRPr="00F55BA6">
        <w:rPr>
          <w:rFonts w:asciiTheme="majorHAnsi" w:hAnsiTheme="majorHAnsi" w:cstheme="majorHAnsi"/>
          <w:i/>
          <w:sz w:val="24"/>
          <w:szCs w:val="24"/>
          <w:lang w:val="ro-RO"/>
        </w:rPr>
        <w:t xml:space="preserve">la: </w:t>
      </w:r>
      <w:r w:rsidR="00EC085F" w:rsidRPr="00F55BA6">
        <w:rPr>
          <w:rFonts w:asciiTheme="majorHAnsi" w:hAnsiTheme="majorHAnsi" w:cstheme="majorHAnsi"/>
          <w:sz w:val="24"/>
          <w:szCs w:val="24"/>
          <w:lang w:val="ro-RO"/>
        </w:rPr>
        <w:t>ținerea evidenței contabile a executării de casă a mijloacelor BS, executarea cheltuielilor pentru investiții, executarea subvențiilor din BS și alte aspecte care s</w:t>
      </w:r>
      <w:r w:rsidR="00743CEA" w:rsidRPr="00F55BA6">
        <w:rPr>
          <w:rFonts w:asciiTheme="majorHAnsi" w:hAnsiTheme="majorHAnsi" w:cstheme="majorHAnsi"/>
          <w:sz w:val="24"/>
          <w:szCs w:val="24"/>
          <w:lang w:val="ro-RO"/>
        </w:rPr>
        <w:t>u</w:t>
      </w:r>
      <w:r w:rsidR="00EC085F" w:rsidRPr="00F55BA6">
        <w:rPr>
          <w:rFonts w:asciiTheme="majorHAnsi" w:hAnsiTheme="majorHAnsi" w:cstheme="majorHAnsi"/>
          <w:sz w:val="24"/>
          <w:szCs w:val="24"/>
          <w:lang w:val="ro-RO"/>
        </w:rPr>
        <w:t xml:space="preserve">nt specificate în Raportul de audit. </w:t>
      </w:r>
      <w:r w:rsidR="00B87CD0" w:rsidRPr="00F55BA6">
        <w:rPr>
          <w:rFonts w:asciiTheme="majorHAnsi" w:hAnsiTheme="majorHAnsi" w:cstheme="majorHAnsi"/>
          <w:sz w:val="24"/>
          <w:szCs w:val="24"/>
          <w:lang w:val="ro-RO"/>
        </w:rPr>
        <w:t>Se menționează că Direcția Trezoreria de Stat nu a descris toate procesele operaționale</w:t>
      </w:r>
      <w:r w:rsidR="003D200B" w:rsidRPr="00F55BA6">
        <w:rPr>
          <w:rFonts w:asciiTheme="majorHAnsi" w:hAnsiTheme="majorHAnsi" w:cstheme="majorHAnsi"/>
          <w:sz w:val="24"/>
          <w:szCs w:val="24"/>
          <w:lang w:val="ro-RO"/>
        </w:rPr>
        <w:t xml:space="preserve"> identificate</w:t>
      </w:r>
      <w:r w:rsidR="00B87CD0" w:rsidRPr="00F55BA6">
        <w:rPr>
          <w:rFonts w:asciiTheme="majorHAnsi" w:hAnsiTheme="majorHAnsi" w:cstheme="majorHAnsi"/>
          <w:sz w:val="24"/>
          <w:szCs w:val="24"/>
          <w:lang w:val="ro-RO"/>
        </w:rPr>
        <w:t xml:space="preserve"> ce țin de </w:t>
      </w:r>
      <w:r w:rsidR="00882165" w:rsidRPr="00F55BA6">
        <w:rPr>
          <w:rFonts w:asciiTheme="majorHAnsi" w:hAnsiTheme="majorHAnsi" w:cstheme="majorHAnsi"/>
          <w:sz w:val="24"/>
          <w:szCs w:val="24"/>
          <w:lang w:val="ro-RO"/>
        </w:rPr>
        <w:t>evidența contabilă a executării</w:t>
      </w:r>
      <w:r w:rsidR="00B87CD0" w:rsidRPr="00F55BA6">
        <w:rPr>
          <w:rFonts w:asciiTheme="majorHAnsi" w:hAnsiTheme="majorHAnsi" w:cstheme="majorHAnsi"/>
          <w:sz w:val="24"/>
          <w:szCs w:val="24"/>
          <w:lang w:val="ro-RO"/>
        </w:rPr>
        <w:t xml:space="preserve"> de casă a BS</w:t>
      </w:r>
      <w:r w:rsidR="003D200B" w:rsidRPr="00F55BA6">
        <w:rPr>
          <w:rFonts w:asciiTheme="majorHAnsi" w:hAnsiTheme="majorHAnsi" w:cstheme="majorHAnsi"/>
          <w:sz w:val="24"/>
          <w:szCs w:val="24"/>
          <w:lang w:val="ro-RO"/>
        </w:rPr>
        <w:t xml:space="preserve"> și nu au fost identificate toate procesele</w:t>
      </w:r>
      <w:r w:rsidR="00926C1C">
        <w:rPr>
          <w:rFonts w:asciiTheme="majorHAnsi" w:hAnsiTheme="majorHAnsi" w:cstheme="majorHAnsi"/>
          <w:sz w:val="24"/>
          <w:szCs w:val="24"/>
          <w:lang w:val="ro-RO"/>
        </w:rPr>
        <w:t>,</w:t>
      </w:r>
      <w:r w:rsidR="00293A52" w:rsidRPr="00F55BA6">
        <w:rPr>
          <w:rFonts w:asciiTheme="majorHAnsi" w:hAnsiTheme="majorHAnsi" w:cstheme="majorHAnsi"/>
          <w:sz w:val="24"/>
          <w:szCs w:val="24"/>
          <w:lang w:val="ro-RO"/>
        </w:rPr>
        <w:t xml:space="preserve"> în special </w:t>
      </w:r>
      <w:r w:rsidR="004E0DCF" w:rsidRPr="00F55BA6">
        <w:rPr>
          <w:rFonts w:asciiTheme="majorHAnsi" w:hAnsiTheme="majorHAnsi" w:cstheme="majorHAnsi"/>
          <w:sz w:val="24"/>
          <w:szCs w:val="24"/>
          <w:lang w:val="ro-RO"/>
        </w:rPr>
        <w:t xml:space="preserve">ce țin de </w:t>
      </w:r>
      <w:r w:rsidR="00293A52" w:rsidRPr="00F55BA6">
        <w:rPr>
          <w:rFonts w:asciiTheme="majorHAnsi" w:hAnsiTheme="majorHAnsi" w:cstheme="majorHAnsi"/>
          <w:sz w:val="24"/>
          <w:szCs w:val="24"/>
          <w:lang w:val="ro-RO"/>
        </w:rPr>
        <w:t>controlul</w:t>
      </w:r>
      <w:r w:rsidR="004E0DCF" w:rsidRPr="00F55BA6">
        <w:rPr>
          <w:rFonts w:asciiTheme="majorHAnsi" w:hAnsiTheme="majorHAnsi" w:cstheme="majorHAnsi"/>
          <w:sz w:val="24"/>
          <w:szCs w:val="24"/>
          <w:lang w:val="ro-RO"/>
        </w:rPr>
        <w:t xml:space="preserve"> Direcției Trezoreriei de </w:t>
      </w:r>
      <w:r w:rsidR="00743CEA" w:rsidRPr="00F55BA6">
        <w:rPr>
          <w:rFonts w:asciiTheme="majorHAnsi" w:hAnsiTheme="majorHAnsi" w:cstheme="majorHAnsi"/>
          <w:sz w:val="24"/>
          <w:szCs w:val="24"/>
          <w:lang w:val="ro-RO"/>
        </w:rPr>
        <w:t>S</w:t>
      </w:r>
      <w:r w:rsidR="004E0DCF" w:rsidRPr="00F55BA6">
        <w:rPr>
          <w:rFonts w:asciiTheme="majorHAnsi" w:hAnsiTheme="majorHAnsi" w:cstheme="majorHAnsi"/>
          <w:sz w:val="24"/>
          <w:szCs w:val="24"/>
          <w:lang w:val="ro-RO"/>
        </w:rPr>
        <w:t>tat asupra Trezoreriilor regionale ale MF la ținerea evidenței contabile și raportare</w:t>
      </w:r>
      <w:r w:rsidR="00B87CD0" w:rsidRPr="00F55BA6">
        <w:rPr>
          <w:rFonts w:asciiTheme="majorHAnsi" w:hAnsiTheme="majorHAnsi" w:cstheme="majorHAnsi"/>
          <w:sz w:val="24"/>
          <w:szCs w:val="24"/>
          <w:lang w:val="ro-RO"/>
        </w:rPr>
        <w:t>.</w:t>
      </w:r>
    </w:p>
    <w:p w:rsidR="001F53F6" w:rsidRPr="00F55BA6" w:rsidRDefault="001F53F6" w:rsidP="00813A1C">
      <w:pPr>
        <w:spacing w:after="0" w:line="276" w:lineRule="auto"/>
        <w:rPr>
          <w:rFonts w:asciiTheme="majorHAnsi" w:hAnsiTheme="majorHAnsi" w:cstheme="majorHAnsi"/>
          <w:sz w:val="24"/>
          <w:szCs w:val="24"/>
          <w:lang w:val="ro-RO"/>
        </w:rPr>
      </w:pPr>
      <w:r w:rsidRPr="00F55BA6">
        <w:rPr>
          <w:rFonts w:asciiTheme="majorHAnsi" w:hAnsiTheme="majorHAnsi" w:cstheme="majorHAnsi"/>
          <w:sz w:val="24"/>
          <w:szCs w:val="24"/>
          <w:lang w:val="ro-RO"/>
        </w:rPr>
        <w:t xml:space="preserve">În scopul </w:t>
      </w:r>
      <w:r w:rsidR="00743CEA" w:rsidRPr="00F55BA6">
        <w:rPr>
          <w:rFonts w:asciiTheme="majorHAnsi" w:hAnsiTheme="majorHAnsi" w:cstheme="majorHAnsi"/>
          <w:sz w:val="24"/>
          <w:szCs w:val="24"/>
          <w:lang w:val="ro-RO"/>
        </w:rPr>
        <w:t xml:space="preserve">asigurării </w:t>
      </w:r>
      <w:r w:rsidRPr="00F55BA6">
        <w:rPr>
          <w:rFonts w:asciiTheme="majorHAnsi" w:hAnsiTheme="majorHAnsi" w:cstheme="majorHAnsi"/>
          <w:sz w:val="24"/>
          <w:szCs w:val="24"/>
          <w:lang w:val="ro-RO"/>
        </w:rPr>
        <w:t xml:space="preserve">corectitudinii </w:t>
      </w:r>
      <w:r w:rsidR="00743CEA" w:rsidRPr="00F55BA6">
        <w:rPr>
          <w:rFonts w:asciiTheme="majorHAnsi" w:hAnsiTheme="majorHAnsi" w:cstheme="majorHAnsi"/>
          <w:sz w:val="24"/>
          <w:szCs w:val="24"/>
          <w:lang w:val="ro-RO"/>
        </w:rPr>
        <w:t xml:space="preserve">de </w:t>
      </w:r>
      <w:r w:rsidRPr="00F55BA6">
        <w:rPr>
          <w:rFonts w:asciiTheme="majorHAnsi" w:hAnsiTheme="majorHAnsi" w:cstheme="majorHAnsi"/>
          <w:sz w:val="24"/>
          <w:szCs w:val="24"/>
          <w:lang w:val="ro-RO"/>
        </w:rPr>
        <w:t>întocmir</w:t>
      </w:r>
      <w:r w:rsidR="00743CEA" w:rsidRPr="00F55BA6">
        <w:rPr>
          <w:rFonts w:asciiTheme="majorHAnsi" w:hAnsiTheme="majorHAnsi" w:cstheme="majorHAnsi"/>
          <w:sz w:val="24"/>
          <w:szCs w:val="24"/>
          <w:lang w:val="ro-RO"/>
        </w:rPr>
        <w:t>e a</w:t>
      </w:r>
      <w:r w:rsidRPr="00F55BA6">
        <w:rPr>
          <w:rFonts w:asciiTheme="majorHAnsi" w:hAnsiTheme="majorHAnsi" w:cstheme="majorHAnsi"/>
          <w:sz w:val="24"/>
          <w:szCs w:val="24"/>
          <w:lang w:val="ro-RO"/>
        </w:rPr>
        <w:t xml:space="preserve"> rapoartelor privind executarea BS, în corespundere cu normele aprobate</w:t>
      </w:r>
      <w:r w:rsidRPr="00F55BA6">
        <w:rPr>
          <w:rFonts w:asciiTheme="majorHAnsi" w:hAnsiTheme="majorHAnsi" w:cstheme="majorHAnsi"/>
          <w:sz w:val="24"/>
          <w:szCs w:val="24"/>
          <w:vertAlign w:val="superscript"/>
          <w:lang w:val="ro-RO"/>
        </w:rPr>
        <w:footnoteReference w:id="20"/>
      </w:r>
      <w:r w:rsidRPr="00F55BA6">
        <w:rPr>
          <w:rFonts w:asciiTheme="majorHAnsi" w:hAnsiTheme="majorHAnsi" w:cstheme="majorHAnsi"/>
          <w:sz w:val="24"/>
          <w:szCs w:val="24"/>
          <w:lang w:val="ro-RO"/>
        </w:rPr>
        <w:t>, MF a perfectat și a prezentat doar la 2</w:t>
      </w:r>
      <w:r w:rsidRPr="00F55BA6">
        <w:rPr>
          <w:rFonts w:asciiTheme="majorHAnsi" w:eastAsia="Times New Roman" w:hAnsiTheme="majorHAnsi" w:cstheme="majorHAnsi"/>
          <w:sz w:val="24"/>
          <w:szCs w:val="24"/>
          <w:lang w:val="ro-RO"/>
        </w:rPr>
        <w:t xml:space="preserve"> administratori de venit (SFS, SV)</w:t>
      </w:r>
      <w:r w:rsidRPr="00F55BA6">
        <w:rPr>
          <w:rFonts w:asciiTheme="majorHAnsi" w:hAnsiTheme="majorHAnsi" w:cstheme="majorHAnsi"/>
          <w:sz w:val="24"/>
          <w:szCs w:val="24"/>
          <w:lang w:val="ro-RO"/>
        </w:rPr>
        <w:t xml:space="preserve"> Registrele veniturilor BS </w:t>
      </w:r>
      <w:r w:rsidRPr="00F55BA6">
        <w:rPr>
          <w:rFonts w:asciiTheme="majorHAnsi" w:eastAsia="Times New Roman" w:hAnsiTheme="majorHAnsi" w:cstheme="majorHAnsi"/>
          <w:sz w:val="24"/>
          <w:szCs w:val="24"/>
          <w:lang w:val="ro-RO"/>
        </w:rPr>
        <w:t>(Formularul FI-006),</w:t>
      </w:r>
      <w:r w:rsidRPr="00F55BA6">
        <w:rPr>
          <w:rFonts w:asciiTheme="majorHAnsi" w:hAnsiTheme="majorHAnsi" w:cstheme="majorHAnsi"/>
          <w:sz w:val="24"/>
          <w:szCs w:val="24"/>
          <w:lang w:val="ro-RO"/>
        </w:rPr>
        <w:t xml:space="preserve"> întocmite cumulativ pe tipuri de impozite și taxe de la începutul anului. </w:t>
      </w:r>
      <w:r w:rsidR="00053C8B" w:rsidRPr="00F55BA6">
        <w:rPr>
          <w:rFonts w:asciiTheme="majorHAnsi" w:hAnsiTheme="majorHAnsi" w:cstheme="majorHAnsi"/>
          <w:sz w:val="24"/>
          <w:szCs w:val="24"/>
          <w:lang w:val="ro-RO"/>
        </w:rPr>
        <w:t>Ca u</w:t>
      </w:r>
      <w:r w:rsidRPr="00F55BA6">
        <w:rPr>
          <w:rFonts w:asciiTheme="majorHAnsi" w:hAnsiTheme="majorHAnsi" w:cstheme="majorHAnsi"/>
          <w:sz w:val="24"/>
          <w:szCs w:val="24"/>
          <w:lang w:val="ro-RO"/>
        </w:rPr>
        <w:t xml:space="preserve">rmare </w:t>
      </w:r>
      <w:r w:rsidR="00053C8B" w:rsidRPr="00F55BA6">
        <w:rPr>
          <w:rFonts w:asciiTheme="majorHAnsi" w:hAnsiTheme="majorHAnsi" w:cstheme="majorHAnsi"/>
          <w:sz w:val="24"/>
          <w:szCs w:val="24"/>
          <w:lang w:val="ro-RO"/>
        </w:rPr>
        <w:t xml:space="preserve">a </w:t>
      </w:r>
      <w:r w:rsidRPr="00F55BA6">
        <w:rPr>
          <w:rFonts w:asciiTheme="majorHAnsi" w:hAnsiTheme="majorHAnsi" w:cstheme="majorHAnsi"/>
          <w:sz w:val="24"/>
          <w:szCs w:val="24"/>
          <w:lang w:val="ro-RO"/>
        </w:rPr>
        <w:t>verificărilor de audit, s-a constatat că nu au fost confirmate toate veniturile executate în BS de către administratorii de venituri desemnați</w:t>
      </w:r>
      <w:r w:rsidR="00053C8B" w:rsidRPr="00F55BA6">
        <w:rPr>
          <w:rFonts w:asciiTheme="majorHAnsi" w:hAnsiTheme="majorHAnsi" w:cstheme="majorHAnsi"/>
          <w:sz w:val="24"/>
          <w:szCs w:val="24"/>
          <w:lang w:val="ro-RO"/>
        </w:rPr>
        <w:t>,</w:t>
      </w:r>
      <w:r w:rsidRPr="00F55BA6">
        <w:rPr>
          <w:rFonts w:asciiTheme="majorHAnsi" w:hAnsiTheme="majorHAnsi" w:cstheme="majorHAnsi"/>
          <w:sz w:val="24"/>
          <w:szCs w:val="24"/>
          <w:lang w:val="ro-RO"/>
        </w:rPr>
        <w:t xml:space="preserve"> iar în Registrele veniturilor semnate cu SFS s</w:t>
      </w:r>
      <w:r w:rsidR="00053C8B" w:rsidRPr="00F55BA6">
        <w:rPr>
          <w:rFonts w:asciiTheme="majorHAnsi" w:hAnsiTheme="majorHAnsi" w:cstheme="majorHAnsi"/>
          <w:sz w:val="24"/>
          <w:szCs w:val="24"/>
          <w:lang w:val="ro-RO"/>
        </w:rPr>
        <w:t>u</w:t>
      </w:r>
      <w:r w:rsidRPr="00F55BA6">
        <w:rPr>
          <w:rFonts w:asciiTheme="majorHAnsi" w:hAnsiTheme="majorHAnsi" w:cstheme="majorHAnsi"/>
          <w:sz w:val="24"/>
          <w:szCs w:val="24"/>
          <w:lang w:val="ro-RO"/>
        </w:rPr>
        <w:t>nt incluse impozite și taxe pe care nu le calculează/administrează SFS.</w:t>
      </w:r>
    </w:p>
    <w:p w:rsidR="006E036A" w:rsidRPr="00E4517B" w:rsidRDefault="0043647A" w:rsidP="003554AC">
      <w:pPr>
        <w:spacing w:after="0" w:line="276" w:lineRule="auto"/>
        <w:rPr>
          <w:rFonts w:asciiTheme="majorHAnsi" w:hAnsiTheme="majorHAnsi" w:cstheme="majorHAnsi"/>
          <w:sz w:val="24"/>
          <w:szCs w:val="24"/>
          <w:lang w:val="ro-RO"/>
        </w:rPr>
      </w:pPr>
      <w:r w:rsidRPr="00F55BA6">
        <w:rPr>
          <w:rFonts w:asciiTheme="majorHAnsi" w:hAnsiTheme="majorHAnsi" w:cstheme="majorHAnsi"/>
          <w:sz w:val="24"/>
          <w:szCs w:val="24"/>
          <w:lang w:val="ro-RO"/>
        </w:rPr>
        <w:t>S</w:t>
      </w:r>
      <w:r w:rsidR="006E036A" w:rsidRPr="00F55BA6">
        <w:rPr>
          <w:rFonts w:asciiTheme="majorHAnsi" w:hAnsiTheme="majorHAnsi" w:cstheme="majorHAnsi"/>
          <w:sz w:val="24"/>
          <w:szCs w:val="24"/>
          <w:lang w:val="ro-RO"/>
        </w:rPr>
        <w:t>ervicii</w:t>
      </w:r>
      <w:r w:rsidRPr="00F55BA6">
        <w:rPr>
          <w:rFonts w:asciiTheme="majorHAnsi" w:hAnsiTheme="majorHAnsi" w:cstheme="majorHAnsi"/>
          <w:sz w:val="24"/>
          <w:szCs w:val="24"/>
          <w:lang w:val="ro-RO"/>
        </w:rPr>
        <w:t>le</w:t>
      </w:r>
      <w:r w:rsidR="006E036A" w:rsidRPr="00F55BA6">
        <w:rPr>
          <w:rFonts w:asciiTheme="majorHAnsi" w:hAnsiTheme="majorHAnsi" w:cstheme="majorHAnsi"/>
          <w:sz w:val="24"/>
          <w:szCs w:val="24"/>
          <w:lang w:val="ro-RO"/>
        </w:rPr>
        <w:t xml:space="preserve"> informatice de administrare, menținere, dezvoltare și asigurare a funcționării sistemului informațional de gestionare a finanțelor publice </w:t>
      </w:r>
      <w:r w:rsidRPr="00F55BA6">
        <w:rPr>
          <w:rFonts w:asciiTheme="majorHAnsi" w:hAnsiTheme="majorHAnsi" w:cstheme="majorHAnsi"/>
          <w:sz w:val="24"/>
          <w:szCs w:val="24"/>
          <w:lang w:val="ro-RO"/>
        </w:rPr>
        <w:t>s</w:t>
      </w:r>
      <w:r w:rsidR="00053C8B" w:rsidRPr="00F55BA6">
        <w:rPr>
          <w:rFonts w:asciiTheme="majorHAnsi" w:hAnsiTheme="majorHAnsi" w:cstheme="majorHAnsi"/>
          <w:sz w:val="24"/>
          <w:szCs w:val="24"/>
          <w:lang w:val="ro-RO"/>
        </w:rPr>
        <w:t>u</w:t>
      </w:r>
      <w:r w:rsidRPr="00F55BA6">
        <w:rPr>
          <w:rFonts w:asciiTheme="majorHAnsi" w:hAnsiTheme="majorHAnsi" w:cstheme="majorHAnsi"/>
          <w:sz w:val="24"/>
          <w:szCs w:val="24"/>
          <w:lang w:val="ro-RO"/>
        </w:rPr>
        <w:t xml:space="preserve">nt achiziționate anual </w:t>
      </w:r>
      <w:r w:rsidR="006E036A" w:rsidRPr="00F55BA6">
        <w:rPr>
          <w:rFonts w:asciiTheme="majorHAnsi" w:hAnsiTheme="majorHAnsi" w:cstheme="majorHAnsi"/>
          <w:sz w:val="24"/>
          <w:szCs w:val="24"/>
          <w:lang w:val="ro-RO"/>
        </w:rPr>
        <w:t xml:space="preserve">de la IP </w:t>
      </w:r>
      <w:r w:rsidR="00053C8B" w:rsidRPr="00F55BA6">
        <w:rPr>
          <w:rFonts w:asciiTheme="majorHAnsi" w:hAnsiTheme="majorHAnsi" w:cstheme="majorHAnsi"/>
          <w:sz w:val="24"/>
          <w:szCs w:val="24"/>
          <w:lang w:val="ro-RO"/>
        </w:rPr>
        <w:t>„</w:t>
      </w:r>
      <w:r w:rsidR="006E036A" w:rsidRPr="00F55BA6">
        <w:rPr>
          <w:rFonts w:asciiTheme="majorHAnsi" w:hAnsiTheme="majorHAnsi" w:cstheme="majorHAnsi"/>
          <w:sz w:val="24"/>
          <w:szCs w:val="24"/>
          <w:lang w:val="ro-RO"/>
        </w:rPr>
        <w:t>Centrul de Tehnologii Informaționale în Finanțe”</w:t>
      </w:r>
      <w:r w:rsidR="006E036A" w:rsidRPr="00F55BA6">
        <w:rPr>
          <w:rFonts w:asciiTheme="majorHAnsi" w:hAnsiTheme="majorHAnsi" w:cstheme="majorHAnsi"/>
          <w:sz w:val="24"/>
          <w:szCs w:val="24"/>
          <w:vertAlign w:val="superscript"/>
          <w:lang w:val="ro-RO"/>
        </w:rPr>
        <w:footnoteReference w:id="21"/>
      </w:r>
      <w:r w:rsidR="006E036A" w:rsidRPr="00F55BA6">
        <w:rPr>
          <w:rFonts w:asciiTheme="majorHAnsi" w:hAnsiTheme="majorHAnsi" w:cstheme="majorHAnsi"/>
          <w:sz w:val="24"/>
          <w:szCs w:val="24"/>
          <w:lang w:val="ro-RO"/>
        </w:rPr>
        <w:t>.</w:t>
      </w:r>
      <w:r w:rsidR="003554AC" w:rsidRPr="00F55BA6">
        <w:rPr>
          <w:rFonts w:asciiTheme="majorHAnsi" w:hAnsiTheme="majorHAnsi" w:cstheme="majorHAnsi"/>
          <w:sz w:val="24"/>
          <w:szCs w:val="24"/>
          <w:lang w:val="ro-RO"/>
        </w:rPr>
        <w:t xml:space="preserve"> </w:t>
      </w:r>
      <w:r w:rsidR="003554AC" w:rsidRPr="00E4517B">
        <w:rPr>
          <w:rFonts w:asciiTheme="majorHAnsi" w:hAnsiTheme="majorHAnsi" w:cstheme="majorHAnsi"/>
          <w:sz w:val="24"/>
          <w:szCs w:val="24"/>
          <w:lang w:val="ro-RO"/>
        </w:rPr>
        <w:t>Auditul menționează că</w:t>
      </w:r>
      <w:r w:rsidR="003554AC" w:rsidRPr="00B05CFC">
        <w:rPr>
          <w:rFonts w:asciiTheme="majorHAnsi" w:hAnsiTheme="majorHAnsi" w:cstheme="majorHAnsi"/>
          <w:sz w:val="24"/>
          <w:szCs w:val="24"/>
          <w:lang w:val="ro-RO"/>
        </w:rPr>
        <w:t xml:space="preserve"> MF deține o Politică de securitate a informației, aprobată prin Ordinul MF </w:t>
      </w:r>
      <w:r w:rsidR="003554AC" w:rsidRPr="00E4517B">
        <w:rPr>
          <w:rFonts w:asciiTheme="majorHAnsi" w:hAnsiTheme="majorHAnsi" w:cstheme="majorHAnsi"/>
          <w:sz w:val="24"/>
          <w:szCs w:val="24"/>
          <w:lang w:val="ro-RO"/>
        </w:rPr>
        <w:t xml:space="preserve">nr.147 din 21 noiembrie 2016, </w:t>
      </w:r>
      <w:r w:rsidR="009C0A18" w:rsidRPr="00E4517B">
        <w:rPr>
          <w:rFonts w:asciiTheme="majorHAnsi" w:hAnsiTheme="majorHAnsi" w:cstheme="majorHAnsi"/>
          <w:sz w:val="24"/>
          <w:szCs w:val="24"/>
          <w:lang w:val="ro-RO"/>
        </w:rPr>
        <w:t>care necesită a fi ajustată în concordanță cu procesele stabilite în domeniul securității cibernetice.</w:t>
      </w:r>
      <w:r w:rsidR="00EB4B2F" w:rsidRPr="00E4517B">
        <w:rPr>
          <w:rFonts w:asciiTheme="majorHAnsi" w:hAnsiTheme="majorHAnsi" w:cstheme="majorHAnsi"/>
          <w:sz w:val="24"/>
          <w:szCs w:val="24"/>
          <w:lang w:val="ro-RO"/>
        </w:rPr>
        <w:t xml:space="preserve"> </w:t>
      </w:r>
      <w:r w:rsidR="002040B8" w:rsidRPr="00F55BA6">
        <w:rPr>
          <w:rFonts w:asciiTheme="majorHAnsi" w:eastAsia="Times New Roman" w:hAnsiTheme="majorHAnsi" w:cstheme="majorHAnsi"/>
          <w:sz w:val="24"/>
          <w:szCs w:val="24"/>
          <w:lang w:val="ro-RO"/>
        </w:rPr>
        <w:t xml:space="preserve">În anul 2020, MF a oferit acces parțial </w:t>
      </w:r>
      <w:r w:rsidR="007C3D9A" w:rsidRPr="00F55BA6">
        <w:rPr>
          <w:rFonts w:asciiTheme="majorHAnsi" w:eastAsia="Times New Roman" w:hAnsiTheme="majorHAnsi" w:cstheme="majorHAnsi"/>
          <w:sz w:val="24"/>
          <w:szCs w:val="24"/>
          <w:lang w:val="ro-RO"/>
        </w:rPr>
        <w:t>echipei de audit la</w:t>
      </w:r>
      <w:r w:rsidR="00647D69" w:rsidRPr="00F55BA6">
        <w:rPr>
          <w:rFonts w:asciiTheme="majorHAnsi" w:eastAsia="Times New Roman" w:hAnsiTheme="majorHAnsi" w:cstheme="majorHAnsi"/>
          <w:sz w:val="24"/>
          <w:szCs w:val="24"/>
          <w:lang w:val="ro-RO"/>
        </w:rPr>
        <w:t xml:space="preserve"> unele</w:t>
      </w:r>
      <w:r w:rsidR="007C3D9A" w:rsidRPr="00F55BA6">
        <w:rPr>
          <w:rFonts w:asciiTheme="majorHAnsi" w:eastAsia="Times New Roman" w:hAnsiTheme="majorHAnsi" w:cstheme="majorHAnsi"/>
          <w:sz w:val="24"/>
          <w:szCs w:val="24"/>
          <w:lang w:val="ro-RO"/>
        </w:rPr>
        <w:t xml:space="preserve"> rapoarte </w:t>
      </w:r>
      <w:r w:rsidR="002040B8" w:rsidRPr="00F55BA6">
        <w:rPr>
          <w:rFonts w:asciiTheme="majorHAnsi" w:eastAsia="Times New Roman" w:hAnsiTheme="majorHAnsi" w:cstheme="majorHAnsi"/>
          <w:sz w:val="24"/>
          <w:szCs w:val="24"/>
          <w:lang w:val="ro-RO"/>
        </w:rPr>
        <w:t>și d</w:t>
      </w:r>
      <w:r w:rsidR="00B332D0" w:rsidRPr="00F55BA6">
        <w:rPr>
          <w:rFonts w:asciiTheme="majorHAnsi" w:eastAsia="Times New Roman" w:hAnsiTheme="majorHAnsi" w:cstheme="majorHAnsi"/>
          <w:sz w:val="24"/>
          <w:szCs w:val="24"/>
          <w:lang w:val="ro-RO"/>
        </w:rPr>
        <w:t>ocumente de plată și încasări</w:t>
      </w:r>
      <w:r w:rsidR="00053C8B" w:rsidRPr="00F55BA6">
        <w:rPr>
          <w:rFonts w:asciiTheme="majorHAnsi" w:eastAsia="Times New Roman" w:hAnsiTheme="majorHAnsi" w:cstheme="majorHAnsi"/>
          <w:sz w:val="24"/>
          <w:szCs w:val="24"/>
          <w:lang w:val="ro-RO"/>
        </w:rPr>
        <w:t xml:space="preserve"> din sistemul informațional</w:t>
      </w:r>
      <w:r w:rsidR="00B332D0" w:rsidRPr="00F55BA6">
        <w:rPr>
          <w:rFonts w:asciiTheme="majorHAnsi" w:eastAsia="Times New Roman" w:hAnsiTheme="majorHAnsi" w:cstheme="majorHAnsi"/>
          <w:sz w:val="24"/>
          <w:szCs w:val="24"/>
          <w:lang w:val="ro-RO"/>
        </w:rPr>
        <w:t xml:space="preserve">, </w:t>
      </w:r>
      <w:r w:rsidR="006036D4" w:rsidRPr="00F55BA6">
        <w:rPr>
          <w:rFonts w:asciiTheme="majorHAnsi" w:eastAsia="Times New Roman" w:hAnsiTheme="majorHAnsi" w:cstheme="majorHAnsi"/>
          <w:sz w:val="24"/>
          <w:szCs w:val="24"/>
          <w:lang w:val="ro-RO"/>
        </w:rPr>
        <w:t>motivând</w:t>
      </w:r>
      <w:r w:rsidR="00B332D0" w:rsidRPr="00F55BA6">
        <w:rPr>
          <w:rFonts w:asciiTheme="majorHAnsi" w:eastAsia="Times New Roman" w:hAnsiTheme="majorHAnsi" w:cstheme="majorHAnsi"/>
          <w:sz w:val="24"/>
          <w:szCs w:val="24"/>
          <w:lang w:val="ro-RO"/>
        </w:rPr>
        <w:t xml:space="preserve"> că în SI necesită a fi efectuată extinderea rolului oferit echipei de audit.</w:t>
      </w:r>
    </w:p>
    <w:p w:rsidR="00C77062" w:rsidRPr="00F55BA6" w:rsidRDefault="00C77062" w:rsidP="00C77062">
      <w:pPr>
        <w:tabs>
          <w:tab w:val="left" w:pos="426"/>
        </w:tabs>
        <w:spacing w:after="0" w:line="276" w:lineRule="auto"/>
        <w:contextualSpacing/>
        <w:jc w:val="left"/>
        <w:outlineLvl w:val="0"/>
        <w:rPr>
          <w:rFonts w:asciiTheme="majorHAnsi" w:hAnsiTheme="majorHAnsi" w:cstheme="majorHAnsi"/>
          <w:b/>
          <w:szCs w:val="28"/>
          <w:lang w:val="ro-RO"/>
        </w:rPr>
      </w:pPr>
      <w:r w:rsidRPr="00F55BA6">
        <w:rPr>
          <w:rFonts w:asciiTheme="majorHAnsi" w:hAnsiTheme="majorHAnsi" w:cstheme="majorHAnsi"/>
          <w:b/>
          <w:sz w:val="24"/>
          <w:szCs w:val="24"/>
          <w:lang w:val="ro-RO"/>
        </w:rPr>
        <w:t>6.2. Auditul intern a evaluat doar un proces cu privire la executarea mijloacelor din BS</w:t>
      </w:r>
      <w:r w:rsidR="00926C1C">
        <w:rPr>
          <w:rFonts w:asciiTheme="majorHAnsi" w:hAnsiTheme="majorHAnsi" w:cstheme="majorHAnsi"/>
          <w:b/>
          <w:sz w:val="24"/>
          <w:szCs w:val="24"/>
          <w:lang w:val="ro-RO"/>
        </w:rPr>
        <w:t>.</w:t>
      </w:r>
    </w:p>
    <w:p w:rsidR="00952637" w:rsidRPr="00F55BA6" w:rsidRDefault="00A158CE" w:rsidP="00A158CE">
      <w:pPr>
        <w:spacing w:after="0"/>
        <w:rPr>
          <w:rFonts w:asciiTheme="majorHAnsi" w:hAnsiTheme="majorHAnsi" w:cstheme="majorHAnsi"/>
          <w:sz w:val="24"/>
          <w:szCs w:val="24"/>
          <w:lang w:val="ro-RO"/>
        </w:rPr>
      </w:pPr>
      <w:r w:rsidRPr="00F55BA6">
        <w:rPr>
          <w:rFonts w:asciiTheme="majorHAnsi" w:hAnsiTheme="majorHAnsi" w:cstheme="majorHAnsi"/>
          <w:sz w:val="24"/>
          <w:szCs w:val="24"/>
          <w:lang w:val="ro-RO"/>
        </w:rPr>
        <w:t>Conform Raportului cu privire la activitatea de audit intern pentru anul 2020</w:t>
      </w:r>
      <w:r w:rsidR="00053C8B" w:rsidRPr="00F55BA6">
        <w:rPr>
          <w:rFonts w:asciiTheme="majorHAnsi" w:hAnsiTheme="majorHAnsi" w:cstheme="majorHAnsi"/>
          <w:sz w:val="24"/>
          <w:szCs w:val="24"/>
          <w:lang w:val="ro-RO"/>
        </w:rPr>
        <w:t>,</w:t>
      </w:r>
      <w:r w:rsidRPr="00F55BA6">
        <w:rPr>
          <w:rFonts w:asciiTheme="majorHAnsi" w:hAnsiTheme="majorHAnsi" w:cstheme="majorHAnsi"/>
          <w:sz w:val="24"/>
          <w:szCs w:val="24"/>
          <w:lang w:val="ro-RO"/>
        </w:rPr>
        <w:t xml:space="preserve"> SAI a MF a r</w:t>
      </w:r>
      <w:r w:rsidR="00333CE5" w:rsidRPr="00F55BA6">
        <w:rPr>
          <w:rFonts w:asciiTheme="majorHAnsi" w:hAnsiTheme="majorHAnsi" w:cstheme="majorHAnsi"/>
          <w:sz w:val="24"/>
          <w:szCs w:val="24"/>
          <w:lang w:val="ro-RO"/>
        </w:rPr>
        <w:t>ealizat 6 misiuni de audit: un</w:t>
      </w:r>
      <w:r w:rsidRPr="00F55BA6">
        <w:rPr>
          <w:rFonts w:asciiTheme="majorHAnsi" w:hAnsiTheme="majorHAnsi" w:cstheme="majorHAnsi"/>
          <w:sz w:val="24"/>
          <w:szCs w:val="24"/>
          <w:lang w:val="ro-RO"/>
        </w:rPr>
        <w:t xml:space="preserve"> audit </w:t>
      </w:r>
      <w:r w:rsidR="00333CE5" w:rsidRPr="00F55BA6">
        <w:rPr>
          <w:rFonts w:asciiTheme="majorHAnsi" w:hAnsiTheme="majorHAnsi" w:cstheme="majorHAnsi"/>
          <w:sz w:val="24"/>
          <w:szCs w:val="24"/>
          <w:lang w:val="ro-RO"/>
        </w:rPr>
        <w:t>de tip</w:t>
      </w:r>
      <w:r w:rsidRPr="00F55BA6">
        <w:rPr>
          <w:rFonts w:asciiTheme="majorHAnsi" w:hAnsiTheme="majorHAnsi" w:cstheme="majorHAnsi"/>
          <w:sz w:val="24"/>
          <w:szCs w:val="24"/>
          <w:lang w:val="ro-RO"/>
        </w:rPr>
        <w:t xml:space="preserve"> financiar, </w:t>
      </w:r>
      <w:r w:rsidR="00333CE5" w:rsidRPr="00F55BA6">
        <w:rPr>
          <w:rFonts w:asciiTheme="majorHAnsi" w:hAnsiTheme="majorHAnsi" w:cstheme="majorHAnsi"/>
          <w:sz w:val="24"/>
          <w:szCs w:val="24"/>
          <w:lang w:val="ro-RO"/>
        </w:rPr>
        <w:t>3</w:t>
      </w:r>
      <w:r w:rsidRPr="00F55BA6">
        <w:rPr>
          <w:rFonts w:asciiTheme="majorHAnsi" w:hAnsiTheme="majorHAnsi" w:cstheme="majorHAnsi"/>
          <w:sz w:val="24"/>
          <w:szCs w:val="24"/>
          <w:lang w:val="ro-RO"/>
        </w:rPr>
        <w:t xml:space="preserve"> </w:t>
      </w:r>
      <w:r w:rsidR="00053C8B" w:rsidRPr="00F55BA6">
        <w:rPr>
          <w:rFonts w:asciiTheme="majorHAnsi" w:hAnsiTheme="majorHAnsi" w:cstheme="majorHAnsi"/>
          <w:sz w:val="24"/>
          <w:szCs w:val="24"/>
          <w:lang w:val="ro-RO"/>
        </w:rPr>
        <w:t xml:space="preserve">– </w:t>
      </w:r>
      <w:r w:rsidRPr="00F55BA6">
        <w:rPr>
          <w:rFonts w:asciiTheme="majorHAnsi" w:hAnsiTheme="majorHAnsi" w:cstheme="majorHAnsi"/>
          <w:sz w:val="24"/>
          <w:szCs w:val="24"/>
          <w:lang w:val="ro-RO"/>
        </w:rPr>
        <w:t>de sistem</w:t>
      </w:r>
      <w:r w:rsidR="00053C8B" w:rsidRPr="00F55BA6">
        <w:rPr>
          <w:rFonts w:asciiTheme="majorHAnsi" w:hAnsiTheme="majorHAnsi" w:cstheme="majorHAnsi"/>
          <w:sz w:val="24"/>
          <w:szCs w:val="24"/>
          <w:lang w:val="ro-RO"/>
        </w:rPr>
        <w:t>,</w:t>
      </w:r>
      <w:r w:rsidRPr="00F55BA6">
        <w:rPr>
          <w:rFonts w:asciiTheme="majorHAnsi" w:hAnsiTheme="majorHAnsi" w:cstheme="majorHAnsi"/>
          <w:sz w:val="24"/>
          <w:szCs w:val="24"/>
          <w:lang w:val="ro-RO"/>
        </w:rPr>
        <w:t xml:space="preserve"> și </w:t>
      </w:r>
      <w:r w:rsidR="00053C8B" w:rsidRPr="00F55BA6">
        <w:rPr>
          <w:rFonts w:asciiTheme="majorHAnsi" w:hAnsiTheme="majorHAnsi" w:cstheme="majorHAnsi"/>
          <w:sz w:val="24"/>
          <w:szCs w:val="24"/>
          <w:lang w:val="ro-RO"/>
        </w:rPr>
        <w:t>2 –</w:t>
      </w:r>
      <w:r w:rsidRPr="00F55BA6">
        <w:rPr>
          <w:rFonts w:asciiTheme="majorHAnsi" w:hAnsiTheme="majorHAnsi" w:cstheme="majorHAnsi"/>
          <w:sz w:val="24"/>
          <w:szCs w:val="24"/>
          <w:lang w:val="ro-RO"/>
        </w:rPr>
        <w:t xml:space="preserve"> de consiliere. Astfel, au fost evaluate riscurile asociate proceselor operaționale aferente achizițiilor publice, de salarizare, de deplasare în interes de serviciu a angajaților MF și procesul de promovare a actelor normative de către subdiviziunile structurale ale MF. Auditul a constatat că</w:t>
      </w:r>
      <w:r w:rsidR="00053C8B" w:rsidRPr="00F55BA6">
        <w:rPr>
          <w:rFonts w:asciiTheme="majorHAnsi" w:hAnsiTheme="majorHAnsi" w:cstheme="majorHAnsi"/>
          <w:sz w:val="24"/>
          <w:szCs w:val="24"/>
          <w:lang w:val="ro-RO"/>
        </w:rPr>
        <w:t>,</w:t>
      </w:r>
      <w:r w:rsidRPr="00F55BA6">
        <w:rPr>
          <w:rFonts w:asciiTheme="majorHAnsi" w:hAnsiTheme="majorHAnsi" w:cstheme="majorHAnsi"/>
          <w:sz w:val="24"/>
          <w:szCs w:val="24"/>
          <w:lang w:val="ro-RO"/>
        </w:rPr>
        <w:t xml:space="preserve"> al treilea an consecutiv SAI nu audit</w:t>
      </w:r>
      <w:r w:rsidR="00053C8B" w:rsidRPr="00F55BA6">
        <w:rPr>
          <w:rFonts w:asciiTheme="majorHAnsi" w:hAnsiTheme="majorHAnsi" w:cstheme="majorHAnsi"/>
          <w:sz w:val="24"/>
          <w:szCs w:val="24"/>
          <w:lang w:val="ro-RO"/>
        </w:rPr>
        <w:t>e</w:t>
      </w:r>
      <w:r w:rsidRPr="00F55BA6">
        <w:rPr>
          <w:rFonts w:asciiTheme="majorHAnsi" w:hAnsiTheme="majorHAnsi" w:cstheme="majorHAnsi"/>
          <w:sz w:val="24"/>
          <w:szCs w:val="24"/>
          <w:lang w:val="ro-RO"/>
        </w:rPr>
        <w:t>a</w:t>
      </w:r>
      <w:r w:rsidR="00053C8B" w:rsidRPr="00F55BA6">
        <w:rPr>
          <w:rFonts w:asciiTheme="majorHAnsi" w:hAnsiTheme="majorHAnsi" w:cstheme="majorHAnsi"/>
          <w:sz w:val="24"/>
          <w:szCs w:val="24"/>
          <w:lang w:val="ro-RO"/>
        </w:rPr>
        <w:t>ză</w:t>
      </w:r>
      <w:r w:rsidRPr="00F55BA6">
        <w:rPr>
          <w:rFonts w:asciiTheme="majorHAnsi" w:hAnsiTheme="majorHAnsi" w:cstheme="majorHAnsi"/>
          <w:sz w:val="24"/>
          <w:szCs w:val="24"/>
          <w:lang w:val="ro-RO"/>
        </w:rPr>
        <w:t xml:space="preserve"> procese ce țin de </w:t>
      </w:r>
      <w:r w:rsidR="00952637" w:rsidRPr="00F55BA6">
        <w:rPr>
          <w:rFonts w:asciiTheme="majorHAnsi" w:hAnsiTheme="majorHAnsi" w:cstheme="majorHAnsi"/>
          <w:sz w:val="24"/>
          <w:szCs w:val="24"/>
          <w:lang w:val="ro-RO"/>
        </w:rPr>
        <w:t>planificarea/</w:t>
      </w:r>
      <w:r w:rsidRPr="00F55BA6">
        <w:rPr>
          <w:rFonts w:asciiTheme="majorHAnsi" w:hAnsiTheme="majorHAnsi" w:cstheme="majorHAnsi"/>
          <w:sz w:val="24"/>
          <w:szCs w:val="24"/>
          <w:lang w:val="ro-RO"/>
        </w:rPr>
        <w:t xml:space="preserve">executarea/raportarea </w:t>
      </w:r>
      <w:r w:rsidR="00952637" w:rsidRPr="00F55BA6">
        <w:rPr>
          <w:rFonts w:asciiTheme="majorHAnsi" w:hAnsiTheme="majorHAnsi" w:cstheme="majorHAnsi"/>
          <w:sz w:val="24"/>
          <w:szCs w:val="24"/>
          <w:lang w:val="ro-RO"/>
        </w:rPr>
        <w:t>BS</w:t>
      </w:r>
      <w:r w:rsidRPr="00F55BA6">
        <w:rPr>
          <w:rFonts w:asciiTheme="majorHAnsi" w:hAnsiTheme="majorHAnsi" w:cstheme="majorHAnsi"/>
          <w:sz w:val="24"/>
          <w:szCs w:val="24"/>
          <w:lang w:val="ro-RO"/>
        </w:rPr>
        <w:t>, deși, potrivit Cartei de audit intern, SAI dispune de toate instrumentele n</w:t>
      </w:r>
      <w:r w:rsidR="00952637" w:rsidRPr="00F55BA6">
        <w:rPr>
          <w:rFonts w:asciiTheme="majorHAnsi" w:hAnsiTheme="majorHAnsi" w:cstheme="majorHAnsi"/>
          <w:sz w:val="24"/>
          <w:szCs w:val="24"/>
          <w:lang w:val="ro-RO"/>
        </w:rPr>
        <w:t>ecesare pentru evaluarea acestor</w:t>
      </w:r>
      <w:r w:rsidRPr="00F55BA6">
        <w:rPr>
          <w:rFonts w:asciiTheme="majorHAnsi" w:hAnsiTheme="majorHAnsi" w:cstheme="majorHAnsi"/>
          <w:sz w:val="24"/>
          <w:szCs w:val="24"/>
          <w:lang w:val="ro-RO"/>
        </w:rPr>
        <w:t xml:space="preserve"> proces</w:t>
      </w:r>
      <w:r w:rsidR="00952637" w:rsidRPr="00F55BA6">
        <w:rPr>
          <w:rFonts w:asciiTheme="majorHAnsi" w:hAnsiTheme="majorHAnsi" w:cstheme="majorHAnsi"/>
          <w:sz w:val="24"/>
          <w:szCs w:val="24"/>
          <w:lang w:val="ro-RO"/>
        </w:rPr>
        <w:t>e</w:t>
      </w:r>
      <w:r w:rsidRPr="00F55BA6">
        <w:rPr>
          <w:rFonts w:asciiTheme="majorHAnsi" w:hAnsiTheme="majorHAnsi" w:cstheme="majorHAnsi"/>
          <w:sz w:val="24"/>
          <w:szCs w:val="24"/>
          <w:lang w:val="ro-RO"/>
        </w:rPr>
        <w:t xml:space="preserve">. </w:t>
      </w:r>
      <w:r w:rsidR="004273E7" w:rsidRPr="00F55BA6">
        <w:rPr>
          <w:rFonts w:asciiTheme="majorHAnsi" w:hAnsiTheme="majorHAnsi" w:cstheme="majorHAnsi"/>
          <w:sz w:val="24"/>
          <w:szCs w:val="24"/>
          <w:lang w:val="ro-RO"/>
        </w:rPr>
        <w:t>Astfel, a</w:t>
      </w:r>
      <w:r w:rsidR="00952637" w:rsidRPr="00F55BA6">
        <w:rPr>
          <w:rFonts w:asciiTheme="majorHAnsi" w:hAnsiTheme="majorHAnsi" w:cstheme="majorHAnsi"/>
          <w:sz w:val="24"/>
          <w:szCs w:val="24"/>
          <w:lang w:val="ro-RO"/>
        </w:rPr>
        <w:t>uditul consideră oportun</w:t>
      </w:r>
      <w:r w:rsidR="00053C8B" w:rsidRPr="00F55BA6">
        <w:rPr>
          <w:rFonts w:asciiTheme="majorHAnsi" w:hAnsiTheme="majorHAnsi" w:cstheme="majorHAnsi"/>
          <w:sz w:val="24"/>
          <w:szCs w:val="24"/>
          <w:lang w:val="ro-RO"/>
        </w:rPr>
        <w:t>ă</w:t>
      </w:r>
      <w:r w:rsidR="00952637" w:rsidRPr="00F55BA6">
        <w:rPr>
          <w:rFonts w:asciiTheme="majorHAnsi" w:hAnsiTheme="majorHAnsi" w:cstheme="majorHAnsi"/>
          <w:sz w:val="24"/>
          <w:szCs w:val="24"/>
          <w:lang w:val="ro-RO"/>
        </w:rPr>
        <w:t xml:space="preserve"> evaluarea proceselor asupra evidenței contabile a executării de casă a mijloacelor BS de către </w:t>
      </w:r>
      <w:r w:rsidR="0051011E" w:rsidRPr="00F55BA6">
        <w:rPr>
          <w:rFonts w:asciiTheme="majorHAnsi" w:hAnsiTheme="majorHAnsi" w:cstheme="majorHAnsi"/>
          <w:sz w:val="24"/>
          <w:szCs w:val="24"/>
          <w:lang w:val="ro-RO"/>
        </w:rPr>
        <w:t>SAI</w:t>
      </w:r>
      <w:r w:rsidR="00952637" w:rsidRPr="00F55BA6">
        <w:rPr>
          <w:rFonts w:asciiTheme="majorHAnsi" w:hAnsiTheme="majorHAnsi" w:cstheme="majorHAnsi"/>
          <w:sz w:val="24"/>
          <w:szCs w:val="24"/>
          <w:lang w:val="ro-RO"/>
        </w:rPr>
        <w:t xml:space="preserve">, ținând cont de prevederile Cartei de audit intern că cel puțin o dată la 3 ani să fie evaluate procesele cu risc sporit pentru domeniul financiar-contabil și </w:t>
      </w:r>
      <w:r w:rsidR="00D936F8" w:rsidRPr="00F55BA6">
        <w:rPr>
          <w:rFonts w:asciiTheme="majorHAnsi" w:hAnsiTheme="majorHAnsi" w:cstheme="majorHAnsi"/>
          <w:sz w:val="24"/>
          <w:szCs w:val="24"/>
          <w:lang w:val="ro-RO"/>
        </w:rPr>
        <w:t>obiectivul stabilit în</w:t>
      </w:r>
      <w:r w:rsidR="00952637" w:rsidRPr="00F55BA6">
        <w:rPr>
          <w:rFonts w:asciiTheme="majorHAnsi" w:hAnsiTheme="majorHAnsi" w:cstheme="majorHAnsi"/>
          <w:sz w:val="24"/>
          <w:szCs w:val="24"/>
          <w:lang w:val="ro-RO"/>
        </w:rPr>
        <w:t xml:space="preserve"> P</w:t>
      </w:r>
      <w:r w:rsidR="00D936F8" w:rsidRPr="00F55BA6">
        <w:rPr>
          <w:rFonts w:asciiTheme="majorHAnsi" w:hAnsiTheme="majorHAnsi" w:cstheme="majorHAnsi"/>
          <w:sz w:val="24"/>
          <w:szCs w:val="24"/>
          <w:lang w:val="ro-RO"/>
        </w:rPr>
        <w:t>lanul</w:t>
      </w:r>
      <w:r w:rsidR="00952637" w:rsidRPr="00F55BA6">
        <w:rPr>
          <w:rFonts w:asciiTheme="majorHAnsi" w:hAnsiTheme="majorHAnsi" w:cstheme="majorHAnsi"/>
          <w:sz w:val="24"/>
          <w:szCs w:val="24"/>
          <w:lang w:val="ro-RO"/>
        </w:rPr>
        <w:t xml:space="preserve"> strategic pentru anii 2019-2021</w:t>
      </w:r>
      <w:r w:rsidR="00952637" w:rsidRPr="00F55BA6">
        <w:rPr>
          <w:rStyle w:val="ac"/>
          <w:rFonts w:asciiTheme="majorHAnsi" w:hAnsiTheme="majorHAnsi" w:cstheme="majorHAnsi"/>
          <w:sz w:val="24"/>
          <w:szCs w:val="24"/>
          <w:lang w:val="ro-RO"/>
        </w:rPr>
        <w:footnoteReference w:id="22"/>
      </w:r>
      <w:r w:rsidR="00952637" w:rsidRPr="00F55BA6">
        <w:rPr>
          <w:rFonts w:asciiTheme="majorHAnsi" w:hAnsiTheme="majorHAnsi" w:cstheme="majorHAnsi"/>
          <w:sz w:val="24"/>
          <w:szCs w:val="24"/>
          <w:lang w:val="ro-RO"/>
        </w:rPr>
        <w:t>.</w:t>
      </w:r>
    </w:p>
    <w:p w:rsidR="00C77062" w:rsidRPr="00F55BA6" w:rsidRDefault="00C77062" w:rsidP="00C77062">
      <w:pPr>
        <w:tabs>
          <w:tab w:val="left" w:pos="426"/>
        </w:tabs>
        <w:spacing w:after="0" w:line="276" w:lineRule="auto"/>
        <w:contextualSpacing/>
        <w:jc w:val="left"/>
        <w:outlineLvl w:val="0"/>
        <w:rPr>
          <w:rFonts w:asciiTheme="majorHAnsi" w:hAnsiTheme="majorHAnsi" w:cstheme="majorHAnsi"/>
          <w:b/>
          <w:szCs w:val="28"/>
          <w:lang w:val="ro-RO"/>
        </w:rPr>
      </w:pPr>
      <w:r w:rsidRPr="00F55BA6">
        <w:rPr>
          <w:rFonts w:asciiTheme="majorHAnsi" w:hAnsiTheme="majorHAnsi" w:cstheme="majorHAnsi"/>
          <w:b/>
          <w:sz w:val="24"/>
          <w:szCs w:val="24"/>
          <w:lang w:val="ro-RO"/>
        </w:rPr>
        <w:t>6.3. Implementarea parțială a recomandărilor din misiunile de audit precedente</w:t>
      </w:r>
    </w:p>
    <w:p w:rsidR="00D24FA0" w:rsidRPr="00F55BA6" w:rsidRDefault="009A07F4" w:rsidP="00D24FA0">
      <w:pPr>
        <w:spacing w:after="0" w:line="276" w:lineRule="auto"/>
        <w:rPr>
          <w:rFonts w:ascii="Calibri Light" w:eastAsia="Calibri" w:hAnsi="Calibri Light" w:cs="Calibri Light"/>
          <w:sz w:val="24"/>
          <w:szCs w:val="24"/>
          <w:lang w:val="ro-RO"/>
        </w:rPr>
      </w:pPr>
      <w:r w:rsidRPr="00F55BA6">
        <w:rPr>
          <w:rFonts w:asciiTheme="majorHAnsi" w:hAnsiTheme="majorHAnsi" w:cs="Times New Roman"/>
          <w:sz w:val="24"/>
          <w:szCs w:val="24"/>
          <w:lang w:val="ro-RO"/>
        </w:rPr>
        <w:lastRenderedPageBreak/>
        <w:t>Prin H</w:t>
      </w:r>
      <w:r w:rsidR="00987C22" w:rsidRPr="00F55BA6">
        <w:rPr>
          <w:rFonts w:asciiTheme="majorHAnsi" w:hAnsiTheme="majorHAnsi" w:cs="Times New Roman"/>
          <w:sz w:val="24"/>
          <w:szCs w:val="24"/>
          <w:lang w:val="ro-RO"/>
        </w:rPr>
        <w:t>otărârea Curții de Conturi nr.38 din 28.07.2020</w:t>
      </w:r>
      <w:r w:rsidRPr="00F55BA6">
        <w:rPr>
          <w:rFonts w:asciiTheme="majorHAnsi" w:hAnsiTheme="majorHAnsi" w:cs="Times New Roman"/>
          <w:sz w:val="24"/>
          <w:szCs w:val="24"/>
          <w:vertAlign w:val="superscript"/>
          <w:lang w:val="ro-RO"/>
        </w:rPr>
        <w:footnoteReference w:id="23"/>
      </w:r>
      <w:r w:rsidRPr="00F55BA6">
        <w:rPr>
          <w:rFonts w:asciiTheme="majorHAnsi" w:hAnsiTheme="majorHAnsi" w:cs="Times New Roman"/>
          <w:sz w:val="24"/>
          <w:szCs w:val="24"/>
          <w:lang w:val="ro-RO"/>
        </w:rPr>
        <w:t xml:space="preserve">, MF i-au fost înaintate </w:t>
      </w:r>
      <w:r w:rsidR="00692C6E" w:rsidRPr="00F55BA6">
        <w:rPr>
          <w:rFonts w:asciiTheme="majorHAnsi" w:hAnsiTheme="majorHAnsi" w:cs="Times New Roman"/>
          <w:sz w:val="24"/>
          <w:szCs w:val="24"/>
          <w:lang w:val="ro-RO"/>
        </w:rPr>
        <w:t>10</w:t>
      </w:r>
      <w:r w:rsidRPr="00F55BA6">
        <w:rPr>
          <w:rFonts w:asciiTheme="majorHAnsi" w:hAnsiTheme="majorHAnsi" w:cs="Times New Roman"/>
          <w:sz w:val="24"/>
          <w:szCs w:val="24"/>
          <w:lang w:val="ro-RO"/>
        </w:rPr>
        <w:t xml:space="preserve"> recomandări (inclusiv </w:t>
      </w:r>
      <w:r w:rsidR="00692C6E" w:rsidRPr="00F55BA6">
        <w:rPr>
          <w:rFonts w:asciiTheme="majorHAnsi" w:hAnsiTheme="majorHAnsi" w:cs="Times New Roman"/>
          <w:sz w:val="24"/>
          <w:szCs w:val="24"/>
          <w:lang w:val="ro-RO"/>
        </w:rPr>
        <w:t>4 recomandări reiterate din anul precedent</w:t>
      </w:r>
      <w:r w:rsidRPr="00F55BA6">
        <w:rPr>
          <w:rFonts w:asciiTheme="majorHAnsi" w:hAnsiTheme="majorHAnsi" w:cs="Times New Roman"/>
          <w:sz w:val="24"/>
          <w:szCs w:val="24"/>
          <w:lang w:val="ro-RO"/>
        </w:rPr>
        <w:t xml:space="preserve">), din care </w:t>
      </w:r>
      <w:r w:rsidR="00F315EB" w:rsidRPr="00F55BA6">
        <w:rPr>
          <w:rFonts w:asciiTheme="majorHAnsi" w:hAnsiTheme="majorHAnsi" w:cs="Times New Roman"/>
          <w:sz w:val="24"/>
          <w:szCs w:val="24"/>
          <w:lang w:val="ro-RO"/>
        </w:rPr>
        <w:t>5</w:t>
      </w:r>
      <w:r w:rsidR="00F857F2" w:rsidRPr="00F55BA6">
        <w:rPr>
          <w:rFonts w:asciiTheme="majorHAnsi" w:hAnsiTheme="majorHAnsi" w:cs="Times New Roman"/>
          <w:sz w:val="24"/>
          <w:szCs w:val="24"/>
          <w:lang w:val="ro-RO"/>
        </w:rPr>
        <w:t xml:space="preserve"> au fost implementate</w:t>
      </w:r>
      <w:r w:rsidRPr="00F55BA6">
        <w:rPr>
          <w:rFonts w:asciiTheme="majorHAnsi" w:hAnsiTheme="majorHAnsi" w:cs="Times New Roman"/>
          <w:sz w:val="24"/>
          <w:szCs w:val="24"/>
          <w:lang w:val="ro-RO"/>
        </w:rPr>
        <w:t xml:space="preserve"> și </w:t>
      </w:r>
      <w:r w:rsidR="00F315EB" w:rsidRPr="00F55BA6">
        <w:rPr>
          <w:rFonts w:asciiTheme="majorHAnsi" w:hAnsiTheme="majorHAnsi" w:cs="Times New Roman"/>
          <w:sz w:val="24"/>
          <w:szCs w:val="24"/>
          <w:lang w:val="ro-RO"/>
        </w:rPr>
        <w:t>5</w:t>
      </w:r>
      <w:r w:rsidR="00562974" w:rsidRPr="00F55BA6">
        <w:rPr>
          <w:rFonts w:asciiTheme="majorHAnsi" w:hAnsiTheme="majorHAnsi" w:cs="Times New Roman"/>
          <w:sz w:val="24"/>
          <w:szCs w:val="24"/>
          <w:lang w:val="ro-RO"/>
        </w:rPr>
        <w:t xml:space="preserve"> </w:t>
      </w:r>
      <w:r w:rsidRPr="00F55BA6">
        <w:rPr>
          <w:rFonts w:asciiTheme="majorHAnsi" w:hAnsiTheme="majorHAnsi" w:cs="Times New Roman"/>
          <w:sz w:val="24"/>
          <w:szCs w:val="24"/>
          <w:lang w:val="ro-RO"/>
        </w:rPr>
        <w:t xml:space="preserve">parțial implementate. </w:t>
      </w:r>
      <w:r w:rsidR="00D24FA0" w:rsidRPr="00F55BA6">
        <w:rPr>
          <w:rFonts w:ascii="Calibri Light" w:eastAsia="Calibri" w:hAnsi="Calibri Light" w:cs="Calibri Light"/>
          <w:sz w:val="24"/>
          <w:szCs w:val="24"/>
          <w:lang w:val="ro-RO"/>
        </w:rPr>
        <w:t>Recomandările au fost evaluate de audit ca parț</w:t>
      </w:r>
      <w:r w:rsidR="00AD195F" w:rsidRPr="00F55BA6">
        <w:rPr>
          <w:rFonts w:ascii="Calibri Light" w:eastAsia="Calibri" w:hAnsi="Calibri Light" w:cs="Calibri Light"/>
          <w:sz w:val="24"/>
          <w:szCs w:val="24"/>
          <w:lang w:val="ro-RO"/>
        </w:rPr>
        <w:t xml:space="preserve">ial implementate, deoarece </w:t>
      </w:r>
      <w:r w:rsidR="0039202C" w:rsidRPr="00F55BA6">
        <w:rPr>
          <w:rFonts w:ascii="Calibri Light" w:eastAsia="Calibri" w:hAnsi="Calibri Light" w:cs="Calibri Light"/>
          <w:sz w:val="24"/>
          <w:szCs w:val="24"/>
          <w:lang w:val="ro-RO"/>
        </w:rPr>
        <w:t xml:space="preserve">conform răspunsului la solicitarea echipei de audit referitor la implementarea recomandărilor, </w:t>
      </w:r>
      <w:r w:rsidR="00AD195F" w:rsidRPr="00F55BA6">
        <w:rPr>
          <w:rFonts w:asciiTheme="majorHAnsi" w:eastAsia="Calibri" w:hAnsiTheme="majorHAnsi" w:cstheme="majorHAnsi"/>
          <w:sz w:val="24"/>
          <w:szCs w:val="24"/>
          <w:lang w:val="ro-RO"/>
        </w:rPr>
        <w:t>MF</w:t>
      </w:r>
      <w:r w:rsidR="0039202C" w:rsidRPr="00F55BA6">
        <w:rPr>
          <w:rFonts w:asciiTheme="majorHAnsi" w:hAnsiTheme="majorHAnsi" w:cstheme="majorHAnsi"/>
          <w:sz w:val="24"/>
          <w:szCs w:val="24"/>
          <w:lang w:val="ro-RO"/>
        </w:rPr>
        <w:t xml:space="preserve"> a </w:t>
      </w:r>
      <w:r w:rsidR="0039202C" w:rsidRPr="00F55BA6">
        <w:rPr>
          <w:rFonts w:asciiTheme="majorHAnsi" w:eastAsia="Calibri" w:hAnsiTheme="majorHAnsi" w:cstheme="majorHAnsi"/>
          <w:sz w:val="24"/>
          <w:szCs w:val="24"/>
          <w:lang w:val="ro-RO"/>
        </w:rPr>
        <w:t>elaborat</w:t>
      </w:r>
      <w:r w:rsidR="0039202C" w:rsidRPr="00E4517B">
        <w:rPr>
          <w:rFonts w:ascii="Calibri Light" w:eastAsia="Calibri" w:hAnsi="Calibri Light" w:cs="Calibri Light"/>
          <w:sz w:val="24"/>
          <w:szCs w:val="24"/>
          <w:lang w:val="ro-RO"/>
        </w:rPr>
        <w:t xml:space="preserve"> </w:t>
      </w:r>
      <w:r w:rsidR="0039202C" w:rsidRPr="00973E5B">
        <w:rPr>
          <w:rFonts w:ascii="Calibri Light" w:eastAsia="Calibri" w:hAnsi="Calibri Light" w:cs="Calibri Light"/>
          <w:sz w:val="24"/>
          <w:szCs w:val="24"/>
          <w:lang w:val="ro-RO"/>
        </w:rPr>
        <w:t>mai multe proiecte de acte normative, care până</w:t>
      </w:r>
      <w:r w:rsidR="0039202C" w:rsidRPr="00B05CFC">
        <w:rPr>
          <w:rFonts w:ascii="Calibri Light" w:eastAsia="Calibri" w:hAnsi="Calibri Light" w:cs="Calibri Light"/>
          <w:sz w:val="24"/>
          <w:szCs w:val="24"/>
          <w:lang w:val="ro-RO"/>
        </w:rPr>
        <w:t xml:space="preserve"> la moment nu au fost definitivate și se află la etapa de </w:t>
      </w:r>
      <w:r w:rsidR="00D94803" w:rsidRPr="00E4517B">
        <w:rPr>
          <w:rFonts w:ascii="Calibri Light" w:eastAsia="Calibri" w:hAnsi="Calibri Light" w:cs="Calibri Light"/>
          <w:sz w:val="24"/>
          <w:szCs w:val="24"/>
          <w:lang w:val="ro-RO"/>
        </w:rPr>
        <w:t xml:space="preserve">elaborare sau </w:t>
      </w:r>
      <w:r w:rsidR="0039202C" w:rsidRPr="00E4517B">
        <w:rPr>
          <w:rFonts w:ascii="Calibri Light" w:eastAsia="Calibri" w:hAnsi="Calibri Light" w:cs="Calibri Light"/>
          <w:sz w:val="24"/>
          <w:szCs w:val="24"/>
          <w:lang w:val="ro-RO"/>
        </w:rPr>
        <w:t>coordonare în cadrul MF.</w:t>
      </w:r>
      <w:r w:rsidR="00D94803" w:rsidRPr="00F55BA6">
        <w:rPr>
          <w:rFonts w:ascii="Calibri Light" w:eastAsia="Calibri" w:hAnsi="Calibri Light" w:cs="Calibri Light"/>
          <w:sz w:val="24"/>
          <w:szCs w:val="24"/>
          <w:lang w:val="ro-RO"/>
        </w:rPr>
        <w:t xml:space="preserve"> </w:t>
      </w:r>
      <w:r w:rsidR="0034721A" w:rsidRPr="00F55BA6">
        <w:rPr>
          <w:rFonts w:ascii="Calibri Light" w:eastAsia="Calibri" w:hAnsi="Calibri Light" w:cs="Calibri Light"/>
          <w:sz w:val="24"/>
          <w:szCs w:val="24"/>
          <w:lang w:val="ro-RO"/>
        </w:rPr>
        <w:t>Totodată, r</w:t>
      </w:r>
      <w:r w:rsidR="006A5EBC" w:rsidRPr="00E4517B">
        <w:rPr>
          <w:rFonts w:ascii="Calibri Light" w:eastAsia="Calibri" w:hAnsi="Calibri Light" w:cs="Calibri Light"/>
          <w:sz w:val="24"/>
          <w:szCs w:val="24"/>
          <w:lang w:val="ro-RO"/>
        </w:rPr>
        <w:t xml:space="preserve">eferitor la recomandarea auditului </w:t>
      </w:r>
      <w:r w:rsidR="00863540" w:rsidRPr="00B05CFC">
        <w:rPr>
          <w:rFonts w:ascii="Calibri Light" w:eastAsia="Calibri" w:hAnsi="Calibri Light" w:cs="Calibri Light"/>
          <w:sz w:val="24"/>
          <w:szCs w:val="24"/>
          <w:lang w:val="ro-RO"/>
        </w:rPr>
        <w:t>„</w:t>
      </w:r>
      <w:r w:rsidR="006A5EBC" w:rsidRPr="00E4517B">
        <w:rPr>
          <w:rFonts w:ascii="Calibri Light" w:eastAsia="Calibri" w:hAnsi="Calibri Light" w:cs="Calibri Light"/>
          <w:sz w:val="24"/>
          <w:szCs w:val="24"/>
          <w:lang w:val="ro-RO"/>
        </w:rPr>
        <w:t>Reglementarea modului de ținere a Registrului debitorilor și modul</w:t>
      </w:r>
      <w:r w:rsidR="00660259">
        <w:rPr>
          <w:rFonts w:ascii="Calibri Light" w:eastAsia="Calibri" w:hAnsi="Calibri Light" w:cs="Calibri Light"/>
          <w:sz w:val="24"/>
          <w:szCs w:val="24"/>
          <w:lang w:val="ro-RO"/>
        </w:rPr>
        <w:t>ui</w:t>
      </w:r>
      <w:r w:rsidR="006A5EBC" w:rsidRPr="00E4517B">
        <w:rPr>
          <w:rFonts w:ascii="Calibri Light" w:eastAsia="Calibri" w:hAnsi="Calibri Light" w:cs="Calibri Light"/>
          <w:sz w:val="24"/>
          <w:szCs w:val="24"/>
          <w:lang w:val="ro-RO"/>
        </w:rPr>
        <w:t xml:space="preserve"> de evidență a executării sancțiunilor și amenzilor”, se menționează că a fost aprobată HG nr.746/2020 </w:t>
      </w:r>
      <w:r w:rsidR="00863540" w:rsidRPr="00E4517B">
        <w:rPr>
          <w:rFonts w:ascii="Calibri Light" w:eastAsia="Calibri" w:hAnsi="Calibri Light" w:cs="Calibri Light"/>
          <w:sz w:val="24"/>
          <w:szCs w:val="24"/>
          <w:lang w:val="ro-RO"/>
        </w:rPr>
        <w:t>„</w:t>
      </w:r>
      <w:r w:rsidR="006A5EBC" w:rsidRPr="00E4517B">
        <w:rPr>
          <w:rFonts w:ascii="Calibri Light" w:eastAsia="Calibri" w:hAnsi="Calibri Light" w:cs="Calibri Light"/>
          <w:sz w:val="24"/>
          <w:szCs w:val="24"/>
          <w:lang w:val="ro-RO"/>
        </w:rPr>
        <w:t>Cu privire la procedura de furnizare a informației privind amenzile contravenționale către SFS” (în vigoare din 1 ianuarie 2021).</w:t>
      </w:r>
      <w:r w:rsidR="0034721A" w:rsidRPr="00E4517B">
        <w:rPr>
          <w:rFonts w:eastAsia="Times New Roman" w:cs="Times New Roman"/>
          <w:color w:val="000000"/>
          <w:szCs w:val="28"/>
          <w:lang w:val="ro-RO" w:eastAsia="ru-RU"/>
        </w:rPr>
        <w:t xml:space="preserve"> </w:t>
      </w:r>
      <w:r w:rsidR="0034721A" w:rsidRPr="00E4517B">
        <w:rPr>
          <w:rFonts w:ascii="Calibri Light" w:eastAsia="Calibri" w:hAnsi="Calibri Light" w:cs="Calibri Light"/>
          <w:sz w:val="24"/>
          <w:szCs w:val="24"/>
          <w:lang w:val="ro-RO"/>
        </w:rPr>
        <w:t xml:space="preserve">În anul 2020 au fost acumulate venituri din amenzi și sancțiuni în sumă de 276,7 mil. lei, fiind realizate față de prevederile anuale la nivel de 105,6%. Comparativ cu anul 2019, </w:t>
      </w:r>
      <w:r w:rsidR="00863540" w:rsidRPr="00E4517B">
        <w:rPr>
          <w:rFonts w:ascii="Calibri Light" w:eastAsia="Calibri" w:hAnsi="Calibri Light" w:cs="Calibri Light"/>
          <w:sz w:val="24"/>
          <w:szCs w:val="24"/>
          <w:lang w:val="ro-RO"/>
        </w:rPr>
        <w:t xml:space="preserve">acestea </w:t>
      </w:r>
      <w:r w:rsidR="0034721A" w:rsidRPr="00E4517B">
        <w:rPr>
          <w:rFonts w:ascii="Calibri Light" w:eastAsia="Calibri" w:hAnsi="Calibri Light" w:cs="Calibri Light"/>
          <w:sz w:val="24"/>
          <w:szCs w:val="24"/>
          <w:lang w:val="ro-RO"/>
        </w:rPr>
        <w:t xml:space="preserve">s-au micșorat cu 88,6 mil. lei ca urmare </w:t>
      </w:r>
      <w:r w:rsidR="00863540" w:rsidRPr="00E4517B">
        <w:rPr>
          <w:rFonts w:ascii="Calibri Light" w:eastAsia="Calibri" w:hAnsi="Calibri Light" w:cs="Calibri Light"/>
          <w:sz w:val="24"/>
          <w:szCs w:val="24"/>
          <w:lang w:val="ro-RO"/>
        </w:rPr>
        <w:t xml:space="preserve">a </w:t>
      </w:r>
      <w:r w:rsidR="0034721A" w:rsidRPr="00E4517B">
        <w:rPr>
          <w:rFonts w:ascii="Calibri Light" w:eastAsia="Calibri" w:hAnsi="Calibri Light" w:cs="Calibri Light"/>
          <w:sz w:val="24"/>
          <w:szCs w:val="24"/>
          <w:lang w:val="ro-RO"/>
        </w:rPr>
        <w:t>moratoriului introdus asupra tuturor controalelor (fiscale, financiare) până la 1 iunie 2020.</w:t>
      </w:r>
      <w:r w:rsidR="00ED26C6" w:rsidRPr="00F55BA6">
        <w:rPr>
          <w:rFonts w:ascii="Calibri Light" w:eastAsia="Calibri" w:hAnsi="Calibri Light" w:cs="Calibri Light"/>
          <w:sz w:val="24"/>
          <w:szCs w:val="24"/>
          <w:lang w:val="ro-RO"/>
        </w:rPr>
        <w:t xml:space="preserve"> </w:t>
      </w:r>
      <w:r w:rsidR="00D24FA0" w:rsidRPr="00E4517B">
        <w:rPr>
          <w:rFonts w:asciiTheme="majorHAnsi" w:hAnsiTheme="majorHAnsi" w:cstheme="majorHAnsi"/>
          <w:i/>
          <w:sz w:val="24"/>
          <w:szCs w:val="24"/>
          <w:lang w:val="ro-RO"/>
        </w:rPr>
        <w:t xml:space="preserve">Rezultatele verificărilor efectuate, precum și informațiile prezentate de MF în vederea executării recomandărilor </w:t>
      </w:r>
      <w:r w:rsidR="00A74B47" w:rsidRPr="00973E5B">
        <w:rPr>
          <w:rFonts w:asciiTheme="majorHAnsi" w:hAnsiTheme="majorHAnsi" w:cstheme="majorHAnsi"/>
          <w:i/>
          <w:sz w:val="24"/>
          <w:szCs w:val="24"/>
          <w:lang w:val="ro-RO"/>
        </w:rPr>
        <w:t xml:space="preserve">din HCC nr.38 din 28.07.2020 </w:t>
      </w:r>
      <w:r w:rsidR="00D24FA0" w:rsidRPr="00B05CFC">
        <w:rPr>
          <w:rFonts w:asciiTheme="majorHAnsi" w:hAnsiTheme="majorHAnsi" w:cstheme="majorHAnsi"/>
          <w:i/>
          <w:sz w:val="24"/>
          <w:szCs w:val="24"/>
          <w:lang w:val="ro-RO"/>
        </w:rPr>
        <w:t>se prezintă în detaliu în Anexa nr.</w:t>
      </w:r>
      <w:r w:rsidR="00C37226" w:rsidRPr="00E4517B">
        <w:rPr>
          <w:rFonts w:asciiTheme="majorHAnsi" w:hAnsiTheme="majorHAnsi" w:cstheme="majorHAnsi"/>
          <w:i/>
          <w:sz w:val="24"/>
          <w:szCs w:val="24"/>
          <w:lang w:val="ro-RO"/>
        </w:rPr>
        <w:t>3</w:t>
      </w:r>
      <w:r w:rsidR="00D24FA0" w:rsidRPr="00E4517B">
        <w:rPr>
          <w:rFonts w:asciiTheme="majorHAnsi" w:hAnsiTheme="majorHAnsi" w:cstheme="majorHAnsi"/>
          <w:i/>
          <w:sz w:val="24"/>
          <w:szCs w:val="24"/>
          <w:lang w:val="ro-RO"/>
        </w:rPr>
        <w:t xml:space="preserve"> la prezentul Raport de audit.</w:t>
      </w:r>
    </w:p>
    <w:p w:rsidR="000A4C3C" w:rsidRPr="00E4517B" w:rsidRDefault="00FE466C" w:rsidP="000471DC">
      <w:pPr>
        <w:spacing w:after="0" w:line="276" w:lineRule="auto"/>
        <w:rPr>
          <w:rFonts w:asciiTheme="majorHAnsi" w:hAnsiTheme="majorHAnsi" w:cstheme="majorHAnsi"/>
          <w:i/>
          <w:sz w:val="24"/>
          <w:szCs w:val="24"/>
          <w:lang w:val="ro-RO"/>
        </w:rPr>
      </w:pPr>
      <w:r w:rsidRPr="00F55BA6">
        <w:rPr>
          <w:rFonts w:asciiTheme="majorHAnsi" w:hAnsiTheme="majorHAnsi" w:cs="Times New Roman"/>
          <w:sz w:val="24"/>
          <w:szCs w:val="24"/>
          <w:lang w:val="ro-RO"/>
        </w:rPr>
        <w:t>Prin Hotărârea Curții de Conturi nr.24 din 28.05.2018</w:t>
      </w:r>
      <w:r w:rsidRPr="00F55BA6">
        <w:rPr>
          <w:rFonts w:asciiTheme="majorHAnsi" w:hAnsiTheme="majorHAnsi" w:cs="Times New Roman"/>
          <w:sz w:val="24"/>
          <w:szCs w:val="24"/>
          <w:vertAlign w:val="superscript"/>
          <w:lang w:val="ro-RO"/>
        </w:rPr>
        <w:footnoteReference w:id="24"/>
      </w:r>
      <w:r w:rsidRPr="00F55BA6">
        <w:rPr>
          <w:rFonts w:asciiTheme="majorHAnsi" w:hAnsiTheme="majorHAnsi" w:cs="Times New Roman"/>
          <w:sz w:val="24"/>
          <w:szCs w:val="24"/>
          <w:lang w:val="ro-RO"/>
        </w:rPr>
        <w:t xml:space="preserve">, </w:t>
      </w:r>
      <w:r w:rsidRPr="00F77762">
        <w:rPr>
          <w:rFonts w:asciiTheme="majorHAnsi" w:hAnsiTheme="majorHAnsi" w:cs="Times New Roman"/>
          <w:sz w:val="24"/>
          <w:szCs w:val="24"/>
          <w:lang w:val="ro-RO"/>
        </w:rPr>
        <w:t>MF i-au fost înaintate</w:t>
      </w:r>
      <w:r w:rsidR="004A686C" w:rsidRPr="00F77762">
        <w:rPr>
          <w:rFonts w:asciiTheme="majorHAnsi" w:hAnsiTheme="majorHAnsi" w:cs="Times New Roman"/>
          <w:sz w:val="24"/>
          <w:szCs w:val="24"/>
          <w:lang w:val="ro-RO"/>
        </w:rPr>
        <w:t xml:space="preserve"> 3 cerințe și 6 recomandări, din care </w:t>
      </w:r>
      <w:r w:rsidR="00F857F2" w:rsidRPr="00F77762">
        <w:rPr>
          <w:rFonts w:asciiTheme="majorHAnsi" w:hAnsiTheme="majorHAnsi" w:cs="Times New Roman"/>
          <w:sz w:val="24"/>
          <w:szCs w:val="24"/>
          <w:lang w:val="ro-RO"/>
        </w:rPr>
        <w:t xml:space="preserve">6 au fost implementate, </w:t>
      </w:r>
      <w:r w:rsidR="00A63A06" w:rsidRPr="00F77762">
        <w:rPr>
          <w:rFonts w:asciiTheme="majorHAnsi" w:hAnsiTheme="majorHAnsi" w:cs="Times New Roman"/>
          <w:sz w:val="24"/>
          <w:szCs w:val="24"/>
          <w:lang w:val="ro-RO"/>
        </w:rPr>
        <w:t>2</w:t>
      </w:r>
      <w:r w:rsidR="00F857F2" w:rsidRPr="00F77762">
        <w:rPr>
          <w:rFonts w:asciiTheme="majorHAnsi" w:hAnsiTheme="majorHAnsi" w:cs="Times New Roman"/>
          <w:sz w:val="24"/>
          <w:szCs w:val="24"/>
          <w:lang w:val="ro-RO"/>
        </w:rPr>
        <w:t xml:space="preserve"> parțial implementat</w:t>
      </w:r>
      <w:r w:rsidR="00A63A06" w:rsidRPr="00F77762">
        <w:rPr>
          <w:rFonts w:asciiTheme="majorHAnsi" w:hAnsiTheme="majorHAnsi" w:cs="Times New Roman"/>
          <w:sz w:val="24"/>
          <w:szCs w:val="24"/>
          <w:lang w:val="ro-RO"/>
        </w:rPr>
        <w:t>e</w:t>
      </w:r>
      <w:r w:rsidR="00DF189F" w:rsidRPr="00F77762">
        <w:rPr>
          <w:rFonts w:asciiTheme="majorHAnsi" w:hAnsiTheme="majorHAnsi" w:cs="Times New Roman"/>
          <w:sz w:val="24"/>
          <w:szCs w:val="24"/>
          <w:lang w:val="ro-RO"/>
        </w:rPr>
        <w:t xml:space="preserve"> și </w:t>
      </w:r>
      <w:r w:rsidR="00A63A06" w:rsidRPr="00F77762">
        <w:rPr>
          <w:rFonts w:asciiTheme="majorHAnsi" w:hAnsiTheme="majorHAnsi" w:cs="Times New Roman"/>
          <w:sz w:val="24"/>
          <w:szCs w:val="24"/>
          <w:lang w:val="ro-RO"/>
        </w:rPr>
        <w:t xml:space="preserve">una </w:t>
      </w:r>
      <w:r w:rsidR="00DF189F" w:rsidRPr="00F77762">
        <w:rPr>
          <w:rFonts w:asciiTheme="majorHAnsi" w:hAnsiTheme="majorHAnsi" w:cs="Times New Roman"/>
          <w:sz w:val="24"/>
          <w:szCs w:val="24"/>
          <w:lang w:val="ro-RO"/>
        </w:rPr>
        <w:t>neimplementat</w:t>
      </w:r>
      <w:r w:rsidR="00A63A06" w:rsidRPr="00F77762">
        <w:rPr>
          <w:rFonts w:asciiTheme="majorHAnsi" w:hAnsiTheme="majorHAnsi" w:cs="Times New Roman"/>
          <w:sz w:val="24"/>
          <w:szCs w:val="24"/>
          <w:lang w:val="ro-RO"/>
        </w:rPr>
        <w:t>ă</w:t>
      </w:r>
      <w:r w:rsidR="00DF189F" w:rsidRPr="00F77762">
        <w:rPr>
          <w:rFonts w:asciiTheme="majorHAnsi" w:hAnsiTheme="majorHAnsi" w:cs="Times New Roman"/>
          <w:sz w:val="24"/>
          <w:szCs w:val="24"/>
          <w:lang w:val="ro-RO"/>
        </w:rPr>
        <w:t>.</w:t>
      </w:r>
      <w:r w:rsidR="00F857F2" w:rsidRPr="00F77762">
        <w:rPr>
          <w:rFonts w:asciiTheme="majorHAnsi" w:hAnsiTheme="majorHAnsi" w:cs="Times New Roman"/>
          <w:sz w:val="24"/>
          <w:szCs w:val="24"/>
          <w:lang w:val="ro-RO"/>
        </w:rPr>
        <w:t xml:space="preserve"> </w:t>
      </w:r>
      <w:r w:rsidR="00057316" w:rsidRPr="00F77762">
        <w:rPr>
          <w:rFonts w:ascii="Calibri Light" w:eastAsia="Calibri" w:hAnsi="Calibri Light" w:cs="Calibri Light"/>
          <w:sz w:val="24"/>
          <w:szCs w:val="24"/>
          <w:lang w:val="ro-RO"/>
        </w:rPr>
        <w:t xml:space="preserve">Recomandările evaluate de audit ca parțial implementate și neimplementate </w:t>
      </w:r>
      <w:r w:rsidR="00863540" w:rsidRPr="00F77762">
        <w:rPr>
          <w:rFonts w:ascii="Calibri Light" w:eastAsia="Calibri" w:hAnsi="Calibri Light" w:cs="Calibri Light"/>
          <w:sz w:val="24"/>
          <w:szCs w:val="24"/>
          <w:lang w:val="ro-RO"/>
        </w:rPr>
        <w:t>sunt</w:t>
      </w:r>
      <w:r w:rsidR="00057316" w:rsidRPr="00F77762">
        <w:rPr>
          <w:rFonts w:ascii="Calibri Light" w:eastAsia="Calibri" w:hAnsi="Calibri Light" w:cs="Calibri Light"/>
          <w:sz w:val="24"/>
          <w:szCs w:val="24"/>
          <w:lang w:val="ro-RO"/>
        </w:rPr>
        <w:t xml:space="preserve">: </w:t>
      </w:r>
      <w:r w:rsidR="00057316" w:rsidRPr="00F77762">
        <w:rPr>
          <w:rFonts w:ascii="Calibri Light" w:eastAsia="Calibri" w:hAnsi="Calibri Light" w:cs="Calibri Light"/>
          <w:i/>
          <w:sz w:val="24"/>
          <w:szCs w:val="24"/>
          <w:lang w:val="ro-RO"/>
        </w:rPr>
        <w:t>(i)</w:t>
      </w:r>
      <w:r w:rsidR="00057316" w:rsidRPr="00F77762">
        <w:rPr>
          <w:rFonts w:ascii="Calibri Light" w:eastAsia="Calibri" w:hAnsi="Calibri Light" w:cs="Calibri Light"/>
          <w:sz w:val="24"/>
          <w:szCs w:val="24"/>
          <w:lang w:val="ro-RO"/>
        </w:rPr>
        <w:t xml:space="preserve"> </w:t>
      </w:r>
      <w:r w:rsidR="0088209C" w:rsidRPr="00F77762">
        <w:rPr>
          <w:rFonts w:asciiTheme="majorHAnsi" w:hAnsiTheme="majorHAnsi" w:cstheme="majorHAnsi"/>
          <w:i/>
          <w:sz w:val="24"/>
          <w:szCs w:val="24"/>
          <w:lang w:val="ro-RO"/>
        </w:rPr>
        <w:t>Să asigure</w:t>
      </w:r>
      <w:r w:rsidR="0088209C" w:rsidRPr="00E4517B">
        <w:rPr>
          <w:rFonts w:asciiTheme="majorHAnsi" w:hAnsiTheme="majorHAnsi" w:cstheme="majorHAnsi"/>
          <w:i/>
          <w:sz w:val="24"/>
          <w:szCs w:val="24"/>
          <w:lang w:val="ro-RO"/>
        </w:rPr>
        <w:t xml:space="preserve"> in</w:t>
      </w:r>
      <w:r w:rsidR="0088209C" w:rsidRPr="00973E5B">
        <w:rPr>
          <w:rFonts w:asciiTheme="majorHAnsi" w:hAnsiTheme="majorHAnsi" w:cstheme="majorHAnsi"/>
          <w:i/>
          <w:sz w:val="24"/>
          <w:szCs w:val="24"/>
          <w:lang w:val="ro-RO"/>
        </w:rPr>
        <w:t>cluderea și prezentarea în componența și formatul formularelor Raportului anual privind executarea bugetului de stat a informației consolidate aferente rapoartelor financiare ale APC și UAT, în special situațiile patrimoniale reflectate în „Bilanțul contab</w:t>
      </w:r>
      <w:r w:rsidR="0088209C" w:rsidRPr="00B05CFC">
        <w:rPr>
          <w:rFonts w:asciiTheme="majorHAnsi" w:hAnsiTheme="majorHAnsi" w:cstheme="majorHAnsi"/>
          <w:i/>
          <w:sz w:val="24"/>
          <w:szCs w:val="24"/>
          <w:lang w:val="ro-RO"/>
        </w:rPr>
        <w:t>il”</w:t>
      </w:r>
      <w:r w:rsidR="00037F41" w:rsidRPr="00E4517B">
        <w:rPr>
          <w:rFonts w:asciiTheme="majorHAnsi" w:hAnsiTheme="majorHAnsi" w:cstheme="majorHAnsi"/>
          <w:i/>
          <w:sz w:val="24"/>
          <w:szCs w:val="24"/>
          <w:lang w:val="ro-RO"/>
        </w:rPr>
        <w:t>; (ii)</w:t>
      </w:r>
      <w:r w:rsidR="0022215D" w:rsidRPr="00F55BA6">
        <w:rPr>
          <w:rFonts w:asciiTheme="majorHAnsi" w:hAnsiTheme="majorHAnsi" w:cstheme="majorHAnsi"/>
          <w:i/>
          <w:sz w:val="24"/>
          <w:szCs w:val="24"/>
          <w:lang w:val="ro-RO"/>
        </w:rPr>
        <w:t xml:space="preserve"> Asigurarea funcționalității grupului de lucru pentru investiții capitale, în vederea respectării procesului de includere și monitorizare a obiectelor de investiții capitale; </w:t>
      </w:r>
      <w:r w:rsidR="00057316" w:rsidRPr="00F55BA6">
        <w:rPr>
          <w:rFonts w:asciiTheme="majorHAnsi" w:hAnsiTheme="majorHAnsi" w:cstheme="majorHAnsi"/>
          <w:i/>
          <w:sz w:val="24"/>
          <w:szCs w:val="24"/>
          <w:lang w:val="ro-RO"/>
        </w:rPr>
        <w:t xml:space="preserve">și </w:t>
      </w:r>
      <w:r w:rsidR="0022215D" w:rsidRPr="00E4517B">
        <w:rPr>
          <w:rFonts w:asciiTheme="majorHAnsi" w:hAnsiTheme="majorHAnsi" w:cstheme="majorHAnsi"/>
          <w:i/>
          <w:sz w:val="24"/>
          <w:szCs w:val="24"/>
          <w:lang w:val="ro-RO"/>
        </w:rPr>
        <w:t>(iii)</w:t>
      </w:r>
      <w:r w:rsidR="00037F41" w:rsidRPr="00973E5B">
        <w:rPr>
          <w:rFonts w:asciiTheme="majorHAnsi" w:hAnsiTheme="majorHAnsi" w:cstheme="majorHAnsi"/>
          <w:i/>
          <w:sz w:val="24"/>
          <w:szCs w:val="24"/>
          <w:lang w:val="ro-RO"/>
        </w:rPr>
        <w:t xml:space="preserve"> </w:t>
      </w:r>
      <w:r w:rsidR="00037F41" w:rsidRPr="00F55BA6">
        <w:rPr>
          <w:rFonts w:asciiTheme="majorHAnsi" w:hAnsiTheme="majorHAnsi" w:cstheme="majorHAnsi"/>
          <w:i/>
          <w:sz w:val="24"/>
          <w:szCs w:val="24"/>
          <w:lang w:val="ro-RO"/>
        </w:rPr>
        <w:t>Să asigure respectarea prevederilor regulamentare privind procesul de examinare și de confirmare a eligibilității propunerilor de proiecte pentru investiții capitale, respectând principiile de prioritizare și de conformitate ale acestora cu documentele de planificare strategică națională și sectorială</w:t>
      </w:r>
      <w:r w:rsidR="0022215D" w:rsidRPr="00E4517B">
        <w:rPr>
          <w:rFonts w:asciiTheme="majorHAnsi" w:hAnsiTheme="majorHAnsi" w:cstheme="majorHAnsi"/>
          <w:sz w:val="24"/>
          <w:szCs w:val="24"/>
          <w:lang w:val="ro-RO"/>
        </w:rPr>
        <w:t>.</w:t>
      </w:r>
      <w:r w:rsidR="00057316" w:rsidRPr="00F55BA6">
        <w:rPr>
          <w:rFonts w:asciiTheme="majorHAnsi" w:hAnsiTheme="majorHAnsi" w:cs="Times New Roman"/>
          <w:sz w:val="24"/>
          <w:szCs w:val="24"/>
          <w:lang w:val="ro-RO"/>
        </w:rPr>
        <w:t xml:space="preserve"> </w:t>
      </w:r>
      <w:r w:rsidR="00A74B47" w:rsidRPr="00E4517B">
        <w:rPr>
          <w:rFonts w:asciiTheme="majorHAnsi" w:hAnsiTheme="majorHAnsi" w:cstheme="majorHAnsi"/>
          <w:i/>
          <w:sz w:val="24"/>
          <w:szCs w:val="24"/>
          <w:lang w:val="ro-RO"/>
        </w:rPr>
        <w:t>Rezultatele ver</w:t>
      </w:r>
      <w:r w:rsidR="00A74B47" w:rsidRPr="00973E5B">
        <w:rPr>
          <w:rFonts w:asciiTheme="majorHAnsi" w:hAnsiTheme="majorHAnsi" w:cstheme="majorHAnsi"/>
          <w:i/>
          <w:sz w:val="24"/>
          <w:szCs w:val="24"/>
          <w:lang w:val="ro-RO"/>
        </w:rPr>
        <w:t>ificărilor efectuate, precum și informațiile prezentate de MF în vederea executării recomandărilor din HCC nr.24 din 28.05.2018 se prezintă în detaliu în Anexa nr.</w:t>
      </w:r>
      <w:r w:rsidR="00C37226" w:rsidRPr="00B05CFC">
        <w:rPr>
          <w:rFonts w:asciiTheme="majorHAnsi" w:hAnsiTheme="majorHAnsi" w:cstheme="majorHAnsi"/>
          <w:i/>
          <w:sz w:val="24"/>
          <w:szCs w:val="24"/>
          <w:lang w:val="ro-RO"/>
        </w:rPr>
        <w:t>4</w:t>
      </w:r>
      <w:r w:rsidR="00A74B47" w:rsidRPr="00E4517B">
        <w:rPr>
          <w:rFonts w:asciiTheme="majorHAnsi" w:hAnsiTheme="majorHAnsi" w:cstheme="majorHAnsi"/>
          <w:i/>
          <w:sz w:val="24"/>
          <w:szCs w:val="24"/>
          <w:lang w:val="ro-RO"/>
        </w:rPr>
        <w:t xml:space="preserve"> la prezentul Raport de audit.</w:t>
      </w:r>
    </w:p>
    <w:p w:rsidR="00F01EE2" w:rsidRPr="00E4517B" w:rsidRDefault="000D7B75" w:rsidP="000471DC">
      <w:pPr>
        <w:spacing w:after="0" w:line="276" w:lineRule="auto"/>
        <w:rPr>
          <w:rFonts w:asciiTheme="majorHAnsi" w:hAnsiTheme="majorHAnsi" w:cstheme="majorHAnsi"/>
          <w:sz w:val="24"/>
          <w:szCs w:val="24"/>
          <w:lang w:val="ro-RO"/>
        </w:rPr>
      </w:pPr>
      <w:r w:rsidRPr="00E4517B">
        <w:rPr>
          <w:rFonts w:asciiTheme="majorHAnsi" w:hAnsiTheme="majorHAnsi" w:cstheme="majorHAnsi"/>
          <w:sz w:val="24"/>
          <w:szCs w:val="24"/>
          <w:lang w:val="ro-RO"/>
        </w:rPr>
        <w:t xml:space="preserve">Deși MF a inițiat unele acțiuni prin includerea în raportul narativ a situațiilor patrimoniale, aspectul respectiv se evidențiază ca unul primordial în contextul multiplelor constatări de audit asupra situațiilor patrimoniale </w:t>
      </w:r>
      <w:r w:rsidR="0001551B" w:rsidRPr="00E4517B">
        <w:rPr>
          <w:rFonts w:asciiTheme="majorHAnsi" w:hAnsiTheme="majorHAnsi" w:cstheme="majorHAnsi"/>
          <w:sz w:val="24"/>
          <w:szCs w:val="24"/>
          <w:lang w:val="ro-RO"/>
        </w:rPr>
        <w:t>raportate în anul 2020</w:t>
      </w:r>
      <w:r w:rsidR="005E20A5" w:rsidRPr="00E4517B">
        <w:rPr>
          <w:rFonts w:asciiTheme="majorHAnsi" w:hAnsiTheme="majorHAnsi" w:cstheme="majorHAnsi"/>
          <w:sz w:val="24"/>
          <w:szCs w:val="24"/>
          <w:lang w:val="ro-RO"/>
        </w:rPr>
        <w:t>,</w:t>
      </w:r>
      <w:r w:rsidR="0001551B" w:rsidRPr="00E4517B">
        <w:rPr>
          <w:rFonts w:asciiTheme="majorHAnsi" w:hAnsiTheme="majorHAnsi" w:cstheme="majorHAnsi"/>
          <w:sz w:val="24"/>
          <w:szCs w:val="24"/>
          <w:lang w:val="ro-RO"/>
        </w:rPr>
        <w:t xml:space="preserve"> precum și în anii precedenți în Rapoartele Curții de Conturi. Astfel, </w:t>
      </w:r>
      <w:r w:rsidR="00A0547B" w:rsidRPr="00E4517B">
        <w:rPr>
          <w:rFonts w:asciiTheme="majorHAnsi" w:hAnsiTheme="majorHAnsi" w:cstheme="majorHAnsi"/>
          <w:sz w:val="24"/>
          <w:szCs w:val="24"/>
          <w:lang w:val="ro-RO"/>
        </w:rPr>
        <w:t>în acest aspect exemplificăm situațiile constatate:</w:t>
      </w:r>
    </w:p>
    <w:p w:rsidR="008D21D6" w:rsidRPr="00E4517B" w:rsidRDefault="00660259" w:rsidP="008D21D6">
      <w:pPr>
        <w:spacing w:after="0" w:line="276" w:lineRule="auto"/>
        <w:rPr>
          <w:rFonts w:asciiTheme="majorHAnsi" w:hAnsiTheme="majorHAnsi" w:cstheme="majorHAnsi"/>
          <w:b/>
          <w:i/>
          <w:sz w:val="24"/>
          <w:szCs w:val="24"/>
          <w:lang w:val="ro-RO"/>
        </w:rPr>
      </w:pPr>
      <w:r>
        <w:rPr>
          <w:rFonts w:asciiTheme="majorHAnsi" w:hAnsiTheme="majorHAnsi" w:cstheme="majorHAnsi"/>
          <w:b/>
          <w:sz w:val="24"/>
          <w:szCs w:val="24"/>
          <w:lang w:val="ro-RO"/>
        </w:rPr>
        <w:t>l</w:t>
      </w:r>
      <w:r w:rsidR="00C52364" w:rsidRPr="00E4517B">
        <w:rPr>
          <w:rFonts w:asciiTheme="majorHAnsi" w:hAnsiTheme="majorHAnsi" w:cstheme="majorHAnsi"/>
          <w:b/>
          <w:sz w:val="24"/>
          <w:szCs w:val="24"/>
          <w:lang w:val="ro-RO"/>
        </w:rPr>
        <w:t>a MJ:</w:t>
      </w:r>
      <w:r w:rsidR="00C52364" w:rsidRPr="00E4517B">
        <w:rPr>
          <w:rFonts w:asciiTheme="majorHAnsi" w:hAnsiTheme="majorHAnsi" w:cstheme="majorHAnsi"/>
          <w:b/>
          <w:i/>
          <w:sz w:val="24"/>
          <w:szCs w:val="24"/>
          <w:lang w:val="ro-RO"/>
        </w:rPr>
        <w:t xml:space="preserve"> </w:t>
      </w:r>
      <w:r>
        <w:rPr>
          <w:rFonts w:asciiTheme="majorHAnsi" w:hAnsiTheme="majorHAnsi" w:cstheme="majorHAnsi"/>
          <w:sz w:val="24"/>
          <w:szCs w:val="24"/>
          <w:lang w:val="ro-RO"/>
        </w:rPr>
        <w:t>n</w:t>
      </w:r>
      <w:r w:rsidR="00C52364" w:rsidRPr="00E4517B">
        <w:rPr>
          <w:rFonts w:asciiTheme="majorHAnsi" w:hAnsiTheme="majorHAnsi" w:cstheme="majorHAnsi"/>
          <w:sz w:val="24"/>
          <w:szCs w:val="24"/>
          <w:lang w:val="ro-RO"/>
        </w:rPr>
        <w:t>eaplicarea</w:t>
      </w:r>
      <w:r w:rsidR="00E1037B" w:rsidRPr="00E4517B">
        <w:rPr>
          <w:rFonts w:asciiTheme="majorHAnsi" w:hAnsiTheme="majorHAnsi" w:cstheme="majorHAnsi"/>
          <w:sz w:val="24"/>
          <w:szCs w:val="24"/>
          <w:lang w:val="ro-RO"/>
        </w:rPr>
        <w:t xml:space="preserve"> </w:t>
      </w:r>
      <w:r w:rsidR="00C52364" w:rsidRPr="00F55BA6">
        <w:rPr>
          <w:rFonts w:asciiTheme="majorHAnsi" w:hAnsiTheme="majorHAnsi" w:cstheme="majorHAnsi"/>
          <w:sz w:val="24"/>
          <w:szCs w:val="24"/>
          <w:lang w:val="ro-RO"/>
        </w:rPr>
        <w:t>regulilor de capitalizare a valorii lucrărilor de reparație capitală a determinat neincluderea regulamentară</w:t>
      </w:r>
      <w:r w:rsidR="00C52364" w:rsidRPr="00F55BA6">
        <w:rPr>
          <w:rFonts w:asciiTheme="majorHAnsi" w:hAnsiTheme="majorHAnsi" w:cstheme="majorHAnsi"/>
          <w:sz w:val="24"/>
          <w:szCs w:val="24"/>
          <w:vertAlign w:val="superscript"/>
          <w:lang w:val="ro-RO"/>
        </w:rPr>
        <w:footnoteReference w:id="25"/>
      </w:r>
      <w:r w:rsidR="00C52364" w:rsidRPr="00F55BA6">
        <w:rPr>
          <w:rFonts w:asciiTheme="majorHAnsi" w:hAnsiTheme="majorHAnsi" w:cstheme="majorHAnsi"/>
          <w:sz w:val="24"/>
          <w:szCs w:val="24"/>
          <w:lang w:val="ro-RO"/>
        </w:rPr>
        <w:t xml:space="preserve"> a valorii unor lucrări de 37,6 mil.lei în costul clădirilor reconstruite/ </w:t>
      </w:r>
      <w:r w:rsidR="00C52364" w:rsidRPr="00F55BA6">
        <w:rPr>
          <w:rFonts w:asciiTheme="majorHAnsi" w:hAnsiTheme="majorHAnsi" w:cstheme="majorHAnsi"/>
          <w:sz w:val="24"/>
          <w:szCs w:val="24"/>
          <w:lang w:val="ro-RO"/>
        </w:rPr>
        <w:lastRenderedPageBreak/>
        <w:t>reparate de către 12 instituții penitenciare</w:t>
      </w:r>
      <w:r w:rsidR="00C52364" w:rsidRPr="00F55BA6">
        <w:rPr>
          <w:rFonts w:asciiTheme="majorHAnsi" w:hAnsiTheme="majorHAnsi" w:cstheme="majorHAnsi"/>
          <w:sz w:val="24"/>
          <w:szCs w:val="24"/>
          <w:vertAlign w:val="superscript"/>
          <w:lang w:val="ro-RO"/>
        </w:rPr>
        <w:footnoteReference w:id="26"/>
      </w:r>
      <w:r w:rsidR="00C52364" w:rsidRPr="00F55BA6">
        <w:rPr>
          <w:rFonts w:asciiTheme="majorHAnsi" w:hAnsiTheme="majorHAnsi" w:cstheme="majorHAnsi"/>
          <w:sz w:val="24"/>
          <w:szCs w:val="24"/>
          <w:lang w:val="ro-RO"/>
        </w:rPr>
        <w:t xml:space="preserve">, acest fapt generând denaturarea semnificativă a valorii de bilanț a mijloacelor fixe cu suma menționată, fiind subevaluat soldul grupei de conturi 311 </w:t>
      </w:r>
      <w:r w:rsidR="009325BF" w:rsidRPr="00E4517B">
        <w:rPr>
          <w:rFonts w:asciiTheme="majorHAnsi" w:hAnsiTheme="majorHAnsi" w:cstheme="majorHAnsi"/>
          <w:sz w:val="24"/>
          <w:szCs w:val="24"/>
          <w:lang w:val="ro-RO"/>
        </w:rPr>
        <w:t>„</w:t>
      </w:r>
      <w:r w:rsidR="00C52364" w:rsidRPr="00F55BA6">
        <w:rPr>
          <w:rFonts w:asciiTheme="majorHAnsi" w:hAnsiTheme="majorHAnsi" w:cstheme="majorHAnsi"/>
          <w:sz w:val="24"/>
          <w:szCs w:val="24"/>
          <w:lang w:val="ro-RO"/>
        </w:rPr>
        <w:t xml:space="preserve">Clădiri” cu 37,6 mil.lei și supraevaluat soldul grupei de conturi </w:t>
      </w:r>
      <w:r w:rsidR="009325BF" w:rsidRPr="00E4517B">
        <w:rPr>
          <w:rFonts w:asciiTheme="majorHAnsi" w:hAnsiTheme="majorHAnsi" w:cstheme="majorHAnsi"/>
          <w:sz w:val="24"/>
          <w:szCs w:val="24"/>
          <w:lang w:val="ro-RO"/>
        </w:rPr>
        <w:t>„</w:t>
      </w:r>
      <w:r w:rsidR="00C52364" w:rsidRPr="00F55BA6">
        <w:rPr>
          <w:rFonts w:asciiTheme="majorHAnsi" w:hAnsiTheme="majorHAnsi" w:cstheme="majorHAnsi"/>
          <w:sz w:val="24"/>
          <w:szCs w:val="24"/>
          <w:lang w:val="ro-RO"/>
        </w:rPr>
        <w:t>Investiții capitale în active în curs de execuție” cu 31,0 mil.</w:t>
      </w:r>
      <w:r w:rsidR="00792514" w:rsidRPr="00F55BA6">
        <w:rPr>
          <w:rFonts w:asciiTheme="majorHAnsi" w:hAnsiTheme="majorHAnsi" w:cstheme="majorHAnsi"/>
          <w:sz w:val="24"/>
          <w:szCs w:val="24"/>
          <w:lang w:val="ro-RO"/>
        </w:rPr>
        <w:t xml:space="preserve"> </w:t>
      </w:r>
      <w:r w:rsidR="00C52364" w:rsidRPr="00F55BA6">
        <w:rPr>
          <w:rFonts w:asciiTheme="majorHAnsi" w:hAnsiTheme="majorHAnsi" w:cstheme="majorHAnsi"/>
          <w:sz w:val="24"/>
          <w:szCs w:val="24"/>
          <w:lang w:val="ro-RO"/>
        </w:rPr>
        <w:t>lei</w:t>
      </w:r>
      <w:r w:rsidR="004C657F">
        <w:rPr>
          <w:rFonts w:asciiTheme="majorHAnsi" w:hAnsiTheme="majorHAnsi" w:cstheme="majorHAnsi"/>
          <w:sz w:val="24"/>
          <w:szCs w:val="24"/>
          <w:lang w:val="ro-RO"/>
        </w:rPr>
        <w:t>;</w:t>
      </w:r>
    </w:p>
    <w:p w:rsidR="00C52364" w:rsidRPr="00E4517B" w:rsidRDefault="004C657F" w:rsidP="00BC379C">
      <w:pPr>
        <w:spacing w:after="0" w:line="276" w:lineRule="auto"/>
        <w:rPr>
          <w:rFonts w:asciiTheme="majorHAnsi" w:hAnsiTheme="majorHAnsi" w:cstheme="majorHAnsi"/>
          <w:b/>
          <w:i/>
          <w:sz w:val="24"/>
          <w:szCs w:val="24"/>
          <w:lang w:val="ro-RO"/>
        </w:rPr>
      </w:pPr>
      <w:r>
        <w:rPr>
          <w:rFonts w:asciiTheme="majorHAnsi" w:hAnsiTheme="majorHAnsi" w:cstheme="majorHAnsi"/>
          <w:b/>
          <w:sz w:val="24"/>
          <w:szCs w:val="24"/>
          <w:lang w:val="ro-RO"/>
        </w:rPr>
        <w:t>l</w:t>
      </w:r>
      <w:r w:rsidR="00A0547B" w:rsidRPr="00973E5B">
        <w:rPr>
          <w:rFonts w:asciiTheme="majorHAnsi" w:hAnsiTheme="majorHAnsi" w:cstheme="majorHAnsi"/>
          <w:b/>
          <w:sz w:val="24"/>
          <w:szCs w:val="24"/>
          <w:lang w:val="ro-RO"/>
        </w:rPr>
        <w:t>a MAI:</w:t>
      </w:r>
      <w:r w:rsidR="008D21D6" w:rsidRPr="00B05CFC">
        <w:rPr>
          <w:rFonts w:ascii="Calibri Light" w:hAnsi="Calibri Light" w:cs="Calibri Light"/>
          <w:color w:val="000000"/>
          <w:sz w:val="22"/>
          <w:lang w:val="ro-RO" w:eastAsia="zh-CN"/>
        </w:rPr>
        <w:t xml:space="preserve"> </w:t>
      </w:r>
      <w:r>
        <w:rPr>
          <w:rFonts w:asciiTheme="majorHAnsi" w:hAnsiTheme="majorHAnsi" w:cstheme="majorHAnsi"/>
          <w:sz w:val="24"/>
          <w:szCs w:val="24"/>
          <w:lang w:val="ro-RO"/>
        </w:rPr>
        <w:t>n</w:t>
      </w:r>
      <w:r w:rsidR="008D21D6" w:rsidRPr="00E4517B">
        <w:rPr>
          <w:rFonts w:asciiTheme="majorHAnsi" w:hAnsiTheme="majorHAnsi" w:cstheme="majorHAnsi"/>
          <w:sz w:val="24"/>
          <w:szCs w:val="24"/>
          <w:lang w:val="ro-RO"/>
        </w:rPr>
        <w:t xml:space="preserve">eevaluarea și necontabilizarea bunurilor imobile, soldul </w:t>
      </w:r>
      <w:r w:rsidR="009325BF" w:rsidRPr="00E4517B">
        <w:rPr>
          <w:rFonts w:asciiTheme="majorHAnsi" w:hAnsiTheme="majorHAnsi" w:cstheme="majorHAnsi"/>
          <w:sz w:val="24"/>
          <w:szCs w:val="24"/>
          <w:lang w:val="ro-RO"/>
        </w:rPr>
        <w:t xml:space="preserve">la </w:t>
      </w:r>
      <w:r w:rsidR="008D21D6" w:rsidRPr="00E4517B">
        <w:rPr>
          <w:rFonts w:asciiTheme="majorHAnsi" w:hAnsiTheme="majorHAnsi" w:cstheme="majorHAnsi"/>
          <w:sz w:val="24"/>
          <w:szCs w:val="24"/>
          <w:lang w:val="ro-RO"/>
        </w:rPr>
        <w:t>grupa contului 311</w:t>
      </w:r>
      <w:r w:rsidR="009325BF" w:rsidRPr="00E4517B">
        <w:rPr>
          <w:rFonts w:asciiTheme="majorHAnsi" w:hAnsiTheme="majorHAnsi" w:cstheme="majorHAnsi"/>
          <w:sz w:val="24"/>
          <w:szCs w:val="24"/>
          <w:lang w:val="ro-RO"/>
        </w:rPr>
        <w:t xml:space="preserve"> „</w:t>
      </w:r>
      <w:r w:rsidR="008D21D6" w:rsidRPr="00E4517B">
        <w:rPr>
          <w:rFonts w:asciiTheme="majorHAnsi" w:hAnsiTheme="majorHAnsi" w:cstheme="majorHAnsi"/>
          <w:sz w:val="24"/>
          <w:szCs w:val="24"/>
          <w:lang w:val="ro-RO"/>
        </w:rPr>
        <w:t xml:space="preserve">Clădiri” </w:t>
      </w:r>
      <w:r>
        <w:rPr>
          <w:rFonts w:asciiTheme="majorHAnsi" w:hAnsiTheme="majorHAnsi" w:cstheme="majorHAnsi"/>
          <w:sz w:val="24"/>
          <w:szCs w:val="24"/>
          <w:lang w:val="ro-RO"/>
        </w:rPr>
        <w:t>fiind</w:t>
      </w:r>
      <w:r w:rsidR="008D21D6" w:rsidRPr="00E4517B">
        <w:rPr>
          <w:rFonts w:asciiTheme="majorHAnsi" w:hAnsiTheme="majorHAnsi" w:cstheme="majorHAnsi"/>
          <w:sz w:val="24"/>
          <w:szCs w:val="24"/>
          <w:lang w:val="ro-RO"/>
        </w:rPr>
        <w:t xml:space="preserve"> subevaluat cu 156,0 mil. lei.</w:t>
      </w:r>
      <w:r w:rsidR="0083756B" w:rsidRPr="00F55BA6">
        <w:rPr>
          <w:lang w:val="ro-RO"/>
        </w:rPr>
        <w:t xml:space="preserve"> </w:t>
      </w:r>
      <w:r w:rsidR="0083756B" w:rsidRPr="00E4517B">
        <w:rPr>
          <w:rFonts w:asciiTheme="majorHAnsi" w:hAnsiTheme="majorHAnsi" w:cstheme="majorHAnsi"/>
          <w:sz w:val="24"/>
          <w:szCs w:val="24"/>
          <w:lang w:val="ro-RO"/>
        </w:rPr>
        <w:t>Soldurile conturilor reflectate în</w:t>
      </w:r>
      <w:r w:rsidR="0083756B" w:rsidRPr="00973E5B">
        <w:rPr>
          <w:rFonts w:asciiTheme="majorHAnsi" w:hAnsiTheme="majorHAnsi" w:cstheme="majorHAnsi"/>
          <w:sz w:val="24"/>
          <w:szCs w:val="24"/>
          <w:lang w:val="ro-RO"/>
        </w:rPr>
        <w:t xml:space="preserve"> bilanțul contabil consolidat la 31.12.2020 sunt afectate de existența în bilanț a activelor moral învechite, uzate integral și neutilizate în procesul operațional în ultimii 3 ani</w:t>
      </w:r>
      <w:r w:rsidR="009325BF" w:rsidRPr="00B05CFC">
        <w:rPr>
          <w:rFonts w:asciiTheme="majorHAnsi" w:hAnsiTheme="majorHAnsi" w:cstheme="majorHAnsi"/>
          <w:sz w:val="24"/>
          <w:szCs w:val="24"/>
          <w:lang w:val="ro-RO"/>
        </w:rPr>
        <w:t>,</w:t>
      </w:r>
      <w:r w:rsidR="0083756B" w:rsidRPr="00E4517B">
        <w:rPr>
          <w:rFonts w:asciiTheme="majorHAnsi" w:hAnsiTheme="majorHAnsi" w:cstheme="majorHAnsi"/>
          <w:sz w:val="24"/>
          <w:szCs w:val="24"/>
          <w:lang w:val="ro-RO"/>
        </w:rPr>
        <w:t xml:space="preserve"> fiind supraevaluate în sumă de 151,7 mil. lei, inclusiv subclasa 31 </w:t>
      </w:r>
      <w:r w:rsidR="009325BF" w:rsidRPr="00E4517B">
        <w:rPr>
          <w:rFonts w:asciiTheme="majorHAnsi" w:hAnsiTheme="majorHAnsi" w:cstheme="majorHAnsi"/>
          <w:sz w:val="24"/>
          <w:szCs w:val="24"/>
          <w:lang w:val="ro-RO"/>
        </w:rPr>
        <w:t>„</w:t>
      </w:r>
      <w:r w:rsidR="0083756B" w:rsidRPr="00E4517B">
        <w:rPr>
          <w:rFonts w:asciiTheme="majorHAnsi" w:hAnsiTheme="majorHAnsi" w:cstheme="majorHAnsi"/>
          <w:sz w:val="24"/>
          <w:szCs w:val="24"/>
          <w:lang w:val="ro-RO"/>
        </w:rPr>
        <w:t xml:space="preserve">Mijloace fixe” </w:t>
      </w:r>
      <w:r w:rsidR="009325BF" w:rsidRPr="00E4517B">
        <w:rPr>
          <w:rFonts w:asciiTheme="majorHAnsi" w:hAnsiTheme="majorHAnsi" w:cstheme="majorHAnsi"/>
          <w:sz w:val="24"/>
          <w:szCs w:val="24"/>
          <w:lang w:val="ro-RO"/>
        </w:rPr>
        <w:t xml:space="preserve">– cu </w:t>
      </w:r>
      <w:r w:rsidR="0083756B" w:rsidRPr="00E4517B">
        <w:rPr>
          <w:rFonts w:asciiTheme="majorHAnsi" w:hAnsiTheme="majorHAnsi" w:cstheme="majorHAnsi"/>
          <w:sz w:val="24"/>
          <w:szCs w:val="24"/>
          <w:lang w:val="ro-RO"/>
        </w:rPr>
        <w:t xml:space="preserve">149,4 mil.lei, subclasa 33 </w:t>
      </w:r>
      <w:r w:rsidR="009325BF" w:rsidRPr="00E4517B">
        <w:rPr>
          <w:rFonts w:asciiTheme="majorHAnsi" w:hAnsiTheme="majorHAnsi" w:cstheme="majorHAnsi"/>
          <w:sz w:val="24"/>
          <w:szCs w:val="24"/>
          <w:lang w:val="ro-RO"/>
        </w:rPr>
        <w:t>„</w:t>
      </w:r>
      <w:r w:rsidR="0083756B" w:rsidRPr="00E4517B">
        <w:rPr>
          <w:rFonts w:asciiTheme="majorHAnsi" w:hAnsiTheme="majorHAnsi" w:cstheme="majorHAnsi"/>
          <w:sz w:val="24"/>
          <w:szCs w:val="24"/>
          <w:lang w:val="ro-RO"/>
        </w:rPr>
        <w:t xml:space="preserve">Stocuri de materiale circulante” </w:t>
      </w:r>
      <w:r w:rsidR="009325BF" w:rsidRPr="00E4517B">
        <w:rPr>
          <w:rFonts w:asciiTheme="majorHAnsi" w:hAnsiTheme="majorHAnsi" w:cstheme="majorHAnsi"/>
          <w:sz w:val="24"/>
          <w:szCs w:val="24"/>
          <w:lang w:val="ro-RO"/>
        </w:rPr>
        <w:t xml:space="preserve">– cu </w:t>
      </w:r>
      <w:r w:rsidR="0083756B" w:rsidRPr="00E4517B">
        <w:rPr>
          <w:rFonts w:asciiTheme="majorHAnsi" w:hAnsiTheme="majorHAnsi" w:cstheme="majorHAnsi"/>
          <w:sz w:val="24"/>
          <w:szCs w:val="24"/>
          <w:lang w:val="ro-RO"/>
        </w:rPr>
        <w:t>2,3 mil.lei</w:t>
      </w:r>
      <w:r>
        <w:rPr>
          <w:rFonts w:asciiTheme="majorHAnsi" w:hAnsiTheme="majorHAnsi" w:cstheme="majorHAnsi"/>
          <w:sz w:val="24"/>
          <w:szCs w:val="24"/>
          <w:lang w:val="ro-RO"/>
        </w:rPr>
        <w:t>;</w:t>
      </w:r>
    </w:p>
    <w:p w:rsidR="00F01EE2" w:rsidRPr="00F55BA6" w:rsidRDefault="004C657F" w:rsidP="000471DC">
      <w:pPr>
        <w:spacing w:after="0" w:line="276" w:lineRule="auto"/>
        <w:rPr>
          <w:rFonts w:asciiTheme="majorHAnsi" w:hAnsiTheme="majorHAnsi" w:cstheme="majorHAnsi"/>
          <w:b/>
          <w:sz w:val="24"/>
          <w:szCs w:val="24"/>
          <w:lang w:val="ro-RO"/>
        </w:rPr>
      </w:pPr>
      <w:r>
        <w:rPr>
          <w:rFonts w:asciiTheme="majorHAnsi" w:hAnsiTheme="majorHAnsi" w:cstheme="majorHAnsi"/>
          <w:b/>
          <w:sz w:val="24"/>
          <w:szCs w:val="24"/>
          <w:lang w:val="ro-RO"/>
        </w:rPr>
        <w:t>l</w:t>
      </w:r>
      <w:r w:rsidR="00EB0ED3" w:rsidRPr="00F55BA6">
        <w:rPr>
          <w:rFonts w:asciiTheme="majorHAnsi" w:hAnsiTheme="majorHAnsi" w:cstheme="majorHAnsi"/>
          <w:b/>
          <w:sz w:val="24"/>
          <w:szCs w:val="24"/>
          <w:lang w:val="ro-RO"/>
        </w:rPr>
        <w:t xml:space="preserve">a MF </w:t>
      </w:r>
      <w:r w:rsidR="00EB0ED3" w:rsidRPr="00F55BA6">
        <w:rPr>
          <w:rFonts w:asciiTheme="majorHAnsi" w:hAnsiTheme="majorHAnsi" w:cstheme="majorHAnsi"/>
          <w:iCs/>
          <w:sz w:val="24"/>
          <w:szCs w:val="24"/>
          <w:shd w:val="clear" w:color="auto" w:fill="FFFFFF" w:themeFill="background1"/>
          <w:lang w:val="ro-RO"/>
        </w:rPr>
        <w:t xml:space="preserve">a fost afectat raportul financiar consolidat la nivelul subclasei </w:t>
      </w:r>
      <w:r w:rsidR="00EB0ED3" w:rsidRPr="00F55BA6">
        <w:rPr>
          <w:rFonts w:asciiTheme="majorHAnsi" w:eastAsia="Times New Roman" w:hAnsiTheme="majorHAnsi" w:cstheme="majorHAnsi"/>
          <w:bCs/>
          <w:sz w:val="24"/>
          <w:szCs w:val="24"/>
          <w:lang w:val="ro-RO"/>
        </w:rPr>
        <w:t>31</w:t>
      </w:r>
      <w:r w:rsidR="009325BF" w:rsidRPr="00F55BA6">
        <w:rPr>
          <w:rFonts w:asciiTheme="majorHAnsi" w:eastAsia="Times New Roman" w:hAnsiTheme="majorHAnsi" w:cstheme="majorHAnsi"/>
          <w:bCs/>
          <w:sz w:val="24"/>
          <w:szCs w:val="24"/>
          <w:lang w:val="ro-RO"/>
        </w:rPr>
        <w:t xml:space="preserve"> </w:t>
      </w:r>
      <w:r w:rsidR="00EB0ED3" w:rsidRPr="00F55BA6">
        <w:rPr>
          <w:rFonts w:asciiTheme="majorHAnsi" w:eastAsia="Times New Roman" w:hAnsiTheme="majorHAnsi" w:cstheme="majorHAnsi"/>
          <w:bCs/>
          <w:sz w:val="24"/>
          <w:szCs w:val="24"/>
          <w:lang w:val="ro-RO"/>
        </w:rPr>
        <w:t xml:space="preserve">„Mijloace fixe” și al </w:t>
      </w:r>
      <w:r w:rsidR="00EB0ED3" w:rsidRPr="00F55BA6">
        <w:rPr>
          <w:rFonts w:asciiTheme="majorHAnsi" w:eastAsia="Times New Roman" w:hAnsiTheme="majorHAnsi" w:cstheme="majorHAnsi"/>
          <w:sz w:val="24"/>
          <w:szCs w:val="24"/>
          <w:lang w:val="ro-RO"/>
        </w:rPr>
        <w:t xml:space="preserve">subclasei 33 </w:t>
      </w:r>
      <w:r w:rsidR="00EB0ED3" w:rsidRPr="00F55BA6">
        <w:rPr>
          <w:rFonts w:asciiTheme="majorHAnsi" w:eastAsia="Times New Roman" w:hAnsiTheme="majorHAnsi" w:cstheme="majorHAnsi"/>
          <w:iCs/>
          <w:sz w:val="24"/>
          <w:szCs w:val="24"/>
          <w:lang w:val="ro-RO"/>
        </w:rPr>
        <w:t>„Stocuri de materiale circulante”</w:t>
      </w:r>
      <w:r w:rsidR="00EB0ED3" w:rsidRPr="00F55BA6">
        <w:rPr>
          <w:rFonts w:asciiTheme="majorHAnsi" w:eastAsia="Times New Roman" w:hAnsiTheme="majorHAnsi" w:cstheme="majorHAnsi"/>
          <w:sz w:val="24"/>
          <w:szCs w:val="24"/>
          <w:lang w:val="ro-RO"/>
        </w:rPr>
        <w:t xml:space="preserve"> cu suma de 2,4 mil.lei.</w:t>
      </w:r>
    </w:p>
    <w:p w:rsidR="00B72D16" w:rsidRPr="00F55BA6" w:rsidRDefault="00D058ED" w:rsidP="00B72D16">
      <w:pPr>
        <w:numPr>
          <w:ilvl w:val="1"/>
          <w:numId w:val="1"/>
        </w:numPr>
        <w:tabs>
          <w:tab w:val="left" w:pos="426"/>
        </w:tabs>
        <w:spacing w:after="0" w:line="276" w:lineRule="auto"/>
        <w:ind w:left="0" w:firstLine="0"/>
        <w:contextualSpacing/>
        <w:outlineLvl w:val="0"/>
        <w:rPr>
          <w:rFonts w:asciiTheme="majorHAnsi" w:hAnsiTheme="majorHAnsi" w:cstheme="majorHAnsi"/>
          <w:b/>
          <w:sz w:val="24"/>
          <w:szCs w:val="24"/>
          <w:lang w:val="ro-RO"/>
        </w:rPr>
      </w:pPr>
      <w:r w:rsidRPr="00B05CFC">
        <w:rPr>
          <w:rFonts w:asciiTheme="majorHAnsi" w:hAnsiTheme="majorHAnsi" w:cstheme="majorHAnsi"/>
          <w:b/>
          <w:sz w:val="24"/>
          <w:szCs w:val="24"/>
          <w:lang w:val="ro-RO"/>
        </w:rPr>
        <w:t>L</w:t>
      </w:r>
      <w:r w:rsidR="00B72D16" w:rsidRPr="00E4517B">
        <w:rPr>
          <w:rFonts w:asciiTheme="majorHAnsi" w:hAnsiTheme="majorHAnsi" w:cstheme="majorHAnsi"/>
          <w:b/>
          <w:sz w:val="24"/>
          <w:szCs w:val="24"/>
          <w:lang w:val="ro-RO"/>
        </w:rPr>
        <w:t>a elaborarea și aprobarea BS pentru anul 2020</w:t>
      </w:r>
      <w:r w:rsidRPr="00E4517B">
        <w:rPr>
          <w:rFonts w:asciiTheme="majorHAnsi" w:hAnsiTheme="majorHAnsi" w:cstheme="majorHAnsi"/>
          <w:b/>
          <w:sz w:val="24"/>
          <w:szCs w:val="24"/>
          <w:lang w:val="ro-RO"/>
        </w:rPr>
        <w:t xml:space="preserve"> </w:t>
      </w:r>
      <w:r w:rsidRPr="00F55BA6">
        <w:rPr>
          <w:rFonts w:asciiTheme="majorHAnsi" w:hAnsiTheme="majorHAnsi" w:cstheme="majorHAnsi"/>
          <w:b/>
          <w:sz w:val="24"/>
          <w:szCs w:val="24"/>
          <w:lang w:val="ro-RO"/>
        </w:rPr>
        <w:t>nu a fost respectat calendarul bugetar</w:t>
      </w:r>
      <w:r w:rsidR="00B72D16" w:rsidRPr="00E4517B">
        <w:rPr>
          <w:rFonts w:asciiTheme="majorHAnsi" w:hAnsiTheme="majorHAnsi" w:cstheme="majorHAnsi"/>
          <w:b/>
          <w:sz w:val="24"/>
          <w:szCs w:val="24"/>
          <w:lang w:val="ro-RO"/>
        </w:rPr>
        <w:t>, ia</w:t>
      </w:r>
      <w:r w:rsidR="00B72D16" w:rsidRPr="00973E5B">
        <w:rPr>
          <w:rFonts w:asciiTheme="majorHAnsi" w:hAnsiTheme="majorHAnsi" w:cstheme="majorHAnsi"/>
          <w:b/>
          <w:sz w:val="24"/>
          <w:szCs w:val="24"/>
          <w:lang w:val="ro-RO"/>
        </w:rPr>
        <w:t xml:space="preserve">r </w:t>
      </w:r>
      <w:r w:rsidR="00B72D16" w:rsidRPr="00F55BA6">
        <w:rPr>
          <w:rFonts w:asciiTheme="majorHAnsi" w:hAnsiTheme="majorHAnsi" w:cstheme="majorHAnsi"/>
          <w:b/>
          <w:sz w:val="24"/>
          <w:szCs w:val="24"/>
          <w:lang w:val="ro-RO"/>
        </w:rPr>
        <w:t>CBTM nu a fost aprobat de către Guvern pentru a servi ca punct de reper în estimarea liniei de bază pentru ciclul bugetar</w:t>
      </w:r>
      <w:r w:rsidR="004C657F">
        <w:rPr>
          <w:rFonts w:asciiTheme="majorHAnsi" w:hAnsiTheme="majorHAnsi" w:cstheme="majorHAnsi"/>
          <w:b/>
          <w:sz w:val="24"/>
          <w:szCs w:val="24"/>
          <w:lang w:val="ro-RO"/>
        </w:rPr>
        <w:t>.</w:t>
      </w:r>
    </w:p>
    <w:p w:rsidR="00325584" w:rsidRPr="00973E5B" w:rsidRDefault="00325584" w:rsidP="00325584">
      <w:pPr>
        <w:shd w:val="clear" w:color="auto" w:fill="FFFFFF" w:themeFill="background1"/>
        <w:spacing w:after="0" w:line="276" w:lineRule="auto"/>
        <w:contextualSpacing/>
        <w:rPr>
          <w:rFonts w:asciiTheme="majorHAnsi" w:hAnsiTheme="majorHAnsi" w:cstheme="majorHAnsi"/>
          <w:sz w:val="24"/>
          <w:szCs w:val="24"/>
          <w:lang w:val="ro-RO"/>
        </w:rPr>
      </w:pPr>
      <w:r w:rsidRPr="00E4517B">
        <w:rPr>
          <w:rFonts w:asciiTheme="majorHAnsi" w:hAnsiTheme="majorHAnsi" w:cstheme="majorHAnsi"/>
          <w:sz w:val="24"/>
          <w:szCs w:val="24"/>
          <w:lang w:val="ro-RO"/>
        </w:rPr>
        <w:t>Anual, în conformitate cu calendarul bugetar, CBTM</w:t>
      </w:r>
      <w:r w:rsidRPr="00E4517B">
        <w:rPr>
          <w:rFonts w:asciiTheme="majorHAnsi" w:hAnsiTheme="majorHAnsi" w:cstheme="majorHAnsi"/>
          <w:sz w:val="24"/>
          <w:szCs w:val="24"/>
          <w:vertAlign w:val="superscript"/>
          <w:lang w:val="ro-RO"/>
        </w:rPr>
        <w:footnoteReference w:id="27"/>
      </w:r>
      <w:r w:rsidRPr="00E4517B">
        <w:rPr>
          <w:rFonts w:asciiTheme="majorHAnsi" w:hAnsiTheme="majorHAnsi" w:cstheme="majorHAnsi"/>
          <w:sz w:val="24"/>
          <w:szCs w:val="24"/>
          <w:lang w:val="ro-RO"/>
        </w:rPr>
        <w:t xml:space="preserve"> se elaborează de către MF, în comun cu alte autorități responsabile, în conformitate cu principiile și regulile bugetar-fiscale stabilite </w:t>
      </w:r>
      <w:r w:rsidRPr="00F55BA6">
        <w:rPr>
          <w:rFonts w:asciiTheme="majorHAnsi" w:eastAsia="Times New Roman" w:hAnsiTheme="majorHAnsi" w:cstheme="majorHAnsi"/>
          <w:sz w:val="24"/>
          <w:szCs w:val="24"/>
          <w:lang w:val="ro-RO"/>
        </w:rPr>
        <w:t>și îl prezintă spre aprobare Guvernului</w:t>
      </w:r>
      <w:r w:rsidRPr="00F55BA6">
        <w:rPr>
          <w:rFonts w:asciiTheme="majorHAnsi" w:eastAsia="Times New Roman" w:hAnsiTheme="majorHAnsi" w:cstheme="majorHAnsi"/>
          <w:sz w:val="24"/>
          <w:szCs w:val="24"/>
          <w:vertAlign w:val="superscript"/>
          <w:lang w:val="ro-RO"/>
        </w:rPr>
        <w:footnoteReference w:id="28"/>
      </w:r>
      <w:r w:rsidR="00D058ED" w:rsidRPr="00F55BA6">
        <w:rPr>
          <w:rFonts w:asciiTheme="majorHAnsi" w:eastAsia="Times New Roman" w:hAnsiTheme="majorHAnsi" w:cstheme="majorHAnsi"/>
          <w:sz w:val="24"/>
          <w:szCs w:val="24"/>
          <w:lang w:val="ro-RO"/>
        </w:rPr>
        <w:t>,</w:t>
      </w:r>
      <w:r w:rsidRPr="00F55BA6">
        <w:rPr>
          <w:rFonts w:asciiTheme="majorHAnsi" w:eastAsia="Times New Roman" w:hAnsiTheme="majorHAnsi" w:cstheme="majorHAnsi"/>
          <w:sz w:val="24"/>
          <w:szCs w:val="24"/>
          <w:lang w:val="ro-RO"/>
        </w:rPr>
        <w:t xml:space="preserve"> </w:t>
      </w:r>
      <w:r w:rsidRPr="00E4517B">
        <w:rPr>
          <w:rFonts w:asciiTheme="majorHAnsi" w:hAnsiTheme="majorHAnsi" w:cstheme="majorHAnsi"/>
          <w:sz w:val="24"/>
          <w:szCs w:val="24"/>
          <w:lang w:val="ro-RO"/>
        </w:rPr>
        <w:t>iar Guvernul îl a</w:t>
      </w:r>
      <w:r w:rsidRPr="00973E5B">
        <w:rPr>
          <w:rFonts w:asciiTheme="majorHAnsi" w:hAnsiTheme="majorHAnsi" w:cstheme="majorHAnsi"/>
          <w:sz w:val="24"/>
          <w:szCs w:val="24"/>
          <w:lang w:val="ro-RO"/>
        </w:rPr>
        <w:t>probă și îl prezintă spre informare Parlamentului</w:t>
      </w:r>
      <w:r w:rsidRPr="00F55BA6">
        <w:rPr>
          <w:rFonts w:asciiTheme="majorHAnsi" w:hAnsiTheme="majorHAnsi" w:cstheme="majorHAnsi"/>
          <w:sz w:val="24"/>
          <w:szCs w:val="24"/>
          <w:vertAlign w:val="superscript"/>
          <w:lang w:val="ro-RO"/>
        </w:rPr>
        <w:footnoteReference w:id="29"/>
      </w:r>
      <w:r w:rsidRPr="00E4517B">
        <w:rPr>
          <w:rFonts w:asciiTheme="majorHAnsi" w:hAnsiTheme="majorHAnsi" w:cstheme="majorHAnsi"/>
          <w:sz w:val="24"/>
          <w:szCs w:val="24"/>
          <w:lang w:val="ro-RO"/>
        </w:rPr>
        <w:t xml:space="preserve">. </w:t>
      </w:r>
      <w:r w:rsidRPr="00F55BA6">
        <w:rPr>
          <w:rFonts w:asciiTheme="majorHAnsi" w:hAnsiTheme="majorHAnsi" w:cstheme="majorHAnsi"/>
          <w:sz w:val="24"/>
          <w:szCs w:val="24"/>
          <w:lang w:val="ro-RO"/>
        </w:rPr>
        <w:t>Conform art.15 alin.(2) din Legea nr.181 din 25.07.2014, la stabilirea priorităților de politici, autoritățile publice responsabile asigură consecvența și continuitatea obiectiv</w:t>
      </w:r>
      <w:r w:rsidR="00996B7B" w:rsidRPr="00F55BA6">
        <w:rPr>
          <w:rFonts w:asciiTheme="majorHAnsi" w:hAnsiTheme="majorHAnsi" w:cstheme="majorHAnsi"/>
          <w:sz w:val="24"/>
          <w:szCs w:val="24"/>
          <w:lang w:val="ro-RO"/>
        </w:rPr>
        <w:t xml:space="preserve">elor asumate în contextul CBTM. </w:t>
      </w:r>
      <w:r w:rsidRPr="00F55BA6">
        <w:rPr>
          <w:rFonts w:asciiTheme="majorHAnsi" w:eastAsia="Times New Roman" w:hAnsiTheme="majorHAnsi" w:cstheme="majorHAnsi"/>
          <w:color w:val="000000" w:themeColor="text1"/>
          <w:sz w:val="24"/>
          <w:szCs w:val="24"/>
          <w:lang w:val="ro-RO"/>
        </w:rPr>
        <w:t>Auditul a verificat respectarea calendarului bugetar</w:t>
      </w:r>
      <w:r w:rsidR="00D058ED" w:rsidRPr="00F55BA6">
        <w:rPr>
          <w:rFonts w:asciiTheme="majorHAnsi" w:eastAsia="Times New Roman" w:hAnsiTheme="majorHAnsi" w:cstheme="majorHAnsi"/>
          <w:color w:val="000000" w:themeColor="text1"/>
          <w:sz w:val="24"/>
          <w:szCs w:val="24"/>
          <w:lang w:val="ro-RO"/>
        </w:rPr>
        <w:t>,</w:t>
      </w:r>
      <w:r w:rsidRPr="00F55BA6">
        <w:rPr>
          <w:rFonts w:asciiTheme="majorHAnsi" w:eastAsia="Times New Roman" w:hAnsiTheme="majorHAnsi" w:cstheme="majorHAnsi"/>
          <w:color w:val="000000" w:themeColor="text1"/>
          <w:sz w:val="24"/>
          <w:szCs w:val="24"/>
          <w:lang w:val="ro-RO"/>
        </w:rPr>
        <w:t xml:space="preserve"> </w:t>
      </w:r>
      <w:r w:rsidRPr="00973E5B">
        <w:rPr>
          <w:rFonts w:asciiTheme="majorHAnsi" w:hAnsiTheme="majorHAnsi" w:cstheme="majorHAnsi"/>
          <w:sz w:val="24"/>
          <w:szCs w:val="24"/>
          <w:lang w:val="ro-RO"/>
        </w:rPr>
        <w:t>constatând următoarele:</w:t>
      </w:r>
    </w:p>
    <w:p w:rsidR="00325584" w:rsidRPr="00E4517B" w:rsidRDefault="00325584" w:rsidP="00325584">
      <w:pPr>
        <w:numPr>
          <w:ilvl w:val="0"/>
          <w:numId w:val="14"/>
        </w:numPr>
        <w:shd w:val="clear" w:color="auto" w:fill="FFFFFF" w:themeFill="background1"/>
        <w:tabs>
          <w:tab w:val="left" w:pos="284"/>
        </w:tabs>
        <w:spacing w:after="0" w:line="276" w:lineRule="auto"/>
        <w:ind w:left="0" w:firstLine="0"/>
        <w:contextualSpacing/>
        <w:rPr>
          <w:rFonts w:asciiTheme="majorHAnsi" w:hAnsiTheme="majorHAnsi" w:cstheme="majorHAnsi"/>
          <w:sz w:val="24"/>
          <w:szCs w:val="24"/>
          <w:lang w:val="ro-RO"/>
        </w:rPr>
      </w:pPr>
      <w:r w:rsidRPr="00F55BA6">
        <w:rPr>
          <w:rFonts w:asciiTheme="majorHAnsi" w:hAnsiTheme="majorHAnsi" w:cstheme="majorHAnsi"/>
          <w:sz w:val="24"/>
          <w:szCs w:val="24"/>
          <w:lang w:val="ro-RO"/>
        </w:rPr>
        <w:t>CBTM nu a fost aprobat de către Guvern în anul 2019 pentru anul 2020, din cauza schimbărilor la nivel politic (ulterioar</w:t>
      </w:r>
      <w:r w:rsidR="00D058ED" w:rsidRPr="00F55BA6">
        <w:rPr>
          <w:rFonts w:asciiTheme="majorHAnsi" w:hAnsiTheme="majorHAnsi" w:cstheme="majorHAnsi"/>
          <w:sz w:val="24"/>
          <w:szCs w:val="24"/>
          <w:lang w:val="ro-RO"/>
        </w:rPr>
        <w:t>a</w:t>
      </w:r>
      <w:r w:rsidRPr="00F55BA6">
        <w:rPr>
          <w:rFonts w:asciiTheme="majorHAnsi" w:hAnsiTheme="majorHAnsi" w:cstheme="majorHAnsi"/>
          <w:sz w:val="24"/>
          <w:szCs w:val="24"/>
          <w:lang w:val="ro-RO"/>
        </w:rPr>
        <w:t xml:space="preserve"> demisie a Guvernului și </w:t>
      </w:r>
      <w:r w:rsidR="004C657F">
        <w:rPr>
          <w:rFonts w:asciiTheme="majorHAnsi" w:hAnsiTheme="majorHAnsi" w:cstheme="majorHAnsi"/>
          <w:sz w:val="24"/>
          <w:szCs w:val="24"/>
          <w:lang w:val="ro-RO"/>
        </w:rPr>
        <w:t>î</w:t>
      </w:r>
      <w:r w:rsidRPr="00F55BA6">
        <w:rPr>
          <w:rFonts w:asciiTheme="majorHAnsi" w:hAnsiTheme="majorHAnsi" w:cstheme="majorHAnsi"/>
          <w:sz w:val="24"/>
          <w:szCs w:val="24"/>
          <w:lang w:val="ro-RO"/>
        </w:rPr>
        <w:t xml:space="preserve">nvestirea noului Guvern </w:t>
      </w:r>
      <w:r w:rsidR="00EF388D" w:rsidRPr="00F55BA6">
        <w:rPr>
          <w:rFonts w:asciiTheme="majorHAnsi" w:hAnsiTheme="majorHAnsi" w:cstheme="majorHAnsi"/>
          <w:sz w:val="24"/>
          <w:szCs w:val="24"/>
          <w:lang w:val="ro-RO"/>
        </w:rPr>
        <w:t>î</w:t>
      </w:r>
      <w:r w:rsidRPr="00F55BA6">
        <w:rPr>
          <w:rFonts w:asciiTheme="majorHAnsi" w:hAnsiTheme="majorHAnsi" w:cstheme="majorHAnsi"/>
          <w:sz w:val="24"/>
          <w:szCs w:val="24"/>
          <w:lang w:val="ro-RO"/>
        </w:rPr>
        <w:t>n luna noiembrie), procesul de elaborare a documentului la etapa de definitivare și aprobare fiind suspendat.</w:t>
      </w:r>
      <w:r w:rsidRPr="00E4517B">
        <w:rPr>
          <w:rFonts w:asciiTheme="majorHAnsi" w:hAnsiTheme="majorHAnsi" w:cstheme="majorHAnsi"/>
          <w:sz w:val="24"/>
          <w:szCs w:val="24"/>
          <w:lang w:val="ro-RO"/>
        </w:rPr>
        <w:t xml:space="preserve"> Astfel, </w:t>
      </w:r>
      <w:r w:rsidRPr="00F55BA6">
        <w:rPr>
          <w:rFonts w:asciiTheme="majorHAnsi" w:hAnsiTheme="majorHAnsi" w:cstheme="majorHAnsi"/>
          <w:sz w:val="24"/>
          <w:szCs w:val="24"/>
          <w:lang w:val="ro-RO"/>
        </w:rPr>
        <w:t>sinteza propunerilor de politici acceptate pentru perioada CBTM și limitele de cheltuieli sectoriale au fost prezentate de către MF ca parte componentă a documentației bugetare la proiectul Legii bugetului de stat pentru anul 2020</w:t>
      </w:r>
      <w:r w:rsidR="00BE64A4" w:rsidRPr="00F55BA6">
        <w:rPr>
          <w:rFonts w:asciiTheme="majorHAnsi" w:hAnsiTheme="majorHAnsi" w:cstheme="majorHAnsi"/>
          <w:sz w:val="24"/>
          <w:szCs w:val="24"/>
          <w:lang w:val="ro-RO"/>
        </w:rPr>
        <w:t>;</w:t>
      </w:r>
    </w:p>
    <w:p w:rsidR="00325584" w:rsidRPr="000C5521" w:rsidRDefault="00325584" w:rsidP="00325584">
      <w:pPr>
        <w:numPr>
          <w:ilvl w:val="0"/>
          <w:numId w:val="15"/>
        </w:numPr>
        <w:shd w:val="clear" w:color="auto" w:fill="FFFFFF" w:themeFill="background1"/>
        <w:tabs>
          <w:tab w:val="left" w:pos="284"/>
          <w:tab w:val="left" w:pos="993"/>
        </w:tabs>
        <w:spacing w:after="0" w:line="276" w:lineRule="auto"/>
        <w:ind w:left="0" w:firstLine="0"/>
        <w:contextualSpacing/>
        <w:rPr>
          <w:rFonts w:asciiTheme="majorHAnsi" w:eastAsia="Times New Roman" w:hAnsiTheme="majorHAnsi" w:cstheme="majorHAnsi"/>
          <w:b/>
          <w:sz w:val="24"/>
          <w:szCs w:val="24"/>
          <w:lang w:val="ro-RO"/>
        </w:rPr>
      </w:pPr>
      <w:r w:rsidRPr="00973E5B">
        <w:rPr>
          <w:rFonts w:asciiTheme="majorHAnsi" w:hAnsiTheme="majorHAnsi" w:cstheme="majorHAnsi"/>
          <w:sz w:val="24"/>
          <w:szCs w:val="24"/>
          <w:lang w:val="ro-RO"/>
        </w:rPr>
        <w:t xml:space="preserve">MF a remis Guvernului, pentru examinare și aprobare, proiectul Legii bugetului de stat pentru anul 2020 cu întârziere, la </w:t>
      </w:r>
      <w:r w:rsidRPr="00B05CFC">
        <w:rPr>
          <w:rFonts w:asciiTheme="majorHAnsi" w:hAnsiTheme="majorHAnsi" w:cstheme="majorHAnsi"/>
          <w:sz w:val="24"/>
          <w:szCs w:val="24"/>
          <w:lang w:val="ro-RO"/>
        </w:rPr>
        <w:t xml:space="preserve">data de 27.11.2019, </w:t>
      </w:r>
      <w:r w:rsidR="009B5B82" w:rsidRPr="00E4517B">
        <w:rPr>
          <w:rFonts w:asciiTheme="majorHAnsi" w:hAnsiTheme="majorHAnsi" w:cstheme="majorHAnsi"/>
          <w:sz w:val="24"/>
          <w:szCs w:val="24"/>
          <w:lang w:val="ro-RO"/>
        </w:rPr>
        <w:t>cu 73 de zile mai târziu</w:t>
      </w:r>
      <w:r w:rsidR="00BE64A4" w:rsidRPr="00E4517B">
        <w:rPr>
          <w:rFonts w:asciiTheme="majorHAnsi" w:hAnsiTheme="majorHAnsi" w:cstheme="majorHAnsi"/>
          <w:sz w:val="24"/>
          <w:szCs w:val="24"/>
          <w:lang w:val="ro-RO"/>
        </w:rPr>
        <w:t>,</w:t>
      </w:r>
      <w:r w:rsidR="009B5B82" w:rsidRPr="00E4517B">
        <w:rPr>
          <w:rFonts w:asciiTheme="majorHAnsi" w:hAnsiTheme="majorHAnsi" w:cstheme="majorHAnsi"/>
          <w:sz w:val="24"/>
          <w:szCs w:val="24"/>
          <w:lang w:val="ro-RO"/>
        </w:rPr>
        <w:t xml:space="preserve"> </w:t>
      </w:r>
      <w:r w:rsidRPr="00E4517B">
        <w:rPr>
          <w:rFonts w:asciiTheme="majorHAnsi" w:hAnsiTheme="majorHAnsi" w:cstheme="majorHAnsi"/>
          <w:sz w:val="24"/>
          <w:szCs w:val="24"/>
          <w:lang w:val="ro-RO"/>
        </w:rPr>
        <w:t>respectiv, acesta fiind aprobat</w:t>
      </w:r>
      <w:r w:rsidRPr="00E4517B">
        <w:rPr>
          <w:rFonts w:asciiTheme="majorHAnsi" w:hAnsiTheme="majorHAnsi" w:cstheme="majorHAnsi"/>
          <w:sz w:val="24"/>
          <w:szCs w:val="24"/>
          <w:vertAlign w:val="superscript"/>
          <w:lang w:val="ro-RO"/>
        </w:rPr>
        <w:footnoteReference w:id="30"/>
      </w:r>
      <w:r w:rsidR="009B5B82" w:rsidRPr="00E4517B">
        <w:rPr>
          <w:rFonts w:asciiTheme="majorHAnsi" w:hAnsiTheme="majorHAnsi" w:cstheme="majorHAnsi"/>
          <w:sz w:val="24"/>
          <w:szCs w:val="24"/>
          <w:lang w:val="ro-RO"/>
        </w:rPr>
        <w:t xml:space="preserve"> </w:t>
      </w:r>
      <w:r w:rsidR="009B5B82" w:rsidRPr="00973E5B">
        <w:rPr>
          <w:rFonts w:asciiTheme="majorHAnsi" w:hAnsiTheme="majorHAnsi" w:cstheme="majorHAnsi"/>
          <w:sz w:val="24"/>
          <w:szCs w:val="24"/>
          <w:lang w:val="ro-RO"/>
        </w:rPr>
        <w:t>cu 43 de zile mai târziu</w:t>
      </w:r>
      <w:r w:rsidRPr="00B05CFC">
        <w:rPr>
          <w:rFonts w:asciiTheme="majorHAnsi" w:hAnsiTheme="majorHAnsi" w:cstheme="majorHAnsi"/>
          <w:sz w:val="24"/>
          <w:szCs w:val="24"/>
          <w:lang w:val="ro-RO"/>
        </w:rPr>
        <w:t>. Totodată, Parlamentul a adoptat cu 18 zile mai târziu Legea bugetului de stat pentru anul 2020</w:t>
      </w:r>
      <w:r w:rsidR="00BE64A4" w:rsidRPr="00E4517B">
        <w:rPr>
          <w:rFonts w:asciiTheme="majorHAnsi" w:hAnsiTheme="majorHAnsi" w:cstheme="majorHAnsi"/>
          <w:sz w:val="24"/>
          <w:szCs w:val="24"/>
          <w:lang w:val="ro-RO"/>
        </w:rPr>
        <w:t>,</w:t>
      </w:r>
      <w:r w:rsidRPr="00E4517B">
        <w:rPr>
          <w:rFonts w:asciiTheme="majorHAnsi" w:hAnsiTheme="majorHAnsi" w:cstheme="majorHAnsi"/>
          <w:sz w:val="24"/>
          <w:szCs w:val="24"/>
          <w:lang w:val="ro-RO"/>
        </w:rPr>
        <w:t xml:space="preserve"> la data de 19.12.2019</w:t>
      </w:r>
      <w:r w:rsidRPr="00E4517B">
        <w:rPr>
          <w:rFonts w:asciiTheme="majorHAnsi" w:hAnsiTheme="majorHAnsi" w:cstheme="majorHAnsi"/>
          <w:sz w:val="24"/>
          <w:szCs w:val="24"/>
          <w:vertAlign w:val="superscript"/>
          <w:lang w:val="ro-RO"/>
        </w:rPr>
        <w:footnoteReference w:id="31"/>
      </w:r>
      <w:r w:rsidRPr="00E4517B">
        <w:rPr>
          <w:rFonts w:asciiTheme="majorHAnsi" w:hAnsiTheme="majorHAnsi" w:cstheme="majorHAnsi"/>
          <w:sz w:val="24"/>
          <w:szCs w:val="24"/>
          <w:lang w:val="ro-RO"/>
        </w:rPr>
        <w:t>;</w:t>
      </w:r>
    </w:p>
    <w:p w:rsidR="00325584" w:rsidRPr="00F55BA6" w:rsidRDefault="00325584" w:rsidP="00325584">
      <w:pPr>
        <w:numPr>
          <w:ilvl w:val="0"/>
          <w:numId w:val="14"/>
        </w:numPr>
        <w:shd w:val="clear" w:color="auto" w:fill="FFFFFF" w:themeFill="background1"/>
        <w:tabs>
          <w:tab w:val="left" w:pos="284"/>
          <w:tab w:val="left" w:pos="851"/>
          <w:tab w:val="left" w:pos="993"/>
        </w:tabs>
        <w:spacing w:after="0" w:line="276" w:lineRule="auto"/>
        <w:ind w:left="0" w:firstLine="0"/>
        <w:contextualSpacing/>
        <w:rPr>
          <w:rFonts w:asciiTheme="majorHAnsi" w:hAnsiTheme="majorHAnsi" w:cstheme="majorHAnsi"/>
          <w:sz w:val="24"/>
          <w:szCs w:val="24"/>
          <w:lang w:val="ro-RO"/>
        </w:rPr>
      </w:pPr>
      <w:r w:rsidRPr="00973E5B">
        <w:rPr>
          <w:rFonts w:asciiTheme="majorHAnsi" w:hAnsiTheme="majorHAnsi" w:cstheme="majorHAnsi"/>
          <w:i/>
          <w:sz w:val="24"/>
          <w:szCs w:val="24"/>
          <w:lang w:val="ro-RO"/>
        </w:rPr>
        <w:t xml:space="preserve">modificarea de 4 ori </w:t>
      </w:r>
      <w:r w:rsidRPr="00B05CFC">
        <w:rPr>
          <w:rFonts w:asciiTheme="majorHAnsi" w:hAnsiTheme="majorHAnsi" w:cstheme="majorHAnsi"/>
          <w:i/>
          <w:sz w:val="24"/>
          <w:szCs w:val="24"/>
          <w:lang w:val="ro-RO"/>
        </w:rPr>
        <w:t>în anul 2020 a legii bugetare anuale</w:t>
      </w:r>
      <w:r w:rsidR="00A74616" w:rsidRPr="00E4517B">
        <w:rPr>
          <w:rFonts w:asciiTheme="majorHAnsi" w:hAnsiTheme="majorHAnsi" w:cstheme="majorHAnsi"/>
          <w:i/>
          <w:sz w:val="24"/>
          <w:szCs w:val="24"/>
          <w:lang w:val="ro-RO"/>
        </w:rPr>
        <w:t>,</w:t>
      </w:r>
      <w:r w:rsidR="00044DBB" w:rsidRPr="00E4517B">
        <w:rPr>
          <w:rFonts w:asciiTheme="majorHAnsi" w:hAnsiTheme="majorHAnsi" w:cstheme="majorHAnsi"/>
          <w:i/>
          <w:sz w:val="24"/>
          <w:szCs w:val="24"/>
          <w:lang w:val="ro-RO"/>
        </w:rPr>
        <w:t xml:space="preserve"> dintre care 3 modificări la venituri și cheltuieli</w:t>
      </w:r>
      <w:r w:rsidRPr="00E4517B">
        <w:rPr>
          <w:rFonts w:asciiTheme="majorHAnsi" w:hAnsiTheme="majorHAnsi" w:cstheme="majorHAnsi"/>
          <w:sz w:val="24"/>
          <w:szCs w:val="24"/>
          <w:lang w:val="ro-RO"/>
        </w:rPr>
        <w:t xml:space="preserve">, de 3 ori fiind modificată până la 16 iulie, deși MF trebuie să asigure monitorizarea bugetului și să desfășoare procedurile de modificare a legii bugetare anuale, de regulă, nu mai mult de două ori </w:t>
      </w:r>
      <w:r w:rsidRPr="00E4517B">
        <w:rPr>
          <w:rFonts w:asciiTheme="majorHAnsi" w:hAnsiTheme="majorHAnsi" w:cstheme="majorHAnsi"/>
          <w:sz w:val="24"/>
          <w:szCs w:val="24"/>
          <w:lang w:val="ro-RO"/>
        </w:rPr>
        <w:lastRenderedPageBreak/>
        <w:t>pe an, nu mai degrabă de 15 iulie și nu mai târziu de 15 noiembrie a anului bugetar</w:t>
      </w:r>
      <w:r w:rsidRPr="00E4517B">
        <w:rPr>
          <w:rFonts w:asciiTheme="majorHAnsi" w:hAnsiTheme="majorHAnsi" w:cstheme="majorHAnsi"/>
          <w:sz w:val="24"/>
          <w:szCs w:val="24"/>
          <w:vertAlign w:val="superscript"/>
          <w:lang w:val="ro-RO"/>
        </w:rPr>
        <w:footnoteReference w:id="32"/>
      </w:r>
      <w:r w:rsidRPr="00E4517B">
        <w:rPr>
          <w:rFonts w:asciiTheme="majorHAnsi" w:hAnsiTheme="majorHAnsi" w:cstheme="majorHAnsi"/>
          <w:sz w:val="24"/>
          <w:szCs w:val="24"/>
          <w:lang w:val="ro-RO"/>
        </w:rPr>
        <w:t xml:space="preserve">. </w:t>
      </w:r>
      <w:r w:rsidRPr="00F55BA6">
        <w:rPr>
          <w:rFonts w:asciiTheme="majorHAnsi" w:hAnsiTheme="majorHAnsi" w:cstheme="majorHAnsi"/>
          <w:sz w:val="24"/>
          <w:szCs w:val="24"/>
          <w:lang w:val="ro-RO"/>
        </w:rPr>
        <w:t xml:space="preserve">Factorul de bază care a determinat modificările operate la </w:t>
      </w:r>
      <w:r w:rsidR="0085021C" w:rsidRPr="00F55BA6">
        <w:rPr>
          <w:rFonts w:asciiTheme="majorHAnsi" w:hAnsiTheme="majorHAnsi" w:cstheme="majorHAnsi"/>
          <w:sz w:val="24"/>
          <w:szCs w:val="24"/>
          <w:lang w:val="ro-RO"/>
        </w:rPr>
        <w:t>BS</w:t>
      </w:r>
      <w:r w:rsidRPr="00F55BA6">
        <w:rPr>
          <w:rFonts w:asciiTheme="majorHAnsi" w:hAnsiTheme="majorHAnsi" w:cstheme="majorHAnsi"/>
          <w:sz w:val="24"/>
          <w:szCs w:val="24"/>
          <w:lang w:val="ro-RO"/>
        </w:rPr>
        <w:t xml:space="preserve"> pentru anul 2020 la ajustarea indicatorilor bugetari la venituri, cheltuieli și soldul bugetar (deficit) a fost evoluția economiei naționale sub presiunea efectelor pandemiei COVID-19;</w:t>
      </w:r>
    </w:p>
    <w:p w:rsidR="00325584" w:rsidRPr="00B05CFC" w:rsidRDefault="00325584" w:rsidP="00325584">
      <w:pPr>
        <w:numPr>
          <w:ilvl w:val="0"/>
          <w:numId w:val="15"/>
        </w:numPr>
        <w:shd w:val="clear" w:color="auto" w:fill="FFFFFF" w:themeFill="background1"/>
        <w:tabs>
          <w:tab w:val="left" w:pos="284"/>
          <w:tab w:val="left" w:pos="993"/>
        </w:tabs>
        <w:spacing w:after="0" w:line="276" w:lineRule="auto"/>
        <w:ind w:left="0" w:firstLine="0"/>
        <w:contextualSpacing/>
        <w:rPr>
          <w:rFonts w:asciiTheme="majorHAnsi" w:eastAsia="Times New Roman" w:hAnsiTheme="majorHAnsi" w:cstheme="majorHAnsi"/>
          <w:sz w:val="24"/>
          <w:szCs w:val="24"/>
          <w:lang w:val="ro-RO"/>
        </w:rPr>
      </w:pPr>
      <w:r w:rsidRPr="00F55BA6">
        <w:rPr>
          <w:rFonts w:asciiTheme="majorHAnsi" w:eastAsia="Times New Roman" w:hAnsiTheme="majorHAnsi" w:cstheme="majorHAnsi"/>
          <w:sz w:val="24"/>
          <w:szCs w:val="24"/>
          <w:lang w:val="ro-RO"/>
        </w:rPr>
        <w:t xml:space="preserve">pe parcursul anului au fost elaborate și adoptate 3 </w:t>
      </w:r>
      <w:r w:rsidR="00A74616" w:rsidRPr="00F55BA6">
        <w:rPr>
          <w:rFonts w:asciiTheme="majorHAnsi" w:eastAsia="Times New Roman" w:hAnsiTheme="majorHAnsi" w:cstheme="majorHAnsi"/>
          <w:sz w:val="24"/>
          <w:szCs w:val="24"/>
          <w:lang w:val="ro-RO"/>
        </w:rPr>
        <w:t xml:space="preserve">hotărâri de Guvern </w:t>
      </w:r>
      <w:r w:rsidRPr="00F55BA6">
        <w:rPr>
          <w:rFonts w:asciiTheme="majorHAnsi" w:eastAsia="Times New Roman" w:hAnsiTheme="majorHAnsi" w:cstheme="majorHAnsi"/>
          <w:sz w:val="24"/>
          <w:szCs w:val="24"/>
          <w:lang w:val="ro-RO"/>
        </w:rPr>
        <w:t xml:space="preserve">privind redistribuirea și repartizarea alocațiilor prevăzute în Legea bugetului de stat pentru anul 2020, iar în modulul </w:t>
      </w:r>
      <w:r w:rsidR="00A74616" w:rsidRPr="00F55BA6">
        <w:rPr>
          <w:rFonts w:asciiTheme="majorHAnsi" w:eastAsia="Times New Roman" w:hAnsiTheme="majorHAnsi" w:cstheme="majorHAnsi"/>
          <w:sz w:val="24"/>
          <w:szCs w:val="24"/>
          <w:lang w:val="ro-RO"/>
        </w:rPr>
        <w:t>„</w:t>
      </w:r>
      <w:r w:rsidRPr="00F55BA6">
        <w:rPr>
          <w:rFonts w:asciiTheme="majorHAnsi" w:eastAsia="Times New Roman" w:hAnsiTheme="majorHAnsi" w:cstheme="majorHAnsi"/>
          <w:sz w:val="24"/>
          <w:szCs w:val="24"/>
          <w:lang w:val="ro-RO"/>
        </w:rPr>
        <w:t>e-</w:t>
      </w:r>
      <w:r w:rsidR="00A74616" w:rsidRPr="00F55BA6">
        <w:rPr>
          <w:rFonts w:asciiTheme="majorHAnsi" w:eastAsia="Times New Roman" w:hAnsiTheme="majorHAnsi" w:cstheme="majorHAnsi"/>
          <w:sz w:val="24"/>
          <w:szCs w:val="24"/>
          <w:lang w:val="ro-RO"/>
        </w:rPr>
        <w:t>A</w:t>
      </w:r>
      <w:r w:rsidRPr="00F55BA6">
        <w:rPr>
          <w:rFonts w:asciiTheme="majorHAnsi" w:eastAsia="Times New Roman" w:hAnsiTheme="majorHAnsi" w:cstheme="majorHAnsi"/>
          <w:sz w:val="24"/>
          <w:szCs w:val="24"/>
          <w:lang w:val="ro-RO"/>
        </w:rPr>
        <w:t>locații</w:t>
      </w:r>
      <w:r w:rsidR="00A74616" w:rsidRPr="00F55BA6">
        <w:rPr>
          <w:rFonts w:asciiTheme="majorHAnsi" w:eastAsia="Times New Roman" w:hAnsiTheme="majorHAnsi" w:cstheme="majorHAnsi"/>
          <w:sz w:val="24"/>
          <w:szCs w:val="24"/>
          <w:lang w:val="ro-RO"/>
        </w:rPr>
        <w:t>”</w:t>
      </w:r>
      <w:r w:rsidRPr="00F55BA6">
        <w:rPr>
          <w:rFonts w:asciiTheme="majorHAnsi" w:eastAsia="Times New Roman" w:hAnsiTheme="majorHAnsi" w:cstheme="majorHAnsi"/>
          <w:sz w:val="24"/>
          <w:szCs w:val="24"/>
          <w:lang w:val="ro-RO"/>
        </w:rPr>
        <w:t xml:space="preserve"> sunt înregistrate 1001 modificări inițiate de MF în calitate de administrator de buget. </w:t>
      </w:r>
      <w:r w:rsidRPr="00E4517B">
        <w:rPr>
          <w:rFonts w:asciiTheme="majorHAnsi" w:hAnsiTheme="majorHAnsi" w:cstheme="majorHAnsi"/>
          <w:sz w:val="24"/>
          <w:szCs w:val="24"/>
          <w:lang w:val="ro-RO"/>
        </w:rPr>
        <w:t>Conform art.60 alin.(4) din Legea nr.181 din 25.07.2014, redistribuirea alocațiilor bugetare se efect</w:t>
      </w:r>
      <w:r w:rsidRPr="00973E5B">
        <w:rPr>
          <w:rFonts w:asciiTheme="majorHAnsi" w:hAnsiTheme="majorHAnsi" w:cstheme="majorHAnsi"/>
          <w:sz w:val="24"/>
          <w:szCs w:val="24"/>
          <w:lang w:val="ro-RO"/>
        </w:rPr>
        <w:t xml:space="preserve">uează până la 30 noiembrie a anului bugetar, însă verificările auditului au constatat că în luna decembrie au fost redistribuite alocații cu acordul Guvernului (HG nr.896 din 14.12.2020) și cu acordul MF; </w:t>
      </w:r>
    </w:p>
    <w:p w:rsidR="00044DBB" w:rsidRPr="00973E5B" w:rsidRDefault="00325584" w:rsidP="002F2826">
      <w:pPr>
        <w:numPr>
          <w:ilvl w:val="0"/>
          <w:numId w:val="14"/>
        </w:numPr>
        <w:shd w:val="clear" w:color="auto" w:fill="FFFFFF" w:themeFill="background1"/>
        <w:tabs>
          <w:tab w:val="left" w:pos="284"/>
        </w:tabs>
        <w:spacing w:after="0" w:line="276" w:lineRule="auto"/>
        <w:ind w:left="0" w:firstLine="0"/>
        <w:contextualSpacing/>
        <w:rPr>
          <w:rFonts w:asciiTheme="majorHAnsi" w:hAnsiTheme="majorHAnsi" w:cstheme="majorHAnsi"/>
          <w:sz w:val="24"/>
          <w:szCs w:val="24"/>
          <w:lang w:val="ro-RO"/>
        </w:rPr>
      </w:pPr>
      <w:r w:rsidRPr="00E4517B">
        <w:rPr>
          <w:rFonts w:asciiTheme="majorHAnsi" w:hAnsiTheme="majorHAnsi" w:cstheme="majorHAnsi"/>
          <w:sz w:val="24"/>
          <w:szCs w:val="24"/>
          <w:lang w:val="ro-RO"/>
        </w:rPr>
        <w:t>Ordinul MF nr.209 din 24.12.2015</w:t>
      </w:r>
      <w:r w:rsidRPr="00E4517B">
        <w:rPr>
          <w:rFonts w:asciiTheme="majorHAnsi" w:hAnsiTheme="majorHAnsi" w:cstheme="majorHAnsi"/>
          <w:sz w:val="24"/>
          <w:szCs w:val="24"/>
          <w:vertAlign w:val="superscript"/>
          <w:lang w:val="ro-RO"/>
        </w:rPr>
        <w:footnoteReference w:id="33"/>
      </w:r>
      <w:r w:rsidRPr="00E4517B">
        <w:rPr>
          <w:rFonts w:asciiTheme="majorHAnsi" w:hAnsiTheme="majorHAnsi" w:cstheme="majorHAnsi"/>
          <w:sz w:val="24"/>
          <w:szCs w:val="24"/>
          <w:lang w:val="ro-RO"/>
        </w:rPr>
        <w:t xml:space="preserve"> nu este modifica</w:t>
      </w:r>
      <w:r w:rsidRPr="000C5521">
        <w:rPr>
          <w:rFonts w:asciiTheme="majorHAnsi" w:hAnsiTheme="majorHAnsi" w:cstheme="majorHAnsi"/>
          <w:sz w:val="24"/>
          <w:szCs w:val="24"/>
          <w:lang w:val="ro-RO"/>
        </w:rPr>
        <w:t>t conform cadrului legal actual;</w:t>
      </w:r>
    </w:p>
    <w:p w:rsidR="00B72D16" w:rsidRPr="00E4517B" w:rsidRDefault="00325584" w:rsidP="00746377">
      <w:pPr>
        <w:numPr>
          <w:ilvl w:val="0"/>
          <w:numId w:val="15"/>
        </w:numPr>
        <w:shd w:val="clear" w:color="auto" w:fill="FFFFFF" w:themeFill="background1"/>
        <w:tabs>
          <w:tab w:val="left" w:pos="284"/>
          <w:tab w:val="left" w:pos="993"/>
        </w:tabs>
        <w:spacing w:after="0" w:line="276" w:lineRule="auto"/>
        <w:ind w:left="0" w:firstLine="0"/>
        <w:contextualSpacing/>
        <w:rPr>
          <w:rFonts w:asciiTheme="majorHAnsi" w:eastAsia="Times New Roman" w:hAnsiTheme="majorHAnsi" w:cstheme="majorHAnsi"/>
          <w:sz w:val="24"/>
          <w:szCs w:val="24"/>
          <w:lang w:val="ro-RO"/>
        </w:rPr>
      </w:pPr>
      <w:r w:rsidRPr="00B05CFC">
        <w:rPr>
          <w:rFonts w:asciiTheme="majorHAnsi" w:eastAsia="Times New Roman" w:hAnsiTheme="majorHAnsi" w:cstheme="majorHAnsi"/>
          <w:sz w:val="24"/>
          <w:szCs w:val="24"/>
          <w:lang w:val="ro-RO"/>
        </w:rPr>
        <w:t xml:space="preserve">conform art.47 alin.(1) lit. f) din Legea nr.181 din 25.07.2014, </w:t>
      </w:r>
      <w:r w:rsidRPr="00F55BA6">
        <w:rPr>
          <w:rFonts w:asciiTheme="majorHAnsi" w:eastAsia="Times New Roman" w:hAnsiTheme="majorHAnsi" w:cstheme="majorHAnsi"/>
          <w:sz w:val="24"/>
          <w:szCs w:val="24"/>
          <w:lang w:val="ro-RO"/>
        </w:rPr>
        <w:t xml:space="preserve">MF întocmește și prezintă spre auditare Curții de Conturi Raportul anual privind executarea BS până la 15 aprilie a anului următor anului bugetar încheiat. În condițiile pandemiei, a fost prelungit termenul de prezentare a Raportului până la 17 mai 2021. Astfel, MF a prezentat Raportul în termen Curții de Conturi, la </w:t>
      </w:r>
      <w:r w:rsidR="00710CBC" w:rsidRPr="00F55BA6">
        <w:rPr>
          <w:rFonts w:asciiTheme="majorHAnsi" w:eastAsia="Times New Roman" w:hAnsiTheme="majorHAnsi" w:cstheme="majorHAnsi"/>
          <w:sz w:val="24"/>
          <w:szCs w:val="24"/>
          <w:lang w:val="ro-RO"/>
        </w:rPr>
        <w:t>12.05.2021</w:t>
      </w:r>
      <w:r w:rsidR="00A74616" w:rsidRPr="00F55BA6">
        <w:rPr>
          <w:rFonts w:asciiTheme="majorHAnsi" w:eastAsia="Times New Roman" w:hAnsiTheme="majorHAnsi" w:cstheme="majorHAnsi"/>
          <w:sz w:val="24"/>
          <w:szCs w:val="24"/>
          <w:lang w:val="ro-RO"/>
        </w:rPr>
        <w:t>;</w:t>
      </w:r>
    </w:p>
    <w:p w:rsidR="00ED1629" w:rsidRPr="00051701" w:rsidRDefault="00026EA3" w:rsidP="00ED1629">
      <w:pPr>
        <w:numPr>
          <w:ilvl w:val="0"/>
          <w:numId w:val="15"/>
        </w:numPr>
        <w:shd w:val="clear" w:color="auto" w:fill="FFFFFF" w:themeFill="background1"/>
        <w:tabs>
          <w:tab w:val="left" w:pos="284"/>
          <w:tab w:val="left" w:pos="993"/>
        </w:tabs>
        <w:spacing w:after="0" w:line="276" w:lineRule="auto"/>
        <w:ind w:left="0" w:firstLine="0"/>
        <w:contextualSpacing/>
        <w:rPr>
          <w:rFonts w:asciiTheme="majorHAnsi" w:eastAsia="Times New Roman" w:hAnsiTheme="majorHAnsi" w:cstheme="majorHAnsi"/>
          <w:sz w:val="24"/>
          <w:szCs w:val="24"/>
          <w:lang w:val="ro-RO"/>
        </w:rPr>
      </w:pPr>
      <w:r w:rsidRPr="00F55BA6">
        <w:rPr>
          <w:rFonts w:asciiTheme="majorHAnsi" w:eastAsia="Times New Roman" w:hAnsiTheme="majorHAnsi" w:cstheme="majorHAnsi"/>
          <w:sz w:val="24"/>
          <w:szCs w:val="24"/>
          <w:lang w:val="ro-RO" w:bidi="ro-RO"/>
        </w:rPr>
        <w:t xml:space="preserve">în conformitate cu prevederile Ordinului MF nr.168/2020 </w:t>
      </w:r>
      <w:r w:rsidR="00A74616" w:rsidRPr="00F55BA6">
        <w:rPr>
          <w:rFonts w:asciiTheme="majorHAnsi" w:eastAsia="Times New Roman" w:hAnsiTheme="majorHAnsi" w:cstheme="majorHAnsi"/>
          <w:sz w:val="24"/>
          <w:szCs w:val="24"/>
          <w:lang w:val="ro-RO" w:bidi="ro-RO"/>
        </w:rPr>
        <w:t>„C</w:t>
      </w:r>
      <w:r w:rsidRPr="00F55BA6">
        <w:rPr>
          <w:rFonts w:asciiTheme="majorHAnsi" w:eastAsia="Times New Roman" w:hAnsiTheme="majorHAnsi" w:cstheme="majorHAnsi"/>
          <w:sz w:val="24"/>
          <w:szCs w:val="24"/>
          <w:lang w:val="ro-RO" w:bidi="ro-RO"/>
        </w:rPr>
        <w:t>u privire la aprobarea termenelor de prezentare a rapoartelor financiare pentru anul 2020</w:t>
      </w:r>
      <w:r w:rsidR="00A74616" w:rsidRPr="00F55BA6">
        <w:rPr>
          <w:rFonts w:asciiTheme="majorHAnsi" w:eastAsia="Times New Roman" w:hAnsiTheme="majorHAnsi" w:cstheme="majorHAnsi"/>
          <w:sz w:val="24"/>
          <w:szCs w:val="24"/>
          <w:lang w:val="ro-RO" w:bidi="ro-RO"/>
        </w:rPr>
        <w:t>”,</w:t>
      </w:r>
      <w:r w:rsidRPr="00F55BA6">
        <w:rPr>
          <w:rFonts w:asciiTheme="majorHAnsi" w:eastAsia="Times New Roman" w:hAnsiTheme="majorHAnsi" w:cstheme="majorHAnsi"/>
          <w:sz w:val="24"/>
          <w:szCs w:val="24"/>
          <w:lang w:val="ro-RO" w:bidi="ro-RO"/>
        </w:rPr>
        <w:t xml:space="preserve"> autoritățile/instituțiile bugetare au prezentat în termenele stabilite rapoartele financiare pentru anul 2020, cu excepția a 4 autorități și, anume:</w:t>
      </w:r>
      <w:r w:rsidRPr="00F55BA6">
        <w:rPr>
          <w:rFonts w:asciiTheme="majorHAnsi" w:eastAsia="Times New Roman" w:hAnsiTheme="majorHAnsi" w:cstheme="majorHAnsi"/>
          <w:i/>
          <w:iCs/>
          <w:sz w:val="24"/>
          <w:szCs w:val="24"/>
          <w:lang w:val="ro-RO" w:bidi="ro-RO"/>
        </w:rPr>
        <w:t xml:space="preserve"> Agenția de Investiții, MADRM, MECC, Serviciul Prevenirea și Combaterea Spălării Banilor</w:t>
      </w:r>
      <w:r w:rsidRPr="00F55BA6">
        <w:rPr>
          <w:rFonts w:asciiTheme="majorHAnsi" w:eastAsia="Times New Roman" w:hAnsiTheme="majorHAnsi" w:cstheme="majorHAnsi"/>
          <w:sz w:val="24"/>
          <w:szCs w:val="24"/>
          <w:lang w:val="ro-RO" w:bidi="ro-RO"/>
        </w:rPr>
        <w:t xml:space="preserve">, care au solicitat prelungirea termenului de prezentare a </w:t>
      </w:r>
      <w:r w:rsidRPr="00051701">
        <w:rPr>
          <w:rFonts w:asciiTheme="majorHAnsi" w:eastAsia="Times New Roman" w:hAnsiTheme="majorHAnsi" w:cstheme="majorHAnsi"/>
          <w:sz w:val="24"/>
          <w:szCs w:val="24"/>
          <w:lang w:val="ro-RO" w:bidi="ro-RO"/>
        </w:rPr>
        <w:t>raportului.</w:t>
      </w:r>
      <w:r w:rsidRPr="00051701">
        <w:rPr>
          <w:rFonts w:asciiTheme="majorHAnsi" w:eastAsia="Courier New" w:hAnsiTheme="majorHAnsi" w:cstheme="majorHAnsi"/>
          <w:color w:val="000000"/>
          <w:sz w:val="24"/>
          <w:szCs w:val="24"/>
          <w:lang w:val="ro-RO" w:eastAsia="ro-RO" w:bidi="ro-RO"/>
        </w:rPr>
        <w:t xml:space="preserve"> MF</w:t>
      </w:r>
      <w:r w:rsidR="004946B2" w:rsidRPr="00051701">
        <w:rPr>
          <w:rFonts w:asciiTheme="majorHAnsi" w:eastAsia="Courier New" w:hAnsiTheme="majorHAnsi" w:cstheme="majorHAnsi"/>
          <w:color w:val="000000"/>
          <w:sz w:val="24"/>
          <w:szCs w:val="24"/>
          <w:lang w:val="ro-RO" w:eastAsia="ro-RO" w:bidi="ro-RO"/>
        </w:rPr>
        <w:t>,</w:t>
      </w:r>
      <w:r w:rsidRPr="00051701">
        <w:rPr>
          <w:rFonts w:asciiTheme="majorHAnsi" w:eastAsia="Courier New" w:hAnsiTheme="majorHAnsi" w:cstheme="majorHAnsi"/>
          <w:color w:val="000000"/>
          <w:sz w:val="24"/>
          <w:szCs w:val="24"/>
          <w:lang w:val="ro-RO" w:eastAsia="ro-RO" w:bidi="ro-RO"/>
        </w:rPr>
        <w:t xml:space="preserve"> </w:t>
      </w:r>
      <w:r w:rsidRPr="00051701">
        <w:rPr>
          <w:rFonts w:asciiTheme="majorHAnsi" w:eastAsia="Times New Roman" w:hAnsiTheme="majorHAnsi" w:cstheme="majorHAnsi"/>
          <w:sz w:val="24"/>
          <w:szCs w:val="24"/>
          <w:lang w:val="ro-RO" w:bidi="ro-RO"/>
        </w:rPr>
        <w:t>în urma verificării rapoartelor, unele au fost respinse de nenumărate ori pentru corectarea greșelilor până a fi aprobate.</w:t>
      </w:r>
    </w:p>
    <w:p w:rsidR="00C77062" w:rsidRPr="00F55BA6" w:rsidRDefault="00C77062" w:rsidP="00C77062">
      <w:pPr>
        <w:tabs>
          <w:tab w:val="left" w:pos="426"/>
        </w:tabs>
        <w:spacing w:after="0" w:line="276" w:lineRule="auto"/>
        <w:contextualSpacing/>
        <w:jc w:val="left"/>
        <w:outlineLvl w:val="0"/>
        <w:rPr>
          <w:rFonts w:asciiTheme="majorHAnsi" w:hAnsiTheme="majorHAnsi" w:cstheme="majorHAnsi"/>
          <w:b/>
          <w:szCs w:val="28"/>
          <w:lang w:val="ro-RO"/>
        </w:rPr>
      </w:pPr>
      <w:r w:rsidRPr="00F55BA6">
        <w:rPr>
          <w:rFonts w:asciiTheme="majorHAnsi" w:hAnsiTheme="majorHAnsi" w:cstheme="majorHAnsi"/>
          <w:b/>
          <w:sz w:val="24"/>
          <w:szCs w:val="24"/>
          <w:lang w:val="ro-RO"/>
        </w:rPr>
        <w:t>6.5. Evidența contabilă a executării de casă a mijloacelor BS a fost asigurată cu unele abateri/devieri de la prevederile cadrului normativ</w:t>
      </w:r>
      <w:r w:rsidR="00FD2D68">
        <w:rPr>
          <w:rFonts w:asciiTheme="majorHAnsi" w:hAnsiTheme="majorHAnsi" w:cstheme="majorHAnsi"/>
          <w:b/>
          <w:sz w:val="24"/>
          <w:szCs w:val="24"/>
          <w:lang w:val="ro-RO"/>
        </w:rPr>
        <w:t>.</w:t>
      </w:r>
    </w:p>
    <w:p w:rsidR="0059639C" w:rsidRPr="00E4517B" w:rsidRDefault="0059639C" w:rsidP="00ED1629">
      <w:pPr>
        <w:shd w:val="clear" w:color="auto" w:fill="FFFFFF"/>
        <w:spacing w:after="0" w:line="276" w:lineRule="auto"/>
        <w:ind w:right="45"/>
        <w:rPr>
          <w:rFonts w:asciiTheme="majorHAnsi" w:hAnsiTheme="majorHAnsi" w:cstheme="majorHAnsi"/>
          <w:sz w:val="24"/>
          <w:szCs w:val="24"/>
          <w:lang w:val="ro-RO"/>
        </w:rPr>
      </w:pPr>
      <w:r w:rsidRPr="00E4517B">
        <w:rPr>
          <w:rFonts w:asciiTheme="majorHAnsi" w:eastAsia="Times New Roman" w:hAnsiTheme="majorHAnsi" w:cstheme="majorHAnsi"/>
          <w:sz w:val="24"/>
          <w:szCs w:val="24"/>
          <w:lang w:val="ro-RO" w:eastAsia="ru-RU"/>
        </w:rPr>
        <w:t>MF are misiunea de realizare a managementului finanțelor publice</w:t>
      </w:r>
      <w:r w:rsidRPr="00E4517B">
        <w:rPr>
          <w:rFonts w:asciiTheme="majorHAnsi" w:eastAsia="Times New Roman" w:hAnsiTheme="majorHAnsi" w:cstheme="majorHAnsi"/>
          <w:sz w:val="24"/>
          <w:szCs w:val="24"/>
          <w:vertAlign w:val="superscript"/>
          <w:lang w:val="ro-RO" w:eastAsia="ru-RU"/>
        </w:rPr>
        <w:footnoteReference w:id="34"/>
      </w:r>
      <w:r w:rsidRPr="00E4517B">
        <w:rPr>
          <w:rFonts w:asciiTheme="majorHAnsi" w:eastAsia="Times New Roman" w:hAnsiTheme="majorHAnsi" w:cstheme="majorHAnsi"/>
          <w:sz w:val="24"/>
          <w:szCs w:val="24"/>
          <w:lang w:val="ro-RO" w:eastAsia="ru-RU"/>
        </w:rPr>
        <w:t xml:space="preserve"> și administrează bugetul de stat. </w:t>
      </w:r>
      <w:r w:rsidRPr="00F55BA6">
        <w:rPr>
          <w:rFonts w:asciiTheme="majorHAnsi" w:hAnsiTheme="majorHAnsi" w:cstheme="majorHAnsi"/>
          <w:sz w:val="24"/>
          <w:szCs w:val="24"/>
          <w:lang w:val="ro-RO"/>
        </w:rPr>
        <w:t>G</w:t>
      </w:r>
      <w:r w:rsidRPr="00F55BA6">
        <w:rPr>
          <w:rFonts w:asciiTheme="majorHAnsi" w:hAnsiTheme="majorHAnsi" w:cstheme="majorHAnsi"/>
          <w:sz w:val="24"/>
          <w:szCs w:val="24"/>
          <w:lang w:val="ro-RO" w:eastAsia="ru-RU"/>
        </w:rPr>
        <w:t>estionarea mijloacelor BS se efectuează prin contul unic trezorerial, deschis în sistemul de evidență contabilă al BNM.</w:t>
      </w:r>
      <w:r w:rsidRPr="00E4517B">
        <w:rPr>
          <w:rFonts w:asciiTheme="majorHAnsi" w:eastAsia="Times New Roman" w:hAnsiTheme="majorHAnsi" w:cstheme="majorHAnsi"/>
          <w:sz w:val="24"/>
          <w:szCs w:val="24"/>
          <w:lang w:val="ro-RO" w:eastAsia="ru-RU"/>
        </w:rPr>
        <w:t xml:space="preserve"> </w:t>
      </w:r>
      <w:r w:rsidRPr="00F55BA6">
        <w:rPr>
          <w:rFonts w:asciiTheme="majorHAnsi" w:eastAsia="Times New Roman" w:hAnsiTheme="majorHAnsi" w:cstheme="majorHAnsi"/>
          <w:sz w:val="24"/>
          <w:szCs w:val="24"/>
          <w:lang w:val="ro-RO"/>
        </w:rPr>
        <w:t>Conform art.63 din Legea nr.181 din 25.07.2014</w:t>
      </w:r>
      <w:r w:rsidR="00A74616" w:rsidRPr="00F55BA6">
        <w:rPr>
          <w:rFonts w:asciiTheme="majorHAnsi" w:eastAsia="Times New Roman" w:hAnsiTheme="majorHAnsi" w:cstheme="majorHAnsi"/>
          <w:sz w:val="24"/>
          <w:szCs w:val="24"/>
          <w:lang w:val="ro-RO"/>
        </w:rPr>
        <w:t>,</w:t>
      </w:r>
      <w:r w:rsidRPr="00F55BA6">
        <w:rPr>
          <w:rFonts w:asciiTheme="majorHAnsi" w:eastAsia="Times New Roman" w:hAnsiTheme="majorHAnsi" w:cstheme="majorHAnsi"/>
          <w:sz w:val="24"/>
          <w:szCs w:val="24"/>
          <w:lang w:val="ro-RO"/>
        </w:rPr>
        <w:t xml:space="preserve"> încasările și plățile BS se efectuează prin sistemul trezorerial conform metodei de casă.</w:t>
      </w:r>
      <w:r w:rsidRPr="00E4517B">
        <w:rPr>
          <w:rFonts w:asciiTheme="majorHAnsi" w:eastAsia="Times New Roman" w:hAnsiTheme="majorHAnsi" w:cstheme="majorHAnsi"/>
          <w:sz w:val="24"/>
          <w:szCs w:val="24"/>
          <w:lang w:val="ro-RO" w:eastAsia="ru-RU"/>
        </w:rPr>
        <w:t xml:space="preserve"> </w:t>
      </w:r>
      <w:r w:rsidRPr="000C5521">
        <w:rPr>
          <w:rFonts w:asciiTheme="majorHAnsi" w:eastAsia="Times New Roman" w:hAnsiTheme="majorHAnsi" w:cstheme="majorHAnsi"/>
          <w:sz w:val="24"/>
          <w:szCs w:val="24"/>
          <w:lang w:val="ro-RO" w:eastAsia="ru-RU"/>
        </w:rPr>
        <w:t>Datele privind indici</w:t>
      </w:r>
      <w:r w:rsidRPr="00973E5B">
        <w:rPr>
          <w:rFonts w:asciiTheme="majorHAnsi" w:eastAsia="Times New Roman" w:hAnsiTheme="majorHAnsi" w:cstheme="majorHAnsi"/>
          <w:sz w:val="24"/>
          <w:szCs w:val="24"/>
          <w:lang w:val="ro-RO" w:eastAsia="ru-RU"/>
        </w:rPr>
        <w:t>i bugetari aprobaț</w:t>
      </w:r>
      <w:r w:rsidR="00677440" w:rsidRPr="00B05CFC">
        <w:rPr>
          <w:rFonts w:asciiTheme="majorHAnsi" w:eastAsia="Times New Roman" w:hAnsiTheme="majorHAnsi" w:cstheme="majorHAnsi"/>
          <w:sz w:val="24"/>
          <w:szCs w:val="24"/>
          <w:lang w:val="ro-RO" w:eastAsia="ru-RU"/>
        </w:rPr>
        <w:t xml:space="preserve">i și precizați la venituri, </w:t>
      </w:r>
      <w:r w:rsidRPr="00E4517B">
        <w:rPr>
          <w:rFonts w:asciiTheme="majorHAnsi" w:eastAsia="Times New Roman" w:hAnsiTheme="majorHAnsi" w:cstheme="majorHAnsi"/>
          <w:sz w:val="24"/>
          <w:szCs w:val="24"/>
          <w:lang w:val="ro-RO" w:eastAsia="ru-RU"/>
        </w:rPr>
        <w:t>cheltuieli</w:t>
      </w:r>
      <w:r w:rsidR="00677440" w:rsidRPr="00E4517B">
        <w:rPr>
          <w:rFonts w:asciiTheme="majorHAnsi" w:eastAsia="Times New Roman" w:hAnsiTheme="majorHAnsi" w:cstheme="majorHAnsi"/>
          <w:sz w:val="24"/>
          <w:szCs w:val="24"/>
          <w:lang w:val="ro-RO" w:eastAsia="ru-RU"/>
        </w:rPr>
        <w:t xml:space="preserve"> și sursele de finanțare</w:t>
      </w:r>
      <w:r w:rsidRPr="00E4517B">
        <w:rPr>
          <w:rFonts w:asciiTheme="majorHAnsi" w:eastAsia="Times New Roman" w:hAnsiTheme="majorHAnsi" w:cstheme="majorHAnsi"/>
          <w:sz w:val="24"/>
          <w:szCs w:val="24"/>
          <w:lang w:val="ro-RO" w:eastAsia="ru-RU"/>
        </w:rPr>
        <w:t>, executarea de casă a veniturilor și cheltuielilor sunt date agregate din sistemul de evidență trezorerială al MF, iar ceilalți indici se includ ca rezultat al consolidării datelor rapoartelor financiare prezentate de către autoritățile/instituțiile bugetare, responsabilitatea pentru corectitudinea și veridicitatea datelor revenindu-le acestora.</w:t>
      </w:r>
    </w:p>
    <w:p w:rsidR="00ED1629" w:rsidRPr="00973E5B" w:rsidRDefault="0059639C" w:rsidP="00ED1629">
      <w:pPr>
        <w:shd w:val="clear" w:color="auto" w:fill="FFFFFF"/>
        <w:spacing w:after="0" w:line="276" w:lineRule="auto"/>
        <w:ind w:right="45"/>
        <w:rPr>
          <w:rFonts w:asciiTheme="majorHAnsi" w:hAnsiTheme="majorHAnsi" w:cstheme="majorHAnsi"/>
          <w:bCs/>
          <w:i/>
          <w:sz w:val="24"/>
          <w:szCs w:val="24"/>
          <w:lang w:val="ro-RO"/>
        </w:rPr>
      </w:pPr>
      <w:r w:rsidRPr="00E4517B">
        <w:rPr>
          <w:rFonts w:asciiTheme="majorHAnsi" w:hAnsiTheme="majorHAnsi" w:cstheme="majorHAnsi"/>
          <w:sz w:val="24"/>
          <w:szCs w:val="24"/>
          <w:lang w:val="ro-RO"/>
        </w:rPr>
        <w:t>Auditul menționează că</w:t>
      </w:r>
      <w:r w:rsidR="00ED1629" w:rsidRPr="00E4517B">
        <w:rPr>
          <w:rFonts w:asciiTheme="majorHAnsi" w:hAnsiTheme="majorHAnsi" w:cstheme="majorHAnsi"/>
          <w:sz w:val="24"/>
          <w:szCs w:val="24"/>
          <w:lang w:val="ro-RO"/>
        </w:rPr>
        <w:t xml:space="preserve"> Direcția Trezoreria de Stat nu întocmește registrele evidenței contabile a executării de casă a BS la nivel generalizat. Fiecare Trezorerie Regională ține separat evidența contabilă a executării de casă a BS, bugetelor locale și mijloacelor extrabugetare</w:t>
      </w:r>
      <w:r w:rsidR="00E540B4" w:rsidRPr="00E4517B">
        <w:rPr>
          <w:rFonts w:asciiTheme="majorHAnsi" w:hAnsiTheme="majorHAnsi" w:cstheme="majorHAnsi"/>
          <w:sz w:val="24"/>
          <w:szCs w:val="24"/>
          <w:lang w:val="ro-RO"/>
        </w:rPr>
        <w:t>,</w:t>
      </w:r>
      <w:r w:rsidR="00ED1629" w:rsidRPr="00E4517B">
        <w:rPr>
          <w:rFonts w:asciiTheme="majorHAnsi" w:hAnsiTheme="majorHAnsi" w:cstheme="majorHAnsi"/>
          <w:sz w:val="24"/>
          <w:szCs w:val="24"/>
          <w:lang w:val="ro-RO"/>
        </w:rPr>
        <w:t xml:space="preserve"> iar Direcția Trezoreria de Stat </w:t>
      </w:r>
      <w:r w:rsidR="00E540B4" w:rsidRPr="00E4517B">
        <w:rPr>
          <w:rFonts w:asciiTheme="majorHAnsi" w:hAnsiTheme="majorHAnsi" w:cstheme="majorHAnsi"/>
          <w:sz w:val="24"/>
          <w:szCs w:val="24"/>
          <w:lang w:val="ro-RO"/>
        </w:rPr>
        <w:t xml:space="preserve">– </w:t>
      </w:r>
      <w:r w:rsidR="00ED1629" w:rsidRPr="00E4517B">
        <w:rPr>
          <w:rFonts w:asciiTheme="majorHAnsi" w:hAnsiTheme="majorHAnsi" w:cstheme="majorHAnsi"/>
          <w:sz w:val="24"/>
          <w:szCs w:val="24"/>
          <w:lang w:val="ro-RO"/>
        </w:rPr>
        <w:t xml:space="preserve">pentru operațiunile de la </w:t>
      </w:r>
      <w:r w:rsidR="00E540B4" w:rsidRPr="00E4517B">
        <w:rPr>
          <w:rFonts w:asciiTheme="majorHAnsi" w:hAnsiTheme="majorHAnsi" w:cstheme="majorHAnsi"/>
          <w:sz w:val="24"/>
          <w:szCs w:val="24"/>
          <w:lang w:val="ro-RO"/>
        </w:rPr>
        <w:t>„</w:t>
      </w:r>
      <w:r w:rsidR="00ED1629" w:rsidRPr="00E4517B">
        <w:rPr>
          <w:rFonts w:asciiTheme="majorHAnsi" w:hAnsiTheme="majorHAnsi" w:cstheme="majorHAnsi"/>
          <w:sz w:val="24"/>
          <w:szCs w:val="24"/>
          <w:lang w:val="ro-RO"/>
        </w:rPr>
        <w:t xml:space="preserve">Acțiuni generale” și alte operațiuni centralizate. Astfel, în baza datelor evidenței contabile pe fiecare cont bancar, Direcția Trezoreria de Stat și Trezoreriile </w:t>
      </w:r>
      <w:r w:rsidR="00ED1629" w:rsidRPr="00E4517B">
        <w:rPr>
          <w:rFonts w:asciiTheme="majorHAnsi" w:hAnsiTheme="majorHAnsi" w:cstheme="majorHAnsi"/>
          <w:sz w:val="24"/>
          <w:szCs w:val="24"/>
          <w:lang w:val="ro-RO"/>
        </w:rPr>
        <w:lastRenderedPageBreak/>
        <w:t xml:space="preserve">regionale formează rapoarte privind executarea BS și a bugetelor locale: Raportul privind executarea BS conform clasificației </w:t>
      </w:r>
      <w:r w:rsidR="00ED1629" w:rsidRPr="00F926B9">
        <w:rPr>
          <w:rFonts w:asciiTheme="majorHAnsi" w:hAnsiTheme="majorHAnsi" w:cstheme="majorHAnsi"/>
          <w:sz w:val="24"/>
          <w:szCs w:val="24"/>
          <w:lang w:val="ro-RO"/>
        </w:rPr>
        <w:t>economice (Forma FE-009</w:t>
      </w:r>
      <w:r w:rsidR="00ED1629" w:rsidRPr="00E4517B">
        <w:rPr>
          <w:rFonts w:asciiTheme="majorHAnsi" w:hAnsiTheme="majorHAnsi" w:cstheme="majorHAnsi"/>
          <w:sz w:val="24"/>
          <w:szCs w:val="24"/>
          <w:lang w:val="ro-RO"/>
        </w:rPr>
        <w:t xml:space="preserve">), Balanța de verificare și Bilanțul contabil (Forma FE-022) pe fiecare raion separat, în baza cărora se consolidează </w:t>
      </w:r>
      <w:r w:rsidR="00ED1629" w:rsidRPr="00E4517B">
        <w:rPr>
          <w:rFonts w:asciiTheme="majorHAnsi" w:hAnsiTheme="majorHAnsi" w:cstheme="majorHAnsi"/>
          <w:i/>
          <w:sz w:val="24"/>
          <w:szCs w:val="24"/>
          <w:lang w:val="ro-RO"/>
        </w:rPr>
        <w:t>Raportul</w:t>
      </w:r>
      <w:r w:rsidR="00ED1629" w:rsidRPr="00F55BA6">
        <w:rPr>
          <w:rFonts w:asciiTheme="majorHAnsi" w:eastAsia="Times New Roman" w:hAnsiTheme="majorHAnsi" w:cs="Times New Roman"/>
          <w:bCs/>
          <w:i/>
          <w:sz w:val="32"/>
          <w:szCs w:val="32"/>
          <w:lang w:val="ro-RO"/>
        </w:rPr>
        <w:t xml:space="preserve"> </w:t>
      </w:r>
      <w:r w:rsidR="00ED1629" w:rsidRPr="00F55BA6">
        <w:rPr>
          <w:rFonts w:asciiTheme="majorHAnsi" w:hAnsiTheme="majorHAnsi" w:cstheme="majorHAnsi"/>
          <w:bCs/>
          <w:i/>
          <w:sz w:val="24"/>
          <w:szCs w:val="24"/>
          <w:lang w:val="ro-RO"/>
        </w:rPr>
        <w:t xml:space="preserve">Guvernului privind executarea bugetului de stat. </w:t>
      </w:r>
      <w:r w:rsidR="00ED1629" w:rsidRPr="00E4517B">
        <w:rPr>
          <w:rFonts w:asciiTheme="majorHAnsi" w:hAnsiTheme="majorHAnsi" w:cstheme="majorHAnsi"/>
          <w:sz w:val="24"/>
          <w:szCs w:val="24"/>
          <w:lang w:val="ro-RO"/>
        </w:rPr>
        <w:t>Direcția Trezoreria de Stat verifică și generează rapoartele Trezoreriilor regionale prin intermediul  sistemului informațional.</w:t>
      </w:r>
    </w:p>
    <w:p w:rsidR="00ED1629" w:rsidRPr="00E4517B" w:rsidRDefault="00ED1629" w:rsidP="00ED1629">
      <w:pPr>
        <w:shd w:val="clear" w:color="auto" w:fill="FFFFFF"/>
        <w:spacing w:after="0" w:line="276" w:lineRule="auto"/>
        <w:ind w:right="45"/>
        <w:rPr>
          <w:rFonts w:asciiTheme="majorHAnsi" w:hAnsiTheme="majorHAnsi" w:cstheme="majorHAnsi"/>
          <w:sz w:val="24"/>
          <w:szCs w:val="24"/>
          <w:lang w:val="ro-RO"/>
        </w:rPr>
      </w:pPr>
      <w:r w:rsidRPr="00B05CFC">
        <w:rPr>
          <w:rFonts w:asciiTheme="majorHAnsi" w:eastAsia="Times New Roman" w:hAnsiTheme="majorHAnsi" w:cstheme="majorHAnsi"/>
          <w:iCs/>
          <w:sz w:val="24"/>
          <w:szCs w:val="24"/>
          <w:lang w:val="ro-RO"/>
        </w:rPr>
        <w:t>Verificările auditului asupra documentelor contabile prezentate de către Direcția Trezoreria de Stat și Trezoreria regională Chișinău – BS, au const</w:t>
      </w:r>
      <w:r w:rsidRPr="00E4517B">
        <w:rPr>
          <w:rFonts w:asciiTheme="majorHAnsi" w:eastAsia="Times New Roman" w:hAnsiTheme="majorHAnsi" w:cstheme="majorHAnsi"/>
          <w:iCs/>
          <w:sz w:val="24"/>
          <w:szCs w:val="24"/>
          <w:lang w:val="ro-RO"/>
        </w:rPr>
        <w:t>atat că:</w:t>
      </w:r>
    </w:p>
    <w:p w:rsidR="00ED1629" w:rsidRPr="00B05CFC" w:rsidRDefault="00ED1629" w:rsidP="00ED1629">
      <w:pPr>
        <w:pStyle w:val="af0"/>
        <w:numPr>
          <w:ilvl w:val="0"/>
          <w:numId w:val="15"/>
        </w:numPr>
        <w:tabs>
          <w:tab w:val="left" w:pos="142"/>
        </w:tabs>
        <w:spacing w:after="0" w:line="276" w:lineRule="auto"/>
        <w:ind w:left="0" w:firstLine="0"/>
        <w:rPr>
          <w:rFonts w:asciiTheme="majorHAnsi" w:eastAsia="Times New Roman" w:hAnsiTheme="majorHAnsi" w:cstheme="majorHAnsi"/>
          <w:iCs/>
          <w:sz w:val="24"/>
          <w:szCs w:val="24"/>
          <w:lang w:val="ro-RO"/>
        </w:rPr>
      </w:pPr>
      <w:r w:rsidRPr="00E4517B">
        <w:rPr>
          <w:rFonts w:asciiTheme="majorHAnsi" w:eastAsia="Times New Roman" w:hAnsiTheme="majorHAnsi" w:cstheme="majorHAnsi"/>
          <w:iCs/>
          <w:sz w:val="24"/>
          <w:szCs w:val="24"/>
          <w:lang w:val="ro-RO"/>
        </w:rPr>
        <w:t>Trezoreria regională Chișinău – BS nu a întocmit conform cadrului normativ</w:t>
      </w:r>
      <w:r w:rsidRPr="00F55BA6">
        <w:rPr>
          <w:rStyle w:val="ac"/>
          <w:rFonts w:asciiTheme="majorHAnsi" w:eastAsia="Times New Roman" w:hAnsiTheme="majorHAnsi" w:cstheme="majorHAnsi"/>
          <w:iCs/>
          <w:sz w:val="24"/>
          <w:szCs w:val="24"/>
          <w:lang w:val="ro-RO"/>
        </w:rPr>
        <w:footnoteReference w:id="35"/>
      </w:r>
      <w:r w:rsidRPr="00E4517B">
        <w:rPr>
          <w:rFonts w:asciiTheme="majorHAnsi" w:eastAsia="Times New Roman" w:hAnsiTheme="majorHAnsi" w:cstheme="majorHAnsi"/>
          <w:iCs/>
          <w:sz w:val="24"/>
          <w:szCs w:val="24"/>
          <w:lang w:val="ro-RO"/>
        </w:rPr>
        <w:t xml:space="preserve"> Bilanțul contabil (Forma FE-022), conducându-se de formatul bilanțului la instituțiile bugetare</w:t>
      </w:r>
      <w:r w:rsidR="004C0D2D" w:rsidRPr="00973E5B">
        <w:rPr>
          <w:rFonts w:asciiTheme="majorHAnsi" w:eastAsia="Times New Roman" w:hAnsiTheme="majorHAnsi" w:cstheme="majorHAnsi"/>
          <w:iCs/>
          <w:sz w:val="24"/>
          <w:szCs w:val="24"/>
          <w:lang w:val="ro-RO"/>
        </w:rPr>
        <w:t>;</w:t>
      </w:r>
    </w:p>
    <w:p w:rsidR="00ED1629" w:rsidRPr="00E4517B" w:rsidRDefault="00FD2D68" w:rsidP="00ED1629">
      <w:pPr>
        <w:pStyle w:val="af0"/>
        <w:numPr>
          <w:ilvl w:val="0"/>
          <w:numId w:val="15"/>
        </w:numPr>
        <w:tabs>
          <w:tab w:val="left" w:pos="142"/>
        </w:tabs>
        <w:spacing w:after="0" w:line="276" w:lineRule="auto"/>
        <w:ind w:left="0" w:firstLine="0"/>
        <w:rPr>
          <w:rFonts w:asciiTheme="majorHAnsi" w:eastAsia="Times New Roman" w:hAnsiTheme="majorHAnsi" w:cstheme="majorHAnsi"/>
          <w:iCs/>
          <w:sz w:val="24"/>
          <w:szCs w:val="24"/>
          <w:lang w:val="ro-RO"/>
        </w:rPr>
      </w:pPr>
      <w:r>
        <w:rPr>
          <w:rFonts w:asciiTheme="majorHAnsi" w:eastAsia="Times New Roman" w:hAnsiTheme="majorHAnsi" w:cstheme="majorHAnsi"/>
          <w:iCs/>
          <w:sz w:val="24"/>
          <w:szCs w:val="24"/>
          <w:lang w:val="ro-RO"/>
        </w:rPr>
        <w:t>t</w:t>
      </w:r>
      <w:r w:rsidR="00ED1629" w:rsidRPr="00E4517B">
        <w:rPr>
          <w:rFonts w:asciiTheme="majorHAnsi" w:eastAsia="Times New Roman" w:hAnsiTheme="majorHAnsi" w:cstheme="majorHAnsi"/>
          <w:iCs/>
          <w:sz w:val="24"/>
          <w:szCs w:val="24"/>
          <w:lang w:val="ro-RO"/>
        </w:rPr>
        <w:t>rezoreriile nu au întocmit Registrele evidenței analitice</w:t>
      </w:r>
      <w:r w:rsidR="00AF285E" w:rsidRPr="00E4517B">
        <w:rPr>
          <w:rFonts w:asciiTheme="majorHAnsi" w:eastAsia="Times New Roman" w:hAnsiTheme="majorHAnsi" w:cstheme="majorHAnsi"/>
          <w:iCs/>
          <w:sz w:val="24"/>
          <w:szCs w:val="24"/>
          <w:lang w:val="ro-RO"/>
        </w:rPr>
        <w:t xml:space="preserve"> și</w:t>
      </w:r>
      <w:r w:rsidR="00ED1629" w:rsidRPr="00E4517B">
        <w:rPr>
          <w:rFonts w:asciiTheme="majorHAnsi" w:eastAsia="Times New Roman" w:hAnsiTheme="majorHAnsi" w:cstheme="majorHAnsi"/>
          <w:iCs/>
          <w:sz w:val="24"/>
          <w:szCs w:val="24"/>
          <w:lang w:val="ro-RO"/>
        </w:rPr>
        <w:t xml:space="preserve"> nu au fost broșate lunar, trimestrial și anual pe suport de hârtie</w:t>
      </w:r>
      <w:r w:rsidR="004C0D2D" w:rsidRPr="00E4517B">
        <w:rPr>
          <w:rFonts w:asciiTheme="majorHAnsi" w:eastAsia="Times New Roman" w:hAnsiTheme="majorHAnsi" w:cstheme="majorHAnsi"/>
          <w:iCs/>
          <w:sz w:val="24"/>
          <w:szCs w:val="24"/>
          <w:lang w:val="ro-RO"/>
        </w:rPr>
        <w:t>,</w:t>
      </w:r>
      <w:r w:rsidR="00ED1629" w:rsidRPr="00E4517B">
        <w:rPr>
          <w:rFonts w:asciiTheme="majorHAnsi" w:eastAsia="Times New Roman" w:hAnsiTheme="majorHAnsi" w:cstheme="majorHAnsi"/>
          <w:iCs/>
          <w:sz w:val="24"/>
          <w:szCs w:val="24"/>
          <w:lang w:val="ro-RO"/>
        </w:rPr>
        <w:t xml:space="preserve"> pentru fiecare cont analitic</w:t>
      </w:r>
      <w:r w:rsidR="004C0D2D" w:rsidRPr="00E4517B">
        <w:rPr>
          <w:rFonts w:asciiTheme="majorHAnsi" w:eastAsia="Times New Roman" w:hAnsiTheme="majorHAnsi" w:cstheme="majorHAnsi"/>
          <w:iCs/>
          <w:sz w:val="24"/>
          <w:szCs w:val="24"/>
          <w:lang w:val="ro-RO"/>
        </w:rPr>
        <w:t>;</w:t>
      </w:r>
      <w:r w:rsidR="00ED1629" w:rsidRPr="00E4517B">
        <w:rPr>
          <w:rFonts w:asciiTheme="majorHAnsi" w:eastAsia="Times New Roman" w:hAnsiTheme="majorHAnsi" w:cstheme="majorHAnsi"/>
          <w:iCs/>
          <w:sz w:val="24"/>
          <w:szCs w:val="24"/>
          <w:lang w:val="ro-RO"/>
        </w:rPr>
        <w:t xml:space="preserve">  </w:t>
      </w:r>
    </w:p>
    <w:p w:rsidR="00ED1629" w:rsidRPr="00E4517B" w:rsidRDefault="00ED1629" w:rsidP="00ED1629">
      <w:pPr>
        <w:pStyle w:val="af0"/>
        <w:numPr>
          <w:ilvl w:val="0"/>
          <w:numId w:val="15"/>
        </w:numPr>
        <w:tabs>
          <w:tab w:val="left" w:pos="142"/>
        </w:tabs>
        <w:spacing w:after="0" w:line="276" w:lineRule="auto"/>
        <w:ind w:left="0" w:firstLine="0"/>
        <w:rPr>
          <w:rFonts w:asciiTheme="majorHAnsi" w:eastAsia="Times New Roman" w:hAnsiTheme="majorHAnsi" w:cstheme="majorHAnsi"/>
          <w:iCs/>
          <w:sz w:val="24"/>
          <w:szCs w:val="24"/>
          <w:lang w:val="ro-RO"/>
        </w:rPr>
      </w:pPr>
      <w:r w:rsidRPr="00E4517B">
        <w:rPr>
          <w:rFonts w:asciiTheme="majorHAnsi" w:eastAsia="Times New Roman" w:hAnsiTheme="majorHAnsi" w:cstheme="majorHAnsi"/>
          <w:iCs/>
          <w:sz w:val="24"/>
          <w:szCs w:val="24"/>
          <w:lang w:val="ro-RO"/>
        </w:rPr>
        <w:t>în documentele zilnice nu erau anexate toate Notele de transfer, potrivit explicațiilor acestea se regăsesc doar la Trezoreriile regionale</w:t>
      </w:r>
      <w:r w:rsidR="004C0D2D" w:rsidRPr="00E4517B">
        <w:rPr>
          <w:rFonts w:asciiTheme="majorHAnsi" w:eastAsia="Times New Roman" w:hAnsiTheme="majorHAnsi" w:cstheme="majorHAnsi"/>
          <w:iCs/>
          <w:sz w:val="24"/>
          <w:szCs w:val="24"/>
          <w:lang w:val="ro-RO"/>
        </w:rPr>
        <w:t>;</w:t>
      </w:r>
    </w:p>
    <w:p w:rsidR="00ED1629" w:rsidRPr="00E4517B" w:rsidRDefault="00ED1629" w:rsidP="00ED1629">
      <w:pPr>
        <w:pStyle w:val="af0"/>
        <w:numPr>
          <w:ilvl w:val="0"/>
          <w:numId w:val="15"/>
        </w:numPr>
        <w:tabs>
          <w:tab w:val="left" w:pos="142"/>
        </w:tabs>
        <w:spacing w:after="0" w:line="276" w:lineRule="auto"/>
        <w:ind w:left="0" w:firstLine="0"/>
        <w:rPr>
          <w:rFonts w:asciiTheme="majorHAnsi" w:eastAsia="Times New Roman" w:hAnsiTheme="majorHAnsi" w:cstheme="majorHAnsi"/>
          <w:iCs/>
          <w:sz w:val="24"/>
          <w:szCs w:val="24"/>
          <w:lang w:val="ro-RO"/>
        </w:rPr>
      </w:pPr>
      <w:r w:rsidRPr="00E4517B">
        <w:rPr>
          <w:rFonts w:asciiTheme="majorHAnsi" w:eastAsia="Times New Roman" w:hAnsiTheme="majorHAnsi" w:cstheme="majorHAnsi"/>
          <w:iCs/>
          <w:sz w:val="24"/>
          <w:szCs w:val="24"/>
          <w:lang w:val="ro-RO"/>
        </w:rPr>
        <w:t>deși cadrul normativ prevede prezența  extraselor din conturile trezoreriale pentru venituri bugetare ale beneficiarului, pentru cheltuieli bugetare și pe mijloace colectate, acestea se regăsesc într-un extras generalizat</w:t>
      </w:r>
      <w:r w:rsidR="00AF285E" w:rsidRPr="00E4517B">
        <w:rPr>
          <w:rFonts w:asciiTheme="majorHAnsi" w:eastAsia="Times New Roman" w:hAnsiTheme="majorHAnsi" w:cstheme="majorHAnsi"/>
          <w:iCs/>
          <w:sz w:val="24"/>
          <w:szCs w:val="24"/>
          <w:lang w:val="ro-RO"/>
        </w:rPr>
        <w:t>,</w:t>
      </w:r>
      <w:r w:rsidRPr="00E4517B">
        <w:rPr>
          <w:rFonts w:asciiTheme="majorHAnsi" w:eastAsia="Times New Roman" w:hAnsiTheme="majorHAnsi" w:cstheme="majorHAnsi"/>
          <w:iCs/>
          <w:sz w:val="24"/>
          <w:szCs w:val="24"/>
          <w:lang w:val="ro-RO"/>
        </w:rPr>
        <w:t xml:space="preserve"> MF </w:t>
      </w:r>
      <w:r w:rsidR="00AF285E" w:rsidRPr="00E4517B">
        <w:rPr>
          <w:rFonts w:asciiTheme="majorHAnsi" w:eastAsia="Times New Roman" w:hAnsiTheme="majorHAnsi" w:cstheme="majorHAnsi"/>
          <w:iCs/>
          <w:sz w:val="24"/>
          <w:szCs w:val="24"/>
          <w:lang w:val="ro-RO"/>
        </w:rPr>
        <w:t xml:space="preserve">a </w:t>
      </w:r>
      <w:r w:rsidRPr="00E4517B">
        <w:rPr>
          <w:rFonts w:asciiTheme="majorHAnsi" w:eastAsia="Times New Roman" w:hAnsiTheme="majorHAnsi" w:cstheme="majorHAnsi"/>
          <w:iCs/>
          <w:sz w:val="24"/>
          <w:szCs w:val="24"/>
          <w:lang w:val="ro-RO"/>
        </w:rPr>
        <w:t>invoc</w:t>
      </w:r>
      <w:r w:rsidR="00AF285E" w:rsidRPr="00E4517B">
        <w:rPr>
          <w:rFonts w:asciiTheme="majorHAnsi" w:eastAsia="Times New Roman" w:hAnsiTheme="majorHAnsi" w:cstheme="majorHAnsi"/>
          <w:iCs/>
          <w:sz w:val="24"/>
          <w:szCs w:val="24"/>
          <w:lang w:val="ro-RO"/>
        </w:rPr>
        <w:t>at inițierea</w:t>
      </w:r>
      <w:r w:rsidRPr="00E4517B">
        <w:rPr>
          <w:rFonts w:asciiTheme="majorHAnsi" w:eastAsia="Times New Roman" w:hAnsiTheme="majorHAnsi" w:cstheme="majorHAnsi"/>
          <w:iCs/>
          <w:sz w:val="24"/>
          <w:szCs w:val="24"/>
          <w:lang w:val="ro-RO"/>
        </w:rPr>
        <w:t xml:space="preserve"> modificări</w:t>
      </w:r>
      <w:r w:rsidR="00AF285E" w:rsidRPr="00E4517B">
        <w:rPr>
          <w:rFonts w:asciiTheme="majorHAnsi" w:eastAsia="Times New Roman" w:hAnsiTheme="majorHAnsi" w:cstheme="majorHAnsi"/>
          <w:iCs/>
          <w:sz w:val="24"/>
          <w:szCs w:val="24"/>
          <w:lang w:val="ro-RO"/>
        </w:rPr>
        <w:t>lor</w:t>
      </w:r>
      <w:r w:rsidRPr="00E4517B">
        <w:rPr>
          <w:rFonts w:asciiTheme="majorHAnsi" w:eastAsia="Times New Roman" w:hAnsiTheme="majorHAnsi" w:cstheme="majorHAnsi"/>
          <w:iCs/>
          <w:sz w:val="24"/>
          <w:szCs w:val="24"/>
          <w:lang w:val="ro-RO"/>
        </w:rPr>
        <w:t xml:space="preserve"> la cadrul normativ</w:t>
      </w:r>
      <w:r w:rsidR="004C0D2D" w:rsidRPr="00E4517B">
        <w:rPr>
          <w:rFonts w:asciiTheme="majorHAnsi" w:eastAsia="Times New Roman" w:hAnsiTheme="majorHAnsi" w:cstheme="majorHAnsi"/>
          <w:iCs/>
          <w:sz w:val="24"/>
          <w:szCs w:val="24"/>
          <w:lang w:val="ro-RO"/>
        </w:rPr>
        <w:t>;</w:t>
      </w:r>
    </w:p>
    <w:p w:rsidR="00ED1629" w:rsidRPr="00E4517B" w:rsidRDefault="00ED1629" w:rsidP="00ED1629">
      <w:pPr>
        <w:pStyle w:val="af0"/>
        <w:numPr>
          <w:ilvl w:val="0"/>
          <w:numId w:val="15"/>
        </w:numPr>
        <w:tabs>
          <w:tab w:val="left" w:pos="142"/>
        </w:tabs>
        <w:spacing w:after="0" w:line="276" w:lineRule="auto"/>
        <w:ind w:left="0" w:firstLine="0"/>
        <w:rPr>
          <w:rFonts w:asciiTheme="majorHAnsi" w:eastAsia="Times New Roman" w:hAnsiTheme="majorHAnsi" w:cstheme="majorHAnsi"/>
          <w:iCs/>
          <w:sz w:val="24"/>
          <w:szCs w:val="24"/>
          <w:lang w:val="ro-RO"/>
        </w:rPr>
      </w:pPr>
      <w:r w:rsidRPr="00E4517B">
        <w:rPr>
          <w:rFonts w:asciiTheme="majorHAnsi" w:eastAsia="Times New Roman" w:hAnsiTheme="majorHAnsi" w:cstheme="majorHAnsi"/>
          <w:iCs/>
          <w:sz w:val="24"/>
          <w:szCs w:val="24"/>
          <w:lang w:val="ro-RO"/>
        </w:rPr>
        <w:t>rulajele din extrasele bancare nu corespund cu borderourile ordinelor de plată, cu sumele executate zilnic la emisiunile VMS. Potrivit explicațiilor MF, pentru emisiunea VMS este deschis cont bancar intermediar separat, care la f</w:t>
      </w:r>
      <w:r w:rsidR="00AF7AF4" w:rsidRPr="00E4517B">
        <w:rPr>
          <w:rFonts w:asciiTheme="majorHAnsi" w:eastAsia="Times New Roman" w:hAnsiTheme="majorHAnsi" w:cstheme="majorHAnsi"/>
          <w:iCs/>
          <w:sz w:val="24"/>
          <w:szCs w:val="24"/>
          <w:lang w:val="ro-RO"/>
        </w:rPr>
        <w:t>inele anului bugetar se închide,</w:t>
      </w:r>
      <w:r w:rsidRPr="00E4517B">
        <w:rPr>
          <w:rFonts w:asciiTheme="majorHAnsi" w:eastAsia="Times New Roman" w:hAnsiTheme="majorHAnsi" w:cstheme="majorHAnsi"/>
          <w:iCs/>
          <w:sz w:val="24"/>
          <w:szCs w:val="24"/>
          <w:lang w:val="ro-RO"/>
        </w:rPr>
        <w:t xml:space="preserve"> audit</w:t>
      </w:r>
      <w:r w:rsidR="00AF7AF4" w:rsidRPr="00E4517B">
        <w:rPr>
          <w:rFonts w:asciiTheme="majorHAnsi" w:eastAsia="Times New Roman" w:hAnsiTheme="majorHAnsi" w:cstheme="majorHAnsi"/>
          <w:iCs/>
          <w:sz w:val="24"/>
          <w:szCs w:val="24"/>
          <w:lang w:val="ro-RO"/>
        </w:rPr>
        <w:t>ului fiindu-i</w:t>
      </w:r>
      <w:r w:rsidRPr="00E4517B">
        <w:rPr>
          <w:rFonts w:asciiTheme="majorHAnsi" w:eastAsia="Times New Roman" w:hAnsiTheme="majorHAnsi" w:cstheme="majorHAnsi"/>
          <w:iCs/>
          <w:sz w:val="24"/>
          <w:szCs w:val="24"/>
          <w:lang w:val="ro-RO"/>
        </w:rPr>
        <w:t xml:space="preserve"> prezentat extrasul din 31.12.2020 cu soldul </w:t>
      </w:r>
      <w:r w:rsidR="004C0D2D" w:rsidRPr="00E4517B">
        <w:rPr>
          <w:rFonts w:asciiTheme="majorHAnsi" w:eastAsia="Times New Roman" w:hAnsiTheme="majorHAnsi" w:cstheme="majorHAnsi"/>
          <w:iCs/>
          <w:sz w:val="24"/>
          <w:szCs w:val="24"/>
          <w:lang w:val="ro-RO"/>
        </w:rPr>
        <w:t>„</w:t>
      </w:r>
      <w:r w:rsidRPr="00E4517B">
        <w:rPr>
          <w:rFonts w:asciiTheme="majorHAnsi" w:eastAsia="Times New Roman" w:hAnsiTheme="majorHAnsi" w:cstheme="majorHAnsi"/>
          <w:iCs/>
          <w:sz w:val="24"/>
          <w:szCs w:val="24"/>
          <w:lang w:val="ro-RO"/>
        </w:rPr>
        <w:t>zero”.</w:t>
      </w:r>
    </w:p>
    <w:p w:rsidR="00ED1629" w:rsidRPr="00E4517B" w:rsidRDefault="00ED1629" w:rsidP="00ED1629">
      <w:pPr>
        <w:pStyle w:val="af0"/>
        <w:tabs>
          <w:tab w:val="left" w:pos="142"/>
        </w:tabs>
        <w:spacing w:after="0" w:line="276" w:lineRule="auto"/>
        <w:ind w:left="0"/>
        <w:rPr>
          <w:rFonts w:asciiTheme="majorHAnsi" w:hAnsiTheme="majorHAnsi" w:cstheme="majorHAnsi"/>
          <w:sz w:val="24"/>
          <w:szCs w:val="24"/>
          <w:lang w:val="ro-RO"/>
        </w:rPr>
      </w:pPr>
      <w:r w:rsidRPr="00E4517B">
        <w:rPr>
          <w:rFonts w:asciiTheme="majorHAnsi" w:hAnsiTheme="majorHAnsi" w:cstheme="majorHAnsi"/>
          <w:sz w:val="24"/>
          <w:szCs w:val="24"/>
          <w:lang w:val="ro-RO"/>
        </w:rPr>
        <w:t xml:space="preserve">Auditul a constatat </w:t>
      </w:r>
      <w:r w:rsidR="00AF7AF4" w:rsidRPr="00E4517B">
        <w:rPr>
          <w:rFonts w:asciiTheme="majorHAnsi" w:hAnsiTheme="majorHAnsi" w:cstheme="majorHAnsi"/>
          <w:sz w:val="24"/>
          <w:szCs w:val="24"/>
          <w:lang w:val="ro-RO"/>
        </w:rPr>
        <w:t>că, Direcția Trezoreria de Stat,</w:t>
      </w:r>
      <w:r w:rsidRPr="00E4517B">
        <w:rPr>
          <w:rFonts w:asciiTheme="majorHAnsi" w:hAnsiTheme="majorHAnsi" w:cstheme="majorHAnsi"/>
          <w:sz w:val="24"/>
          <w:szCs w:val="24"/>
          <w:lang w:val="ro-RO"/>
        </w:rPr>
        <w:t xml:space="preserve"> în unele cazuri</w:t>
      </w:r>
      <w:r w:rsidR="00AF7AF4" w:rsidRPr="00E4517B">
        <w:rPr>
          <w:rFonts w:asciiTheme="majorHAnsi" w:hAnsiTheme="majorHAnsi" w:cstheme="majorHAnsi"/>
          <w:sz w:val="24"/>
          <w:szCs w:val="24"/>
          <w:lang w:val="ro-RO"/>
        </w:rPr>
        <w:t>,</w:t>
      </w:r>
      <w:r w:rsidRPr="00E4517B">
        <w:rPr>
          <w:rFonts w:asciiTheme="majorHAnsi" w:hAnsiTheme="majorHAnsi" w:cstheme="majorHAnsi"/>
          <w:sz w:val="24"/>
          <w:szCs w:val="24"/>
          <w:lang w:val="ro-RO"/>
        </w:rPr>
        <w:t xml:space="preserve"> nu</w:t>
      </w:r>
      <w:r w:rsidR="00AF7AF4" w:rsidRPr="00E4517B">
        <w:rPr>
          <w:rFonts w:asciiTheme="majorHAnsi" w:hAnsiTheme="majorHAnsi" w:cstheme="majorHAnsi"/>
          <w:sz w:val="24"/>
          <w:szCs w:val="24"/>
          <w:lang w:val="ro-RO"/>
        </w:rPr>
        <w:t xml:space="preserve"> deține</w:t>
      </w:r>
      <w:r w:rsidRPr="00E4517B">
        <w:rPr>
          <w:rFonts w:asciiTheme="majorHAnsi" w:hAnsiTheme="majorHAnsi" w:cstheme="majorHAnsi"/>
          <w:sz w:val="24"/>
          <w:szCs w:val="24"/>
          <w:lang w:val="ro-RO"/>
        </w:rPr>
        <w:t xml:space="preserve"> informații generalizate </w:t>
      </w:r>
      <w:r w:rsidR="00AF7AF4" w:rsidRPr="00E4517B">
        <w:rPr>
          <w:rFonts w:asciiTheme="majorHAnsi" w:hAnsiTheme="majorHAnsi" w:cstheme="majorHAnsi"/>
          <w:sz w:val="24"/>
          <w:szCs w:val="24"/>
          <w:lang w:val="ro-RO"/>
        </w:rPr>
        <w:t xml:space="preserve">din evidența contabilă a </w:t>
      </w:r>
      <w:r w:rsidRPr="00E4517B">
        <w:rPr>
          <w:rFonts w:asciiTheme="majorHAnsi" w:hAnsiTheme="majorHAnsi" w:cstheme="majorHAnsi"/>
          <w:sz w:val="24"/>
          <w:szCs w:val="24"/>
          <w:lang w:val="ro-RO"/>
        </w:rPr>
        <w:t>execut</w:t>
      </w:r>
      <w:r w:rsidR="00AF7AF4" w:rsidRPr="00E4517B">
        <w:rPr>
          <w:rFonts w:asciiTheme="majorHAnsi" w:hAnsiTheme="majorHAnsi" w:cstheme="majorHAnsi"/>
          <w:sz w:val="24"/>
          <w:szCs w:val="24"/>
          <w:lang w:val="ro-RO"/>
        </w:rPr>
        <w:t>ării de casă a mijloacelor</w:t>
      </w:r>
      <w:r w:rsidRPr="00E4517B">
        <w:rPr>
          <w:rFonts w:asciiTheme="majorHAnsi" w:hAnsiTheme="majorHAnsi" w:cstheme="majorHAnsi"/>
          <w:sz w:val="24"/>
          <w:szCs w:val="24"/>
          <w:lang w:val="ro-RO"/>
        </w:rPr>
        <w:t xml:space="preserve"> BS, inclusiv </w:t>
      </w:r>
      <w:r w:rsidR="004C0D2D" w:rsidRPr="00E4517B">
        <w:rPr>
          <w:rFonts w:asciiTheme="majorHAnsi" w:hAnsiTheme="majorHAnsi" w:cstheme="majorHAnsi"/>
          <w:sz w:val="24"/>
          <w:szCs w:val="24"/>
          <w:lang w:val="ro-RO"/>
        </w:rPr>
        <w:t xml:space="preserve">din </w:t>
      </w:r>
      <w:r w:rsidRPr="00E4517B">
        <w:rPr>
          <w:rFonts w:asciiTheme="majorHAnsi" w:hAnsiTheme="majorHAnsi" w:cstheme="majorHAnsi"/>
          <w:sz w:val="24"/>
          <w:szCs w:val="24"/>
          <w:lang w:val="ro-RO"/>
        </w:rPr>
        <w:t>Not</w:t>
      </w:r>
      <w:r w:rsidR="004C0D2D" w:rsidRPr="00E4517B">
        <w:rPr>
          <w:rFonts w:asciiTheme="majorHAnsi" w:hAnsiTheme="majorHAnsi" w:cstheme="majorHAnsi"/>
          <w:sz w:val="24"/>
          <w:szCs w:val="24"/>
          <w:lang w:val="ro-RO"/>
        </w:rPr>
        <w:t>a</w:t>
      </w:r>
      <w:r w:rsidRPr="00E4517B">
        <w:rPr>
          <w:rFonts w:asciiTheme="majorHAnsi" w:hAnsiTheme="majorHAnsi" w:cstheme="majorHAnsi"/>
          <w:sz w:val="24"/>
          <w:szCs w:val="24"/>
          <w:lang w:val="ro-RO"/>
        </w:rPr>
        <w:t xml:space="preserve"> contabil</w:t>
      </w:r>
      <w:r w:rsidR="004C0D2D" w:rsidRPr="00E4517B">
        <w:rPr>
          <w:rFonts w:asciiTheme="majorHAnsi" w:hAnsiTheme="majorHAnsi" w:cstheme="majorHAnsi"/>
          <w:sz w:val="24"/>
          <w:szCs w:val="24"/>
          <w:lang w:val="ro-RO"/>
        </w:rPr>
        <w:t>ă</w:t>
      </w:r>
      <w:r w:rsidRPr="00E4517B">
        <w:rPr>
          <w:rFonts w:asciiTheme="majorHAnsi" w:hAnsiTheme="majorHAnsi" w:cstheme="majorHAnsi"/>
          <w:sz w:val="24"/>
          <w:szCs w:val="24"/>
          <w:lang w:val="ro-RO"/>
        </w:rPr>
        <w:t xml:space="preserve"> nr.10 </w:t>
      </w:r>
      <w:r w:rsidR="004C0D2D" w:rsidRPr="00E4517B">
        <w:rPr>
          <w:rFonts w:asciiTheme="majorHAnsi" w:hAnsiTheme="majorHAnsi" w:cstheme="majorHAnsi"/>
          <w:sz w:val="24"/>
          <w:szCs w:val="24"/>
          <w:lang w:val="ro-RO"/>
        </w:rPr>
        <w:t>„</w:t>
      </w:r>
      <w:r w:rsidRPr="00E4517B">
        <w:rPr>
          <w:rFonts w:asciiTheme="majorHAnsi" w:hAnsiTheme="majorHAnsi" w:cstheme="majorHAnsi"/>
          <w:sz w:val="24"/>
          <w:szCs w:val="24"/>
          <w:lang w:val="ro-RO"/>
        </w:rPr>
        <w:t>Pentru operațiunile de închidere a anului bugetar”. Astfel, a</w:t>
      </w:r>
      <w:r w:rsidRPr="00F55BA6">
        <w:rPr>
          <w:rFonts w:asciiTheme="majorHAnsi" w:hAnsiTheme="majorHAnsi" w:cstheme="majorHAnsi"/>
          <w:sz w:val="24"/>
          <w:szCs w:val="24"/>
          <w:lang w:val="ro-RO"/>
        </w:rPr>
        <w:t xml:space="preserve">uditul la exprimarea opiniei de audit asupra Raportului privind executarea BS s-a bazat pe datele reconciliate din </w:t>
      </w:r>
      <w:r w:rsidR="00AF7AF4" w:rsidRPr="00F55BA6">
        <w:rPr>
          <w:rFonts w:asciiTheme="majorHAnsi" w:hAnsiTheme="majorHAnsi" w:cstheme="majorHAnsi"/>
          <w:sz w:val="24"/>
          <w:szCs w:val="24"/>
          <w:lang w:val="ro-RO"/>
        </w:rPr>
        <w:t xml:space="preserve">sistemul trezorerial și din </w:t>
      </w:r>
      <w:r w:rsidRPr="00F55BA6">
        <w:rPr>
          <w:rFonts w:asciiTheme="majorHAnsi" w:hAnsiTheme="majorHAnsi" w:cstheme="majorHAnsi"/>
          <w:sz w:val="24"/>
          <w:szCs w:val="24"/>
          <w:lang w:val="ro-RO"/>
        </w:rPr>
        <w:t>rapoarte, deoarece</w:t>
      </w:r>
      <w:r w:rsidR="00B513E4" w:rsidRPr="00F55BA6">
        <w:rPr>
          <w:rFonts w:asciiTheme="majorHAnsi" w:hAnsiTheme="majorHAnsi" w:cstheme="majorHAnsi"/>
          <w:sz w:val="24"/>
          <w:szCs w:val="24"/>
          <w:lang w:val="ro-RO"/>
        </w:rPr>
        <w:t>,</w:t>
      </w:r>
      <w:r w:rsidRPr="00F55BA6">
        <w:rPr>
          <w:rFonts w:asciiTheme="majorHAnsi" w:hAnsiTheme="majorHAnsi" w:cstheme="majorHAnsi"/>
          <w:sz w:val="24"/>
          <w:szCs w:val="24"/>
          <w:lang w:val="ro-RO"/>
        </w:rPr>
        <w:t xml:space="preserve"> în lipsa </w:t>
      </w:r>
      <w:r w:rsidR="00AF7AF4" w:rsidRPr="00F55BA6">
        <w:rPr>
          <w:rFonts w:asciiTheme="majorHAnsi" w:hAnsiTheme="majorHAnsi" w:cstheme="majorHAnsi"/>
          <w:sz w:val="24"/>
          <w:szCs w:val="24"/>
          <w:lang w:val="ro-RO"/>
        </w:rPr>
        <w:t>generaliz</w:t>
      </w:r>
      <w:r w:rsidRPr="00F55BA6">
        <w:rPr>
          <w:rFonts w:asciiTheme="majorHAnsi" w:hAnsiTheme="majorHAnsi" w:cstheme="majorHAnsi"/>
          <w:sz w:val="24"/>
          <w:szCs w:val="24"/>
          <w:lang w:val="ro-RO"/>
        </w:rPr>
        <w:t>ării documentelor contabile</w:t>
      </w:r>
      <w:r w:rsidR="00B513E4" w:rsidRPr="00F55BA6">
        <w:rPr>
          <w:rFonts w:asciiTheme="majorHAnsi" w:hAnsiTheme="majorHAnsi" w:cstheme="majorHAnsi"/>
          <w:sz w:val="24"/>
          <w:szCs w:val="24"/>
          <w:lang w:val="ro-RO"/>
        </w:rPr>
        <w:t>,</w:t>
      </w:r>
      <w:r w:rsidRPr="00F55BA6">
        <w:rPr>
          <w:rFonts w:asciiTheme="majorHAnsi" w:hAnsiTheme="majorHAnsi" w:cstheme="majorHAnsi"/>
          <w:sz w:val="24"/>
          <w:szCs w:val="24"/>
          <w:lang w:val="ro-RO"/>
        </w:rPr>
        <w:t xml:space="preserve"> nu au putut fi verificate în totalitate dacă s</w:t>
      </w:r>
      <w:r w:rsidR="004C0D2D" w:rsidRPr="00F55BA6">
        <w:rPr>
          <w:rFonts w:asciiTheme="majorHAnsi" w:hAnsiTheme="majorHAnsi" w:cstheme="majorHAnsi"/>
          <w:sz w:val="24"/>
          <w:szCs w:val="24"/>
          <w:lang w:val="ro-RO"/>
        </w:rPr>
        <w:t>u</w:t>
      </w:r>
      <w:r w:rsidRPr="00F55BA6">
        <w:rPr>
          <w:rFonts w:asciiTheme="majorHAnsi" w:hAnsiTheme="majorHAnsi" w:cstheme="majorHAnsi"/>
          <w:sz w:val="24"/>
          <w:szCs w:val="24"/>
          <w:lang w:val="ro-RO"/>
        </w:rPr>
        <w:t xml:space="preserve">nt consecvente documentelor contabile. </w:t>
      </w:r>
    </w:p>
    <w:p w:rsidR="00ED1629" w:rsidRPr="00E4517B" w:rsidRDefault="00ED1629" w:rsidP="00ED1629">
      <w:pPr>
        <w:spacing w:after="0"/>
        <w:rPr>
          <w:rFonts w:asciiTheme="majorHAnsi" w:eastAsia="Times New Roman" w:hAnsiTheme="majorHAnsi" w:cstheme="majorHAnsi"/>
          <w:iCs/>
          <w:sz w:val="24"/>
          <w:szCs w:val="24"/>
          <w:lang w:val="ro-RO"/>
        </w:rPr>
      </w:pPr>
      <w:r w:rsidRPr="00F55BA6">
        <w:rPr>
          <w:rFonts w:asciiTheme="majorHAnsi" w:hAnsiTheme="majorHAnsi" w:cstheme="majorHAnsi"/>
          <w:b/>
          <w:i/>
          <w:sz w:val="24"/>
          <w:szCs w:val="24"/>
          <w:lang w:val="ro-RO"/>
        </w:rPr>
        <w:t>*Notă:</w:t>
      </w:r>
      <w:r w:rsidRPr="00F55BA6">
        <w:rPr>
          <w:rFonts w:asciiTheme="majorHAnsi" w:hAnsiTheme="majorHAnsi" w:cstheme="majorHAnsi"/>
          <w:i/>
          <w:sz w:val="24"/>
          <w:szCs w:val="24"/>
          <w:lang w:val="ro-RO"/>
        </w:rPr>
        <w:t xml:space="preserve"> La data de 03.06.2021</w:t>
      </w:r>
      <w:r w:rsidR="004C0D2D" w:rsidRPr="00F55BA6">
        <w:rPr>
          <w:rFonts w:asciiTheme="majorHAnsi" w:hAnsiTheme="majorHAnsi" w:cstheme="majorHAnsi"/>
          <w:i/>
          <w:sz w:val="24"/>
          <w:szCs w:val="24"/>
          <w:lang w:val="ro-RO"/>
        </w:rPr>
        <w:t>,</w:t>
      </w:r>
      <w:r w:rsidR="003A4756">
        <w:rPr>
          <w:rFonts w:asciiTheme="majorHAnsi" w:hAnsiTheme="majorHAnsi" w:cstheme="majorHAnsi"/>
          <w:i/>
          <w:sz w:val="24"/>
          <w:szCs w:val="24"/>
          <w:lang w:val="ro-RO"/>
        </w:rPr>
        <w:t xml:space="preserve"> </w:t>
      </w:r>
      <w:r w:rsidRPr="00F55BA6">
        <w:rPr>
          <w:rFonts w:asciiTheme="majorHAnsi" w:hAnsiTheme="majorHAnsi" w:cstheme="majorHAnsi"/>
          <w:i/>
          <w:sz w:val="24"/>
          <w:szCs w:val="24"/>
          <w:lang w:val="ro-RO"/>
        </w:rPr>
        <w:t xml:space="preserve">Direcția Trezoreria de Stat a prezentat echipei de audit următoarele documente contabile: </w:t>
      </w:r>
      <w:r w:rsidRPr="00E4517B">
        <w:rPr>
          <w:rFonts w:asciiTheme="majorHAnsi" w:eastAsia="Times New Roman" w:hAnsiTheme="majorHAnsi" w:cstheme="majorHAnsi"/>
          <w:i/>
          <w:iCs/>
          <w:sz w:val="24"/>
          <w:szCs w:val="24"/>
          <w:lang w:val="ro-RO"/>
        </w:rPr>
        <w:t xml:space="preserve">Nota contabilă nr.5 </w:t>
      </w:r>
      <w:r w:rsidR="00175ED1" w:rsidRPr="00973E5B">
        <w:rPr>
          <w:rFonts w:asciiTheme="majorHAnsi" w:eastAsia="Times New Roman" w:hAnsiTheme="majorHAnsi" w:cstheme="majorHAnsi"/>
          <w:i/>
          <w:iCs/>
          <w:sz w:val="24"/>
          <w:szCs w:val="24"/>
          <w:lang w:val="ro-RO"/>
        </w:rPr>
        <w:t>„P</w:t>
      </w:r>
      <w:r w:rsidRPr="00973E5B">
        <w:rPr>
          <w:rFonts w:asciiTheme="majorHAnsi" w:eastAsia="Times New Roman" w:hAnsiTheme="majorHAnsi" w:cstheme="majorHAnsi"/>
          <w:i/>
          <w:iCs/>
          <w:sz w:val="24"/>
          <w:szCs w:val="24"/>
          <w:lang w:val="ro-RO"/>
        </w:rPr>
        <w:t xml:space="preserve">entru operațiuni în afara sistemului trezorerial incluse în executarea de casă a bugetelor în baza rapoartelor” și Nota contabilă nr.8 </w:t>
      </w:r>
      <w:r w:rsidR="00175ED1" w:rsidRPr="00E4517B">
        <w:rPr>
          <w:rFonts w:asciiTheme="majorHAnsi" w:eastAsia="Times New Roman" w:hAnsiTheme="majorHAnsi" w:cstheme="majorHAnsi"/>
          <w:i/>
          <w:iCs/>
          <w:sz w:val="24"/>
          <w:szCs w:val="24"/>
          <w:lang w:val="ro-RO"/>
        </w:rPr>
        <w:t>„P</w:t>
      </w:r>
      <w:r w:rsidRPr="00E4517B">
        <w:rPr>
          <w:rFonts w:asciiTheme="majorHAnsi" w:eastAsia="Times New Roman" w:hAnsiTheme="majorHAnsi" w:cstheme="majorHAnsi"/>
          <w:i/>
          <w:iCs/>
          <w:sz w:val="24"/>
          <w:szCs w:val="24"/>
          <w:lang w:val="ro-RO"/>
        </w:rPr>
        <w:t>entru sumele neidentificate în CUT”, Cartea mare electronic</w:t>
      </w:r>
      <w:r w:rsidR="00175ED1" w:rsidRPr="00E4517B">
        <w:rPr>
          <w:rFonts w:asciiTheme="majorHAnsi" w:eastAsia="Times New Roman" w:hAnsiTheme="majorHAnsi" w:cstheme="majorHAnsi"/>
          <w:i/>
          <w:iCs/>
          <w:sz w:val="24"/>
          <w:szCs w:val="24"/>
          <w:lang w:val="ro-RO"/>
        </w:rPr>
        <w:t>ă</w:t>
      </w:r>
      <w:r w:rsidRPr="00E4517B">
        <w:rPr>
          <w:rFonts w:asciiTheme="majorHAnsi" w:eastAsia="Times New Roman" w:hAnsiTheme="majorHAnsi" w:cstheme="majorHAnsi"/>
          <w:i/>
          <w:iCs/>
          <w:sz w:val="24"/>
          <w:szCs w:val="24"/>
          <w:lang w:val="ro-RO"/>
        </w:rPr>
        <w:t xml:space="preserve"> și borderourile notelor de transfer.</w:t>
      </w:r>
    </w:p>
    <w:p w:rsidR="006E2E6A" w:rsidRPr="00E4517B" w:rsidRDefault="00ED1629" w:rsidP="005E4D53">
      <w:pPr>
        <w:spacing w:after="0"/>
        <w:rPr>
          <w:rFonts w:asciiTheme="majorHAnsi" w:hAnsiTheme="majorHAnsi" w:cstheme="majorHAnsi"/>
          <w:i/>
          <w:sz w:val="24"/>
          <w:szCs w:val="24"/>
          <w:lang w:val="ro-RO"/>
        </w:rPr>
      </w:pPr>
      <w:r w:rsidRPr="00E4517B">
        <w:rPr>
          <w:rFonts w:asciiTheme="majorHAnsi" w:eastAsia="Times New Roman" w:hAnsiTheme="majorHAnsi" w:cstheme="majorHAnsi"/>
          <w:i/>
          <w:iCs/>
          <w:sz w:val="24"/>
          <w:szCs w:val="24"/>
          <w:lang w:val="ro-RO"/>
        </w:rPr>
        <w:t>Totodată, Direcția Trezoreria de Stat a corectat Bilanțul contabil conform cadrului normativ și</w:t>
      </w:r>
      <w:r w:rsidR="00175ED1" w:rsidRPr="00E4517B">
        <w:rPr>
          <w:rFonts w:asciiTheme="majorHAnsi" w:eastAsia="Times New Roman" w:hAnsiTheme="majorHAnsi" w:cstheme="majorHAnsi"/>
          <w:i/>
          <w:iCs/>
          <w:sz w:val="24"/>
          <w:szCs w:val="24"/>
          <w:lang w:val="ro-RO"/>
        </w:rPr>
        <w:t xml:space="preserve"> l-a</w:t>
      </w:r>
      <w:r w:rsidRPr="00E4517B">
        <w:rPr>
          <w:rFonts w:asciiTheme="majorHAnsi" w:eastAsia="Times New Roman" w:hAnsiTheme="majorHAnsi" w:cstheme="majorHAnsi"/>
          <w:i/>
          <w:iCs/>
          <w:sz w:val="24"/>
          <w:szCs w:val="24"/>
          <w:lang w:val="ro-RO"/>
        </w:rPr>
        <w:t xml:space="preserve"> raportat ca anexă la Raportul privind executarea BS pe anul 2020</w:t>
      </w:r>
      <w:r w:rsidR="00175ED1" w:rsidRPr="00E4517B">
        <w:rPr>
          <w:rFonts w:asciiTheme="majorHAnsi" w:eastAsia="Times New Roman" w:hAnsiTheme="majorHAnsi" w:cstheme="majorHAnsi"/>
          <w:i/>
          <w:iCs/>
          <w:sz w:val="24"/>
          <w:szCs w:val="24"/>
          <w:lang w:val="ro-RO"/>
        </w:rPr>
        <w:t>,</w:t>
      </w:r>
      <w:r w:rsidRPr="00E4517B">
        <w:rPr>
          <w:rFonts w:asciiTheme="majorHAnsi" w:eastAsia="Times New Roman" w:hAnsiTheme="majorHAnsi" w:cstheme="majorHAnsi"/>
          <w:i/>
          <w:iCs/>
          <w:sz w:val="24"/>
          <w:szCs w:val="24"/>
          <w:lang w:val="ro-RO"/>
        </w:rPr>
        <w:t xml:space="preserve"> fiind remis Curții de Conturi prin scrisoarea nr.12/4-7-43 din 07.06.2021.</w:t>
      </w:r>
    </w:p>
    <w:p w:rsidR="005E4D53" w:rsidRPr="00F55BA6" w:rsidRDefault="005E4D53" w:rsidP="00B115D2">
      <w:pPr>
        <w:tabs>
          <w:tab w:val="left" w:pos="426"/>
        </w:tabs>
        <w:spacing w:after="0" w:line="276" w:lineRule="auto"/>
        <w:contextualSpacing/>
        <w:outlineLvl w:val="0"/>
        <w:rPr>
          <w:rFonts w:asciiTheme="majorHAnsi" w:hAnsiTheme="majorHAnsi" w:cstheme="majorHAnsi"/>
          <w:b/>
          <w:szCs w:val="28"/>
          <w:lang w:val="ro-RO"/>
        </w:rPr>
      </w:pPr>
      <w:r w:rsidRPr="00F55BA6">
        <w:rPr>
          <w:rFonts w:asciiTheme="majorHAnsi" w:hAnsiTheme="majorHAnsi" w:cstheme="majorHAnsi"/>
          <w:b/>
          <w:sz w:val="24"/>
          <w:szCs w:val="24"/>
          <w:lang w:val="ro-RO"/>
        </w:rPr>
        <w:t>6.6. Din veniturile acumulate/debursate din granturi și împrumuturi externe</w:t>
      </w:r>
      <w:r w:rsidR="00B33F4D" w:rsidRPr="00F55BA6">
        <w:rPr>
          <w:rFonts w:asciiTheme="majorHAnsi" w:hAnsiTheme="majorHAnsi" w:cstheme="majorHAnsi"/>
          <w:b/>
          <w:sz w:val="24"/>
          <w:szCs w:val="24"/>
          <w:lang w:val="ro-RO"/>
        </w:rPr>
        <w:t>,</w:t>
      </w:r>
      <w:r w:rsidRPr="00F55BA6">
        <w:rPr>
          <w:rFonts w:asciiTheme="majorHAnsi" w:hAnsiTheme="majorHAnsi" w:cstheme="majorHAnsi"/>
          <w:b/>
          <w:sz w:val="24"/>
          <w:szCs w:val="24"/>
          <w:lang w:val="ro-RO"/>
        </w:rPr>
        <w:t xml:space="preserve"> de către instituțiile/autoritățile bugetare în cadrul proiectelor finanțate din surse externe au fost executate cheltuieli la nivel de doar 44,8%, fiind înregistrat </w:t>
      </w:r>
      <w:r w:rsidR="00B33F4D" w:rsidRPr="00F55BA6">
        <w:rPr>
          <w:rFonts w:asciiTheme="majorHAnsi" w:hAnsiTheme="majorHAnsi" w:cstheme="majorHAnsi"/>
          <w:b/>
          <w:sz w:val="24"/>
          <w:szCs w:val="24"/>
          <w:lang w:val="ro-RO"/>
        </w:rPr>
        <w:t xml:space="preserve">un </w:t>
      </w:r>
      <w:r w:rsidRPr="00F55BA6">
        <w:rPr>
          <w:rFonts w:asciiTheme="majorHAnsi" w:hAnsiTheme="majorHAnsi" w:cstheme="majorHAnsi"/>
          <w:b/>
          <w:sz w:val="24"/>
          <w:szCs w:val="24"/>
          <w:lang w:val="ro-RO"/>
        </w:rPr>
        <w:t>sold de mijloace bănești la sfârșitul anului 2020 în sumă de 1 575,5 mil. lei</w:t>
      </w:r>
      <w:r w:rsidR="003A4756">
        <w:rPr>
          <w:rFonts w:asciiTheme="majorHAnsi" w:hAnsiTheme="majorHAnsi" w:cstheme="majorHAnsi"/>
          <w:b/>
          <w:sz w:val="24"/>
          <w:szCs w:val="24"/>
          <w:lang w:val="ro-RO"/>
        </w:rPr>
        <w:t>.</w:t>
      </w:r>
    </w:p>
    <w:p w:rsidR="006E2E6A" w:rsidRPr="00F55BA6" w:rsidRDefault="006E2E6A" w:rsidP="006E2E6A">
      <w:pPr>
        <w:pStyle w:val="ad"/>
        <w:spacing w:line="276" w:lineRule="auto"/>
        <w:jc w:val="both"/>
        <w:rPr>
          <w:rFonts w:asciiTheme="majorHAnsi" w:hAnsiTheme="majorHAnsi" w:cstheme="majorHAnsi"/>
          <w:sz w:val="24"/>
          <w:szCs w:val="24"/>
          <w:lang w:val="ro-RO"/>
        </w:rPr>
      </w:pPr>
      <w:r w:rsidRPr="00F55BA6">
        <w:rPr>
          <w:rFonts w:asciiTheme="majorHAnsi" w:hAnsiTheme="majorHAnsi" w:cstheme="majorHAnsi"/>
          <w:sz w:val="24"/>
          <w:szCs w:val="24"/>
          <w:lang w:val="ro-RO"/>
        </w:rPr>
        <w:t xml:space="preserve">Veniturile din granturi aprobate inițial au însumat 1 773,5 mil. lei, la rectificarea BS fiind diminuate până la 952,1 mil. lei. </w:t>
      </w:r>
      <w:r w:rsidRPr="00F55BA6">
        <w:rPr>
          <w:rFonts w:asciiTheme="majorHAnsi" w:hAnsiTheme="majorHAnsi"/>
          <w:color w:val="000000"/>
          <w:spacing w:val="1"/>
          <w:sz w:val="24"/>
          <w:szCs w:val="24"/>
          <w:lang w:val="ro-RO"/>
        </w:rPr>
        <w:t>La situația din 31.12.2020</w:t>
      </w:r>
      <w:r w:rsidR="00B33F4D" w:rsidRPr="00F55BA6">
        <w:rPr>
          <w:rFonts w:asciiTheme="majorHAnsi" w:hAnsiTheme="majorHAnsi"/>
          <w:color w:val="000000"/>
          <w:spacing w:val="1"/>
          <w:sz w:val="24"/>
          <w:szCs w:val="24"/>
          <w:lang w:val="ro-RO"/>
        </w:rPr>
        <w:t>,</w:t>
      </w:r>
      <w:r w:rsidRPr="00F55BA6">
        <w:rPr>
          <w:rFonts w:asciiTheme="majorHAnsi" w:hAnsiTheme="majorHAnsi"/>
          <w:color w:val="000000"/>
          <w:spacing w:val="1"/>
          <w:sz w:val="24"/>
          <w:szCs w:val="24"/>
          <w:lang w:val="ro-RO"/>
        </w:rPr>
        <w:t xml:space="preserve"> veniturile executate din granturi au constituit </w:t>
      </w:r>
      <w:r w:rsidRPr="00F55BA6">
        <w:rPr>
          <w:rFonts w:asciiTheme="majorHAnsi" w:hAnsiTheme="majorHAnsi"/>
          <w:sz w:val="24"/>
          <w:szCs w:val="24"/>
          <w:lang w:val="ro-RO"/>
        </w:rPr>
        <w:t xml:space="preserve">624,2 </w:t>
      </w:r>
      <w:r w:rsidRPr="00F55BA6">
        <w:rPr>
          <w:rFonts w:asciiTheme="majorHAnsi" w:hAnsiTheme="majorHAnsi"/>
          <w:sz w:val="24"/>
          <w:szCs w:val="24"/>
          <w:lang w:val="ro-RO"/>
        </w:rPr>
        <w:lastRenderedPageBreak/>
        <w:t>mil. lei (65,5%), din care: granturile pentru susținerea bugetului de stat – 335,4 mil.lei (73,4%)</w:t>
      </w:r>
      <w:r w:rsidR="00B33F4D" w:rsidRPr="00F55BA6">
        <w:rPr>
          <w:rFonts w:asciiTheme="majorHAnsi" w:hAnsiTheme="majorHAnsi"/>
          <w:sz w:val="24"/>
          <w:szCs w:val="24"/>
          <w:lang w:val="ro-RO"/>
        </w:rPr>
        <w:t>,</w:t>
      </w:r>
      <w:r w:rsidRPr="00F55BA6">
        <w:rPr>
          <w:rFonts w:asciiTheme="majorHAnsi" w:hAnsiTheme="majorHAnsi"/>
          <w:sz w:val="24"/>
          <w:szCs w:val="24"/>
          <w:lang w:val="ro-RO"/>
        </w:rPr>
        <w:t xml:space="preserve"> și granturile pentru proiecte finanțate din surse externe </w:t>
      </w:r>
      <w:r w:rsidR="00B33F4D" w:rsidRPr="00F55BA6">
        <w:rPr>
          <w:rFonts w:asciiTheme="majorHAnsi" w:hAnsiTheme="majorHAnsi"/>
          <w:sz w:val="24"/>
          <w:szCs w:val="24"/>
          <w:lang w:val="ro-RO"/>
        </w:rPr>
        <w:t xml:space="preserve">– </w:t>
      </w:r>
      <w:r w:rsidRPr="00F55BA6">
        <w:rPr>
          <w:rFonts w:asciiTheme="majorHAnsi" w:hAnsiTheme="majorHAnsi"/>
          <w:sz w:val="24"/>
          <w:szCs w:val="24"/>
          <w:lang w:val="ro-RO"/>
        </w:rPr>
        <w:t>în sumă de 288,8 mil.lei (58,3%). Totodată, se relevă că veniturile din granturile externe înregistrează o diminuare cu 916,3 mil. lei</w:t>
      </w:r>
      <w:r w:rsidR="00B33F4D" w:rsidRPr="00F55BA6">
        <w:rPr>
          <w:rFonts w:asciiTheme="majorHAnsi" w:hAnsiTheme="majorHAnsi"/>
          <w:sz w:val="24"/>
          <w:szCs w:val="24"/>
          <w:lang w:val="ro-RO"/>
        </w:rPr>
        <w:t>,</w:t>
      </w:r>
      <w:r w:rsidRPr="00F55BA6">
        <w:rPr>
          <w:rFonts w:asciiTheme="majorHAnsi" w:hAnsiTheme="majorHAnsi"/>
          <w:sz w:val="24"/>
          <w:szCs w:val="24"/>
          <w:lang w:val="ro-RO"/>
        </w:rPr>
        <w:t xml:space="preserve"> sau cu 59,5% în comparație cu anul precedent. </w:t>
      </w:r>
      <w:r w:rsidRPr="00F55BA6">
        <w:rPr>
          <w:rFonts w:asciiTheme="majorHAnsi" w:hAnsiTheme="majorHAnsi" w:cstheme="majorHAnsi"/>
          <w:sz w:val="24"/>
          <w:szCs w:val="24"/>
          <w:lang w:val="ro-RO"/>
        </w:rPr>
        <w:t xml:space="preserve"> </w:t>
      </w:r>
    </w:p>
    <w:p w:rsidR="006E2E6A" w:rsidRPr="00F55BA6" w:rsidRDefault="006E2E6A" w:rsidP="006E2E6A">
      <w:pPr>
        <w:pStyle w:val="ad"/>
        <w:spacing w:line="276" w:lineRule="auto"/>
        <w:jc w:val="both"/>
        <w:rPr>
          <w:rFonts w:asciiTheme="majorHAnsi" w:hAnsiTheme="majorHAnsi"/>
          <w:sz w:val="24"/>
          <w:szCs w:val="24"/>
          <w:lang w:val="ro-RO"/>
        </w:rPr>
      </w:pPr>
      <w:r w:rsidRPr="00F55BA6">
        <w:rPr>
          <w:rFonts w:asciiTheme="majorHAnsi" w:hAnsiTheme="majorHAnsi"/>
          <w:sz w:val="24"/>
          <w:szCs w:val="24"/>
          <w:lang w:val="ro-RO"/>
        </w:rPr>
        <w:t>Din debursările/veniturile din granturi</w:t>
      </w:r>
      <w:r w:rsidR="009137ED" w:rsidRPr="00F55BA6">
        <w:rPr>
          <w:rFonts w:asciiTheme="majorHAnsi" w:hAnsiTheme="majorHAnsi"/>
          <w:sz w:val="24"/>
          <w:szCs w:val="24"/>
          <w:lang w:val="ro-RO"/>
        </w:rPr>
        <w:t>,</w:t>
      </w:r>
      <w:r w:rsidRPr="00F55BA6">
        <w:rPr>
          <w:rFonts w:asciiTheme="majorHAnsi" w:hAnsiTheme="majorHAnsi"/>
          <w:sz w:val="24"/>
          <w:szCs w:val="24"/>
          <w:lang w:val="ro-RO"/>
        </w:rPr>
        <w:t xml:space="preserve"> pentru susținerea bugetului (335,4 mil. lei) au fost executate 229,8 mil. lei </w:t>
      </w:r>
      <w:r w:rsidR="009137ED" w:rsidRPr="00F55BA6">
        <w:rPr>
          <w:rFonts w:asciiTheme="majorHAnsi" w:hAnsiTheme="majorHAnsi"/>
          <w:sz w:val="24"/>
          <w:szCs w:val="24"/>
          <w:lang w:val="ro-RO"/>
        </w:rPr>
        <w:t xml:space="preserve">pentru suportul macrofinanciar </w:t>
      </w:r>
      <w:r w:rsidRPr="00F55BA6">
        <w:rPr>
          <w:rFonts w:asciiTheme="majorHAnsi" w:hAnsiTheme="majorHAnsi"/>
          <w:sz w:val="24"/>
          <w:szCs w:val="24"/>
          <w:lang w:val="ro-RO"/>
        </w:rPr>
        <w:t xml:space="preserve">(majorate din contul revizuirii tranșelor, care nu a avut loc în anul 2019) și pentru programul </w:t>
      </w:r>
      <w:r w:rsidR="00B33F4D" w:rsidRPr="00F55BA6">
        <w:rPr>
          <w:rFonts w:asciiTheme="majorHAnsi" w:hAnsiTheme="majorHAnsi"/>
          <w:sz w:val="24"/>
          <w:szCs w:val="24"/>
          <w:lang w:val="ro-RO"/>
        </w:rPr>
        <w:t>„S</w:t>
      </w:r>
      <w:r w:rsidRPr="00F55BA6">
        <w:rPr>
          <w:rFonts w:asciiTheme="majorHAnsi" w:hAnsiTheme="majorHAnsi"/>
          <w:sz w:val="24"/>
          <w:szCs w:val="24"/>
          <w:lang w:val="ro-RO"/>
        </w:rPr>
        <w:t>prijin pentru reforma poliției” – 105,6 mil. lei. Se atestă că</w:t>
      </w:r>
      <w:r w:rsidR="009137ED" w:rsidRPr="00F55BA6">
        <w:rPr>
          <w:rFonts w:asciiTheme="majorHAnsi" w:hAnsiTheme="majorHAnsi"/>
          <w:sz w:val="24"/>
          <w:szCs w:val="24"/>
          <w:lang w:val="ro-RO"/>
        </w:rPr>
        <w:t>,</w:t>
      </w:r>
      <w:r w:rsidRPr="00F55BA6">
        <w:rPr>
          <w:rFonts w:asciiTheme="majorHAnsi" w:hAnsiTheme="majorHAnsi"/>
          <w:sz w:val="24"/>
          <w:szCs w:val="24"/>
          <w:lang w:val="ro-RO"/>
        </w:rPr>
        <w:t xml:space="preserve"> deși au fost aprobate debursări în sumă de 225,3 mil. lei pentru programul </w:t>
      </w:r>
      <w:r w:rsidR="00887F15" w:rsidRPr="00F55BA6">
        <w:rPr>
          <w:rFonts w:asciiTheme="majorHAnsi" w:hAnsiTheme="majorHAnsi"/>
          <w:sz w:val="24"/>
          <w:szCs w:val="24"/>
          <w:lang w:val="ro-RO"/>
        </w:rPr>
        <w:t>„S</w:t>
      </w:r>
      <w:r w:rsidRPr="00F55BA6">
        <w:rPr>
          <w:rFonts w:asciiTheme="majorHAnsi" w:hAnsiTheme="majorHAnsi"/>
          <w:sz w:val="24"/>
          <w:szCs w:val="24"/>
          <w:lang w:val="ro-RO"/>
        </w:rPr>
        <w:t>prijin pentru reforma în domeniul finanțelor publice</w:t>
      </w:r>
      <w:r w:rsidR="00887F15" w:rsidRPr="00F55BA6">
        <w:rPr>
          <w:rFonts w:asciiTheme="majorHAnsi" w:hAnsiTheme="majorHAnsi"/>
          <w:sz w:val="24"/>
          <w:szCs w:val="24"/>
          <w:lang w:val="ro-RO"/>
        </w:rPr>
        <w:t>”</w:t>
      </w:r>
      <w:r w:rsidRPr="00F55BA6">
        <w:rPr>
          <w:rFonts w:asciiTheme="majorHAnsi" w:hAnsiTheme="majorHAnsi"/>
          <w:sz w:val="24"/>
          <w:szCs w:val="24"/>
          <w:lang w:val="ro-RO"/>
        </w:rPr>
        <w:t>, acordul nu a fost semnat până la finele anului 2020.</w:t>
      </w:r>
    </w:p>
    <w:p w:rsidR="001C4F7D" w:rsidRPr="00F55BA6" w:rsidRDefault="006E2E6A" w:rsidP="006E2E6A">
      <w:pPr>
        <w:spacing w:after="0" w:line="276" w:lineRule="auto"/>
        <w:rPr>
          <w:rFonts w:asciiTheme="majorHAnsi" w:eastAsia="Times New Roman" w:hAnsiTheme="majorHAnsi" w:cstheme="majorHAnsi"/>
          <w:sz w:val="24"/>
          <w:szCs w:val="24"/>
          <w:lang w:val="ro-RO"/>
        </w:rPr>
      </w:pPr>
      <w:r w:rsidRPr="00F55BA6">
        <w:rPr>
          <w:rFonts w:asciiTheme="majorHAnsi" w:eastAsia="Times New Roman" w:hAnsiTheme="majorHAnsi" w:cstheme="majorHAnsi"/>
          <w:sz w:val="24"/>
          <w:szCs w:val="24"/>
          <w:lang w:val="ro-RO"/>
        </w:rPr>
        <w:t xml:space="preserve">Pe parcursul anului, au fost acumulate venituri la conturile instituțiilor/autorităților bugetare în sumă totală de 5 040,6 mil. lei (sold inițial din împrumuturi și granturi </w:t>
      </w:r>
      <w:r w:rsidR="00887F15" w:rsidRPr="00F55BA6">
        <w:rPr>
          <w:rFonts w:asciiTheme="majorHAnsi" w:eastAsia="Times New Roman" w:hAnsiTheme="majorHAnsi" w:cstheme="majorHAnsi"/>
          <w:sz w:val="24"/>
          <w:szCs w:val="24"/>
          <w:lang w:val="ro-RO"/>
        </w:rPr>
        <w:t>de</w:t>
      </w:r>
      <w:r w:rsidRPr="00F55BA6">
        <w:rPr>
          <w:rFonts w:asciiTheme="majorHAnsi" w:eastAsia="Times New Roman" w:hAnsiTheme="majorHAnsi" w:cstheme="majorHAnsi"/>
          <w:sz w:val="24"/>
          <w:szCs w:val="24"/>
          <w:lang w:val="ro-RO"/>
        </w:rPr>
        <w:t xml:space="preserve"> 1 150,5 mil. lei, alte venituri/transferuri – 64,4 mil. lei, granturi – 288,8 mil. lei</w:t>
      </w:r>
      <w:r w:rsidR="00887F15" w:rsidRPr="00F55BA6">
        <w:rPr>
          <w:rFonts w:asciiTheme="majorHAnsi" w:eastAsia="Times New Roman" w:hAnsiTheme="majorHAnsi" w:cstheme="majorHAnsi"/>
          <w:sz w:val="24"/>
          <w:szCs w:val="24"/>
          <w:lang w:val="ro-RO"/>
        </w:rPr>
        <w:t>,</w:t>
      </w:r>
      <w:r w:rsidRPr="00F55BA6">
        <w:rPr>
          <w:rFonts w:asciiTheme="majorHAnsi" w:eastAsia="Times New Roman" w:hAnsiTheme="majorHAnsi" w:cstheme="majorHAnsi"/>
          <w:sz w:val="24"/>
          <w:szCs w:val="24"/>
          <w:lang w:val="ro-RO"/>
        </w:rPr>
        <w:t xml:space="preserve"> și împrumuturi externe – 3 536,9 mil. lei) fiind executate cheltuieli la nivel de doar 44,8%</w:t>
      </w:r>
      <w:r w:rsidR="00887F15" w:rsidRPr="00F55BA6">
        <w:rPr>
          <w:rFonts w:asciiTheme="majorHAnsi" w:eastAsia="Times New Roman" w:hAnsiTheme="majorHAnsi" w:cstheme="majorHAnsi"/>
          <w:sz w:val="24"/>
          <w:szCs w:val="24"/>
          <w:lang w:val="ro-RO"/>
        </w:rPr>
        <w:t>,</w:t>
      </w:r>
      <w:r w:rsidRPr="00F55BA6">
        <w:rPr>
          <w:rFonts w:asciiTheme="majorHAnsi" w:eastAsia="Times New Roman" w:hAnsiTheme="majorHAnsi" w:cstheme="majorHAnsi"/>
          <w:sz w:val="24"/>
          <w:szCs w:val="24"/>
          <w:lang w:val="ro-RO"/>
        </w:rPr>
        <w:t xml:space="preserve"> sau 2 259,8 mil. lei. </w:t>
      </w:r>
    </w:p>
    <w:p w:rsidR="006E2E6A" w:rsidRPr="00F55BA6" w:rsidRDefault="006E2E6A" w:rsidP="006E2E6A">
      <w:pPr>
        <w:spacing w:after="0" w:line="276" w:lineRule="auto"/>
        <w:rPr>
          <w:rFonts w:asciiTheme="majorHAnsi" w:eastAsia="Times New Roman" w:hAnsiTheme="majorHAnsi" w:cstheme="majorHAnsi"/>
          <w:sz w:val="24"/>
          <w:szCs w:val="24"/>
          <w:lang w:val="ro-RO"/>
        </w:rPr>
      </w:pPr>
      <w:r w:rsidRPr="00F55BA6">
        <w:rPr>
          <w:rFonts w:asciiTheme="majorHAnsi" w:eastAsia="Times New Roman" w:hAnsiTheme="majorHAnsi" w:cstheme="majorHAnsi"/>
          <w:sz w:val="24"/>
          <w:szCs w:val="24"/>
          <w:lang w:val="ro-RO"/>
        </w:rPr>
        <w:t>Astfel, din veniturile acumulate pe parcursul anului în cadrul proiectelor în sumă totală de 1 463,3 mil. lei</w:t>
      </w:r>
      <w:r w:rsidR="00887F15" w:rsidRPr="00F55BA6">
        <w:rPr>
          <w:rFonts w:asciiTheme="majorHAnsi" w:eastAsia="Times New Roman" w:hAnsiTheme="majorHAnsi" w:cstheme="majorHAnsi"/>
          <w:sz w:val="24"/>
          <w:szCs w:val="24"/>
          <w:lang w:val="ro-RO"/>
        </w:rPr>
        <w:t>,</w:t>
      </w:r>
      <w:r w:rsidRPr="00F55BA6">
        <w:rPr>
          <w:rFonts w:asciiTheme="majorHAnsi" w:eastAsia="Times New Roman" w:hAnsiTheme="majorHAnsi" w:cstheme="majorHAnsi"/>
          <w:sz w:val="24"/>
          <w:szCs w:val="24"/>
          <w:lang w:val="ro-RO"/>
        </w:rPr>
        <w:t xml:space="preserve"> au fost executate cheltuieli din granturi de doar 355,0 mil. lei. Cel mai mic nivel de executare a alocațiilor aprobate din granturi se înregistrează la MECC – 30,6%, MF – 31,9%, BNS – 31,9%, MADRM – 32,8% etc. Analiza auditului asupra executării veniturilor primite din granturi pe instituții bugetare denotă că:</w:t>
      </w:r>
    </w:p>
    <w:p w:rsidR="006E2E6A" w:rsidRPr="00F55BA6" w:rsidRDefault="006E2E6A" w:rsidP="006E2E6A">
      <w:pPr>
        <w:pStyle w:val="af0"/>
        <w:numPr>
          <w:ilvl w:val="0"/>
          <w:numId w:val="7"/>
        </w:numPr>
        <w:tabs>
          <w:tab w:val="left" w:pos="142"/>
        </w:tabs>
        <w:spacing w:after="0" w:line="276" w:lineRule="auto"/>
        <w:ind w:left="0" w:firstLine="0"/>
        <w:rPr>
          <w:rFonts w:asciiTheme="majorHAnsi" w:eastAsia="Times New Roman" w:hAnsiTheme="majorHAnsi" w:cstheme="majorHAnsi"/>
          <w:sz w:val="24"/>
          <w:szCs w:val="24"/>
          <w:lang w:val="ro-RO"/>
        </w:rPr>
      </w:pPr>
      <w:r w:rsidRPr="00F55BA6">
        <w:rPr>
          <w:rFonts w:asciiTheme="majorHAnsi" w:eastAsia="Times New Roman" w:hAnsiTheme="majorHAnsi" w:cstheme="majorHAnsi"/>
          <w:sz w:val="24"/>
          <w:szCs w:val="24"/>
          <w:lang w:val="ro-RO"/>
        </w:rPr>
        <w:t>10 instituții</w:t>
      </w:r>
      <w:r w:rsidRPr="00F55BA6">
        <w:rPr>
          <w:rFonts w:asciiTheme="majorHAnsi" w:eastAsia="Times New Roman" w:hAnsiTheme="majorHAnsi" w:cstheme="majorHAnsi"/>
          <w:sz w:val="24"/>
          <w:szCs w:val="24"/>
          <w:vertAlign w:val="superscript"/>
          <w:lang w:val="ro-RO"/>
        </w:rPr>
        <w:footnoteReference w:id="36"/>
      </w:r>
      <w:r w:rsidRPr="00F55BA6">
        <w:rPr>
          <w:rFonts w:asciiTheme="majorHAnsi" w:eastAsia="Times New Roman" w:hAnsiTheme="majorHAnsi" w:cstheme="majorHAnsi"/>
          <w:sz w:val="24"/>
          <w:szCs w:val="24"/>
          <w:lang w:val="ro-RO"/>
        </w:rPr>
        <w:t xml:space="preserve"> care implementează 29 de proiecte nu au executat cheltuieli în anul 2020 din soldul mijloacelor bănești acumulat din anii precedenți</w:t>
      </w:r>
      <w:r w:rsidR="00887F15" w:rsidRPr="00F55BA6">
        <w:rPr>
          <w:rFonts w:asciiTheme="majorHAnsi" w:eastAsia="Times New Roman" w:hAnsiTheme="majorHAnsi" w:cstheme="majorHAnsi"/>
          <w:sz w:val="24"/>
          <w:szCs w:val="24"/>
          <w:lang w:val="ro-RO"/>
        </w:rPr>
        <w:t>,</w:t>
      </w:r>
      <w:r w:rsidRPr="00F55BA6">
        <w:rPr>
          <w:rFonts w:asciiTheme="majorHAnsi" w:eastAsia="Times New Roman" w:hAnsiTheme="majorHAnsi" w:cstheme="majorHAnsi"/>
          <w:sz w:val="24"/>
          <w:szCs w:val="24"/>
          <w:lang w:val="ro-RO"/>
        </w:rPr>
        <w:t xml:space="preserve"> în sumă totală de 870,7 mil. lei, </w:t>
      </w:r>
      <w:r w:rsidR="00887F15" w:rsidRPr="00F55BA6">
        <w:rPr>
          <w:rFonts w:asciiTheme="majorHAnsi" w:eastAsia="Times New Roman" w:hAnsiTheme="majorHAnsi" w:cstheme="majorHAnsi"/>
          <w:sz w:val="24"/>
          <w:szCs w:val="24"/>
          <w:lang w:val="ro-RO"/>
        </w:rPr>
        <w:t>iar</w:t>
      </w:r>
      <w:r w:rsidRPr="00F55BA6">
        <w:rPr>
          <w:rFonts w:asciiTheme="majorHAnsi" w:eastAsia="Times New Roman" w:hAnsiTheme="majorHAnsi" w:cstheme="majorHAnsi"/>
          <w:sz w:val="24"/>
          <w:szCs w:val="24"/>
          <w:lang w:val="ro-RO"/>
        </w:rPr>
        <w:t xml:space="preserve"> MF nu a aprobat sau precizat alocații</w:t>
      </w:r>
      <w:r w:rsidR="00887F15" w:rsidRPr="00F55BA6">
        <w:rPr>
          <w:rFonts w:asciiTheme="majorHAnsi" w:eastAsia="Times New Roman" w:hAnsiTheme="majorHAnsi" w:cstheme="majorHAnsi"/>
          <w:sz w:val="24"/>
          <w:szCs w:val="24"/>
          <w:lang w:val="ro-RO"/>
        </w:rPr>
        <w:t>;</w:t>
      </w:r>
    </w:p>
    <w:p w:rsidR="006E2E6A" w:rsidRPr="00F55BA6" w:rsidRDefault="006E2E6A" w:rsidP="006E2E6A">
      <w:pPr>
        <w:pStyle w:val="af0"/>
        <w:numPr>
          <w:ilvl w:val="0"/>
          <w:numId w:val="7"/>
        </w:numPr>
        <w:tabs>
          <w:tab w:val="left" w:pos="142"/>
        </w:tabs>
        <w:spacing w:after="0" w:line="276" w:lineRule="auto"/>
        <w:ind w:left="0" w:firstLine="0"/>
        <w:rPr>
          <w:rFonts w:asciiTheme="majorHAnsi" w:eastAsia="Times New Roman" w:hAnsiTheme="majorHAnsi" w:cstheme="majorHAnsi"/>
          <w:sz w:val="24"/>
          <w:szCs w:val="24"/>
          <w:lang w:val="ro-RO"/>
        </w:rPr>
      </w:pPr>
      <w:r w:rsidRPr="00F55BA6">
        <w:rPr>
          <w:rFonts w:asciiTheme="majorHAnsi" w:eastAsia="Times New Roman" w:hAnsiTheme="majorHAnsi" w:cstheme="majorHAnsi"/>
          <w:sz w:val="24"/>
          <w:szCs w:val="24"/>
          <w:lang w:val="ro-RO"/>
        </w:rPr>
        <w:t>au fost alocate suplimentar mijloace bugetare pentru implementarea activităților în cadrul proiectelor în sumă de 4,5 mil. lei la 2 instituții (MEI – 0,2 mil. lei, MADRM – 4,4 mil. lei) din „Alte venituri” (cod ECO 14). Totodată, au fost efectuate transferuri în sumă de 4,3 mil. lei pentru proiectele implementate de către MADRM și FISM.  Pe parcursul anului 2020, alocațiile din BS (8,8 mil. lei) nu au fost valorificate, rămânând în sold la entitățile beneficiare</w:t>
      </w:r>
      <w:r w:rsidR="00441E16" w:rsidRPr="00F55BA6">
        <w:rPr>
          <w:rFonts w:asciiTheme="majorHAnsi" w:eastAsia="Times New Roman" w:hAnsiTheme="majorHAnsi" w:cstheme="majorHAnsi"/>
          <w:sz w:val="24"/>
          <w:szCs w:val="24"/>
          <w:lang w:val="ro-RO"/>
        </w:rPr>
        <w:t>;</w:t>
      </w:r>
      <w:r w:rsidRPr="00F55BA6">
        <w:rPr>
          <w:rFonts w:asciiTheme="majorHAnsi" w:eastAsia="Times New Roman" w:hAnsiTheme="majorHAnsi" w:cstheme="majorHAnsi"/>
          <w:sz w:val="24"/>
          <w:szCs w:val="24"/>
          <w:lang w:val="ro-RO"/>
        </w:rPr>
        <w:t xml:space="preserve"> </w:t>
      </w:r>
    </w:p>
    <w:p w:rsidR="006E2E6A" w:rsidRPr="00F55BA6" w:rsidRDefault="006E2E6A" w:rsidP="006E2E6A">
      <w:pPr>
        <w:pStyle w:val="af0"/>
        <w:numPr>
          <w:ilvl w:val="0"/>
          <w:numId w:val="7"/>
        </w:numPr>
        <w:tabs>
          <w:tab w:val="left" w:pos="142"/>
        </w:tabs>
        <w:spacing w:after="0" w:line="276" w:lineRule="auto"/>
        <w:ind w:left="0" w:firstLine="0"/>
        <w:rPr>
          <w:rFonts w:asciiTheme="majorHAnsi" w:eastAsia="Times New Roman" w:hAnsiTheme="majorHAnsi" w:cstheme="majorHAnsi"/>
          <w:sz w:val="24"/>
          <w:szCs w:val="24"/>
          <w:lang w:val="ro-RO"/>
        </w:rPr>
      </w:pPr>
      <w:r w:rsidRPr="00F55BA6">
        <w:rPr>
          <w:rFonts w:asciiTheme="majorHAnsi" w:eastAsia="Times New Roman" w:hAnsiTheme="majorHAnsi" w:cstheme="majorHAnsi"/>
          <w:sz w:val="24"/>
          <w:szCs w:val="24"/>
          <w:lang w:val="ro-RO"/>
        </w:rPr>
        <w:t xml:space="preserve">doar la 5 proiecte au fost executate integral </w:t>
      </w:r>
      <w:r w:rsidR="00441E16" w:rsidRPr="00F55BA6">
        <w:rPr>
          <w:rFonts w:asciiTheme="majorHAnsi" w:eastAsia="Times New Roman" w:hAnsiTheme="majorHAnsi" w:cstheme="majorHAnsi"/>
          <w:sz w:val="24"/>
          <w:szCs w:val="24"/>
          <w:lang w:val="ro-RO"/>
        </w:rPr>
        <w:t xml:space="preserve">cheltuielile </w:t>
      </w:r>
      <w:r w:rsidRPr="00F55BA6">
        <w:rPr>
          <w:rFonts w:asciiTheme="majorHAnsi" w:eastAsia="Times New Roman" w:hAnsiTheme="majorHAnsi" w:cstheme="majorHAnsi"/>
          <w:sz w:val="24"/>
          <w:szCs w:val="24"/>
          <w:lang w:val="ro-RO"/>
        </w:rPr>
        <w:t>din granturi în sumă totală de 1,3 mil. lei;</w:t>
      </w:r>
    </w:p>
    <w:p w:rsidR="006E2E6A" w:rsidRPr="00F55BA6" w:rsidRDefault="006E2E6A" w:rsidP="006E2E6A">
      <w:pPr>
        <w:pStyle w:val="af0"/>
        <w:numPr>
          <w:ilvl w:val="0"/>
          <w:numId w:val="7"/>
        </w:numPr>
        <w:tabs>
          <w:tab w:val="left" w:pos="142"/>
        </w:tabs>
        <w:spacing w:after="0" w:line="276" w:lineRule="auto"/>
        <w:ind w:left="0" w:firstLine="0"/>
        <w:rPr>
          <w:rFonts w:asciiTheme="majorHAnsi" w:eastAsia="Times New Roman" w:hAnsiTheme="majorHAnsi" w:cstheme="majorHAnsi"/>
          <w:sz w:val="24"/>
          <w:szCs w:val="24"/>
          <w:lang w:val="ro-RO"/>
        </w:rPr>
      </w:pPr>
      <w:r w:rsidRPr="00F55BA6">
        <w:rPr>
          <w:rFonts w:asciiTheme="majorHAnsi" w:eastAsia="Times New Roman" w:hAnsiTheme="majorHAnsi" w:cstheme="majorHAnsi"/>
          <w:sz w:val="24"/>
          <w:szCs w:val="24"/>
          <w:lang w:val="ro-RO"/>
        </w:rPr>
        <w:t xml:space="preserve">3 instituții (MAI – 6,5 mil. lei, MEI – 7,7 mil. lei, MADRM – 3,8 mil. lei) au </w:t>
      </w:r>
      <w:r w:rsidR="00441E16" w:rsidRPr="00F55BA6">
        <w:rPr>
          <w:rFonts w:asciiTheme="majorHAnsi" w:eastAsia="Times New Roman" w:hAnsiTheme="majorHAnsi" w:cstheme="majorHAnsi"/>
          <w:sz w:val="24"/>
          <w:szCs w:val="24"/>
          <w:lang w:val="ro-RO"/>
        </w:rPr>
        <w:t>beneficiat de</w:t>
      </w:r>
      <w:r w:rsidRPr="00F55BA6">
        <w:rPr>
          <w:rFonts w:asciiTheme="majorHAnsi" w:eastAsia="Times New Roman" w:hAnsiTheme="majorHAnsi" w:cstheme="majorHAnsi"/>
          <w:sz w:val="24"/>
          <w:szCs w:val="24"/>
          <w:lang w:val="ro-RO"/>
        </w:rPr>
        <w:t xml:space="preserve"> granturi în sumă totală de 18,0 mil. lei</w:t>
      </w:r>
      <w:r w:rsidR="00441E16" w:rsidRPr="00F55BA6">
        <w:rPr>
          <w:rFonts w:asciiTheme="majorHAnsi" w:eastAsia="Times New Roman" w:hAnsiTheme="majorHAnsi" w:cstheme="majorHAnsi"/>
          <w:sz w:val="24"/>
          <w:szCs w:val="24"/>
          <w:lang w:val="ro-RO"/>
        </w:rPr>
        <w:t>,</w:t>
      </w:r>
      <w:r w:rsidRPr="00F55BA6">
        <w:rPr>
          <w:rFonts w:asciiTheme="majorHAnsi" w:eastAsia="Times New Roman" w:hAnsiTheme="majorHAnsi" w:cstheme="majorHAnsi"/>
          <w:sz w:val="24"/>
          <w:szCs w:val="24"/>
          <w:lang w:val="ro-RO"/>
        </w:rPr>
        <w:t xml:space="preserve"> dar la care nu au fost aprobate sau precizate alocații, </w:t>
      </w:r>
      <w:r w:rsidR="00441E16" w:rsidRPr="00F55BA6">
        <w:rPr>
          <w:rFonts w:asciiTheme="majorHAnsi" w:eastAsia="Times New Roman" w:hAnsiTheme="majorHAnsi" w:cstheme="majorHAnsi"/>
          <w:sz w:val="24"/>
          <w:szCs w:val="24"/>
          <w:lang w:val="ro-RO"/>
        </w:rPr>
        <w:t xml:space="preserve">în anul 2020 </w:t>
      </w:r>
      <w:r w:rsidRPr="00F55BA6">
        <w:rPr>
          <w:rFonts w:asciiTheme="majorHAnsi" w:eastAsia="Times New Roman" w:hAnsiTheme="majorHAnsi" w:cstheme="majorHAnsi"/>
          <w:sz w:val="24"/>
          <w:szCs w:val="24"/>
          <w:lang w:val="ro-RO"/>
        </w:rPr>
        <w:t xml:space="preserve">nefiind executate cheltuieli în cadrul a 7 proiecte; </w:t>
      </w:r>
    </w:p>
    <w:p w:rsidR="006E2E6A" w:rsidRPr="00F55BA6" w:rsidRDefault="006E2E6A" w:rsidP="006E2E6A">
      <w:pPr>
        <w:pStyle w:val="af0"/>
        <w:numPr>
          <w:ilvl w:val="0"/>
          <w:numId w:val="7"/>
        </w:numPr>
        <w:tabs>
          <w:tab w:val="left" w:pos="142"/>
        </w:tabs>
        <w:spacing w:after="0" w:line="276" w:lineRule="auto"/>
        <w:ind w:left="0" w:firstLine="0"/>
        <w:rPr>
          <w:rFonts w:asciiTheme="majorHAnsi" w:eastAsia="Times New Roman" w:hAnsiTheme="majorHAnsi" w:cstheme="majorHAnsi"/>
          <w:sz w:val="24"/>
          <w:szCs w:val="24"/>
          <w:lang w:val="ro-RO"/>
        </w:rPr>
      </w:pPr>
      <w:r w:rsidRPr="00F55BA6">
        <w:rPr>
          <w:rFonts w:asciiTheme="majorHAnsi" w:eastAsia="Times New Roman" w:hAnsiTheme="majorHAnsi" w:cstheme="majorHAnsi"/>
          <w:sz w:val="24"/>
          <w:szCs w:val="24"/>
          <w:lang w:val="ro-RO"/>
        </w:rPr>
        <w:t>la 4 instituții (MF, MEI, MADRM, A</w:t>
      </w:r>
      <w:r w:rsidR="00441E16" w:rsidRPr="00F55BA6">
        <w:rPr>
          <w:rFonts w:asciiTheme="majorHAnsi" w:eastAsia="Times New Roman" w:hAnsiTheme="majorHAnsi" w:cstheme="majorHAnsi"/>
          <w:sz w:val="24"/>
          <w:szCs w:val="24"/>
          <w:lang w:val="ro-RO"/>
        </w:rPr>
        <w:t>GEPI</w:t>
      </w:r>
      <w:r w:rsidRPr="00F55BA6">
        <w:rPr>
          <w:rFonts w:asciiTheme="majorHAnsi" w:eastAsia="Times New Roman" w:hAnsiTheme="majorHAnsi" w:cstheme="majorHAnsi"/>
          <w:sz w:val="24"/>
          <w:szCs w:val="24"/>
          <w:lang w:val="ro-RO"/>
        </w:rPr>
        <w:t>)</w:t>
      </w:r>
      <w:r w:rsidR="00441E16" w:rsidRPr="00F55BA6">
        <w:rPr>
          <w:rFonts w:asciiTheme="majorHAnsi" w:eastAsia="Times New Roman" w:hAnsiTheme="majorHAnsi" w:cstheme="majorHAnsi"/>
          <w:sz w:val="24"/>
          <w:szCs w:val="24"/>
          <w:lang w:val="ro-RO"/>
        </w:rPr>
        <w:t>,</w:t>
      </w:r>
      <w:r w:rsidRPr="00F55BA6">
        <w:rPr>
          <w:rFonts w:asciiTheme="majorHAnsi" w:eastAsia="Times New Roman" w:hAnsiTheme="majorHAnsi" w:cstheme="majorHAnsi"/>
          <w:sz w:val="24"/>
          <w:szCs w:val="24"/>
          <w:lang w:val="ro-RO"/>
        </w:rPr>
        <w:t xml:space="preserve"> deși nu a</w:t>
      </w:r>
      <w:r w:rsidR="00441E16" w:rsidRPr="00F55BA6">
        <w:rPr>
          <w:rFonts w:asciiTheme="majorHAnsi" w:eastAsia="Times New Roman" w:hAnsiTheme="majorHAnsi" w:cstheme="majorHAnsi"/>
          <w:sz w:val="24"/>
          <w:szCs w:val="24"/>
          <w:lang w:val="ro-RO"/>
        </w:rPr>
        <w:t>u</w:t>
      </w:r>
      <w:r w:rsidRPr="00F55BA6">
        <w:rPr>
          <w:rFonts w:asciiTheme="majorHAnsi" w:eastAsia="Times New Roman" w:hAnsiTheme="majorHAnsi" w:cstheme="majorHAnsi"/>
          <w:sz w:val="24"/>
          <w:szCs w:val="24"/>
          <w:lang w:val="ro-RO"/>
        </w:rPr>
        <w:t xml:space="preserve"> fost înregistrat</w:t>
      </w:r>
      <w:r w:rsidR="00441E16" w:rsidRPr="00F55BA6">
        <w:rPr>
          <w:rFonts w:asciiTheme="majorHAnsi" w:eastAsia="Times New Roman" w:hAnsiTheme="majorHAnsi" w:cstheme="majorHAnsi"/>
          <w:sz w:val="24"/>
          <w:szCs w:val="24"/>
          <w:lang w:val="ro-RO"/>
        </w:rPr>
        <w:t>e</w:t>
      </w:r>
      <w:r w:rsidRPr="00F55BA6">
        <w:rPr>
          <w:rFonts w:asciiTheme="majorHAnsi" w:eastAsia="Times New Roman" w:hAnsiTheme="majorHAnsi" w:cstheme="majorHAnsi"/>
          <w:sz w:val="24"/>
          <w:szCs w:val="24"/>
          <w:lang w:val="ro-RO"/>
        </w:rPr>
        <w:t xml:space="preserve"> sold</w:t>
      </w:r>
      <w:r w:rsidR="00441E16" w:rsidRPr="00F55BA6">
        <w:rPr>
          <w:rFonts w:asciiTheme="majorHAnsi" w:eastAsia="Times New Roman" w:hAnsiTheme="majorHAnsi" w:cstheme="majorHAnsi"/>
          <w:sz w:val="24"/>
          <w:szCs w:val="24"/>
          <w:lang w:val="ro-RO"/>
        </w:rPr>
        <w:t>uri</w:t>
      </w:r>
      <w:r w:rsidRPr="00F55BA6">
        <w:rPr>
          <w:rFonts w:asciiTheme="majorHAnsi" w:eastAsia="Times New Roman" w:hAnsiTheme="majorHAnsi" w:cstheme="majorHAnsi"/>
          <w:sz w:val="24"/>
          <w:szCs w:val="24"/>
          <w:lang w:val="ro-RO"/>
        </w:rPr>
        <w:t xml:space="preserve"> de mijloace bănești la începutul anului </w:t>
      </w:r>
      <w:r w:rsidR="00441E16" w:rsidRPr="00F55BA6">
        <w:rPr>
          <w:rFonts w:asciiTheme="majorHAnsi" w:eastAsia="Times New Roman" w:hAnsiTheme="majorHAnsi" w:cstheme="majorHAnsi"/>
          <w:sz w:val="24"/>
          <w:szCs w:val="24"/>
          <w:lang w:val="ro-RO"/>
        </w:rPr>
        <w:t>de raportare</w:t>
      </w:r>
      <w:r w:rsidRPr="00F55BA6">
        <w:rPr>
          <w:rFonts w:asciiTheme="majorHAnsi" w:eastAsia="Times New Roman" w:hAnsiTheme="majorHAnsi" w:cstheme="majorHAnsi"/>
          <w:sz w:val="24"/>
          <w:szCs w:val="24"/>
          <w:lang w:val="ro-RO"/>
        </w:rPr>
        <w:t xml:space="preserve"> și nu au fost debursate granturi în cadrul a 8 proiecte, au fost aprobate venituri în sumă de 202,8 mil. lei și precizate în sumă de 61,1 mil. lei, dar de fapt nu au fost debursate </w:t>
      </w:r>
      <w:r w:rsidR="00036096" w:rsidRPr="00F55BA6">
        <w:rPr>
          <w:rFonts w:asciiTheme="majorHAnsi" w:eastAsia="Times New Roman" w:hAnsiTheme="majorHAnsi" w:cstheme="majorHAnsi"/>
          <w:sz w:val="24"/>
          <w:szCs w:val="24"/>
          <w:lang w:val="ro-RO"/>
        </w:rPr>
        <w:t>mijloace din surse externe</w:t>
      </w:r>
      <w:r w:rsidRPr="00F55BA6">
        <w:rPr>
          <w:rFonts w:asciiTheme="majorHAnsi" w:eastAsia="Times New Roman" w:hAnsiTheme="majorHAnsi" w:cstheme="majorHAnsi"/>
          <w:sz w:val="24"/>
          <w:szCs w:val="24"/>
          <w:lang w:val="ro-RO"/>
        </w:rPr>
        <w:t>;</w:t>
      </w:r>
    </w:p>
    <w:p w:rsidR="006E2E6A" w:rsidRPr="00F55BA6" w:rsidRDefault="006E2E6A" w:rsidP="006E2E6A">
      <w:pPr>
        <w:pStyle w:val="af0"/>
        <w:numPr>
          <w:ilvl w:val="0"/>
          <w:numId w:val="7"/>
        </w:numPr>
        <w:tabs>
          <w:tab w:val="left" w:pos="142"/>
        </w:tabs>
        <w:spacing w:after="0" w:line="276" w:lineRule="auto"/>
        <w:ind w:left="0" w:firstLine="0"/>
        <w:rPr>
          <w:rFonts w:asciiTheme="majorHAnsi" w:eastAsia="Times New Roman" w:hAnsiTheme="majorHAnsi" w:cstheme="majorHAnsi"/>
          <w:sz w:val="24"/>
          <w:szCs w:val="24"/>
          <w:lang w:val="ro-RO"/>
        </w:rPr>
      </w:pPr>
      <w:r w:rsidRPr="00F55BA6">
        <w:rPr>
          <w:rFonts w:asciiTheme="majorHAnsi" w:eastAsia="Times New Roman" w:hAnsiTheme="majorHAnsi" w:cstheme="majorHAnsi"/>
          <w:sz w:val="24"/>
          <w:szCs w:val="24"/>
          <w:lang w:val="ro-RO"/>
        </w:rPr>
        <w:t xml:space="preserve">la finele anului 2020 </w:t>
      </w:r>
      <w:r w:rsidRPr="00F55BA6">
        <w:rPr>
          <w:rFonts w:asciiTheme="majorHAnsi" w:eastAsia="Times New Roman" w:hAnsiTheme="majorHAnsi" w:cstheme="majorHAnsi"/>
          <w:i/>
          <w:sz w:val="24"/>
          <w:szCs w:val="24"/>
          <w:lang w:val="ro-RO"/>
        </w:rPr>
        <w:t>au fost înregistrate solduri de mijloace bănești în sumă de</w:t>
      </w:r>
      <w:r w:rsidRPr="00F55BA6">
        <w:rPr>
          <w:rFonts w:asciiTheme="majorHAnsi" w:eastAsia="Times New Roman" w:hAnsiTheme="majorHAnsi" w:cstheme="majorHAnsi"/>
          <w:sz w:val="24"/>
          <w:szCs w:val="24"/>
          <w:lang w:val="ro-RO"/>
        </w:rPr>
        <w:t xml:space="preserve"> </w:t>
      </w:r>
      <w:r w:rsidRPr="00F55BA6">
        <w:rPr>
          <w:rFonts w:asciiTheme="majorHAnsi" w:eastAsia="Times New Roman" w:hAnsiTheme="majorHAnsi" w:cstheme="majorHAnsi"/>
          <w:i/>
          <w:sz w:val="24"/>
          <w:szCs w:val="24"/>
          <w:lang w:val="ro-RO"/>
        </w:rPr>
        <w:t>1 575,5 mil. lei la conturile instituțiilor/autorităților bugetare,</w:t>
      </w:r>
      <w:r w:rsidRPr="00F55BA6">
        <w:rPr>
          <w:rFonts w:asciiTheme="majorHAnsi" w:eastAsia="Times New Roman" w:hAnsiTheme="majorHAnsi" w:cstheme="majorHAnsi"/>
          <w:sz w:val="24"/>
          <w:szCs w:val="24"/>
          <w:lang w:val="ro-RO"/>
        </w:rPr>
        <w:t xml:space="preserve"> care sunt accesibile pentru utilizare în aceleași scopuri în anul bugetar următor. Comparativ cu anul precedent, soldul mijloacelor bănești a crescut cu 425,0 mil. lei. Cele mai semnificative solduri de mijloace bănești la sfârșitul anului 2020 se înregistrează la </w:t>
      </w:r>
      <w:r w:rsidRPr="00F55BA6">
        <w:rPr>
          <w:rFonts w:asciiTheme="majorHAnsi" w:eastAsia="Times New Roman" w:hAnsiTheme="majorHAnsi" w:cstheme="majorHAnsi"/>
          <w:sz w:val="24"/>
          <w:szCs w:val="24"/>
          <w:lang w:val="ro-RO"/>
        </w:rPr>
        <w:lastRenderedPageBreak/>
        <w:t>MEI (862,4 mil. lei), la MF (212,1 mil. lei), MSMPS (130,9 mil. lei) și la Fondul de dezvoltare durabilă Moldova (116,9 mil.lei)</w:t>
      </w:r>
      <w:r w:rsidR="00441E16" w:rsidRPr="00F55BA6">
        <w:rPr>
          <w:rFonts w:asciiTheme="majorHAnsi" w:eastAsia="Times New Roman" w:hAnsiTheme="majorHAnsi" w:cstheme="majorHAnsi"/>
          <w:sz w:val="24"/>
          <w:szCs w:val="24"/>
          <w:lang w:val="ro-RO"/>
        </w:rPr>
        <w:t>;</w:t>
      </w:r>
      <w:r w:rsidRPr="00F55BA6">
        <w:rPr>
          <w:rFonts w:asciiTheme="majorHAnsi" w:eastAsia="Times New Roman" w:hAnsiTheme="majorHAnsi" w:cstheme="majorHAnsi"/>
          <w:b/>
          <w:sz w:val="24"/>
          <w:szCs w:val="24"/>
          <w:lang w:val="ro-RO"/>
        </w:rPr>
        <w:t xml:space="preserve"> </w:t>
      </w:r>
    </w:p>
    <w:p w:rsidR="00820DB3" w:rsidRPr="00F55BA6" w:rsidRDefault="006E2E6A" w:rsidP="00820DB3">
      <w:pPr>
        <w:pStyle w:val="af0"/>
        <w:numPr>
          <w:ilvl w:val="0"/>
          <w:numId w:val="7"/>
        </w:numPr>
        <w:tabs>
          <w:tab w:val="left" w:pos="142"/>
        </w:tabs>
        <w:spacing w:after="0" w:line="276" w:lineRule="auto"/>
        <w:ind w:left="0" w:firstLine="0"/>
        <w:rPr>
          <w:rFonts w:asciiTheme="majorHAnsi" w:eastAsia="Times New Roman" w:hAnsiTheme="majorHAnsi" w:cstheme="majorHAnsi"/>
          <w:sz w:val="24"/>
          <w:szCs w:val="24"/>
          <w:lang w:val="ro-RO"/>
        </w:rPr>
      </w:pPr>
      <w:r w:rsidRPr="00F55BA6">
        <w:rPr>
          <w:rFonts w:asciiTheme="majorHAnsi" w:eastAsia="Times New Roman" w:hAnsiTheme="majorHAnsi" w:cstheme="majorHAnsi"/>
          <w:sz w:val="24"/>
          <w:szCs w:val="24"/>
          <w:lang w:val="ro-RO"/>
        </w:rPr>
        <w:t>au fost operate modificări la soldul de mijloace bănești</w:t>
      </w:r>
      <w:r w:rsidRPr="00E4517B">
        <w:rPr>
          <w:rFonts w:asciiTheme="majorHAnsi" w:eastAsia="Times New Roman" w:hAnsiTheme="majorHAnsi" w:cstheme="majorHAnsi"/>
          <w:b/>
          <w:i/>
          <w:sz w:val="24"/>
          <w:szCs w:val="24"/>
          <w:lang w:val="ro-RO"/>
        </w:rPr>
        <w:t xml:space="preserve"> </w:t>
      </w:r>
      <w:r w:rsidRPr="00E4517B">
        <w:rPr>
          <w:rFonts w:asciiTheme="majorHAnsi" w:eastAsia="Times New Roman" w:hAnsiTheme="majorHAnsi" w:cstheme="majorHAnsi"/>
          <w:sz w:val="24"/>
          <w:szCs w:val="24"/>
          <w:lang w:val="ro-RO"/>
        </w:rPr>
        <w:t>provenite din proiecte finanțate din surse externe</w:t>
      </w:r>
      <w:r w:rsidR="003A4756">
        <w:rPr>
          <w:rFonts w:asciiTheme="majorHAnsi" w:eastAsia="Times New Roman" w:hAnsiTheme="majorHAnsi" w:cstheme="majorHAnsi"/>
          <w:sz w:val="24"/>
          <w:szCs w:val="24"/>
          <w:lang w:val="ro-RO"/>
        </w:rPr>
        <w:t>,</w:t>
      </w:r>
      <w:r w:rsidRPr="00F55BA6">
        <w:rPr>
          <w:rFonts w:asciiTheme="majorHAnsi" w:eastAsia="Times New Roman" w:hAnsiTheme="majorHAnsi" w:cstheme="majorHAnsi"/>
          <w:sz w:val="24"/>
          <w:szCs w:val="24"/>
          <w:lang w:val="ro-RO"/>
        </w:rPr>
        <w:t xml:space="preserve"> în majorare cu 6,1 mil. lei și în diminuare cu 351,6 mil. lei</w:t>
      </w:r>
      <w:r w:rsidR="00C31816">
        <w:rPr>
          <w:rFonts w:asciiTheme="majorHAnsi" w:eastAsia="Times New Roman" w:hAnsiTheme="majorHAnsi" w:cstheme="majorHAnsi"/>
          <w:sz w:val="24"/>
          <w:szCs w:val="24"/>
          <w:lang w:val="ro-RO"/>
        </w:rPr>
        <w:t>,</w:t>
      </w:r>
      <w:r w:rsidRPr="00F55BA6">
        <w:rPr>
          <w:rFonts w:asciiTheme="majorHAnsi" w:eastAsia="Times New Roman" w:hAnsiTheme="majorHAnsi" w:cstheme="majorHAnsi"/>
          <w:sz w:val="24"/>
          <w:szCs w:val="24"/>
          <w:lang w:val="ro-RO"/>
        </w:rPr>
        <w:t xml:space="preserve"> </w:t>
      </w:r>
      <w:r w:rsidRPr="00F55BA6">
        <w:rPr>
          <w:rFonts w:asciiTheme="majorHAnsi" w:hAnsiTheme="majorHAnsi" w:cstheme="majorHAnsi"/>
          <w:sz w:val="24"/>
          <w:szCs w:val="24"/>
          <w:lang w:val="ro-RO"/>
        </w:rPr>
        <w:t xml:space="preserve">la MAI (+120,77 mii lei), MSMPS (+692,62 mii lei), MADRM (+787,9 mii lei), MEI (-340 930,07 mii lei), MECC (-7 564,4 mii lei), Agenția Națională pentru Cercetare și Dezvoltare (+5 382,2 mii lei), CEC (-510,35 mii lei), Fondul de Investiții Sociale (-1 680,45 mii lei). </w:t>
      </w:r>
      <w:r w:rsidR="00820DB3" w:rsidRPr="00E4517B">
        <w:rPr>
          <w:rFonts w:asciiTheme="majorHAnsi" w:eastAsia="Times New Roman" w:hAnsiTheme="majorHAnsi" w:cstheme="majorHAnsi"/>
          <w:sz w:val="24"/>
          <w:szCs w:val="24"/>
          <w:lang w:val="ro-RO"/>
        </w:rPr>
        <w:t>Mijloacele financiare au fost rambursate de către CEC donatorilor în sum</w:t>
      </w:r>
      <w:r w:rsidR="00441E16" w:rsidRPr="00973E5B">
        <w:rPr>
          <w:rFonts w:asciiTheme="majorHAnsi" w:eastAsia="Times New Roman" w:hAnsiTheme="majorHAnsi" w:cstheme="majorHAnsi"/>
          <w:sz w:val="24"/>
          <w:szCs w:val="24"/>
          <w:lang w:val="ro-RO"/>
        </w:rPr>
        <w:t>ă</w:t>
      </w:r>
      <w:r w:rsidR="00820DB3" w:rsidRPr="00973E5B">
        <w:rPr>
          <w:rFonts w:asciiTheme="majorHAnsi" w:eastAsia="Times New Roman" w:hAnsiTheme="majorHAnsi" w:cstheme="majorHAnsi"/>
          <w:sz w:val="24"/>
          <w:szCs w:val="24"/>
          <w:lang w:val="ro-RO"/>
        </w:rPr>
        <w:t xml:space="preserve"> de 506,7 m</w:t>
      </w:r>
      <w:r w:rsidR="00820DB3" w:rsidRPr="00B05CFC">
        <w:rPr>
          <w:rFonts w:asciiTheme="majorHAnsi" w:eastAsia="Times New Roman" w:hAnsiTheme="majorHAnsi" w:cstheme="majorHAnsi"/>
          <w:sz w:val="24"/>
          <w:szCs w:val="24"/>
          <w:lang w:val="ro-RO"/>
        </w:rPr>
        <w:t>ii și în bugetul de stat (3,6 mii lei)</w:t>
      </w:r>
      <w:r w:rsidR="00441E16" w:rsidRPr="00E4517B">
        <w:rPr>
          <w:rFonts w:asciiTheme="majorHAnsi" w:eastAsia="Times New Roman" w:hAnsiTheme="majorHAnsi" w:cstheme="majorHAnsi"/>
          <w:sz w:val="24"/>
          <w:szCs w:val="24"/>
          <w:lang w:val="ro-RO"/>
        </w:rPr>
        <w:t>,</w:t>
      </w:r>
      <w:r w:rsidR="00820DB3" w:rsidRPr="00E4517B">
        <w:rPr>
          <w:rFonts w:asciiTheme="majorHAnsi" w:eastAsia="Times New Roman" w:hAnsiTheme="majorHAnsi" w:cstheme="majorHAnsi"/>
          <w:sz w:val="24"/>
          <w:szCs w:val="24"/>
          <w:lang w:val="ro-RO"/>
        </w:rPr>
        <w:t xml:space="preserve"> în </w:t>
      </w:r>
      <w:r w:rsidR="00441E16" w:rsidRPr="00E4517B">
        <w:rPr>
          <w:rFonts w:asciiTheme="majorHAnsi" w:eastAsia="Times New Roman" w:hAnsiTheme="majorHAnsi" w:cstheme="majorHAnsi"/>
          <w:sz w:val="24"/>
          <w:szCs w:val="24"/>
          <w:lang w:val="ro-RO"/>
        </w:rPr>
        <w:t xml:space="preserve">urma </w:t>
      </w:r>
      <w:r w:rsidR="00820DB3" w:rsidRPr="00E4517B">
        <w:rPr>
          <w:rFonts w:asciiTheme="majorHAnsi" w:eastAsia="Times New Roman" w:hAnsiTheme="majorHAnsi" w:cstheme="majorHAnsi"/>
          <w:sz w:val="24"/>
          <w:szCs w:val="24"/>
          <w:lang w:val="ro-RO"/>
        </w:rPr>
        <w:t>finalizării proiectului</w:t>
      </w:r>
      <w:r w:rsidR="00441E16" w:rsidRPr="00E4517B">
        <w:rPr>
          <w:rFonts w:asciiTheme="majorHAnsi" w:eastAsia="Times New Roman" w:hAnsiTheme="majorHAnsi" w:cstheme="majorHAnsi"/>
          <w:sz w:val="24"/>
          <w:szCs w:val="24"/>
          <w:lang w:val="ro-RO"/>
        </w:rPr>
        <w:t>,</w:t>
      </w:r>
      <w:r w:rsidR="002E5215" w:rsidRPr="00E4517B">
        <w:rPr>
          <w:rFonts w:asciiTheme="majorHAnsi" w:eastAsia="Times New Roman" w:hAnsiTheme="majorHAnsi" w:cstheme="majorHAnsi"/>
          <w:sz w:val="24"/>
          <w:szCs w:val="24"/>
          <w:lang w:val="ro-RO"/>
        </w:rPr>
        <w:t xml:space="preserve"> iar Ministere</w:t>
      </w:r>
      <w:r w:rsidR="00441E16" w:rsidRPr="00E4517B">
        <w:rPr>
          <w:rFonts w:asciiTheme="majorHAnsi" w:eastAsia="Times New Roman" w:hAnsiTheme="majorHAnsi" w:cstheme="majorHAnsi"/>
          <w:sz w:val="24"/>
          <w:szCs w:val="24"/>
          <w:lang w:val="ro-RO"/>
        </w:rPr>
        <w:t>le</w:t>
      </w:r>
      <w:r w:rsidR="002E5215" w:rsidRPr="00E4517B">
        <w:rPr>
          <w:rFonts w:asciiTheme="majorHAnsi" w:eastAsia="Times New Roman" w:hAnsiTheme="majorHAnsi" w:cstheme="majorHAnsi"/>
          <w:sz w:val="24"/>
          <w:szCs w:val="24"/>
          <w:lang w:val="ro-RO"/>
        </w:rPr>
        <w:t xml:space="preserve"> nu a</w:t>
      </w:r>
      <w:r w:rsidR="00441E16" w:rsidRPr="00E4517B">
        <w:rPr>
          <w:rFonts w:asciiTheme="majorHAnsi" w:eastAsia="Times New Roman" w:hAnsiTheme="majorHAnsi" w:cstheme="majorHAnsi"/>
          <w:sz w:val="24"/>
          <w:szCs w:val="24"/>
          <w:lang w:val="ro-RO"/>
        </w:rPr>
        <w:t>u</w:t>
      </w:r>
      <w:r w:rsidR="002E5215" w:rsidRPr="00E4517B">
        <w:rPr>
          <w:rFonts w:asciiTheme="majorHAnsi" w:eastAsia="Times New Roman" w:hAnsiTheme="majorHAnsi" w:cstheme="majorHAnsi"/>
          <w:sz w:val="24"/>
          <w:szCs w:val="24"/>
          <w:lang w:val="ro-RO"/>
        </w:rPr>
        <w:t xml:space="preserve"> prezentat echipei de audit</w:t>
      </w:r>
      <w:r w:rsidR="00441E16" w:rsidRPr="00E4517B">
        <w:rPr>
          <w:rFonts w:asciiTheme="majorHAnsi" w:eastAsia="Times New Roman" w:hAnsiTheme="majorHAnsi" w:cstheme="majorHAnsi"/>
          <w:sz w:val="24"/>
          <w:szCs w:val="24"/>
          <w:lang w:val="ro-RO"/>
        </w:rPr>
        <w:t xml:space="preserve"> informația la acest subiect</w:t>
      </w:r>
      <w:r w:rsidR="002E5215" w:rsidRPr="00E4517B">
        <w:rPr>
          <w:rFonts w:asciiTheme="majorHAnsi" w:eastAsia="Times New Roman" w:hAnsiTheme="majorHAnsi" w:cstheme="majorHAnsi"/>
          <w:sz w:val="24"/>
          <w:szCs w:val="24"/>
          <w:lang w:val="ro-RO"/>
        </w:rPr>
        <w:t>.</w:t>
      </w:r>
    </w:p>
    <w:p w:rsidR="00134A6E" w:rsidRPr="00E4517B" w:rsidRDefault="006E2E6A" w:rsidP="009613EB">
      <w:pPr>
        <w:spacing w:after="0" w:line="276" w:lineRule="auto"/>
        <w:rPr>
          <w:rFonts w:asciiTheme="majorHAnsi" w:hAnsiTheme="majorHAnsi" w:cstheme="majorHAnsi"/>
          <w:sz w:val="24"/>
          <w:szCs w:val="24"/>
          <w:lang w:val="ro-RO"/>
        </w:rPr>
      </w:pPr>
      <w:r w:rsidRPr="00F55BA6">
        <w:rPr>
          <w:rFonts w:asciiTheme="majorHAnsi" w:eastAsia="Times New Roman" w:hAnsiTheme="majorHAnsi" w:cstheme="majorHAnsi"/>
          <w:sz w:val="24"/>
          <w:szCs w:val="24"/>
          <w:lang w:val="ro-RO"/>
        </w:rPr>
        <w:t>Auditul a constatat</w:t>
      </w:r>
      <w:r w:rsidR="00841B86" w:rsidRPr="00F55BA6">
        <w:rPr>
          <w:rFonts w:asciiTheme="majorHAnsi" w:eastAsia="Times New Roman" w:hAnsiTheme="majorHAnsi" w:cstheme="majorHAnsi"/>
          <w:sz w:val="24"/>
          <w:szCs w:val="24"/>
          <w:lang w:val="ro-RO"/>
        </w:rPr>
        <w:t xml:space="preserve"> </w:t>
      </w:r>
      <w:r w:rsidRPr="00F55BA6">
        <w:rPr>
          <w:rFonts w:asciiTheme="majorHAnsi" w:eastAsia="Times New Roman" w:hAnsiTheme="majorHAnsi" w:cstheme="majorHAnsi"/>
          <w:sz w:val="24"/>
          <w:szCs w:val="24"/>
          <w:lang w:val="ro-RO"/>
        </w:rPr>
        <w:t>c</w:t>
      </w:r>
      <w:r w:rsidRPr="00E4517B">
        <w:rPr>
          <w:rFonts w:asciiTheme="majorHAnsi" w:hAnsiTheme="majorHAnsi" w:cstheme="majorHAnsi"/>
          <w:sz w:val="24"/>
          <w:szCs w:val="24"/>
          <w:lang w:val="ro-RO"/>
        </w:rPr>
        <w:t>apacitatea slabă de absorbție a asistenței externe de către autorități, inclusiv cauzată de pandemia COVID-19</w:t>
      </w:r>
      <w:r w:rsidR="006E7C0C" w:rsidRPr="00973E5B">
        <w:rPr>
          <w:rFonts w:asciiTheme="majorHAnsi" w:hAnsiTheme="majorHAnsi" w:cstheme="majorHAnsi"/>
          <w:sz w:val="24"/>
          <w:szCs w:val="24"/>
          <w:lang w:val="ro-RO"/>
        </w:rPr>
        <w:t>,</w:t>
      </w:r>
      <w:r w:rsidRPr="00973E5B">
        <w:rPr>
          <w:rFonts w:asciiTheme="majorHAnsi" w:hAnsiTheme="majorHAnsi" w:cstheme="majorHAnsi"/>
          <w:sz w:val="24"/>
          <w:szCs w:val="24"/>
          <w:lang w:val="ro-RO"/>
        </w:rPr>
        <w:t xml:space="preserve"> care a stopat unele activități din cadrul proiectelor, precum și nerealizarea integrală a condițiilor pentru debursarea tranșelor aferente programelor de suport bugetar.</w:t>
      </w:r>
      <w:r w:rsidRPr="00F55BA6">
        <w:rPr>
          <w:rFonts w:asciiTheme="majorHAnsi" w:eastAsia="Times New Roman" w:hAnsiTheme="majorHAnsi" w:cstheme="majorHAnsi"/>
          <w:sz w:val="24"/>
          <w:szCs w:val="24"/>
          <w:lang w:val="ro-RO"/>
        </w:rPr>
        <w:t xml:space="preserve"> </w:t>
      </w:r>
      <w:r w:rsidRPr="00E4517B">
        <w:rPr>
          <w:rFonts w:asciiTheme="majorHAnsi" w:hAnsiTheme="majorHAnsi" w:cstheme="majorHAnsi"/>
          <w:sz w:val="24"/>
          <w:szCs w:val="24"/>
          <w:lang w:val="ro-RO"/>
        </w:rPr>
        <w:t xml:space="preserve">În anul 2020, pentru combaterea pandemiei COVID-19 au fost </w:t>
      </w:r>
      <w:r w:rsidRPr="00973E5B">
        <w:rPr>
          <w:rFonts w:asciiTheme="majorHAnsi" w:hAnsiTheme="majorHAnsi" w:cstheme="majorHAnsi"/>
          <w:sz w:val="24"/>
          <w:szCs w:val="24"/>
          <w:lang w:val="ro-RO"/>
        </w:rPr>
        <w:t xml:space="preserve">încheiate 2 Acorduri de împrumuturi externe în sumă totală de 122,9 mil. euro, din care au fost debursate mijloace în sumă de 510,5 mil. lei și executate cheltuieli la nivel de 38,4%, înregistrând </w:t>
      </w:r>
      <w:r w:rsidR="006E7C0C" w:rsidRPr="00973E5B">
        <w:rPr>
          <w:rFonts w:asciiTheme="majorHAnsi" w:hAnsiTheme="majorHAnsi" w:cstheme="majorHAnsi"/>
          <w:sz w:val="24"/>
          <w:szCs w:val="24"/>
          <w:lang w:val="ro-RO"/>
        </w:rPr>
        <w:t xml:space="preserve">un </w:t>
      </w:r>
      <w:r w:rsidRPr="00207634">
        <w:rPr>
          <w:rFonts w:asciiTheme="majorHAnsi" w:hAnsiTheme="majorHAnsi" w:cstheme="majorHAnsi"/>
          <w:sz w:val="24"/>
          <w:szCs w:val="24"/>
          <w:lang w:val="ro-RO"/>
        </w:rPr>
        <w:t xml:space="preserve">sold </w:t>
      </w:r>
      <w:r w:rsidR="006E7C0C" w:rsidRPr="00B05CFC">
        <w:rPr>
          <w:rFonts w:asciiTheme="majorHAnsi" w:hAnsiTheme="majorHAnsi" w:cstheme="majorHAnsi"/>
          <w:sz w:val="24"/>
          <w:szCs w:val="24"/>
          <w:lang w:val="ro-RO"/>
        </w:rPr>
        <w:t xml:space="preserve">de </w:t>
      </w:r>
      <w:r w:rsidRPr="00E4517B">
        <w:rPr>
          <w:rFonts w:asciiTheme="majorHAnsi" w:hAnsiTheme="majorHAnsi" w:cstheme="majorHAnsi"/>
          <w:sz w:val="24"/>
          <w:szCs w:val="24"/>
          <w:lang w:val="ro-RO"/>
        </w:rPr>
        <w:t>mijloace bănești</w:t>
      </w:r>
      <w:r w:rsidR="002E2DE1" w:rsidRPr="00E4517B">
        <w:rPr>
          <w:rFonts w:asciiTheme="majorHAnsi" w:hAnsiTheme="majorHAnsi" w:cstheme="majorHAnsi"/>
          <w:sz w:val="24"/>
          <w:szCs w:val="24"/>
          <w:lang w:val="ro-RO"/>
        </w:rPr>
        <w:t>,</w:t>
      </w:r>
      <w:r w:rsidRPr="00E4517B">
        <w:rPr>
          <w:rFonts w:asciiTheme="majorHAnsi" w:hAnsiTheme="majorHAnsi" w:cstheme="majorHAnsi"/>
          <w:sz w:val="24"/>
          <w:szCs w:val="24"/>
          <w:lang w:val="ro-RO"/>
        </w:rPr>
        <w:t xml:space="preserve"> la sfârșitul anului 2020</w:t>
      </w:r>
      <w:r w:rsidR="006E7C0C" w:rsidRPr="00E4517B">
        <w:rPr>
          <w:rFonts w:asciiTheme="majorHAnsi" w:hAnsiTheme="majorHAnsi" w:cstheme="majorHAnsi"/>
          <w:sz w:val="24"/>
          <w:szCs w:val="24"/>
          <w:lang w:val="ro-RO"/>
        </w:rPr>
        <w:t>,</w:t>
      </w:r>
      <w:r w:rsidRPr="00E4517B">
        <w:rPr>
          <w:rFonts w:asciiTheme="majorHAnsi" w:hAnsiTheme="majorHAnsi" w:cstheme="majorHAnsi"/>
          <w:sz w:val="24"/>
          <w:szCs w:val="24"/>
          <w:lang w:val="ro-RO"/>
        </w:rPr>
        <w:t xml:space="preserve"> în sumă de 314,3 mil. lei</w:t>
      </w:r>
      <w:r w:rsidRPr="00E4517B">
        <w:rPr>
          <w:rStyle w:val="ac"/>
          <w:rFonts w:asciiTheme="majorHAnsi" w:hAnsiTheme="majorHAnsi" w:cstheme="majorHAnsi"/>
          <w:sz w:val="24"/>
          <w:szCs w:val="24"/>
          <w:lang w:val="ro-RO"/>
        </w:rPr>
        <w:footnoteReference w:id="37"/>
      </w:r>
      <w:r w:rsidRPr="00E4517B">
        <w:rPr>
          <w:rFonts w:asciiTheme="majorHAnsi" w:hAnsiTheme="majorHAnsi" w:cstheme="majorHAnsi"/>
          <w:sz w:val="24"/>
          <w:szCs w:val="24"/>
          <w:lang w:val="ro-RO"/>
        </w:rPr>
        <w:t xml:space="preserve">. </w:t>
      </w:r>
    </w:p>
    <w:p w:rsidR="005E4D53" w:rsidRPr="00F55BA6" w:rsidRDefault="005E4D53" w:rsidP="007343B4">
      <w:pPr>
        <w:tabs>
          <w:tab w:val="left" w:pos="426"/>
        </w:tabs>
        <w:spacing w:after="0" w:line="276" w:lineRule="auto"/>
        <w:contextualSpacing/>
        <w:outlineLvl w:val="0"/>
        <w:rPr>
          <w:rFonts w:asciiTheme="majorHAnsi" w:hAnsiTheme="majorHAnsi" w:cstheme="majorHAnsi"/>
          <w:b/>
          <w:szCs w:val="28"/>
          <w:lang w:val="ro-RO"/>
        </w:rPr>
      </w:pPr>
      <w:r w:rsidRPr="00F55BA6">
        <w:rPr>
          <w:rFonts w:asciiTheme="majorHAnsi" w:hAnsiTheme="majorHAnsi" w:cstheme="majorHAnsi"/>
          <w:b/>
          <w:sz w:val="24"/>
          <w:szCs w:val="24"/>
          <w:lang w:val="ro-RO"/>
        </w:rPr>
        <w:t xml:space="preserve">6.7. Soldul mijloacelor nevalorificate la cheltuieli de personal de către APC în sumă de 93,0 mil. lei și soldul de alocații nefinanțate de la </w:t>
      </w:r>
      <w:r w:rsidR="002E2DE1" w:rsidRPr="00F55BA6">
        <w:rPr>
          <w:rFonts w:asciiTheme="majorHAnsi" w:hAnsiTheme="majorHAnsi" w:cstheme="majorHAnsi"/>
          <w:b/>
          <w:sz w:val="24"/>
          <w:szCs w:val="24"/>
          <w:lang w:val="ro-RO"/>
        </w:rPr>
        <w:t>„</w:t>
      </w:r>
      <w:r w:rsidRPr="00F55BA6">
        <w:rPr>
          <w:rFonts w:asciiTheme="majorHAnsi" w:hAnsiTheme="majorHAnsi" w:cstheme="majorHAnsi"/>
          <w:b/>
          <w:sz w:val="24"/>
          <w:szCs w:val="24"/>
          <w:lang w:val="ro-RO"/>
        </w:rPr>
        <w:t>Acțiuni generale” constituie 214,2 mil. lei</w:t>
      </w:r>
      <w:r w:rsidR="002E2DE1" w:rsidRPr="00F55BA6">
        <w:rPr>
          <w:rFonts w:asciiTheme="majorHAnsi" w:hAnsiTheme="majorHAnsi" w:cstheme="majorHAnsi"/>
          <w:b/>
          <w:sz w:val="24"/>
          <w:szCs w:val="24"/>
          <w:lang w:val="ro-RO"/>
        </w:rPr>
        <w:t>,</w:t>
      </w:r>
      <w:r w:rsidRPr="00F55BA6">
        <w:rPr>
          <w:rFonts w:asciiTheme="majorHAnsi" w:hAnsiTheme="majorHAnsi" w:cstheme="majorHAnsi"/>
          <w:b/>
          <w:sz w:val="24"/>
          <w:szCs w:val="24"/>
          <w:lang w:val="ro-RO"/>
        </w:rPr>
        <w:t xml:space="preserve"> situație în care se atestă rezerve la planificarea limitelor la cheltuieli pentru implementarea sistemului unitar de salarizare în sectorul bugetar</w:t>
      </w:r>
      <w:r w:rsidR="00C31816">
        <w:rPr>
          <w:rFonts w:asciiTheme="majorHAnsi" w:hAnsiTheme="majorHAnsi" w:cstheme="majorHAnsi"/>
          <w:b/>
          <w:sz w:val="24"/>
          <w:szCs w:val="24"/>
          <w:lang w:val="ro-RO"/>
        </w:rPr>
        <w:t>.</w:t>
      </w:r>
    </w:p>
    <w:p w:rsidR="00AC6703" w:rsidRPr="00E4517B" w:rsidRDefault="00AC6703" w:rsidP="00AC6703">
      <w:pPr>
        <w:spacing w:after="0" w:line="276" w:lineRule="auto"/>
        <w:rPr>
          <w:rFonts w:asciiTheme="majorHAnsi" w:eastAsia="Times New Roman" w:hAnsiTheme="majorHAnsi" w:cstheme="majorHAnsi"/>
          <w:sz w:val="24"/>
          <w:szCs w:val="24"/>
          <w:lang w:val="ro-RO"/>
        </w:rPr>
      </w:pPr>
      <w:r w:rsidRPr="00E4517B">
        <w:rPr>
          <w:rFonts w:asciiTheme="majorHAnsi" w:eastAsia="Times New Roman" w:hAnsiTheme="majorHAnsi" w:cstheme="majorHAnsi"/>
          <w:sz w:val="24"/>
          <w:szCs w:val="24"/>
          <w:lang w:val="ro-RO"/>
        </w:rPr>
        <w:t>Potrivit Anexei nr.5 la Legea BS pentru anul 2020</w:t>
      </w:r>
      <w:r w:rsidR="002E2DE1" w:rsidRPr="00E4517B">
        <w:rPr>
          <w:rFonts w:asciiTheme="majorHAnsi" w:eastAsia="Times New Roman" w:hAnsiTheme="majorHAnsi" w:cstheme="majorHAnsi"/>
          <w:sz w:val="24"/>
          <w:szCs w:val="24"/>
          <w:lang w:val="ro-RO"/>
        </w:rPr>
        <w:t>,</w:t>
      </w:r>
      <w:r w:rsidRPr="00973E5B">
        <w:rPr>
          <w:rFonts w:asciiTheme="majorHAnsi" w:eastAsia="Times New Roman" w:hAnsiTheme="majorHAnsi" w:cstheme="majorHAnsi"/>
          <w:sz w:val="24"/>
          <w:szCs w:val="24"/>
          <w:lang w:val="ro-RO"/>
        </w:rPr>
        <w:t xml:space="preserve"> </w:t>
      </w:r>
      <w:r w:rsidR="00437B29" w:rsidRPr="00973E5B">
        <w:rPr>
          <w:rFonts w:asciiTheme="majorHAnsi" w:eastAsia="Times New Roman" w:hAnsiTheme="majorHAnsi" w:cstheme="majorHAnsi"/>
          <w:sz w:val="24"/>
          <w:szCs w:val="24"/>
          <w:lang w:val="ro-RO"/>
        </w:rPr>
        <w:t>a</w:t>
      </w:r>
      <w:r w:rsidRPr="00207634">
        <w:rPr>
          <w:rFonts w:asciiTheme="majorHAnsi" w:eastAsia="Times New Roman" w:hAnsiTheme="majorHAnsi" w:cstheme="majorHAnsi"/>
          <w:sz w:val="24"/>
          <w:szCs w:val="24"/>
          <w:lang w:val="ro-RO"/>
        </w:rPr>
        <w:t xml:space="preserve">u fost aprobate inițial cheltuieli de personal pentru 43 APC în </w:t>
      </w:r>
      <w:r w:rsidRPr="00B05CFC">
        <w:rPr>
          <w:rFonts w:asciiTheme="majorHAnsi" w:eastAsia="Times New Roman" w:hAnsiTheme="majorHAnsi" w:cstheme="majorHAnsi"/>
          <w:sz w:val="24"/>
          <w:szCs w:val="24"/>
          <w:lang w:val="ro-RO"/>
        </w:rPr>
        <w:t xml:space="preserve">sumă de 7 009,98 mil. lei, ulterior la rectificare au fost majorate cu 4,4 mil. lei (7 014,4 mil. lei) și aprobate alocații suplimentare în contul 0799 </w:t>
      </w:r>
      <w:r w:rsidR="002E2DE1" w:rsidRPr="00E4517B">
        <w:rPr>
          <w:rFonts w:asciiTheme="majorHAnsi" w:eastAsia="Times New Roman" w:hAnsiTheme="majorHAnsi" w:cstheme="majorHAnsi"/>
          <w:sz w:val="24"/>
          <w:szCs w:val="24"/>
          <w:lang w:val="ro-RO"/>
        </w:rPr>
        <w:t>„</w:t>
      </w:r>
      <w:r w:rsidRPr="00E4517B">
        <w:rPr>
          <w:rFonts w:asciiTheme="majorHAnsi" w:eastAsia="Times New Roman" w:hAnsiTheme="majorHAnsi" w:cstheme="majorHAnsi"/>
          <w:sz w:val="24"/>
          <w:szCs w:val="24"/>
          <w:lang w:val="ro-RO"/>
        </w:rPr>
        <w:t xml:space="preserve">Acțiuni generale” în sumă de 375,0 mil. lei, deoarece unele autorități continuă să solicite alocări suplimentare </w:t>
      </w:r>
      <w:r w:rsidR="002E2DE1" w:rsidRPr="00E4517B">
        <w:rPr>
          <w:rFonts w:asciiTheme="majorHAnsi" w:eastAsia="Times New Roman" w:hAnsiTheme="majorHAnsi" w:cstheme="majorHAnsi"/>
          <w:sz w:val="24"/>
          <w:szCs w:val="24"/>
          <w:lang w:val="ro-RO"/>
        </w:rPr>
        <w:t>de</w:t>
      </w:r>
      <w:r w:rsidRPr="00E4517B">
        <w:rPr>
          <w:rFonts w:asciiTheme="majorHAnsi" w:eastAsia="Times New Roman" w:hAnsiTheme="majorHAnsi" w:cstheme="majorHAnsi"/>
          <w:sz w:val="24"/>
          <w:szCs w:val="24"/>
          <w:lang w:val="ro-RO"/>
        </w:rPr>
        <w:t xml:space="preserve"> mijloace financiare pentru acoperirea insuficienței </w:t>
      </w:r>
      <w:r w:rsidR="00C31816">
        <w:rPr>
          <w:rFonts w:asciiTheme="majorHAnsi" w:eastAsia="Times New Roman" w:hAnsiTheme="majorHAnsi" w:cstheme="majorHAnsi"/>
          <w:sz w:val="24"/>
          <w:szCs w:val="24"/>
          <w:lang w:val="ro-RO"/>
        </w:rPr>
        <w:t xml:space="preserve">de mijloace </w:t>
      </w:r>
      <w:r w:rsidRPr="00E4517B">
        <w:rPr>
          <w:rFonts w:asciiTheme="majorHAnsi" w:eastAsia="Times New Roman" w:hAnsiTheme="majorHAnsi" w:cstheme="majorHAnsi"/>
          <w:sz w:val="24"/>
          <w:szCs w:val="24"/>
          <w:lang w:val="ro-RO"/>
        </w:rPr>
        <w:t>la cheltuieli de personal.</w:t>
      </w:r>
    </w:p>
    <w:p w:rsidR="00AC6703" w:rsidRPr="009131CF" w:rsidRDefault="00AC6703" w:rsidP="00AC6703">
      <w:pPr>
        <w:spacing w:after="0" w:line="276" w:lineRule="auto"/>
        <w:rPr>
          <w:rFonts w:asciiTheme="majorHAnsi" w:hAnsiTheme="majorHAnsi" w:cstheme="majorHAnsi"/>
          <w:sz w:val="24"/>
          <w:szCs w:val="24"/>
          <w:lang w:val="ro-RO"/>
        </w:rPr>
      </w:pPr>
      <w:r w:rsidRPr="00E4517B">
        <w:rPr>
          <w:rFonts w:asciiTheme="majorHAnsi" w:eastAsia="Times New Roman" w:hAnsiTheme="majorHAnsi" w:cstheme="majorHAnsi"/>
          <w:sz w:val="24"/>
          <w:szCs w:val="24"/>
          <w:lang w:val="ro-RO"/>
        </w:rPr>
        <w:t xml:space="preserve">La propunerea a 11 autorități, </w:t>
      </w:r>
      <w:r w:rsidRPr="00F55BA6">
        <w:rPr>
          <w:rFonts w:asciiTheme="majorHAnsi" w:eastAsia="Times New Roman" w:hAnsiTheme="majorHAnsi" w:cstheme="majorHAnsi"/>
          <w:noProof/>
          <w:sz w:val="24"/>
          <w:szCs w:val="24"/>
          <w:lang w:val="ro-RO" w:eastAsia="en-GB"/>
        </w:rPr>
        <w:t xml:space="preserve">din contul economiilor </w:t>
      </w:r>
      <w:r w:rsidRPr="00E4517B">
        <w:rPr>
          <w:rFonts w:asciiTheme="majorHAnsi" w:eastAsia="Times New Roman" w:hAnsiTheme="majorHAnsi" w:cstheme="majorHAnsi"/>
          <w:noProof/>
          <w:sz w:val="24"/>
          <w:szCs w:val="24"/>
          <w:lang w:val="ro-RO" w:eastAsia="en-GB"/>
        </w:rPr>
        <w:t xml:space="preserve">identificate, au fost reduse alocațiile </w:t>
      </w:r>
      <w:r w:rsidR="007613D7" w:rsidRPr="00E4517B">
        <w:rPr>
          <w:rFonts w:asciiTheme="majorHAnsi" w:eastAsia="Times New Roman" w:hAnsiTheme="majorHAnsi" w:cstheme="majorHAnsi"/>
          <w:noProof/>
          <w:sz w:val="24"/>
          <w:szCs w:val="24"/>
          <w:lang w:val="ro-RO" w:eastAsia="en-GB"/>
        </w:rPr>
        <w:t xml:space="preserve">inițial </w:t>
      </w:r>
      <w:r w:rsidRPr="00973E5B">
        <w:rPr>
          <w:rFonts w:asciiTheme="majorHAnsi" w:eastAsia="Times New Roman" w:hAnsiTheme="majorHAnsi" w:cstheme="majorHAnsi"/>
          <w:noProof/>
          <w:sz w:val="24"/>
          <w:szCs w:val="24"/>
          <w:lang w:val="ro-RO" w:eastAsia="en-GB"/>
        </w:rPr>
        <w:t xml:space="preserve">aprobate cu 62,7 mil. lei (MECC – 29,8 mil. lei, MJ – 7,0 mil. lei, </w:t>
      </w:r>
      <w:r w:rsidRPr="00207634">
        <w:rPr>
          <w:rFonts w:asciiTheme="majorHAnsi" w:hAnsiTheme="majorHAnsi" w:cstheme="majorHAnsi"/>
          <w:sz w:val="24"/>
          <w:szCs w:val="24"/>
          <w:lang w:val="ro-RO"/>
        </w:rPr>
        <w:t xml:space="preserve">Serviciul </w:t>
      </w:r>
      <w:r w:rsidRPr="009131CF">
        <w:rPr>
          <w:rFonts w:asciiTheme="majorHAnsi" w:hAnsiTheme="majorHAnsi" w:cstheme="majorHAnsi"/>
          <w:sz w:val="24"/>
          <w:szCs w:val="24"/>
          <w:lang w:val="ro-RO"/>
        </w:rPr>
        <w:t>Protecție și Pază de Stat – 5,5 mil. lei, ANI – 5,2 mil. lei etc.)</w:t>
      </w:r>
      <w:r w:rsidR="00C31816">
        <w:rPr>
          <w:rFonts w:asciiTheme="majorHAnsi" w:hAnsiTheme="majorHAnsi" w:cstheme="majorHAnsi"/>
          <w:sz w:val="24"/>
          <w:szCs w:val="24"/>
          <w:lang w:val="ro-RO"/>
        </w:rPr>
        <w:t>,</w:t>
      </w:r>
      <w:r w:rsidRPr="009131CF">
        <w:rPr>
          <w:rFonts w:asciiTheme="majorHAnsi" w:hAnsiTheme="majorHAnsi" w:cstheme="majorHAnsi"/>
          <w:sz w:val="24"/>
          <w:szCs w:val="24"/>
          <w:lang w:val="ro-RO"/>
        </w:rPr>
        <w:t xml:space="preserve"> fiind majorate alocațiile altor 11 instituții cu 67,1 mil. lei (MAI - 55,1 mil. lei, MSMPS – 4,6 mil. lei, APP – 3,0 mil. lei etc.). </w:t>
      </w:r>
    </w:p>
    <w:p w:rsidR="00AC6703" w:rsidRPr="00E4517B" w:rsidRDefault="002E2DE1" w:rsidP="00AC6703">
      <w:pPr>
        <w:spacing w:after="0" w:line="276" w:lineRule="auto"/>
        <w:rPr>
          <w:rFonts w:asciiTheme="majorHAnsi" w:eastAsia="Times New Roman" w:hAnsiTheme="majorHAnsi" w:cstheme="majorHAnsi"/>
          <w:sz w:val="24"/>
          <w:szCs w:val="24"/>
          <w:lang w:val="ro-RO"/>
        </w:rPr>
      </w:pPr>
      <w:r w:rsidRPr="00E4517B">
        <w:rPr>
          <w:rFonts w:asciiTheme="majorHAnsi" w:eastAsia="Times New Roman" w:hAnsiTheme="majorHAnsi" w:cstheme="majorHAnsi"/>
          <w:sz w:val="24"/>
          <w:szCs w:val="24"/>
          <w:lang w:val="ro-RO"/>
        </w:rPr>
        <w:t>Din a</w:t>
      </w:r>
      <w:r w:rsidR="00AC6703" w:rsidRPr="00E4517B">
        <w:rPr>
          <w:rFonts w:asciiTheme="majorHAnsi" w:eastAsia="Times New Roman" w:hAnsiTheme="majorHAnsi" w:cstheme="majorHAnsi"/>
          <w:sz w:val="24"/>
          <w:szCs w:val="24"/>
          <w:lang w:val="ro-RO"/>
        </w:rPr>
        <w:t xml:space="preserve">locațiile </w:t>
      </w:r>
      <w:r w:rsidR="00494452" w:rsidRPr="00E4517B">
        <w:rPr>
          <w:rFonts w:asciiTheme="majorHAnsi" w:eastAsia="Times New Roman" w:hAnsiTheme="majorHAnsi" w:cstheme="majorHAnsi"/>
          <w:sz w:val="24"/>
          <w:szCs w:val="24"/>
          <w:lang w:val="ro-RO"/>
        </w:rPr>
        <w:t>de</w:t>
      </w:r>
      <w:r w:rsidR="00AC6703" w:rsidRPr="00E4517B">
        <w:rPr>
          <w:rFonts w:asciiTheme="majorHAnsi" w:eastAsia="Times New Roman" w:hAnsiTheme="majorHAnsi" w:cstheme="majorHAnsi"/>
          <w:sz w:val="24"/>
          <w:szCs w:val="24"/>
          <w:lang w:val="ro-RO"/>
        </w:rPr>
        <w:t xml:space="preserve"> la contul 0799 </w:t>
      </w:r>
      <w:r w:rsidRPr="00E4517B">
        <w:rPr>
          <w:rFonts w:asciiTheme="majorHAnsi" w:eastAsia="Times New Roman" w:hAnsiTheme="majorHAnsi" w:cstheme="majorHAnsi"/>
          <w:sz w:val="24"/>
          <w:szCs w:val="24"/>
          <w:lang w:val="ro-RO"/>
        </w:rPr>
        <w:t>„</w:t>
      </w:r>
      <w:r w:rsidR="00AC6703" w:rsidRPr="00E4517B">
        <w:rPr>
          <w:rFonts w:asciiTheme="majorHAnsi" w:eastAsia="Times New Roman" w:hAnsiTheme="majorHAnsi" w:cstheme="majorHAnsi"/>
          <w:sz w:val="24"/>
          <w:szCs w:val="24"/>
          <w:lang w:val="ro-RO"/>
        </w:rPr>
        <w:t>Acțiuni generale” (375,0 mil. lei)</w:t>
      </w:r>
      <w:r w:rsidRPr="00E4517B">
        <w:rPr>
          <w:rFonts w:asciiTheme="majorHAnsi" w:eastAsia="Times New Roman" w:hAnsiTheme="majorHAnsi" w:cstheme="majorHAnsi"/>
          <w:sz w:val="24"/>
          <w:szCs w:val="24"/>
          <w:lang w:val="ro-RO"/>
        </w:rPr>
        <w:t>,</w:t>
      </w:r>
      <w:r w:rsidR="00AC6703" w:rsidRPr="00E4517B">
        <w:rPr>
          <w:rFonts w:asciiTheme="majorHAnsi" w:eastAsia="Times New Roman" w:hAnsiTheme="majorHAnsi" w:cstheme="majorHAnsi"/>
          <w:sz w:val="24"/>
          <w:szCs w:val="24"/>
          <w:lang w:val="ro-RO"/>
        </w:rPr>
        <w:t xml:space="preserve"> </w:t>
      </w:r>
      <w:r w:rsidR="00494452" w:rsidRPr="00E4517B">
        <w:rPr>
          <w:rFonts w:asciiTheme="majorHAnsi" w:eastAsia="Times New Roman" w:hAnsiTheme="majorHAnsi" w:cstheme="majorHAnsi"/>
          <w:sz w:val="24"/>
          <w:szCs w:val="24"/>
          <w:lang w:val="ro-RO"/>
        </w:rPr>
        <w:t xml:space="preserve">aprobate </w:t>
      </w:r>
      <w:r w:rsidR="00AC6703" w:rsidRPr="00E4517B">
        <w:rPr>
          <w:rFonts w:asciiTheme="majorHAnsi" w:eastAsia="Times New Roman" w:hAnsiTheme="majorHAnsi" w:cstheme="majorHAnsi"/>
          <w:sz w:val="24"/>
          <w:szCs w:val="24"/>
          <w:lang w:val="ro-RO"/>
        </w:rPr>
        <w:t>în scopul acoperirii parțiale a cheltuielilor pentru implementarea prevederilor Legii nr.270/2018</w:t>
      </w:r>
      <w:r w:rsidR="00AC6703" w:rsidRPr="00E4517B">
        <w:rPr>
          <w:rFonts w:asciiTheme="majorHAnsi" w:eastAsia="Times New Roman" w:hAnsiTheme="majorHAnsi" w:cstheme="majorHAnsi"/>
          <w:sz w:val="24"/>
          <w:szCs w:val="24"/>
          <w:vertAlign w:val="superscript"/>
          <w:lang w:val="ro-RO"/>
        </w:rPr>
        <w:footnoteReference w:id="38"/>
      </w:r>
      <w:r w:rsidR="00AC6703" w:rsidRPr="00E4517B">
        <w:rPr>
          <w:rFonts w:asciiTheme="majorHAnsi" w:eastAsia="Times New Roman" w:hAnsiTheme="majorHAnsi" w:cstheme="majorHAnsi"/>
          <w:sz w:val="24"/>
          <w:szCs w:val="24"/>
          <w:lang w:val="ro-RO"/>
        </w:rPr>
        <w:t xml:space="preserve">, au fost redistribuite </w:t>
      </w:r>
      <w:r w:rsidR="000713D8" w:rsidRPr="00E4517B">
        <w:rPr>
          <w:rFonts w:asciiTheme="majorHAnsi" w:eastAsia="Times New Roman" w:hAnsiTheme="majorHAnsi" w:cstheme="majorHAnsi"/>
          <w:sz w:val="24"/>
          <w:szCs w:val="24"/>
          <w:lang w:val="ro-RO"/>
        </w:rPr>
        <w:t>226,3</w:t>
      </w:r>
      <w:r w:rsidR="000713D8" w:rsidRPr="00973E5B">
        <w:rPr>
          <w:rFonts w:asciiTheme="majorHAnsi" w:eastAsia="Times New Roman" w:hAnsiTheme="majorHAnsi" w:cstheme="majorHAnsi"/>
          <w:sz w:val="24"/>
          <w:szCs w:val="24"/>
          <w:lang w:val="ro-RO"/>
        </w:rPr>
        <w:t xml:space="preserve"> mil. lei în baza a</w:t>
      </w:r>
      <w:r w:rsidR="00AC6703" w:rsidRPr="00973E5B">
        <w:rPr>
          <w:rFonts w:asciiTheme="majorHAnsi" w:eastAsia="Times New Roman" w:hAnsiTheme="majorHAnsi" w:cstheme="majorHAnsi"/>
          <w:sz w:val="24"/>
          <w:szCs w:val="24"/>
          <w:lang w:val="ro-RO"/>
        </w:rPr>
        <w:t xml:space="preserve"> 3 HG</w:t>
      </w:r>
      <w:r w:rsidR="00AC6703" w:rsidRPr="00E4517B">
        <w:rPr>
          <w:rFonts w:asciiTheme="majorHAnsi" w:eastAsia="Times New Roman" w:hAnsiTheme="majorHAnsi" w:cstheme="majorHAnsi"/>
          <w:sz w:val="24"/>
          <w:szCs w:val="24"/>
          <w:vertAlign w:val="superscript"/>
          <w:lang w:val="ro-RO"/>
        </w:rPr>
        <w:footnoteReference w:id="39"/>
      </w:r>
      <w:r w:rsidR="00AC6703" w:rsidRPr="00E4517B">
        <w:rPr>
          <w:rFonts w:asciiTheme="majorHAnsi" w:eastAsia="Times New Roman" w:hAnsiTheme="majorHAnsi" w:cstheme="majorHAnsi"/>
          <w:sz w:val="24"/>
          <w:szCs w:val="24"/>
          <w:lang w:val="ro-RO"/>
        </w:rPr>
        <w:t xml:space="preserve">, din care </w:t>
      </w:r>
      <w:r w:rsidR="00A86398" w:rsidRPr="00E4517B">
        <w:rPr>
          <w:rFonts w:asciiTheme="majorHAnsi" w:eastAsia="Times New Roman" w:hAnsiTheme="majorHAnsi" w:cstheme="majorHAnsi"/>
          <w:sz w:val="24"/>
          <w:szCs w:val="24"/>
          <w:lang w:val="ro-RO"/>
        </w:rPr>
        <w:t>inclusiv</w:t>
      </w:r>
      <w:r w:rsidR="00AC6703" w:rsidRPr="00973E5B">
        <w:rPr>
          <w:rFonts w:asciiTheme="majorHAnsi" w:eastAsia="Times New Roman" w:hAnsiTheme="majorHAnsi" w:cstheme="majorHAnsi"/>
          <w:sz w:val="24"/>
          <w:szCs w:val="24"/>
          <w:lang w:val="ro-RO"/>
        </w:rPr>
        <w:t xml:space="preserve"> APC – 124,4 mil. lei</w:t>
      </w:r>
      <w:r w:rsidRPr="00973E5B">
        <w:rPr>
          <w:rFonts w:asciiTheme="majorHAnsi" w:eastAsia="Times New Roman" w:hAnsiTheme="majorHAnsi" w:cstheme="majorHAnsi"/>
          <w:sz w:val="24"/>
          <w:szCs w:val="24"/>
          <w:lang w:val="ro-RO"/>
        </w:rPr>
        <w:t>,</w:t>
      </w:r>
      <w:r w:rsidR="00AC6703" w:rsidRPr="00207634">
        <w:rPr>
          <w:rFonts w:asciiTheme="majorHAnsi" w:eastAsia="Times New Roman" w:hAnsiTheme="majorHAnsi" w:cstheme="majorHAnsi"/>
          <w:sz w:val="24"/>
          <w:szCs w:val="24"/>
          <w:lang w:val="ro-RO"/>
        </w:rPr>
        <w:t xml:space="preserve"> și APL – 1</w:t>
      </w:r>
      <w:r w:rsidR="00AC6703" w:rsidRPr="00B05CFC">
        <w:rPr>
          <w:rFonts w:asciiTheme="majorHAnsi" w:eastAsia="Times New Roman" w:hAnsiTheme="majorHAnsi" w:cstheme="majorHAnsi"/>
          <w:sz w:val="24"/>
          <w:szCs w:val="24"/>
          <w:lang w:val="ro-RO"/>
        </w:rPr>
        <w:t>01,9 mil. lei</w:t>
      </w:r>
      <w:r w:rsidR="00A86398" w:rsidRPr="009131CF">
        <w:rPr>
          <w:rFonts w:asciiTheme="majorHAnsi" w:eastAsia="Times New Roman" w:hAnsiTheme="majorHAnsi" w:cstheme="majorHAnsi"/>
          <w:sz w:val="24"/>
          <w:szCs w:val="24"/>
          <w:lang w:val="ro-RO"/>
        </w:rPr>
        <w:t xml:space="preserve">, </w:t>
      </w:r>
      <w:r w:rsidRPr="009131CF">
        <w:rPr>
          <w:rFonts w:asciiTheme="majorHAnsi" w:eastAsia="Times New Roman" w:hAnsiTheme="majorHAnsi" w:cstheme="majorHAnsi"/>
          <w:sz w:val="24"/>
          <w:szCs w:val="24"/>
          <w:lang w:val="ro-RO"/>
        </w:rPr>
        <w:t xml:space="preserve">ca </w:t>
      </w:r>
      <w:r w:rsidR="00437B29" w:rsidRPr="00E4517B">
        <w:rPr>
          <w:rFonts w:asciiTheme="majorHAnsi" w:eastAsia="Times New Roman" w:hAnsiTheme="majorHAnsi" w:cstheme="majorHAnsi"/>
          <w:sz w:val="24"/>
          <w:szCs w:val="24"/>
          <w:lang w:val="ro-RO"/>
        </w:rPr>
        <w:t>rezultat</w:t>
      </w:r>
      <w:r w:rsidRPr="00E4517B">
        <w:rPr>
          <w:rFonts w:asciiTheme="majorHAnsi" w:eastAsia="Times New Roman" w:hAnsiTheme="majorHAnsi" w:cstheme="majorHAnsi"/>
          <w:sz w:val="24"/>
          <w:szCs w:val="24"/>
          <w:lang w:val="ro-RO"/>
        </w:rPr>
        <w:t xml:space="preserve"> a</w:t>
      </w:r>
      <w:r w:rsidR="00437B29" w:rsidRPr="00E4517B">
        <w:rPr>
          <w:rFonts w:asciiTheme="majorHAnsi" w:eastAsia="Times New Roman" w:hAnsiTheme="majorHAnsi" w:cstheme="majorHAnsi"/>
          <w:sz w:val="24"/>
          <w:szCs w:val="24"/>
          <w:lang w:val="ro-RO"/>
        </w:rPr>
        <w:t>l</w:t>
      </w:r>
      <w:r w:rsidR="00634764" w:rsidRPr="00E4517B">
        <w:rPr>
          <w:rFonts w:asciiTheme="majorHAnsi" w:eastAsia="Times New Roman" w:hAnsiTheme="majorHAnsi" w:cstheme="majorHAnsi"/>
          <w:sz w:val="24"/>
          <w:szCs w:val="24"/>
          <w:lang w:val="ro-RO"/>
        </w:rPr>
        <w:t xml:space="preserve"> acestor </w:t>
      </w:r>
      <w:r w:rsidR="00634764" w:rsidRPr="00E4517B">
        <w:rPr>
          <w:rFonts w:asciiTheme="majorHAnsi" w:eastAsia="Times New Roman" w:hAnsiTheme="majorHAnsi" w:cstheme="majorHAnsi"/>
          <w:sz w:val="24"/>
          <w:szCs w:val="24"/>
          <w:lang w:val="ro-RO"/>
        </w:rPr>
        <w:lastRenderedPageBreak/>
        <w:t>redistribuiri soldul alocațiilor neutilizate însumează</w:t>
      </w:r>
      <w:r w:rsidR="00AC6703" w:rsidRPr="00E4517B">
        <w:rPr>
          <w:rFonts w:asciiTheme="majorHAnsi" w:eastAsia="Times New Roman" w:hAnsiTheme="majorHAnsi" w:cstheme="majorHAnsi"/>
          <w:sz w:val="24"/>
          <w:szCs w:val="24"/>
          <w:lang w:val="ro-RO"/>
        </w:rPr>
        <w:t xml:space="preserve"> 148,7 mil. lei. Auditul a constatat că, </w:t>
      </w:r>
      <w:r w:rsidR="00634764" w:rsidRPr="00E4517B">
        <w:rPr>
          <w:rFonts w:asciiTheme="majorHAnsi" w:eastAsia="Times New Roman" w:hAnsiTheme="majorHAnsi" w:cstheme="majorHAnsi"/>
          <w:sz w:val="24"/>
          <w:szCs w:val="24"/>
          <w:lang w:val="ro-RO"/>
        </w:rPr>
        <w:t>de facto</w:t>
      </w:r>
      <w:r w:rsidRPr="00E4517B">
        <w:rPr>
          <w:rFonts w:asciiTheme="majorHAnsi" w:eastAsia="Times New Roman" w:hAnsiTheme="majorHAnsi" w:cstheme="majorHAnsi"/>
          <w:sz w:val="24"/>
          <w:szCs w:val="24"/>
          <w:lang w:val="ro-RO"/>
        </w:rPr>
        <w:t>,</w:t>
      </w:r>
      <w:r w:rsidR="00634764" w:rsidRPr="00E4517B">
        <w:rPr>
          <w:rFonts w:asciiTheme="majorHAnsi" w:eastAsia="Times New Roman" w:hAnsiTheme="majorHAnsi" w:cstheme="majorHAnsi"/>
          <w:sz w:val="24"/>
          <w:szCs w:val="24"/>
          <w:lang w:val="ro-RO"/>
        </w:rPr>
        <w:t xml:space="preserve"> </w:t>
      </w:r>
      <w:r w:rsidR="00AC6703" w:rsidRPr="00E4517B">
        <w:rPr>
          <w:rFonts w:asciiTheme="majorHAnsi" w:eastAsia="Times New Roman" w:hAnsiTheme="majorHAnsi" w:cstheme="majorHAnsi"/>
          <w:sz w:val="24"/>
          <w:szCs w:val="24"/>
          <w:lang w:val="ro-RO"/>
        </w:rPr>
        <w:t xml:space="preserve">MF a raportat </w:t>
      </w:r>
      <w:r w:rsidR="00FE317B" w:rsidRPr="00E4517B">
        <w:rPr>
          <w:rFonts w:asciiTheme="majorHAnsi" w:eastAsia="Times New Roman" w:hAnsiTheme="majorHAnsi" w:cstheme="majorHAnsi"/>
          <w:sz w:val="24"/>
          <w:szCs w:val="24"/>
          <w:lang w:val="ro-RO"/>
        </w:rPr>
        <w:t xml:space="preserve">suma de 214,2 mil. lei </w:t>
      </w:r>
      <w:r w:rsidR="00C61A06" w:rsidRPr="00E4517B">
        <w:rPr>
          <w:rFonts w:asciiTheme="majorHAnsi" w:eastAsia="Times New Roman" w:hAnsiTheme="majorHAnsi" w:cstheme="majorHAnsi"/>
          <w:sz w:val="24"/>
          <w:szCs w:val="24"/>
          <w:lang w:val="ro-RO"/>
        </w:rPr>
        <w:t>ca</w:t>
      </w:r>
      <w:r w:rsidR="00AC6703" w:rsidRPr="00E4517B">
        <w:rPr>
          <w:rFonts w:asciiTheme="majorHAnsi" w:eastAsia="Times New Roman" w:hAnsiTheme="majorHAnsi" w:cstheme="majorHAnsi"/>
          <w:sz w:val="24"/>
          <w:szCs w:val="24"/>
          <w:lang w:val="ro-RO"/>
        </w:rPr>
        <w:t xml:space="preserve"> sold de alocații </w:t>
      </w:r>
      <w:r w:rsidR="00A31299" w:rsidRPr="00E4517B">
        <w:rPr>
          <w:rFonts w:asciiTheme="majorHAnsi" w:eastAsia="Times New Roman" w:hAnsiTheme="majorHAnsi" w:cstheme="majorHAnsi"/>
          <w:sz w:val="24"/>
          <w:szCs w:val="24"/>
          <w:lang w:val="ro-RO"/>
        </w:rPr>
        <w:t xml:space="preserve">neutilizate în aceste scopuri la poziția </w:t>
      </w:r>
      <w:r w:rsidRPr="00E4517B">
        <w:rPr>
          <w:rFonts w:asciiTheme="majorHAnsi" w:eastAsia="Times New Roman" w:hAnsiTheme="majorHAnsi" w:cstheme="majorHAnsi"/>
          <w:sz w:val="24"/>
          <w:szCs w:val="24"/>
          <w:lang w:val="ro-RO"/>
        </w:rPr>
        <w:t>„</w:t>
      </w:r>
      <w:r w:rsidR="00A31299" w:rsidRPr="00E4517B">
        <w:rPr>
          <w:rFonts w:asciiTheme="majorHAnsi" w:eastAsia="Times New Roman" w:hAnsiTheme="majorHAnsi" w:cstheme="majorHAnsi"/>
          <w:sz w:val="24"/>
          <w:szCs w:val="24"/>
          <w:lang w:val="ro-RO"/>
        </w:rPr>
        <w:t>Acțiuni generale</w:t>
      </w:r>
      <w:r w:rsidRPr="00E4517B">
        <w:rPr>
          <w:rFonts w:asciiTheme="majorHAnsi" w:eastAsia="Times New Roman" w:hAnsiTheme="majorHAnsi" w:cstheme="majorHAnsi"/>
          <w:sz w:val="24"/>
          <w:szCs w:val="24"/>
          <w:lang w:val="ro-RO"/>
        </w:rPr>
        <w:t>”</w:t>
      </w:r>
      <w:r w:rsidR="00F05A3A" w:rsidRPr="00E4517B">
        <w:rPr>
          <w:rFonts w:asciiTheme="majorHAnsi" w:eastAsia="Times New Roman" w:hAnsiTheme="majorHAnsi" w:cstheme="majorHAnsi"/>
          <w:sz w:val="24"/>
          <w:szCs w:val="24"/>
          <w:lang w:val="ro-RO"/>
        </w:rPr>
        <w:t>. P</w:t>
      </w:r>
      <w:r w:rsidR="00AC6703" w:rsidRPr="00E4517B">
        <w:rPr>
          <w:rFonts w:asciiTheme="majorHAnsi" w:eastAsia="Times New Roman" w:hAnsiTheme="majorHAnsi" w:cstheme="majorHAnsi"/>
          <w:sz w:val="24"/>
          <w:szCs w:val="24"/>
          <w:lang w:val="ro-RO"/>
        </w:rPr>
        <w:t>otrivit motivațiilor MF</w:t>
      </w:r>
      <w:r w:rsidR="00F05A3A" w:rsidRPr="00E4517B">
        <w:rPr>
          <w:rFonts w:asciiTheme="majorHAnsi" w:eastAsia="Times New Roman" w:hAnsiTheme="majorHAnsi" w:cstheme="majorHAnsi"/>
          <w:sz w:val="24"/>
          <w:szCs w:val="24"/>
          <w:lang w:val="ro-RO"/>
        </w:rPr>
        <w:t>,</w:t>
      </w:r>
      <w:r w:rsidR="00AC6703" w:rsidRPr="00E4517B">
        <w:rPr>
          <w:rFonts w:asciiTheme="majorHAnsi" w:eastAsia="Times New Roman" w:hAnsiTheme="majorHAnsi" w:cstheme="majorHAnsi"/>
          <w:sz w:val="24"/>
          <w:szCs w:val="24"/>
          <w:lang w:val="ro-RO"/>
        </w:rPr>
        <w:t xml:space="preserve"> alocațiile în sumă de 65,5 mil. lei au fost finanțate și executate din </w:t>
      </w:r>
      <w:r w:rsidR="00347944" w:rsidRPr="00E4517B">
        <w:rPr>
          <w:rFonts w:asciiTheme="majorHAnsi" w:eastAsia="Times New Roman" w:hAnsiTheme="majorHAnsi" w:cstheme="majorHAnsi"/>
          <w:sz w:val="24"/>
          <w:szCs w:val="24"/>
          <w:lang w:val="ro-RO"/>
        </w:rPr>
        <w:t>contul mijloacelor</w:t>
      </w:r>
      <w:r w:rsidR="00AC6703" w:rsidRPr="00E4517B">
        <w:rPr>
          <w:rFonts w:asciiTheme="majorHAnsi" w:eastAsia="Times New Roman" w:hAnsiTheme="majorHAnsi" w:cstheme="majorHAnsi"/>
          <w:sz w:val="24"/>
          <w:szCs w:val="24"/>
          <w:lang w:val="ro-RO"/>
        </w:rPr>
        <w:t xml:space="preserve"> aprobate </w:t>
      </w:r>
      <w:r w:rsidR="00347944" w:rsidRPr="00E4517B">
        <w:rPr>
          <w:rFonts w:asciiTheme="majorHAnsi" w:eastAsia="Times New Roman" w:hAnsiTheme="majorHAnsi" w:cstheme="majorHAnsi"/>
          <w:sz w:val="24"/>
          <w:szCs w:val="24"/>
          <w:lang w:val="ro-RO"/>
        </w:rPr>
        <w:t>ca</w:t>
      </w:r>
      <w:r w:rsidR="00AC6703" w:rsidRPr="00E4517B">
        <w:rPr>
          <w:rFonts w:asciiTheme="majorHAnsi" w:eastAsia="Times New Roman" w:hAnsiTheme="majorHAnsi" w:cstheme="majorHAnsi"/>
          <w:sz w:val="24"/>
          <w:szCs w:val="24"/>
          <w:lang w:val="ro-RO"/>
        </w:rPr>
        <w:t xml:space="preserve"> transferuri </w:t>
      </w:r>
      <w:r w:rsidR="00347944" w:rsidRPr="00E4517B">
        <w:rPr>
          <w:rFonts w:asciiTheme="majorHAnsi" w:eastAsia="Times New Roman" w:hAnsiTheme="majorHAnsi" w:cstheme="majorHAnsi"/>
          <w:sz w:val="24"/>
          <w:szCs w:val="24"/>
          <w:lang w:val="ro-RO"/>
        </w:rPr>
        <w:t xml:space="preserve">către </w:t>
      </w:r>
      <w:r w:rsidR="00AC6703" w:rsidRPr="00E4517B">
        <w:rPr>
          <w:rFonts w:asciiTheme="majorHAnsi" w:eastAsia="Times New Roman" w:hAnsiTheme="majorHAnsi" w:cstheme="majorHAnsi"/>
          <w:sz w:val="24"/>
          <w:szCs w:val="24"/>
          <w:lang w:val="ro-RO"/>
        </w:rPr>
        <w:t xml:space="preserve">APL, deși prin HG au fost redistribuite </w:t>
      </w:r>
      <w:r w:rsidR="00E744F6" w:rsidRPr="00E4517B">
        <w:rPr>
          <w:rFonts w:asciiTheme="majorHAnsi" w:eastAsia="Times New Roman" w:hAnsiTheme="majorHAnsi" w:cstheme="majorHAnsi"/>
          <w:sz w:val="24"/>
          <w:szCs w:val="24"/>
          <w:lang w:val="ro-RO"/>
        </w:rPr>
        <w:t>surse</w:t>
      </w:r>
      <w:r w:rsidR="00AC6703" w:rsidRPr="00E4517B">
        <w:rPr>
          <w:rFonts w:asciiTheme="majorHAnsi" w:eastAsia="Times New Roman" w:hAnsiTheme="majorHAnsi" w:cstheme="majorHAnsi"/>
          <w:sz w:val="24"/>
          <w:szCs w:val="24"/>
          <w:lang w:val="ro-RO"/>
        </w:rPr>
        <w:t xml:space="preserve"> aprobate la art.3 lit. e) din Legea BS. </w:t>
      </w:r>
      <w:r w:rsidR="00F407FC" w:rsidRPr="00E4517B">
        <w:rPr>
          <w:rFonts w:asciiTheme="majorHAnsi" w:eastAsia="Times New Roman" w:hAnsiTheme="majorHAnsi" w:cstheme="majorHAnsi"/>
          <w:sz w:val="24"/>
          <w:szCs w:val="24"/>
          <w:lang w:val="ro-RO"/>
        </w:rPr>
        <w:t>De</w:t>
      </w:r>
      <w:r w:rsidRPr="00E4517B">
        <w:rPr>
          <w:rFonts w:asciiTheme="majorHAnsi" w:eastAsia="Times New Roman" w:hAnsiTheme="majorHAnsi" w:cstheme="majorHAnsi"/>
          <w:sz w:val="24"/>
          <w:szCs w:val="24"/>
          <w:lang w:val="ro-RO"/>
        </w:rPr>
        <w:t xml:space="preserve"> </w:t>
      </w:r>
      <w:r w:rsidR="00F407FC" w:rsidRPr="00E4517B">
        <w:rPr>
          <w:rFonts w:asciiTheme="majorHAnsi" w:eastAsia="Times New Roman" w:hAnsiTheme="majorHAnsi" w:cstheme="majorHAnsi"/>
          <w:sz w:val="24"/>
          <w:szCs w:val="24"/>
          <w:lang w:val="ro-RO"/>
        </w:rPr>
        <w:t>asemenea</w:t>
      </w:r>
      <w:r w:rsidRPr="00E4517B">
        <w:rPr>
          <w:rFonts w:asciiTheme="majorHAnsi" w:eastAsia="Times New Roman" w:hAnsiTheme="majorHAnsi" w:cstheme="majorHAnsi"/>
          <w:sz w:val="24"/>
          <w:szCs w:val="24"/>
          <w:lang w:val="ro-RO"/>
        </w:rPr>
        <w:t>,</w:t>
      </w:r>
      <w:r w:rsidR="00F407FC" w:rsidRPr="00E4517B">
        <w:rPr>
          <w:rFonts w:asciiTheme="majorHAnsi" w:eastAsia="Times New Roman" w:hAnsiTheme="majorHAnsi" w:cstheme="majorHAnsi"/>
          <w:sz w:val="24"/>
          <w:szCs w:val="24"/>
          <w:lang w:val="ro-RO"/>
        </w:rPr>
        <w:t xml:space="preserve"> </w:t>
      </w:r>
      <w:r w:rsidR="00AC6703" w:rsidRPr="00E4517B">
        <w:rPr>
          <w:rFonts w:asciiTheme="majorHAnsi" w:eastAsia="Times New Roman" w:hAnsiTheme="majorHAnsi" w:cstheme="majorHAnsi"/>
          <w:sz w:val="24"/>
          <w:szCs w:val="24"/>
          <w:lang w:val="ro-RO"/>
        </w:rPr>
        <w:t xml:space="preserve">MF </w:t>
      </w:r>
      <w:r w:rsidR="00F407FC" w:rsidRPr="00E4517B">
        <w:rPr>
          <w:rFonts w:asciiTheme="majorHAnsi" w:eastAsia="Times New Roman" w:hAnsiTheme="majorHAnsi" w:cstheme="majorHAnsi"/>
          <w:sz w:val="24"/>
          <w:szCs w:val="24"/>
          <w:lang w:val="ro-RO"/>
        </w:rPr>
        <w:t>a motivat</w:t>
      </w:r>
      <w:r w:rsidR="00AC6703" w:rsidRPr="00E4517B">
        <w:rPr>
          <w:rFonts w:asciiTheme="majorHAnsi" w:eastAsia="Times New Roman" w:hAnsiTheme="majorHAnsi" w:cstheme="majorHAnsi"/>
          <w:sz w:val="24"/>
          <w:szCs w:val="24"/>
          <w:lang w:val="ro-RO"/>
        </w:rPr>
        <w:t xml:space="preserve"> </w:t>
      </w:r>
      <w:r w:rsidR="00042B0A" w:rsidRPr="00E4517B">
        <w:rPr>
          <w:rFonts w:asciiTheme="majorHAnsi" w:eastAsia="Times New Roman" w:hAnsiTheme="majorHAnsi" w:cstheme="majorHAnsi"/>
          <w:sz w:val="24"/>
          <w:szCs w:val="24"/>
          <w:lang w:val="ro-RO"/>
        </w:rPr>
        <w:t xml:space="preserve">prin </w:t>
      </w:r>
      <w:r w:rsidR="00AC6703" w:rsidRPr="00E4517B">
        <w:rPr>
          <w:rFonts w:asciiTheme="majorHAnsi" w:eastAsia="Times New Roman" w:hAnsiTheme="majorHAnsi" w:cstheme="majorHAnsi"/>
          <w:sz w:val="24"/>
          <w:szCs w:val="24"/>
          <w:lang w:val="ro-RO"/>
        </w:rPr>
        <w:t>condițiile de promovare și adoptare a proiectului Legii BS pentru anul 2020</w:t>
      </w:r>
      <w:r w:rsidR="00FE317B" w:rsidRPr="00E4517B">
        <w:rPr>
          <w:rFonts w:asciiTheme="majorHAnsi" w:eastAsia="Times New Roman" w:hAnsiTheme="majorHAnsi" w:cstheme="majorHAnsi"/>
          <w:sz w:val="24"/>
          <w:szCs w:val="24"/>
          <w:lang w:val="ro-RO"/>
        </w:rPr>
        <w:t>,</w:t>
      </w:r>
      <w:r w:rsidR="00042B0A" w:rsidRPr="00E4517B">
        <w:rPr>
          <w:rFonts w:asciiTheme="majorHAnsi" w:eastAsia="Times New Roman" w:hAnsiTheme="majorHAnsi" w:cstheme="majorHAnsi"/>
          <w:sz w:val="24"/>
          <w:szCs w:val="24"/>
          <w:lang w:val="ro-RO"/>
        </w:rPr>
        <w:t xml:space="preserve"> care</w:t>
      </w:r>
      <w:r w:rsidR="00AC6703" w:rsidRPr="00E4517B">
        <w:rPr>
          <w:rFonts w:asciiTheme="majorHAnsi" w:eastAsia="Times New Roman" w:hAnsiTheme="majorHAnsi" w:cstheme="majorHAnsi"/>
          <w:sz w:val="24"/>
          <w:szCs w:val="24"/>
          <w:lang w:val="ro-RO"/>
        </w:rPr>
        <w:t xml:space="preserve"> nu au permis desfășurarea conformă a consultărilor cu APL. </w:t>
      </w:r>
      <w:r w:rsidR="00D56E43" w:rsidRPr="00E4517B">
        <w:rPr>
          <w:rFonts w:asciiTheme="majorHAnsi" w:eastAsia="Times New Roman" w:hAnsiTheme="majorHAnsi" w:cstheme="majorHAnsi"/>
          <w:sz w:val="24"/>
          <w:szCs w:val="24"/>
          <w:lang w:val="ro-RO"/>
        </w:rPr>
        <w:t xml:space="preserve"> </w:t>
      </w:r>
    </w:p>
    <w:p w:rsidR="00AC6703" w:rsidRPr="00E4517B" w:rsidRDefault="00AC6703" w:rsidP="00AC6703">
      <w:pPr>
        <w:widowControl w:val="0"/>
        <w:spacing w:after="0" w:line="276" w:lineRule="auto"/>
        <w:rPr>
          <w:rFonts w:asciiTheme="majorHAnsi" w:eastAsia="Times New Roman" w:hAnsiTheme="majorHAnsi" w:cstheme="majorHAnsi"/>
          <w:color w:val="000000"/>
          <w:sz w:val="24"/>
          <w:szCs w:val="24"/>
          <w:lang w:val="ro-RO" w:eastAsia="ro-RO" w:bidi="ro-RO"/>
        </w:rPr>
      </w:pPr>
      <w:r w:rsidRPr="00E4517B">
        <w:rPr>
          <w:rFonts w:asciiTheme="majorHAnsi" w:eastAsia="Times New Roman" w:hAnsiTheme="majorHAnsi" w:cstheme="majorHAnsi"/>
          <w:bCs/>
          <w:iCs/>
          <w:color w:val="000000"/>
          <w:sz w:val="24"/>
          <w:szCs w:val="24"/>
          <w:shd w:val="clear" w:color="auto" w:fill="FFFFFF"/>
          <w:lang w:val="ro-RO" w:eastAsia="ro-RO" w:bidi="ro-RO"/>
        </w:rPr>
        <w:t>Cheltuielile de personal</w:t>
      </w:r>
      <w:r w:rsidRPr="00E4517B">
        <w:rPr>
          <w:rFonts w:asciiTheme="majorHAnsi" w:eastAsia="Times New Roman" w:hAnsiTheme="majorHAnsi" w:cstheme="majorHAnsi"/>
          <w:bCs/>
          <w:color w:val="000000"/>
          <w:sz w:val="24"/>
          <w:szCs w:val="24"/>
          <w:shd w:val="clear" w:color="auto" w:fill="FFFFFF"/>
          <w:lang w:val="ro-RO" w:eastAsia="ro-RO" w:bidi="ro-RO"/>
        </w:rPr>
        <w:t xml:space="preserve"> </w:t>
      </w:r>
      <w:r w:rsidRPr="00E4517B">
        <w:rPr>
          <w:rFonts w:asciiTheme="majorHAnsi" w:eastAsia="Times New Roman" w:hAnsiTheme="majorHAnsi" w:cstheme="majorHAnsi"/>
          <w:color w:val="000000"/>
          <w:sz w:val="24"/>
          <w:szCs w:val="24"/>
          <w:lang w:val="ro-RO" w:eastAsia="ro-RO" w:bidi="ro-RO"/>
        </w:rPr>
        <w:t>au fost executate în sumă de 7 040,6 mil. lei, fiind în creștere cu 575,3 mil. lei</w:t>
      </w:r>
      <w:r w:rsidR="00FE317B" w:rsidRPr="00E4517B">
        <w:rPr>
          <w:rFonts w:asciiTheme="majorHAnsi" w:eastAsia="Times New Roman" w:hAnsiTheme="majorHAnsi" w:cstheme="majorHAnsi"/>
          <w:color w:val="000000"/>
          <w:sz w:val="24"/>
          <w:szCs w:val="24"/>
          <w:lang w:val="ro-RO" w:eastAsia="ro-RO" w:bidi="ro-RO"/>
        </w:rPr>
        <w:t>,</w:t>
      </w:r>
      <w:r w:rsidRPr="00E4517B">
        <w:rPr>
          <w:rFonts w:asciiTheme="majorHAnsi" w:eastAsia="Times New Roman" w:hAnsiTheme="majorHAnsi" w:cstheme="majorHAnsi"/>
          <w:color w:val="000000"/>
          <w:sz w:val="24"/>
          <w:szCs w:val="24"/>
          <w:lang w:val="ro-RO" w:eastAsia="ro-RO" w:bidi="ro-RO"/>
        </w:rPr>
        <w:t xml:space="preserve"> sau cu 8,9% comparativ cu anul 2019. Astfel, începând cu 1 ianuarie 2020, valoarea de referință (1650 lei) pentru angajații din sectorul bugetar s-a majorat cu circa 9% față de anul 2019 (1500 lei), în conformitate cu prevederile Legii nr.270/2018 privind sistemul unitar de salarizare în sectorul bugetar. </w:t>
      </w:r>
    </w:p>
    <w:p w:rsidR="00AC6703" w:rsidRPr="00E4517B" w:rsidRDefault="00AC6703" w:rsidP="005E4D53">
      <w:pPr>
        <w:widowControl w:val="0"/>
        <w:spacing w:after="0" w:line="276" w:lineRule="auto"/>
        <w:rPr>
          <w:rFonts w:asciiTheme="majorHAnsi" w:eastAsia="Times New Roman" w:hAnsiTheme="majorHAnsi" w:cstheme="majorHAnsi"/>
          <w:color w:val="000000"/>
          <w:sz w:val="24"/>
          <w:szCs w:val="24"/>
          <w:lang w:val="ro-RO" w:eastAsia="ro-RO" w:bidi="ro-RO"/>
        </w:rPr>
      </w:pPr>
      <w:r w:rsidRPr="00E4517B">
        <w:rPr>
          <w:rFonts w:asciiTheme="majorHAnsi" w:eastAsia="Times New Roman" w:hAnsiTheme="majorHAnsi" w:cstheme="majorHAnsi"/>
          <w:color w:val="000000"/>
          <w:sz w:val="24"/>
          <w:szCs w:val="24"/>
          <w:lang w:val="ro-RO" w:eastAsia="ro-RO" w:bidi="ro-RO"/>
        </w:rPr>
        <w:t>Conform HG nr.672 din 17.12.2019</w:t>
      </w:r>
      <w:r w:rsidRPr="00E4517B">
        <w:rPr>
          <w:rFonts w:asciiTheme="majorHAnsi" w:eastAsia="Times New Roman" w:hAnsiTheme="majorHAnsi" w:cstheme="majorHAnsi"/>
          <w:color w:val="000000"/>
          <w:sz w:val="24"/>
          <w:szCs w:val="24"/>
          <w:vertAlign w:val="superscript"/>
          <w:lang w:val="ro-RO" w:eastAsia="ro-RO" w:bidi="ro-RO"/>
        </w:rPr>
        <w:footnoteReference w:id="40"/>
      </w:r>
      <w:r w:rsidR="00FE317B" w:rsidRPr="00E4517B">
        <w:rPr>
          <w:rFonts w:asciiTheme="majorHAnsi" w:eastAsia="Times New Roman" w:hAnsiTheme="majorHAnsi" w:cstheme="majorHAnsi"/>
          <w:color w:val="000000"/>
          <w:sz w:val="24"/>
          <w:szCs w:val="24"/>
          <w:lang w:val="ro-RO" w:eastAsia="ro-RO" w:bidi="ro-RO"/>
        </w:rPr>
        <w:t>,</w:t>
      </w:r>
      <w:r w:rsidRPr="00E4517B">
        <w:rPr>
          <w:rFonts w:asciiTheme="majorHAnsi" w:eastAsia="Times New Roman" w:hAnsiTheme="majorHAnsi" w:cstheme="majorHAnsi"/>
          <w:color w:val="000000"/>
          <w:sz w:val="24"/>
          <w:szCs w:val="24"/>
          <w:lang w:val="ro-RO" w:eastAsia="ro-RO" w:bidi="ro-RO"/>
        </w:rPr>
        <w:t xml:space="preserve"> </w:t>
      </w:r>
      <w:r w:rsidRPr="00973E5B">
        <w:rPr>
          <w:rFonts w:asciiTheme="majorHAnsi" w:eastAsia="Times New Roman" w:hAnsiTheme="majorHAnsi" w:cstheme="majorHAnsi"/>
          <w:color w:val="000000"/>
          <w:sz w:val="24"/>
          <w:szCs w:val="24"/>
          <w:lang w:val="ro-RO" w:eastAsia="ro-RO" w:bidi="ro-RO"/>
        </w:rPr>
        <w:t xml:space="preserve">până la 31.12.2020 </w:t>
      </w:r>
      <w:r w:rsidR="00FE317B" w:rsidRPr="00207634">
        <w:rPr>
          <w:rFonts w:asciiTheme="majorHAnsi" w:eastAsia="Times New Roman" w:hAnsiTheme="majorHAnsi" w:cstheme="majorHAnsi"/>
          <w:color w:val="000000"/>
          <w:sz w:val="24"/>
          <w:szCs w:val="24"/>
          <w:lang w:val="ro-RO" w:eastAsia="ro-RO" w:bidi="ro-RO"/>
        </w:rPr>
        <w:t xml:space="preserve">a fost aplicat </w:t>
      </w:r>
      <w:r w:rsidRPr="00B05CFC">
        <w:rPr>
          <w:rFonts w:asciiTheme="majorHAnsi" w:eastAsia="Times New Roman" w:hAnsiTheme="majorHAnsi" w:cstheme="majorHAnsi"/>
          <w:color w:val="000000"/>
          <w:sz w:val="24"/>
          <w:szCs w:val="24"/>
          <w:lang w:val="ro-RO" w:eastAsia="ro-RO" w:bidi="ro-RO"/>
        </w:rPr>
        <w:t>moratoriul temporar la încadrarea personalului în autoritățile publice/instituțiile fina</w:t>
      </w:r>
      <w:r w:rsidRPr="009131CF">
        <w:rPr>
          <w:rFonts w:asciiTheme="majorHAnsi" w:eastAsia="Times New Roman" w:hAnsiTheme="majorHAnsi" w:cstheme="majorHAnsi"/>
          <w:color w:val="000000"/>
          <w:sz w:val="24"/>
          <w:szCs w:val="24"/>
          <w:lang w:val="ro-RO" w:eastAsia="ro-RO" w:bidi="ro-RO"/>
        </w:rPr>
        <w:t>nțate din BS. Deși</w:t>
      </w:r>
      <w:r w:rsidRPr="00E4517B">
        <w:rPr>
          <w:rFonts w:asciiTheme="majorHAnsi" w:eastAsia="Times New Roman" w:hAnsiTheme="majorHAnsi" w:cstheme="majorHAnsi"/>
          <w:color w:val="000000"/>
          <w:sz w:val="24"/>
          <w:szCs w:val="24"/>
          <w:lang w:val="ro-RO" w:eastAsia="ro-RO" w:bidi="ro-RO"/>
        </w:rPr>
        <w:t xml:space="preserve"> în notele informative la proiectul de lege privind modificarea Legii bugetului de stat pentru anul 2020 se menționează că alocațiile au fost recalculate ținând cont de numărul funcțiilor vacante stabilite, pentru a nu admite supraestimarea cheltuielilor în scopul asigurării achitării salariilor personalului efectiv angajat, </w:t>
      </w:r>
      <w:r w:rsidR="0010732C" w:rsidRPr="00E4517B">
        <w:rPr>
          <w:rFonts w:asciiTheme="majorHAnsi" w:eastAsia="Times New Roman" w:hAnsiTheme="majorHAnsi" w:cstheme="majorHAnsi"/>
          <w:color w:val="000000"/>
          <w:sz w:val="24"/>
          <w:szCs w:val="24"/>
          <w:lang w:val="ro-RO" w:eastAsia="ro-RO" w:bidi="ro-RO"/>
        </w:rPr>
        <w:t xml:space="preserve">ca </w:t>
      </w:r>
      <w:r w:rsidRPr="00E4517B">
        <w:rPr>
          <w:rFonts w:asciiTheme="majorHAnsi" w:eastAsia="Times New Roman" w:hAnsiTheme="majorHAnsi" w:cstheme="majorHAnsi"/>
          <w:color w:val="000000"/>
          <w:sz w:val="24"/>
          <w:szCs w:val="24"/>
          <w:lang w:val="ro-RO" w:eastAsia="ro-RO" w:bidi="ro-RO"/>
        </w:rPr>
        <w:t xml:space="preserve">urmare </w:t>
      </w:r>
      <w:r w:rsidR="00FE317B" w:rsidRPr="00E4517B">
        <w:rPr>
          <w:rFonts w:asciiTheme="majorHAnsi" w:eastAsia="Times New Roman" w:hAnsiTheme="majorHAnsi" w:cstheme="majorHAnsi"/>
          <w:color w:val="000000"/>
          <w:sz w:val="24"/>
          <w:szCs w:val="24"/>
          <w:lang w:val="ro-RO" w:eastAsia="ro-RO" w:bidi="ro-RO"/>
        </w:rPr>
        <w:t xml:space="preserve">a </w:t>
      </w:r>
      <w:r w:rsidRPr="00E4517B">
        <w:rPr>
          <w:rFonts w:asciiTheme="majorHAnsi" w:eastAsia="Times New Roman" w:hAnsiTheme="majorHAnsi" w:cstheme="majorHAnsi"/>
          <w:color w:val="000000"/>
          <w:sz w:val="24"/>
          <w:szCs w:val="24"/>
          <w:lang w:val="ro-RO" w:eastAsia="ro-RO" w:bidi="ro-RO"/>
        </w:rPr>
        <w:t>verificărilor auditului s-a stabilit că</w:t>
      </w:r>
      <w:r w:rsidR="00FE317B" w:rsidRPr="00E4517B">
        <w:rPr>
          <w:rFonts w:asciiTheme="majorHAnsi" w:eastAsia="Times New Roman" w:hAnsiTheme="majorHAnsi" w:cstheme="majorHAnsi"/>
          <w:color w:val="000000"/>
          <w:sz w:val="24"/>
          <w:szCs w:val="24"/>
          <w:lang w:val="ro-RO" w:eastAsia="ro-RO" w:bidi="ro-RO"/>
        </w:rPr>
        <w:t>,</w:t>
      </w:r>
      <w:r w:rsidRPr="00E4517B">
        <w:rPr>
          <w:rFonts w:asciiTheme="majorHAnsi" w:eastAsia="Times New Roman" w:hAnsiTheme="majorHAnsi" w:cstheme="majorHAnsi"/>
          <w:color w:val="000000"/>
          <w:sz w:val="24"/>
          <w:szCs w:val="24"/>
          <w:lang w:val="ro-RO" w:eastAsia="ro-RO" w:bidi="ro-RO"/>
        </w:rPr>
        <w:t xml:space="preserve"> la sfârșitul anului 2020, s-a înregistrat un sold de alocații nevalorificat</w:t>
      </w:r>
      <w:r w:rsidR="00FE317B" w:rsidRPr="00E4517B">
        <w:rPr>
          <w:rFonts w:asciiTheme="majorHAnsi" w:eastAsia="Times New Roman" w:hAnsiTheme="majorHAnsi" w:cstheme="majorHAnsi"/>
          <w:color w:val="000000"/>
          <w:sz w:val="24"/>
          <w:szCs w:val="24"/>
          <w:lang w:val="ro-RO" w:eastAsia="ro-RO" w:bidi="ro-RO"/>
        </w:rPr>
        <w:t>e</w:t>
      </w:r>
      <w:r w:rsidRPr="00E4517B">
        <w:rPr>
          <w:rFonts w:asciiTheme="majorHAnsi" w:eastAsia="Times New Roman" w:hAnsiTheme="majorHAnsi" w:cstheme="majorHAnsi"/>
          <w:color w:val="000000"/>
          <w:sz w:val="24"/>
          <w:szCs w:val="24"/>
          <w:lang w:val="ro-RO" w:eastAsia="ro-RO" w:bidi="ro-RO"/>
        </w:rPr>
        <w:t xml:space="preserve"> la cheltuieli de personal în sumă totală de 307,2 mil. lei, din care 214,2 mil. lei din fondul adițional aprobat</w:t>
      </w:r>
      <w:r w:rsidR="00042B0A" w:rsidRPr="00E4517B">
        <w:rPr>
          <w:rFonts w:asciiTheme="majorHAnsi" w:eastAsia="Times New Roman" w:hAnsiTheme="majorHAnsi" w:cstheme="majorHAnsi"/>
          <w:color w:val="000000"/>
          <w:sz w:val="24"/>
          <w:szCs w:val="24"/>
          <w:lang w:val="ro-RO" w:eastAsia="ro-RO" w:bidi="ro-RO"/>
        </w:rPr>
        <w:t>,</w:t>
      </w:r>
      <w:r w:rsidRPr="00E4517B">
        <w:rPr>
          <w:rFonts w:asciiTheme="majorHAnsi" w:eastAsia="Times New Roman" w:hAnsiTheme="majorHAnsi" w:cstheme="majorHAnsi"/>
          <w:color w:val="000000"/>
          <w:sz w:val="24"/>
          <w:szCs w:val="24"/>
          <w:lang w:val="ro-RO" w:eastAsia="ro-RO" w:bidi="ro-RO"/>
        </w:rPr>
        <w:t xml:space="preserve"> iar 93,0 mil. lei fiind neexecutate de către instituțiile/autoritățile bugetare. Cele mai mari solduri de alocații s-a înregistrat la MF – 20,0 mil. lei, MSMPS – 14,2 mil. lei, SIS – 11,3 mil. lei, Procuratura </w:t>
      </w:r>
      <w:r w:rsidR="00C31816">
        <w:rPr>
          <w:rFonts w:asciiTheme="majorHAnsi" w:eastAsia="Times New Roman" w:hAnsiTheme="majorHAnsi" w:cstheme="majorHAnsi"/>
          <w:color w:val="000000"/>
          <w:sz w:val="24"/>
          <w:szCs w:val="24"/>
          <w:lang w:val="ro-RO" w:eastAsia="ro-RO" w:bidi="ro-RO"/>
        </w:rPr>
        <w:t>G</w:t>
      </w:r>
      <w:r w:rsidRPr="00E4517B">
        <w:rPr>
          <w:rFonts w:asciiTheme="majorHAnsi" w:eastAsia="Times New Roman" w:hAnsiTheme="majorHAnsi" w:cstheme="majorHAnsi"/>
          <w:color w:val="000000"/>
          <w:sz w:val="24"/>
          <w:szCs w:val="24"/>
          <w:lang w:val="ro-RO" w:eastAsia="ro-RO" w:bidi="ro-RO"/>
        </w:rPr>
        <w:t>enerală – 9,3 mil. lei, ANI – 8,4 mil. lei etc.</w:t>
      </w:r>
    </w:p>
    <w:p w:rsidR="005E4D53" w:rsidRPr="00F55BA6" w:rsidRDefault="005E4D53" w:rsidP="00042B0A">
      <w:pPr>
        <w:tabs>
          <w:tab w:val="left" w:pos="426"/>
        </w:tabs>
        <w:spacing w:after="0" w:line="276" w:lineRule="auto"/>
        <w:contextualSpacing/>
        <w:outlineLvl w:val="0"/>
        <w:rPr>
          <w:rFonts w:asciiTheme="majorHAnsi" w:hAnsiTheme="majorHAnsi" w:cstheme="majorHAnsi"/>
          <w:b/>
          <w:szCs w:val="28"/>
          <w:lang w:val="ro-RO"/>
        </w:rPr>
      </w:pPr>
      <w:r w:rsidRPr="00F55BA6">
        <w:rPr>
          <w:rFonts w:asciiTheme="majorHAnsi" w:hAnsiTheme="majorHAnsi" w:cstheme="majorHAnsi"/>
          <w:b/>
          <w:sz w:val="24"/>
          <w:szCs w:val="24"/>
          <w:lang w:val="ro-RO"/>
        </w:rPr>
        <w:t>6.8. Cheltuielile pentru subvenții și granturi acordate din BS au fost majorate substanțial pe parcursul anului 2020</w:t>
      </w:r>
      <w:r w:rsidR="00C31816">
        <w:rPr>
          <w:rFonts w:asciiTheme="majorHAnsi" w:hAnsiTheme="majorHAnsi" w:cstheme="majorHAnsi"/>
          <w:b/>
          <w:sz w:val="24"/>
          <w:szCs w:val="24"/>
          <w:lang w:val="ro-RO"/>
        </w:rPr>
        <w:t>.</w:t>
      </w:r>
    </w:p>
    <w:p w:rsidR="000830F8" w:rsidRPr="00F55BA6" w:rsidRDefault="00AC6703" w:rsidP="00997BAE">
      <w:pPr>
        <w:pStyle w:val="af0"/>
        <w:tabs>
          <w:tab w:val="left" w:pos="142"/>
        </w:tabs>
        <w:spacing w:after="0" w:line="276" w:lineRule="auto"/>
        <w:ind w:left="0"/>
        <w:rPr>
          <w:rFonts w:asciiTheme="majorHAnsi" w:eastAsia="Times New Roman" w:hAnsiTheme="majorHAnsi" w:cstheme="majorHAnsi"/>
          <w:bCs/>
          <w:i/>
          <w:sz w:val="24"/>
          <w:szCs w:val="24"/>
          <w:lang w:val="ro-RO"/>
        </w:rPr>
      </w:pPr>
      <w:r w:rsidRPr="00F55BA6">
        <w:rPr>
          <w:rFonts w:asciiTheme="majorHAnsi" w:hAnsiTheme="majorHAnsi" w:cstheme="majorHAnsi"/>
          <w:sz w:val="24"/>
          <w:szCs w:val="24"/>
          <w:lang w:val="ro-RO"/>
        </w:rPr>
        <w:t xml:space="preserve">Inițial în Legea BS pentru anul 2020 au fost aprobate alocații în sumă de 3 964,9 mil. lei pentru subvenții și 54,2 mil. lei pentru granturi, ulterior fiind majorate subvențiile cu 1 488,1 mil. lei și, respectiv, granturile cu 258,5 mil. lei. </w:t>
      </w:r>
      <w:r w:rsidRPr="00F55BA6">
        <w:rPr>
          <w:rFonts w:asciiTheme="majorHAnsi" w:eastAsia="Times New Roman" w:hAnsiTheme="majorHAnsi" w:cstheme="majorHAnsi"/>
          <w:bCs/>
          <w:sz w:val="24"/>
          <w:szCs w:val="24"/>
          <w:lang w:val="ro-RO"/>
        </w:rPr>
        <w:t xml:space="preserve">În anul 2020, conform datelor raportate de MF, cheltuielile de casă pentru subvenții la 12 instituții/autorități bugetare și la </w:t>
      </w:r>
      <w:r w:rsidR="00700B08" w:rsidRPr="00F55BA6">
        <w:rPr>
          <w:rFonts w:asciiTheme="majorHAnsi" w:eastAsia="Times New Roman" w:hAnsiTheme="majorHAnsi" w:cstheme="majorHAnsi"/>
          <w:bCs/>
          <w:sz w:val="24"/>
          <w:szCs w:val="24"/>
          <w:lang w:val="ro-RO"/>
        </w:rPr>
        <w:t>„A</w:t>
      </w:r>
      <w:r w:rsidRPr="00F55BA6">
        <w:rPr>
          <w:rFonts w:asciiTheme="majorHAnsi" w:eastAsia="Times New Roman" w:hAnsiTheme="majorHAnsi" w:cstheme="majorHAnsi"/>
          <w:bCs/>
          <w:sz w:val="24"/>
          <w:szCs w:val="24"/>
          <w:lang w:val="ro-RO"/>
        </w:rPr>
        <w:t>cțiuni generale</w:t>
      </w:r>
      <w:r w:rsidR="00700B08" w:rsidRPr="00F55BA6">
        <w:rPr>
          <w:rFonts w:asciiTheme="majorHAnsi" w:eastAsia="Times New Roman" w:hAnsiTheme="majorHAnsi" w:cstheme="majorHAnsi"/>
          <w:bCs/>
          <w:sz w:val="24"/>
          <w:szCs w:val="24"/>
          <w:lang w:val="ro-RO"/>
        </w:rPr>
        <w:t>”</w:t>
      </w:r>
      <w:r w:rsidRPr="00F55BA6">
        <w:rPr>
          <w:rFonts w:asciiTheme="majorHAnsi" w:eastAsia="Times New Roman" w:hAnsiTheme="majorHAnsi" w:cstheme="majorHAnsi"/>
          <w:bCs/>
          <w:sz w:val="24"/>
          <w:szCs w:val="24"/>
          <w:lang w:val="ro-RO"/>
        </w:rPr>
        <w:t xml:space="preserve"> însumează 5 102,1 mil. lei, sau 10,3% din totalul cheltuielilor executate. </w:t>
      </w:r>
      <w:r w:rsidRPr="00F55BA6">
        <w:rPr>
          <w:rFonts w:asciiTheme="majorHAnsi" w:hAnsiTheme="majorHAnsi" w:cstheme="majorHAnsi"/>
          <w:sz w:val="24"/>
          <w:szCs w:val="24"/>
          <w:lang w:val="ro-RO"/>
        </w:rPr>
        <w:t>Astfel, d</w:t>
      </w:r>
      <w:r w:rsidRPr="00F55BA6">
        <w:rPr>
          <w:rFonts w:asciiTheme="majorHAnsi" w:eastAsia="Times New Roman" w:hAnsiTheme="majorHAnsi" w:cstheme="majorHAnsi"/>
          <w:bCs/>
          <w:sz w:val="24"/>
          <w:szCs w:val="24"/>
          <w:lang w:val="ro-RO"/>
        </w:rPr>
        <w:t>in subvențiile totale (5 102,1 mil. lei)</w:t>
      </w:r>
      <w:r w:rsidR="00700B08" w:rsidRPr="00F55BA6">
        <w:rPr>
          <w:rFonts w:asciiTheme="majorHAnsi" w:eastAsia="Times New Roman" w:hAnsiTheme="majorHAnsi" w:cstheme="majorHAnsi"/>
          <w:bCs/>
          <w:sz w:val="24"/>
          <w:szCs w:val="24"/>
          <w:lang w:val="ro-RO"/>
        </w:rPr>
        <w:t>,</w:t>
      </w:r>
      <w:r w:rsidRPr="00F55BA6">
        <w:rPr>
          <w:rFonts w:asciiTheme="majorHAnsi" w:eastAsia="Times New Roman" w:hAnsiTheme="majorHAnsi" w:cstheme="majorHAnsi"/>
          <w:bCs/>
          <w:sz w:val="24"/>
          <w:szCs w:val="24"/>
          <w:lang w:val="ro-RO"/>
        </w:rPr>
        <w:t xml:space="preserve"> au fost executate subvenții pentru scopuri specifice în sumă de 4 157,8 mil. lei</w:t>
      </w:r>
      <w:r w:rsidR="00700B08" w:rsidRPr="00F55BA6">
        <w:rPr>
          <w:rFonts w:asciiTheme="majorHAnsi" w:eastAsia="Times New Roman" w:hAnsiTheme="majorHAnsi" w:cstheme="majorHAnsi"/>
          <w:bCs/>
          <w:sz w:val="24"/>
          <w:szCs w:val="24"/>
          <w:lang w:val="ro-RO"/>
        </w:rPr>
        <w:t>,</w:t>
      </w:r>
      <w:r w:rsidRPr="00F55BA6">
        <w:rPr>
          <w:rFonts w:asciiTheme="majorHAnsi" w:eastAsia="Times New Roman" w:hAnsiTheme="majorHAnsi" w:cstheme="majorHAnsi"/>
          <w:bCs/>
          <w:sz w:val="24"/>
          <w:szCs w:val="24"/>
          <w:lang w:val="ro-RO"/>
        </w:rPr>
        <w:t xml:space="preserve"> sau 81,5%</w:t>
      </w:r>
      <w:r w:rsidR="00700B08" w:rsidRPr="00F55BA6">
        <w:rPr>
          <w:rFonts w:asciiTheme="majorHAnsi" w:eastAsia="Times New Roman" w:hAnsiTheme="majorHAnsi" w:cstheme="majorHAnsi"/>
          <w:bCs/>
          <w:sz w:val="24"/>
          <w:szCs w:val="24"/>
          <w:lang w:val="ro-RO"/>
        </w:rPr>
        <w:t>,</w:t>
      </w:r>
      <w:r w:rsidRPr="00F55BA6">
        <w:rPr>
          <w:rFonts w:asciiTheme="majorHAnsi" w:eastAsia="Times New Roman" w:hAnsiTheme="majorHAnsi" w:cstheme="majorHAnsi"/>
          <w:bCs/>
          <w:sz w:val="24"/>
          <w:szCs w:val="24"/>
          <w:lang w:val="ro-RO"/>
        </w:rPr>
        <w:t xml:space="preserve"> din care unele nu se încadrează în noțiunea de subvenții:  </w:t>
      </w:r>
      <w:r w:rsidRPr="00F55BA6">
        <w:rPr>
          <w:rFonts w:asciiTheme="majorHAnsi" w:eastAsia="Times New Roman" w:hAnsiTheme="majorHAnsi" w:cstheme="majorHAnsi"/>
          <w:bCs/>
          <w:i/>
          <w:sz w:val="24"/>
          <w:szCs w:val="24"/>
          <w:lang w:val="ro-RO"/>
        </w:rPr>
        <w:t>(i)</w:t>
      </w:r>
      <w:r w:rsidRPr="00F55BA6">
        <w:rPr>
          <w:rFonts w:asciiTheme="majorHAnsi" w:eastAsia="Times New Roman" w:hAnsiTheme="majorHAnsi" w:cstheme="majorHAnsi"/>
          <w:bCs/>
          <w:sz w:val="24"/>
          <w:szCs w:val="24"/>
          <w:lang w:val="ro-RO"/>
        </w:rPr>
        <w:t xml:space="preserve"> Fondul rutier (1 500,1 mil. lei), </w:t>
      </w:r>
      <w:r w:rsidRPr="00F55BA6">
        <w:rPr>
          <w:rFonts w:asciiTheme="majorHAnsi" w:eastAsia="Times New Roman" w:hAnsiTheme="majorHAnsi" w:cstheme="majorHAnsi"/>
          <w:bCs/>
          <w:i/>
          <w:sz w:val="24"/>
          <w:szCs w:val="24"/>
          <w:lang w:val="ro-RO"/>
        </w:rPr>
        <w:t>(ii)</w:t>
      </w:r>
      <w:r w:rsidRPr="00F55BA6">
        <w:rPr>
          <w:rFonts w:asciiTheme="majorHAnsi" w:eastAsia="Times New Roman" w:hAnsiTheme="majorHAnsi" w:cstheme="majorHAnsi"/>
          <w:bCs/>
          <w:sz w:val="24"/>
          <w:szCs w:val="24"/>
          <w:lang w:val="ro-RO"/>
        </w:rPr>
        <w:t xml:space="preserve"> Programul de reparație a drumurilor publice naționale, locale, comunale și  străzilor (1 278,1 mil. lei),</w:t>
      </w:r>
      <w:r w:rsidRPr="00F55BA6">
        <w:rPr>
          <w:lang w:val="ro-RO"/>
        </w:rPr>
        <w:t xml:space="preserve"> </w:t>
      </w:r>
      <w:r w:rsidRPr="00F55BA6">
        <w:rPr>
          <w:rFonts w:asciiTheme="majorHAnsi" w:hAnsiTheme="majorHAnsi" w:cstheme="majorHAnsi"/>
          <w:i/>
          <w:sz w:val="24"/>
          <w:szCs w:val="24"/>
          <w:lang w:val="ro-RO"/>
        </w:rPr>
        <w:t>(iii)</w:t>
      </w:r>
      <w:r w:rsidRPr="00F55BA6">
        <w:rPr>
          <w:lang w:val="ro-RO"/>
        </w:rPr>
        <w:t xml:space="preserve"> </w:t>
      </w:r>
      <w:r w:rsidRPr="00F55BA6">
        <w:rPr>
          <w:rFonts w:asciiTheme="majorHAnsi" w:eastAsia="Times New Roman" w:hAnsiTheme="majorHAnsi" w:cstheme="majorHAnsi"/>
          <w:bCs/>
          <w:sz w:val="24"/>
          <w:szCs w:val="24"/>
          <w:lang w:val="ro-RO"/>
        </w:rPr>
        <w:t xml:space="preserve">finanțarea partidelor politice (29,3 mil. lei), </w:t>
      </w:r>
      <w:r w:rsidRPr="00F55BA6">
        <w:rPr>
          <w:rFonts w:asciiTheme="majorHAnsi" w:eastAsia="Times New Roman" w:hAnsiTheme="majorHAnsi" w:cstheme="majorHAnsi"/>
          <w:bCs/>
          <w:i/>
          <w:sz w:val="24"/>
          <w:szCs w:val="24"/>
          <w:lang w:val="ro-RO"/>
        </w:rPr>
        <w:t>(iv)</w:t>
      </w:r>
      <w:r w:rsidRPr="00F55BA6">
        <w:rPr>
          <w:rFonts w:asciiTheme="majorHAnsi" w:eastAsia="Times New Roman" w:hAnsiTheme="majorHAnsi" w:cstheme="majorHAnsi"/>
          <w:bCs/>
          <w:sz w:val="24"/>
          <w:szCs w:val="24"/>
          <w:lang w:val="ro-RO"/>
        </w:rPr>
        <w:t xml:space="preserve"> </w:t>
      </w:r>
      <w:r w:rsidR="008B7070">
        <w:rPr>
          <w:rFonts w:asciiTheme="majorHAnsi" w:eastAsia="Times New Roman" w:hAnsiTheme="majorHAnsi" w:cstheme="majorHAnsi"/>
          <w:bCs/>
          <w:sz w:val="24"/>
          <w:szCs w:val="24"/>
          <w:lang w:val="ro-RO"/>
        </w:rPr>
        <w:t xml:space="preserve">la </w:t>
      </w:r>
      <w:r w:rsidRPr="00BD3A30">
        <w:rPr>
          <w:rFonts w:asciiTheme="majorHAnsi" w:eastAsia="Times New Roman" w:hAnsiTheme="majorHAnsi" w:cstheme="majorHAnsi"/>
          <w:bCs/>
          <w:sz w:val="24"/>
          <w:szCs w:val="24"/>
          <w:lang w:val="ro-RO"/>
        </w:rPr>
        <w:t>APP subvenții în sumă</w:t>
      </w:r>
      <w:r w:rsidRPr="00F55BA6">
        <w:rPr>
          <w:rFonts w:asciiTheme="majorHAnsi" w:eastAsia="Times New Roman" w:hAnsiTheme="majorHAnsi" w:cstheme="majorHAnsi"/>
          <w:bCs/>
          <w:sz w:val="24"/>
          <w:szCs w:val="24"/>
          <w:lang w:val="ro-RO"/>
        </w:rPr>
        <w:t xml:space="preserve"> de 3,5 mil. lei (executate pentru alimentația animalelor – 1,5 mil. lei, pentru retribuirea muncii, combustibil la </w:t>
      </w:r>
      <w:r w:rsidR="00700B08" w:rsidRPr="00F55BA6">
        <w:rPr>
          <w:rFonts w:asciiTheme="majorHAnsi" w:eastAsia="Times New Roman" w:hAnsiTheme="majorHAnsi" w:cstheme="majorHAnsi"/>
          <w:bCs/>
          <w:sz w:val="24"/>
          <w:szCs w:val="24"/>
          <w:lang w:val="ro-RO"/>
        </w:rPr>
        <w:t>„</w:t>
      </w:r>
      <w:r w:rsidRPr="00F55BA6">
        <w:rPr>
          <w:rFonts w:asciiTheme="majorHAnsi" w:eastAsia="Times New Roman" w:hAnsiTheme="majorHAnsi" w:cstheme="majorHAnsi"/>
          <w:bCs/>
          <w:sz w:val="24"/>
          <w:szCs w:val="24"/>
          <w:lang w:val="ro-RO"/>
        </w:rPr>
        <w:t>Sanfarm Prim</w:t>
      </w:r>
      <w:r w:rsidR="00700B08" w:rsidRPr="00F55BA6">
        <w:rPr>
          <w:rFonts w:asciiTheme="majorHAnsi" w:eastAsia="Times New Roman" w:hAnsiTheme="majorHAnsi" w:cstheme="majorHAnsi"/>
          <w:bCs/>
          <w:sz w:val="24"/>
          <w:szCs w:val="24"/>
          <w:lang w:val="ro-RO"/>
        </w:rPr>
        <w:t>”</w:t>
      </w:r>
      <w:r w:rsidRPr="00F55BA6">
        <w:rPr>
          <w:rFonts w:asciiTheme="majorHAnsi" w:eastAsia="Times New Roman" w:hAnsiTheme="majorHAnsi" w:cstheme="majorHAnsi"/>
          <w:bCs/>
          <w:sz w:val="24"/>
          <w:szCs w:val="24"/>
          <w:lang w:val="ro-RO"/>
        </w:rPr>
        <w:t xml:space="preserve"> SA – 1,9 mil. lei</w:t>
      </w:r>
      <w:r w:rsidR="00700B08" w:rsidRPr="00F55BA6">
        <w:rPr>
          <w:rFonts w:asciiTheme="majorHAnsi" w:eastAsia="Times New Roman" w:hAnsiTheme="majorHAnsi" w:cstheme="majorHAnsi"/>
          <w:bCs/>
          <w:sz w:val="24"/>
          <w:szCs w:val="24"/>
          <w:lang w:val="ro-RO"/>
        </w:rPr>
        <w:t>,</w:t>
      </w:r>
      <w:r w:rsidRPr="00F55BA6">
        <w:rPr>
          <w:rFonts w:asciiTheme="majorHAnsi" w:eastAsia="Times New Roman" w:hAnsiTheme="majorHAnsi" w:cstheme="majorHAnsi"/>
          <w:bCs/>
          <w:sz w:val="24"/>
          <w:szCs w:val="24"/>
          <w:lang w:val="ro-RO"/>
        </w:rPr>
        <w:t xml:space="preserve"> și pentru cazarea în numere separate a personalului medical care a activat în cadrul centrului </w:t>
      </w:r>
      <w:r w:rsidR="00700B08" w:rsidRPr="00F55BA6">
        <w:rPr>
          <w:rFonts w:asciiTheme="majorHAnsi" w:eastAsia="Times New Roman" w:hAnsiTheme="majorHAnsi" w:cstheme="majorHAnsi"/>
          <w:bCs/>
          <w:sz w:val="24"/>
          <w:szCs w:val="24"/>
          <w:lang w:val="ro-RO"/>
        </w:rPr>
        <w:t>„</w:t>
      </w:r>
      <w:r w:rsidRPr="00F55BA6">
        <w:rPr>
          <w:rFonts w:asciiTheme="majorHAnsi" w:eastAsia="Times New Roman" w:hAnsiTheme="majorHAnsi" w:cstheme="majorHAnsi"/>
          <w:bCs/>
          <w:sz w:val="24"/>
          <w:szCs w:val="24"/>
          <w:lang w:val="ro-RO"/>
        </w:rPr>
        <w:t xml:space="preserve">Covid-19” - 78,0 mii lei), </w:t>
      </w:r>
      <w:r w:rsidRPr="00F55BA6">
        <w:rPr>
          <w:rFonts w:asciiTheme="majorHAnsi" w:eastAsia="Times New Roman" w:hAnsiTheme="majorHAnsi" w:cstheme="majorHAnsi"/>
          <w:bCs/>
          <w:i/>
          <w:sz w:val="24"/>
          <w:szCs w:val="24"/>
          <w:lang w:val="ro-RO"/>
        </w:rPr>
        <w:t xml:space="preserve">(v) </w:t>
      </w:r>
      <w:r w:rsidRPr="00F55BA6">
        <w:rPr>
          <w:rFonts w:asciiTheme="majorHAnsi" w:eastAsia="Times New Roman" w:hAnsiTheme="majorHAnsi" w:cstheme="majorHAnsi"/>
          <w:bCs/>
          <w:sz w:val="24"/>
          <w:szCs w:val="24"/>
          <w:lang w:val="ro-RO"/>
        </w:rPr>
        <w:t>IP Compania</w:t>
      </w:r>
      <w:r w:rsidR="009A33A6" w:rsidRPr="00F55BA6">
        <w:rPr>
          <w:rFonts w:asciiTheme="majorHAnsi" w:eastAsia="Times New Roman" w:hAnsiTheme="majorHAnsi" w:cstheme="majorHAnsi"/>
          <w:bCs/>
          <w:sz w:val="24"/>
          <w:szCs w:val="24"/>
          <w:lang w:val="ro-RO"/>
        </w:rPr>
        <w:t xml:space="preserve"> </w:t>
      </w:r>
      <w:r w:rsidR="00700B08" w:rsidRPr="00F55BA6">
        <w:rPr>
          <w:rFonts w:asciiTheme="majorHAnsi" w:eastAsia="Times New Roman" w:hAnsiTheme="majorHAnsi" w:cstheme="majorHAnsi"/>
          <w:bCs/>
          <w:sz w:val="24"/>
          <w:szCs w:val="24"/>
          <w:lang w:val="ro-RO"/>
        </w:rPr>
        <w:t>„</w:t>
      </w:r>
      <w:r w:rsidR="009A33A6" w:rsidRPr="00F55BA6">
        <w:rPr>
          <w:rFonts w:asciiTheme="majorHAnsi" w:eastAsia="Times New Roman" w:hAnsiTheme="majorHAnsi" w:cstheme="majorHAnsi"/>
          <w:bCs/>
          <w:sz w:val="24"/>
          <w:szCs w:val="24"/>
          <w:lang w:val="ro-RO"/>
        </w:rPr>
        <w:t>Teleradio Moldova</w:t>
      </w:r>
      <w:r w:rsidR="00700B08" w:rsidRPr="00F55BA6">
        <w:rPr>
          <w:rFonts w:asciiTheme="majorHAnsi" w:eastAsia="Times New Roman" w:hAnsiTheme="majorHAnsi" w:cstheme="majorHAnsi"/>
          <w:bCs/>
          <w:sz w:val="24"/>
          <w:szCs w:val="24"/>
          <w:lang w:val="ro-RO"/>
        </w:rPr>
        <w:t>”</w:t>
      </w:r>
      <w:r w:rsidRPr="00F55BA6">
        <w:rPr>
          <w:rFonts w:asciiTheme="majorHAnsi" w:eastAsia="Times New Roman" w:hAnsiTheme="majorHAnsi" w:cstheme="majorHAnsi"/>
          <w:bCs/>
          <w:sz w:val="24"/>
          <w:szCs w:val="24"/>
          <w:lang w:val="ro-RO"/>
        </w:rPr>
        <w:t xml:space="preserve"> – 126,3 mil. lei etc. </w:t>
      </w:r>
    </w:p>
    <w:p w:rsidR="00AC6703" w:rsidRPr="00F55BA6" w:rsidRDefault="00AC6703" w:rsidP="000830F8">
      <w:pPr>
        <w:pStyle w:val="af0"/>
        <w:tabs>
          <w:tab w:val="left" w:pos="142"/>
        </w:tabs>
        <w:spacing w:after="0" w:line="276" w:lineRule="auto"/>
        <w:ind w:left="0"/>
        <w:rPr>
          <w:rFonts w:asciiTheme="majorHAnsi" w:eastAsia="Times New Roman" w:hAnsiTheme="majorHAnsi" w:cstheme="majorHAnsi"/>
          <w:bCs/>
          <w:i/>
          <w:sz w:val="24"/>
          <w:szCs w:val="24"/>
          <w:lang w:val="ro-RO"/>
        </w:rPr>
      </w:pPr>
      <w:r w:rsidRPr="00F55BA6">
        <w:rPr>
          <w:rFonts w:asciiTheme="majorHAnsi" w:eastAsia="Times New Roman" w:hAnsiTheme="majorHAnsi" w:cstheme="majorHAnsi"/>
          <w:bCs/>
          <w:iCs/>
          <w:color w:val="000000" w:themeColor="text1"/>
          <w:sz w:val="24"/>
          <w:szCs w:val="24"/>
          <w:lang w:val="ro-RO"/>
        </w:rPr>
        <w:t>La executarea mijloacelor</w:t>
      </w:r>
      <w:r w:rsidR="000C67BC" w:rsidRPr="00F55BA6">
        <w:rPr>
          <w:rFonts w:asciiTheme="majorHAnsi" w:eastAsia="Times New Roman" w:hAnsiTheme="majorHAnsi" w:cstheme="majorHAnsi"/>
          <w:bCs/>
          <w:iCs/>
          <w:color w:val="000000" w:themeColor="text1"/>
          <w:sz w:val="24"/>
          <w:szCs w:val="24"/>
          <w:lang w:val="ro-RO"/>
        </w:rPr>
        <w:t>,</w:t>
      </w:r>
      <w:r w:rsidRPr="00F55BA6">
        <w:rPr>
          <w:rFonts w:asciiTheme="majorHAnsi" w:eastAsia="Times New Roman" w:hAnsiTheme="majorHAnsi" w:cstheme="majorHAnsi"/>
          <w:bCs/>
          <w:iCs/>
          <w:color w:val="000000" w:themeColor="text1"/>
          <w:sz w:val="24"/>
          <w:szCs w:val="24"/>
          <w:lang w:val="ro-RO"/>
        </w:rPr>
        <w:t xml:space="preserve"> din contul subvențiilor s-a admis imobilizarea resurselor financiare la instituțiile beneficiare, la 31.12.2020 – în sumă de 325,9 mil. lei, pe un termen nedeterminat și care </w:t>
      </w:r>
      <w:r w:rsidRPr="00F55BA6">
        <w:rPr>
          <w:rFonts w:asciiTheme="majorHAnsi" w:eastAsia="Times New Roman" w:hAnsiTheme="majorHAnsi" w:cstheme="majorHAnsi"/>
          <w:bCs/>
          <w:iCs/>
          <w:color w:val="000000" w:themeColor="text1"/>
          <w:sz w:val="24"/>
          <w:szCs w:val="24"/>
          <w:lang w:val="ro-RO"/>
        </w:rPr>
        <w:lastRenderedPageBreak/>
        <w:t>pot fi utilizate contrar destinației.</w:t>
      </w:r>
      <w:r w:rsidRPr="00F55BA6">
        <w:rPr>
          <w:rFonts w:asciiTheme="majorHAnsi" w:eastAsia="Times New Roman" w:hAnsiTheme="majorHAnsi" w:cstheme="majorHAnsi"/>
          <w:bCs/>
          <w:i/>
          <w:sz w:val="24"/>
          <w:szCs w:val="24"/>
          <w:lang w:val="ro-RO"/>
        </w:rPr>
        <w:t xml:space="preserve"> </w:t>
      </w:r>
      <w:r w:rsidRPr="00F55BA6">
        <w:rPr>
          <w:rFonts w:asciiTheme="majorHAnsi" w:hAnsiTheme="majorHAnsi" w:cstheme="majorHAnsi"/>
          <w:sz w:val="24"/>
          <w:szCs w:val="24"/>
          <w:lang w:val="ro-RO"/>
        </w:rPr>
        <w:t>Auditul a constatat că unele instituții</w:t>
      </w:r>
      <w:r w:rsidRPr="00F55BA6">
        <w:rPr>
          <w:rStyle w:val="ac"/>
          <w:rFonts w:asciiTheme="majorHAnsi" w:hAnsiTheme="majorHAnsi" w:cstheme="majorHAnsi"/>
          <w:sz w:val="24"/>
          <w:szCs w:val="24"/>
          <w:lang w:val="ro-RO"/>
        </w:rPr>
        <w:footnoteReference w:id="41"/>
      </w:r>
      <w:r w:rsidRPr="00F55BA6">
        <w:rPr>
          <w:rFonts w:asciiTheme="majorHAnsi" w:hAnsiTheme="majorHAnsi" w:cstheme="majorHAnsi"/>
          <w:sz w:val="24"/>
          <w:szCs w:val="24"/>
          <w:lang w:val="ro-RO"/>
        </w:rPr>
        <w:t xml:space="preserve">, în Anexa nr.1 la rapoartele narative prezentate la MF, au modificat în majorare </w:t>
      </w:r>
      <w:r w:rsidR="00FC4D0D" w:rsidRPr="00F55BA6">
        <w:rPr>
          <w:rFonts w:asciiTheme="majorHAnsi" w:hAnsiTheme="majorHAnsi" w:cstheme="majorHAnsi"/>
          <w:sz w:val="24"/>
          <w:szCs w:val="24"/>
          <w:lang w:val="ro-RO"/>
        </w:rPr>
        <w:t xml:space="preserve">cu 18,4 mil. lei </w:t>
      </w:r>
      <w:r w:rsidRPr="00F55BA6">
        <w:rPr>
          <w:rFonts w:asciiTheme="majorHAnsi" w:hAnsiTheme="majorHAnsi" w:cstheme="majorHAnsi"/>
          <w:sz w:val="24"/>
          <w:szCs w:val="24"/>
          <w:lang w:val="ro-RO"/>
        </w:rPr>
        <w:t xml:space="preserve">soldul inițial al mijloacelor bănești față de soldul final raportat în anul precedent. </w:t>
      </w:r>
      <w:r w:rsidRPr="00F55BA6">
        <w:rPr>
          <w:rFonts w:asciiTheme="majorHAnsi" w:eastAsia="Times New Roman" w:hAnsiTheme="majorHAnsi" w:cstheme="majorHAnsi"/>
          <w:bCs/>
          <w:i/>
          <w:sz w:val="24"/>
          <w:szCs w:val="24"/>
          <w:lang w:val="ro-RO"/>
        </w:rPr>
        <w:t>Sinteza subvențiilor executate din BS în anul 2020 și soldurile de mijloace bănești acumulate la beneficiarii de subv</w:t>
      </w:r>
      <w:r w:rsidR="007E3AC5" w:rsidRPr="00F55BA6">
        <w:rPr>
          <w:rFonts w:asciiTheme="majorHAnsi" w:eastAsia="Times New Roman" w:hAnsiTheme="majorHAnsi" w:cstheme="majorHAnsi"/>
          <w:bCs/>
          <w:i/>
          <w:sz w:val="24"/>
          <w:szCs w:val="24"/>
          <w:lang w:val="ro-RO"/>
        </w:rPr>
        <w:t>enții se prezintă în Anexa nr.5</w:t>
      </w:r>
      <w:r w:rsidRPr="00F55BA6">
        <w:rPr>
          <w:rFonts w:asciiTheme="majorHAnsi" w:eastAsia="Times New Roman" w:hAnsiTheme="majorHAnsi" w:cstheme="majorHAnsi"/>
          <w:bCs/>
          <w:i/>
          <w:sz w:val="24"/>
          <w:szCs w:val="24"/>
          <w:lang w:val="ro-RO"/>
        </w:rPr>
        <w:t xml:space="preserve"> la prezentul Raport de audit.</w:t>
      </w:r>
    </w:p>
    <w:p w:rsidR="00AC6703" w:rsidRPr="00F55BA6" w:rsidRDefault="00AC6703" w:rsidP="00AC6703">
      <w:pPr>
        <w:spacing w:after="0" w:line="276" w:lineRule="auto"/>
        <w:rPr>
          <w:rFonts w:asciiTheme="majorHAnsi" w:hAnsiTheme="majorHAnsi" w:cstheme="majorHAnsi"/>
          <w:sz w:val="24"/>
          <w:szCs w:val="24"/>
          <w:lang w:val="ro-RO"/>
        </w:rPr>
      </w:pPr>
      <w:r w:rsidRPr="00F55BA6">
        <w:rPr>
          <w:rFonts w:asciiTheme="majorHAnsi" w:hAnsiTheme="majorHAnsi" w:cstheme="majorHAnsi"/>
          <w:sz w:val="24"/>
          <w:szCs w:val="24"/>
          <w:lang w:val="ro-RO"/>
        </w:rPr>
        <w:t xml:space="preserve">Conform Legii bugetului de stat pentru anul 2020, au fost aprobate inițial alocații la </w:t>
      </w:r>
      <w:r w:rsidR="000C67BC" w:rsidRPr="00F55BA6">
        <w:rPr>
          <w:rFonts w:asciiTheme="majorHAnsi" w:hAnsiTheme="majorHAnsi" w:cstheme="majorHAnsi"/>
          <w:sz w:val="24"/>
          <w:szCs w:val="24"/>
          <w:lang w:val="ro-RO"/>
        </w:rPr>
        <w:t>„</w:t>
      </w:r>
      <w:r w:rsidRPr="00F55BA6">
        <w:rPr>
          <w:rFonts w:asciiTheme="majorHAnsi" w:hAnsiTheme="majorHAnsi" w:cstheme="majorHAnsi"/>
          <w:sz w:val="24"/>
          <w:szCs w:val="24"/>
          <w:lang w:val="ro-RO"/>
        </w:rPr>
        <w:t>Granturi acordate”</w:t>
      </w:r>
      <w:r w:rsidRPr="00F55BA6">
        <w:rPr>
          <w:rStyle w:val="ac"/>
          <w:rFonts w:asciiTheme="majorHAnsi" w:hAnsiTheme="majorHAnsi" w:cstheme="majorHAnsi"/>
          <w:sz w:val="24"/>
          <w:szCs w:val="24"/>
          <w:lang w:val="ro-RO"/>
        </w:rPr>
        <w:footnoteReference w:id="42"/>
      </w:r>
      <w:r w:rsidRPr="00F55BA6">
        <w:rPr>
          <w:rFonts w:asciiTheme="majorHAnsi" w:hAnsiTheme="majorHAnsi" w:cstheme="majorHAnsi"/>
          <w:sz w:val="24"/>
          <w:szCs w:val="24"/>
          <w:lang w:val="ro-RO"/>
        </w:rPr>
        <w:t xml:space="preserve"> în sumă de 54,2 mil. lei, ulterior au fost precizate în sumă de 312,7 mil. lei</w:t>
      </w:r>
      <w:r w:rsidR="000C67BC" w:rsidRPr="00F55BA6">
        <w:rPr>
          <w:rFonts w:asciiTheme="majorHAnsi" w:hAnsiTheme="majorHAnsi" w:cstheme="majorHAnsi"/>
          <w:sz w:val="24"/>
          <w:szCs w:val="24"/>
          <w:lang w:val="ro-RO"/>
        </w:rPr>
        <w:t>,</w:t>
      </w:r>
      <w:r w:rsidRPr="00F55BA6">
        <w:rPr>
          <w:rFonts w:asciiTheme="majorHAnsi" w:hAnsiTheme="majorHAnsi" w:cstheme="majorHAnsi"/>
          <w:sz w:val="24"/>
          <w:szCs w:val="24"/>
          <w:lang w:val="ro-RO"/>
        </w:rPr>
        <w:t xml:space="preserve"> fiind executate în sumă de 248,5 mil. lei</w:t>
      </w:r>
      <w:r w:rsidR="000C67BC" w:rsidRPr="00F55BA6">
        <w:rPr>
          <w:rFonts w:asciiTheme="majorHAnsi" w:hAnsiTheme="majorHAnsi" w:cstheme="majorHAnsi"/>
          <w:sz w:val="24"/>
          <w:szCs w:val="24"/>
          <w:lang w:val="ro-RO"/>
        </w:rPr>
        <w:t>,</w:t>
      </w:r>
      <w:r w:rsidRPr="00F55BA6">
        <w:rPr>
          <w:rFonts w:asciiTheme="majorHAnsi" w:hAnsiTheme="majorHAnsi" w:cstheme="majorHAnsi"/>
          <w:sz w:val="24"/>
          <w:szCs w:val="24"/>
          <w:lang w:val="ro-RO"/>
        </w:rPr>
        <w:t xml:space="preserve"> sau la nivel de 79,5% față de suma precizată și</w:t>
      </w:r>
      <w:r w:rsidR="00FC4D0D">
        <w:rPr>
          <w:rFonts w:asciiTheme="majorHAnsi" w:hAnsiTheme="majorHAnsi" w:cstheme="majorHAnsi"/>
          <w:sz w:val="24"/>
          <w:szCs w:val="24"/>
          <w:lang w:val="ro-RO"/>
        </w:rPr>
        <w:t xml:space="preserve"> de</w:t>
      </w:r>
      <w:r w:rsidRPr="00F55BA6">
        <w:rPr>
          <w:rFonts w:asciiTheme="majorHAnsi" w:hAnsiTheme="majorHAnsi" w:cstheme="majorHAnsi"/>
          <w:sz w:val="24"/>
          <w:szCs w:val="24"/>
          <w:lang w:val="ro-RO"/>
        </w:rPr>
        <w:t xml:space="preserve"> </w:t>
      </w:r>
      <w:r w:rsidR="006914B3">
        <w:rPr>
          <w:rFonts w:asciiTheme="majorHAnsi" w:hAnsiTheme="majorHAnsi" w:cstheme="majorHAnsi"/>
          <w:sz w:val="24"/>
          <w:szCs w:val="24"/>
          <w:lang w:val="ro-RO"/>
        </w:rPr>
        <w:t>4</w:t>
      </w:r>
      <w:r w:rsidRPr="006914B3">
        <w:rPr>
          <w:rFonts w:asciiTheme="majorHAnsi" w:hAnsiTheme="majorHAnsi" w:cstheme="majorHAnsi"/>
          <w:sz w:val="24"/>
          <w:szCs w:val="24"/>
          <w:lang w:val="ro-RO"/>
        </w:rPr>
        <w:t>5</w:t>
      </w:r>
      <w:r w:rsidR="006914B3">
        <w:rPr>
          <w:rFonts w:asciiTheme="majorHAnsi" w:hAnsiTheme="majorHAnsi" w:cstheme="majorHAnsi"/>
          <w:sz w:val="24"/>
          <w:szCs w:val="24"/>
          <w:lang w:val="ro-RO"/>
        </w:rPr>
        <w:t>8</w:t>
      </w:r>
      <w:r w:rsidRPr="006914B3">
        <w:rPr>
          <w:rFonts w:asciiTheme="majorHAnsi" w:hAnsiTheme="majorHAnsi" w:cstheme="majorHAnsi"/>
          <w:sz w:val="24"/>
          <w:szCs w:val="24"/>
          <w:lang w:val="ro-RO"/>
        </w:rPr>
        <w:t>,</w:t>
      </w:r>
      <w:r w:rsidR="006914B3">
        <w:rPr>
          <w:rFonts w:asciiTheme="majorHAnsi" w:hAnsiTheme="majorHAnsi" w:cstheme="majorHAnsi"/>
          <w:sz w:val="24"/>
          <w:szCs w:val="24"/>
          <w:lang w:val="ro-RO"/>
        </w:rPr>
        <w:t>5</w:t>
      </w:r>
      <w:r w:rsidRPr="006914B3">
        <w:rPr>
          <w:rFonts w:asciiTheme="majorHAnsi" w:hAnsiTheme="majorHAnsi" w:cstheme="majorHAnsi"/>
          <w:sz w:val="24"/>
          <w:szCs w:val="24"/>
          <w:lang w:val="ro-RO"/>
        </w:rPr>
        <w:t>%</w:t>
      </w:r>
      <w:r w:rsidRPr="00F55BA6">
        <w:rPr>
          <w:rFonts w:asciiTheme="majorHAnsi" w:hAnsiTheme="majorHAnsi" w:cstheme="majorHAnsi"/>
          <w:sz w:val="24"/>
          <w:szCs w:val="24"/>
          <w:lang w:val="ro-RO"/>
        </w:rPr>
        <w:t xml:space="preserve"> față de suma aprobată. Auditul relevă că, deși din 08.10.2019 a fost exclus codul economic 263000 din clasificația bugetară, au fost planificate alocații bugetare în sumă de 21,7 mil. lei</w:t>
      </w:r>
      <w:r w:rsidR="008537B1" w:rsidRPr="00F55BA6">
        <w:rPr>
          <w:rFonts w:asciiTheme="majorHAnsi" w:hAnsiTheme="majorHAnsi" w:cstheme="majorHAnsi"/>
          <w:sz w:val="24"/>
          <w:szCs w:val="24"/>
          <w:lang w:val="ro-RO"/>
        </w:rPr>
        <w:t>,</w:t>
      </w:r>
      <w:r w:rsidRPr="00F55BA6">
        <w:rPr>
          <w:rFonts w:asciiTheme="majorHAnsi" w:hAnsiTheme="majorHAnsi" w:cstheme="majorHAnsi"/>
          <w:sz w:val="24"/>
          <w:szCs w:val="24"/>
          <w:lang w:val="ro-RO"/>
        </w:rPr>
        <w:t xml:space="preserve"> iar la rectificarea bugetului au fost excluse.</w:t>
      </w:r>
      <w:r w:rsidRPr="00F55BA6">
        <w:rPr>
          <w:rFonts w:asciiTheme="majorHAnsi" w:hAnsiTheme="majorHAnsi" w:cstheme="majorHAnsi"/>
          <w:i/>
          <w:sz w:val="24"/>
          <w:szCs w:val="24"/>
          <w:lang w:val="ro-RO"/>
        </w:rPr>
        <w:t xml:space="preserve"> </w:t>
      </w:r>
    </w:p>
    <w:p w:rsidR="00AC6703" w:rsidRPr="00F55BA6" w:rsidRDefault="00AC6703" w:rsidP="00CB512D">
      <w:pPr>
        <w:tabs>
          <w:tab w:val="left" w:pos="851"/>
        </w:tabs>
        <w:spacing w:line="276" w:lineRule="auto"/>
        <w:contextualSpacing/>
        <w:rPr>
          <w:rFonts w:asciiTheme="majorHAnsi" w:eastAsia="Times New Roman" w:hAnsiTheme="majorHAnsi" w:cstheme="majorHAnsi"/>
          <w:bCs/>
          <w:iCs/>
          <w:sz w:val="24"/>
          <w:szCs w:val="24"/>
          <w:lang w:val="ro-RO"/>
        </w:rPr>
      </w:pPr>
      <w:r w:rsidRPr="00F55BA6">
        <w:rPr>
          <w:rFonts w:asciiTheme="majorHAnsi" w:eastAsia="Times New Roman" w:hAnsiTheme="majorHAnsi" w:cstheme="majorHAnsi"/>
          <w:bCs/>
          <w:iCs/>
          <w:sz w:val="24"/>
          <w:szCs w:val="24"/>
          <w:lang w:val="ro-RO"/>
        </w:rPr>
        <w:t xml:space="preserve">În anul 2020, pentru reconstrucția Filarmonicii Naționale </w:t>
      </w:r>
      <w:r w:rsidR="009F67BC" w:rsidRPr="00F55BA6">
        <w:rPr>
          <w:rFonts w:asciiTheme="majorHAnsi" w:eastAsia="Times New Roman" w:hAnsiTheme="majorHAnsi" w:cstheme="majorHAnsi"/>
          <w:bCs/>
          <w:iCs/>
          <w:sz w:val="24"/>
          <w:szCs w:val="24"/>
          <w:lang w:val="ro-RO"/>
        </w:rPr>
        <w:t>„</w:t>
      </w:r>
      <w:r w:rsidRPr="00F55BA6">
        <w:rPr>
          <w:rFonts w:asciiTheme="majorHAnsi" w:eastAsia="Times New Roman" w:hAnsiTheme="majorHAnsi" w:cstheme="majorHAnsi"/>
          <w:bCs/>
          <w:iCs/>
          <w:sz w:val="24"/>
          <w:szCs w:val="24"/>
          <w:lang w:val="ro-RO"/>
        </w:rPr>
        <w:t>Serghei Lunchevici” au fost acumulate mijloace bănești sub formă de donație în sumă totală de 1,7 mil. lei. Din BS au fost alocate mijloace în sumă totală de 18,95 mil. lei, din care: subvenții - 18 761,9 mii lei</w:t>
      </w:r>
      <w:r w:rsidR="009F67BC" w:rsidRPr="00F55BA6">
        <w:rPr>
          <w:rFonts w:asciiTheme="majorHAnsi" w:eastAsia="Times New Roman" w:hAnsiTheme="majorHAnsi" w:cstheme="majorHAnsi"/>
          <w:bCs/>
          <w:iCs/>
          <w:sz w:val="24"/>
          <w:szCs w:val="24"/>
          <w:lang w:val="ro-RO"/>
        </w:rPr>
        <w:t>,</w:t>
      </w:r>
      <w:r w:rsidRPr="00F55BA6">
        <w:rPr>
          <w:rFonts w:asciiTheme="majorHAnsi" w:eastAsia="Times New Roman" w:hAnsiTheme="majorHAnsi" w:cstheme="majorHAnsi"/>
          <w:bCs/>
          <w:iCs/>
          <w:sz w:val="24"/>
          <w:szCs w:val="24"/>
          <w:lang w:val="ro-RO"/>
        </w:rPr>
        <w:t xml:space="preserve"> și granturi capitale - 189,7 mii lei.</w:t>
      </w:r>
    </w:p>
    <w:p w:rsidR="00CB512D" w:rsidRPr="00F55BA6" w:rsidRDefault="00CB512D" w:rsidP="0005026F">
      <w:pPr>
        <w:tabs>
          <w:tab w:val="left" w:pos="426"/>
        </w:tabs>
        <w:spacing w:after="0" w:line="276" w:lineRule="auto"/>
        <w:contextualSpacing/>
        <w:outlineLvl w:val="0"/>
        <w:rPr>
          <w:rFonts w:asciiTheme="majorHAnsi" w:hAnsiTheme="majorHAnsi" w:cstheme="majorHAnsi"/>
          <w:b/>
          <w:szCs w:val="28"/>
          <w:lang w:val="ro-RO"/>
        </w:rPr>
      </w:pPr>
      <w:r w:rsidRPr="00F55BA6">
        <w:rPr>
          <w:rFonts w:asciiTheme="majorHAnsi" w:hAnsiTheme="majorHAnsi" w:cstheme="majorHAnsi"/>
          <w:b/>
          <w:sz w:val="24"/>
          <w:szCs w:val="24"/>
          <w:lang w:val="ro-RO"/>
        </w:rPr>
        <w:t>6.9. Volumul alocațiilor aprobate inițial pentru investiții capitale a fost diminuat semnificativ</w:t>
      </w:r>
      <w:r w:rsidR="00ED5EA2" w:rsidRPr="00F55BA6">
        <w:rPr>
          <w:rFonts w:asciiTheme="majorHAnsi" w:hAnsiTheme="majorHAnsi" w:cstheme="majorHAnsi"/>
          <w:b/>
          <w:sz w:val="24"/>
          <w:szCs w:val="24"/>
          <w:lang w:val="ro-RO"/>
        </w:rPr>
        <w:t>,</w:t>
      </w:r>
      <w:r w:rsidRPr="00F55BA6">
        <w:rPr>
          <w:rFonts w:asciiTheme="majorHAnsi" w:hAnsiTheme="majorHAnsi" w:cstheme="majorHAnsi"/>
          <w:b/>
          <w:sz w:val="24"/>
          <w:szCs w:val="24"/>
          <w:lang w:val="ro-RO"/>
        </w:rPr>
        <w:t xml:space="preserve"> iar executarea cheltuielilor se menține la un nivel redus de valorificare, în lipsa unui grup de lucru activ</w:t>
      </w:r>
      <w:r w:rsidR="00FC4D0D">
        <w:rPr>
          <w:rFonts w:asciiTheme="majorHAnsi" w:hAnsiTheme="majorHAnsi" w:cstheme="majorHAnsi"/>
          <w:b/>
          <w:sz w:val="24"/>
          <w:szCs w:val="24"/>
          <w:lang w:val="ro-RO"/>
        </w:rPr>
        <w:t>.</w:t>
      </w:r>
    </w:p>
    <w:p w:rsidR="00AC6703" w:rsidRPr="00F55BA6" w:rsidRDefault="00AC6703" w:rsidP="00AC6703">
      <w:pPr>
        <w:spacing w:after="0" w:line="276" w:lineRule="auto"/>
        <w:ind w:right="49"/>
        <w:rPr>
          <w:rFonts w:asciiTheme="majorHAnsi" w:hAnsiTheme="majorHAnsi" w:cstheme="majorHAnsi"/>
          <w:sz w:val="24"/>
          <w:szCs w:val="24"/>
          <w:lang w:val="ro-RO"/>
        </w:rPr>
      </w:pPr>
      <w:r w:rsidRPr="00F55BA6">
        <w:rPr>
          <w:rFonts w:asciiTheme="majorHAnsi" w:hAnsiTheme="majorHAnsi" w:cstheme="majorHAnsi"/>
          <w:sz w:val="24"/>
          <w:szCs w:val="24"/>
          <w:lang w:val="ro-RO"/>
        </w:rPr>
        <w:t>Prin Legea bugetului de stat pentru anul 2020</w:t>
      </w:r>
      <w:r w:rsidRPr="00F55BA6">
        <w:rPr>
          <w:rFonts w:asciiTheme="majorHAnsi" w:hAnsiTheme="majorHAnsi" w:cstheme="majorHAnsi"/>
          <w:sz w:val="24"/>
          <w:szCs w:val="24"/>
          <w:vertAlign w:val="superscript"/>
          <w:lang w:val="ro-RO"/>
        </w:rPr>
        <w:footnoteReference w:id="43"/>
      </w:r>
      <w:r w:rsidRPr="00F55BA6">
        <w:rPr>
          <w:rFonts w:asciiTheme="majorHAnsi" w:hAnsiTheme="majorHAnsi" w:cstheme="majorHAnsi"/>
          <w:sz w:val="24"/>
          <w:szCs w:val="24"/>
          <w:lang w:val="ro-RO"/>
        </w:rPr>
        <w:t xml:space="preserve"> au fost aprobate inițial alocații destinate investițiilor capitale în volum de 4 133,4 mil. lei pentru executarea a 71 de proiecte de investiții, dintre care 25 </w:t>
      </w:r>
      <w:r w:rsidR="009F67BC" w:rsidRPr="00F55BA6">
        <w:rPr>
          <w:rFonts w:asciiTheme="majorHAnsi" w:hAnsiTheme="majorHAnsi" w:cstheme="majorHAnsi"/>
          <w:sz w:val="24"/>
          <w:szCs w:val="24"/>
          <w:lang w:val="ro-RO"/>
        </w:rPr>
        <w:t xml:space="preserve">de </w:t>
      </w:r>
      <w:r w:rsidRPr="00F55BA6">
        <w:rPr>
          <w:rFonts w:asciiTheme="majorHAnsi" w:hAnsiTheme="majorHAnsi" w:cstheme="majorHAnsi"/>
          <w:sz w:val="24"/>
          <w:szCs w:val="24"/>
          <w:lang w:val="ro-RO"/>
        </w:rPr>
        <w:t xml:space="preserve">proiecte cu finanțare/cofinanțare din surse externe în sumă de 3 699,6 mil. lei. </w:t>
      </w:r>
      <w:r w:rsidR="009F67BC" w:rsidRPr="00F55BA6">
        <w:rPr>
          <w:rFonts w:asciiTheme="majorHAnsi" w:hAnsiTheme="majorHAnsi" w:cstheme="majorHAnsi"/>
          <w:sz w:val="24"/>
          <w:szCs w:val="24"/>
          <w:lang w:val="ro-RO"/>
        </w:rPr>
        <w:t>Ca u</w:t>
      </w:r>
      <w:r w:rsidRPr="00F55BA6">
        <w:rPr>
          <w:rFonts w:asciiTheme="majorHAnsi" w:hAnsiTheme="majorHAnsi" w:cstheme="majorHAnsi"/>
          <w:sz w:val="24"/>
          <w:szCs w:val="24"/>
          <w:lang w:val="ro-RO"/>
        </w:rPr>
        <w:t>rmare</w:t>
      </w:r>
      <w:r w:rsidR="009F67BC" w:rsidRPr="00F55BA6">
        <w:rPr>
          <w:rFonts w:asciiTheme="majorHAnsi" w:hAnsiTheme="majorHAnsi" w:cstheme="majorHAnsi"/>
          <w:sz w:val="24"/>
          <w:szCs w:val="24"/>
          <w:lang w:val="ro-RO"/>
        </w:rPr>
        <w:t xml:space="preserve"> a</w:t>
      </w:r>
      <w:r w:rsidRPr="00F55BA6">
        <w:rPr>
          <w:rFonts w:asciiTheme="majorHAnsi" w:hAnsiTheme="majorHAnsi" w:cstheme="majorHAnsi"/>
          <w:sz w:val="24"/>
          <w:szCs w:val="24"/>
          <w:lang w:val="ro-RO"/>
        </w:rPr>
        <w:t xml:space="preserve"> rectificării bugetului</w:t>
      </w:r>
      <w:r w:rsidRPr="00F55BA6">
        <w:rPr>
          <w:rFonts w:asciiTheme="majorHAnsi" w:hAnsiTheme="majorHAnsi" w:cstheme="majorHAnsi"/>
          <w:sz w:val="24"/>
          <w:szCs w:val="24"/>
          <w:vertAlign w:val="superscript"/>
          <w:lang w:val="ro-RO"/>
        </w:rPr>
        <w:footnoteReference w:id="44"/>
      </w:r>
      <w:r w:rsidRPr="00F55BA6">
        <w:rPr>
          <w:rFonts w:asciiTheme="majorHAnsi" w:hAnsiTheme="majorHAnsi" w:cstheme="majorHAnsi"/>
          <w:sz w:val="24"/>
          <w:szCs w:val="24"/>
          <w:lang w:val="ro-RO"/>
        </w:rPr>
        <w:t>, alocațiile au fost diminuate semnificativ cu 2 534,7 mil. lei</w:t>
      </w:r>
      <w:r w:rsidR="009F67BC" w:rsidRPr="00F55BA6">
        <w:rPr>
          <w:rFonts w:asciiTheme="majorHAnsi" w:hAnsiTheme="majorHAnsi" w:cstheme="majorHAnsi"/>
          <w:sz w:val="24"/>
          <w:szCs w:val="24"/>
          <w:lang w:val="ro-RO"/>
        </w:rPr>
        <w:t>,</w:t>
      </w:r>
      <w:r w:rsidRPr="00F55BA6">
        <w:rPr>
          <w:rFonts w:asciiTheme="majorHAnsi" w:hAnsiTheme="majorHAnsi" w:cstheme="majorHAnsi"/>
          <w:sz w:val="24"/>
          <w:szCs w:val="24"/>
          <w:lang w:val="ro-RO"/>
        </w:rPr>
        <w:t xml:space="preserve"> sau cu 61,3% față de volumul aprobat inițial, fiind precizată suma de 1 598,7 mil. lei pentru 70 proiecte de investiții capitale. Această diminuare a survenit </w:t>
      </w:r>
      <w:r w:rsidR="009F67BC" w:rsidRPr="00F55BA6">
        <w:rPr>
          <w:rFonts w:asciiTheme="majorHAnsi" w:hAnsiTheme="majorHAnsi" w:cstheme="majorHAnsi"/>
          <w:sz w:val="24"/>
          <w:szCs w:val="24"/>
          <w:lang w:val="ro-RO"/>
        </w:rPr>
        <w:t>ca</w:t>
      </w:r>
      <w:r w:rsidRPr="00F55BA6">
        <w:rPr>
          <w:rFonts w:asciiTheme="majorHAnsi" w:hAnsiTheme="majorHAnsi" w:cstheme="majorHAnsi"/>
          <w:sz w:val="24"/>
          <w:szCs w:val="24"/>
          <w:lang w:val="ro-RO"/>
        </w:rPr>
        <w:t xml:space="preserve"> rezultat</w:t>
      </w:r>
      <w:r w:rsidR="009F67BC" w:rsidRPr="00F55BA6">
        <w:rPr>
          <w:rFonts w:asciiTheme="majorHAnsi" w:hAnsiTheme="majorHAnsi" w:cstheme="majorHAnsi"/>
          <w:sz w:val="24"/>
          <w:szCs w:val="24"/>
          <w:lang w:val="ro-RO"/>
        </w:rPr>
        <w:t xml:space="preserve"> a</w:t>
      </w:r>
      <w:r w:rsidRPr="00F55BA6">
        <w:rPr>
          <w:rFonts w:asciiTheme="majorHAnsi" w:hAnsiTheme="majorHAnsi" w:cstheme="majorHAnsi"/>
          <w:sz w:val="24"/>
          <w:szCs w:val="24"/>
          <w:lang w:val="ro-RO"/>
        </w:rPr>
        <w:t xml:space="preserve">l redistribuirii alocațiilor </w:t>
      </w:r>
      <w:r w:rsidR="009F67BC" w:rsidRPr="00F55BA6">
        <w:rPr>
          <w:rFonts w:asciiTheme="majorHAnsi" w:hAnsiTheme="majorHAnsi" w:cstheme="majorHAnsi"/>
          <w:sz w:val="24"/>
          <w:szCs w:val="24"/>
          <w:lang w:val="ro-RO"/>
        </w:rPr>
        <w:t xml:space="preserve">pentru </w:t>
      </w:r>
      <w:r w:rsidRPr="00F55BA6">
        <w:rPr>
          <w:rFonts w:asciiTheme="majorHAnsi" w:hAnsiTheme="majorHAnsi" w:cstheme="majorHAnsi"/>
          <w:sz w:val="24"/>
          <w:szCs w:val="24"/>
          <w:lang w:val="ro-RO"/>
        </w:rPr>
        <w:t>realizarea altor măsur</w:t>
      </w:r>
      <w:r w:rsidR="00ED5EA2" w:rsidRPr="00F55BA6">
        <w:rPr>
          <w:rFonts w:asciiTheme="majorHAnsi" w:hAnsiTheme="majorHAnsi" w:cstheme="majorHAnsi"/>
          <w:sz w:val="24"/>
          <w:szCs w:val="24"/>
          <w:lang w:val="ro-RO"/>
        </w:rPr>
        <w:t>i și excluder</w:t>
      </w:r>
      <w:r w:rsidR="009F67BC" w:rsidRPr="00F55BA6">
        <w:rPr>
          <w:rFonts w:asciiTheme="majorHAnsi" w:hAnsiTheme="majorHAnsi" w:cstheme="majorHAnsi"/>
          <w:sz w:val="24"/>
          <w:szCs w:val="24"/>
          <w:lang w:val="ro-RO"/>
        </w:rPr>
        <w:t>ea</w:t>
      </w:r>
      <w:r w:rsidR="00ED5EA2" w:rsidRPr="00F55BA6">
        <w:rPr>
          <w:rFonts w:asciiTheme="majorHAnsi" w:hAnsiTheme="majorHAnsi" w:cstheme="majorHAnsi"/>
          <w:sz w:val="24"/>
          <w:szCs w:val="24"/>
          <w:lang w:val="ro-RO"/>
        </w:rPr>
        <w:t xml:space="preserve"> proiectelor/</w:t>
      </w:r>
      <w:r w:rsidRPr="00F55BA6">
        <w:rPr>
          <w:rFonts w:asciiTheme="majorHAnsi" w:hAnsiTheme="majorHAnsi" w:cstheme="majorHAnsi"/>
          <w:sz w:val="24"/>
          <w:szCs w:val="24"/>
          <w:lang w:val="ro-RO"/>
        </w:rPr>
        <w:t>extinder</w:t>
      </w:r>
      <w:r w:rsidR="009F67BC" w:rsidRPr="00F55BA6">
        <w:rPr>
          <w:rFonts w:asciiTheme="majorHAnsi" w:hAnsiTheme="majorHAnsi" w:cstheme="majorHAnsi"/>
          <w:sz w:val="24"/>
          <w:szCs w:val="24"/>
          <w:lang w:val="ro-RO"/>
        </w:rPr>
        <w:t>ea</w:t>
      </w:r>
      <w:r w:rsidRPr="00F55BA6">
        <w:rPr>
          <w:rFonts w:asciiTheme="majorHAnsi" w:hAnsiTheme="majorHAnsi" w:cstheme="majorHAnsi"/>
          <w:sz w:val="24"/>
          <w:szCs w:val="24"/>
          <w:lang w:val="ro-RO"/>
        </w:rPr>
        <w:t xml:space="preserve"> termenelor de realizare a proiectelor de investiții capitale. Astfel, cel mai mult au fost micșorate alocațiile pentru proiectele cu finanțare din surse externe cu 2 343,3 mil. lei, </w:t>
      </w:r>
      <w:r w:rsidR="00ED5EA2" w:rsidRPr="00F55BA6">
        <w:rPr>
          <w:rFonts w:asciiTheme="majorHAnsi" w:hAnsiTheme="majorHAnsi" w:cstheme="majorHAnsi"/>
          <w:sz w:val="24"/>
          <w:szCs w:val="24"/>
          <w:lang w:val="ro-RO"/>
        </w:rPr>
        <w:t>fiind</w:t>
      </w:r>
      <w:r w:rsidRPr="00F55BA6">
        <w:rPr>
          <w:rFonts w:asciiTheme="majorHAnsi" w:hAnsiTheme="majorHAnsi" w:cstheme="majorHAnsi"/>
          <w:sz w:val="24"/>
          <w:szCs w:val="24"/>
          <w:lang w:val="ro-RO"/>
        </w:rPr>
        <w:t xml:space="preserve"> excluse 15 proiecte de investiții</w:t>
      </w:r>
      <w:r w:rsidR="009F67BC" w:rsidRPr="00F55BA6">
        <w:rPr>
          <w:rFonts w:asciiTheme="majorHAnsi" w:hAnsiTheme="majorHAnsi" w:cstheme="majorHAnsi"/>
          <w:sz w:val="24"/>
          <w:szCs w:val="24"/>
          <w:lang w:val="ro-RO"/>
        </w:rPr>
        <w:t>,</w:t>
      </w:r>
      <w:r w:rsidRPr="00F55BA6">
        <w:rPr>
          <w:rFonts w:asciiTheme="majorHAnsi" w:hAnsiTheme="majorHAnsi" w:cstheme="majorHAnsi"/>
          <w:sz w:val="24"/>
          <w:szCs w:val="24"/>
          <w:lang w:val="ro-RO"/>
        </w:rPr>
        <w:t xml:space="preserve"> și anume: Proiectul </w:t>
      </w:r>
      <w:r w:rsidR="009F67BC" w:rsidRPr="00F55BA6">
        <w:rPr>
          <w:rFonts w:asciiTheme="majorHAnsi" w:hAnsiTheme="majorHAnsi" w:cstheme="majorHAnsi"/>
          <w:sz w:val="24"/>
          <w:szCs w:val="24"/>
          <w:lang w:val="ro-RO"/>
        </w:rPr>
        <w:t>„</w:t>
      </w:r>
      <w:r w:rsidRPr="00F55BA6">
        <w:rPr>
          <w:rFonts w:asciiTheme="majorHAnsi" w:hAnsiTheme="majorHAnsi" w:cstheme="majorHAnsi"/>
          <w:sz w:val="24"/>
          <w:szCs w:val="24"/>
          <w:lang w:val="ro-RO"/>
        </w:rPr>
        <w:t xml:space="preserve">Program de dezvoltare a infrastructurii drumurilor cu suportul Federației Ruse” – 1 300,0 mil. lei, Proiectul „Construcția penitenciarului din municipiul Chișinău” – 362,3 mil. lei etc. și incluse alte 14 proiecte de investiții în sumă de 28,5 mil. lei. </w:t>
      </w:r>
    </w:p>
    <w:p w:rsidR="00AC6703" w:rsidRPr="00F55BA6" w:rsidRDefault="00AC6703" w:rsidP="00AC6703">
      <w:pPr>
        <w:spacing w:after="0" w:line="276" w:lineRule="auto"/>
        <w:ind w:right="49"/>
        <w:rPr>
          <w:rFonts w:asciiTheme="majorHAnsi" w:hAnsiTheme="majorHAnsi" w:cstheme="majorHAnsi"/>
          <w:i/>
          <w:sz w:val="24"/>
          <w:szCs w:val="24"/>
          <w:lang w:val="ro-RO"/>
        </w:rPr>
      </w:pPr>
      <w:r w:rsidRPr="00F55BA6">
        <w:rPr>
          <w:rFonts w:asciiTheme="majorHAnsi" w:hAnsiTheme="majorHAnsi" w:cstheme="majorHAnsi"/>
          <w:sz w:val="24"/>
          <w:szCs w:val="24"/>
          <w:lang w:val="ro-RO"/>
        </w:rPr>
        <w:t xml:space="preserve">Cheltuielile executate în anul 2020 pentru investiții capitale au constituit 1 524,2 mil. lei, sau 95,3% din volumul precizat </w:t>
      </w:r>
      <w:r w:rsidRPr="00E4517B">
        <w:rPr>
          <w:rFonts w:asciiTheme="majorHAnsi" w:hAnsiTheme="majorHAnsi" w:cstheme="majorHAnsi"/>
          <w:sz w:val="24"/>
          <w:szCs w:val="24"/>
          <w:lang w:val="ro-RO"/>
        </w:rPr>
        <w:t>și 36,9% din volumul aprobat</w:t>
      </w:r>
      <w:r w:rsidRPr="00973E5B">
        <w:rPr>
          <w:rFonts w:asciiTheme="majorHAnsi" w:hAnsiTheme="majorHAnsi" w:cstheme="majorHAnsi"/>
          <w:sz w:val="24"/>
          <w:szCs w:val="24"/>
          <w:lang w:val="ro-RO"/>
        </w:rPr>
        <w:t xml:space="preserve"> inițial</w:t>
      </w:r>
      <w:r w:rsidRPr="00F55BA6">
        <w:rPr>
          <w:rFonts w:asciiTheme="majorHAnsi" w:hAnsiTheme="majorHAnsi" w:cstheme="majorHAnsi"/>
          <w:sz w:val="24"/>
          <w:szCs w:val="24"/>
          <w:lang w:val="ro-RO"/>
        </w:rPr>
        <w:t>. Se atestă o creștere a nivelului de executare a investițiilor capitale cu 18,5 p.p. față de nivelul de executare în anul 2019 și cu 50,7 p.p</w:t>
      </w:r>
      <w:r w:rsidR="00AF3C82" w:rsidRPr="00F55BA6">
        <w:rPr>
          <w:rFonts w:asciiTheme="majorHAnsi" w:hAnsiTheme="majorHAnsi" w:cstheme="majorHAnsi"/>
          <w:sz w:val="24"/>
          <w:szCs w:val="24"/>
          <w:lang w:val="ro-RO"/>
        </w:rPr>
        <w:t>.</w:t>
      </w:r>
      <w:r w:rsidRPr="00F55BA6">
        <w:rPr>
          <w:rFonts w:asciiTheme="majorHAnsi" w:hAnsiTheme="majorHAnsi" w:cstheme="majorHAnsi"/>
          <w:sz w:val="24"/>
          <w:szCs w:val="24"/>
          <w:lang w:val="ro-RO"/>
        </w:rPr>
        <w:t xml:space="preserve"> față de anul 2018. Executarea investițiilor capitale în aspectul surselor de finanțare relevă că nivelul de executare a alocațiilor din resurse generale și venituri colectate constituie 79,7% (193,2 mil. lei) din volumul precizat și 44,5% din volumul aprobat inițial, iar din contul proiectelor finanțate din surse externe </w:t>
      </w:r>
      <w:r w:rsidR="000765FF" w:rsidRPr="00F55BA6">
        <w:rPr>
          <w:rFonts w:asciiTheme="majorHAnsi" w:hAnsiTheme="majorHAnsi" w:cstheme="majorHAnsi"/>
          <w:sz w:val="24"/>
          <w:szCs w:val="24"/>
          <w:lang w:val="ro-RO"/>
        </w:rPr>
        <w:t>-</w:t>
      </w:r>
      <w:r w:rsidRPr="00F55BA6">
        <w:rPr>
          <w:rFonts w:asciiTheme="majorHAnsi" w:hAnsiTheme="majorHAnsi" w:cstheme="majorHAnsi"/>
          <w:sz w:val="24"/>
          <w:szCs w:val="24"/>
          <w:lang w:val="ro-RO"/>
        </w:rPr>
        <w:t xml:space="preserve"> </w:t>
      </w:r>
      <w:r w:rsidRPr="00F55BA6">
        <w:rPr>
          <w:rFonts w:asciiTheme="majorHAnsi" w:hAnsiTheme="majorHAnsi" w:cstheme="majorHAnsi"/>
          <w:sz w:val="24"/>
          <w:szCs w:val="24"/>
          <w:lang w:val="ro-RO"/>
        </w:rPr>
        <w:lastRenderedPageBreak/>
        <w:t>98,1% (1331,1 mil. lei) din volumul precizat și 36,0% din volumul aprobat inițial.</w:t>
      </w:r>
      <w:r w:rsidRPr="00F55BA6">
        <w:rPr>
          <w:rFonts w:asciiTheme="majorHAnsi" w:hAnsiTheme="majorHAnsi" w:cstheme="majorHAnsi"/>
          <w:i/>
          <w:sz w:val="24"/>
          <w:szCs w:val="24"/>
          <w:lang w:val="ro-RO"/>
        </w:rPr>
        <w:t xml:space="preserve"> Sinteza executării alocațiilor aprobate prin Legea bugetară anuală destinate investițiilor capit</w:t>
      </w:r>
      <w:r w:rsidR="007E3AC5" w:rsidRPr="00F55BA6">
        <w:rPr>
          <w:rFonts w:asciiTheme="majorHAnsi" w:hAnsiTheme="majorHAnsi" w:cstheme="majorHAnsi"/>
          <w:i/>
          <w:sz w:val="24"/>
          <w:szCs w:val="24"/>
          <w:lang w:val="ro-RO"/>
        </w:rPr>
        <w:t>ale se prezintă în Anexa nr.6</w:t>
      </w:r>
      <w:r w:rsidRPr="00F55BA6">
        <w:rPr>
          <w:rFonts w:asciiTheme="majorHAnsi" w:hAnsiTheme="majorHAnsi" w:cstheme="majorHAnsi"/>
          <w:i/>
          <w:sz w:val="24"/>
          <w:szCs w:val="24"/>
          <w:lang w:val="ro-RO"/>
        </w:rPr>
        <w:t xml:space="preserve"> la prezentul Raport de audit.</w:t>
      </w:r>
    </w:p>
    <w:p w:rsidR="00AC6703" w:rsidRPr="00F55BA6" w:rsidRDefault="004A5EAC" w:rsidP="00AC6703">
      <w:pPr>
        <w:spacing w:after="0" w:line="276" w:lineRule="auto"/>
        <w:ind w:right="49"/>
        <w:rPr>
          <w:rFonts w:asciiTheme="majorHAnsi" w:hAnsiTheme="majorHAnsi" w:cstheme="majorHAnsi"/>
          <w:sz w:val="24"/>
          <w:szCs w:val="24"/>
          <w:lang w:val="ro-RO"/>
        </w:rPr>
      </w:pPr>
      <w:r w:rsidRPr="00F55BA6">
        <w:rPr>
          <w:rFonts w:asciiTheme="majorHAnsi" w:hAnsiTheme="majorHAnsi" w:cstheme="majorHAnsi"/>
          <w:sz w:val="24"/>
          <w:szCs w:val="24"/>
          <w:lang w:val="ro-RO"/>
        </w:rPr>
        <w:t>Ca u</w:t>
      </w:r>
      <w:r w:rsidR="00AC6703" w:rsidRPr="00F55BA6">
        <w:rPr>
          <w:rFonts w:asciiTheme="majorHAnsi" w:hAnsiTheme="majorHAnsi" w:cstheme="majorHAnsi"/>
          <w:sz w:val="24"/>
          <w:szCs w:val="24"/>
          <w:lang w:val="ro-RO"/>
        </w:rPr>
        <w:t xml:space="preserve">rmare </w:t>
      </w:r>
      <w:r w:rsidRPr="00F55BA6">
        <w:rPr>
          <w:rFonts w:asciiTheme="majorHAnsi" w:hAnsiTheme="majorHAnsi" w:cstheme="majorHAnsi"/>
          <w:sz w:val="24"/>
          <w:szCs w:val="24"/>
          <w:lang w:val="ro-RO"/>
        </w:rPr>
        <w:t xml:space="preserve">a </w:t>
      </w:r>
      <w:r w:rsidR="00AC6703" w:rsidRPr="00F55BA6">
        <w:rPr>
          <w:rFonts w:asciiTheme="majorHAnsi" w:hAnsiTheme="majorHAnsi" w:cstheme="majorHAnsi"/>
          <w:sz w:val="24"/>
          <w:szCs w:val="24"/>
          <w:lang w:val="ro-RO"/>
        </w:rPr>
        <w:t>verificărilor asupra nivelului de executare a 70 proiecte de investiții aprobate în Legea bugetară anuală, auditul a constatat că:</w:t>
      </w:r>
    </w:p>
    <w:p w:rsidR="00AC6703" w:rsidRPr="00F55BA6" w:rsidRDefault="00AC6703" w:rsidP="00AC6703">
      <w:pPr>
        <w:pStyle w:val="af0"/>
        <w:numPr>
          <w:ilvl w:val="0"/>
          <w:numId w:val="7"/>
        </w:numPr>
        <w:tabs>
          <w:tab w:val="left" w:pos="142"/>
        </w:tabs>
        <w:spacing w:after="0" w:line="276" w:lineRule="auto"/>
        <w:ind w:left="0" w:right="49" w:firstLine="0"/>
        <w:rPr>
          <w:rFonts w:asciiTheme="majorHAnsi" w:hAnsiTheme="majorHAnsi" w:cstheme="majorHAnsi"/>
          <w:sz w:val="24"/>
          <w:szCs w:val="24"/>
          <w:lang w:val="ro-RO"/>
        </w:rPr>
      </w:pPr>
      <w:r w:rsidRPr="00F55BA6">
        <w:rPr>
          <w:rFonts w:asciiTheme="majorHAnsi" w:hAnsiTheme="majorHAnsi" w:cstheme="majorHAnsi"/>
          <w:sz w:val="24"/>
          <w:szCs w:val="24"/>
          <w:lang w:val="ro-RO"/>
        </w:rPr>
        <w:t>la 5 proiecte nu au fost executate cheltuieli</w:t>
      </w:r>
      <w:r w:rsidRPr="00F55BA6">
        <w:rPr>
          <w:rFonts w:asciiTheme="majorHAnsi" w:hAnsiTheme="majorHAnsi" w:cstheme="majorHAnsi"/>
          <w:sz w:val="24"/>
          <w:szCs w:val="24"/>
          <w:vertAlign w:val="superscript"/>
          <w:lang w:val="ro-RO"/>
        </w:rPr>
        <w:footnoteReference w:id="45"/>
      </w:r>
      <w:r w:rsidR="00FC4D0D">
        <w:rPr>
          <w:rFonts w:asciiTheme="majorHAnsi" w:hAnsiTheme="majorHAnsi" w:cstheme="majorHAnsi"/>
          <w:sz w:val="24"/>
          <w:szCs w:val="24"/>
          <w:lang w:val="ro-RO"/>
        </w:rPr>
        <w:t>,</w:t>
      </w:r>
      <w:r w:rsidRPr="00F55BA6">
        <w:rPr>
          <w:rFonts w:asciiTheme="majorHAnsi" w:hAnsiTheme="majorHAnsi" w:cstheme="majorHAnsi"/>
          <w:sz w:val="24"/>
          <w:szCs w:val="24"/>
          <w:lang w:val="ro-RO"/>
        </w:rPr>
        <w:t xml:space="preserve"> fiind aprobate alocații în sumă de 5,3 mil.lei și precizate 5,7 mil. lei, motivând  că la 3 proiecte</w:t>
      </w:r>
      <w:r w:rsidRPr="00F55BA6">
        <w:rPr>
          <w:rStyle w:val="ac"/>
          <w:rFonts w:asciiTheme="majorHAnsi" w:hAnsiTheme="majorHAnsi" w:cstheme="majorHAnsi"/>
          <w:sz w:val="24"/>
          <w:szCs w:val="24"/>
          <w:lang w:val="ro-RO"/>
        </w:rPr>
        <w:footnoteReference w:id="46"/>
      </w:r>
      <w:r w:rsidRPr="00F55BA6">
        <w:rPr>
          <w:rFonts w:asciiTheme="majorHAnsi" w:hAnsiTheme="majorHAnsi" w:cstheme="majorHAnsi"/>
          <w:sz w:val="24"/>
          <w:szCs w:val="24"/>
          <w:lang w:val="ro-RO"/>
        </w:rPr>
        <w:t xml:space="preserve"> lansate în anul 2017, mijloacele financiare nu au fost alocate de către partenerii de dezvoltare din cauza aprobării întârziate de către MF a listei auditorilor naționali acreditați pentru verific</w:t>
      </w:r>
      <w:r w:rsidR="004A5EAC" w:rsidRPr="00F55BA6">
        <w:rPr>
          <w:rFonts w:asciiTheme="majorHAnsi" w:hAnsiTheme="majorHAnsi" w:cstheme="majorHAnsi"/>
          <w:sz w:val="24"/>
          <w:szCs w:val="24"/>
          <w:lang w:val="ro-RO"/>
        </w:rPr>
        <w:t>area</w:t>
      </w:r>
      <w:r w:rsidRPr="00F55BA6">
        <w:rPr>
          <w:rFonts w:asciiTheme="majorHAnsi" w:hAnsiTheme="majorHAnsi" w:cstheme="majorHAnsi"/>
          <w:sz w:val="24"/>
          <w:szCs w:val="24"/>
          <w:lang w:val="ro-RO"/>
        </w:rPr>
        <w:t xml:space="preserve"> cheltuielilor în cadrul programului POC 2014-2020 România – RM. Totodată, la un proiect</w:t>
      </w:r>
      <w:r w:rsidRPr="00F55BA6">
        <w:rPr>
          <w:rStyle w:val="ac"/>
          <w:rFonts w:asciiTheme="majorHAnsi" w:hAnsiTheme="majorHAnsi" w:cstheme="majorHAnsi"/>
          <w:sz w:val="24"/>
          <w:szCs w:val="24"/>
          <w:lang w:val="ro-RO"/>
        </w:rPr>
        <w:footnoteReference w:id="47"/>
      </w:r>
      <w:r w:rsidRPr="00F55BA6">
        <w:rPr>
          <w:rFonts w:asciiTheme="majorHAnsi" w:hAnsiTheme="majorHAnsi" w:cstheme="majorHAnsi"/>
          <w:sz w:val="24"/>
          <w:szCs w:val="24"/>
          <w:lang w:val="ro-RO"/>
        </w:rPr>
        <w:t xml:space="preserve"> până în prezent nu s-a efectuat transmiterea spațiului identificat pentru amplasarea Muzeului de la Primăria mun. Chișinău către MECC</w:t>
      </w:r>
      <w:r w:rsidR="004A5EAC" w:rsidRPr="00F55BA6">
        <w:rPr>
          <w:rFonts w:asciiTheme="majorHAnsi" w:hAnsiTheme="majorHAnsi" w:cstheme="majorHAnsi"/>
          <w:sz w:val="24"/>
          <w:szCs w:val="24"/>
          <w:lang w:val="ro-RO"/>
        </w:rPr>
        <w:t>,</w:t>
      </w:r>
      <w:r w:rsidRPr="00F55BA6">
        <w:rPr>
          <w:rFonts w:asciiTheme="majorHAnsi" w:hAnsiTheme="majorHAnsi" w:cstheme="majorHAnsi"/>
          <w:sz w:val="24"/>
          <w:szCs w:val="24"/>
          <w:lang w:val="ro-RO"/>
        </w:rPr>
        <w:t xml:space="preserve"> iar la alt proiect</w:t>
      </w:r>
      <w:r w:rsidRPr="00F55BA6">
        <w:rPr>
          <w:rStyle w:val="ac"/>
          <w:rFonts w:asciiTheme="majorHAnsi" w:hAnsiTheme="majorHAnsi" w:cstheme="majorHAnsi"/>
          <w:sz w:val="24"/>
          <w:szCs w:val="24"/>
          <w:lang w:val="ro-RO"/>
        </w:rPr>
        <w:footnoteReference w:id="48"/>
      </w:r>
      <w:r w:rsidRPr="00F55BA6">
        <w:rPr>
          <w:rFonts w:asciiTheme="majorHAnsi" w:hAnsiTheme="majorHAnsi" w:cstheme="majorHAnsi"/>
          <w:sz w:val="24"/>
          <w:szCs w:val="24"/>
          <w:lang w:val="ro-RO"/>
        </w:rPr>
        <w:t xml:space="preserve"> a fost desfășurat</w:t>
      </w:r>
      <w:r w:rsidR="004A5EAC" w:rsidRPr="00F55BA6">
        <w:rPr>
          <w:rFonts w:asciiTheme="majorHAnsi" w:hAnsiTheme="majorHAnsi" w:cstheme="majorHAnsi"/>
          <w:sz w:val="24"/>
          <w:szCs w:val="24"/>
          <w:lang w:val="ro-RO"/>
        </w:rPr>
        <w:t>ă</w:t>
      </w:r>
      <w:r w:rsidRPr="00F55BA6">
        <w:rPr>
          <w:rFonts w:asciiTheme="majorHAnsi" w:hAnsiTheme="majorHAnsi" w:cstheme="majorHAnsi"/>
          <w:sz w:val="24"/>
          <w:szCs w:val="24"/>
          <w:lang w:val="ro-RO"/>
        </w:rPr>
        <w:t xml:space="preserve"> de câteva ori procedura de achiziție publică</w:t>
      </w:r>
      <w:r w:rsidR="004A5EAC" w:rsidRPr="00F55BA6">
        <w:rPr>
          <w:rFonts w:asciiTheme="majorHAnsi" w:hAnsiTheme="majorHAnsi" w:cstheme="majorHAnsi"/>
          <w:sz w:val="24"/>
          <w:szCs w:val="24"/>
          <w:lang w:val="ro-RO"/>
        </w:rPr>
        <w:t>,</w:t>
      </w:r>
      <w:r w:rsidRPr="00F55BA6">
        <w:rPr>
          <w:rFonts w:asciiTheme="majorHAnsi" w:hAnsiTheme="majorHAnsi" w:cstheme="majorHAnsi"/>
          <w:sz w:val="24"/>
          <w:szCs w:val="24"/>
          <w:lang w:val="ro-RO"/>
        </w:rPr>
        <w:t xml:space="preserve"> fiind desemnat câștigătorul la finele anului</w:t>
      </w:r>
      <w:r w:rsidR="004A5EAC" w:rsidRPr="00F55BA6">
        <w:rPr>
          <w:rFonts w:asciiTheme="majorHAnsi" w:hAnsiTheme="majorHAnsi" w:cstheme="majorHAnsi"/>
          <w:sz w:val="24"/>
          <w:szCs w:val="24"/>
          <w:lang w:val="ro-RO"/>
        </w:rPr>
        <w:t>;</w:t>
      </w:r>
    </w:p>
    <w:p w:rsidR="00AC6703" w:rsidRPr="00F55BA6" w:rsidRDefault="00AC6703" w:rsidP="00AC6703">
      <w:pPr>
        <w:pStyle w:val="af0"/>
        <w:numPr>
          <w:ilvl w:val="0"/>
          <w:numId w:val="7"/>
        </w:numPr>
        <w:tabs>
          <w:tab w:val="left" w:pos="142"/>
        </w:tabs>
        <w:spacing w:after="0" w:line="276" w:lineRule="auto"/>
        <w:ind w:left="0" w:right="49" w:firstLine="0"/>
        <w:rPr>
          <w:rFonts w:asciiTheme="majorHAnsi" w:hAnsiTheme="majorHAnsi" w:cstheme="majorHAnsi"/>
          <w:sz w:val="24"/>
          <w:szCs w:val="24"/>
          <w:lang w:val="ro-RO"/>
        </w:rPr>
      </w:pPr>
      <w:r w:rsidRPr="00F55BA6">
        <w:rPr>
          <w:rFonts w:asciiTheme="majorHAnsi" w:hAnsiTheme="majorHAnsi" w:cstheme="majorHAnsi"/>
          <w:sz w:val="24"/>
          <w:szCs w:val="24"/>
          <w:lang w:val="ro-RO"/>
        </w:rPr>
        <w:t xml:space="preserve">la 9 proiecte au fost executate cheltuieli între 1,2% </w:t>
      </w:r>
      <w:r w:rsidR="004A5EAC" w:rsidRPr="00F55BA6">
        <w:rPr>
          <w:rFonts w:asciiTheme="majorHAnsi" w:hAnsiTheme="majorHAnsi" w:cstheme="majorHAnsi"/>
          <w:sz w:val="24"/>
          <w:szCs w:val="24"/>
          <w:lang w:val="ro-RO"/>
        </w:rPr>
        <w:t>și</w:t>
      </w:r>
      <w:r w:rsidRPr="00F55BA6">
        <w:rPr>
          <w:rFonts w:asciiTheme="majorHAnsi" w:hAnsiTheme="majorHAnsi" w:cstheme="majorHAnsi"/>
          <w:sz w:val="24"/>
          <w:szCs w:val="24"/>
          <w:lang w:val="ro-RO"/>
        </w:rPr>
        <w:t xml:space="preserve"> 44,3% față de volumul alocațiilor precizate și </w:t>
      </w:r>
      <w:r w:rsidR="004A5EAC" w:rsidRPr="00F55BA6">
        <w:rPr>
          <w:rFonts w:asciiTheme="majorHAnsi" w:hAnsiTheme="majorHAnsi" w:cstheme="majorHAnsi"/>
          <w:sz w:val="24"/>
          <w:szCs w:val="24"/>
          <w:lang w:val="ro-RO"/>
        </w:rPr>
        <w:t xml:space="preserve">între </w:t>
      </w:r>
      <w:r w:rsidRPr="00F55BA6">
        <w:rPr>
          <w:rFonts w:asciiTheme="majorHAnsi" w:hAnsiTheme="majorHAnsi" w:cstheme="majorHAnsi"/>
          <w:sz w:val="24"/>
          <w:szCs w:val="24"/>
          <w:lang w:val="ro-RO"/>
        </w:rPr>
        <w:t xml:space="preserve">0,6% </w:t>
      </w:r>
      <w:r w:rsidR="004A5EAC" w:rsidRPr="00F55BA6">
        <w:rPr>
          <w:rFonts w:asciiTheme="majorHAnsi" w:hAnsiTheme="majorHAnsi" w:cstheme="majorHAnsi"/>
          <w:sz w:val="24"/>
          <w:szCs w:val="24"/>
          <w:lang w:val="ro-RO"/>
        </w:rPr>
        <w:t>și</w:t>
      </w:r>
      <w:r w:rsidRPr="00F55BA6">
        <w:rPr>
          <w:rFonts w:asciiTheme="majorHAnsi" w:hAnsiTheme="majorHAnsi" w:cstheme="majorHAnsi"/>
          <w:sz w:val="24"/>
          <w:szCs w:val="24"/>
          <w:lang w:val="ro-RO"/>
        </w:rPr>
        <w:t xml:space="preserve"> 66,7% față de volumul alocațiilor aprobate inițial. La proiectul</w:t>
      </w:r>
      <w:r w:rsidRPr="00F55BA6">
        <w:rPr>
          <w:rStyle w:val="ac"/>
          <w:rFonts w:asciiTheme="majorHAnsi" w:hAnsiTheme="majorHAnsi" w:cstheme="majorHAnsi"/>
          <w:sz w:val="24"/>
          <w:szCs w:val="24"/>
          <w:lang w:val="ro-RO"/>
        </w:rPr>
        <w:footnoteReference w:id="49"/>
      </w:r>
      <w:r w:rsidRPr="00F55BA6">
        <w:rPr>
          <w:rFonts w:asciiTheme="majorHAnsi" w:hAnsiTheme="majorHAnsi" w:cstheme="majorHAnsi"/>
          <w:sz w:val="24"/>
          <w:szCs w:val="24"/>
          <w:lang w:val="ro-RO"/>
        </w:rPr>
        <w:t xml:space="preserve"> cu cel mai mic nivel de executare (1,2%), lansat în anul 2016 (surse interne), motivând nerespectarea clauzelor contractuale de către agentul economic</w:t>
      </w:r>
      <w:r w:rsidR="00FC4D0D">
        <w:rPr>
          <w:rFonts w:asciiTheme="majorHAnsi" w:hAnsiTheme="majorHAnsi" w:cstheme="majorHAnsi"/>
          <w:sz w:val="24"/>
          <w:szCs w:val="24"/>
          <w:lang w:val="ro-RO"/>
        </w:rPr>
        <w:t>,</w:t>
      </w:r>
      <w:r w:rsidRPr="00F55BA6">
        <w:rPr>
          <w:rFonts w:asciiTheme="majorHAnsi" w:hAnsiTheme="majorHAnsi" w:cstheme="majorHAnsi"/>
          <w:sz w:val="24"/>
          <w:szCs w:val="24"/>
          <w:lang w:val="ro-RO"/>
        </w:rPr>
        <w:t xml:space="preserve"> </w:t>
      </w:r>
      <w:r w:rsidR="002E7DA2" w:rsidRPr="00F55BA6">
        <w:rPr>
          <w:rFonts w:asciiTheme="majorHAnsi" w:hAnsiTheme="majorHAnsi" w:cstheme="majorHAnsi"/>
          <w:sz w:val="24"/>
          <w:szCs w:val="24"/>
          <w:lang w:val="ro-RO"/>
        </w:rPr>
        <w:t xml:space="preserve">contractul </w:t>
      </w:r>
      <w:r w:rsidR="00FC4D0D">
        <w:rPr>
          <w:rFonts w:asciiTheme="majorHAnsi" w:hAnsiTheme="majorHAnsi" w:cstheme="majorHAnsi"/>
          <w:sz w:val="24"/>
          <w:szCs w:val="24"/>
          <w:lang w:val="ro-RO"/>
        </w:rPr>
        <w:t>a fost</w:t>
      </w:r>
      <w:r w:rsidRPr="00F55BA6">
        <w:rPr>
          <w:rFonts w:asciiTheme="majorHAnsi" w:hAnsiTheme="majorHAnsi" w:cstheme="majorHAnsi"/>
          <w:sz w:val="24"/>
          <w:szCs w:val="24"/>
          <w:lang w:val="ro-RO"/>
        </w:rPr>
        <w:t xml:space="preserve"> reziliat, urmând a fi inițiată procedura de achiziție publică.</w:t>
      </w:r>
    </w:p>
    <w:p w:rsidR="00AC6703" w:rsidRPr="00F55BA6" w:rsidRDefault="00AC6703" w:rsidP="00AC6703">
      <w:pPr>
        <w:spacing w:after="0" w:line="276" w:lineRule="auto"/>
        <w:ind w:right="49"/>
        <w:rPr>
          <w:rFonts w:asciiTheme="majorHAnsi" w:hAnsiTheme="majorHAnsi" w:cstheme="majorHAnsi"/>
          <w:sz w:val="24"/>
          <w:szCs w:val="24"/>
          <w:lang w:val="ro-RO"/>
        </w:rPr>
      </w:pPr>
      <w:r w:rsidRPr="00F55BA6">
        <w:rPr>
          <w:rFonts w:asciiTheme="majorHAnsi" w:hAnsiTheme="majorHAnsi" w:cstheme="majorHAnsi"/>
          <w:sz w:val="24"/>
          <w:szCs w:val="24"/>
          <w:lang w:val="ro-RO"/>
        </w:rPr>
        <w:t xml:space="preserve">Totodată, la </w:t>
      </w:r>
      <w:r w:rsidR="004A5EAC" w:rsidRPr="00F55BA6">
        <w:rPr>
          <w:rFonts w:asciiTheme="majorHAnsi" w:hAnsiTheme="majorHAnsi" w:cstheme="majorHAnsi"/>
          <w:sz w:val="24"/>
          <w:szCs w:val="24"/>
          <w:lang w:val="ro-RO"/>
        </w:rPr>
        <w:t>„C</w:t>
      </w:r>
      <w:r w:rsidRPr="00F55BA6">
        <w:rPr>
          <w:rFonts w:asciiTheme="majorHAnsi" w:hAnsiTheme="majorHAnsi" w:cstheme="majorHAnsi"/>
          <w:sz w:val="24"/>
          <w:szCs w:val="24"/>
          <w:lang w:val="ro-RO"/>
        </w:rPr>
        <w:t>onstrucția complexului Ambasadei RM în Republica Belarus, or. Minsk” au fost executate cheltuieli la nivel de 16,7%</w:t>
      </w:r>
      <w:r w:rsidR="004A5EAC" w:rsidRPr="00F55BA6">
        <w:rPr>
          <w:rFonts w:asciiTheme="majorHAnsi" w:hAnsiTheme="majorHAnsi" w:cstheme="majorHAnsi"/>
          <w:sz w:val="24"/>
          <w:szCs w:val="24"/>
          <w:lang w:val="ro-RO"/>
        </w:rPr>
        <w:t>,</w:t>
      </w:r>
      <w:r w:rsidRPr="00F55BA6">
        <w:rPr>
          <w:rFonts w:asciiTheme="majorHAnsi" w:hAnsiTheme="majorHAnsi" w:cstheme="majorHAnsi"/>
          <w:sz w:val="24"/>
          <w:szCs w:val="24"/>
          <w:lang w:val="ro-RO"/>
        </w:rPr>
        <w:t xml:space="preserve"> deoarece documentația de proiect și deviz elaborată din anul 2014 este învechită și nu corespunde legislației Republicii Belarus, fiind ajustată în anul 2020</w:t>
      </w:r>
      <w:r w:rsidR="004A5EAC" w:rsidRPr="00F55BA6">
        <w:rPr>
          <w:rFonts w:asciiTheme="majorHAnsi" w:hAnsiTheme="majorHAnsi" w:cstheme="majorHAnsi"/>
          <w:sz w:val="24"/>
          <w:szCs w:val="24"/>
          <w:lang w:val="ro-RO"/>
        </w:rPr>
        <w:t>,</w:t>
      </w:r>
      <w:r w:rsidRPr="00F55BA6">
        <w:rPr>
          <w:rFonts w:asciiTheme="majorHAnsi" w:hAnsiTheme="majorHAnsi" w:cstheme="majorHAnsi"/>
          <w:sz w:val="24"/>
          <w:szCs w:val="24"/>
          <w:lang w:val="ro-RO"/>
        </w:rPr>
        <w:t xml:space="preserve"> iar lucrările nu au fost demarate</w:t>
      </w:r>
      <w:r w:rsidR="004A5EAC" w:rsidRPr="00F55BA6">
        <w:rPr>
          <w:rFonts w:asciiTheme="majorHAnsi" w:hAnsiTheme="majorHAnsi" w:cstheme="majorHAnsi"/>
          <w:sz w:val="24"/>
          <w:szCs w:val="24"/>
          <w:lang w:val="ro-RO"/>
        </w:rPr>
        <w:t>;</w:t>
      </w:r>
    </w:p>
    <w:p w:rsidR="00AC6703" w:rsidRPr="00F55BA6" w:rsidRDefault="00AC6703" w:rsidP="00AC6703">
      <w:pPr>
        <w:pStyle w:val="af0"/>
        <w:numPr>
          <w:ilvl w:val="0"/>
          <w:numId w:val="7"/>
        </w:numPr>
        <w:tabs>
          <w:tab w:val="left" w:pos="142"/>
        </w:tabs>
        <w:spacing w:after="0" w:line="276" w:lineRule="auto"/>
        <w:ind w:left="0" w:right="49" w:firstLine="0"/>
        <w:rPr>
          <w:rFonts w:asciiTheme="majorHAnsi" w:hAnsiTheme="majorHAnsi" w:cstheme="majorHAnsi"/>
          <w:sz w:val="24"/>
          <w:szCs w:val="24"/>
          <w:lang w:val="ro-RO"/>
        </w:rPr>
      </w:pPr>
      <w:r w:rsidRPr="00F55BA6">
        <w:rPr>
          <w:rFonts w:asciiTheme="majorHAnsi" w:hAnsiTheme="majorHAnsi" w:cstheme="majorHAnsi"/>
          <w:sz w:val="24"/>
          <w:szCs w:val="24"/>
          <w:lang w:val="ro-RO"/>
        </w:rPr>
        <w:t xml:space="preserve">la 17 proiecte au fost executate cheltuieli între 50,4% </w:t>
      </w:r>
      <w:r w:rsidR="004A5EAC" w:rsidRPr="00F55BA6">
        <w:rPr>
          <w:rFonts w:asciiTheme="majorHAnsi" w:hAnsiTheme="majorHAnsi" w:cstheme="majorHAnsi"/>
          <w:sz w:val="24"/>
          <w:szCs w:val="24"/>
          <w:lang w:val="ro-RO"/>
        </w:rPr>
        <w:t>și</w:t>
      </w:r>
      <w:r w:rsidRPr="00F55BA6">
        <w:rPr>
          <w:rFonts w:asciiTheme="majorHAnsi" w:hAnsiTheme="majorHAnsi" w:cstheme="majorHAnsi"/>
          <w:sz w:val="24"/>
          <w:szCs w:val="24"/>
          <w:lang w:val="ro-RO"/>
        </w:rPr>
        <w:t xml:space="preserve"> 88,7% față de volumul alocațiilor precizate și </w:t>
      </w:r>
      <w:r w:rsidR="004A5EAC" w:rsidRPr="00F55BA6">
        <w:rPr>
          <w:rFonts w:asciiTheme="majorHAnsi" w:hAnsiTheme="majorHAnsi" w:cstheme="majorHAnsi"/>
          <w:sz w:val="24"/>
          <w:szCs w:val="24"/>
          <w:lang w:val="ro-RO"/>
        </w:rPr>
        <w:t xml:space="preserve">între </w:t>
      </w:r>
      <w:r w:rsidRPr="00F55BA6">
        <w:rPr>
          <w:rFonts w:asciiTheme="majorHAnsi" w:hAnsiTheme="majorHAnsi" w:cstheme="majorHAnsi"/>
          <w:sz w:val="24"/>
          <w:szCs w:val="24"/>
          <w:lang w:val="ro-RO"/>
        </w:rPr>
        <w:t>24,0%</w:t>
      </w:r>
      <w:r w:rsidR="004A5EAC" w:rsidRPr="00F55BA6">
        <w:rPr>
          <w:rFonts w:asciiTheme="majorHAnsi" w:hAnsiTheme="majorHAnsi" w:cstheme="majorHAnsi"/>
          <w:sz w:val="24"/>
          <w:szCs w:val="24"/>
          <w:lang w:val="ro-RO"/>
        </w:rPr>
        <w:t xml:space="preserve"> și</w:t>
      </w:r>
      <w:r w:rsidRPr="00F55BA6">
        <w:rPr>
          <w:rFonts w:asciiTheme="majorHAnsi" w:hAnsiTheme="majorHAnsi" w:cstheme="majorHAnsi"/>
          <w:sz w:val="24"/>
          <w:szCs w:val="24"/>
          <w:lang w:val="ro-RO"/>
        </w:rPr>
        <w:t xml:space="preserve"> 129,7% față de volumul alocațiilor aprobate inițial. La proiectul</w:t>
      </w:r>
      <w:r w:rsidRPr="00F55BA6">
        <w:rPr>
          <w:rStyle w:val="ac"/>
          <w:rFonts w:asciiTheme="majorHAnsi" w:hAnsiTheme="majorHAnsi" w:cstheme="majorHAnsi"/>
          <w:sz w:val="24"/>
          <w:szCs w:val="24"/>
          <w:lang w:val="ro-RO"/>
        </w:rPr>
        <w:footnoteReference w:id="50"/>
      </w:r>
      <w:r w:rsidRPr="00F55BA6">
        <w:rPr>
          <w:rFonts w:asciiTheme="majorHAnsi" w:hAnsiTheme="majorHAnsi" w:cstheme="majorHAnsi"/>
          <w:sz w:val="24"/>
          <w:szCs w:val="24"/>
          <w:lang w:val="ro-RO"/>
        </w:rPr>
        <w:t xml:space="preserve"> cu cel mai mic nivel de executare (50,4%), veniturile din grant nu au fost executate integral din cauza tergiversării executării lucrărilor de construcții de către antreprenor, nerespectând graficul de executare. Totodată, la </w:t>
      </w:r>
      <w:r w:rsidR="004A5EAC" w:rsidRPr="00F55BA6">
        <w:rPr>
          <w:rFonts w:asciiTheme="majorHAnsi" w:hAnsiTheme="majorHAnsi" w:cstheme="majorHAnsi"/>
          <w:sz w:val="24"/>
          <w:szCs w:val="24"/>
          <w:lang w:val="ro-RO"/>
        </w:rPr>
        <w:t>„M</w:t>
      </w:r>
      <w:r w:rsidRPr="00F55BA6">
        <w:rPr>
          <w:rFonts w:asciiTheme="majorHAnsi" w:hAnsiTheme="majorHAnsi" w:cstheme="majorHAnsi"/>
          <w:sz w:val="24"/>
          <w:szCs w:val="24"/>
          <w:lang w:val="ro-RO"/>
        </w:rPr>
        <w:t>odernizarea infrastructurii Postului vamal Giurgiulești” au fost executate cheltuieli la nivel de 53,7%</w:t>
      </w:r>
      <w:r w:rsidR="004A5EAC" w:rsidRPr="00F55BA6">
        <w:rPr>
          <w:rFonts w:asciiTheme="majorHAnsi" w:hAnsiTheme="majorHAnsi" w:cstheme="majorHAnsi"/>
          <w:sz w:val="24"/>
          <w:szCs w:val="24"/>
          <w:lang w:val="ro-RO"/>
        </w:rPr>
        <w:t>,</w:t>
      </w:r>
      <w:r w:rsidRPr="00F55BA6">
        <w:rPr>
          <w:rFonts w:asciiTheme="majorHAnsi" w:hAnsiTheme="majorHAnsi" w:cstheme="majorHAnsi"/>
          <w:sz w:val="24"/>
          <w:szCs w:val="24"/>
          <w:lang w:val="ro-RO"/>
        </w:rPr>
        <w:t xml:space="preserve"> din cauza tergiversării ajustării documentației tehnice</w:t>
      </w:r>
      <w:r w:rsidR="004A5EAC" w:rsidRPr="00F55BA6">
        <w:rPr>
          <w:rFonts w:asciiTheme="majorHAnsi" w:hAnsiTheme="majorHAnsi" w:cstheme="majorHAnsi"/>
          <w:sz w:val="24"/>
          <w:szCs w:val="24"/>
          <w:lang w:val="ro-RO"/>
        </w:rPr>
        <w:t>;</w:t>
      </w:r>
    </w:p>
    <w:p w:rsidR="00AC6703" w:rsidRPr="00F55BA6" w:rsidRDefault="00AC6703" w:rsidP="00AC6703">
      <w:pPr>
        <w:pStyle w:val="af0"/>
        <w:numPr>
          <w:ilvl w:val="0"/>
          <w:numId w:val="7"/>
        </w:numPr>
        <w:tabs>
          <w:tab w:val="left" w:pos="142"/>
        </w:tabs>
        <w:spacing w:after="0" w:line="276" w:lineRule="auto"/>
        <w:ind w:left="0" w:right="49" w:firstLine="0"/>
        <w:rPr>
          <w:rFonts w:asciiTheme="majorHAnsi" w:hAnsiTheme="majorHAnsi" w:cstheme="majorHAnsi"/>
          <w:sz w:val="24"/>
          <w:szCs w:val="24"/>
          <w:lang w:val="ro-RO"/>
        </w:rPr>
      </w:pPr>
      <w:r w:rsidRPr="00F55BA6">
        <w:rPr>
          <w:rFonts w:asciiTheme="majorHAnsi" w:hAnsiTheme="majorHAnsi" w:cstheme="majorHAnsi"/>
          <w:sz w:val="24"/>
          <w:szCs w:val="24"/>
          <w:lang w:val="ro-RO"/>
        </w:rPr>
        <w:t xml:space="preserve">la 38 </w:t>
      </w:r>
      <w:r w:rsidR="004A5EAC" w:rsidRPr="00F55BA6">
        <w:rPr>
          <w:rFonts w:asciiTheme="majorHAnsi" w:hAnsiTheme="majorHAnsi" w:cstheme="majorHAnsi"/>
          <w:sz w:val="24"/>
          <w:szCs w:val="24"/>
          <w:lang w:val="ro-RO"/>
        </w:rPr>
        <w:t xml:space="preserve">de </w:t>
      </w:r>
      <w:r w:rsidRPr="00F55BA6">
        <w:rPr>
          <w:rFonts w:asciiTheme="majorHAnsi" w:hAnsiTheme="majorHAnsi" w:cstheme="majorHAnsi"/>
          <w:sz w:val="24"/>
          <w:szCs w:val="24"/>
          <w:lang w:val="ro-RO"/>
        </w:rPr>
        <w:t xml:space="preserve">proiecte au fost executate cheltuieli între 91,6% </w:t>
      </w:r>
      <w:r w:rsidR="00EF450C" w:rsidRPr="00F55BA6">
        <w:rPr>
          <w:rFonts w:asciiTheme="majorHAnsi" w:hAnsiTheme="majorHAnsi" w:cstheme="majorHAnsi"/>
          <w:sz w:val="24"/>
          <w:szCs w:val="24"/>
          <w:lang w:val="ro-RO"/>
        </w:rPr>
        <w:t>și</w:t>
      </w:r>
      <w:r w:rsidRPr="00F55BA6">
        <w:rPr>
          <w:rFonts w:asciiTheme="majorHAnsi" w:hAnsiTheme="majorHAnsi" w:cstheme="majorHAnsi"/>
          <w:sz w:val="24"/>
          <w:szCs w:val="24"/>
          <w:lang w:val="ro-RO"/>
        </w:rPr>
        <w:t xml:space="preserve"> 100,0% față de volumul alocațiilor precizate și </w:t>
      </w:r>
      <w:r w:rsidR="00EF450C" w:rsidRPr="00F55BA6">
        <w:rPr>
          <w:rFonts w:asciiTheme="majorHAnsi" w:hAnsiTheme="majorHAnsi" w:cstheme="majorHAnsi"/>
          <w:sz w:val="24"/>
          <w:szCs w:val="24"/>
          <w:lang w:val="ro-RO"/>
        </w:rPr>
        <w:t xml:space="preserve">între </w:t>
      </w:r>
      <w:r w:rsidRPr="00F55BA6">
        <w:rPr>
          <w:rFonts w:asciiTheme="majorHAnsi" w:hAnsiTheme="majorHAnsi" w:cstheme="majorHAnsi"/>
          <w:sz w:val="24"/>
          <w:szCs w:val="24"/>
          <w:lang w:val="ro-RO"/>
        </w:rPr>
        <w:t xml:space="preserve">0,1% </w:t>
      </w:r>
      <w:r w:rsidR="00EF450C" w:rsidRPr="00F55BA6">
        <w:rPr>
          <w:rFonts w:asciiTheme="majorHAnsi" w:hAnsiTheme="majorHAnsi" w:cstheme="majorHAnsi"/>
          <w:sz w:val="24"/>
          <w:szCs w:val="24"/>
          <w:lang w:val="ro-RO"/>
        </w:rPr>
        <w:t>și</w:t>
      </w:r>
      <w:r w:rsidRPr="00F55BA6">
        <w:rPr>
          <w:rFonts w:asciiTheme="majorHAnsi" w:hAnsiTheme="majorHAnsi" w:cstheme="majorHAnsi"/>
          <w:sz w:val="24"/>
          <w:szCs w:val="24"/>
          <w:lang w:val="ro-RO"/>
        </w:rPr>
        <w:t xml:space="preserve"> 213,4% față de volumul alocațiilor aprobate inițial. Proiectul</w:t>
      </w:r>
      <w:r w:rsidRPr="00F55BA6">
        <w:rPr>
          <w:rStyle w:val="ac"/>
          <w:rFonts w:asciiTheme="majorHAnsi" w:hAnsiTheme="majorHAnsi" w:cstheme="majorHAnsi"/>
          <w:sz w:val="24"/>
          <w:szCs w:val="24"/>
          <w:lang w:val="ro-RO"/>
        </w:rPr>
        <w:footnoteReference w:id="51"/>
      </w:r>
      <w:r w:rsidRPr="00F55BA6">
        <w:rPr>
          <w:rFonts w:asciiTheme="majorHAnsi" w:hAnsiTheme="majorHAnsi" w:cstheme="majorHAnsi"/>
          <w:sz w:val="24"/>
          <w:szCs w:val="24"/>
          <w:lang w:val="ro-RO"/>
        </w:rPr>
        <w:t xml:space="preserve"> cu cel mai mic nivel de executare</w:t>
      </w:r>
      <w:r w:rsidR="00AB1727" w:rsidRPr="00F55BA6">
        <w:rPr>
          <w:rFonts w:asciiTheme="majorHAnsi" w:hAnsiTheme="majorHAnsi" w:cstheme="majorHAnsi"/>
          <w:sz w:val="24"/>
          <w:szCs w:val="24"/>
          <w:lang w:val="ro-RO"/>
        </w:rPr>
        <w:t>,</w:t>
      </w:r>
      <w:r w:rsidRPr="00F55BA6">
        <w:rPr>
          <w:rFonts w:asciiTheme="majorHAnsi" w:hAnsiTheme="majorHAnsi" w:cstheme="majorHAnsi"/>
          <w:sz w:val="24"/>
          <w:szCs w:val="24"/>
          <w:lang w:val="ro-RO"/>
        </w:rPr>
        <w:t xml:space="preserve"> față de volumul alocațiilor aprobate inițial (0,1%), a fost lansat în anul 2012</w:t>
      </w:r>
      <w:r w:rsidR="00AB1727" w:rsidRPr="00F55BA6">
        <w:rPr>
          <w:rFonts w:asciiTheme="majorHAnsi" w:hAnsiTheme="majorHAnsi" w:cstheme="majorHAnsi"/>
          <w:sz w:val="24"/>
          <w:szCs w:val="24"/>
          <w:lang w:val="ro-RO"/>
        </w:rPr>
        <w:t>,</w:t>
      </w:r>
      <w:r w:rsidRPr="00F55BA6">
        <w:rPr>
          <w:rFonts w:asciiTheme="majorHAnsi" w:hAnsiTheme="majorHAnsi" w:cstheme="majorHAnsi"/>
          <w:sz w:val="24"/>
          <w:szCs w:val="24"/>
          <w:lang w:val="ro-RO"/>
        </w:rPr>
        <w:t xml:space="preserve"> </w:t>
      </w:r>
      <w:r w:rsidR="00AB1727" w:rsidRPr="00F55BA6">
        <w:rPr>
          <w:rFonts w:asciiTheme="majorHAnsi" w:hAnsiTheme="majorHAnsi" w:cstheme="majorHAnsi"/>
          <w:sz w:val="24"/>
          <w:szCs w:val="24"/>
          <w:lang w:val="ro-RO"/>
        </w:rPr>
        <w:t>iar</w:t>
      </w:r>
      <w:r w:rsidRPr="00F55BA6">
        <w:rPr>
          <w:rFonts w:asciiTheme="majorHAnsi" w:hAnsiTheme="majorHAnsi" w:cstheme="majorHAnsi"/>
          <w:sz w:val="24"/>
          <w:szCs w:val="24"/>
          <w:lang w:val="ro-RO"/>
        </w:rPr>
        <w:t xml:space="preserve"> în anul 2020 a fost finalizată elaborarea documentației de proiect și deviz. Totodată, la proiectul</w:t>
      </w:r>
      <w:r w:rsidRPr="00F55BA6">
        <w:rPr>
          <w:rStyle w:val="ac"/>
          <w:rFonts w:asciiTheme="majorHAnsi" w:hAnsiTheme="majorHAnsi" w:cstheme="majorHAnsi"/>
          <w:sz w:val="24"/>
          <w:szCs w:val="24"/>
          <w:lang w:val="ro-RO"/>
        </w:rPr>
        <w:footnoteReference w:id="52"/>
      </w:r>
      <w:r w:rsidRPr="00F55BA6">
        <w:rPr>
          <w:rFonts w:asciiTheme="majorHAnsi" w:hAnsiTheme="majorHAnsi" w:cstheme="majorHAnsi"/>
          <w:sz w:val="24"/>
          <w:szCs w:val="24"/>
          <w:lang w:val="ro-RO"/>
        </w:rPr>
        <w:t xml:space="preserve"> cu nivelul de executare a alocațiilor aprobate de 1,2% s-au micșorat alocațiile la rectificarea Legii BS pentru anul 2020 deoarece s-a decis reproiectarea Postului vamal Sculeni</w:t>
      </w:r>
      <w:r w:rsidR="003B6EA8" w:rsidRPr="00F55BA6">
        <w:rPr>
          <w:rFonts w:asciiTheme="majorHAnsi" w:hAnsiTheme="majorHAnsi" w:cstheme="majorHAnsi"/>
          <w:sz w:val="24"/>
          <w:szCs w:val="24"/>
          <w:lang w:val="ro-RO"/>
        </w:rPr>
        <w:t>;</w:t>
      </w:r>
    </w:p>
    <w:p w:rsidR="00AC6703" w:rsidRPr="00F55BA6" w:rsidRDefault="00AC6703" w:rsidP="00AC6703">
      <w:pPr>
        <w:pStyle w:val="af0"/>
        <w:numPr>
          <w:ilvl w:val="0"/>
          <w:numId w:val="7"/>
        </w:numPr>
        <w:tabs>
          <w:tab w:val="left" w:pos="142"/>
        </w:tabs>
        <w:spacing w:after="0" w:line="276" w:lineRule="auto"/>
        <w:ind w:left="0" w:right="49" w:firstLine="0"/>
        <w:rPr>
          <w:rFonts w:asciiTheme="majorHAnsi" w:hAnsiTheme="majorHAnsi" w:cstheme="majorHAnsi"/>
          <w:sz w:val="24"/>
          <w:szCs w:val="24"/>
          <w:lang w:val="ro-RO"/>
        </w:rPr>
      </w:pPr>
      <w:r w:rsidRPr="00F55BA6">
        <w:rPr>
          <w:rFonts w:asciiTheme="majorHAnsi" w:hAnsiTheme="majorHAnsi" w:cstheme="majorHAnsi"/>
          <w:sz w:val="24"/>
          <w:szCs w:val="24"/>
          <w:lang w:val="ro-RO"/>
        </w:rPr>
        <w:lastRenderedPageBreak/>
        <w:t>pentru un proiect investițional</w:t>
      </w:r>
      <w:r w:rsidRPr="00F55BA6">
        <w:rPr>
          <w:rFonts w:asciiTheme="majorHAnsi" w:hAnsiTheme="majorHAnsi" w:cstheme="majorHAnsi"/>
          <w:sz w:val="24"/>
          <w:szCs w:val="24"/>
          <w:vertAlign w:val="superscript"/>
          <w:lang w:val="ro-RO"/>
        </w:rPr>
        <w:footnoteReference w:id="53"/>
      </w:r>
      <w:r w:rsidRPr="00F55BA6">
        <w:rPr>
          <w:rFonts w:asciiTheme="majorHAnsi" w:hAnsiTheme="majorHAnsi" w:cstheme="majorHAnsi"/>
          <w:sz w:val="24"/>
          <w:szCs w:val="24"/>
          <w:lang w:val="ro-RO"/>
        </w:rPr>
        <w:t xml:space="preserve"> lansat în anul 2009, contrar prevederilor legale</w:t>
      </w:r>
      <w:r w:rsidRPr="00F55BA6">
        <w:rPr>
          <w:rFonts w:asciiTheme="majorHAnsi" w:hAnsiTheme="majorHAnsi" w:cstheme="majorHAnsi"/>
          <w:sz w:val="24"/>
          <w:szCs w:val="24"/>
          <w:vertAlign w:val="superscript"/>
          <w:lang w:val="ro-RO"/>
        </w:rPr>
        <w:footnoteReference w:id="54"/>
      </w:r>
      <w:r w:rsidR="003B6EA8" w:rsidRPr="00F55BA6">
        <w:rPr>
          <w:rFonts w:asciiTheme="majorHAnsi" w:hAnsiTheme="majorHAnsi" w:cstheme="majorHAnsi"/>
          <w:sz w:val="24"/>
          <w:szCs w:val="24"/>
          <w:lang w:val="ro-RO"/>
        </w:rPr>
        <w:t>,</w:t>
      </w:r>
      <w:r w:rsidRPr="00F55BA6">
        <w:rPr>
          <w:rFonts w:asciiTheme="majorHAnsi" w:hAnsiTheme="majorHAnsi" w:cstheme="majorHAnsi"/>
          <w:sz w:val="24"/>
          <w:szCs w:val="24"/>
          <w:lang w:val="ro-RO"/>
        </w:rPr>
        <w:t xml:space="preserve"> a fost depășită limita alocațiilor bugetare aprobate pentru anul 2020 (834,3 mil. lei). MEI a admis executarea mijloacelor în sumă de 910,4 mil. lei</w:t>
      </w:r>
      <w:r w:rsidR="003B6EA8" w:rsidRPr="00F55BA6">
        <w:rPr>
          <w:rFonts w:asciiTheme="majorHAnsi" w:hAnsiTheme="majorHAnsi" w:cstheme="majorHAnsi"/>
          <w:sz w:val="24"/>
          <w:szCs w:val="24"/>
          <w:lang w:val="ro-RO"/>
        </w:rPr>
        <w:t>,</w:t>
      </w:r>
      <w:r w:rsidRPr="00F55BA6">
        <w:rPr>
          <w:rFonts w:asciiTheme="majorHAnsi" w:hAnsiTheme="majorHAnsi" w:cstheme="majorHAnsi"/>
          <w:sz w:val="24"/>
          <w:szCs w:val="24"/>
          <w:lang w:val="ro-RO"/>
        </w:rPr>
        <w:t xml:space="preserve"> sau cu 76,1 mil. lei mai mult în lipsa alocațiilor, deoarece la data de 29 decembrie 2020 BERD a confirmat efectuarea plăților pentru o parte din plăți</w:t>
      </w:r>
      <w:r w:rsidR="00557168" w:rsidRPr="00F55BA6">
        <w:rPr>
          <w:rFonts w:asciiTheme="majorHAnsi" w:hAnsiTheme="majorHAnsi" w:cstheme="majorHAnsi"/>
          <w:sz w:val="24"/>
          <w:szCs w:val="24"/>
          <w:lang w:val="ro-RO"/>
        </w:rPr>
        <w:t>le</w:t>
      </w:r>
      <w:r w:rsidRPr="00F55BA6">
        <w:rPr>
          <w:rFonts w:asciiTheme="majorHAnsi" w:hAnsiTheme="majorHAnsi" w:cstheme="majorHAnsi"/>
          <w:sz w:val="24"/>
          <w:szCs w:val="24"/>
          <w:lang w:val="ro-RO"/>
        </w:rPr>
        <w:t xml:space="preserve"> directe depuse. </w:t>
      </w:r>
      <w:r w:rsidRPr="00F55BA6">
        <w:rPr>
          <w:rFonts w:asciiTheme="majorHAnsi" w:hAnsiTheme="majorHAnsi" w:cstheme="majorHAnsi"/>
          <w:i/>
          <w:sz w:val="24"/>
          <w:szCs w:val="24"/>
          <w:lang w:val="ro-RO"/>
        </w:rPr>
        <w:t>Analiza nivelului de executare a investițiilor capitale pe proiecte în anul</w:t>
      </w:r>
      <w:r w:rsidR="007E3AC5" w:rsidRPr="00F55BA6">
        <w:rPr>
          <w:rFonts w:asciiTheme="majorHAnsi" w:hAnsiTheme="majorHAnsi" w:cstheme="majorHAnsi"/>
          <w:i/>
          <w:sz w:val="24"/>
          <w:szCs w:val="24"/>
          <w:lang w:val="ro-RO"/>
        </w:rPr>
        <w:t xml:space="preserve"> 2020 se prezintă în Anexa nr.7</w:t>
      </w:r>
      <w:r w:rsidRPr="00F55BA6">
        <w:rPr>
          <w:rFonts w:asciiTheme="majorHAnsi" w:hAnsiTheme="majorHAnsi" w:cstheme="majorHAnsi"/>
          <w:i/>
          <w:sz w:val="24"/>
          <w:szCs w:val="24"/>
          <w:lang w:val="ro-RO"/>
        </w:rPr>
        <w:t xml:space="preserve"> la prezentul Raport de audit.</w:t>
      </w:r>
    </w:p>
    <w:p w:rsidR="00557168" w:rsidRPr="00F55BA6" w:rsidRDefault="00AC6703" w:rsidP="00AC6703">
      <w:pPr>
        <w:pStyle w:val="af0"/>
        <w:tabs>
          <w:tab w:val="left" w:pos="142"/>
        </w:tabs>
        <w:spacing w:after="0" w:line="276" w:lineRule="auto"/>
        <w:ind w:left="0" w:right="49"/>
        <w:rPr>
          <w:rFonts w:asciiTheme="majorHAnsi" w:hAnsiTheme="majorHAnsi" w:cstheme="majorHAnsi"/>
          <w:i/>
          <w:sz w:val="24"/>
          <w:szCs w:val="24"/>
          <w:lang w:val="ro-RO"/>
        </w:rPr>
      </w:pPr>
      <w:r w:rsidRPr="00F55BA6">
        <w:rPr>
          <w:rFonts w:asciiTheme="majorHAnsi" w:hAnsiTheme="majorHAnsi" w:cstheme="majorHAnsi"/>
          <w:sz w:val="24"/>
          <w:szCs w:val="24"/>
          <w:lang w:val="ro-RO"/>
        </w:rPr>
        <w:t>Examinările auditului asupra aspectelor de conformitate ale proiectelor de investiții capitale incluse în Legea BS pentru anul 2020 (85 proiecte de investiții)</w:t>
      </w:r>
      <w:r w:rsidR="00557168" w:rsidRPr="00F55BA6">
        <w:rPr>
          <w:rFonts w:asciiTheme="majorHAnsi" w:hAnsiTheme="majorHAnsi" w:cstheme="majorHAnsi"/>
          <w:sz w:val="24"/>
          <w:szCs w:val="24"/>
          <w:lang w:val="ro-RO"/>
        </w:rPr>
        <w:t xml:space="preserve"> relevă</w:t>
      </w:r>
      <w:r w:rsidRPr="00F55BA6">
        <w:rPr>
          <w:rFonts w:asciiTheme="majorHAnsi" w:hAnsiTheme="majorHAnsi" w:cstheme="majorHAnsi"/>
          <w:sz w:val="24"/>
          <w:szCs w:val="24"/>
          <w:lang w:val="ro-RO"/>
        </w:rPr>
        <w:t xml:space="preserve"> că la 27 de proiecte de investiții costurile totale estimate pentru anul 2020</w:t>
      </w:r>
      <w:r w:rsidR="00557168" w:rsidRPr="00F55BA6">
        <w:rPr>
          <w:rFonts w:asciiTheme="majorHAnsi" w:hAnsiTheme="majorHAnsi" w:cstheme="majorHAnsi"/>
          <w:sz w:val="24"/>
          <w:szCs w:val="24"/>
          <w:lang w:val="ro-RO"/>
        </w:rPr>
        <w:t>,</w:t>
      </w:r>
      <w:r w:rsidRPr="00F55BA6">
        <w:rPr>
          <w:rFonts w:asciiTheme="majorHAnsi" w:hAnsiTheme="majorHAnsi" w:cstheme="majorHAnsi"/>
          <w:sz w:val="24"/>
          <w:szCs w:val="24"/>
          <w:lang w:val="ro-RO"/>
        </w:rPr>
        <w:t xml:space="preserve"> față de costurile totale estimate inițial la data lansării proiectelor</w:t>
      </w:r>
      <w:r w:rsidR="00557168" w:rsidRPr="00F55BA6">
        <w:rPr>
          <w:rFonts w:asciiTheme="majorHAnsi" w:hAnsiTheme="majorHAnsi" w:cstheme="majorHAnsi"/>
          <w:sz w:val="24"/>
          <w:szCs w:val="24"/>
          <w:lang w:val="ro-RO"/>
        </w:rPr>
        <w:t>,</w:t>
      </w:r>
      <w:r w:rsidRPr="00F55BA6">
        <w:rPr>
          <w:rFonts w:asciiTheme="majorHAnsi" w:hAnsiTheme="majorHAnsi" w:cstheme="majorHAnsi"/>
          <w:sz w:val="24"/>
          <w:szCs w:val="24"/>
          <w:lang w:val="ro-RO"/>
        </w:rPr>
        <w:t xml:space="preserve"> evidențiază majorări între 16,1% și 293,1%</w:t>
      </w:r>
      <w:r w:rsidR="00557168" w:rsidRPr="00F55BA6">
        <w:rPr>
          <w:rFonts w:asciiTheme="majorHAnsi" w:hAnsiTheme="majorHAnsi" w:cstheme="majorHAnsi"/>
          <w:sz w:val="24"/>
          <w:szCs w:val="24"/>
          <w:lang w:val="ro-RO"/>
        </w:rPr>
        <w:t>,</w:t>
      </w:r>
      <w:r w:rsidRPr="00F55BA6">
        <w:rPr>
          <w:rFonts w:asciiTheme="majorHAnsi" w:hAnsiTheme="majorHAnsi" w:cstheme="majorHAnsi"/>
          <w:sz w:val="24"/>
          <w:szCs w:val="24"/>
          <w:lang w:val="ro-RO"/>
        </w:rPr>
        <w:t xml:space="preserve"> deși costurile totale estimate ale proiectelor se aprobă odată cu aprobarea finanțării acestora</w:t>
      </w:r>
      <w:r w:rsidRPr="00F55BA6">
        <w:rPr>
          <w:rFonts w:asciiTheme="majorHAnsi" w:hAnsiTheme="majorHAnsi" w:cstheme="majorHAnsi"/>
          <w:sz w:val="24"/>
          <w:szCs w:val="24"/>
          <w:vertAlign w:val="superscript"/>
          <w:lang w:val="ro-RO"/>
        </w:rPr>
        <w:footnoteReference w:id="55"/>
      </w:r>
      <w:r w:rsidRPr="00F55BA6">
        <w:rPr>
          <w:rFonts w:asciiTheme="majorHAnsi" w:hAnsiTheme="majorHAnsi" w:cstheme="majorHAnsi"/>
          <w:sz w:val="24"/>
          <w:szCs w:val="24"/>
          <w:lang w:val="ro-RO"/>
        </w:rPr>
        <w:t xml:space="preserve"> și pot fi modificate</w:t>
      </w:r>
      <w:r w:rsidRPr="00F55BA6">
        <w:rPr>
          <w:rFonts w:asciiTheme="majorHAnsi" w:hAnsiTheme="majorHAnsi" w:cstheme="majorHAnsi"/>
          <w:sz w:val="24"/>
          <w:szCs w:val="24"/>
          <w:vertAlign w:val="superscript"/>
          <w:lang w:val="ro-RO"/>
        </w:rPr>
        <w:footnoteReference w:id="56"/>
      </w:r>
      <w:r w:rsidRPr="00F55BA6">
        <w:rPr>
          <w:rFonts w:asciiTheme="majorHAnsi" w:hAnsiTheme="majorHAnsi" w:cstheme="majorHAnsi"/>
          <w:sz w:val="24"/>
          <w:szCs w:val="24"/>
          <w:lang w:val="ro-RO"/>
        </w:rPr>
        <w:t xml:space="preserve"> </w:t>
      </w:r>
      <w:r w:rsidRPr="00F55BA6">
        <w:rPr>
          <w:rFonts w:asciiTheme="majorHAnsi" w:hAnsiTheme="majorHAnsi" w:cstheme="majorHAnsi"/>
          <w:i/>
          <w:sz w:val="24"/>
          <w:szCs w:val="24"/>
          <w:lang w:val="ro-RO"/>
        </w:rPr>
        <w:t>„de la an la an, datorită unor influențe inflaționiste sau altor factori, care nu au fost luați în considerare la etapa estimărilor inițiale”</w:t>
      </w:r>
      <w:r w:rsidR="00557168" w:rsidRPr="00F55BA6">
        <w:rPr>
          <w:rFonts w:asciiTheme="majorHAnsi" w:hAnsiTheme="majorHAnsi" w:cstheme="majorHAnsi"/>
          <w:i/>
          <w:sz w:val="24"/>
          <w:szCs w:val="24"/>
          <w:lang w:val="ro-RO"/>
        </w:rPr>
        <w:t>,</w:t>
      </w:r>
      <w:r w:rsidRPr="00F55BA6">
        <w:rPr>
          <w:rFonts w:asciiTheme="majorHAnsi" w:hAnsiTheme="majorHAnsi" w:cstheme="majorHAnsi"/>
          <w:i/>
          <w:sz w:val="24"/>
          <w:szCs w:val="24"/>
          <w:lang w:val="ro-RO"/>
        </w:rPr>
        <w:t xml:space="preserve"> </w:t>
      </w:r>
      <w:r w:rsidRPr="00F55BA6">
        <w:rPr>
          <w:rFonts w:asciiTheme="majorHAnsi" w:hAnsiTheme="majorHAnsi" w:cstheme="majorHAnsi"/>
          <w:sz w:val="24"/>
          <w:szCs w:val="24"/>
          <w:lang w:val="ro-RO"/>
        </w:rPr>
        <w:t>în limita a 15,0% din costul estimat inițial</w:t>
      </w:r>
      <w:r w:rsidRPr="00F55BA6">
        <w:rPr>
          <w:rFonts w:asciiTheme="majorHAnsi" w:hAnsiTheme="majorHAnsi" w:cstheme="majorHAnsi"/>
          <w:i/>
          <w:sz w:val="24"/>
          <w:szCs w:val="24"/>
          <w:lang w:val="ro-RO"/>
        </w:rPr>
        <w:t xml:space="preserve">. </w:t>
      </w:r>
    </w:p>
    <w:p w:rsidR="00AC6703" w:rsidRPr="00F55BA6" w:rsidRDefault="00AC6703" w:rsidP="00AC6703">
      <w:pPr>
        <w:pStyle w:val="af0"/>
        <w:tabs>
          <w:tab w:val="left" w:pos="142"/>
        </w:tabs>
        <w:spacing w:after="0" w:line="276" w:lineRule="auto"/>
        <w:ind w:left="0" w:right="49"/>
        <w:rPr>
          <w:rFonts w:asciiTheme="majorHAnsi" w:hAnsiTheme="majorHAnsi" w:cstheme="majorHAnsi"/>
          <w:i/>
          <w:sz w:val="24"/>
          <w:szCs w:val="24"/>
          <w:lang w:val="ro-RO"/>
        </w:rPr>
      </w:pPr>
      <w:r w:rsidRPr="00F55BA6">
        <w:rPr>
          <w:rFonts w:asciiTheme="majorHAnsi" w:hAnsiTheme="majorHAnsi" w:cstheme="majorHAnsi"/>
          <w:sz w:val="24"/>
          <w:szCs w:val="24"/>
          <w:lang w:val="ro-RO"/>
        </w:rPr>
        <w:t>Se menționează că, cea mai semnificativă majorare a costului total estimat inițial la data lansării se înregistrează la proiectul „Restaurarea edificiului Sălii cu Orgă”, lansat în anul 2008, de la 23,5 mil. lei până în anul 2020 constituind 92,2 mil. lei</w:t>
      </w:r>
      <w:r w:rsidR="00557168" w:rsidRPr="00F55BA6">
        <w:rPr>
          <w:rFonts w:asciiTheme="majorHAnsi" w:hAnsiTheme="majorHAnsi" w:cstheme="majorHAnsi"/>
          <w:sz w:val="24"/>
          <w:szCs w:val="24"/>
          <w:lang w:val="ro-RO"/>
        </w:rPr>
        <w:t>,</w:t>
      </w:r>
      <w:r w:rsidRPr="00F55BA6">
        <w:rPr>
          <w:rFonts w:asciiTheme="majorHAnsi" w:hAnsiTheme="majorHAnsi" w:cstheme="majorHAnsi"/>
          <w:sz w:val="24"/>
          <w:szCs w:val="24"/>
          <w:lang w:val="ro-RO"/>
        </w:rPr>
        <w:t xml:space="preserve"> sau cu o creștere de 68,7 mil. lei (293,1%). Din volumul alocațiilor aprobat inițial pentru anul 2020 de 2,0 mil. lei</w:t>
      </w:r>
      <w:r w:rsidR="00557168" w:rsidRPr="00F55BA6">
        <w:rPr>
          <w:rFonts w:asciiTheme="majorHAnsi" w:hAnsiTheme="majorHAnsi" w:cstheme="majorHAnsi"/>
          <w:sz w:val="24"/>
          <w:szCs w:val="24"/>
          <w:lang w:val="ro-RO"/>
        </w:rPr>
        <w:t>,</w:t>
      </w:r>
      <w:r w:rsidRPr="00F55BA6">
        <w:rPr>
          <w:rFonts w:asciiTheme="majorHAnsi" w:hAnsiTheme="majorHAnsi" w:cstheme="majorHAnsi"/>
          <w:sz w:val="24"/>
          <w:szCs w:val="24"/>
          <w:lang w:val="ro-RO"/>
        </w:rPr>
        <w:t xml:space="preserve"> au fost executate în sumă de 0,1 mil. lei, cauzele menționate de MF specifică nedemararea următoarei etape de restaurare și neîncheierea noilor contracte. Astfel, doar grupul de lucru poate decide reevaluarea sau încetarea proiectului dacă se atestă costul proiectului crescut cu peste 15% față de prețul estimat inițial, dar acesta nu este funcțional. </w:t>
      </w:r>
      <w:r w:rsidRPr="00F55BA6">
        <w:rPr>
          <w:rFonts w:asciiTheme="majorHAnsi" w:hAnsiTheme="majorHAnsi" w:cstheme="majorHAnsi"/>
          <w:i/>
          <w:sz w:val="24"/>
          <w:szCs w:val="24"/>
          <w:lang w:val="ro-RO"/>
        </w:rPr>
        <w:t xml:space="preserve">Sinteza proiectelor de investiții la care au fost majorate costurile totale estimate inițial cu peste </w:t>
      </w:r>
      <w:r w:rsidR="005955D3" w:rsidRPr="00F55BA6">
        <w:rPr>
          <w:rFonts w:asciiTheme="majorHAnsi" w:hAnsiTheme="majorHAnsi" w:cstheme="majorHAnsi"/>
          <w:i/>
          <w:sz w:val="24"/>
          <w:szCs w:val="24"/>
          <w:lang w:val="ro-RO"/>
        </w:rPr>
        <w:t xml:space="preserve">15,0% </w:t>
      </w:r>
      <w:r w:rsidR="007E3AC5" w:rsidRPr="00F55BA6">
        <w:rPr>
          <w:rFonts w:asciiTheme="majorHAnsi" w:hAnsiTheme="majorHAnsi" w:cstheme="majorHAnsi"/>
          <w:i/>
          <w:sz w:val="24"/>
          <w:szCs w:val="24"/>
          <w:lang w:val="ro-RO"/>
        </w:rPr>
        <w:t>se prezintă în Anexa nr.8</w:t>
      </w:r>
      <w:r w:rsidRPr="00F55BA6">
        <w:rPr>
          <w:rFonts w:asciiTheme="majorHAnsi" w:hAnsiTheme="majorHAnsi" w:cstheme="majorHAnsi"/>
          <w:i/>
          <w:sz w:val="24"/>
          <w:szCs w:val="24"/>
          <w:lang w:val="ro-RO"/>
        </w:rPr>
        <w:t xml:space="preserve"> la prezentul Raport de audit. </w:t>
      </w:r>
    </w:p>
    <w:p w:rsidR="00AC6703" w:rsidRPr="00F55BA6" w:rsidRDefault="00557168" w:rsidP="00AC6703">
      <w:pPr>
        <w:pStyle w:val="af0"/>
        <w:tabs>
          <w:tab w:val="left" w:pos="142"/>
        </w:tabs>
        <w:spacing w:after="0" w:line="276" w:lineRule="auto"/>
        <w:ind w:left="0" w:right="49"/>
        <w:rPr>
          <w:rFonts w:asciiTheme="majorHAnsi" w:hAnsiTheme="majorHAnsi" w:cstheme="majorHAnsi"/>
          <w:sz w:val="24"/>
          <w:szCs w:val="24"/>
          <w:lang w:val="ro-RO"/>
        </w:rPr>
      </w:pPr>
      <w:r w:rsidRPr="00F55BA6">
        <w:rPr>
          <w:rFonts w:asciiTheme="majorHAnsi" w:hAnsiTheme="majorHAnsi" w:cstheme="majorHAnsi"/>
          <w:sz w:val="24"/>
          <w:szCs w:val="24"/>
          <w:lang w:val="ro-RO"/>
        </w:rPr>
        <w:t>Ca u</w:t>
      </w:r>
      <w:r w:rsidR="00AC6703" w:rsidRPr="00F55BA6">
        <w:rPr>
          <w:rFonts w:asciiTheme="majorHAnsi" w:hAnsiTheme="majorHAnsi" w:cstheme="majorHAnsi"/>
          <w:sz w:val="24"/>
          <w:szCs w:val="24"/>
          <w:lang w:val="ro-RO"/>
        </w:rPr>
        <w:t xml:space="preserve">rmare </w:t>
      </w:r>
      <w:r w:rsidRPr="00F55BA6">
        <w:rPr>
          <w:rFonts w:asciiTheme="majorHAnsi" w:hAnsiTheme="majorHAnsi" w:cstheme="majorHAnsi"/>
          <w:sz w:val="24"/>
          <w:szCs w:val="24"/>
          <w:lang w:val="ro-RO"/>
        </w:rPr>
        <w:t xml:space="preserve">a </w:t>
      </w:r>
      <w:r w:rsidR="00AC6703" w:rsidRPr="00F55BA6">
        <w:rPr>
          <w:rFonts w:asciiTheme="majorHAnsi" w:hAnsiTheme="majorHAnsi" w:cstheme="majorHAnsi"/>
          <w:sz w:val="24"/>
          <w:szCs w:val="24"/>
          <w:lang w:val="ro-RO"/>
        </w:rPr>
        <w:t>verificărilor auditului prin contrapunere, s-a constatat că datele privind costurile proiectelor investiționale din Notele informative la Legea BS pentru anii 2012-2020 cu Rapoartele anuale de monitorizare prezentate de către APC la MF (supraevaluat – 103,1 mil. lei</w:t>
      </w:r>
      <w:r w:rsidRPr="00F55BA6">
        <w:rPr>
          <w:rFonts w:asciiTheme="majorHAnsi" w:hAnsiTheme="majorHAnsi" w:cstheme="majorHAnsi"/>
          <w:sz w:val="24"/>
          <w:szCs w:val="24"/>
          <w:lang w:val="ro-RO"/>
        </w:rPr>
        <w:t>,</w:t>
      </w:r>
      <w:r w:rsidR="00AC6703" w:rsidRPr="00F55BA6">
        <w:rPr>
          <w:rFonts w:asciiTheme="majorHAnsi" w:hAnsiTheme="majorHAnsi" w:cstheme="majorHAnsi"/>
          <w:sz w:val="24"/>
          <w:szCs w:val="24"/>
          <w:lang w:val="ro-RO"/>
        </w:rPr>
        <w:t xml:space="preserve"> și subevaluat –</w:t>
      </w:r>
      <w:r w:rsidRPr="00F55BA6">
        <w:rPr>
          <w:rFonts w:asciiTheme="majorHAnsi" w:hAnsiTheme="majorHAnsi" w:cstheme="majorHAnsi"/>
          <w:sz w:val="24"/>
          <w:szCs w:val="24"/>
          <w:lang w:val="ro-RO"/>
        </w:rPr>
        <w:t xml:space="preserve"> </w:t>
      </w:r>
      <w:r w:rsidR="00AC6703" w:rsidRPr="00F55BA6">
        <w:rPr>
          <w:rFonts w:asciiTheme="majorHAnsi" w:hAnsiTheme="majorHAnsi" w:cstheme="majorHAnsi"/>
          <w:sz w:val="24"/>
          <w:szCs w:val="24"/>
          <w:lang w:val="ro-RO"/>
        </w:rPr>
        <w:t xml:space="preserve"> 740,5 mil. lei) și datele prezentate echipei de audit (supraevaluat – 185,8 mil. lei</w:t>
      </w:r>
      <w:r w:rsidRPr="00F55BA6">
        <w:rPr>
          <w:rFonts w:asciiTheme="majorHAnsi" w:hAnsiTheme="majorHAnsi" w:cstheme="majorHAnsi"/>
          <w:sz w:val="24"/>
          <w:szCs w:val="24"/>
          <w:lang w:val="ro-RO"/>
        </w:rPr>
        <w:t>,</w:t>
      </w:r>
      <w:r w:rsidR="00AC6703" w:rsidRPr="00F55BA6">
        <w:rPr>
          <w:rFonts w:asciiTheme="majorHAnsi" w:hAnsiTheme="majorHAnsi" w:cstheme="majorHAnsi"/>
          <w:sz w:val="24"/>
          <w:szCs w:val="24"/>
          <w:lang w:val="ro-RO"/>
        </w:rPr>
        <w:t xml:space="preserve"> și subevaluat – 571,3 mil. lei) deviază semnificativ. Totodată, la cheltuielile executate cumulativ per proiect la situația din 31.12.2020 auditul a constat</w:t>
      </w:r>
      <w:r w:rsidR="00596465">
        <w:rPr>
          <w:rFonts w:asciiTheme="majorHAnsi" w:hAnsiTheme="majorHAnsi" w:cstheme="majorHAnsi"/>
          <w:sz w:val="24"/>
          <w:szCs w:val="24"/>
          <w:lang w:val="ro-RO"/>
        </w:rPr>
        <w:t>at</w:t>
      </w:r>
      <w:r w:rsidR="00AC6703" w:rsidRPr="00F55BA6">
        <w:rPr>
          <w:rFonts w:asciiTheme="majorHAnsi" w:hAnsiTheme="majorHAnsi" w:cstheme="majorHAnsi"/>
          <w:sz w:val="24"/>
          <w:szCs w:val="24"/>
          <w:lang w:val="ro-RO"/>
        </w:rPr>
        <w:t xml:space="preserve"> divergențe în sumă de 81,4 mil. lei (supraevaluat – 16,1 mil. lei</w:t>
      </w:r>
      <w:r w:rsidR="00596465">
        <w:rPr>
          <w:rFonts w:asciiTheme="majorHAnsi" w:hAnsiTheme="majorHAnsi" w:cstheme="majorHAnsi"/>
          <w:sz w:val="24"/>
          <w:szCs w:val="24"/>
          <w:lang w:val="ro-RO"/>
        </w:rPr>
        <w:t>,</w:t>
      </w:r>
      <w:r w:rsidR="00AC6703" w:rsidRPr="00F55BA6">
        <w:rPr>
          <w:rFonts w:asciiTheme="majorHAnsi" w:hAnsiTheme="majorHAnsi" w:cstheme="majorHAnsi"/>
          <w:sz w:val="24"/>
          <w:szCs w:val="24"/>
          <w:lang w:val="ro-RO"/>
        </w:rPr>
        <w:t xml:space="preserve"> și subevaluat – 65,3 mil. lei) între datele prezentate de către APC la MF și datele prezentate echipei de audit. De menționat că </w:t>
      </w:r>
      <w:r w:rsidR="00EF2020" w:rsidRPr="00F55BA6">
        <w:rPr>
          <w:rFonts w:asciiTheme="majorHAnsi" w:hAnsiTheme="majorHAnsi" w:cstheme="majorHAnsi"/>
          <w:sz w:val="24"/>
          <w:szCs w:val="24"/>
          <w:lang w:val="ro-RO"/>
        </w:rPr>
        <w:t>MECC nu a</w:t>
      </w:r>
      <w:r w:rsidR="00AC6703" w:rsidRPr="00F55BA6">
        <w:rPr>
          <w:rFonts w:asciiTheme="majorHAnsi" w:hAnsiTheme="majorHAnsi" w:cstheme="majorHAnsi"/>
          <w:sz w:val="24"/>
          <w:szCs w:val="24"/>
          <w:lang w:val="ro-RO"/>
        </w:rPr>
        <w:t xml:space="preserve"> prezentat </w:t>
      </w:r>
      <w:r w:rsidRPr="00F55BA6">
        <w:rPr>
          <w:rFonts w:asciiTheme="majorHAnsi" w:hAnsiTheme="majorHAnsi" w:cstheme="majorHAnsi"/>
          <w:sz w:val="24"/>
          <w:szCs w:val="24"/>
          <w:lang w:val="ro-RO"/>
        </w:rPr>
        <w:t>„</w:t>
      </w:r>
      <w:r w:rsidR="00AC6703" w:rsidRPr="00F55BA6">
        <w:rPr>
          <w:rFonts w:asciiTheme="majorHAnsi" w:hAnsiTheme="majorHAnsi" w:cstheme="majorHAnsi"/>
          <w:sz w:val="24"/>
          <w:szCs w:val="24"/>
          <w:lang w:val="ro-RO"/>
        </w:rPr>
        <w:t>Rapoartele anuale de monitorizare a implementării proiectelor de investiții capitale publice în curs de execuție pentru anul 2020” la MF</w:t>
      </w:r>
      <w:r w:rsidR="00AC6703" w:rsidRPr="00F55BA6">
        <w:rPr>
          <w:rStyle w:val="ac"/>
          <w:rFonts w:asciiTheme="majorHAnsi" w:hAnsiTheme="majorHAnsi" w:cstheme="majorHAnsi"/>
          <w:sz w:val="24"/>
          <w:szCs w:val="24"/>
          <w:lang w:val="ro-RO"/>
        </w:rPr>
        <w:footnoteReference w:id="57"/>
      </w:r>
      <w:r w:rsidR="00AC6703" w:rsidRPr="00F55BA6">
        <w:rPr>
          <w:rFonts w:asciiTheme="majorHAnsi" w:hAnsiTheme="majorHAnsi" w:cstheme="majorHAnsi"/>
          <w:sz w:val="24"/>
          <w:szCs w:val="24"/>
          <w:lang w:val="ro-RO"/>
        </w:rPr>
        <w:t xml:space="preserve">.  </w:t>
      </w:r>
    </w:p>
    <w:p w:rsidR="00AC6703" w:rsidRPr="00F55BA6" w:rsidRDefault="00AC6703" w:rsidP="00AC6703">
      <w:pPr>
        <w:pStyle w:val="af0"/>
        <w:tabs>
          <w:tab w:val="left" w:pos="142"/>
        </w:tabs>
        <w:spacing w:after="0" w:line="276" w:lineRule="auto"/>
        <w:ind w:left="0" w:right="49"/>
        <w:rPr>
          <w:rFonts w:asciiTheme="majorHAnsi" w:hAnsiTheme="majorHAnsi" w:cstheme="majorHAnsi"/>
          <w:sz w:val="24"/>
          <w:szCs w:val="24"/>
          <w:lang w:val="ro-RO"/>
        </w:rPr>
      </w:pPr>
      <w:r w:rsidRPr="00F55BA6">
        <w:rPr>
          <w:rFonts w:asciiTheme="majorHAnsi" w:hAnsiTheme="majorHAnsi" w:cstheme="majorHAnsi"/>
          <w:sz w:val="24"/>
          <w:szCs w:val="24"/>
          <w:lang w:val="ro-RO"/>
        </w:rPr>
        <w:t>Capacitatea/voința APC de a elabora propuneri de proiecte conforme și neinstituirea Grupului de lucru pentru investiții capitale publice</w:t>
      </w:r>
      <w:r w:rsidR="00557168" w:rsidRPr="00F55BA6">
        <w:rPr>
          <w:rFonts w:asciiTheme="majorHAnsi" w:hAnsiTheme="majorHAnsi" w:cstheme="majorHAnsi"/>
          <w:sz w:val="24"/>
          <w:szCs w:val="24"/>
          <w:lang w:val="ro-RO"/>
        </w:rPr>
        <w:t>,</w:t>
      </w:r>
      <w:r w:rsidRPr="00F55BA6">
        <w:rPr>
          <w:rFonts w:asciiTheme="majorHAnsi" w:hAnsiTheme="majorHAnsi" w:cstheme="majorHAnsi"/>
          <w:sz w:val="24"/>
          <w:szCs w:val="24"/>
          <w:lang w:val="ro-RO"/>
        </w:rPr>
        <w:t xml:space="preserve"> care trebuie să fie responsabil de examinarea și confirmarea eligibilității proiectelor</w:t>
      </w:r>
      <w:r w:rsidRPr="00F55BA6">
        <w:rPr>
          <w:rFonts w:asciiTheme="majorHAnsi" w:hAnsiTheme="majorHAnsi" w:cstheme="majorHAnsi"/>
          <w:sz w:val="24"/>
          <w:szCs w:val="24"/>
          <w:vertAlign w:val="superscript"/>
          <w:lang w:val="ro-RO"/>
        </w:rPr>
        <w:footnoteReference w:id="58"/>
      </w:r>
      <w:r w:rsidRPr="00F55BA6">
        <w:rPr>
          <w:rFonts w:asciiTheme="majorHAnsi" w:hAnsiTheme="majorHAnsi" w:cstheme="majorHAnsi"/>
          <w:sz w:val="24"/>
          <w:szCs w:val="24"/>
          <w:lang w:val="ro-RO"/>
        </w:rPr>
        <w:t xml:space="preserve">, fapt menționat și reiterat în rapoartele CCRM din anii precedenți, favorizează aprobarea unor proiecte slab pregătite, care necesită ulterior finanțare adițională </w:t>
      </w:r>
      <w:r w:rsidRPr="00F55BA6">
        <w:rPr>
          <w:rFonts w:asciiTheme="majorHAnsi" w:hAnsiTheme="majorHAnsi" w:cstheme="majorHAnsi"/>
          <w:sz w:val="24"/>
          <w:szCs w:val="24"/>
          <w:lang w:val="ro-RO"/>
        </w:rPr>
        <w:lastRenderedPageBreak/>
        <w:t>considerabilă și majorează termenele de implementare a lor. Verificările auditului relevă că grupul de lucru este condus de MF</w:t>
      </w:r>
      <w:r w:rsidR="00F025C6" w:rsidRPr="00F55BA6">
        <w:rPr>
          <w:rFonts w:asciiTheme="majorHAnsi" w:hAnsiTheme="majorHAnsi" w:cstheme="majorHAnsi"/>
          <w:sz w:val="24"/>
          <w:szCs w:val="24"/>
          <w:lang w:val="ro-RO"/>
        </w:rPr>
        <w:t>,</w:t>
      </w:r>
      <w:r w:rsidRPr="00F55BA6">
        <w:rPr>
          <w:rFonts w:asciiTheme="majorHAnsi" w:hAnsiTheme="majorHAnsi" w:cstheme="majorHAnsi"/>
          <w:sz w:val="24"/>
          <w:szCs w:val="24"/>
          <w:lang w:val="ro-RO"/>
        </w:rPr>
        <w:t xml:space="preserve"> asigurând secretariatul și aranjamentele logistice în activitate, dar </w:t>
      </w:r>
      <w:r w:rsidR="00596465" w:rsidRPr="00F55BA6">
        <w:rPr>
          <w:rFonts w:asciiTheme="majorHAnsi" w:hAnsiTheme="majorHAnsi" w:cstheme="majorHAnsi"/>
          <w:sz w:val="24"/>
          <w:szCs w:val="24"/>
          <w:lang w:val="ro-RO"/>
        </w:rPr>
        <w:t xml:space="preserve">în anul 2020 </w:t>
      </w:r>
      <w:r w:rsidRPr="00F55BA6">
        <w:rPr>
          <w:rFonts w:asciiTheme="majorHAnsi" w:hAnsiTheme="majorHAnsi" w:cstheme="majorHAnsi"/>
          <w:sz w:val="24"/>
          <w:szCs w:val="24"/>
          <w:lang w:val="ro-RO"/>
        </w:rPr>
        <w:t xml:space="preserve">nu a întocmit nicio scrisoare de solicitare </w:t>
      </w:r>
      <w:r w:rsidR="00A51D65">
        <w:rPr>
          <w:rFonts w:asciiTheme="majorHAnsi" w:hAnsiTheme="majorHAnsi" w:cstheme="majorHAnsi"/>
          <w:sz w:val="24"/>
          <w:szCs w:val="24"/>
          <w:lang w:val="ro-RO"/>
        </w:rPr>
        <w:t>a</w:t>
      </w:r>
      <w:r w:rsidR="00596465">
        <w:rPr>
          <w:rFonts w:asciiTheme="majorHAnsi" w:hAnsiTheme="majorHAnsi" w:cstheme="majorHAnsi"/>
          <w:sz w:val="24"/>
          <w:szCs w:val="24"/>
          <w:lang w:val="ro-RO"/>
        </w:rPr>
        <w:t xml:space="preserve"> </w:t>
      </w:r>
      <w:r w:rsidRPr="00F55BA6">
        <w:rPr>
          <w:rFonts w:asciiTheme="majorHAnsi" w:hAnsiTheme="majorHAnsi" w:cstheme="majorHAnsi"/>
          <w:sz w:val="24"/>
          <w:szCs w:val="24"/>
          <w:lang w:val="ro-RO"/>
        </w:rPr>
        <w:t xml:space="preserve">reprezentanților de la </w:t>
      </w:r>
      <w:r w:rsidR="00596465">
        <w:rPr>
          <w:rFonts w:asciiTheme="majorHAnsi" w:hAnsiTheme="majorHAnsi" w:cstheme="majorHAnsi"/>
          <w:sz w:val="24"/>
          <w:szCs w:val="24"/>
          <w:lang w:val="ro-RO"/>
        </w:rPr>
        <w:t xml:space="preserve">alte </w:t>
      </w:r>
      <w:r w:rsidRPr="00F55BA6">
        <w:rPr>
          <w:rFonts w:asciiTheme="majorHAnsi" w:hAnsiTheme="majorHAnsi" w:cstheme="majorHAnsi"/>
          <w:sz w:val="24"/>
          <w:szCs w:val="24"/>
          <w:lang w:val="ro-RO"/>
        </w:rPr>
        <w:t>instituții.</w:t>
      </w:r>
    </w:p>
    <w:p w:rsidR="00AC6703" w:rsidRPr="00F55BA6" w:rsidRDefault="00AC6703" w:rsidP="00AC6703">
      <w:pPr>
        <w:tabs>
          <w:tab w:val="left" w:pos="284"/>
          <w:tab w:val="left" w:pos="426"/>
        </w:tabs>
        <w:spacing w:after="0" w:line="276" w:lineRule="auto"/>
        <w:rPr>
          <w:rFonts w:asciiTheme="majorHAnsi" w:hAnsiTheme="majorHAnsi" w:cstheme="majorHAnsi"/>
          <w:sz w:val="24"/>
          <w:szCs w:val="24"/>
          <w:lang w:val="ro-RO"/>
        </w:rPr>
      </w:pPr>
      <w:r w:rsidRPr="00F55BA6">
        <w:rPr>
          <w:rFonts w:asciiTheme="majorHAnsi" w:hAnsiTheme="majorHAnsi" w:cstheme="majorHAnsi"/>
          <w:sz w:val="24"/>
          <w:szCs w:val="24"/>
          <w:lang w:val="ro-RO"/>
        </w:rPr>
        <w:t>Potrivit motivației MF, nivelul nesatisfăcător de executare a cheltuielilor în ultimii 3 ani este influențat de capacitățile reduse ale APC, în cadrul acestora nu există subdiviziuni structurale care ar gestiona proiectele de investiții capitale publice, nu se creează și nu se dezvoltă capacitățile APC în acest domeniu, ceea ce considerabil diminuează calitatea planificării și valorificării alocațiilor prevăzute pentru investiții capitale. Astfel, în lipsa cadrelor specializate în domeniu, MECC a solicitat transmiterea funcțiilor sale de administrare a proiectelor de investiții capitale publice către FISM</w:t>
      </w:r>
      <w:r w:rsidR="00F025C6" w:rsidRPr="00F55BA6">
        <w:rPr>
          <w:rFonts w:asciiTheme="majorHAnsi" w:hAnsiTheme="majorHAnsi" w:cstheme="majorHAnsi"/>
          <w:sz w:val="24"/>
          <w:szCs w:val="24"/>
          <w:lang w:val="ro-RO"/>
        </w:rPr>
        <w:t>,</w:t>
      </w:r>
      <w:r w:rsidRPr="00F55BA6">
        <w:rPr>
          <w:rFonts w:asciiTheme="majorHAnsi" w:hAnsiTheme="majorHAnsi" w:cstheme="majorHAnsi"/>
          <w:sz w:val="24"/>
          <w:szCs w:val="24"/>
          <w:lang w:val="ro-RO"/>
        </w:rPr>
        <w:t xml:space="preserve"> iar MAI implementează unele proiecte de investiții capitale publice</w:t>
      </w:r>
      <w:r w:rsidRPr="00F55BA6">
        <w:rPr>
          <w:rFonts w:asciiTheme="majorHAnsi" w:hAnsiTheme="majorHAnsi" w:cstheme="majorHAnsi"/>
          <w:sz w:val="24"/>
          <w:szCs w:val="24"/>
          <w:vertAlign w:val="superscript"/>
          <w:lang w:val="ro-RO"/>
        </w:rPr>
        <w:footnoteReference w:id="59"/>
      </w:r>
      <w:r w:rsidRPr="00F55BA6">
        <w:rPr>
          <w:rFonts w:asciiTheme="majorHAnsi" w:hAnsiTheme="majorHAnsi" w:cstheme="majorHAnsi"/>
          <w:sz w:val="24"/>
          <w:szCs w:val="24"/>
          <w:lang w:val="ro-RO"/>
        </w:rPr>
        <w:t xml:space="preserve">, finanțate integral din BS, prin intermediul PNUD. </w:t>
      </w:r>
      <w:r w:rsidRPr="00E4517B">
        <w:rPr>
          <w:rFonts w:asciiTheme="majorHAnsi" w:hAnsiTheme="majorHAnsi" w:cstheme="majorHAnsi"/>
          <w:sz w:val="24"/>
          <w:szCs w:val="24"/>
          <w:lang w:val="ro-RO"/>
        </w:rPr>
        <w:t>Auditul a constatat că a</w:t>
      </w:r>
      <w:r w:rsidRPr="00F55BA6">
        <w:rPr>
          <w:rFonts w:asciiTheme="majorHAnsi" w:eastAsia="Times New Roman" w:hAnsiTheme="majorHAnsi" w:cs="Times New Roman"/>
          <w:bCs/>
          <w:sz w:val="24"/>
          <w:szCs w:val="24"/>
          <w:lang w:val="ro-RO"/>
        </w:rPr>
        <w:t xml:space="preserve">chitările în avans unei organizații internaționale (PNUD) în contul serviciilor contractate </w:t>
      </w:r>
      <w:r w:rsidRPr="00E4517B">
        <w:rPr>
          <w:rFonts w:asciiTheme="majorHAnsi" w:hAnsiTheme="majorHAnsi" w:cstheme="majorHAnsi"/>
          <w:sz w:val="24"/>
          <w:szCs w:val="24"/>
          <w:lang w:val="ro-RO"/>
        </w:rPr>
        <w:t xml:space="preserve">de către </w:t>
      </w:r>
      <w:r w:rsidRPr="00973E5B">
        <w:rPr>
          <w:rFonts w:asciiTheme="majorHAnsi" w:hAnsiTheme="majorHAnsi" w:cstheme="majorHAnsi"/>
          <w:sz w:val="24"/>
          <w:szCs w:val="24"/>
          <w:lang w:val="ro-RO"/>
        </w:rPr>
        <w:t xml:space="preserve">APC în sumă de 17,1 mil. lei </w:t>
      </w:r>
      <w:r w:rsidRPr="00F55BA6">
        <w:rPr>
          <w:rFonts w:asciiTheme="majorHAnsi" w:eastAsia="Times New Roman" w:hAnsiTheme="majorHAnsi" w:cs="Times New Roman"/>
          <w:bCs/>
          <w:sz w:val="24"/>
          <w:szCs w:val="24"/>
          <w:lang w:val="ro-RO"/>
        </w:rPr>
        <w:t>determină și majorarea creanțelor</w:t>
      </w:r>
      <w:r w:rsidRPr="00E4517B">
        <w:rPr>
          <w:rFonts w:asciiTheme="majorHAnsi" w:hAnsiTheme="majorHAnsi" w:cstheme="majorHAnsi"/>
          <w:sz w:val="24"/>
          <w:szCs w:val="24"/>
          <w:lang w:val="ro-RO"/>
        </w:rPr>
        <w:t xml:space="preserve">, ca urmare fiind </w:t>
      </w:r>
      <w:r w:rsidRPr="00F55BA6">
        <w:rPr>
          <w:rFonts w:asciiTheme="majorHAnsi" w:eastAsia="Times New Roman" w:hAnsiTheme="majorHAnsi" w:cs="Times New Roman"/>
          <w:bCs/>
          <w:sz w:val="24"/>
          <w:szCs w:val="24"/>
          <w:lang w:val="ro-RO"/>
        </w:rPr>
        <w:t xml:space="preserve">imobilizate/dezafectate resursele financiare publice pe un termen nedeterminat și cheltuieli adiționale din BS. </w:t>
      </w:r>
      <w:r w:rsidRPr="00F55BA6">
        <w:rPr>
          <w:rFonts w:asciiTheme="majorHAnsi" w:hAnsiTheme="majorHAnsi" w:cstheme="majorHAnsi"/>
          <w:sz w:val="24"/>
          <w:szCs w:val="24"/>
          <w:lang w:val="ro-RO"/>
        </w:rPr>
        <w:t>În acest context, auditul consideră oportun</w:t>
      </w:r>
      <w:r w:rsidR="00F025C6" w:rsidRPr="00F55BA6">
        <w:rPr>
          <w:rFonts w:asciiTheme="majorHAnsi" w:hAnsiTheme="majorHAnsi" w:cstheme="majorHAnsi"/>
          <w:sz w:val="24"/>
          <w:szCs w:val="24"/>
          <w:lang w:val="ro-RO"/>
        </w:rPr>
        <w:t>ă</w:t>
      </w:r>
      <w:r w:rsidRPr="00F55BA6">
        <w:rPr>
          <w:rFonts w:asciiTheme="majorHAnsi" w:hAnsiTheme="majorHAnsi" w:cstheme="majorHAnsi"/>
          <w:sz w:val="24"/>
          <w:szCs w:val="24"/>
          <w:lang w:val="ro-RO"/>
        </w:rPr>
        <w:t xml:space="preserve"> inițierea consultărilor de rigoare privind formarea unei subdiviziuni/unități în cadrul APC responsabile de gestionarea investițiilor capitale publice, ceea ce ar contribui și la funcționalitatea Grupului de lucru pentru investiții capitale publice.</w:t>
      </w:r>
    </w:p>
    <w:p w:rsidR="00E03711" w:rsidRPr="00E4517B" w:rsidRDefault="00E03711" w:rsidP="00A7556E">
      <w:pPr>
        <w:spacing w:after="0"/>
        <w:rPr>
          <w:rFonts w:asciiTheme="majorHAnsi" w:hAnsiTheme="majorHAnsi" w:cstheme="majorHAnsi"/>
          <w:b/>
          <w:sz w:val="24"/>
          <w:szCs w:val="24"/>
          <w:lang w:val="ro-RO"/>
        </w:rPr>
      </w:pPr>
      <w:r w:rsidRPr="00F55BA6">
        <w:rPr>
          <w:rFonts w:asciiTheme="majorHAnsi" w:hAnsiTheme="majorHAnsi" w:cstheme="majorHAnsi"/>
          <w:sz w:val="24"/>
          <w:szCs w:val="24"/>
          <w:lang w:val="ro-RO"/>
        </w:rPr>
        <w:t xml:space="preserve">Echipa de audit care a efectuat misiunea de audit la </w:t>
      </w:r>
      <w:r w:rsidR="008470C7" w:rsidRPr="00E4517B">
        <w:rPr>
          <w:rFonts w:asciiTheme="majorHAnsi" w:hAnsiTheme="majorHAnsi" w:cstheme="majorHAnsi"/>
          <w:b/>
          <w:sz w:val="24"/>
          <w:szCs w:val="24"/>
          <w:lang w:val="ro-RO"/>
        </w:rPr>
        <w:t>MEI</w:t>
      </w:r>
      <w:r w:rsidR="008470C7" w:rsidRPr="00E4517B">
        <w:rPr>
          <w:rFonts w:asciiTheme="majorHAnsi" w:hAnsiTheme="majorHAnsi" w:cstheme="majorHAnsi"/>
          <w:sz w:val="24"/>
          <w:szCs w:val="24"/>
          <w:vertAlign w:val="superscript"/>
          <w:lang w:val="ro-RO"/>
        </w:rPr>
        <w:footnoteReference w:id="60"/>
      </w:r>
      <w:r w:rsidRPr="00F55BA6">
        <w:rPr>
          <w:rFonts w:asciiTheme="majorHAnsi" w:hAnsiTheme="majorHAnsi" w:cstheme="majorHAnsi"/>
          <w:sz w:val="24"/>
          <w:szCs w:val="24"/>
          <w:lang w:val="ro-RO"/>
        </w:rPr>
        <w:t xml:space="preserve"> a constatat n</w:t>
      </w:r>
      <w:r w:rsidRPr="00E4517B">
        <w:rPr>
          <w:rFonts w:asciiTheme="majorHAnsi" w:eastAsia="Calibri" w:hAnsiTheme="majorHAnsi" w:cstheme="majorHAnsi"/>
          <w:color w:val="000000"/>
          <w:sz w:val="24"/>
          <w:szCs w:val="24"/>
          <w:lang w:val="ro-RO" w:eastAsia="ro-RO" w:bidi="ro-RO"/>
        </w:rPr>
        <w:t xml:space="preserve">eutilizarea contului 723 „Corectările rezultatelor din anii precedenți” pentru contabilizarea lucrărilor recepționate de către Î.S. „Administrația de Stat a Drumurilor” în anul 2018 aferente </w:t>
      </w:r>
      <w:r w:rsidR="00495FD7" w:rsidRPr="00E4517B">
        <w:rPr>
          <w:rFonts w:asciiTheme="majorHAnsi" w:eastAsia="Calibri" w:hAnsiTheme="majorHAnsi" w:cstheme="majorHAnsi"/>
          <w:color w:val="000000"/>
          <w:sz w:val="24"/>
          <w:szCs w:val="24"/>
          <w:lang w:val="ro-RO" w:eastAsia="ro-RO" w:bidi="ro-RO"/>
        </w:rPr>
        <w:t>construcț</w:t>
      </w:r>
      <w:r w:rsidR="00495FD7" w:rsidRPr="00973E5B">
        <w:rPr>
          <w:rFonts w:asciiTheme="majorHAnsi" w:eastAsia="Calibri" w:hAnsiTheme="majorHAnsi" w:cstheme="majorHAnsi"/>
          <w:color w:val="000000"/>
          <w:sz w:val="24"/>
          <w:szCs w:val="24"/>
          <w:lang w:val="ro-RO" w:eastAsia="ro-RO" w:bidi="ro-RO"/>
        </w:rPr>
        <w:t>iei</w:t>
      </w:r>
      <w:r w:rsidRPr="00973E5B">
        <w:rPr>
          <w:rFonts w:asciiTheme="majorHAnsi" w:eastAsia="Calibri" w:hAnsiTheme="majorHAnsi" w:cstheme="majorHAnsi"/>
          <w:color w:val="000000"/>
          <w:sz w:val="24"/>
          <w:szCs w:val="24"/>
          <w:lang w:val="ro-RO" w:eastAsia="ro-RO" w:bidi="ro-RO"/>
        </w:rPr>
        <w:t xml:space="preserve"> variantei de ocolire a or. Ungheni, drumul R1 sectorul km</w:t>
      </w:r>
      <w:r w:rsidR="00F025C6" w:rsidRPr="00207634">
        <w:rPr>
          <w:rFonts w:asciiTheme="majorHAnsi" w:eastAsia="Calibri" w:hAnsiTheme="majorHAnsi" w:cstheme="majorHAnsi"/>
          <w:color w:val="000000"/>
          <w:sz w:val="24"/>
          <w:szCs w:val="24"/>
          <w:lang w:val="ro-RO" w:eastAsia="ro-RO" w:bidi="ro-RO"/>
        </w:rPr>
        <w:t xml:space="preserve"> </w:t>
      </w:r>
      <w:r w:rsidRPr="00B05CFC">
        <w:rPr>
          <w:rFonts w:asciiTheme="majorHAnsi" w:eastAsia="Calibri" w:hAnsiTheme="majorHAnsi" w:cstheme="majorHAnsi"/>
          <w:color w:val="000000"/>
          <w:sz w:val="24"/>
          <w:szCs w:val="24"/>
          <w:lang w:val="ro-RO" w:eastAsia="ro-RO" w:bidi="ro-RO"/>
        </w:rPr>
        <w:t>96+200</w:t>
      </w:r>
      <w:r w:rsidR="00F025C6" w:rsidRPr="009131CF">
        <w:rPr>
          <w:rFonts w:asciiTheme="majorHAnsi" w:eastAsia="Calibri" w:hAnsiTheme="majorHAnsi" w:cstheme="majorHAnsi"/>
          <w:color w:val="000000"/>
          <w:sz w:val="24"/>
          <w:szCs w:val="24"/>
          <w:lang w:val="ro-RO" w:eastAsia="ro-RO" w:bidi="ro-RO"/>
        </w:rPr>
        <w:t xml:space="preserve"> </w:t>
      </w:r>
      <w:r w:rsidR="009A239C" w:rsidRPr="009131CF">
        <w:rPr>
          <w:rFonts w:asciiTheme="majorHAnsi" w:eastAsia="Calibri" w:hAnsiTheme="majorHAnsi" w:cstheme="majorHAnsi"/>
          <w:color w:val="000000"/>
          <w:sz w:val="24"/>
          <w:szCs w:val="24"/>
          <w:lang w:val="ro-RO" w:eastAsia="ro-RO" w:bidi="ro-RO"/>
        </w:rPr>
        <w:t xml:space="preserve">- </w:t>
      </w:r>
      <w:r w:rsidRPr="00E4517B">
        <w:rPr>
          <w:rFonts w:asciiTheme="majorHAnsi" w:eastAsia="Calibri" w:hAnsiTheme="majorHAnsi" w:cstheme="majorHAnsi"/>
          <w:color w:val="000000"/>
          <w:sz w:val="24"/>
          <w:szCs w:val="24"/>
          <w:lang w:val="ro-RO" w:eastAsia="ro-RO" w:bidi="ro-RO"/>
        </w:rPr>
        <w:t xml:space="preserve">km 103+913 a generat denaturarea </w:t>
      </w:r>
      <w:r w:rsidR="00822FD1" w:rsidRPr="00E4517B">
        <w:rPr>
          <w:rFonts w:asciiTheme="majorHAnsi" w:eastAsia="Calibri" w:hAnsiTheme="majorHAnsi" w:cstheme="majorHAnsi"/>
          <w:color w:val="000000"/>
          <w:sz w:val="24"/>
          <w:szCs w:val="24"/>
          <w:lang w:val="ro-RO" w:eastAsia="ro-RO" w:bidi="ro-RO"/>
        </w:rPr>
        <w:t>informațiilor</w:t>
      </w:r>
      <w:r w:rsidRPr="00E4517B">
        <w:rPr>
          <w:rFonts w:asciiTheme="majorHAnsi" w:eastAsia="Calibri" w:hAnsiTheme="majorHAnsi" w:cstheme="majorHAnsi"/>
          <w:color w:val="000000"/>
          <w:sz w:val="24"/>
          <w:szCs w:val="24"/>
          <w:lang w:val="ro-RO" w:eastAsia="ro-RO" w:bidi="ro-RO"/>
        </w:rPr>
        <w:t xml:space="preserve"> </w:t>
      </w:r>
      <w:r w:rsidR="00822FD1" w:rsidRPr="00E4517B">
        <w:rPr>
          <w:rFonts w:asciiTheme="majorHAnsi" w:eastAsia="Calibri" w:hAnsiTheme="majorHAnsi" w:cstheme="majorHAnsi"/>
          <w:color w:val="000000"/>
          <w:sz w:val="24"/>
          <w:szCs w:val="24"/>
          <w:lang w:val="ro-RO" w:eastAsia="ro-RO" w:bidi="ro-RO"/>
        </w:rPr>
        <w:t>bilanțiere</w:t>
      </w:r>
      <w:r w:rsidRPr="00E4517B">
        <w:rPr>
          <w:rFonts w:asciiTheme="majorHAnsi" w:eastAsia="Calibri" w:hAnsiTheme="majorHAnsi" w:cstheme="majorHAnsi"/>
          <w:color w:val="000000"/>
          <w:sz w:val="24"/>
          <w:szCs w:val="24"/>
          <w:lang w:val="ro-RO" w:eastAsia="ro-RO" w:bidi="ro-RO"/>
        </w:rPr>
        <w:t xml:space="preserve"> cu 207,35 mil. lei, prin supraevaluarea grupei de conturi 289 „Cheltuieli ale instituțiilor bugetare” şi subevaluarea grupei de conturi 721 „Rezultatul financiar al </w:t>
      </w:r>
      <w:r w:rsidR="00822FD1" w:rsidRPr="00E4517B">
        <w:rPr>
          <w:rFonts w:asciiTheme="majorHAnsi" w:eastAsia="Calibri" w:hAnsiTheme="majorHAnsi" w:cstheme="majorHAnsi"/>
          <w:color w:val="000000"/>
          <w:sz w:val="24"/>
          <w:szCs w:val="24"/>
          <w:lang w:val="ro-RO" w:eastAsia="ro-RO" w:bidi="ro-RO"/>
        </w:rPr>
        <w:t>instituției</w:t>
      </w:r>
      <w:r w:rsidRPr="00E4517B">
        <w:rPr>
          <w:rFonts w:asciiTheme="majorHAnsi" w:eastAsia="Calibri" w:hAnsiTheme="majorHAnsi" w:cstheme="majorHAnsi"/>
          <w:color w:val="000000"/>
          <w:sz w:val="24"/>
          <w:szCs w:val="24"/>
          <w:lang w:val="ro-RO" w:eastAsia="ro-RO" w:bidi="ro-RO"/>
        </w:rPr>
        <w:t xml:space="preserve"> publice din anul curent”.</w:t>
      </w:r>
      <w:r w:rsidRPr="00F55BA6">
        <w:rPr>
          <w:rFonts w:asciiTheme="majorHAnsi" w:hAnsiTheme="majorHAnsi" w:cstheme="majorHAnsi"/>
          <w:sz w:val="24"/>
          <w:szCs w:val="24"/>
          <w:lang w:val="ro-RO"/>
        </w:rPr>
        <w:t xml:space="preserve"> </w:t>
      </w:r>
      <w:r w:rsidRPr="00E4517B">
        <w:rPr>
          <w:rFonts w:asciiTheme="majorHAnsi" w:eastAsia="Calibri" w:hAnsiTheme="majorHAnsi" w:cstheme="majorHAnsi"/>
          <w:color w:val="000000"/>
          <w:sz w:val="24"/>
          <w:szCs w:val="24"/>
          <w:lang w:val="ro-RO" w:eastAsia="ro-RO" w:bidi="ro-RO"/>
        </w:rPr>
        <w:t>Totodată, informațiile din rapoartele financiare consolidate aferente activelor nefinanciare la nivel agregat au fost denaturate prin subevaluarea acestora cu 32,31 mil. lei şi supraevaluarea cu 18,96 mil. lei, dintre care:</w:t>
      </w:r>
      <w:r w:rsidRPr="00973E5B">
        <w:rPr>
          <w:rFonts w:asciiTheme="majorHAnsi" w:eastAsia="Calibri" w:hAnsiTheme="majorHAnsi" w:cstheme="majorHAnsi"/>
          <w:color w:val="000000"/>
          <w:sz w:val="24"/>
          <w:szCs w:val="24"/>
          <w:lang w:val="ro-RO" w:eastAsia="ro-RO" w:bidi="ro-RO"/>
        </w:rPr>
        <w:t xml:space="preserve"> </w:t>
      </w:r>
      <w:r w:rsidRPr="00973E5B">
        <w:rPr>
          <w:rFonts w:asciiTheme="majorHAnsi" w:eastAsia="Calibri" w:hAnsiTheme="majorHAnsi" w:cstheme="majorHAnsi"/>
          <w:i/>
          <w:color w:val="000000"/>
          <w:sz w:val="24"/>
          <w:szCs w:val="24"/>
          <w:lang w:val="ro-RO" w:eastAsia="ro-RO" w:bidi="ro-RO"/>
        </w:rPr>
        <w:t xml:space="preserve">(i) </w:t>
      </w:r>
      <w:r w:rsidRPr="00207634">
        <w:rPr>
          <w:rFonts w:asciiTheme="majorHAnsi" w:eastAsia="Calibri" w:hAnsiTheme="majorHAnsi" w:cstheme="majorHAnsi"/>
          <w:color w:val="000000"/>
          <w:sz w:val="24"/>
          <w:szCs w:val="24"/>
          <w:lang w:val="ro-RO" w:eastAsia="ro-RO" w:bidi="ro-RO"/>
        </w:rPr>
        <w:t xml:space="preserve">atribuirea necorespunzătoare a unor </w:t>
      </w:r>
      <w:r w:rsidR="00822FD1" w:rsidRPr="00207634">
        <w:rPr>
          <w:rFonts w:asciiTheme="majorHAnsi" w:eastAsia="Calibri" w:hAnsiTheme="majorHAnsi" w:cstheme="majorHAnsi"/>
          <w:color w:val="000000"/>
          <w:sz w:val="24"/>
          <w:szCs w:val="24"/>
          <w:lang w:val="ro-RO" w:eastAsia="ro-RO" w:bidi="ro-RO"/>
        </w:rPr>
        <w:t>investiții</w:t>
      </w:r>
      <w:r w:rsidRPr="00207634">
        <w:rPr>
          <w:rFonts w:asciiTheme="majorHAnsi" w:eastAsia="Calibri" w:hAnsiTheme="majorHAnsi" w:cstheme="majorHAnsi"/>
          <w:color w:val="000000"/>
          <w:sz w:val="24"/>
          <w:szCs w:val="24"/>
          <w:lang w:val="ro-RO" w:eastAsia="ro-RO" w:bidi="ro-RO"/>
        </w:rPr>
        <w:t xml:space="preserve"> capitale în active în curs de </w:t>
      </w:r>
      <w:r w:rsidR="00822FD1" w:rsidRPr="00207634">
        <w:rPr>
          <w:rFonts w:asciiTheme="majorHAnsi" w:eastAsia="Calibri" w:hAnsiTheme="majorHAnsi" w:cstheme="majorHAnsi"/>
          <w:color w:val="000000"/>
          <w:sz w:val="24"/>
          <w:szCs w:val="24"/>
          <w:lang w:val="ro-RO" w:eastAsia="ro-RO" w:bidi="ro-RO"/>
        </w:rPr>
        <w:t>execuție</w:t>
      </w:r>
      <w:r w:rsidRPr="00207634">
        <w:rPr>
          <w:rFonts w:asciiTheme="majorHAnsi" w:eastAsia="Calibri" w:hAnsiTheme="majorHAnsi" w:cstheme="majorHAnsi"/>
          <w:color w:val="000000"/>
          <w:sz w:val="24"/>
          <w:szCs w:val="24"/>
          <w:lang w:val="ro-RO" w:eastAsia="ro-RO" w:bidi="ro-RO"/>
        </w:rPr>
        <w:t>, ceea ce a condiționat supraevaluarea grupei de conturi 317 „</w:t>
      </w:r>
      <w:r w:rsidR="009A239C" w:rsidRPr="009131CF">
        <w:rPr>
          <w:rFonts w:asciiTheme="majorHAnsi" w:eastAsia="Calibri" w:hAnsiTheme="majorHAnsi" w:cstheme="majorHAnsi"/>
          <w:color w:val="000000"/>
          <w:sz w:val="24"/>
          <w:szCs w:val="24"/>
          <w:lang w:val="ro-RO" w:eastAsia="ro-RO" w:bidi="ro-RO"/>
        </w:rPr>
        <w:t>A</w:t>
      </w:r>
      <w:r w:rsidRPr="009131CF">
        <w:rPr>
          <w:rFonts w:asciiTheme="majorHAnsi" w:eastAsia="Calibri" w:hAnsiTheme="majorHAnsi" w:cstheme="majorHAnsi"/>
          <w:color w:val="000000"/>
          <w:sz w:val="24"/>
          <w:szCs w:val="24"/>
          <w:lang w:val="ro-RO" w:eastAsia="ro-RO" w:bidi="ro-RO"/>
        </w:rPr>
        <w:t xml:space="preserve">ctive nemateriale” cu 18,16 mil. lei şi subevaluarea în </w:t>
      </w:r>
      <w:r w:rsidR="00822FD1" w:rsidRPr="009131CF">
        <w:rPr>
          <w:rFonts w:asciiTheme="majorHAnsi" w:eastAsia="Calibri" w:hAnsiTheme="majorHAnsi" w:cstheme="majorHAnsi"/>
          <w:color w:val="000000"/>
          <w:sz w:val="24"/>
          <w:szCs w:val="24"/>
          <w:lang w:val="ro-RO" w:eastAsia="ro-RO" w:bidi="ro-RO"/>
        </w:rPr>
        <w:t>ace</w:t>
      </w:r>
      <w:r w:rsidR="00822FD1" w:rsidRPr="00E4517B">
        <w:rPr>
          <w:rFonts w:asciiTheme="majorHAnsi" w:eastAsia="Calibri" w:hAnsiTheme="majorHAnsi" w:cstheme="majorHAnsi"/>
          <w:color w:val="000000"/>
          <w:sz w:val="24"/>
          <w:szCs w:val="24"/>
          <w:lang w:val="ro-RO" w:eastAsia="ro-RO" w:bidi="ro-RO"/>
        </w:rPr>
        <w:t>eași</w:t>
      </w:r>
      <w:r w:rsidRPr="00E4517B">
        <w:rPr>
          <w:rFonts w:asciiTheme="majorHAnsi" w:eastAsia="Calibri" w:hAnsiTheme="majorHAnsi" w:cstheme="majorHAnsi"/>
          <w:color w:val="000000"/>
          <w:sz w:val="24"/>
          <w:szCs w:val="24"/>
          <w:lang w:val="ro-RO" w:eastAsia="ro-RO" w:bidi="ro-RO"/>
        </w:rPr>
        <w:t xml:space="preserve"> mărime a grupei de conturi 319 </w:t>
      </w:r>
      <w:r w:rsidR="009A239C" w:rsidRPr="00E4517B">
        <w:rPr>
          <w:rFonts w:asciiTheme="majorHAnsi" w:eastAsia="Calibri" w:hAnsiTheme="majorHAnsi" w:cstheme="majorHAnsi"/>
          <w:color w:val="000000"/>
          <w:sz w:val="24"/>
          <w:szCs w:val="24"/>
          <w:lang w:val="ro-RO" w:eastAsia="ro-RO" w:bidi="ro-RO"/>
        </w:rPr>
        <w:t>„</w:t>
      </w:r>
      <w:r w:rsidR="00822FD1" w:rsidRPr="00E4517B">
        <w:rPr>
          <w:rFonts w:asciiTheme="majorHAnsi" w:eastAsia="Calibri" w:hAnsiTheme="majorHAnsi" w:cstheme="majorHAnsi"/>
          <w:color w:val="000000"/>
          <w:sz w:val="24"/>
          <w:szCs w:val="24"/>
          <w:lang w:val="ro-RO" w:eastAsia="ro-RO" w:bidi="ro-RO"/>
        </w:rPr>
        <w:t>Investiții</w:t>
      </w:r>
      <w:r w:rsidRPr="00E4517B">
        <w:rPr>
          <w:rFonts w:asciiTheme="majorHAnsi" w:eastAsia="Calibri" w:hAnsiTheme="majorHAnsi" w:cstheme="majorHAnsi"/>
          <w:color w:val="000000"/>
          <w:sz w:val="24"/>
          <w:szCs w:val="24"/>
          <w:lang w:val="ro-RO" w:eastAsia="ro-RO" w:bidi="ro-RO"/>
        </w:rPr>
        <w:t xml:space="preserve"> capitale în active în curs de </w:t>
      </w:r>
      <w:r w:rsidR="00822FD1" w:rsidRPr="00E4517B">
        <w:rPr>
          <w:rFonts w:asciiTheme="majorHAnsi" w:eastAsia="Calibri" w:hAnsiTheme="majorHAnsi" w:cstheme="majorHAnsi"/>
          <w:color w:val="000000"/>
          <w:sz w:val="24"/>
          <w:szCs w:val="24"/>
          <w:lang w:val="ro-RO" w:eastAsia="ro-RO" w:bidi="ro-RO"/>
        </w:rPr>
        <w:t>execuție</w:t>
      </w:r>
      <w:r w:rsidRPr="00E4517B">
        <w:rPr>
          <w:rFonts w:asciiTheme="majorHAnsi" w:eastAsia="Calibri" w:hAnsiTheme="majorHAnsi" w:cstheme="majorHAnsi"/>
          <w:color w:val="000000"/>
          <w:sz w:val="24"/>
          <w:szCs w:val="24"/>
          <w:lang w:val="ro-RO" w:eastAsia="ro-RO" w:bidi="ro-RO"/>
        </w:rPr>
        <w:t xml:space="preserve">”; </w:t>
      </w:r>
      <w:r w:rsidRPr="00E4517B">
        <w:rPr>
          <w:rFonts w:asciiTheme="majorHAnsi" w:eastAsia="Calibri" w:hAnsiTheme="majorHAnsi" w:cstheme="majorHAnsi"/>
          <w:i/>
          <w:color w:val="000000"/>
          <w:sz w:val="24"/>
          <w:szCs w:val="24"/>
          <w:lang w:val="ro-RO" w:eastAsia="ro-RO" w:bidi="ro-RO"/>
        </w:rPr>
        <w:t>(ii)</w:t>
      </w:r>
      <w:r w:rsidRPr="00E4517B">
        <w:rPr>
          <w:rFonts w:asciiTheme="majorHAnsi" w:eastAsia="Calibri" w:hAnsiTheme="majorHAnsi" w:cstheme="majorHAnsi"/>
          <w:color w:val="000000"/>
          <w:sz w:val="24"/>
          <w:szCs w:val="24"/>
          <w:lang w:val="ro-RO" w:eastAsia="ro-RO" w:bidi="ro-RO"/>
        </w:rPr>
        <w:t xml:space="preserve"> nerecepționarea proiectului tehnic </w:t>
      </w:r>
      <w:r w:rsidR="009A239C" w:rsidRPr="00E4517B">
        <w:rPr>
          <w:rFonts w:asciiTheme="majorHAnsi" w:eastAsia="Calibri" w:hAnsiTheme="majorHAnsi" w:cstheme="majorHAnsi"/>
          <w:i/>
          <w:iCs/>
          <w:color w:val="000000"/>
          <w:sz w:val="24"/>
          <w:szCs w:val="24"/>
          <w:lang w:val="ro-RO" w:eastAsia="ro-RO" w:bidi="ro-RO"/>
        </w:rPr>
        <w:t>„</w:t>
      </w:r>
      <w:r w:rsidRPr="00E4517B">
        <w:rPr>
          <w:rFonts w:asciiTheme="majorHAnsi" w:eastAsia="Calibri" w:hAnsiTheme="majorHAnsi" w:cstheme="majorHAnsi"/>
          <w:i/>
          <w:iCs/>
          <w:color w:val="000000"/>
          <w:sz w:val="24"/>
          <w:szCs w:val="24"/>
          <w:lang w:val="ro-RO" w:eastAsia="ro-RO" w:bidi="ro-RO"/>
        </w:rPr>
        <w:t>Conducta de interconectare a Sistemului de transport gaze naturale din România cu sistemul de transport gaze naturale din Republica Moldova, faza II, pe direcția Ungheni-Chi</w:t>
      </w:r>
      <w:r w:rsidR="009A239C" w:rsidRPr="00E4517B">
        <w:rPr>
          <w:rFonts w:asciiTheme="majorHAnsi" w:eastAsia="Calibri" w:hAnsiTheme="majorHAnsi" w:cstheme="majorHAnsi"/>
          <w:i/>
          <w:iCs/>
          <w:color w:val="000000"/>
          <w:sz w:val="24"/>
          <w:szCs w:val="24"/>
          <w:lang w:val="ro-RO" w:eastAsia="ro-RO" w:bidi="ro-RO"/>
        </w:rPr>
        <w:t>ș</w:t>
      </w:r>
      <w:r w:rsidRPr="00E4517B">
        <w:rPr>
          <w:rFonts w:asciiTheme="majorHAnsi" w:eastAsia="Calibri" w:hAnsiTheme="majorHAnsi" w:cstheme="majorHAnsi"/>
          <w:i/>
          <w:iCs/>
          <w:color w:val="000000"/>
          <w:sz w:val="24"/>
          <w:szCs w:val="24"/>
          <w:lang w:val="ro-RO" w:eastAsia="ro-RO" w:bidi="ro-RO"/>
        </w:rPr>
        <w:t>inău",</w:t>
      </w:r>
      <w:r w:rsidRPr="00E4517B">
        <w:rPr>
          <w:rFonts w:asciiTheme="majorHAnsi" w:eastAsia="Calibri" w:hAnsiTheme="majorHAnsi" w:cstheme="majorHAnsi"/>
          <w:color w:val="000000"/>
          <w:sz w:val="24"/>
          <w:szCs w:val="24"/>
          <w:lang w:val="ro-RO" w:eastAsia="ro-RO" w:bidi="ro-RO"/>
        </w:rPr>
        <w:t xml:space="preserve"> deși lucrările de construcție au fost finalizate, ceea ce a generat supraevaluarea creanțelor cu 11,74 mil. lei, care urmau a fi reflectate ca active nefinanciare; </w:t>
      </w:r>
      <w:r w:rsidRPr="00E4517B">
        <w:rPr>
          <w:rFonts w:asciiTheme="majorHAnsi" w:eastAsia="Calibri" w:hAnsiTheme="majorHAnsi" w:cstheme="majorHAnsi"/>
          <w:i/>
          <w:color w:val="000000"/>
          <w:sz w:val="24"/>
          <w:szCs w:val="24"/>
          <w:lang w:val="ro-RO" w:eastAsia="ro-RO" w:bidi="ro-RO"/>
        </w:rPr>
        <w:t>(iii)</w:t>
      </w:r>
      <w:r w:rsidRPr="00E4517B">
        <w:rPr>
          <w:rFonts w:asciiTheme="majorHAnsi" w:eastAsia="Calibri" w:hAnsiTheme="majorHAnsi" w:cstheme="majorHAnsi"/>
          <w:color w:val="000000"/>
          <w:sz w:val="24"/>
          <w:szCs w:val="24"/>
          <w:lang w:val="ro-RO" w:eastAsia="ro-RO" w:bidi="ro-RO"/>
        </w:rPr>
        <w:t xml:space="preserve"> clasificarea neconformă a unor construcții speciale în valoare de 4,82 mil. lei la </w:t>
      </w:r>
      <w:r w:rsidR="00CE0E4D">
        <w:rPr>
          <w:rFonts w:asciiTheme="majorHAnsi" w:eastAsia="Calibri" w:hAnsiTheme="majorHAnsi" w:cstheme="majorHAnsi"/>
          <w:color w:val="000000"/>
          <w:sz w:val="24"/>
          <w:szCs w:val="24"/>
          <w:lang w:val="ro-RO" w:eastAsia="ro-RO" w:bidi="ro-RO"/>
        </w:rPr>
        <w:t>„A</w:t>
      </w:r>
      <w:r w:rsidRPr="00E4517B">
        <w:rPr>
          <w:rFonts w:asciiTheme="majorHAnsi" w:eastAsia="Calibri" w:hAnsiTheme="majorHAnsi" w:cstheme="majorHAnsi"/>
          <w:color w:val="000000"/>
          <w:sz w:val="24"/>
          <w:szCs w:val="24"/>
          <w:lang w:val="ro-RO" w:eastAsia="ro-RO" w:bidi="ro-RO"/>
        </w:rPr>
        <w:t>lte mijloace fixe</w:t>
      </w:r>
      <w:r w:rsidR="00CE0E4D">
        <w:rPr>
          <w:rFonts w:asciiTheme="majorHAnsi" w:eastAsia="Calibri" w:hAnsiTheme="majorHAnsi" w:cstheme="majorHAnsi"/>
          <w:color w:val="000000"/>
          <w:sz w:val="24"/>
          <w:szCs w:val="24"/>
          <w:lang w:val="ro-RO" w:eastAsia="ro-RO" w:bidi="ro-RO"/>
        </w:rPr>
        <w:t>”</w:t>
      </w:r>
      <w:r w:rsidRPr="00E4517B">
        <w:rPr>
          <w:rFonts w:asciiTheme="majorHAnsi" w:eastAsia="Calibri" w:hAnsiTheme="majorHAnsi" w:cstheme="majorHAnsi"/>
          <w:color w:val="000000"/>
          <w:sz w:val="24"/>
          <w:szCs w:val="24"/>
          <w:lang w:val="ro-RO" w:eastAsia="ro-RO" w:bidi="ro-RO"/>
        </w:rPr>
        <w:t>, ceea ce a admis raportarea neveridică a acestora şi necalcularea uzurii respective.</w:t>
      </w:r>
    </w:p>
    <w:p w:rsidR="00AC6703" w:rsidRPr="00B05CFC" w:rsidRDefault="005D6AE0" w:rsidP="00A7556E">
      <w:pPr>
        <w:shd w:val="clear" w:color="auto" w:fill="FFFFFF" w:themeFill="background1"/>
        <w:tabs>
          <w:tab w:val="left" w:pos="284"/>
          <w:tab w:val="left" w:pos="993"/>
        </w:tabs>
        <w:spacing w:after="0" w:line="276" w:lineRule="auto"/>
        <w:rPr>
          <w:rFonts w:asciiTheme="majorHAnsi" w:hAnsiTheme="majorHAnsi" w:cstheme="majorHAnsi"/>
          <w:b/>
          <w:sz w:val="24"/>
          <w:szCs w:val="24"/>
          <w:lang w:val="ro-RO"/>
        </w:rPr>
      </w:pPr>
      <w:r w:rsidRPr="00F55BA6">
        <w:rPr>
          <w:rFonts w:asciiTheme="majorHAnsi" w:hAnsiTheme="majorHAnsi" w:cstheme="majorHAnsi"/>
          <w:b/>
          <w:sz w:val="24"/>
          <w:szCs w:val="24"/>
          <w:lang w:val="ro-RO"/>
        </w:rPr>
        <w:t>6.10</w:t>
      </w:r>
      <w:r w:rsidR="009613EB" w:rsidRPr="00F55BA6">
        <w:rPr>
          <w:rFonts w:asciiTheme="majorHAnsi" w:hAnsiTheme="majorHAnsi" w:cstheme="majorHAnsi"/>
          <w:b/>
          <w:sz w:val="24"/>
          <w:szCs w:val="24"/>
          <w:lang w:val="ro-RO"/>
        </w:rPr>
        <w:t xml:space="preserve"> </w:t>
      </w:r>
      <w:r w:rsidR="00AC6703" w:rsidRPr="00F55BA6">
        <w:rPr>
          <w:rFonts w:asciiTheme="majorHAnsi" w:hAnsiTheme="majorHAnsi" w:cstheme="majorHAnsi"/>
          <w:b/>
          <w:sz w:val="24"/>
          <w:szCs w:val="24"/>
          <w:lang w:val="ro-RO"/>
        </w:rPr>
        <w:t>Neconfirmarea executării mijloacelor pentru Programul activităților de reintegrare a țării</w:t>
      </w:r>
      <w:r w:rsidR="00AC6703" w:rsidRPr="00F55BA6">
        <w:rPr>
          <w:rFonts w:asciiTheme="majorHAnsi" w:hAnsiTheme="majorHAnsi" w:cstheme="majorHAnsi"/>
          <w:sz w:val="24"/>
          <w:szCs w:val="24"/>
          <w:lang w:val="ro-RO"/>
        </w:rPr>
        <w:t xml:space="preserve"> </w:t>
      </w:r>
      <w:r w:rsidR="00AC6703" w:rsidRPr="00F55BA6">
        <w:rPr>
          <w:rFonts w:asciiTheme="majorHAnsi" w:hAnsiTheme="majorHAnsi" w:cstheme="majorHAnsi"/>
          <w:b/>
          <w:sz w:val="24"/>
          <w:szCs w:val="24"/>
          <w:lang w:val="ro-RO"/>
        </w:rPr>
        <w:t>de către</w:t>
      </w:r>
      <w:r w:rsidR="00AC6703" w:rsidRPr="00F55BA6">
        <w:rPr>
          <w:rFonts w:asciiTheme="majorHAnsi" w:hAnsiTheme="majorHAnsi" w:cstheme="majorHAnsi"/>
          <w:sz w:val="24"/>
          <w:szCs w:val="24"/>
          <w:lang w:val="ro-RO"/>
        </w:rPr>
        <w:t xml:space="preserve"> </w:t>
      </w:r>
      <w:r w:rsidR="00AC6703" w:rsidRPr="00F55BA6">
        <w:rPr>
          <w:rFonts w:asciiTheme="majorHAnsi" w:hAnsiTheme="majorHAnsi" w:cstheme="majorHAnsi"/>
          <w:b/>
          <w:sz w:val="24"/>
          <w:szCs w:val="24"/>
          <w:lang w:val="ro-RO"/>
        </w:rPr>
        <w:t>autoritățile care au beneficiat de alocații din BS</w:t>
      </w:r>
      <w:r w:rsidR="00F5550A" w:rsidRPr="00F55BA6">
        <w:rPr>
          <w:rFonts w:asciiTheme="majorHAnsi" w:hAnsiTheme="majorHAnsi" w:cstheme="majorHAnsi"/>
          <w:b/>
          <w:sz w:val="24"/>
          <w:szCs w:val="24"/>
          <w:lang w:val="ro-RO"/>
        </w:rPr>
        <w:t>,</w:t>
      </w:r>
      <w:r w:rsidR="00AC6703" w:rsidRPr="00F55BA6">
        <w:rPr>
          <w:rFonts w:asciiTheme="majorHAnsi" w:hAnsiTheme="majorHAnsi" w:cstheme="majorHAnsi"/>
          <w:b/>
          <w:sz w:val="24"/>
          <w:szCs w:val="24"/>
          <w:lang w:val="ro-RO"/>
        </w:rPr>
        <w:t xml:space="preserve"> iar la </w:t>
      </w:r>
      <w:r w:rsidR="00AC6703" w:rsidRPr="00E4517B">
        <w:rPr>
          <w:rFonts w:asciiTheme="majorHAnsi" w:hAnsiTheme="majorHAnsi" w:cstheme="majorHAnsi"/>
          <w:b/>
          <w:sz w:val="24"/>
          <w:szCs w:val="24"/>
          <w:lang w:val="ro-RO"/>
        </w:rPr>
        <w:t xml:space="preserve">implementarea Programului de stat </w:t>
      </w:r>
      <w:r w:rsidR="00F5550A" w:rsidRPr="00973E5B">
        <w:rPr>
          <w:rFonts w:asciiTheme="majorHAnsi" w:hAnsiTheme="majorHAnsi" w:cstheme="majorHAnsi"/>
          <w:b/>
          <w:sz w:val="24"/>
          <w:szCs w:val="24"/>
          <w:lang w:val="ro-RO"/>
        </w:rPr>
        <w:t>„</w:t>
      </w:r>
      <w:r w:rsidR="00AC6703" w:rsidRPr="00207634">
        <w:rPr>
          <w:rFonts w:asciiTheme="majorHAnsi" w:hAnsiTheme="majorHAnsi" w:cstheme="majorHAnsi"/>
          <w:b/>
          <w:sz w:val="24"/>
          <w:szCs w:val="24"/>
          <w:lang w:val="ro-RO"/>
        </w:rPr>
        <w:t>Prima casă” s-a înregistrat un caz de activare a garanției de stat</w:t>
      </w:r>
      <w:r w:rsidR="00CE0E4D">
        <w:rPr>
          <w:rFonts w:asciiTheme="majorHAnsi" w:hAnsiTheme="majorHAnsi" w:cstheme="majorHAnsi"/>
          <w:b/>
          <w:sz w:val="24"/>
          <w:szCs w:val="24"/>
          <w:lang w:val="ro-RO"/>
        </w:rPr>
        <w:t>.</w:t>
      </w:r>
    </w:p>
    <w:p w:rsidR="00AC6703" w:rsidRPr="00F55BA6" w:rsidRDefault="00AC6703" w:rsidP="00AC6703">
      <w:pPr>
        <w:shd w:val="clear" w:color="auto" w:fill="FFFFFF" w:themeFill="background1"/>
        <w:tabs>
          <w:tab w:val="left" w:pos="284"/>
          <w:tab w:val="left" w:pos="993"/>
        </w:tabs>
        <w:spacing w:after="0" w:line="276" w:lineRule="auto"/>
        <w:rPr>
          <w:rFonts w:asciiTheme="majorHAnsi" w:hAnsiTheme="majorHAnsi" w:cstheme="majorHAnsi"/>
          <w:sz w:val="24"/>
          <w:szCs w:val="24"/>
          <w:lang w:val="ro-RO"/>
        </w:rPr>
      </w:pPr>
      <w:r w:rsidRPr="00F55BA6">
        <w:rPr>
          <w:rFonts w:asciiTheme="majorHAnsi" w:hAnsiTheme="majorHAnsi" w:cstheme="majorHAnsi"/>
          <w:sz w:val="24"/>
          <w:szCs w:val="24"/>
          <w:lang w:val="ro-RO"/>
        </w:rPr>
        <w:lastRenderedPageBreak/>
        <w:t>Conform art.3 lit. a) din Legea BS pentru anul 2020, au fost aprobate alocații pentru activități de reintegrare a țării în sumă de 15,0 mil. lei</w:t>
      </w:r>
      <w:r w:rsidR="00F5550A" w:rsidRPr="00F55BA6">
        <w:rPr>
          <w:rFonts w:asciiTheme="majorHAnsi" w:hAnsiTheme="majorHAnsi" w:cstheme="majorHAnsi"/>
          <w:sz w:val="24"/>
          <w:szCs w:val="24"/>
          <w:lang w:val="ro-RO"/>
        </w:rPr>
        <w:t>,</w:t>
      </w:r>
      <w:r w:rsidRPr="00F55BA6">
        <w:rPr>
          <w:rFonts w:asciiTheme="majorHAnsi" w:hAnsiTheme="majorHAnsi" w:cstheme="majorHAnsi"/>
          <w:sz w:val="24"/>
          <w:szCs w:val="24"/>
          <w:lang w:val="ro-RO"/>
        </w:rPr>
        <w:t xml:space="preserve"> fiind executate la nivel de 98,0% (14,7 mil. lei), din care 11,5 mil. lei au fost transferate bugetelor locale. Repartizarea acestor alocații s-a efectuat în baza HG nr.256 din 29.04.2020</w:t>
      </w:r>
      <w:r w:rsidRPr="00F55BA6">
        <w:rPr>
          <w:rFonts w:asciiTheme="majorHAnsi" w:hAnsiTheme="majorHAnsi" w:cstheme="majorHAnsi"/>
          <w:sz w:val="24"/>
          <w:szCs w:val="24"/>
          <w:vertAlign w:val="superscript"/>
          <w:lang w:val="ro-RO"/>
        </w:rPr>
        <w:footnoteReference w:id="61"/>
      </w:r>
      <w:r w:rsidRPr="00F55BA6">
        <w:rPr>
          <w:rFonts w:asciiTheme="majorHAnsi" w:hAnsiTheme="majorHAnsi" w:cstheme="majorHAnsi"/>
          <w:sz w:val="24"/>
          <w:szCs w:val="24"/>
          <w:lang w:val="ro-RO"/>
        </w:rPr>
        <w:t xml:space="preserve">, pentru: </w:t>
      </w:r>
      <w:r w:rsidRPr="00F55BA6">
        <w:rPr>
          <w:rFonts w:asciiTheme="majorHAnsi" w:hAnsiTheme="majorHAnsi" w:cstheme="majorHAnsi"/>
          <w:i/>
          <w:sz w:val="24"/>
          <w:szCs w:val="24"/>
          <w:lang w:val="ro-RO"/>
        </w:rPr>
        <w:t>(i)</w:t>
      </w:r>
      <w:r w:rsidRPr="00F55BA6">
        <w:rPr>
          <w:rFonts w:asciiTheme="majorHAnsi" w:hAnsiTheme="majorHAnsi" w:cstheme="majorHAnsi"/>
          <w:sz w:val="24"/>
          <w:szCs w:val="24"/>
          <w:lang w:val="ro-RO"/>
        </w:rPr>
        <w:t xml:space="preserve"> dezvoltarea și modernizarea instituțiilor din sistemul educațional – 5,0 mil. lei; </w:t>
      </w:r>
      <w:r w:rsidRPr="00F55BA6">
        <w:rPr>
          <w:rFonts w:asciiTheme="majorHAnsi" w:hAnsiTheme="majorHAnsi" w:cstheme="majorHAnsi"/>
          <w:i/>
          <w:sz w:val="24"/>
          <w:szCs w:val="24"/>
          <w:lang w:val="ro-RO"/>
        </w:rPr>
        <w:t>(ii)</w:t>
      </w:r>
      <w:r w:rsidRPr="00F55BA6">
        <w:rPr>
          <w:rFonts w:asciiTheme="majorHAnsi" w:hAnsiTheme="majorHAnsi" w:cstheme="majorHAnsi"/>
          <w:sz w:val="24"/>
          <w:szCs w:val="24"/>
          <w:lang w:val="ro-RO"/>
        </w:rPr>
        <w:t xml:space="preserve"> reparația sau dotarea clădirilor instituțiilor de cultură, sport și medico-sanitare – 2,9 mil. lei; </w:t>
      </w:r>
      <w:r w:rsidRPr="00F55BA6">
        <w:rPr>
          <w:rFonts w:asciiTheme="majorHAnsi" w:hAnsiTheme="majorHAnsi" w:cstheme="majorHAnsi"/>
          <w:i/>
          <w:sz w:val="24"/>
          <w:szCs w:val="24"/>
          <w:lang w:val="ro-RO"/>
        </w:rPr>
        <w:t>(iii)</w:t>
      </w:r>
      <w:r w:rsidRPr="00F55BA6">
        <w:rPr>
          <w:rFonts w:asciiTheme="majorHAnsi" w:hAnsiTheme="majorHAnsi" w:cstheme="majorHAnsi"/>
          <w:sz w:val="24"/>
          <w:szCs w:val="24"/>
          <w:lang w:val="ro-RO"/>
        </w:rPr>
        <w:t xml:space="preserve"> iluminarea stradală și reconstrucția apeductelor – 6,2 mil. lei; </w:t>
      </w:r>
      <w:r w:rsidRPr="00F55BA6">
        <w:rPr>
          <w:rFonts w:asciiTheme="majorHAnsi" w:hAnsiTheme="majorHAnsi" w:cstheme="majorHAnsi"/>
          <w:i/>
          <w:sz w:val="24"/>
          <w:szCs w:val="24"/>
          <w:lang w:val="ro-RO"/>
        </w:rPr>
        <w:t>(iv)</w:t>
      </w:r>
      <w:r w:rsidRPr="00F55BA6">
        <w:rPr>
          <w:rFonts w:asciiTheme="majorHAnsi" w:hAnsiTheme="majorHAnsi" w:cstheme="majorHAnsi"/>
          <w:sz w:val="24"/>
          <w:szCs w:val="24"/>
          <w:lang w:val="ro-RO"/>
        </w:rPr>
        <w:t xml:space="preserve"> alte activități – 0,9 mil. lei. Auditul a constatat că MF nu a solicitat documente confirmative de la APC și APL, în calitate de beneficiari ai alocațiilor aprobate, dar a finanțat proiectele selectate în cadrul Programului în baza </w:t>
      </w:r>
      <w:r w:rsidR="00A85A95" w:rsidRPr="00F55BA6">
        <w:rPr>
          <w:rFonts w:asciiTheme="majorHAnsi" w:hAnsiTheme="majorHAnsi" w:cstheme="majorHAnsi"/>
          <w:sz w:val="24"/>
          <w:szCs w:val="24"/>
          <w:lang w:val="ro-RO"/>
        </w:rPr>
        <w:t>ordinelor de plată</w:t>
      </w:r>
      <w:r w:rsidRPr="00F55BA6">
        <w:rPr>
          <w:rFonts w:asciiTheme="majorHAnsi" w:hAnsiTheme="majorHAnsi" w:cstheme="majorHAnsi"/>
          <w:sz w:val="24"/>
          <w:szCs w:val="24"/>
          <w:lang w:val="ro-RO"/>
        </w:rPr>
        <w:t xml:space="preserve"> prezentate. Totodată, contrar prevederilor cadrului normativ</w:t>
      </w:r>
      <w:r w:rsidRPr="00F55BA6">
        <w:rPr>
          <w:rStyle w:val="ac"/>
          <w:rFonts w:asciiTheme="majorHAnsi" w:hAnsiTheme="majorHAnsi" w:cstheme="majorHAnsi"/>
          <w:sz w:val="24"/>
          <w:szCs w:val="24"/>
          <w:lang w:val="ro-RO"/>
        </w:rPr>
        <w:footnoteReference w:id="62"/>
      </w:r>
      <w:r w:rsidR="00F5550A" w:rsidRPr="00F55BA6">
        <w:rPr>
          <w:rFonts w:asciiTheme="majorHAnsi" w:hAnsiTheme="majorHAnsi" w:cstheme="majorHAnsi"/>
          <w:sz w:val="24"/>
          <w:szCs w:val="24"/>
          <w:lang w:val="ro-RO"/>
        </w:rPr>
        <w:t>,</w:t>
      </w:r>
      <w:r w:rsidRPr="00F55BA6">
        <w:rPr>
          <w:rFonts w:asciiTheme="majorHAnsi" w:hAnsiTheme="majorHAnsi" w:cstheme="majorHAnsi"/>
          <w:sz w:val="24"/>
          <w:szCs w:val="24"/>
          <w:lang w:val="ro-RO"/>
        </w:rPr>
        <w:t xml:space="preserve"> autoritățile care au beneficiat de alocații din BS nu au prezentat MF rapoartele semestriale și anuale privind utilizarea mijloacelor alocate din Programul activităților de reintegrare a țării.</w:t>
      </w:r>
    </w:p>
    <w:p w:rsidR="00AC6703" w:rsidRPr="00F55BA6" w:rsidRDefault="00AC6703" w:rsidP="00AC6703">
      <w:pPr>
        <w:spacing w:after="0" w:line="276" w:lineRule="auto"/>
        <w:rPr>
          <w:rFonts w:asciiTheme="majorHAnsi" w:hAnsiTheme="majorHAnsi" w:cstheme="majorHAnsi"/>
          <w:sz w:val="24"/>
          <w:szCs w:val="24"/>
          <w:lang w:val="ro-RO"/>
        </w:rPr>
      </w:pPr>
      <w:r w:rsidRPr="00F55BA6">
        <w:rPr>
          <w:rFonts w:asciiTheme="majorHAnsi" w:hAnsiTheme="majorHAnsi" w:cstheme="majorHAnsi"/>
          <w:sz w:val="24"/>
          <w:szCs w:val="24"/>
          <w:lang w:val="ro-RO"/>
        </w:rPr>
        <w:t>Pentru anul 2020, în Legea bugetului de stat au fost prevăzute inițial 70,0 mil. lei</w:t>
      </w:r>
      <w:r w:rsidR="00C70126">
        <w:rPr>
          <w:rFonts w:asciiTheme="majorHAnsi" w:hAnsiTheme="majorHAnsi" w:cstheme="majorHAnsi"/>
          <w:sz w:val="24"/>
          <w:szCs w:val="24"/>
          <w:lang w:val="ro-RO"/>
        </w:rPr>
        <w:t>,</w:t>
      </w:r>
      <w:r w:rsidRPr="00F55BA6">
        <w:rPr>
          <w:rFonts w:asciiTheme="majorHAnsi" w:hAnsiTheme="majorHAnsi" w:cstheme="majorHAnsi"/>
          <w:sz w:val="24"/>
          <w:szCs w:val="24"/>
          <w:lang w:val="ro-RO"/>
        </w:rPr>
        <w:t xml:space="preserve"> ulterior fiind majorate alocațiile la 90,0 mil. lei pentru implementarea Programului de stat „Prima casă”, inclusiv 50,0 mil. lei pentru onorarea garanțiilor de stat, din cauza modificărilor condițiilor de accedere și creșterea numărului categoriilor de beneficiari. Astfel, pentru programele de compensare s-au alocat 40 mil. lei</w:t>
      </w:r>
      <w:r w:rsidR="00F5550A" w:rsidRPr="00F55BA6">
        <w:rPr>
          <w:rFonts w:asciiTheme="majorHAnsi" w:hAnsiTheme="majorHAnsi" w:cstheme="majorHAnsi"/>
          <w:sz w:val="24"/>
          <w:szCs w:val="24"/>
          <w:lang w:val="ro-RO"/>
        </w:rPr>
        <w:t>,</w:t>
      </w:r>
      <w:r w:rsidRPr="00F55BA6">
        <w:rPr>
          <w:rFonts w:asciiTheme="majorHAnsi" w:hAnsiTheme="majorHAnsi" w:cstheme="majorHAnsi"/>
          <w:sz w:val="24"/>
          <w:szCs w:val="24"/>
          <w:lang w:val="ro-RO"/>
        </w:rPr>
        <w:t xml:space="preserve"> din care au fost executate 24,7 mil. lei, fiind acceptați 1 727 de beneficiari în cadrul programelor demarate în anul 2020. </w:t>
      </w:r>
      <w:r w:rsidRPr="00E4517B">
        <w:rPr>
          <w:rFonts w:asciiTheme="majorHAnsi" w:hAnsiTheme="majorHAnsi" w:cstheme="majorHAnsi"/>
          <w:bCs/>
          <w:sz w:val="24"/>
          <w:szCs w:val="24"/>
          <w:lang w:val="ro-RO"/>
        </w:rPr>
        <w:t>La situația din 31 decembrie 2020</w:t>
      </w:r>
      <w:r w:rsidR="00F5550A" w:rsidRPr="00E4517B">
        <w:rPr>
          <w:rFonts w:asciiTheme="majorHAnsi" w:hAnsiTheme="majorHAnsi" w:cstheme="majorHAnsi"/>
          <w:bCs/>
          <w:sz w:val="24"/>
          <w:szCs w:val="24"/>
          <w:lang w:val="ro-RO"/>
        </w:rPr>
        <w:t>,</w:t>
      </w:r>
      <w:r w:rsidRPr="00973E5B">
        <w:rPr>
          <w:rFonts w:asciiTheme="majorHAnsi" w:hAnsiTheme="majorHAnsi" w:cstheme="majorHAnsi"/>
          <w:bCs/>
          <w:sz w:val="24"/>
          <w:szCs w:val="24"/>
          <w:lang w:val="ro-RO"/>
        </w:rPr>
        <w:t xml:space="preserve"> soldul creditelor garantate acordate în cadrul Programului de stat </w:t>
      </w:r>
      <w:r w:rsidR="00F5550A" w:rsidRPr="00207634">
        <w:rPr>
          <w:rFonts w:asciiTheme="majorHAnsi" w:hAnsiTheme="majorHAnsi" w:cstheme="majorHAnsi"/>
          <w:bCs/>
          <w:sz w:val="24"/>
          <w:szCs w:val="24"/>
          <w:lang w:val="ro-RO"/>
        </w:rPr>
        <w:t>„</w:t>
      </w:r>
      <w:r w:rsidRPr="00207634">
        <w:rPr>
          <w:rFonts w:asciiTheme="majorHAnsi" w:hAnsiTheme="majorHAnsi" w:cstheme="majorHAnsi"/>
          <w:bCs/>
          <w:sz w:val="24"/>
          <w:szCs w:val="24"/>
          <w:lang w:val="ro-RO"/>
        </w:rPr>
        <w:t>Prima casă” a constituit 1 233,8 mil. lei. Se menționează că, în anul 2020</w:t>
      </w:r>
      <w:r w:rsidR="00C70126">
        <w:rPr>
          <w:rFonts w:asciiTheme="majorHAnsi" w:hAnsiTheme="majorHAnsi" w:cstheme="majorHAnsi"/>
          <w:bCs/>
          <w:sz w:val="24"/>
          <w:szCs w:val="24"/>
          <w:lang w:val="ro-RO"/>
        </w:rPr>
        <w:t>,</w:t>
      </w:r>
      <w:r w:rsidRPr="00207634">
        <w:rPr>
          <w:rFonts w:asciiTheme="majorHAnsi" w:hAnsiTheme="majorHAnsi" w:cstheme="majorHAnsi"/>
          <w:bCs/>
          <w:sz w:val="24"/>
          <w:szCs w:val="24"/>
          <w:lang w:val="ro-RO"/>
        </w:rPr>
        <w:t xml:space="preserve"> a fost înregistrat primul caz </w:t>
      </w:r>
      <w:r w:rsidRPr="00B05CFC">
        <w:rPr>
          <w:rFonts w:asciiTheme="majorHAnsi" w:hAnsiTheme="majorHAnsi" w:cstheme="majorHAnsi"/>
          <w:bCs/>
          <w:sz w:val="24"/>
          <w:szCs w:val="24"/>
          <w:lang w:val="ro-RO"/>
        </w:rPr>
        <w:t>de onorare a garanției de stat în sumă de 167,7 mii lei acordate în cadrul Programului de stat „Prima casă”,</w:t>
      </w:r>
      <w:r w:rsidRPr="00F55BA6">
        <w:rPr>
          <w:rFonts w:asciiTheme="majorHAnsi" w:eastAsia="Times New Roman" w:hAnsiTheme="majorHAnsi" w:cstheme="majorHAnsi"/>
          <w:sz w:val="24"/>
          <w:szCs w:val="24"/>
          <w:lang w:val="ro-RO"/>
        </w:rPr>
        <w:t xml:space="preserve"> ceea ce denotă că generează</w:t>
      </w:r>
      <w:r w:rsidR="00C70126">
        <w:rPr>
          <w:rFonts w:asciiTheme="majorHAnsi" w:eastAsia="Times New Roman" w:hAnsiTheme="majorHAnsi" w:cstheme="majorHAnsi"/>
          <w:sz w:val="24"/>
          <w:szCs w:val="24"/>
          <w:lang w:val="ro-RO"/>
        </w:rPr>
        <w:t xml:space="preserve"> </w:t>
      </w:r>
      <w:r w:rsidRPr="00F55BA6">
        <w:rPr>
          <w:rFonts w:asciiTheme="majorHAnsi" w:eastAsia="Times New Roman" w:hAnsiTheme="majorHAnsi" w:cstheme="majorHAnsi"/>
          <w:sz w:val="24"/>
          <w:szCs w:val="24"/>
          <w:lang w:val="ro-RO"/>
        </w:rPr>
        <w:t>presiuni adiționale asupra BS.</w:t>
      </w:r>
    </w:p>
    <w:p w:rsidR="00671D12" w:rsidRPr="00F55BA6" w:rsidRDefault="005D6AE0" w:rsidP="00134A6E">
      <w:pPr>
        <w:tabs>
          <w:tab w:val="left" w:pos="426"/>
        </w:tabs>
        <w:spacing w:after="0" w:line="276" w:lineRule="auto"/>
        <w:contextualSpacing/>
        <w:outlineLvl w:val="0"/>
        <w:rPr>
          <w:rFonts w:asciiTheme="majorHAnsi" w:eastAsia="Times New Roman" w:hAnsiTheme="majorHAnsi" w:cs="Times New Roman"/>
          <w:b/>
          <w:sz w:val="24"/>
          <w:szCs w:val="24"/>
          <w:lang w:val="ro-RO"/>
        </w:rPr>
      </w:pPr>
      <w:r w:rsidRPr="00F55BA6">
        <w:rPr>
          <w:rFonts w:asciiTheme="majorHAnsi" w:eastAsia="Times New Roman" w:hAnsiTheme="majorHAnsi" w:cs="Times New Roman"/>
          <w:b/>
          <w:sz w:val="24"/>
          <w:szCs w:val="24"/>
          <w:lang w:val="ro-RO"/>
        </w:rPr>
        <w:t>6.11</w:t>
      </w:r>
      <w:r w:rsidR="009613EB" w:rsidRPr="00F55BA6">
        <w:rPr>
          <w:rFonts w:asciiTheme="majorHAnsi" w:eastAsia="Times New Roman" w:hAnsiTheme="majorHAnsi" w:cs="Times New Roman"/>
          <w:b/>
          <w:sz w:val="24"/>
          <w:szCs w:val="24"/>
          <w:lang w:val="ro-RO"/>
        </w:rPr>
        <w:t xml:space="preserve"> </w:t>
      </w:r>
      <w:r w:rsidR="00671D12" w:rsidRPr="00F55BA6">
        <w:rPr>
          <w:rFonts w:asciiTheme="majorHAnsi" w:eastAsia="Times New Roman" w:hAnsiTheme="majorHAnsi" w:cs="Times New Roman"/>
          <w:b/>
          <w:sz w:val="24"/>
          <w:szCs w:val="24"/>
          <w:lang w:val="ro-RO"/>
        </w:rPr>
        <w:t xml:space="preserve">Mijloacele fondurilor de urgență ale Guvernului </w:t>
      </w:r>
      <w:r w:rsidR="00671D12" w:rsidRPr="00E4517B">
        <w:rPr>
          <w:rFonts w:asciiTheme="majorHAnsi" w:eastAsia="Times New Roman" w:hAnsiTheme="majorHAnsi" w:cs="Times New Roman"/>
          <w:b/>
          <w:sz w:val="24"/>
          <w:szCs w:val="24"/>
          <w:lang w:val="ro-RO"/>
        </w:rPr>
        <w:t>au fost executate</w:t>
      </w:r>
      <w:r w:rsidR="00900C98" w:rsidRPr="00E4517B">
        <w:rPr>
          <w:rFonts w:asciiTheme="majorHAnsi" w:eastAsia="Times New Roman" w:hAnsiTheme="majorHAnsi" w:cs="Times New Roman"/>
          <w:b/>
          <w:sz w:val="24"/>
          <w:szCs w:val="24"/>
          <w:lang w:val="ro-RO"/>
        </w:rPr>
        <w:t xml:space="preserve"> în majoritate</w:t>
      </w:r>
      <w:r w:rsidR="00671D12" w:rsidRPr="00973E5B">
        <w:rPr>
          <w:rFonts w:asciiTheme="majorHAnsi" w:eastAsia="Times New Roman" w:hAnsiTheme="majorHAnsi" w:cs="Times New Roman"/>
          <w:b/>
          <w:sz w:val="24"/>
          <w:szCs w:val="24"/>
          <w:lang w:val="ro-RO"/>
        </w:rPr>
        <w:t xml:space="preserve"> </w:t>
      </w:r>
      <w:r w:rsidR="003B3F0B" w:rsidRPr="00F55BA6">
        <w:rPr>
          <w:rFonts w:asciiTheme="majorHAnsi" w:eastAsia="Times New Roman" w:hAnsiTheme="majorHAnsi" w:cstheme="majorHAnsi"/>
          <w:b/>
          <w:sz w:val="24"/>
          <w:szCs w:val="24"/>
          <w:lang w:val="ro-RO"/>
        </w:rPr>
        <w:t xml:space="preserve">pentru procurarea echipamentelor de protecție în scopul prevenirii și controlului infecției cu COVID-19 și </w:t>
      </w:r>
      <w:r w:rsidR="00C70126">
        <w:rPr>
          <w:rFonts w:asciiTheme="majorHAnsi" w:eastAsia="Times New Roman" w:hAnsiTheme="majorHAnsi" w:cstheme="majorHAnsi"/>
          <w:b/>
          <w:sz w:val="24"/>
          <w:szCs w:val="24"/>
          <w:lang w:val="ro-RO"/>
        </w:rPr>
        <w:t xml:space="preserve">pentru </w:t>
      </w:r>
      <w:r w:rsidR="003B3F0B" w:rsidRPr="00F55BA6">
        <w:rPr>
          <w:rFonts w:asciiTheme="majorHAnsi" w:eastAsia="Times New Roman" w:hAnsiTheme="majorHAnsi" w:cstheme="majorHAnsi"/>
          <w:b/>
          <w:sz w:val="24"/>
          <w:szCs w:val="24"/>
          <w:lang w:val="ro-RO"/>
        </w:rPr>
        <w:t xml:space="preserve">acordarea </w:t>
      </w:r>
      <w:r w:rsidR="00F5550A" w:rsidRPr="00F55BA6">
        <w:rPr>
          <w:rFonts w:asciiTheme="majorHAnsi" w:eastAsia="Times New Roman" w:hAnsiTheme="majorHAnsi" w:cstheme="majorHAnsi"/>
          <w:b/>
          <w:sz w:val="24"/>
          <w:szCs w:val="24"/>
          <w:lang w:val="ro-RO"/>
        </w:rPr>
        <w:t>i</w:t>
      </w:r>
      <w:r w:rsidR="003B3F0B" w:rsidRPr="00F55BA6">
        <w:rPr>
          <w:rFonts w:asciiTheme="majorHAnsi" w:eastAsia="Times New Roman" w:hAnsiTheme="majorHAnsi" w:cstheme="majorHAnsi"/>
          <w:b/>
          <w:sz w:val="24"/>
          <w:szCs w:val="24"/>
          <w:lang w:val="ro-RO"/>
        </w:rPr>
        <w:t>ndemnizațiilor unice angajaților infectați</w:t>
      </w:r>
      <w:r w:rsidR="00C70126">
        <w:rPr>
          <w:rFonts w:asciiTheme="majorHAnsi" w:eastAsia="Times New Roman" w:hAnsiTheme="majorHAnsi" w:cstheme="majorHAnsi"/>
          <w:b/>
          <w:sz w:val="24"/>
          <w:szCs w:val="24"/>
          <w:lang w:val="ro-RO"/>
        </w:rPr>
        <w:t>.</w:t>
      </w:r>
    </w:p>
    <w:p w:rsidR="00E726A9" w:rsidRPr="00F55BA6" w:rsidRDefault="007666AD" w:rsidP="00E726A9">
      <w:pPr>
        <w:tabs>
          <w:tab w:val="left" w:pos="993"/>
        </w:tabs>
        <w:spacing w:after="0" w:line="276" w:lineRule="auto"/>
        <w:contextualSpacing/>
        <w:rPr>
          <w:rFonts w:asciiTheme="majorHAnsi" w:eastAsia="Times New Roman" w:hAnsiTheme="majorHAnsi" w:cstheme="majorHAnsi"/>
          <w:sz w:val="24"/>
          <w:szCs w:val="24"/>
          <w:lang w:val="ro-RO"/>
        </w:rPr>
      </w:pPr>
      <w:r w:rsidRPr="00F55BA6">
        <w:rPr>
          <w:rFonts w:asciiTheme="majorHAnsi" w:eastAsia="Times New Roman" w:hAnsiTheme="majorHAnsi" w:cstheme="majorHAnsi"/>
          <w:sz w:val="24"/>
          <w:szCs w:val="24"/>
          <w:lang w:val="ro-RO"/>
        </w:rPr>
        <w:t>P</w:t>
      </w:r>
      <w:r w:rsidR="003F528F" w:rsidRPr="00F55BA6">
        <w:rPr>
          <w:rFonts w:asciiTheme="majorHAnsi" w:eastAsia="Times New Roman" w:hAnsiTheme="majorHAnsi" w:cstheme="majorHAnsi"/>
          <w:sz w:val="24"/>
          <w:szCs w:val="24"/>
          <w:lang w:val="ro-RO"/>
        </w:rPr>
        <w:t>entru anul 2020</w:t>
      </w:r>
      <w:r w:rsidR="003F528F" w:rsidRPr="00F55BA6">
        <w:rPr>
          <w:rFonts w:asciiTheme="majorHAnsi" w:eastAsia="Times New Roman" w:hAnsiTheme="majorHAnsi" w:cstheme="majorHAnsi"/>
          <w:sz w:val="24"/>
          <w:szCs w:val="24"/>
          <w:vertAlign w:val="superscript"/>
          <w:lang w:val="ro-RO"/>
        </w:rPr>
        <w:footnoteReference w:id="63"/>
      </w:r>
      <w:r w:rsidR="003F528F" w:rsidRPr="00F55BA6">
        <w:rPr>
          <w:rFonts w:asciiTheme="majorHAnsi" w:eastAsia="Times New Roman" w:hAnsiTheme="majorHAnsi" w:cstheme="majorHAnsi"/>
          <w:sz w:val="24"/>
          <w:szCs w:val="24"/>
          <w:lang w:val="ro-RO"/>
        </w:rPr>
        <w:t xml:space="preserve">, fondurile de urgență ale Guvernului inițial au fost aprobate în sumă de 88,0 mil. lei, inclusiv 50,0 mil. lei – fondul de rezervă al Guvernului, și 38,0 mil. lei – fondul de intervenție al Guvernului. </w:t>
      </w:r>
      <w:r w:rsidR="00F5550A" w:rsidRPr="00F55BA6">
        <w:rPr>
          <w:rFonts w:asciiTheme="majorHAnsi" w:eastAsia="Times New Roman" w:hAnsiTheme="majorHAnsi" w:cstheme="majorHAnsi"/>
          <w:sz w:val="24"/>
          <w:szCs w:val="24"/>
          <w:lang w:val="ro-RO"/>
        </w:rPr>
        <w:t>Ca u</w:t>
      </w:r>
      <w:r w:rsidR="003F528F" w:rsidRPr="00F55BA6">
        <w:rPr>
          <w:rFonts w:asciiTheme="majorHAnsi" w:eastAsia="Times New Roman" w:hAnsiTheme="majorHAnsi" w:cstheme="majorHAnsi"/>
          <w:sz w:val="24"/>
          <w:szCs w:val="24"/>
          <w:lang w:val="ro-RO"/>
        </w:rPr>
        <w:t>rmare a modificărilor operate pe parcursul anului, alocațiile pentru fondul de rezervă au</w:t>
      </w:r>
      <w:r w:rsidR="00B91200" w:rsidRPr="00F55BA6">
        <w:rPr>
          <w:rFonts w:asciiTheme="majorHAnsi" w:eastAsia="Times New Roman" w:hAnsiTheme="majorHAnsi" w:cstheme="majorHAnsi"/>
          <w:sz w:val="24"/>
          <w:szCs w:val="24"/>
          <w:lang w:val="ro-RO"/>
        </w:rPr>
        <w:t xml:space="preserve"> fost majorate cu 57,0 mil. lei</w:t>
      </w:r>
      <w:r w:rsidR="00F5550A" w:rsidRPr="00F55BA6">
        <w:rPr>
          <w:rFonts w:asciiTheme="majorHAnsi" w:eastAsia="Times New Roman" w:hAnsiTheme="majorHAnsi" w:cstheme="majorHAnsi"/>
          <w:sz w:val="24"/>
          <w:szCs w:val="24"/>
          <w:lang w:val="ro-RO"/>
        </w:rPr>
        <w:t>,</w:t>
      </w:r>
      <w:r w:rsidR="003F528F" w:rsidRPr="00F55BA6">
        <w:rPr>
          <w:rFonts w:asciiTheme="majorHAnsi" w:eastAsia="Times New Roman" w:hAnsiTheme="majorHAnsi" w:cstheme="majorHAnsi"/>
          <w:sz w:val="24"/>
          <w:szCs w:val="24"/>
          <w:lang w:val="ro-RO"/>
        </w:rPr>
        <w:t xml:space="preserve"> </w:t>
      </w:r>
      <w:r w:rsidR="00B91200" w:rsidRPr="00F55BA6">
        <w:rPr>
          <w:rFonts w:asciiTheme="majorHAnsi" w:eastAsia="Times New Roman" w:hAnsiTheme="majorHAnsi" w:cstheme="majorHAnsi"/>
          <w:sz w:val="24"/>
          <w:szCs w:val="24"/>
          <w:lang w:val="ro-RO"/>
        </w:rPr>
        <w:t>constituind</w:t>
      </w:r>
      <w:r w:rsidR="003F528F" w:rsidRPr="00F55BA6">
        <w:rPr>
          <w:rFonts w:asciiTheme="majorHAnsi" w:eastAsia="Times New Roman" w:hAnsiTheme="majorHAnsi" w:cstheme="majorHAnsi"/>
          <w:sz w:val="24"/>
          <w:szCs w:val="24"/>
          <w:lang w:val="ro-RO"/>
        </w:rPr>
        <w:t xml:space="preserve"> 107,0 mil. lei, iar </w:t>
      </w:r>
      <w:r w:rsidR="00B91200" w:rsidRPr="00F55BA6">
        <w:rPr>
          <w:rFonts w:asciiTheme="majorHAnsi" w:eastAsia="Times New Roman" w:hAnsiTheme="majorHAnsi" w:cstheme="majorHAnsi"/>
          <w:sz w:val="24"/>
          <w:szCs w:val="24"/>
          <w:lang w:val="ro-RO"/>
        </w:rPr>
        <w:t>la</w:t>
      </w:r>
      <w:r w:rsidR="003F528F" w:rsidRPr="00F55BA6">
        <w:rPr>
          <w:rFonts w:asciiTheme="majorHAnsi" w:eastAsia="Times New Roman" w:hAnsiTheme="majorHAnsi" w:cstheme="majorHAnsi"/>
          <w:sz w:val="24"/>
          <w:szCs w:val="24"/>
          <w:lang w:val="ro-RO"/>
        </w:rPr>
        <w:t xml:space="preserve"> fondul de intervenție</w:t>
      </w:r>
      <w:r w:rsidR="00B91200" w:rsidRPr="00F55BA6">
        <w:rPr>
          <w:rFonts w:asciiTheme="majorHAnsi" w:eastAsia="Times New Roman" w:hAnsiTheme="majorHAnsi" w:cstheme="majorHAnsi"/>
          <w:sz w:val="24"/>
          <w:szCs w:val="24"/>
          <w:lang w:val="ro-RO"/>
        </w:rPr>
        <w:t xml:space="preserve"> </w:t>
      </w:r>
      <w:r w:rsidR="00F5550A" w:rsidRPr="00F55BA6">
        <w:rPr>
          <w:rFonts w:asciiTheme="majorHAnsi" w:eastAsia="Times New Roman" w:hAnsiTheme="majorHAnsi" w:cstheme="majorHAnsi"/>
          <w:sz w:val="24"/>
          <w:szCs w:val="24"/>
          <w:lang w:val="ro-RO"/>
        </w:rPr>
        <w:t xml:space="preserve">- </w:t>
      </w:r>
      <w:r w:rsidR="00B91200" w:rsidRPr="00F55BA6">
        <w:rPr>
          <w:rFonts w:asciiTheme="majorHAnsi" w:eastAsia="Times New Roman" w:hAnsiTheme="majorHAnsi" w:cstheme="majorHAnsi"/>
          <w:sz w:val="24"/>
          <w:szCs w:val="24"/>
          <w:lang w:val="ro-RO"/>
        </w:rPr>
        <w:t>cu 182,0 mil. lei</w:t>
      </w:r>
      <w:r w:rsidR="00F5550A" w:rsidRPr="00F55BA6">
        <w:rPr>
          <w:rFonts w:asciiTheme="majorHAnsi" w:eastAsia="Times New Roman" w:hAnsiTheme="majorHAnsi" w:cstheme="majorHAnsi"/>
          <w:sz w:val="24"/>
          <w:szCs w:val="24"/>
          <w:lang w:val="ro-RO"/>
        </w:rPr>
        <w:t>,</w:t>
      </w:r>
      <w:r w:rsidR="00B91200" w:rsidRPr="00F55BA6">
        <w:rPr>
          <w:rFonts w:asciiTheme="majorHAnsi" w:eastAsia="Times New Roman" w:hAnsiTheme="majorHAnsi" w:cstheme="majorHAnsi"/>
          <w:sz w:val="24"/>
          <w:szCs w:val="24"/>
          <w:lang w:val="ro-RO"/>
        </w:rPr>
        <w:t xml:space="preserve"> constituind</w:t>
      </w:r>
      <w:r w:rsidR="003F528F" w:rsidRPr="00F55BA6">
        <w:rPr>
          <w:rFonts w:asciiTheme="majorHAnsi" w:eastAsia="Times New Roman" w:hAnsiTheme="majorHAnsi" w:cstheme="majorHAnsi"/>
          <w:sz w:val="24"/>
          <w:szCs w:val="24"/>
          <w:lang w:val="ro-RO"/>
        </w:rPr>
        <w:t xml:space="preserve"> 220,0 mil. lei</w:t>
      </w:r>
      <w:r w:rsidR="00B91200" w:rsidRPr="00F55BA6">
        <w:rPr>
          <w:rFonts w:asciiTheme="majorHAnsi" w:eastAsia="Times New Roman" w:hAnsiTheme="majorHAnsi" w:cstheme="majorHAnsi"/>
          <w:sz w:val="24"/>
          <w:szCs w:val="24"/>
          <w:lang w:val="ro-RO"/>
        </w:rPr>
        <w:t>,</w:t>
      </w:r>
      <w:r w:rsidR="003F528F" w:rsidRPr="00F55BA6">
        <w:rPr>
          <w:rFonts w:asciiTheme="majorHAnsi" w:eastAsia="Times New Roman" w:hAnsiTheme="majorHAnsi" w:cstheme="majorHAnsi"/>
          <w:sz w:val="24"/>
          <w:szCs w:val="24"/>
          <w:lang w:val="ro-RO"/>
        </w:rPr>
        <w:t xml:space="preserve"> inclusiv din contul donațiilor persoanelor fizice și juridice oferite pentru combaterea pandemiei COVID-19 – 25,4 mil. lei.</w:t>
      </w:r>
    </w:p>
    <w:p w:rsidR="00CC00D5" w:rsidRPr="00F55BA6" w:rsidRDefault="00E726A9" w:rsidP="00CC00D5">
      <w:pPr>
        <w:tabs>
          <w:tab w:val="left" w:pos="993"/>
        </w:tabs>
        <w:spacing w:after="0" w:line="276" w:lineRule="auto"/>
        <w:contextualSpacing/>
        <w:rPr>
          <w:rFonts w:asciiTheme="majorHAnsi" w:eastAsia="Times New Roman" w:hAnsiTheme="majorHAnsi" w:cstheme="majorHAnsi"/>
          <w:sz w:val="24"/>
          <w:szCs w:val="24"/>
          <w:lang w:val="ro-RO"/>
        </w:rPr>
      </w:pPr>
      <w:r w:rsidRPr="00F55BA6">
        <w:rPr>
          <w:rFonts w:asciiTheme="majorHAnsi" w:eastAsia="Times New Roman" w:hAnsiTheme="majorHAnsi" w:cstheme="majorHAnsi"/>
          <w:sz w:val="24"/>
          <w:szCs w:val="24"/>
          <w:lang w:val="ro-RO"/>
        </w:rPr>
        <w:t>Conform pct.4.6 din Ordinul MF nr.215 din 28.12.2015, mijloacele bănești încasate de la donatorii autohtoni și străini, acordate în calitate de ajutoare umanitare pentru epidemii</w:t>
      </w:r>
      <w:r w:rsidR="00F5550A" w:rsidRPr="00F55BA6">
        <w:rPr>
          <w:rFonts w:asciiTheme="majorHAnsi" w:eastAsia="Times New Roman" w:hAnsiTheme="majorHAnsi" w:cstheme="majorHAnsi"/>
          <w:sz w:val="24"/>
          <w:szCs w:val="24"/>
          <w:lang w:val="ro-RO"/>
        </w:rPr>
        <w:t>,</w:t>
      </w:r>
      <w:r w:rsidRPr="00F55BA6">
        <w:rPr>
          <w:rFonts w:asciiTheme="majorHAnsi" w:eastAsia="Times New Roman" w:hAnsiTheme="majorHAnsi" w:cstheme="majorHAnsi"/>
          <w:sz w:val="24"/>
          <w:szCs w:val="24"/>
          <w:lang w:val="ro-RO"/>
        </w:rPr>
        <w:t xml:space="preserve"> se acumulează la conturile bancare ale MF deschise în BNM. </w:t>
      </w:r>
      <w:r w:rsidR="00CC00D5" w:rsidRPr="00F55BA6">
        <w:rPr>
          <w:rFonts w:asciiTheme="majorHAnsi" w:eastAsia="Times New Roman" w:hAnsiTheme="majorHAnsi" w:cstheme="majorHAnsi"/>
          <w:sz w:val="24"/>
          <w:szCs w:val="24"/>
          <w:lang w:val="ro-RO"/>
        </w:rPr>
        <w:t>Astfel, î</w:t>
      </w:r>
      <w:r w:rsidR="00CC00D5" w:rsidRPr="00E4517B">
        <w:rPr>
          <w:rFonts w:asciiTheme="majorHAnsi" w:eastAsia="Times New Roman" w:hAnsiTheme="majorHAnsi" w:cstheme="majorHAnsi"/>
          <w:sz w:val="24"/>
          <w:szCs w:val="24"/>
          <w:lang w:val="ro-RO"/>
        </w:rPr>
        <w:t>n anul 2020 au fost încasate donații voluntare în sumă de 104,6 mil. lei, din care</w:t>
      </w:r>
      <w:r w:rsidR="00CC00D5" w:rsidRPr="00F55BA6">
        <w:rPr>
          <w:rFonts w:asciiTheme="majorHAnsi" w:eastAsia="Times New Roman" w:hAnsiTheme="majorHAnsi" w:cstheme="majorHAnsi"/>
          <w:sz w:val="24"/>
          <w:szCs w:val="24"/>
          <w:lang w:val="ro-RO"/>
        </w:rPr>
        <w:t xml:space="preserve"> donații</w:t>
      </w:r>
      <w:r w:rsidR="00F5550A" w:rsidRPr="00F55BA6">
        <w:rPr>
          <w:rFonts w:asciiTheme="majorHAnsi" w:eastAsia="Times New Roman" w:hAnsiTheme="majorHAnsi" w:cstheme="majorHAnsi"/>
          <w:sz w:val="24"/>
          <w:szCs w:val="24"/>
          <w:lang w:val="ro-RO"/>
        </w:rPr>
        <w:t>le</w:t>
      </w:r>
      <w:r w:rsidR="00CC00D5" w:rsidRPr="00F55BA6">
        <w:rPr>
          <w:rFonts w:asciiTheme="majorHAnsi" w:eastAsia="Times New Roman" w:hAnsiTheme="majorHAnsi" w:cstheme="majorHAnsi"/>
          <w:sz w:val="24"/>
          <w:szCs w:val="24"/>
          <w:lang w:val="ro-RO"/>
        </w:rPr>
        <w:t xml:space="preserve"> voluntare interne au constituit 32,7 mil. lei, iar </w:t>
      </w:r>
      <w:r w:rsidR="00F5550A" w:rsidRPr="00F55BA6">
        <w:rPr>
          <w:rFonts w:asciiTheme="majorHAnsi" w:eastAsia="Times New Roman" w:hAnsiTheme="majorHAnsi" w:cstheme="majorHAnsi"/>
          <w:sz w:val="24"/>
          <w:szCs w:val="24"/>
          <w:lang w:val="ro-RO"/>
        </w:rPr>
        <w:t xml:space="preserve">cele </w:t>
      </w:r>
      <w:r w:rsidR="00CC00D5" w:rsidRPr="00F55BA6">
        <w:rPr>
          <w:rFonts w:asciiTheme="majorHAnsi" w:eastAsia="Times New Roman" w:hAnsiTheme="majorHAnsi" w:cstheme="majorHAnsi"/>
          <w:sz w:val="24"/>
          <w:szCs w:val="24"/>
          <w:lang w:val="ro-RO"/>
        </w:rPr>
        <w:t xml:space="preserve">externe – 71,9 mil. lei. Donațiile pentru instituțiile bugetare au constituit 17,7 mil. lei. </w:t>
      </w:r>
    </w:p>
    <w:p w:rsidR="00CC00D5" w:rsidRPr="00F55BA6" w:rsidRDefault="00CC00D5" w:rsidP="00CC00D5">
      <w:pPr>
        <w:tabs>
          <w:tab w:val="left" w:pos="993"/>
        </w:tabs>
        <w:spacing w:after="0" w:line="276" w:lineRule="auto"/>
        <w:contextualSpacing/>
        <w:rPr>
          <w:rFonts w:asciiTheme="majorHAnsi" w:eastAsia="Times New Roman" w:hAnsiTheme="majorHAnsi" w:cstheme="majorHAnsi"/>
          <w:sz w:val="24"/>
          <w:szCs w:val="24"/>
          <w:lang w:val="ro-RO"/>
        </w:rPr>
      </w:pPr>
      <w:r w:rsidRPr="00F55BA6">
        <w:rPr>
          <w:rFonts w:asciiTheme="majorHAnsi" w:eastAsia="Times New Roman" w:hAnsiTheme="majorHAnsi" w:cstheme="majorHAnsi"/>
          <w:sz w:val="24"/>
          <w:szCs w:val="24"/>
          <w:lang w:val="ro-RO"/>
        </w:rPr>
        <w:t xml:space="preserve">Totodată, donațiile </w:t>
      </w:r>
      <w:r w:rsidR="00F5550A" w:rsidRPr="00F55BA6">
        <w:rPr>
          <w:rFonts w:asciiTheme="majorHAnsi" w:eastAsia="Times New Roman" w:hAnsiTheme="majorHAnsi" w:cstheme="majorHAnsi"/>
          <w:sz w:val="24"/>
          <w:szCs w:val="24"/>
          <w:lang w:val="ro-RO"/>
        </w:rPr>
        <w:t xml:space="preserve">pentru suport bugetar </w:t>
      </w:r>
      <w:r w:rsidRPr="00F55BA6">
        <w:rPr>
          <w:rFonts w:asciiTheme="majorHAnsi" w:eastAsia="Times New Roman" w:hAnsiTheme="majorHAnsi" w:cstheme="majorHAnsi"/>
          <w:sz w:val="24"/>
          <w:szCs w:val="24"/>
          <w:lang w:val="ro-RO"/>
        </w:rPr>
        <w:t xml:space="preserve">au constituit 86,9 mil. lei, din care: </w:t>
      </w:r>
      <w:r w:rsidRPr="00F55BA6">
        <w:rPr>
          <w:rFonts w:asciiTheme="majorHAnsi" w:eastAsia="Times New Roman" w:hAnsiTheme="majorHAnsi" w:cstheme="majorHAnsi"/>
          <w:i/>
          <w:sz w:val="24"/>
          <w:szCs w:val="24"/>
          <w:lang w:val="ro-RO"/>
        </w:rPr>
        <w:t>(i)</w:t>
      </w:r>
      <w:r w:rsidRPr="00F55BA6">
        <w:rPr>
          <w:rFonts w:asciiTheme="majorHAnsi" w:eastAsia="Times New Roman" w:hAnsiTheme="majorHAnsi" w:cstheme="majorHAnsi"/>
          <w:sz w:val="24"/>
          <w:szCs w:val="24"/>
          <w:lang w:val="ro-RO"/>
        </w:rPr>
        <w:t xml:space="preserve"> de la persoanele fizice și juridice</w:t>
      </w:r>
      <w:r w:rsidR="00F5550A" w:rsidRPr="00F55BA6">
        <w:rPr>
          <w:rFonts w:asciiTheme="majorHAnsi" w:eastAsia="Times New Roman" w:hAnsiTheme="majorHAnsi" w:cstheme="majorHAnsi"/>
          <w:sz w:val="24"/>
          <w:szCs w:val="24"/>
          <w:lang w:val="ro-RO"/>
        </w:rPr>
        <w:t>,</w:t>
      </w:r>
      <w:r w:rsidRPr="00F55BA6">
        <w:rPr>
          <w:rFonts w:asciiTheme="majorHAnsi" w:eastAsia="Times New Roman" w:hAnsiTheme="majorHAnsi" w:cstheme="majorHAnsi"/>
          <w:sz w:val="24"/>
          <w:szCs w:val="24"/>
          <w:lang w:val="ro-RO"/>
        </w:rPr>
        <w:t xml:space="preserve"> pentru combaterea pandemiei de COVID-19 </w:t>
      </w:r>
      <w:r w:rsidR="00F5550A" w:rsidRPr="00F55BA6">
        <w:rPr>
          <w:rFonts w:asciiTheme="majorHAnsi" w:eastAsia="Times New Roman" w:hAnsiTheme="majorHAnsi" w:cstheme="majorHAnsi"/>
          <w:sz w:val="24"/>
          <w:szCs w:val="24"/>
          <w:lang w:val="ro-RO"/>
        </w:rPr>
        <w:t>–</w:t>
      </w:r>
      <w:r w:rsidR="004952BB" w:rsidRPr="00F55BA6">
        <w:rPr>
          <w:rFonts w:asciiTheme="majorHAnsi" w:eastAsia="Times New Roman" w:hAnsiTheme="majorHAnsi" w:cstheme="majorHAnsi"/>
          <w:sz w:val="24"/>
          <w:szCs w:val="24"/>
          <w:lang w:val="ro-RO"/>
        </w:rPr>
        <w:t xml:space="preserve"> </w:t>
      </w:r>
      <w:r w:rsidRPr="00F55BA6">
        <w:rPr>
          <w:rFonts w:asciiTheme="majorHAnsi" w:eastAsia="Times New Roman" w:hAnsiTheme="majorHAnsi" w:cstheme="majorHAnsi"/>
          <w:sz w:val="24"/>
          <w:szCs w:val="24"/>
          <w:lang w:val="ro-RO"/>
        </w:rPr>
        <w:t xml:space="preserve">25,5 mil. lei; </w:t>
      </w:r>
      <w:r w:rsidRPr="00F55BA6">
        <w:rPr>
          <w:rFonts w:asciiTheme="majorHAnsi" w:eastAsia="Times New Roman" w:hAnsiTheme="majorHAnsi" w:cstheme="majorHAnsi"/>
          <w:i/>
          <w:sz w:val="24"/>
          <w:szCs w:val="24"/>
          <w:lang w:val="ro-RO"/>
        </w:rPr>
        <w:t>(ii)</w:t>
      </w:r>
      <w:r w:rsidRPr="00F55BA6">
        <w:rPr>
          <w:rFonts w:asciiTheme="majorHAnsi" w:eastAsia="Times New Roman" w:hAnsiTheme="majorHAnsi" w:cstheme="majorHAnsi"/>
          <w:sz w:val="24"/>
          <w:szCs w:val="24"/>
          <w:lang w:val="ro-RO"/>
        </w:rPr>
        <w:t xml:space="preserve"> pentru susținerea sectorului </w:t>
      </w:r>
      <w:r w:rsidRPr="00F55BA6">
        <w:rPr>
          <w:rFonts w:asciiTheme="majorHAnsi" w:eastAsia="Times New Roman" w:hAnsiTheme="majorHAnsi" w:cstheme="majorHAnsi"/>
          <w:sz w:val="24"/>
          <w:szCs w:val="24"/>
          <w:lang w:val="ro-RO"/>
        </w:rPr>
        <w:lastRenderedPageBreak/>
        <w:t xml:space="preserve">agricol afectat de secetă, din partea Federației Ruse </w:t>
      </w:r>
      <w:r w:rsidR="00F5550A" w:rsidRPr="00F55BA6">
        <w:rPr>
          <w:rFonts w:asciiTheme="majorHAnsi" w:eastAsia="Times New Roman" w:hAnsiTheme="majorHAnsi" w:cstheme="majorHAnsi"/>
          <w:sz w:val="24"/>
          <w:szCs w:val="24"/>
          <w:lang w:val="ro-RO"/>
        </w:rPr>
        <w:t>–</w:t>
      </w:r>
      <w:r w:rsidR="004952BB" w:rsidRPr="00F55BA6">
        <w:rPr>
          <w:rFonts w:asciiTheme="majorHAnsi" w:eastAsia="Times New Roman" w:hAnsiTheme="majorHAnsi" w:cstheme="majorHAnsi"/>
          <w:sz w:val="24"/>
          <w:szCs w:val="24"/>
          <w:lang w:val="ro-RO"/>
        </w:rPr>
        <w:t xml:space="preserve"> </w:t>
      </w:r>
      <w:r w:rsidRPr="00F55BA6">
        <w:rPr>
          <w:rFonts w:asciiTheme="majorHAnsi" w:eastAsia="Times New Roman" w:hAnsiTheme="majorHAnsi" w:cstheme="majorHAnsi"/>
          <w:sz w:val="24"/>
          <w:szCs w:val="24"/>
          <w:lang w:val="ro-RO"/>
        </w:rPr>
        <w:t xml:space="preserve">59,7 mil. lei; </w:t>
      </w:r>
      <w:r w:rsidRPr="00F55BA6">
        <w:rPr>
          <w:rFonts w:asciiTheme="majorHAnsi" w:eastAsia="Times New Roman" w:hAnsiTheme="majorHAnsi" w:cstheme="majorHAnsi"/>
          <w:i/>
          <w:sz w:val="24"/>
          <w:szCs w:val="24"/>
          <w:lang w:val="ro-RO"/>
        </w:rPr>
        <w:t>(iii)</w:t>
      </w:r>
      <w:r w:rsidRPr="00F55BA6">
        <w:rPr>
          <w:rFonts w:asciiTheme="majorHAnsi" w:eastAsia="Times New Roman" w:hAnsiTheme="majorHAnsi" w:cstheme="majorHAnsi"/>
          <w:sz w:val="24"/>
          <w:szCs w:val="24"/>
          <w:lang w:val="ro-RO"/>
        </w:rPr>
        <w:t xml:space="preserve"> și pentru reconstrucția Filarmonicii Naționale </w:t>
      </w:r>
      <w:r w:rsidR="00F5550A" w:rsidRPr="00F55BA6">
        <w:rPr>
          <w:rFonts w:asciiTheme="majorHAnsi" w:eastAsia="Times New Roman" w:hAnsiTheme="majorHAnsi" w:cstheme="majorHAnsi"/>
          <w:sz w:val="24"/>
          <w:szCs w:val="24"/>
          <w:lang w:val="ro-RO"/>
        </w:rPr>
        <w:t>„</w:t>
      </w:r>
      <w:r w:rsidRPr="00F55BA6">
        <w:rPr>
          <w:rFonts w:asciiTheme="majorHAnsi" w:eastAsia="Times New Roman" w:hAnsiTheme="majorHAnsi" w:cstheme="majorHAnsi"/>
          <w:sz w:val="24"/>
          <w:szCs w:val="24"/>
          <w:lang w:val="ro-RO"/>
        </w:rPr>
        <w:t>S</w:t>
      </w:r>
      <w:r w:rsidR="00F5550A" w:rsidRPr="00F55BA6">
        <w:rPr>
          <w:rFonts w:asciiTheme="majorHAnsi" w:eastAsia="Times New Roman" w:hAnsiTheme="majorHAnsi" w:cstheme="majorHAnsi"/>
          <w:sz w:val="24"/>
          <w:szCs w:val="24"/>
          <w:lang w:val="ro-RO"/>
        </w:rPr>
        <w:t>erghei</w:t>
      </w:r>
      <w:r w:rsidR="004952BB" w:rsidRPr="00F55BA6">
        <w:rPr>
          <w:rFonts w:asciiTheme="majorHAnsi" w:eastAsia="Times New Roman" w:hAnsiTheme="majorHAnsi" w:cstheme="majorHAnsi"/>
          <w:sz w:val="24"/>
          <w:szCs w:val="24"/>
          <w:lang w:val="ro-RO"/>
        </w:rPr>
        <w:t xml:space="preserve"> </w:t>
      </w:r>
      <w:r w:rsidRPr="00F55BA6">
        <w:rPr>
          <w:rFonts w:asciiTheme="majorHAnsi" w:eastAsia="Times New Roman" w:hAnsiTheme="majorHAnsi" w:cstheme="majorHAnsi"/>
          <w:sz w:val="24"/>
          <w:szCs w:val="24"/>
          <w:lang w:val="ro-RO"/>
        </w:rPr>
        <w:t>Lunchevici</w:t>
      </w:r>
      <w:r w:rsidR="00F5550A" w:rsidRPr="00F55BA6">
        <w:rPr>
          <w:rFonts w:asciiTheme="majorHAnsi" w:eastAsia="Times New Roman" w:hAnsiTheme="majorHAnsi" w:cstheme="majorHAnsi"/>
          <w:sz w:val="24"/>
          <w:szCs w:val="24"/>
          <w:lang w:val="ro-RO"/>
        </w:rPr>
        <w:t>”</w:t>
      </w:r>
      <w:r w:rsidRPr="00F55BA6">
        <w:rPr>
          <w:rFonts w:asciiTheme="majorHAnsi" w:eastAsia="Times New Roman" w:hAnsiTheme="majorHAnsi" w:cstheme="majorHAnsi"/>
          <w:sz w:val="24"/>
          <w:szCs w:val="24"/>
          <w:lang w:val="ro-RO"/>
        </w:rPr>
        <w:t xml:space="preserve"> – 1,7 mil. lei.</w:t>
      </w:r>
    </w:p>
    <w:p w:rsidR="00EE39AB" w:rsidRPr="00F55BA6" w:rsidRDefault="00EE39AB" w:rsidP="00EE39AB">
      <w:pPr>
        <w:tabs>
          <w:tab w:val="left" w:pos="993"/>
        </w:tabs>
        <w:spacing w:after="0" w:line="276" w:lineRule="auto"/>
        <w:contextualSpacing/>
        <w:rPr>
          <w:rFonts w:asciiTheme="majorHAnsi" w:eastAsia="Calibri" w:hAnsiTheme="majorHAnsi" w:cstheme="majorHAnsi"/>
          <w:color w:val="000000"/>
          <w:sz w:val="20"/>
          <w:szCs w:val="20"/>
          <w:lang w:val="ro-RO"/>
        </w:rPr>
      </w:pPr>
      <w:r w:rsidRPr="00F55BA6">
        <w:rPr>
          <w:rFonts w:asciiTheme="majorHAnsi" w:eastAsia="Times New Roman" w:hAnsiTheme="majorHAnsi" w:cstheme="majorHAnsi"/>
          <w:sz w:val="24"/>
          <w:szCs w:val="24"/>
          <w:lang w:val="ro-RO"/>
        </w:rPr>
        <w:t>Pentru alocarea și repartizarea mijloacelor din fondul de rezervă, pe parcursul anului 2020 au fost aprobate 7 hotărâri de Guvern, în valoare de 106,6 mil. lei, și din fondul de intervenție – 20 hotărâri de Guvern, în sumă de 279,7 mil. lei. Totodată, executarea cheltuielilor în scopurile menționate au fost la nivel de 94,5%, sau 100,8 mil. lei din fondul de rezervă și, respectiv, la nivel de 99,3%, sau 277,8 mil. lei din fondul de intervenție.</w:t>
      </w:r>
      <w:r w:rsidRPr="00F55BA6">
        <w:rPr>
          <w:rFonts w:asciiTheme="majorHAnsi" w:eastAsia="Calibri" w:hAnsiTheme="majorHAnsi" w:cstheme="majorHAnsi"/>
          <w:color w:val="000000"/>
          <w:sz w:val="24"/>
          <w:szCs w:val="24"/>
          <w:lang w:val="ro-RO"/>
        </w:rPr>
        <w:t xml:space="preserve"> </w:t>
      </w:r>
      <w:r w:rsidRPr="00F55BA6">
        <w:rPr>
          <w:rFonts w:asciiTheme="majorHAnsi" w:eastAsia="Calibri" w:hAnsiTheme="majorHAnsi" w:cstheme="majorHAnsi"/>
          <w:color w:val="000000"/>
          <w:szCs w:val="28"/>
          <w:lang w:val="ro-RO"/>
        </w:rPr>
        <w:t xml:space="preserve">                        </w:t>
      </w:r>
    </w:p>
    <w:p w:rsidR="00EE39AB" w:rsidRPr="00F55BA6" w:rsidRDefault="00EE39AB" w:rsidP="00EE39AB">
      <w:pPr>
        <w:spacing w:after="0" w:line="276" w:lineRule="auto"/>
        <w:rPr>
          <w:rFonts w:asciiTheme="majorHAnsi" w:eastAsia="Times New Roman" w:hAnsiTheme="majorHAnsi" w:cstheme="majorHAnsi"/>
          <w:sz w:val="24"/>
          <w:szCs w:val="24"/>
          <w:lang w:val="ro-RO"/>
        </w:rPr>
      </w:pPr>
      <w:r w:rsidRPr="00F55BA6">
        <w:rPr>
          <w:rFonts w:asciiTheme="majorHAnsi" w:eastAsia="Times New Roman" w:hAnsiTheme="majorHAnsi" w:cstheme="majorHAnsi"/>
          <w:sz w:val="24"/>
          <w:szCs w:val="24"/>
          <w:lang w:val="ro-RO"/>
        </w:rPr>
        <w:t xml:space="preserve">Auditul relevă că mijloacele repartizate din fondul de intervenție prin hotărâri de Guvern în sumă de 279,7 mil. lei au depășit limita alocațiilor prevăzute în BS pentru fondul de intervenție (220,0 mil. lei) cu 59,7 mil. lei. </w:t>
      </w:r>
      <w:r w:rsidR="006E215F" w:rsidRPr="00F55BA6">
        <w:rPr>
          <w:rFonts w:asciiTheme="majorHAnsi" w:eastAsia="Times New Roman" w:hAnsiTheme="majorHAnsi" w:cstheme="majorHAnsi"/>
          <w:sz w:val="24"/>
          <w:szCs w:val="24"/>
          <w:lang w:val="ro-RO"/>
        </w:rPr>
        <w:t>Alocațiile fondului de intervenție au fost majorate din contul ajutorului financiar acordat de către Guvernul Federației Ruse, destinat agricultorilor pentru</w:t>
      </w:r>
      <w:r w:rsidR="00F5550A" w:rsidRPr="00F55BA6">
        <w:rPr>
          <w:rFonts w:asciiTheme="majorHAnsi" w:eastAsia="Times New Roman" w:hAnsiTheme="majorHAnsi" w:cstheme="majorHAnsi"/>
          <w:sz w:val="24"/>
          <w:szCs w:val="24"/>
          <w:lang w:val="ro-RO"/>
        </w:rPr>
        <w:t xml:space="preserve"> compensarea parțială a</w:t>
      </w:r>
      <w:r w:rsidR="006E215F" w:rsidRPr="00F55BA6">
        <w:rPr>
          <w:rFonts w:asciiTheme="majorHAnsi" w:eastAsia="Times New Roman" w:hAnsiTheme="majorHAnsi" w:cstheme="majorHAnsi"/>
          <w:sz w:val="24"/>
          <w:szCs w:val="24"/>
          <w:lang w:val="ro-RO"/>
        </w:rPr>
        <w:t xml:space="preserve"> prejudiciul</w:t>
      </w:r>
      <w:r w:rsidR="00B400F6" w:rsidRPr="00F55BA6">
        <w:rPr>
          <w:rFonts w:asciiTheme="majorHAnsi" w:eastAsia="Times New Roman" w:hAnsiTheme="majorHAnsi" w:cstheme="majorHAnsi"/>
          <w:sz w:val="24"/>
          <w:szCs w:val="24"/>
          <w:lang w:val="ro-RO"/>
        </w:rPr>
        <w:t>ui</w:t>
      </w:r>
      <w:r w:rsidR="006E215F" w:rsidRPr="00F55BA6">
        <w:rPr>
          <w:rFonts w:asciiTheme="majorHAnsi" w:eastAsia="Times New Roman" w:hAnsiTheme="majorHAnsi" w:cstheme="majorHAnsi"/>
          <w:sz w:val="24"/>
          <w:szCs w:val="24"/>
          <w:lang w:val="ro-RO"/>
        </w:rPr>
        <w:t xml:space="preserve"> cauzat de seceta din anul 2020, în sumă de 59,7 mil. lei (echivalentul a 275,0 mil. ruble rusești)</w:t>
      </w:r>
      <w:r w:rsidR="007F6497" w:rsidRPr="00F55BA6">
        <w:rPr>
          <w:rStyle w:val="ac"/>
          <w:rFonts w:asciiTheme="majorHAnsi" w:eastAsia="Times New Roman" w:hAnsiTheme="majorHAnsi" w:cstheme="majorHAnsi"/>
          <w:sz w:val="24"/>
          <w:szCs w:val="24"/>
          <w:lang w:val="ro-RO"/>
        </w:rPr>
        <w:footnoteReference w:id="64"/>
      </w:r>
      <w:r w:rsidR="006E215F" w:rsidRPr="00F55BA6">
        <w:rPr>
          <w:rFonts w:asciiTheme="majorHAnsi" w:eastAsia="Times New Roman" w:hAnsiTheme="majorHAnsi" w:cstheme="majorHAnsi"/>
          <w:sz w:val="24"/>
          <w:szCs w:val="24"/>
          <w:lang w:val="ro-RO"/>
        </w:rPr>
        <w:t>.</w:t>
      </w:r>
      <w:r w:rsidR="00F26CBA" w:rsidRPr="00F55BA6">
        <w:rPr>
          <w:rFonts w:asciiTheme="majorHAnsi" w:eastAsia="Times New Roman" w:hAnsiTheme="majorHAnsi" w:cstheme="majorHAnsi"/>
          <w:sz w:val="24"/>
          <w:szCs w:val="24"/>
          <w:lang w:val="ro-RO"/>
        </w:rPr>
        <w:t xml:space="preserve"> </w:t>
      </w:r>
    </w:p>
    <w:p w:rsidR="00E248F8" w:rsidRPr="00F55BA6" w:rsidRDefault="007173AB" w:rsidP="00F80DBF">
      <w:pPr>
        <w:spacing w:after="0" w:line="276" w:lineRule="auto"/>
        <w:rPr>
          <w:rFonts w:asciiTheme="majorHAnsi" w:eastAsia="Times New Roman" w:hAnsiTheme="majorHAnsi" w:cstheme="majorHAnsi"/>
          <w:sz w:val="24"/>
          <w:szCs w:val="24"/>
          <w:lang w:val="ro-RO"/>
        </w:rPr>
      </w:pPr>
      <w:r w:rsidRPr="00F55BA6">
        <w:rPr>
          <w:rFonts w:asciiTheme="majorHAnsi" w:eastAsia="Times New Roman" w:hAnsiTheme="majorHAnsi" w:cstheme="majorHAnsi"/>
          <w:sz w:val="24"/>
          <w:szCs w:val="24"/>
          <w:lang w:val="ro-RO"/>
        </w:rPr>
        <w:t>Mijloacele din fondul de rezervă au fost repartizate la 10 APC</w:t>
      </w:r>
      <w:r w:rsidRPr="00F55BA6">
        <w:rPr>
          <w:rFonts w:asciiTheme="majorHAnsi" w:eastAsia="Times New Roman" w:hAnsiTheme="majorHAnsi" w:cstheme="majorHAnsi"/>
          <w:sz w:val="24"/>
          <w:szCs w:val="24"/>
          <w:vertAlign w:val="superscript"/>
          <w:lang w:val="ro-RO"/>
        </w:rPr>
        <w:footnoteReference w:id="65"/>
      </w:r>
      <w:r w:rsidRPr="00F55BA6">
        <w:rPr>
          <w:rFonts w:asciiTheme="majorHAnsi" w:eastAsia="Times New Roman" w:hAnsiTheme="majorHAnsi" w:cstheme="majorHAnsi"/>
          <w:sz w:val="24"/>
          <w:szCs w:val="24"/>
          <w:lang w:val="ro-RO"/>
        </w:rPr>
        <w:t xml:space="preserve"> în sumă totală de 75,4 mil. lei</w:t>
      </w:r>
      <w:r w:rsidR="00B400F6" w:rsidRPr="00F55BA6">
        <w:rPr>
          <w:rFonts w:asciiTheme="majorHAnsi" w:eastAsia="Times New Roman" w:hAnsiTheme="majorHAnsi" w:cstheme="majorHAnsi"/>
          <w:sz w:val="24"/>
          <w:szCs w:val="24"/>
          <w:lang w:val="ro-RO"/>
        </w:rPr>
        <w:t>,</w:t>
      </w:r>
      <w:r w:rsidRPr="00F55BA6">
        <w:rPr>
          <w:rFonts w:asciiTheme="majorHAnsi" w:eastAsia="Times New Roman" w:hAnsiTheme="majorHAnsi" w:cstheme="majorHAnsi"/>
          <w:sz w:val="24"/>
          <w:szCs w:val="24"/>
          <w:lang w:val="ro-RO"/>
        </w:rPr>
        <w:t xml:space="preserve"> fiind executate la nivel de 92,8% (70,0 mil. lei) și la APL în sumă de 31,2 mil.lei</w:t>
      </w:r>
      <w:r w:rsidR="00F24E3D" w:rsidRPr="00F55BA6">
        <w:rPr>
          <w:rFonts w:asciiTheme="majorHAnsi" w:eastAsia="Times New Roman" w:hAnsiTheme="majorHAnsi" w:cstheme="majorHAnsi"/>
          <w:sz w:val="24"/>
          <w:szCs w:val="24"/>
          <w:lang w:val="ro-RO"/>
        </w:rPr>
        <w:t>,</w:t>
      </w:r>
      <w:r w:rsidRPr="00F55BA6">
        <w:rPr>
          <w:rFonts w:asciiTheme="majorHAnsi" w:eastAsia="Times New Roman" w:hAnsiTheme="majorHAnsi" w:cstheme="majorHAnsi"/>
          <w:sz w:val="24"/>
          <w:szCs w:val="24"/>
          <w:lang w:val="ro-RO"/>
        </w:rPr>
        <w:t xml:space="preserve"> fiind executate la nivel de 98,7% (30,8 mil. lei). </w:t>
      </w:r>
      <w:r w:rsidR="00E248F8" w:rsidRPr="00F55BA6">
        <w:rPr>
          <w:rFonts w:asciiTheme="majorHAnsi" w:eastAsia="Times New Roman" w:hAnsiTheme="majorHAnsi" w:cstheme="majorHAnsi"/>
          <w:sz w:val="24"/>
          <w:szCs w:val="24"/>
          <w:lang w:val="ro-RO"/>
        </w:rPr>
        <w:t>Verificările auditului denotă că, în perioada auditată, o pondere semnificativă de 93,6% (99,9 mil. lei) revine alocării mijloacelor financiare pentru procurarea echipamentelor de protecție în scopul prevenirii și controlului infecției cu COVID-19 și acordarea îndemnizațiilor unice angajaților infectați, din care au fost executate 94,1 mil. lei. Totodată, au fost executate mijloace pentru</w:t>
      </w:r>
      <w:r w:rsidR="00F24E3D" w:rsidRPr="00F55BA6">
        <w:rPr>
          <w:rFonts w:asciiTheme="majorHAnsi" w:eastAsia="Times New Roman" w:hAnsiTheme="majorHAnsi" w:cstheme="majorHAnsi"/>
          <w:sz w:val="24"/>
          <w:szCs w:val="24"/>
          <w:lang w:val="ro-RO"/>
        </w:rPr>
        <w:t>:</w:t>
      </w:r>
      <w:r w:rsidR="00E248F8" w:rsidRPr="00F55BA6">
        <w:rPr>
          <w:rFonts w:asciiTheme="majorHAnsi" w:eastAsia="Times New Roman" w:hAnsiTheme="majorHAnsi" w:cstheme="majorHAnsi"/>
          <w:sz w:val="24"/>
          <w:szCs w:val="24"/>
          <w:lang w:val="ro-RO"/>
        </w:rPr>
        <w:t xml:space="preserve"> achitarea premiului Guvernului RM (10,0 mii lei), plata onorariilor Biroului Asociat de Avocați </w:t>
      </w:r>
      <w:r w:rsidR="00F24E3D" w:rsidRPr="00F55BA6">
        <w:rPr>
          <w:rFonts w:asciiTheme="majorHAnsi" w:eastAsia="Times New Roman" w:hAnsiTheme="majorHAnsi" w:cstheme="majorHAnsi"/>
          <w:sz w:val="24"/>
          <w:szCs w:val="24"/>
          <w:lang w:val="ro-RO"/>
        </w:rPr>
        <w:t>„</w:t>
      </w:r>
      <w:r w:rsidR="00E248F8" w:rsidRPr="00F55BA6">
        <w:rPr>
          <w:rFonts w:asciiTheme="majorHAnsi" w:eastAsia="Times New Roman" w:hAnsiTheme="majorHAnsi" w:cstheme="majorHAnsi"/>
          <w:sz w:val="24"/>
          <w:szCs w:val="24"/>
          <w:lang w:val="ro-RO"/>
        </w:rPr>
        <w:t>Buruiana&amp;Partners” (3,5 mil. lei) și pentru lichidarea consecințel</w:t>
      </w:r>
      <w:r w:rsidR="00F80DBF" w:rsidRPr="00F55BA6">
        <w:rPr>
          <w:rFonts w:asciiTheme="majorHAnsi" w:eastAsia="Times New Roman" w:hAnsiTheme="majorHAnsi" w:cstheme="majorHAnsi"/>
          <w:sz w:val="24"/>
          <w:szCs w:val="24"/>
          <w:lang w:val="ro-RO"/>
        </w:rPr>
        <w:t>or inundațiilor (3,3 mil. lei).</w:t>
      </w:r>
    </w:p>
    <w:p w:rsidR="00EE39AB" w:rsidRPr="00F55BA6" w:rsidRDefault="00E248F8" w:rsidP="007138A4">
      <w:pPr>
        <w:spacing w:after="0" w:line="276" w:lineRule="auto"/>
        <w:rPr>
          <w:rFonts w:asciiTheme="majorHAnsi" w:eastAsia="Times New Roman" w:hAnsiTheme="majorHAnsi" w:cstheme="majorHAnsi"/>
          <w:sz w:val="24"/>
          <w:szCs w:val="24"/>
          <w:lang w:val="ro-RO"/>
        </w:rPr>
      </w:pPr>
      <w:r w:rsidRPr="00F55BA6">
        <w:rPr>
          <w:rFonts w:asciiTheme="majorHAnsi" w:eastAsia="Times New Roman" w:hAnsiTheme="majorHAnsi" w:cstheme="majorHAnsi"/>
          <w:sz w:val="24"/>
          <w:szCs w:val="24"/>
          <w:lang w:val="ro-RO"/>
        </w:rPr>
        <w:t xml:space="preserve">În anul 2020, cheltuielile din fondul de intervenție al Guvernului au fost executate în volum de 277,8 mil. lei, dintre care 79,9% (222,0 mil. lei) </w:t>
      </w:r>
      <w:r w:rsidR="009134B0" w:rsidRPr="00F55BA6">
        <w:rPr>
          <w:rFonts w:asciiTheme="majorHAnsi" w:eastAsia="Times New Roman" w:hAnsiTheme="majorHAnsi" w:cstheme="majorHAnsi"/>
          <w:sz w:val="24"/>
          <w:szCs w:val="24"/>
          <w:lang w:val="ro-RO"/>
        </w:rPr>
        <w:t>de</w:t>
      </w:r>
      <w:r w:rsidRPr="00F55BA6">
        <w:rPr>
          <w:rFonts w:asciiTheme="majorHAnsi" w:eastAsia="Times New Roman" w:hAnsiTheme="majorHAnsi" w:cstheme="majorHAnsi"/>
          <w:sz w:val="24"/>
          <w:szCs w:val="24"/>
          <w:lang w:val="ro-RO"/>
        </w:rPr>
        <w:t xml:space="preserve"> 13 APC</w:t>
      </w:r>
      <w:r w:rsidRPr="00F55BA6">
        <w:rPr>
          <w:rFonts w:asciiTheme="majorHAnsi" w:eastAsia="Times New Roman" w:hAnsiTheme="majorHAnsi" w:cstheme="majorHAnsi"/>
          <w:sz w:val="24"/>
          <w:szCs w:val="24"/>
          <w:vertAlign w:val="superscript"/>
          <w:lang w:val="ro-RO"/>
        </w:rPr>
        <w:footnoteReference w:id="66"/>
      </w:r>
      <w:r w:rsidR="009134B0" w:rsidRPr="00F55BA6">
        <w:rPr>
          <w:rFonts w:asciiTheme="majorHAnsi" w:eastAsia="Times New Roman" w:hAnsiTheme="majorHAnsi" w:cstheme="majorHAnsi"/>
          <w:sz w:val="24"/>
          <w:szCs w:val="24"/>
          <w:lang w:val="ro-RO"/>
        </w:rPr>
        <w:t>, iar</w:t>
      </w:r>
      <w:r w:rsidRPr="00F55BA6">
        <w:rPr>
          <w:rFonts w:asciiTheme="majorHAnsi" w:eastAsia="Times New Roman" w:hAnsiTheme="majorHAnsi" w:cstheme="majorHAnsi"/>
          <w:sz w:val="24"/>
          <w:szCs w:val="24"/>
          <w:lang w:val="ro-RO"/>
        </w:rPr>
        <w:t xml:space="preserve"> 20,1% (55,8 mil. lei) revin transferurilor către bugetele locale. Mijloacele repartizate au fost utilizate pentru acordarea </w:t>
      </w:r>
      <w:r w:rsidR="009134B0" w:rsidRPr="00F55BA6">
        <w:rPr>
          <w:rFonts w:asciiTheme="majorHAnsi" w:eastAsia="Times New Roman" w:hAnsiTheme="majorHAnsi" w:cstheme="majorHAnsi"/>
          <w:sz w:val="24"/>
          <w:szCs w:val="24"/>
          <w:lang w:val="ro-RO"/>
        </w:rPr>
        <w:t>i</w:t>
      </w:r>
      <w:r w:rsidRPr="00F55BA6">
        <w:rPr>
          <w:rFonts w:asciiTheme="majorHAnsi" w:eastAsia="Times New Roman" w:hAnsiTheme="majorHAnsi" w:cstheme="majorHAnsi"/>
          <w:sz w:val="24"/>
          <w:szCs w:val="24"/>
          <w:lang w:val="ro-RO"/>
        </w:rPr>
        <w:t>ndemnizațiilor unice angajaților infectați cu COVID-19 în timpul exercitării atribuțiilor de serviciu (</w:t>
      </w:r>
      <w:r w:rsidR="005111A7" w:rsidRPr="00F55BA6">
        <w:rPr>
          <w:rFonts w:asciiTheme="majorHAnsi" w:eastAsia="Times New Roman" w:hAnsiTheme="majorHAnsi" w:cstheme="majorHAnsi"/>
          <w:sz w:val="24"/>
          <w:szCs w:val="24"/>
          <w:lang w:val="ro-RO"/>
        </w:rPr>
        <w:t>93,8</w:t>
      </w:r>
      <w:r w:rsidRPr="00F55BA6">
        <w:rPr>
          <w:rFonts w:asciiTheme="majorHAnsi" w:eastAsia="Times New Roman" w:hAnsiTheme="majorHAnsi" w:cstheme="majorHAnsi"/>
          <w:sz w:val="24"/>
          <w:szCs w:val="24"/>
          <w:lang w:val="ro-RO"/>
        </w:rPr>
        <w:t xml:space="preserve"> mil. lei),</w:t>
      </w:r>
      <w:r w:rsidR="005111A7" w:rsidRPr="00F55BA6">
        <w:rPr>
          <w:rFonts w:asciiTheme="majorHAnsi" w:eastAsia="Times New Roman" w:hAnsiTheme="majorHAnsi" w:cstheme="majorHAnsi"/>
          <w:sz w:val="24"/>
          <w:szCs w:val="24"/>
          <w:lang w:val="ro-RO"/>
        </w:rPr>
        <w:t xml:space="preserve"> </w:t>
      </w:r>
      <w:r w:rsidR="00D37CAA" w:rsidRPr="00F55BA6">
        <w:rPr>
          <w:rFonts w:asciiTheme="majorHAnsi" w:eastAsia="Times New Roman" w:hAnsiTheme="majorHAnsi" w:cstheme="majorHAnsi"/>
          <w:sz w:val="24"/>
          <w:szCs w:val="24"/>
          <w:lang w:val="ro-RO"/>
        </w:rPr>
        <w:t xml:space="preserve">procurarea echipamentelor de protecție în scopul prevenirii infecției cu COVID-19, </w:t>
      </w:r>
      <w:r w:rsidRPr="00F55BA6">
        <w:rPr>
          <w:rFonts w:asciiTheme="majorHAnsi" w:eastAsia="Times New Roman" w:hAnsiTheme="majorHAnsi" w:cstheme="majorHAnsi"/>
          <w:sz w:val="24"/>
          <w:szCs w:val="24"/>
          <w:lang w:val="ro-RO"/>
        </w:rPr>
        <w:t>lichidarea consecințelor situațiilor excepționale (17,96 mil. lei), completarea rezervelor materiale de stat (0,6 mil. lei), diminuarea consecințelor calamităților naturale asupra recoltei (159,7 mil. lei) și acoperirea cheltuielilor de achiziționare a lucrărilor de demontare parțială a edificiului avariat a</w:t>
      </w:r>
      <w:r w:rsidR="00AE687E">
        <w:rPr>
          <w:rFonts w:asciiTheme="majorHAnsi" w:eastAsia="Times New Roman" w:hAnsiTheme="majorHAnsi" w:cstheme="majorHAnsi"/>
          <w:sz w:val="24"/>
          <w:szCs w:val="24"/>
          <w:lang w:val="ro-RO"/>
        </w:rPr>
        <w:t>l</w:t>
      </w:r>
      <w:r w:rsidRPr="00F55BA6">
        <w:rPr>
          <w:rFonts w:asciiTheme="majorHAnsi" w:eastAsia="Times New Roman" w:hAnsiTheme="majorHAnsi" w:cstheme="majorHAnsi"/>
          <w:sz w:val="24"/>
          <w:szCs w:val="24"/>
          <w:lang w:val="ro-RO"/>
        </w:rPr>
        <w:t xml:space="preserve"> Filarmonicii Naţionale „Serghei Lunchevici”, în urm</w:t>
      </w:r>
      <w:r w:rsidR="00E36562" w:rsidRPr="00F55BA6">
        <w:rPr>
          <w:rFonts w:asciiTheme="majorHAnsi" w:eastAsia="Times New Roman" w:hAnsiTheme="majorHAnsi" w:cstheme="majorHAnsi"/>
          <w:sz w:val="24"/>
          <w:szCs w:val="24"/>
          <w:lang w:val="ro-RO"/>
        </w:rPr>
        <w:t>a incendiului din 24.09.</w:t>
      </w:r>
      <w:r w:rsidRPr="00F55BA6">
        <w:rPr>
          <w:rFonts w:asciiTheme="majorHAnsi" w:eastAsia="Times New Roman" w:hAnsiTheme="majorHAnsi" w:cstheme="majorHAnsi"/>
          <w:sz w:val="24"/>
          <w:szCs w:val="24"/>
          <w:lang w:val="ro-RO"/>
        </w:rPr>
        <w:t xml:space="preserve">2020 (450,0 mii lei). </w:t>
      </w:r>
    </w:p>
    <w:p w:rsidR="00EA7373" w:rsidRPr="00F55BA6" w:rsidRDefault="005D6AE0" w:rsidP="00EA7373">
      <w:pPr>
        <w:spacing w:after="0"/>
        <w:rPr>
          <w:lang w:val="ro-RO"/>
        </w:rPr>
      </w:pPr>
      <w:r w:rsidRPr="00F55BA6">
        <w:rPr>
          <w:rFonts w:asciiTheme="majorHAnsi" w:hAnsiTheme="majorHAnsi" w:cstheme="majorHAnsi"/>
          <w:b/>
          <w:color w:val="000000" w:themeColor="text1"/>
          <w:sz w:val="24"/>
          <w:szCs w:val="24"/>
          <w:lang w:val="ro-RO"/>
        </w:rPr>
        <w:t>6.12</w:t>
      </w:r>
      <w:r w:rsidR="00EA7373" w:rsidRPr="00F55BA6">
        <w:rPr>
          <w:rFonts w:asciiTheme="majorHAnsi" w:hAnsiTheme="majorHAnsi" w:cstheme="majorHAnsi"/>
          <w:b/>
          <w:color w:val="000000" w:themeColor="text1"/>
          <w:sz w:val="24"/>
          <w:szCs w:val="24"/>
          <w:lang w:val="ro-RO"/>
        </w:rPr>
        <w:t xml:space="preserve"> Soldul creanțelor și al datoriilor la cheltuieli și active nefinanciare sunt în creștere</w:t>
      </w:r>
      <w:r w:rsidR="00AE687E">
        <w:rPr>
          <w:rFonts w:asciiTheme="majorHAnsi" w:hAnsiTheme="majorHAnsi" w:cstheme="majorHAnsi"/>
          <w:b/>
          <w:color w:val="000000" w:themeColor="text1"/>
          <w:sz w:val="24"/>
          <w:szCs w:val="24"/>
          <w:lang w:val="ro-RO"/>
        </w:rPr>
        <w:t>.</w:t>
      </w:r>
    </w:p>
    <w:p w:rsidR="00EA7373" w:rsidRPr="00E4517B" w:rsidRDefault="00EA7373" w:rsidP="00EA7373">
      <w:pPr>
        <w:spacing w:after="0" w:line="276" w:lineRule="auto"/>
        <w:rPr>
          <w:rFonts w:asciiTheme="majorHAnsi" w:hAnsiTheme="majorHAnsi" w:cstheme="majorHAnsi"/>
          <w:i/>
          <w:sz w:val="24"/>
          <w:szCs w:val="24"/>
          <w:lang w:val="ro-RO"/>
        </w:rPr>
      </w:pPr>
      <w:r w:rsidRPr="00E4517B">
        <w:rPr>
          <w:rFonts w:asciiTheme="majorHAnsi" w:hAnsiTheme="majorHAnsi" w:cstheme="majorHAnsi"/>
          <w:sz w:val="24"/>
          <w:szCs w:val="24"/>
          <w:lang w:val="ro-RO"/>
        </w:rPr>
        <w:t>La 31.12.2020, creanțele constitui</w:t>
      </w:r>
      <w:r w:rsidR="009134B0" w:rsidRPr="00E4517B">
        <w:rPr>
          <w:rFonts w:asciiTheme="majorHAnsi" w:hAnsiTheme="majorHAnsi" w:cstheme="majorHAnsi"/>
          <w:sz w:val="24"/>
          <w:szCs w:val="24"/>
          <w:lang w:val="ro-RO"/>
        </w:rPr>
        <w:t>au</w:t>
      </w:r>
      <w:r w:rsidRPr="00E4517B">
        <w:rPr>
          <w:rFonts w:asciiTheme="majorHAnsi" w:hAnsiTheme="majorHAnsi" w:cstheme="majorHAnsi"/>
          <w:sz w:val="24"/>
          <w:szCs w:val="24"/>
          <w:lang w:val="ro-RO"/>
        </w:rPr>
        <w:t xml:space="preserve"> 1 285,4 mil. lei, inclusiv cu termen expirat – 3,3 mil. lei, iar datoriile au atins o valoare de </w:t>
      </w:r>
      <w:r w:rsidRPr="00973E5B">
        <w:rPr>
          <w:rFonts w:asciiTheme="majorHAnsi" w:hAnsiTheme="majorHAnsi" w:cstheme="majorHAnsi"/>
          <w:sz w:val="24"/>
          <w:szCs w:val="24"/>
          <w:lang w:val="ro-RO"/>
        </w:rPr>
        <w:t>1 010,6 mil. lei, inclusiv cu termen de achitare expirat – 0,9 mil. lei.</w:t>
      </w:r>
      <w:r w:rsidRPr="00973E5B">
        <w:rPr>
          <w:rFonts w:asciiTheme="majorHAnsi" w:hAnsiTheme="majorHAnsi" w:cstheme="majorHAnsi"/>
          <w:i/>
          <w:sz w:val="24"/>
          <w:szCs w:val="24"/>
          <w:lang w:val="ro-RO"/>
        </w:rPr>
        <w:t xml:space="preserve"> </w:t>
      </w:r>
      <w:r w:rsidRPr="00207634">
        <w:rPr>
          <w:rFonts w:asciiTheme="majorHAnsi" w:hAnsiTheme="majorHAnsi" w:cstheme="majorHAnsi"/>
          <w:sz w:val="24"/>
          <w:szCs w:val="24"/>
          <w:lang w:val="ro-RO"/>
        </w:rPr>
        <w:t>Astfel, creanțele și datoriile la cheltuieli și active nefinanciare formate în autoritățile/instituțiile bugetare pe anul 2020 au crescut</w:t>
      </w:r>
      <w:r w:rsidR="009134B0" w:rsidRPr="00B05CFC">
        <w:rPr>
          <w:rFonts w:asciiTheme="majorHAnsi" w:hAnsiTheme="majorHAnsi" w:cstheme="majorHAnsi"/>
          <w:sz w:val="24"/>
          <w:szCs w:val="24"/>
          <w:lang w:val="ro-RO"/>
        </w:rPr>
        <w:t>,</w:t>
      </w:r>
      <w:r w:rsidRPr="009131CF">
        <w:rPr>
          <w:rFonts w:asciiTheme="majorHAnsi" w:hAnsiTheme="majorHAnsi" w:cstheme="majorHAnsi"/>
          <w:sz w:val="24"/>
          <w:szCs w:val="24"/>
          <w:lang w:val="ro-RO"/>
        </w:rPr>
        <w:t xml:space="preserve"> în comparație cu anul 2019</w:t>
      </w:r>
      <w:r w:rsidR="009134B0" w:rsidRPr="00E4517B">
        <w:rPr>
          <w:rFonts w:asciiTheme="majorHAnsi" w:hAnsiTheme="majorHAnsi" w:cstheme="majorHAnsi"/>
          <w:sz w:val="24"/>
          <w:szCs w:val="24"/>
          <w:lang w:val="ro-RO"/>
        </w:rPr>
        <w:t>,</w:t>
      </w:r>
      <w:r w:rsidRPr="00E4517B">
        <w:rPr>
          <w:rFonts w:asciiTheme="majorHAnsi" w:hAnsiTheme="majorHAnsi" w:cstheme="majorHAnsi"/>
          <w:sz w:val="24"/>
          <w:szCs w:val="24"/>
          <w:lang w:val="ro-RO"/>
        </w:rPr>
        <w:t xml:space="preserve"> cu 24,7% și 26,4%.</w:t>
      </w:r>
      <w:r w:rsidRPr="00E4517B">
        <w:rPr>
          <w:rFonts w:asciiTheme="majorHAnsi" w:hAnsiTheme="majorHAnsi" w:cstheme="majorHAnsi"/>
          <w:i/>
          <w:sz w:val="24"/>
          <w:szCs w:val="24"/>
          <w:lang w:val="ro-RO"/>
        </w:rPr>
        <w:t xml:space="preserve"> </w:t>
      </w:r>
      <w:r w:rsidRPr="00E4517B">
        <w:rPr>
          <w:rFonts w:asciiTheme="majorHAnsi" w:hAnsiTheme="majorHAnsi" w:cstheme="majorHAnsi"/>
          <w:sz w:val="24"/>
          <w:szCs w:val="24"/>
          <w:lang w:val="ro-RO"/>
        </w:rPr>
        <w:t>Cele mai semnificative creanțe s</w:t>
      </w:r>
      <w:r w:rsidR="009134B0" w:rsidRPr="00E4517B">
        <w:rPr>
          <w:rFonts w:asciiTheme="majorHAnsi" w:hAnsiTheme="majorHAnsi" w:cstheme="majorHAnsi"/>
          <w:sz w:val="24"/>
          <w:szCs w:val="24"/>
          <w:lang w:val="ro-RO"/>
        </w:rPr>
        <w:t>u</w:t>
      </w:r>
      <w:r w:rsidRPr="00E4517B">
        <w:rPr>
          <w:rFonts w:asciiTheme="majorHAnsi" w:hAnsiTheme="majorHAnsi" w:cstheme="majorHAnsi"/>
          <w:sz w:val="24"/>
          <w:szCs w:val="24"/>
          <w:lang w:val="ro-RO"/>
        </w:rPr>
        <w:t>nt înregistrate la MECC – 128,3 mil. lei, MADRM – 67,5 mil. lei</w:t>
      </w:r>
      <w:r w:rsidR="009134B0" w:rsidRPr="00E4517B">
        <w:rPr>
          <w:rFonts w:asciiTheme="majorHAnsi" w:hAnsiTheme="majorHAnsi" w:cstheme="majorHAnsi"/>
          <w:sz w:val="24"/>
          <w:szCs w:val="24"/>
          <w:lang w:val="ro-RO"/>
        </w:rPr>
        <w:t>,</w:t>
      </w:r>
      <w:r w:rsidRPr="00E4517B">
        <w:rPr>
          <w:rFonts w:asciiTheme="majorHAnsi" w:hAnsiTheme="majorHAnsi" w:cstheme="majorHAnsi"/>
          <w:sz w:val="24"/>
          <w:szCs w:val="24"/>
          <w:lang w:val="ro-RO"/>
        </w:rPr>
        <w:t xml:space="preserve"> și la MSMPS – </w:t>
      </w:r>
      <w:r w:rsidRPr="00E4517B">
        <w:rPr>
          <w:rFonts w:asciiTheme="majorHAnsi" w:hAnsiTheme="majorHAnsi" w:cstheme="majorHAnsi"/>
          <w:sz w:val="24"/>
          <w:szCs w:val="24"/>
          <w:lang w:val="ro-RO"/>
        </w:rPr>
        <w:lastRenderedPageBreak/>
        <w:t>52,2 mil. lei, CNA – 9,8 mil. lei</w:t>
      </w:r>
      <w:r w:rsidR="009134B0" w:rsidRPr="00E4517B">
        <w:rPr>
          <w:rFonts w:asciiTheme="majorHAnsi" w:hAnsiTheme="majorHAnsi" w:cstheme="majorHAnsi"/>
          <w:sz w:val="24"/>
          <w:szCs w:val="24"/>
          <w:lang w:val="ro-RO"/>
        </w:rPr>
        <w:t>,</w:t>
      </w:r>
      <w:r w:rsidRPr="00E4517B">
        <w:rPr>
          <w:rFonts w:asciiTheme="majorHAnsi" w:hAnsiTheme="majorHAnsi" w:cstheme="majorHAnsi"/>
          <w:sz w:val="24"/>
          <w:szCs w:val="24"/>
          <w:lang w:val="ro-RO"/>
        </w:rPr>
        <w:t xml:space="preserve"> iar datorii la MF – 66,5 mil. lei, MA – 41,8 mil. lei, MSMPS – 58,5 mil. lei. La cheltuieli și active nefinanciare se înregistrează datorii cu termen de achitare expirat în majoritate la Agenția </w:t>
      </w:r>
      <w:r w:rsidR="009134B0" w:rsidRPr="00E4517B">
        <w:rPr>
          <w:rFonts w:asciiTheme="majorHAnsi" w:hAnsiTheme="majorHAnsi" w:cstheme="majorHAnsi"/>
          <w:sz w:val="24"/>
          <w:szCs w:val="24"/>
          <w:lang w:val="ro-RO"/>
        </w:rPr>
        <w:t>„</w:t>
      </w:r>
      <w:r w:rsidRPr="00E4517B">
        <w:rPr>
          <w:rFonts w:asciiTheme="majorHAnsi" w:hAnsiTheme="majorHAnsi" w:cstheme="majorHAnsi"/>
          <w:sz w:val="24"/>
          <w:szCs w:val="24"/>
          <w:lang w:val="ro-RO"/>
        </w:rPr>
        <w:t>Moldsilva</w:t>
      </w:r>
      <w:r w:rsidR="009134B0" w:rsidRPr="00E4517B">
        <w:rPr>
          <w:rFonts w:asciiTheme="majorHAnsi" w:hAnsiTheme="majorHAnsi" w:cstheme="majorHAnsi"/>
          <w:sz w:val="24"/>
          <w:szCs w:val="24"/>
          <w:lang w:val="ro-RO"/>
        </w:rPr>
        <w:t>”</w:t>
      </w:r>
      <w:r w:rsidRPr="00E4517B">
        <w:rPr>
          <w:rFonts w:asciiTheme="majorHAnsi" w:hAnsiTheme="majorHAnsi" w:cstheme="majorHAnsi"/>
          <w:sz w:val="24"/>
          <w:szCs w:val="24"/>
          <w:lang w:val="ro-RO"/>
        </w:rPr>
        <w:t xml:space="preserve"> – 0,5 mil. lei</w:t>
      </w:r>
      <w:r w:rsidR="009134B0" w:rsidRPr="00E4517B">
        <w:rPr>
          <w:rFonts w:asciiTheme="majorHAnsi" w:hAnsiTheme="majorHAnsi" w:cstheme="majorHAnsi"/>
          <w:sz w:val="24"/>
          <w:szCs w:val="24"/>
          <w:lang w:val="ro-RO"/>
        </w:rPr>
        <w:t>,</w:t>
      </w:r>
      <w:r w:rsidRPr="00E4517B">
        <w:rPr>
          <w:rFonts w:asciiTheme="majorHAnsi" w:hAnsiTheme="majorHAnsi" w:cstheme="majorHAnsi"/>
          <w:sz w:val="24"/>
          <w:szCs w:val="24"/>
          <w:lang w:val="ro-RO"/>
        </w:rPr>
        <w:t xml:space="preserve"> și la organele cu regim secret </w:t>
      </w:r>
      <w:r w:rsidR="009134B0" w:rsidRPr="00E4517B">
        <w:rPr>
          <w:rFonts w:asciiTheme="majorHAnsi" w:hAnsiTheme="majorHAnsi" w:cstheme="majorHAnsi"/>
          <w:sz w:val="24"/>
          <w:szCs w:val="24"/>
          <w:lang w:val="ro-RO"/>
        </w:rPr>
        <w:t>–</w:t>
      </w:r>
      <w:r w:rsidRPr="00E4517B">
        <w:rPr>
          <w:rFonts w:asciiTheme="majorHAnsi" w:hAnsiTheme="majorHAnsi" w:cstheme="majorHAnsi"/>
          <w:sz w:val="24"/>
          <w:szCs w:val="24"/>
          <w:lang w:val="ro-RO"/>
        </w:rPr>
        <w:t xml:space="preserve"> 0,4 mil. lei</w:t>
      </w:r>
      <w:r w:rsidR="0003260D" w:rsidRPr="00E4517B">
        <w:rPr>
          <w:rFonts w:asciiTheme="majorHAnsi" w:hAnsiTheme="majorHAnsi" w:cstheme="majorHAnsi"/>
          <w:sz w:val="24"/>
          <w:szCs w:val="24"/>
          <w:lang w:val="ro-RO"/>
        </w:rPr>
        <w:t>,</w:t>
      </w:r>
      <w:r w:rsidRPr="00E4517B">
        <w:rPr>
          <w:rFonts w:asciiTheme="majorHAnsi" w:hAnsiTheme="majorHAnsi" w:cstheme="majorHAnsi"/>
          <w:sz w:val="24"/>
          <w:szCs w:val="24"/>
          <w:lang w:val="ro-RO"/>
        </w:rPr>
        <w:t xml:space="preserve"> iar creanțe cu termen expirat</w:t>
      </w:r>
      <w:r w:rsidR="00AE687E">
        <w:rPr>
          <w:rFonts w:asciiTheme="majorHAnsi" w:hAnsiTheme="majorHAnsi" w:cstheme="majorHAnsi"/>
          <w:sz w:val="24"/>
          <w:szCs w:val="24"/>
          <w:lang w:val="ro-RO"/>
        </w:rPr>
        <w:t xml:space="preserve"> –</w:t>
      </w:r>
      <w:r w:rsidRPr="00E4517B">
        <w:rPr>
          <w:rFonts w:asciiTheme="majorHAnsi" w:hAnsiTheme="majorHAnsi" w:cstheme="majorHAnsi"/>
          <w:sz w:val="24"/>
          <w:szCs w:val="24"/>
          <w:lang w:val="ro-RO"/>
        </w:rPr>
        <w:t xml:space="preserve"> la MF</w:t>
      </w:r>
      <w:r w:rsidR="00AE687E">
        <w:rPr>
          <w:rFonts w:asciiTheme="majorHAnsi" w:hAnsiTheme="majorHAnsi" w:cstheme="majorHAnsi"/>
          <w:sz w:val="24"/>
          <w:szCs w:val="24"/>
          <w:lang w:val="ro-RO"/>
        </w:rPr>
        <w:t>, în sumă de</w:t>
      </w:r>
      <w:r w:rsidRPr="00E4517B">
        <w:rPr>
          <w:rFonts w:asciiTheme="majorHAnsi" w:hAnsiTheme="majorHAnsi" w:cstheme="majorHAnsi"/>
          <w:sz w:val="24"/>
          <w:szCs w:val="24"/>
          <w:lang w:val="ro-RO"/>
        </w:rPr>
        <w:t xml:space="preserve"> 3,2 mil. lei.</w:t>
      </w:r>
      <w:r w:rsidRPr="00E4517B">
        <w:rPr>
          <w:rFonts w:asciiTheme="majorHAnsi" w:hAnsiTheme="majorHAnsi" w:cstheme="majorHAnsi"/>
          <w:b/>
          <w:sz w:val="24"/>
          <w:szCs w:val="24"/>
          <w:lang w:val="ro-RO"/>
        </w:rPr>
        <w:t xml:space="preserve"> </w:t>
      </w:r>
    </w:p>
    <w:p w:rsidR="00EA7373" w:rsidRPr="00E4517B" w:rsidRDefault="00EA7373" w:rsidP="00EA7373">
      <w:pPr>
        <w:tabs>
          <w:tab w:val="left" w:pos="284"/>
        </w:tabs>
        <w:spacing w:after="0" w:line="276" w:lineRule="auto"/>
        <w:contextualSpacing/>
        <w:rPr>
          <w:rFonts w:asciiTheme="majorHAnsi" w:hAnsiTheme="majorHAnsi" w:cstheme="majorHAnsi"/>
          <w:sz w:val="24"/>
          <w:szCs w:val="24"/>
          <w:lang w:val="ro-RO"/>
        </w:rPr>
      </w:pPr>
      <w:r w:rsidRPr="00E4517B">
        <w:rPr>
          <w:rFonts w:asciiTheme="majorHAnsi" w:hAnsiTheme="majorHAnsi" w:cstheme="majorHAnsi"/>
          <w:sz w:val="24"/>
          <w:szCs w:val="24"/>
          <w:lang w:val="ro-RO"/>
        </w:rPr>
        <w:t xml:space="preserve">Auditul a constatat că în Formularul nr.9 </w:t>
      </w:r>
      <w:r w:rsidR="009134B0" w:rsidRPr="00E4517B">
        <w:rPr>
          <w:rFonts w:asciiTheme="majorHAnsi" w:hAnsiTheme="majorHAnsi" w:cstheme="majorHAnsi"/>
          <w:sz w:val="24"/>
          <w:szCs w:val="24"/>
          <w:lang w:val="ro-RO"/>
        </w:rPr>
        <w:t>„</w:t>
      </w:r>
      <w:r w:rsidRPr="00E4517B">
        <w:rPr>
          <w:rFonts w:asciiTheme="majorHAnsi" w:hAnsiTheme="majorHAnsi" w:cstheme="majorHAnsi"/>
          <w:sz w:val="24"/>
          <w:szCs w:val="24"/>
          <w:lang w:val="ro-RO"/>
        </w:rPr>
        <w:t>Raportul privind creanțele și datoriile la cheltuieli și active nefinanciare formate în autoritățile/instituțiile bugetare finanțate de la BS conform clasificației economice pe anul 2020” s</w:t>
      </w:r>
      <w:r w:rsidR="009134B0" w:rsidRPr="00E4517B">
        <w:rPr>
          <w:rFonts w:asciiTheme="majorHAnsi" w:hAnsiTheme="majorHAnsi" w:cstheme="majorHAnsi"/>
          <w:sz w:val="24"/>
          <w:szCs w:val="24"/>
          <w:lang w:val="ro-RO"/>
        </w:rPr>
        <w:t>u</w:t>
      </w:r>
      <w:r w:rsidRPr="00E4517B">
        <w:rPr>
          <w:rFonts w:asciiTheme="majorHAnsi" w:hAnsiTheme="majorHAnsi" w:cstheme="majorHAnsi"/>
          <w:sz w:val="24"/>
          <w:szCs w:val="24"/>
          <w:lang w:val="ro-RO"/>
        </w:rPr>
        <w:t>nt incluse</w:t>
      </w:r>
      <w:r w:rsidR="009134B0" w:rsidRPr="00E4517B">
        <w:rPr>
          <w:rFonts w:asciiTheme="majorHAnsi" w:hAnsiTheme="majorHAnsi" w:cstheme="majorHAnsi"/>
          <w:sz w:val="24"/>
          <w:szCs w:val="24"/>
          <w:lang w:val="ro-RO"/>
        </w:rPr>
        <w:t>,</w:t>
      </w:r>
      <w:r w:rsidRPr="00E4517B">
        <w:rPr>
          <w:rFonts w:asciiTheme="majorHAnsi" w:hAnsiTheme="majorHAnsi" w:cstheme="majorHAnsi"/>
          <w:sz w:val="24"/>
          <w:szCs w:val="24"/>
          <w:lang w:val="ro-RO"/>
        </w:rPr>
        <w:t xml:space="preserve"> conform ordinului MF aprobat</w:t>
      </w:r>
      <w:r w:rsidR="009134B0" w:rsidRPr="00E4517B">
        <w:rPr>
          <w:rFonts w:asciiTheme="majorHAnsi" w:hAnsiTheme="majorHAnsi" w:cstheme="majorHAnsi"/>
          <w:sz w:val="24"/>
          <w:szCs w:val="24"/>
          <w:lang w:val="ro-RO"/>
        </w:rPr>
        <w:t>,</w:t>
      </w:r>
      <w:r w:rsidRPr="00E4517B">
        <w:rPr>
          <w:rFonts w:asciiTheme="majorHAnsi" w:hAnsiTheme="majorHAnsi" w:cstheme="majorHAnsi"/>
          <w:sz w:val="24"/>
          <w:szCs w:val="24"/>
          <w:lang w:val="ro-RO"/>
        </w:rPr>
        <w:t xml:space="preserve"> doar creanțele și datoriile la cheltuieli și active nefinanciare</w:t>
      </w:r>
      <w:r w:rsidR="009134B0" w:rsidRPr="00E4517B">
        <w:rPr>
          <w:rFonts w:asciiTheme="majorHAnsi" w:hAnsiTheme="majorHAnsi" w:cstheme="majorHAnsi"/>
          <w:sz w:val="24"/>
          <w:szCs w:val="24"/>
          <w:lang w:val="ro-RO"/>
        </w:rPr>
        <w:t>,</w:t>
      </w:r>
      <w:r w:rsidRPr="00E4517B">
        <w:rPr>
          <w:rFonts w:asciiTheme="majorHAnsi" w:hAnsiTheme="majorHAnsi" w:cstheme="majorHAnsi"/>
          <w:sz w:val="24"/>
          <w:szCs w:val="24"/>
          <w:lang w:val="ro-RO"/>
        </w:rPr>
        <w:t xml:space="preserve"> dar nu și la venituri. Astfel, la APC (fără cele cu regim secret) au fost înregistrate creanțe la venituri în sumă de 90,0 mil. lei</w:t>
      </w:r>
      <w:r w:rsidR="009134B0" w:rsidRPr="00E4517B">
        <w:rPr>
          <w:rFonts w:asciiTheme="majorHAnsi" w:hAnsiTheme="majorHAnsi" w:cstheme="majorHAnsi"/>
          <w:sz w:val="24"/>
          <w:szCs w:val="24"/>
          <w:lang w:val="ro-RO"/>
        </w:rPr>
        <w:t>,</w:t>
      </w:r>
      <w:r w:rsidRPr="00E4517B">
        <w:rPr>
          <w:rFonts w:asciiTheme="majorHAnsi" w:hAnsiTheme="majorHAnsi" w:cstheme="majorHAnsi"/>
          <w:sz w:val="24"/>
          <w:szCs w:val="24"/>
          <w:lang w:val="ro-RO"/>
        </w:rPr>
        <w:t xml:space="preserve"> inclusiv cu termen expirat –</w:t>
      </w:r>
      <w:r w:rsidR="00AE687E">
        <w:rPr>
          <w:rFonts w:asciiTheme="majorHAnsi" w:hAnsiTheme="majorHAnsi" w:cstheme="majorHAnsi"/>
          <w:sz w:val="24"/>
          <w:szCs w:val="24"/>
          <w:lang w:val="ro-RO"/>
        </w:rPr>
        <w:t xml:space="preserve"> </w:t>
      </w:r>
      <w:r w:rsidRPr="00E4517B">
        <w:rPr>
          <w:rFonts w:asciiTheme="majorHAnsi" w:hAnsiTheme="majorHAnsi" w:cstheme="majorHAnsi"/>
          <w:sz w:val="24"/>
          <w:szCs w:val="24"/>
          <w:lang w:val="ro-RO"/>
        </w:rPr>
        <w:t>15,6 mil. lei, iar datorii - 39,3 mil. lei, inclusiv cu termen de achitare expirat – 1,5 mil. lei. Cele mai semnificative creanțe</w:t>
      </w:r>
      <w:r w:rsidR="009134B0" w:rsidRPr="00E4517B">
        <w:rPr>
          <w:rFonts w:asciiTheme="majorHAnsi" w:hAnsiTheme="majorHAnsi" w:cstheme="majorHAnsi"/>
          <w:sz w:val="24"/>
          <w:szCs w:val="24"/>
          <w:lang w:val="ro-RO"/>
        </w:rPr>
        <w:t>,</w:t>
      </w:r>
      <w:r w:rsidRPr="00E4517B">
        <w:rPr>
          <w:rFonts w:asciiTheme="majorHAnsi" w:hAnsiTheme="majorHAnsi" w:cstheme="majorHAnsi"/>
          <w:sz w:val="24"/>
          <w:szCs w:val="24"/>
          <w:lang w:val="ro-RO"/>
        </w:rPr>
        <w:t xml:space="preserve"> </w:t>
      </w:r>
      <w:r w:rsidR="009134B0" w:rsidRPr="00E4517B">
        <w:rPr>
          <w:rFonts w:asciiTheme="majorHAnsi" w:hAnsiTheme="majorHAnsi" w:cstheme="majorHAnsi"/>
          <w:sz w:val="24"/>
          <w:szCs w:val="24"/>
          <w:lang w:val="ro-RO"/>
        </w:rPr>
        <w:t>de</w:t>
      </w:r>
      <w:r w:rsidRPr="00E4517B">
        <w:rPr>
          <w:rFonts w:asciiTheme="majorHAnsi" w:hAnsiTheme="majorHAnsi" w:cstheme="majorHAnsi"/>
          <w:sz w:val="24"/>
          <w:szCs w:val="24"/>
          <w:lang w:val="ro-RO"/>
        </w:rPr>
        <w:t xml:space="preserve"> 47,4 mil. lei</w:t>
      </w:r>
      <w:r w:rsidR="009134B0" w:rsidRPr="00E4517B">
        <w:rPr>
          <w:rFonts w:asciiTheme="majorHAnsi" w:hAnsiTheme="majorHAnsi" w:cstheme="majorHAnsi"/>
          <w:sz w:val="24"/>
          <w:szCs w:val="24"/>
          <w:lang w:val="ro-RO"/>
        </w:rPr>
        <w:t>,</w:t>
      </w:r>
      <w:r w:rsidRPr="00E4517B">
        <w:rPr>
          <w:rFonts w:asciiTheme="majorHAnsi" w:hAnsiTheme="majorHAnsi" w:cstheme="majorHAnsi"/>
          <w:sz w:val="24"/>
          <w:szCs w:val="24"/>
          <w:lang w:val="ro-RO"/>
        </w:rPr>
        <w:t xml:space="preserve"> și datorii</w:t>
      </w:r>
      <w:r w:rsidR="009134B0" w:rsidRPr="00E4517B">
        <w:rPr>
          <w:rFonts w:asciiTheme="majorHAnsi" w:hAnsiTheme="majorHAnsi" w:cstheme="majorHAnsi"/>
          <w:sz w:val="24"/>
          <w:szCs w:val="24"/>
          <w:lang w:val="ro-RO"/>
        </w:rPr>
        <w:t>,</w:t>
      </w:r>
      <w:r w:rsidRPr="00E4517B">
        <w:rPr>
          <w:rFonts w:asciiTheme="majorHAnsi" w:hAnsiTheme="majorHAnsi" w:cstheme="majorHAnsi"/>
          <w:sz w:val="24"/>
          <w:szCs w:val="24"/>
          <w:lang w:val="ro-RO"/>
        </w:rPr>
        <w:t xml:space="preserve"> </w:t>
      </w:r>
      <w:r w:rsidR="009134B0" w:rsidRPr="00E4517B">
        <w:rPr>
          <w:rFonts w:asciiTheme="majorHAnsi" w:hAnsiTheme="majorHAnsi" w:cstheme="majorHAnsi"/>
          <w:sz w:val="24"/>
          <w:szCs w:val="24"/>
          <w:lang w:val="ro-RO"/>
        </w:rPr>
        <w:t>de</w:t>
      </w:r>
      <w:r w:rsidRPr="00E4517B">
        <w:rPr>
          <w:rFonts w:asciiTheme="majorHAnsi" w:hAnsiTheme="majorHAnsi" w:cstheme="majorHAnsi"/>
          <w:sz w:val="24"/>
          <w:szCs w:val="24"/>
          <w:lang w:val="ro-RO"/>
        </w:rPr>
        <w:t xml:space="preserve"> 36,9 mil. lei</w:t>
      </w:r>
      <w:r w:rsidR="009134B0" w:rsidRPr="00E4517B">
        <w:rPr>
          <w:rFonts w:asciiTheme="majorHAnsi" w:hAnsiTheme="majorHAnsi" w:cstheme="majorHAnsi"/>
          <w:sz w:val="24"/>
          <w:szCs w:val="24"/>
          <w:lang w:val="ro-RO"/>
        </w:rPr>
        <w:t>,</w:t>
      </w:r>
      <w:r w:rsidRPr="00E4517B">
        <w:rPr>
          <w:rFonts w:asciiTheme="majorHAnsi" w:hAnsiTheme="majorHAnsi" w:cstheme="majorHAnsi"/>
          <w:sz w:val="24"/>
          <w:szCs w:val="24"/>
          <w:lang w:val="ro-RO"/>
        </w:rPr>
        <w:t xml:space="preserve"> au fost înregistrate la prestarea serviciilor cu plată. În anul 2020 au fost executate venituri la BS cu 197,6 mil. lei mai puțin față de anul precedent (711,97 mil. lei), astfel monitorizarea strictă a creanțelor și datoriilor la venituri </w:t>
      </w:r>
      <w:r w:rsidR="008C3C7F" w:rsidRPr="00E4517B">
        <w:rPr>
          <w:rFonts w:asciiTheme="majorHAnsi" w:hAnsiTheme="majorHAnsi" w:cstheme="majorHAnsi"/>
          <w:sz w:val="24"/>
          <w:szCs w:val="24"/>
          <w:lang w:val="ro-RO"/>
        </w:rPr>
        <w:t>are impact semnificativ la</w:t>
      </w:r>
      <w:r w:rsidRPr="00E4517B">
        <w:rPr>
          <w:rFonts w:asciiTheme="majorHAnsi" w:hAnsiTheme="majorHAnsi" w:cstheme="majorHAnsi"/>
          <w:sz w:val="24"/>
          <w:szCs w:val="24"/>
          <w:lang w:val="ro-RO"/>
        </w:rPr>
        <w:t xml:space="preserve"> sporirea încasărilor de la prestarea serviciilor cu plată.</w:t>
      </w:r>
    </w:p>
    <w:p w:rsidR="009436D9" w:rsidRPr="00F55BA6" w:rsidRDefault="00F96A31" w:rsidP="00597D1E">
      <w:pPr>
        <w:spacing w:after="0"/>
        <w:rPr>
          <w:rFonts w:asciiTheme="minorHAnsi" w:hAnsiTheme="minorHAnsi"/>
          <w:sz w:val="22"/>
          <w:lang w:val="ro-RO"/>
        </w:rPr>
      </w:pPr>
      <w:r w:rsidRPr="00F55BA6">
        <w:rPr>
          <w:rFonts w:asciiTheme="majorHAnsi" w:eastAsiaTheme="minorEastAsia" w:hAnsiTheme="majorHAnsi" w:cstheme="majorHAnsi"/>
          <w:sz w:val="24"/>
          <w:szCs w:val="24"/>
          <w:lang w:val="ro-RO"/>
        </w:rPr>
        <w:t xml:space="preserve">Echipa </w:t>
      </w:r>
      <w:r w:rsidR="00E4517B" w:rsidRPr="00F55BA6">
        <w:rPr>
          <w:rFonts w:asciiTheme="majorHAnsi" w:eastAsiaTheme="minorEastAsia" w:hAnsiTheme="majorHAnsi" w:cstheme="majorHAnsi"/>
          <w:sz w:val="24"/>
          <w:szCs w:val="24"/>
          <w:lang w:val="ro-RO"/>
        </w:rPr>
        <w:t>CCRM</w:t>
      </w:r>
      <w:r w:rsidRPr="00F55BA6">
        <w:rPr>
          <w:rFonts w:asciiTheme="majorHAnsi" w:eastAsiaTheme="minorEastAsia" w:hAnsiTheme="majorHAnsi" w:cstheme="majorHAnsi"/>
          <w:sz w:val="24"/>
          <w:szCs w:val="24"/>
          <w:lang w:val="ro-RO"/>
        </w:rPr>
        <w:t xml:space="preserve"> care a efectuat misiunea de audit la </w:t>
      </w:r>
      <w:r w:rsidR="00B51730" w:rsidRPr="00E4517B">
        <w:rPr>
          <w:rFonts w:asciiTheme="majorHAnsi" w:hAnsiTheme="majorHAnsi" w:cstheme="majorHAnsi"/>
          <w:b/>
          <w:sz w:val="24"/>
          <w:szCs w:val="24"/>
          <w:lang w:val="ro-RO"/>
        </w:rPr>
        <w:t>MAEIE</w:t>
      </w:r>
      <w:r w:rsidR="00B51730" w:rsidRPr="00E4517B">
        <w:rPr>
          <w:rFonts w:asciiTheme="majorHAnsi" w:hAnsiTheme="majorHAnsi" w:cstheme="majorHAnsi"/>
          <w:sz w:val="24"/>
          <w:szCs w:val="24"/>
          <w:vertAlign w:val="superscript"/>
          <w:lang w:val="ro-RO"/>
        </w:rPr>
        <w:footnoteReference w:id="67"/>
      </w:r>
      <w:r w:rsidRPr="00F55BA6">
        <w:rPr>
          <w:rFonts w:asciiTheme="majorHAnsi" w:eastAsiaTheme="minorEastAsia" w:hAnsiTheme="majorHAnsi" w:cstheme="majorHAnsi"/>
          <w:sz w:val="24"/>
          <w:szCs w:val="24"/>
          <w:lang w:val="ro-RO"/>
        </w:rPr>
        <w:t xml:space="preserve"> a constatat că</w:t>
      </w:r>
      <w:r w:rsidR="00E4517B" w:rsidRPr="00F55BA6">
        <w:rPr>
          <w:rFonts w:asciiTheme="majorHAnsi" w:eastAsiaTheme="minorEastAsia" w:hAnsiTheme="majorHAnsi" w:cstheme="majorHAnsi"/>
          <w:sz w:val="24"/>
          <w:szCs w:val="24"/>
          <w:lang w:val="ro-RO"/>
        </w:rPr>
        <w:t>,</w:t>
      </w:r>
      <w:r w:rsidRPr="00F55BA6">
        <w:rPr>
          <w:rFonts w:asciiTheme="majorHAnsi" w:eastAsiaTheme="minorEastAsia" w:hAnsiTheme="majorHAnsi" w:cstheme="majorHAnsi"/>
          <w:sz w:val="24"/>
          <w:szCs w:val="24"/>
          <w:lang w:val="ro-RO"/>
        </w:rPr>
        <w:t xml:space="preserve"> în anul 2020, instituțiile serviciului diplomatic al MAEIE au procurat 5 automobile</w:t>
      </w:r>
      <w:r w:rsidRPr="00F55BA6">
        <w:rPr>
          <w:rFonts w:asciiTheme="majorHAnsi" w:eastAsiaTheme="minorEastAsia" w:hAnsiTheme="majorHAnsi" w:cstheme="majorHAnsi"/>
          <w:sz w:val="24"/>
          <w:szCs w:val="24"/>
          <w:vertAlign w:val="superscript"/>
          <w:lang w:val="ro-RO"/>
        </w:rPr>
        <w:footnoteReference w:id="68"/>
      </w:r>
      <w:r w:rsidRPr="00F55BA6">
        <w:rPr>
          <w:rFonts w:asciiTheme="majorHAnsi" w:eastAsiaTheme="minorEastAsia" w:hAnsiTheme="majorHAnsi" w:cstheme="majorHAnsi"/>
          <w:sz w:val="24"/>
          <w:szCs w:val="24"/>
          <w:lang w:val="ro-RO"/>
        </w:rPr>
        <w:t>, pentru care au fost achitate 3,6 mil. lei, din care achitarea în avans pentru procurarea a 3 automobile</w:t>
      </w:r>
      <w:r w:rsidRPr="00F55BA6">
        <w:rPr>
          <w:rFonts w:asciiTheme="majorHAnsi" w:eastAsiaTheme="minorEastAsia" w:hAnsiTheme="majorHAnsi" w:cstheme="majorHAnsi"/>
          <w:sz w:val="24"/>
          <w:szCs w:val="24"/>
          <w:vertAlign w:val="superscript"/>
          <w:lang w:val="ro-RO"/>
        </w:rPr>
        <w:footnoteReference w:id="69"/>
      </w:r>
      <w:r w:rsidRPr="00F55BA6">
        <w:rPr>
          <w:rFonts w:asciiTheme="majorHAnsi" w:eastAsiaTheme="minorEastAsia" w:hAnsiTheme="majorHAnsi" w:cstheme="majorHAnsi"/>
          <w:sz w:val="24"/>
          <w:szCs w:val="24"/>
          <w:lang w:val="ro-RO"/>
        </w:rPr>
        <w:t xml:space="preserve">, ceea ce a determinat majorarea creanțelor cu 2,2 mil. lei. </w:t>
      </w:r>
    </w:p>
    <w:p w:rsidR="00BF1796" w:rsidRPr="00F55BA6" w:rsidRDefault="00BF1796" w:rsidP="00597D1E">
      <w:pPr>
        <w:tabs>
          <w:tab w:val="left" w:pos="284"/>
        </w:tabs>
        <w:spacing w:after="0" w:line="276" w:lineRule="auto"/>
        <w:contextualSpacing/>
        <w:rPr>
          <w:rFonts w:asciiTheme="majorHAnsi" w:eastAsiaTheme="minorEastAsia" w:hAnsiTheme="majorHAnsi" w:cstheme="majorHAnsi"/>
          <w:sz w:val="24"/>
          <w:szCs w:val="24"/>
          <w:lang w:val="ro-RO"/>
        </w:rPr>
      </w:pPr>
      <w:r w:rsidRPr="00F55BA6">
        <w:rPr>
          <w:rFonts w:asciiTheme="majorHAnsi" w:eastAsiaTheme="minorEastAsia" w:hAnsiTheme="majorHAnsi" w:cstheme="majorHAnsi"/>
          <w:b/>
          <w:sz w:val="24"/>
          <w:szCs w:val="24"/>
          <w:lang w:val="ro-RO"/>
        </w:rPr>
        <w:t>La MJ</w:t>
      </w:r>
      <w:r w:rsidR="00E4517B" w:rsidRPr="00F55BA6">
        <w:rPr>
          <w:rFonts w:asciiTheme="majorHAnsi" w:eastAsiaTheme="minorEastAsia" w:hAnsiTheme="majorHAnsi" w:cstheme="majorHAnsi"/>
          <w:b/>
          <w:sz w:val="24"/>
          <w:szCs w:val="24"/>
          <w:lang w:val="ro-RO"/>
        </w:rPr>
        <w:t>,</w:t>
      </w:r>
      <w:r w:rsidR="00D129E5" w:rsidRPr="00F55BA6">
        <w:rPr>
          <w:rFonts w:asciiTheme="majorHAnsi" w:hAnsiTheme="majorHAnsi" w:cstheme="majorHAnsi"/>
          <w:lang w:val="ro-RO"/>
        </w:rPr>
        <w:t xml:space="preserve"> </w:t>
      </w:r>
      <w:r w:rsidR="00E1037B" w:rsidRPr="00F55BA6">
        <w:rPr>
          <w:rFonts w:asciiTheme="majorHAnsi" w:hAnsiTheme="majorHAnsi" w:cstheme="majorHAnsi"/>
          <w:sz w:val="24"/>
          <w:szCs w:val="24"/>
          <w:lang w:val="ro-RO"/>
        </w:rPr>
        <w:t>c</w:t>
      </w:r>
      <w:r w:rsidR="00D129E5" w:rsidRPr="00F55BA6">
        <w:rPr>
          <w:rFonts w:asciiTheme="majorHAnsi" w:eastAsiaTheme="minorEastAsia" w:hAnsiTheme="majorHAnsi" w:cstheme="majorHAnsi"/>
          <w:sz w:val="24"/>
          <w:szCs w:val="24"/>
          <w:lang w:val="ro-RO"/>
        </w:rPr>
        <w:t>reanțele Administrației Naționale a Penitenciarelor față de întreprinderile de stat fondate în cadrul sistemului penitenciar, la 31.12.2020, au însumat 8,8 mil.lei, acestea fiind formate în perioada 2013-2019 în urma prestării muncii de către condamnați în baza contractelor încheiate cu unele instituții penitenciare. Creanțele includ și sumele aferente contribuțiilor de asigurări sociale de stat și primelor de asigurare obligatorie de asistență medicală</w:t>
      </w:r>
      <w:r w:rsidR="00973E5B">
        <w:rPr>
          <w:rFonts w:asciiTheme="majorHAnsi" w:eastAsiaTheme="minorEastAsia" w:hAnsiTheme="majorHAnsi" w:cstheme="majorHAnsi"/>
          <w:sz w:val="24"/>
          <w:szCs w:val="24"/>
          <w:lang w:val="ro-RO"/>
        </w:rPr>
        <w:t>,</w:t>
      </w:r>
      <w:r w:rsidR="00D129E5" w:rsidRPr="00F55BA6">
        <w:rPr>
          <w:rFonts w:asciiTheme="majorHAnsi" w:eastAsiaTheme="minorEastAsia" w:hAnsiTheme="majorHAnsi" w:cstheme="majorHAnsi"/>
          <w:sz w:val="24"/>
          <w:szCs w:val="24"/>
          <w:lang w:val="ro-RO"/>
        </w:rPr>
        <w:t xml:space="preserve"> de 1,5 mil.lei, cu termenul de achitare expirat. Nefuncționalitatea sistemului de recuperare a creanțelor în cadrul instituțiilor penitenciare poate genera o potențială nerecuperare a acestora, care ar putea fi achitate ulterior din mijloace bugetare, deoarece unele întreprinderi de stat nu mai activează.</w:t>
      </w:r>
    </w:p>
    <w:p w:rsidR="00C3538A" w:rsidRPr="00F55BA6" w:rsidRDefault="005D6AE0" w:rsidP="00C3538A">
      <w:pPr>
        <w:tabs>
          <w:tab w:val="left" w:pos="0"/>
        </w:tabs>
        <w:spacing w:after="0" w:line="276" w:lineRule="auto"/>
        <w:contextualSpacing/>
        <w:outlineLvl w:val="2"/>
        <w:rPr>
          <w:rFonts w:asciiTheme="majorHAnsi" w:hAnsiTheme="majorHAnsi" w:cstheme="majorHAnsi"/>
          <w:b/>
          <w:sz w:val="24"/>
          <w:szCs w:val="24"/>
          <w:lang w:val="ro-RO"/>
        </w:rPr>
      </w:pPr>
      <w:bookmarkStart w:id="1" w:name="_Toc10126088"/>
      <w:r w:rsidRPr="00E4517B">
        <w:rPr>
          <w:rFonts w:asciiTheme="majorHAnsi" w:eastAsia="Times New Roman" w:hAnsiTheme="majorHAnsi" w:cstheme="majorHAnsi"/>
          <w:b/>
          <w:sz w:val="24"/>
          <w:szCs w:val="24"/>
          <w:lang w:val="ro-RO"/>
        </w:rPr>
        <w:t>6.13</w:t>
      </w:r>
      <w:r w:rsidR="00C3538A" w:rsidRPr="00F55BA6">
        <w:rPr>
          <w:rFonts w:asciiTheme="majorHAnsi" w:hAnsiTheme="majorHAnsi" w:cstheme="majorHAnsi"/>
          <w:b/>
          <w:sz w:val="24"/>
          <w:szCs w:val="24"/>
          <w:lang w:val="ro-RO"/>
        </w:rPr>
        <w:t xml:space="preserve"> Rezultatul execuției bugetului de stat înregistrează un deficit de 11 134,9 mil. </w:t>
      </w:r>
      <w:bookmarkEnd w:id="1"/>
      <w:r w:rsidR="00C3538A" w:rsidRPr="00F55BA6">
        <w:rPr>
          <w:rFonts w:asciiTheme="majorHAnsi" w:hAnsiTheme="majorHAnsi" w:cstheme="majorHAnsi"/>
          <w:b/>
          <w:sz w:val="24"/>
          <w:szCs w:val="24"/>
          <w:lang w:val="ro-RO"/>
        </w:rPr>
        <w:t>lei</w:t>
      </w:r>
      <w:r w:rsidR="00E4517B">
        <w:rPr>
          <w:rFonts w:asciiTheme="majorHAnsi" w:hAnsiTheme="majorHAnsi" w:cstheme="majorHAnsi"/>
          <w:b/>
          <w:sz w:val="24"/>
          <w:szCs w:val="24"/>
          <w:lang w:val="ro-RO"/>
        </w:rPr>
        <w:t>,</w:t>
      </w:r>
      <w:r w:rsidR="00C3538A" w:rsidRPr="00F55BA6">
        <w:rPr>
          <w:rFonts w:asciiTheme="majorHAnsi" w:hAnsiTheme="majorHAnsi" w:cstheme="majorHAnsi"/>
          <w:b/>
          <w:sz w:val="24"/>
          <w:szCs w:val="24"/>
          <w:lang w:val="ro-RO"/>
        </w:rPr>
        <w:t xml:space="preserve"> cu o creștere de 8 028,9 mil. lei față de anul precedent</w:t>
      </w:r>
      <w:r w:rsidR="00AE687E">
        <w:rPr>
          <w:rFonts w:asciiTheme="majorHAnsi" w:hAnsiTheme="majorHAnsi" w:cstheme="majorHAnsi"/>
          <w:b/>
          <w:sz w:val="24"/>
          <w:szCs w:val="24"/>
          <w:lang w:val="ro-RO"/>
        </w:rPr>
        <w:t>.</w:t>
      </w:r>
    </w:p>
    <w:p w:rsidR="00C3538A" w:rsidRPr="00F55BA6" w:rsidRDefault="00C3538A" w:rsidP="00C3538A">
      <w:pPr>
        <w:spacing w:after="0" w:line="276" w:lineRule="auto"/>
        <w:rPr>
          <w:rFonts w:asciiTheme="majorHAnsi" w:eastAsia="Times New Roman" w:hAnsiTheme="majorHAnsi" w:cstheme="majorHAnsi"/>
          <w:sz w:val="24"/>
          <w:szCs w:val="24"/>
          <w:lang w:val="ro-RO"/>
        </w:rPr>
      </w:pPr>
      <w:r w:rsidRPr="00E4517B">
        <w:rPr>
          <w:rFonts w:asciiTheme="majorHAnsi" w:hAnsiTheme="majorHAnsi" w:cstheme="majorHAnsi"/>
          <w:sz w:val="24"/>
          <w:szCs w:val="24"/>
          <w:lang w:val="ro-RO"/>
        </w:rPr>
        <w:t>Auditul asupra Raportului privind executarea indicatorilor generali și surselor de finanțare ale bugetului de stat</w:t>
      </w:r>
      <w:r w:rsidRPr="00E4517B">
        <w:rPr>
          <w:rFonts w:asciiTheme="majorHAnsi" w:hAnsiTheme="majorHAnsi" w:cstheme="majorHAnsi"/>
          <w:sz w:val="24"/>
          <w:szCs w:val="24"/>
          <w:vertAlign w:val="superscript"/>
          <w:lang w:val="ro-RO"/>
        </w:rPr>
        <w:footnoteReference w:id="70"/>
      </w:r>
      <w:r w:rsidRPr="00E4517B">
        <w:rPr>
          <w:rFonts w:asciiTheme="majorHAnsi" w:hAnsiTheme="majorHAnsi" w:cstheme="majorHAnsi"/>
          <w:sz w:val="24"/>
          <w:szCs w:val="24"/>
          <w:lang w:val="ro-RO"/>
        </w:rPr>
        <w:t xml:space="preserve"> pentru anul 2020 relevă că execuția bugetului de stat la 31.12.2020 s-a încheiat cu un deficit de (-11 134,9) mil. lei, fiind cu 4 864,5 mil. lei sub nivelul deficitului precizat (- 15 999,4 mil. lei). </w:t>
      </w:r>
      <w:r w:rsidRPr="00973E5B">
        <w:rPr>
          <w:rFonts w:asciiTheme="majorHAnsi" w:hAnsiTheme="majorHAnsi" w:cstheme="majorHAnsi"/>
          <w:sz w:val="24"/>
          <w:szCs w:val="24"/>
          <w:lang w:val="ro-RO"/>
        </w:rPr>
        <w:t xml:space="preserve">În comparație cu anul 2019, rezultatul execuției bugetului de stat (deficitul) în anul 2020 a înregistrat o creștere de 358,5%, iar față de anul 2018 </w:t>
      </w:r>
      <w:r w:rsidR="00973E5B">
        <w:rPr>
          <w:rFonts w:asciiTheme="majorHAnsi" w:hAnsiTheme="majorHAnsi" w:cstheme="majorHAnsi"/>
          <w:sz w:val="24"/>
          <w:szCs w:val="24"/>
          <w:lang w:val="ro-RO"/>
        </w:rPr>
        <w:t xml:space="preserve">– </w:t>
      </w:r>
      <w:r w:rsidRPr="00973E5B">
        <w:rPr>
          <w:rFonts w:asciiTheme="majorHAnsi" w:hAnsiTheme="majorHAnsi" w:cstheme="majorHAnsi"/>
          <w:sz w:val="24"/>
          <w:szCs w:val="24"/>
          <w:lang w:val="ro-RO"/>
        </w:rPr>
        <w:t xml:space="preserve">de 489,3%, </w:t>
      </w:r>
      <w:r w:rsidR="00973E5B">
        <w:rPr>
          <w:rFonts w:asciiTheme="majorHAnsi" w:hAnsiTheme="majorHAnsi" w:cstheme="majorHAnsi"/>
          <w:sz w:val="24"/>
          <w:szCs w:val="24"/>
          <w:lang w:val="ro-RO"/>
        </w:rPr>
        <w:t xml:space="preserve">ca </w:t>
      </w:r>
      <w:r w:rsidR="00E923F7" w:rsidRPr="00973E5B">
        <w:rPr>
          <w:rFonts w:asciiTheme="majorHAnsi" w:hAnsiTheme="majorHAnsi" w:cstheme="majorHAnsi"/>
          <w:sz w:val="24"/>
          <w:szCs w:val="24"/>
          <w:lang w:val="ro-RO"/>
        </w:rPr>
        <w:t>urmare</w:t>
      </w:r>
      <w:r w:rsidRPr="00F55BA6">
        <w:rPr>
          <w:rFonts w:asciiTheme="majorHAnsi" w:hAnsiTheme="majorHAnsi" w:cstheme="majorHAnsi"/>
          <w:sz w:val="24"/>
          <w:szCs w:val="24"/>
          <w:lang w:val="ro-RO"/>
        </w:rPr>
        <w:t xml:space="preserve"> </w:t>
      </w:r>
      <w:r w:rsidR="00973E5B">
        <w:rPr>
          <w:rFonts w:asciiTheme="majorHAnsi" w:hAnsiTheme="majorHAnsi" w:cstheme="majorHAnsi"/>
          <w:sz w:val="24"/>
          <w:szCs w:val="24"/>
          <w:lang w:val="ro-RO"/>
        </w:rPr>
        <w:t xml:space="preserve">a </w:t>
      </w:r>
      <w:r w:rsidRPr="00E4517B">
        <w:rPr>
          <w:rFonts w:asciiTheme="majorHAnsi" w:hAnsiTheme="majorHAnsi" w:cstheme="majorHAnsi"/>
          <w:sz w:val="24"/>
          <w:szCs w:val="24"/>
          <w:lang w:val="ro-RO"/>
        </w:rPr>
        <w:t>evoluției economiei naționale sub pre</w:t>
      </w:r>
      <w:r w:rsidRPr="00973E5B">
        <w:rPr>
          <w:rFonts w:asciiTheme="majorHAnsi" w:hAnsiTheme="majorHAnsi" w:cstheme="majorHAnsi"/>
          <w:sz w:val="24"/>
          <w:szCs w:val="24"/>
          <w:lang w:val="ro-RO"/>
        </w:rPr>
        <w:t>siunea efectelor produse de pandemia COVID-19 și consecințel</w:t>
      </w:r>
      <w:r w:rsidR="00973E5B">
        <w:rPr>
          <w:rFonts w:asciiTheme="majorHAnsi" w:hAnsiTheme="majorHAnsi" w:cstheme="majorHAnsi"/>
          <w:sz w:val="24"/>
          <w:szCs w:val="24"/>
          <w:lang w:val="ro-RO"/>
        </w:rPr>
        <w:t>or</w:t>
      </w:r>
      <w:r w:rsidRPr="00973E5B">
        <w:rPr>
          <w:rFonts w:asciiTheme="majorHAnsi" w:hAnsiTheme="majorHAnsi" w:cstheme="majorHAnsi"/>
          <w:sz w:val="24"/>
          <w:szCs w:val="24"/>
          <w:lang w:val="ro-RO"/>
        </w:rPr>
        <w:t xml:space="preserve"> fenomenelor </w:t>
      </w:r>
      <w:r w:rsidRPr="00973E5B">
        <w:rPr>
          <w:rFonts w:asciiTheme="majorHAnsi" w:hAnsiTheme="majorHAnsi" w:cstheme="majorHAnsi"/>
          <w:sz w:val="24"/>
          <w:szCs w:val="24"/>
          <w:lang w:val="ro-RO"/>
        </w:rPr>
        <w:lastRenderedPageBreak/>
        <w:t xml:space="preserve">climatice din țară. </w:t>
      </w:r>
      <w:r w:rsidRPr="00973E5B">
        <w:rPr>
          <w:rFonts w:asciiTheme="majorHAnsi" w:hAnsiTheme="majorHAnsi" w:cstheme="majorHAnsi"/>
          <w:i/>
          <w:sz w:val="24"/>
          <w:szCs w:val="24"/>
          <w:lang w:val="ro-RO"/>
        </w:rPr>
        <w:t>Tendințele deficitului bugetului de stat pe anul 2020, în dinamică, precum și ponderea acestuia în PIB sunt prezentate în</w:t>
      </w:r>
      <w:r w:rsidRPr="00973E5B">
        <w:rPr>
          <w:rFonts w:asciiTheme="majorHAnsi" w:hAnsiTheme="majorHAnsi" w:cstheme="majorHAnsi"/>
          <w:sz w:val="24"/>
          <w:szCs w:val="24"/>
          <w:lang w:val="ro-RO"/>
        </w:rPr>
        <w:t xml:space="preserve"> </w:t>
      </w:r>
      <w:r w:rsidRPr="00973E5B">
        <w:rPr>
          <w:rFonts w:asciiTheme="majorHAnsi" w:hAnsiTheme="majorHAnsi" w:cstheme="majorHAnsi"/>
          <w:i/>
          <w:sz w:val="24"/>
          <w:szCs w:val="24"/>
          <w:lang w:val="ro-RO"/>
        </w:rPr>
        <w:t>Tabelul nr.1.</w:t>
      </w:r>
    </w:p>
    <w:p w:rsidR="00C3538A" w:rsidRPr="00E4517B" w:rsidRDefault="00C3538A" w:rsidP="00C3538A">
      <w:pPr>
        <w:spacing w:after="0" w:line="276" w:lineRule="auto"/>
        <w:jc w:val="right"/>
        <w:rPr>
          <w:rFonts w:asciiTheme="majorHAnsi" w:eastAsia="Times New Roman" w:hAnsiTheme="majorHAnsi" w:cstheme="majorHAnsi"/>
          <w:i/>
          <w:sz w:val="24"/>
          <w:szCs w:val="24"/>
          <w:lang w:val="ro-RO" w:eastAsia="ru-RU"/>
        </w:rPr>
      </w:pPr>
      <w:r w:rsidRPr="00E4517B">
        <w:rPr>
          <w:rFonts w:asciiTheme="majorHAnsi" w:eastAsia="Times New Roman" w:hAnsiTheme="majorHAnsi" w:cstheme="majorHAnsi"/>
          <w:i/>
          <w:sz w:val="24"/>
          <w:szCs w:val="24"/>
          <w:lang w:val="ro-RO" w:eastAsia="ru-RU"/>
        </w:rPr>
        <w:t>Tabelul nr.1</w:t>
      </w:r>
    </w:p>
    <w:p w:rsidR="00C3538A" w:rsidRPr="00973E5B" w:rsidRDefault="00C3538A" w:rsidP="00C3538A">
      <w:pPr>
        <w:spacing w:after="0" w:line="276" w:lineRule="auto"/>
        <w:ind w:right="51"/>
        <w:jc w:val="center"/>
        <w:rPr>
          <w:rFonts w:asciiTheme="majorHAnsi" w:eastAsia="Times New Roman" w:hAnsiTheme="majorHAnsi" w:cstheme="majorHAnsi"/>
          <w:b/>
          <w:sz w:val="24"/>
          <w:szCs w:val="24"/>
          <w:lang w:val="ro-RO" w:eastAsia="ru-RU"/>
        </w:rPr>
      </w:pPr>
      <w:r w:rsidRPr="00973E5B">
        <w:rPr>
          <w:rFonts w:asciiTheme="majorHAnsi" w:eastAsia="Times New Roman" w:hAnsiTheme="majorHAnsi" w:cstheme="majorHAnsi"/>
          <w:b/>
          <w:sz w:val="24"/>
          <w:szCs w:val="24"/>
          <w:lang w:val="ro-RO" w:eastAsia="ru-RU"/>
        </w:rPr>
        <w:t>Tendințele deficitului bugetului de stat pe anii 2018-2020 și ponderea acestuia în PIB</w:t>
      </w:r>
    </w:p>
    <w:p w:rsidR="00C3538A" w:rsidRPr="00B05CFC" w:rsidRDefault="00C3538A" w:rsidP="00C3538A">
      <w:pPr>
        <w:spacing w:after="0" w:line="276" w:lineRule="auto"/>
        <w:jc w:val="right"/>
        <w:rPr>
          <w:rFonts w:asciiTheme="majorHAnsi" w:eastAsia="Times New Roman" w:hAnsiTheme="majorHAnsi" w:cstheme="majorHAnsi"/>
          <w:b/>
          <w:sz w:val="24"/>
          <w:szCs w:val="24"/>
          <w:lang w:val="ro-RO" w:eastAsia="ru-RU"/>
        </w:rPr>
      </w:pPr>
      <w:r w:rsidRPr="00B05CFC">
        <w:rPr>
          <w:rFonts w:asciiTheme="majorHAnsi" w:eastAsia="Times New Roman" w:hAnsiTheme="majorHAnsi" w:cstheme="majorHAnsi"/>
          <w:b/>
          <w:sz w:val="24"/>
          <w:szCs w:val="24"/>
          <w:lang w:val="ro-RO" w:eastAsia="ru-RU"/>
        </w:rPr>
        <w:t>(mil. lei)</w:t>
      </w:r>
    </w:p>
    <w:tbl>
      <w:tblPr>
        <w:tblStyle w:val="GridTable1Light1"/>
        <w:tblW w:w="9695" w:type="dxa"/>
        <w:tblLook w:val="04A0" w:firstRow="1" w:lastRow="0" w:firstColumn="1" w:lastColumn="0" w:noHBand="0" w:noVBand="1"/>
      </w:tblPr>
      <w:tblGrid>
        <w:gridCol w:w="1980"/>
        <w:gridCol w:w="1029"/>
        <w:gridCol w:w="1193"/>
        <w:gridCol w:w="935"/>
        <w:gridCol w:w="992"/>
        <w:gridCol w:w="1177"/>
        <w:gridCol w:w="1191"/>
        <w:gridCol w:w="1198"/>
      </w:tblGrid>
      <w:tr w:rsidR="00C3538A" w:rsidRPr="00E4517B" w:rsidTr="00B517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Merge w:val="restart"/>
            <w:vAlign w:val="center"/>
          </w:tcPr>
          <w:p w:rsidR="00C3538A" w:rsidRPr="00E4517B" w:rsidRDefault="00C3538A" w:rsidP="00B51730">
            <w:pPr>
              <w:jc w:val="center"/>
              <w:rPr>
                <w:rFonts w:asciiTheme="majorHAnsi" w:eastAsia="Times New Roman" w:hAnsiTheme="majorHAnsi" w:cstheme="majorHAnsi"/>
                <w:b w:val="0"/>
                <w:i/>
                <w:sz w:val="16"/>
                <w:szCs w:val="16"/>
                <w:lang w:val="ro-RO" w:eastAsia="ru-RU"/>
              </w:rPr>
            </w:pPr>
            <w:r w:rsidRPr="00E4517B">
              <w:rPr>
                <w:rFonts w:asciiTheme="majorHAnsi" w:eastAsia="Times New Roman" w:hAnsiTheme="majorHAnsi" w:cstheme="majorHAnsi"/>
                <w:i/>
                <w:sz w:val="20"/>
                <w:szCs w:val="20"/>
                <w:lang w:val="ro-RO" w:eastAsia="ru-RU"/>
              </w:rPr>
              <w:t>Indicatori</w:t>
            </w:r>
          </w:p>
        </w:tc>
        <w:tc>
          <w:tcPr>
            <w:tcW w:w="1029" w:type="dxa"/>
            <w:vAlign w:val="center"/>
          </w:tcPr>
          <w:p w:rsidR="00C3538A" w:rsidRPr="00E4517B" w:rsidRDefault="00C3538A" w:rsidP="00B51730">
            <w:pPr>
              <w:ind w:right="-127"/>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20"/>
                <w:szCs w:val="20"/>
                <w:lang w:val="ro-RO" w:eastAsia="ru-RU"/>
              </w:rPr>
            </w:pPr>
            <w:r w:rsidRPr="00E4517B">
              <w:rPr>
                <w:rFonts w:asciiTheme="majorHAnsi" w:eastAsia="Times New Roman" w:hAnsiTheme="majorHAnsi" w:cstheme="majorHAnsi"/>
                <w:i/>
                <w:sz w:val="20"/>
                <w:szCs w:val="20"/>
                <w:lang w:val="ro-RO" w:eastAsia="ru-RU"/>
              </w:rPr>
              <w:t>Anul 2018</w:t>
            </w:r>
          </w:p>
        </w:tc>
        <w:tc>
          <w:tcPr>
            <w:tcW w:w="1193" w:type="dxa"/>
            <w:vAlign w:val="center"/>
          </w:tcPr>
          <w:p w:rsidR="00C3538A" w:rsidRPr="00E4517B" w:rsidRDefault="00C3538A" w:rsidP="00B51730">
            <w:pPr>
              <w:ind w:right="-11"/>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20"/>
                <w:szCs w:val="20"/>
                <w:lang w:val="ro-RO" w:eastAsia="ru-RU"/>
              </w:rPr>
            </w:pPr>
            <w:r w:rsidRPr="00E4517B">
              <w:rPr>
                <w:rFonts w:asciiTheme="majorHAnsi" w:eastAsia="Times New Roman" w:hAnsiTheme="majorHAnsi" w:cstheme="majorHAnsi"/>
                <w:i/>
                <w:sz w:val="20"/>
                <w:szCs w:val="20"/>
                <w:lang w:val="ro-RO" w:eastAsia="ru-RU"/>
              </w:rPr>
              <w:t>Anul 2019</w:t>
            </w:r>
          </w:p>
        </w:tc>
        <w:tc>
          <w:tcPr>
            <w:tcW w:w="3104" w:type="dxa"/>
            <w:gridSpan w:val="3"/>
            <w:vAlign w:val="center"/>
          </w:tcPr>
          <w:p w:rsidR="00C3538A" w:rsidRPr="00E4517B" w:rsidRDefault="00C3538A" w:rsidP="00B51730">
            <w:pPr>
              <w:ind w:right="-127"/>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20"/>
                <w:szCs w:val="20"/>
                <w:lang w:val="ro-RO" w:eastAsia="ru-RU"/>
              </w:rPr>
            </w:pPr>
            <w:r w:rsidRPr="00E4517B">
              <w:rPr>
                <w:rFonts w:asciiTheme="majorHAnsi" w:eastAsia="Times New Roman" w:hAnsiTheme="majorHAnsi" w:cstheme="majorHAnsi"/>
                <w:i/>
                <w:sz w:val="20"/>
                <w:szCs w:val="20"/>
                <w:lang w:val="ro-RO" w:eastAsia="ru-RU"/>
              </w:rPr>
              <w:t>Anul 2020</w:t>
            </w:r>
          </w:p>
        </w:tc>
        <w:tc>
          <w:tcPr>
            <w:tcW w:w="2389" w:type="dxa"/>
            <w:gridSpan w:val="2"/>
            <w:vAlign w:val="center"/>
          </w:tcPr>
          <w:p w:rsidR="00C3538A" w:rsidRPr="00E4517B" w:rsidRDefault="00C3538A" w:rsidP="00B51730">
            <w:pPr>
              <w:ind w:right="-127"/>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i/>
                <w:sz w:val="20"/>
                <w:szCs w:val="20"/>
                <w:lang w:val="ro-RO" w:eastAsia="ru-RU"/>
              </w:rPr>
            </w:pPr>
            <w:r w:rsidRPr="00E4517B">
              <w:rPr>
                <w:rFonts w:asciiTheme="majorHAnsi" w:eastAsia="Times New Roman" w:hAnsiTheme="majorHAnsi" w:cstheme="majorHAnsi"/>
                <w:i/>
                <w:sz w:val="20"/>
                <w:szCs w:val="20"/>
                <w:lang w:val="ro-RO" w:eastAsia="ru-RU"/>
              </w:rPr>
              <w:t>Devieri (+/-)</w:t>
            </w:r>
          </w:p>
        </w:tc>
      </w:tr>
      <w:tr w:rsidR="00C3538A" w:rsidRPr="00E4517B" w:rsidTr="00B51730">
        <w:tc>
          <w:tcPr>
            <w:cnfStyle w:val="001000000000" w:firstRow="0" w:lastRow="0" w:firstColumn="1" w:lastColumn="0" w:oddVBand="0" w:evenVBand="0" w:oddHBand="0" w:evenHBand="0" w:firstRowFirstColumn="0" w:firstRowLastColumn="0" w:lastRowFirstColumn="0" w:lastRowLastColumn="0"/>
            <w:tcW w:w="1980" w:type="dxa"/>
            <w:vMerge/>
            <w:vAlign w:val="center"/>
          </w:tcPr>
          <w:p w:rsidR="00C3538A" w:rsidRPr="00E4517B" w:rsidRDefault="00C3538A" w:rsidP="00B51730">
            <w:pPr>
              <w:jc w:val="center"/>
              <w:rPr>
                <w:rFonts w:asciiTheme="majorHAnsi" w:eastAsia="Times New Roman" w:hAnsiTheme="majorHAnsi" w:cstheme="majorHAnsi"/>
                <w:b w:val="0"/>
                <w:i/>
                <w:sz w:val="16"/>
                <w:szCs w:val="16"/>
                <w:lang w:val="ro-RO" w:eastAsia="ru-RU"/>
              </w:rPr>
            </w:pPr>
          </w:p>
        </w:tc>
        <w:tc>
          <w:tcPr>
            <w:tcW w:w="1029" w:type="dxa"/>
            <w:vAlign w:val="center"/>
          </w:tcPr>
          <w:p w:rsidR="00C3538A" w:rsidRPr="00E4517B" w:rsidRDefault="00973E5B" w:rsidP="00B51730">
            <w:pPr>
              <w:ind w:right="-127"/>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
                <w:sz w:val="20"/>
                <w:szCs w:val="20"/>
                <w:lang w:val="ro-RO" w:eastAsia="ru-RU"/>
              </w:rPr>
            </w:pPr>
            <w:r w:rsidRPr="00E4517B">
              <w:rPr>
                <w:rFonts w:asciiTheme="majorHAnsi" w:eastAsia="Times New Roman" w:hAnsiTheme="majorHAnsi" w:cstheme="majorHAnsi"/>
                <w:b/>
                <w:i/>
                <w:sz w:val="20"/>
                <w:szCs w:val="20"/>
                <w:lang w:val="ro-RO" w:eastAsia="ru-RU"/>
              </w:rPr>
              <w:t>executat</w:t>
            </w:r>
          </w:p>
        </w:tc>
        <w:tc>
          <w:tcPr>
            <w:tcW w:w="1193" w:type="dxa"/>
            <w:vAlign w:val="center"/>
          </w:tcPr>
          <w:p w:rsidR="00C3538A" w:rsidRPr="00E4517B" w:rsidRDefault="00973E5B" w:rsidP="00B51730">
            <w:pPr>
              <w:ind w:right="-1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
                <w:sz w:val="20"/>
                <w:szCs w:val="20"/>
                <w:lang w:val="ro-RO" w:eastAsia="ru-RU"/>
              </w:rPr>
            </w:pPr>
            <w:r w:rsidRPr="00E4517B">
              <w:rPr>
                <w:rFonts w:asciiTheme="majorHAnsi" w:eastAsia="Times New Roman" w:hAnsiTheme="majorHAnsi" w:cstheme="majorHAnsi"/>
                <w:b/>
                <w:i/>
                <w:sz w:val="20"/>
                <w:szCs w:val="20"/>
                <w:lang w:val="ro-RO" w:eastAsia="ru-RU"/>
              </w:rPr>
              <w:t>executat</w:t>
            </w:r>
          </w:p>
        </w:tc>
        <w:tc>
          <w:tcPr>
            <w:tcW w:w="935" w:type="dxa"/>
            <w:vAlign w:val="center"/>
          </w:tcPr>
          <w:p w:rsidR="00C3538A" w:rsidRPr="00E4517B" w:rsidRDefault="00973E5B" w:rsidP="00B51730">
            <w:pPr>
              <w:ind w:right="-1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
                <w:sz w:val="20"/>
                <w:szCs w:val="20"/>
                <w:lang w:val="ro-RO" w:eastAsia="ru-RU"/>
              </w:rPr>
            </w:pPr>
            <w:r w:rsidRPr="00E4517B">
              <w:rPr>
                <w:rFonts w:asciiTheme="majorHAnsi" w:eastAsia="Times New Roman" w:hAnsiTheme="majorHAnsi" w:cstheme="majorHAnsi"/>
                <w:b/>
                <w:i/>
                <w:sz w:val="20"/>
                <w:szCs w:val="20"/>
                <w:lang w:val="ro-RO" w:eastAsia="ru-RU"/>
              </w:rPr>
              <w:t>aprobat</w:t>
            </w:r>
          </w:p>
        </w:tc>
        <w:tc>
          <w:tcPr>
            <w:tcW w:w="992" w:type="dxa"/>
            <w:vAlign w:val="center"/>
          </w:tcPr>
          <w:p w:rsidR="00C3538A" w:rsidRPr="00E4517B" w:rsidRDefault="00973E5B" w:rsidP="00B51730">
            <w:pPr>
              <w:ind w:right="-127"/>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
                <w:sz w:val="20"/>
                <w:szCs w:val="20"/>
                <w:lang w:val="ro-RO" w:eastAsia="ru-RU"/>
              </w:rPr>
            </w:pPr>
            <w:r w:rsidRPr="00E4517B">
              <w:rPr>
                <w:rFonts w:asciiTheme="majorHAnsi" w:eastAsia="Times New Roman" w:hAnsiTheme="majorHAnsi" w:cstheme="majorHAnsi"/>
                <w:b/>
                <w:i/>
                <w:sz w:val="20"/>
                <w:szCs w:val="20"/>
                <w:lang w:val="ro-RO" w:eastAsia="ru-RU"/>
              </w:rPr>
              <w:t>precizat</w:t>
            </w:r>
          </w:p>
        </w:tc>
        <w:tc>
          <w:tcPr>
            <w:tcW w:w="1177" w:type="dxa"/>
            <w:vAlign w:val="center"/>
          </w:tcPr>
          <w:p w:rsidR="00C3538A" w:rsidRPr="00E4517B" w:rsidRDefault="00973E5B" w:rsidP="00B51730">
            <w:pPr>
              <w:ind w:right="-127"/>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
                <w:sz w:val="20"/>
                <w:szCs w:val="20"/>
                <w:lang w:val="ro-RO" w:eastAsia="ru-RU"/>
              </w:rPr>
            </w:pPr>
            <w:r w:rsidRPr="00E4517B">
              <w:rPr>
                <w:rFonts w:asciiTheme="majorHAnsi" w:eastAsia="Times New Roman" w:hAnsiTheme="majorHAnsi" w:cstheme="majorHAnsi"/>
                <w:b/>
                <w:i/>
                <w:sz w:val="20"/>
                <w:szCs w:val="20"/>
                <w:lang w:val="ro-RO" w:eastAsia="ru-RU"/>
              </w:rPr>
              <w:t>executat</w:t>
            </w:r>
          </w:p>
        </w:tc>
        <w:tc>
          <w:tcPr>
            <w:tcW w:w="1191" w:type="dxa"/>
            <w:vAlign w:val="center"/>
          </w:tcPr>
          <w:p w:rsidR="00C3538A" w:rsidRPr="00E4517B" w:rsidRDefault="00C3538A" w:rsidP="00B51730">
            <w:pPr>
              <w:ind w:right="-127"/>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
                <w:sz w:val="20"/>
                <w:szCs w:val="20"/>
                <w:lang w:val="ro-RO" w:eastAsia="ru-RU"/>
              </w:rPr>
            </w:pPr>
            <w:r w:rsidRPr="00E4517B">
              <w:rPr>
                <w:rFonts w:asciiTheme="majorHAnsi" w:eastAsia="Times New Roman" w:hAnsiTheme="majorHAnsi" w:cstheme="majorHAnsi"/>
                <w:b/>
                <w:i/>
                <w:sz w:val="20"/>
                <w:szCs w:val="20"/>
                <w:lang w:val="ro-RO" w:eastAsia="ru-RU"/>
              </w:rPr>
              <w:t>2020/2019</w:t>
            </w:r>
          </w:p>
        </w:tc>
        <w:tc>
          <w:tcPr>
            <w:tcW w:w="1198" w:type="dxa"/>
            <w:vAlign w:val="center"/>
          </w:tcPr>
          <w:p w:rsidR="00C3538A" w:rsidRPr="00E4517B" w:rsidRDefault="00C3538A" w:rsidP="00B51730">
            <w:pPr>
              <w:ind w:right="-127"/>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
                <w:sz w:val="20"/>
                <w:szCs w:val="20"/>
                <w:lang w:val="ro-RO" w:eastAsia="ru-RU"/>
              </w:rPr>
            </w:pPr>
            <w:r w:rsidRPr="00E4517B">
              <w:rPr>
                <w:rFonts w:asciiTheme="majorHAnsi" w:eastAsia="Times New Roman" w:hAnsiTheme="majorHAnsi" w:cstheme="majorHAnsi"/>
                <w:b/>
                <w:i/>
                <w:sz w:val="20"/>
                <w:szCs w:val="20"/>
                <w:lang w:val="ro-RO" w:eastAsia="ru-RU"/>
              </w:rPr>
              <w:t>2020/2018</w:t>
            </w:r>
          </w:p>
        </w:tc>
      </w:tr>
      <w:tr w:rsidR="00C3538A" w:rsidRPr="00E4517B" w:rsidTr="00B51730">
        <w:tc>
          <w:tcPr>
            <w:cnfStyle w:val="001000000000" w:firstRow="0" w:lastRow="0" w:firstColumn="1" w:lastColumn="0" w:oddVBand="0" w:evenVBand="0" w:oddHBand="0" w:evenHBand="0" w:firstRowFirstColumn="0" w:firstRowLastColumn="0" w:lastRowFirstColumn="0" w:lastRowLastColumn="0"/>
            <w:tcW w:w="1980" w:type="dxa"/>
          </w:tcPr>
          <w:p w:rsidR="00C3538A" w:rsidRPr="00E4517B" w:rsidRDefault="00C3538A" w:rsidP="00B51730">
            <w:pPr>
              <w:jc w:val="center"/>
              <w:rPr>
                <w:rFonts w:asciiTheme="majorHAnsi" w:eastAsia="Times New Roman" w:hAnsiTheme="majorHAnsi" w:cstheme="majorHAnsi"/>
                <w:b w:val="0"/>
                <w:i/>
                <w:sz w:val="16"/>
                <w:szCs w:val="16"/>
                <w:lang w:val="ro-RO" w:eastAsia="ru-RU"/>
              </w:rPr>
            </w:pPr>
            <w:r w:rsidRPr="00E4517B">
              <w:rPr>
                <w:rFonts w:asciiTheme="majorHAnsi" w:eastAsia="Times New Roman" w:hAnsiTheme="majorHAnsi" w:cstheme="majorHAnsi"/>
                <w:b w:val="0"/>
                <w:i/>
                <w:sz w:val="16"/>
                <w:szCs w:val="16"/>
                <w:lang w:val="ro-RO" w:eastAsia="ru-RU"/>
              </w:rPr>
              <w:t>1</w:t>
            </w:r>
          </w:p>
        </w:tc>
        <w:tc>
          <w:tcPr>
            <w:tcW w:w="1029" w:type="dxa"/>
          </w:tcPr>
          <w:p w:rsidR="00C3538A" w:rsidRPr="00973E5B" w:rsidRDefault="00C3538A" w:rsidP="00B51730">
            <w:pPr>
              <w:ind w:right="-127"/>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16"/>
                <w:szCs w:val="16"/>
                <w:lang w:val="ro-RO" w:eastAsia="ru-RU"/>
              </w:rPr>
            </w:pPr>
            <w:r w:rsidRPr="00973E5B">
              <w:rPr>
                <w:rFonts w:asciiTheme="majorHAnsi" w:eastAsia="Times New Roman" w:hAnsiTheme="majorHAnsi" w:cstheme="majorHAnsi"/>
                <w:i/>
                <w:sz w:val="16"/>
                <w:szCs w:val="16"/>
                <w:lang w:val="ro-RO" w:eastAsia="ru-RU"/>
              </w:rPr>
              <w:t>2</w:t>
            </w:r>
          </w:p>
        </w:tc>
        <w:tc>
          <w:tcPr>
            <w:tcW w:w="1193" w:type="dxa"/>
          </w:tcPr>
          <w:p w:rsidR="00C3538A" w:rsidRPr="00973E5B" w:rsidRDefault="00C3538A" w:rsidP="00B51730">
            <w:pPr>
              <w:ind w:right="-1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16"/>
                <w:szCs w:val="16"/>
                <w:lang w:val="ro-RO" w:eastAsia="ru-RU"/>
              </w:rPr>
            </w:pPr>
            <w:r w:rsidRPr="00973E5B">
              <w:rPr>
                <w:rFonts w:asciiTheme="majorHAnsi" w:eastAsia="Times New Roman" w:hAnsiTheme="majorHAnsi" w:cstheme="majorHAnsi"/>
                <w:i/>
                <w:sz w:val="16"/>
                <w:szCs w:val="16"/>
                <w:lang w:val="ro-RO" w:eastAsia="ru-RU"/>
              </w:rPr>
              <w:t>3</w:t>
            </w:r>
          </w:p>
        </w:tc>
        <w:tc>
          <w:tcPr>
            <w:tcW w:w="935" w:type="dxa"/>
          </w:tcPr>
          <w:p w:rsidR="00C3538A" w:rsidRPr="00B05CFC" w:rsidRDefault="00C3538A" w:rsidP="00B51730">
            <w:pPr>
              <w:ind w:right="-1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16"/>
                <w:szCs w:val="16"/>
                <w:lang w:val="ro-RO" w:eastAsia="ru-RU"/>
              </w:rPr>
            </w:pPr>
            <w:r w:rsidRPr="00B05CFC">
              <w:rPr>
                <w:rFonts w:asciiTheme="majorHAnsi" w:eastAsia="Times New Roman" w:hAnsiTheme="majorHAnsi" w:cstheme="majorHAnsi"/>
                <w:i/>
                <w:sz w:val="16"/>
                <w:szCs w:val="16"/>
                <w:lang w:val="ro-RO" w:eastAsia="ru-RU"/>
              </w:rPr>
              <w:t>4</w:t>
            </w:r>
          </w:p>
        </w:tc>
        <w:tc>
          <w:tcPr>
            <w:tcW w:w="992" w:type="dxa"/>
          </w:tcPr>
          <w:p w:rsidR="00C3538A" w:rsidRPr="00E4517B" w:rsidRDefault="00C3538A" w:rsidP="00B51730">
            <w:pPr>
              <w:ind w:right="-127"/>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16"/>
                <w:szCs w:val="16"/>
                <w:lang w:val="ro-RO" w:eastAsia="ru-RU"/>
              </w:rPr>
            </w:pPr>
            <w:r w:rsidRPr="00E4517B">
              <w:rPr>
                <w:rFonts w:asciiTheme="majorHAnsi" w:eastAsia="Times New Roman" w:hAnsiTheme="majorHAnsi" w:cstheme="majorHAnsi"/>
                <w:i/>
                <w:sz w:val="16"/>
                <w:szCs w:val="16"/>
                <w:lang w:val="ro-RO" w:eastAsia="ru-RU"/>
              </w:rPr>
              <w:t>5</w:t>
            </w:r>
          </w:p>
        </w:tc>
        <w:tc>
          <w:tcPr>
            <w:tcW w:w="1177" w:type="dxa"/>
          </w:tcPr>
          <w:p w:rsidR="00C3538A" w:rsidRPr="00E4517B" w:rsidRDefault="00C3538A" w:rsidP="00B51730">
            <w:pPr>
              <w:ind w:right="-127"/>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16"/>
                <w:szCs w:val="16"/>
                <w:lang w:val="ro-RO" w:eastAsia="ru-RU"/>
              </w:rPr>
            </w:pPr>
            <w:r w:rsidRPr="00E4517B">
              <w:rPr>
                <w:rFonts w:asciiTheme="majorHAnsi" w:eastAsia="Times New Roman" w:hAnsiTheme="majorHAnsi" w:cstheme="majorHAnsi"/>
                <w:i/>
                <w:sz w:val="16"/>
                <w:szCs w:val="16"/>
                <w:lang w:val="ro-RO" w:eastAsia="ru-RU"/>
              </w:rPr>
              <w:t>6</w:t>
            </w:r>
          </w:p>
        </w:tc>
        <w:tc>
          <w:tcPr>
            <w:tcW w:w="1191" w:type="dxa"/>
          </w:tcPr>
          <w:p w:rsidR="00C3538A" w:rsidRPr="00E4517B" w:rsidRDefault="00C3538A" w:rsidP="00B51730">
            <w:pPr>
              <w:ind w:right="-127"/>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16"/>
                <w:szCs w:val="16"/>
                <w:lang w:val="ro-RO" w:eastAsia="ru-RU"/>
              </w:rPr>
            </w:pPr>
            <w:r w:rsidRPr="00E4517B">
              <w:rPr>
                <w:rFonts w:asciiTheme="majorHAnsi" w:eastAsia="Times New Roman" w:hAnsiTheme="majorHAnsi" w:cstheme="majorHAnsi"/>
                <w:i/>
                <w:sz w:val="16"/>
                <w:szCs w:val="16"/>
                <w:lang w:val="ro-RO" w:eastAsia="ru-RU"/>
              </w:rPr>
              <w:t>7=6-3</w:t>
            </w:r>
          </w:p>
        </w:tc>
        <w:tc>
          <w:tcPr>
            <w:tcW w:w="1198" w:type="dxa"/>
          </w:tcPr>
          <w:p w:rsidR="00C3538A" w:rsidRPr="00E4517B" w:rsidRDefault="00C3538A" w:rsidP="00B51730">
            <w:pPr>
              <w:ind w:right="-127"/>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16"/>
                <w:szCs w:val="16"/>
                <w:lang w:val="ro-RO" w:eastAsia="ru-RU"/>
              </w:rPr>
            </w:pPr>
            <w:r w:rsidRPr="00E4517B">
              <w:rPr>
                <w:rFonts w:asciiTheme="majorHAnsi" w:eastAsia="Times New Roman" w:hAnsiTheme="majorHAnsi" w:cstheme="majorHAnsi"/>
                <w:i/>
                <w:sz w:val="16"/>
                <w:szCs w:val="16"/>
                <w:lang w:val="ro-RO" w:eastAsia="ru-RU"/>
              </w:rPr>
              <w:t>8=6-2</w:t>
            </w:r>
          </w:p>
        </w:tc>
      </w:tr>
      <w:tr w:rsidR="00C3538A" w:rsidRPr="00E4517B" w:rsidTr="00B51730">
        <w:tc>
          <w:tcPr>
            <w:cnfStyle w:val="001000000000" w:firstRow="0" w:lastRow="0" w:firstColumn="1" w:lastColumn="0" w:oddVBand="0" w:evenVBand="0" w:oddHBand="0" w:evenHBand="0" w:firstRowFirstColumn="0" w:firstRowLastColumn="0" w:lastRowFirstColumn="0" w:lastRowLastColumn="0"/>
            <w:tcW w:w="1980" w:type="dxa"/>
          </w:tcPr>
          <w:p w:rsidR="00C3538A" w:rsidRPr="00E4517B" w:rsidRDefault="00C3538A" w:rsidP="00B51730">
            <w:pPr>
              <w:ind w:right="-37"/>
              <w:jc w:val="left"/>
              <w:rPr>
                <w:rFonts w:asciiTheme="majorHAnsi" w:eastAsia="Times New Roman" w:hAnsiTheme="majorHAnsi" w:cstheme="majorHAnsi"/>
                <w:sz w:val="20"/>
                <w:szCs w:val="20"/>
                <w:lang w:val="ro-RO" w:eastAsia="ru-RU"/>
              </w:rPr>
            </w:pPr>
            <w:r w:rsidRPr="00E4517B">
              <w:rPr>
                <w:rFonts w:asciiTheme="majorHAnsi" w:eastAsia="Times New Roman" w:hAnsiTheme="majorHAnsi" w:cstheme="majorHAnsi"/>
                <w:sz w:val="20"/>
                <w:szCs w:val="20"/>
                <w:lang w:val="ro-RO" w:eastAsia="ru-RU"/>
              </w:rPr>
              <w:t>Deficitul</w:t>
            </w:r>
          </w:p>
        </w:tc>
        <w:tc>
          <w:tcPr>
            <w:tcW w:w="1029" w:type="dxa"/>
          </w:tcPr>
          <w:p w:rsidR="00C3538A" w:rsidRPr="00973E5B" w:rsidRDefault="00C3538A" w:rsidP="00B51730">
            <w:pPr>
              <w:ind w:right="-1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RO" w:eastAsia="ru-RU"/>
              </w:rPr>
            </w:pPr>
            <w:r w:rsidRPr="00973E5B">
              <w:rPr>
                <w:rFonts w:asciiTheme="majorHAnsi" w:eastAsia="Times New Roman" w:hAnsiTheme="majorHAnsi" w:cstheme="majorHAnsi"/>
                <w:b/>
                <w:sz w:val="20"/>
                <w:szCs w:val="20"/>
                <w:lang w:val="ro-RO" w:eastAsia="ru-RU"/>
              </w:rPr>
              <w:t>- 2 275,6</w:t>
            </w:r>
          </w:p>
        </w:tc>
        <w:tc>
          <w:tcPr>
            <w:tcW w:w="1193" w:type="dxa"/>
          </w:tcPr>
          <w:p w:rsidR="00C3538A" w:rsidRPr="00973E5B" w:rsidRDefault="00C3538A" w:rsidP="00B51730">
            <w:pPr>
              <w:ind w:right="-1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RO" w:eastAsia="ru-RU"/>
              </w:rPr>
            </w:pPr>
            <w:r w:rsidRPr="00973E5B">
              <w:rPr>
                <w:rFonts w:asciiTheme="majorHAnsi" w:eastAsia="Times New Roman" w:hAnsiTheme="majorHAnsi" w:cstheme="majorHAnsi"/>
                <w:b/>
                <w:sz w:val="20"/>
                <w:szCs w:val="20"/>
                <w:lang w:val="ro-RO" w:eastAsia="ru-RU"/>
              </w:rPr>
              <w:t>- 3 106,0</w:t>
            </w:r>
          </w:p>
        </w:tc>
        <w:tc>
          <w:tcPr>
            <w:tcW w:w="935" w:type="dxa"/>
          </w:tcPr>
          <w:p w:rsidR="00C3538A" w:rsidRPr="00B05CFC" w:rsidRDefault="00C3538A" w:rsidP="00B51730">
            <w:pPr>
              <w:ind w:right="-1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RO" w:eastAsia="ru-RU"/>
              </w:rPr>
            </w:pPr>
            <w:r w:rsidRPr="00B05CFC">
              <w:rPr>
                <w:rFonts w:asciiTheme="majorHAnsi" w:eastAsia="Times New Roman" w:hAnsiTheme="majorHAnsi" w:cstheme="majorHAnsi"/>
                <w:b/>
                <w:sz w:val="20"/>
                <w:szCs w:val="20"/>
                <w:lang w:val="ro-RO" w:eastAsia="ru-RU"/>
              </w:rPr>
              <w:t>- 7 415,3</w:t>
            </w:r>
          </w:p>
        </w:tc>
        <w:tc>
          <w:tcPr>
            <w:tcW w:w="992" w:type="dxa"/>
          </w:tcPr>
          <w:p w:rsidR="00C3538A" w:rsidRPr="00E4517B" w:rsidRDefault="00C3538A" w:rsidP="00B51730">
            <w:pPr>
              <w:ind w:right="-89"/>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
                <w:sz w:val="20"/>
                <w:szCs w:val="20"/>
                <w:lang w:val="ro-RO" w:eastAsia="ru-RU"/>
              </w:rPr>
            </w:pPr>
            <w:r w:rsidRPr="00E4517B">
              <w:rPr>
                <w:rFonts w:asciiTheme="majorHAnsi" w:eastAsia="Times New Roman" w:hAnsiTheme="majorHAnsi" w:cstheme="majorHAnsi"/>
                <w:b/>
                <w:i/>
                <w:sz w:val="20"/>
                <w:szCs w:val="20"/>
                <w:lang w:val="ro-RO" w:eastAsia="ru-RU"/>
              </w:rPr>
              <w:t>-15 999,4</w:t>
            </w:r>
          </w:p>
        </w:tc>
        <w:tc>
          <w:tcPr>
            <w:tcW w:w="1177" w:type="dxa"/>
          </w:tcPr>
          <w:p w:rsidR="00C3538A" w:rsidRPr="00E4517B" w:rsidRDefault="00C3538A" w:rsidP="00B51730">
            <w:pPr>
              <w:ind w:right="-1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RO" w:eastAsia="ru-RU"/>
              </w:rPr>
            </w:pPr>
            <w:r w:rsidRPr="00E4517B">
              <w:rPr>
                <w:rFonts w:asciiTheme="majorHAnsi" w:eastAsia="Times New Roman" w:hAnsiTheme="majorHAnsi" w:cstheme="majorHAnsi"/>
                <w:b/>
                <w:sz w:val="20"/>
                <w:szCs w:val="20"/>
                <w:lang w:val="ro-RO" w:eastAsia="ru-RU"/>
              </w:rPr>
              <w:t>-11 134,9</w:t>
            </w:r>
          </w:p>
        </w:tc>
        <w:tc>
          <w:tcPr>
            <w:tcW w:w="1191" w:type="dxa"/>
          </w:tcPr>
          <w:p w:rsidR="00C3538A" w:rsidRPr="00E4517B" w:rsidRDefault="00C3538A" w:rsidP="00B51730">
            <w:pPr>
              <w:ind w:right="-89"/>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
                <w:sz w:val="20"/>
                <w:szCs w:val="20"/>
                <w:lang w:val="ro-RO" w:eastAsia="ru-RU"/>
              </w:rPr>
            </w:pPr>
            <w:r w:rsidRPr="00E4517B">
              <w:rPr>
                <w:rFonts w:asciiTheme="majorHAnsi" w:eastAsia="Times New Roman" w:hAnsiTheme="majorHAnsi" w:cstheme="majorHAnsi"/>
                <w:b/>
                <w:i/>
                <w:sz w:val="20"/>
                <w:szCs w:val="20"/>
                <w:lang w:val="ro-RO" w:eastAsia="ru-RU"/>
              </w:rPr>
              <w:t>+8 028,9</w:t>
            </w:r>
          </w:p>
        </w:tc>
        <w:tc>
          <w:tcPr>
            <w:tcW w:w="1198" w:type="dxa"/>
          </w:tcPr>
          <w:p w:rsidR="00C3538A" w:rsidRPr="00F55BA6" w:rsidRDefault="00C3538A" w:rsidP="00B51730">
            <w:pPr>
              <w:ind w:right="-37"/>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
                <w:sz w:val="20"/>
                <w:szCs w:val="20"/>
                <w:lang w:val="ro-RO" w:eastAsia="ru-RU"/>
              </w:rPr>
            </w:pPr>
            <w:r w:rsidRPr="00F55BA6">
              <w:rPr>
                <w:rFonts w:asciiTheme="majorHAnsi" w:eastAsia="Times New Roman" w:hAnsiTheme="majorHAnsi" w:cstheme="majorHAnsi"/>
                <w:b/>
                <w:i/>
                <w:sz w:val="20"/>
                <w:szCs w:val="20"/>
                <w:lang w:val="ro-RO" w:eastAsia="ru-RU"/>
              </w:rPr>
              <w:t>+8 859,3</w:t>
            </w:r>
          </w:p>
        </w:tc>
      </w:tr>
      <w:tr w:rsidR="00C3538A" w:rsidRPr="00E4517B" w:rsidTr="00B51730">
        <w:tc>
          <w:tcPr>
            <w:cnfStyle w:val="001000000000" w:firstRow="0" w:lastRow="0" w:firstColumn="1" w:lastColumn="0" w:oddVBand="0" w:evenVBand="0" w:oddHBand="0" w:evenHBand="0" w:firstRowFirstColumn="0" w:firstRowLastColumn="0" w:lastRowFirstColumn="0" w:lastRowLastColumn="0"/>
            <w:tcW w:w="1980" w:type="dxa"/>
          </w:tcPr>
          <w:p w:rsidR="00C3538A" w:rsidRPr="00E4517B" w:rsidRDefault="00C3538A" w:rsidP="00B51730">
            <w:pPr>
              <w:ind w:right="-37"/>
              <w:jc w:val="left"/>
              <w:rPr>
                <w:rFonts w:asciiTheme="majorHAnsi" w:eastAsia="Times New Roman" w:hAnsiTheme="majorHAnsi" w:cstheme="majorHAnsi"/>
                <w:sz w:val="20"/>
                <w:szCs w:val="20"/>
                <w:lang w:val="ro-RO" w:eastAsia="ru-RU"/>
              </w:rPr>
            </w:pPr>
            <w:r w:rsidRPr="00E4517B">
              <w:rPr>
                <w:rFonts w:asciiTheme="majorHAnsi" w:eastAsia="Times New Roman" w:hAnsiTheme="majorHAnsi" w:cstheme="majorHAnsi"/>
                <w:sz w:val="20"/>
                <w:szCs w:val="20"/>
                <w:lang w:val="ro-RO" w:eastAsia="ru-RU"/>
              </w:rPr>
              <w:t>Ponderea în PIB*, %</w:t>
            </w:r>
          </w:p>
        </w:tc>
        <w:tc>
          <w:tcPr>
            <w:tcW w:w="1029" w:type="dxa"/>
          </w:tcPr>
          <w:p w:rsidR="00C3538A" w:rsidRPr="00973E5B" w:rsidRDefault="00C3538A" w:rsidP="00B5173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RO" w:eastAsia="ru-RU"/>
              </w:rPr>
            </w:pPr>
            <w:r w:rsidRPr="00973E5B">
              <w:rPr>
                <w:rFonts w:asciiTheme="majorHAnsi" w:eastAsia="Times New Roman" w:hAnsiTheme="majorHAnsi" w:cstheme="majorHAnsi"/>
                <w:b/>
                <w:sz w:val="20"/>
                <w:szCs w:val="20"/>
                <w:lang w:val="ro-RO" w:eastAsia="ru-RU"/>
              </w:rPr>
              <w:t>- 1,2</w:t>
            </w:r>
          </w:p>
        </w:tc>
        <w:tc>
          <w:tcPr>
            <w:tcW w:w="1193" w:type="dxa"/>
          </w:tcPr>
          <w:p w:rsidR="00C3538A" w:rsidRPr="00973E5B" w:rsidRDefault="00C3538A" w:rsidP="00B5173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RO" w:eastAsia="ru-RU"/>
              </w:rPr>
            </w:pPr>
            <w:r w:rsidRPr="00973E5B">
              <w:rPr>
                <w:rFonts w:asciiTheme="majorHAnsi" w:eastAsia="Times New Roman" w:hAnsiTheme="majorHAnsi" w:cstheme="majorHAnsi"/>
                <w:b/>
                <w:sz w:val="20"/>
                <w:szCs w:val="20"/>
                <w:lang w:val="ro-RO" w:eastAsia="ru-RU"/>
              </w:rPr>
              <w:t>- 1,5</w:t>
            </w:r>
          </w:p>
        </w:tc>
        <w:tc>
          <w:tcPr>
            <w:tcW w:w="935" w:type="dxa"/>
          </w:tcPr>
          <w:p w:rsidR="00C3538A" w:rsidRPr="009131CF" w:rsidRDefault="00371720" w:rsidP="00B5173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RO" w:eastAsia="ru-RU"/>
              </w:rPr>
            </w:pPr>
            <w:r w:rsidRPr="00B05CFC">
              <w:rPr>
                <w:rFonts w:asciiTheme="majorHAnsi" w:eastAsia="Times New Roman" w:hAnsiTheme="majorHAnsi" w:cstheme="majorHAnsi"/>
                <w:b/>
                <w:sz w:val="20"/>
                <w:szCs w:val="20"/>
                <w:lang w:val="ro-RO" w:eastAsia="ru-RU"/>
              </w:rPr>
              <w:t>-3,3</w:t>
            </w:r>
          </w:p>
        </w:tc>
        <w:tc>
          <w:tcPr>
            <w:tcW w:w="992" w:type="dxa"/>
          </w:tcPr>
          <w:p w:rsidR="00C3538A" w:rsidRPr="00E4517B" w:rsidRDefault="00C3538A" w:rsidP="00B51730">
            <w:pPr>
              <w:ind w:right="-89"/>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
                <w:sz w:val="20"/>
                <w:szCs w:val="20"/>
                <w:lang w:val="ro-RO" w:eastAsia="ru-RU"/>
              </w:rPr>
            </w:pPr>
            <w:r w:rsidRPr="00E4517B">
              <w:rPr>
                <w:rFonts w:asciiTheme="majorHAnsi" w:eastAsia="Times New Roman" w:hAnsiTheme="majorHAnsi" w:cstheme="majorHAnsi"/>
                <w:b/>
                <w:i/>
                <w:sz w:val="20"/>
                <w:szCs w:val="20"/>
                <w:lang w:val="ro-RO" w:eastAsia="ru-RU"/>
              </w:rPr>
              <w:t>-7,8</w:t>
            </w:r>
          </w:p>
        </w:tc>
        <w:tc>
          <w:tcPr>
            <w:tcW w:w="1177" w:type="dxa"/>
          </w:tcPr>
          <w:p w:rsidR="00C3538A" w:rsidRPr="00E4517B" w:rsidRDefault="00C3538A" w:rsidP="00B5173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RO" w:eastAsia="ru-RU"/>
              </w:rPr>
            </w:pPr>
            <w:r w:rsidRPr="00E4517B">
              <w:rPr>
                <w:rFonts w:asciiTheme="majorHAnsi" w:eastAsia="Times New Roman" w:hAnsiTheme="majorHAnsi" w:cstheme="majorHAnsi"/>
                <w:b/>
                <w:sz w:val="20"/>
                <w:szCs w:val="20"/>
                <w:lang w:val="ro-RO" w:eastAsia="ru-RU"/>
              </w:rPr>
              <w:t>-5,4</w:t>
            </w:r>
          </w:p>
        </w:tc>
        <w:tc>
          <w:tcPr>
            <w:tcW w:w="1191" w:type="dxa"/>
          </w:tcPr>
          <w:p w:rsidR="00C3538A" w:rsidRPr="00E4517B" w:rsidRDefault="00C3538A" w:rsidP="00B51730">
            <w:pPr>
              <w:ind w:right="-89"/>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
                <w:sz w:val="20"/>
                <w:szCs w:val="20"/>
                <w:lang w:val="ro-RO" w:eastAsia="ru-RU"/>
              </w:rPr>
            </w:pPr>
            <w:r w:rsidRPr="00E4517B">
              <w:rPr>
                <w:rFonts w:asciiTheme="majorHAnsi" w:eastAsia="Times New Roman" w:hAnsiTheme="majorHAnsi" w:cstheme="majorHAnsi"/>
                <w:b/>
                <w:i/>
                <w:sz w:val="20"/>
                <w:szCs w:val="20"/>
                <w:lang w:val="ro-RO" w:eastAsia="ru-RU"/>
              </w:rPr>
              <w:t>+3,9</w:t>
            </w:r>
          </w:p>
        </w:tc>
        <w:tc>
          <w:tcPr>
            <w:tcW w:w="1198" w:type="dxa"/>
          </w:tcPr>
          <w:p w:rsidR="00C3538A" w:rsidRPr="00E4517B" w:rsidRDefault="00C3538A" w:rsidP="00B51730">
            <w:pPr>
              <w:ind w:right="-37"/>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
                <w:sz w:val="20"/>
                <w:szCs w:val="20"/>
                <w:lang w:val="ro-RO" w:eastAsia="ru-RU"/>
              </w:rPr>
            </w:pPr>
            <w:r w:rsidRPr="00E4517B">
              <w:rPr>
                <w:rFonts w:asciiTheme="majorHAnsi" w:eastAsia="Times New Roman" w:hAnsiTheme="majorHAnsi" w:cstheme="majorHAnsi"/>
                <w:b/>
                <w:i/>
                <w:sz w:val="20"/>
                <w:szCs w:val="20"/>
                <w:lang w:val="ro-RO" w:eastAsia="ru-RU"/>
              </w:rPr>
              <w:t>+4,2</w:t>
            </w:r>
          </w:p>
        </w:tc>
      </w:tr>
    </w:tbl>
    <w:p w:rsidR="00C3538A" w:rsidRPr="00973E5B" w:rsidRDefault="00C3538A" w:rsidP="00C3538A">
      <w:pPr>
        <w:spacing w:after="0" w:line="240" w:lineRule="auto"/>
        <w:rPr>
          <w:rFonts w:asciiTheme="majorHAnsi" w:eastAsia="Times New Roman" w:hAnsiTheme="majorHAnsi" w:cstheme="majorHAnsi"/>
          <w:b/>
          <w:i/>
          <w:sz w:val="20"/>
          <w:szCs w:val="24"/>
          <w:lang w:val="ro-RO" w:eastAsia="ru-RU"/>
        </w:rPr>
      </w:pPr>
      <w:r w:rsidRPr="00E4517B">
        <w:rPr>
          <w:rFonts w:asciiTheme="majorHAnsi" w:eastAsia="Times New Roman" w:hAnsiTheme="majorHAnsi" w:cstheme="majorHAnsi"/>
          <w:b/>
          <w:i/>
          <w:sz w:val="20"/>
          <w:szCs w:val="24"/>
          <w:lang w:val="ro-RO" w:eastAsia="ru-RU"/>
        </w:rPr>
        <w:t>*</w:t>
      </w:r>
      <w:r w:rsidRPr="00E4517B">
        <w:rPr>
          <w:rFonts w:asciiTheme="majorHAnsi" w:eastAsia="Times New Roman" w:hAnsiTheme="majorHAnsi" w:cstheme="majorHAnsi"/>
          <w:i/>
          <w:sz w:val="20"/>
          <w:szCs w:val="24"/>
          <w:lang w:val="ro-RO" w:eastAsia="ru-RU"/>
        </w:rPr>
        <w:t>Produsul intern brut luat în calcul pentru anul 2018</w:t>
      </w:r>
      <w:r w:rsidRPr="00973E5B">
        <w:rPr>
          <w:rFonts w:asciiTheme="majorHAnsi" w:eastAsia="Times New Roman" w:hAnsiTheme="majorHAnsi" w:cstheme="majorHAnsi"/>
          <w:i/>
          <w:sz w:val="20"/>
          <w:szCs w:val="24"/>
          <w:lang w:val="ro-RO" w:eastAsia="ru-RU"/>
        </w:rPr>
        <w:t xml:space="preserve"> este de </w:t>
      </w:r>
      <w:r w:rsidRPr="00973E5B">
        <w:rPr>
          <w:rFonts w:asciiTheme="majorHAnsi" w:eastAsia="Times New Roman" w:hAnsiTheme="majorHAnsi" w:cstheme="majorHAnsi"/>
          <w:sz w:val="20"/>
          <w:szCs w:val="20"/>
          <w:lang w:val="ro-RO" w:eastAsia="ru-RU"/>
        </w:rPr>
        <w:t>192 509,0</w:t>
      </w:r>
      <w:r w:rsidRPr="00973E5B">
        <w:rPr>
          <w:rFonts w:asciiTheme="majorHAnsi" w:eastAsia="Times New Roman" w:hAnsiTheme="majorHAnsi" w:cstheme="majorHAnsi"/>
          <w:i/>
          <w:sz w:val="20"/>
          <w:szCs w:val="24"/>
          <w:lang w:val="ro-RO" w:eastAsia="ru-RU"/>
        </w:rPr>
        <w:t xml:space="preserve"> mil. lei, pentru anul 2019 conform datelor actualizate ale BNS – de 210 378,0 mil. lei</w:t>
      </w:r>
      <w:r w:rsidR="00973E5B">
        <w:rPr>
          <w:rFonts w:asciiTheme="majorHAnsi" w:eastAsia="Times New Roman" w:hAnsiTheme="majorHAnsi" w:cstheme="majorHAnsi"/>
          <w:i/>
          <w:sz w:val="20"/>
          <w:szCs w:val="24"/>
          <w:lang w:val="ro-RO" w:eastAsia="ru-RU"/>
        </w:rPr>
        <w:t>,</w:t>
      </w:r>
      <w:r w:rsidRPr="00973E5B">
        <w:rPr>
          <w:rFonts w:asciiTheme="majorHAnsi" w:eastAsia="Times New Roman" w:hAnsiTheme="majorHAnsi" w:cstheme="majorHAnsi"/>
          <w:i/>
          <w:sz w:val="20"/>
          <w:szCs w:val="24"/>
          <w:lang w:val="ro-RO" w:eastAsia="ru-RU"/>
        </w:rPr>
        <w:t xml:space="preserve"> și pentru anul 2020 – de 206 352,0 mil. lei.</w:t>
      </w:r>
    </w:p>
    <w:p w:rsidR="00C3538A" w:rsidRPr="00E4517B" w:rsidRDefault="00C3538A" w:rsidP="00C3538A">
      <w:pPr>
        <w:spacing w:after="0" w:line="240" w:lineRule="auto"/>
        <w:rPr>
          <w:rFonts w:asciiTheme="majorHAnsi" w:eastAsia="Times New Roman" w:hAnsiTheme="majorHAnsi" w:cstheme="majorHAnsi"/>
          <w:i/>
          <w:sz w:val="20"/>
          <w:szCs w:val="24"/>
          <w:lang w:val="ro-RO" w:eastAsia="ru-RU"/>
        </w:rPr>
      </w:pPr>
      <w:r w:rsidRPr="00B05CFC">
        <w:rPr>
          <w:rFonts w:asciiTheme="majorHAnsi" w:eastAsia="Times New Roman" w:hAnsiTheme="majorHAnsi" w:cstheme="majorHAnsi"/>
          <w:b/>
          <w:i/>
          <w:sz w:val="20"/>
          <w:szCs w:val="24"/>
          <w:lang w:val="ro-RO" w:eastAsia="ru-RU"/>
        </w:rPr>
        <w:t>Sursă:</w:t>
      </w:r>
      <w:r w:rsidRPr="009131CF">
        <w:rPr>
          <w:rFonts w:asciiTheme="majorHAnsi" w:eastAsia="Times New Roman" w:hAnsiTheme="majorHAnsi" w:cstheme="majorHAnsi"/>
          <w:sz w:val="20"/>
          <w:szCs w:val="24"/>
          <w:lang w:val="ro-RO" w:eastAsia="ru-RU"/>
        </w:rPr>
        <w:t xml:space="preserve"> </w:t>
      </w:r>
      <w:r w:rsidRPr="009131CF">
        <w:rPr>
          <w:rFonts w:asciiTheme="majorHAnsi" w:eastAsia="Times New Roman" w:hAnsiTheme="majorHAnsi" w:cstheme="majorHAnsi"/>
          <w:i/>
          <w:sz w:val="20"/>
          <w:szCs w:val="24"/>
          <w:lang w:val="ro-RO" w:eastAsia="ru-RU"/>
        </w:rPr>
        <w:t>Date generalizate de echipa de audit din</w:t>
      </w:r>
      <w:r w:rsidRPr="00E4517B">
        <w:rPr>
          <w:rFonts w:asciiTheme="majorHAnsi" w:eastAsia="Times New Roman" w:hAnsiTheme="majorHAnsi" w:cstheme="majorHAnsi"/>
          <w:sz w:val="20"/>
          <w:szCs w:val="24"/>
          <w:lang w:val="ro-RO" w:eastAsia="ru-RU"/>
        </w:rPr>
        <w:t xml:space="preserve"> </w:t>
      </w:r>
      <w:r w:rsidRPr="00E4517B">
        <w:rPr>
          <w:rFonts w:asciiTheme="majorHAnsi" w:eastAsia="Times New Roman" w:hAnsiTheme="majorHAnsi" w:cstheme="majorHAnsi"/>
          <w:i/>
          <w:sz w:val="20"/>
          <w:szCs w:val="24"/>
          <w:lang w:val="ro-RO" w:eastAsia="ru-RU"/>
        </w:rPr>
        <w:t>Rapoartele privind executarea bugetului de stat pe anii 2018-2019.</w:t>
      </w:r>
    </w:p>
    <w:p w:rsidR="00C3538A" w:rsidRPr="00F55BA6" w:rsidRDefault="00C3538A" w:rsidP="00C3538A">
      <w:pPr>
        <w:spacing w:after="0" w:line="276" w:lineRule="auto"/>
        <w:jc w:val="left"/>
        <w:rPr>
          <w:rFonts w:asciiTheme="majorHAnsi" w:hAnsiTheme="majorHAnsi" w:cstheme="majorHAnsi"/>
          <w:sz w:val="24"/>
          <w:szCs w:val="24"/>
          <w:lang w:val="ro-RO"/>
        </w:rPr>
      </w:pPr>
    </w:p>
    <w:p w:rsidR="00C3538A" w:rsidRPr="00973E5B" w:rsidRDefault="00C3538A" w:rsidP="00C3538A">
      <w:pPr>
        <w:spacing w:after="0" w:line="276" w:lineRule="auto"/>
        <w:jc w:val="left"/>
        <w:rPr>
          <w:rFonts w:asciiTheme="majorHAnsi" w:eastAsia="Times New Roman" w:hAnsiTheme="majorHAnsi" w:cstheme="majorHAnsi"/>
          <w:sz w:val="24"/>
          <w:szCs w:val="24"/>
          <w:lang w:val="ro-RO" w:eastAsia="ru-RU"/>
        </w:rPr>
      </w:pPr>
      <w:r w:rsidRPr="00F55BA6">
        <w:rPr>
          <w:rFonts w:asciiTheme="majorHAnsi" w:hAnsiTheme="majorHAnsi" w:cstheme="majorHAnsi"/>
          <w:sz w:val="24"/>
          <w:szCs w:val="24"/>
          <w:lang w:val="ro-RO"/>
        </w:rPr>
        <w:t xml:space="preserve">Deficitul </w:t>
      </w:r>
      <w:r w:rsidRPr="00E4517B">
        <w:rPr>
          <w:rFonts w:asciiTheme="majorHAnsi" w:eastAsia="Times New Roman" w:hAnsiTheme="majorHAnsi" w:cstheme="majorHAnsi"/>
          <w:sz w:val="24"/>
          <w:szCs w:val="24"/>
          <w:lang w:val="ro-RO" w:eastAsia="ru-RU"/>
        </w:rPr>
        <w:t xml:space="preserve">BS </w:t>
      </w:r>
      <w:r w:rsidRPr="00F55BA6">
        <w:rPr>
          <w:rFonts w:asciiTheme="majorHAnsi" w:hAnsiTheme="majorHAnsi" w:cstheme="majorHAnsi"/>
          <w:sz w:val="24"/>
          <w:szCs w:val="24"/>
          <w:lang w:val="ro-RO"/>
        </w:rPr>
        <w:t xml:space="preserve">ca pondere în PIB este în </w:t>
      </w:r>
      <w:r w:rsidR="0042054D" w:rsidRPr="00F55BA6">
        <w:rPr>
          <w:rFonts w:asciiTheme="majorHAnsi" w:hAnsiTheme="majorHAnsi" w:cstheme="majorHAnsi"/>
          <w:sz w:val="24"/>
          <w:szCs w:val="24"/>
          <w:lang w:val="ro-RO"/>
        </w:rPr>
        <w:t>creștere și</w:t>
      </w:r>
      <w:r w:rsidRPr="00F55BA6">
        <w:rPr>
          <w:rFonts w:asciiTheme="majorHAnsi" w:hAnsiTheme="majorHAnsi" w:cstheme="majorHAnsi"/>
          <w:sz w:val="24"/>
          <w:szCs w:val="24"/>
          <w:lang w:val="ro-RO"/>
        </w:rPr>
        <w:t xml:space="preserve"> în anul 2020</w:t>
      </w:r>
      <w:r w:rsidRPr="00E4517B">
        <w:rPr>
          <w:rFonts w:asciiTheme="majorHAnsi" w:eastAsia="Times New Roman" w:hAnsiTheme="majorHAnsi" w:cstheme="majorHAnsi"/>
          <w:sz w:val="24"/>
          <w:szCs w:val="24"/>
          <w:lang w:val="ro-RO" w:eastAsia="ru-RU"/>
        </w:rPr>
        <w:t xml:space="preserve"> a constituit 5,4%, sau mai puțin față de indicatorul prognozat </w:t>
      </w:r>
      <w:r w:rsidRPr="00973E5B">
        <w:rPr>
          <w:rFonts w:asciiTheme="majorHAnsi" w:eastAsia="Times New Roman" w:hAnsiTheme="majorHAnsi" w:cstheme="majorHAnsi"/>
          <w:sz w:val="24"/>
          <w:szCs w:val="24"/>
          <w:lang w:val="ro-RO" w:eastAsia="ru-RU"/>
        </w:rPr>
        <w:t>cu 2,4 p.p., în anul 2019 – 1,5%</w:t>
      </w:r>
      <w:r w:rsidR="003A4303">
        <w:rPr>
          <w:rFonts w:asciiTheme="majorHAnsi" w:eastAsia="Times New Roman" w:hAnsiTheme="majorHAnsi" w:cstheme="majorHAnsi"/>
          <w:sz w:val="24"/>
          <w:szCs w:val="24"/>
          <w:lang w:val="ro-RO" w:eastAsia="ru-RU"/>
        </w:rPr>
        <w:t>,</w:t>
      </w:r>
      <w:r w:rsidRPr="00973E5B">
        <w:rPr>
          <w:rFonts w:asciiTheme="majorHAnsi" w:eastAsia="Times New Roman" w:hAnsiTheme="majorHAnsi" w:cstheme="majorHAnsi"/>
          <w:sz w:val="24"/>
          <w:szCs w:val="24"/>
          <w:lang w:val="ro-RO" w:eastAsia="ru-RU"/>
        </w:rPr>
        <w:t xml:space="preserve"> și în anul 2018 – 1,2%.</w:t>
      </w:r>
    </w:p>
    <w:p w:rsidR="00C3538A" w:rsidRPr="00E4517B" w:rsidRDefault="00C3538A" w:rsidP="00C3538A">
      <w:pPr>
        <w:spacing w:after="0" w:line="276" w:lineRule="auto"/>
        <w:rPr>
          <w:rFonts w:asciiTheme="majorHAnsi" w:hAnsiTheme="majorHAnsi" w:cstheme="majorHAnsi"/>
          <w:sz w:val="24"/>
          <w:szCs w:val="24"/>
          <w:lang w:val="ro-RO"/>
        </w:rPr>
      </w:pPr>
      <w:r w:rsidRPr="00F55BA6">
        <w:rPr>
          <w:rFonts w:asciiTheme="majorHAnsi" w:eastAsia="Times New Roman" w:hAnsiTheme="majorHAnsi" w:cstheme="majorHAnsi"/>
          <w:sz w:val="24"/>
          <w:szCs w:val="24"/>
          <w:lang w:val="ro-RO"/>
        </w:rPr>
        <w:t>Finanțarea disponibilă pentru acoperirea deficitului bugetar reprezintă volumul total al activelor financiare și intrărilor din împrumuturi și emisiuni de valori mobiliare interne și externe, din care se deduc resursele necesare pentru rambursarea sumei principale a datoriei.</w:t>
      </w:r>
      <w:r w:rsidRPr="00E4517B">
        <w:rPr>
          <w:rFonts w:asciiTheme="majorHAnsi" w:eastAsia="Times New Roman" w:hAnsiTheme="majorHAnsi" w:cstheme="majorHAnsi"/>
          <w:sz w:val="24"/>
          <w:szCs w:val="24"/>
          <w:lang w:val="ro-RO" w:eastAsia="ru-RU"/>
        </w:rPr>
        <w:t xml:space="preserve"> </w:t>
      </w:r>
      <w:r w:rsidRPr="00E4517B">
        <w:rPr>
          <w:rFonts w:asciiTheme="majorHAnsi" w:hAnsiTheme="majorHAnsi" w:cstheme="majorHAnsi"/>
          <w:sz w:val="24"/>
          <w:szCs w:val="24"/>
          <w:lang w:val="ro-RO"/>
        </w:rPr>
        <w:t xml:space="preserve">În anul 2020, a fost modificată structura surselor de finanțare a deficitului ca urmare a revizuirii intrărilor de împrumuturi, în </w:t>
      </w:r>
      <w:r w:rsidRPr="00973E5B">
        <w:rPr>
          <w:rFonts w:asciiTheme="majorHAnsi" w:hAnsiTheme="majorHAnsi" w:cstheme="majorHAnsi"/>
          <w:sz w:val="24"/>
          <w:szCs w:val="24"/>
          <w:lang w:val="ro-RO"/>
        </w:rPr>
        <w:t>special</w:t>
      </w:r>
      <w:r w:rsidR="003A4303">
        <w:rPr>
          <w:rFonts w:asciiTheme="majorHAnsi" w:hAnsiTheme="majorHAnsi" w:cstheme="majorHAnsi"/>
          <w:sz w:val="24"/>
          <w:szCs w:val="24"/>
          <w:lang w:val="ro-RO"/>
        </w:rPr>
        <w:t xml:space="preserve"> a</w:t>
      </w:r>
      <w:r w:rsidRPr="00973E5B">
        <w:rPr>
          <w:rFonts w:asciiTheme="majorHAnsi" w:hAnsiTheme="majorHAnsi" w:cstheme="majorHAnsi"/>
          <w:sz w:val="24"/>
          <w:szCs w:val="24"/>
          <w:lang w:val="ro-RO"/>
        </w:rPr>
        <w:t xml:space="preserve"> celor de urgență, destinate în mare parte atenuării impactului pandemiei COVID-19 și modific</w:t>
      </w:r>
      <w:r w:rsidR="003A4303">
        <w:rPr>
          <w:rFonts w:asciiTheme="majorHAnsi" w:hAnsiTheme="majorHAnsi" w:cstheme="majorHAnsi"/>
          <w:sz w:val="24"/>
          <w:szCs w:val="24"/>
          <w:lang w:val="ro-RO"/>
        </w:rPr>
        <w:t>ării</w:t>
      </w:r>
      <w:r w:rsidRPr="00973E5B">
        <w:rPr>
          <w:rFonts w:asciiTheme="majorHAnsi" w:hAnsiTheme="majorHAnsi" w:cstheme="majorHAnsi"/>
          <w:sz w:val="24"/>
          <w:szCs w:val="24"/>
          <w:lang w:val="ro-RO"/>
        </w:rPr>
        <w:t xml:space="preserve"> soldurilor mijloacelor bănești în conturi.</w:t>
      </w:r>
      <w:r w:rsidRPr="00F55BA6">
        <w:rPr>
          <w:rFonts w:asciiTheme="majorHAnsi" w:eastAsia="Times New Roman" w:hAnsiTheme="majorHAnsi" w:cstheme="majorHAnsi"/>
          <w:sz w:val="24"/>
          <w:szCs w:val="24"/>
          <w:lang w:val="ro-RO" w:eastAsia="ru-RU"/>
        </w:rPr>
        <w:t xml:space="preserve"> </w:t>
      </w:r>
      <w:r w:rsidRPr="00E4517B">
        <w:rPr>
          <w:rFonts w:asciiTheme="majorHAnsi" w:hAnsiTheme="majorHAnsi" w:cstheme="majorHAnsi"/>
          <w:sz w:val="24"/>
          <w:szCs w:val="24"/>
          <w:lang w:val="ro-RO"/>
        </w:rPr>
        <w:t>Verificările auditului asupra conformității formării surselor de finanțare</w:t>
      </w:r>
      <w:r w:rsidRPr="00E4517B">
        <w:rPr>
          <w:rFonts w:asciiTheme="majorHAnsi" w:hAnsiTheme="majorHAnsi" w:cstheme="majorHAnsi"/>
          <w:sz w:val="24"/>
          <w:szCs w:val="24"/>
          <w:vertAlign w:val="superscript"/>
          <w:lang w:val="ro-RO"/>
        </w:rPr>
        <w:footnoteReference w:id="71"/>
      </w:r>
      <w:r w:rsidRPr="00E4517B">
        <w:rPr>
          <w:rFonts w:asciiTheme="majorHAnsi" w:hAnsiTheme="majorHAnsi" w:cstheme="majorHAnsi"/>
          <w:sz w:val="24"/>
          <w:szCs w:val="24"/>
          <w:lang w:val="ro-RO"/>
        </w:rPr>
        <w:t xml:space="preserve"> a deficitului BS în anul 2020 au relevat următoarele:</w:t>
      </w:r>
    </w:p>
    <w:p w:rsidR="00C3538A" w:rsidRPr="00E4517B" w:rsidRDefault="00C3538A" w:rsidP="00C3538A">
      <w:pPr>
        <w:numPr>
          <w:ilvl w:val="0"/>
          <w:numId w:val="6"/>
        </w:numPr>
        <w:tabs>
          <w:tab w:val="left" w:pos="142"/>
        </w:tabs>
        <w:spacing w:after="0" w:line="276" w:lineRule="auto"/>
        <w:ind w:left="0" w:firstLine="0"/>
        <w:contextualSpacing/>
        <w:rPr>
          <w:rFonts w:asciiTheme="minorHAnsi" w:hAnsiTheme="minorHAnsi"/>
          <w:sz w:val="22"/>
          <w:lang w:val="ro-RO"/>
        </w:rPr>
      </w:pPr>
      <w:r w:rsidRPr="00E4517B">
        <w:rPr>
          <w:rFonts w:asciiTheme="majorHAnsi" w:hAnsiTheme="majorHAnsi" w:cstheme="majorHAnsi"/>
          <w:sz w:val="24"/>
          <w:szCs w:val="24"/>
          <w:lang w:val="ro-RO"/>
        </w:rPr>
        <w:t>p</w:t>
      </w:r>
      <w:r w:rsidRPr="00F55BA6">
        <w:rPr>
          <w:rFonts w:asciiTheme="majorHAnsi" w:hAnsiTheme="majorHAnsi" w:cstheme="majorHAnsi"/>
          <w:sz w:val="24"/>
          <w:szCs w:val="24"/>
          <w:lang w:val="ro-RO"/>
        </w:rPr>
        <w:t>otrivit art.6 din Legea bugetului de stat pentru anul 2020, au fost prevăzute mijloace financiare pentru majorarea capitalului social al ÎS „Calea Ferată din Moldova” (460,96 mil. lei, echivalentul a 22,16 mil. euro)</w:t>
      </w:r>
      <w:r w:rsidRPr="00F55BA6">
        <w:rPr>
          <w:rFonts w:asciiTheme="minorHAnsi" w:hAnsiTheme="minorHAnsi"/>
          <w:sz w:val="22"/>
          <w:vertAlign w:val="superscript"/>
          <w:lang w:val="ro-RO"/>
        </w:rPr>
        <w:footnoteReference w:id="72"/>
      </w:r>
      <w:r w:rsidRPr="00F55BA6">
        <w:rPr>
          <w:rFonts w:asciiTheme="majorHAnsi" w:hAnsiTheme="majorHAnsi" w:cstheme="majorHAnsi"/>
          <w:sz w:val="24"/>
          <w:szCs w:val="24"/>
          <w:lang w:val="ro-RO"/>
        </w:rPr>
        <w:t xml:space="preserve"> și al SRL „Arena Națională” (71,3 mil. lei). Totodată, cota de participare a RM </w:t>
      </w:r>
      <w:r w:rsidR="003A4303">
        <w:rPr>
          <w:rFonts w:asciiTheme="majorHAnsi" w:hAnsiTheme="majorHAnsi" w:cstheme="majorHAnsi"/>
          <w:sz w:val="24"/>
          <w:szCs w:val="24"/>
          <w:lang w:val="ro-RO"/>
        </w:rPr>
        <w:t>în</w:t>
      </w:r>
      <w:r w:rsidRPr="00F55BA6">
        <w:rPr>
          <w:rFonts w:asciiTheme="majorHAnsi" w:hAnsiTheme="majorHAnsi" w:cstheme="majorHAnsi"/>
          <w:sz w:val="24"/>
          <w:szCs w:val="24"/>
          <w:lang w:val="ro-RO"/>
        </w:rPr>
        <w:t xml:space="preserve"> capitalul statutar al băncilor de dezvoltare internaționale </w:t>
      </w:r>
      <w:r w:rsidR="003A4303">
        <w:rPr>
          <w:rFonts w:asciiTheme="majorHAnsi" w:hAnsiTheme="majorHAnsi" w:cstheme="majorHAnsi"/>
          <w:sz w:val="24"/>
          <w:szCs w:val="24"/>
          <w:lang w:val="ro-RO"/>
        </w:rPr>
        <w:t xml:space="preserve">a constituit </w:t>
      </w:r>
      <w:r w:rsidRPr="00F55BA6">
        <w:rPr>
          <w:rFonts w:asciiTheme="majorHAnsi" w:hAnsiTheme="majorHAnsi" w:cstheme="majorHAnsi"/>
          <w:sz w:val="24"/>
          <w:szCs w:val="24"/>
          <w:lang w:val="ro-RO"/>
        </w:rPr>
        <w:t>sum</w:t>
      </w:r>
      <w:r w:rsidR="003A4303">
        <w:rPr>
          <w:rFonts w:asciiTheme="majorHAnsi" w:hAnsiTheme="majorHAnsi" w:cstheme="majorHAnsi"/>
          <w:sz w:val="24"/>
          <w:szCs w:val="24"/>
          <w:lang w:val="ro-RO"/>
        </w:rPr>
        <w:t>a</w:t>
      </w:r>
      <w:r w:rsidRPr="00F55BA6">
        <w:rPr>
          <w:rFonts w:asciiTheme="majorHAnsi" w:hAnsiTheme="majorHAnsi" w:cstheme="majorHAnsi"/>
          <w:sz w:val="24"/>
          <w:szCs w:val="24"/>
          <w:lang w:val="ro-RO"/>
        </w:rPr>
        <w:t xml:space="preserve"> de 5,5 mil. lei (echivalentul a 300,0 mii dolari SUA).</w:t>
      </w:r>
    </w:p>
    <w:p w:rsidR="00C3538A" w:rsidRPr="00F55BA6" w:rsidRDefault="00C3538A" w:rsidP="00C3538A">
      <w:pPr>
        <w:tabs>
          <w:tab w:val="left" w:pos="851"/>
        </w:tabs>
        <w:spacing w:after="0" w:line="276" w:lineRule="auto"/>
        <w:rPr>
          <w:rFonts w:asciiTheme="majorHAnsi" w:eastAsia="Times New Roman" w:hAnsiTheme="majorHAnsi" w:cstheme="majorHAnsi"/>
          <w:sz w:val="24"/>
          <w:szCs w:val="24"/>
          <w:lang w:val="ro-RO"/>
        </w:rPr>
      </w:pPr>
      <w:r w:rsidRPr="00F55BA6">
        <w:rPr>
          <w:rFonts w:asciiTheme="majorHAnsi" w:hAnsiTheme="majorHAnsi" w:cstheme="majorHAnsi"/>
          <w:sz w:val="24"/>
          <w:szCs w:val="24"/>
          <w:lang w:val="ro-RO"/>
        </w:rPr>
        <w:t>Conform HG nr.402 din 17.06.2020</w:t>
      </w:r>
      <w:r w:rsidRPr="00F55BA6">
        <w:rPr>
          <w:rFonts w:asciiTheme="majorHAnsi" w:hAnsiTheme="majorHAnsi" w:cstheme="majorHAnsi"/>
          <w:sz w:val="24"/>
          <w:szCs w:val="24"/>
          <w:vertAlign w:val="superscript"/>
          <w:lang w:val="ro-RO"/>
        </w:rPr>
        <w:footnoteReference w:id="73"/>
      </w:r>
      <w:r w:rsidR="003A4303">
        <w:rPr>
          <w:rFonts w:asciiTheme="majorHAnsi" w:hAnsiTheme="majorHAnsi" w:cstheme="majorHAnsi"/>
          <w:sz w:val="24"/>
          <w:szCs w:val="24"/>
          <w:lang w:val="ro-RO"/>
        </w:rPr>
        <w:t>,</w:t>
      </w:r>
      <w:r w:rsidRPr="00F55BA6">
        <w:rPr>
          <w:rFonts w:asciiTheme="majorHAnsi" w:hAnsiTheme="majorHAnsi" w:cstheme="majorHAnsi"/>
          <w:sz w:val="24"/>
          <w:szCs w:val="24"/>
          <w:lang w:val="ro-RO"/>
        </w:rPr>
        <w:t xml:space="preserve"> ÎS „Calea Ferată din Moldova” </w:t>
      </w:r>
      <w:r w:rsidR="003A4303">
        <w:rPr>
          <w:rFonts w:asciiTheme="majorHAnsi" w:hAnsiTheme="majorHAnsi" w:cstheme="majorHAnsi"/>
          <w:sz w:val="24"/>
          <w:szCs w:val="24"/>
          <w:lang w:val="ro-RO"/>
        </w:rPr>
        <w:t>i-</w:t>
      </w:r>
      <w:r w:rsidR="003A4303" w:rsidRPr="00856DE6">
        <w:rPr>
          <w:rFonts w:asciiTheme="majorHAnsi" w:hAnsiTheme="majorHAnsi" w:cstheme="majorHAnsi"/>
          <w:sz w:val="24"/>
          <w:szCs w:val="24"/>
          <w:lang w:val="ro-RO"/>
        </w:rPr>
        <w:t>au fost alocate</w:t>
      </w:r>
      <w:r w:rsidR="003A4303" w:rsidRPr="003A4303">
        <w:rPr>
          <w:rFonts w:asciiTheme="majorHAnsi" w:hAnsiTheme="majorHAnsi" w:cstheme="majorHAnsi"/>
          <w:sz w:val="24"/>
          <w:szCs w:val="24"/>
          <w:lang w:val="ro-RO"/>
        </w:rPr>
        <w:t xml:space="preserve"> </w:t>
      </w:r>
      <w:r w:rsidRPr="00F55BA6">
        <w:rPr>
          <w:rFonts w:asciiTheme="majorHAnsi" w:hAnsiTheme="majorHAnsi" w:cstheme="majorHAnsi"/>
          <w:sz w:val="24"/>
          <w:szCs w:val="24"/>
          <w:lang w:val="ro-RO"/>
        </w:rPr>
        <w:t>mijloace în sumă de 267,1 mil. lei</w:t>
      </w:r>
      <w:r w:rsidRPr="00F55BA6">
        <w:rPr>
          <w:rFonts w:asciiTheme="majorHAnsi" w:hAnsiTheme="majorHAnsi" w:cstheme="majorHAnsi"/>
          <w:sz w:val="24"/>
          <w:szCs w:val="24"/>
          <w:vertAlign w:val="superscript"/>
          <w:lang w:val="ro-RO"/>
        </w:rPr>
        <w:footnoteReference w:id="74"/>
      </w:r>
      <w:r w:rsidR="003A4303">
        <w:rPr>
          <w:rFonts w:asciiTheme="majorHAnsi" w:hAnsiTheme="majorHAnsi" w:cstheme="majorHAnsi"/>
          <w:sz w:val="24"/>
          <w:szCs w:val="24"/>
          <w:lang w:val="ro-RO"/>
        </w:rPr>
        <w:t>,</w:t>
      </w:r>
      <w:r w:rsidRPr="00F55BA6">
        <w:rPr>
          <w:rFonts w:asciiTheme="majorHAnsi" w:hAnsiTheme="majorHAnsi" w:cstheme="majorHAnsi"/>
          <w:sz w:val="24"/>
          <w:szCs w:val="24"/>
          <w:lang w:val="ro-RO"/>
        </w:rPr>
        <w:t xml:space="preserve"> sau 57,9% din 460,96 mil. lei aprobate în Legea BS pentru anul 2020. </w:t>
      </w:r>
      <w:r w:rsidR="003A4303">
        <w:rPr>
          <w:rFonts w:asciiTheme="majorHAnsi" w:hAnsiTheme="majorHAnsi" w:cstheme="majorHAnsi"/>
          <w:sz w:val="24"/>
          <w:szCs w:val="24"/>
          <w:lang w:val="ro-RO"/>
        </w:rPr>
        <w:t>Ca u</w:t>
      </w:r>
      <w:r w:rsidRPr="00F55BA6">
        <w:rPr>
          <w:rFonts w:asciiTheme="majorHAnsi" w:hAnsiTheme="majorHAnsi" w:cstheme="majorHAnsi"/>
          <w:sz w:val="24"/>
          <w:szCs w:val="24"/>
          <w:lang w:val="ro-RO"/>
        </w:rPr>
        <w:t xml:space="preserve">rmare </w:t>
      </w:r>
      <w:r w:rsidR="003A4303">
        <w:rPr>
          <w:rFonts w:asciiTheme="majorHAnsi" w:hAnsiTheme="majorHAnsi" w:cstheme="majorHAnsi"/>
          <w:sz w:val="24"/>
          <w:szCs w:val="24"/>
          <w:lang w:val="ro-RO"/>
        </w:rPr>
        <w:t xml:space="preserve">a </w:t>
      </w:r>
      <w:r w:rsidRPr="00F55BA6">
        <w:rPr>
          <w:rFonts w:asciiTheme="majorHAnsi" w:hAnsiTheme="majorHAnsi" w:cstheme="majorHAnsi"/>
          <w:sz w:val="24"/>
          <w:szCs w:val="24"/>
          <w:lang w:val="ro-RO"/>
        </w:rPr>
        <w:t>verificărilor auditului, s-a constatat că</w:t>
      </w:r>
      <w:r w:rsidR="003A4303">
        <w:rPr>
          <w:rFonts w:asciiTheme="majorHAnsi" w:hAnsiTheme="majorHAnsi" w:cstheme="majorHAnsi"/>
          <w:sz w:val="24"/>
          <w:szCs w:val="24"/>
          <w:lang w:val="ro-RO"/>
        </w:rPr>
        <w:t>,</w:t>
      </w:r>
      <w:r w:rsidRPr="00F55BA6">
        <w:rPr>
          <w:rFonts w:asciiTheme="majorHAnsi" w:hAnsiTheme="majorHAnsi" w:cstheme="majorHAnsi"/>
          <w:sz w:val="24"/>
          <w:szCs w:val="24"/>
          <w:lang w:val="ro-RO"/>
        </w:rPr>
        <w:t xml:space="preserve"> contrar prevederilor HG menționate, APP</w:t>
      </w:r>
      <w:r w:rsidR="003A4303">
        <w:rPr>
          <w:rFonts w:asciiTheme="majorHAnsi" w:hAnsiTheme="majorHAnsi" w:cstheme="majorHAnsi"/>
          <w:sz w:val="24"/>
          <w:szCs w:val="24"/>
          <w:lang w:val="ro-RO"/>
        </w:rPr>
        <w:t>,</w:t>
      </w:r>
      <w:r w:rsidRPr="00F55BA6">
        <w:rPr>
          <w:rFonts w:asciiTheme="majorHAnsi" w:hAnsiTheme="majorHAnsi" w:cstheme="majorHAnsi"/>
          <w:sz w:val="24"/>
          <w:szCs w:val="24"/>
          <w:lang w:val="ro-RO"/>
        </w:rPr>
        <w:t xml:space="preserve"> </w:t>
      </w:r>
      <w:r w:rsidRPr="00F55BA6">
        <w:rPr>
          <w:rFonts w:asciiTheme="majorHAnsi" w:eastAsia="Times New Roman" w:hAnsiTheme="majorHAnsi" w:cstheme="majorHAnsi"/>
          <w:sz w:val="24"/>
          <w:szCs w:val="24"/>
          <w:lang w:val="ro-RO"/>
        </w:rPr>
        <w:t xml:space="preserve">în calitate de fondator, nu a asigurat modificarea statutului Întreprinderii de Stat în vederea majorării capitalului social în anul 2020, </w:t>
      </w:r>
      <w:r w:rsidR="008C342D" w:rsidRPr="00F55BA6">
        <w:rPr>
          <w:rFonts w:asciiTheme="majorHAnsi" w:eastAsia="Times New Roman" w:hAnsiTheme="majorHAnsi" w:cstheme="majorHAnsi"/>
          <w:sz w:val="24"/>
          <w:szCs w:val="24"/>
          <w:lang w:val="ro-RO"/>
        </w:rPr>
        <w:t xml:space="preserve">modificările </w:t>
      </w:r>
      <w:r w:rsidRPr="00F55BA6">
        <w:rPr>
          <w:rFonts w:asciiTheme="majorHAnsi" w:eastAsia="Times New Roman" w:hAnsiTheme="majorHAnsi" w:cstheme="majorHAnsi"/>
          <w:sz w:val="24"/>
          <w:szCs w:val="24"/>
          <w:lang w:val="ro-RO"/>
        </w:rPr>
        <w:t>fiind inițiate la data de 18.02.2021</w:t>
      </w:r>
      <w:r w:rsidRPr="00F55BA6">
        <w:rPr>
          <w:rFonts w:asciiTheme="majorHAnsi" w:eastAsia="Times New Roman" w:hAnsiTheme="majorHAnsi" w:cstheme="majorHAnsi"/>
          <w:sz w:val="24"/>
          <w:szCs w:val="24"/>
          <w:vertAlign w:val="superscript"/>
          <w:lang w:val="ro-RO"/>
        </w:rPr>
        <w:footnoteReference w:id="75"/>
      </w:r>
      <w:r w:rsidRPr="00F55BA6">
        <w:rPr>
          <w:rFonts w:asciiTheme="majorHAnsi" w:eastAsia="Times New Roman" w:hAnsiTheme="majorHAnsi" w:cstheme="majorHAnsi"/>
          <w:sz w:val="24"/>
          <w:szCs w:val="24"/>
          <w:lang w:val="ro-RO"/>
        </w:rPr>
        <w:t xml:space="preserve">. </w:t>
      </w:r>
    </w:p>
    <w:p w:rsidR="00C3538A" w:rsidRPr="00F55BA6" w:rsidRDefault="00C3538A" w:rsidP="00C3538A">
      <w:pPr>
        <w:tabs>
          <w:tab w:val="left" w:pos="851"/>
        </w:tabs>
        <w:spacing w:after="0"/>
        <w:contextualSpacing/>
        <w:rPr>
          <w:rFonts w:asciiTheme="majorHAnsi" w:eastAsia="Times New Roman" w:hAnsiTheme="majorHAnsi" w:cstheme="majorHAnsi"/>
          <w:sz w:val="24"/>
          <w:szCs w:val="24"/>
          <w:lang w:val="ro-RO"/>
        </w:rPr>
      </w:pPr>
      <w:r w:rsidRPr="00F55BA6">
        <w:rPr>
          <w:rFonts w:asciiTheme="majorHAnsi" w:hAnsiTheme="majorHAnsi" w:cstheme="majorHAnsi"/>
          <w:sz w:val="24"/>
          <w:szCs w:val="24"/>
          <w:lang w:val="ro-RO"/>
        </w:rPr>
        <w:t>Conform HG nr.467 din 03.07.2020</w:t>
      </w:r>
      <w:r w:rsidRPr="00F55BA6">
        <w:rPr>
          <w:rFonts w:asciiTheme="majorHAnsi" w:hAnsiTheme="majorHAnsi" w:cstheme="majorHAnsi"/>
          <w:sz w:val="24"/>
          <w:szCs w:val="24"/>
          <w:vertAlign w:val="superscript"/>
          <w:lang w:val="ro-RO"/>
        </w:rPr>
        <w:footnoteReference w:id="76"/>
      </w:r>
      <w:r w:rsidRPr="00F55BA6">
        <w:rPr>
          <w:rFonts w:asciiTheme="majorHAnsi" w:hAnsiTheme="majorHAnsi" w:cstheme="majorHAnsi"/>
          <w:sz w:val="24"/>
          <w:szCs w:val="24"/>
          <w:lang w:val="ro-RO"/>
        </w:rPr>
        <w:t>, MF a alocat mijloace din BS</w:t>
      </w:r>
      <w:r w:rsidR="00974590">
        <w:rPr>
          <w:rFonts w:asciiTheme="majorHAnsi" w:hAnsiTheme="majorHAnsi" w:cstheme="majorHAnsi"/>
          <w:sz w:val="24"/>
          <w:szCs w:val="24"/>
          <w:lang w:val="ro-RO"/>
        </w:rPr>
        <w:t>,</w:t>
      </w:r>
      <w:r w:rsidRPr="00F55BA6">
        <w:rPr>
          <w:rFonts w:asciiTheme="majorHAnsi" w:hAnsiTheme="majorHAnsi" w:cstheme="majorHAnsi"/>
          <w:sz w:val="24"/>
          <w:szCs w:val="24"/>
          <w:lang w:val="ro-RO"/>
        </w:rPr>
        <w:t xml:space="preserve"> în sumă de 71,3 mil. lei</w:t>
      </w:r>
      <w:r w:rsidR="00974590">
        <w:rPr>
          <w:rFonts w:asciiTheme="majorHAnsi" w:hAnsiTheme="majorHAnsi" w:cstheme="majorHAnsi"/>
          <w:sz w:val="24"/>
          <w:szCs w:val="24"/>
          <w:lang w:val="ro-RO"/>
        </w:rPr>
        <w:t>,</w:t>
      </w:r>
      <w:r w:rsidRPr="00F55BA6">
        <w:rPr>
          <w:rFonts w:asciiTheme="majorHAnsi" w:hAnsiTheme="majorHAnsi" w:cstheme="majorHAnsi"/>
          <w:sz w:val="24"/>
          <w:szCs w:val="24"/>
          <w:lang w:val="ro-RO"/>
        </w:rPr>
        <w:t xml:space="preserve"> SRL „Arena Națională”</w:t>
      </w:r>
      <w:r w:rsidRPr="00F55BA6">
        <w:rPr>
          <w:rFonts w:asciiTheme="majorHAnsi" w:hAnsiTheme="majorHAnsi" w:cstheme="majorHAnsi"/>
          <w:sz w:val="24"/>
          <w:szCs w:val="24"/>
          <w:vertAlign w:val="superscript"/>
          <w:lang w:val="ro-RO"/>
        </w:rPr>
        <w:footnoteReference w:id="77"/>
      </w:r>
      <w:r w:rsidRPr="00F55BA6">
        <w:rPr>
          <w:rFonts w:asciiTheme="majorHAnsi" w:hAnsiTheme="majorHAnsi" w:cstheme="majorHAnsi"/>
          <w:sz w:val="24"/>
          <w:szCs w:val="24"/>
          <w:lang w:val="ro-RO"/>
        </w:rPr>
        <w:t>, iar APP a operat modificările în Statut în vederea majorării capitalului social</w:t>
      </w:r>
      <w:r w:rsidRPr="00F55BA6">
        <w:rPr>
          <w:rFonts w:asciiTheme="majorHAnsi" w:hAnsiTheme="majorHAnsi" w:cstheme="majorHAnsi"/>
          <w:sz w:val="24"/>
          <w:szCs w:val="24"/>
          <w:vertAlign w:val="superscript"/>
          <w:lang w:val="ro-RO"/>
        </w:rPr>
        <w:footnoteReference w:id="78"/>
      </w:r>
      <w:r w:rsidRPr="00F55BA6">
        <w:rPr>
          <w:rFonts w:asciiTheme="majorHAnsi" w:hAnsiTheme="majorHAnsi" w:cstheme="majorHAnsi"/>
          <w:sz w:val="24"/>
          <w:szCs w:val="24"/>
          <w:lang w:val="ro-RO"/>
        </w:rPr>
        <w:t xml:space="preserve"> și </w:t>
      </w:r>
      <w:r w:rsidRPr="00F55BA6">
        <w:rPr>
          <w:rFonts w:asciiTheme="majorHAnsi" w:eastAsia="Times New Roman" w:hAnsiTheme="majorHAnsi" w:cstheme="majorHAnsi"/>
          <w:sz w:val="24"/>
          <w:szCs w:val="24"/>
          <w:lang w:val="ro-RO"/>
        </w:rPr>
        <w:t xml:space="preserve">a </w:t>
      </w:r>
      <w:r w:rsidRPr="00F55BA6">
        <w:rPr>
          <w:rFonts w:asciiTheme="majorHAnsi" w:eastAsia="Times New Roman" w:hAnsiTheme="majorHAnsi" w:cstheme="majorHAnsi"/>
          <w:sz w:val="24"/>
          <w:szCs w:val="24"/>
          <w:lang w:val="ro-RO"/>
        </w:rPr>
        <w:lastRenderedPageBreak/>
        <w:t>efectuat înregistrarea de stat la</w:t>
      </w:r>
      <w:r w:rsidRPr="00F55BA6">
        <w:rPr>
          <w:rFonts w:asciiTheme="majorHAnsi" w:hAnsiTheme="majorHAnsi" w:cstheme="majorHAnsi"/>
          <w:sz w:val="24"/>
          <w:szCs w:val="24"/>
          <w:lang w:val="ro-RO"/>
        </w:rPr>
        <w:t xml:space="preserve"> </w:t>
      </w:r>
      <w:r w:rsidRPr="00F55BA6">
        <w:rPr>
          <w:rFonts w:asciiTheme="majorHAnsi" w:eastAsia="Times New Roman" w:hAnsiTheme="majorHAnsi" w:cstheme="majorHAnsi"/>
          <w:sz w:val="24"/>
          <w:szCs w:val="24"/>
          <w:lang w:val="ro-RO"/>
        </w:rPr>
        <w:t>IP „</w:t>
      </w:r>
      <w:r w:rsidRPr="00CA261A">
        <w:rPr>
          <w:rFonts w:asciiTheme="majorHAnsi" w:eastAsia="Times New Roman" w:hAnsiTheme="majorHAnsi" w:cstheme="majorHAnsi"/>
          <w:sz w:val="24"/>
          <w:szCs w:val="24"/>
          <w:lang w:val="ro-RO"/>
        </w:rPr>
        <w:t>Agenția Servicii Publice”</w:t>
      </w:r>
      <w:r w:rsidRPr="00CA261A">
        <w:rPr>
          <w:rFonts w:asciiTheme="majorHAnsi" w:eastAsia="Times New Roman" w:hAnsiTheme="majorHAnsi" w:cstheme="majorHAnsi"/>
          <w:sz w:val="24"/>
          <w:szCs w:val="24"/>
          <w:vertAlign w:val="superscript"/>
          <w:lang w:val="ro-RO"/>
        </w:rPr>
        <w:t xml:space="preserve"> </w:t>
      </w:r>
      <w:r w:rsidRPr="00CA261A">
        <w:rPr>
          <w:rFonts w:asciiTheme="majorHAnsi" w:eastAsia="Times New Roman" w:hAnsiTheme="majorHAnsi" w:cstheme="majorHAnsi"/>
          <w:sz w:val="24"/>
          <w:szCs w:val="24"/>
          <w:vertAlign w:val="superscript"/>
          <w:lang w:val="ro-RO"/>
        </w:rPr>
        <w:footnoteReference w:id="79"/>
      </w:r>
      <w:r w:rsidRPr="00CA261A">
        <w:rPr>
          <w:rFonts w:asciiTheme="majorHAnsi" w:eastAsia="Times New Roman" w:hAnsiTheme="majorHAnsi" w:cstheme="majorHAnsi"/>
          <w:sz w:val="24"/>
          <w:szCs w:val="24"/>
          <w:lang w:val="ro-RO"/>
        </w:rPr>
        <w:t>. Totodată</w:t>
      </w:r>
      <w:r w:rsidR="003A4303" w:rsidRPr="00CA261A">
        <w:rPr>
          <w:rFonts w:asciiTheme="majorHAnsi" w:eastAsia="Times New Roman" w:hAnsiTheme="majorHAnsi" w:cstheme="majorHAnsi"/>
          <w:sz w:val="24"/>
          <w:szCs w:val="24"/>
          <w:lang w:val="ro-RO"/>
        </w:rPr>
        <w:t>,</w:t>
      </w:r>
      <w:r w:rsidRPr="00CA261A">
        <w:rPr>
          <w:rFonts w:asciiTheme="majorHAnsi" w:eastAsia="Times New Roman" w:hAnsiTheme="majorHAnsi" w:cstheme="majorHAnsi"/>
          <w:sz w:val="24"/>
          <w:szCs w:val="24"/>
          <w:lang w:val="ro-RO"/>
        </w:rPr>
        <w:t xml:space="preserve"> în proiectul de buget pentru anul 2020 au fost prevăzute</w:t>
      </w:r>
      <w:r w:rsidR="004946B2" w:rsidRPr="00CA261A">
        <w:rPr>
          <w:rFonts w:asciiTheme="majorHAnsi" w:eastAsia="Times New Roman" w:hAnsiTheme="majorHAnsi" w:cstheme="majorHAnsi"/>
          <w:sz w:val="24"/>
          <w:szCs w:val="24"/>
          <w:lang w:val="ro-RO"/>
        </w:rPr>
        <w:t>, la cheltuieli,</w:t>
      </w:r>
      <w:r w:rsidRPr="00CA261A">
        <w:rPr>
          <w:rFonts w:asciiTheme="majorHAnsi" w:eastAsia="Times New Roman" w:hAnsiTheme="majorHAnsi" w:cstheme="majorHAnsi"/>
          <w:sz w:val="24"/>
          <w:szCs w:val="24"/>
          <w:lang w:val="ro-RO"/>
        </w:rPr>
        <w:t xml:space="preserve"> alocații în sumă de 7,0 mil. lei</w:t>
      </w:r>
      <w:r w:rsidR="004946B2" w:rsidRPr="00CA261A">
        <w:rPr>
          <w:rFonts w:asciiTheme="majorHAnsi" w:eastAsia="Times New Roman" w:hAnsiTheme="majorHAnsi" w:cstheme="majorHAnsi"/>
          <w:sz w:val="24"/>
          <w:szCs w:val="24"/>
          <w:lang w:val="ro-RO"/>
        </w:rPr>
        <w:t xml:space="preserve"> </w:t>
      </w:r>
      <w:r w:rsidRPr="00CA261A">
        <w:rPr>
          <w:rFonts w:asciiTheme="majorHAnsi" w:eastAsia="Times New Roman" w:hAnsiTheme="majorHAnsi" w:cstheme="majorHAnsi"/>
          <w:sz w:val="24"/>
          <w:szCs w:val="24"/>
          <w:lang w:val="ro-RO"/>
        </w:rPr>
        <w:t>pentru despăgubir</w:t>
      </w:r>
      <w:r w:rsidR="00974590" w:rsidRPr="00CA261A">
        <w:rPr>
          <w:rFonts w:asciiTheme="majorHAnsi" w:eastAsia="Times New Roman" w:hAnsiTheme="majorHAnsi" w:cstheme="majorHAnsi"/>
          <w:sz w:val="24"/>
          <w:szCs w:val="24"/>
          <w:lang w:val="ro-RO"/>
        </w:rPr>
        <w:t>ea</w:t>
      </w:r>
      <w:r w:rsidRPr="00CA261A">
        <w:rPr>
          <w:rFonts w:asciiTheme="majorHAnsi" w:eastAsia="Times New Roman" w:hAnsiTheme="majorHAnsi" w:cstheme="majorHAnsi"/>
          <w:sz w:val="24"/>
          <w:szCs w:val="24"/>
          <w:lang w:val="ro-RO"/>
        </w:rPr>
        <w:t xml:space="preserve"> proprietarilor </w:t>
      </w:r>
      <w:r w:rsidR="00974590" w:rsidRPr="00CA261A">
        <w:rPr>
          <w:rFonts w:asciiTheme="majorHAnsi" w:eastAsia="Times New Roman" w:hAnsiTheme="majorHAnsi" w:cstheme="majorHAnsi"/>
          <w:sz w:val="24"/>
          <w:szCs w:val="24"/>
          <w:lang w:val="ro-RO"/>
        </w:rPr>
        <w:t xml:space="preserve">de </w:t>
      </w:r>
      <w:r w:rsidRPr="00CA261A">
        <w:rPr>
          <w:rFonts w:asciiTheme="majorHAnsi" w:eastAsia="Times New Roman" w:hAnsiTheme="majorHAnsi" w:cstheme="majorHAnsi"/>
          <w:sz w:val="24"/>
          <w:szCs w:val="24"/>
          <w:lang w:val="ro-RO"/>
        </w:rPr>
        <w:t xml:space="preserve">terenuri, utilitate publică de interes național, necesare suplimentar </w:t>
      </w:r>
      <w:r w:rsidR="00974590" w:rsidRPr="00CA261A">
        <w:rPr>
          <w:rFonts w:asciiTheme="majorHAnsi" w:eastAsia="Times New Roman" w:hAnsiTheme="majorHAnsi" w:cstheme="majorHAnsi"/>
          <w:sz w:val="24"/>
          <w:szCs w:val="24"/>
          <w:lang w:val="ro-RO"/>
        </w:rPr>
        <w:t>pe</w:t>
      </w:r>
      <w:r w:rsidRPr="00CA261A">
        <w:rPr>
          <w:rFonts w:asciiTheme="majorHAnsi" w:eastAsia="Times New Roman" w:hAnsiTheme="majorHAnsi" w:cstheme="majorHAnsi"/>
          <w:sz w:val="24"/>
          <w:szCs w:val="24"/>
          <w:lang w:val="ro-RO"/>
        </w:rPr>
        <w:t>ntru efectuarea lucrărilor de construcție, amenajare și acces la complexul arenei polivalente de interes național, dar la rectificarea bugetului alocațiile au fost diminuate.</w:t>
      </w:r>
    </w:p>
    <w:p w:rsidR="00C3538A" w:rsidRPr="00F55BA6" w:rsidRDefault="00C3538A" w:rsidP="00C3538A">
      <w:pPr>
        <w:tabs>
          <w:tab w:val="left" w:pos="851"/>
        </w:tabs>
        <w:spacing w:after="0"/>
        <w:contextualSpacing/>
        <w:rPr>
          <w:rFonts w:asciiTheme="majorHAnsi" w:hAnsiTheme="majorHAnsi" w:cstheme="majorHAnsi"/>
          <w:sz w:val="24"/>
          <w:szCs w:val="24"/>
          <w:lang w:val="ro-RO"/>
        </w:rPr>
      </w:pPr>
      <w:r w:rsidRPr="00F55BA6">
        <w:rPr>
          <w:rFonts w:asciiTheme="majorHAnsi" w:hAnsiTheme="majorHAnsi" w:cstheme="majorHAnsi"/>
          <w:sz w:val="24"/>
          <w:szCs w:val="24"/>
          <w:lang w:val="ro-RO"/>
        </w:rPr>
        <w:t xml:space="preserve">Mijloacele financiare aprobate (5,5 mil. lei) pentru cota de participare a RM </w:t>
      </w:r>
      <w:r w:rsidR="00974590">
        <w:rPr>
          <w:rFonts w:asciiTheme="majorHAnsi" w:hAnsiTheme="majorHAnsi" w:cstheme="majorHAnsi"/>
          <w:sz w:val="24"/>
          <w:szCs w:val="24"/>
          <w:lang w:val="ro-RO"/>
        </w:rPr>
        <w:t>în</w:t>
      </w:r>
      <w:r w:rsidRPr="00F55BA6">
        <w:rPr>
          <w:rFonts w:asciiTheme="majorHAnsi" w:hAnsiTheme="majorHAnsi" w:cstheme="majorHAnsi"/>
          <w:sz w:val="24"/>
          <w:szCs w:val="24"/>
          <w:lang w:val="ro-RO"/>
        </w:rPr>
        <w:t xml:space="preserve"> capitalul statutar al băncilor de dezvoltare internaționale nu au fost executate. Subscrierea RM la capitolul social al Băncilor, precum și achitarea resurselor bugetate în acest sens, urma a fi realizată după finalizarea procedurilor de aderare în conformitate cu prevederile Legii nr.595/1999 privind tratatele internaționale ale R</w:t>
      </w:r>
      <w:r w:rsidR="003A12E6">
        <w:rPr>
          <w:rFonts w:asciiTheme="majorHAnsi" w:hAnsiTheme="majorHAnsi" w:cstheme="majorHAnsi"/>
          <w:sz w:val="24"/>
          <w:szCs w:val="24"/>
          <w:lang w:val="ro-RO"/>
        </w:rPr>
        <w:t xml:space="preserve">epublicii </w:t>
      </w:r>
      <w:r w:rsidRPr="00F55BA6">
        <w:rPr>
          <w:rFonts w:asciiTheme="majorHAnsi" w:hAnsiTheme="majorHAnsi" w:cstheme="majorHAnsi"/>
          <w:sz w:val="24"/>
          <w:szCs w:val="24"/>
          <w:lang w:val="ro-RO"/>
        </w:rPr>
        <w:t>M</w:t>
      </w:r>
      <w:r w:rsidR="003A12E6">
        <w:rPr>
          <w:rFonts w:asciiTheme="majorHAnsi" w:hAnsiTheme="majorHAnsi" w:cstheme="majorHAnsi"/>
          <w:sz w:val="24"/>
          <w:szCs w:val="24"/>
          <w:lang w:val="ro-RO"/>
        </w:rPr>
        <w:t>oldova</w:t>
      </w:r>
      <w:r w:rsidRPr="00F55BA6">
        <w:rPr>
          <w:rFonts w:asciiTheme="majorHAnsi" w:hAnsiTheme="majorHAnsi" w:cstheme="majorHAnsi"/>
          <w:sz w:val="24"/>
          <w:szCs w:val="24"/>
          <w:lang w:val="ro-RO"/>
        </w:rPr>
        <w:t xml:space="preserve">, HG nr.120/2001 </w:t>
      </w:r>
      <w:r w:rsidR="003A12E6">
        <w:rPr>
          <w:rFonts w:asciiTheme="majorHAnsi" w:hAnsiTheme="majorHAnsi" w:cstheme="majorHAnsi"/>
          <w:sz w:val="24"/>
          <w:szCs w:val="24"/>
          <w:lang w:val="ro-RO"/>
        </w:rPr>
        <w:t>„D</w:t>
      </w:r>
      <w:r w:rsidRPr="00F55BA6">
        <w:rPr>
          <w:rFonts w:asciiTheme="majorHAnsi" w:hAnsiTheme="majorHAnsi" w:cstheme="majorHAnsi"/>
          <w:sz w:val="24"/>
          <w:szCs w:val="24"/>
          <w:lang w:val="ro-RO"/>
        </w:rPr>
        <w:t>espre aprobarea Regulamentului privind mecanismul de încheiere</w:t>
      </w:r>
      <w:r w:rsidR="003A12E6">
        <w:rPr>
          <w:rFonts w:asciiTheme="majorHAnsi" w:hAnsiTheme="majorHAnsi" w:cstheme="majorHAnsi"/>
          <w:sz w:val="24"/>
          <w:szCs w:val="24"/>
          <w:lang w:val="ro-RO"/>
        </w:rPr>
        <w:t xml:space="preserve"> </w:t>
      </w:r>
      <w:r w:rsidRPr="00F55BA6">
        <w:rPr>
          <w:rFonts w:asciiTheme="majorHAnsi" w:hAnsiTheme="majorHAnsi" w:cstheme="majorHAnsi"/>
          <w:sz w:val="24"/>
          <w:szCs w:val="24"/>
          <w:lang w:val="ro-RO"/>
        </w:rPr>
        <w:t>a tratatelor internaționale</w:t>
      </w:r>
      <w:r w:rsidR="003A12E6">
        <w:rPr>
          <w:rFonts w:asciiTheme="majorHAnsi" w:hAnsiTheme="majorHAnsi" w:cstheme="majorHAnsi"/>
          <w:sz w:val="24"/>
          <w:szCs w:val="24"/>
          <w:lang w:val="ro-RO"/>
        </w:rPr>
        <w:t>”</w:t>
      </w:r>
      <w:r w:rsidRPr="00F55BA6">
        <w:rPr>
          <w:rFonts w:asciiTheme="majorHAnsi" w:hAnsiTheme="majorHAnsi" w:cstheme="majorHAnsi"/>
          <w:sz w:val="24"/>
          <w:szCs w:val="24"/>
          <w:lang w:val="ro-RO"/>
        </w:rPr>
        <w:t>, precum și ale Acordurilor de înființare ale Băncilor vizate</w:t>
      </w:r>
      <w:r w:rsidR="003A12E6">
        <w:rPr>
          <w:rFonts w:asciiTheme="majorHAnsi" w:hAnsiTheme="majorHAnsi" w:cstheme="majorHAnsi"/>
          <w:sz w:val="24"/>
          <w:szCs w:val="24"/>
          <w:lang w:val="ro-RO"/>
        </w:rPr>
        <w:t>;</w:t>
      </w:r>
    </w:p>
    <w:p w:rsidR="00C3538A" w:rsidRPr="00F55BA6" w:rsidRDefault="00C3538A" w:rsidP="00C3538A">
      <w:pPr>
        <w:pStyle w:val="af0"/>
        <w:numPr>
          <w:ilvl w:val="0"/>
          <w:numId w:val="6"/>
        </w:numPr>
        <w:tabs>
          <w:tab w:val="left" w:pos="142"/>
        </w:tabs>
        <w:spacing w:after="0" w:line="276" w:lineRule="auto"/>
        <w:ind w:left="0" w:firstLine="0"/>
        <w:rPr>
          <w:rFonts w:asciiTheme="majorHAnsi" w:hAnsiTheme="majorHAnsi" w:cstheme="majorHAnsi"/>
          <w:sz w:val="24"/>
          <w:szCs w:val="24"/>
          <w:lang w:val="ro-RO"/>
        </w:rPr>
      </w:pPr>
      <w:r w:rsidRPr="00E4517B">
        <w:rPr>
          <w:rFonts w:asciiTheme="majorHAnsi" w:eastAsia="Times New Roman" w:hAnsiTheme="majorHAnsi" w:cstheme="majorHAnsi"/>
          <w:color w:val="000000"/>
          <w:sz w:val="24"/>
          <w:szCs w:val="24"/>
          <w:lang w:val="ro-RO" w:eastAsia="ru-RU" w:bidi="ro-RO"/>
        </w:rPr>
        <w:t>au fost aprobate venituri în sumă de 700,0 mil. lei ce urmau a fi încasate</w:t>
      </w:r>
      <w:r w:rsidRPr="00E4517B">
        <w:rPr>
          <w:rFonts w:asciiTheme="majorHAnsi" w:eastAsia="Times New Roman" w:hAnsiTheme="majorHAnsi" w:cstheme="majorHAnsi"/>
          <w:b/>
          <w:color w:val="000000"/>
          <w:sz w:val="24"/>
          <w:szCs w:val="24"/>
          <w:lang w:val="ro-RO" w:eastAsia="ru-RU" w:bidi="ro-RO"/>
        </w:rPr>
        <w:t xml:space="preserve"> </w:t>
      </w:r>
      <w:r w:rsidRPr="00973E5B">
        <w:rPr>
          <w:rFonts w:asciiTheme="majorHAnsi" w:eastAsia="Times New Roman" w:hAnsiTheme="majorHAnsi" w:cstheme="majorHAnsi"/>
          <w:color w:val="000000"/>
          <w:sz w:val="24"/>
          <w:szCs w:val="24"/>
          <w:lang w:val="ro-RO" w:eastAsia="ru-RU" w:bidi="ro-RO"/>
        </w:rPr>
        <w:t xml:space="preserve">din privatizarea bunurilor proprietate publică, fiind executate în sumă de 348,1 mil. lei, sau </w:t>
      </w:r>
      <w:r w:rsidR="00081D6A" w:rsidRPr="003A4303">
        <w:rPr>
          <w:rFonts w:asciiTheme="majorHAnsi" w:eastAsia="Times New Roman" w:hAnsiTheme="majorHAnsi" w:cstheme="majorHAnsi"/>
          <w:color w:val="000000"/>
          <w:sz w:val="24"/>
          <w:szCs w:val="24"/>
          <w:lang w:val="ro-RO" w:eastAsia="ru-RU" w:bidi="ro-RO"/>
        </w:rPr>
        <w:t>49,7%</w:t>
      </w:r>
      <w:r w:rsidR="003A12E6">
        <w:rPr>
          <w:rFonts w:asciiTheme="majorHAnsi" w:eastAsia="Times New Roman" w:hAnsiTheme="majorHAnsi" w:cstheme="majorHAnsi"/>
          <w:color w:val="000000"/>
          <w:sz w:val="24"/>
          <w:szCs w:val="24"/>
          <w:lang w:val="ro-RO" w:eastAsia="ru-RU" w:bidi="ro-RO"/>
        </w:rPr>
        <w:t>, ceea</w:t>
      </w:r>
      <w:r w:rsidR="00081D6A" w:rsidRPr="003A4303">
        <w:rPr>
          <w:rFonts w:asciiTheme="majorHAnsi" w:eastAsia="Times New Roman" w:hAnsiTheme="majorHAnsi" w:cstheme="majorHAnsi"/>
          <w:color w:val="000000"/>
          <w:sz w:val="24"/>
          <w:szCs w:val="24"/>
          <w:lang w:val="ro-RO" w:eastAsia="ru-RU" w:bidi="ro-RO"/>
        </w:rPr>
        <w:t xml:space="preserve"> ce este</w:t>
      </w:r>
      <w:r w:rsidRPr="003A4303">
        <w:rPr>
          <w:rFonts w:asciiTheme="majorHAnsi" w:eastAsia="Times New Roman" w:hAnsiTheme="majorHAnsi" w:cstheme="majorHAnsi"/>
          <w:color w:val="000000"/>
          <w:sz w:val="24"/>
          <w:szCs w:val="24"/>
          <w:lang w:val="ro-RO" w:eastAsia="ru-RU" w:bidi="ro-RO"/>
        </w:rPr>
        <w:t xml:space="preserve"> mai puțin cu 597,3 mil. lei față de anul 2019 (945,4 mil. lei). Drept </w:t>
      </w:r>
      <w:r w:rsidRPr="00F55BA6">
        <w:rPr>
          <w:rFonts w:asciiTheme="majorHAnsi" w:eastAsia="Times New Roman" w:hAnsiTheme="majorHAnsi" w:cstheme="majorHAnsi"/>
          <w:color w:val="000000"/>
          <w:sz w:val="24"/>
          <w:szCs w:val="24"/>
          <w:lang w:val="ro-RO" w:eastAsia="ru-RU" w:bidi="ro-RO"/>
        </w:rPr>
        <w:t>urmare, au fost atribuite următoarele surse din privatizări: întreprinderi de stat (complexe patrimoniale unice) în sumă de 15,5 mil. lei, complexe de bunuri în sumă de 14,2 mil. lei și vânzarea terenurilor în sumă de 318,4 mil. lei.</w:t>
      </w:r>
      <w:r w:rsidRPr="00F55BA6">
        <w:rPr>
          <w:rFonts w:asciiTheme="majorHAnsi" w:hAnsiTheme="majorHAnsi" w:cstheme="majorHAnsi"/>
          <w:sz w:val="24"/>
          <w:szCs w:val="24"/>
          <w:lang w:val="ro-RO"/>
        </w:rPr>
        <w:t xml:space="preserve"> </w:t>
      </w:r>
      <w:r w:rsidRPr="00F55BA6">
        <w:rPr>
          <w:rFonts w:asciiTheme="majorHAnsi" w:eastAsia="Times New Roman" w:hAnsiTheme="majorHAnsi" w:cstheme="majorHAnsi"/>
          <w:sz w:val="24"/>
          <w:szCs w:val="24"/>
          <w:lang w:val="ro-RO"/>
        </w:rPr>
        <w:t xml:space="preserve">Totodată, menționăm că la partea de venituri ale BS </w:t>
      </w:r>
      <w:r w:rsidRPr="00F55BA6">
        <w:rPr>
          <w:rFonts w:asciiTheme="majorHAnsi" w:eastAsia="Times New Roman" w:hAnsiTheme="majorHAnsi" w:cstheme="majorHAnsi"/>
          <w:i/>
          <w:sz w:val="24"/>
          <w:szCs w:val="24"/>
          <w:lang w:val="ro-RO"/>
        </w:rPr>
        <w:t>(impozit privat)</w:t>
      </w:r>
      <w:r w:rsidRPr="00F55BA6">
        <w:rPr>
          <w:rFonts w:asciiTheme="majorHAnsi" w:eastAsia="Times New Roman" w:hAnsiTheme="majorHAnsi" w:cstheme="majorHAnsi"/>
          <w:sz w:val="24"/>
          <w:szCs w:val="24"/>
          <w:lang w:val="ro-RO"/>
        </w:rPr>
        <w:t xml:space="preserve"> au fost achitate 3,7 mil. lei, ceea ce reprezintă 1% din valoarea de achiziție a bunurilor proprietate publică supuse privatizării, inclusiv din valoarea acțiunilor supuse privatizării. </w:t>
      </w:r>
      <w:r w:rsidRPr="00F55BA6">
        <w:rPr>
          <w:rFonts w:asciiTheme="majorHAnsi" w:hAnsiTheme="majorHAnsi" w:cstheme="majorHAnsi"/>
          <w:sz w:val="24"/>
          <w:szCs w:val="24"/>
          <w:lang w:val="ro-RO"/>
        </w:rPr>
        <w:t>Auditul relevă că, în art.9 din Legea bugetului de stat pentru anul 2020, se reglementează încasarea impozitului privat în BS</w:t>
      </w:r>
      <w:r w:rsidR="003A12E6">
        <w:rPr>
          <w:rFonts w:asciiTheme="majorHAnsi" w:hAnsiTheme="majorHAnsi" w:cstheme="majorHAnsi"/>
          <w:sz w:val="24"/>
          <w:szCs w:val="24"/>
          <w:lang w:val="ro-RO"/>
        </w:rPr>
        <w:t>,</w:t>
      </w:r>
      <w:r w:rsidRPr="00F55BA6">
        <w:rPr>
          <w:rFonts w:asciiTheme="majorHAnsi" w:hAnsiTheme="majorHAnsi" w:cstheme="majorHAnsi"/>
          <w:sz w:val="24"/>
          <w:szCs w:val="24"/>
          <w:lang w:val="ro-RO"/>
        </w:rPr>
        <w:t xml:space="preserve"> deși conform art.7 alin. (1) din Codul fiscal </w:t>
      </w:r>
      <w:r w:rsidR="003A12E6">
        <w:rPr>
          <w:rFonts w:asciiTheme="majorHAnsi" w:hAnsiTheme="majorHAnsi" w:cstheme="majorHAnsi"/>
          <w:sz w:val="24"/>
          <w:szCs w:val="24"/>
          <w:lang w:val="ro-RO"/>
        </w:rPr>
        <w:t>„</w:t>
      </w:r>
      <w:r w:rsidRPr="00F55BA6">
        <w:rPr>
          <w:rFonts w:asciiTheme="majorHAnsi" w:hAnsiTheme="majorHAnsi" w:cstheme="majorHAnsi"/>
          <w:sz w:val="24"/>
          <w:szCs w:val="24"/>
          <w:lang w:val="ro-RO"/>
        </w:rPr>
        <w:t xml:space="preserve">impozitele și taxele de stat și locale se stabilesc, se modifică sau se anulează exclusiv prin modificarea și completarea codului”. </w:t>
      </w:r>
      <w:r w:rsidR="003A12E6">
        <w:rPr>
          <w:rFonts w:asciiTheme="majorHAnsi" w:hAnsiTheme="majorHAnsi" w:cstheme="majorHAnsi"/>
          <w:sz w:val="24"/>
          <w:szCs w:val="24"/>
          <w:lang w:val="ro-RO"/>
        </w:rPr>
        <w:t>Astfel, s</w:t>
      </w:r>
      <w:r w:rsidRPr="00F55BA6">
        <w:rPr>
          <w:rFonts w:asciiTheme="majorHAnsi" w:hAnsiTheme="majorHAnsi" w:cstheme="majorHAnsi"/>
          <w:sz w:val="24"/>
          <w:szCs w:val="24"/>
          <w:lang w:val="ro-RO"/>
        </w:rPr>
        <w:t>e menționează că, conform Codului fiscal</w:t>
      </w:r>
      <w:r w:rsidR="003A12E6">
        <w:rPr>
          <w:rFonts w:asciiTheme="majorHAnsi" w:hAnsiTheme="majorHAnsi" w:cstheme="majorHAnsi"/>
          <w:sz w:val="24"/>
          <w:szCs w:val="24"/>
          <w:lang w:val="ro-RO"/>
        </w:rPr>
        <w:t>,</w:t>
      </w:r>
      <w:r w:rsidRPr="00F55BA6">
        <w:rPr>
          <w:rFonts w:asciiTheme="majorHAnsi" w:hAnsiTheme="majorHAnsi" w:cstheme="majorHAnsi"/>
          <w:sz w:val="24"/>
          <w:szCs w:val="24"/>
          <w:lang w:val="ro-RO"/>
        </w:rPr>
        <w:t xml:space="preserve"> sistemul impozitelor și taxelor de stat include impozitul privat, dar noțiunea, cota impozitului privat și alte reglementări se regăsesc doar în Legea bugetară anuală</w:t>
      </w:r>
      <w:r w:rsidR="003A12E6">
        <w:rPr>
          <w:rFonts w:asciiTheme="majorHAnsi" w:hAnsiTheme="majorHAnsi" w:cstheme="majorHAnsi"/>
          <w:sz w:val="24"/>
          <w:szCs w:val="24"/>
          <w:lang w:val="ro-RO"/>
        </w:rPr>
        <w:t>;</w:t>
      </w:r>
    </w:p>
    <w:p w:rsidR="00C3538A" w:rsidRPr="00F55BA6" w:rsidRDefault="00C3538A" w:rsidP="00C3538A">
      <w:pPr>
        <w:numPr>
          <w:ilvl w:val="0"/>
          <w:numId w:val="7"/>
        </w:numPr>
        <w:tabs>
          <w:tab w:val="left" w:pos="142"/>
        </w:tabs>
        <w:spacing w:after="0"/>
        <w:ind w:left="0" w:firstLine="0"/>
        <w:contextualSpacing/>
        <w:rPr>
          <w:rFonts w:ascii="Tahoma" w:eastAsia="Times New Roman" w:hAnsi="Tahoma" w:cs="Tahoma"/>
          <w:i/>
          <w:iCs/>
          <w:sz w:val="18"/>
          <w:szCs w:val="18"/>
          <w:lang w:val="ro-RO"/>
        </w:rPr>
      </w:pPr>
      <w:r w:rsidRPr="00F55BA6">
        <w:rPr>
          <w:rFonts w:asciiTheme="majorHAnsi" w:eastAsia="Times New Roman" w:hAnsiTheme="majorHAnsi" w:cstheme="majorHAnsi"/>
          <w:iCs/>
          <w:sz w:val="24"/>
          <w:szCs w:val="24"/>
          <w:lang w:val="ro-RO"/>
        </w:rPr>
        <w:t>în anul 2020, din BS au fost rambursate mijloace bugetare în cazul rezilierii a 7 contracte de vânzare</w:t>
      </w:r>
      <w:r w:rsidR="003A12E6">
        <w:rPr>
          <w:rFonts w:asciiTheme="majorHAnsi" w:eastAsia="Times New Roman" w:hAnsiTheme="majorHAnsi" w:cstheme="majorHAnsi"/>
          <w:iCs/>
          <w:sz w:val="24"/>
          <w:szCs w:val="24"/>
          <w:lang w:val="ro-RO"/>
        </w:rPr>
        <w:t>-</w:t>
      </w:r>
      <w:r w:rsidRPr="00F55BA6">
        <w:rPr>
          <w:rFonts w:asciiTheme="majorHAnsi" w:eastAsia="Times New Roman" w:hAnsiTheme="majorHAnsi" w:cstheme="majorHAnsi"/>
          <w:iCs/>
          <w:sz w:val="24"/>
          <w:szCs w:val="24"/>
          <w:lang w:val="ro-RO"/>
        </w:rPr>
        <w:t>cumpărare a încăperilor/terenurilor privatizate în perioadele precedente (anii 2017-2019) în sumă totală de 28,6 mil. lei.</w:t>
      </w:r>
      <w:r w:rsidRPr="00F55BA6">
        <w:rPr>
          <w:rFonts w:ascii="Tahoma" w:eastAsia="Times New Roman" w:hAnsi="Tahoma" w:cs="Tahoma"/>
          <w:i/>
          <w:iCs/>
          <w:sz w:val="18"/>
          <w:szCs w:val="18"/>
          <w:lang w:val="ro-RO"/>
        </w:rPr>
        <w:t xml:space="preserve"> </w:t>
      </w:r>
      <w:r w:rsidRPr="00F55BA6">
        <w:rPr>
          <w:rFonts w:asciiTheme="majorHAnsi" w:eastAsia="Times New Roman" w:hAnsiTheme="majorHAnsi" w:cstheme="majorHAnsi"/>
          <w:iCs/>
          <w:sz w:val="24"/>
          <w:szCs w:val="24"/>
          <w:lang w:val="ro-RO"/>
        </w:rPr>
        <w:t xml:space="preserve">APP, la solicitarea agenților economici succesori de drepturi, a efectuat procedura de rezoluțiune pe cale amiabilă, a 6 contracte de vânzare-cumpărare a unor încăperi nelocuibile din mun. Chișinău, str. Alexandr Puskin nr.22 (Casa Presei – 16,3 mil. lei) și str. Al. Mateevici nr.79 (Cantina Cancelariei de Stat – 10,8 mil. lei), în valoare totală de 27,1 mil. lei. </w:t>
      </w:r>
    </w:p>
    <w:p w:rsidR="00C3538A" w:rsidRPr="00F55BA6" w:rsidRDefault="00C3538A" w:rsidP="00C3538A">
      <w:pPr>
        <w:tabs>
          <w:tab w:val="left" w:pos="0"/>
        </w:tabs>
        <w:spacing w:after="0" w:line="276" w:lineRule="auto"/>
        <w:contextualSpacing/>
        <w:rPr>
          <w:rFonts w:asciiTheme="majorHAnsi" w:eastAsia="Times New Roman" w:hAnsiTheme="majorHAnsi" w:cstheme="majorHAnsi"/>
          <w:iCs/>
          <w:sz w:val="24"/>
          <w:szCs w:val="24"/>
          <w:lang w:val="ro-RO"/>
        </w:rPr>
      </w:pPr>
      <w:r w:rsidRPr="00F55BA6">
        <w:rPr>
          <w:rFonts w:asciiTheme="majorHAnsi" w:eastAsia="Times New Roman" w:hAnsiTheme="majorHAnsi" w:cstheme="majorHAnsi"/>
          <w:iCs/>
          <w:sz w:val="24"/>
          <w:szCs w:val="24"/>
          <w:lang w:val="ro-RO"/>
        </w:rPr>
        <w:t xml:space="preserve">Totodată, la solicitarea agentului economic succesor de drepturi, a efectuat procedura de rezoluțiune pe cale amiabilă a contractului de vânzare-cumpărare în valoare totală de 1,5 mil. lei  pentru încăperea la parter situată în mun. Chișinău, bd.  Ștefan cel Mare și Sfânt nr.73, lit. A (Procuratura Generală), cu aducerea părților în poziția inițială și restituirea spațiilor în proprietatea statului. </w:t>
      </w:r>
      <w:r w:rsidR="00FF09F0">
        <w:rPr>
          <w:rFonts w:asciiTheme="majorHAnsi" w:eastAsia="Times New Roman" w:hAnsiTheme="majorHAnsi" w:cstheme="majorHAnsi"/>
          <w:iCs/>
          <w:sz w:val="24"/>
          <w:szCs w:val="24"/>
          <w:lang w:val="ro-RO"/>
        </w:rPr>
        <w:t>Ca u</w:t>
      </w:r>
      <w:r w:rsidRPr="00F55BA6">
        <w:rPr>
          <w:rFonts w:asciiTheme="majorHAnsi" w:eastAsia="Times New Roman" w:hAnsiTheme="majorHAnsi" w:cstheme="majorHAnsi"/>
          <w:iCs/>
          <w:sz w:val="24"/>
          <w:szCs w:val="24"/>
          <w:lang w:val="ro-RO"/>
        </w:rPr>
        <w:t>rmare</w:t>
      </w:r>
      <w:r w:rsidR="00FF09F0">
        <w:rPr>
          <w:rFonts w:asciiTheme="majorHAnsi" w:eastAsia="Times New Roman" w:hAnsiTheme="majorHAnsi" w:cstheme="majorHAnsi"/>
          <w:iCs/>
          <w:sz w:val="24"/>
          <w:szCs w:val="24"/>
          <w:lang w:val="ro-RO"/>
        </w:rPr>
        <w:t xml:space="preserve"> a</w:t>
      </w:r>
      <w:r w:rsidRPr="00F55BA6">
        <w:rPr>
          <w:rFonts w:asciiTheme="majorHAnsi" w:eastAsia="Times New Roman" w:hAnsiTheme="majorHAnsi" w:cstheme="majorHAnsi"/>
          <w:iCs/>
          <w:sz w:val="24"/>
          <w:szCs w:val="24"/>
          <w:lang w:val="ro-RO"/>
        </w:rPr>
        <w:t xml:space="preserve"> verificărilor auditului s-a</w:t>
      </w:r>
      <w:r w:rsidR="004B235C" w:rsidRPr="00F55BA6">
        <w:rPr>
          <w:rFonts w:asciiTheme="majorHAnsi" w:eastAsia="Times New Roman" w:hAnsiTheme="majorHAnsi" w:cstheme="majorHAnsi"/>
          <w:iCs/>
          <w:sz w:val="24"/>
          <w:szCs w:val="24"/>
          <w:lang w:val="ro-RO"/>
        </w:rPr>
        <w:t xml:space="preserve"> constatat că Procuratura G</w:t>
      </w:r>
      <w:r w:rsidRPr="00F55BA6">
        <w:rPr>
          <w:rFonts w:asciiTheme="majorHAnsi" w:eastAsia="Times New Roman" w:hAnsiTheme="majorHAnsi" w:cstheme="majorHAnsi"/>
          <w:iCs/>
          <w:sz w:val="24"/>
          <w:szCs w:val="24"/>
          <w:lang w:val="ro-RO"/>
        </w:rPr>
        <w:t xml:space="preserve">enerală nu a asigurat majorarea valorii clădirii cu suprafața de 190.90 m.p. (parter nr. cadastral 010020500701033) cu suma răscumpărată în valoare totală de 1,5 mil. lei. La solicitarea echipei de audit, în luna martie 2021, entitatea a luat </w:t>
      </w:r>
      <w:r w:rsidR="00FF09F0">
        <w:rPr>
          <w:rFonts w:asciiTheme="majorHAnsi" w:eastAsia="Times New Roman" w:hAnsiTheme="majorHAnsi" w:cstheme="majorHAnsi"/>
          <w:iCs/>
          <w:sz w:val="24"/>
          <w:szCs w:val="24"/>
          <w:lang w:val="ro-RO"/>
        </w:rPr>
        <w:t>în</w:t>
      </w:r>
      <w:r w:rsidRPr="00F55BA6">
        <w:rPr>
          <w:rFonts w:asciiTheme="majorHAnsi" w:eastAsia="Times New Roman" w:hAnsiTheme="majorHAnsi" w:cstheme="majorHAnsi"/>
          <w:iCs/>
          <w:sz w:val="24"/>
          <w:szCs w:val="24"/>
          <w:lang w:val="ro-RO"/>
        </w:rPr>
        <w:t xml:space="preserve"> evidență </w:t>
      </w:r>
      <w:r w:rsidRPr="00F55BA6">
        <w:rPr>
          <w:rFonts w:asciiTheme="majorHAnsi" w:eastAsia="Times New Roman" w:hAnsiTheme="majorHAnsi" w:cstheme="majorHAnsi"/>
          <w:iCs/>
          <w:sz w:val="24"/>
          <w:szCs w:val="24"/>
          <w:lang w:val="ro-RO"/>
        </w:rPr>
        <w:lastRenderedPageBreak/>
        <w:t>contabilă încăperea nelocuibilă. Conform HG nr.222 din 03.04.2019</w:t>
      </w:r>
      <w:r w:rsidRPr="00F55BA6">
        <w:rPr>
          <w:rFonts w:asciiTheme="majorHAnsi" w:eastAsia="Times New Roman" w:hAnsiTheme="majorHAnsi" w:cstheme="majorHAnsi"/>
          <w:iCs/>
          <w:sz w:val="24"/>
          <w:szCs w:val="24"/>
          <w:vertAlign w:val="superscript"/>
          <w:lang w:val="ro-RO"/>
        </w:rPr>
        <w:footnoteReference w:id="80"/>
      </w:r>
      <w:r w:rsidR="00FF09F0">
        <w:rPr>
          <w:rFonts w:asciiTheme="majorHAnsi" w:eastAsia="Times New Roman" w:hAnsiTheme="majorHAnsi" w:cstheme="majorHAnsi"/>
          <w:iCs/>
          <w:sz w:val="24"/>
          <w:szCs w:val="24"/>
          <w:lang w:val="ro-RO"/>
        </w:rPr>
        <w:t>,</w:t>
      </w:r>
      <w:r w:rsidRPr="00F55BA6">
        <w:rPr>
          <w:rFonts w:asciiTheme="majorHAnsi" w:eastAsia="Times New Roman" w:hAnsiTheme="majorHAnsi" w:cstheme="majorHAnsi"/>
          <w:iCs/>
          <w:sz w:val="24"/>
          <w:szCs w:val="24"/>
          <w:lang w:val="ro-RO"/>
        </w:rPr>
        <w:t xml:space="preserve"> au fost restituite mijloace din BS în sumă de 51,3 mii lei pentru 3 terenuri pentru construcții</w:t>
      </w:r>
      <w:r w:rsidRPr="00F55BA6">
        <w:rPr>
          <w:rFonts w:asciiTheme="majorHAnsi" w:eastAsia="Times New Roman" w:hAnsiTheme="majorHAnsi" w:cstheme="majorHAnsi"/>
          <w:iCs/>
          <w:sz w:val="24"/>
          <w:szCs w:val="24"/>
          <w:vertAlign w:val="superscript"/>
          <w:lang w:val="ro-RO"/>
        </w:rPr>
        <w:footnoteReference w:id="81"/>
      </w:r>
      <w:r w:rsidRPr="00F55BA6">
        <w:rPr>
          <w:rFonts w:asciiTheme="majorHAnsi" w:eastAsia="Times New Roman" w:hAnsiTheme="majorHAnsi" w:cstheme="majorHAnsi"/>
          <w:iCs/>
          <w:sz w:val="24"/>
          <w:szCs w:val="24"/>
          <w:lang w:val="ro-RO"/>
        </w:rPr>
        <w:t xml:space="preserve"> conform borderoului prezentat de APP nr.1 din 29.06.2020</w:t>
      </w:r>
      <w:r w:rsidR="00FF09F0">
        <w:rPr>
          <w:rFonts w:asciiTheme="majorHAnsi" w:eastAsia="Times New Roman" w:hAnsiTheme="majorHAnsi" w:cstheme="majorHAnsi"/>
          <w:iCs/>
          <w:sz w:val="24"/>
          <w:szCs w:val="24"/>
          <w:lang w:val="ro-RO"/>
        </w:rPr>
        <w:t>,</w:t>
      </w:r>
      <w:r w:rsidRPr="00F55BA6">
        <w:rPr>
          <w:rFonts w:asciiTheme="majorHAnsi" w:eastAsia="Times New Roman" w:hAnsiTheme="majorHAnsi" w:cstheme="majorHAnsi"/>
          <w:iCs/>
          <w:sz w:val="24"/>
          <w:szCs w:val="24"/>
          <w:lang w:val="ro-RO"/>
        </w:rPr>
        <w:t xml:space="preserve"> achitate la efectuarea schimbului de bunuri imobile conform contractului nr.1355 din 17.04.2019</w:t>
      </w:r>
      <w:r w:rsidR="00FF09F0">
        <w:rPr>
          <w:rFonts w:asciiTheme="majorHAnsi" w:eastAsia="Times New Roman" w:hAnsiTheme="majorHAnsi" w:cstheme="majorHAnsi"/>
          <w:iCs/>
          <w:sz w:val="24"/>
          <w:szCs w:val="24"/>
          <w:lang w:val="ro-RO"/>
        </w:rPr>
        <w:t>;</w:t>
      </w:r>
    </w:p>
    <w:p w:rsidR="00C3538A" w:rsidRPr="00F55BA6" w:rsidRDefault="00C3538A" w:rsidP="00C3538A">
      <w:pPr>
        <w:numPr>
          <w:ilvl w:val="0"/>
          <w:numId w:val="7"/>
        </w:numPr>
        <w:tabs>
          <w:tab w:val="left" w:pos="0"/>
          <w:tab w:val="left" w:pos="142"/>
          <w:tab w:val="left" w:pos="851"/>
        </w:tabs>
        <w:spacing w:after="0" w:line="276" w:lineRule="auto"/>
        <w:ind w:left="0" w:firstLine="0"/>
        <w:contextualSpacing/>
        <w:rPr>
          <w:rFonts w:asciiTheme="majorHAnsi" w:hAnsiTheme="majorHAnsi" w:cstheme="majorHAnsi"/>
          <w:sz w:val="24"/>
          <w:szCs w:val="24"/>
          <w:lang w:val="ro-RO"/>
        </w:rPr>
      </w:pPr>
      <w:r w:rsidRPr="00F55BA6">
        <w:rPr>
          <w:rFonts w:asciiTheme="majorHAnsi" w:hAnsiTheme="majorHAnsi" w:cstheme="majorHAnsi"/>
          <w:sz w:val="24"/>
          <w:szCs w:val="24"/>
          <w:lang w:val="ro-RO"/>
        </w:rPr>
        <w:t xml:space="preserve">creanțele interne s-au majorat inclusiv din rambursarea </w:t>
      </w:r>
      <w:r w:rsidR="00FF09F0" w:rsidRPr="00856DE6">
        <w:rPr>
          <w:rFonts w:asciiTheme="majorHAnsi" w:hAnsiTheme="majorHAnsi" w:cstheme="majorHAnsi"/>
          <w:sz w:val="24"/>
          <w:szCs w:val="24"/>
          <w:lang w:val="ro-RO"/>
        </w:rPr>
        <w:t>la buget</w:t>
      </w:r>
      <w:r w:rsidR="00FF09F0" w:rsidRPr="00FF09F0">
        <w:rPr>
          <w:rFonts w:asciiTheme="majorHAnsi" w:hAnsiTheme="majorHAnsi" w:cstheme="majorHAnsi"/>
          <w:sz w:val="24"/>
          <w:szCs w:val="24"/>
          <w:lang w:val="ro-RO"/>
        </w:rPr>
        <w:t xml:space="preserve"> </w:t>
      </w:r>
      <w:r w:rsidR="00FF09F0">
        <w:rPr>
          <w:rFonts w:asciiTheme="majorHAnsi" w:hAnsiTheme="majorHAnsi" w:cstheme="majorHAnsi"/>
          <w:sz w:val="24"/>
          <w:szCs w:val="24"/>
          <w:lang w:val="ro-RO"/>
        </w:rPr>
        <w:t xml:space="preserve">a </w:t>
      </w:r>
      <w:r w:rsidRPr="00F55BA6">
        <w:rPr>
          <w:rFonts w:asciiTheme="majorHAnsi" w:hAnsiTheme="majorHAnsi" w:cstheme="majorHAnsi"/>
          <w:sz w:val="24"/>
          <w:szCs w:val="24"/>
          <w:lang w:val="ro-RO"/>
        </w:rPr>
        <w:t xml:space="preserve">mijloacelor bugetare din anii precedenți de către autorități/instituții bugetare, în sumă de 205,8 mil. lei, din care </w:t>
      </w:r>
      <w:r w:rsidRPr="00F55BA6">
        <w:rPr>
          <w:rFonts w:asciiTheme="majorHAnsi" w:eastAsia="Times New Roman" w:hAnsiTheme="majorHAnsi" w:cstheme="majorHAnsi"/>
          <w:iCs/>
          <w:sz w:val="24"/>
          <w:szCs w:val="24"/>
          <w:lang w:val="ro-RO"/>
        </w:rPr>
        <w:t>163,04 mil. lei</w:t>
      </w:r>
      <w:r w:rsidR="00FF09F0">
        <w:rPr>
          <w:rFonts w:asciiTheme="majorHAnsi" w:eastAsia="Times New Roman" w:hAnsiTheme="majorHAnsi" w:cstheme="majorHAnsi"/>
          <w:iCs/>
          <w:sz w:val="24"/>
          <w:szCs w:val="24"/>
          <w:lang w:val="ro-RO"/>
        </w:rPr>
        <w:t>,</w:t>
      </w:r>
      <w:r w:rsidRPr="00F55BA6">
        <w:rPr>
          <w:rFonts w:asciiTheme="majorHAnsi" w:eastAsia="Times New Roman" w:hAnsiTheme="majorHAnsi" w:cstheme="majorHAnsi"/>
          <w:iCs/>
          <w:sz w:val="24"/>
          <w:szCs w:val="24"/>
          <w:lang w:val="ro-RO"/>
        </w:rPr>
        <w:t xml:space="preserve"> sau 79,2%</w:t>
      </w:r>
      <w:r w:rsidR="008F67D0">
        <w:rPr>
          <w:rFonts w:asciiTheme="majorHAnsi" w:eastAsia="Times New Roman" w:hAnsiTheme="majorHAnsi" w:cstheme="majorHAnsi"/>
          <w:iCs/>
          <w:sz w:val="24"/>
          <w:szCs w:val="24"/>
          <w:lang w:val="ro-RO"/>
        </w:rPr>
        <w:t>,</w:t>
      </w:r>
      <w:r w:rsidRPr="00F55BA6">
        <w:rPr>
          <w:rFonts w:asciiTheme="majorHAnsi" w:eastAsia="Times New Roman" w:hAnsiTheme="majorHAnsi" w:cstheme="majorHAnsi"/>
          <w:iCs/>
          <w:sz w:val="24"/>
          <w:szCs w:val="24"/>
          <w:lang w:val="ro-RO"/>
        </w:rPr>
        <w:t xml:space="preserve"> </w:t>
      </w:r>
      <w:r w:rsidRPr="00F55BA6">
        <w:rPr>
          <w:rFonts w:asciiTheme="majorHAnsi" w:hAnsiTheme="majorHAnsi" w:cstheme="majorHAnsi"/>
          <w:sz w:val="24"/>
          <w:szCs w:val="24"/>
          <w:lang w:val="ro-RO"/>
        </w:rPr>
        <w:t>restituite de către CNAS conform prevederilor art.70 alin. (5) din Legea nr. 181 din 25.07.2014, 4,2 mil. lei</w:t>
      </w:r>
      <w:r w:rsidR="00FF09F0">
        <w:rPr>
          <w:rFonts w:asciiTheme="majorHAnsi" w:hAnsiTheme="majorHAnsi" w:cstheme="majorHAnsi"/>
          <w:sz w:val="24"/>
          <w:szCs w:val="24"/>
          <w:lang w:val="ro-RO"/>
        </w:rPr>
        <w:t>,</w:t>
      </w:r>
      <w:r w:rsidRPr="00F55BA6">
        <w:rPr>
          <w:rFonts w:asciiTheme="majorHAnsi" w:hAnsiTheme="majorHAnsi" w:cstheme="majorHAnsi"/>
          <w:sz w:val="24"/>
          <w:szCs w:val="24"/>
          <w:lang w:val="ro-RO"/>
        </w:rPr>
        <w:t xml:space="preserve"> sau 2,04%</w:t>
      </w:r>
      <w:r w:rsidR="00FF09F0">
        <w:rPr>
          <w:rFonts w:asciiTheme="majorHAnsi" w:hAnsiTheme="majorHAnsi" w:cstheme="majorHAnsi"/>
          <w:sz w:val="24"/>
          <w:szCs w:val="24"/>
          <w:lang w:val="ro-RO"/>
        </w:rPr>
        <w:t>,</w:t>
      </w:r>
      <w:r w:rsidRPr="00F55BA6">
        <w:rPr>
          <w:rFonts w:asciiTheme="majorHAnsi" w:hAnsiTheme="majorHAnsi" w:cstheme="majorHAnsi"/>
          <w:sz w:val="24"/>
          <w:szCs w:val="24"/>
          <w:lang w:val="ro-RO"/>
        </w:rPr>
        <w:t xml:space="preserve"> </w:t>
      </w:r>
      <w:r w:rsidRPr="00F55BA6">
        <w:rPr>
          <w:rFonts w:ascii="Calibri Light" w:eastAsia="Times New Roman" w:hAnsi="Calibri Light" w:cs="Calibri Light"/>
          <w:color w:val="212121"/>
          <w:sz w:val="24"/>
          <w:szCs w:val="24"/>
          <w:lang w:val="ro-RO"/>
        </w:rPr>
        <w:t>restituirea sumelor calculate pentru TVA și accize la mărfurile procurate de către ambasade</w:t>
      </w:r>
      <w:r w:rsidRPr="00F55BA6">
        <w:rPr>
          <w:rStyle w:val="ac"/>
          <w:rFonts w:ascii="Calibri Light" w:eastAsia="Times New Roman" w:hAnsi="Calibri Light" w:cs="Calibri Light"/>
          <w:color w:val="212121"/>
          <w:sz w:val="24"/>
          <w:szCs w:val="24"/>
          <w:lang w:val="ro-RO"/>
        </w:rPr>
        <w:footnoteReference w:id="82"/>
      </w:r>
      <w:r w:rsidRPr="00F55BA6">
        <w:rPr>
          <w:rFonts w:asciiTheme="majorHAnsi" w:hAnsiTheme="majorHAnsi" w:cstheme="majorHAnsi"/>
          <w:sz w:val="24"/>
          <w:szCs w:val="24"/>
          <w:lang w:val="ro-RO"/>
        </w:rPr>
        <w:t xml:space="preserve"> etc.</w:t>
      </w:r>
      <w:r w:rsidR="00FF09F0">
        <w:rPr>
          <w:rFonts w:asciiTheme="majorHAnsi" w:hAnsiTheme="majorHAnsi" w:cstheme="majorHAnsi"/>
          <w:sz w:val="24"/>
          <w:szCs w:val="24"/>
          <w:lang w:val="ro-RO"/>
        </w:rPr>
        <w:t>;</w:t>
      </w:r>
      <w:r w:rsidRPr="00F55BA6">
        <w:rPr>
          <w:rFonts w:ascii="Calibri" w:eastAsia="Times New Roman" w:hAnsi="Calibri" w:cs="Calibri"/>
          <w:color w:val="212121"/>
          <w:sz w:val="22"/>
          <w:lang w:val="ro-RO"/>
        </w:rPr>
        <w:t> </w:t>
      </w:r>
    </w:p>
    <w:p w:rsidR="00C3538A" w:rsidRPr="00F55BA6" w:rsidRDefault="00C3538A" w:rsidP="00C3538A">
      <w:pPr>
        <w:numPr>
          <w:ilvl w:val="0"/>
          <w:numId w:val="7"/>
        </w:numPr>
        <w:tabs>
          <w:tab w:val="left" w:pos="0"/>
          <w:tab w:val="left" w:pos="142"/>
          <w:tab w:val="left" w:pos="851"/>
        </w:tabs>
        <w:spacing w:after="0" w:line="276" w:lineRule="auto"/>
        <w:ind w:left="0" w:firstLine="0"/>
        <w:contextualSpacing/>
        <w:rPr>
          <w:rFonts w:asciiTheme="majorHAnsi" w:hAnsiTheme="majorHAnsi" w:cstheme="majorHAnsi"/>
          <w:sz w:val="24"/>
          <w:szCs w:val="24"/>
          <w:lang w:val="ro-RO"/>
        </w:rPr>
      </w:pPr>
      <w:r w:rsidRPr="00F55BA6">
        <w:rPr>
          <w:rFonts w:asciiTheme="majorHAnsi" w:hAnsiTheme="majorHAnsi" w:cstheme="majorHAnsi"/>
          <w:sz w:val="24"/>
          <w:szCs w:val="24"/>
          <w:lang w:val="ro-RO"/>
        </w:rPr>
        <w:t>MF a acordat credite bugete</w:t>
      </w:r>
      <w:r w:rsidR="00317CB6" w:rsidRPr="00F55BA6">
        <w:rPr>
          <w:rFonts w:asciiTheme="majorHAnsi" w:hAnsiTheme="majorHAnsi" w:cstheme="majorHAnsi"/>
          <w:sz w:val="24"/>
          <w:szCs w:val="24"/>
          <w:lang w:val="ro-RO"/>
        </w:rPr>
        <w:t>lor de alt nivel</w:t>
      </w:r>
      <w:r w:rsidRPr="00F55BA6">
        <w:rPr>
          <w:rFonts w:asciiTheme="majorHAnsi" w:hAnsiTheme="majorHAnsi" w:cstheme="majorHAnsi"/>
          <w:sz w:val="24"/>
          <w:szCs w:val="24"/>
          <w:lang w:val="ro-RO"/>
        </w:rPr>
        <w:t xml:space="preserve"> în sumă totală de 706,6 mil. lei, din care BASS – 600,0 mil. lei, bugetelor locale de nivelul </w:t>
      </w:r>
      <w:r w:rsidR="00FF09F0">
        <w:rPr>
          <w:rFonts w:asciiTheme="majorHAnsi" w:hAnsiTheme="majorHAnsi" w:cstheme="majorHAnsi"/>
          <w:sz w:val="24"/>
          <w:szCs w:val="24"/>
          <w:lang w:val="ro-RO"/>
        </w:rPr>
        <w:t>I</w:t>
      </w:r>
      <w:r w:rsidRPr="00F55BA6">
        <w:rPr>
          <w:rFonts w:asciiTheme="majorHAnsi" w:hAnsiTheme="majorHAnsi" w:cstheme="majorHAnsi"/>
          <w:sz w:val="24"/>
          <w:szCs w:val="24"/>
          <w:lang w:val="ro-RO"/>
        </w:rPr>
        <w:t xml:space="preserve"> – 0,13 mil. lei</w:t>
      </w:r>
      <w:r w:rsidR="00FF09F0">
        <w:rPr>
          <w:rFonts w:asciiTheme="majorHAnsi" w:hAnsiTheme="majorHAnsi" w:cstheme="majorHAnsi"/>
          <w:sz w:val="24"/>
          <w:szCs w:val="24"/>
          <w:lang w:val="ro-RO"/>
        </w:rPr>
        <w:t>,</w:t>
      </w:r>
      <w:r w:rsidRPr="00F55BA6">
        <w:rPr>
          <w:rFonts w:asciiTheme="majorHAnsi" w:hAnsiTheme="majorHAnsi" w:cstheme="majorHAnsi"/>
          <w:sz w:val="24"/>
          <w:szCs w:val="24"/>
          <w:lang w:val="ro-RO"/>
        </w:rPr>
        <w:t xml:space="preserve"> și bugetelor locale de nivelul </w:t>
      </w:r>
      <w:r w:rsidR="00FF09F0">
        <w:rPr>
          <w:rFonts w:asciiTheme="majorHAnsi" w:hAnsiTheme="majorHAnsi" w:cstheme="majorHAnsi"/>
          <w:sz w:val="24"/>
          <w:szCs w:val="24"/>
          <w:lang w:val="ro-RO"/>
        </w:rPr>
        <w:t>II</w:t>
      </w:r>
      <w:r w:rsidRPr="00F55BA6">
        <w:rPr>
          <w:rFonts w:asciiTheme="majorHAnsi" w:hAnsiTheme="majorHAnsi" w:cstheme="majorHAnsi"/>
          <w:sz w:val="24"/>
          <w:szCs w:val="24"/>
          <w:lang w:val="ro-RO"/>
        </w:rPr>
        <w:t xml:space="preserve"> – 106,5 mil. lei. Pe parcursul anului 2020, Primăria mun. Bălți nu a rambursat împrumutul financiar în sumă de 2,5 mil. lei motivând insuficiența mijloacelor bănești în bugetul instituției. Astfel, </w:t>
      </w:r>
      <w:r w:rsidR="00FF09F0">
        <w:rPr>
          <w:rFonts w:asciiTheme="majorHAnsi" w:hAnsiTheme="majorHAnsi" w:cstheme="majorHAnsi"/>
          <w:sz w:val="24"/>
          <w:szCs w:val="24"/>
          <w:lang w:val="ro-RO"/>
        </w:rPr>
        <w:t xml:space="preserve">în </w:t>
      </w:r>
      <w:r w:rsidRPr="00F55BA6">
        <w:rPr>
          <w:rFonts w:asciiTheme="majorHAnsi" w:hAnsiTheme="majorHAnsi" w:cstheme="majorHAnsi"/>
          <w:sz w:val="24"/>
          <w:szCs w:val="24"/>
          <w:lang w:val="ro-RO"/>
        </w:rPr>
        <w:t>urma atenționării de către MF și aplicării clauzelor contractuale, Primăria mun. Bălți a rambursat creditul la data de 15.01.2021</w:t>
      </w:r>
      <w:r w:rsidR="00FF09F0">
        <w:rPr>
          <w:rFonts w:asciiTheme="majorHAnsi" w:hAnsiTheme="majorHAnsi" w:cstheme="majorHAnsi"/>
          <w:sz w:val="24"/>
          <w:szCs w:val="24"/>
          <w:lang w:val="ro-RO"/>
        </w:rPr>
        <w:t>;</w:t>
      </w:r>
    </w:p>
    <w:p w:rsidR="00C3538A" w:rsidRPr="00F55BA6" w:rsidRDefault="00C3538A" w:rsidP="006269FB">
      <w:pPr>
        <w:numPr>
          <w:ilvl w:val="0"/>
          <w:numId w:val="7"/>
        </w:numPr>
        <w:tabs>
          <w:tab w:val="left" w:pos="0"/>
          <w:tab w:val="left" w:pos="142"/>
          <w:tab w:val="left" w:pos="851"/>
        </w:tabs>
        <w:spacing w:after="0" w:line="276" w:lineRule="auto"/>
        <w:ind w:left="0" w:firstLine="0"/>
        <w:contextualSpacing/>
        <w:rPr>
          <w:rFonts w:asciiTheme="majorHAnsi" w:eastAsia="Times New Roman" w:hAnsiTheme="majorHAnsi" w:cstheme="majorHAnsi"/>
          <w:sz w:val="24"/>
          <w:szCs w:val="24"/>
          <w:lang w:val="ro-RO"/>
        </w:rPr>
      </w:pPr>
      <w:r w:rsidRPr="00F55BA6">
        <w:rPr>
          <w:rFonts w:asciiTheme="majorHAnsi" w:hAnsiTheme="majorHAnsi" w:cstheme="majorHAnsi"/>
          <w:sz w:val="24"/>
          <w:szCs w:val="24"/>
          <w:lang w:val="ro-RO"/>
        </w:rPr>
        <w:t>recreditarea de stat se efectuează prin intermediul MF, Oficiului de gestionare a Programelor de asistență externă și Unității consolidate pentru implementarea programelor Fondului internațional pentru dezvoltarea agricolă. Pe parcursul anului 2020, au fost recreditate împrumuturi instituțiilor nefinanciare</w:t>
      </w:r>
      <w:r w:rsidRPr="00F55BA6">
        <w:rPr>
          <w:rStyle w:val="ac"/>
          <w:rFonts w:asciiTheme="majorHAnsi" w:hAnsiTheme="majorHAnsi" w:cstheme="majorHAnsi"/>
          <w:sz w:val="24"/>
          <w:szCs w:val="24"/>
          <w:lang w:val="ro-RO"/>
        </w:rPr>
        <w:footnoteReference w:id="83"/>
      </w:r>
      <w:r w:rsidRPr="00F55BA6">
        <w:rPr>
          <w:rFonts w:asciiTheme="majorHAnsi" w:hAnsiTheme="majorHAnsi" w:cstheme="majorHAnsi"/>
          <w:sz w:val="24"/>
          <w:szCs w:val="24"/>
          <w:lang w:val="ro-RO"/>
        </w:rPr>
        <w:t xml:space="preserve"> în sumă de 459,3 mil. lei din contul proiectelor implementate de către MEI. Totodată,  au fost recreditate împrumuturi instituțiilor financiare</w:t>
      </w:r>
      <w:r w:rsidRPr="00F55BA6">
        <w:rPr>
          <w:rStyle w:val="ac"/>
          <w:rFonts w:asciiTheme="majorHAnsi" w:hAnsiTheme="majorHAnsi" w:cstheme="majorHAnsi"/>
          <w:sz w:val="24"/>
          <w:szCs w:val="24"/>
          <w:lang w:val="ro-RO"/>
        </w:rPr>
        <w:footnoteReference w:id="84"/>
      </w:r>
      <w:r w:rsidRPr="00F55BA6">
        <w:rPr>
          <w:rFonts w:asciiTheme="majorHAnsi" w:hAnsiTheme="majorHAnsi" w:cstheme="majorHAnsi"/>
          <w:sz w:val="24"/>
          <w:szCs w:val="24"/>
          <w:lang w:val="ro-RO"/>
        </w:rPr>
        <w:t xml:space="preserve"> în sumă totală de 491,1 mil. lei</w:t>
      </w:r>
      <w:r w:rsidR="00FF09F0">
        <w:rPr>
          <w:rFonts w:asciiTheme="majorHAnsi" w:hAnsiTheme="majorHAnsi" w:cstheme="majorHAnsi"/>
          <w:sz w:val="24"/>
          <w:szCs w:val="24"/>
          <w:lang w:val="ro-RO"/>
        </w:rPr>
        <w:t>,</w:t>
      </w:r>
      <w:r w:rsidRPr="00F55BA6">
        <w:rPr>
          <w:rFonts w:asciiTheme="majorHAnsi" w:hAnsiTheme="majorHAnsi" w:cstheme="majorHAnsi"/>
          <w:sz w:val="24"/>
          <w:szCs w:val="24"/>
          <w:lang w:val="ro-RO"/>
        </w:rPr>
        <w:t xml:space="preserve"> din contul proiectelor implementate de către MF – 4,2 mil. lei, MEI – 85,1 mil. lei</w:t>
      </w:r>
      <w:r w:rsidR="00FF09F0">
        <w:rPr>
          <w:rFonts w:asciiTheme="majorHAnsi" w:hAnsiTheme="majorHAnsi" w:cstheme="majorHAnsi"/>
          <w:sz w:val="24"/>
          <w:szCs w:val="24"/>
          <w:lang w:val="ro-RO"/>
        </w:rPr>
        <w:t>,</w:t>
      </w:r>
      <w:r w:rsidRPr="00F55BA6">
        <w:rPr>
          <w:rFonts w:asciiTheme="majorHAnsi" w:hAnsiTheme="majorHAnsi" w:cstheme="majorHAnsi"/>
          <w:sz w:val="24"/>
          <w:szCs w:val="24"/>
          <w:lang w:val="ro-RO"/>
        </w:rPr>
        <w:t xml:space="preserve"> și MADRM – 401,8 mil. lei. </w:t>
      </w:r>
      <w:r w:rsidRPr="00F55BA6">
        <w:rPr>
          <w:rFonts w:asciiTheme="majorHAnsi" w:eastAsia="Times New Roman" w:hAnsiTheme="majorHAnsi" w:cstheme="majorHAnsi"/>
          <w:sz w:val="24"/>
          <w:szCs w:val="24"/>
          <w:lang w:val="ro-RO"/>
        </w:rPr>
        <w:t>Conform HG nr.338 din 03.06.2020</w:t>
      </w:r>
      <w:r w:rsidRPr="00F55BA6">
        <w:rPr>
          <w:rFonts w:asciiTheme="majorHAnsi" w:eastAsia="Times New Roman" w:hAnsiTheme="majorHAnsi" w:cstheme="majorHAnsi"/>
          <w:sz w:val="24"/>
          <w:szCs w:val="24"/>
          <w:vertAlign w:val="superscript"/>
          <w:lang w:val="ro-RO"/>
        </w:rPr>
        <w:footnoteReference w:id="85"/>
      </w:r>
      <w:r w:rsidR="00FF09F0">
        <w:rPr>
          <w:rFonts w:asciiTheme="majorHAnsi" w:eastAsia="Times New Roman" w:hAnsiTheme="majorHAnsi" w:cstheme="majorHAnsi"/>
          <w:sz w:val="24"/>
          <w:szCs w:val="24"/>
          <w:lang w:val="ro-RO"/>
        </w:rPr>
        <w:t>,</w:t>
      </w:r>
      <w:r w:rsidRPr="00F55BA6">
        <w:rPr>
          <w:rFonts w:asciiTheme="majorHAnsi" w:eastAsia="Times New Roman" w:hAnsiTheme="majorHAnsi" w:cstheme="majorHAnsi"/>
          <w:sz w:val="24"/>
          <w:szCs w:val="24"/>
          <w:lang w:val="ro-RO"/>
        </w:rPr>
        <w:t xml:space="preserve"> </w:t>
      </w:r>
      <w:r w:rsidR="00317CB6" w:rsidRPr="00F55BA6">
        <w:rPr>
          <w:rFonts w:asciiTheme="majorHAnsi" w:eastAsia="Times New Roman" w:hAnsiTheme="majorHAnsi" w:cstheme="majorHAnsi"/>
          <w:sz w:val="24"/>
          <w:szCs w:val="24"/>
          <w:lang w:val="ro-RO"/>
        </w:rPr>
        <w:t>a fost</w:t>
      </w:r>
      <w:r w:rsidRPr="00F55BA6">
        <w:rPr>
          <w:rFonts w:asciiTheme="majorHAnsi" w:eastAsia="Times New Roman" w:hAnsiTheme="majorHAnsi" w:cstheme="majorHAnsi"/>
          <w:sz w:val="24"/>
          <w:szCs w:val="24"/>
          <w:lang w:val="ro-RO"/>
        </w:rPr>
        <w:t xml:space="preserve"> modificat</w:t>
      </w:r>
      <w:r w:rsidR="00317CB6" w:rsidRPr="00F55BA6">
        <w:rPr>
          <w:rFonts w:asciiTheme="majorHAnsi" w:eastAsia="Times New Roman" w:hAnsiTheme="majorHAnsi" w:cstheme="majorHAnsi"/>
          <w:sz w:val="24"/>
          <w:szCs w:val="24"/>
          <w:lang w:val="ro-RO"/>
        </w:rPr>
        <w:t>ă</w:t>
      </w:r>
      <w:r w:rsidRPr="00F55BA6">
        <w:rPr>
          <w:rFonts w:asciiTheme="majorHAnsi" w:eastAsia="Times New Roman" w:hAnsiTheme="majorHAnsi" w:cstheme="majorHAnsi"/>
          <w:sz w:val="24"/>
          <w:szCs w:val="24"/>
          <w:lang w:val="ro-RO"/>
        </w:rPr>
        <w:t xml:space="preserve"> </w:t>
      </w:r>
      <w:r w:rsidRPr="00E4517B">
        <w:rPr>
          <w:rFonts w:asciiTheme="majorHAnsi" w:hAnsiTheme="majorHAnsi" w:cstheme="majorHAnsi"/>
          <w:color w:val="000000"/>
          <w:sz w:val="24"/>
          <w:szCs w:val="24"/>
          <w:lang w:val="ro-RO" w:eastAsia="ro-RO" w:bidi="ro-RO"/>
        </w:rPr>
        <w:t xml:space="preserve">denumirea </w:t>
      </w:r>
      <w:r w:rsidR="00317CB6" w:rsidRPr="00E4517B">
        <w:rPr>
          <w:rFonts w:asciiTheme="majorHAnsi" w:hAnsiTheme="majorHAnsi" w:cstheme="majorHAnsi"/>
          <w:color w:val="000000"/>
          <w:sz w:val="24"/>
          <w:szCs w:val="24"/>
          <w:lang w:val="ro-RO" w:eastAsia="ro-RO" w:bidi="ro-RO"/>
        </w:rPr>
        <w:t>IP</w:t>
      </w:r>
      <w:r w:rsidRPr="00973E5B">
        <w:rPr>
          <w:rFonts w:asciiTheme="majorHAnsi" w:hAnsiTheme="majorHAnsi" w:cstheme="majorHAnsi"/>
          <w:color w:val="000000"/>
          <w:sz w:val="24"/>
          <w:szCs w:val="24"/>
          <w:lang w:val="ro-RO" w:eastAsia="ro-RO" w:bidi="ro-RO"/>
        </w:rPr>
        <w:t xml:space="preserve"> „Directoratul Liniei de Credit” în Instituția Publică „Oficiul de Gestionare a Programelor de Asistență Externă”.</w:t>
      </w:r>
      <w:r w:rsidRPr="00F55BA6">
        <w:rPr>
          <w:rFonts w:asciiTheme="majorHAnsi" w:eastAsia="Times New Roman" w:hAnsiTheme="majorHAnsi" w:cstheme="majorHAnsi"/>
          <w:sz w:val="24"/>
          <w:szCs w:val="24"/>
          <w:lang w:val="ro-RO"/>
        </w:rPr>
        <w:t xml:space="preserve"> Finanțarea activității Oficiului se efectuează inclusiv din mijloacele financiare de la BS, în anul 2020 nefiind executate alocații. Totodată, mijloacele financiare neutilizate de către Oficiu pe parcursul anului curent (soldul în cont) se transferă spre utilizare în anul următor, cu excepția cazului în care Consiliul decide virarea unei părți din venituri la </w:t>
      </w:r>
      <w:r w:rsidR="00173DFE" w:rsidRPr="00F55BA6">
        <w:rPr>
          <w:rFonts w:asciiTheme="majorHAnsi" w:eastAsia="Times New Roman" w:hAnsiTheme="majorHAnsi" w:cstheme="majorHAnsi"/>
          <w:sz w:val="24"/>
          <w:szCs w:val="24"/>
          <w:lang w:val="ro-RO"/>
        </w:rPr>
        <w:t>BS</w:t>
      </w:r>
      <w:r w:rsidRPr="00F55BA6">
        <w:rPr>
          <w:rFonts w:asciiTheme="majorHAnsi" w:eastAsia="Times New Roman" w:hAnsiTheme="majorHAnsi" w:cstheme="majorHAnsi"/>
          <w:sz w:val="24"/>
          <w:szCs w:val="24"/>
          <w:lang w:val="ro-RO"/>
        </w:rPr>
        <w:t xml:space="preserve">. </w:t>
      </w:r>
      <w:r w:rsidRPr="00F55BA6">
        <w:rPr>
          <w:rFonts w:asciiTheme="majorHAnsi" w:eastAsia="Times New Roman" w:hAnsiTheme="majorHAnsi" w:cstheme="majorHAnsi"/>
          <w:iCs/>
          <w:sz w:val="24"/>
          <w:szCs w:val="24"/>
          <w:lang w:val="ro-RO"/>
        </w:rPr>
        <w:t xml:space="preserve">Auditul a constatat că această prevedere creează o incertitudine prin nespecificarea a cărei părți de venituri </w:t>
      </w:r>
      <w:r w:rsidR="00642844" w:rsidRPr="00F55BA6">
        <w:rPr>
          <w:rFonts w:asciiTheme="majorHAnsi" w:eastAsia="Times New Roman" w:hAnsiTheme="majorHAnsi" w:cstheme="majorHAnsi"/>
          <w:iCs/>
          <w:sz w:val="24"/>
          <w:szCs w:val="24"/>
          <w:lang w:val="ro-RO" w:bidi="ro-RO"/>
        </w:rPr>
        <w:t>urmează a</w:t>
      </w:r>
      <w:r w:rsidRPr="00F55BA6">
        <w:rPr>
          <w:rFonts w:asciiTheme="majorHAnsi" w:eastAsia="Times New Roman" w:hAnsiTheme="majorHAnsi" w:cstheme="majorHAnsi"/>
          <w:iCs/>
          <w:sz w:val="24"/>
          <w:szCs w:val="24"/>
          <w:lang w:val="ro-RO" w:bidi="ro-RO"/>
        </w:rPr>
        <w:t xml:space="preserve"> fi transferat</w:t>
      </w:r>
      <w:r w:rsidR="009131CF">
        <w:rPr>
          <w:rFonts w:asciiTheme="majorHAnsi" w:eastAsia="Times New Roman" w:hAnsiTheme="majorHAnsi" w:cstheme="majorHAnsi"/>
          <w:iCs/>
          <w:sz w:val="24"/>
          <w:szCs w:val="24"/>
          <w:lang w:val="ro-RO" w:bidi="ro-RO"/>
        </w:rPr>
        <w:t>ă</w:t>
      </w:r>
      <w:r w:rsidRPr="00F55BA6">
        <w:rPr>
          <w:rFonts w:asciiTheme="majorHAnsi" w:eastAsia="Times New Roman" w:hAnsiTheme="majorHAnsi" w:cstheme="majorHAnsi"/>
          <w:iCs/>
          <w:sz w:val="24"/>
          <w:szCs w:val="24"/>
          <w:lang w:val="ro-RO" w:bidi="ro-RO"/>
        </w:rPr>
        <w:t xml:space="preserve"> la BS deoarece art.44 din Legea finanțelor publice și responsabilității bugetar-fiscale nr.181/2014 prevede că </w:t>
      </w:r>
      <w:r w:rsidR="009131CF">
        <w:rPr>
          <w:rFonts w:asciiTheme="majorHAnsi" w:eastAsia="Times New Roman" w:hAnsiTheme="majorHAnsi" w:cstheme="majorHAnsi"/>
          <w:iCs/>
          <w:sz w:val="24"/>
          <w:szCs w:val="24"/>
          <w:lang w:val="ro-RO" w:bidi="ro-RO"/>
        </w:rPr>
        <w:t>„</w:t>
      </w:r>
      <w:r w:rsidRPr="00F55BA6">
        <w:rPr>
          <w:rFonts w:asciiTheme="majorHAnsi" w:eastAsia="Times New Roman" w:hAnsiTheme="majorHAnsi" w:cstheme="majorHAnsi"/>
          <w:iCs/>
          <w:sz w:val="24"/>
          <w:szCs w:val="24"/>
          <w:lang w:val="ro-RO" w:bidi="ro-RO"/>
        </w:rPr>
        <w:t>mijloa</w:t>
      </w:r>
      <w:r w:rsidR="00DF0A9A">
        <w:rPr>
          <w:rFonts w:asciiTheme="majorHAnsi" w:eastAsia="Times New Roman" w:hAnsiTheme="majorHAnsi" w:cstheme="majorHAnsi"/>
          <w:iCs/>
          <w:sz w:val="24"/>
          <w:szCs w:val="24"/>
          <w:lang w:val="ro-RO" w:bidi="ro-RO"/>
        </w:rPr>
        <w:t>c</w:t>
      </w:r>
      <w:r w:rsidRPr="00F55BA6">
        <w:rPr>
          <w:rFonts w:asciiTheme="majorHAnsi" w:eastAsia="Times New Roman" w:hAnsiTheme="majorHAnsi" w:cstheme="majorHAnsi"/>
          <w:iCs/>
          <w:sz w:val="24"/>
          <w:szCs w:val="24"/>
          <w:lang w:val="ro-RO" w:bidi="ro-RO"/>
        </w:rPr>
        <w:t>ele bănești neutilizate până la data încheierii anului bugetar s</w:t>
      </w:r>
      <w:r w:rsidR="009131CF">
        <w:rPr>
          <w:rFonts w:asciiTheme="majorHAnsi" w:eastAsia="Times New Roman" w:hAnsiTheme="majorHAnsi" w:cstheme="majorHAnsi"/>
          <w:iCs/>
          <w:sz w:val="24"/>
          <w:szCs w:val="24"/>
          <w:lang w:val="ro-RO" w:bidi="ro-RO"/>
        </w:rPr>
        <w:t>u</w:t>
      </w:r>
      <w:r w:rsidRPr="00F55BA6">
        <w:rPr>
          <w:rFonts w:asciiTheme="majorHAnsi" w:eastAsia="Times New Roman" w:hAnsiTheme="majorHAnsi" w:cstheme="majorHAnsi"/>
          <w:iCs/>
          <w:sz w:val="24"/>
          <w:szCs w:val="24"/>
          <w:lang w:val="ro-RO" w:bidi="ro-RO"/>
        </w:rPr>
        <w:t>nt accesibile pentru utilizare în aceleași scopuri în anul bugetar următor”.</w:t>
      </w:r>
    </w:p>
    <w:p w:rsidR="00C3538A" w:rsidRPr="00F55BA6" w:rsidRDefault="00C3538A" w:rsidP="00C3538A">
      <w:pPr>
        <w:tabs>
          <w:tab w:val="left" w:pos="0"/>
          <w:tab w:val="left" w:pos="142"/>
          <w:tab w:val="left" w:pos="851"/>
        </w:tabs>
        <w:spacing w:after="0" w:line="276" w:lineRule="auto"/>
        <w:contextualSpacing/>
        <w:rPr>
          <w:rFonts w:asciiTheme="majorHAnsi" w:hAnsiTheme="majorHAnsi" w:cstheme="majorHAnsi"/>
          <w:sz w:val="24"/>
          <w:szCs w:val="24"/>
          <w:lang w:val="ro-RO"/>
        </w:rPr>
      </w:pPr>
      <w:r w:rsidRPr="00F55BA6">
        <w:rPr>
          <w:rFonts w:asciiTheme="majorHAnsi" w:hAnsiTheme="majorHAnsi" w:cstheme="majorHAnsi"/>
          <w:sz w:val="24"/>
          <w:szCs w:val="24"/>
          <w:lang w:val="ro-RO"/>
        </w:rPr>
        <w:lastRenderedPageBreak/>
        <w:t>Pe parcursul anului 2020, IP „Oficiul de Gestionare a Programelor de Asistență Externă“ a transferat soldurile mijloacelor financiare din conturile bancare deschise la prestatorii de servicii de plată în conturile deschise în CUT al MF</w:t>
      </w:r>
      <w:r w:rsidR="009131CF">
        <w:rPr>
          <w:rFonts w:asciiTheme="majorHAnsi" w:hAnsiTheme="majorHAnsi" w:cstheme="majorHAnsi"/>
          <w:sz w:val="24"/>
          <w:szCs w:val="24"/>
          <w:lang w:val="ro-RO"/>
        </w:rPr>
        <w:t>,</w:t>
      </w:r>
      <w:r w:rsidRPr="00F55BA6">
        <w:rPr>
          <w:rFonts w:asciiTheme="majorHAnsi" w:hAnsiTheme="majorHAnsi" w:cstheme="majorHAnsi"/>
          <w:sz w:val="24"/>
          <w:szCs w:val="24"/>
          <w:lang w:val="ro-RO"/>
        </w:rPr>
        <w:t xml:space="preserve"> în sumă totală de 2 024,6 mil. lei. Totodată, se menționează că IP menține alte depozite bancare la termen existente până la executarea deplină a obligațiilor contractuale aferente depozitelor în sumă totală de 73,7 mil. lei</w:t>
      </w:r>
      <w:r w:rsidR="00C268BE" w:rsidRPr="00F55BA6">
        <w:rPr>
          <w:rFonts w:asciiTheme="majorHAnsi" w:hAnsiTheme="majorHAnsi" w:cstheme="majorHAnsi"/>
          <w:sz w:val="24"/>
          <w:szCs w:val="24"/>
          <w:lang w:val="ro-RO"/>
        </w:rPr>
        <w:t>,</w:t>
      </w:r>
      <w:r w:rsidRPr="00F55BA6">
        <w:rPr>
          <w:rFonts w:asciiTheme="majorHAnsi" w:hAnsiTheme="majorHAnsi" w:cstheme="majorHAnsi"/>
          <w:sz w:val="24"/>
          <w:szCs w:val="24"/>
          <w:lang w:val="ro-RO"/>
        </w:rPr>
        <w:t xml:space="preserve"> care</w:t>
      </w:r>
      <w:r w:rsidR="00C268BE" w:rsidRPr="00F55BA6">
        <w:rPr>
          <w:rFonts w:asciiTheme="majorHAnsi" w:hAnsiTheme="majorHAnsi" w:cstheme="majorHAnsi"/>
          <w:sz w:val="24"/>
          <w:szCs w:val="24"/>
          <w:lang w:val="ro-RO"/>
        </w:rPr>
        <w:t xml:space="preserve"> de</w:t>
      </w:r>
      <w:r w:rsidR="009131CF">
        <w:rPr>
          <w:rFonts w:asciiTheme="majorHAnsi" w:hAnsiTheme="majorHAnsi" w:cstheme="majorHAnsi"/>
          <w:sz w:val="24"/>
          <w:szCs w:val="24"/>
          <w:lang w:val="ro-RO"/>
        </w:rPr>
        <w:t xml:space="preserve"> </w:t>
      </w:r>
      <w:r w:rsidR="00C268BE" w:rsidRPr="00F55BA6">
        <w:rPr>
          <w:rFonts w:asciiTheme="majorHAnsi" w:hAnsiTheme="majorHAnsi" w:cstheme="majorHAnsi"/>
          <w:sz w:val="24"/>
          <w:szCs w:val="24"/>
          <w:lang w:val="ro-RO"/>
        </w:rPr>
        <w:t>asemenea</w:t>
      </w:r>
      <w:r w:rsidRPr="00F55BA6">
        <w:rPr>
          <w:rFonts w:asciiTheme="majorHAnsi" w:hAnsiTheme="majorHAnsi" w:cstheme="majorHAnsi"/>
          <w:sz w:val="24"/>
          <w:szCs w:val="24"/>
          <w:lang w:val="ro-RO"/>
        </w:rPr>
        <w:t xml:space="preserve"> urmează a fi transferate în CUT</w:t>
      </w:r>
      <w:r w:rsidR="009131CF">
        <w:rPr>
          <w:rFonts w:asciiTheme="majorHAnsi" w:hAnsiTheme="majorHAnsi" w:cstheme="majorHAnsi"/>
          <w:sz w:val="24"/>
          <w:szCs w:val="24"/>
          <w:lang w:val="ro-RO"/>
        </w:rPr>
        <w:t>;</w:t>
      </w:r>
    </w:p>
    <w:p w:rsidR="00F40DB3" w:rsidRPr="00F55BA6" w:rsidRDefault="00C3538A" w:rsidP="00E0629E">
      <w:pPr>
        <w:numPr>
          <w:ilvl w:val="0"/>
          <w:numId w:val="7"/>
        </w:numPr>
        <w:tabs>
          <w:tab w:val="left" w:pos="0"/>
          <w:tab w:val="left" w:pos="142"/>
          <w:tab w:val="left" w:pos="851"/>
        </w:tabs>
        <w:spacing w:after="0" w:line="276" w:lineRule="auto"/>
        <w:ind w:left="0" w:firstLine="0"/>
        <w:contextualSpacing/>
        <w:rPr>
          <w:rFonts w:asciiTheme="majorHAnsi" w:hAnsiTheme="majorHAnsi" w:cstheme="majorHAnsi"/>
          <w:i/>
          <w:sz w:val="24"/>
          <w:szCs w:val="24"/>
          <w:lang w:val="ro-RO"/>
        </w:rPr>
      </w:pPr>
      <w:r w:rsidRPr="00F55BA6">
        <w:rPr>
          <w:rFonts w:asciiTheme="majorHAnsi" w:eastAsia="Times New Roman" w:hAnsiTheme="majorHAnsi" w:cstheme="majorHAnsi"/>
          <w:iCs/>
          <w:sz w:val="24"/>
          <w:szCs w:val="24"/>
          <w:lang w:val="ro-RO"/>
        </w:rPr>
        <w:t xml:space="preserve">soldurile mijloacelor bănești, la situația din 31.12.2020, au însumat 4 132,9 mil. lei, </w:t>
      </w:r>
      <w:r w:rsidRPr="00E4517B">
        <w:rPr>
          <w:rFonts w:asciiTheme="majorHAnsi" w:hAnsiTheme="majorHAnsi" w:cstheme="majorHAnsi"/>
          <w:color w:val="000000"/>
          <w:sz w:val="24"/>
          <w:szCs w:val="24"/>
          <w:lang w:val="ro-RO"/>
        </w:rPr>
        <w:t>dintre care soldurile la c</w:t>
      </w:r>
      <w:r w:rsidRPr="00973E5B">
        <w:rPr>
          <w:rFonts w:asciiTheme="majorHAnsi" w:hAnsiTheme="majorHAnsi" w:cstheme="majorHAnsi"/>
          <w:color w:val="000000"/>
          <w:sz w:val="24"/>
          <w:szCs w:val="24"/>
          <w:lang w:val="ro-RO"/>
        </w:rPr>
        <w:t>omponenta de bază – 2 557,4 mil. lei</w:t>
      </w:r>
      <w:r w:rsidR="009131CF">
        <w:rPr>
          <w:rFonts w:asciiTheme="majorHAnsi" w:hAnsiTheme="majorHAnsi" w:cstheme="majorHAnsi"/>
          <w:color w:val="000000"/>
          <w:sz w:val="24"/>
          <w:szCs w:val="24"/>
          <w:lang w:val="ro-RO"/>
        </w:rPr>
        <w:t>,</w:t>
      </w:r>
      <w:r w:rsidRPr="00973E5B">
        <w:rPr>
          <w:rFonts w:asciiTheme="majorHAnsi" w:hAnsiTheme="majorHAnsi" w:cstheme="majorHAnsi"/>
          <w:color w:val="000000"/>
          <w:sz w:val="24"/>
          <w:szCs w:val="24"/>
          <w:lang w:val="ro-RO"/>
        </w:rPr>
        <w:t xml:space="preserve"> și soldurile proiectelor finanțate din surse externe – 1 575,5 mil. lei, </w:t>
      </w:r>
      <w:r w:rsidRPr="00F55BA6">
        <w:rPr>
          <w:rFonts w:asciiTheme="majorHAnsi" w:eastAsia="Times New Roman" w:hAnsiTheme="majorHAnsi" w:cstheme="majorHAnsi"/>
          <w:iCs/>
          <w:sz w:val="24"/>
          <w:szCs w:val="24"/>
          <w:lang w:val="ro-RO"/>
        </w:rPr>
        <w:t xml:space="preserve">înregistrând o creștere de 1 216,2 mil. lei (41,7%), comparativ cu situația din 31.12.2019. Soldurile mijloacelor bănești ale BS sunt înregistrate în: </w:t>
      </w:r>
      <w:r w:rsidRPr="00F55BA6">
        <w:rPr>
          <w:rFonts w:asciiTheme="majorHAnsi" w:eastAsia="Times New Roman" w:hAnsiTheme="majorHAnsi" w:cstheme="majorHAnsi"/>
          <w:i/>
          <w:iCs/>
          <w:sz w:val="24"/>
          <w:szCs w:val="24"/>
          <w:lang w:val="ro-RO"/>
        </w:rPr>
        <w:t>i)</w:t>
      </w:r>
      <w:r w:rsidRPr="00F55BA6">
        <w:rPr>
          <w:rFonts w:asciiTheme="majorHAnsi" w:eastAsia="Times New Roman" w:hAnsiTheme="majorHAnsi" w:cstheme="majorHAnsi"/>
          <w:iCs/>
          <w:sz w:val="24"/>
          <w:szCs w:val="24"/>
          <w:lang w:val="ro-RO"/>
        </w:rPr>
        <w:t xml:space="preserve"> conturile curente în sistemul trezorerial în monedă națională în sumă de 343,5 mil. lei; </w:t>
      </w:r>
      <w:r w:rsidRPr="00F55BA6">
        <w:rPr>
          <w:rFonts w:asciiTheme="majorHAnsi" w:eastAsia="Times New Roman" w:hAnsiTheme="majorHAnsi" w:cstheme="majorHAnsi"/>
          <w:i/>
          <w:iCs/>
          <w:sz w:val="24"/>
          <w:szCs w:val="24"/>
          <w:lang w:val="ro-RO"/>
        </w:rPr>
        <w:t>ii)</w:t>
      </w:r>
      <w:r w:rsidRPr="00F55BA6">
        <w:rPr>
          <w:rFonts w:asciiTheme="majorHAnsi" w:eastAsia="Times New Roman" w:hAnsiTheme="majorHAnsi" w:cstheme="majorHAnsi"/>
          <w:iCs/>
          <w:sz w:val="24"/>
          <w:szCs w:val="24"/>
          <w:lang w:val="ro-RO"/>
        </w:rPr>
        <w:t xml:space="preserve"> conturile BNM în valută străină, în sumă de 3 644,5 mil. lei; </w:t>
      </w:r>
      <w:r w:rsidRPr="00F55BA6">
        <w:rPr>
          <w:rFonts w:asciiTheme="majorHAnsi" w:eastAsia="Times New Roman" w:hAnsiTheme="majorHAnsi" w:cstheme="majorHAnsi"/>
          <w:i/>
          <w:iCs/>
          <w:sz w:val="24"/>
          <w:szCs w:val="24"/>
          <w:lang w:val="ro-RO"/>
        </w:rPr>
        <w:t>iii)</w:t>
      </w:r>
      <w:r w:rsidRPr="00F55BA6">
        <w:rPr>
          <w:rFonts w:asciiTheme="majorHAnsi" w:eastAsia="Times New Roman" w:hAnsiTheme="majorHAnsi" w:cstheme="majorHAnsi"/>
          <w:iCs/>
          <w:sz w:val="24"/>
          <w:szCs w:val="24"/>
          <w:lang w:val="ro-RO"/>
        </w:rPr>
        <w:t xml:space="preserve"> conturi</w:t>
      </w:r>
      <w:r w:rsidR="004946B2">
        <w:rPr>
          <w:rFonts w:asciiTheme="majorHAnsi" w:eastAsia="Times New Roman" w:hAnsiTheme="majorHAnsi" w:cstheme="majorHAnsi"/>
          <w:iCs/>
          <w:sz w:val="24"/>
          <w:szCs w:val="24"/>
          <w:lang w:val="ro-RO"/>
        </w:rPr>
        <w:t>le</w:t>
      </w:r>
      <w:r w:rsidRPr="00F55BA6">
        <w:rPr>
          <w:rFonts w:asciiTheme="majorHAnsi" w:eastAsia="Times New Roman" w:hAnsiTheme="majorHAnsi" w:cstheme="majorHAnsi"/>
          <w:iCs/>
          <w:sz w:val="24"/>
          <w:szCs w:val="24"/>
          <w:lang w:val="ro-RO"/>
        </w:rPr>
        <w:t xml:space="preserve"> curente în afara sistemului trezorerial în monedă națională – 144,9 mil. lei.</w:t>
      </w:r>
      <w:r w:rsidRPr="00F55BA6">
        <w:rPr>
          <w:rFonts w:asciiTheme="majorHAnsi" w:hAnsiTheme="majorHAnsi" w:cstheme="majorHAnsi"/>
          <w:i/>
          <w:sz w:val="24"/>
          <w:szCs w:val="24"/>
          <w:lang w:val="ro-RO"/>
        </w:rPr>
        <w:t xml:space="preserve"> </w:t>
      </w:r>
      <w:r w:rsidRPr="00E4517B">
        <w:rPr>
          <w:rFonts w:asciiTheme="majorHAnsi" w:hAnsiTheme="majorHAnsi" w:cstheme="majorHAnsi"/>
          <w:sz w:val="24"/>
          <w:szCs w:val="24"/>
          <w:lang w:val="ro-RO"/>
        </w:rPr>
        <w:t xml:space="preserve">Finanțarea deficitului a fost efectuată și din mijloacele bănești </w:t>
      </w:r>
      <w:r w:rsidR="004946B2">
        <w:rPr>
          <w:rFonts w:asciiTheme="majorHAnsi" w:hAnsiTheme="majorHAnsi" w:cstheme="majorHAnsi"/>
          <w:sz w:val="24"/>
          <w:szCs w:val="24"/>
          <w:lang w:val="ro-RO"/>
        </w:rPr>
        <w:t>di</w:t>
      </w:r>
      <w:r w:rsidRPr="00E4517B">
        <w:rPr>
          <w:rFonts w:asciiTheme="majorHAnsi" w:hAnsiTheme="majorHAnsi" w:cstheme="majorHAnsi"/>
          <w:sz w:val="24"/>
          <w:szCs w:val="24"/>
          <w:lang w:val="ro-RO"/>
        </w:rPr>
        <w:t>n solduri</w:t>
      </w:r>
      <w:r w:rsidR="004946B2">
        <w:rPr>
          <w:rFonts w:asciiTheme="majorHAnsi" w:hAnsiTheme="majorHAnsi" w:cstheme="majorHAnsi"/>
          <w:sz w:val="24"/>
          <w:szCs w:val="24"/>
          <w:lang w:val="ro-RO"/>
        </w:rPr>
        <w:t>le</w:t>
      </w:r>
      <w:r w:rsidRPr="00E4517B">
        <w:rPr>
          <w:rFonts w:asciiTheme="majorHAnsi" w:hAnsiTheme="majorHAnsi" w:cstheme="majorHAnsi"/>
          <w:sz w:val="24"/>
          <w:szCs w:val="24"/>
          <w:lang w:val="ro-RO"/>
        </w:rPr>
        <w:t xml:space="preserve"> la conturile bugetelor componente ale BPN. În baza clauzelor contractuale</w:t>
      </w:r>
      <w:r w:rsidR="009131CF">
        <w:rPr>
          <w:rFonts w:asciiTheme="majorHAnsi" w:hAnsiTheme="majorHAnsi" w:cstheme="majorHAnsi"/>
          <w:sz w:val="24"/>
          <w:szCs w:val="24"/>
          <w:lang w:val="ro-RO"/>
        </w:rPr>
        <w:t>,</w:t>
      </w:r>
      <w:r w:rsidRPr="00E4517B">
        <w:rPr>
          <w:rFonts w:asciiTheme="majorHAnsi" w:hAnsiTheme="majorHAnsi" w:cstheme="majorHAnsi"/>
          <w:sz w:val="24"/>
          <w:szCs w:val="24"/>
          <w:lang w:val="ro-RO"/>
        </w:rPr>
        <w:t xml:space="preserve"> pentru plasarea depozitelor în scopul formării rezervei de lichiditate sau în scopul contribuirii la realizarea politicii monetare, MF poate solicita restituirea anticipată a depozitelor plasate în scopul formării rezervei de lichiditate doar în cazul acoperirii necesităților de finanțare a cheltuielilor prioritare, definite la art.67 alin.(2) din Legea </w:t>
      </w:r>
      <w:r w:rsidRPr="00973E5B">
        <w:rPr>
          <w:rFonts w:asciiTheme="majorHAnsi" w:hAnsiTheme="majorHAnsi" w:cstheme="majorHAnsi"/>
          <w:sz w:val="24"/>
          <w:szCs w:val="24"/>
          <w:lang w:val="ro-RO"/>
        </w:rPr>
        <w:t xml:space="preserve">nr.181 din 25.07.2014 și în consultare prealabilă cu BNM, în </w:t>
      </w:r>
      <w:r w:rsidR="004946B2">
        <w:rPr>
          <w:rFonts w:asciiTheme="majorHAnsi" w:hAnsiTheme="majorHAnsi" w:cstheme="majorHAnsi"/>
          <w:sz w:val="24"/>
          <w:szCs w:val="24"/>
          <w:lang w:val="ro-RO"/>
        </w:rPr>
        <w:t>vederea</w:t>
      </w:r>
      <w:r w:rsidR="004946B2" w:rsidRPr="00973E5B">
        <w:rPr>
          <w:rFonts w:asciiTheme="majorHAnsi" w:hAnsiTheme="majorHAnsi" w:cstheme="majorHAnsi"/>
          <w:sz w:val="24"/>
          <w:szCs w:val="24"/>
          <w:lang w:val="ro-RO"/>
        </w:rPr>
        <w:t xml:space="preserve"> </w:t>
      </w:r>
      <w:r w:rsidRPr="00973E5B">
        <w:rPr>
          <w:rFonts w:asciiTheme="majorHAnsi" w:hAnsiTheme="majorHAnsi" w:cstheme="majorHAnsi"/>
          <w:sz w:val="24"/>
          <w:szCs w:val="24"/>
          <w:lang w:val="ro-RO"/>
        </w:rPr>
        <w:t xml:space="preserve">gestionării eficiente a lichidităților. </w:t>
      </w:r>
      <w:r w:rsidRPr="00F55BA6">
        <w:rPr>
          <w:rFonts w:asciiTheme="majorHAnsi" w:hAnsiTheme="majorHAnsi" w:cstheme="majorHAnsi"/>
          <w:sz w:val="24"/>
          <w:szCs w:val="24"/>
          <w:lang w:val="ro-RO"/>
        </w:rPr>
        <w:t>Astfel, MF a retras anticipat mijloacele depozitate la BNM</w:t>
      </w:r>
      <w:r w:rsidRPr="00F55BA6">
        <w:rPr>
          <w:rFonts w:eastAsia="Times New Roman" w:cs="Times New Roman"/>
          <w:color w:val="000000"/>
          <w:szCs w:val="28"/>
          <w:lang w:val="ro-RO" w:eastAsia="ru-RU"/>
        </w:rPr>
        <w:t xml:space="preserve"> </w:t>
      </w:r>
      <w:r w:rsidRPr="00F55BA6">
        <w:rPr>
          <w:rFonts w:asciiTheme="majorHAnsi" w:hAnsiTheme="majorHAnsi" w:cstheme="majorHAnsi"/>
          <w:sz w:val="24"/>
          <w:szCs w:val="24"/>
          <w:lang w:val="ro-RO"/>
        </w:rPr>
        <w:t xml:space="preserve">pentru crearea unei rezerve de lichidități în valoare de 253,5 mil. lei, fiind </w:t>
      </w:r>
      <w:r w:rsidR="00B84E9A" w:rsidRPr="00F55BA6">
        <w:rPr>
          <w:rFonts w:asciiTheme="majorHAnsi" w:hAnsiTheme="majorHAnsi" w:cstheme="majorHAnsi"/>
          <w:sz w:val="24"/>
          <w:szCs w:val="24"/>
          <w:lang w:val="ro-RO"/>
        </w:rPr>
        <w:t>utilizate pentru</w:t>
      </w:r>
      <w:r w:rsidRPr="00F55BA6">
        <w:rPr>
          <w:rFonts w:asciiTheme="majorHAnsi" w:hAnsiTheme="majorHAnsi" w:cstheme="majorHAnsi"/>
          <w:sz w:val="24"/>
          <w:szCs w:val="24"/>
          <w:lang w:val="ro-RO"/>
        </w:rPr>
        <w:t xml:space="preserve"> răscumpărarea VMS emise pentru crearea unei rezerve de lichidități (cu semnul minus).</w:t>
      </w:r>
    </w:p>
    <w:p w:rsidR="00F53D96" w:rsidRPr="00F55BA6" w:rsidRDefault="00F53D96" w:rsidP="00F53D96">
      <w:pPr>
        <w:tabs>
          <w:tab w:val="left" w:pos="0"/>
          <w:tab w:val="left" w:pos="142"/>
          <w:tab w:val="left" w:pos="851"/>
        </w:tabs>
        <w:spacing w:after="0" w:line="276" w:lineRule="auto"/>
        <w:contextualSpacing/>
        <w:rPr>
          <w:rFonts w:asciiTheme="majorHAnsi" w:hAnsiTheme="majorHAnsi" w:cstheme="majorHAnsi"/>
          <w:i/>
          <w:sz w:val="24"/>
          <w:szCs w:val="24"/>
          <w:lang w:val="ro-RO"/>
        </w:rPr>
      </w:pPr>
    </w:p>
    <w:p w:rsidR="00445D66" w:rsidRPr="00F55BA6" w:rsidRDefault="00445D66" w:rsidP="00E0629E">
      <w:pPr>
        <w:numPr>
          <w:ilvl w:val="0"/>
          <w:numId w:val="1"/>
        </w:numPr>
        <w:tabs>
          <w:tab w:val="left" w:pos="0"/>
          <w:tab w:val="left" w:pos="426"/>
        </w:tabs>
        <w:spacing w:after="0" w:line="276" w:lineRule="auto"/>
        <w:ind w:left="0" w:firstLine="0"/>
        <w:contextualSpacing/>
        <w:jc w:val="left"/>
        <w:outlineLvl w:val="0"/>
        <w:rPr>
          <w:rFonts w:asciiTheme="majorHAnsi" w:eastAsia="Times New Roman" w:hAnsiTheme="majorHAnsi" w:cs="Times New Roman"/>
          <w:b/>
          <w:bCs/>
          <w:szCs w:val="28"/>
          <w:lang w:val="ro-RO"/>
        </w:rPr>
      </w:pPr>
      <w:r w:rsidRPr="00F55BA6">
        <w:rPr>
          <w:rFonts w:asciiTheme="majorHAnsi" w:eastAsia="Times New Roman" w:hAnsiTheme="majorHAnsi" w:cs="Times New Roman"/>
          <w:b/>
          <w:bCs/>
          <w:szCs w:val="28"/>
          <w:lang w:val="ro-RO"/>
        </w:rPr>
        <w:t xml:space="preserve">PREZENTAREA BUGETULUI DE STAT </w:t>
      </w:r>
    </w:p>
    <w:p w:rsidR="004946B2" w:rsidRDefault="00EA3E34" w:rsidP="007131DC">
      <w:pPr>
        <w:spacing w:after="0" w:line="276" w:lineRule="auto"/>
        <w:rPr>
          <w:rFonts w:asciiTheme="majorHAnsi" w:hAnsiTheme="majorHAnsi" w:cstheme="majorHAnsi"/>
          <w:sz w:val="24"/>
          <w:szCs w:val="24"/>
          <w:lang w:val="ro-RO"/>
        </w:rPr>
      </w:pPr>
      <w:r w:rsidRPr="00F55BA6">
        <w:rPr>
          <w:rFonts w:asciiTheme="majorHAnsi" w:eastAsia="Times New Roman" w:hAnsiTheme="majorHAnsi" w:cstheme="majorHAnsi"/>
          <w:sz w:val="24"/>
          <w:szCs w:val="24"/>
          <w:lang w:val="ro-RO"/>
        </w:rPr>
        <w:t>Prin Legea bugetului de stat pe anul 2020</w:t>
      </w:r>
      <w:r w:rsidRPr="00F55BA6">
        <w:rPr>
          <w:rFonts w:asciiTheme="majorHAnsi" w:eastAsia="Times New Roman" w:hAnsiTheme="majorHAnsi" w:cstheme="majorHAnsi"/>
          <w:sz w:val="24"/>
          <w:szCs w:val="24"/>
          <w:vertAlign w:val="superscript"/>
          <w:lang w:val="ro-RO"/>
        </w:rPr>
        <w:footnoteReference w:id="86"/>
      </w:r>
      <w:r w:rsidRPr="00F55BA6">
        <w:rPr>
          <w:rFonts w:asciiTheme="majorHAnsi" w:eastAsia="Times New Roman" w:hAnsiTheme="majorHAnsi" w:cstheme="majorHAnsi"/>
          <w:sz w:val="24"/>
          <w:szCs w:val="24"/>
          <w:lang w:val="ro-RO"/>
        </w:rPr>
        <w:t>, parametrii bugetului de stat au fost aprobați</w:t>
      </w:r>
      <w:r w:rsidR="004946B2">
        <w:rPr>
          <w:rFonts w:asciiTheme="majorHAnsi" w:eastAsia="Times New Roman" w:hAnsiTheme="majorHAnsi" w:cstheme="majorHAnsi"/>
          <w:sz w:val="24"/>
          <w:szCs w:val="24"/>
          <w:lang w:val="ro-RO"/>
        </w:rPr>
        <w:t>:</w:t>
      </w:r>
      <w:r w:rsidRPr="00F55BA6">
        <w:rPr>
          <w:rFonts w:asciiTheme="majorHAnsi" w:eastAsia="Times New Roman" w:hAnsiTheme="majorHAnsi" w:cstheme="majorHAnsi"/>
          <w:sz w:val="24"/>
          <w:szCs w:val="24"/>
          <w:lang w:val="ro-RO"/>
        </w:rPr>
        <w:t xml:space="preserve"> la venituri </w:t>
      </w:r>
      <w:r w:rsidR="00DF0A9A" w:rsidRPr="00F55BA6">
        <w:rPr>
          <w:rFonts w:asciiTheme="majorHAnsi" w:eastAsia="Times New Roman" w:hAnsiTheme="majorHAnsi" w:cstheme="majorHAnsi"/>
          <w:sz w:val="24"/>
          <w:szCs w:val="24"/>
          <w:lang w:val="ro-RO"/>
        </w:rPr>
        <w:t>–</w:t>
      </w:r>
      <w:r w:rsidR="00DF0A9A">
        <w:rPr>
          <w:rFonts w:asciiTheme="majorHAnsi" w:eastAsia="Times New Roman" w:hAnsiTheme="majorHAnsi" w:cstheme="majorHAnsi"/>
          <w:sz w:val="24"/>
          <w:szCs w:val="24"/>
          <w:lang w:val="ro-RO"/>
        </w:rPr>
        <w:t xml:space="preserve"> </w:t>
      </w:r>
      <w:r w:rsidRPr="00F55BA6">
        <w:rPr>
          <w:rFonts w:asciiTheme="majorHAnsi" w:eastAsia="Times New Roman" w:hAnsiTheme="majorHAnsi" w:cstheme="majorHAnsi"/>
          <w:sz w:val="24"/>
          <w:szCs w:val="24"/>
          <w:lang w:val="ro-RO"/>
        </w:rPr>
        <w:t xml:space="preserve">în sumă de </w:t>
      </w:r>
      <w:r w:rsidR="002B7DAC" w:rsidRPr="00F55BA6">
        <w:rPr>
          <w:rFonts w:asciiTheme="majorHAnsi" w:eastAsia="Times New Roman" w:hAnsiTheme="majorHAnsi" w:cstheme="majorHAnsi"/>
          <w:sz w:val="24"/>
          <w:szCs w:val="24"/>
          <w:lang w:val="ro-RO"/>
        </w:rPr>
        <w:t>44 136,6</w:t>
      </w:r>
      <w:r w:rsidRPr="00F55BA6">
        <w:rPr>
          <w:rFonts w:asciiTheme="majorHAnsi" w:eastAsia="Times New Roman" w:hAnsiTheme="majorHAnsi" w:cstheme="majorHAnsi"/>
          <w:sz w:val="24"/>
          <w:szCs w:val="24"/>
          <w:lang w:val="ro-RO"/>
        </w:rPr>
        <w:t xml:space="preserve"> mil. lei, la cheltuieli</w:t>
      </w:r>
      <w:r w:rsidR="002B7DAC" w:rsidRPr="00F55BA6">
        <w:rPr>
          <w:rFonts w:asciiTheme="majorHAnsi" w:eastAsia="Times New Roman" w:hAnsiTheme="majorHAnsi" w:cstheme="majorHAnsi"/>
          <w:sz w:val="24"/>
          <w:szCs w:val="24"/>
          <w:lang w:val="ro-RO"/>
        </w:rPr>
        <w:t xml:space="preserve"> și active nefinanciare</w:t>
      </w:r>
      <w:r w:rsidRPr="00F55BA6">
        <w:rPr>
          <w:rFonts w:asciiTheme="majorHAnsi" w:eastAsia="Times New Roman" w:hAnsiTheme="majorHAnsi" w:cstheme="majorHAnsi"/>
          <w:sz w:val="24"/>
          <w:szCs w:val="24"/>
          <w:lang w:val="ro-RO"/>
        </w:rPr>
        <w:t xml:space="preserve"> – de </w:t>
      </w:r>
      <w:r w:rsidR="002B7DAC" w:rsidRPr="00F55BA6">
        <w:rPr>
          <w:rFonts w:asciiTheme="majorHAnsi" w:eastAsia="Times New Roman" w:hAnsiTheme="majorHAnsi" w:cstheme="majorHAnsi"/>
          <w:sz w:val="24"/>
          <w:szCs w:val="24"/>
          <w:lang w:val="ro-RO"/>
        </w:rPr>
        <w:t>51 551,9</w:t>
      </w:r>
      <w:r w:rsidRPr="00F55BA6">
        <w:rPr>
          <w:rFonts w:asciiTheme="majorHAnsi" w:eastAsia="Times New Roman" w:hAnsiTheme="majorHAnsi" w:cstheme="majorHAnsi"/>
          <w:sz w:val="24"/>
          <w:szCs w:val="24"/>
          <w:lang w:val="ro-RO"/>
        </w:rPr>
        <w:t xml:space="preserve"> mil. lei, cu o depășire a cheltuielilor asupra veniturilor de </w:t>
      </w:r>
      <w:r w:rsidR="002B7DAC" w:rsidRPr="00F55BA6">
        <w:rPr>
          <w:rFonts w:asciiTheme="majorHAnsi" w:eastAsia="Times New Roman" w:hAnsiTheme="majorHAnsi" w:cstheme="majorHAnsi"/>
          <w:sz w:val="24"/>
          <w:szCs w:val="24"/>
          <w:lang w:val="ro-RO"/>
        </w:rPr>
        <w:t>7 415,3</w:t>
      </w:r>
      <w:r w:rsidRPr="00F55BA6">
        <w:rPr>
          <w:rFonts w:asciiTheme="majorHAnsi" w:eastAsia="Times New Roman" w:hAnsiTheme="majorHAnsi" w:cstheme="majorHAnsi"/>
          <w:sz w:val="24"/>
          <w:szCs w:val="24"/>
          <w:lang w:val="ro-RO"/>
        </w:rPr>
        <w:t xml:space="preserve"> mil. lei. În urma rectificării Legii bugetare anuale, veniturile au scăzut cu </w:t>
      </w:r>
      <w:r w:rsidR="002B7DAC" w:rsidRPr="00F55BA6">
        <w:rPr>
          <w:rFonts w:asciiTheme="majorHAnsi" w:eastAsia="Times New Roman" w:hAnsiTheme="majorHAnsi" w:cstheme="majorHAnsi"/>
          <w:sz w:val="24"/>
          <w:szCs w:val="24"/>
          <w:lang w:val="ro-RO"/>
        </w:rPr>
        <w:t>15,5</w:t>
      </w:r>
      <w:r w:rsidRPr="00F55BA6">
        <w:rPr>
          <w:rFonts w:asciiTheme="majorHAnsi" w:eastAsia="Times New Roman" w:hAnsiTheme="majorHAnsi" w:cstheme="majorHAnsi"/>
          <w:sz w:val="24"/>
          <w:szCs w:val="24"/>
          <w:lang w:val="ro-RO"/>
        </w:rPr>
        <w:t xml:space="preserve">%, sau cu </w:t>
      </w:r>
      <w:r w:rsidR="002B7DAC" w:rsidRPr="00F55BA6">
        <w:rPr>
          <w:rFonts w:asciiTheme="majorHAnsi" w:eastAsia="Times New Roman" w:hAnsiTheme="majorHAnsi" w:cstheme="majorHAnsi"/>
          <w:sz w:val="24"/>
          <w:szCs w:val="24"/>
          <w:lang w:val="ro-RO"/>
        </w:rPr>
        <w:t>6 855,4</w:t>
      </w:r>
      <w:r w:rsidRPr="00F55BA6">
        <w:rPr>
          <w:rFonts w:asciiTheme="majorHAnsi" w:eastAsia="Times New Roman" w:hAnsiTheme="majorHAnsi" w:cstheme="majorHAnsi"/>
          <w:sz w:val="24"/>
          <w:szCs w:val="24"/>
          <w:lang w:val="ro-RO"/>
        </w:rPr>
        <w:t xml:space="preserve"> mil. lei, constituind </w:t>
      </w:r>
      <w:r w:rsidR="002B7DAC" w:rsidRPr="00F55BA6">
        <w:rPr>
          <w:rFonts w:asciiTheme="majorHAnsi" w:eastAsia="Times New Roman" w:hAnsiTheme="majorHAnsi" w:cstheme="majorHAnsi"/>
          <w:sz w:val="24"/>
          <w:szCs w:val="24"/>
          <w:lang w:val="ro-RO"/>
        </w:rPr>
        <w:t>37 281,2</w:t>
      </w:r>
      <w:r w:rsidRPr="00F55BA6">
        <w:rPr>
          <w:rFonts w:asciiTheme="majorHAnsi" w:eastAsia="Times New Roman" w:hAnsiTheme="majorHAnsi" w:cstheme="majorHAnsi"/>
          <w:sz w:val="24"/>
          <w:szCs w:val="24"/>
          <w:lang w:val="ro-RO"/>
        </w:rPr>
        <w:t xml:space="preserve"> mil. lei, </w:t>
      </w:r>
      <w:r w:rsidR="002B7DAC" w:rsidRPr="00F55BA6">
        <w:rPr>
          <w:rFonts w:asciiTheme="majorHAnsi" w:eastAsia="Times New Roman" w:hAnsiTheme="majorHAnsi" w:cstheme="majorHAnsi"/>
          <w:sz w:val="24"/>
          <w:szCs w:val="24"/>
          <w:lang w:val="ro-RO"/>
        </w:rPr>
        <w:t xml:space="preserve">iar </w:t>
      </w:r>
      <w:r w:rsidRPr="00F55BA6">
        <w:rPr>
          <w:rFonts w:asciiTheme="majorHAnsi" w:eastAsia="Times New Roman" w:hAnsiTheme="majorHAnsi" w:cstheme="majorHAnsi"/>
          <w:sz w:val="24"/>
          <w:szCs w:val="24"/>
          <w:lang w:val="ro-RO"/>
        </w:rPr>
        <w:t>cheltuielile</w:t>
      </w:r>
      <w:r w:rsidR="002B7DAC" w:rsidRPr="00F55BA6">
        <w:rPr>
          <w:rFonts w:asciiTheme="majorHAnsi" w:eastAsia="Times New Roman" w:hAnsiTheme="majorHAnsi" w:cstheme="majorHAnsi"/>
          <w:sz w:val="24"/>
          <w:szCs w:val="24"/>
          <w:lang w:val="ro-RO"/>
        </w:rPr>
        <w:t xml:space="preserve"> au crescut</w:t>
      </w:r>
      <w:r w:rsidRPr="00F55BA6">
        <w:rPr>
          <w:rFonts w:asciiTheme="majorHAnsi" w:eastAsia="Times New Roman" w:hAnsiTheme="majorHAnsi" w:cstheme="majorHAnsi"/>
          <w:sz w:val="24"/>
          <w:szCs w:val="24"/>
          <w:lang w:val="ro-RO"/>
        </w:rPr>
        <w:t xml:space="preserve"> cu </w:t>
      </w:r>
      <w:r w:rsidR="002B7DAC" w:rsidRPr="00F55BA6">
        <w:rPr>
          <w:rFonts w:asciiTheme="majorHAnsi" w:eastAsia="Times New Roman" w:hAnsiTheme="majorHAnsi" w:cstheme="majorHAnsi"/>
          <w:sz w:val="24"/>
          <w:szCs w:val="24"/>
          <w:lang w:val="ro-RO"/>
        </w:rPr>
        <w:t>3,4%, sau cu (-1 728,7</w:t>
      </w:r>
      <w:r w:rsidRPr="00F55BA6">
        <w:rPr>
          <w:rFonts w:asciiTheme="majorHAnsi" w:eastAsia="Times New Roman" w:hAnsiTheme="majorHAnsi" w:cstheme="majorHAnsi"/>
          <w:sz w:val="24"/>
          <w:szCs w:val="24"/>
          <w:lang w:val="ro-RO"/>
        </w:rPr>
        <w:t xml:space="preserve"> mil. lei), constituind </w:t>
      </w:r>
      <w:r w:rsidR="002B7DAC" w:rsidRPr="00F55BA6">
        <w:rPr>
          <w:rFonts w:asciiTheme="majorHAnsi" w:eastAsia="Times New Roman" w:hAnsiTheme="majorHAnsi" w:cstheme="majorHAnsi"/>
          <w:sz w:val="24"/>
          <w:szCs w:val="24"/>
          <w:lang w:val="ro-RO"/>
        </w:rPr>
        <w:t>53 280,6</w:t>
      </w:r>
      <w:r w:rsidR="00FE2333" w:rsidRPr="00F55BA6">
        <w:rPr>
          <w:rFonts w:asciiTheme="majorHAnsi" w:eastAsia="Times New Roman" w:hAnsiTheme="majorHAnsi" w:cstheme="majorHAnsi"/>
          <w:sz w:val="24"/>
          <w:szCs w:val="24"/>
          <w:lang w:val="ro-RO"/>
        </w:rPr>
        <w:t xml:space="preserve"> mil. lei și</w:t>
      </w:r>
      <w:r w:rsidRPr="00F55BA6">
        <w:rPr>
          <w:rFonts w:asciiTheme="majorHAnsi" w:eastAsia="Times New Roman" w:hAnsiTheme="majorHAnsi" w:cstheme="majorHAnsi"/>
          <w:sz w:val="24"/>
          <w:szCs w:val="24"/>
          <w:lang w:val="ro-RO"/>
        </w:rPr>
        <w:t xml:space="preserve"> deficitul cu</w:t>
      </w:r>
      <w:r w:rsidR="00415531" w:rsidRPr="00F55BA6">
        <w:rPr>
          <w:rFonts w:asciiTheme="majorHAnsi" w:eastAsia="Times New Roman" w:hAnsiTheme="majorHAnsi" w:cstheme="majorHAnsi"/>
          <w:sz w:val="24"/>
          <w:szCs w:val="24"/>
          <w:lang w:val="ro-RO"/>
        </w:rPr>
        <w:t xml:space="preserve"> 115,8%</w:t>
      </w:r>
      <w:r w:rsidR="009131CF">
        <w:rPr>
          <w:rFonts w:asciiTheme="majorHAnsi" w:eastAsia="Times New Roman" w:hAnsiTheme="majorHAnsi" w:cstheme="majorHAnsi"/>
          <w:sz w:val="24"/>
          <w:szCs w:val="24"/>
          <w:lang w:val="ro-RO"/>
        </w:rPr>
        <w:t>,</w:t>
      </w:r>
      <w:r w:rsidR="00415531" w:rsidRPr="00F55BA6">
        <w:rPr>
          <w:rFonts w:asciiTheme="majorHAnsi" w:eastAsia="Times New Roman" w:hAnsiTheme="majorHAnsi" w:cstheme="majorHAnsi"/>
          <w:sz w:val="24"/>
          <w:szCs w:val="24"/>
          <w:lang w:val="ro-RO"/>
        </w:rPr>
        <w:t xml:space="preserve"> sau cu</w:t>
      </w:r>
      <w:r w:rsidRPr="00F55BA6">
        <w:rPr>
          <w:rFonts w:asciiTheme="majorHAnsi" w:eastAsia="Times New Roman" w:hAnsiTheme="majorHAnsi" w:cstheme="majorHAnsi"/>
          <w:sz w:val="24"/>
          <w:szCs w:val="24"/>
          <w:lang w:val="ro-RO"/>
        </w:rPr>
        <w:t xml:space="preserve"> (-</w:t>
      </w:r>
      <w:r w:rsidR="00415531" w:rsidRPr="00F55BA6">
        <w:rPr>
          <w:rFonts w:asciiTheme="majorHAnsi" w:eastAsia="Times New Roman" w:hAnsiTheme="majorHAnsi" w:cstheme="majorHAnsi"/>
          <w:sz w:val="24"/>
          <w:szCs w:val="24"/>
          <w:lang w:val="ro-RO"/>
        </w:rPr>
        <w:t>8 584,1</w:t>
      </w:r>
      <w:r w:rsidRPr="00F55BA6">
        <w:rPr>
          <w:rFonts w:asciiTheme="majorHAnsi" w:eastAsia="Times New Roman" w:hAnsiTheme="majorHAnsi" w:cstheme="majorHAnsi"/>
          <w:sz w:val="24"/>
          <w:szCs w:val="24"/>
          <w:lang w:val="ro-RO"/>
        </w:rPr>
        <w:t xml:space="preserve"> mil. lei). </w:t>
      </w:r>
      <w:r w:rsidR="00425BDE" w:rsidRPr="00F55BA6">
        <w:rPr>
          <w:rFonts w:asciiTheme="majorHAnsi" w:eastAsia="Times New Roman" w:hAnsiTheme="majorHAnsi" w:cstheme="majorHAnsi"/>
          <w:sz w:val="24"/>
          <w:szCs w:val="24"/>
          <w:lang w:val="ro-RO"/>
        </w:rPr>
        <w:t xml:space="preserve">Analiza auditului denotă că, în temeiul art.18 din Legea bugetară anuală și în baza propunerilor prezentate de executorii de buget, indicatorii aprobați de Parlament au fost modificați de către MF spre majorare cu </w:t>
      </w:r>
      <w:r w:rsidR="00B2117B" w:rsidRPr="00F55BA6">
        <w:rPr>
          <w:rFonts w:asciiTheme="majorHAnsi" w:eastAsia="Times New Roman" w:hAnsiTheme="majorHAnsi" w:cstheme="majorHAnsi"/>
          <w:sz w:val="24"/>
          <w:szCs w:val="24"/>
          <w:lang w:val="ro-RO"/>
        </w:rPr>
        <w:t>79,7</w:t>
      </w:r>
      <w:r w:rsidR="00B15D55" w:rsidRPr="00F55BA6">
        <w:rPr>
          <w:rFonts w:asciiTheme="majorHAnsi" w:eastAsia="Times New Roman" w:hAnsiTheme="majorHAnsi" w:cstheme="majorHAnsi"/>
          <w:sz w:val="24"/>
          <w:szCs w:val="24"/>
          <w:lang w:val="ro-RO"/>
        </w:rPr>
        <w:t xml:space="preserve"> mil. lei</w:t>
      </w:r>
      <w:r w:rsidR="00425BDE" w:rsidRPr="00F55BA6">
        <w:rPr>
          <w:rFonts w:asciiTheme="majorHAnsi" w:eastAsia="Times New Roman" w:hAnsiTheme="majorHAnsi" w:cstheme="majorHAnsi"/>
          <w:sz w:val="24"/>
          <w:szCs w:val="24"/>
          <w:lang w:val="ro-RO"/>
        </w:rPr>
        <w:t xml:space="preserve">. </w:t>
      </w:r>
      <w:r w:rsidR="007131DC" w:rsidRPr="00F55BA6">
        <w:rPr>
          <w:rFonts w:asciiTheme="majorHAnsi" w:hAnsiTheme="majorHAnsi" w:cstheme="majorHAnsi"/>
          <w:sz w:val="24"/>
          <w:szCs w:val="24"/>
          <w:lang w:val="ro-RO"/>
        </w:rPr>
        <w:t xml:space="preserve">Efectele pandemiei și consecințele secetei au condus la revizuirea urgentă și semnificativă a principalilor indicatori bugetari. </w:t>
      </w:r>
    </w:p>
    <w:p w:rsidR="007131DC" w:rsidRPr="00F55BA6" w:rsidRDefault="007131DC" w:rsidP="007131DC">
      <w:pPr>
        <w:spacing w:after="0" w:line="276" w:lineRule="auto"/>
        <w:rPr>
          <w:rFonts w:asciiTheme="majorHAnsi" w:eastAsia="Times New Roman" w:hAnsiTheme="majorHAnsi" w:cstheme="majorHAnsi"/>
          <w:sz w:val="24"/>
          <w:szCs w:val="24"/>
          <w:lang w:val="ro-RO"/>
        </w:rPr>
      </w:pPr>
      <w:r w:rsidRPr="00F55BA6">
        <w:rPr>
          <w:rFonts w:asciiTheme="majorHAnsi" w:hAnsiTheme="majorHAnsi" w:cstheme="majorHAnsi"/>
          <w:sz w:val="24"/>
          <w:szCs w:val="24"/>
          <w:lang w:val="ro-RO"/>
        </w:rPr>
        <w:t>Astfel, f</w:t>
      </w:r>
      <w:r w:rsidRPr="00F55BA6">
        <w:rPr>
          <w:rFonts w:ascii="Calibri Light" w:hAnsi="Calibri Light" w:cs="Calibri Light"/>
          <w:sz w:val="24"/>
          <w:szCs w:val="24"/>
          <w:lang w:val="ro-RO"/>
        </w:rPr>
        <w:t>actorii de bază care au determinat modificările la BS pe anul 2020</w:t>
      </w:r>
      <w:r w:rsidR="00FE5490" w:rsidRPr="00F55BA6">
        <w:rPr>
          <w:rFonts w:ascii="Calibri Light" w:hAnsi="Calibri Light" w:cs="Calibri Light"/>
          <w:sz w:val="24"/>
          <w:szCs w:val="24"/>
          <w:lang w:val="ro-RO"/>
        </w:rPr>
        <w:t xml:space="preserve"> s</w:t>
      </w:r>
      <w:r w:rsidR="004946B2">
        <w:rPr>
          <w:rFonts w:ascii="Calibri Light" w:hAnsi="Calibri Light" w:cs="Calibri Light"/>
          <w:sz w:val="24"/>
          <w:szCs w:val="24"/>
          <w:lang w:val="ro-RO"/>
        </w:rPr>
        <w:t>u</w:t>
      </w:r>
      <w:r w:rsidR="00FE5490" w:rsidRPr="00F55BA6">
        <w:rPr>
          <w:rFonts w:ascii="Calibri Light" w:hAnsi="Calibri Light" w:cs="Calibri Light"/>
          <w:sz w:val="24"/>
          <w:szCs w:val="24"/>
          <w:lang w:val="ro-RO"/>
        </w:rPr>
        <w:t>nt</w:t>
      </w:r>
      <w:r w:rsidRPr="00F55BA6">
        <w:rPr>
          <w:rFonts w:ascii="Calibri Light" w:hAnsi="Calibri Light" w:cs="Calibri Light"/>
          <w:sz w:val="24"/>
          <w:szCs w:val="24"/>
          <w:lang w:val="ro-RO"/>
        </w:rPr>
        <w:t>:</w:t>
      </w:r>
      <w:r w:rsidRPr="00F55BA6">
        <w:rPr>
          <w:rFonts w:ascii="Calibri Light" w:hAnsi="Calibri Light" w:cs="Calibri Light"/>
          <w:b/>
          <w:sz w:val="24"/>
          <w:szCs w:val="24"/>
          <w:lang w:val="ro-RO"/>
        </w:rPr>
        <w:t xml:space="preserve"> </w:t>
      </w:r>
      <w:r w:rsidRPr="00F55BA6">
        <w:rPr>
          <w:rFonts w:ascii="Calibri Light" w:hAnsi="Calibri Light" w:cs="Calibri Light"/>
          <w:i/>
          <w:sz w:val="24"/>
          <w:szCs w:val="24"/>
          <w:lang w:val="ro-RO"/>
        </w:rPr>
        <w:t>(i)</w:t>
      </w:r>
      <w:r w:rsidRPr="00F55BA6">
        <w:rPr>
          <w:rFonts w:ascii="Calibri Light" w:hAnsi="Calibri Light" w:cs="Calibri Light"/>
          <w:b/>
          <w:sz w:val="24"/>
          <w:szCs w:val="24"/>
          <w:lang w:val="ro-RO"/>
        </w:rPr>
        <w:t xml:space="preserve"> </w:t>
      </w:r>
      <w:r w:rsidRPr="00F55BA6">
        <w:rPr>
          <w:rFonts w:ascii="Calibri Light" w:hAnsi="Calibri Light" w:cs="Calibri Light"/>
          <w:sz w:val="24"/>
          <w:szCs w:val="24"/>
          <w:lang w:val="ro-RO"/>
        </w:rPr>
        <w:t>impactul pandemiei COVID-19 asupra economiei naționale;</w:t>
      </w:r>
      <w:r w:rsidRPr="00F55BA6">
        <w:rPr>
          <w:rFonts w:ascii="Calibri Light" w:hAnsi="Calibri Light" w:cs="Calibri Light"/>
          <w:b/>
          <w:sz w:val="24"/>
          <w:szCs w:val="24"/>
          <w:lang w:val="ro-RO"/>
        </w:rPr>
        <w:t xml:space="preserve"> </w:t>
      </w:r>
      <w:r w:rsidRPr="00F55BA6">
        <w:rPr>
          <w:rFonts w:ascii="Calibri Light" w:hAnsi="Calibri Light" w:cs="Calibri Light"/>
          <w:i/>
          <w:sz w:val="24"/>
          <w:szCs w:val="24"/>
          <w:lang w:val="ro-RO"/>
        </w:rPr>
        <w:t>(ii)</w:t>
      </w:r>
      <w:r w:rsidRPr="00F55BA6">
        <w:rPr>
          <w:rFonts w:ascii="Calibri Light" w:hAnsi="Calibri Light" w:cs="Calibri Light"/>
          <w:b/>
          <w:sz w:val="24"/>
          <w:szCs w:val="24"/>
          <w:lang w:val="ro-RO"/>
        </w:rPr>
        <w:t xml:space="preserve"> </w:t>
      </w:r>
      <w:r w:rsidRPr="00F55BA6">
        <w:rPr>
          <w:rFonts w:ascii="Calibri Light" w:hAnsi="Calibri Light" w:cs="Calibri Light"/>
          <w:sz w:val="24"/>
          <w:szCs w:val="24"/>
          <w:lang w:val="ro-RO"/>
        </w:rPr>
        <w:t>ajustarea sumelor intrărilor de granturi și împrumuturi pentru suport bugetar și proiecte finanțate din surse externe;</w:t>
      </w:r>
      <w:r w:rsidRPr="00F55BA6">
        <w:rPr>
          <w:rFonts w:ascii="Calibri Light" w:hAnsi="Calibri Light" w:cs="Calibri Light"/>
          <w:b/>
          <w:sz w:val="24"/>
          <w:szCs w:val="24"/>
          <w:lang w:val="ro-RO"/>
        </w:rPr>
        <w:t xml:space="preserve"> </w:t>
      </w:r>
      <w:r w:rsidRPr="00F55BA6">
        <w:rPr>
          <w:rFonts w:ascii="Calibri Light" w:hAnsi="Calibri Light" w:cs="Calibri Light"/>
          <w:i/>
          <w:sz w:val="24"/>
          <w:szCs w:val="24"/>
          <w:lang w:val="ro-RO"/>
        </w:rPr>
        <w:t>(iii)</w:t>
      </w:r>
      <w:r w:rsidRPr="00F55BA6">
        <w:rPr>
          <w:rFonts w:ascii="Calibri Light" w:hAnsi="Calibri Light" w:cs="Calibri Light"/>
          <w:b/>
          <w:sz w:val="24"/>
          <w:szCs w:val="24"/>
          <w:lang w:val="ro-RO"/>
        </w:rPr>
        <w:t xml:space="preserve"> </w:t>
      </w:r>
      <w:r w:rsidRPr="00F55BA6">
        <w:rPr>
          <w:rFonts w:ascii="Calibri Light" w:hAnsi="Calibri Light" w:cs="Calibri Light"/>
          <w:sz w:val="24"/>
          <w:szCs w:val="24"/>
          <w:lang w:val="ro-RO"/>
        </w:rPr>
        <w:t>revizuirea și prioritizarea programelor de cheltuieli, fără a prejudicia cheltuielile prioritare, cu includerea unor programe noi;</w:t>
      </w:r>
      <w:r w:rsidRPr="00F55BA6">
        <w:rPr>
          <w:rFonts w:ascii="Calibri Light" w:hAnsi="Calibri Light" w:cs="Calibri Light"/>
          <w:b/>
          <w:sz w:val="24"/>
          <w:szCs w:val="24"/>
          <w:lang w:val="ro-RO"/>
        </w:rPr>
        <w:t xml:space="preserve"> </w:t>
      </w:r>
      <w:r w:rsidRPr="00F55BA6">
        <w:rPr>
          <w:rFonts w:ascii="Calibri Light" w:hAnsi="Calibri Light" w:cs="Calibri Light"/>
          <w:i/>
          <w:sz w:val="24"/>
          <w:szCs w:val="24"/>
          <w:lang w:val="ro-RO"/>
        </w:rPr>
        <w:t>(iv)</w:t>
      </w:r>
      <w:r w:rsidRPr="00F55BA6">
        <w:rPr>
          <w:rFonts w:ascii="Calibri Light" w:hAnsi="Calibri Light" w:cs="Calibri Light"/>
          <w:b/>
          <w:sz w:val="24"/>
          <w:szCs w:val="24"/>
          <w:lang w:val="ro-RO"/>
        </w:rPr>
        <w:t xml:space="preserve"> </w:t>
      </w:r>
      <w:r w:rsidRPr="00F55BA6">
        <w:rPr>
          <w:rFonts w:ascii="Calibri Light" w:hAnsi="Calibri Light" w:cs="Calibri Light"/>
          <w:sz w:val="24"/>
          <w:szCs w:val="24"/>
          <w:lang w:val="ro-RO"/>
        </w:rPr>
        <w:t>compensarea veniturilor ratate de către bugetele locale (</w:t>
      </w:r>
      <w:r w:rsidR="00D5186D" w:rsidRPr="00F55BA6">
        <w:rPr>
          <w:rFonts w:ascii="Calibri Light" w:hAnsi="Calibri Light" w:cs="Calibri Light"/>
          <w:sz w:val="24"/>
          <w:szCs w:val="24"/>
          <w:lang w:val="ro-RO"/>
        </w:rPr>
        <w:t>192,1</w:t>
      </w:r>
      <w:r w:rsidRPr="00F55BA6">
        <w:rPr>
          <w:rFonts w:ascii="Calibri Light" w:hAnsi="Calibri Light" w:cs="Calibri Light"/>
          <w:sz w:val="24"/>
          <w:szCs w:val="24"/>
          <w:lang w:val="ro-RO"/>
        </w:rPr>
        <w:t xml:space="preserve"> mil. lei), BASS (</w:t>
      </w:r>
      <w:r w:rsidR="005B3DB3" w:rsidRPr="00F55BA6">
        <w:rPr>
          <w:rFonts w:ascii="Calibri Light" w:hAnsi="Calibri Light" w:cs="Calibri Light"/>
          <w:sz w:val="24"/>
          <w:szCs w:val="24"/>
          <w:lang w:val="ro-RO"/>
        </w:rPr>
        <w:t>682,3</w:t>
      </w:r>
      <w:r w:rsidRPr="00F55BA6">
        <w:rPr>
          <w:rFonts w:ascii="Calibri Light" w:hAnsi="Calibri Light" w:cs="Calibri Light"/>
          <w:sz w:val="24"/>
          <w:szCs w:val="24"/>
          <w:lang w:val="ro-RO"/>
        </w:rPr>
        <w:t xml:space="preserve"> mil. lei) și FAOAM (</w:t>
      </w:r>
      <w:r w:rsidR="005B3DB3" w:rsidRPr="00F55BA6">
        <w:rPr>
          <w:rFonts w:ascii="Calibri Light" w:hAnsi="Calibri Light" w:cs="Calibri Light"/>
          <w:sz w:val="24"/>
          <w:szCs w:val="24"/>
          <w:lang w:val="ro-RO"/>
        </w:rPr>
        <w:t>410,6 mil.</w:t>
      </w:r>
      <w:r w:rsidRPr="00F55BA6">
        <w:rPr>
          <w:rFonts w:ascii="Calibri Light" w:hAnsi="Calibri Light" w:cs="Calibri Light"/>
          <w:sz w:val="24"/>
          <w:szCs w:val="24"/>
          <w:lang w:val="ro-RO"/>
        </w:rPr>
        <w:t xml:space="preserve"> lei) cu menținerea nivelului de cheltuieli ale FAOAM, în pofida ratării veniturilor </w:t>
      </w:r>
      <w:r w:rsidRPr="00F55BA6">
        <w:rPr>
          <w:rFonts w:ascii="Calibri Light" w:hAnsi="Calibri Light" w:cs="Calibri Light"/>
          <w:sz w:val="24"/>
          <w:szCs w:val="24"/>
          <w:lang w:val="ro-RO"/>
        </w:rPr>
        <w:lastRenderedPageBreak/>
        <w:t>de către acestea.</w:t>
      </w:r>
      <w:r w:rsidRPr="00F55BA6">
        <w:rPr>
          <w:rFonts w:asciiTheme="majorHAnsi" w:hAnsiTheme="majorHAnsi" w:cstheme="majorHAnsi"/>
          <w:sz w:val="24"/>
          <w:szCs w:val="24"/>
          <w:lang w:val="ro-RO"/>
        </w:rPr>
        <w:t xml:space="preserve"> </w:t>
      </w:r>
      <w:r w:rsidRPr="00F55BA6">
        <w:rPr>
          <w:rFonts w:asciiTheme="majorHAnsi" w:eastAsia="Times New Roman" w:hAnsiTheme="majorHAnsi" w:cstheme="majorHAnsi"/>
          <w:i/>
          <w:sz w:val="24"/>
          <w:szCs w:val="24"/>
          <w:lang w:val="ro-RO"/>
        </w:rPr>
        <w:t xml:space="preserve">Sinteza modificărilor operate la principalii indicatori ai BS pe anul 2020 este prezentată în </w:t>
      </w:r>
      <w:r w:rsidR="00D6543E" w:rsidRPr="00F55BA6">
        <w:rPr>
          <w:rFonts w:asciiTheme="majorHAnsi" w:eastAsia="Times New Roman" w:hAnsiTheme="majorHAnsi" w:cstheme="majorHAnsi"/>
          <w:i/>
          <w:iCs/>
          <w:sz w:val="24"/>
          <w:szCs w:val="24"/>
          <w:lang w:val="ro-RO"/>
        </w:rPr>
        <w:t>Anexa nr.</w:t>
      </w:r>
      <w:r w:rsidR="00620EF3" w:rsidRPr="00F55BA6">
        <w:rPr>
          <w:rFonts w:asciiTheme="majorHAnsi" w:eastAsia="Times New Roman" w:hAnsiTheme="majorHAnsi" w:cstheme="majorHAnsi"/>
          <w:i/>
          <w:iCs/>
          <w:sz w:val="24"/>
          <w:szCs w:val="24"/>
          <w:lang w:val="ro-RO"/>
        </w:rPr>
        <w:t>9</w:t>
      </w:r>
      <w:r w:rsidRPr="00F55BA6">
        <w:rPr>
          <w:rFonts w:asciiTheme="majorHAnsi" w:eastAsia="Times New Roman" w:hAnsiTheme="majorHAnsi" w:cstheme="majorHAnsi"/>
          <w:i/>
          <w:iCs/>
          <w:sz w:val="24"/>
          <w:szCs w:val="24"/>
          <w:lang w:val="ro-RO"/>
        </w:rPr>
        <w:t xml:space="preserve"> la prezentul Raport de audit.</w:t>
      </w:r>
    </w:p>
    <w:p w:rsidR="00B2117B" w:rsidRPr="00F55BA6" w:rsidRDefault="00082624" w:rsidP="009C3E90">
      <w:pPr>
        <w:spacing w:after="0" w:line="276" w:lineRule="auto"/>
        <w:rPr>
          <w:rFonts w:asciiTheme="majorHAnsi" w:eastAsia="Times New Roman" w:hAnsiTheme="majorHAnsi" w:cstheme="majorHAnsi"/>
          <w:sz w:val="24"/>
          <w:szCs w:val="24"/>
          <w:lang w:val="ro-RO"/>
        </w:rPr>
      </w:pPr>
      <w:r w:rsidRPr="00F55BA6">
        <w:rPr>
          <w:rFonts w:asciiTheme="majorHAnsi" w:eastAsia="Times New Roman" w:hAnsiTheme="majorHAnsi" w:cstheme="majorHAnsi"/>
          <w:sz w:val="24"/>
          <w:szCs w:val="24"/>
          <w:lang w:val="ro-RO"/>
        </w:rPr>
        <w:t>Analizând datele privind executarea bugetului de stat pe anul 2020, față de indicatorii precizați, prin prisma responsabilităților MF de a menține în permanență un echilibru bugetar corespunzător, auditul relevă că încasările realizate în sumă de 38 500,5 mil. lei au fost supraîncasate cu 1 219,3 mil. lei (3,3%)</w:t>
      </w:r>
      <w:r w:rsidR="00305823" w:rsidRPr="00F55BA6">
        <w:rPr>
          <w:rFonts w:asciiTheme="majorHAnsi" w:eastAsia="Times New Roman" w:hAnsiTheme="majorHAnsi" w:cstheme="majorHAnsi"/>
          <w:sz w:val="24"/>
          <w:szCs w:val="24"/>
          <w:lang w:val="ro-RO"/>
        </w:rPr>
        <w:t>,</w:t>
      </w:r>
      <w:r w:rsidRPr="00F55BA6">
        <w:rPr>
          <w:rFonts w:asciiTheme="majorHAnsi" w:eastAsia="Times New Roman" w:hAnsiTheme="majorHAnsi" w:cstheme="majorHAnsi"/>
          <w:sz w:val="24"/>
          <w:szCs w:val="24"/>
          <w:lang w:val="ro-RO"/>
        </w:rPr>
        <w:t xml:space="preserve"> iar cheltuielile de casă în sumă de 49 635,4 mil. lei au fost executate sub nivelul cheltuielilor bugetare precizate cu (-3 645,2) mil. lei (6,8%). </w:t>
      </w:r>
      <w:r w:rsidR="00425BDE" w:rsidRPr="00F55BA6">
        <w:rPr>
          <w:rFonts w:asciiTheme="majorHAnsi" w:eastAsia="Times New Roman" w:hAnsiTheme="majorHAnsi" w:cstheme="majorHAnsi"/>
          <w:i/>
          <w:sz w:val="24"/>
          <w:szCs w:val="24"/>
          <w:lang w:val="ro-RO"/>
        </w:rPr>
        <w:t xml:space="preserve">Analiza </w:t>
      </w:r>
      <w:r w:rsidR="00425BDE" w:rsidRPr="00F55BA6">
        <w:rPr>
          <w:rFonts w:asciiTheme="majorHAnsi" w:eastAsia="Times New Roman" w:hAnsiTheme="majorHAnsi" w:cstheme="majorHAnsi"/>
          <w:sz w:val="24"/>
          <w:szCs w:val="24"/>
          <w:lang w:val="ro-RO"/>
        </w:rPr>
        <w:t>e</w:t>
      </w:r>
      <w:r w:rsidR="00425BDE" w:rsidRPr="00F55BA6">
        <w:rPr>
          <w:rFonts w:asciiTheme="majorHAnsi" w:eastAsia="Times New Roman" w:hAnsiTheme="majorHAnsi" w:cstheme="majorHAnsi"/>
          <w:i/>
          <w:iCs/>
          <w:sz w:val="24"/>
          <w:szCs w:val="24"/>
          <w:lang w:val="ro-RO"/>
        </w:rPr>
        <w:t xml:space="preserve">xecuției de ansamblu </w:t>
      </w:r>
      <w:r w:rsidR="004D6759" w:rsidRPr="00F55BA6">
        <w:rPr>
          <w:rFonts w:asciiTheme="majorHAnsi" w:eastAsia="Times New Roman" w:hAnsiTheme="majorHAnsi" w:cstheme="majorHAnsi"/>
          <w:i/>
          <w:iCs/>
          <w:sz w:val="24"/>
          <w:szCs w:val="24"/>
          <w:lang w:val="ro-RO"/>
        </w:rPr>
        <w:t>a bugetului de stat pe anul 2020</w:t>
      </w:r>
      <w:r w:rsidR="007257D8" w:rsidRPr="00F55BA6">
        <w:rPr>
          <w:rFonts w:asciiTheme="majorHAnsi" w:eastAsia="Times New Roman" w:hAnsiTheme="majorHAnsi" w:cstheme="majorHAnsi"/>
          <w:i/>
          <w:iCs/>
          <w:sz w:val="24"/>
          <w:szCs w:val="24"/>
          <w:lang w:val="ro-RO"/>
        </w:rPr>
        <w:t xml:space="preserve"> se prezintă în Tabelul nr.2</w:t>
      </w:r>
      <w:r w:rsidR="00425BDE" w:rsidRPr="00F55BA6">
        <w:rPr>
          <w:rFonts w:asciiTheme="majorHAnsi" w:eastAsia="Times New Roman" w:hAnsiTheme="majorHAnsi" w:cstheme="majorHAnsi"/>
          <w:i/>
          <w:iCs/>
          <w:sz w:val="24"/>
          <w:szCs w:val="24"/>
          <w:lang w:val="ro-RO"/>
        </w:rPr>
        <w:t>.</w:t>
      </w:r>
    </w:p>
    <w:p w:rsidR="00B2117B" w:rsidRPr="00F55BA6" w:rsidRDefault="007257D8" w:rsidP="00B2117B">
      <w:pPr>
        <w:spacing w:after="0" w:line="240" w:lineRule="auto"/>
        <w:jc w:val="right"/>
        <w:rPr>
          <w:rFonts w:asciiTheme="majorHAnsi" w:eastAsia="Times New Roman" w:hAnsiTheme="majorHAnsi" w:cstheme="majorHAnsi"/>
          <w:i/>
          <w:sz w:val="24"/>
          <w:szCs w:val="24"/>
          <w:lang w:val="ro-RO"/>
        </w:rPr>
      </w:pPr>
      <w:r w:rsidRPr="00F55BA6">
        <w:rPr>
          <w:rFonts w:asciiTheme="majorHAnsi" w:eastAsia="Times New Roman" w:hAnsiTheme="majorHAnsi" w:cstheme="majorHAnsi"/>
          <w:i/>
          <w:sz w:val="24"/>
          <w:szCs w:val="24"/>
          <w:lang w:val="ro-RO"/>
        </w:rPr>
        <w:t>Tabelul nr.2</w:t>
      </w:r>
    </w:p>
    <w:p w:rsidR="00B2117B" w:rsidRPr="00F55BA6" w:rsidRDefault="00B2117B" w:rsidP="00B2117B">
      <w:pPr>
        <w:spacing w:after="0" w:line="240" w:lineRule="auto"/>
        <w:jc w:val="center"/>
        <w:rPr>
          <w:rFonts w:asciiTheme="majorHAnsi" w:eastAsia="Times New Roman" w:hAnsiTheme="majorHAnsi" w:cstheme="majorHAnsi"/>
          <w:sz w:val="24"/>
          <w:szCs w:val="24"/>
          <w:lang w:val="ro-RO"/>
        </w:rPr>
      </w:pPr>
      <w:r w:rsidRPr="00F55BA6">
        <w:rPr>
          <w:rFonts w:asciiTheme="majorHAnsi" w:eastAsia="Times New Roman" w:hAnsiTheme="majorHAnsi" w:cstheme="majorHAnsi"/>
          <w:b/>
          <w:bCs/>
          <w:sz w:val="24"/>
          <w:szCs w:val="24"/>
          <w:lang w:val="ro-RO"/>
        </w:rPr>
        <w:t xml:space="preserve">Executarea </w:t>
      </w:r>
      <w:r w:rsidR="00DF0A9A">
        <w:rPr>
          <w:rFonts w:asciiTheme="majorHAnsi" w:eastAsia="Times New Roman" w:hAnsiTheme="majorHAnsi" w:cstheme="majorHAnsi"/>
          <w:b/>
          <w:bCs/>
          <w:sz w:val="24"/>
          <w:szCs w:val="24"/>
          <w:lang w:val="ro-RO"/>
        </w:rPr>
        <w:t>b</w:t>
      </w:r>
      <w:r w:rsidRPr="00F55BA6">
        <w:rPr>
          <w:rFonts w:asciiTheme="majorHAnsi" w:eastAsia="Times New Roman" w:hAnsiTheme="majorHAnsi" w:cstheme="majorHAnsi"/>
          <w:b/>
          <w:bCs/>
          <w:sz w:val="24"/>
          <w:szCs w:val="24"/>
          <w:lang w:val="ro-RO"/>
        </w:rPr>
        <w:t>ugetului de stat față de sumele aprobate și precizate pe anul 2020</w:t>
      </w:r>
    </w:p>
    <w:tbl>
      <w:tblPr>
        <w:tblStyle w:val="GridTable1Light1"/>
        <w:tblW w:w="5131" w:type="pct"/>
        <w:tblLook w:val="04A0" w:firstRow="1" w:lastRow="0" w:firstColumn="1" w:lastColumn="0" w:noHBand="0" w:noVBand="1"/>
      </w:tblPr>
      <w:tblGrid>
        <w:gridCol w:w="1095"/>
        <w:gridCol w:w="1132"/>
        <w:gridCol w:w="1204"/>
        <w:gridCol w:w="1104"/>
        <w:gridCol w:w="1029"/>
        <w:gridCol w:w="1037"/>
        <w:gridCol w:w="1118"/>
        <w:gridCol w:w="1083"/>
        <w:gridCol w:w="1118"/>
        <w:gridCol w:w="6"/>
        <w:gridCol w:w="6"/>
      </w:tblGrid>
      <w:tr w:rsidR="00B2117B" w:rsidRPr="00E4517B" w:rsidTr="00692C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1"/>
          </w:tcPr>
          <w:p w:rsidR="00B2117B" w:rsidRPr="00F55BA6" w:rsidRDefault="00B2117B" w:rsidP="00B2117B">
            <w:pPr>
              <w:jc w:val="right"/>
              <w:rPr>
                <w:rFonts w:asciiTheme="majorHAnsi" w:eastAsia="Times New Roman" w:hAnsiTheme="majorHAnsi" w:cstheme="majorHAnsi"/>
                <w:sz w:val="24"/>
                <w:szCs w:val="24"/>
                <w:lang w:val="ro-RO"/>
              </w:rPr>
            </w:pPr>
            <w:r w:rsidRPr="00F55BA6">
              <w:rPr>
                <w:rFonts w:asciiTheme="majorHAnsi" w:eastAsia="Times New Roman" w:hAnsiTheme="majorHAnsi" w:cstheme="majorHAnsi"/>
                <w:iCs/>
                <w:sz w:val="24"/>
                <w:szCs w:val="24"/>
                <w:lang w:val="ro-RO"/>
              </w:rPr>
              <w:t xml:space="preserve"> (mil. lei) </w:t>
            </w:r>
          </w:p>
        </w:tc>
      </w:tr>
      <w:tr w:rsidR="00B2117B" w:rsidRPr="00E4517B" w:rsidTr="00692C6E">
        <w:trPr>
          <w:gridAfter w:val="1"/>
          <w:wAfter w:w="3" w:type="pct"/>
        </w:trPr>
        <w:tc>
          <w:tcPr>
            <w:cnfStyle w:val="001000000000" w:firstRow="0" w:lastRow="0" w:firstColumn="1" w:lastColumn="0" w:oddVBand="0" w:evenVBand="0" w:oddHBand="0" w:evenHBand="0" w:firstRowFirstColumn="0" w:firstRowLastColumn="0" w:lastRowFirstColumn="0" w:lastRowLastColumn="0"/>
            <w:tcW w:w="551" w:type="pct"/>
            <w:vMerge w:val="restart"/>
            <w:vAlign w:val="center"/>
            <w:hideMark/>
          </w:tcPr>
          <w:p w:rsidR="00B2117B" w:rsidRPr="00F55BA6" w:rsidRDefault="00B2117B" w:rsidP="00B2117B">
            <w:pPr>
              <w:jc w:val="center"/>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Indicatori sintetici</w:t>
            </w:r>
          </w:p>
        </w:tc>
        <w:tc>
          <w:tcPr>
            <w:tcW w:w="570" w:type="pct"/>
            <w:vMerge w:val="restart"/>
            <w:vAlign w:val="center"/>
            <w:hideMark/>
          </w:tcPr>
          <w:p w:rsidR="00B2117B" w:rsidRPr="00F55BA6" w:rsidRDefault="00B2117B" w:rsidP="00B2117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RO"/>
              </w:rPr>
            </w:pPr>
            <w:r w:rsidRPr="00F55BA6">
              <w:rPr>
                <w:rFonts w:asciiTheme="majorHAnsi" w:eastAsia="Times New Roman" w:hAnsiTheme="majorHAnsi" w:cstheme="majorHAnsi"/>
                <w:b/>
                <w:bCs/>
                <w:sz w:val="20"/>
                <w:szCs w:val="20"/>
                <w:lang w:val="ro-RO"/>
              </w:rPr>
              <w:t>Prevederi bugetare aprobate</w:t>
            </w:r>
            <w:r w:rsidRPr="00F55BA6">
              <w:rPr>
                <w:rFonts w:asciiTheme="majorHAnsi" w:eastAsia="Times New Roman" w:hAnsiTheme="majorHAnsi" w:cstheme="majorHAnsi"/>
                <w:b/>
                <w:bCs/>
                <w:sz w:val="20"/>
                <w:szCs w:val="20"/>
                <w:vertAlign w:val="superscript"/>
                <w:lang w:val="ro-RO"/>
              </w:rPr>
              <w:t>*</w:t>
            </w:r>
            <w:r w:rsidRPr="00F55BA6">
              <w:rPr>
                <w:rFonts w:asciiTheme="majorHAnsi" w:eastAsia="Times New Roman" w:hAnsiTheme="majorHAnsi" w:cstheme="majorHAnsi"/>
                <w:b/>
                <w:bCs/>
                <w:sz w:val="20"/>
                <w:szCs w:val="20"/>
                <w:lang w:val="ro-RO"/>
              </w:rPr>
              <w:t xml:space="preserve"> </w:t>
            </w:r>
          </w:p>
        </w:tc>
        <w:tc>
          <w:tcPr>
            <w:tcW w:w="606" w:type="pct"/>
            <w:vMerge w:val="restart"/>
            <w:vAlign w:val="center"/>
          </w:tcPr>
          <w:p w:rsidR="00B2117B" w:rsidRPr="00F55BA6" w:rsidRDefault="00B2117B" w:rsidP="00B2117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RO"/>
              </w:rPr>
            </w:pPr>
            <w:r w:rsidRPr="00F55BA6">
              <w:rPr>
                <w:rFonts w:asciiTheme="majorHAnsi" w:eastAsia="Times New Roman" w:hAnsiTheme="majorHAnsi" w:cstheme="majorHAnsi"/>
                <w:b/>
                <w:bCs/>
                <w:sz w:val="20"/>
                <w:szCs w:val="20"/>
                <w:lang w:val="ro-RO"/>
              </w:rPr>
              <w:t>Prevederi modificate prin Lege</w:t>
            </w:r>
          </w:p>
        </w:tc>
        <w:tc>
          <w:tcPr>
            <w:tcW w:w="556" w:type="pct"/>
            <w:vMerge w:val="restart"/>
            <w:vAlign w:val="center"/>
            <w:hideMark/>
          </w:tcPr>
          <w:p w:rsidR="00B2117B" w:rsidRPr="00F55BA6" w:rsidRDefault="00B2117B" w:rsidP="00B2117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RO"/>
              </w:rPr>
            </w:pPr>
            <w:r w:rsidRPr="00F55BA6">
              <w:rPr>
                <w:rFonts w:asciiTheme="majorHAnsi" w:eastAsia="Times New Roman" w:hAnsiTheme="majorHAnsi" w:cstheme="majorHAnsi"/>
                <w:b/>
                <w:bCs/>
                <w:sz w:val="20"/>
                <w:szCs w:val="20"/>
                <w:lang w:val="ro-RO"/>
              </w:rPr>
              <w:t>Prevederi bugetare</w:t>
            </w:r>
            <w:r w:rsidRPr="00F55BA6">
              <w:rPr>
                <w:rFonts w:asciiTheme="majorHAnsi" w:eastAsia="Times New Roman" w:hAnsiTheme="majorHAnsi" w:cstheme="majorHAnsi"/>
                <w:b/>
                <w:bCs/>
                <w:sz w:val="20"/>
                <w:szCs w:val="20"/>
                <w:lang w:val="ro-RO"/>
              </w:rPr>
              <w:br/>
              <w:t>precizate</w:t>
            </w:r>
          </w:p>
        </w:tc>
        <w:tc>
          <w:tcPr>
            <w:tcW w:w="518" w:type="pct"/>
            <w:vMerge w:val="restart"/>
            <w:vAlign w:val="center"/>
            <w:hideMark/>
          </w:tcPr>
          <w:p w:rsidR="00B2117B" w:rsidRPr="00F55BA6" w:rsidRDefault="00B2117B" w:rsidP="00B2117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RO"/>
              </w:rPr>
            </w:pPr>
            <w:r w:rsidRPr="00F55BA6">
              <w:rPr>
                <w:rFonts w:asciiTheme="majorHAnsi" w:eastAsia="Times New Roman" w:hAnsiTheme="majorHAnsi" w:cstheme="majorHAnsi"/>
                <w:b/>
                <w:bCs/>
                <w:sz w:val="20"/>
                <w:szCs w:val="20"/>
                <w:lang w:val="ro-RO"/>
              </w:rPr>
              <w:t>Executat</w:t>
            </w:r>
          </w:p>
        </w:tc>
        <w:tc>
          <w:tcPr>
            <w:tcW w:w="1085" w:type="pct"/>
            <w:gridSpan w:val="2"/>
            <w:vAlign w:val="center"/>
            <w:hideMark/>
          </w:tcPr>
          <w:p w:rsidR="00B2117B" w:rsidRPr="00F55BA6" w:rsidRDefault="00B2117B" w:rsidP="00B2117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RO"/>
              </w:rPr>
            </w:pPr>
            <w:r w:rsidRPr="00F55BA6">
              <w:rPr>
                <w:rFonts w:asciiTheme="majorHAnsi" w:eastAsia="Times New Roman" w:hAnsiTheme="majorHAnsi" w:cstheme="majorHAnsi"/>
                <w:b/>
                <w:bCs/>
                <w:sz w:val="20"/>
                <w:szCs w:val="20"/>
                <w:lang w:val="ro-RO"/>
              </w:rPr>
              <w:t>Executat față</w:t>
            </w:r>
            <w:r w:rsidRPr="00F55BA6">
              <w:rPr>
                <w:rFonts w:asciiTheme="majorHAnsi" w:eastAsia="Times New Roman" w:hAnsiTheme="majorHAnsi" w:cstheme="majorHAnsi"/>
                <w:b/>
                <w:bCs/>
                <w:sz w:val="20"/>
                <w:szCs w:val="20"/>
                <w:lang w:val="ro-RO"/>
              </w:rPr>
              <w:br/>
              <w:t>de aprobat</w:t>
            </w:r>
          </w:p>
        </w:tc>
        <w:tc>
          <w:tcPr>
            <w:tcW w:w="1111" w:type="pct"/>
            <w:gridSpan w:val="3"/>
            <w:vAlign w:val="center"/>
            <w:hideMark/>
          </w:tcPr>
          <w:p w:rsidR="00B2117B" w:rsidRPr="00F55BA6" w:rsidRDefault="00B2117B" w:rsidP="00B2117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RO"/>
              </w:rPr>
            </w:pPr>
            <w:r w:rsidRPr="00F55BA6">
              <w:rPr>
                <w:rFonts w:asciiTheme="majorHAnsi" w:eastAsia="Times New Roman" w:hAnsiTheme="majorHAnsi" w:cstheme="majorHAnsi"/>
                <w:b/>
                <w:bCs/>
                <w:sz w:val="20"/>
                <w:szCs w:val="20"/>
                <w:lang w:val="ro-RO"/>
              </w:rPr>
              <w:t>Executat față</w:t>
            </w:r>
            <w:r w:rsidRPr="00F55BA6">
              <w:rPr>
                <w:rFonts w:asciiTheme="majorHAnsi" w:eastAsia="Times New Roman" w:hAnsiTheme="majorHAnsi" w:cstheme="majorHAnsi"/>
                <w:b/>
                <w:bCs/>
                <w:sz w:val="20"/>
                <w:szCs w:val="20"/>
                <w:lang w:val="ro-RO"/>
              </w:rPr>
              <w:br/>
              <w:t>de precizat</w:t>
            </w:r>
          </w:p>
        </w:tc>
      </w:tr>
      <w:tr w:rsidR="00B2117B" w:rsidRPr="00E4517B" w:rsidTr="00692C6E">
        <w:trPr>
          <w:gridAfter w:val="2"/>
          <w:wAfter w:w="6" w:type="pct"/>
        </w:trPr>
        <w:tc>
          <w:tcPr>
            <w:cnfStyle w:val="001000000000" w:firstRow="0" w:lastRow="0" w:firstColumn="1" w:lastColumn="0" w:oddVBand="0" w:evenVBand="0" w:oddHBand="0" w:evenHBand="0" w:firstRowFirstColumn="0" w:firstRowLastColumn="0" w:lastRowFirstColumn="0" w:lastRowLastColumn="0"/>
            <w:tcW w:w="551" w:type="pct"/>
            <w:vMerge/>
            <w:vAlign w:val="center"/>
            <w:hideMark/>
          </w:tcPr>
          <w:p w:rsidR="00B2117B" w:rsidRPr="00F55BA6" w:rsidRDefault="00B2117B" w:rsidP="00B2117B">
            <w:pPr>
              <w:jc w:val="left"/>
              <w:rPr>
                <w:rFonts w:asciiTheme="majorHAnsi" w:eastAsia="Times New Roman" w:hAnsiTheme="majorHAnsi" w:cstheme="majorHAnsi"/>
                <w:sz w:val="20"/>
                <w:szCs w:val="20"/>
                <w:lang w:val="ro-RO"/>
              </w:rPr>
            </w:pPr>
          </w:p>
        </w:tc>
        <w:tc>
          <w:tcPr>
            <w:tcW w:w="570" w:type="pct"/>
            <w:vMerge/>
            <w:vAlign w:val="center"/>
            <w:hideMark/>
          </w:tcPr>
          <w:p w:rsidR="00B2117B" w:rsidRPr="00F55BA6" w:rsidRDefault="00B2117B" w:rsidP="00B2117B">
            <w:pPr>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RO"/>
              </w:rPr>
            </w:pPr>
          </w:p>
        </w:tc>
        <w:tc>
          <w:tcPr>
            <w:tcW w:w="606" w:type="pct"/>
            <w:vMerge/>
            <w:vAlign w:val="center"/>
          </w:tcPr>
          <w:p w:rsidR="00B2117B" w:rsidRPr="00F55BA6" w:rsidRDefault="00B2117B" w:rsidP="00B2117B">
            <w:pPr>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RO"/>
              </w:rPr>
            </w:pPr>
          </w:p>
        </w:tc>
        <w:tc>
          <w:tcPr>
            <w:tcW w:w="556" w:type="pct"/>
            <w:vMerge/>
            <w:vAlign w:val="center"/>
            <w:hideMark/>
          </w:tcPr>
          <w:p w:rsidR="00B2117B" w:rsidRPr="00F55BA6" w:rsidRDefault="00B2117B" w:rsidP="00B2117B">
            <w:pPr>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RO"/>
              </w:rPr>
            </w:pPr>
          </w:p>
        </w:tc>
        <w:tc>
          <w:tcPr>
            <w:tcW w:w="518" w:type="pct"/>
            <w:vMerge/>
            <w:vAlign w:val="center"/>
            <w:hideMark/>
          </w:tcPr>
          <w:p w:rsidR="00B2117B" w:rsidRPr="00F55BA6" w:rsidRDefault="00B2117B" w:rsidP="00B2117B">
            <w:pPr>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RO"/>
              </w:rPr>
            </w:pPr>
          </w:p>
        </w:tc>
        <w:tc>
          <w:tcPr>
            <w:tcW w:w="522" w:type="pct"/>
            <w:vAlign w:val="center"/>
            <w:hideMark/>
          </w:tcPr>
          <w:p w:rsidR="00B2117B" w:rsidRPr="00F55BA6" w:rsidRDefault="00B2117B" w:rsidP="00B2117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20"/>
                <w:szCs w:val="20"/>
                <w:lang w:val="ro-RO"/>
              </w:rPr>
            </w:pPr>
            <w:r w:rsidRPr="00F55BA6">
              <w:rPr>
                <w:rFonts w:asciiTheme="majorHAnsi" w:eastAsia="Times New Roman" w:hAnsiTheme="majorHAnsi" w:cstheme="majorHAnsi"/>
                <w:bCs/>
                <w:i/>
                <w:sz w:val="20"/>
                <w:szCs w:val="20"/>
                <w:lang w:val="ro-RO"/>
              </w:rPr>
              <w:t xml:space="preserve">suma </w:t>
            </w:r>
            <w:r w:rsidRPr="00F55BA6">
              <w:rPr>
                <w:rFonts w:asciiTheme="majorHAnsi" w:eastAsia="Times New Roman" w:hAnsiTheme="majorHAnsi" w:cstheme="majorHAnsi"/>
                <w:bCs/>
                <w:i/>
                <w:sz w:val="20"/>
                <w:szCs w:val="20"/>
                <w:lang w:val="ro-RO"/>
              </w:rPr>
              <w:br/>
              <w:t>(+/-)</w:t>
            </w:r>
          </w:p>
        </w:tc>
        <w:tc>
          <w:tcPr>
            <w:tcW w:w="563" w:type="pct"/>
            <w:vAlign w:val="center"/>
            <w:hideMark/>
          </w:tcPr>
          <w:p w:rsidR="00B2117B" w:rsidRPr="00F55BA6" w:rsidRDefault="00B2117B" w:rsidP="00B2117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20"/>
                <w:szCs w:val="20"/>
                <w:lang w:val="ro-RO"/>
              </w:rPr>
            </w:pPr>
            <w:r w:rsidRPr="00F55BA6">
              <w:rPr>
                <w:rFonts w:asciiTheme="majorHAnsi" w:eastAsia="Times New Roman" w:hAnsiTheme="majorHAnsi" w:cstheme="majorHAnsi"/>
                <w:bCs/>
                <w:i/>
                <w:sz w:val="20"/>
                <w:szCs w:val="20"/>
                <w:lang w:val="ro-RO"/>
              </w:rPr>
              <w:t xml:space="preserve">nivelul de </w:t>
            </w:r>
            <w:r w:rsidRPr="00F55BA6">
              <w:rPr>
                <w:rFonts w:asciiTheme="majorHAnsi" w:eastAsia="Times New Roman" w:hAnsiTheme="majorHAnsi" w:cstheme="majorHAnsi"/>
                <w:bCs/>
                <w:i/>
                <w:sz w:val="20"/>
                <w:szCs w:val="20"/>
                <w:lang w:val="ro-RO"/>
              </w:rPr>
              <w:br/>
              <w:t>executare</w:t>
            </w:r>
            <w:r w:rsidRPr="00F55BA6">
              <w:rPr>
                <w:rFonts w:asciiTheme="majorHAnsi" w:eastAsia="Times New Roman" w:hAnsiTheme="majorHAnsi" w:cstheme="majorHAnsi"/>
                <w:bCs/>
                <w:i/>
                <w:sz w:val="20"/>
                <w:szCs w:val="20"/>
                <w:lang w:val="ro-RO"/>
              </w:rPr>
              <w:br/>
              <w:t>(%)</w:t>
            </w:r>
          </w:p>
        </w:tc>
        <w:tc>
          <w:tcPr>
            <w:tcW w:w="545" w:type="pct"/>
            <w:vAlign w:val="center"/>
            <w:hideMark/>
          </w:tcPr>
          <w:p w:rsidR="00B2117B" w:rsidRPr="00F55BA6" w:rsidRDefault="00B2117B" w:rsidP="00B2117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20"/>
                <w:szCs w:val="20"/>
                <w:lang w:val="ro-RO"/>
              </w:rPr>
            </w:pPr>
            <w:r w:rsidRPr="00F55BA6">
              <w:rPr>
                <w:rFonts w:asciiTheme="majorHAnsi" w:eastAsia="Times New Roman" w:hAnsiTheme="majorHAnsi" w:cstheme="majorHAnsi"/>
                <w:bCs/>
                <w:i/>
                <w:sz w:val="20"/>
                <w:szCs w:val="20"/>
                <w:lang w:val="ro-RO"/>
              </w:rPr>
              <w:t>suma</w:t>
            </w:r>
            <w:r w:rsidRPr="00F55BA6">
              <w:rPr>
                <w:rFonts w:asciiTheme="majorHAnsi" w:eastAsia="Times New Roman" w:hAnsiTheme="majorHAnsi" w:cstheme="majorHAnsi"/>
                <w:bCs/>
                <w:i/>
                <w:sz w:val="20"/>
                <w:szCs w:val="20"/>
                <w:lang w:val="ro-RO"/>
              </w:rPr>
              <w:br/>
              <w:t>(+/-)</w:t>
            </w:r>
          </w:p>
        </w:tc>
        <w:tc>
          <w:tcPr>
            <w:tcW w:w="563" w:type="pct"/>
            <w:vAlign w:val="center"/>
            <w:hideMark/>
          </w:tcPr>
          <w:p w:rsidR="00B2117B" w:rsidRPr="00F55BA6" w:rsidRDefault="00B2117B" w:rsidP="00B2117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20"/>
                <w:szCs w:val="20"/>
                <w:lang w:val="ro-RO"/>
              </w:rPr>
            </w:pPr>
            <w:r w:rsidRPr="00F55BA6">
              <w:rPr>
                <w:rFonts w:asciiTheme="majorHAnsi" w:eastAsia="Times New Roman" w:hAnsiTheme="majorHAnsi" w:cstheme="majorHAnsi"/>
                <w:bCs/>
                <w:i/>
                <w:sz w:val="20"/>
                <w:szCs w:val="20"/>
                <w:lang w:val="ro-RO"/>
              </w:rPr>
              <w:t>nivelul de</w:t>
            </w:r>
            <w:r w:rsidRPr="00F55BA6">
              <w:rPr>
                <w:rFonts w:asciiTheme="majorHAnsi" w:eastAsia="Times New Roman" w:hAnsiTheme="majorHAnsi" w:cstheme="majorHAnsi"/>
                <w:bCs/>
                <w:i/>
                <w:sz w:val="20"/>
                <w:szCs w:val="20"/>
                <w:lang w:val="ro-RO"/>
              </w:rPr>
              <w:br/>
              <w:t>executare</w:t>
            </w:r>
            <w:r w:rsidRPr="00F55BA6">
              <w:rPr>
                <w:rFonts w:asciiTheme="majorHAnsi" w:eastAsia="Times New Roman" w:hAnsiTheme="majorHAnsi" w:cstheme="majorHAnsi"/>
                <w:bCs/>
                <w:i/>
                <w:sz w:val="20"/>
                <w:szCs w:val="20"/>
                <w:lang w:val="ro-RO"/>
              </w:rPr>
              <w:br/>
              <w:t>(%)</w:t>
            </w:r>
          </w:p>
        </w:tc>
      </w:tr>
      <w:tr w:rsidR="00B2117B" w:rsidRPr="00E4517B" w:rsidTr="00692C6E">
        <w:trPr>
          <w:gridAfter w:val="2"/>
          <w:wAfter w:w="6" w:type="pct"/>
        </w:trPr>
        <w:tc>
          <w:tcPr>
            <w:cnfStyle w:val="001000000000" w:firstRow="0" w:lastRow="0" w:firstColumn="1" w:lastColumn="0" w:oddVBand="0" w:evenVBand="0" w:oddHBand="0" w:evenHBand="0" w:firstRowFirstColumn="0" w:firstRowLastColumn="0" w:lastRowFirstColumn="0" w:lastRowLastColumn="0"/>
            <w:tcW w:w="551" w:type="pct"/>
            <w:hideMark/>
          </w:tcPr>
          <w:p w:rsidR="00B2117B" w:rsidRPr="00F55BA6" w:rsidRDefault="00B2117B" w:rsidP="00B2117B">
            <w:pPr>
              <w:jc w:val="center"/>
              <w:rPr>
                <w:rFonts w:asciiTheme="majorHAnsi" w:eastAsia="Times New Roman" w:hAnsiTheme="majorHAnsi" w:cstheme="majorHAnsi"/>
                <w:i/>
                <w:sz w:val="16"/>
                <w:szCs w:val="16"/>
                <w:lang w:val="ro-RO"/>
              </w:rPr>
            </w:pPr>
            <w:r w:rsidRPr="00F55BA6">
              <w:rPr>
                <w:rFonts w:asciiTheme="majorHAnsi" w:eastAsia="Times New Roman" w:hAnsiTheme="majorHAnsi" w:cstheme="majorHAnsi"/>
                <w:i/>
                <w:sz w:val="16"/>
                <w:szCs w:val="16"/>
                <w:lang w:val="ro-RO"/>
              </w:rPr>
              <w:t>1</w:t>
            </w:r>
          </w:p>
        </w:tc>
        <w:tc>
          <w:tcPr>
            <w:tcW w:w="570" w:type="pct"/>
            <w:hideMark/>
          </w:tcPr>
          <w:p w:rsidR="00B2117B" w:rsidRPr="00F55BA6" w:rsidRDefault="00B2117B" w:rsidP="00B2117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16"/>
                <w:szCs w:val="16"/>
                <w:lang w:val="ro-RO"/>
              </w:rPr>
            </w:pPr>
            <w:r w:rsidRPr="00F55BA6">
              <w:rPr>
                <w:rFonts w:asciiTheme="majorHAnsi" w:eastAsia="Times New Roman" w:hAnsiTheme="majorHAnsi" w:cstheme="majorHAnsi"/>
                <w:bCs/>
                <w:i/>
                <w:sz w:val="16"/>
                <w:szCs w:val="16"/>
                <w:lang w:val="ro-RO"/>
              </w:rPr>
              <w:t>2</w:t>
            </w:r>
          </w:p>
        </w:tc>
        <w:tc>
          <w:tcPr>
            <w:tcW w:w="606" w:type="pct"/>
          </w:tcPr>
          <w:p w:rsidR="00B2117B" w:rsidRPr="00F55BA6" w:rsidRDefault="00B2117B" w:rsidP="00B2117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16"/>
                <w:szCs w:val="16"/>
                <w:lang w:val="ro-RO"/>
              </w:rPr>
            </w:pPr>
            <w:r w:rsidRPr="00F55BA6">
              <w:rPr>
                <w:rFonts w:asciiTheme="majorHAnsi" w:eastAsia="Times New Roman" w:hAnsiTheme="majorHAnsi" w:cstheme="majorHAnsi"/>
                <w:bCs/>
                <w:i/>
                <w:sz w:val="16"/>
                <w:szCs w:val="16"/>
                <w:lang w:val="ro-RO"/>
              </w:rPr>
              <w:t>3</w:t>
            </w:r>
          </w:p>
        </w:tc>
        <w:tc>
          <w:tcPr>
            <w:tcW w:w="556" w:type="pct"/>
          </w:tcPr>
          <w:p w:rsidR="00B2117B" w:rsidRPr="00F55BA6" w:rsidRDefault="00B2117B" w:rsidP="00B2117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16"/>
                <w:szCs w:val="16"/>
                <w:lang w:val="ro-RO"/>
              </w:rPr>
            </w:pPr>
            <w:r w:rsidRPr="00F55BA6">
              <w:rPr>
                <w:rFonts w:asciiTheme="majorHAnsi" w:eastAsia="Times New Roman" w:hAnsiTheme="majorHAnsi" w:cstheme="majorHAnsi"/>
                <w:bCs/>
                <w:i/>
                <w:sz w:val="16"/>
                <w:szCs w:val="16"/>
                <w:lang w:val="ro-RO"/>
              </w:rPr>
              <w:t>4</w:t>
            </w:r>
          </w:p>
        </w:tc>
        <w:tc>
          <w:tcPr>
            <w:tcW w:w="518" w:type="pct"/>
          </w:tcPr>
          <w:p w:rsidR="00B2117B" w:rsidRPr="00F55BA6" w:rsidRDefault="00B2117B" w:rsidP="00B2117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16"/>
                <w:szCs w:val="16"/>
                <w:lang w:val="ro-RO"/>
              </w:rPr>
            </w:pPr>
            <w:r w:rsidRPr="00F55BA6">
              <w:rPr>
                <w:rFonts w:asciiTheme="majorHAnsi" w:eastAsia="Times New Roman" w:hAnsiTheme="majorHAnsi" w:cstheme="majorHAnsi"/>
                <w:bCs/>
                <w:i/>
                <w:sz w:val="16"/>
                <w:szCs w:val="16"/>
                <w:lang w:val="ro-RO"/>
              </w:rPr>
              <w:t>5</w:t>
            </w:r>
          </w:p>
        </w:tc>
        <w:tc>
          <w:tcPr>
            <w:tcW w:w="522" w:type="pct"/>
          </w:tcPr>
          <w:p w:rsidR="00B2117B" w:rsidRPr="00F55BA6" w:rsidRDefault="00B2117B" w:rsidP="00B2117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16"/>
                <w:szCs w:val="16"/>
                <w:lang w:val="ro-RO"/>
              </w:rPr>
            </w:pPr>
            <w:r w:rsidRPr="00F55BA6">
              <w:rPr>
                <w:rFonts w:asciiTheme="majorHAnsi" w:eastAsia="Times New Roman" w:hAnsiTheme="majorHAnsi" w:cstheme="majorHAnsi"/>
                <w:bCs/>
                <w:i/>
                <w:sz w:val="16"/>
                <w:szCs w:val="16"/>
                <w:lang w:val="ro-RO"/>
              </w:rPr>
              <w:t>6=5-2</w:t>
            </w:r>
          </w:p>
        </w:tc>
        <w:tc>
          <w:tcPr>
            <w:tcW w:w="563" w:type="pct"/>
          </w:tcPr>
          <w:p w:rsidR="00B2117B" w:rsidRPr="00F55BA6" w:rsidRDefault="00B2117B" w:rsidP="00B2117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16"/>
                <w:szCs w:val="16"/>
                <w:lang w:val="ro-RO"/>
              </w:rPr>
            </w:pPr>
            <w:r w:rsidRPr="00F55BA6">
              <w:rPr>
                <w:rFonts w:asciiTheme="majorHAnsi" w:eastAsia="Times New Roman" w:hAnsiTheme="majorHAnsi" w:cstheme="majorHAnsi"/>
                <w:bCs/>
                <w:i/>
                <w:sz w:val="16"/>
                <w:szCs w:val="16"/>
                <w:lang w:val="ro-RO"/>
              </w:rPr>
              <w:t>7=5/2*100</w:t>
            </w:r>
          </w:p>
        </w:tc>
        <w:tc>
          <w:tcPr>
            <w:tcW w:w="545" w:type="pct"/>
          </w:tcPr>
          <w:p w:rsidR="00B2117B" w:rsidRPr="00F55BA6" w:rsidRDefault="00B2117B" w:rsidP="00B2117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16"/>
                <w:szCs w:val="16"/>
                <w:lang w:val="ro-RO"/>
              </w:rPr>
            </w:pPr>
            <w:r w:rsidRPr="00F55BA6">
              <w:rPr>
                <w:rFonts w:asciiTheme="majorHAnsi" w:eastAsia="Times New Roman" w:hAnsiTheme="majorHAnsi" w:cstheme="majorHAnsi"/>
                <w:bCs/>
                <w:i/>
                <w:sz w:val="16"/>
                <w:szCs w:val="16"/>
                <w:lang w:val="ro-RO"/>
              </w:rPr>
              <w:t>8=5-4</w:t>
            </w:r>
          </w:p>
        </w:tc>
        <w:tc>
          <w:tcPr>
            <w:tcW w:w="563" w:type="pct"/>
          </w:tcPr>
          <w:p w:rsidR="00B2117B" w:rsidRPr="00F55BA6" w:rsidRDefault="00B2117B" w:rsidP="00B2117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16"/>
                <w:szCs w:val="16"/>
                <w:lang w:val="ro-RO"/>
              </w:rPr>
            </w:pPr>
            <w:r w:rsidRPr="00F55BA6">
              <w:rPr>
                <w:rFonts w:asciiTheme="majorHAnsi" w:eastAsia="Times New Roman" w:hAnsiTheme="majorHAnsi" w:cstheme="majorHAnsi"/>
                <w:bCs/>
                <w:i/>
                <w:sz w:val="16"/>
                <w:szCs w:val="16"/>
                <w:lang w:val="ro-RO"/>
              </w:rPr>
              <w:t>9=5/4*100</w:t>
            </w:r>
          </w:p>
        </w:tc>
      </w:tr>
      <w:tr w:rsidR="00B2117B" w:rsidRPr="00E4517B" w:rsidTr="00692C6E">
        <w:trPr>
          <w:gridAfter w:val="2"/>
          <w:wAfter w:w="6" w:type="pct"/>
        </w:trPr>
        <w:tc>
          <w:tcPr>
            <w:cnfStyle w:val="001000000000" w:firstRow="0" w:lastRow="0" w:firstColumn="1" w:lastColumn="0" w:oddVBand="0" w:evenVBand="0" w:oddHBand="0" w:evenHBand="0" w:firstRowFirstColumn="0" w:firstRowLastColumn="0" w:lastRowFirstColumn="0" w:lastRowLastColumn="0"/>
            <w:tcW w:w="551" w:type="pct"/>
            <w:hideMark/>
          </w:tcPr>
          <w:p w:rsidR="00B2117B" w:rsidRPr="00F55BA6" w:rsidRDefault="00B2117B" w:rsidP="00B2117B">
            <w:pPr>
              <w:jc w:val="left"/>
              <w:rPr>
                <w:rFonts w:asciiTheme="majorHAnsi" w:eastAsia="Times New Roman" w:hAnsiTheme="majorHAnsi" w:cstheme="majorHAnsi"/>
                <w:sz w:val="20"/>
                <w:szCs w:val="20"/>
                <w:lang w:val="ro-RO"/>
              </w:rPr>
            </w:pPr>
            <w:r w:rsidRPr="00F55BA6">
              <w:rPr>
                <w:rFonts w:asciiTheme="majorHAnsi" w:eastAsia="Times New Roman" w:hAnsiTheme="majorHAnsi" w:cstheme="majorHAnsi"/>
                <w:iCs/>
                <w:sz w:val="20"/>
                <w:szCs w:val="20"/>
                <w:lang w:val="ro-RO"/>
              </w:rPr>
              <w:t>Venituri</w:t>
            </w:r>
          </w:p>
        </w:tc>
        <w:tc>
          <w:tcPr>
            <w:tcW w:w="570" w:type="pct"/>
          </w:tcPr>
          <w:p w:rsidR="00B2117B" w:rsidRPr="00F55BA6" w:rsidRDefault="00B2117B" w:rsidP="00B2117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44.136,6</w:t>
            </w:r>
          </w:p>
        </w:tc>
        <w:tc>
          <w:tcPr>
            <w:tcW w:w="606" w:type="pct"/>
          </w:tcPr>
          <w:p w:rsidR="00B2117B" w:rsidRPr="00F55BA6" w:rsidRDefault="00B2117B" w:rsidP="00B2117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37.201,5</w:t>
            </w:r>
          </w:p>
        </w:tc>
        <w:tc>
          <w:tcPr>
            <w:tcW w:w="556" w:type="pct"/>
          </w:tcPr>
          <w:p w:rsidR="00B2117B" w:rsidRPr="00F55BA6" w:rsidRDefault="00B2117B" w:rsidP="00B2117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37.281,2</w:t>
            </w:r>
          </w:p>
        </w:tc>
        <w:tc>
          <w:tcPr>
            <w:tcW w:w="518" w:type="pct"/>
          </w:tcPr>
          <w:p w:rsidR="00B2117B" w:rsidRPr="00F55BA6" w:rsidRDefault="00B2117B" w:rsidP="00B2117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38.500,5</w:t>
            </w:r>
          </w:p>
        </w:tc>
        <w:tc>
          <w:tcPr>
            <w:tcW w:w="522" w:type="pct"/>
            <w:tcBorders>
              <w:top w:val="nil"/>
              <w:left w:val="nil"/>
              <w:bottom w:val="single" w:sz="8" w:space="0" w:color="999999"/>
              <w:right w:val="single" w:sz="8" w:space="0" w:color="999999"/>
            </w:tcBorders>
            <w:shd w:val="clear" w:color="auto" w:fill="auto"/>
            <w:vAlign w:val="center"/>
          </w:tcPr>
          <w:p w:rsidR="00B2117B" w:rsidRPr="00F55BA6" w:rsidRDefault="00B2117B" w:rsidP="00B2117B">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-5.636,1</w:t>
            </w:r>
          </w:p>
        </w:tc>
        <w:tc>
          <w:tcPr>
            <w:tcW w:w="563" w:type="pct"/>
            <w:tcBorders>
              <w:top w:val="nil"/>
              <w:left w:val="nil"/>
              <w:bottom w:val="single" w:sz="8" w:space="0" w:color="999999"/>
              <w:right w:val="single" w:sz="8" w:space="0" w:color="999999"/>
            </w:tcBorders>
            <w:shd w:val="clear" w:color="auto" w:fill="auto"/>
            <w:vAlign w:val="center"/>
          </w:tcPr>
          <w:p w:rsidR="00B2117B" w:rsidRPr="00E4517B" w:rsidRDefault="00B2117B" w:rsidP="00B2117B">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87,2</w:t>
            </w:r>
          </w:p>
        </w:tc>
        <w:tc>
          <w:tcPr>
            <w:tcW w:w="545" w:type="pct"/>
            <w:tcBorders>
              <w:top w:val="nil"/>
              <w:left w:val="nil"/>
              <w:bottom w:val="single" w:sz="8" w:space="0" w:color="999999"/>
              <w:right w:val="single" w:sz="8" w:space="0" w:color="999999"/>
            </w:tcBorders>
            <w:shd w:val="clear" w:color="auto" w:fill="auto"/>
            <w:vAlign w:val="center"/>
          </w:tcPr>
          <w:p w:rsidR="00B2117B" w:rsidRPr="00E4517B" w:rsidRDefault="00B2117B" w:rsidP="00B2117B">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F55BA6">
              <w:rPr>
                <w:rFonts w:ascii="Calibri Light" w:hAnsi="Calibri Light" w:cs="Calibri Light"/>
                <w:color w:val="000000"/>
                <w:sz w:val="20"/>
                <w:szCs w:val="20"/>
                <w:lang w:val="ro-RO"/>
              </w:rPr>
              <w:t>1.219,3</w:t>
            </w:r>
          </w:p>
        </w:tc>
        <w:tc>
          <w:tcPr>
            <w:tcW w:w="563" w:type="pct"/>
            <w:tcBorders>
              <w:top w:val="nil"/>
              <w:left w:val="nil"/>
              <w:bottom w:val="single" w:sz="8" w:space="0" w:color="999999"/>
              <w:right w:val="single" w:sz="8" w:space="0" w:color="999999"/>
            </w:tcBorders>
            <w:shd w:val="clear" w:color="auto" w:fill="auto"/>
            <w:vAlign w:val="center"/>
          </w:tcPr>
          <w:p w:rsidR="00B2117B" w:rsidRPr="00E4517B" w:rsidRDefault="00B2117B" w:rsidP="00B2117B">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F55BA6">
              <w:rPr>
                <w:rFonts w:ascii="Calibri Light" w:hAnsi="Calibri Light" w:cs="Calibri Light"/>
                <w:color w:val="000000"/>
                <w:sz w:val="20"/>
                <w:szCs w:val="20"/>
                <w:lang w:val="ro-RO"/>
              </w:rPr>
              <w:t>103,3</w:t>
            </w:r>
          </w:p>
        </w:tc>
      </w:tr>
      <w:tr w:rsidR="00B2117B" w:rsidRPr="00E4517B" w:rsidTr="00692C6E">
        <w:trPr>
          <w:gridAfter w:val="2"/>
          <w:wAfter w:w="6" w:type="pct"/>
        </w:trPr>
        <w:tc>
          <w:tcPr>
            <w:cnfStyle w:val="001000000000" w:firstRow="0" w:lastRow="0" w:firstColumn="1" w:lastColumn="0" w:oddVBand="0" w:evenVBand="0" w:oddHBand="0" w:evenHBand="0" w:firstRowFirstColumn="0" w:firstRowLastColumn="0" w:lastRowFirstColumn="0" w:lastRowLastColumn="0"/>
            <w:tcW w:w="551" w:type="pct"/>
            <w:hideMark/>
          </w:tcPr>
          <w:p w:rsidR="00B2117B" w:rsidRPr="00F55BA6" w:rsidRDefault="00B2117B" w:rsidP="00B2117B">
            <w:pPr>
              <w:jc w:val="left"/>
              <w:rPr>
                <w:rFonts w:asciiTheme="majorHAnsi" w:eastAsia="Times New Roman" w:hAnsiTheme="majorHAnsi" w:cstheme="majorHAnsi"/>
                <w:sz w:val="20"/>
                <w:szCs w:val="20"/>
                <w:lang w:val="ro-RO"/>
              </w:rPr>
            </w:pPr>
            <w:r w:rsidRPr="00F55BA6">
              <w:rPr>
                <w:rFonts w:asciiTheme="majorHAnsi" w:eastAsia="Times New Roman" w:hAnsiTheme="majorHAnsi" w:cstheme="majorHAnsi"/>
                <w:iCs/>
                <w:sz w:val="20"/>
                <w:szCs w:val="20"/>
                <w:lang w:val="ro-RO"/>
              </w:rPr>
              <w:t>Cheltuieli</w:t>
            </w:r>
          </w:p>
        </w:tc>
        <w:tc>
          <w:tcPr>
            <w:tcW w:w="570" w:type="pct"/>
          </w:tcPr>
          <w:p w:rsidR="00B2117B" w:rsidRPr="00F55BA6" w:rsidRDefault="00B2117B" w:rsidP="00B2117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51.551,9</w:t>
            </w:r>
          </w:p>
        </w:tc>
        <w:tc>
          <w:tcPr>
            <w:tcW w:w="606" w:type="pct"/>
          </w:tcPr>
          <w:p w:rsidR="00B2117B" w:rsidRPr="00F55BA6" w:rsidRDefault="00B2117B" w:rsidP="00B2117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53.200,9</w:t>
            </w:r>
          </w:p>
        </w:tc>
        <w:tc>
          <w:tcPr>
            <w:tcW w:w="556" w:type="pct"/>
          </w:tcPr>
          <w:p w:rsidR="00B2117B" w:rsidRPr="00F55BA6" w:rsidRDefault="00B2117B" w:rsidP="00B2117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53.280,6</w:t>
            </w:r>
          </w:p>
        </w:tc>
        <w:tc>
          <w:tcPr>
            <w:tcW w:w="518" w:type="pct"/>
          </w:tcPr>
          <w:p w:rsidR="00B2117B" w:rsidRPr="00F55BA6" w:rsidRDefault="00B2117B" w:rsidP="00B2117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49.635,4</w:t>
            </w:r>
          </w:p>
        </w:tc>
        <w:tc>
          <w:tcPr>
            <w:tcW w:w="522" w:type="pct"/>
            <w:tcBorders>
              <w:top w:val="nil"/>
              <w:left w:val="nil"/>
              <w:bottom w:val="single" w:sz="8" w:space="0" w:color="999999"/>
              <w:right w:val="single" w:sz="8" w:space="0" w:color="999999"/>
            </w:tcBorders>
            <w:shd w:val="clear" w:color="auto" w:fill="auto"/>
            <w:vAlign w:val="center"/>
          </w:tcPr>
          <w:p w:rsidR="00B2117B" w:rsidRPr="00E4517B" w:rsidRDefault="00B2117B" w:rsidP="00B2117B">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-1.916,5</w:t>
            </w:r>
          </w:p>
        </w:tc>
        <w:tc>
          <w:tcPr>
            <w:tcW w:w="563" w:type="pct"/>
            <w:tcBorders>
              <w:top w:val="nil"/>
              <w:left w:val="nil"/>
              <w:bottom w:val="single" w:sz="8" w:space="0" w:color="999999"/>
              <w:right w:val="single" w:sz="8" w:space="0" w:color="999999"/>
            </w:tcBorders>
            <w:shd w:val="clear" w:color="auto" w:fill="auto"/>
            <w:vAlign w:val="center"/>
          </w:tcPr>
          <w:p w:rsidR="00B2117B" w:rsidRPr="00973E5B" w:rsidRDefault="00B2117B" w:rsidP="00B2117B">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973E5B">
              <w:rPr>
                <w:rFonts w:ascii="Calibri Light" w:hAnsi="Calibri Light" w:cs="Calibri Light"/>
                <w:color w:val="000000"/>
                <w:sz w:val="20"/>
                <w:szCs w:val="20"/>
                <w:lang w:val="ro-RO"/>
              </w:rPr>
              <w:t>96,3</w:t>
            </w:r>
          </w:p>
        </w:tc>
        <w:tc>
          <w:tcPr>
            <w:tcW w:w="545" w:type="pct"/>
            <w:tcBorders>
              <w:top w:val="nil"/>
              <w:left w:val="nil"/>
              <w:bottom w:val="single" w:sz="8" w:space="0" w:color="999999"/>
              <w:right w:val="single" w:sz="8" w:space="0" w:color="999999"/>
            </w:tcBorders>
            <w:shd w:val="clear" w:color="auto" w:fill="auto"/>
            <w:vAlign w:val="center"/>
          </w:tcPr>
          <w:p w:rsidR="00B2117B" w:rsidRPr="00E4517B" w:rsidRDefault="00B2117B" w:rsidP="00B2117B">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F55BA6">
              <w:rPr>
                <w:rFonts w:ascii="Calibri Light" w:hAnsi="Calibri Light" w:cs="Calibri Light"/>
                <w:color w:val="000000"/>
                <w:sz w:val="20"/>
                <w:szCs w:val="20"/>
                <w:lang w:val="ro-RO"/>
              </w:rPr>
              <w:t>-3.645,2</w:t>
            </w:r>
          </w:p>
        </w:tc>
        <w:tc>
          <w:tcPr>
            <w:tcW w:w="563" w:type="pct"/>
            <w:tcBorders>
              <w:top w:val="nil"/>
              <w:left w:val="nil"/>
              <w:bottom w:val="single" w:sz="8" w:space="0" w:color="999999"/>
              <w:right w:val="single" w:sz="8" w:space="0" w:color="999999"/>
            </w:tcBorders>
            <w:shd w:val="clear" w:color="auto" w:fill="auto"/>
            <w:vAlign w:val="center"/>
          </w:tcPr>
          <w:p w:rsidR="00B2117B" w:rsidRPr="00E4517B" w:rsidRDefault="00B2117B" w:rsidP="00B2117B">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F55BA6">
              <w:rPr>
                <w:rFonts w:ascii="Calibri Light" w:hAnsi="Calibri Light" w:cs="Calibri Light"/>
                <w:color w:val="000000"/>
                <w:sz w:val="20"/>
                <w:szCs w:val="20"/>
                <w:lang w:val="ro-RO"/>
              </w:rPr>
              <w:t>93,2</w:t>
            </w:r>
          </w:p>
        </w:tc>
      </w:tr>
      <w:tr w:rsidR="00B2117B" w:rsidRPr="00E4517B" w:rsidTr="00692C6E">
        <w:trPr>
          <w:gridAfter w:val="2"/>
          <w:wAfter w:w="6" w:type="pct"/>
        </w:trPr>
        <w:tc>
          <w:tcPr>
            <w:cnfStyle w:val="001000000000" w:firstRow="0" w:lastRow="0" w:firstColumn="1" w:lastColumn="0" w:oddVBand="0" w:evenVBand="0" w:oddHBand="0" w:evenHBand="0" w:firstRowFirstColumn="0" w:firstRowLastColumn="0" w:lastRowFirstColumn="0" w:lastRowLastColumn="0"/>
            <w:tcW w:w="551" w:type="pct"/>
            <w:hideMark/>
          </w:tcPr>
          <w:p w:rsidR="00B2117B" w:rsidRPr="00F55BA6" w:rsidRDefault="00B2117B" w:rsidP="00B2117B">
            <w:pPr>
              <w:jc w:val="left"/>
              <w:rPr>
                <w:rFonts w:asciiTheme="majorHAnsi" w:eastAsia="Times New Roman" w:hAnsiTheme="majorHAnsi" w:cstheme="majorHAnsi"/>
                <w:sz w:val="20"/>
                <w:szCs w:val="20"/>
                <w:lang w:val="ro-RO"/>
              </w:rPr>
            </w:pPr>
            <w:r w:rsidRPr="00F55BA6">
              <w:rPr>
                <w:rFonts w:asciiTheme="majorHAnsi" w:eastAsia="Times New Roman" w:hAnsiTheme="majorHAnsi" w:cstheme="majorHAnsi"/>
                <w:iCs/>
                <w:sz w:val="20"/>
                <w:szCs w:val="20"/>
                <w:lang w:val="ro-RO"/>
              </w:rPr>
              <w:t>Deficit</w:t>
            </w:r>
          </w:p>
        </w:tc>
        <w:tc>
          <w:tcPr>
            <w:tcW w:w="570" w:type="pct"/>
          </w:tcPr>
          <w:p w:rsidR="00B2117B" w:rsidRPr="00F55BA6" w:rsidRDefault="00B2117B" w:rsidP="00B2117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-7.415,3</w:t>
            </w:r>
          </w:p>
        </w:tc>
        <w:tc>
          <w:tcPr>
            <w:tcW w:w="606" w:type="pct"/>
          </w:tcPr>
          <w:p w:rsidR="00B2117B" w:rsidRPr="00F55BA6" w:rsidRDefault="00B2117B" w:rsidP="00B2117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-15.999,4</w:t>
            </w:r>
          </w:p>
        </w:tc>
        <w:tc>
          <w:tcPr>
            <w:tcW w:w="556" w:type="pct"/>
          </w:tcPr>
          <w:p w:rsidR="00B2117B" w:rsidRPr="00F55BA6" w:rsidRDefault="00B2117B" w:rsidP="00B2117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-15.999,4</w:t>
            </w:r>
          </w:p>
        </w:tc>
        <w:tc>
          <w:tcPr>
            <w:tcW w:w="518" w:type="pct"/>
          </w:tcPr>
          <w:p w:rsidR="00B2117B" w:rsidRPr="00F55BA6" w:rsidRDefault="00B2117B" w:rsidP="00B2117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-11.134,9</w:t>
            </w:r>
          </w:p>
        </w:tc>
        <w:tc>
          <w:tcPr>
            <w:tcW w:w="522" w:type="pct"/>
            <w:tcBorders>
              <w:top w:val="nil"/>
              <w:left w:val="nil"/>
              <w:bottom w:val="single" w:sz="8" w:space="0" w:color="999999"/>
              <w:right w:val="single" w:sz="8" w:space="0" w:color="999999"/>
            </w:tcBorders>
            <w:shd w:val="clear" w:color="auto" w:fill="auto"/>
            <w:vAlign w:val="center"/>
          </w:tcPr>
          <w:p w:rsidR="00B2117B" w:rsidRPr="00E4517B" w:rsidRDefault="00B2117B" w:rsidP="00B2117B">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-3.719,6</w:t>
            </w:r>
          </w:p>
        </w:tc>
        <w:tc>
          <w:tcPr>
            <w:tcW w:w="563" w:type="pct"/>
            <w:tcBorders>
              <w:top w:val="nil"/>
              <w:left w:val="nil"/>
              <w:bottom w:val="single" w:sz="8" w:space="0" w:color="999999"/>
              <w:right w:val="single" w:sz="8" w:space="0" w:color="999999"/>
            </w:tcBorders>
            <w:shd w:val="clear" w:color="auto" w:fill="auto"/>
            <w:vAlign w:val="center"/>
          </w:tcPr>
          <w:p w:rsidR="00B2117B" w:rsidRPr="00973E5B" w:rsidRDefault="00B2117B" w:rsidP="00B2117B">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973E5B">
              <w:rPr>
                <w:rFonts w:ascii="Calibri Light" w:hAnsi="Calibri Light" w:cs="Calibri Light"/>
                <w:color w:val="000000"/>
                <w:sz w:val="20"/>
                <w:szCs w:val="20"/>
                <w:lang w:val="ro-RO"/>
              </w:rPr>
              <w:t>150,2</w:t>
            </w:r>
          </w:p>
        </w:tc>
        <w:tc>
          <w:tcPr>
            <w:tcW w:w="545" w:type="pct"/>
            <w:tcBorders>
              <w:top w:val="nil"/>
              <w:left w:val="nil"/>
              <w:bottom w:val="single" w:sz="8" w:space="0" w:color="999999"/>
              <w:right w:val="single" w:sz="8" w:space="0" w:color="999999"/>
            </w:tcBorders>
            <w:shd w:val="clear" w:color="auto" w:fill="auto"/>
            <w:vAlign w:val="center"/>
          </w:tcPr>
          <w:p w:rsidR="00B2117B" w:rsidRPr="00E4517B" w:rsidRDefault="00B2117B" w:rsidP="00B2117B">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F55BA6">
              <w:rPr>
                <w:rFonts w:ascii="Calibri Light" w:hAnsi="Calibri Light" w:cs="Calibri Light"/>
                <w:color w:val="000000"/>
                <w:sz w:val="20"/>
                <w:szCs w:val="20"/>
                <w:lang w:val="ro-RO"/>
              </w:rPr>
              <w:t>4.864,5</w:t>
            </w:r>
          </w:p>
        </w:tc>
        <w:tc>
          <w:tcPr>
            <w:tcW w:w="563" w:type="pct"/>
            <w:tcBorders>
              <w:top w:val="nil"/>
              <w:left w:val="nil"/>
              <w:bottom w:val="single" w:sz="8" w:space="0" w:color="999999"/>
              <w:right w:val="single" w:sz="8" w:space="0" w:color="999999"/>
            </w:tcBorders>
            <w:shd w:val="clear" w:color="auto" w:fill="auto"/>
            <w:vAlign w:val="center"/>
          </w:tcPr>
          <w:p w:rsidR="00B2117B" w:rsidRPr="00E4517B" w:rsidRDefault="00B2117B" w:rsidP="00B2117B">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F55BA6">
              <w:rPr>
                <w:rFonts w:ascii="Calibri Light" w:hAnsi="Calibri Light" w:cs="Calibri Light"/>
                <w:color w:val="000000"/>
                <w:sz w:val="20"/>
                <w:szCs w:val="20"/>
                <w:lang w:val="ro-RO"/>
              </w:rPr>
              <w:t>69,6</w:t>
            </w:r>
          </w:p>
        </w:tc>
      </w:tr>
      <w:tr w:rsidR="00B2117B" w:rsidRPr="00E4517B" w:rsidTr="00692C6E">
        <w:tc>
          <w:tcPr>
            <w:cnfStyle w:val="001000000000" w:firstRow="0" w:lastRow="0" w:firstColumn="1" w:lastColumn="0" w:oddVBand="0" w:evenVBand="0" w:oddHBand="0" w:evenHBand="0" w:firstRowFirstColumn="0" w:firstRowLastColumn="0" w:lastRowFirstColumn="0" w:lastRowLastColumn="0"/>
            <w:tcW w:w="5000" w:type="pct"/>
            <w:gridSpan w:val="11"/>
          </w:tcPr>
          <w:p w:rsidR="00B2117B" w:rsidRPr="00F55BA6" w:rsidRDefault="00B2117B" w:rsidP="00B2117B">
            <w:pPr>
              <w:rPr>
                <w:rFonts w:asciiTheme="majorHAnsi" w:eastAsia="Times New Roman" w:hAnsiTheme="majorHAnsi" w:cstheme="majorHAnsi"/>
                <w:i/>
                <w:iCs/>
                <w:sz w:val="20"/>
                <w:szCs w:val="20"/>
                <w:lang w:val="ro-RO"/>
              </w:rPr>
            </w:pPr>
            <w:r w:rsidRPr="00F55BA6">
              <w:rPr>
                <w:rFonts w:asciiTheme="majorHAnsi" w:eastAsia="Times New Roman" w:hAnsiTheme="majorHAnsi" w:cstheme="majorHAnsi"/>
                <w:sz w:val="20"/>
                <w:szCs w:val="20"/>
                <w:lang w:val="ro-RO"/>
              </w:rPr>
              <w:t> </w:t>
            </w:r>
            <w:r w:rsidRPr="00F55BA6">
              <w:rPr>
                <w:rFonts w:asciiTheme="majorHAnsi" w:eastAsia="Times New Roman" w:hAnsiTheme="majorHAnsi" w:cstheme="majorHAnsi"/>
                <w:i/>
                <w:iCs/>
                <w:sz w:val="20"/>
                <w:szCs w:val="20"/>
                <w:lang w:val="ro-RO"/>
              </w:rPr>
              <w:t>Sursă: Datele generalizate de echipa de audit din Raportul privind executarea bugetului de stat pe anul 2020.</w:t>
            </w:r>
          </w:p>
          <w:p w:rsidR="00B2117B" w:rsidRPr="00F55BA6" w:rsidRDefault="00B2117B" w:rsidP="00B2117B">
            <w:pPr>
              <w:rPr>
                <w:rFonts w:asciiTheme="majorHAnsi" w:eastAsia="Times New Roman" w:hAnsiTheme="majorHAnsi" w:cstheme="majorHAnsi"/>
                <w:i/>
                <w:iCs/>
                <w:sz w:val="24"/>
                <w:szCs w:val="24"/>
                <w:lang w:val="ro-RO"/>
              </w:rPr>
            </w:pPr>
            <w:r w:rsidRPr="00F55BA6">
              <w:rPr>
                <w:rFonts w:asciiTheme="majorHAnsi" w:eastAsia="Times New Roman" w:hAnsiTheme="majorHAnsi" w:cstheme="majorHAnsi"/>
                <w:i/>
                <w:iCs/>
                <w:sz w:val="20"/>
                <w:szCs w:val="20"/>
                <w:lang w:val="ro-RO"/>
              </w:rPr>
              <w:t>*</w:t>
            </w:r>
            <w:r w:rsidRPr="00E4517B">
              <w:rPr>
                <w:rFonts w:asciiTheme="minorHAnsi" w:hAnsiTheme="minorHAnsi"/>
                <w:sz w:val="20"/>
                <w:szCs w:val="20"/>
                <w:lang w:val="ro-RO"/>
              </w:rPr>
              <w:t xml:space="preserve"> </w:t>
            </w:r>
            <w:r w:rsidRPr="00E4517B">
              <w:rPr>
                <w:rFonts w:asciiTheme="majorHAnsi" w:hAnsiTheme="majorHAnsi" w:cstheme="majorHAnsi"/>
                <w:i/>
                <w:sz w:val="20"/>
                <w:szCs w:val="20"/>
                <w:lang w:val="ro-RO"/>
              </w:rPr>
              <w:t xml:space="preserve">Prevederi bugetare aprobate </w:t>
            </w:r>
            <w:r w:rsidRPr="00F55BA6">
              <w:rPr>
                <w:rFonts w:asciiTheme="majorHAnsi" w:eastAsia="Times New Roman" w:hAnsiTheme="majorHAnsi" w:cstheme="majorHAnsi"/>
                <w:i/>
                <w:iCs/>
                <w:sz w:val="20"/>
                <w:szCs w:val="20"/>
                <w:lang w:val="ro-RO"/>
              </w:rPr>
              <w:t>prin Legea bugetului de stat pe anul 2020.</w:t>
            </w:r>
          </w:p>
        </w:tc>
      </w:tr>
    </w:tbl>
    <w:p w:rsidR="00887C49" w:rsidRPr="00F55BA6" w:rsidRDefault="00887C49" w:rsidP="00425BDE">
      <w:pPr>
        <w:spacing w:after="0" w:line="276" w:lineRule="auto"/>
        <w:rPr>
          <w:rFonts w:asciiTheme="majorHAnsi" w:eastAsia="Times New Roman" w:hAnsiTheme="majorHAnsi" w:cstheme="majorHAnsi"/>
          <w:sz w:val="24"/>
          <w:szCs w:val="24"/>
          <w:lang w:val="ro-RO"/>
        </w:rPr>
      </w:pPr>
    </w:p>
    <w:p w:rsidR="006E2E6A" w:rsidRPr="00F55BA6" w:rsidRDefault="00EA7373" w:rsidP="006E2E6A">
      <w:pPr>
        <w:spacing w:after="0" w:line="276" w:lineRule="auto"/>
        <w:rPr>
          <w:rFonts w:asciiTheme="majorHAnsi" w:hAnsiTheme="majorHAnsi" w:cstheme="majorHAnsi"/>
          <w:b/>
          <w:sz w:val="24"/>
          <w:szCs w:val="24"/>
          <w:lang w:val="ro-RO"/>
        </w:rPr>
      </w:pPr>
      <w:r w:rsidRPr="00F55BA6">
        <w:rPr>
          <w:rFonts w:asciiTheme="majorHAnsi" w:hAnsiTheme="majorHAnsi" w:cstheme="majorHAnsi"/>
          <w:b/>
          <w:sz w:val="24"/>
          <w:szCs w:val="24"/>
          <w:lang w:val="ro-RO"/>
        </w:rPr>
        <w:t xml:space="preserve">7.1 </w:t>
      </w:r>
      <w:r w:rsidR="006E2E6A" w:rsidRPr="00F55BA6">
        <w:rPr>
          <w:rFonts w:asciiTheme="majorHAnsi" w:eastAsia="Times New Roman" w:hAnsiTheme="majorHAnsi" w:cstheme="majorHAnsi"/>
          <w:b/>
          <w:sz w:val="24"/>
          <w:szCs w:val="24"/>
          <w:lang w:val="ro-RO"/>
        </w:rPr>
        <w:t>Veniturile bugetului de stat executate în anul 2020 nu au atins nivelul aprobat inițial</w:t>
      </w:r>
      <w:r w:rsidR="00DF0A9A">
        <w:rPr>
          <w:rFonts w:asciiTheme="majorHAnsi" w:eastAsia="Times New Roman" w:hAnsiTheme="majorHAnsi" w:cstheme="majorHAnsi"/>
          <w:b/>
          <w:sz w:val="24"/>
          <w:szCs w:val="24"/>
          <w:lang w:val="ro-RO"/>
        </w:rPr>
        <w:t>,</w:t>
      </w:r>
      <w:r w:rsidR="006E2E6A" w:rsidRPr="00F55BA6">
        <w:rPr>
          <w:rFonts w:asciiTheme="majorHAnsi" w:eastAsia="Times New Roman" w:hAnsiTheme="majorHAnsi" w:cstheme="majorHAnsi"/>
          <w:b/>
          <w:sz w:val="24"/>
          <w:szCs w:val="24"/>
          <w:lang w:val="ro-RO"/>
        </w:rPr>
        <w:t xml:space="preserve"> dar au fost supraexecutate față de nivelul precizat, fapt condiționat </w:t>
      </w:r>
      <w:r w:rsidR="00B20012" w:rsidRPr="00F55BA6">
        <w:rPr>
          <w:rFonts w:asciiTheme="majorHAnsi" w:eastAsia="Times New Roman" w:hAnsiTheme="majorHAnsi" w:cstheme="majorHAnsi"/>
          <w:b/>
          <w:sz w:val="24"/>
          <w:szCs w:val="24"/>
          <w:lang w:val="ro-RO"/>
        </w:rPr>
        <w:t>de multiple</w:t>
      </w:r>
      <w:r w:rsidR="006E2E6A" w:rsidRPr="00F55BA6">
        <w:rPr>
          <w:rFonts w:asciiTheme="majorHAnsi" w:eastAsia="Times New Roman" w:hAnsiTheme="majorHAnsi" w:cstheme="majorHAnsi"/>
          <w:b/>
          <w:sz w:val="24"/>
          <w:szCs w:val="24"/>
          <w:lang w:val="ro-RO"/>
        </w:rPr>
        <w:t xml:space="preserve"> modificări în politica bugetar-fiscală</w:t>
      </w:r>
      <w:r w:rsidR="00DF0A9A">
        <w:rPr>
          <w:rFonts w:asciiTheme="majorHAnsi" w:eastAsia="Times New Roman" w:hAnsiTheme="majorHAnsi" w:cstheme="majorHAnsi"/>
          <w:b/>
          <w:sz w:val="24"/>
          <w:szCs w:val="24"/>
          <w:lang w:val="ro-RO"/>
        </w:rPr>
        <w:t>.</w:t>
      </w:r>
    </w:p>
    <w:p w:rsidR="006E2E6A" w:rsidRPr="00DF7868" w:rsidRDefault="00CB3482" w:rsidP="00DF7868">
      <w:pPr>
        <w:spacing w:after="0" w:line="276" w:lineRule="auto"/>
        <w:rPr>
          <w:rFonts w:asciiTheme="majorHAnsi" w:hAnsiTheme="majorHAnsi" w:cstheme="majorHAnsi"/>
          <w:color w:val="000000"/>
          <w:spacing w:val="2"/>
          <w:sz w:val="24"/>
          <w:szCs w:val="24"/>
          <w:lang w:val="ro-RO"/>
        </w:rPr>
      </w:pPr>
      <w:r w:rsidRPr="00F55BA6">
        <w:rPr>
          <w:rFonts w:asciiTheme="majorHAnsi" w:hAnsiTheme="majorHAnsi" w:cstheme="majorHAnsi"/>
          <w:sz w:val="24"/>
          <w:szCs w:val="24"/>
          <w:lang w:val="ro-RO"/>
        </w:rPr>
        <w:t>P</w:t>
      </w:r>
      <w:r w:rsidR="006E2E6A" w:rsidRPr="00F55BA6">
        <w:rPr>
          <w:rFonts w:asciiTheme="majorHAnsi" w:hAnsiTheme="majorHAnsi" w:cstheme="majorHAnsi"/>
          <w:sz w:val="24"/>
          <w:szCs w:val="24"/>
          <w:lang w:val="ro-RO"/>
        </w:rPr>
        <w:t>artea de venituri a BS pentru anul 2020 a fost aprobată inițial în sumă de 44 136,6 mil. lei, ca urmare</w:t>
      </w:r>
      <w:r w:rsidR="00DF0A9A">
        <w:rPr>
          <w:rFonts w:asciiTheme="majorHAnsi" w:hAnsiTheme="majorHAnsi" w:cstheme="majorHAnsi"/>
          <w:sz w:val="24"/>
          <w:szCs w:val="24"/>
          <w:lang w:val="ro-RO"/>
        </w:rPr>
        <w:t xml:space="preserve"> a</w:t>
      </w:r>
      <w:r w:rsidR="006E2E6A" w:rsidRPr="00F55BA6">
        <w:rPr>
          <w:rFonts w:asciiTheme="majorHAnsi" w:hAnsiTheme="majorHAnsi" w:cstheme="majorHAnsi"/>
          <w:sz w:val="24"/>
          <w:szCs w:val="24"/>
          <w:lang w:val="ro-RO"/>
        </w:rPr>
        <w:t xml:space="preserve"> </w:t>
      </w:r>
      <w:r w:rsidR="006E2E6A" w:rsidRPr="00F55BA6">
        <w:rPr>
          <w:rFonts w:asciiTheme="majorHAnsi" w:hAnsiTheme="majorHAnsi" w:cstheme="majorHAnsi"/>
          <w:color w:val="000000"/>
          <w:spacing w:val="2"/>
          <w:sz w:val="24"/>
          <w:szCs w:val="24"/>
          <w:lang w:val="ro-RO"/>
        </w:rPr>
        <w:t>rectificărilor și modificărilor indicatorilor aprobați au fost reduse</w:t>
      </w:r>
      <w:r w:rsidRPr="00F55BA6">
        <w:rPr>
          <w:rFonts w:asciiTheme="majorHAnsi" w:hAnsiTheme="majorHAnsi" w:cstheme="majorHAnsi"/>
          <w:color w:val="000000"/>
          <w:spacing w:val="2"/>
          <w:sz w:val="24"/>
          <w:szCs w:val="24"/>
          <w:lang w:val="ro-RO"/>
        </w:rPr>
        <w:t xml:space="preserve"> </w:t>
      </w:r>
      <w:r w:rsidR="006E2E6A" w:rsidRPr="00F55BA6">
        <w:rPr>
          <w:rFonts w:asciiTheme="majorHAnsi" w:hAnsiTheme="majorHAnsi" w:cstheme="majorHAnsi"/>
          <w:color w:val="000000"/>
          <w:spacing w:val="2"/>
          <w:sz w:val="24"/>
          <w:szCs w:val="24"/>
          <w:lang w:val="ro-RO"/>
        </w:rPr>
        <w:t xml:space="preserve">cu </w:t>
      </w:r>
      <w:r w:rsidR="006E2E6A" w:rsidRPr="00F55BA6">
        <w:rPr>
          <w:rFonts w:asciiTheme="majorHAnsi" w:eastAsia="Times New Roman" w:hAnsiTheme="majorHAnsi" w:cstheme="majorHAnsi"/>
          <w:color w:val="000000"/>
          <w:sz w:val="24"/>
          <w:szCs w:val="24"/>
          <w:lang w:val="ro-RO" w:eastAsia="ro-RO"/>
        </w:rPr>
        <w:t>6 855,4 mil. lei</w:t>
      </w:r>
      <w:r w:rsidR="00DF0A9A">
        <w:rPr>
          <w:rFonts w:asciiTheme="majorHAnsi" w:eastAsia="Times New Roman" w:hAnsiTheme="majorHAnsi" w:cstheme="majorHAnsi"/>
          <w:color w:val="000000"/>
          <w:sz w:val="24"/>
          <w:szCs w:val="24"/>
          <w:lang w:val="ro-RO" w:eastAsia="ro-RO"/>
        </w:rPr>
        <w:t>,</w:t>
      </w:r>
      <w:r w:rsidR="006E2E6A" w:rsidRPr="00F55BA6">
        <w:rPr>
          <w:rFonts w:asciiTheme="majorHAnsi" w:hAnsiTheme="majorHAnsi" w:cstheme="majorHAnsi"/>
          <w:color w:val="000000"/>
          <w:sz w:val="24"/>
          <w:szCs w:val="24"/>
          <w:lang w:val="ro-RO"/>
        </w:rPr>
        <w:t xml:space="preserve"> sau cu 15,5% </w:t>
      </w:r>
      <w:r w:rsidR="006E2E6A" w:rsidRPr="00F55BA6">
        <w:rPr>
          <w:rFonts w:asciiTheme="majorHAnsi" w:eastAsia="Times New Roman" w:hAnsiTheme="majorHAnsi" w:cstheme="majorHAnsi"/>
          <w:color w:val="303030"/>
          <w:sz w:val="24"/>
          <w:szCs w:val="24"/>
          <w:lang w:val="ro-RO" w:eastAsia="ro-RO"/>
        </w:rPr>
        <w:t xml:space="preserve">din contul diminuării impozitelor </w:t>
      </w:r>
      <w:r w:rsidR="006E2E6A" w:rsidRPr="00F55BA6">
        <w:rPr>
          <w:rFonts w:asciiTheme="majorHAnsi" w:hAnsiTheme="majorHAnsi" w:cstheme="majorHAnsi"/>
          <w:color w:val="303030"/>
          <w:sz w:val="24"/>
          <w:szCs w:val="24"/>
          <w:lang w:val="ro-RO"/>
        </w:rPr>
        <w:t>și</w:t>
      </w:r>
      <w:r w:rsidR="006E2E6A" w:rsidRPr="00F55BA6">
        <w:rPr>
          <w:rFonts w:asciiTheme="majorHAnsi" w:eastAsia="Times New Roman" w:hAnsiTheme="majorHAnsi" w:cstheme="majorHAnsi"/>
          <w:color w:val="303030"/>
          <w:sz w:val="24"/>
          <w:szCs w:val="24"/>
          <w:lang w:val="ro-RO" w:eastAsia="ro-RO"/>
        </w:rPr>
        <w:t xml:space="preserve"> taxelor (-6 309,5 mil. lei)</w:t>
      </w:r>
      <w:r w:rsidR="006E2E6A" w:rsidRPr="00F55BA6">
        <w:rPr>
          <w:rFonts w:asciiTheme="majorHAnsi" w:hAnsiTheme="majorHAnsi" w:cstheme="majorHAnsi"/>
          <w:color w:val="303030"/>
          <w:sz w:val="24"/>
          <w:szCs w:val="24"/>
          <w:lang w:val="ro-RO"/>
        </w:rPr>
        <w:t>,</w:t>
      </w:r>
      <w:r w:rsidR="006E2E6A" w:rsidRPr="00F55BA6">
        <w:rPr>
          <w:rFonts w:asciiTheme="majorHAnsi" w:eastAsia="Times New Roman" w:hAnsiTheme="majorHAnsi" w:cstheme="majorHAnsi"/>
          <w:color w:val="303030"/>
          <w:sz w:val="24"/>
          <w:szCs w:val="24"/>
          <w:lang w:val="ro-RO" w:eastAsia="ro-RO"/>
        </w:rPr>
        <w:t xml:space="preserve"> precum </w:t>
      </w:r>
      <w:r w:rsidR="006E2E6A" w:rsidRPr="00F55BA6">
        <w:rPr>
          <w:rFonts w:asciiTheme="majorHAnsi" w:hAnsiTheme="majorHAnsi" w:cstheme="majorHAnsi"/>
          <w:color w:val="303030"/>
          <w:sz w:val="24"/>
          <w:szCs w:val="24"/>
          <w:lang w:val="ro-RO"/>
        </w:rPr>
        <w:t>și</w:t>
      </w:r>
      <w:r w:rsidR="006E2E6A" w:rsidRPr="00F55BA6">
        <w:rPr>
          <w:rFonts w:asciiTheme="majorHAnsi" w:eastAsia="Times New Roman" w:hAnsiTheme="majorHAnsi" w:cstheme="majorHAnsi"/>
          <w:color w:val="303030"/>
          <w:sz w:val="24"/>
          <w:szCs w:val="24"/>
          <w:lang w:val="ro-RO" w:eastAsia="ro-RO"/>
        </w:rPr>
        <w:t xml:space="preserve"> intrărilor din granturi (-821,4 mil. lei). </w:t>
      </w:r>
      <w:r w:rsidR="006E2E6A" w:rsidRPr="00F55BA6">
        <w:rPr>
          <w:rFonts w:asciiTheme="majorHAnsi" w:hAnsiTheme="majorHAnsi" w:cs="Times New Roman"/>
          <w:color w:val="000000"/>
          <w:spacing w:val="2"/>
          <w:sz w:val="24"/>
          <w:szCs w:val="24"/>
          <w:lang w:val="ro-RO"/>
        </w:rPr>
        <w:t xml:space="preserve">Conform </w:t>
      </w:r>
      <w:r w:rsidR="006E2E6A" w:rsidRPr="00F55BA6">
        <w:rPr>
          <w:rFonts w:asciiTheme="majorHAnsi" w:hAnsiTheme="majorHAnsi" w:cs="Times New Roman"/>
          <w:iCs/>
          <w:color w:val="000000"/>
          <w:spacing w:val="-2"/>
          <w:sz w:val="24"/>
          <w:szCs w:val="24"/>
          <w:lang w:val="ro-RO"/>
        </w:rPr>
        <w:t>Raportului privind executarea BS pe anul 2020, pe toate componentele, nivelul de executare a veniturilor față de prevederile anuale precizate a constituit 103,3%</w:t>
      </w:r>
      <w:r w:rsidR="00DF0A9A">
        <w:rPr>
          <w:rFonts w:asciiTheme="majorHAnsi" w:hAnsiTheme="majorHAnsi" w:cs="Times New Roman"/>
          <w:iCs/>
          <w:color w:val="000000"/>
          <w:spacing w:val="-2"/>
          <w:sz w:val="24"/>
          <w:szCs w:val="24"/>
          <w:lang w:val="ro-RO"/>
        </w:rPr>
        <w:t>,</w:t>
      </w:r>
      <w:r w:rsidR="006E2E6A" w:rsidRPr="00F55BA6">
        <w:rPr>
          <w:rFonts w:asciiTheme="majorHAnsi" w:hAnsiTheme="majorHAnsi" w:cs="Times New Roman"/>
          <w:iCs/>
          <w:color w:val="000000"/>
          <w:spacing w:val="-2"/>
          <w:sz w:val="24"/>
          <w:szCs w:val="24"/>
          <w:lang w:val="ro-RO"/>
        </w:rPr>
        <w:t xml:space="preserve"> sau 38 500,5 mil. lei. </w:t>
      </w:r>
      <w:r w:rsidR="006E2E6A" w:rsidRPr="00F55BA6">
        <w:rPr>
          <w:rFonts w:asciiTheme="majorHAnsi" w:hAnsiTheme="majorHAnsi" w:cs="Times New Roman"/>
          <w:color w:val="000000"/>
          <w:spacing w:val="2"/>
          <w:sz w:val="24"/>
          <w:szCs w:val="24"/>
          <w:lang w:val="ro-RO"/>
        </w:rPr>
        <w:t xml:space="preserve">Comparativ cu </w:t>
      </w:r>
      <w:r w:rsidR="006E2E6A" w:rsidRPr="00F55BA6">
        <w:rPr>
          <w:rFonts w:asciiTheme="majorHAnsi" w:hAnsiTheme="majorHAnsi" w:cs="Times New Roman"/>
          <w:color w:val="000000"/>
          <w:spacing w:val="-1"/>
          <w:sz w:val="24"/>
          <w:szCs w:val="24"/>
          <w:lang w:val="ro-RO"/>
        </w:rPr>
        <w:t xml:space="preserve">anul 2019, veniturile au înregistrat o descreștere cu 1 467,4 mil. lei (3,7%), iar față de anul 2018 </w:t>
      </w:r>
      <w:r w:rsidR="00DF0A9A" w:rsidRPr="00F55BA6">
        <w:rPr>
          <w:rFonts w:asciiTheme="majorHAnsi" w:eastAsia="Times New Roman" w:hAnsiTheme="majorHAnsi" w:cstheme="majorHAnsi"/>
          <w:sz w:val="24"/>
          <w:szCs w:val="24"/>
          <w:lang w:val="ro-RO"/>
        </w:rPr>
        <w:t>–</w:t>
      </w:r>
      <w:r w:rsidR="00DF0A9A">
        <w:rPr>
          <w:rFonts w:asciiTheme="majorHAnsi" w:eastAsia="Times New Roman" w:hAnsiTheme="majorHAnsi" w:cstheme="majorHAnsi"/>
          <w:sz w:val="24"/>
          <w:szCs w:val="24"/>
          <w:lang w:val="ro-RO"/>
        </w:rPr>
        <w:t xml:space="preserve"> </w:t>
      </w:r>
      <w:r w:rsidR="006E2E6A" w:rsidRPr="00F55BA6">
        <w:rPr>
          <w:rFonts w:asciiTheme="majorHAnsi" w:hAnsiTheme="majorHAnsi" w:cs="Times New Roman"/>
          <w:color w:val="000000"/>
          <w:spacing w:val="-1"/>
          <w:sz w:val="24"/>
          <w:szCs w:val="24"/>
          <w:lang w:val="ro-RO"/>
        </w:rPr>
        <w:t xml:space="preserve">o creștere cu 2 067,8 mil. lei (5,7%). </w:t>
      </w:r>
      <w:r w:rsidR="006E2E6A" w:rsidRPr="00F55BA6">
        <w:rPr>
          <w:rFonts w:asciiTheme="majorHAnsi" w:hAnsiTheme="majorHAnsi"/>
          <w:sz w:val="24"/>
          <w:szCs w:val="24"/>
          <w:lang w:val="ro-RO"/>
        </w:rPr>
        <w:t xml:space="preserve">Astfel, în anul 2020 supraîncasarea veniturilor față de nivelul precizat derivă din micșorarea indicatorilor aprobați, iar diminuarea acestora față de anul precedent a fost determinată de suspendarea activității economice și impunerea diferitor restricții în </w:t>
      </w:r>
      <w:r w:rsidR="006E2E6A" w:rsidRPr="00F55BA6">
        <w:rPr>
          <w:rFonts w:asciiTheme="majorHAnsi" w:hAnsiTheme="majorHAnsi" w:cstheme="majorHAnsi"/>
          <w:sz w:val="24"/>
          <w:szCs w:val="24"/>
          <w:lang w:val="ro-RO"/>
        </w:rPr>
        <w:t>condițiile crizei</w:t>
      </w:r>
      <w:r w:rsidR="006E2E6A" w:rsidRPr="00F55BA6">
        <w:rPr>
          <w:rFonts w:asciiTheme="majorHAnsi" w:hAnsiTheme="majorHAnsi" w:cstheme="majorHAnsi"/>
          <w:color w:val="000000"/>
          <w:sz w:val="24"/>
          <w:szCs w:val="24"/>
          <w:lang w:val="ro-RO"/>
        </w:rPr>
        <w:t xml:space="preserve"> generate de pandemia COVID-19.</w:t>
      </w:r>
      <w:r w:rsidR="006E2E6A" w:rsidRPr="00F55BA6">
        <w:rPr>
          <w:rFonts w:asciiTheme="majorHAnsi" w:hAnsiTheme="majorHAnsi" w:cstheme="majorHAnsi"/>
          <w:i/>
          <w:sz w:val="24"/>
          <w:szCs w:val="24"/>
          <w:lang w:val="ro-RO"/>
        </w:rPr>
        <w:t xml:space="preserve"> Dinamica execuției veniturilor bugetului de stat în anii 2018 - 2020 se prezintă în</w:t>
      </w:r>
      <w:r w:rsidR="006E2E6A" w:rsidRPr="00F55BA6">
        <w:rPr>
          <w:rFonts w:asciiTheme="majorHAnsi" w:hAnsiTheme="majorHAnsi" w:cs="Times New Roman"/>
          <w:sz w:val="24"/>
          <w:szCs w:val="24"/>
          <w:lang w:val="ro-RO"/>
        </w:rPr>
        <w:t xml:space="preserve"> </w:t>
      </w:r>
      <w:r w:rsidR="006E2E6A" w:rsidRPr="00F55BA6">
        <w:rPr>
          <w:rFonts w:asciiTheme="majorHAnsi" w:hAnsiTheme="majorHAnsi" w:cs="Times New Roman"/>
          <w:i/>
          <w:sz w:val="24"/>
          <w:szCs w:val="24"/>
          <w:lang w:val="ro-RO"/>
        </w:rPr>
        <w:t>Tabelul nr.</w:t>
      </w:r>
      <w:r w:rsidR="007257D8" w:rsidRPr="00F55BA6">
        <w:rPr>
          <w:rFonts w:asciiTheme="majorHAnsi" w:hAnsiTheme="majorHAnsi" w:cs="Times New Roman"/>
          <w:i/>
          <w:sz w:val="24"/>
          <w:szCs w:val="24"/>
          <w:lang w:val="ro-RO"/>
        </w:rPr>
        <w:t>3</w:t>
      </w:r>
      <w:r w:rsidR="006E2E6A" w:rsidRPr="00F55BA6">
        <w:rPr>
          <w:rFonts w:asciiTheme="majorHAnsi" w:hAnsiTheme="majorHAnsi" w:cs="Times New Roman"/>
          <w:i/>
          <w:sz w:val="24"/>
          <w:szCs w:val="24"/>
          <w:lang w:val="ro-RO"/>
        </w:rPr>
        <w:t>.</w:t>
      </w:r>
    </w:p>
    <w:p w:rsidR="006E2E6A" w:rsidRPr="00F55BA6" w:rsidRDefault="006E2E6A" w:rsidP="006A3770">
      <w:pPr>
        <w:spacing w:after="0" w:line="240" w:lineRule="auto"/>
        <w:jc w:val="right"/>
        <w:rPr>
          <w:rFonts w:asciiTheme="majorHAnsi" w:eastAsia="Times New Roman" w:hAnsiTheme="majorHAnsi" w:cstheme="majorHAnsi"/>
          <w:b/>
          <w:sz w:val="24"/>
          <w:szCs w:val="24"/>
          <w:lang w:val="ro-RO"/>
        </w:rPr>
      </w:pPr>
      <w:r w:rsidRPr="00F55BA6">
        <w:rPr>
          <w:rFonts w:asciiTheme="majorHAnsi" w:eastAsia="Times New Roman" w:hAnsiTheme="majorHAnsi" w:cstheme="majorHAnsi"/>
          <w:b/>
          <w:sz w:val="24"/>
          <w:szCs w:val="24"/>
          <w:lang w:val="ro-RO"/>
        </w:rPr>
        <w:t>Tabelul nr.</w:t>
      </w:r>
      <w:r w:rsidR="007257D8" w:rsidRPr="00F55BA6">
        <w:rPr>
          <w:rFonts w:asciiTheme="majorHAnsi" w:eastAsia="Times New Roman" w:hAnsiTheme="majorHAnsi" w:cstheme="majorHAnsi"/>
          <w:b/>
          <w:sz w:val="24"/>
          <w:szCs w:val="24"/>
          <w:lang w:val="ro-RO"/>
        </w:rPr>
        <w:t>3</w:t>
      </w:r>
    </w:p>
    <w:p w:rsidR="006E2E6A" w:rsidRPr="00F55BA6" w:rsidRDefault="006E2E6A" w:rsidP="006E2E6A">
      <w:pPr>
        <w:spacing w:after="0" w:line="240" w:lineRule="auto"/>
        <w:jc w:val="center"/>
        <w:rPr>
          <w:rFonts w:asciiTheme="majorHAnsi" w:eastAsia="Times New Roman" w:hAnsiTheme="majorHAnsi" w:cstheme="majorHAnsi"/>
          <w:sz w:val="24"/>
          <w:szCs w:val="24"/>
          <w:lang w:val="ro-RO"/>
        </w:rPr>
      </w:pPr>
      <w:r w:rsidRPr="00F55BA6">
        <w:rPr>
          <w:rFonts w:asciiTheme="majorHAnsi" w:eastAsia="Times New Roman" w:hAnsiTheme="majorHAnsi" w:cstheme="majorHAnsi"/>
          <w:b/>
          <w:bCs/>
          <w:sz w:val="24"/>
          <w:szCs w:val="24"/>
          <w:lang w:val="ro-RO"/>
        </w:rPr>
        <w:t>Dinamica execuției veniturilor bugetului de stat în anii 2018 -2020</w:t>
      </w:r>
    </w:p>
    <w:p w:rsidR="006E2E6A" w:rsidRPr="00F55BA6" w:rsidRDefault="006E2E6A" w:rsidP="006E2E6A">
      <w:pPr>
        <w:spacing w:after="0" w:line="240" w:lineRule="auto"/>
        <w:jc w:val="right"/>
        <w:rPr>
          <w:rFonts w:asciiTheme="majorHAnsi" w:eastAsia="Times New Roman" w:hAnsiTheme="majorHAnsi" w:cstheme="majorHAnsi"/>
          <w:b/>
          <w:i/>
          <w:iCs/>
          <w:sz w:val="24"/>
          <w:szCs w:val="24"/>
          <w:lang w:val="ro-RO"/>
        </w:rPr>
      </w:pPr>
      <w:r w:rsidRPr="00F55BA6">
        <w:rPr>
          <w:rFonts w:asciiTheme="majorHAnsi" w:eastAsia="Times New Roman" w:hAnsiTheme="majorHAnsi" w:cstheme="majorHAnsi"/>
          <w:b/>
          <w:sz w:val="24"/>
          <w:szCs w:val="24"/>
          <w:lang w:val="ro-RO"/>
        </w:rPr>
        <w:t> (mil. lei)</w:t>
      </w:r>
    </w:p>
    <w:tbl>
      <w:tblPr>
        <w:tblStyle w:val="GridTable1Light1"/>
        <w:tblW w:w="9890" w:type="dxa"/>
        <w:tblLook w:val="04A0" w:firstRow="1" w:lastRow="0" w:firstColumn="1" w:lastColumn="0" w:noHBand="0" w:noVBand="1"/>
      </w:tblPr>
      <w:tblGrid>
        <w:gridCol w:w="1555"/>
        <w:gridCol w:w="1012"/>
        <w:gridCol w:w="993"/>
        <w:gridCol w:w="943"/>
        <w:gridCol w:w="1011"/>
        <w:gridCol w:w="979"/>
        <w:gridCol w:w="1015"/>
        <w:gridCol w:w="992"/>
        <w:gridCol w:w="695"/>
        <w:gridCol w:w="695"/>
      </w:tblGrid>
      <w:tr w:rsidR="006E2E6A" w:rsidRPr="00E4517B" w:rsidTr="00B51730">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555" w:type="dxa"/>
            <w:vMerge w:val="restart"/>
            <w:noWrap/>
            <w:vAlign w:val="center"/>
            <w:hideMark/>
          </w:tcPr>
          <w:p w:rsidR="006E2E6A" w:rsidRPr="00F55BA6" w:rsidRDefault="006E2E6A" w:rsidP="00B51730">
            <w:pPr>
              <w:jc w:val="center"/>
              <w:rPr>
                <w:rFonts w:ascii="Calibri Light" w:eastAsia="Times New Roman" w:hAnsi="Calibri Light" w:cs="Calibri Light"/>
                <w:bCs w:val="0"/>
                <w:color w:val="000000"/>
                <w:sz w:val="20"/>
                <w:szCs w:val="20"/>
                <w:lang w:val="ro-RO" w:eastAsia="ro-RO"/>
              </w:rPr>
            </w:pPr>
            <w:r w:rsidRPr="00F55BA6">
              <w:rPr>
                <w:rFonts w:ascii="Calibri Light" w:eastAsia="Times New Roman" w:hAnsi="Calibri Light" w:cs="Calibri Light"/>
                <w:color w:val="000000"/>
                <w:sz w:val="20"/>
                <w:szCs w:val="20"/>
                <w:lang w:val="ro-RO" w:eastAsia="ro-RO"/>
              </w:rPr>
              <w:t>Indicatori</w:t>
            </w:r>
          </w:p>
          <w:p w:rsidR="006E2E6A" w:rsidRPr="00F55BA6" w:rsidRDefault="006E2E6A" w:rsidP="00B51730">
            <w:pPr>
              <w:jc w:val="left"/>
              <w:rPr>
                <w:rFonts w:ascii="Calibri Light" w:eastAsia="Times New Roman" w:hAnsi="Calibri Light" w:cs="Calibri Light"/>
                <w:bCs w:val="0"/>
                <w:color w:val="000000"/>
                <w:sz w:val="20"/>
                <w:szCs w:val="20"/>
                <w:lang w:val="ro-RO" w:eastAsia="ro-RO"/>
              </w:rPr>
            </w:pPr>
            <w:r w:rsidRPr="00F55BA6">
              <w:rPr>
                <w:rFonts w:ascii="Calibri Light" w:eastAsia="Times New Roman" w:hAnsi="Calibri Light" w:cs="Calibri Light"/>
                <w:color w:val="000000"/>
                <w:sz w:val="20"/>
                <w:szCs w:val="20"/>
                <w:lang w:val="ro-RO" w:eastAsia="ro-RO"/>
              </w:rPr>
              <w:t> </w:t>
            </w:r>
          </w:p>
        </w:tc>
        <w:tc>
          <w:tcPr>
            <w:tcW w:w="1012" w:type="dxa"/>
            <w:vMerge w:val="restart"/>
            <w:noWrap/>
            <w:vAlign w:val="center"/>
            <w:hideMark/>
          </w:tcPr>
          <w:p w:rsidR="006E2E6A" w:rsidRPr="00F55BA6" w:rsidRDefault="006E2E6A" w:rsidP="00B51730">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Cs w:val="0"/>
                <w:color w:val="000000"/>
                <w:sz w:val="20"/>
                <w:szCs w:val="20"/>
                <w:lang w:val="ro-RO" w:eastAsia="ro-RO"/>
              </w:rPr>
            </w:pPr>
          </w:p>
          <w:p w:rsidR="006E2E6A" w:rsidRPr="00F55BA6" w:rsidRDefault="006E2E6A" w:rsidP="00B51730">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Cs w:val="0"/>
                <w:color w:val="000000"/>
                <w:sz w:val="20"/>
                <w:szCs w:val="20"/>
                <w:lang w:val="ro-RO" w:eastAsia="ro-RO"/>
              </w:rPr>
            </w:pPr>
            <w:r w:rsidRPr="00F55BA6">
              <w:rPr>
                <w:rFonts w:ascii="Calibri Light" w:eastAsia="Times New Roman" w:hAnsi="Calibri Light" w:cs="Calibri Light"/>
                <w:color w:val="000000"/>
                <w:sz w:val="20"/>
                <w:szCs w:val="20"/>
                <w:lang w:val="ro-RO" w:eastAsia="ro-RO"/>
              </w:rPr>
              <w:t>Executat în anul 2018</w:t>
            </w:r>
          </w:p>
          <w:p w:rsidR="006E2E6A" w:rsidRPr="00F55BA6" w:rsidRDefault="006E2E6A" w:rsidP="00B51730">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Cs w:val="0"/>
                <w:color w:val="000000"/>
                <w:sz w:val="20"/>
                <w:szCs w:val="20"/>
                <w:lang w:val="ro-RO" w:eastAsia="ro-RO"/>
              </w:rPr>
            </w:pPr>
          </w:p>
        </w:tc>
        <w:tc>
          <w:tcPr>
            <w:tcW w:w="993" w:type="dxa"/>
            <w:vMerge w:val="restart"/>
            <w:vAlign w:val="center"/>
          </w:tcPr>
          <w:p w:rsidR="006E2E6A" w:rsidRPr="00F55BA6" w:rsidRDefault="006E2E6A" w:rsidP="00B51730">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Cs w:val="0"/>
                <w:color w:val="000000"/>
                <w:sz w:val="20"/>
                <w:szCs w:val="20"/>
                <w:lang w:val="ro-RO" w:eastAsia="ro-RO"/>
              </w:rPr>
            </w:pPr>
            <w:r w:rsidRPr="00F55BA6">
              <w:rPr>
                <w:rFonts w:ascii="Calibri Light" w:eastAsia="Times New Roman" w:hAnsi="Calibri Light" w:cs="Calibri Light"/>
                <w:color w:val="000000"/>
                <w:sz w:val="20"/>
                <w:szCs w:val="20"/>
                <w:lang w:val="ro-RO" w:eastAsia="ro-RO"/>
              </w:rPr>
              <w:t>Executat în anul</w:t>
            </w:r>
          </w:p>
          <w:p w:rsidR="006E2E6A" w:rsidRPr="00F55BA6" w:rsidRDefault="006E2E6A" w:rsidP="00B51730">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Cs w:val="0"/>
                <w:color w:val="000000"/>
                <w:sz w:val="20"/>
                <w:szCs w:val="20"/>
                <w:lang w:val="ro-RO" w:eastAsia="ro-RO"/>
              </w:rPr>
            </w:pPr>
            <w:r w:rsidRPr="00F55BA6">
              <w:rPr>
                <w:rFonts w:ascii="Calibri Light" w:eastAsia="Times New Roman" w:hAnsi="Calibri Light" w:cs="Calibri Light"/>
                <w:color w:val="000000"/>
                <w:sz w:val="20"/>
                <w:szCs w:val="20"/>
                <w:lang w:val="ro-RO" w:eastAsia="ro-RO"/>
              </w:rPr>
              <w:t>2019</w:t>
            </w:r>
          </w:p>
        </w:tc>
        <w:tc>
          <w:tcPr>
            <w:tcW w:w="3948" w:type="dxa"/>
            <w:gridSpan w:val="4"/>
            <w:vAlign w:val="center"/>
          </w:tcPr>
          <w:p w:rsidR="006E2E6A" w:rsidRPr="00F55BA6" w:rsidRDefault="006E2E6A" w:rsidP="00B51730">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Cs w:val="0"/>
                <w:color w:val="000000"/>
                <w:sz w:val="20"/>
                <w:szCs w:val="20"/>
                <w:lang w:val="ro-RO" w:eastAsia="ro-RO"/>
              </w:rPr>
            </w:pPr>
            <w:r w:rsidRPr="00F55BA6">
              <w:rPr>
                <w:rFonts w:ascii="Calibri Light" w:eastAsia="Times New Roman" w:hAnsi="Calibri Light" w:cs="Calibri Light"/>
                <w:color w:val="000000"/>
                <w:sz w:val="20"/>
                <w:szCs w:val="20"/>
                <w:lang w:val="ro-RO" w:eastAsia="ro-RO"/>
              </w:rPr>
              <w:t>Anul 2020</w:t>
            </w:r>
          </w:p>
        </w:tc>
        <w:tc>
          <w:tcPr>
            <w:tcW w:w="992" w:type="dxa"/>
            <w:vMerge w:val="restart"/>
            <w:vAlign w:val="center"/>
          </w:tcPr>
          <w:p w:rsidR="006E2E6A" w:rsidRPr="00F55BA6" w:rsidRDefault="006E2E6A" w:rsidP="00B51730">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Cs w:val="0"/>
                <w:color w:val="000000"/>
                <w:sz w:val="20"/>
                <w:szCs w:val="20"/>
                <w:lang w:val="ro-RO" w:eastAsia="ro-RO"/>
              </w:rPr>
            </w:pPr>
            <w:r w:rsidRPr="00F55BA6">
              <w:rPr>
                <w:rFonts w:ascii="Calibri Light" w:eastAsia="Times New Roman" w:hAnsi="Calibri Light" w:cs="Calibri Light"/>
                <w:color w:val="000000"/>
                <w:sz w:val="20"/>
                <w:szCs w:val="20"/>
                <w:lang w:val="ro-RO" w:eastAsia="ro-RO"/>
              </w:rPr>
              <w:t>Ponderea în PIB (%)</w:t>
            </w:r>
          </w:p>
        </w:tc>
        <w:tc>
          <w:tcPr>
            <w:tcW w:w="1390" w:type="dxa"/>
            <w:gridSpan w:val="2"/>
            <w:vAlign w:val="center"/>
          </w:tcPr>
          <w:p w:rsidR="006E2E6A" w:rsidRPr="00F55BA6" w:rsidRDefault="006E2E6A" w:rsidP="00B51730">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Cs w:val="0"/>
                <w:color w:val="000000"/>
                <w:sz w:val="20"/>
                <w:szCs w:val="20"/>
                <w:lang w:val="ro-RO" w:eastAsia="ro-RO"/>
              </w:rPr>
            </w:pPr>
            <w:r w:rsidRPr="00F55BA6">
              <w:rPr>
                <w:rFonts w:ascii="Calibri Light" w:eastAsia="Times New Roman" w:hAnsi="Calibri Light" w:cs="Calibri Light"/>
                <w:color w:val="000000"/>
                <w:sz w:val="20"/>
                <w:szCs w:val="20"/>
                <w:lang w:val="ro-RO" w:eastAsia="ro-RO"/>
              </w:rPr>
              <w:t>Devieri (%)</w:t>
            </w:r>
          </w:p>
        </w:tc>
      </w:tr>
      <w:tr w:rsidR="006E2E6A" w:rsidRPr="00E4517B" w:rsidTr="00B51730">
        <w:trPr>
          <w:trHeight w:val="252"/>
        </w:trPr>
        <w:tc>
          <w:tcPr>
            <w:cnfStyle w:val="001000000000" w:firstRow="0" w:lastRow="0" w:firstColumn="1" w:lastColumn="0" w:oddVBand="0" w:evenVBand="0" w:oddHBand="0" w:evenHBand="0" w:firstRowFirstColumn="0" w:firstRowLastColumn="0" w:lastRowFirstColumn="0" w:lastRowLastColumn="0"/>
            <w:tcW w:w="1555" w:type="dxa"/>
            <w:vMerge/>
            <w:noWrap/>
            <w:vAlign w:val="center"/>
            <w:hideMark/>
          </w:tcPr>
          <w:p w:rsidR="006E2E6A" w:rsidRPr="00F55BA6" w:rsidRDefault="006E2E6A" w:rsidP="00B51730">
            <w:pPr>
              <w:jc w:val="left"/>
              <w:rPr>
                <w:rFonts w:ascii="Calibri Light" w:eastAsia="Times New Roman" w:hAnsi="Calibri Light" w:cs="Calibri Light"/>
                <w:color w:val="000000"/>
                <w:sz w:val="20"/>
                <w:szCs w:val="20"/>
                <w:lang w:val="ro-RO" w:eastAsia="ro-RO"/>
              </w:rPr>
            </w:pPr>
          </w:p>
        </w:tc>
        <w:tc>
          <w:tcPr>
            <w:tcW w:w="1012" w:type="dxa"/>
            <w:vMerge/>
            <w:noWrap/>
            <w:vAlign w:val="center"/>
            <w:hideMark/>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o-RO" w:eastAsia="ro-RO"/>
              </w:rPr>
            </w:pPr>
          </w:p>
        </w:tc>
        <w:tc>
          <w:tcPr>
            <w:tcW w:w="993" w:type="dxa"/>
            <w:vMerge/>
            <w:noWrap/>
            <w:vAlign w:val="center"/>
            <w:hideMark/>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o-RO" w:eastAsia="ro-RO"/>
              </w:rPr>
            </w:pPr>
          </w:p>
        </w:tc>
        <w:tc>
          <w:tcPr>
            <w:tcW w:w="943" w:type="dxa"/>
            <w:noWrap/>
            <w:vAlign w:val="center"/>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o-RO" w:eastAsia="ro-RO"/>
              </w:rPr>
            </w:pPr>
            <w:r w:rsidRPr="00F55BA6">
              <w:rPr>
                <w:rFonts w:ascii="Calibri Light" w:eastAsia="Times New Roman" w:hAnsi="Calibri Light" w:cs="Calibri Light"/>
                <w:b/>
                <w:bCs/>
                <w:color w:val="000000"/>
                <w:sz w:val="20"/>
                <w:szCs w:val="20"/>
                <w:lang w:val="ro-RO" w:eastAsia="ro-RO"/>
              </w:rPr>
              <w:t>Aprobat</w:t>
            </w:r>
          </w:p>
        </w:tc>
        <w:tc>
          <w:tcPr>
            <w:tcW w:w="1011" w:type="dxa"/>
            <w:vAlign w:val="center"/>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o-RO" w:eastAsia="ro-RO"/>
              </w:rPr>
            </w:pPr>
            <w:r w:rsidRPr="00F55BA6">
              <w:rPr>
                <w:rFonts w:ascii="Calibri Light" w:eastAsia="Times New Roman" w:hAnsi="Calibri Light" w:cs="Calibri Light"/>
                <w:b/>
                <w:bCs/>
                <w:color w:val="000000"/>
                <w:sz w:val="20"/>
                <w:szCs w:val="20"/>
                <w:lang w:val="ro-RO" w:eastAsia="ro-RO"/>
              </w:rPr>
              <w:t>Precizat</w:t>
            </w:r>
          </w:p>
        </w:tc>
        <w:tc>
          <w:tcPr>
            <w:tcW w:w="979" w:type="dxa"/>
            <w:vAlign w:val="center"/>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o-RO" w:eastAsia="ro-RO"/>
              </w:rPr>
            </w:pPr>
            <w:r w:rsidRPr="00F55BA6">
              <w:rPr>
                <w:rFonts w:ascii="Calibri Light" w:eastAsia="Times New Roman" w:hAnsi="Calibri Light" w:cs="Calibri Light"/>
                <w:b/>
                <w:bCs/>
                <w:color w:val="000000"/>
                <w:sz w:val="20"/>
                <w:szCs w:val="20"/>
                <w:lang w:val="ro-RO" w:eastAsia="ro-RO"/>
              </w:rPr>
              <w:t>Executat</w:t>
            </w:r>
          </w:p>
        </w:tc>
        <w:tc>
          <w:tcPr>
            <w:tcW w:w="1015" w:type="dxa"/>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o-RO" w:eastAsia="ro-RO"/>
              </w:rPr>
            </w:pPr>
            <w:r w:rsidRPr="00F55BA6">
              <w:rPr>
                <w:rFonts w:ascii="Calibri Light" w:eastAsia="Times New Roman" w:hAnsi="Calibri Light" w:cs="Calibri Light"/>
                <w:b/>
                <w:bCs/>
                <w:iCs/>
                <w:color w:val="000000"/>
                <w:sz w:val="20"/>
                <w:szCs w:val="20"/>
                <w:lang w:val="ro-RO" w:eastAsia="ro-RO"/>
              </w:rPr>
              <w:t>Nivelul de executare (%)</w:t>
            </w:r>
          </w:p>
        </w:tc>
        <w:tc>
          <w:tcPr>
            <w:tcW w:w="992" w:type="dxa"/>
            <w:vMerge/>
            <w:vAlign w:val="center"/>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o-RO" w:eastAsia="ro-RO"/>
              </w:rPr>
            </w:pPr>
          </w:p>
        </w:tc>
        <w:tc>
          <w:tcPr>
            <w:tcW w:w="695" w:type="dxa"/>
            <w:vAlign w:val="center"/>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o-RO" w:eastAsia="ro-RO"/>
              </w:rPr>
            </w:pPr>
            <w:r w:rsidRPr="00F55BA6">
              <w:rPr>
                <w:rFonts w:ascii="Calibri Light" w:eastAsia="Times New Roman" w:hAnsi="Calibri Light" w:cs="Calibri Light"/>
                <w:b/>
                <w:bCs/>
                <w:color w:val="000000"/>
                <w:sz w:val="20"/>
                <w:szCs w:val="20"/>
                <w:lang w:val="ro-RO" w:eastAsia="ro-RO"/>
              </w:rPr>
              <w:t>2020/</w:t>
            </w:r>
          </w:p>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o-RO" w:eastAsia="ro-RO"/>
              </w:rPr>
            </w:pPr>
            <w:r w:rsidRPr="00F55BA6">
              <w:rPr>
                <w:rFonts w:ascii="Calibri Light" w:eastAsia="Times New Roman" w:hAnsi="Calibri Light" w:cs="Calibri Light"/>
                <w:b/>
                <w:bCs/>
                <w:color w:val="000000"/>
                <w:sz w:val="20"/>
                <w:szCs w:val="20"/>
                <w:lang w:val="ro-RO" w:eastAsia="ro-RO"/>
              </w:rPr>
              <w:t>2019</w:t>
            </w:r>
          </w:p>
        </w:tc>
        <w:tc>
          <w:tcPr>
            <w:tcW w:w="695" w:type="dxa"/>
            <w:vAlign w:val="center"/>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o-RO" w:eastAsia="ro-RO"/>
              </w:rPr>
            </w:pPr>
            <w:r w:rsidRPr="00F55BA6">
              <w:rPr>
                <w:rFonts w:ascii="Calibri Light" w:eastAsia="Times New Roman" w:hAnsi="Calibri Light" w:cs="Calibri Light"/>
                <w:b/>
                <w:bCs/>
                <w:color w:val="000000"/>
                <w:sz w:val="20"/>
                <w:szCs w:val="20"/>
                <w:lang w:val="ro-RO" w:eastAsia="ro-RO"/>
              </w:rPr>
              <w:t>2020/</w:t>
            </w:r>
          </w:p>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o-RO" w:eastAsia="ro-RO"/>
              </w:rPr>
            </w:pPr>
            <w:r w:rsidRPr="00F55BA6">
              <w:rPr>
                <w:rFonts w:ascii="Calibri Light" w:eastAsia="Times New Roman" w:hAnsi="Calibri Light" w:cs="Calibri Light"/>
                <w:b/>
                <w:bCs/>
                <w:color w:val="000000"/>
                <w:sz w:val="20"/>
                <w:szCs w:val="20"/>
                <w:lang w:val="ro-RO" w:eastAsia="ro-RO"/>
              </w:rPr>
              <w:t>2018</w:t>
            </w:r>
          </w:p>
        </w:tc>
      </w:tr>
      <w:tr w:rsidR="006E2E6A" w:rsidRPr="00E4517B" w:rsidTr="00B51730">
        <w:trPr>
          <w:trHeight w:val="183"/>
        </w:trPr>
        <w:tc>
          <w:tcPr>
            <w:cnfStyle w:val="001000000000" w:firstRow="0" w:lastRow="0" w:firstColumn="1" w:lastColumn="0" w:oddVBand="0" w:evenVBand="0" w:oddHBand="0" w:evenHBand="0" w:firstRowFirstColumn="0" w:firstRowLastColumn="0" w:lastRowFirstColumn="0" w:lastRowLastColumn="0"/>
            <w:tcW w:w="1555" w:type="dxa"/>
            <w:noWrap/>
            <w:hideMark/>
          </w:tcPr>
          <w:p w:rsidR="006E2E6A" w:rsidRPr="00F55BA6" w:rsidRDefault="006E2E6A" w:rsidP="00B51730">
            <w:pPr>
              <w:jc w:val="center"/>
              <w:rPr>
                <w:rFonts w:ascii="Calibri Light" w:eastAsia="Times New Roman" w:hAnsi="Calibri Light" w:cs="Calibri Light"/>
                <w:b w:val="0"/>
                <w:bCs w:val="0"/>
                <w:i/>
                <w:iCs/>
                <w:color w:val="000000"/>
                <w:sz w:val="16"/>
                <w:szCs w:val="16"/>
                <w:lang w:val="ro-RO" w:eastAsia="ro-RO"/>
              </w:rPr>
            </w:pPr>
            <w:r w:rsidRPr="00F55BA6">
              <w:rPr>
                <w:rFonts w:ascii="Calibri Light" w:eastAsia="Times New Roman" w:hAnsi="Calibri Light" w:cs="Calibri Light"/>
                <w:i/>
                <w:iCs/>
                <w:color w:val="000000"/>
                <w:sz w:val="16"/>
                <w:szCs w:val="16"/>
                <w:lang w:val="ro-RO" w:eastAsia="ro-RO"/>
              </w:rPr>
              <w:lastRenderedPageBreak/>
              <w:t>1</w:t>
            </w:r>
          </w:p>
        </w:tc>
        <w:tc>
          <w:tcPr>
            <w:tcW w:w="1012" w:type="dxa"/>
            <w:noWrap/>
            <w:hideMark/>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Cs/>
                <w:i/>
                <w:iCs/>
                <w:color w:val="000000"/>
                <w:sz w:val="16"/>
                <w:szCs w:val="16"/>
                <w:lang w:val="ro-RO" w:eastAsia="ro-RO"/>
              </w:rPr>
            </w:pPr>
            <w:r w:rsidRPr="00F55BA6">
              <w:rPr>
                <w:rFonts w:ascii="Calibri Light" w:eastAsia="Times New Roman" w:hAnsi="Calibri Light" w:cs="Calibri Light"/>
                <w:bCs/>
                <w:i/>
                <w:iCs/>
                <w:color w:val="000000"/>
                <w:sz w:val="16"/>
                <w:szCs w:val="16"/>
                <w:lang w:val="ro-RO" w:eastAsia="ro-RO"/>
              </w:rPr>
              <w:t>2</w:t>
            </w:r>
          </w:p>
        </w:tc>
        <w:tc>
          <w:tcPr>
            <w:tcW w:w="993" w:type="dxa"/>
            <w:noWrap/>
            <w:hideMark/>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Cs/>
                <w:i/>
                <w:iCs/>
                <w:color w:val="000000"/>
                <w:sz w:val="16"/>
                <w:szCs w:val="16"/>
                <w:lang w:val="ro-RO" w:eastAsia="ro-RO"/>
              </w:rPr>
            </w:pPr>
            <w:r w:rsidRPr="00F55BA6">
              <w:rPr>
                <w:rFonts w:ascii="Calibri Light" w:eastAsia="Times New Roman" w:hAnsi="Calibri Light" w:cs="Calibri Light"/>
                <w:bCs/>
                <w:i/>
                <w:iCs/>
                <w:color w:val="000000"/>
                <w:sz w:val="16"/>
                <w:szCs w:val="16"/>
                <w:lang w:val="ro-RO" w:eastAsia="ro-RO"/>
              </w:rPr>
              <w:t>3</w:t>
            </w:r>
          </w:p>
        </w:tc>
        <w:tc>
          <w:tcPr>
            <w:tcW w:w="943" w:type="dxa"/>
            <w:noWrap/>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Cs/>
                <w:i/>
                <w:iCs/>
                <w:color w:val="000000"/>
                <w:sz w:val="16"/>
                <w:szCs w:val="16"/>
                <w:lang w:val="ro-RO" w:eastAsia="ro-RO"/>
              </w:rPr>
            </w:pPr>
            <w:r w:rsidRPr="00F55BA6">
              <w:rPr>
                <w:rFonts w:ascii="Calibri Light" w:eastAsia="Times New Roman" w:hAnsi="Calibri Light" w:cs="Calibri Light"/>
                <w:bCs/>
                <w:i/>
                <w:iCs/>
                <w:color w:val="000000"/>
                <w:sz w:val="16"/>
                <w:szCs w:val="16"/>
                <w:lang w:val="ro-RO" w:eastAsia="ro-RO"/>
              </w:rPr>
              <w:t>4</w:t>
            </w:r>
          </w:p>
        </w:tc>
        <w:tc>
          <w:tcPr>
            <w:tcW w:w="1011" w:type="dxa"/>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Cs/>
                <w:i/>
                <w:iCs/>
                <w:color w:val="000000"/>
                <w:sz w:val="16"/>
                <w:szCs w:val="16"/>
                <w:lang w:val="ro-RO" w:eastAsia="ro-RO"/>
              </w:rPr>
            </w:pPr>
            <w:r w:rsidRPr="00F55BA6">
              <w:rPr>
                <w:rFonts w:ascii="Calibri Light" w:eastAsia="Times New Roman" w:hAnsi="Calibri Light" w:cs="Calibri Light"/>
                <w:bCs/>
                <w:i/>
                <w:iCs/>
                <w:color w:val="000000"/>
                <w:sz w:val="16"/>
                <w:szCs w:val="16"/>
                <w:lang w:val="ro-RO" w:eastAsia="ro-RO"/>
              </w:rPr>
              <w:t>5</w:t>
            </w:r>
          </w:p>
        </w:tc>
        <w:tc>
          <w:tcPr>
            <w:tcW w:w="979" w:type="dxa"/>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Cs/>
                <w:i/>
                <w:iCs/>
                <w:color w:val="000000"/>
                <w:sz w:val="16"/>
                <w:szCs w:val="16"/>
                <w:lang w:val="ro-RO" w:eastAsia="ro-RO"/>
              </w:rPr>
            </w:pPr>
            <w:r w:rsidRPr="00F55BA6">
              <w:rPr>
                <w:rFonts w:ascii="Calibri Light" w:eastAsia="Times New Roman" w:hAnsi="Calibri Light" w:cs="Calibri Light"/>
                <w:bCs/>
                <w:i/>
                <w:iCs/>
                <w:color w:val="000000"/>
                <w:sz w:val="16"/>
                <w:szCs w:val="16"/>
                <w:lang w:val="ro-RO" w:eastAsia="ro-RO"/>
              </w:rPr>
              <w:t>6</w:t>
            </w:r>
          </w:p>
        </w:tc>
        <w:tc>
          <w:tcPr>
            <w:tcW w:w="1015" w:type="dxa"/>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Cs/>
                <w:i/>
                <w:iCs/>
                <w:color w:val="000000"/>
                <w:sz w:val="16"/>
                <w:szCs w:val="16"/>
                <w:lang w:val="ro-RO" w:eastAsia="ro-RO"/>
              </w:rPr>
            </w:pPr>
            <w:r w:rsidRPr="00F55BA6">
              <w:rPr>
                <w:rFonts w:ascii="Calibri Light" w:eastAsia="Times New Roman" w:hAnsi="Calibri Light" w:cs="Calibri Light"/>
                <w:bCs/>
                <w:i/>
                <w:iCs/>
                <w:color w:val="000000"/>
                <w:sz w:val="16"/>
                <w:szCs w:val="16"/>
                <w:lang w:val="ro-RO" w:eastAsia="ro-RO"/>
              </w:rPr>
              <w:t>7=6/5</w:t>
            </w:r>
          </w:p>
        </w:tc>
        <w:tc>
          <w:tcPr>
            <w:tcW w:w="992" w:type="dxa"/>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Cs/>
                <w:i/>
                <w:iCs/>
                <w:color w:val="000000"/>
                <w:sz w:val="16"/>
                <w:szCs w:val="16"/>
                <w:lang w:val="ro-RO" w:eastAsia="ro-RO"/>
              </w:rPr>
            </w:pPr>
            <w:r w:rsidRPr="00F55BA6">
              <w:rPr>
                <w:rFonts w:ascii="Calibri Light" w:eastAsia="Times New Roman" w:hAnsi="Calibri Light" w:cs="Calibri Light"/>
                <w:bCs/>
                <w:i/>
                <w:iCs/>
                <w:color w:val="000000"/>
                <w:sz w:val="16"/>
                <w:szCs w:val="16"/>
                <w:lang w:val="ro-RO" w:eastAsia="ro-RO"/>
              </w:rPr>
              <w:t>8</w:t>
            </w:r>
          </w:p>
        </w:tc>
        <w:tc>
          <w:tcPr>
            <w:tcW w:w="695" w:type="dxa"/>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Cs/>
                <w:i/>
                <w:iCs/>
                <w:color w:val="000000"/>
                <w:sz w:val="16"/>
                <w:szCs w:val="16"/>
                <w:lang w:val="ro-RO" w:eastAsia="ro-RO"/>
              </w:rPr>
            </w:pPr>
            <w:r w:rsidRPr="00F55BA6">
              <w:rPr>
                <w:rFonts w:ascii="Calibri Light" w:eastAsia="Times New Roman" w:hAnsi="Calibri Light" w:cs="Calibri Light"/>
                <w:bCs/>
                <w:i/>
                <w:iCs/>
                <w:color w:val="000000"/>
                <w:sz w:val="16"/>
                <w:szCs w:val="16"/>
                <w:lang w:val="ro-RO" w:eastAsia="ro-RO"/>
              </w:rPr>
              <w:t>9=6/3</w:t>
            </w:r>
          </w:p>
        </w:tc>
        <w:tc>
          <w:tcPr>
            <w:tcW w:w="695" w:type="dxa"/>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Cs/>
                <w:i/>
                <w:iCs/>
                <w:color w:val="000000"/>
                <w:sz w:val="16"/>
                <w:szCs w:val="16"/>
                <w:lang w:val="ro-RO" w:eastAsia="ro-RO"/>
              </w:rPr>
            </w:pPr>
            <w:r w:rsidRPr="00F55BA6">
              <w:rPr>
                <w:rFonts w:ascii="Calibri Light" w:eastAsia="Times New Roman" w:hAnsi="Calibri Light" w:cs="Calibri Light"/>
                <w:bCs/>
                <w:i/>
                <w:iCs/>
                <w:color w:val="000000"/>
                <w:sz w:val="16"/>
                <w:szCs w:val="16"/>
                <w:lang w:val="ro-RO" w:eastAsia="ro-RO"/>
              </w:rPr>
              <w:t>10=6/2</w:t>
            </w:r>
          </w:p>
        </w:tc>
      </w:tr>
      <w:tr w:rsidR="006E2E6A" w:rsidRPr="00E4517B" w:rsidTr="00B51730">
        <w:trPr>
          <w:trHeight w:val="255"/>
        </w:trPr>
        <w:tc>
          <w:tcPr>
            <w:cnfStyle w:val="001000000000" w:firstRow="0" w:lastRow="0" w:firstColumn="1" w:lastColumn="0" w:oddVBand="0" w:evenVBand="0" w:oddHBand="0" w:evenHBand="0" w:firstRowFirstColumn="0" w:firstRowLastColumn="0" w:lastRowFirstColumn="0" w:lastRowLastColumn="0"/>
            <w:tcW w:w="1555" w:type="dxa"/>
            <w:hideMark/>
          </w:tcPr>
          <w:p w:rsidR="006E2E6A" w:rsidRPr="00F55BA6" w:rsidRDefault="006E2E6A" w:rsidP="00B51730">
            <w:pPr>
              <w:jc w:val="left"/>
              <w:rPr>
                <w:rFonts w:ascii="Calibri Light" w:eastAsia="Times New Roman" w:hAnsi="Calibri Light" w:cs="Calibri Light"/>
                <w:bCs w:val="0"/>
                <w:color w:val="000000"/>
                <w:sz w:val="20"/>
                <w:szCs w:val="20"/>
                <w:lang w:val="ro-RO" w:eastAsia="ro-RO"/>
              </w:rPr>
            </w:pPr>
            <w:r w:rsidRPr="00F55BA6">
              <w:rPr>
                <w:rFonts w:ascii="Calibri Light" w:eastAsia="Times New Roman" w:hAnsi="Calibri Light" w:cs="Calibri Light"/>
                <w:color w:val="000000"/>
                <w:sz w:val="20"/>
                <w:szCs w:val="20"/>
                <w:lang w:val="ro-RO" w:eastAsia="ro-RO"/>
              </w:rPr>
              <w:t>VENITURI</w:t>
            </w:r>
          </w:p>
        </w:tc>
        <w:tc>
          <w:tcPr>
            <w:tcW w:w="1012" w:type="dxa"/>
            <w:noWrap/>
            <w:hideMark/>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color w:val="000000"/>
                <w:sz w:val="20"/>
                <w:szCs w:val="20"/>
                <w:lang w:val="ro-RO" w:eastAsia="ro-RO"/>
              </w:rPr>
            </w:pPr>
            <w:r w:rsidRPr="00F55BA6">
              <w:rPr>
                <w:rFonts w:ascii="Calibri Light" w:eastAsia="Times New Roman" w:hAnsi="Calibri Light" w:cs="Calibri Light"/>
                <w:b/>
                <w:color w:val="000000"/>
                <w:sz w:val="20"/>
                <w:szCs w:val="20"/>
                <w:lang w:val="ro-RO" w:eastAsia="ro-RO"/>
              </w:rPr>
              <w:t>36 432,7</w:t>
            </w:r>
          </w:p>
        </w:tc>
        <w:tc>
          <w:tcPr>
            <w:tcW w:w="993" w:type="dxa"/>
            <w:noWrap/>
            <w:hideMark/>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color w:val="000000"/>
                <w:sz w:val="20"/>
                <w:szCs w:val="20"/>
                <w:lang w:val="ro-RO" w:eastAsia="ro-RO"/>
              </w:rPr>
            </w:pPr>
            <w:r w:rsidRPr="00F55BA6">
              <w:rPr>
                <w:rFonts w:ascii="Calibri Light" w:eastAsia="Times New Roman" w:hAnsi="Calibri Light" w:cs="Calibri Light"/>
                <w:b/>
                <w:color w:val="000000"/>
                <w:sz w:val="20"/>
                <w:szCs w:val="20"/>
                <w:lang w:val="ro-RO" w:eastAsia="ro-RO"/>
              </w:rPr>
              <w:t>39 967,9</w:t>
            </w:r>
          </w:p>
        </w:tc>
        <w:tc>
          <w:tcPr>
            <w:tcW w:w="943" w:type="dxa"/>
            <w:noWrap/>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color w:val="000000"/>
                <w:sz w:val="20"/>
                <w:szCs w:val="20"/>
                <w:lang w:val="ro-RO" w:eastAsia="ro-RO"/>
              </w:rPr>
            </w:pPr>
            <w:r w:rsidRPr="00F55BA6">
              <w:rPr>
                <w:rFonts w:ascii="Calibri Light" w:eastAsia="Times New Roman" w:hAnsi="Calibri Light" w:cs="Calibri Light"/>
                <w:b/>
                <w:color w:val="000000"/>
                <w:sz w:val="20"/>
                <w:szCs w:val="20"/>
                <w:lang w:val="ro-RO" w:eastAsia="ro-RO"/>
              </w:rPr>
              <w:t>44 136,6</w:t>
            </w:r>
          </w:p>
        </w:tc>
        <w:tc>
          <w:tcPr>
            <w:tcW w:w="1011" w:type="dxa"/>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color w:val="000000"/>
                <w:sz w:val="20"/>
                <w:szCs w:val="20"/>
                <w:lang w:val="ro-RO" w:eastAsia="ro-RO"/>
              </w:rPr>
            </w:pPr>
            <w:r w:rsidRPr="00F55BA6">
              <w:rPr>
                <w:rFonts w:ascii="Calibri Light" w:eastAsia="Times New Roman" w:hAnsi="Calibri Light" w:cs="Calibri Light"/>
                <w:b/>
                <w:color w:val="000000"/>
                <w:sz w:val="20"/>
                <w:szCs w:val="20"/>
                <w:lang w:val="ro-RO" w:eastAsia="ro-RO"/>
              </w:rPr>
              <w:t>37 281,2</w:t>
            </w:r>
          </w:p>
        </w:tc>
        <w:tc>
          <w:tcPr>
            <w:tcW w:w="979" w:type="dxa"/>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color w:val="000000"/>
                <w:sz w:val="20"/>
                <w:szCs w:val="20"/>
                <w:lang w:val="ro-RO" w:eastAsia="ro-RO"/>
              </w:rPr>
            </w:pPr>
            <w:r w:rsidRPr="00F55BA6">
              <w:rPr>
                <w:rFonts w:ascii="Calibri Light" w:eastAsia="Times New Roman" w:hAnsi="Calibri Light" w:cs="Calibri Light"/>
                <w:b/>
                <w:color w:val="000000"/>
                <w:sz w:val="20"/>
                <w:szCs w:val="20"/>
                <w:lang w:val="ro-RO" w:eastAsia="ro-RO"/>
              </w:rPr>
              <w:t>38 500,5</w:t>
            </w:r>
          </w:p>
        </w:tc>
        <w:tc>
          <w:tcPr>
            <w:tcW w:w="1015" w:type="dxa"/>
            <w:tcBorders>
              <w:top w:val="nil"/>
              <w:left w:val="nil"/>
              <w:bottom w:val="single" w:sz="4" w:space="0" w:color="auto"/>
              <w:right w:val="single" w:sz="4" w:space="0" w:color="auto"/>
            </w:tcBorders>
            <w:shd w:val="clear" w:color="auto" w:fill="auto"/>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bCs/>
                <w:sz w:val="20"/>
                <w:szCs w:val="20"/>
                <w:lang w:val="ro-RO" w:eastAsia="ro-RO"/>
              </w:rPr>
            </w:pPr>
            <w:r w:rsidRPr="00F55BA6">
              <w:rPr>
                <w:rFonts w:ascii="Calibri Light" w:eastAsia="Times New Roman" w:hAnsi="Calibri Light" w:cs="Arial"/>
                <w:b/>
                <w:bCs/>
                <w:sz w:val="20"/>
                <w:szCs w:val="20"/>
                <w:lang w:val="ro-RO" w:eastAsia="ro-RO"/>
              </w:rPr>
              <w:t>103,3</w:t>
            </w:r>
          </w:p>
        </w:tc>
        <w:tc>
          <w:tcPr>
            <w:tcW w:w="992" w:type="dxa"/>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color w:val="000000"/>
                <w:sz w:val="20"/>
                <w:szCs w:val="20"/>
                <w:lang w:val="ro-RO" w:eastAsia="ro-RO"/>
              </w:rPr>
            </w:pPr>
            <w:r w:rsidRPr="00F55BA6">
              <w:rPr>
                <w:rFonts w:ascii="Calibri Light" w:eastAsia="Times New Roman" w:hAnsi="Calibri Light" w:cs="Calibri Light"/>
                <w:b/>
                <w:color w:val="000000"/>
                <w:sz w:val="20"/>
                <w:szCs w:val="20"/>
                <w:lang w:val="ro-RO" w:eastAsia="ro-RO"/>
              </w:rPr>
              <w:t>18,7</w:t>
            </w:r>
          </w:p>
        </w:tc>
        <w:tc>
          <w:tcPr>
            <w:tcW w:w="695" w:type="dxa"/>
          </w:tcPr>
          <w:p w:rsidR="006E2E6A" w:rsidRPr="00F55BA6" w:rsidRDefault="006E2E6A" w:rsidP="00B51730">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color w:val="000000"/>
                <w:sz w:val="20"/>
                <w:szCs w:val="20"/>
                <w:lang w:val="ro-RO" w:eastAsia="ro-RO"/>
              </w:rPr>
            </w:pPr>
            <w:r w:rsidRPr="00F55BA6">
              <w:rPr>
                <w:rFonts w:ascii="Calibri Light" w:eastAsia="Times New Roman" w:hAnsi="Calibri Light" w:cs="Calibri Light"/>
                <w:b/>
                <w:color w:val="000000"/>
                <w:sz w:val="20"/>
                <w:szCs w:val="20"/>
                <w:lang w:val="ro-RO" w:eastAsia="ro-RO"/>
              </w:rPr>
              <w:t>96,3</w:t>
            </w:r>
          </w:p>
        </w:tc>
        <w:tc>
          <w:tcPr>
            <w:tcW w:w="695" w:type="dxa"/>
          </w:tcPr>
          <w:p w:rsidR="006E2E6A" w:rsidRPr="00F55BA6" w:rsidRDefault="006E2E6A" w:rsidP="00B51730">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color w:val="000000"/>
                <w:sz w:val="20"/>
                <w:szCs w:val="20"/>
                <w:lang w:val="ro-RO" w:eastAsia="ro-RO"/>
              </w:rPr>
            </w:pPr>
            <w:r w:rsidRPr="00F55BA6">
              <w:rPr>
                <w:rFonts w:ascii="Calibri Light" w:eastAsia="Times New Roman" w:hAnsi="Calibri Light" w:cs="Calibri Light"/>
                <w:b/>
                <w:color w:val="000000"/>
                <w:sz w:val="20"/>
                <w:szCs w:val="20"/>
                <w:lang w:val="ro-RO" w:eastAsia="ro-RO"/>
              </w:rPr>
              <w:t>105,7</w:t>
            </w:r>
          </w:p>
        </w:tc>
      </w:tr>
      <w:tr w:rsidR="006E2E6A" w:rsidRPr="00E4517B" w:rsidTr="00B51730">
        <w:trPr>
          <w:trHeight w:val="254"/>
        </w:trPr>
        <w:tc>
          <w:tcPr>
            <w:cnfStyle w:val="001000000000" w:firstRow="0" w:lastRow="0" w:firstColumn="1" w:lastColumn="0" w:oddVBand="0" w:evenVBand="0" w:oddHBand="0" w:evenHBand="0" w:firstRowFirstColumn="0" w:firstRowLastColumn="0" w:lastRowFirstColumn="0" w:lastRowLastColumn="0"/>
            <w:tcW w:w="1555" w:type="dxa"/>
            <w:hideMark/>
          </w:tcPr>
          <w:p w:rsidR="006E2E6A" w:rsidRPr="00F55BA6" w:rsidRDefault="006E2E6A" w:rsidP="00B51730">
            <w:pPr>
              <w:jc w:val="left"/>
              <w:rPr>
                <w:rFonts w:ascii="Calibri Light" w:eastAsia="Times New Roman" w:hAnsi="Calibri Light" w:cs="Calibri Light"/>
                <w:b w:val="0"/>
                <w:bCs w:val="0"/>
                <w:iCs/>
                <w:color w:val="000000"/>
                <w:sz w:val="20"/>
                <w:szCs w:val="20"/>
                <w:lang w:val="ro-RO" w:eastAsia="ro-RO"/>
              </w:rPr>
            </w:pPr>
            <w:r w:rsidRPr="00F55BA6">
              <w:rPr>
                <w:rFonts w:ascii="Calibri Light" w:eastAsia="Times New Roman" w:hAnsi="Calibri Light" w:cs="Calibri Light"/>
                <w:iCs/>
                <w:color w:val="000000"/>
                <w:sz w:val="20"/>
                <w:szCs w:val="20"/>
                <w:lang w:val="ro-RO" w:eastAsia="ro-RO"/>
              </w:rPr>
              <w:t>Impozite și taxe</w:t>
            </w:r>
          </w:p>
        </w:tc>
        <w:tc>
          <w:tcPr>
            <w:tcW w:w="1012" w:type="dxa"/>
            <w:noWrap/>
            <w:hideMark/>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o-RO" w:eastAsia="ro-RO"/>
              </w:rPr>
            </w:pPr>
            <w:r w:rsidRPr="00F55BA6">
              <w:rPr>
                <w:rFonts w:ascii="Calibri Light" w:eastAsia="Times New Roman" w:hAnsi="Calibri Light" w:cs="Calibri Light"/>
                <w:color w:val="000000"/>
                <w:sz w:val="20"/>
                <w:szCs w:val="20"/>
                <w:lang w:val="ro-RO" w:eastAsia="ro-RO"/>
              </w:rPr>
              <w:t>34 057,9</w:t>
            </w:r>
          </w:p>
        </w:tc>
        <w:tc>
          <w:tcPr>
            <w:tcW w:w="993" w:type="dxa"/>
            <w:noWrap/>
            <w:hideMark/>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o-RO" w:eastAsia="ro-RO"/>
              </w:rPr>
            </w:pPr>
            <w:r w:rsidRPr="00F55BA6">
              <w:rPr>
                <w:rFonts w:ascii="Calibri Light" w:eastAsia="Times New Roman" w:hAnsi="Calibri Light" w:cs="Calibri Light"/>
                <w:color w:val="000000"/>
                <w:sz w:val="20"/>
                <w:szCs w:val="20"/>
                <w:lang w:val="ro-RO" w:eastAsia="ro-RO"/>
              </w:rPr>
              <w:t>36 417,2</w:t>
            </w:r>
          </w:p>
        </w:tc>
        <w:tc>
          <w:tcPr>
            <w:tcW w:w="943" w:type="dxa"/>
            <w:noWrap/>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o-RO" w:eastAsia="ro-RO"/>
              </w:rPr>
            </w:pPr>
            <w:r w:rsidRPr="00F55BA6">
              <w:rPr>
                <w:rFonts w:ascii="Calibri Light" w:eastAsia="Times New Roman" w:hAnsi="Calibri Light" w:cs="Calibri Light"/>
                <w:color w:val="000000"/>
                <w:sz w:val="20"/>
                <w:szCs w:val="20"/>
                <w:lang w:val="ro-RO" w:eastAsia="ro-RO"/>
              </w:rPr>
              <w:t>40 536,2</w:t>
            </w:r>
          </w:p>
        </w:tc>
        <w:tc>
          <w:tcPr>
            <w:tcW w:w="1011" w:type="dxa"/>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o-RO" w:eastAsia="ro-RO"/>
              </w:rPr>
            </w:pPr>
            <w:r w:rsidRPr="00F55BA6">
              <w:rPr>
                <w:rFonts w:ascii="Calibri Light" w:eastAsia="Times New Roman" w:hAnsi="Calibri Light" w:cs="Calibri Light"/>
                <w:color w:val="000000"/>
                <w:sz w:val="20"/>
                <w:szCs w:val="20"/>
                <w:lang w:val="ro-RO" w:eastAsia="ro-RO"/>
              </w:rPr>
              <w:t>34 226,7</w:t>
            </w:r>
          </w:p>
        </w:tc>
        <w:tc>
          <w:tcPr>
            <w:tcW w:w="979" w:type="dxa"/>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o-RO" w:eastAsia="ro-RO"/>
              </w:rPr>
            </w:pPr>
            <w:r w:rsidRPr="00F55BA6">
              <w:rPr>
                <w:rFonts w:ascii="Calibri Light" w:eastAsia="Times New Roman" w:hAnsi="Calibri Light" w:cs="Calibri Light"/>
                <w:color w:val="000000"/>
                <w:sz w:val="20"/>
                <w:szCs w:val="20"/>
                <w:lang w:val="ro-RO" w:eastAsia="ro-RO"/>
              </w:rPr>
              <w:t>35 772,1</w:t>
            </w:r>
          </w:p>
        </w:tc>
        <w:tc>
          <w:tcPr>
            <w:tcW w:w="1015" w:type="dxa"/>
            <w:tcBorders>
              <w:top w:val="nil"/>
              <w:left w:val="nil"/>
              <w:bottom w:val="single" w:sz="4" w:space="0" w:color="auto"/>
              <w:right w:val="single" w:sz="4" w:space="0" w:color="auto"/>
            </w:tcBorders>
            <w:shd w:val="clear" w:color="auto" w:fill="auto"/>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20"/>
                <w:szCs w:val="20"/>
                <w:lang w:val="ro-RO" w:eastAsia="ro-RO"/>
              </w:rPr>
            </w:pPr>
            <w:r w:rsidRPr="00F55BA6">
              <w:rPr>
                <w:rFonts w:ascii="Calibri Light" w:eastAsia="Times New Roman" w:hAnsi="Calibri Light" w:cs="Arial"/>
                <w:sz w:val="20"/>
                <w:szCs w:val="20"/>
                <w:lang w:val="ro-RO" w:eastAsia="ro-RO"/>
              </w:rPr>
              <w:t>104,5</w:t>
            </w:r>
          </w:p>
        </w:tc>
        <w:tc>
          <w:tcPr>
            <w:tcW w:w="992" w:type="dxa"/>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o-RO" w:eastAsia="ro-RO"/>
              </w:rPr>
            </w:pPr>
            <w:r w:rsidRPr="00F55BA6">
              <w:rPr>
                <w:rFonts w:ascii="Calibri Light" w:eastAsia="Times New Roman" w:hAnsi="Calibri Light" w:cs="Calibri Light"/>
                <w:color w:val="000000"/>
                <w:sz w:val="20"/>
                <w:szCs w:val="20"/>
                <w:lang w:val="ro-RO" w:eastAsia="ro-RO"/>
              </w:rPr>
              <w:t>17,3</w:t>
            </w:r>
          </w:p>
        </w:tc>
        <w:tc>
          <w:tcPr>
            <w:tcW w:w="695" w:type="dxa"/>
          </w:tcPr>
          <w:p w:rsidR="006E2E6A" w:rsidRPr="00F55BA6" w:rsidRDefault="006E2E6A" w:rsidP="00B51730">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o-RO" w:eastAsia="ro-RO"/>
              </w:rPr>
            </w:pPr>
            <w:r w:rsidRPr="00F55BA6">
              <w:rPr>
                <w:rFonts w:ascii="Calibri Light" w:eastAsia="Times New Roman" w:hAnsi="Calibri Light" w:cs="Calibri Light"/>
                <w:color w:val="000000"/>
                <w:sz w:val="20"/>
                <w:szCs w:val="20"/>
                <w:lang w:val="ro-RO" w:eastAsia="ro-RO"/>
              </w:rPr>
              <w:t>98,2</w:t>
            </w:r>
          </w:p>
        </w:tc>
        <w:tc>
          <w:tcPr>
            <w:tcW w:w="695" w:type="dxa"/>
          </w:tcPr>
          <w:p w:rsidR="006E2E6A" w:rsidRPr="00F55BA6" w:rsidRDefault="006E2E6A" w:rsidP="00B51730">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o-RO" w:eastAsia="ro-RO"/>
              </w:rPr>
            </w:pPr>
            <w:r w:rsidRPr="00F55BA6">
              <w:rPr>
                <w:rFonts w:ascii="Calibri Light" w:eastAsia="Times New Roman" w:hAnsi="Calibri Light" w:cs="Calibri Light"/>
                <w:color w:val="000000"/>
                <w:sz w:val="20"/>
                <w:szCs w:val="20"/>
                <w:lang w:val="ro-RO" w:eastAsia="ro-RO"/>
              </w:rPr>
              <w:t>105,0</w:t>
            </w:r>
          </w:p>
        </w:tc>
      </w:tr>
      <w:tr w:rsidR="006E2E6A" w:rsidRPr="00E4517B" w:rsidTr="00B51730">
        <w:trPr>
          <w:trHeight w:val="219"/>
        </w:trPr>
        <w:tc>
          <w:tcPr>
            <w:cnfStyle w:val="001000000000" w:firstRow="0" w:lastRow="0" w:firstColumn="1" w:lastColumn="0" w:oddVBand="0" w:evenVBand="0" w:oddHBand="0" w:evenHBand="0" w:firstRowFirstColumn="0" w:firstRowLastColumn="0" w:lastRowFirstColumn="0" w:lastRowLastColumn="0"/>
            <w:tcW w:w="1555" w:type="dxa"/>
            <w:hideMark/>
          </w:tcPr>
          <w:p w:rsidR="006E2E6A" w:rsidRPr="00F55BA6" w:rsidRDefault="006E2E6A" w:rsidP="00B51730">
            <w:pPr>
              <w:jc w:val="left"/>
              <w:rPr>
                <w:rFonts w:ascii="Calibri Light" w:eastAsia="Times New Roman" w:hAnsi="Calibri Light" w:cs="Calibri Light"/>
                <w:b w:val="0"/>
                <w:bCs w:val="0"/>
                <w:iCs/>
                <w:color w:val="000000"/>
                <w:sz w:val="20"/>
                <w:szCs w:val="20"/>
                <w:lang w:val="ro-RO" w:eastAsia="ro-RO"/>
              </w:rPr>
            </w:pPr>
            <w:r w:rsidRPr="00F55BA6">
              <w:rPr>
                <w:rFonts w:ascii="Calibri Light" w:eastAsia="Times New Roman" w:hAnsi="Calibri Light" w:cs="Calibri Light"/>
                <w:iCs/>
                <w:color w:val="000000"/>
                <w:sz w:val="20"/>
                <w:szCs w:val="20"/>
                <w:lang w:val="ro-RO" w:eastAsia="ro-RO"/>
              </w:rPr>
              <w:t>Granturi primite</w:t>
            </w:r>
          </w:p>
        </w:tc>
        <w:tc>
          <w:tcPr>
            <w:tcW w:w="1012" w:type="dxa"/>
            <w:noWrap/>
            <w:hideMark/>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o-RO" w:eastAsia="ro-RO"/>
              </w:rPr>
            </w:pPr>
            <w:r w:rsidRPr="00F55BA6">
              <w:rPr>
                <w:rFonts w:ascii="Calibri Light" w:eastAsia="Times New Roman" w:hAnsi="Calibri Light" w:cs="Calibri Light"/>
                <w:color w:val="000000"/>
                <w:sz w:val="20"/>
                <w:szCs w:val="20"/>
                <w:lang w:val="ro-RO" w:eastAsia="ro-RO"/>
              </w:rPr>
              <w:t>335,4</w:t>
            </w:r>
          </w:p>
        </w:tc>
        <w:tc>
          <w:tcPr>
            <w:tcW w:w="993" w:type="dxa"/>
            <w:noWrap/>
            <w:hideMark/>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o-RO" w:eastAsia="ro-RO"/>
              </w:rPr>
            </w:pPr>
            <w:r w:rsidRPr="00F55BA6">
              <w:rPr>
                <w:rFonts w:ascii="Calibri Light" w:eastAsia="Times New Roman" w:hAnsi="Calibri Light" w:cs="Calibri Light"/>
                <w:color w:val="000000"/>
                <w:sz w:val="20"/>
                <w:szCs w:val="20"/>
                <w:lang w:val="ro-RO" w:eastAsia="ro-RO"/>
              </w:rPr>
              <w:t>1 540,5</w:t>
            </w:r>
          </w:p>
        </w:tc>
        <w:tc>
          <w:tcPr>
            <w:tcW w:w="943" w:type="dxa"/>
            <w:noWrap/>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o-RO" w:eastAsia="ro-RO"/>
              </w:rPr>
            </w:pPr>
            <w:r w:rsidRPr="00F55BA6">
              <w:rPr>
                <w:rFonts w:ascii="Calibri Light" w:eastAsia="Times New Roman" w:hAnsi="Calibri Light" w:cs="Calibri Light"/>
                <w:color w:val="000000"/>
                <w:sz w:val="20"/>
                <w:szCs w:val="20"/>
                <w:lang w:val="ro-RO" w:eastAsia="ro-RO"/>
              </w:rPr>
              <w:t>1 773 ,5</w:t>
            </w:r>
          </w:p>
        </w:tc>
        <w:tc>
          <w:tcPr>
            <w:tcW w:w="1011" w:type="dxa"/>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o-RO" w:eastAsia="ro-RO"/>
              </w:rPr>
            </w:pPr>
            <w:r w:rsidRPr="00F55BA6">
              <w:rPr>
                <w:rFonts w:ascii="Calibri Light" w:eastAsia="Times New Roman" w:hAnsi="Calibri Light" w:cs="Calibri Light"/>
                <w:color w:val="000000"/>
                <w:sz w:val="20"/>
                <w:szCs w:val="20"/>
                <w:lang w:val="ro-RO" w:eastAsia="ro-RO"/>
              </w:rPr>
              <w:t>952,1</w:t>
            </w:r>
          </w:p>
        </w:tc>
        <w:tc>
          <w:tcPr>
            <w:tcW w:w="979" w:type="dxa"/>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o-RO" w:eastAsia="ro-RO"/>
              </w:rPr>
            </w:pPr>
            <w:r w:rsidRPr="00F55BA6">
              <w:rPr>
                <w:rFonts w:ascii="Calibri Light" w:eastAsia="Times New Roman" w:hAnsi="Calibri Light" w:cs="Calibri Light"/>
                <w:color w:val="000000"/>
                <w:sz w:val="20"/>
                <w:szCs w:val="20"/>
                <w:lang w:val="ro-RO" w:eastAsia="ro-RO"/>
              </w:rPr>
              <w:t>624,2</w:t>
            </w:r>
          </w:p>
        </w:tc>
        <w:tc>
          <w:tcPr>
            <w:tcW w:w="1015" w:type="dxa"/>
            <w:tcBorders>
              <w:top w:val="nil"/>
              <w:left w:val="nil"/>
              <w:bottom w:val="single" w:sz="4" w:space="0" w:color="auto"/>
              <w:right w:val="single" w:sz="4" w:space="0" w:color="auto"/>
            </w:tcBorders>
            <w:shd w:val="clear" w:color="auto" w:fill="auto"/>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20"/>
                <w:szCs w:val="20"/>
                <w:lang w:val="ro-RO" w:eastAsia="ro-RO"/>
              </w:rPr>
            </w:pPr>
            <w:r w:rsidRPr="00F55BA6">
              <w:rPr>
                <w:rFonts w:ascii="Calibri Light" w:eastAsia="Times New Roman" w:hAnsi="Calibri Light" w:cs="Arial"/>
                <w:sz w:val="20"/>
                <w:szCs w:val="20"/>
                <w:lang w:val="ro-RO" w:eastAsia="ro-RO"/>
              </w:rPr>
              <w:t>65,6</w:t>
            </w:r>
          </w:p>
        </w:tc>
        <w:tc>
          <w:tcPr>
            <w:tcW w:w="992" w:type="dxa"/>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o-RO" w:eastAsia="ro-RO"/>
              </w:rPr>
            </w:pPr>
            <w:r w:rsidRPr="00F55BA6">
              <w:rPr>
                <w:rFonts w:ascii="Calibri Light" w:eastAsia="Times New Roman" w:hAnsi="Calibri Light" w:cs="Calibri Light"/>
                <w:color w:val="000000"/>
                <w:sz w:val="20"/>
                <w:szCs w:val="20"/>
                <w:lang w:val="ro-RO" w:eastAsia="ro-RO"/>
              </w:rPr>
              <w:t>0,3</w:t>
            </w:r>
          </w:p>
        </w:tc>
        <w:tc>
          <w:tcPr>
            <w:tcW w:w="695" w:type="dxa"/>
          </w:tcPr>
          <w:p w:rsidR="006E2E6A" w:rsidRPr="00F55BA6" w:rsidRDefault="006E2E6A" w:rsidP="00B51730">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o-RO" w:eastAsia="ro-RO"/>
              </w:rPr>
            </w:pPr>
            <w:r w:rsidRPr="00F55BA6">
              <w:rPr>
                <w:rFonts w:ascii="Calibri Light" w:eastAsia="Times New Roman" w:hAnsi="Calibri Light" w:cs="Calibri Light"/>
                <w:color w:val="000000"/>
                <w:sz w:val="20"/>
                <w:szCs w:val="20"/>
                <w:lang w:val="ro-RO" w:eastAsia="ro-RO"/>
              </w:rPr>
              <w:t>40,5</w:t>
            </w:r>
          </w:p>
        </w:tc>
        <w:tc>
          <w:tcPr>
            <w:tcW w:w="695" w:type="dxa"/>
          </w:tcPr>
          <w:p w:rsidR="006E2E6A" w:rsidRPr="00F55BA6" w:rsidRDefault="006E2E6A" w:rsidP="00B51730">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o-RO" w:eastAsia="ro-RO"/>
              </w:rPr>
            </w:pPr>
            <w:r w:rsidRPr="00F55BA6">
              <w:rPr>
                <w:rFonts w:ascii="Calibri Light" w:eastAsia="Times New Roman" w:hAnsi="Calibri Light" w:cs="Calibri Light"/>
                <w:color w:val="000000"/>
                <w:sz w:val="20"/>
                <w:szCs w:val="20"/>
                <w:lang w:val="ro-RO" w:eastAsia="ro-RO"/>
              </w:rPr>
              <w:t>186,1</w:t>
            </w:r>
          </w:p>
        </w:tc>
      </w:tr>
      <w:tr w:rsidR="006E2E6A" w:rsidRPr="00E4517B" w:rsidTr="00B51730">
        <w:trPr>
          <w:trHeight w:val="192"/>
        </w:trPr>
        <w:tc>
          <w:tcPr>
            <w:cnfStyle w:val="001000000000" w:firstRow="0" w:lastRow="0" w:firstColumn="1" w:lastColumn="0" w:oddVBand="0" w:evenVBand="0" w:oddHBand="0" w:evenHBand="0" w:firstRowFirstColumn="0" w:firstRowLastColumn="0" w:lastRowFirstColumn="0" w:lastRowLastColumn="0"/>
            <w:tcW w:w="1555" w:type="dxa"/>
            <w:hideMark/>
          </w:tcPr>
          <w:p w:rsidR="006E2E6A" w:rsidRPr="00F55BA6" w:rsidRDefault="006E2E6A" w:rsidP="00B51730">
            <w:pPr>
              <w:jc w:val="left"/>
              <w:rPr>
                <w:rFonts w:ascii="Calibri Light" w:eastAsia="Times New Roman" w:hAnsi="Calibri Light" w:cs="Calibri Light"/>
                <w:b w:val="0"/>
                <w:bCs w:val="0"/>
                <w:iCs/>
                <w:color w:val="000000"/>
                <w:sz w:val="20"/>
                <w:szCs w:val="20"/>
                <w:lang w:val="ro-RO" w:eastAsia="ro-RO"/>
              </w:rPr>
            </w:pPr>
            <w:r w:rsidRPr="00F55BA6">
              <w:rPr>
                <w:rFonts w:ascii="Calibri Light" w:eastAsia="Times New Roman" w:hAnsi="Calibri Light" w:cs="Calibri Light"/>
                <w:iCs/>
                <w:color w:val="000000"/>
                <w:sz w:val="20"/>
                <w:szCs w:val="20"/>
                <w:lang w:val="ro-RO" w:eastAsia="ro-RO"/>
              </w:rPr>
              <w:t>Alte venituri</w:t>
            </w:r>
          </w:p>
        </w:tc>
        <w:tc>
          <w:tcPr>
            <w:tcW w:w="1012" w:type="dxa"/>
            <w:noWrap/>
            <w:hideMark/>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o-RO" w:eastAsia="ro-RO"/>
              </w:rPr>
            </w:pPr>
            <w:r w:rsidRPr="00F55BA6">
              <w:rPr>
                <w:rFonts w:ascii="Calibri Light" w:eastAsia="Times New Roman" w:hAnsi="Calibri Light" w:cs="Calibri Light"/>
                <w:color w:val="000000"/>
                <w:sz w:val="20"/>
                <w:szCs w:val="20"/>
                <w:lang w:val="ro-RO" w:eastAsia="ro-RO"/>
              </w:rPr>
              <w:t>2 013,4</w:t>
            </w:r>
          </w:p>
        </w:tc>
        <w:tc>
          <w:tcPr>
            <w:tcW w:w="993" w:type="dxa"/>
            <w:noWrap/>
            <w:hideMark/>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o-RO" w:eastAsia="ro-RO"/>
              </w:rPr>
            </w:pPr>
            <w:r w:rsidRPr="00F55BA6">
              <w:rPr>
                <w:rFonts w:ascii="Calibri Light" w:eastAsia="Times New Roman" w:hAnsi="Calibri Light" w:cs="Calibri Light"/>
                <w:color w:val="000000"/>
                <w:sz w:val="20"/>
                <w:szCs w:val="20"/>
                <w:lang w:val="ro-RO" w:eastAsia="ro-RO"/>
              </w:rPr>
              <w:t>1 986,8</w:t>
            </w:r>
          </w:p>
        </w:tc>
        <w:tc>
          <w:tcPr>
            <w:tcW w:w="943" w:type="dxa"/>
            <w:noWrap/>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o-RO" w:eastAsia="ro-RO"/>
              </w:rPr>
            </w:pPr>
            <w:r w:rsidRPr="00F55BA6">
              <w:rPr>
                <w:rFonts w:ascii="Calibri Light" w:eastAsia="Times New Roman" w:hAnsi="Calibri Light" w:cs="Calibri Light"/>
                <w:color w:val="000000"/>
                <w:sz w:val="20"/>
                <w:szCs w:val="20"/>
                <w:lang w:val="ro-RO" w:eastAsia="ro-RO"/>
              </w:rPr>
              <w:t>1 800,3</w:t>
            </w:r>
          </w:p>
        </w:tc>
        <w:tc>
          <w:tcPr>
            <w:tcW w:w="1011" w:type="dxa"/>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o-RO" w:eastAsia="ro-RO"/>
              </w:rPr>
            </w:pPr>
            <w:r w:rsidRPr="00F55BA6">
              <w:rPr>
                <w:rFonts w:ascii="Calibri Light" w:eastAsia="Times New Roman" w:hAnsi="Calibri Light" w:cs="Calibri Light"/>
                <w:color w:val="000000"/>
                <w:sz w:val="20"/>
                <w:szCs w:val="20"/>
                <w:lang w:val="ro-RO" w:eastAsia="ro-RO"/>
              </w:rPr>
              <w:t>2 084,6</w:t>
            </w:r>
          </w:p>
        </w:tc>
        <w:tc>
          <w:tcPr>
            <w:tcW w:w="979" w:type="dxa"/>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o-RO" w:eastAsia="ro-RO"/>
              </w:rPr>
            </w:pPr>
            <w:r w:rsidRPr="00F55BA6">
              <w:rPr>
                <w:rFonts w:ascii="Calibri Light" w:eastAsia="Times New Roman" w:hAnsi="Calibri Light" w:cs="Calibri Light"/>
                <w:color w:val="000000"/>
                <w:sz w:val="20"/>
                <w:szCs w:val="20"/>
                <w:lang w:val="ro-RO" w:eastAsia="ro-RO"/>
              </w:rPr>
              <w:t>2 087,70</w:t>
            </w:r>
          </w:p>
        </w:tc>
        <w:tc>
          <w:tcPr>
            <w:tcW w:w="1015" w:type="dxa"/>
            <w:tcBorders>
              <w:top w:val="nil"/>
              <w:left w:val="nil"/>
              <w:bottom w:val="single" w:sz="4" w:space="0" w:color="auto"/>
              <w:right w:val="single" w:sz="4" w:space="0" w:color="auto"/>
            </w:tcBorders>
            <w:shd w:val="clear" w:color="auto" w:fill="auto"/>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20"/>
                <w:szCs w:val="20"/>
                <w:lang w:val="ro-RO" w:eastAsia="ro-RO"/>
              </w:rPr>
            </w:pPr>
            <w:r w:rsidRPr="00F55BA6">
              <w:rPr>
                <w:rFonts w:ascii="Calibri Light" w:eastAsia="Times New Roman" w:hAnsi="Calibri Light" w:cs="Arial"/>
                <w:sz w:val="20"/>
                <w:szCs w:val="20"/>
                <w:lang w:val="ro-RO" w:eastAsia="ro-RO"/>
              </w:rPr>
              <w:t>100,1</w:t>
            </w:r>
          </w:p>
        </w:tc>
        <w:tc>
          <w:tcPr>
            <w:tcW w:w="992" w:type="dxa"/>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o-RO" w:eastAsia="ro-RO"/>
              </w:rPr>
            </w:pPr>
            <w:r w:rsidRPr="00F55BA6">
              <w:rPr>
                <w:rFonts w:ascii="Calibri Light" w:eastAsia="Times New Roman" w:hAnsi="Calibri Light" w:cs="Calibri Light"/>
                <w:color w:val="000000"/>
                <w:sz w:val="20"/>
                <w:szCs w:val="20"/>
                <w:lang w:val="ro-RO" w:eastAsia="ro-RO"/>
              </w:rPr>
              <w:t>1,0</w:t>
            </w:r>
          </w:p>
        </w:tc>
        <w:tc>
          <w:tcPr>
            <w:tcW w:w="695" w:type="dxa"/>
          </w:tcPr>
          <w:p w:rsidR="006E2E6A" w:rsidRPr="00F55BA6" w:rsidRDefault="006E2E6A" w:rsidP="00B51730">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o-RO" w:eastAsia="ro-RO"/>
              </w:rPr>
            </w:pPr>
            <w:r w:rsidRPr="00F55BA6">
              <w:rPr>
                <w:rFonts w:ascii="Calibri Light" w:eastAsia="Times New Roman" w:hAnsi="Calibri Light" w:cs="Calibri Light"/>
                <w:color w:val="000000"/>
                <w:sz w:val="20"/>
                <w:szCs w:val="20"/>
                <w:lang w:val="ro-RO" w:eastAsia="ro-RO"/>
              </w:rPr>
              <w:t>105,1</w:t>
            </w:r>
          </w:p>
        </w:tc>
        <w:tc>
          <w:tcPr>
            <w:tcW w:w="695" w:type="dxa"/>
          </w:tcPr>
          <w:p w:rsidR="006E2E6A" w:rsidRPr="00F55BA6" w:rsidRDefault="006E2E6A" w:rsidP="00B51730">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o-RO" w:eastAsia="ro-RO"/>
              </w:rPr>
            </w:pPr>
            <w:r w:rsidRPr="00F55BA6">
              <w:rPr>
                <w:rFonts w:ascii="Calibri Light" w:eastAsia="Times New Roman" w:hAnsi="Calibri Light" w:cs="Calibri Light"/>
                <w:color w:val="000000"/>
                <w:sz w:val="20"/>
                <w:szCs w:val="20"/>
                <w:lang w:val="ro-RO" w:eastAsia="ro-RO"/>
              </w:rPr>
              <w:t>103,7</w:t>
            </w:r>
          </w:p>
        </w:tc>
      </w:tr>
      <w:tr w:rsidR="006E2E6A" w:rsidRPr="00E4517B" w:rsidTr="00B51730">
        <w:trPr>
          <w:trHeight w:val="165"/>
        </w:trPr>
        <w:tc>
          <w:tcPr>
            <w:cnfStyle w:val="001000000000" w:firstRow="0" w:lastRow="0" w:firstColumn="1" w:lastColumn="0" w:oddVBand="0" w:evenVBand="0" w:oddHBand="0" w:evenHBand="0" w:firstRowFirstColumn="0" w:firstRowLastColumn="0" w:lastRowFirstColumn="0" w:lastRowLastColumn="0"/>
            <w:tcW w:w="1555" w:type="dxa"/>
            <w:hideMark/>
          </w:tcPr>
          <w:p w:rsidR="006E2E6A" w:rsidRPr="00F55BA6" w:rsidRDefault="006E2E6A" w:rsidP="00B51730">
            <w:pPr>
              <w:jc w:val="left"/>
              <w:rPr>
                <w:rFonts w:ascii="Calibri Light" w:eastAsia="Times New Roman" w:hAnsi="Calibri Light" w:cs="Calibri Light"/>
                <w:b w:val="0"/>
                <w:bCs w:val="0"/>
                <w:iCs/>
                <w:color w:val="000000"/>
                <w:sz w:val="20"/>
                <w:szCs w:val="20"/>
                <w:lang w:val="ro-RO" w:eastAsia="ro-RO"/>
              </w:rPr>
            </w:pPr>
            <w:r w:rsidRPr="00F55BA6">
              <w:rPr>
                <w:rFonts w:ascii="Calibri Light" w:eastAsia="Times New Roman" w:hAnsi="Calibri Light" w:cs="Calibri Light"/>
                <w:iCs/>
                <w:color w:val="000000"/>
                <w:sz w:val="20"/>
                <w:szCs w:val="20"/>
                <w:lang w:val="ro-RO" w:eastAsia="ro-RO"/>
              </w:rPr>
              <w:t>Transferuri primite în cadrul BPN</w:t>
            </w:r>
          </w:p>
        </w:tc>
        <w:tc>
          <w:tcPr>
            <w:tcW w:w="1012" w:type="dxa"/>
            <w:noWrap/>
            <w:hideMark/>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o-RO" w:eastAsia="ro-RO"/>
              </w:rPr>
            </w:pPr>
            <w:r w:rsidRPr="00F55BA6">
              <w:rPr>
                <w:rFonts w:ascii="Calibri Light" w:eastAsia="Times New Roman" w:hAnsi="Calibri Light" w:cs="Calibri Light"/>
                <w:color w:val="000000"/>
                <w:sz w:val="20"/>
                <w:szCs w:val="20"/>
                <w:lang w:val="ro-RO" w:eastAsia="ro-RO"/>
              </w:rPr>
              <w:t>26,0</w:t>
            </w:r>
          </w:p>
        </w:tc>
        <w:tc>
          <w:tcPr>
            <w:tcW w:w="993" w:type="dxa"/>
            <w:noWrap/>
            <w:hideMark/>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o-RO" w:eastAsia="ro-RO"/>
              </w:rPr>
            </w:pPr>
            <w:r w:rsidRPr="00F55BA6">
              <w:rPr>
                <w:rFonts w:ascii="Calibri Light" w:eastAsia="Times New Roman" w:hAnsi="Calibri Light" w:cs="Calibri Light"/>
                <w:color w:val="000000"/>
                <w:sz w:val="20"/>
                <w:szCs w:val="20"/>
                <w:lang w:val="ro-RO" w:eastAsia="ro-RO"/>
              </w:rPr>
              <w:t>23,5</w:t>
            </w:r>
          </w:p>
        </w:tc>
        <w:tc>
          <w:tcPr>
            <w:tcW w:w="943" w:type="dxa"/>
            <w:noWrap/>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o-RO" w:eastAsia="ro-RO"/>
              </w:rPr>
            </w:pPr>
            <w:r w:rsidRPr="00F55BA6">
              <w:rPr>
                <w:rFonts w:ascii="Calibri Light" w:eastAsia="Times New Roman" w:hAnsi="Calibri Light" w:cs="Calibri Light"/>
                <w:color w:val="000000"/>
                <w:sz w:val="20"/>
                <w:szCs w:val="20"/>
                <w:lang w:val="ro-RO" w:eastAsia="ro-RO"/>
              </w:rPr>
              <w:t>26,7</w:t>
            </w:r>
          </w:p>
        </w:tc>
        <w:tc>
          <w:tcPr>
            <w:tcW w:w="1011" w:type="dxa"/>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o-RO" w:eastAsia="ro-RO"/>
              </w:rPr>
            </w:pPr>
            <w:r w:rsidRPr="00F55BA6">
              <w:rPr>
                <w:rFonts w:ascii="Calibri Light" w:eastAsia="Times New Roman" w:hAnsi="Calibri Light" w:cs="Calibri Light"/>
                <w:color w:val="000000"/>
                <w:sz w:val="20"/>
                <w:szCs w:val="20"/>
                <w:lang w:val="ro-RO" w:eastAsia="ro-RO"/>
              </w:rPr>
              <w:t>17,8</w:t>
            </w:r>
          </w:p>
        </w:tc>
        <w:tc>
          <w:tcPr>
            <w:tcW w:w="979" w:type="dxa"/>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o-RO" w:eastAsia="ro-RO"/>
              </w:rPr>
            </w:pPr>
            <w:r w:rsidRPr="00F55BA6">
              <w:rPr>
                <w:rFonts w:ascii="Calibri Light" w:eastAsia="Times New Roman" w:hAnsi="Calibri Light" w:cs="Calibri Light"/>
                <w:color w:val="000000"/>
                <w:sz w:val="20"/>
                <w:szCs w:val="20"/>
                <w:lang w:val="ro-RO" w:eastAsia="ro-RO"/>
              </w:rPr>
              <w:t>16,6</w:t>
            </w:r>
          </w:p>
        </w:tc>
        <w:tc>
          <w:tcPr>
            <w:tcW w:w="1015" w:type="dxa"/>
            <w:tcBorders>
              <w:top w:val="nil"/>
              <w:left w:val="nil"/>
              <w:bottom w:val="single" w:sz="4" w:space="0" w:color="auto"/>
              <w:right w:val="single" w:sz="4" w:space="0" w:color="auto"/>
            </w:tcBorders>
            <w:shd w:val="clear" w:color="auto" w:fill="auto"/>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20"/>
                <w:szCs w:val="20"/>
                <w:lang w:val="ro-RO" w:eastAsia="ro-RO"/>
              </w:rPr>
            </w:pPr>
            <w:r w:rsidRPr="00F55BA6">
              <w:rPr>
                <w:rFonts w:ascii="Calibri Light" w:eastAsia="Times New Roman" w:hAnsi="Calibri Light" w:cs="Arial"/>
                <w:sz w:val="20"/>
                <w:szCs w:val="20"/>
                <w:lang w:val="ro-RO" w:eastAsia="ro-RO"/>
              </w:rPr>
              <w:t>93,3</w:t>
            </w:r>
          </w:p>
        </w:tc>
        <w:tc>
          <w:tcPr>
            <w:tcW w:w="992" w:type="dxa"/>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o-RO" w:eastAsia="ro-RO"/>
              </w:rPr>
            </w:pPr>
            <w:r w:rsidRPr="00F55BA6">
              <w:rPr>
                <w:rFonts w:ascii="Calibri Light" w:eastAsia="Times New Roman" w:hAnsi="Calibri Light" w:cs="Calibri Light"/>
                <w:color w:val="000000"/>
                <w:sz w:val="20"/>
                <w:szCs w:val="20"/>
                <w:lang w:val="ro-RO" w:eastAsia="ro-RO"/>
              </w:rPr>
              <w:t>0,0</w:t>
            </w:r>
          </w:p>
        </w:tc>
        <w:tc>
          <w:tcPr>
            <w:tcW w:w="695" w:type="dxa"/>
          </w:tcPr>
          <w:p w:rsidR="006E2E6A" w:rsidRPr="00F55BA6" w:rsidRDefault="006E2E6A" w:rsidP="00B51730">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o-RO" w:eastAsia="ro-RO"/>
              </w:rPr>
            </w:pPr>
            <w:r w:rsidRPr="00F55BA6">
              <w:rPr>
                <w:rFonts w:ascii="Calibri Light" w:eastAsia="Times New Roman" w:hAnsi="Calibri Light" w:cs="Calibri Light"/>
                <w:color w:val="000000"/>
                <w:sz w:val="20"/>
                <w:szCs w:val="20"/>
                <w:lang w:val="ro-RO" w:eastAsia="ro-RO"/>
              </w:rPr>
              <w:t>70,6</w:t>
            </w:r>
          </w:p>
        </w:tc>
        <w:tc>
          <w:tcPr>
            <w:tcW w:w="695" w:type="dxa"/>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o-RO" w:eastAsia="ro-RO"/>
              </w:rPr>
            </w:pPr>
            <w:r w:rsidRPr="00F55BA6">
              <w:rPr>
                <w:rFonts w:ascii="Calibri Light" w:eastAsia="Times New Roman" w:hAnsi="Calibri Light" w:cs="Calibri Light"/>
                <w:color w:val="000000"/>
                <w:sz w:val="20"/>
                <w:szCs w:val="20"/>
                <w:lang w:val="ro-RO" w:eastAsia="ro-RO"/>
              </w:rPr>
              <w:t>63,8</w:t>
            </w:r>
          </w:p>
        </w:tc>
      </w:tr>
    </w:tbl>
    <w:p w:rsidR="006E2E6A" w:rsidRPr="00F55BA6" w:rsidRDefault="006E2E6A" w:rsidP="006E2E6A">
      <w:pPr>
        <w:spacing w:after="0" w:line="240" w:lineRule="auto"/>
        <w:rPr>
          <w:rFonts w:asciiTheme="majorHAnsi" w:eastAsia="Times New Roman" w:hAnsiTheme="majorHAnsi" w:cstheme="majorHAnsi"/>
          <w:bCs/>
          <w:i/>
          <w:sz w:val="20"/>
          <w:szCs w:val="20"/>
          <w:lang w:val="ro-RO"/>
        </w:rPr>
      </w:pPr>
      <w:r w:rsidRPr="00F55BA6">
        <w:rPr>
          <w:rFonts w:asciiTheme="majorHAnsi" w:eastAsia="Times New Roman" w:hAnsiTheme="majorHAnsi" w:cstheme="majorHAnsi"/>
          <w:b/>
          <w:bCs/>
          <w:i/>
          <w:sz w:val="20"/>
          <w:szCs w:val="20"/>
          <w:lang w:val="ro-RO"/>
        </w:rPr>
        <w:t>Sursă:</w:t>
      </w:r>
      <w:r w:rsidRPr="00F55BA6">
        <w:rPr>
          <w:rFonts w:asciiTheme="majorHAnsi" w:eastAsia="Times New Roman" w:hAnsiTheme="majorHAnsi" w:cstheme="majorHAnsi"/>
          <w:bCs/>
          <w:i/>
          <w:sz w:val="20"/>
          <w:szCs w:val="20"/>
          <w:lang w:val="ro-RO"/>
        </w:rPr>
        <w:t xml:space="preserve"> Informații generalizate de echipa de audit din Rapoartele privind executarea bugetului de stat pe anii 2018 - 2020.</w:t>
      </w:r>
    </w:p>
    <w:p w:rsidR="006E2E6A" w:rsidRPr="00F55BA6" w:rsidRDefault="006E2E6A" w:rsidP="006E2E6A">
      <w:pPr>
        <w:spacing w:after="0" w:line="276" w:lineRule="auto"/>
        <w:rPr>
          <w:rFonts w:asciiTheme="majorHAnsi" w:hAnsiTheme="majorHAnsi" w:cstheme="majorHAnsi"/>
          <w:b/>
          <w:sz w:val="24"/>
          <w:szCs w:val="24"/>
          <w:lang w:val="ro-RO"/>
        </w:rPr>
      </w:pPr>
    </w:p>
    <w:p w:rsidR="006E2E6A" w:rsidRPr="00F55BA6" w:rsidRDefault="006E2E6A" w:rsidP="006E2E6A">
      <w:pPr>
        <w:spacing w:after="0" w:line="276" w:lineRule="auto"/>
        <w:rPr>
          <w:rFonts w:asciiTheme="majorHAnsi" w:hAnsiTheme="majorHAnsi" w:cstheme="majorHAnsi"/>
          <w:color w:val="000000"/>
          <w:sz w:val="24"/>
          <w:szCs w:val="24"/>
          <w:lang w:val="ro-RO"/>
        </w:rPr>
      </w:pPr>
      <w:r w:rsidRPr="00F55BA6">
        <w:rPr>
          <w:rFonts w:asciiTheme="majorHAnsi" w:hAnsiTheme="majorHAnsi" w:cstheme="majorHAnsi"/>
          <w:sz w:val="24"/>
          <w:szCs w:val="24"/>
          <w:lang w:val="ro-RO"/>
        </w:rPr>
        <w:t>Ca pondere în PIB, veniturile BS în anul 2020 au atins un nivel de 18,7%, înregistrând o scădere cu 0,3 p</w:t>
      </w:r>
      <w:r w:rsidR="00DF0A9A">
        <w:rPr>
          <w:rFonts w:asciiTheme="majorHAnsi" w:hAnsiTheme="majorHAnsi" w:cstheme="majorHAnsi"/>
          <w:sz w:val="24"/>
          <w:szCs w:val="24"/>
          <w:lang w:val="ro-RO"/>
        </w:rPr>
        <w:t>.p.</w:t>
      </w:r>
      <w:r w:rsidRPr="00F55BA6">
        <w:rPr>
          <w:rFonts w:asciiTheme="majorHAnsi" w:hAnsiTheme="majorHAnsi" w:cstheme="majorHAnsi"/>
          <w:sz w:val="24"/>
          <w:szCs w:val="24"/>
          <w:lang w:val="ro-RO"/>
        </w:rPr>
        <w:t xml:space="preserve"> față de anul 2019. </w:t>
      </w:r>
      <w:r w:rsidRPr="00F55BA6">
        <w:rPr>
          <w:rFonts w:asciiTheme="majorHAnsi" w:hAnsiTheme="majorHAnsi" w:cstheme="majorHAnsi"/>
          <w:color w:val="000000"/>
          <w:spacing w:val="-1"/>
          <w:sz w:val="24"/>
          <w:szCs w:val="24"/>
          <w:lang w:val="ro-RO"/>
        </w:rPr>
        <w:t xml:space="preserve">În structura veniturilor, </w:t>
      </w:r>
      <w:r w:rsidRPr="00F55BA6">
        <w:rPr>
          <w:rFonts w:asciiTheme="majorHAnsi" w:eastAsia="Times New Roman" w:hAnsiTheme="majorHAnsi" w:cstheme="majorHAnsi"/>
          <w:sz w:val="24"/>
          <w:szCs w:val="24"/>
          <w:lang w:val="ro-RO"/>
        </w:rPr>
        <w:t xml:space="preserve">ponderea majoră o dețin </w:t>
      </w:r>
      <w:r w:rsidRPr="00F55BA6">
        <w:rPr>
          <w:rFonts w:asciiTheme="majorHAnsi" w:hAnsiTheme="majorHAnsi" w:cstheme="majorHAnsi"/>
          <w:color w:val="000000"/>
          <w:spacing w:val="-1"/>
          <w:sz w:val="24"/>
          <w:szCs w:val="24"/>
          <w:lang w:val="ro-RO"/>
        </w:rPr>
        <w:t>impozitele și taxele</w:t>
      </w:r>
      <w:r w:rsidRPr="00F55BA6">
        <w:rPr>
          <w:rFonts w:asciiTheme="majorHAnsi" w:hAnsiTheme="majorHAnsi" w:cstheme="majorHAnsi"/>
          <w:bCs/>
          <w:iCs/>
          <w:color w:val="000000"/>
          <w:spacing w:val="-1"/>
          <w:sz w:val="24"/>
          <w:szCs w:val="24"/>
          <w:lang w:val="ro-RO"/>
        </w:rPr>
        <w:t xml:space="preserve"> care </w:t>
      </w:r>
      <w:r w:rsidRPr="00F55BA6">
        <w:rPr>
          <w:rFonts w:asciiTheme="majorHAnsi" w:hAnsiTheme="majorHAnsi" w:cstheme="majorHAnsi"/>
          <w:color w:val="000000"/>
          <w:spacing w:val="-1"/>
          <w:sz w:val="24"/>
          <w:szCs w:val="24"/>
          <w:lang w:val="ro-RO"/>
        </w:rPr>
        <w:t>constituie 35 772,1 mil. lei</w:t>
      </w:r>
      <w:r w:rsidR="00DF0A9A">
        <w:rPr>
          <w:rFonts w:asciiTheme="majorHAnsi" w:hAnsiTheme="majorHAnsi" w:cstheme="majorHAnsi"/>
          <w:color w:val="000000"/>
          <w:spacing w:val="-1"/>
          <w:sz w:val="24"/>
          <w:szCs w:val="24"/>
          <w:lang w:val="ro-RO"/>
        </w:rPr>
        <w:t>,</w:t>
      </w:r>
      <w:r w:rsidRPr="00F55BA6">
        <w:rPr>
          <w:rFonts w:asciiTheme="majorHAnsi" w:hAnsiTheme="majorHAnsi" w:cstheme="majorHAnsi"/>
          <w:color w:val="000000"/>
          <w:spacing w:val="-1"/>
          <w:sz w:val="24"/>
          <w:szCs w:val="24"/>
          <w:lang w:val="ro-RO"/>
        </w:rPr>
        <w:t xml:space="preserve"> sau 92,9% din totalul veniturilor BS, înregistrând o creștere cu 1 545,4 mil. lei (104,5%) față de indicatorii precizați și o descreștere cu 645,1 mil. lei (1,8 %) față </w:t>
      </w:r>
      <w:r w:rsidRPr="00F55BA6">
        <w:rPr>
          <w:rFonts w:asciiTheme="majorHAnsi" w:hAnsiTheme="majorHAnsi" w:cstheme="majorHAnsi"/>
          <w:color w:val="000000"/>
          <w:sz w:val="24"/>
          <w:szCs w:val="24"/>
          <w:lang w:val="ro-RO"/>
        </w:rPr>
        <w:t>de anul 2019.</w:t>
      </w:r>
      <w:r w:rsidRPr="00F55BA6">
        <w:rPr>
          <w:rFonts w:asciiTheme="majorHAnsi" w:eastAsia="Times New Roman" w:hAnsiTheme="majorHAnsi" w:cstheme="majorHAnsi"/>
          <w:sz w:val="24"/>
          <w:szCs w:val="24"/>
          <w:lang w:val="ro-RO"/>
        </w:rPr>
        <w:t xml:space="preserve"> </w:t>
      </w:r>
      <w:r w:rsidRPr="00F55BA6">
        <w:rPr>
          <w:rFonts w:asciiTheme="majorHAnsi" w:hAnsiTheme="majorHAnsi" w:cstheme="majorHAnsi"/>
          <w:color w:val="000000"/>
          <w:spacing w:val="-1"/>
          <w:sz w:val="24"/>
          <w:szCs w:val="24"/>
          <w:lang w:val="ro-RO"/>
        </w:rPr>
        <w:t>Astfel, în aspectul tipurilor de venituri</w:t>
      </w:r>
      <w:r w:rsidRPr="00F55BA6">
        <w:rPr>
          <w:rFonts w:asciiTheme="majorHAnsi" w:eastAsia="Times New Roman" w:hAnsiTheme="majorHAnsi" w:cstheme="majorHAnsi"/>
          <w:sz w:val="24"/>
          <w:szCs w:val="24"/>
          <w:lang w:val="ro-RO"/>
        </w:rPr>
        <w:t>, cele mai semnificative revin celor provenite din încasările TVA</w:t>
      </w:r>
      <w:r w:rsidR="00DF0A9A">
        <w:rPr>
          <w:rFonts w:asciiTheme="majorHAnsi" w:eastAsia="Times New Roman" w:hAnsiTheme="majorHAnsi" w:cstheme="majorHAnsi"/>
          <w:sz w:val="24"/>
          <w:szCs w:val="24"/>
          <w:lang w:val="ro-RO"/>
        </w:rPr>
        <w:t>,</w:t>
      </w:r>
      <w:r w:rsidRPr="00F55BA6">
        <w:rPr>
          <w:rFonts w:asciiTheme="majorHAnsi" w:eastAsia="Times New Roman" w:hAnsiTheme="majorHAnsi" w:cstheme="majorHAnsi"/>
          <w:sz w:val="24"/>
          <w:szCs w:val="24"/>
          <w:lang w:val="ro-RO" w:eastAsia="ru-RU"/>
        </w:rPr>
        <w:t xml:space="preserve"> care însumează 19 686,3 mil. lei</w:t>
      </w:r>
      <w:r w:rsidR="00DF0A9A">
        <w:rPr>
          <w:rFonts w:asciiTheme="majorHAnsi" w:eastAsia="Times New Roman" w:hAnsiTheme="majorHAnsi" w:cstheme="majorHAnsi"/>
          <w:sz w:val="24"/>
          <w:szCs w:val="24"/>
          <w:lang w:val="ro-RO" w:eastAsia="ru-RU"/>
        </w:rPr>
        <w:t>,</w:t>
      </w:r>
      <w:r w:rsidRPr="00F55BA6">
        <w:rPr>
          <w:rFonts w:asciiTheme="majorHAnsi" w:eastAsia="Times New Roman" w:hAnsiTheme="majorHAnsi" w:cstheme="majorHAnsi"/>
          <w:sz w:val="24"/>
          <w:szCs w:val="24"/>
          <w:lang w:val="ro-RO" w:eastAsia="ru-RU"/>
        </w:rPr>
        <w:t xml:space="preserve"> sau 55,0%, impozitului pe venit</w:t>
      </w:r>
      <w:r w:rsidRPr="00F55BA6">
        <w:rPr>
          <w:rFonts w:asciiTheme="majorHAnsi" w:eastAsia="Times New Roman" w:hAnsiTheme="majorHAnsi" w:cstheme="majorHAnsi"/>
          <w:i/>
          <w:sz w:val="24"/>
          <w:szCs w:val="24"/>
          <w:lang w:val="ro-RO" w:eastAsia="ru-RU"/>
        </w:rPr>
        <w:t xml:space="preserve"> –</w:t>
      </w:r>
      <w:r w:rsidRPr="00F55BA6">
        <w:rPr>
          <w:rFonts w:asciiTheme="majorHAnsi" w:eastAsia="Times New Roman" w:hAnsiTheme="majorHAnsi" w:cstheme="majorHAnsi"/>
          <w:sz w:val="24"/>
          <w:szCs w:val="24"/>
          <w:lang w:val="ro-RO" w:eastAsia="ru-RU"/>
        </w:rPr>
        <w:t xml:space="preserve"> 6 469,1 mil. lei (18,1%)</w:t>
      </w:r>
      <w:r w:rsidR="00DF0A9A">
        <w:rPr>
          <w:rFonts w:asciiTheme="majorHAnsi" w:eastAsia="Times New Roman" w:hAnsiTheme="majorHAnsi" w:cstheme="majorHAnsi"/>
          <w:sz w:val="24"/>
          <w:szCs w:val="24"/>
          <w:lang w:val="ro-RO" w:eastAsia="ru-RU"/>
        </w:rPr>
        <w:t>,</w:t>
      </w:r>
      <w:r w:rsidRPr="00F55BA6">
        <w:rPr>
          <w:rFonts w:asciiTheme="majorHAnsi" w:eastAsia="Times New Roman" w:hAnsiTheme="majorHAnsi" w:cstheme="majorHAnsi"/>
          <w:sz w:val="24"/>
          <w:szCs w:val="24"/>
          <w:lang w:val="ro-RO" w:eastAsia="ru-RU"/>
        </w:rPr>
        <w:t xml:space="preserve"> și accizelor – 6 465,6 mil. lei (18,1%). </w:t>
      </w:r>
      <w:r w:rsidRPr="00F55BA6">
        <w:rPr>
          <w:rFonts w:asciiTheme="majorHAnsi" w:hAnsiTheme="majorHAnsi" w:cstheme="majorHAnsi"/>
          <w:color w:val="000000"/>
          <w:sz w:val="24"/>
          <w:szCs w:val="24"/>
          <w:lang w:val="ro-RO"/>
        </w:rPr>
        <w:t>În anul 2020, față de indicatorii precizați</w:t>
      </w:r>
      <w:r w:rsidR="00E145A0">
        <w:rPr>
          <w:rFonts w:asciiTheme="majorHAnsi" w:hAnsiTheme="majorHAnsi" w:cstheme="majorHAnsi"/>
          <w:color w:val="000000"/>
          <w:sz w:val="24"/>
          <w:szCs w:val="24"/>
          <w:lang w:val="ro-RO"/>
        </w:rPr>
        <w:t>,</w:t>
      </w:r>
      <w:r w:rsidRPr="00F55BA6">
        <w:rPr>
          <w:rFonts w:asciiTheme="majorHAnsi" w:hAnsiTheme="majorHAnsi" w:cstheme="majorHAnsi"/>
          <w:color w:val="000000"/>
          <w:sz w:val="24"/>
          <w:szCs w:val="24"/>
          <w:lang w:val="ro-RO"/>
        </w:rPr>
        <w:t xml:space="preserve"> încasările din TVA au înregistrat o creștere cu 839,3 mil. lei</w:t>
      </w:r>
      <w:r w:rsidR="00E145A0">
        <w:rPr>
          <w:rFonts w:asciiTheme="majorHAnsi" w:hAnsiTheme="majorHAnsi" w:cstheme="majorHAnsi"/>
          <w:color w:val="000000"/>
          <w:sz w:val="24"/>
          <w:szCs w:val="24"/>
          <w:lang w:val="ro-RO"/>
        </w:rPr>
        <w:t>,</w:t>
      </w:r>
      <w:r w:rsidRPr="00F55BA6">
        <w:rPr>
          <w:rFonts w:asciiTheme="majorHAnsi" w:hAnsiTheme="majorHAnsi" w:cstheme="majorHAnsi"/>
          <w:color w:val="000000"/>
          <w:sz w:val="24"/>
          <w:szCs w:val="24"/>
          <w:lang w:val="ro-RO"/>
        </w:rPr>
        <w:t xml:space="preserve"> iar față de </w:t>
      </w:r>
      <w:r w:rsidRPr="00E4517B">
        <w:rPr>
          <w:rFonts w:asciiTheme="majorHAnsi" w:hAnsiTheme="majorHAnsi" w:cs="Tahoma"/>
          <w:kern w:val="1"/>
          <w:sz w:val="24"/>
          <w:szCs w:val="24"/>
          <w:lang w:val="ro-RO"/>
        </w:rPr>
        <w:t>indicatorii aprobați</w:t>
      </w:r>
      <w:r w:rsidRPr="00F55BA6">
        <w:rPr>
          <w:rFonts w:asciiTheme="majorHAnsi" w:hAnsiTheme="majorHAnsi" w:cstheme="majorHAnsi"/>
          <w:color w:val="000000"/>
          <w:sz w:val="24"/>
          <w:szCs w:val="24"/>
          <w:lang w:val="ro-RO"/>
        </w:rPr>
        <w:t xml:space="preserve"> </w:t>
      </w:r>
      <w:r w:rsidR="00E145A0" w:rsidRPr="00F55BA6">
        <w:rPr>
          <w:rFonts w:asciiTheme="majorHAnsi" w:eastAsia="Times New Roman" w:hAnsiTheme="majorHAnsi" w:cstheme="majorHAnsi"/>
          <w:sz w:val="24"/>
          <w:szCs w:val="24"/>
          <w:lang w:val="ro-RO"/>
        </w:rPr>
        <w:t>–</w:t>
      </w:r>
      <w:r w:rsidR="00E145A0">
        <w:rPr>
          <w:rFonts w:asciiTheme="majorHAnsi" w:eastAsia="Times New Roman" w:hAnsiTheme="majorHAnsi" w:cstheme="majorHAnsi"/>
          <w:sz w:val="24"/>
          <w:szCs w:val="24"/>
          <w:lang w:val="ro-RO"/>
        </w:rPr>
        <w:t xml:space="preserve"> </w:t>
      </w:r>
      <w:r w:rsidRPr="00E4517B">
        <w:rPr>
          <w:rFonts w:asciiTheme="majorHAnsi" w:hAnsiTheme="majorHAnsi" w:cs="Tahoma"/>
          <w:kern w:val="1"/>
          <w:sz w:val="24"/>
          <w:szCs w:val="24"/>
          <w:lang w:val="ro-RO"/>
        </w:rPr>
        <w:t xml:space="preserve">o descreștere de 3 000,6 mil. </w:t>
      </w:r>
      <w:r w:rsidRPr="00973E5B">
        <w:rPr>
          <w:rFonts w:asciiTheme="majorHAnsi" w:hAnsiTheme="majorHAnsi" w:cs="Tahoma"/>
          <w:kern w:val="1"/>
          <w:sz w:val="24"/>
          <w:szCs w:val="24"/>
          <w:lang w:val="ro-RO"/>
        </w:rPr>
        <w:t>lei</w:t>
      </w:r>
      <w:r w:rsidRPr="00F55BA6">
        <w:rPr>
          <w:rFonts w:asciiTheme="majorHAnsi" w:hAnsiTheme="majorHAnsi" w:cstheme="majorHAnsi"/>
          <w:color w:val="000000"/>
          <w:sz w:val="24"/>
          <w:szCs w:val="24"/>
          <w:lang w:val="ro-RO"/>
        </w:rPr>
        <w:t>. Totodată, comparativ cu anul 2019</w:t>
      </w:r>
      <w:r w:rsidR="00E145A0">
        <w:rPr>
          <w:rFonts w:asciiTheme="majorHAnsi" w:hAnsiTheme="majorHAnsi" w:cstheme="majorHAnsi"/>
          <w:color w:val="000000"/>
          <w:sz w:val="24"/>
          <w:szCs w:val="24"/>
          <w:lang w:val="ro-RO"/>
        </w:rPr>
        <w:t>,</w:t>
      </w:r>
      <w:r w:rsidRPr="00F55BA6">
        <w:rPr>
          <w:rFonts w:asciiTheme="majorHAnsi" w:hAnsiTheme="majorHAnsi" w:cstheme="majorHAnsi"/>
          <w:color w:val="000000"/>
          <w:sz w:val="24"/>
          <w:szCs w:val="24"/>
          <w:lang w:val="ro-RO"/>
        </w:rPr>
        <w:t xml:space="preserve"> încasările TVA s-au diminuat cu 410,3 mil. lei</w:t>
      </w:r>
      <w:r w:rsidR="00E145A0">
        <w:rPr>
          <w:rFonts w:asciiTheme="majorHAnsi" w:hAnsiTheme="majorHAnsi" w:cstheme="majorHAnsi"/>
          <w:color w:val="000000"/>
          <w:sz w:val="24"/>
          <w:szCs w:val="24"/>
          <w:lang w:val="ro-RO"/>
        </w:rPr>
        <w:t>,</w:t>
      </w:r>
      <w:r w:rsidRPr="00F55BA6">
        <w:rPr>
          <w:rFonts w:asciiTheme="majorHAnsi" w:hAnsiTheme="majorHAnsi" w:cstheme="majorHAnsi"/>
          <w:color w:val="000000"/>
          <w:sz w:val="24"/>
          <w:szCs w:val="24"/>
          <w:lang w:val="ro-RO"/>
        </w:rPr>
        <w:t xml:space="preserve"> sau cu 2,0 %. </w:t>
      </w:r>
      <w:r w:rsidRPr="00E4517B">
        <w:rPr>
          <w:rFonts w:asciiTheme="majorHAnsi" w:hAnsiTheme="majorHAnsi" w:cs="Tahoma"/>
          <w:kern w:val="1"/>
          <w:sz w:val="24"/>
          <w:szCs w:val="24"/>
          <w:lang w:val="ro-RO"/>
        </w:rPr>
        <w:t>M</w:t>
      </w:r>
      <w:r w:rsidRPr="00F55BA6">
        <w:rPr>
          <w:rFonts w:asciiTheme="majorHAnsi" w:hAnsiTheme="majorHAnsi" w:cstheme="majorHAnsi"/>
          <w:color w:val="000000"/>
          <w:sz w:val="24"/>
          <w:szCs w:val="24"/>
          <w:lang w:val="ro-RO"/>
        </w:rPr>
        <w:t>ajorarea încasărilor TVA în anul 2020 rezultă din creșterea livrărilor de mărfuri și serviciil</w:t>
      </w:r>
      <w:r w:rsidR="00E145A0">
        <w:rPr>
          <w:rFonts w:asciiTheme="majorHAnsi" w:hAnsiTheme="majorHAnsi" w:cstheme="majorHAnsi"/>
          <w:color w:val="000000"/>
          <w:sz w:val="24"/>
          <w:szCs w:val="24"/>
          <w:lang w:val="ro-RO"/>
        </w:rPr>
        <w:t>or</w:t>
      </w:r>
      <w:r w:rsidRPr="00F55BA6">
        <w:rPr>
          <w:rFonts w:asciiTheme="majorHAnsi" w:hAnsiTheme="majorHAnsi" w:cstheme="majorHAnsi"/>
          <w:color w:val="000000"/>
          <w:sz w:val="24"/>
          <w:szCs w:val="24"/>
          <w:lang w:val="ro-RO"/>
        </w:rPr>
        <w:t xml:space="preserve"> prestate în interiorul </w:t>
      </w:r>
      <w:r w:rsidR="00E145A0">
        <w:rPr>
          <w:rFonts w:asciiTheme="majorHAnsi" w:hAnsiTheme="majorHAnsi" w:cstheme="majorHAnsi"/>
          <w:color w:val="000000"/>
          <w:sz w:val="24"/>
          <w:szCs w:val="24"/>
          <w:lang w:val="ro-RO"/>
        </w:rPr>
        <w:t>ț</w:t>
      </w:r>
      <w:r w:rsidRPr="00F55BA6">
        <w:rPr>
          <w:rFonts w:asciiTheme="majorHAnsi" w:hAnsiTheme="majorHAnsi" w:cstheme="majorHAnsi"/>
          <w:color w:val="000000"/>
          <w:sz w:val="24"/>
          <w:szCs w:val="24"/>
          <w:lang w:val="ro-RO"/>
        </w:rPr>
        <w:t>ării în luna noiembrie, urmare a restabilirii activității economice și a importurilor după instituirea stării de urgență.</w:t>
      </w:r>
    </w:p>
    <w:p w:rsidR="006E2E6A" w:rsidRPr="00F55BA6" w:rsidRDefault="006E2E6A" w:rsidP="006E2E6A">
      <w:pPr>
        <w:shd w:val="clear" w:color="auto" w:fill="FFFFFF"/>
        <w:spacing w:after="0" w:line="276" w:lineRule="auto"/>
        <w:rPr>
          <w:rFonts w:asciiTheme="majorHAnsi" w:hAnsiTheme="majorHAnsi" w:cstheme="majorHAnsi"/>
          <w:color w:val="000000"/>
          <w:sz w:val="24"/>
          <w:szCs w:val="24"/>
          <w:lang w:val="ro-RO"/>
        </w:rPr>
      </w:pPr>
      <w:r w:rsidRPr="00F55BA6">
        <w:rPr>
          <w:rFonts w:asciiTheme="majorHAnsi" w:eastAsia="Times New Roman" w:hAnsiTheme="majorHAnsi" w:cs="Times New Roman"/>
          <w:sz w:val="24"/>
          <w:szCs w:val="24"/>
          <w:lang w:val="ro-RO" w:eastAsia="ru-RU"/>
        </w:rPr>
        <w:t>Pe parcursul anului 2020,</w:t>
      </w:r>
      <w:r w:rsidRPr="00F55BA6">
        <w:rPr>
          <w:rFonts w:asciiTheme="majorHAnsi" w:hAnsiTheme="majorHAnsi"/>
          <w:sz w:val="24"/>
          <w:szCs w:val="24"/>
          <w:lang w:val="ro-RO"/>
        </w:rPr>
        <w:t xml:space="preserve"> </w:t>
      </w:r>
      <w:r w:rsidRPr="00F55BA6">
        <w:rPr>
          <w:rFonts w:asciiTheme="majorHAnsi" w:eastAsia="Times New Roman" w:hAnsiTheme="majorHAnsi" w:cs="Times New Roman"/>
          <w:sz w:val="24"/>
          <w:szCs w:val="24"/>
          <w:lang w:val="ro-RO" w:eastAsia="ru-RU"/>
        </w:rPr>
        <w:t>în scopul diminuării impactului negativ al pandemiei COVID-19 asupra economiei naționale</w:t>
      </w:r>
      <w:r w:rsidR="00E145A0">
        <w:rPr>
          <w:rFonts w:asciiTheme="majorHAnsi" w:eastAsia="Times New Roman" w:hAnsiTheme="majorHAnsi" w:cs="Times New Roman"/>
          <w:sz w:val="24"/>
          <w:szCs w:val="24"/>
          <w:lang w:val="ro-RO" w:eastAsia="ru-RU"/>
        </w:rPr>
        <w:t>,</w:t>
      </w:r>
      <w:r w:rsidRPr="00F55BA6">
        <w:rPr>
          <w:rFonts w:asciiTheme="majorHAnsi" w:eastAsia="Times New Roman" w:hAnsiTheme="majorHAnsi" w:cs="Times New Roman"/>
          <w:sz w:val="24"/>
          <w:szCs w:val="24"/>
          <w:lang w:val="ro-RO" w:eastAsia="ru-RU"/>
        </w:rPr>
        <w:t xml:space="preserve"> au fost instituite unele măsuri de susținere a activității de întreprinzător î</w:t>
      </w:r>
      <w:r w:rsidRPr="00F55BA6">
        <w:rPr>
          <w:rFonts w:asciiTheme="majorHAnsi" w:hAnsiTheme="majorHAnsi" w:cstheme="majorHAnsi"/>
          <w:color w:val="000000"/>
          <w:sz w:val="24"/>
          <w:szCs w:val="24"/>
          <w:lang w:val="ro-RO"/>
        </w:rPr>
        <w:t>n ceea ce privește diminuarea poverii fiscale. Astfel, prin aprobarea </w:t>
      </w:r>
      <w:r w:rsidRPr="00F55BA6">
        <w:rPr>
          <w:rFonts w:asciiTheme="majorHAnsi" w:hAnsiTheme="majorHAnsi" w:cstheme="majorHAnsi"/>
          <w:iCs/>
          <w:color w:val="000000"/>
          <w:sz w:val="24"/>
          <w:szCs w:val="24"/>
          <w:lang w:val="ro-RO"/>
        </w:rPr>
        <w:t>Legii nr.60 din 23.04.2020</w:t>
      </w:r>
      <w:r w:rsidRPr="00F55BA6">
        <w:rPr>
          <w:rFonts w:asciiTheme="majorHAnsi" w:hAnsiTheme="majorHAnsi"/>
          <w:color w:val="000000"/>
          <w:sz w:val="24"/>
          <w:szCs w:val="24"/>
          <w:vertAlign w:val="superscript"/>
          <w:lang w:val="ro-RO" w:eastAsia="ro-RO" w:bidi="ro-RO"/>
        </w:rPr>
        <w:footnoteReference w:id="87"/>
      </w:r>
      <w:r w:rsidRPr="00F55BA6">
        <w:rPr>
          <w:rFonts w:asciiTheme="majorHAnsi" w:hAnsiTheme="majorHAnsi" w:cstheme="majorHAnsi"/>
          <w:iCs/>
          <w:color w:val="000000"/>
          <w:sz w:val="24"/>
          <w:szCs w:val="24"/>
          <w:lang w:val="ro-RO"/>
        </w:rPr>
        <w:t xml:space="preserve"> au fost</w:t>
      </w:r>
      <w:r w:rsidRPr="00F55BA6">
        <w:rPr>
          <w:rFonts w:asciiTheme="majorHAnsi" w:hAnsiTheme="majorHAnsi" w:cstheme="majorHAnsi"/>
          <w:color w:val="000000"/>
          <w:sz w:val="24"/>
          <w:szCs w:val="24"/>
          <w:lang w:val="ro-RO"/>
        </w:rPr>
        <w:t xml:space="preserve"> operate modificări în cadrul normativ privind reducerea </w:t>
      </w:r>
      <w:r w:rsidRPr="00F55BA6">
        <w:rPr>
          <w:rFonts w:asciiTheme="majorHAnsi" w:hAnsiTheme="majorHAnsi"/>
          <w:color w:val="000000"/>
          <w:sz w:val="24"/>
          <w:szCs w:val="24"/>
          <w:lang w:val="ro-RO" w:eastAsia="ro-RO" w:bidi="ro-RO"/>
        </w:rPr>
        <w:t>cotei TVA de la 20% la 15% pentru sec</w:t>
      </w:r>
      <w:r w:rsidR="004927D5" w:rsidRPr="00F55BA6">
        <w:rPr>
          <w:rFonts w:asciiTheme="majorHAnsi" w:hAnsiTheme="majorHAnsi"/>
          <w:color w:val="000000"/>
          <w:sz w:val="24"/>
          <w:szCs w:val="24"/>
          <w:lang w:val="ro-RO" w:eastAsia="ro-RO" w:bidi="ro-RO"/>
        </w:rPr>
        <w:t>torul HORECA, începând cu 1.05.</w:t>
      </w:r>
      <w:r w:rsidRPr="00F55BA6">
        <w:rPr>
          <w:rFonts w:asciiTheme="majorHAnsi" w:hAnsiTheme="majorHAnsi"/>
          <w:color w:val="000000"/>
          <w:sz w:val="24"/>
          <w:szCs w:val="24"/>
          <w:lang w:val="ro-RO" w:eastAsia="ro-RO" w:bidi="ro-RO"/>
        </w:rPr>
        <w:t>2020 și instituirea Programului de rambursare a TVA, pentru întreprinderile înregistrate în calitate de contribuabili ai TVA și care înregistrează sumele TVA spre deducere</w:t>
      </w:r>
      <w:r w:rsidRPr="00F55BA6">
        <w:rPr>
          <w:rFonts w:asciiTheme="majorHAnsi" w:hAnsiTheme="majorHAnsi" w:cstheme="majorHAnsi"/>
          <w:color w:val="000000"/>
          <w:sz w:val="24"/>
          <w:szCs w:val="24"/>
          <w:lang w:val="ro-RO"/>
        </w:rPr>
        <w:t>, pentr</w:t>
      </w:r>
      <w:r w:rsidR="00667A1A" w:rsidRPr="00F55BA6">
        <w:rPr>
          <w:rFonts w:asciiTheme="majorHAnsi" w:hAnsiTheme="majorHAnsi" w:cstheme="majorHAnsi"/>
          <w:color w:val="000000"/>
          <w:sz w:val="24"/>
          <w:szCs w:val="24"/>
          <w:lang w:val="ro-RO"/>
        </w:rPr>
        <w:t>u perioada până la 31.12.</w:t>
      </w:r>
      <w:r w:rsidRPr="00F55BA6">
        <w:rPr>
          <w:rFonts w:asciiTheme="majorHAnsi" w:hAnsiTheme="majorHAnsi" w:cstheme="majorHAnsi"/>
          <w:color w:val="000000"/>
          <w:sz w:val="24"/>
          <w:szCs w:val="24"/>
          <w:lang w:val="ro-RO"/>
        </w:rPr>
        <w:t>2020, care au venit în susținerea antreprenorilor pe termen scurt.</w:t>
      </w:r>
    </w:p>
    <w:p w:rsidR="006E2E6A" w:rsidRPr="00F55BA6" w:rsidRDefault="006E2E6A" w:rsidP="006E2E6A">
      <w:pPr>
        <w:shd w:val="clear" w:color="auto" w:fill="FFFFFF"/>
        <w:spacing w:after="0" w:line="276" w:lineRule="auto"/>
        <w:rPr>
          <w:rFonts w:asciiTheme="majorHAnsi" w:hAnsiTheme="majorHAnsi"/>
          <w:color w:val="000000"/>
          <w:sz w:val="24"/>
          <w:szCs w:val="24"/>
          <w:lang w:val="ro-RO" w:eastAsia="ro-RO" w:bidi="ro-RO"/>
        </w:rPr>
      </w:pPr>
      <w:r w:rsidRPr="00F55BA6">
        <w:rPr>
          <w:rFonts w:asciiTheme="majorHAnsi" w:hAnsiTheme="majorHAnsi" w:cstheme="majorHAnsi"/>
          <w:sz w:val="24"/>
          <w:szCs w:val="24"/>
          <w:lang w:val="ro-RO"/>
        </w:rPr>
        <w:t xml:space="preserve">Veniturile impozitului pe venit în structura BS pentru anul 2020 au </w:t>
      </w:r>
      <w:r w:rsidRPr="00F55BA6">
        <w:rPr>
          <w:rFonts w:asciiTheme="majorHAnsi" w:hAnsiTheme="majorHAnsi" w:cstheme="majorHAnsi"/>
          <w:color w:val="000000"/>
          <w:sz w:val="24"/>
          <w:szCs w:val="24"/>
          <w:lang w:val="ro-RO"/>
        </w:rPr>
        <w:t xml:space="preserve">constituit 18,1% din totalul impozitelor și taxelor, fiind încasate 6 469,1 mil. lei, înregistrând o descreștere de 391,3 mil. lei în comparație cu anul 2019. Astfel, majorarea încasărilor impozitului pe venitul persoanelor fizice cu </w:t>
      </w:r>
      <w:r w:rsidR="006444AC" w:rsidRPr="00F55BA6">
        <w:rPr>
          <w:rFonts w:asciiTheme="majorHAnsi" w:hAnsiTheme="majorHAnsi" w:cstheme="majorHAnsi"/>
          <w:color w:val="000000"/>
          <w:sz w:val="24"/>
          <w:szCs w:val="24"/>
          <w:lang w:val="ro-RO"/>
        </w:rPr>
        <w:t>1,1</w:t>
      </w:r>
      <w:r w:rsidRPr="00F55BA6">
        <w:rPr>
          <w:rFonts w:asciiTheme="majorHAnsi" w:hAnsiTheme="majorHAnsi" w:cstheme="majorHAnsi"/>
          <w:color w:val="000000"/>
          <w:sz w:val="24"/>
          <w:szCs w:val="24"/>
          <w:lang w:val="ro-RO"/>
        </w:rPr>
        <w:t>%</w:t>
      </w:r>
      <w:r w:rsidR="00E145A0">
        <w:rPr>
          <w:rFonts w:asciiTheme="majorHAnsi" w:hAnsiTheme="majorHAnsi" w:cstheme="majorHAnsi"/>
          <w:color w:val="000000"/>
          <w:sz w:val="24"/>
          <w:szCs w:val="24"/>
          <w:lang w:val="ro-RO"/>
        </w:rPr>
        <w:t>,</w:t>
      </w:r>
      <w:r w:rsidRPr="00F55BA6">
        <w:rPr>
          <w:rFonts w:asciiTheme="majorHAnsi" w:hAnsiTheme="majorHAnsi" w:cstheme="majorHAnsi"/>
          <w:color w:val="000000"/>
          <w:sz w:val="24"/>
          <w:szCs w:val="24"/>
          <w:lang w:val="ro-RO"/>
        </w:rPr>
        <w:t xml:space="preserve"> sau </w:t>
      </w:r>
      <w:r w:rsidR="006444AC" w:rsidRPr="00F55BA6">
        <w:rPr>
          <w:rFonts w:asciiTheme="majorHAnsi" w:hAnsiTheme="majorHAnsi" w:cstheme="majorHAnsi"/>
          <w:color w:val="000000"/>
          <w:sz w:val="24"/>
          <w:szCs w:val="24"/>
          <w:lang w:val="ro-RO"/>
        </w:rPr>
        <w:t>15,7</w:t>
      </w:r>
      <w:r w:rsidRPr="00F55BA6">
        <w:rPr>
          <w:rFonts w:asciiTheme="majorHAnsi" w:hAnsiTheme="majorHAnsi" w:cstheme="majorHAnsi"/>
          <w:color w:val="000000"/>
          <w:sz w:val="24"/>
          <w:szCs w:val="24"/>
          <w:lang w:val="ro-RO"/>
        </w:rPr>
        <w:t xml:space="preserve"> mil. lei față de indicatorii precizați, a fost influențată de c</w:t>
      </w:r>
      <w:r w:rsidRPr="00F55BA6">
        <w:rPr>
          <w:rFonts w:asciiTheme="majorHAnsi" w:hAnsiTheme="majorHAnsi" w:cs="Times New Roman"/>
          <w:sz w:val="24"/>
          <w:szCs w:val="24"/>
          <w:lang w:val="ro-RO"/>
        </w:rPr>
        <w:t>reșterea în anul 2020 a nivelului fondului de remunerare a muncii cu 106,</w:t>
      </w:r>
      <w:r w:rsidR="0070553D" w:rsidRPr="00F55BA6">
        <w:rPr>
          <w:rFonts w:asciiTheme="majorHAnsi" w:hAnsiTheme="majorHAnsi" w:cs="Times New Roman"/>
          <w:sz w:val="24"/>
          <w:szCs w:val="24"/>
          <w:lang w:val="ro-RO"/>
        </w:rPr>
        <w:t>0</w:t>
      </w:r>
      <w:r w:rsidRPr="00F55BA6">
        <w:rPr>
          <w:rFonts w:asciiTheme="majorHAnsi" w:hAnsiTheme="majorHAnsi" w:cs="Times New Roman"/>
          <w:sz w:val="24"/>
          <w:szCs w:val="24"/>
          <w:lang w:val="ro-RO"/>
        </w:rPr>
        <w:t>% față de anul 2019</w:t>
      </w:r>
      <w:r w:rsidRPr="00F55BA6">
        <w:rPr>
          <w:rFonts w:asciiTheme="majorHAnsi" w:hAnsiTheme="majorHAnsi" w:cstheme="majorHAnsi"/>
          <w:sz w:val="24"/>
          <w:szCs w:val="24"/>
          <w:lang w:val="ro-RO"/>
        </w:rPr>
        <w:t>,</w:t>
      </w:r>
      <w:r w:rsidR="00E145A0">
        <w:rPr>
          <w:rFonts w:asciiTheme="majorHAnsi" w:hAnsiTheme="majorHAnsi" w:cstheme="majorHAnsi"/>
          <w:sz w:val="24"/>
          <w:szCs w:val="24"/>
          <w:lang w:val="ro-RO"/>
        </w:rPr>
        <w:t xml:space="preserve"> ca</w:t>
      </w:r>
      <w:r w:rsidRPr="00F55BA6">
        <w:rPr>
          <w:rFonts w:asciiTheme="majorHAnsi" w:hAnsiTheme="majorHAnsi" w:cstheme="majorHAnsi"/>
          <w:sz w:val="24"/>
          <w:szCs w:val="24"/>
          <w:lang w:val="ro-RO"/>
        </w:rPr>
        <w:t xml:space="preserve"> urmare a restabilirii treptate a activității economice a agenților economici. Se atestă că modificările operate în cadrul normativ au influențat reducerea încasărilor impozitului pe venit față anul 2019 </w:t>
      </w:r>
      <w:r w:rsidR="00E145A0">
        <w:rPr>
          <w:rFonts w:asciiTheme="majorHAnsi" w:hAnsiTheme="majorHAnsi" w:cstheme="majorHAnsi"/>
          <w:sz w:val="24"/>
          <w:szCs w:val="24"/>
          <w:lang w:val="ro-RO"/>
        </w:rPr>
        <w:t xml:space="preserve">ca </w:t>
      </w:r>
      <w:r w:rsidRPr="00F55BA6">
        <w:rPr>
          <w:rFonts w:asciiTheme="majorHAnsi" w:hAnsiTheme="majorHAnsi" w:cstheme="majorHAnsi"/>
          <w:sz w:val="24"/>
          <w:szCs w:val="24"/>
          <w:lang w:val="ro-RO"/>
        </w:rPr>
        <w:t xml:space="preserve">urmare a </w:t>
      </w:r>
      <w:r w:rsidRPr="00F55BA6">
        <w:rPr>
          <w:rFonts w:asciiTheme="majorHAnsi" w:hAnsiTheme="majorHAnsi" w:cs="Times New Roman"/>
          <w:iCs/>
          <w:color w:val="000000"/>
          <w:sz w:val="24"/>
          <w:szCs w:val="24"/>
          <w:shd w:val="clear" w:color="auto" w:fill="FFFFFF"/>
          <w:lang w:val="ro-RO" w:eastAsia="ro-RO" w:bidi="ro-RO"/>
        </w:rPr>
        <w:t>modificărilor operate la Legea 397/2003 privind finanțele publice locale</w:t>
      </w:r>
      <w:r w:rsidRPr="00F55BA6">
        <w:rPr>
          <w:rFonts w:asciiTheme="majorHAnsi" w:hAnsiTheme="majorHAnsi" w:cs="Times New Roman"/>
          <w:iCs/>
          <w:color w:val="000000"/>
          <w:sz w:val="24"/>
          <w:szCs w:val="24"/>
          <w:shd w:val="clear" w:color="auto" w:fill="FFFFFF"/>
          <w:vertAlign w:val="superscript"/>
          <w:lang w:val="ro-RO" w:eastAsia="ro-RO" w:bidi="ro-RO"/>
        </w:rPr>
        <w:footnoteReference w:id="88"/>
      </w:r>
      <w:r w:rsidRPr="00F55BA6">
        <w:rPr>
          <w:rFonts w:asciiTheme="majorHAnsi" w:hAnsiTheme="majorHAnsi"/>
          <w:i/>
          <w:color w:val="000000"/>
          <w:sz w:val="24"/>
          <w:szCs w:val="24"/>
          <w:lang w:val="ro-RO" w:eastAsia="ro-RO" w:bidi="ro-RO"/>
        </w:rPr>
        <w:t xml:space="preserve">, </w:t>
      </w:r>
      <w:r w:rsidRPr="00F55BA6">
        <w:rPr>
          <w:rFonts w:asciiTheme="majorHAnsi" w:hAnsiTheme="majorHAnsi"/>
          <w:color w:val="000000"/>
          <w:sz w:val="24"/>
          <w:szCs w:val="24"/>
          <w:lang w:val="ro-RO" w:eastAsia="ro-RO" w:bidi="ro-RO"/>
        </w:rPr>
        <w:t xml:space="preserve">și anume reieșind din majorarea cotelor de defalcare la impozitul pe venitul persoanelor fizice pentru </w:t>
      </w:r>
      <w:r w:rsidR="00EA0CE0" w:rsidRPr="00F55BA6">
        <w:rPr>
          <w:rFonts w:asciiTheme="majorHAnsi" w:hAnsiTheme="majorHAnsi"/>
          <w:color w:val="000000"/>
          <w:sz w:val="24"/>
          <w:szCs w:val="24"/>
          <w:lang w:val="ro-RO" w:eastAsia="ro-RO" w:bidi="ro-RO"/>
        </w:rPr>
        <w:t>APL</w:t>
      </w:r>
      <w:r w:rsidRPr="00F55BA6">
        <w:rPr>
          <w:rFonts w:asciiTheme="majorHAnsi" w:hAnsiTheme="majorHAnsi"/>
          <w:color w:val="000000"/>
          <w:sz w:val="24"/>
          <w:szCs w:val="24"/>
          <w:lang w:val="ro-RO" w:eastAsia="ro-RO" w:bidi="ro-RO"/>
        </w:rPr>
        <w:t xml:space="preserve"> de nivelul I</w:t>
      </w:r>
      <w:r w:rsidRPr="00F55BA6">
        <w:rPr>
          <w:rFonts w:asciiTheme="majorHAnsi" w:hAnsiTheme="majorHAnsi" w:cstheme="majorHAnsi"/>
          <w:sz w:val="24"/>
          <w:szCs w:val="24"/>
          <w:lang w:val="ro-RO"/>
        </w:rPr>
        <w:t xml:space="preserve">, </w:t>
      </w:r>
      <w:r w:rsidRPr="00F55BA6">
        <w:rPr>
          <w:rFonts w:asciiTheme="majorHAnsi" w:hAnsiTheme="majorHAnsi" w:cstheme="majorHAnsi"/>
          <w:sz w:val="24"/>
          <w:szCs w:val="24"/>
          <w:lang w:val="ro-RO"/>
        </w:rPr>
        <w:lastRenderedPageBreak/>
        <w:t>precum și la majorare</w:t>
      </w:r>
      <w:r w:rsidR="00E145A0">
        <w:rPr>
          <w:rFonts w:asciiTheme="majorHAnsi" w:hAnsiTheme="majorHAnsi" w:cstheme="majorHAnsi"/>
          <w:sz w:val="24"/>
          <w:szCs w:val="24"/>
          <w:lang w:val="ro-RO"/>
        </w:rPr>
        <w:t>a</w:t>
      </w:r>
      <w:r w:rsidRPr="00F55BA6">
        <w:rPr>
          <w:rFonts w:asciiTheme="majorHAnsi" w:hAnsiTheme="majorHAnsi" w:cstheme="majorHAnsi"/>
          <w:sz w:val="24"/>
          <w:szCs w:val="24"/>
          <w:lang w:val="ro-RO"/>
        </w:rPr>
        <w:t xml:space="preserve"> prin </w:t>
      </w:r>
      <w:r w:rsidRPr="00F55BA6">
        <w:rPr>
          <w:rFonts w:asciiTheme="majorHAnsi" w:hAnsiTheme="majorHAnsi"/>
          <w:sz w:val="24"/>
          <w:szCs w:val="24"/>
          <w:lang w:val="ro-RO"/>
        </w:rPr>
        <w:t>eliminarea scutirii personale la impozitul pe venitul persoanelor fizice care au obținut venituri mai mari de 360,0 mii lei</w:t>
      </w:r>
      <w:r w:rsidRPr="00F55BA6">
        <w:rPr>
          <w:rFonts w:asciiTheme="majorHAnsi" w:hAnsiTheme="majorHAnsi"/>
          <w:sz w:val="24"/>
          <w:szCs w:val="24"/>
          <w:vertAlign w:val="superscript"/>
          <w:lang w:val="ro-RO"/>
        </w:rPr>
        <w:footnoteReference w:id="89"/>
      </w:r>
      <w:r w:rsidRPr="00F55BA6">
        <w:rPr>
          <w:rFonts w:asciiTheme="majorHAnsi" w:hAnsiTheme="majorHAnsi"/>
          <w:sz w:val="24"/>
          <w:szCs w:val="24"/>
          <w:lang w:val="ro-RO"/>
        </w:rPr>
        <w:t>.</w:t>
      </w:r>
    </w:p>
    <w:p w:rsidR="006E2E6A" w:rsidRPr="00F55BA6" w:rsidRDefault="006E2E6A" w:rsidP="006E2E6A">
      <w:pPr>
        <w:spacing w:after="0" w:line="276" w:lineRule="auto"/>
        <w:rPr>
          <w:rFonts w:asciiTheme="majorHAnsi" w:hAnsiTheme="majorHAnsi" w:cstheme="majorHAnsi"/>
          <w:sz w:val="24"/>
          <w:szCs w:val="24"/>
          <w:lang w:val="ro-RO"/>
        </w:rPr>
      </w:pPr>
      <w:r w:rsidRPr="00F55BA6">
        <w:rPr>
          <w:rFonts w:asciiTheme="majorHAnsi" w:hAnsiTheme="majorHAnsi" w:cstheme="majorHAnsi"/>
          <w:sz w:val="24"/>
          <w:szCs w:val="24"/>
          <w:lang w:val="ro-RO"/>
        </w:rPr>
        <w:t xml:space="preserve">Din BS au fost efectuate </w:t>
      </w:r>
      <w:r w:rsidRPr="00F55BA6">
        <w:rPr>
          <w:rFonts w:asciiTheme="majorHAnsi" w:hAnsiTheme="majorHAnsi" w:cstheme="majorHAnsi"/>
          <w:i/>
          <w:sz w:val="24"/>
          <w:szCs w:val="24"/>
          <w:lang w:val="ro-RO"/>
        </w:rPr>
        <w:t>restituiri ale impozitului pe venitul persoanelor fizice</w:t>
      </w:r>
      <w:r w:rsidRPr="00F55BA6">
        <w:rPr>
          <w:rFonts w:asciiTheme="majorHAnsi" w:hAnsiTheme="majorHAnsi" w:cstheme="majorHAnsi"/>
          <w:sz w:val="24"/>
          <w:szCs w:val="24"/>
          <w:lang w:val="ro-RO"/>
        </w:rPr>
        <w:t xml:space="preserve"> potrivit declarațiilor prezentate, în sumă de 1,3 mil.lei</w:t>
      </w:r>
      <w:r w:rsidR="00E145A0">
        <w:rPr>
          <w:rFonts w:asciiTheme="majorHAnsi" w:hAnsiTheme="majorHAnsi" w:cstheme="majorHAnsi"/>
          <w:sz w:val="24"/>
          <w:szCs w:val="24"/>
          <w:lang w:val="ro-RO"/>
        </w:rPr>
        <w:t>,</w:t>
      </w:r>
      <w:r w:rsidRPr="00F55BA6">
        <w:rPr>
          <w:rFonts w:asciiTheme="majorHAnsi" w:hAnsiTheme="majorHAnsi" w:cstheme="majorHAnsi"/>
          <w:sz w:val="24"/>
          <w:szCs w:val="24"/>
          <w:lang w:val="ro-RO"/>
        </w:rPr>
        <w:t xml:space="preserve"> mai puțin față de limita precizată (60,9 mil.lei), depășind limita aprobată în buget cu 29,6 mil. lei (98,6%).</w:t>
      </w:r>
      <w:r w:rsidRPr="00F55BA6">
        <w:rPr>
          <w:rFonts w:asciiTheme="majorHAnsi" w:eastAsia="Times New Roman" w:hAnsiTheme="majorHAnsi" w:cstheme="majorHAnsi"/>
          <w:sz w:val="24"/>
          <w:szCs w:val="24"/>
          <w:lang w:val="ro-RO"/>
        </w:rPr>
        <w:t xml:space="preserve"> Verificările auditului denotă că se menține evoluția stabilă, dar cu tendință de creștere cu 7,5</w:t>
      </w:r>
      <w:r w:rsidRPr="00F55BA6">
        <w:rPr>
          <w:rFonts w:asciiTheme="majorHAnsi" w:hAnsiTheme="majorHAnsi" w:cstheme="majorHAnsi"/>
          <w:sz w:val="24"/>
          <w:szCs w:val="24"/>
          <w:lang w:val="ro-RO"/>
        </w:rPr>
        <w:t>% (4,5 mil. lei) față de anul 2019. Sumele desemnate procentual din impozitul pe venitul persoanelor fizice rezidente, conform art.15</w:t>
      </w:r>
      <w:r w:rsidRPr="00F55BA6">
        <w:rPr>
          <w:rFonts w:asciiTheme="majorHAnsi" w:hAnsiTheme="majorHAnsi" w:cstheme="majorHAnsi"/>
          <w:sz w:val="24"/>
          <w:szCs w:val="24"/>
          <w:vertAlign w:val="superscript"/>
          <w:lang w:val="ro-RO"/>
        </w:rPr>
        <w:t xml:space="preserve">2 </w:t>
      </w:r>
      <w:r w:rsidRPr="00F55BA6">
        <w:rPr>
          <w:rFonts w:asciiTheme="majorHAnsi" w:hAnsiTheme="majorHAnsi" w:cstheme="majorHAnsi"/>
          <w:sz w:val="24"/>
          <w:szCs w:val="24"/>
          <w:lang w:val="ro-RO"/>
        </w:rPr>
        <w:t>din Codul fiscal (2% din impozitul pe venit calculat în buget de persoanele fizice rezidente, care nu au datorii în perioadele fiscale anterioare)</w:t>
      </w:r>
      <w:r w:rsidR="00E145A0">
        <w:rPr>
          <w:rFonts w:asciiTheme="majorHAnsi" w:hAnsiTheme="majorHAnsi" w:cstheme="majorHAnsi"/>
          <w:sz w:val="24"/>
          <w:szCs w:val="24"/>
          <w:lang w:val="ro-RO"/>
        </w:rPr>
        <w:t>,</w:t>
      </w:r>
      <w:r w:rsidRPr="00F55BA6">
        <w:rPr>
          <w:rFonts w:asciiTheme="majorHAnsi" w:hAnsiTheme="majorHAnsi" w:cstheme="majorHAnsi"/>
          <w:sz w:val="24"/>
          <w:szCs w:val="24"/>
          <w:lang w:val="ro-RO"/>
        </w:rPr>
        <w:t xml:space="preserve"> au constituit 5,6 mil. lei (100,1%) față de limitele precizate, dar cu 2,1 mil. lei (27,1%) mai puțin față de anul 2019.</w:t>
      </w:r>
    </w:p>
    <w:p w:rsidR="006E2E6A" w:rsidRPr="00F55BA6" w:rsidRDefault="006E2E6A" w:rsidP="006E2E6A">
      <w:pPr>
        <w:shd w:val="clear" w:color="auto" w:fill="FFFFFF"/>
        <w:spacing w:after="0" w:line="276" w:lineRule="auto"/>
        <w:rPr>
          <w:rFonts w:asciiTheme="majorHAnsi" w:eastAsia="Times New Roman" w:hAnsiTheme="majorHAnsi" w:cs="Arial"/>
          <w:sz w:val="24"/>
          <w:szCs w:val="24"/>
          <w:lang w:val="ro-RO" w:eastAsia="ro-RO"/>
        </w:rPr>
      </w:pPr>
      <w:r w:rsidRPr="00F55BA6">
        <w:rPr>
          <w:rFonts w:asciiTheme="majorHAnsi" w:hAnsiTheme="majorHAnsi"/>
          <w:bCs/>
          <w:iCs/>
          <w:color w:val="000000"/>
          <w:spacing w:val="-1"/>
          <w:sz w:val="24"/>
          <w:szCs w:val="24"/>
          <w:lang w:val="ro-RO"/>
        </w:rPr>
        <w:t>Potrivit datelor raportate de MF, veniturile din accize în anul 2020 au fost supraîncasate cu 167,9 mil. lei (102,7%) față de indicatorii precizați și cu 3,9 %</w:t>
      </w:r>
      <w:r w:rsidR="00E145A0">
        <w:rPr>
          <w:rFonts w:asciiTheme="majorHAnsi" w:hAnsiTheme="majorHAnsi"/>
          <w:bCs/>
          <w:iCs/>
          <w:color w:val="000000"/>
          <w:spacing w:val="-1"/>
          <w:sz w:val="24"/>
          <w:szCs w:val="24"/>
          <w:lang w:val="ro-RO"/>
        </w:rPr>
        <w:t>,</w:t>
      </w:r>
      <w:r w:rsidRPr="00F55BA6">
        <w:rPr>
          <w:rFonts w:asciiTheme="majorHAnsi" w:hAnsiTheme="majorHAnsi"/>
          <w:bCs/>
          <w:iCs/>
          <w:color w:val="000000"/>
          <w:spacing w:val="-1"/>
          <w:sz w:val="24"/>
          <w:szCs w:val="24"/>
          <w:lang w:val="ro-RO"/>
        </w:rPr>
        <w:t xml:space="preserve"> sau 245,5 mil.lei</w:t>
      </w:r>
      <w:r w:rsidR="00E145A0">
        <w:rPr>
          <w:rFonts w:asciiTheme="majorHAnsi" w:hAnsiTheme="majorHAnsi"/>
          <w:bCs/>
          <w:iCs/>
          <w:color w:val="000000"/>
          <w:spacing w:val="-1"/>
          <w:sz w:val="24"/>
          <w:szCs w:val="24"/>
          <w:lang w:val="ro-RO"/>
        </w:rPr>
        <w:t>,</w:t>
      </w:r>
      <w:r w:rsidRPr="00F55BA6">
        <w:rPr>
          <w:rFonts w:asciiTheme="majorHAnsi" w:hAnsiTheme="majorHAnsi"/>
          <w:bCs/>
          <w:iCs/>
          <w:color w:val="000000"/>
          <w:spacing w:val="-1"/>
          <w:sz w:val="24"/>
          <w:szCs w:val="24"/>
          <w:lang w:val="ro-RO"/>
        </w:rPr>
        <w:t xml:space="preserve"> mai mult </w:t>
      </w:r>
      <w:r w:rsidRPr="00F55BA6">
        <w:rPr>
          <w:rFonts w:asciiTheme="majorHAnsi" w:hAnsiTheme="majorHAnsi"/>
          <w:color w:val="000000"/>
          <w:sz w:val="24"/>
          <w:szCs w:val="24"/>
          <w:lang w:val="ro-RO"/>
        </w:rPr>
        <w:t>față de anul precedent</w:t>
      </w:r>
      <w:r w:rsidRPr="00F55BA6">
        <w:rPr>
          <w:rFonts w:asciiTheme="majorHAnsi" w:hAnsiTheme="majorHAnsi"/>
          <w:bCs/>
          <w:iCs/>
          <w:color w:val="000000"/>
          <w:spacing w:val="-1"/>
          <w:sz w:val="24"/>
          <w:szCs w:val="24"/>
          <w:lang w:val="ro-RO"/>
        </w:rPr>
        <w:t xml:space="preserve">. </w:t>
      </w:r>
      <w:r w:rsidRPr="00F55BA6">
        <w:rPr>
          <w:rFonts w:asciiTheme="majorHAnsi" w:hAnsiTheme="majorHAnsi"/>
          <w:sz w:val="24"/>
          <w:szCs w:val="24"/>
          <w:lang w:val="ro-RO"/>
        </w:rPr>
        <w:t>În acest context, se relevă că</w:t>
      </w:r>
      <w:r w:rsidR="00E145A0">
        <w:rPr>
          <w:rFonts w:asciiTheme="majorHAnsi" w:hAnsiTheme="majorHAnsi"/>
          <w:sz w:val="24"/>
          <w:szCs w:val="24"/>
          <w:lang w:val="ro-RO"/>
        </w:rPr>
        <w:t>,</w:t>
      </w:r>
      <w:r w:rsidRPr="00F55BA6">
        <w:rPr>
          <w:rFonts w:asciiTheme="majorHAnsi" w:hAnsiTheme="majorHAnsi"/>
          <w:sz w:val="24"/>
          <w:szCs w:val="24"/>
          <w:lang w:val="ro-RO"/>
        </w:rPr>
        <w:t xml:space="preserve"> din încasările de 6 465,7 mil. lei (inclusiv restituirile – 11,9 mil. lei) din accize</w:t>
      </w:r>
      <w:r w:rsidR="00E145A0">
        <w:rPr>
          <w:rFonts w:asciiTheme="majorHAnsi" w:hAnsiTheme="majorHAnsi"/>
          <w:sz w:val="24"/>
          <w:szCs w:val="24"/>
          <w:lang w:val="ro-RO"/>
        </w:rPr>
        <w:t>,</w:t>
      </w:r>
      <w:r w:rsidRPr="00F55BA6">
        <w:rPr>
          <w:rFonts w:asciiTheme="majorHAnsi" w:hAnsiTheme="majorHAnsi"/>
          <w:sz w:val="24"/>
          <w:szCs w:val="24"/>
          <w:lang w:val="ro-RO"/>
        </w:rPr>
        <w:t xml:space="preserve"> 91,2% (5 909, 8 mil. lei) le revin accizelor la mărfurile importate și 567,8 mil. lei</w:t>
      </w:r>
      <w:r w:rsidR="00E145A0">
        <w:rPr>
          <w:rFonts w:asciiTheme="majorHAnsi" w:hAnsiTheme="majorHAnsi"/>
          <w:sz w:val="24"/>
          <w:szCs w:val="24"/>
          <w:lang w:val="ro-RO"/>
        </w:rPr>
        <w:t>,</w:t>
      </w:r>
      <w:r w:rsidRPr="00F55BA6">
        <w:rPr>
          <w:rFonts w:asciiTheme="majorHAnsi" w:hAnsiTheme="majorHAnsi"/>
          <w:sz w:val="24"/>
          <w:szCs w:val="24"/>
          <w:lang w:val="ro-RO"/>
        </w:rPr>
        <w:t xml:space="preserve"> sau 8,8% </w:t>
      </w:r>
      <w:r w:rsidR="00E145A0" w:rsidRPr="00F55BA6">
        <w:rPr>
          <w:rFonts w:asciiTheme="majorHAnsi" w:eastAsia="Times New Roman" w:hAnsiTheme="majorHAnsi" w:cstheme="majorHAnsi"/>
          <w:sz w:val="24"/>
          <w:szCs w:val="24"/>
          <w:lang w:val="ro-RO"/>
        </w:rPr>
        <w:t>–</w:t>
      </w:r>
      <w:r w:rsidRPr="00F55BA6">
        <w:rPr>
          <w:rFonts w:asciiTheme="majorHAnsi" w:hAnsiTheme="majorHAnsi"/>
          <w:sz w:val="24"/>
          <w:szCs w:val="24"/>
          <w:lang w:val="ro-RO"/>
        </w:rPr>
        <w:t xml:space="preserve"> la mărfurile produse în țară. Majorarea încasărilor la accize a fost influențată în mare parte </w:t>
      </w:r>
      <w:r w:rsidR="00EA0CE0" w:rsidRPr="00F55BA6">
        <w:rPr>
          <w:rFonts w:asciiTheme="majorHAnsi" w:hAnsiTheme="majorHAnsi"/>
          <w:sz w:val="24"/>
          <w:szCs w:val="24"/>
          <w:lang w:val="ro-RO"/>
        </w:rPr>
        <w:t xml:space="preserve">de </w:t>
      </w:r>
      <w:r w:rsidRPr="00F55BA6">
        <w:rPr>
          <w:rFonts w:asciiTheme="majorHAnsi" w:hAnsiTheme="majorHAnsi"/>
          <w:sz w:val="24"/>
          <w:szCs w:val="24"/>
          <w:lang w:val="ro-RO"/>
        </w:rPr>
        <w:t>modificările operate în cadrul normativ prin unificarea cotei accizei pentru țigaretele fără filtru cu cele cu filtru</w:t>
      </w:r>
      <w:r w:rsidRPr="00F55BA6">
        <w:rPr>
          <w:rFonts w:asciiTheme="majorHAnsi" w:hAnsiTheme="majorHAnsi"/>
          <w:sz w:val="24"/>
          <w:szCs w:val="24"/>
          <w:vertAlign w:val="superscript"/>
          <w:lang w:val="ro-RO"/>
        </w:rPr>
        <w:footnoteReference w:id="90"/>
      </w:r>
      <w:r w:rsidRPr="00F55BA6">
        <w:rPr>
          <w:rFonts w:asciiTheme="majorHAnsi" w:hAnsiTheme="majorHAnsi"/>
          <w:sz w:val="24"/>
          <w:szCs w:val="24"/>
          <w:lang w:val="ro-RO"/>
        </w:rPr>
        <w:t>, anularea facilităților fiscale pentru produsele accizabile comercializate de către magazinele duty-free, precum și de majorarea accizelor la autoturismele de lux</w:t>
      </w:r>
      <w:r w:rsidRPr="00F55BA6">
        <w:rPr>
          <w:rFonts w:asciiTheme="majorHAnsi" w:hAnsiTheme="majorHAnsi"/>
          <w:sz w:val="24"/>
          <w:szCs w:val="24"/>
          <w:vertAlign w:val="superscript"/>
          <w:lang w:val="ro-RO"/>
        </w:rPr>
        <w:footnoteReference w:id="91"/>
      </w:r>
      <w:r w:rsidRPr="00F55BA6">
        <w:rPr>
          <w:rFonts w:asciiTheme="majorHAnsi" w:hAnsiTheme="majorHAnsi"/>
          <w:sz w:val="24"/>
          <w:szCs w:val="24"/>
          <w:lang w:val="ro-RO"/>
        </w:rPr>
        <w:t>. Se menționează că</w:t>
      </w:r>
      <w:r w:rsidR="00E145A0">
        <w:rPr>
          <w:rFonts w:asciiTheme="majorHAnsi" w:hAnsiTheme="majorHAnsi"/>
          <w:sz w:val="24"/>
          <w:szCs w:val="24"/>
          <w:lang w:val="ro-RO"/>
        </w:rPr>
        <w:t>,</w:t>
      </w:r>
      <w:r w:rsidRPr="00F55BA6">
        <w:rPr>
          <w:rFonts w:asciiTheme="majorHAnsi" w:hAnsiTheme="majorHAnsi"/>
          <w:sz w:val="24"/>
          <w:szCs w:val="24"/>
          <w:lang w:val="ro-RO"/>
        </w:rPr>
        <w:t xml:space="preserve"> începând cu 01.01.2020</w:t>
      </w:r>
      <w:r w:rsidR="00E145A0">
        <w:rPr>
          <w:rFonts w:asciiTheme="majorHAnsi" w:hAnsiTheme="majorHAnsi"/>
          <w:sz w:val="24"/>
          <w:szCs w:val="24"/>
          <w:lang w:val="ro-RO"/>
        </w:rPr>
        <w:t>,</w:t>
      </w:r>
      <w:r w:rsidRPr="00F55BA6">
        <w:rPr>
          <w:rFonts w:asciiTheme="majorHAnsi" w:hAnsiTheme="majorHAnsi"/>
          <w:sz w:val="24"/>
          <w:szCs w:val="24"/>
          <w:lang w:val="ro-RO"/>
        </w:rPr>
        <w:t xml:space="preserve"> din contul creșterii cu 9,0 la sută a accizelor la produsele petroliere importate</w:t>
      </w:r>
      <w:r w:rsidRPr="00F55BA6">
        <w:rPr>
          <w:rFonts w:asciiTheme="majorHAnsi" w:hAnsiTheme="majorHAnsi"/>
          <w:sz w:val="24"/>
          <w:szCs w:val="24"/>
          <w:vertAlign w:val="superscript"/>
          <w:lang w:val="ro-RO"/>
        </w:rPr>
        <w:footnoteReference w:id="92"/>
      </w:r>
      <w:r w:rsidR="00E145A0">
        <w:rPr>
          <w:rFonts w:asciiTheme="majorHAnsi" w:hAnsiTheme="majorHAnsi"/>
          <w:sz w:val="24"/>
          <w:szCs w:val="24"/>
          <w:lang w:val="ro-RO"/>
        </w:rPr>
        <w:t>,</w:t>
      </w:r>
      <w:r w:rsidRPr="00F55BA6">
        <w:rPr>
          <w:rFonts w:asciiTheme="majorHAnsi" w:hAnsiTheme="majorHAnsi"/>
          <w:sz w:val="24"/>
          <w:szCs w:val="24"/>
          <w:lang w:val="ro-RO"/>
        </w:rPr>
        <w:t xml:space="preserve"> încasările față de anul 2019 au cr</w:t>
      </w:r>
      <w:r w:rsidR="00DC1B40">
        <w:rPr>
          <w:rFonts w:asciiTheme="majorHAnsi" w:hAnsiTheme="majorHAnsi"/>
          <w:sz w:val="24"/>
          <w:szCs w:val="24"/>
          <w:lang w:val="ro-RO"/>
        </w:rPr>
        <w:t xml:space="preserve">escut cu 4,4% . </w:t>
      </w:r>
      <w:r w:rsidRPr="00F55BA6">
        <w:rPr>
          <w:rFonts w:asciiTheme="majorHAnsi" w:hAnsiTheme="majorHAnsi"/>
          <w:sz w:val="24"/>
          <w:szCs w:val="24"/>
          <w:lang w:val="ro-RO"/>
        </w:rPr>
        <w:t xml:space="preserve"> </w:t>
      </w:r>
      <w:r w:rsidRPr="00F55BA6">
        <w:rPr>
          <w:rFonts w:asciiTheme="majorHAnsi" w:eastAsia="Times New Roman" w:hAnsiTheme="majorHAnsi" w:cs="Arial"/>
          <w:sz w:val="24"/>
          <w:szCs w:val="24"/>
          <w:lang w:val="ro-RO" w:eastAsia="ro-RO"/>
        </w:rPr>
        <w:t>În același timp, s-au redus cu 35,6 mil. lei</w:t>
      </w:r>
      <w:r w:rsidR="00E145A0">
        <w:rPr>
          <w:rFonts w:asciiTheme="majorHAnsi" w:eastAsia="Times New Roman" w:hAnsiTheme="majorHAnsi" w:cs="Arial"/>
          <w:sz w:val="24"/>
          <w:szCs w:val="24"/>
          <w:lang w:val="ro-RO" w:eastAsia="ro-RO"/>
        </w:rPr>
        <w:t>,</w:t>
      </w:r>
      <w:r w:rsidRPr="00F55BA6">
        <w:rPr>
          <w:rFonts w:asciiTheme="majorHAnsi" w:eastAsia="Times New Roman" w:hAnsiTheme="majorHAnsi" w:cs="Arial"/>
          <w:sz w:val="24"/>
          <w:szCs w:val="24"/>
          <w:lang w:val="ro-RO" w:eastAsia="ro-RO"/>
        </w:rPr>
        <w:t xml:space="preserve"> comparativ cu anul 2019</w:t>
      </w:r>
      <w:r w:rsidR="00E145A0">
        <w:rPr>
          <w:rFonts w:asciiTheme="majorHAnsi" w:eastAsia="Times New Roman" w:hAnsiTheme="majorHAnsi" w:cs="Arial"/>
          <w:sz w:val="24"/>
          <w:szCs w:val="24"/>
          <w:lang w:val="ro-RO" w:eastAsia="ro-RO"/>
        </w:rPr>
        <w:t>,</w:t>
      </w:r>
      <w:r w:rsidRPr="00F55BA6">
        <w:rPr>
          <w:rFonts w:asciiTheme="majorHAnsi" w:eastAsia="Times New Roman" w:hAnsiTheme="majorHAnsi" w:cs="Arial"/>
          <w:sz w:val="24"/>
          <w:szCs w:val="24"/>
          <w:lang w:val="ro-RO" w:eastAsia="ro-RO"/>
        </w:rPr>
        <w:t xml:space="preserve"> veniturile din accizele la mărfurile produse pe teritoriul RM</w:t>
      </w:r>
      <w:r w:rsidR="00E145A0">
        <w:rPr>
          <w:rFonts w:asciiTheme="majorHAnsi" w:eastAsia="Times New Roman" w:hAnsiTheme="majorHAnsi" w:cs="Arial"/>
          <w:sz w:val="24"/>
          <w:szCs w:val="24"/>
          <w:lang w:val="ro-RO" w:eastAsia="ro-RO"/>
        </w:rPr>
        <w:t>,</w:t>
      </w:r>
      <w:r w:rsidRPr="00F55BA6">
        <w:rPr>
          <w:rFonts w:asciiTheme="majorHAnsi" w:eastAsia="Times New Roman" w:hAnsiTheme="majorHAnsi" w:cs="Arial"/>
          <w:sz w:val="24"/>
          <w:szCs w:val="24"/>
          <w:lang w:val="ro-RO" w:eastAsia="ro-RO"/>
        </w:rPr>
        <w:t xml:space="preserve"> din cauza diminuării volumului de realizare a produselor alcoolice, vinuri și bere în </w:t>
      </w:r>
      <w:r w:rsidR="00E145A0">
        <w:rPr>
          <w:rFonts w:asciiTheme="majorHAnsi" w:eastAsia="Times New Roman" w:hAnsiTheme="majorHAnsi" w:cs="Arial"/>
          <w:sz w:val="24"/>
          <w:szCs w:val="24"/>
          <w:lang w:val="ro-RO" w:eastAsia="ro-RO"/>
        </w:rPr>
        <w:t>urma</w:t>
      </w:r>
      <w:r w:rsidRPr="00F55BA6">
        <w:rPr>
          <w:rFonts w:asciiTheme="majorHAnsi" w:eastAsia="Times New Roman" w:hAnsiTheme="majorHAnsi" w:cs="Arial"/>
          <w:sz w:val="24"/>
          <w:szCs w:val="24"/>
          <w:lang w:val="ro-RO" w:eastAsia="ro-RO"/>
        </w:rPr>
        <w:t xml:space="preserve"> aplicării măsurilor de protecție și de prevenire a răspândirii COVID-19, precum și de sista</w:t>
      </w:r>
      <w:r w:rsidR="008B06C9" w:rsidRPr="00F55BA6">
        <w:rPr>
          <w:rFonts w:asciiTheme="majorHAnsi" w:eastAsia="Times New Roman" w:hAnsiTheme="majorHAnsi" w:cs="Arial"/>
          <w:sz w:val="24"/>
          <w:szCs w:val="24"/>
          <w:lang w:val="ro-RO" w:eastAsia="ro-RO"/>
        </w:rPr>
        <w:t>rea activităților în domeniul HORECA</w:t>
      </w:r>
      <w:r w:rsidRPr="00F55BA6">
        <w:rPr>
          <w:rFonts w:asciiTheme="majorHAnsi" w:eastAsia="Times New Roman" w:hAnsiTheme="majorHAnsi" w:cs="Arial"/>
          <w:sz w:val="24"/>
          <w:szCs w:val="24"/>
          <w:lang w:val="ro-RO" w:eastAsia="ro-RO"/>
        </w:rPr>
        <w:t>.</w:t>
      </w:r>
      <w:r w:rsidR="008B06C9" w:rsidRPr="00F55BA6">
        <w:rPr>
          <w:rFonts w:asciiTheme="majorHAnsi" w:eastAsia="Times New Roman" w:hAnsiTheme="majorHAnsi" w:cs="Arial"/>
          <w:sz w:val="24"/>
          <w:szCs w:val="24"/>
          <w:lang w:val="ro-RO" w:eastAsia="ro-RO"/>
        </w:rPr>
        <w:t xml:space="preserve"> </w:t>
      </w:r>
    </w:p>
    <w:p w:rsidR="006E2E6A" w:rsidRPr="00F55BA6" w:rsidRDefault="006E2E6A" w:rsidP="006E2E6A">
      <w:pPr>
        <w:shd w:val="clear" w:color="auto" w:fill="FFFFFF"/>
        <w:spacing w:after="0" w:line="276" w:lineRule="auto"/>
        <w:rPr>
          <w:rFonts w:asciiTheme="majorHAnsi" w:hAnsiTheme="majorHAnsi"/>
          <w:sz w:val="24"/>
          <w:szCs w:val="24"/>
          <w:lang w:val="ro-RO"/>
        </w:rPr>
      </w:pPr>
      <w:r w:rsidRPr="00F55BA6">
        <w:rPr>
          <w:rFonts w:asciiTheme="majorHAnsi" w:hAnsiTheme="majorHAnsi"/>
          <w:i/>
          <w:sz w:val="24"/>
          <w:szCs w:val="24"/>
          <w:lang w:val="ro-RO"/>
        </w:rPr>
        <w:t>Restituirea accizelor</w:t>
      </w:r>
      <w:r w:rsidRPr="00F55BA6">
        <w:rPr>
          <w:rFonts w:asciiTheme="majorHAnsi" w:hAnsiTheme="majorHAnsi"/>
          <w:sz w:val="24"/>
          <w:szCs w:val="24"/>
          <w:lang w:val="ro-RO"/>
        </w:rPr>
        <w:t xml:space="preserve"> în anul 2020 a constituit 11,9 mil.lei (92,1%), cu 1,0 mil.lei mai puțin decât limita precizată</w:t>
      </w:r>
      <w:r w:rsidR="00E145A0">
        <w:rPr>
          <w:rFonts w:asciiTheme="majorHAnsi" w:hAnsiTheme="majorHAnsi"/>
          <w:sz w:val="24"/>
          <w:szCs w:val="24"/>
          <w:lang w:val="ro-RO"/>
        </w:rPr>
        <w:t>,</w:t>
      </w:r>
      <w:r w:rsidRPr="00F55BA6">
        <w:rPr>
          <w:rFonts w:asciiTheme="majorHAnsi" w:hAnsiTheme="majorHAnsi"/>
          <w:sz w:val="24"/>
          <w:szCs w:val="24"/>
          <w:lang w:val="ro-RO"/>
        </w:rPr>
        <w:t xml:space="preserve"> și cu 13,0 mil.lei față de limita aprobată. Comparativ cu anul 2019</w:t>
      </w:r>
      <w:r w:rsidR="00E145A0">
        <w:rPr>
          <w:rFonts w:asciiTheme="majorHAnsi" w:hAnsiTheme="majorHAnsi"/>
          <w:sz w:val="24"/>
          <w:szCs w:val="24"/>
          <w:lang w:val="ro-RO"/>
        </w:rPr>
        <w:t>,</w:t>
      </w:r>
      <w:r w:rsidRPr="00F55BA6">
        <w:rPr>
          <w:rFonts w:asciiTheme="majorHAnsi" w:hAnsiTheme="majorHAnsi"/>
          <w:sz w:val="24"/>
          <w:szCs w:val="24"/>
          <w:lang w:val="ro-RO"/>
        </w:rPr>
        <w:t xml:space="preserve"> restituirea accizelor înregistrează o descreștere cu 14,2 mil. lei</w:t>
      </w:r>
      <w:r w:rsidR="00E145A0">
        <w:rPr>
          <w:rFonts w:asciiTheme="majorHAnsi" w:hAnsiTheme="majorHAnsi"/>
          <w:sz w:val="24"/>
          <w:szCs w:val="24"/>
          <w:lang w:val="ro-RO"/>
        </w:rPr>
        <w:t>,</w:t>
      </w:r>
      <w:r w:rsidRPr="00F55BA6">
        <w:rPr>
          <w:rFonts w:asciiTheme="majorHAnsi" w:hAnsiTheme="majorHAnsi"/>
          <w:sz w:val="24"/>
          <w:szCs w:val="24"/>
          <w:lang w:val="ro-RO"/>
        </w:rPr>
        <w:t xml:space="preserve"> sau </w:t>
      </w:r>
      <w:r w:rsidR="00E145A0">
        <w:rPr>
          <w:rFonts w:asciiTheme="majorHAnsi" w:hAnsiTheme="majorHAnsi"/>
          <w:sz w:val="24"/>
          <w:szCs w:val="24"/>
          <w:lang w:val="ro-RO"/>
        </w:rPr>
        <w:t xml:space="preserve">cu </w:t>
      </w:r>
      <w:r w:rsidRPr="00F55BA6">
        <w:rPr>
          <w:rFonts w:asciiTheme="majorHAnsi" w:hAnsiTheme="majorHAnsi"/>
          <w:sz w:val="24"/>
          <w:szCs w:val="24"/>
          <w:lang w:val="ro-RO"/>
        </w:rPr>
        <w:t>54,4%.</w:t>
      </w:r>
    </w:p>
    <w:p w:rsidR="006E2E6A" w:rsidRPr="00F55BA6" w:rsidRDefault="006E2E6A" w:rsidP="006E2E6A">
      <w:pPr>
        <w:shd w:val="clear" w:color="auto" w:fill="FFFFFF"/>
        <w:spacing w:after="0" w:line="276" w:lineRule="auto"/>
        <w:rPr>
          <w:rFonts w:asciiTheme="majorHAnsi" w:hAnsiTheme="majorHAnsi"/>
          <w:sz w:val="24"/>
          <w:szCs w:val="24"/>
          <w:lang w:val="ro-RO"/>
        </w:rPr>
      </w:pPr>
      <w:r w:rsidRPr="00F55BA6">
        <w:rPr>
          <w:rFonts w:asciiTheme="majorHAnsi" w:hAnsiTheme="majorHAnsi"/>
          <w:sz w:val="24"/>
          <w:szCs w:val="24"/>
          <w:lang w:val="ro-RO"/>
        </w:rPr>
        <w:t>Totodată, au fost operate și alte modificări ale legislației</w:t>
      </w:r>
      <w:r w:rsidR="00E145A0">
        <w:rPr>
          <w:rFonts w:asciiTheme="majorHAnsi" w:hAnsiTheme="majorHAnsi"/>
          <w:sz w:val="24"/>
          <w:szCs w:val="24"/>
          <w:lang w:val="ro-RO"/>
        </w:rPr>
        <w:t>,</w:t>
      </w:r>
      <w:r w:rsidRPr="00F55BA6">
        <w:rPr>
          <w:rFonts w:asciiTheme="majorHAnsi" w:hAnsiTheme="majorHAnsi"/>
          <w:sz w:val="24"/>
          <w:szCs w:val="24"/>
          <w:lang w:val="ro-RO"/>
        </w:rPr>
        <w:t xml:space="preserve"> care au avut impact asupra consolidării BS, acestea s</w:t>
      </w:r>
      <w:r w:rsidR="004946B2">
        <w:rPr>
          <w:rFonts w:asciiTheme="majorHAnsi" w:hAnsiTheme="majorHAnsi"/>
          <w:sz w:val="24"/>
          <w:szCs w:val="24"/>
          <w:lang w:val="ro-RO"/>
        </w:rPr>
        <w:t>u</w:t>
      </w:r>
      <w:r w:rsidRPr="00F55BA6">
        <w:rPr>
          <w:rFonts w:asciiTheme="majorHAnsi" w:hAnsiTheme="majorHAnsi"/>
          <w:sz w:val="24"/>
          <w:szCs w:val="24"/>
          <w:lang w:val="ro-RO"/>
        </w:rPr>
        <w:t xml:space="preserve">nt: </w:t>
      </w:r>
      <w:r w:rsidRPr="00F55BA6">
        <w:rPr>
          <w:rFonts w:asciiTheme="majorHAnsi" w:hAnsiTheme="majorHAnsi"/>
          <w:i/>
          <w:sz w:val="24"/>
          <w:szCs w:val="24"/>
          <w:lang w:val="ro-RO"/>
        </w:rPr>
        <w:t xml:space="preserve">(i) </w:t>
      </w:r>
      <w:r w:rsidRPr="00F55BA6">
        <w:rPr>
          <w:rFonts w:asciiTheme="majorHAnsi" w:hAnsiTheme="majorHAnsi"/>
          <w:sz w:val="24"/>
          <w:szCs w:val="24"/>
          <w:lang w:val="ro-RO"/>
        </w:rPr>
        <w:t>introducerea taxei de portabilitate a numerelor – 12,4 mil. lei</w:t>
      </w:r>
      <w:r w:rsidR="004946B2">
        <w:rPr>
          <w:rFonts w:asciiTheme="majorHAnsi" w:hAnsiTheme="majorHAnsi"/>
          <w:sz w:val="24"/>
          <w:szCs w:val="24"/>
          <w:lang w:val="ro-RO"/>
        </w:rPr>
        <w:t>,</w:t>
      </w:r>
      <w:r w:rsidRPr="00F55BA6">
        <w:rPr>
          <w:rFonts w:asciiTheme="majorHAnsi" w:hAnsiTheme="majorHAnsi"/>
          <w:sz w:val="24"/>
          <w:szCs w:val="24"/>
          <w:lang w:val="ro-RO"/>
        </w:rPr>
        <w:t xml:space="preserve"> și taxei aeroportuare – 9,7 mil. lei; </w:t>
      </w:r>
      <w:r w:rsidRPr="00F55BA6">
        <w:rPr>
          <w:rFonts w:asciiTheme="majorHAnsi" w:hAnsiTheme="majorHAnsi"/>
          <w:i/>
          <w:sz w:val="24"/>
          <w:szCs w:val="24"/>
          <w:lang w:val="ro-RO"/>
        </w:rPr>
        <w:t>(ii)</w:t>
      </w:r>
      <w:r w:rsidRPr="00F55BA6">
        <w:rPr>
          <w:rFonts w:asciiTheme="majorHAnsi" w:hAnsiTheme="majorHAnsi"/>
          <w:sz w:val="24"/>
          <w:szCs w:val="24"/>
          <w:lang w:val="ro-RO"/>
        </w:rPr>
        <w:t xml:space="preserve"> </w:t>
      </w:r>
      <w:r w:rsidRPr="00F55BA6">
        <w:rPr>
          <w:rFonts w:asciiTheme="majorHAnsi" w:eastAsia="Times New Roman" w:hAnsiTheme="majorHAnsi" w:cstheme="majorHAnsi"/>
          <w:color w:val="000000" w:themeColor="text1"/>
          <w:sz w:val="24"/>
          <w:szCs w:val="24"/>
          <w:lang w:val="ro-RO" w:eastAsia="ro-RO"/>
        </w:rPr>
        <w:t xml:space="preserve">modificarea </w:t>
      </w:r>
      <w:r w:rsidRPr="00F55BA6">
        <w:rPr>
          <w:rFonts w:asciiTheme="majorHAnsi" w:eastAsia="Times New Roman" w:hAnsiTheme="majorHAnsi" w:cstheme="majorHAnsi"/>
          <w:sz w:val="24"/>
          <w:szCs w:val="24"/>
          <w:lang w:val="ro-RO"/>
        </w:rPr>
        <w:t>art.20 alin.(5) din Legea 548</w:t>
      </w:r>
      <w:r w:rsidRPr="00F55BA6">
        <w:rPr>
          <w:rFonts w:asciiTheme="majorHAnsi" w:hAnsiTheme="majorHAnsi" w:cstheme="majorHAnsi"/>
          <w:sz w:val="24"/>
          <w:szCs w:val="24"/>
          <w:lang w:val="ro-RO"/>
        </w:rPr>
        <w:t>-XIII din 21.07.1995</w:t>
      </w:r>
      <w:r w:rsidRPr="00F55BA6">
        <w:rPr>
          <w:rFonts w:asciiTheme="majorHAnsi" w:hAnsiTheme="majorHAnsi" w:cstheme="majorHAnsi"/>
          <w:sz w:val="24"/>
          <w:szCs w:val="24"/>
          <w:vertAlign w:val="superscript"/>
          <w:lang w:val="ro-RO"/>
        </w:rPr>
        <w:footnoteReference w:id="93"/>
      </w:r>
      <w:r w:rsidRPr="00F55BA6">
        <w:rPr>
          <w:rFonts w:asciiTheme="majorHAnsi" w:hAnsiTheme="majorHAnsi" w:cstheme="majorHAnsi"/>
          <w:sz w:val="24"/>
          <w:szCs w:val="24"/>
          <w:lang w:val="ro-RO"/>
        </w:rPr>
        <w:t xml:space="preserve">, </w:t>
      </w:r>
      <w:r w:rsidR="004946B2">
        <w:rPr>
          <w:rFonts w:asciiTheme="majorHAnsi" w:hAnsiTheme="majorHAnsi" w:cstheme="majorHAnsi"/>
          <w:sz w:val="24"/>
          <w:szCs w:val="24"/>
          <w:lang w:val="ro-RO"/>
        </w:rPr>
        <w:t xml:space="preserve">prin care </w:t>
      </w:r>
      <w:r w:rsidRPr="00F55BA6">
        <w:rPr>
          <w:rFonts w:asciiTheme="majorHAnsi" w:hAnsiTheme="majorHAnsi" w:cstheme="majorHAnsi"/>
          <w:sz w:val="24"/>
          <w:szCs w:val="24"/>
          <w:lang w:val="ro-RO"/>
        </w:rPr>
        <w:t xml:space="preserve">BNM a transferat </w:t>
      </w:r>
      <w:r w:rsidRPr="00F55BA6">
        <w:rPr>
          <w:rFonts w:asciiTheme="majorHAnsi" w:eastAsia="Times New Roman" w:hAnsiTheme="majorHAnsi" w:cstheme="majorHAnsi"/>
          <w:color w:val="333333"/>
          <w:sz w:val="24"/>
          <w:szCs w:val="24"/>
          <w:lang w:val="ro-RO" w:eastAsia="ro-RO"/>
        </w:rPr>
        <w:t xml:space="preserve">profitul disponibil pentru distribuire la venitul BS </w:t>
      </w:r>
      <w:r w:rsidRPr="00F55BA6">
        <w:rPr>
          <w:rFonts w:asciiTheme="majorHAnsi" w:eastAsia="Times New Roman" w:hAnsiTheme="majorHAnsi" w:cstheme="majorHAnsi"/>
          <w:sz w:val="24"/>
          <w:szCs w:val="24"/>
          <w:lang w:val="ro-RO"/>
        </w:rPr>
        <w:t xml:space="preserve">în sumă de 218,4 mil. lei; </w:t>
      </w:r>
      <w:r w:rsidRPr="00F55BA6">
        <w:rPr>
          <w:rFonts w:asciiTheme="majorHAnsi" w:eastAsia="Times New Roman" w:hAnsiTheme="majorHAnsi" w:cstheme="majorHAnsi"/>
          <w:i/>
          <w:sz w:val="24"/>
          <w:szCs w:val="24"/>
          <w:lang w:val="ro-RO"/>
        </w:rPr>
        <w:t>(iii)</w:t>
      </w:r>
      <w:r w:rsidRPr="00F55BA6">
        <w:rPr>
          <w:rFonts w:asciiTheme="majorHAnsi" w:eastAsia="Times New Roman" w:hAnsiTheme="majorHAnsi" w:cstheme="majorHAnsi"/>
          <w:sz w:val="24"/>
          <w:szCs w:val="24"/>
          <w:lang w:val="ro-RO"/>
        </w:rPr>
        <w:t xml:space="preserve"> </w:t>
      </w:r>
      <w:r w:rsidRPr="00F55BA6">
        <w:rPr>
          <w:rFonts w:asciiTheme="majorHAnsi" w:hAnsiTheme="majorHAnsi"/>
          <w:sz w:val="24"/>
          <w:szCs w:val="24"/>
          <w:lang w:val="ro-RO"/>
        </w:rPr>
        <w:t>creșterea veniturilor de la plățile pentru poluarea mediului cu 9,0 mil.lei</w:t>
      </w:r>
      <w:r w:rsidR="004946B2">
        <w:rPr>
          <w:rFonts w:asciiTheme="majorHAnsi" w:hAnsiTheme="majorHAnsi"/>
          <w:sz w:val="24"/>
          <w:szCs w:val="24"/>
          <w:lang w:val="ro-RO"/>
        </w:rPr>
        <w:t>,</w:t>
      </w:r>
      <w:r w:rsidRPr="00F55BA6">
        <w:rPr>
          <w:rFonts w:asciiTheme="majorHAnsi" w:hAnsiTheme="majorHAnsi"/>
          <w:sz w:val="24"/>
          <w:szCs w:val="24"/>
          <w:lang w:val="ro-RO"/>
        </w:rPr>
        <w:t xml:space="preserve"> sau cu 3,0% față de prevederile anuale </w:t>
      </w:r>
      <w:r w:rsidR="004946B2">
        <w:rPr>
          <w:rFonts w:asciiTheme="majorHAnsi" w:hAnsiTheme="majorHAnsi"/>
          <w:sz w:val="24"/>
          <w:szCs w:val="24"/>
          <w:lang w:val="ro-RO"/>
        </w:rPr>
        <w:t xml:space="preserve">ca </w:t>
      </w:r>
      <w:r w:rsidRPr="00F55BA6">
        <w:rPr>
          <w:rFonts w:asciiTheme="majorHAnsi" w:hAnsiTheme="majorHAnsi"/>
          <w:sz w:val="24"/>
          <w:szCs w:val="24"/>
          <w:lang w:val="ro-RO"/>
        </w:rPr>
        <w:t xml:space="preserve">urmare </w:t>
      </w:r>
      <w:r w:rsidR="004946B2">
        <w:rPr>
          <w:rFonts w:asciiTheme="majorHAnsi" w:hAnsiTheme="majorHAnsi"/>
          <w:sz w:val="24"/>
          <w:szCs w:val="24"/>
          <w:lang w:val="ro-RO"/>
        </w:rPr>
        <w:t xml:space="preserve">a </w:t>
      </w:r>
      <w:r w:rsidRPr="00F55BA6">
        <w:rPr>
          <w:rFonts w:asciiTheme="majorHAnsi" w:hAnsiTheme="majorHAnsi"/>
          <w:sz w:val="24"/>
          <w:szCs w:val="24"/>
          <w:lang w:val="ro-RO"/>
        </w:rPr>
        <w:t xml:space="preserve">modificărilor operate în </w:t>
      </w:r>
      <w:r w:rsidRPr="00F55BA6">
        <w:rPr>
          <w:rFonts w:asciiTheme="majorHAnsi" w:hAnsiTheme="majorHAnsi" w:cstheme="majorHAnsi"/>
          <w:sz w:val="24"/>
          <w:szCs w:val="24"/>
          <w:lang w:val="ro-RO"/>
        </w:rPr>
        <w:t>Legea nr.1540/1998</w:t>
      </w:r>
      <w:r w:rsidRPr="00F55BA6">
        <w:rPr>
          <w:rStyle w:val="ac"/>
          <w:rFonts w:asciiTheme="majorHAnsi" w:hAnsiTheme="majorHAnsi" w:cstheme="majorHAnsi"/>
          <w:sz w:val="24"/>
          <w:szCs w:val="24"/>
          <w:lang w:val="ro-RO"/>
        </w:rPr>
        <w:footnoteReference w:id="94"/>
      </w:r>
      <w:r w:rsidRPr="00F55BA6">
        <w:rPr>
          <w:rFonts w:asciiTheme="majorHAnsi" w:hAnsiTheme="majorHAnsi" w:cstheme="majorHAnsi"/>
          <w:sz w:val="24"/>
          <w:szCs w:val="24"/>
          <w:lang w:val="ro-RO"/>
        </w:rPr>
        <w:t xml:space="preserve"> privind plata pentru poluarea mediului, prin majorarea cotelor aplicate asupra mărfurilor ce fac obiectul plăților pentru poluarea mediului etc.</w:t>
      </w:r>
    </w:p>
    <w:p w:rsidR="006E2E6A" w:rsidRPr="00F55BA6" w:rsidRDefault="00B6021F" w:rsidP="006E2E6A">
      <w:pPr>
        <w:pStyle w:val="af0"/>
        <w:shd w:val="clear" w:color="auto" w:fill="FFFFFF"/>
        <w:tabs>
          <w:tab w:val="left" w:pos="142"/>
        </w:tabs>
        <w:spacing w:after="0" w:line="276" w:lineRule="auto"/>
        <w:ind w:left="0"/>
        <w:rPr>
          <w:rFonts w:asciiTheme="majorHAnsi" w:hAnsiTheme="majorHAnsi" w:cstheme="majorHAnsi"/>
          <w:sz w:val="24"/>
          <w:szCs w:val="24"/>
          <w:lang w:val="ro-RO"/>
        </w:rPr>
      </w:pPr>
      <w:r w:rsidRPr="00F55BA6">
        <w:rPr>
          <w:rFonts w:asciiTheme="majorHAnsi" w:hAnsiTheme="majorHAnsi" w:cstheme="majorHAnsi"/>
          <w:sz w:val="24"/>
          <w:szCs w:val="24"/>
          <w:lang w:val="ro-RO"/>
        </w:rPr>
        <w:lastRenderedPageBreak/>
        <w:t>Î</w:t>
      </w:r>
      <w:r w:rsidR="006E2E6A" w:rsidRPr="00F55BA6">
        <w:rPr>
          <w:rFonts w:asciiTheme="majorHAnsi" w:hAnsiTheme="majorHAnsi" w:cstheme="majorHAnsi"/>
          <w:sz w:val="24"/>
          <w:szCs w:val="24"/>
          <w:lang w:val="ro-RO"/>
        </w:rPr>
        <w:t>n BS au fost încasate mijloace în sumă de 6,5 mil. lei din depășirea veniturilor asupra cheltuielilor de către autoritățile/instituțiile publice la autogestiune</w:t>
      </w:r>
      <w:r w:rsidR="004946B2">
        <w:rPr>
          <w:rFonts w:asciiTheme="majorHAnsi" w:hAnsiTheme="majorHAnsi" w:cstheme="majorHAnsi"/>
          <w:sz w:val="24"/>
          <w:szCs w:val="24"/>
          <w:lang w:val="ro-RO"/>
        </w:rPr>
        <w:t>,</w:t>
      </w:r>
      <w:r w:rsidR="006E2E6A" w:rsidRPr="00F55BA6">
        <w:rPr>
          <w:rFonts w:asciiTheme="majorHAnsi" w:hAnsiTheme="majorHAnsi" w:cstheme="majorHAnsi"/>
          <w:sz w:val="24"/>
          <w:szCs w:val="24"/>
          <w:lang w:val="ro-RO"/>
        </w:rPr>
        <w:t xml:space="preserve"> sau cu 6,3 mil. lei mai mult față de anul precedent. Totodată, din cota-parte a proprietății publice</w:t>
      </w:r>
      <w:r w:rsidR="00390A0F">
        <w:rPr>
          <w:rFonts w:asciiTheme="majorHAnsi" w:hAnsiTheme="majorHAnsi" w:cstheme="majorHAnsi"/>
          <w:sz w:val="24"/>
          <w:szCs w:val="24"/>
          <w:lang w:val="ro-RO"/>
        </w:rPr>
        <w:t>,</w:t>
      </w:r>
      <w:r w:rsidR="006E2E6A" w:rsidRPr="00F55BA6">
        <w:rPr>
          <w:rFonts w:asciiTheme="majorHAnsi" w:hAnsiTheme="majorHAnsi" w:cstheme="majorHAnsi"/>
          <w:sz w:val="24"/>
          <w:szCs w:val="24"/>
          <w:lang w:val="ro-RO"/>
        </w:rPr>
        <w:t xml:space="preserve"> </w:t>
      </w:r>
      <w:r w:rsidR="00390A0F" w:rsidRPr="00003F3E">
        <w:rPr>
          <w:rFonts w:asciiTheme="majorHAnsi" w:hAnsiTheme="majorHAnsi" w:cstheme="majorHAnsi"/>
          <w:sz w:val="24"/>
          <w:szCs w:val="24"/>
          <w:lang w:val="ro-RO"/>
        </w:rPr>
        <w:t>societățile pe acțiuni</w:t>
      </w:r>
      <w:r w:rsidR="00390A0F">
        <w:rPr>
          <w:rFonts w:asciiTheme="majorHAnsi" w:hAnsiTheme="majorHAnsi" w:cstheme="majorHAnsi"/>
          <w:sz w:val="24"/>
          <w:szCs w:val="24"/>
          <w:lang w:val="ro-RO"/>
        </w:rPr>
        <w:t xml:space="preserve"> </w:t>
      </w:r>
      <w:r w:rsidR="006E2E6A" w:rsidRPr="00F55BA6">
        <w:rPr>
          <w:rFonts w:asciiTheme="majorHAnsi" w:hAnsiTheme="majorHAnsi" w:cstheme="majorHAnsi"/>
          <w:sz w:val="24"/>
          <w:szCs w:val="24"/>
          <w:lang w:val="ro-RO"/>
        </w:rPr>
        <w:t>au transferat dividende în sumă totală de 104,5 mil. lei</w:t>
      </w:r>
      <w:r w:rsidR="00390A0F">
        <w:rPr>
          <w:rFonts w:asciiTheme="majorHAnsi" w:hAnsiTheme="majorHAnsi" w:cstheme="majorHAnsi"/>
          <w:sz w:val="24"/>
          <w:szCs w:val="24"/>
          <w:lang w:val="ro-RO"/>
        </w:rPr>
        <w:t>,</w:t>
      </w:r>
      <w:r w:rsidR="006E2E6A" w:rsidRPr="00F55BA6">
        <w:rPr>
          <w:rFonts w:asciiTheme="majorHAnsi" w:hAnsiTheme="majorHAnsi" w:cstheme="majorHAnsi"/>
          <w:sz w:val="24"/>
          <w:szCs w:val="24"/>
          <w:lang w:val="ro-RO"/>
        </w:rPr>
        <w:t xml:space="preserve"> iar întreprinderile de stat au transferat defalcări de la profitul net în sumă de 87,1 mil. lei.</w:t>
      </w:r>
    </w:p>
    <w:p w:rsidR="00AC6703" w:rsidRPr="003A12E6" w:rsidRDefault="00EA7373" w:rsidP="00AC6703">
      <w:pPr>
        <w:spacing w:after="0" w:line="276" w:lineRule="auto"/>
        <w:rPr>
          <w:rFonts w:asciiTheme="majorHAnsi" w:hAnsiTheme="majorHAnsi" w:cstheme="majorHAnsi"/>
          <w:b/>
          <w:sz w:val="24"/>
          <w:szCs w:val="24"/>
          <w:lang w:val="ro-RO"/>
        </w:rPr>
      </w:pPr>
      <w:r w:rsidRPr="00F55BA6">
        <w:rPr>
          <w:rFonts w:asciiTheme="majorHAnsi" w:hAnsiTheme="majorHAnsi" w:cstheme="majorHAnsi"/>
          <w:b/>
          <w:sz w:val="24"/>
          <w:szCs w:val="24"/>
          <w:lang w:val="ro-RO"/>
        </w:rPr>
        <w:t xml:space="preserve">7.2 </w:t>
      </w:r>
      <w:r w:rsidR="00AC6703" w:rsidRPr="00E4517B">
        <w:rPr>
          <w:rFonts w:asciiTheme="majorHAnsi" w:hAnsiTheme="majorHAnsi" w:cstheme="majorHAnsi"/>
          <w:b/>
          <w:sz w:val="24"/>
          <w:szCs w:val="24"/>
          <w:lang w:val="ro-RO"/>
        </w:rPr>
        <w:t>Cheltuielile de casă ale bugetului de stat în anul 2020</w:t>
      </w:r>
      <w:r w:rsidR="00AC6703" w:rsidRPr="00973E5B">
        <w:rPr>
          <w:rFonts w:asciiTheme="majorHAnsi" w:hAnsiTheme="majorHAnsi" w:cstheme="majorHAnsi"/>
          <w:b/>
          <w:sz w:val="24"/>
          <w:szCs w:val="24"/>
          <w:lang w:val="ro-RO"/>
        </w:rPr>
        <w:t xml:space="preserve"> au fos</w:t>
      </w:r>
      <w:r w:rsidR="00AC6703" w:rsidRPr="003A12E6">
        <w:rPr>
          <w:rFonts w:asciiTheme="majorHAnsi" w:hAnsiTheme="majorHAnsi" w:cstheme="majorHAnsi"/>
          <w:b/>
          <w:sz w:val="24"/>
          <w:szCs w:val="24"/>
          <w:lang w:val="ro-RO"/>
        </w:rPr>
        <w:t>t executate sub nivelul precizat, nefiind valorificate 6,8%, programele de cheltuieli fiind revizuite reieșind din mersul executării și identificarea resurselor suplimentare pentru cheltuieli stringente</w:t>
      </w:r>
      <w:r w:rsidR="00576621">
        <w:rPr>
          <w:rFonts w:asciiTheme="majorHAnsi" w:hAnsiTheme="majorHAnsi" w:cstheme="majorHAnsi"/>
          <w:b/>
          <w:sz w:val="24"/>
          <w:szCs w:val="24"/>
          <w:lang w:val="ro-RO"/>
        </w:rPr>
        <w:t>.</w:t>
      </w:r>
    </w:p>
    <w:p w:rsidR="00AC6703" w:rsidRPr="00F55BA6" w:rsidRDefault="00AC6703" w:rsidP="001D1C4D">
      <w:pPr>
        <w:spacing w:after="0" w:line="276" w:lineRule="auto"/>
        <w:rPr>
          <w:rFonts w:asciiTheme="majorHAnsi" w:eastAsia="Times New Roman" w:hAnsiTheme="majorHAnsi" w:cstheme="majorHAnsi"/>
          <w:color w:val="000000" w:themeColor="text1"/>
          <w:sz w:val="24"/>
          <w:szCs w:val="24"/>
          <w:lang w:val="ro-RO"/>
        </w:rPr>
      </w:pPr>
      <w:r w:rsidRPr="009131CF">
        <w:rPr>
          <w:rFonts w:asciiTheme="majorHAnsi" w:hAnsiTheme="majorHAnsi" w:cstheme="majorHAnsi"/>
          <w:sz w:val="24"/>
          <w:szCs w:val="24"/>
          <w:lang w:val="ro-RO"/>
        </w:rPr>
        <w:t>Cheltuielile de casă</w:t>
      </w:r>
      <w:r w:rsidRPr="00E4517B">
        <w:rPr>
          <w:rFonts w:asciiTheme="majorHAnsi" w:hAnsiTheme="majorHAnsi" w:cstheme="majorHAnsi"/>
          <w:sz w:val="24"/>
          <w:szCs w:val="24"/>
          <w:vertAlign w:val="superscript"/>
          <w:lang w:val="ro-RO"/>
        </w:rPr>
        <w:footnoteReference w:id="95"/>
      </w:r>
      <w:r w:rsidRPr="00E4517B">
        <w:rPr>
          <w:rFonts w:asciiTheme="majorHAnsi" w:hAnsiTheme="majorHAnsi" w:cstheme="majorHAnsi"/>
          <w:sz w:val="24"/>
          <w:szCs w:val="24"/>
          <w:lang w:val="ro-RO"/>
        </w:rPr>
        <w:t xml:space="preserve"> au fost executate la un nivel d</w:t>
      </w:r>
      <w:r w:rsidRPr="00973E5B">
        <w:rPr>
          <w:rFonts w:asciiTheme="majorHAnsi" w:hAnsiTheme="majorHAnsi" w:cstheme="majorHAnsi"/>
          <w:sz w:val="24"/>
          <w:szCs w:val="24"/>
          <w:lang w:val="ro-RO"/>
        </w:rPr>
        <w:t xml:space="preserve">e 93,2%, sau în sumă de 49 635,4 mil. lei, fiind înregistrat un sold de alocații nevalorificate în </w:t>
      </w:r>
      <w:r w:rsidR="005F2C5F" w:rsidRPr="003A12E6">
        <w:rPr>
          <w:rFonts w:asciiTheme="majorHAnsi" w:hAnsiTheme="majorHAnsi" w:cstheme="majorHAnsi"/>
          <w:sz w:val="24"/>
          <w:szCs w:val="24"/>
          <w:lang w:val="ro-RO"/>
        </w:rPr>
        <w:t>sumă</w:t>
      </w:r>
      <w:r w:rsidRPr="003A12E6">
        <w:rPr>
          <w:rFonts w:asciiTheme="majorHAnsi" w:hAnsiTheme="majorHAnsi" w:cstheme="majorHAnsi"/>
          <w:sz w:val="24"/>
          <w:szCs w:val="24"/>
          <w:lang w:val="ro-RO"/>
        </w:rPr>
        <w:t xml:space="preserve"> de 3 645,2 mil. lei, sau 6,8% din totalul cheltuielilor precizate.</w:t>
      </w:r>
      <w:r w:rsidRPr="00F55BA6">
        <w:rPr>
          <w:rFonts w:cs="Times New Roman"/>
          <w:b/>
          <w:sz w:val="24"/>
          <w:szCs w:val="24"/>
          <w:lang w:val="ro-RO"/>
        </w:rPr>
        <w:t xml:space="preserve"> </w:t>
      </w:r>
      <w:r w:rsidRPr="00E4517B">
        <w:rPr>
          <w:rFonts w:asciiTheme="majorHAnsi" w:hAnsiTheme="majorHAnsi" w:cstheme="majorHAnsi"/>
          <w:sz w:val="24"/>
          <w:szCs w:val="24"/>
          <w:lang w:val="ro-RO"/>
        </w:rPr>
        <w:t xml:space="preserve">Se înregistrează o creștere de </w:t>
      </w:r>
      <w:r w:rsidRPr="00973E5B">
        <w:rPr>
          <w:rFonts w:asciiTheme="majorHAnsi" w:hAnsiTheme="majorHAnsi" w:cstheme="majorHAnsi"/>
          <w:sz w:val="24"/>
          <w:szCs w:val="24"/>
          <w:lang w:val="ro-RO"/>
        </w:rPr>
        <w:t xml:space="preserve">6 561,5 mil. lei (15,2%) față de cheltuielile de casă </w:t>
      </w:r>
      <w:r w:rsidRPr="009131CF">
        <w:rPr>
          <w:rFonts w:asciiTheme="majorHAnsi" w:hAnsiTheme="majorHAnsi" w:cstheme="majorHAnsi"/>
          <w:sz w:val="24"/>
          <w:szCs w:val="24"/>
          <w:lang w:val="ro-RO"/>
        </w:rPr>
        <w:t xml:space="preserve">executate în anul 2019 și o creștere semnificativă de 10 927,1 mil. lei (28,2%) față de cheltuielile de casă executate în anul 2018. </w:t>
      </w:r>
      <w:r w:rsidRPr="00F55BA6">
        <w:rPr>
          <w:rFonts w:asciiTheme="majorHAnsi" w:hAnsiTheme="majorHAnsi" w:cstheme="majorHAnsi"/>
          <w:i/>
          <w:sz w:val="24"/>
          <w:szCs w:val="24"/>
          <w:lang w:val="ro-RO"/>
        </w:rPr>
        <w:t>Informația privind finanțarea cheltuielilor din BS pe parcursul anilor 2018-2020</w:t>
      </w:r>
      <w:r w:rsidR="00F53D96" w:rsidRPr="00F55BA6">
        <w:rPr>
          <w:rFonts w:asciiTheme="majorHAnsi" w:hAnsiTheme="majorHAnsi" w:cstheme="majorHAnsi"/>
          <w:i/>
          <w:sz w:val="24"/>
          <w:szCs w:val="24"/>
          <w:lang w:val="ro-RO"/>
        </w:rPr>
        <w:t xml:space="preserve"> se prezintă în Diagrama nr.1</w:t>
      </w:r>
      <w:r w:rsidRPr="00F55BA6">
        <w:rPr>
          <w:rFonts w:asciiTheme="majorHAnsi" w:hAnsiTheme="majorHAnsi" w:cstheme="majorHAnsi"/>
          <w:i/>
          <w:sz w:val="24"/>
          <w:szCs w:val="24"/>
          <w:lang w:val="ro-RO"/>
        </w:rPr>
        <w:t>.</w:t>
      </w:r>
    </w:p>
    <w:p w:rsidR="00AC6703" w:rsidRPr="00973E5B" w:rsidRDefault="00F53D96" w:rsidP="001D1C4D">
      <w:pPr>
        <w:spacing w:after="0" w:line="276" w:lineRule="auto"/>
        <w:jc w:val="right"/>
        <w:rPr>
          <w:rFonts w:asciiTheme="majorHAnsi" w:hAnsiTheme="majorHAnsi" w:cstheme="majorHAnsi"/>
          <w:b/>
          <w:i/>
          <w:sz w:val="24"/>
          <w:szCs w:val="24"/>
          <w:lang w:val="ro-RO"/>
        </w:rPr>
      </w:pPr>
      <w:r w:rsidRPr="00E4517B">
        <w:rPr>
          <w:rFonts w:asciiTheme="majorHAnsi" w:hAnsiTheme="majorHAnsi" w:cstheme="majorHAnsi"/>
          <w:i/>
          <w:sz w:val="24"/>
          <w:szCs w:val="24"/>
          <w:lang w:val="ro-RO"/>
        </w:rPr>
        <w:t>Diagrama nr.1</w:t>
      </w:r>
    </w:p>
    <w:p w:rsidR="00AC6703" w:rsidRPr="00F55BA6" w:rsidRDefault="00AC6703" w:rsidP="00AC6703">
      <w:pPr>
        <w:spacing w:after="0"/>
        <w:jc w:val="center"/>
        <w:rPr>
          <w:rFonts w:asciiTheme="majorHAnsi" w:hAnsiTheme="majorHAnsi" w:cstheme="majorHAnsi"/>
          <w:b/>
          <w:sz w:val="24"/>
          <w:szCs w:val="24"/>
          <w:lang w:val="ro-RO"/>
        </w:rPr>
      </w:pPr>
      <w:r w:rsidRPr="00F55BA6">
        <w:rPr>
          <w:rFonts w:asciiTheme="majorHAnsi" w:hAnsiTheme="majorHAnsi" w:cstheme="majorHAnsi"/>
          <w:b/>
          <w:sz w:val="24"/>
          <w:szCs w:val="24"/>
          <w:lang w:val="ro-RO"/>
        </w:rPr>
        <w:t>Finanțarea cheltuielilor din BS pe parcursul anilor 2018-2020</w:t>
      </w:r>
    </w:p>
    <w:p w:rsidR="00AC6703" w:rsidRPr="00F55BA6" w:rsidRDefault="00AC6703" w:rsidP="00AC6703">
      <w:pPr>
        <w:spacing w:after="0"/>
        <w:ind w:right="899"/>
        <w:jc w:val="right"/>
        <w:rPr>
          <w:rFonts w:asciiTheme="majorHAnsi" w:hAnsiTheme="majorHAnsi" w:cstheme="majorHAnsi"/>
          <w:b/>
          <w:sz w:val="24"/>
          <w:szCs w:val="24"/>
          <w:lang w:val="ro-RO"/>
        </w:rPr>
      </w:pPr>
      <w:r w:rsidRPr="00F55BA6">
        <w:rPr>
          <w:rFonts w:asciiTheme="majorHAnsi" w:hAnsiTheme="majorHAnsi" w:cstheme="majorHAnsi"/>
          <w:b/>
          <w:sz w:val="24"/>
          <w:szCs w:val="24"/>
          <w:lang w:val="ro-RO"/>
        </w:rPr>
        <w:t>(mil. lei)</w:t>
      </w:r>
    </w:p>
    <w:p w:rsidR="00AC6703" w:rsidRPr="00F55BA6" w:rsidRDefault="00AC6703" w:rsidP="00AC6703">
      <w:pPr>
        <w:spacing w:after="0" w:line="276" w:lineRule="auto"/>
        <w:jc w:val="center"/>
        <w:rPr>
          <w:rFonts w:asciiTheme="majorHAnsi" w:hAnsiTheme="majorHAnsi" w:cstheme="majorHAnsi"/>
          <w:color w:val="000000" w:themeColor="text1"/>
          <w:sz w:val="24"/>
          <w:szCs w:val="24"/>
          <w:lang w:val="ro-RO"/>
        </w:rPr>
      </w:pPr>
      <w:r w:rsidRPr="004946B2">
        <w:rPr>
          <w:rFonts w:asciiTheme="minorHAnsi" w:hAnsiTheme="minorHAnsi"/>
          <w:noProof/>
          <w:sz w:val="22"/>
          <w:lang w:val="ru-RU" w:eastAsia="ru-RU"/>
        </w:rPr>
        <w:drawing>
          <wp:inline distT="0" distB="0" distL="0" distR="0" wp14:anchorId="48AAFEB7" wp14:editId="62FA8114">
            <wp:extent cx="5013960" cy="1912620"/>
            <wp:effectExtent l="76200" t="76200" r="72390" b="68580"/>
            <wp:docPr id="1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C6703" w:rsidRPr="00973E5B" w:rsidRDefault="00AC6703" w:rsidP="00AC6703">
      <w:pPr>
        <w:spacing w:after="0" w:line="276" w:lineRule="auto"/>
        <w:ind w:firstLine="851"/>
        <w:jc w:val="left"/>
        <w:rPr>
          <w:rFonts w:asciiTheme="majorHAnsi" w:hAnsiTheme="majorHAnsi" w:cstheme="majorHAnsi"/>
          <w:i/>
          <w:sz w:val="20"/>
          <w:szCs w:val="20"/>
          <w:lang w:val="ro-RO"/>
        </w:rPr>
      </w:pPr>
      <w:r w:rsidRPr="00F55BA6">
        <w:rPr>
          <w:rFonts w:asciiTheme="majorHAnsi" w:hAnsiTheme="majorHAnsi" w:cstheme="majorHAnsi"/>
          <w:b/>
          <w:i/>
          <w:color w:val="000000" w:themeColor="text1"/>
          <w:sz w:val="20"/>
          <w:szCs w:val="20"/>
          <w:lang w:val="ro-RO"/>
        </w:rPr>
        <w:t>Sursă:</w:t>
      </w:r>
      <w:r w:rsidRPr="00F55BA6">
        <w:rPr>
          <w:rFonts w:asciiTheme="majorHAnsi" w:hAnsiTheme="majorHAnsi" w:cstheme="majorHAnsi"/>
          <w:color w:val="000000" w:themeColor="text1"/>
          <w:sz w:val="20"/>
          <w:szCs w:val="20"/>
          <w:lang w:val="ro-RO"/>
        </w:rPr>
        <w:t xml:space="preserve"> </w:t>
      </w:r>
      <w:r w:rsidRPr="00E4517B">
        <w:rPr>
          <w:rFonts w:asciiTheme="majorHAnsi" w:hAnsiTheme="majorHAnsi" w:cstheme="majorHAnsi"/>
          <w:i/>
          <w:sz w:val="20"/>
          <w:szCs w:val="20"/>
          <w:lang w:val="ro-RO"/>
        </w:rPr>
        <w:t>Raportul privind executarea bugetului de stat pe anul 2020</w:t>
      </w:r>
      <w:r w:rsidRPr="00973E5B">
        <w:rPr>
          <w:rFonts w:asciiTheme="majorHAnsi" w:hAnsiTheme="majorHAnsi" w:cstheme="majorHAnsi"/>
          <w:i/>
          <w:sz w:val="20"/>
          <w:szCs w:val="20"/>
          <w:lang w:val="ro-RO"/>
        </w:rPr>
        <w:t>.</w:t>
      </w:r>
    </w:p>
    <w:p w:rsidR="00AC6703" w:rsidRPr="00F55BA6" w:rsidRDefault="00AC6703" w:rsidP="00AC6703">
      <w:pPr>
        <w:spacing w:after="0"/>
        <w:rPr>
          <w:rFonts w:asciiTheme="majorHAnsi" w:eastAsia="Times New Roman" w:hAnsiTheme="majorHAnsi" w:cstheme="majorHAnsi"/>
          <w:color w:val="000000" w:themeColor="text1"/>
          <w:sz w:val="24"/>
          <w:szCs w:val="24"/>
          <w:lang w:val="ro-RO"/>
        </w:rPr>
      </w:pPr>
    </w:p>
    <w:p w:rsidR="002F25C9" w:rsidRDefault="00AC6703" w:rsidP="00AC6703">
      <w:pPr>
        <w:spacing w:after="0" w:line="276" w:lineRule="auto"/>
        <w:rPr>
          <w:rFonts w:asciiTheme="majorHAnsi" w:eastAsiaTheme="minorEastAsia" w:hAnsiTheme="majorHAnsi" w:cstheme="majorHAnsi"/>
          <w:bCs/>
          <w:iCs/>
          <w:sz w:val="24"/>
          <w:szCs w:val="24"/>
          <w:lang w:val="ro-RO" w:eastAsia="ru-RU"/>
        </w:rPr>
      </w:pPr>
      <w:r w:rsidRPr="00E4517B">
        <w:rPr>
          <w:rFonts w:asciiTheme="majorHAnsi" w:hAnsiTheme="majorHAnsi" w:cstheme="majorHAnsi"/>
          <w:sz w:val="24"/>
          <w:szCs w:val="24"/>
          <w:lang w:val="ro-RO"/>
        </w:rPr>
        <w:t>Pe parcursul anului 2020, programele de cheltuieli au fost revizuite reieșind din mersul executării și capacită</w:t>
      </w:r>
      <w:r w:rsidRPr="00973E5B">
        <w:rPr>
          <w:rFonts w:asciiTheme="majorHAnsi" w:hAnsiTheme="majorHAnsi" w:cstheme="majorHAnsi"/>
          <w:sz w:val="24"/>
          <w:szCs w:val="24"/>
          <w:lang w:val="ro-RO"/>
        </w:rPr>
        <w:t>ț</w:t>
      </w:r>
      <w:r w:rsidRPr="003A12E6">
        <w:rPr>
          <w:rFonts w:asciiTheme="majorHAnsi" w:hAnsiTheme="majorHAnsi" w:cstheme="majorHAnsi"/>
          <w:sz w:val="24"/>
          <w:szCs w:val="24"/>
          <w:lang w:val="ro-RO"/>
        </w:rPr>
        <w:t>ile de valorificare a alocațiilor aprobate până la finele anului</w:t>
      </w:r>
      <w:r w:rsidR="00020E8B">
        <w:rPr>
          <w:rFonts w:asciiTheme="majorHAnsi" w:hAnsiTheme="majorHAnsi" w:cstheme="majorHAnsi"/>
          <w:sz w:val="24"/>
          <w:szCs w:val="24"/>
          <w:lang w:val="ro-RO"/>
        </w:rPr>
        <w:t>,</w:t>
      </w:r>
      <w:r w:rsidRPr="003A12E6">
        <w:rPr>
          <w:rFonts w:asciiTheme="majorHAnsi" w:hAnsiTheme="majorHAnsi" w:cstheme="majorHAnsi"/>
          <w:sz w:val="24"/>
          <w:szCs w:val="24"/>
          <w:lang w:val="ro-RO"/>
        </w:rPr>
        <w:t xml:space="preserve"> precum și din necesitatea identificării resurselor suplimentare pentru programele de cheltuieli prioritare.</w:t>
      </w:r>
      <w:r w:rsidRPr="00F55BA6">
        <w:rPr>
          <w:rFonts w:asciiTheme="majorHAnsi" w:eastAsiaTheme="minorEastAsia" w:hAnsiTheme="majorHAnsi" w:cstheme="majorHAnsi"/>
          <w:bCs/>
          <w:iCs/>
          <w:sz w:val="24"/>
          <w:szCs w:val="24"/>
          <w:lang w:val="ro-RO" w:eastAsia="ru-RU"/>
        </w:rPr>
        <w:t xml:space="preserve"> Cele mai semnificative creșteri de cheltuieli executate în anul 2020, față de anul 2019, s-au înregistrat la: </w:t>
      </w:r>
      <w:r w:rsidRPr="00F55BA6">
        <w:rPr>
          <w:rFonts w:asciiTheme="majorHAnsi" w:eastAsiaTheme="minorEastAsia" w:hAnsiTheme="majorHAnsi" w:cstheme="majorHAnsi"/>
          <w:bCs/>
          <w:i/>
          <w:iCs/>
          <w:sz w:val="24"/>
          <w:szCs w:val="24"/>
          <w:lang w:val="ro-RO" w:eastAsia="ru-RU"/>
        </w:rPr>
        <w:t>i) „Transferuri acordate în cadrul BPN”</w:t>
      </w:r>
      <w:r w:rsidRPr="00F55BA6">
        <w:rPr>
          <w:rFonts w:asciiTheme="majorHAnsi" w:eastAsiaTheme="minorEastAsia" w:hAnsiTheme="majorHAnsi" w:cstheme="majorHAnsi"/>
          <w:bCs/>
          <w:iCs/>
          <w:sz w:val="24"/>
          <w:szCs w:val="24"/>
          <w:lang w:val="ro-RO" w:eastAsia="ru-RU"/>
        </w:rPr>
        <w:t xml:space="preserve"> – cu 3 822,2 mil. lei mai mult</w:t>
      </w:r>
      <w:r w:rsidR="002F25C9">
        <w:rPr>
          <w:rFonts w:asciiTheme="majorHAnsi" w:eastAsiaTheme="minorEastAsia" w:hAnsiTheme="majorHAnsi" w:cstheme="majorHAnsi"/>
          <w:bCs/>
          <w:iCs/>
          <w:sz w:val="24"/>
          <w:szCs w:val="24"/>
          <w:lang w:val="ro-RO" w:eastAsia="ru-RU"/>
        </w:rPr>
        <w:t>,</w:t>
      </w:r>
      <w:r w:rsidRPr="00F55BA6">
        <w:rPr>
          <w:rFonts w:asciiTheme="majorHAnsi" w:eastAsiaTheme="minorEastAsia" w:hAnsiTheme="majorHAnsi" w:cstheme="majorHAnsi"/>
          <w:bCs/>
          <w:iCs/>
          <w:sz w:val="24"/>
          <w:szCs w:val="24"/>
          <w:lang w:val="ro-RO" w:eastAsia="ru-RU"/>
        </w:rPr>
        <w:t xml:space="preserve"> sau cu 16,5%, </w:t>
      </w:r>
      <w:r w:rsidRPr="00F55BA6">
        <w:rPr>
          <w:rFonts w:asciiTheme="majorHAnsi" w:eastAsiaTheme="minorEastAsia" w:hAnsiTheme="majorHAnsi" w:cstheme="majorHAnsi"/>
          <w:bCs/>
          <w:i/>
          <w:iCs/>
          <w:sz w:val="24"/>
          <w:szCs w:val="24"/>
          <w:lang w:val="ro-RO" w:eastAsia="ru-RU"/>
        </w:rPr>
        <w:t>ii)</w:t>
      </w:r>
      <w:r w:rsidRPr="00F55BA6">
        <w:rPr>
          <w:rFonts w:asciiTheme="majorHAnsi" w:eastAsiaTheme="minorEastAsia" w:hAnsiTheme="majorHAnsi" w:cstheme="majorHAnsi"/>
          <w:bCs/>
          <w:iCs/>
          <w:sz w:val="24"/>
          <w:szCs w:val="24"/>
          <w:lang w:val="ro-RO" w:eastAsia="ru-RU"/>
        </w:rPr>
        <w:t xml:space="preserve"> </w:t>
      </w:r>
      <w:r w:rsidRPr="00F55BA6">
        <w:rPr>
          <w:rFonts w:asciiTheme="majorHAnsi" w:eastAsiaTheme="minorEastAsia" w:hAnsiTheme="majorHAnsi" w:cstheme="majorHAnsi"/>
          <w:bCs/>
          <w:i/>
          <w:iCs/>
          <w:sz w:val="24"/>
          <w:szCs w:val="24"/>
          <w:lang w:val="ro-RO" w:eastAsia="ru-RU"/>
        </w:rPr>
        <w:t xml:space="preserve">„Subvenții” </w:t>
      </w:r>
      <w:r w:rsidRPr="00F55BA6">
        <w:rPr>
          <w:rFonts w:asciiTheme="majorHAnsi" w:eastAsiaTheme="minorEastAsia" w:hAnsiTheme="majorHAnsi" w:cstheme="majorHAnsi"/>
          <w:bCs/>
          <w:iCs/>
          <w:sz w:val="24"/>
          <w:szCs w:val="24"/>
          <w:lang w:val="ro-RO" w:eastAsia="ru-RU"/>
        </w:rPr>
        <w:t>– cu 1 207,2 mil. lei mai mult</w:t>
      </w:r>
      <w:r w:rsidR="002F25C9">
        <w:rPr>
          <w:rFonts w:asciiTheme="majorHAnsi" w:eastAsiaTheme="minorEastAsia" w:hAnsiTheme="majorHAnsi" w:cstheme="majorHAnsi"/>
          <w:bCs/>
          <w:iCs/>
          <w:sz w:val="24"/>
          <w:szCs w:val="24"/>
          <w:lang w:val="ro-RO" w:eastAsia="ru-RU"/>
        </w:rPr>
        <w:t>,</w:t>
      </w:r>
      <w:r w:rsidRPr="00F55BA6">
        <w:rPr>
          <w:rFonts w:asciiTheme="majorHAnsi" w:eastAsiaTheme="minorEastAsia" w:hAnsiTheme="majorHAnsi" w:cstheme="majorHAnsi"/>
          <w:bCs/>
          <w:iCs/>
          <w:sz w:val="24"/>
          <w:szCs w:val="24"/>
          <w:lang w:val="ro-RO" w:eastAsia="ru-RU"/>
        </w:rPr>
        <w:t xml:space="preserve"> sau cu 31,0%, </w:t>
      </w:r>
      <w:r w:rsidRPr="00F55BA6">
        <w:rPr>
          <w:rFonts w:asciiTheme="majorHAnsi" w:eastAsiaTheme="minorEastAsia" w:hAnsiTheme="majorHAnsi" w:cstheme="majorHAnsi"/>
          <w:bCs/>
          <w:i/>
          <w:iCs/>
          <w:sz w:val="24"/>
          <w:szCs w:val="24"/>
          <w:lang w:val="ro-RO" w:eastAsia="ru-RU"/>
        </w:rPr>
        <w:t>iii) „Cheltuieli de personal”</w:t>
      </w:r>
      <w:r w:rsidRPr="00F55BA6">
        <w:rPr>
          <w:rFonts w:asciiTheme="majorHAnsi" w:eastAsiaTheme="minorEastAsia" w:hAnsiTheme="majorHAnsi" w:cstheme="majorHAnsi"/>
          <w:bCs/>
          <w:iCs/>
          <w:sz w:val="24"/>
          <w:szCs w:val="24"/>
          <w:lang w:val="ro-RO" w:eastAsia="ru-RU"/>
        </w:rPr>
        <w:t xml:space="preserve"> – cu 575,3 mil. lei mai mult</w:t>
      </w:r>
      <w:r w:rsidR="002F25C9">
        <w:rPr>
          <w:rFonts w:asciiTheme="majorHAnsi" w:eastAsiaTheme="minorEastAsia" w:hAnsiTheme="majorHAnsi" w:cstheme="majorHAnsi"/>
          <w:bCs/>
          <w:iCs/>
          <w:sz w:val="24"/>
          <w:szCs w:val="24"/>
          <w:lang w:val="ro-RO" w:eastAsia="ru-RU"/>
        </w:rPr>
        <w:t>,</w:t>
      </w:r>
      <w:r w:rsidRPr="00F55BA6">
        <w:rPr>
          <w:rFonts w:asciiTheme="majorHAnsi" w:eastAsiaTheme="minorEastAsia" w:hAnsiTheme="majorHAnsi" w:cstheme="majorHAnsi"/>
          <w:bCs/>
          <w:iCs/>
          <w:sz w:val="24"/>
          <w:szCs w:val="24"/>
          <w:lang w:val="ro-RO" w:eastAsia="ru-RU"/>
        </w:rPr>
        <w:t xml:space="preserve"> sau cu 8,9%,  </w:t>
      </w:r>
      <w:r w:rsidRPr="00F55BA6">
        <w:rPr>
          <w:rFonts w:asciiTheme="majorHAnsi" w:eastAsiaTheme="minorEastAsia" w:hAnsiTheme="majorHAnsi" w:cstheme="majorHAnsi"/>
          <w:bCs/>
          <w:i/>
          <w:iCs/>
          <w:sz w:val="24"/>
          <w:szCs w:val="24"/>
          <w:lang w:val="ro-RO" w:eastAsia="ru-RU"/>
        </w:rPr>
        <w:t>iv)</w:t>
      </w:r>
      <w:r w:rsidRPr="00F55BA6">
        <w:rPr>
          <w:rFonts w:asciiTheme="majorHAnsi" w:eastAsiaTheme="minorEastAsia" w:hAnsiTheme="majorHAnsi" w:cstheme="majorHAnsi"/>
          <w:bCs/>
          <w:iCs/>
          <w:sz w:val="24"/>
          <w:szCs w:val="24"/>
          <w:lang w:val="ro-RO" w:eastAsia="ru-RU"/>
        </w:rPr>
        <w:t xml:space="preserve"> </w:t>
      </w:r>
      <w:r w:rsidRPr="00F55BA6">
        <w:rPr>
          <w:rFonts w:asciiTheme="majorHAnsi" w:eastAsiaTheme="minorEastAsia" w:hAnsiTheme="majorHAnsi" w:cstheme="majorHAnsi"/>
          <w:bCs/>
          <w:i/>
          <w:iCs/>
          <w:sz w:val="24"/>
          <w:szCs w:val="24"/>
          <w:lang w:val="ro-RO" w:eastAsia="ru-RU"/>
        </w:rPr>
        <w:t xml:space="preserve">„Granturi acordate” </w:t>
      </w:r>
      <w:r w:rsidRPr="00F55BA6">
        <w:rPr>
          <w:rFonts w:asciiTheme="majorHAnsi" w:eastAsiaTheme="minorEastAsia" w:hAnsiTheme="majorHAnsi" w:cstheme="majorHAnsi"/>
          <w:bCs/>
          <w:iCs/>
          <w:sz w:val="24"/>
          <w:szCs w:val="24"/>
          <w:lang w:val="ro-RO" w:eastAsia="ru-RU"/>
        </w:rPr>
        <w:t>– cu 215,6 mil. lei</w:t>
      </w:r>
      <w:r w:rsidR="002F25C9">
        <w:rPr>
          <w:rFonts w:asciiTheme="majorHAnsi" w:eastAsiaTheme="minorEastAsia" w:hAnsiTheme="majorHAnsi" w:cstheme="majorHAnsi"/>
          <w:bCs/>
          <w:iCs/>
          <w:sz w:val="24"/>
          <w:szCs w:val="24"/>
          <w:lang w:val="ro-RO" w:eastAsia="ru-RU"/>
        </w:rPr>
        <w:t>,</w:t>
      </w:r>
      <w:r w:rsidRPr="00F55BA6">
        <w:rPr>
          <w:rFonts w:asciiTheme="majorHAnsi" w:eastAsiaTheme="minorEastAsia" w:hAnsiTheme="majorHAnsi" w:cstheme="majorHAnsi"/>
          <w:bCs/>
          <w:iCs/>
          <w:sz w:val="24"/>
          <w:szCs w:val="24"/>
          <w:lang w:val="ro-RO" w:eastAsia="ru-RU"/>
        </w:rPr>
        <w:t xml:space="preserve"> sau cu 755,4%, </w:t>
      </w:r>
      <w:r w:rsidRPr="00F55BA6">
        <w:rPr>
          <w:rFonts w:asciiTheme="majorHAnsi" w:eastAsiaTheme="minorEastAsia" w:hAnsiTheme="majorHAnsi" w:cstheme="majorHAnsi"/>
          <w:bCs/>
          <w:i/>
          <w:iCs/>
          <w:sz w:val="24"/>
          <w:szCs w:val="24"/>
          <w:lang w:val="ro-RO" w:eastAsia="ru-RU"/>
        </w:rPr>
        <w:t>v) „Prestații sociale”</w:t>
      </w:r>
      <w:r w:rsidRPr="00F55BA6">
        <w:rPr>
          <w:rFonts w:asciiTheme="majorHAnsi" w:eastAsiaTheme="minorEastAsia" w:hAnsiTheme="majorHAnsi" w:cstheme="majorHAnsi"/>
          <w:bCs/>
          <w:iCs/>
          <w:sz w:val="24"/>
          <w:szCs w:val="24"/>
          <w:lang w:val="ro-RO" w:eastAsia="ru-RU"/>
        </w:rPr>
        <w:t xml:space="preserve"> – cu 119,4 mil. lei</w:t>
      </w:r>
      <w:r w:rsidR="002F25C9">
        <w:rPr>
          <w:rFonts w:asciiTheme="majorHAnsi" w:eastAsiaTheme="minorEastAsia" w:hAnsiTheme="majorHAnsi" w:cstheme="majorHAnsi"/>
          <w:bCs/>
          <w:iCs/>
          <w:sz w:val="24"/>
          <w:szCs w:val="24"/>
          <w:lang w:val="ro-RO" w:eastAsia="ru-RU"/>
        </w:rPr>
        <w:t>,</w:t>
      </w:r>
      <w:r w:rsidRPr="00F55BA6">
        <w:rPr>
          <w:rFonts w:asciiTheme="majorHAnsi" w:eastAsiaTheme="minorEastAsia" w:hAnsiTheme="majorHAnsi" w:cstheme="majorHAnsi"/>
          <w:bCs/>
          <w:iCs/>
          <w:sz w:val="24"/>
          <w:szCs w:val="24"/>
          <w:lang w:val="ro-RO" w:eastAsia="ru-RU"/>
        </w:rPr>
        <w:t xml:space="preserve"> sau cu 29,9% etc.</w:t>
      </w:r>
      <w:r w:rsidRPr="00F55BA6">
        <w:rPr>
          <w:rFonts w:asciiTheme="majorHAnsi" w:hAnsiTheme="majorHAnsi" w:cstheme="majorHAnsi"/>
          <w:sz w:val="24"/>
          <w:szCs w:val="24"/>
          <w:lang w:val="ro-RO"/>
        </w:rPr>
        <w:t xml:space="preserve"> În anul 2020, au fost prevăzute programe de cheltuieli menite să atenueze impactul negativ al pandemiei COVID-19 asupra agenților economici și asupra populației</w:t>
      </w:r>
      <w:r w:rsidR="00307B13">
        <w:rPr>
          <w:rFonts w:asciiTheme="majorHAnsi" w:hAnsiTheme="majorHAnsi" w:cstheme="majorHAnsi"/>
          <w:sz w:val="24"/>
          <w:szCs w:val="24"/>
          <w:lang w:val="ro-RO"/>
        </w:rPr>
        <w:t>,</w:t>
      </w:r>
      <w:r w:rsidRPr="00F55BA6">
        <w:rPr>
          <w:rFonts w:asciiTheme="majorHAnsi" w:hAnsiTheme="majorHAnsi" w:cstheme="majorHAnsi"/>
          <w:sz w:val="24"/>
          <w:szCs w:val="24"/>
          <w:lang w:val="ro-RO"/>
        </w:rPr>
        <w:t xml:space="preserve"> care au fost implementate </w:t>
      </w:r>
      <w:r w:rsidRPr="00F55BA6">
        <w:rPr>
          <w:rFonts w:asciiTheme="majorHAnsi" w:hAnsiTheme="majorHAnsi" w:cstheme="majorHAnsi"/>
          <w:sz w:val="24"/>
          <w:szCs w:val="24"/>
          <w:lang w:val="ro-RO"/>
        </w:rPr>
        <w:lastRenderedPageBreak/>
        <w:t xml:space="preserve">prin intermediul BASS, BS suportând costurile prin majorarea transferurilor către BASS. </w:t>
      </w:r>
      <w:r w:rsidRPr="00F55BA6">
        <w:rPr>
          <w:rFonts w:asciiTheme="majorHAnsi" w:eastAsiaTheme="minorEastAsia" w:hAnsiTheme="majorHAnsi" w:cstheme="majorHAnsi"/>
          <w:bCs/>
          <w:iCs/>
          <w:sz w:val="24"/>
          <w:szCs w:val="24"/>
          <w:lang w:val="ro-RO" w:eastAsia="ru-RU"/>
        </w:rPr>
        <w:t>Totodată, se atestă descreșterea che</w:t>
      </w:r>
      <w:r w:rsidR="00E615BF" w:rsidRPr="00F55BA6">
        <w:rPr>
          <w:rFonts w:asciiTheme="majorHAnsi" w:eastAsiaTheme="minorEastAsia" w:hAnsiTheme="majorHAnsi" w:cstheme="majorHAnsi"/>
          <w:bCs/>
          <w:iCs/>
          <w:sz w:val="24"/>
          <w:szCs w:val="24"/>
          <w:lang w:val="ro-RO" w:eastAsia="ru-RU"/>
        </w:rPr>
        <w:t>ltuielilor</w:t>
      </w:r>
      <w:r w:rsidRPr="00F55BA6">
        <w:rPr>
          <w:rFonts w:asciiTheme="majorHAnsi" w:eastAsiaTheme="minorEastAsia" w:hAnsiTheme="majorHAnsi" w:cstheme="majorHAnsi"/>
          <w:bCs/>
          <w:iCs/>
          <w:sz w:val="24"/>
          <w:szCs w:val="24"/>
          <w:lang w:val="ro-RO" w:eastAsia="ru-RU"/>
        </w:rPr>
        <w:t xml:space="preserve"> la </w:t>
      </w:r>
      <w:r w:rsidR="002F25C9">
        <w:rPr>
          <w:rFonts w:asciiTheme="majorHAnsi" w:eastAsiaTheme="minorEastAsia" w:hAnsiTheme="majorHAnsi" w:cstheme="majorHAnsi"/>
          <w:bCs/>
          <w:i/>
          <w:iCs/>
          <w:sz w:val="24"/>
          <w:szCs w:val="24"/>
          <w:lang w:val="ro-RO" w:eastAsia="ru-RU"/>
        </w:rPr>
        <w:t>„</w:t>
      </w:r>
      <w:r w:rsidRPr="00F55BA6">
        <w:rPr>
          <w:rFonts w:asciiTheme="majorHAnsi" w:eastAsiaTheme="minorEastAsia" w:hAnsiTheme="majorHAnsi" w:cstheme="majorHAnsi"/>
          <w:bCs/>
          <w:i/>
          <w:iCs/>
          <w:sz w:val="24"/>
          <w:szCs w:val="24"/>
          <w:lang w:val="ro-RO" w:eastAsia="ru-RU"/>
        </w:rPr>
        <w:t>bunuri și servicii”</w:t>
      </w:r>
      <w:r w:rsidRPr="00F55BA6">
        <w:rPr>
          <w:rFonts w:asciiTheme="majorHAnsi" w:eastAsiaTheme="minorEastAsia" w:hAnsiTheme="majorHAnsi" w:cstheme="majorHAnsi"/>
          <w:bCs/>
          <w:iCs/>
          <w:sz w:val="24"/>
          <w:szCs w:val="24"/>
          <w:lang w:val="ro-RO" w:eastAsia="ru-RU"/>
        </w:rPr>
        <w:t xml:space="preserve"> cu 58,9 mil. lei</w:t>
      </w:r>
      <w:r w:rsidR="002F25C9">
        <w:rPr>
          <w:rFonts w:asciiTheme="majorHAnsi" w:eastAsiaTheme="minorEastAsia" w:hAnsiTheme="majorHAnsi" w:cstheme="majorHAnsi"/>
          <w:bCs/>
          <w:iCs/>
          <w:sz w:val="24"/>
          <w:szCs w:val="24"/>
          <w:lang w:val="ro-RO" w:eastAsia="ru-RU"/>
        </w:rPr>
        <w:t>,</w:t>
      </w:r>
      <w:r w:rsidRPr="00F55BA6">
        <w:rPr>
          <w:rFonts w:asciiTheme="majorHAnsi" w:eastAsiaTheme="minorEastAsia" w:hAnsiTheme="majorHAnsi" w:cstheme="majorHAnsi"/>
          <w:bCs/>
          <w:iCs/>
          <w:sz w:val="24"/>
          <w:szCs w:val="24"/>
          <w:lang w:val="ro-RO" w:eastAsia="ru-RU"/>
        </w:rPr>
        <w:t xml:space="preserve"> sau cu 3,4%</w:t>
      </w:r>
      <w:r w:rsidR="002F25C9">
        <w:rPr>
          <w:rFonts w:asciiTheme="majorHAnsi" w:eastAsiaTheme="minorEastAsia" w:hAnsiTheme="majorHAnsi" w:cstheme="majorHAnsi"/>
          <w:bCs/>
          <w:iCs/>
          <w:sz w:val="24"/>
          <w:szCs w:val="24"/>
          <w:lang w:val="ro-RO" w:eastAsia="ru-RU"/>
        </w:rPr>
        <w:t>,</w:t>
      </w:r>
      <w:r w:rsidR="00E615BF" w:rsidRPr="00F55BA6">
        <w:rPr>
          <w:rFonts w:asciiTheme="majorHAnsi" w:eastAsiaTheme="minorEastAsia" w:hAnsiTheme="majorHAnsi" w:cstheme="majorHAnsi"/>
          <w:bCs/>
          <w:iCs/>
          <w:sz w:val="24"/>
          <w:szCs w:val="24"/>
          <w:lang w:val="ro-RO" w:eastAsia="ru-RU"/>
        </w:rPr>
        <w:t xml:space="preserve"> și la </w:t>
      </w:r>
      <w:r w:rsidR="002F25C9">
        <w:rPr>
          <w:rFonts w:asciiTheme="majorHAnsi" w:eastAsiaTheme="minorEastAsia" w:hAnsiTheme="majorHAnsi" w:cstheme="majorHAnsi"/>
          <w:bCs/>
          <w:i/>
          <w:iCs/>
          <w:sz w:val="24"/>
          <w:szCs w:val="24"/>
          <w:lang w:val="ro-RO" w:eastAsia="ru-RU"/>
        </w:rPr>
        <w:t>„</w:t>
      </w:r>
      <w:r w:rsidR="00E615BF" w:rsidRPr="00F55BA6">
        <w:rPr>
          <w:rFonts w:asciiTheme="majorHAnsi" w:eastAsiaTheme="minorEastAsia" w:hAnsiTheme="majorHAnsi" w:cstheme="majorHAnsi"/>
          <w:bCs/>
          <w:i/>
          <w:iCs/>
          <w:sz w:val="24"/>
          <w:szCs w:val="24"/>
          <w:lang w:val="ro-RO" w:eastAsia="ru-RU"/>
        </w:rPr>
        <w:t>mărfuri”</w:t>
      </w:r>
      <w:r w:rsidR="00E615BF" w:rsidRPr="00F55BA6">
        <w:rPr>
          <w:rFonts w:asciiTheme="majorHAnsi" w:eastAsiaTheme="minorEastAsia" w:hAnsiTheme="majorHAnsi" w:cstheme="majorHAnsi"/>
          <w:bCs/>
          <w:iCs/>
          <w:sz w:val="24"/>
          <w:szCs w:val="24"/>
          <w:lang w:val="ro-RO" w:eastAsia="ru-RU"/>
        </w:rPr>
        <w:t xml:space="preserve"> </w:t>
      </w:r>
      <w:r w:rsidR="002F25C9">
        <w:rPr>
          <w:rFonts w:asciiTheme="majorHAnsi" w:eastAsiaTheme="minorEastAsia" w:hAnsiTheme="majorHAnsi" w:cstheme="majorHAnsi"/>
          <w:bCs/>
          <w:iCs/>
          <w:sz w:val="24"/>
          <w:szCs w:val="24"/>
          <w:lang w:val="ro-RO" w:eastAsia="ru-RU"/>
        </w:rPr>
        <w:t>–</w:t>
      </w:r>
    </w:p>
    <w:p w:rsidR="00AC6703" w:rsidRPr="00F55BA6" w:rsidRDefault="00E615BF" w:rsidP="00AC6703">
      <w:pPr>
        <w:spacing w:after="0" w:line="276" w:lineRule="auto"/>
        <w:rPr>
          <w:rFonts w:asciiTheme="majorHAnsi" w:eastAsiaTheme="minorEastAsia" w:hAnsiTheme="majorHAnsi" w:cstheme="majorHAnsi"/>
          <w:bCs/>
          <w:iCs/>
          <w:sz w:val="24"/>
          <w:szCs w:val="24"/>
          <w:lang w:val="ro-RO" w:eastAsia="ru-RU"/>
        </w:rPr>
      </w:pPr>
      <w:r w:rsidRPr="00F55BA6">
        <w:rPr>
          <w:rFonts w:asciiTheme="majorHAnsi" w:eastAsiaTheme="minorEastAsia" w:hAnsiTheme="majorHAnsi" w:cstheme="majorHAnsi"/>
          <w:bCs/>
          <w:iCs/>
          <w:sz w:val="24"/>
          <w:szCs w:val="24"/>
          <w:lang w:val="ro-RO" w:eastAsia="ru-RU"/>
        </w:rPr>
        <w:t>cu 17,3 mil. lei</w:t>
      </w:r>
      <w:r w:rsidR="00AC6703" w:rsidRPr="00F55BA6">
        <w:rPr>
          <w:rFonts w:asciiTheme="majorHAnsi" w:eastAsiaTheme="minorEastAsia" w:hAnsiTheme="majorHAnsi" w:cstheme="majorHAnsi"/>
          <w:bCs/>
          <w:iCs/>
          <w:sz w:val="24"/>
          <w:szCs w:val="24"/>
          <w:lang w:val="ro-RO" w:eastAsia="ru-RU"/>
        </w:rPr>
        <w:t>.</w:t>
      </w:r>
      <w:r w:rsidR="00AC6703" w:rsidRPr="00F55BA6">
        <w:rPr>
          <w:lang w:val="ro-RO"/>
        </w:rPr>
        <w:t xml:space="preserve"> </w:t>
      </w:r>
      <w:r w:rsidR="00AC6703" w:rsidRPr="00F55BA6">
        <w:rPr>
          <w:rFonts w:asciiTheme="majorHAnsi" w:hAnsiTheme="majorHAnsi" w:cstheme="majorHAnsi"/>
          <w:i/>
          <w:sz w:val="24"/>
          <w:szCs w:val="24"/>
          <w:lang w:val="ro-RO"/>
        </w:rPr>
        <w:t xml:space="preserve">Analiza executării în anul 2020 a cheltuielilor de casă ale bugetului de stat, în aspectul clasificației economice, comparativ cu anul </w:t>
      </w:r>
      <w:r w:rsidR="00D6543E" w:rsidRPr="00F55BA6">
        <w:rPr>
          <w:rFonts w:asciiTheme="majorHAnsi" w:hAnsiTheme="majorHAnsi" w:cstheme="majorHAnsi"/>
          <w:i/>
          <w:sz w:val="24"/>
          <w:szCs w:val="24"/>
          <w:lang w:val="ro-RO"/>
        </w:rPr>
        <w:t>2019, se prezintă în Anexa nr.1</w:t>
      </w:r>
      <w:r w:rsidR="00620EF3" w:rsidRPr="00F55BA6">
        <w:rPr>
          <w:rFonts w:asciiTheme="majorHAnsi" w:hAnsiTheme="majorHAnsi" w:cstheme="majorHAnsi"/>
          <w:i/>
          <w:sz w:val="24"/>
          <w:szCs w:val="24"/>
          <w:lang w:val="ro-RO"/>
        </w:rPr>
        <w:t>0</w:t>
      </w:r>
      <w:r w:rsidR="00AC6703" w:rsidRPr="00F55BA6">
        <w:rPr>
          <w:rFonts w:asciiTheme="majorHAnsi" w:hAnsiTheme="majorHAnsi" w:cstheme="majorHAnsi"/>
          <w:i/>
          <w:sz w:val="24"/>
          <w:szCs w:val="24"/>
          <w:lang w:val="ro-RO"/>
        </w:rPr>
        <w:t xml:space="preserve"> la prezentul Raport de audit.</w:t>
      </w:r>
    </w:p>
    <w:p w:rsidR="00AC6703" w:rsidRPr="00F55BA6" w:rsidRDefault="00AC6703" w:rsidP="00AC6703">
      <w:pPr>
        <w:spacing w:after="0" w:line="276" w:lineRule="auto"/>
        <w:rPr>
          <w:rFonts w:asciiTheme="majorHAnsi" w:hAnsiTheme="majorHAnsi" w:cstheme="majorHAnsi"/>
          <w:sz w:val="24"/>
          <w:szCs w:val="24"/>
          <w:lang w:val="ro-RO"/>
        </w:rPr>
      </w:pPr>
      <w:r w:rsidRPr="00F55BA6">
        <w:rPr>
          <w:rFonts w:ascii="Calibri Light" w:hAnsi="Calibri Light" w:cs="Calibri Light"/>
          <w:sz w:val="24"/>
          <w:szCs w:val="24"/>
          <w:lang w:val="ro-RO"/>
        </w:rPr>
        <w:t>Conform art.67 din Legea nr.181/2014, în procesul executării BS autoritățile/instituțiile bugetare efectuează plăți în limitele alocațiilor bugetare aprobate și în conformitate cu prognozel</w:t>
      </w:r>
      <w:r w:rsidR="00AF30B4" w:rsidRPr="00F55BA6">
        <w:rPr>
          <w:rFonts w:ascii="Calibri Light" w:hAnsi="Calibri Light" w:cs="Calibri Light"/>
          <w:sz w:val="24"/>
          <w:szCs w:val="24"/>
          <w:lang w:val="ro-RO"/>
        </w:rPr>
        <w:t>e de lichidități ale bugetului. R</w:t>
      </w:r>
      <w:r w:rsidRPr="00F55BA6">
        <w:rPr>
          <w:rFonts w:asciiTheme="majorHAnsi" w:hAnsiTheme="majorHAnsi" w:cstheme="majorHAnsi"/>
          <w:sz w:val="24"/>
          <w:szCs w:val="24"/>
          <w:lang w:val="ro-RO"/>
        </w:rPr>
        <w:t>eieșind din impactul situației epidemiologice, MF a solicitat</w:t>
      </w:r>
      <w:r w:rsidRPr="00F55BA6">
        <w:rPr>
          <w:rStyle w:val="ac"/>
          <w:rFonts w:asciiTheme="majorHAnsi" w:hAnsiTheme="majorHAnsi" w:cstheme="majorHAnsi"/>
          <w:sz w:val="24"/>
          <w:szCs w:val="24"/>
          <w:lang w:val="ro-RO"/>
        </w:rPr>
        <w:footnoteReference w:id="96"/>
      </w:r>
      <w:r w:rsidRPr="00F55BA6">
        <w:rPr>
          <w:rFonts w:asciiTheme="majorHAnsi" w:hAnsiTheme="majorHAnsi" w:cstheme="majorHAnsi"/>
          <w:sz w:val="24"/>
          <w:szCs w:val="24"/>
          <w:lang w:val="ro-RO"/>
        </w:rPr>
        <w:t xml:space="preserve"> APC o revizuire a cheltuielilor bugetare aprobate pentru anul 2020, în scopul identificării resurselor financiare pentru acoperirea unor necesități stringente, prin reducerea cheltuielilor neprioritare</w:t>
      </w:r>
      <w:r w:rsidR="002F25C9">
        <w:rPr>
          <w:rFonts w:asciiTheme="majorHAnsi" w:hAnsiTheme="majorHAnsi" w:cstheme="majorHAnsi"/>
          <w:sz w:val="24"/>
          <w:szCs w:val="24"/>
          <w:lang w:val="ro-RO"/>
        </w:rPr>
        <w:t>,</w:t>
      </w:r>
      <w:r w:rsidRPr="00F55BA6">
        <w:rPr>
          <w:rFonts w:asciiTheme="majorHAnsi" w:hAnsiTheme="majorHAnsi" w:cstheme="majorHAnsi"/>
          <w:sz w:val="24"/>
          <w:szCs w:val="24"/>
          <w:lang w:val="ro-RO"/>
        </w:rPr>
        <w:t xml:space="preserve"> dar care nu au periclitat funcționalitatea instituțiilor. Astfel, conform modificărilor la Legea bugetară anuală, inclusiv din contul micșorării bugetelor la APC cu 2 112,4 mil. lei, cheltuielile și activele nefinanciare ale autorităților finanțate de la BS au fost majorate cu 3 761,4 mil. lei, din care la APC </w:t>
      </w:r>
      <w:r w:rsidR="002F25C9">
        <w:rPr>
          <w:rFonts w:asciiTheme="majorHAnsi" w:eastAsiaTheme="minorEastAsia" w:hAnsiTheme="majorHAnsi" w:cstheme="majorHAnsi"/>
          <w:bCs/>
          <w:iCs/>
          <w:sz w:val="24"/>
          <w:szCs w:val="24"/>
          <w:lang w:val="ro-RO" w:eastAsia="ru-RU"/>
        </w:rPr>
        <w:t xml:space="preserve">– </w:t>
      </w:r>
      <w:r w:rsidRPr="00F55BA6">
        <w:rPr>
          <w:rFonts w:asciiTheme="majorHAnsi" w:hAnsiTheme="majorHAnsi" w:cstheme="majorHAnsi"/>
          <w:sz w:val="24"/>
          <w:szCs w:val="24"/>
          <w:lang w:val="ro-RO"/>
        </w:rPr>
        <w:t xml:space="preserve">cu 661,9 mil. lei (MSMPS – 579,8 mil. lei, Agenția Națională pentru Cercetare și Dezvoltare </w:t>
      </w:r>
      <w:r w:rsidR="002F25C9">
        <w:rPr>
          <w:rFonts w:asciiTheme="majorHAnsi" w:eastAsiaTheme="minorEastAsia" w:hAnsiTheme="majorHAnsi" w:cstheme="majorHAnsi"/>
          <w:bCs/>
          <w:iCs/>
          <w:sz w:val="24"/>
          <w:szCs w:val="24"/>
          <w:lang w:val="ro-RO" w:eastAsia="ru-RU"/>
        </w:rPr>
        <w:t>–</w:t>
      </w:r>
      <w:r w:rsidRPr="00F55BA6">
        <w:rPr>
          <w:rFonts w:asciiTheme="majorHAnsi" w:hAnsiTheme="majorHAnsi" w:cstheme="majorHAnsi"/>
          <w:sz w:val="24"/>
          <w:szCs w:val="24"/>
          <w:lang w:val="ro-RO"/>
        </w:rPr>
        <w:t xml:space="preserve"> 80,1 mil. lei etc.)</w:t>
      </w:r>
      <w:r w:rsidR="00307B13">
        <w:rPr>
          <w:rFonts w:asciiTheme="majorHAnsi" w:hAnsiTheme="majorHAnsi" w:cstheme="majorHAnsi"/>
          <w:sz w:val="24"/>
          <w:szCs w:val="24"/>
          <w:lang w:val="ro-RO"/>
        </w:rPr>
        <w:t>,</w:t>
      </w:r>
      <w:r w:rsidRPr="00F55BA6">
        <w:rPr>
          <w:rFonts w:asciiTheme="majorHAnsi" w:hAnsiTheme="majorHAnsi" w:cstheme="majorHAnsi"/>
          <w:sz w:val="24"/>
          <w:szCs w:val="24"/>
          <w:lang w:val="ro-RO"/>
        </w:rPr>
        <w:t xml:space="preserve"> iar </w:t>
      </w:r>
      <w:r w:rsidR="002F25C9">
        <w:rPr>
          <w:rFonts w:asciiTheme="majorHAnsi" w:hAnsiTheme="majorHAnsi" w:cstheme="majorHAnsi"/>
          <w:sz w:val="24"/>
          <w:szCs w:val="24"/>
          <w:lang w:val="ro-RO"/>
        </w:rPr>
        <w:t>„</w:t>
      </w:r>
      <w:r w:rsidRPr="00F55BA6">
        <w:rPr>
          <w:rFonts w:asciiTheme="majorHAnsi" w:hAnsiTheme="majorHAnsi" w:cstheme="majorHAnsi"/>
          <w:sz w:val="24"/>
          <w:szCs w:val="24"/>
          <w:lang w:val="ro-RO"/>
        </w:rPr>
        <w:t xml:space="preserve">Acțiunile generale” </w:t>
      </w:r>
      <w:r w:rsidR="002F25C9">
        <w:rPr>
          <w:rFonts w:asciiTheme="majorHAnsi" w:eastAsiaTheme="minorEastAsia" w:hAnsiTheme="majorHAnsi" w:cstheme="majorHAnsi"/>
          <w:bCs/>
          <w:iCs/>
          <w:sz w:val="24"/>
          <w:szCs w:val="24"/>
          <w:lang w:val="ro-RO" w:eastAsia="ru-RU"/>
        </w:rPr>
        <w:t xml:space="preserve">– </w:t>
      </w:r>
      <w:r w:rsidRPr="00F55BA6">
        <w:rPr>
          <w:rFonts w:asciiTheme="majorHAnsi" w:hAnsiTheme="majorHAnsi" w:cstheme="majorHAnsi"/>
          <w:sz w:val="24"/>
          <w:szCs w:val="24"/>
          <w:lang w:val="ro-RO"/>
        </w:rPr>
        <w:t>cu 3 099,5 mil. lei.</w:t>
      </w:r>
      <w:r w:rsidR="0059513C" w:rsidRPr="00F55BA6">
        <w:rPr>
          <w:rFonts w:asciiTheme="majorHAnsi" w:hAnsiTheme="majorHAnsi" w:cstheme="majorHAnsi"/>
          <w:sz w:val="24"/>
          <w:szCs w:val="24"/>
          <w:lang w:val="ro-RO"/>
        </w:rPr>
        <w:t xml:space="preserve"> </w:t>
      </w:r>
      <w:r w:rsidRPr="00F55BA6">
        <w:rPr>
          <w:rFonts w:asciiTheme="majorHAnsi" w:hAnsiTheme="majorHAnsi" w:cstheme="majorHAnsi"/>
          <w:sz w:val="24"/>
          <w:szCs w:val="24"/>
          <w:lang w:val="ro-RO"/>
        </w:rPr>
        <w:t xml:space="preserve">Totodată, în comparație cu alocațiile precizate, în anul 2020 nu au fost executate alocații în sumă totală de 3 645,2 mil. lei, din care autoritățile nu au executat cheltuieli și active nefinanciare din alocațiile precizate în sumă de </w:t>
      </w:r>
      <w:r w:rsidR="00EC0C0E" w:rsidRPr="00F55BA6">
        <w:rPr>
          <w:rFonts w:asciiTheme="majorHAnsi" w:hAnsiTheme="majorHAnsi" w:cstheme="majorHAnsi"/>
          <w:sz w:val="24"/>
          <w:szCs w:val="24"/>
          <w:lang w:val="ro-RO"/>
        </w:rPr>
        <w:t>2 278,4</w:t>
      </w:r>
      <w:r w:rsidRPr="00F55BA6">
        <w:rPr>
          <w:rFonts w:asciiTheme="majorHAnsi" w:hAnsiTheme="majorHAnsi" w:cstheme="majorHAnsi"/>
          <w:sz w:val="24"/>
          <w:szCs w:val="24"/>
          <w:lang w:val="ro-RO"/>
        </w:rPr>
        <w:t xml:space="preserve"> mil. lei</w:t>
      </w:r>
      <w:r w:rsidR="002F25C9">
        <w:rPr>
          <w:rFonts w:asciiTheme="majorHAnsi" w:hAnsiTheme="majorHAnsi" w:cstheme="majorHAnsi"/>
          <w:sz w:val="24"/>
          <w:szCs w:val="24"/>
          <w:lang w:val="ro-RO"/>
        </w:rPr>
        <w:t>,</w:t>
      </w:r>
      <w:r w:rsidRPr="00F55BA6">
        <w:rPr>
          <w:rFonts w:asciiTheme="majorHAnsi" w:hAnsiTheme="majorHAnsi" w:cstheme="majorHAnsi"/>
          <w:sz w:val="24"/>
          <w:szCs w:val="24"/>
          <w:lang w:val="ro-RO"/>
        </w:rPr>
        <w:t xml:space="preserve"> iar de la </w:t>
      </w:r>
      <w:r w:rsidR="002F25C9">
        <w:rPr>
          <w:rFonts w:asciiTheme="majorHAnsi" w:hAnsiTheme="majorHAnsi" w:cstheme="majorHAnsi"/>
          <w:sz w:val="24"/>
          <w:szCs w:val="24"/>
          <w:lang w:val="ro-RO"/>
        </w:rPr>
        <w:t>„</w:t>
      </w:r>
      <w:r w:rsidRPr="00F55BA6">
        <w:rPr>
          <w:rFonts w:asciiTheme="majorHAnsi" w:hAnsiTheme="majorHAnsi" w:cstheme="majorHAnsi"/>
          <w:sz w:val="24"/>
          <w:szCs w:val="24"/>
          <w:lang w:val="ro-RO"/>
        </w:rPr>
        <w:t xml:space="preserve">Acțiuni generale” nefiind executate </w:t>
      </w:r>
      <w:r w:rsidR="00EC0C0E" w:rsidRPr="00F55BA6">
        <w:rPr>
          <w:rFonts w:asciiTheme="majorHAnsi" w:hAnsiTheme="majorHAnsi" w:cstheme="majorHAnsi"/>
          <w:sz w:val="24"/>
          <w:szCs w:val="24"/>
          <w:lang w:val="ro-RO"/>
        </w:rPr>
        <w:t>1 366,8</w:t>
      </w:r>
      <w:r w:rsidRPr="00F55BA6">
        <w:rPr>
          <w:rFonts w:asciiTheme="majorHAnsi" w:hAnsiTheme="majorHAnsi" w:cstheme="majorHAnsi"/>
          <w:sz w:val="24"/>
          <w:szCs w:val="24"/>
          <w:lang w:val="ro-RO"/>
        </w:rPr>
        <w:t xml:space="preserve"> mil. lei. </w:t>
      </w:r>
    </w:p>
    <w:p w:rsidR="00AC6703" w:rsidRPr="00E4517B" w:rsidRDefault="00AC6703" w:rsidP="00AC6703">
      <w:pPr>
        <w:spacing w:after="0" w:line="276" w:lineRule="auto"/>
        <w:contextualSpacing/>
        <w:rPr>
          <w:rFonts w:asciiTheme="majorHAnsi" w:eastAsiaTheme="minorEastAsia" w:hAnsiTheme="majorHAnsi" w:cstheme="majorHAnsi"/>
          <w:bCs/>
          <w:iCs/>
          <w:sz w:val="24"/>
          <w:szCs w:val="24"/>
          <w:lang w:val="ro-RO" w:eastAsia="ru-RU"/>
        </w:rPr>
      </w:pPr>
      <w:r w:rsidRPr="00E4517B">
        <w:rPr>
          <w:rFonts w:asciiTheme="majorHAnsi" w:eastAsiaTheme="minorEastAsia" w:hAnsiTheme="majorHAnsi" w:cstheme="majorHAnsi"/>
          <w:bCs/>
          <w:iCs/>
          <w:sz w:val="24"/>
          <w:szCs w:val="24"/>
          <w:lang w:val="ro-RO" w:eastAsia="ru-RU"/>
        </w:rPr>
        <w:t xml:space="preserve">Auditul relevă că ponderea majoră în totalul cheltuielilor BS, </w:t>
      </w:r>
      <w:r w:rsidRPr="00F55BA6">
        <w:rPr>
          <w:rFonts w:asciiTheme="majorHAnsi" w:eastAsia="Times New Roman" w:hAnsiTheme="majorHAnsi" w:cstheme="majorHAnsi"/>
          <w:color w:val="000000" w:themeColor="text1"/>
          <w:sz w:val="24"/>
          <w:szCs w:val="24"/>
          <w:lang w:val="ro-RO"/>
        </w:rPr>
        <w:t xml:space="preserve">conform clasificației funcționale, </w:t>
      </w:r>
      <w:r w:rsidRPr="00E4517B">
        <w:rPr>
          <w:rFonts w:asciiTheme="majorHAnsi" w:eastAsiaTheme="minorEastAsia" w:hAnsiTheme="majorHAnsi" w:cstheme="majorHAnsi"/>
          <w:bCs/>
          <w:iCs/>
          <w:sz w:val="24"/>
          <w:szCs w:val="24"/>
          <w:lang w:val="ro-RO" w:eastAsia="ru-RU"/>
        </w:rPr>
        <w:t>revine cheltuielilor executate pentru „Învățământ” – 23,9</w:t>
      </w:r>
      <w:r w:rsidRPr="000C5521">
        <w:rPr>
          <w:rFonts w:asciiTheme="majorHAnsi" w:eastAsiaTheme="minorEastAsia" w:hAnsiTheme="majorHAnsi" w:cstheme="majorHAnsi"/>
          <w:bCs/>
          <w:iCs/>
          <w:sz w:val="24"/>
          <w:szCs w:val="24"/>
          <w:lang w:val="ro-RO" w:eastAsia="ru-RU"/>
        </w:rPr>
        <w:t xml:space="preserve">%, sau </w:t>
      </w:r>
      <w:r w:rsidRPr="00973E5B">
        <w:rPr>
          <w:rFonts w:asciiTheme="majorHAnsi" w:eastAsiaTheme="minorEastAsia" w:hAnsiTheme="majorHAnsi" w:cstheme="majorHAnsi"/>
          <w:bCs/>
          <w:iCs/>
          <w:sz w:val="24"/>
          <w:szCs w:val="24"/>
          <w:lang w:val="ro-RO" w:eastAsia="ru-RU"/>
        </w:rPr>
        <w:t xml:space="preserve">11 887,0 mil. lei, fiind urmate de cele pentru „Protecție socială” – 21,3%, sau 10 558,6 mil. </w:t>
      </w:r>
      <w:r w:rsidRPr="003A12E6">
        <w:rPr>
          <w:rFonts w:asciiTheme="majorHAnsi" w:eastAsiaTheme="minorEastAsia" w:hAnsiTheme="majorHAnsi" w:cstheme="majorHAnsi"/>
          <w:bCs/>
          <w:iCs/>
          <w:sz w:val="24"/>
          <w:szCs w:val="24"/>
          <w:lang w:val="ro-RO" w:eastAsia="ru-RU"/>
        </w:rPr>
        <w:t>lei</w:t>
      </w:r>
      <w:r w:rsidR="002F25C9">
        <w:rPr>
          <w:rFonts w:asciiTheme="majorHAnsi" w:eastAsiaTheme="minorEastAsia" w:hAnsiTheme="majorHAnsi" w:cstheme="majorHAnsi"/>
          <w:bCs/>
          <w:iCs/>
          <w:sz w:val="24"/>
          <w:szCs w:val="24"/>
          <w:lang w:val="ro-RO" w:eastAsia="ru-RU"/>
        </w:rPr>
        <w:t>,</w:t>
      </w:r>
      <w:r w:rsidRPr="003A12E6">
        <w:rPr>
          <w:rFonts w:asciiTheme="majorHAnsi" w:eastAsiaTheme="minorEastAsia" w:hAnsiTheme="majorHAnsi" w:cstheme="majorHAnsi"/>
          <w:bCs/>
          <w:iCs/>
          <w:sz w:val="24"/>
          <w:szCs w:val="24"/>
          <w:lang w:val="ro-RO" w:eastAsia="ru-RU"/>
        </w:rPr>
        <w:t xml:space="preserve"> și „Servicii în domeniul economiei” – 15,8%, sau 7 831,7 mil. lei.</w:t>
      </w:r>
      <w:r w:rsidRPr="009131CF">
        <w:rPr>
          <w:rFonts w:asciiTheme="majorHAnsi" w:eastAsiaTheme="minorEastAsia" w:hAnsiTheme="majorHAnsi" w:cstheme="majorHAnsi"/>
          <w:bCs/>
          <w:i/>
          <w:iCs/>
          <w:sz w:val="24"/>
          <w:szCs w:val="24"/>
          <w:lang w:val="ro-RO" w:eastAsia="ru-RU"/>
        </w:rPr>
        <w:t xml:space="preserve"> </w:t>
      </w:r>
      <w:r w:rsidRPr="009131CF">
        <w:rPr>
          <w:rFonts w:asciiTheme="majorHAnsi" w:eastAsiaTheme="minorEastAsia" w:hAnsiTheme="majorHAnsi" w:cstheme="majorHAnsi"/>
          <w:bCs/>
          <w:iCs/>
          <w:sz w:val="24"/>
          <w:szCs w:val="24"/>
          <w:lang w:val="ro-RO" w:eastAsia="ru-RU"/>
        </w:rPr>
        <w:t>Cel mai scăzut nivel de realizare a cheltuielilor precizate pe an se atestă la „Protecția mediului” (81,3%), „Gospodăria de locuințe și gospodăria serviciilor comunale” (81,3%)</w:t>
      </w:r>
      <w:r w:rsidRPr="00E4517B">
        <w:rPr>
          <w:rFonts w:asciiTheme="majorHAnsi" w:eastAsia="Times New Roman" w:hAnsiTheme="majorHAnsi" w:cstheme="majorHAnsi"/>
          <w:sz w:val="24"/>
          <w:szCs w:val="24"/>
          <w:lang w:val="ro-RO" w:eastAsia="ru-RU"/>
        </w:rPr>
        <w:t xml:space="preserve"> </w:t>
      </w:r>
      <w:r w:rsidRPr="00E4517B">
        <w:rPr>
          <w:rFonts w:asciiTheme="majorHAnsi" w:eastAsiaTheme="minorEastAsia" w:hAnsiTheme="majorHAnsi" w:cstheme="majorHAnsi"/>
          <w:bCs/>
          <w:iCs/>
          <w:sz w:val="24"/>
          <w:szCs w:val="24"/>
          <w:lang w:val="ro-RO" w:eastAsia="ru-RU"/>
        </w:rPr>
        <w:t>și „</w:t>
      </w:r>
      <w:r w:rsidRPr="00E4517B">
        <w:rPr>
          <w:rFonts w:asciiTheme="majorHAnsi" w:eastAsia="Times New Roman" w:hAnsiTheme="majorHAnsi" w:cstheme="majorHAnsi"/>
          <w:sz w:val="24"/>
          <w:szCs w:val="24"/>
          <w:lang w:val="ro-RO" w:eastAsia="ru-RU"/>
        </w:rPr>
        <w:t>Ocrotirea sănătății” (87,3%).</w:t>
      </w:r>
      <w:r w:rsidRPr="00E4517B">
        <w:rPr>
          <w:rFonts w:asciiTheme="majorHAnsi" w:eastAsiaTheme="minorEastAsia" w:hAnsiTheme="majorHAnsi" w:cstheme="majorHAnsi"/>
          <w:bCs/>
          <w:iCs/>
          <w:sz w:val="24"/>
          <w:szCs w:val="24"/>
          <w:lang w:val="ro-RO" w:eastAsia="ru-RU"/>
        </w:rPr>
        <w:t xml:space="preserve"> Comparând cheltuielile executate în anul 2020, față de anul 2019, se observă că cele mai semnificative creșteri au fost înregistrate la „Protecția mediului” – cu 73,7%, sau 98,6 mil. lei, urmate de cele executate la „</w:t>
      </w:r>
      <w:r w:rsidRPr="00E4517B">
        <w:rPr>
          <w:rFonts w:asciiTheme="majorHAnsi" w:eastAsia="Times New Roman" w:hAnsiTheme="majorHAnsi" w:cstheme="majorHAnsi"/>
          <w:sz w:val="24"/>
          <w:szCs w:val="24"/>
          <w:lang w:val="ro-RO" w:eastAsia="ru-RU"/>
        </w:rPr>
        <w:t>ocrotirea sănătății” – cu 30,5%, sau 1 156,6 mil. lei, și „Servicii în domeniul economiei” – cu 26,5%, sau 1 639,1 mil. lei.</w:t>
      </w:r>
      <w:r w:rsidRPr="00E4517B">
        <w:rPr>
          <w:rFonts w:asciiTheme="majorHAnsi" w:eastAsiaTheme="minorEastAsia" w:hAnsiTheme="majorHAnsi" w:cstheme="majorHAnsi"/>
          <w:bCs/>
          <w:i/>
          <w:iCs/>
          <w:sz w:val="24"/>
          <w:szCs w:val="24"/>
          <w:lang w:val="ro-RO" w:eastAsia="ru-RU"/>
        </w:rPr>
        <w:t xml:space="preserve"> Analiza auditului privind ponderea cheltuielilor bugetului de stat, în aspect funcțional, </w:t>
      </w:r>
      <w:r w:rsidR="00ED5BEA" w:rsidRPr="00E4517B">
        <w:rPr>
          <w:rFonts w:asciiTheme="majorHAnsi" w:eastAsia="Times New Roman" w:hAnsiTheme="majorHAnsi" w:cstheme="majorHAnsi"/>
          <w:i/>
          <w:sz w:val="24"/>
          <w:szCs w:val="24"/>
          <w:lang w:val="ro-RO" w:eastAsia="ru-RU"/>
        </w:rPr>
        <w:t>s</w:t>
      </w:r>
      <w:r w:rsidR="00D6543E" w:rsidRPr="00E4517B">
        <w:rPr>
          <w:rFonts w:asciiTheme="majorHAnsi" w:eastAsia="Times New Roman" w:hAnsiTheme="majorHAnsi" w:cstheme="majorHAnsi"/>
          <w:i/>
          <w:sz w:val="24"/>
          <w:szCs w:val="24"/>
          <w:lang w:val="ro-RO" w:eastAsia="ru-RU"/>
        </w:rPr>
        <w:t>e prezintă în Anexa nr.1</w:t>
      </w:r>
      <w:r w:rsidR="00ED5BEA" w:rsidRPr="00E4517B">
        <w:rPr>
          <w:rFonts w:asciiTheme="majorHAnsi" w:eastAsia="Times New Roman" w:hAnsiTheme="majorHAnsi" w:cstheme="majorHAnsi"/>
          <w:i/>
          <w:sz w:val="24"/>
          <w:szCs w:val="24"/>
          <w:lang w:val="ro-RO" w:eastAsia="ru-RU"/>
        </w:rPr>
        <w:t>1</w:t>
      </w:r>
      <w:r w:rsidRPr="00E4517B">
        <w:rPr>
          <w:rFonts w:asciiTheme="majorHAnsi" w:eastAsia="Times New Roman" w:hAnsiTheme="majorHAnsi" w:cstheme="majorHAnsi"/>
          <w:i/>
          <w:sz w:val="24"/>
          <w:szCs w:val="24"/>
          <w:lang w:val="ro-RO" w:eastAsia="ru-RU"/>
        </w:rPr>
        <w:t xml:space="preserve"> la prezentul Raport de audit.</w:t>
      </w:r>
    </w:p>
    <w:p w:rsidR="006E2E6A" w:rsidRPr="00F55BA6" w:rsidRDefault="00AC6703" w:rsidP="00854848">
      <w:pPr>
        <w:spacing w:after="0" w:line="276" w:lineRule="auto"/>
        <w:rPr>
          <w:rFonts w:asciiTheme="majorHAnsi" w:hAnsiTheme="majorHAnsi" w:cstheme="majorHAnsi"/>
          <w:sz w:val="24"/>
          <w:szCs w:val="24"/>
          <w:lang w:val="ro-RO"/>
        </w:rPr>
      </w:pPr>
      <w:r w:rsidRPr="00F55BA6">
        <w:rPr>
          <w:rFonts w:asciiTheme="majorHAnsi" w:hAnsiTheme="majorHAnsi" w:cstheme="majorHAnsi"/>
          <w:sz w:val="24"/>
          <w:szCs w:val="24"/>
          <w:lang w:val="ro-RO"/>
        </w:rPr>
        <w:t>Conform art.2 din Legea bugetară anuală, în bugetele unor autorități/instituții bugetare, conform domeniilor de competență, au fost aprobate alocații inițial în sumă de 3 963,3 mil. lei pentru scopuri specifice, ulterior la rectificarea bugetului au fost majorate până la 5 254,6 mil. lei</w:t>
      </w:r>
      <w:r w:rsidR="002F25C9">
        <w:rPr>
          <w:rFonts w:asciiTheme="majorHAnsi" w:hAnsiTheme="majorHAnsi" w:cstheme="majorHAnsi"/>
          <w:sz w:val="24"/>
          <w:szCs w:val="24"/>
          <w:lang w:val="ro-RO"/>
        </w:rPr>
        <w:t>,</w:t>
      </w:r>
      <w:r w:rsidRPr="00F55BA6">
        <w:rPr>
          <w:rFonts w:asciiTheme="majorHAnsi" w:hAnsiTheme="majorHAnsi" w:cstheme="majorHAnsi"/>
          <w:sz w:val="24"/>
          <w:szCs w:val="24"/>
          <w:lang w:val="ro-RO"/>
        </w:rPr>
        <w:t xml:space="preserve"> iar MF a precizat cu 78,2 mil. lei mai mult</w:t>
      </w:r>
      <w:r w:rsidR="002F25C9">
        <w:rPr>
          <w:rFonts w:asciiTheme="majorHAnsi" w:hAnsiTheme="majorHAnsi" w:cstheme="majorHAnsi"/>
          <w:sz w:val="24"/>
          <w:szCs w:val="24"/>
          <w:lang w:val="ro-RO"/>
        </w:rPr>
        <w:t>,</w:t>
      </w:r>
      <w:r w:rsidRPr="00F55BA6">
        <w:rPr>
          <w:rFonts w:asciiTheme="majorHAnsi" w:hAnsiTheme="majorHAnsi" w:cstheme="majorHAnsi"/>
          <w:sz w:val="24"/>
          <w:szCs w:val="24"/>
          <w:lang w:val="ro-RO"/>
        </w:rPr>
        <w:t xml:space="preserve"> </w:t>
      </w:r>
      <w:r w:rsidR="002F25C9">
        <w:rPr>
          <w:rFonts w:asciiTheme="majorHAnsi" w:hAnsiTheme="majorHAnsi" w:cstheme="majorHAnsi"/>
          <w:sz w:val="24"/>
          <w:szCs w:val="24"/>
          <w:lang w:val="ro-RO"/>
        </w:rPr>
        <w:t>iar</w:t>
      </w:r>
      <w:r w:rsidRPr="00F55BA6">
        <w:rPr>
          <w:rFonts w:asciiTheme="majorHAnsi" w:hAnsiTheme="majorHAnsi" w:cstheme="majorHAnsi"/>
          <w:sz w:val="24"/>
          <w:szCs w:val="24"/>
          <w:lang w:val="ro-RO"/>
        </w:rPr>
        <w:t xml:space="preserve"> 5 332,8 mil. lei fiind executate la nivel de 92,5% (4 931,9 mil. lei). MF a modificat suma alocațiilor în </w:t>
      </w:r>
      <w:r w:rsidR="00307B13">
        <w:rPr>
          <w:rFonts w:asciiTheme="majorHAnsi" w:hAnsiTheme="majorHAnsi" w:cstheme="majorHAnsi"/>
          <w:sz w:val="24"/>
          <w:szCs w:val="24"/>
          <w:lang w:val="ro-RO"/>
        </w:rPr>
        <w:t>diminuare</w:t>
      </w:r>
      <w:r w:rsidR="00307B13" w:rsidRPr="00F55BA6">
        <w:rPr>
          <w:rFonts w:asciiTheme="majorHAnsi" w:hAnsiTheme="majorHAnsi" w:cstheme="majorHAnsi"/>
          <w:sz w:val="24"/>
          <w:szCs w:val="24"/>
          <w:lang w:val="ro-RO"/>
        </w:rPr>
        <w:t xml:space="preserve"> </w:t>
      </w:r>
      <w:r w:rsidRPr="00F55BA6">
        <w:rPr>
          <w:rFonts w:asciiTheme="majorHAnsi" w:hAnsiTheme="majorHAnsi" w:cstheme="majorHAnsi"/>
          <w:sz w:val="24"/>
          <w:szCs w:val="24"/>
          <w:lang w:val="ro-RO"/>
        </w:rPr>
        <w:t>față de alocațiile aprobate în Legea bugetară anuală, la realizarea procesului de privatizare a bunurilor proprietate publică de stat, inclusiv în bază de proiecte individuale (-2,2 mil. lei), la Fondul ecologic național (-1,6 mil. lei) și la</w:t>
      </w:r>
      <w:r w:rsidRPr="00F55BA6">
        <w:rPr>
          <w:lang w:val="ro-RO"/>
        </w:rPr>
        <w:t xml:space="preserve"> </w:t>
      </w:r>
      <w:r w:rsidRPr="00F55BA6">
        <w:rPr>
          <w:rFonts w:asciiTheme="majorHAnsi" w:hAnsiTheme="majorHAnsi" w:cstheme="majorHAnsi"/>
          <w:sz w:val="24"/>
          <w:szCs w:val="24"/>
          <w:lang w:val="ro-RO"/>
        </w:rPr>
        <w:t xml:space="preserve">Fondul pentru eficiență energetică (-0,2 mil. lei). Totodată, MF a majorat alocațiile la Fondul național de dezvoltare a agriculturii şi mediului rural (+82,1 mil. lei) și pentru susținerea proiectelor/programelor culturale ale organizațiilor necomerciale (+0,2 mil. lei). Cel mai mic nivel de executare a alocațiilor s-a înregistrat la </w:t>
      </w:r>
      <w:r w:rsidRPr="00F55BA6">
        <w:rPr>
          <w:rFonts w:asciiTheme="majorHAnsi" w:hAnsiTheme="majorHAnsi" w:cstheme="majorHAnsi"/>
          <w:sz w:val="24"/>
          <w:szCs w:val="24"/>
          <w:lang w:val="ro-RO"/>
        </w:rPr>
        <w:lastRenderedPageBreak/>
        <w:t xml:space="preserve">APP – </w:t>
      </w:r>
      <w:r w:rsidR="002F25C9">
        <w:rPr>
          <w:rFonts w:asciiTheme="majorHAnsi" w:hAnsiTheme="majorHAnsi" w:cstheme="majorHAnsi"/>
          <w:sz w:val="24"/>
          <w:szCs w:val="24"/>
          <w:lang w:val="ro-RO"/>
        </w:rPr>
        <w:t xml:space="preserve">cu </w:t>
      </w:r>
      <w:r w:rsidRPr="00F55BA6">
        <w:rPr>
          <w:rFonts w:asciiTheme="majorHAnsi" w:hAnsiTheme="majorHAnsi" w:cstheme="majorHAnsi"/>
          <w:sz w:val="24"/>
          <w:szCs w:val="24"/>
          <w:lang w:val="ro-RO"/>
        </w:rPr>
        <w:t>31,5% față de precizat și</w:t>
      </w:r>
      <w:r w:rsidR="002F25C9">
        <w:rPr>
          <w:rFonts w:asciiTheme="majorHAnsi" w:hAnsiTheme="majorHAnsi" w:cstheme="majorHAnsi"/>
          <w:sz w:val="24"/>
          <w:szCs w:val="24"/>
          <w:lang w:val="ro-RO"/>
        </w:rPr>
        <w:t xml:space="preserve"> cu</w:t>
      </w:r>
      <w:r w:rsidRPr="00F55BA6">
        <w:rPr>
          <w:rFonts w:asciiTheme="majorHAnsi" w:hAnsiTheme="majorHAnsi" w:cstheme="majorHAnsi"/>
          <w:sz w:val="24"/>
          <w:szCs w:val="24"/>
          <w:lang w:val="ro-RO"/>
        </w:rPr>
        <w:t xml:space="preserve"> 18,5% față de aprobat inițial, la MECC – </w:t>
      </w:r>
      <w:r w:rsidR="002F25C9">
        <w:rPr>
          <w:rFonts w:asciiTheme="majorHAnsi" w:hAnsiTheme="majorHAnsi" w:cstheme="majorHAnsi"/>
          <w:sz w:val="24"/>
          <w:szCs w:val="24"/>
          <w:lang w:val="ro-RO"/>
        </w:rPr>
        <w:t xml:space="preserve">cu </w:t>
      </w:r>
      <w:r w:rsidRPr="00F55BA6">
        <w:rPr>
          <w:rFonts w:asciiTheme="majorHAnsi" w:hAnsiTheme="majorHAnsi" w:cstheme="majorHAnsi"/>
          <w:sz w:val="24"/>
          <w:szCs w:val="24"/>
          <w:lang w:val="ro-RO"/>
        </w:rPr>
        <w:t xml:space="preserve">36,3% față de precizat și </w:t>
      </w:r>
      <w:r w:rsidR="002F25C9">
        <w:rPr>
          <w:rFonts w:asciiTheme="majorHAnsi" w:hAnsiTheme="majorHAnsi" w:cstheme="majorHAnsi"/>
          <w:sz w:val="24"/>
          <w:szCs w:val="24"/>
          <w:lang w:val="ro-RO"/>
        </w:rPr>
        <w:t xml:space="preserve">cu </w:t>
      </w:r>
      <w:r w:rsidRPr="00F55BA6">
        <w:rPr>
          <w:rFonts w:asciiTheme="majorHAnsi" w:hAnsiTheme="majorHAnsi" w:cstheme="majorHAnsi"/>
          <w:sz w:val="24"/>
          <w:szCs w:val="24"/>
          <w:lang w:val="ro-RO"/>
        </w:rPr>
        <w:t xml:space="preserve">32,4% față de aprobat inițial și la IP </w:t>
      </w:r>
      <w:r w:rsidR="002F25C9">
        <w:rPr>
          <w:rFonts w:asciiTheme="majorHAnsi" w:hAnsiTheme="majorHAnsi" w:cstheme="majorHAnsi"/>
          <w:sz w:val="24"/>
          <w:szCs w:val="24"/>
          <w:lang w:val="ro-RO"/>
        </w:rPr>
        <w:t>„</w:t>
      </w:r>
      <w:r w:rsidRPr="00F55BA6">
        <w:rPr>
          <w:rFonts w:asciiTheme="majorHAnsi" w:hAnsiTheme="majorHAnsi" w:cstheme="majorHAnsi"/>
          <w:sz w:val="24"/>
          <w:szCs w:val="24"/>
          <w:lang w:val="ro-RO"/>
        </w:rPr>
        <w:t xml:space="preserve">Oficiul Național al Viei și Vinului” – </w:t>
      </w:r>
      <w:r w:rsidR="002F25C9">
        <w:rPr>
          <w:rFonts w:asciiTheme="majorHAnsi" w:hAnsiTheme="majorHAnsi" w:cstheme="majorHAnsi"/>
          <w:sz w:val="24"/>
          <w:szCs w:val="24"/>
          <w:lang w:val="ro-RO"/>
        </w:rPr>
        <w:t xml:space="preserve">cu </w:t>
      </w:r>
      <w:r w:rsidRPr="00F55BA6">
        <w:rPr>
          <w:rFonts w:asciiTheme="majorHAnsi" w:hAnsiTheme="majorHAnsi" w:cstheme="majorHAnsi"/>
          <w:sz w:val="24"/>
          <w:szCs w:val="24"/>
          <w:lang w:val="ro-RO"/>
        </w:rPr>
        <w:t xml:space="preserve">51,9% față de precizat și </w:t>
      </w:r>
      <w:r w:rsidR="002F25C9">
        <w:rPr>
          <w:rFonts w:asciiTheme="majorHAnsi" w:hAnsiTheme="majorHAnsi" w:cstheme="majorHAnsi"/>
          <w:sz w:val="24"/>
          <w:szCs w:val="24"/>
          <w:lang w:val="ro-RO"/>
        </w:rPr>
        <w:t xml:space="preserve">cu </w:t>
      </w:r>
      <w:r w:rsidRPr="00F55BA6">
        <w:rPr>
          <w:rFonts w:asciiTheme="majorHAnsi" w:hAnsiTheme="majorHAnsi" w:cstheme="majorHAnsi"/>
          <w:sz w:val="24"/>
          <w:szCs w:val="24"/>
          <w:lang w:val="ro-RO"/>
        </w:rPr>
        <w:t>43,4% față de aprobat inițial.</w:t>
      </w:r>
    </w:p>
    <w:p w:rsidR="00D9349D" w:rsidRPr="00F55BA6" w:rsidRDefault="00071637" w:rsidP="00D9349D">
      <w:pPr>
        <w:spacing w:after="0"/>
        <w:rPr>
          <w:rFonts w:asciiTheme="majorHAnsi" w:eastAsia="Times New Roman" w:hAnsiTheme="majorHAnsi" w:cstheme="majorHAnsi"/>
          <w:b/>
          <w:sz w:val="24"/>
          <w:szCs w:val="24"/>
          <w:lang w:val="ro-RO"/>
        </w:rPr>
      </w:pPr>
      <w:r w:rsidRPr="00F55BA6">
        <w:rPr>
          <w:rFonts w:asciiTheme="majorHAnsi" w:eastAsia="Times New Roman" w:hAnsiTheme="majorHAnsi" w:cstheme="majorHAnsi"/>
          <w:b/>
          <w:sz w:val="24"/>
          <w:szCs w:val="24"/>
          <w:lang w:val="ro-RO"/>
        </w:rPr>
        <w:t xml:space="preserve">7.2.1 </w:t>
      </w:r>
      <w:r w:rsidR="00934AFD" w:rsidRPr="00F55BA6">
        <w:rPr>
          <w:rFonts w:asciiTheme="majorHAnsi" w:eastAsia="Times New Roman" w:hAnsiTheme="majorHAnsi" w:cstheme="majorHAnsi"/>
          <w:b/>
          <w:sz w:val="24"/>
          <w:szCs w:val="24"/>
          <w:lang w:val="ro-RO"/>
        </w:rPr>
        <w:t>Î</w:t>
      </w:r>
      <w:r w:rsidR="00D9349D" w:rsidRPr="00F55BA6">
        <w:rPr>
          <w:rFonts w:asciiTheme="majorHAnsi" w:eastAsia="Times New Roman" w:hAnsiTheme="majorHAnsi" w:cstheme="majorHAnsi"/>
          <w:b/>
          <w:sz w:val="24"/>
          <w:szCs w:val="24"/>
          <w:lang w:val="ro-RO"/>
        </w:rPr>
        <w:t xml:space="preserve">n anul 2020 (1 154,3 mil. lei) au fost achitate dobânzi </w:t>
      </w:r>
      <w:r w:rsidR="00934AFD" w:rsidRPr="00F55BA6">
        <w:rPr>
          <w:rFonts w:asciiTheme="majorHAnsi" w:eastAsia="Times New Roman" w:hAnsiTheme="majorHAnsi" w:cstheme="majorHAnsi"/>
          <w:b/>
          <w:sz w:val="24"/>
          <w:szCs w:val="24"/>
          <w:lang w:val="ro-RO"/>
        </w:rPr>
        <w:t xml:space="preserve">la obligațiunile de stat emise </w:t>
      </w:r>
      <w:r w:rsidR="00D9349D" w:rsidRPr="00F55BA6">
        <w:rPr>
          <w:rFonts w:asciiTheme="majorHAnsi" w:eastAsia="Times New Roman" w:hAnsiTheme="majorHAnsi" w:cstheme="majorHAnsi"/>
          <w:b/>
          <w:sz w:val="24"/>
          <w:szCs w:val="24"/>
          <w:lang w:val="ro-RO"/>
        </w:rPr>
        <w:t>în sumă de 21,9 mil. lei</w:t>
      </w:r>
      <w:r w:rsidR="002F25C9">
        <w:rPr>
          <w:rFonts w:asciiTheme="majorHAnsi" w:eastAsia="Times New Roman" w:hAnsiTheme="majorHAnsi" w:cstheme="majorHAnsi"/>
          <w:b/>
          <w:sz w:val="24"/>
          <w:szCs w:val="24"/>
          <w:lang w:val="ro-RO"/>
        </w:rPr>
        <w:t>,</w:t>
      </w:r>
      <w:r w:rsidR="00D9349D" w:rsidRPr="00F55BA6">
        <w:rPr>
          <w:rFonts w:asciiTheme="majorHAnsi" w:eastAsia="Times New Roman" w:hAnsiTheme="majorHAnsi" w:cstheme="majorHAnsi"/>
          <w:b/>
          <w:sz w:val="24"/>
          <w:szCs w:val="24"/>
          <w:lang w:val="ro-RO"/>
        </w:rPr>
        <w:t xml:space="preserve"> iar în anii următori la scadență vor mai fi achitate dobânzi din BS în sumă totală de 225,9 mil. lei</w:t>
      </w:r>
      <w:r w:rsidR="00307B13">
        <w:rPr>
          <w:rFonts w:asciiTheme="majorHAnsi" w:eastAsia="Times New Roman" w:hAnsiTheme="majorHAnsi" w:cstheme="majorHAnsi"/>
          <w:b/>
          <w:sz w:val="24"/>
          <w:szCs w:val="24"/>
          <w:lang w:val="ro-RO"/>
        </w:rPr>
        <w:t>.</w:t>
      </w:r>
    </w:p>
    <w:p w:rsidR="00D9349D" w:rsidRPr="00F55BA6" w:rsidRDefault="00D9349D" w:rsidP="00D9349D">
      <w:pPr>
        <w:spacing w:after="0" w:line="276" w:lineRule="auto"/>
        <w:rPr>
          <w:rFonts w:asciiTheme="majorHAnsi" w:eastAsia="Times New Roman" w:hAnsiTheme="majorHAnsi" w:cstheme="majorHAnsi"/>
          <w:sz w:val="24"/>
          <w:szCs w:val="24"/>
          <w:lang w:val="ro-RO"/>
        </w:rPr>
      </w:pPr>
      <w:r w:rsidRPr="00F55BA6">
        <w:rPr>
          <w:rFonts w:asciiTheme="majorHAnsi" w:eastAsia="Times New Roman" w:hAnsiTheme="majorHAnsi" w:cstheme="majorHAnsi"/>
          <w:sz w:val="24"/>
          <w:szCs w:val="24"/>
          <w:lang w:val="ro-RO"/>
        </w:rPr>
        <w:t>Pentru serviciul datoriei de stat externe</w:t>
      </w:r>
      <w:r w:rsidR="008878FF">
        <w:rPr>
          <w:rFonts w:asciiTheme="majorHAnsi" w:eastAsia="Times New Roman" w:hAnsiTheme="majorHAnsi" w:cstheme="majorHAnsi"/>
          <w:sz w:val="24"/>
          <w:szCs w:val="24"/>
          <w:lang w:val="ro-RO"/>
        </w:rPr>
        <w:t>,</w:t>
      </w:r>
      <w:r w:rsidRPr="00F55BA6">
        <w:rPr>
          <w:rFonts w:asciiTheme="majorHAnsi" w:eastAsia="Times New Roman" w:hAnsiTheme="majorHAnsi" w:cstheme="majorHAnsi"/>
          <w:sz w:val="24"/>
          <w:szCs w:val="24"/>
          <w:lang w:val="ro-RO"/>
        </w:rPr>
        <w:t xml:space="preserve"> în anul 2020 au fost executate mijloace financiare din BS în sumă de 361,5 mil. lei</w:t>
      </w:r>
      <w:r w:rsidR="008878FF">
        <w:rPr>
          <w:rFonts w:asciiTheme="majorHAnsi" w:eastAsia="Times New Roman" w:hAnsiTheme="majorHAnsi" w:cstheme="majorHAnsi"/>
          <w:sz w:val="24"/>
          <w:szCs w:val="24"/>
          <w:lang w:val="ro-RO"/>
        </w:rPr>
        <w:t>,</w:t>
      </w:r>
      <w:r w:rsidRPr="00F55BA6">
        <w:rPr>
          <w:rFonts w:asciiTheme="majorHAnsi" w:eastAsia="Times New Roman" w:hAnsiTheme="majorHAnsi" w:cstheme="majorHAnsi"/>
          <w:sz w:val="24"/>
          <w:szCs w:val="24"/>
          <w:lang w:val="ro-RO"/>
        </w:rPr>
        <w:t xml:space="preserve"> sau 82,5% din suma precizată pe an, dar cu 50,6 mil. lei mai puțin față de anul 2019. Totodată, pentru serviciul datoriei de stat interne</w:t>
      </w:r>
      <w:r w:rsidR="00B801C3">
        <w:rPr>
          <w:rFonts w:asciiTheme="majorHAnsi" w:eastAsia="Times New Roman" w:hAnsiTheme="majorHAnsi" w:cstheme="majorHAnsi"/>
          <w:sz w:val="24"/>
          <w:szCs w:val="24"/>
          <w:lang w:val="ro-RO"/>
        </w:rPr>
        <w:t>,</w:t>
      </w:r>
      <w:r w:rsidRPr="00F55BA6">
        <w:rPr>
          <w:rFonts w:asciiTheme="majorHAnsi" w:eastAsia="Times New Roman" w:hAnsiTheme="majorHAnsi" w:cstheme="majorHAnsi"/>
          <w:sz w:val="24"/>
          <w:szCs w:val="24"/>
          <w:lang w:val="ro-RO"/>
        </w:rPr>
        <w:t xml:space="preserve"> în anul 2020 au fost executate mijloace financiare în sumă de 1 322,7 mil. lei</w:t>
      </w:r>
      <w:r w:rsidR="00B801C3">
        <w:rPr>
          <w:rFonts w:asciiTheme="majorHAnsi" w:eastAsia="Times New Roman" w:hAnsiTheme="majorHAnsi" w:cstheme="majorHAnsi"/>
          <w:sz w:val="24"/>
          <w:szCs w:val="24"/>
          <w:lang w:val="ro-RO"/>
        </w:rPr>
        <w:t>,</w:t>
      </w:r>
      <w:r w:rsidRPr="00F55BA6">
        <w:rPr>
          <w:rFonts w:asciiTheme="majorHAnsi" w:eastAsia="Times New Roman" w:hAnsiTheme="majorHAnsi" w:cstheme="majorHAnsi"/>
          <w:sz w:val="24"/>
          <w:szCs w:val="24"/>
          <w:lang w:val="ro-RO"/>
        </w:rPr>
        <w:t xml:space="preserve"> sau 99,6% din suma precizată pe an. Cheltuielile pentru serviciul datoriei de stat interne s-au majorat cu 115,3 mil. lei</w:t>
      </w:r>
      <w:r w:rsidR="00B801C3">
        <w:rPr>
          <w:rFonts w:asciiTheme="majorHAnsi" w:eastAsia="Times New Roman" w:hAnsiTheme="majorHAnsi" w:cstheme="majorHAnsi"/>
          <w:sz w:val="24"/>
          <w:szCs w:val="24"/>
          <w:lang w:val="ro-RO"/>
        </w:rPr>
        <w:t>,</w:t>
      </w:r>
      <w:r w:rsidRPr="00F55BA6">
        <w:rPr>
          <w:rFonts w:asciiTheme="majorHAnsi" w:eastAsia="Times New Roman" w:hAnsiTheme="majorHAnsi" w:cstheme="majorHAnsi"/>
          <w:sz w:val="24"/>
          <w:szCs w:val="24"/>
          <w:lang w:val="ro-RO"/>
        </w:rPr>
        <w:t xml:space="preserve"> sau cu 9,5% în comparație cu anul 2019, acest fapt dator</w:t>
      </w:r>
      <w:r w:rsidR="00B801C3">
        <w:rPr>
          <w:rFonts w:asciiTheme="majorHAnsi" w:eastAsia="Times New Roman" w:hAnsiTheme="majorHAnsi" w:cstheme="majorHAnsi"/>
          <w:sz w:val="24"/>
          <w:szCs w:val="24"/>
          <w:lang w:val="ro-RO"/>
        </w:rPr>
        <w:t>ându-se</w:t>
      </w:r>
      <w:r w:rsidRPr="00F55BA6">
        <w:rPr>
          <w:rFonts w:asciiTheme="majorHAnsi" w:eastAsia="Times New Roman" w:hAnsiTheme="majorHAnsi" w:cstheme="majorHAnsi"/>
          <w:sz w:val="24"/>
          <w:szCs w:val="24"/>
          <w:lang w:val="ro-RO"/>
        </w:rPr>
        <w:t xml:space="preserve"> în mare parte deservirii unui volum mai mare de VMS emise pe piața primară în anul 2020</w:t>
      </w:r>
      <w:r w:rsidR="00B801C3">
        <w:rPr>
          <w:rFonts w:asciiTheme="majorHAnsi" w:eastAsia="Times New Roman" w:hAnsiTheme="majorHAnsi" w:cstheme="majorHAnsi"/>
          <w:sz w:val="24"/>
          <w:szCs w:val="24"/>
          <w:lang w:val="ro-RO"/>
        </w:rPr>
        <w:t>,</w:t>
      </w:r>
      <w:r w:rsidRPr="00F55BA6">
        <w:rPr>
          <w:rFonts w:asciiTheme="majorHAnsi" w:eastAsia="Times New Roman" w:hAnsiTheme="majorHAnsi" w:cstheme="majorHAnsi"/>
          <w:sz w:val="24"/>
          <w:szCs w:val="24"/>
          <w:lang w:val="ro-RO"/>
        </w:rPr>
        <w:t xml:space="preserve"> comparativ cu anul precedent. Pe parcursul anului 2020, au fost achitate dobânzi pe</w:t>
      </w:r>
      <w:r w:rsidR="00B801C3">
        <w:rPr>
          <w:rFonts w:asciiTheme="majorHAnsi" w:eastAsia="Times New Roman" w:hAnsiTheme="majorHAnsi" w:cstheme="majorHAnsi"/>
          <w:sz w:val="24"/>
          <w:szCs w:val="24"/>
          <w:lang w:val="ro-RO"/>
        </w:rPr>
        <w:t>ntru</w:t>
      </w:r>
      <w:r w:rsidRPr="00F55BA6">
        <w:rPr>
          <w:rFonts w:asciiTheme="majorHAnsi" w:eastAsia="Times New Roman" w:hAnsiTheme="majorHAnsi" w:cstheme="majorHAnsi"/>
          <w:sz w:val="24"/>
          <w:szCs w:val="24"/>
          <w:lang w:val="ro-RO"/>
        </w:rPr>
        <w:t xml:space="preserve"> VMS emise pe piața primară în sumă totală de 567,8 mil. lei, din care 418,1 mil. lei pentru bonuri</w:t>
      </w:r>
      <w:r w:rsidR="00007515">
        <w:rPr>
          <w:rFonts w:asciiTheme="majorHAnsi" w:eastAsia="Times New Roman" w:hAnsiTheme="majorHAnsi" w:cstheme="majorHAnsi"/>
          <w:sz w:val="24"/>
          <w:szCs w:val="24"/>
          <w:lang w:val="ro-RO"/>
        </w:rPr>
        <w:t>le</w:t>
      </w:r>
      <w:r w:rsidRPr="00F55BA6">
        <w:rPr>
          <w:rFonts w:asciiTheme="majorHAnsi" w:eastAsia="Times New Roman" w:hAnsiTheme="majorHAnsi" w:cstheme="majorHAnsi"/>
          <w:sz w:val="24"/>
          <w:szCs w:val="24"/>
          <w:lang w:val="ro-RO"/>
        </w:rPr>
        <w:t xml:space="preserve"> de trezorerie și 149,7 mil. lei pentru obligațiuni</w:t>
      </w:r>
      <w:r w:rsidR="00007515">
        <w:rPr>
          <w:rFonts w:asciiTheme="majorHAnsi" w:eastAsia="Times New Roman" w:hAnsiTheme="majorHAnsi" w:cstheme="majorHAnsi"/>
          <w:sz w:val="24"/>
          <w:szCs w:val="24"/>
          <w:lang w:val="ro-RO"/>
        </w:rPr>
        <w:t>le</w:t>
      </w:r>
      <w:r w:rsidRPr="00F55BA6">
        <w:rPr>
          <w:rFonts w:asciiTheme="majorHAnsi" w:eastAsia="Times New Roman" w:hAnsiTheme="majorHAnsi" w:cstheme="majorHAnsi"/>
          <w:sz w:val="24"/>
          <w:szCs w:val="24"/>
          <w:lang w:val="ro-RO"/>
        </w:rPr>
        <w:t xml:space="preserve"> de stat. Termenul de circulație a VMS s</w:t>
      </w:r>
      <w:r w:rsidR="004946B2">
        <w:rPr>
          <w:rFonts w:asciiTheme="majorHAnsi" w:eastAsia="Times New Roman" w:hAnsiTheme="majorHAnsi" w:cstheme="majorHAnsi"/>
          <w:sz w:val="24"/>
          <w:szCs w:val="24"/>
          <w:lang w:val="ro-RO"/>
        </w:rPr>
        <w:t>u</w:t>
      </w:r>
      <w:r w:rsidRPr="00F55BA6">
        <w:rPr>
          <w:rFonts w:asciiTheme="majorHAnsi" w:eastAsia="Times New Roman" w:hAnsiTheme="majorHAnsi" w:cstheme="majorHAnsi"/>
          <w:sz w:val="24"/>
          <w:szCs w:val="24"/>
          <w:lang w:val="ro-RO"/>
        </w:rPr>
        <w:t xml:space="preserve">nt </w:t>
      </w:r>
      <w:r w:rsidR="00007515">
        <w:rPr>
          <w:rFonts w:asciiTheme="majorHAnsi" w:eastAsia="Times New Roman" w:hAnsiTheme="majorHAnsi" w:cstheme="majorHAnsi"/>
          <w:sz w:val="24"/>
          <w:szCs w:val="24"/>
          <w:lang w:val="ro-RO"/>
        </w:rPr>
        <w:t xml:space="preserve">de </w:t>
      </w:r>
      <w:r w:rsidRPr="00F55BA6">
        <w:rPr>
          <w:rFonts w:asciiTheme="majorHAnsi" w:eastAsia="Times New Roman" w:hAnsiTheme="majorHAnsi" w:cstheme="majorHAnsi"/>
          <w:sz w:val="24"/>
          <w:szCs w:val="24"/>
          <w:lang w:val="ro-RO"/>
        </w:rPr>
        <w:t xml:space="preserve">91, 182 și 364 </w:t>
      </w:r>
      <w:r w:rsidR="00007515">
        <w:rPr>
          <w:rFonts w:asciiTheme="majorHAnsi" w:eastAsia="Times New Roman" w:hAnsiTheme="majorHAnsi" w:cstheme="majorHAnsi"/>
          <w:sz w:val="24"/>
          <w:szCs w:val="24"/>
          <w:lang w:val="ro-RO"/>
        </w:rPr>
        <w:t xml:space="preserve">de </w:t>
      </w:r>
      <w:r w:rsidRPr="00F55BA6">
        <w:rPr>
          <w:rFonts w:asciiTheme="majorHAnsi" w:eastAsia="Times New Roman" w:hAnsiTheme="majorHAnsi" w:cstheme="majorHAnsi"/>
          <w:sz w:val="24"/>
          <w:szCs w:val="24"/>
          <w:lang w:val="ro-RO"/>
        </w:rPr>
        <w:t xml:space="preserve">zile pentru bonurile de trezorerie și de la 1 an </w:t>
      </w:r>
      <w:r w:rsidR="00007515">
        <w:rPr>
          <w:rFonts w:asciiTheme="majorHAnsi" w:eastAsia="Times New Roman" w:hAnsiTheme="majorHAnsi" w:cstheme="majorHAnsi"/>
          <w:sz w:val="24"/>
          <w:szCs w:val="24"/>
          <w:lang w:val="ro-RO"/>
        </w:rPr>
        <w:t>la</w:t>
      </w:r>
      <w:r w:rsidRPr="00F55BA6">
        <w:rPr>
          <w:rFonts w:asciiTheme="majorHAnsi" w:eastAsia="Times New Roman" w:hAnsiTheme="majorHAnsi" w:cstheme="majorHAnsi"/>
          <w:sz w:val="24"/>
          <w:szCs w:val="24"/>
          <w:lang w:val="ro-RO"/>
        </w:rPr>
        <w:t xml:space="preserve"> 5 ani pentru obligațiunile de stat.</w:t>
      </w:r>
    </w:p>
    <w:p w:rsidR="00D9349D" w:rsidRPr="00F55BA6" w:rsidRDefault="00D9349D" w:rsidP="00D9349D">
      <w:pPr>
        <w:spacing w:after="0" w:line="276" w:lineRule="auto"/>
        <w:rPr>
          <w:rFonts w:asciiTheme="majorHAnsi" w:eastAsia="Times New Roman" w:hAnsiTheme="majorHAnsi" w:cstheme="majorHAnsi"/>
          <w:sz w:val="24"/>
          <w:szCs w:val="24"/>
          <w:lang w:val="ro-RO"/>
        </w:rPr>
      </w:pPr>
      <w:r w:rsidRPr="00F55BA6">
        <w:rPr>
          <w:rFonts w:asciiTheme="majorHAnsi" w:eastAsia="Times New Roman" w:hAnsiTheme="majorHAnsi" w:cstheme="majorHAnsi"/>
          <w:sz w:val="24"/>
          <w:szCs w:val="24"/>
          <w:lang w:val="ro-RO"/>
        </w:rPr>
        <w:t xml:space="preserve">În anul 2020 au fost emise bonuri de trezorerie în sumă totală de 16 316,9 mil. lei, fiind achitate dobânzi din BS în sumă totală de 419,5 mil. lei, din care 102,4 mil. lei pentru </w:t>
      </w:r>
      <w:r w:rsidR="001E2011" w:rsidRPr="00F55BA6">
        <w:rPr>
          <w:rFonts w:asciiTheme="majorHAnsi" w:eastAsia="Times New Roman" w:hAnsiTheme="majorHAnsi" w:cstheme="majorHAnsi"/>
          <w:sz w:val="24"/>
          <w:szCs w:val="24"/>
          <w:lang w:val="ro-RO"/>
        </w:rPr>
        <w:t>bonuri de trezorerie</w:t>
      </w:r>
      <w:r w:rsidRPr="00F55BA6">
        <w:rPr>
          <w:rFonts w:asciiTheme="majorHAnsi" w:eastAsia="Times New Roman" w:hAnsiTheme="majorHAnsi" w:cstheme="majorHAnsi"/>
          <w:sz w:val="24"/>
          <w:szCs w:val="24"/>
          <w:lang w:val="ro-RO"/>
        </w:rPr>
        <w:t xml:space="preserve"> emise în anul 2020 și cu termenul de achitare în anul curent și 317,1 mil. lei pentru BT emise în anul precedent. Totodată, au fost micșorate cheltuielile pentru deservirea datoriei de stat interne în anul 2020 cu 1,4 mil. lei din încasările obținute de la plasarea valorilor mobiliare de stat în sumă ce depășește valoarea nominală a acestora conform art.19 alin. (4) din Legea nr.419 din 22.12.2006</w:t>
      </w:r>
      <w:r w:rsidRPr="00F55BA6">
        <w:rPr>
          <w:rFonts w:asciiTheme="majorHAnsi" w:eastAsia="Times New Roman" w:hAnsiTheme="majorHAnsi" w:cstheme="majorHAnsi"/>
          <w:sz w:val="24"/>
          <w:szCs w:val="24"/>
          <w:vertAlign w:val="superscript"/>
          <w:lang w:val="ro-RO"/>
        </w:rPr>
        <w:footnoteReference w:id="97"/>
      </w:r>
      <w:r w:rsidRPr="00F55BA6">
        <w:rPr>
          <w:rFonts w:asciiTheme="majorHAnsi" w:eastAsia="Times New Roman" w:hAnsiTheme="majorHAnsi" w:cstheme="majorHAnsi"/>
          <w:sz w:val="24"/>
          <w:szCs w:val="24"/>
          <w:lang w:val="ro-RO"/>
        </w:rPr>
        <w:t xml:space="preserve">, astfel dobânzile achitate din BS constituind 418,1 mil. lei. </w:t>
      </w:r>
    </w:p>
    <w:p w:rsidR="00D9349D" w:rsidRPr="00F55BA6" w:rsidRDefault="00D9349D" w:rsidP="00854848">
      <w:pPr>
        <w:spacing w:after="0" w:line="276" w:lineRule="auto"/>
        <w:rPr>
          <w:rFonts w:asciiTheme="majorHAnsi" w:eastAsia="Times New Roman" w:hAnsiTheme="majorHAnsi" w:cstheme="majorHAnsi"/>
          <w:i/>
          <w:sz w:val="24"/>
          <w:szCs w:val="24"/>
          <w:lang w:val="ro-RO"/>
        </w:rPr>
      </w:pPr>
      <w:r w:rsidRPr="00F55BA6">
        <w:rPr>
          <w:rFonts w:asciiTheme="majorHAnsi" w:eastAsia="Times New Roman" w:hAnsiTheme="majorHAnsi" w:cstheme="majorHAnsi"/>
          <w:sz w:val="24"/>
          <w:szCs w:val="24"/>
          <w:lang w:val="ro-RO"/>
        </w:rPr>
        <w:t xml:space="preserve">În anul 2020 au fost emise obligațiuni de stat în sumă totală de 1 154,4 mil. lei, pentru care au fost achitate dobânzi în anul 2020 în sumă de 21,9 mil. lei, iar în anii următori la scadență vor mai fi achitate dobânzi din BS în sumă totală de 225,9 mil. lei. </w:t>
      </w:r>
    </w:p>
    <w:p w:rsidR="00E470B5" w:rsidRPr="00F55BA6" w:rsidRDefault="00071637" w:rsidP="00E470B5">
      <w:pPr>
        <w:spacing w:after="0"/>
        <w:rPr>
          <w:rFonts w:asciiTheme="majorHAnsi" w:hAnsiTheme="majorHAnsi" w:cstheme="majorHAnsi"/>
          <w:b/>
          <w:sz w:val="24"/>
          <w:szCs w:val="24"/>
          <w:lang w:val="ro-RO"/>
        </w:rPr>
      </w:pPr>
      <w:r w:rsidRPr="00F55BA6">
        <w:rPr>
          <w:rFonts w:asciiTheme="majorHAnsi" w:hAnsiTheme="majorHAnsi" w:cstheme="majorHAnsi"/>
          <w:b/>
          <w:sz w:val="24"/>
          <w:szCs w:val="24"/>
          <w:lang w:val="ro-RO"/>
        </w:rPr>
        <w:t xml:space="preserve">7.2.2 </w:t>
      </w:r>
      <w:r w:rsidR="00E470B5" w:rsidRPr="00F55BA6">
        <w:rPr>
          <w:rFonts w:asciiTheme="majorHAnsi" w:hAnsiTheme="majorHAnsi" w:cstheme="majorHAnsi"/>
          <w:b/>
          <w:sz w:val="24"/>
          <w:szCs w:val="24"/>
          <w:lang w:val="ro-RO"/>
        </w:rPr>
        <w:t>Transferurile către alte bugete constituie 54,2% din totalul cheltuielilor BS, cu o creștere față de anul precedent cu 3 822,2 mil. lei</w:t>
      </w:r>
      <w:r w:rsidR="002406A2">
        <w:rPr>
          <w:rFonts w:asciiTheme="majorHAnsi" w:hAnsiTheme="majorHAnsi" w:cstheme="majorHAnsi"/>
          <w:b/>
          <w:sz w:val="24"/>
          <w:szCs w:val="24"/>
          <w:lang w:val="ro-RO"/>
        </w:rPr>
        <w:t>.</w:t>
      </w:r>
    </w:p>
    <w:p w:rsidR="00E470B5" w:rsidRPr="00F55BA6" w:rsidRDefault="00E470B5" w:rsidP="00E470B5">
      <w:pPr>
        <w:spacing w:after="0" w:line="276" w:lineRule="auto"/>
        <w:rPr>
          <w:rFonts w:asciiTheme="majorHAnsi" w:eastAsia="MS Mincho" w:hAnsiTheme="majorHAnsi" w:cstheme="majorHAnsi"/>
          <w:sz w:val="24"/>
          <w:szCs w:val="24"/>
          <w:lang w:val="ro-RO" w:eastAsia="ja-JP"/>
        </w:rPr>
      </w:pPr>
      <w:r w:rsidRPr="00F55BA6">
        <w:rPr>
          <w:rFonts w:asciiTheme="majorHAnsi" w:eastAsia="MS Mincho" w:hAnsiTheme="majorHAnsi" w:cstheme="majorHAnsi"/>
          <w:sz w:val="24"/>
          <w:szCs w:val="24"/>
          <w:lang w:val="ro-RO" w:eastAsia="ja-JP"/>
        </w:rPr>
        <w:t>Pentru anul 2020, în bugetul de stat au fost aprobate transferuri</w:t>
      </w:r>
      <w:r w:rsidRPr="00F55BA6">
        <w:rPr>
          <w:rStyle w:val="ac"/>
          <w:rFonts w:asciiTheme="majorHAnsi" w:eastAsia="MS Mincho" w:hAnsiTheme="majorHAnsi" w:cstheme="majorHAnsi"/>
          <w:sz w:val="24"/>
          <w:szCs w:val="24"/>
          <w:lang w:val="ro-RO" w:eastAsia="ja-JP"/>
        </w:rPr>
        <w:footnoteReference w:id="98"/>
      </w:r>
      <w:r w:rsidRPr="00F55BA6">
        <w:rPr>
          <w:rFonts w:asciiTheme="majorHAnsi" w:eastAsia="MS Mincho" w:hAnsiTheme="majorHAnsi" w:cstheme="majorHAnsi"/>
          <w:sz w:val="24"/>
          <w:szCs w:val="24"/>
          <w:lang w:val="ro-RO" w:eastAsia="ja-JP"/>
        </w:rPr>
        <w:t xml:space="preserve"> către alte bugete în sumă totală de 24 847,2 mil. lei, dintre care la: BASS – 8 560,5 mil. lei, FAOAM – 3 005,7 mil. lei, BUAT – 13 281,1 mil. lei. </w:t>
      </w:r>
      <w:r w:rsidR="003A30EC">
        <w:rPr>
          <w:rFonts w:asciiTheme="majorHAnsi" w:eastAsia="MS Mincho" w:hAnsiTheme="majorHAnsi" w:cstheme="majorHAnsi"/>
          <w:sz w:val="24"/>
          <w:szCs w:val="24"/>
          <w:lang w:val="ro-RO" w:eastAsia="ja-JP"/>
        </w:rPr>
        <w:t>Ca u</w:t>
      </w:r>
      <w:r w:rsidRPr="00F55BA6">
        <w:rPr>
          <w:rFonts w:asciiTheme="majorHAnsi" w:eastAsia="MS Mincho" w:hAnsiTheme="majorHAnsi" w:cstheme="majorHAnsi"/>
          <w:sz w:val="24"/>
          <w:szCs w:val="24"/>
          <w:lang w:val="ro-RO" w:eastAsia="ja-JP"/>
        </w:rPr>
        <w:t xml:space="preserve">rmare </w:t>
      </w:r>
      <w:r w:rsidR="003A30EC">
        <w:rPr>
          <w:rFonts w:asciiTheme="majorHAnsi" w:eastAsia="MS Mincho" w:hAnsiTheme="majorHAnsi" w:cstheme="majorHAnsi"/>
          <w:sz w:val="24"/>
          <w:szCs w:val="24"/>
          <w:lang w:val="ro-RO" w:eastAsia="ja-JP"/>
        </w:rPr>
        <w:t xml:space="preserve">a </w:t>
      </w:r>
      <w:r w:rsidRPr="00F55BA6">
        <w:rPr>
          <w:rFonts w:asciiTheme="majorHAnsi" w:eastAsia="MS Mincho" w:hAnsiTheme="majorHAnsi" w:cstheme="majorHAnsi"/>
          <w:sz w:val="24"/>
          <w:szCs w:val="24"/>
          <w:lang w:val="ro-RO" w:eastAsia="ja-JP"/>
        </w:rPr>
        <w:t>rectificării bugetului</w:t>
      </w:r>
      <w:r w:rsidR="003A30EC">
        <w:rPr>
          <w:rFonts w:asciiTheme="majorHAnsi" w:eastAsia="MS Mincho" w:hAnsiTheme="majorHAnsi" w:cstheme="majorHAnsi"/>
          <w:sz w:val="24"/>
          <w:szCs w:val="24"/>
          <w:lang w:val="ro-RO" w:eastAsia="ja-JP"/>
        </w:rPr>
        <w:t>,</w:t>
      </w:r>
      <w:r w:rsidRPr="00F55BA6">
        <w:rPr>
          <w:rFonts w:asciiTheme="majorHAnsi" w:eastAsia="MS Mincho" w:hAnsiTheme="majorHAnsi" w:cstheme="majorHAnsi"/>
          <w:sz w:val="24"/>
          <w:szCs w:val="24"/>
          <w:lang w:val="ro-RO" w:eastAsia="ja-JP"/>
        </w:rPr>
        <w:t xml:space="preserve"> valoarea totală a transferurilor s-a majorat cu 3 093,7 mil. lei (27 941,0 mil. lei), inclusiv transferurile către BASS – cu 1 763,4 mil.lei (10 323,9 mil. lei), către FAOAM – cu 528,0 mil. lei (3 533,7 mil.lei) și către BUAT </w:t>
      </w:r>
      <w:r w:rsidR="003A30EC">
        <w:rPr>
          <w:rFonts w:asciiTheme="majorHAnsi" w:eastAsiaTheme="minorEastAsia" w:hAnsiTheme="majorHAnsi" w:cstheme="majorHAnsi"/>
          <w:bCs/>
          <w:iCs/>
          <w:sz w:val="24"/>
          <w:szCs w:val="24"/>
          <w:lang w:val="ro-RO" w:eastAsia="ru-RU"/>
        </w:rPr>
        <w:t xml:space="preserve">– </w:t>
      </w:r>
      <w:r w:rsidRPr="00F55BA6">
        <w:rPr>
          <w:rFonts w:asciiTheme="majorHAnsi" w:eastAsia="MS Mincho" w:hAnsiTheme="majorHAnsi" w:cstheme="majorHAnsi"/>
          <w:sz w:val="24"/>
          <w:szCs w:val="24"/>
          <w:lang w:val="ro-RO" w:eastAsia="ja-JP"/>
        </w:rPr>
        <w:t>cu 802,3 mil. lei (14 083,4 mil. lei)</w:t>
      </w:r>
      <w:r w:rsidR="003A30EC">
        <w:rPr>
          <w:rFonts w:asciiTheme="majorHAnsi" w:eastAsia="MS Mincho" w:hAnsiTheme="majorHAnsi" w:cstheme="majorHAnsi"/>
          <w:sz w:val="24"/>
          <w:szCs w:val="24"/>
          <w:lang w:val="ro-RO" w:eastAsia="ja-JP"/>
        </w:rPr>
        <w:t>,</w:t>
      </w:r>
      <w:r w:rsidRPr="00F55BA6">
        <w:rPr>
          <w:rFonts w:asciiTheme="majorHAnsi" w:eastAsia="MS Mincho" w:hAnsiTheme="majorHAnsi" w:cstheme="majorHAnsi"/>
          <w:sz w:val="24"/>
          <w:szCs w:val="24"/>
          <w:lang w:val="ro-RO" w:eastAsia="ja-JP"/>
        </w:rPr>
        <w:t xml:space="preserve"> din care 456,6 mil. lei au fost distribuite de către APC care gestionează fondurile centralizate.</w:t>
      </w:r>
      <w:r w:rsidRPr="00E4517B">
        <w:rPr>
          <w:rFonts w:asciiTheme="majorHAnsi" w:eastAsia="MS Mincho" w:hAnsiTheme="majorHAnsi" w:cstheme="majorHAnsi"/>
          <w:i/>
          <w:sz w:val="24"/>
          <w:szCs w:val="24"/>
          <w:lang w:val="ro-RO" w:eastAsia="ja-JP"/>
        </w:rPr>
        <w:t xml:space="preserve"> </w:t>
      </w:r>
    </w:p>
    <w:p w:rsidR="00E470B5" w:rsidRPr="009131CF" w:rsidRDefault="00E470B5" w:rsidP="00E470B5">
      <w:pPr>
        <w:shd w:val="clear" w:color="auto" w:fill="FFFFFF" w:themeFill="background1"/>
        <w:spacing w:after="0" w:line="276" w:lineRule="auto"/>
        <w:ind w:right="1"/>
        <w:rPr>
          <w:rFonts w:asciiTheme="majorHAnsi" w:eastAsia="MS Mincho" w:hAnsiTheme="majorHAnsi" w:cstheme="majorHAnsi"/>
          <w:sz w:val="24"/>
          <w:szCs w:val="24"/>
          <w:lang w:val="ro-RO" w:eastAsia="ja-JP"/>
        </w:rPr>
      </w:pPr>
      <w:r w:rsidRPr="00E4517B">
        <w:rPr>
          <w:rFonts w:asciiTheme="majorHAnsi" w:eastAsia="MS Mincho" w:hAnsiTheme="majorHAnsi" w:cstheme="majorHAnsi"/>
          <w:sz w:val="24"/>
          <w:szCs w:val="24"/>
          <w:lang w:val="ro-RO" w:eastAsia="ja-JP"/>
        </w:rPr>
        <w:t xml:space="preserve">Volumul transferurilor executate </w:t>
      </w:r>
      <w:r w:rsidRPr="00F55BA6">
        <w:rPr>
          <w:rFonts w:asciiTheme="majorHAnsi" w:eastAsia="MS Mincho" w:hAnsiTheme="majorHAnsi" w:cstheme="majorHAnsi"/>
          <w:sz w:val="24"/>
          <w:szCs w:val="24"/>
          <w:lang w:val="ro-RO" w:eastAsia="ja-JP"/>
        </w:rPr>
        <w:t xml:space="preserve">către alte bugete </w:t>
      </w:r>
      <w:r w:rsidRPr="00E4517B">
        <w:rPr>
          <w:rFonts w:asciiTheme="majorHAnsi" w:eastAsia="MS Mincho" w:hAnsiTheme="majorHAnsi" w:cstheme="majorHAnsi"/>
          <w:sz w:val="24"/>
          <w:szCs w:val="24"/>
          <w:lang w:val="ro-RO" w:eastAsia="ja-JP"/>
        </w:rPr>
        <w:t xml:space="preserve">de la </w:t>
      </w:r>
      <w:r w:rsidRPr="000C5521">
        <w:rPr>
          <w:rFonts w:asciiTheme="majorHAnsi" w:eastAsia="MS Mincho" w:hAnsiTheme="majorHAnsi" w:cstheme="majorHAnsi"/>
          <w:sz w:val="24"/>
          <w:szCs w:val="24"/>
          <w:lang w:val="ro-RO" w:eastAsia="ja-JP"/>
        </w:rPr>
        <w:t xml:space="preserve">BS a constituit 26 921,0 mil. </w:t>
      </w:r>
      <w:r w:rsidRPr="00973E5B">
        <w:rPr>
          <w:rFonts w:asciiTheme="majorHAnsi" w:eastAsia="MS Mincho" w:hAnsiTheme="majorHAnsi" w:cstheme="majorHAnsi"/>
          <w:sz w:val="24"/>
          <w:szCs w:val="24"/>
          <w:lang w:val="ro-RO" w:eastAsia="ja-JP"/>
        </w:rPr>
        <w:t>lei</w:t>
      </w:r>
      <w:r w:rsidR="003A30EC">
        <w:rPr>
          <w:rFonts w:asciiTheme="majorHAnsi" w:eastAsia="MS Mincho" w:hAnsiTheme="majorHAnsi" w:cstheme="majorHAnsi"/>
          <w:sz w:val="24"/>
          <w:szCs w:val="24"/>
          <w:lang w:val="ro-RO" w:eastAsia="ja-JP"/>
        </w:rPr>
        <w:t>,</w:t>
      </w:r>
      <w:r w:rsidRPr="00973E5B">
        <w:rPr>
          <w:rFonts w:asciiTheme="majorHAnsi" w:eastAsia="MS Mincho" w:hAnsiTheme="majorHAnsi" w:cstheme="majorHAnsi"/>
          <w:sz w:val="24"/>
          <w:szCs w:val="24"/>
          <w:lang w:val="ro-RO" w:eastAsia="ja-JP"/>
        </w:rPr>
        <w:t xml:space="preserve"> sau 96,3% față de suma precizată. Astfel, la BASS transferurile au fost executate la nivel de 94,6% (9 769,4 mil. lei), dintre care </w:t>
      </w:r>
      <w:r w:rsidRPr="00F55BA6">
        <w:rPr>
          <w:rFonts w:asciiTheme="majorHAnsi" w:eastAsia="MS Mincho" w:hAnsiTheme="majorHAnsi" w:cstheme="majorHAnsi"/>
          <w:sz w:val="24"/>
          <w:szCs w:val="24"/>
          <w:lang w:val="ro-RO" w:eastAsia="ja-JP"/>
        </w:rPr>
        <w:t>pentru compensarea veniturilor ratate – 2 554,6 mil. lei.</w:t>
      </w:r>
      <w:r w:rsidRPr="00E4517B">
        <w:rPr>
          <w:rFonts w:asciiTheme="majorHAnsi" w:eastAsia="MS Mincho" w:hAnsiTheme="majorHAnsi" w:cstheme="majorHAnsi"/>
          <w:sz w:val="24"/>
          <w:szCs w:val="24"/>
          <w:lang w:val="ro-RO" w:eastAsia="ja-JP"/>
        </w:rPr>
        <w:t xml:space="preserve"> Totodată, la FAOAM transferurile</w:t>
      </w:r>
      <w:r w:rsidRPr="00973E5B">
        <w:rPr>
          <w:rFonts w:asciiTheme="majorHAnsi" w:eastAsia="MS Mincho" w:hAnsiTheme="majorHAnsi" w:cstheme="majorHAnsi"/>
          <w:sz w:val="24"/>
          <w:szCs w:val="24"/>
          <w:lang w:val="ro-RO" w:eastAsia="ja-JP"/>
        </w:rPr>
        <w:t xml:space="preserve"> au fost executate integral în sumă de 3 533,7 mil. lei, din care pentru asigurarea </w:t>
      </w:r>
      <w:r w:rsidRPr="00973E5B">
        <w:rPr>
          <w:rFonts w:asciiTheme="majorHAnsi" w:eastAsia="MS Mincho" w:hAnsiTheme="majorHAnsi" w:cstheme="majorHAnsi"/>
          <w:sz w:val="24"/>
          <w:szCs w:val="24"/>
          <w:lang w:val="ro-RO" w:eastAsia="ja-JP"/>
        </w:rPr>
        <w:lastRenderedPageBreak/>
        <w:t>obligatorie de asistență medicală din</w:t>
      </w:r>
      <w:r w:rsidRPr="003A4303">
        <w:rPr>
          <w:rFonts w:asciiTheme="majorHAnsi" w:eastAsia="MS Mincho" w:hAnsiTheme="majorHAnsi" w:cstheme="majorHAnsi"/>
          <w:sz w:val="24"/>
          <w:szCs w:val="24"/>
          <w:lang w:val="ro-RO" w:eastAsia="ja-JP"/>
        </w:rPr>
        <w:t xml:space="preserve"> partea statului – 3 379,7 mil. lei, pentru programe de sănătate cu destinație specială – 76,4 mil. lei, pentru consolidarea bazei tehnico-materiale – 76,8 mil. lei</w:t>
      </w:r>
      <w:r w:rsidR="003A30EC">
        <w:rPr>
          <w:rFonts w:asciiTheme="majorHAnsi" w:eastAsia="MS Mincho" w:hAnsiTheme="majorHAnsi" w:cstheme="majorHAnsi"/>
          <w:sz w:val="24"/>
          <w:szCs w:val="24"/>
          <w:lang w:val="ro-RO" w:eastAsia="ja-JP"/>
        </w:rPr>
        <w:t>,</w:t>
      </w:r>
      <w:r w:rsidRPr="003A4303">
        <w:rPr>
          <w:rFonts w:asciiTheme="majorHAnsi" w:eastAsia="MS Mincho" w:hAnsiTheme="majorHAnsi" w:cstheme="majorHAnsi"/>
          <w:sz w:val="24"/>
          <w:szCs w:val="24"/>
          <w:lang w:val="ro-RO" w:eastAsia="ja-JP"/>
        </w:rPr>
        <w:t xml:space="preserve"> și pentru compensarea veniturilor ratate – 0,7 mil. lei.</w:t>
      </w:r>
      <w:r w:rsidRPr="009131CF">
        <w:rPr>
          <w:rFonts w:asciiTheme="majorHAnsi" w:eastAsia="MS Mincho" w:hAnsiTheme="majorHAnsi" w:cstheme="majorHAnsi"/>
          <w:i/>
          <w:sz w:val="24"/>
          <w:szCs w:val="24"/>
          <w:lang w:val="ro-RO" w:eastAsia="ja-JP"/>
        </w:rPr>
        <w:t xml:space="preserve">  </w:t>
      </w:r>
    </w:p>
    <w:p w:rsidR="00E470B5" w:rsidRPr="009131CF" w:rsidRDefault="00E470B5" w:rsidP="00E470B5">
      <w:pPr>
        <w:shd w:val="clear" w:color="auto" w:fill="FFFFFF" w:themeFill="background1"/>
        <w:spacing w:after="0" w:line="276" w:lineRule="auto"/>
        <w:ind w:right="1"/>
        <w:rPr>
          <w:rFonts w:asciiTheme="majorHAnsi" w:eastAsia="Times New Roman" w:hAnsiTheme="majorHAnsi" w:cstheme="majorHAnsi"/>
          <w:b/>
          <w:sz w:val="24"/>
          <w:szCs w:val="24"/>
          <w:lang w:val="ro-RO"/>
        </w:rPr>
      </w:pPr>
      <w:r w:rsidRPr="00F55BA6">
        <w:rPr>
          <w:rFonts w:asciiTheme="majorHAnsi" w:eastAsia="MS Mincho" w:hAnsiTheme="majorHAnsi" w:cstheme="majorHAnsi"/>
          <w:sz w:val="24"/>
          <w:szCs w:val="24"/>
          <w:lang w:val="ro-RO" w:eastAsia="ja-JP"/>
        </w:rPr>
        <w:t>Conform Legii BS pentru anul 2020, la BUAT au fost precizate transferuri cu destinație generală</w:t>
      </w:r>
      <w:r w:rsidRPr="00F55BA6">
        <w:rPr>
          <w:rFonts w:asciiTheme="majorHAnsi" w:eastAsia="MS Mincho" w:hAnsiTheme="majorHAnsi" w:cstheme="majorHAnsi"/>
          <w:sz w:val="24"/>
          <w:szCs w:val="24"/>
          <w:vertAlign w:val="superscript"/>
          <w:lang w:val="ro-RO" w:eastAsia="ja-JP"/>
        </w:rPr>
        <w:footnoteReference w:id="99"/>
      </w:r>
      <w:r w:rsidRPr="00F55BA6">
        <w:rPr>
          <w:rFonts w:asciiTheme="majorHAnsi" w:eastAsia="MS Mincho" w:hAnsiTheme="majorHAnsi" w:cstheme="majorHAnsi"/>
          <w:sz w:val="24"/>
          <w:szCs w:val="24"/>
          <w:lang w:val="ro-RO" w:eastAsia="ja-JP"/>
        </w:rPr>
        <w:t xml:space="preserve"> în sumă de 2 098,6 mil. lei, transferuri cu destinație specială</w:t>
      </w:r>
      <w:r w:rsidRPr="00F55BA6">
        <w:rPr>
          <w:rFonts w:asciiTheme="majorHAnsi" w:eastAsia="MS Mincho" w:hAnsiTheme="majorHAnsi" w:cstheme="majorHAnsi"/>
          <w:sz w:val="24"/>
          <w:szCs w:val="24"/>
          <w:vertAlign w:val="superscript"/>
          <w:lang w:val="ro-RO" w:eastAsia="ja-JP"/>
        </w:rPr>
        <w:footnoteReference w:id="100"/>
      </w:r>
      <w:r w:rsidRPr="00F55BA6">
        <w:rPr>
          <w:rFonts w:asciiTheme="majorHAnsi" w:eastAsia="MS Mincho" w:hAnsiTheme="majorHAnsi" w:cstheme="majorHAnsi"/>
          <w:sz w:val="24"/>
          <w:szCs w:val="24"/>
          <w:lang w:val="ro-RO" w:eastAsia="ja-JP"/>
        </w:rPr>
        <w:t xml:space="preserve"> în sumă de 11 212,8 mil. lei, alocații din fondul de compensare – 116,3 mil. lei</w:t>
      </w:r>
      <w:r w:rsidR="003A30EC">
        <w:rPr>
          <w:rFonts w:asciiTheme="majorHAnsi" w:eastAsia="MS Mincho" w:hAnsiTheme="majorHAnsi" w:cstheme="majorHAnsi"/>
          <w:sz w:val="24"/>
          <w:szCs w:val="24"/>
          <w:lang w:val="ro-RO" w:eastAsia="ja-JP"/>
        </w:rPr>
        <w:t>,</w:t>
      </w:r>
      <w:r w:rsidRPr="00F55BA6">
        <w:rPr>
          <w:rFonts w:asciiTheme="majorHAnsi" w:eastAsia="MS Mincho" w:hAnsiTheme="majorHAnsi" w:cstheme="majorHAnsi"/>
          <w:sz w:val="24"/>
          <w:szCs w:val="24"/>
          <w:lang w:val="ro-RO" w:eastAsia="ja-JP"/>
        </w:rPr>
        <w:t xml:space="preserve"> și alte transferuri cu destinație generală în sumă de 199,1 mil. lei, repartizate pe </w:t>
      </w:r>
      <w:r w:rsidRPr="00F55BA6">
        <w:rPr>
          <w:rFonts w:asciiTheme="majorHAnsi" w:eastAsia="Times New Roman" w:hAnsiTheme="majorHAnsi" w:cstheme="majorHAnsi"/>
          <w:sz w:val="24"/>
          <w:szCs w:val="24"/>
          <w:lang w:val="ro-RO"/>
        </w:rPr>
        <w:t>fiecare unitate administrativ-teritorială</w:t>
      </w:r>
      <w:r w:rsidRPr="00F55BA6">
        <w:rPr>
          <w:rFonts w:asciiTheme="majorHAnsi" w:eastAsia="MS Mincho" w:hAnsiTheme="majorHAnsi" w:cstheme="majorHAnsi"/>
          <w:sz w:val="24"/>
          <w:szCs w:val="24"/>
          <w:lang w:val="ro-RO" w:eastAsia="ja-JP"/>
        </w:rPr>
        <w:t xml:space="preserve"> conform Anexei nr.7 la Legea bugetară anuală</w:t>
      </w:r>
      <w:r w:rsidRPr="00F55BA6">
        <w:rPr>
          <w:rFonts w:asciiTheme="majorHAnsi" w:eastAsia="MS Mincho" w:hAnsiTheme="majorHAnsi" w:cstheme="majorHAnsi"/>
          <w:sz w:val="24"/>
          <w:szCs w:val="24"/>
          <w:vertAlign w:val="superscript"/>
          <w:lang w:val="ro-RO" w:eastAsia="ja-JP"/>
        </w:rPr>
        <w:footnoteReference w:id="101"/>
      </w:r>
      <w:r w:rsidRPr="00F55BA6">
        <w:rPr>
          <w:rFonts w:asciiTheme="majorHAnsi" w:eastAsia="MS Mincho" w:hAnsiTheme="majorHAnsi" w:cstheme="majorHAnsi"/>
          <w:sz w:val="24"/>
          <w:szCs w:val="24"/>
          <w:lang w:val="ro-RO" w:eastAsia="ja-JP"/>
        </w:rPr>
        <w:t>. Au fost executate transferuri cu destinație generală în sumă de 2 098,6 mil. lei</w:t>
      </w:r>
      <w:r w:rsidR="003A30EC">
        <w:rPr>
          <w:rFonts w:asciiTheme="majorHAnsi" w:eastAsia="MS Mincho" w:hAnsiTheme="majorHAnsi" w:cstheme="majorHAnsi"/>
          <w:sz w:val="24"/>
          <w:szCs w:val="24"/>
          <w:lang w:val="ro-RO" w:eastAsia="ja-JP"/>
        </w:rPr>
        <w:t>,</w:t>
      </w:r>
      <w:r w:rsidRPr="00F55BA6">
        <w:rPr>
          <w:rFonts w:asciiTheme="majorHAnsi" w:eastAsia="MS Mincho" w:hAnsiTheme="majorHAnsi" w:cstheme="majorHAnsi"/>
          <w:sz w:val="24"/>
          <w:szCs w:val="24"/>
          <w:lang w:val="ro-RO" w:eastAsia="ja-JP"/>
        </w:rPr>
        <w:t xml:space="preserve"> sau 100,0%, transferuri cu destinație specială în sumă de 10 770,4 mil. lei</w:t>
      </w:r>
      <w:r w:rsidR="003A30EC">
        <w:rPr>
          <w:rFonts w:asciiTheme="majorHAnsi" w:eastAsia="MS Mincho" w:hAnsiTheme="majorHAnsi" w:cstheme="majorHAnsi"/>
          <w:sz w:val="24"/>
          <w:szCs w:val="24"/>
          <w:lang w:val="ro-RO" w:eastAsia="ja-JP"/>
        </w:rPr>
        <w:t>,</w:t>
      </w:r>
      <w:r w:rsidRPr="00F55BA6">
        <w:rPr>
          <w:rFonts w:asciiTheme="majorHAnsi" w:eastAsia="MS Mincho" w:hAnsiTheme="majorHAnsi" w:cstheme="majorHAnsi"/>
          <w:sz w:val="24"/>
          <w:szCs w:val="24"/>
          <w:lang w:val="ro-RO" w:eastAsia="ja-JP"/>
        </w:rPr>
        <w:t xml:space="preserve"> sau 96,05%, iar alocațiile din fondul de compensare și alte transferuri cu destinație generală au fost transferate integral la BUAT din volumul precizat în BS. </w:t>
      </w:r>
      <w:r w:rsidRPr="00F55BA6">
        <w:rPr>
          <w:rFonts w:asciiTheme="majorHAnsi" w:eastAsia="Times New Roman" w:hAnsiTheme="majorHAnsi" w:cstheme="majorHAnsi"/>
          <w:sz w:val="24"/>
          <w:szCs w:val="24"/>
          <w:lang w:val="ro-RO"/>
        </w:rPr>
        <w:t xml:space="preserve">Astfel, MF nu a executat în totalitate </w:t>
      </w:r>
      <w:r w:rsidRPr="00F55BA6">
        <w:rPr>
          <w:rFonts w:asciiTheme="majorHAnsi" w:eastAsia="MS Mincho" w:hAnsiTheme="majorHAnsi" w:cstheme="majorHAnsi"/>
          <w:sz w:val="24"/>
          <w:szCs w:val="24"/>
          <w:lang w:val="ro-RO" w:eastAsia="ja-JP"/>
        </w:rPr>
        <w:t>transferurile cu destinație specială</w:t>
      </w:r>
      <w:r w:rsidRPr="00F55BA6">
        <w:rPr>
          <w:rFonts w:asciiTheme="majorHAnsi" w:eastAsia="Times New Roman" w:hAnsiTheme="majorHAnsi" w:cstheme="majorHAnsi"/>
          <w:sz w:val="24"/>
          <w:szCs w:val="24"/>
          <w:lang w:val="ro-RO"/>
        </w:rPr>
        <w:t xml:space="preserve"> aprobate în Legea bugetară anuală, nefiind alocate mijloace în sumă de 442,4 mil. lei. </w:t>
      </w:r>
      <w:r w:rsidRPr="00F55BA6">
        <w:rPr>
          <w:rFonts w:asciiTheme="majorHAnsi" w:eastAsia="MS Mincho" w:hAnsiTheme="majorHAnsi" w:cstheme="majorHAnsi"/>
          <w:sz w:val="24"/>
          <w:szCs w:val="24"/>
          <w:lang w:val="ro-RO" w:eastAsia="ja-JP"/>
        </w:rPr>
        <w:t>Analiza neexecutării  transferurilor cu destinație specială (442,4 mil. lei) atestă că, dintre acestea nu au fost transferate pentru învățământul general 281,0 mil. lei, pentru asistența socială – 51,4 mil. lei etc.</w:t>
      </w:r>
      <w:r w:rsidRPr="00F55BA6">
        <w:rPr>
          <w:rFonts w:asciiTheme="majorHAnsi" w:eastAsia="Times New Roman" w:hAnsiTheme="majorHAnsi" w:cstheme="majorHAnsi"/>
          <w:sz w:val="24"/>
          <w:szCs w:val="24"/>
          <w:lang w:val="ro-RO"/>
        </w:rPr>
        <w:t xml:space="preserve"> Cauzele invocate de către MF fiind diminuarea numărului de beneficiari și finanțarea alocațiilor la necesitate. </w:t>
      </w:r>
      <w:r w:rsidRPr="00E4517B">
        <w:rPr>
          <w:rFonts w:asciiTheme="majorHAnsi" w:eastAsia="Times New Roman" w:hAnsiTheme="majorHAnsi" w:cstheme="majorHAnsi"/>
          <w:i/>
          <w:sz w:val="24"/>
          <w:szCs w:val="24"/>
          <w:lang w:val="ro-RO"/>
        </w:rPr>
        <w:t>Sinteza executării transferurilor cu destinație specială de la BS către BUAT în anul</w:t>
      </w:r>
      <w:r w:rsidRPr="00973E5B">
        <w:rPr>
          <w:rFonts w:asciiTheme="majorHAnsi" w:eastAsia="Times New Roman" w:hAnsiTheme="majorHAnsi" w:cstheme="majorHAnsi"/>
          <w:i/>
          <w:sz w:val="24"/>
          <w:szCs w:val="24"/>
          <w:lang w:val="ro-RO"/>
        </w:rPr>
        <w:t xml:space="preserve"> 2020</w:t>
      </w:r>
      <w:r w:rsidR="00D6543E" w:rsidRPr="003A4303">
        <w:rPr>
          <w:rFonts w:asciiTheme="majorHAnsi" w:eastAsia="Times New Roman" w:hAnsiTheme="majorHAnsi" w:cstheme="majorHAnsi"/>
          <w:i/>
          <w:sz w:val="24"/>
          <w:szCs w:val="24"/>
          <w:lang w:val="ro-RO"/>
        </w:rPr>
        <w:t xml:space="preserve"> se prezintă în Anexa nr.12</w:t>
      </w:r>
      <w:r w:rsidRPr="009131CF">
        <w:rPr>
          <w:rFonts w:asciiTheme="majorHAnsi" w:eastAsia="Times New Roman" w:hAnsiTheme="majorHAnsi" w:cstheme="majorHAnsi"/>
          <w:i/>
          <w:sz w:val="24"/>
          <w:szCs w:val="24"/>
          <w:lang w:val="ro-RO"/>
        </w:rPr>
        <w:t xml:space="preserve"> la prezentul Raport de audit.</w:t>
      </w:r>
    </w:p>
    <w:p w:rsidR="00E470B5" w:rsidRPr="00F55BA6" w:rsidRDefault="00E470B5" w:rsidP="00E470B5">
      <w:pPr>
        <w:shd w:val="clear" w:color="auto" w:fill="FFFFFF" w:themeFill="background1"/>
        <w:spacing w:after="0" w:line="276" w:lineRule="auto"/>
        <w:ind w:right="1"/>
        <w:rPr>
          <w:rFonts w:asciiTheme="majorHAnsi" w:eastAsia="MS Mincho" w:hAnsiTheme="majorHAnsi" w:cstheme="majorHAnsi"/>
          <w:sz w:val="24"/>
          <w:szCs w:val="24"/>
          <w:lang w:val="ro-RO" w:eastAsia="ja-JP"/>
        </w:rPr>
      </w:pPr>
      <w:r w:rsidRPr="00F55BA6">
        <w:rPr>
          <w:rFonts w:asciiTheme="majorHAnsi" w:eastAsia="Times New Roman" w:hAnsiTheme="majorHAnsi" w:cstheme="majorHAnsi"/>
          <w:sz w:val="24"/>
          <w:szCs w:val="24"/>
          <w:lang w:val="ro-RO"/>
        </w:rPr>
        <w:t xml:space="preserve">Totodată, în anul 2020 au fost executate transferuri </w:t>
      </w:r>
      <w:r w:rsidRPr="00F55BA6">
        <w:rPr>
          <w:rFonts w:asciiTheme="majorHAnsi" w:eastAsia="MS Mincho" w:hAnsiTheme="majorHAnsi" w:cstheme="majorHAnsi"/>
          <w:sz w:val="24"/>
          <w:szCs w:val="24"/>
          <w:lang w:val="ro-RO" w:eastAsia="ja-JP"/>
        </w:rPr>
        <w:t>cu destinație specială</w:t>
      </w:r>
      <w:r w:rsidRPr="00F55BA6">
        <w:rPr>
          <w:rFonts w:asciiTheme="majorHAnsi" w:eastAsia="Times New Roman" w:hAnsiTheme="majorHAnsi" w:cstheme="majorHAnsi"/>
          <w:sz w:val="24"/>
          <w:szCs w:val="24"/>
          <w:lang w:val="ro-RO"/>
        </w:rPr>
        <w:t xml:space="preserve"> repartizate prin Hotărâri de Guvern în sumă totală de 212,9 mil. lei, din care: </w:t>
      </w:r>
      <w:r w:rsidRPr="00F55BA6">
        <w:rPr>
          <w:rFonts w:asciiTheme="majorHAnsi" w:eastAsia="Times New Roman" w:hAnsiTheme="majorHAnsi" w:cstheme="majorHAnsi"/>
          <w:i/>
          <w:sz w:val="24"/>
          <w:szCs w:val="24"/>
          <w:lang w:val="ro-RO"/>
        </w:rPr>
        <w:t>(i)</w:t>
      </w:r>
      <w:r w:rsidRPr="00F55BA6">
        <w:rPr>
          <w:rFonts w:asciiTheme="majorHAnsi" w:eastAsia="Times New Roman" w:hAnsiTheme="majorHAnsi" w:cstheme="majorHAnsi"/>
          <w:sz w:val="24"/>
          <w:szCs w:val="24"/>
          <w:lang w:val="ro-RO"/>
        </w:rPr>
        <w:t xml:space="preserve"> </w:t>
      </w:r>
      <w:r w:rsidRPr="00E4517B">
        <w:rPr>
          <w:rFonts w:asciiTheme="majorHAnsi" w:eastAsia="MS Mincho" w:hAnsiTheme="majorHAnsi" w:cstheme="majorHAnsi"/>
          <w:sz w:val="24"/>
          <w:szCs w:val="24"/>
          <w:lang w:val="ro-RO" w:eastAsia="ja-JP"/>
        </w:rPr>
        <w:t>din fondurile de urgență ale Guve</w:t>
      </w:r>
      <w:r w:rsidRPr="00973E5B">
        <w:rPr>
          <w:rFonts w:asciiTheme="majorHAnsi" w:eastAsia="MS Mincho" w:hAnsiTheme="majorHAnsi" w:cstheme="majorHAnsi"/>
          <w:sz w:val="24"/>
          <w:szCs w:val="24"/>
          <w:lang w:val="ro-RO" w:eastAsia="ja-JP"/>
        </w:rPr>
        <w:t>rnului – 86,7 mil. lei (inclusiv 70,2 mil. lei pentru acordarea indemnizațiilor unice angajaților din sistemul medical infectați cu COVID-19),</w:t>
      </w:r>
      <w:r w:rsidRPr="00F55BA6">
        <w:rPr>
          <w:rFonts w:asciiTheme="majorHAnsi" w:eastAsia="MS Mincho" w:hAnsiTheme="majorHAnsi" w:cstheme="majorHAnsi"/>
          <w:sz w:val="24"/>
          <w:szCs w:val="24"/>
          <w:lang w:val="ro-RO" w:eastAsia="ja-JP"/>
        </w:rPr>
        <w:t xml:space="preserve"> </w:t>
      </w:r>
      <w:r w:rsidRPr="00F55BA6">
        <w:rPr>
          <w:rFonts w:asciiTheme="majorHAnsi" w:eastAsia="MS Mincho" w:hAnsiTheme="majorHAnsi" w:cstheme="majorHAnsi"/>
          <w:i/>
          <w:sz w:val="24"/>
          <w:szCs w:val="24"/>
          <w:lang w:val="ro-RO" w:eastAsia="ja-JP"/>
        </w:rPr>
        <w:t xml:space="preserve">(ii) </w:t>
      </w:r>
      <w:r w:rsidRPr="00F55BA6">
        <w:rPr>
          <w:rFonts w:asciiTheme="majorHAnsi" w:eastAsia="MS Mincho" w:hAnsiTheme="majorHAnsi" w:cstheme="majorHAnsi"/>
          <w:sz w:val="24"/>
          <w:szCs w:val="24"/>
          <w:lang w:val="ro-RO" w:eastAsia="ja-JP"/>
        </w:rPr>
        <w:t>pentru implementarea sistemului unitar de salarizare în sectorul bugetar</w:t>
      </w:r>
      <w:r w:rsidR="003A30EC">
        <w:rPr>
          <w:rFonts w:asciiTheme="majorHAnsi" w:eastAsia="MS Mincho" w:hAnsiTheme="majorHAnsi" w:cstheme="majorHAnsi"/>
          <w:sz w:val="24"/>
          <w:szCs w:val="24"/>
          <w:lang w:val="ro-RO" w:eastAsia="ja-JP"/>
        </w:rPr>
        <w:t xml:space="preserve"> </w:t>
      </w:r>
      <w:r w:rsidRPr="00F55BA6">
        <w:rPr>
          <w:rFonts w:asciiTheme="majorHAnsi" w:eastAsia="MS Mincho" w:hAnsiTheme="majorHAnsi" w:cstheme="majorHAnsi"/>
          <w:sz w:val="24"/>
          <w:szCs w:val="24"/>
          <w:lang w:val="ro-RO" w:eastAsia="ja-JP"/>
        </w:rPr>
        <w:t xml:space="preserve">– 101,9 mil. lei, pentru Programul Diaspora Acasă Reușește „DAR 1+3” – 9,8 mil. lei, </w:t>
      </w:r>
      <w:r w:rsidRPr="00F55BA6">
        <w:rPr>
          <w:rFonts w:asciiTheme="majorHAnsi" w:eastAsia="MS Mincho" w:hAnsiTheme="majorHAnsi" w:cstheme="majorHAnsi"/>
          <w:i/>
          <w:sz w:val="24"/>
          <w:szCs w:val="24"/>
          <w:lang w:val="ro-RO" w:eastAsia="ja-JP"/>
        </w:rPr>
        <w:t xml:space="preserve">(iii) </w:t>
      </w:r>
      <w:r w:rsidRPr="00F55BA6">
        <w:rPr>
          <w:rFonts w:asciiTheme="majorHAnsi" w:eastAsia="MS Mincho" w:hAnsiTheme="majorHAnsi" w:cstheme="majorHAnsi"/>
          <w:sz w:val="24"/>
          <w:szCs w:val="24"/>
          <w:lang w:val="ro-RO" w:eastAsia="ja-JP"/>
        </w:rPr>
        <w:t xml:space="preserve">pentru Programul de reintegrare a țării – 11,5 mil. lei și </w:t>
      </w:r>
      <w:r w:rsidRPr="00F55BA6">
        <w:rPr>
          <w:rFonts w:asciiTheme="majorHAnsi" w:eastAsia="MS Mincho" w:hAnsiTheme="majorHAnsi" w:cstheme="majorHAnsi"/>
          <w:i/>
          <w:sz w:val="24"/>
          <w:szCs w:val="24"/>
          <w:lang w:val="ro-RO" w:eastAsia="ja-JP"/>
        </w:rPr>
        <w:t>(iv)</w:t>
      </w:r>
      <w:r w:rsidRPr="00F55BA6">
        <w:rPr>
          <w:rFonts w:asciiTheme="majorHAnsi" w:eastAsia="MS Mincho" w:hAnsiTheme="majorHAnsi" w:cstheme="majorHAnsi"/>
          <w:sz w:val="24"/>
          <w:szCs w:val="24"/>
          <w:lang w:val="ro-RO" w:eastAsia="ja-JP"/>
        </w:rPr>
        <w:t xml:space="preserve"> pentru alte activități </w:t>
      </w:r>
      <w:r w:rsidRPr="00E4517B">
        <w:rPr>
          <w:rFonts w:asciiTheme="majorHAnsi" w:hAnsiTheme="majorHAnsi" w:cstheme="majorHAnsi"/>
          <w:sz w:val="24"/>
          <w:szCs w:val="24"/>
          <w:lang w:val="ro-RO"/>
        </w:rPr>
        <w:t xml:space="preserve">– </w:t>
      </w:r>
      <w:r w:rsidRPr="00973E5B">
        <w:rPr>
          <w:rFonts w:asciiTheme="majorHAnsi" w:hAnsiTheme="majorHAnsi" w:cstheme="majorHAnsi"/>
          <w:sz w:val="24"/>
          <w:szCs w:val="24"/>
          <w:lang w:val="ro-RO"/>
        </w:rPr>
        <w:t>3,0 mil. lei</w:t>
      </w:r>
      <w:r w:rsidRPr="00E4517B">
        <w:rPr>
          <w:rFonts w:asciiTheme="majorHAnsi" w:hAnsiTheme="majorHAnsi" w:cstheme="majorHAnsi"/>
          <w:sz w:val="24"/>
          <w:szCs w:val="24"/>
          <w:vertAlign w:val="superscript"/>
          <w:lang w:val="ro-RO"/>
        </w:rPr>
        <w:footnoteReference w:id="102"/>
      </w:r>
      <w:r w:rsidRPr="00E4517B">
        <w:rPr>
          <w:rFonts w:asciiTheme="majorHAnsi" w:hAnsiTheme="majorHAnsi" w:cstheme="majorHAnsi"/>
          <w:sz w:val="24"/>
          <w:szCs w:val="24"/>
          <w:lang w:val="ro-RO"/>
        </w:rPr>
        <w:t>.</w:t>
      </w:r>
    </w:p>
    <w:p w:rsidR="00E470B5" w:rsidRPr="00F55BA6" w:rsidRDefault="00E470B5" w:rsidP="00E470B5">
      <w:pPr>
        <w:spacing w:after="0" w:line="276" w:lineRule="auto"/>
        <w:rPr>
          <w:rFonts w:asciiTheme="majorHAnsi" w:eastAsia="MS Mincho" w:hAnsiTheme="majorHAnsi" w:cstheme="majorHAnsi"/>
          <w:sz w:val="24"/>
          <w:szCs w:val="24"/>
          <w:lang w:val="ro-RO" w:eastAsia="ja-JP"/>
        </w:rPr>
      </w:pPr>
      <w:r w:rsidRPr="00F55BA6">
        <w:rPr>
          <w:rFonts w:asciiTheme="majorHAnsi" w:eastAsia="Times New Roman" w:hAnsiTheme="majorHAnsi" w:cstheme="majorHAnsi"/>
          <w:sz w:val="24"/>
          <w:szCs w:val="24"/>
          <w:lang w:val="ro-RO"/>
        </w:rPr>
        <w:t>De</w:t>
      </w:r>
      <w:r w:rsidR="003A30EC">
        <w:rPr>
          <w:rFonts w:asciiTheme="majorHAnsi" w:eastAsia="Times New Roman" w:hAnsiTheme="majorHAnsi" w:cstheme="majorHAnsi"/>
          <w:sz w:val="24"/>
          <w:szCs w:val="24"/>
          <w:lang w:val="ro-RO"/>
        </w:rPr>
        <w:t xml:space="preserve"> </w:t>
      </w:r>
      <w:r w:rsidRPr="00F55BA6">
        <w:rPr>
          <w:rFonts w:asciiTheme="majorHAnsi" w:eastAsia="Times New Roman" w:hAnsiTheme="majorHAnsi" w:cstheme="majorHAnsi"/>
          <w:sz w:val="24"/>
          <w:szCs w:val="24"/>
          <w:lang w:val="ro-RO"/>
        </w:rPr>
        <w:t>asemenea, instituțiile bugetare au executat transferuri către APL în sumă de 286,1 mil. lei pentru scopuri</w:t>
      </w:r>
      <w:r w:rsidR="003A30EC">
        <w:rPr>
          <w:rFonts w:asciiTheme="majorHAnsi" w:eastAsia="Times New Roman" w:hAnsiTheme="majorHAnsi" w:cstheme="majorHAnsi"/>
          <w:sz w:val="24"/>
          <w:szCs w:val="24"/>
          <w:lang w:val="ro-RO"/>
        </w:rPr>
        <w:t>le</w:t>
      </w:r>
      <w:r w:rsidRPr="00F55BA6">
        <w:rPr>
          <w:rFonts w:asciiTheme="majorHAnsi" w:eastAsia="Times New Roman" w:hAnsiTheme="majorHAnsi" w:cstheme="majorHAnsi"/>
          <w:sz w:val="24"/>
          <w:szCs w:val="24"/>
          <w:lang w:val="ro-RO"/>
        </w:rPr>
        <w:t xml:space="preserve"> specifice din: </w:t>
      </w:r>
      <w:r w:rsidRPr="00E4517B">
        <w:rPr>
          <w:rFonts w:asciiTheme="majorHAnsi" w:hAnsiTheme="majorHAnsi" w:cstheme="majorHAnsi"/>
          <w:sz w:val="24"/>
          <w:szCs w:val="24"/>
          <w:lang w:val="ro-RO"/>
        </w:rPr>
        <w:t>Fondul Ecologic Național – 235,0 mil. lei,</w:t>
      </w:r>
      <w:r w:rsidRPr="00973E5B">
        <w:rPr>
          <w:rFonts w:asciiTheme="majorHAnsi" w:hAnsiTheme="majorHAnsi" w:cstheme="majorHAnsi"/>
          <w:sz w:val="24"/>
          <w:szCs w:val="24"/>
          <w:lang w:val="ro-RO"/>
        </w:rPr>
        <w:t xml:space="preserve"> Fondul de eficiență energetică – 21,0 mil. lei, Fondul național de dezvoltare a agriculturii și mediului rural – 25,4 mil. lei, proiectul „Programul rural de reziliență economico-climati</w:t>
      </w:r>
      <w:r w:rsidRPr="003A4303">
        <w:rPr>
          <w:rFonts w:asciiTheme="majorHAnsi" w:hAnsiTheme="majorHAnsi" w:cstheme="majorHAnsi"/>
          <w:sz w:val="24"/>
          <w:szCs w:val="24"/>
          <w:lang w:val="ro-RO"/>
        </w:rPr>
        <w:t>că incluzivă (IFAD VI)” – 4,6 mil. lei, Proiectul „Programul de reziliență rurală (IFAD VII)” – 0,1 mil. lei.</w:t>
      </w:r>
      <w:r w:rsidRPr="009131CF">
        <w:rPr>
          <w:rFonts w:asciiTheme="majorHAnsi" w:eastAsia="MS Mincho" w:hAnsiTheme="majorHAnsi" w:cstheme="majorHAnsi"/>
          <w:i/>
          <w:sz w:val="24"/>
          <w:szCs w:val="24"/>
          <w:lang w:val="ro-RO" w:eastAsia="ja-JP"/>
        </w:rPr>
        <w:t xml:space="preserve"> Sinteza executării transferurilor de la bugetul de stat către alte bugete se prezintă</w:t>
      </w:r>
      <w:r w:rsidR="00D6543E" w:rsidRPr="009131CF">
        <w:rPr>
          <w:rFonts w:asciiTheme="majorHAnsi" w:eastAsia="MS Mincho" w:hAnsiTheme="majorHAnsi" w:cstheme="majorHAnsi"/>
          <w:i/>
          <w:sz w:val="24"/>
          <w:szCs w:val="24"/>
          <w:lang w:val="ro-RO" w:eastAsia="ja-JP"/>
        </w:rPr>
        <w:t xml:space="preserve"> în Anexa nr.13</w:t>
      </w:r>
      <w:r w:rsidRPr="009131CF">
        <w:rPr>
          <w:rFonts w:asciiTheme="majorHAnsi" w:eastAsia="MS Mincho" w:hAnsiTheme="majorHAnsi" w:cstheme="majorHAnsi"/>
          <w:i/>
          <w:sz w:val="24"/>
          <w:szCs w:val="24"/>
          <w:lang w:val="ro-RO" w:eastAsia="ja-JP"/>
        </w:rPr>
        <w:t xml:space="preserve"> la prezentul Raport de audit.</w:t>
      </w:r>
    </w:p>
    <w:p w:rsidR="00E470B5" w:rsidRPr="00F55BA6" w:rsidRDefault="00E470B5" w:rsidP="00E470B5">
      <w:pPr>
        <w:spacing w:after="0" w:line="276" w:lineRule="auto"/>
        <w:rPr>
          <w:rFonts w:asciiTheme="majorHAnsi" w:eastAsia="Times New Roman" w:hAnsiTheme="majorHAnsi" w:cstheme="majorHAnsi"/>
          <w:sz w:val="24"/>
          <w:szCs w:val="24"/>
          <w:lang w:val="ro-RO"/>
        </w:rPr>
      </w:pPr>
      <w:r w:rsidRPr="00F55BA6">
        <w:rPr>
          <w:rFonts w:asciiTheme="majorHAnsi" w:eastAsia="MS Mincho" w:hAnsiTheme="majorHAnsi" w:cstheme="majorHAnsi"/>
          <w:sz w:val="24"/>
          <w:szCs w:val="24"/>
          <w:lang w:val="ro-RO" w:eastAsia="ja-JP"/>
        </w:rPr>
        <w:t xml:space="preserve">Referitor la efectuarea transferurilor din fondul de compensare (116,3 mil. lei), care a fost creat </w:t>
      </w:r>
      <w:r w:rsidRPr="00F55BA6">
        <w:rPr>
          <w:rFonts w:asciiTheme="majorHAnsi" w:hAnsiTheme="majorHAnsi" w:cstheme="majorHAnsi"/>
          <w:color w:val="333333"/>
          <w:sz w:val="24"/>
          <w:szCs w:val="24"/>
          <w:shd w:val="clear" w:color="auto" w:fill="FFFFFF"/>
          <w:lang w:val="ro-RO"/>
        </w:rPr>
        <w:t>pentru acoperirea necesităților stringente ale APL, auditul menționează că acestea în evoluție se majorează, astfel</w:t>
      </w:r>
      <w:r w:rsidR="00B745A4">
        <w:rPr>
          <w:rFonts w:asciiTheme="majorHAnsi" w:hAnsiTheme="majorHAnsi" w:cstheme="majorHAnsi"/>
          <w:color w:val="333333"/>
          <w:sz w:val="24"/>
          <w:szCs w:val="24"/>
          <w:shd w:val="clear" w:color="auto" w:fill="FFFFFF"/>
          <w:lang w:val="ro-RO"/>
        </w:rPr>
        <w:t>,</w:t>
      </w:r>
      <w:r w:rsidRPr="00F55BA6">
        <w:rPr>
          <w:rFonts w:asciiTheme="majorHAnsi" w:hAnsiTheme="majorHAnsi" w:cstheme="majorHAnsi"/>
          <w:color w:val="333333"/>
          <w:sz w:val="24"/>
          <w:szCs w:val="24"/>
          <w:shd w:val="clear" w:color="auto" w:fill="FFFFFF"/>
          <w:lang w:val="ro-RO"/>
        </w:rPr>
        <w:t xml:space="preserve"> față de anul 2019</w:t>
      </w:r>
      <w:r w:rsidR="00B745A4">
        <w:rPr>
          <w:rFonts w:asciiTheme="majorHAnsi" w:hAnsiTheme="majorHAnsi" w:cstheme="majorHAnsi"/>
          <w:color w:val="333333"/>
          <w:sz w:val="24"/>
          <w:szCs w:val="24"/>
          <w:shd w:val="clear" w:color="auto" w:fill="FFFFFF"/>
          <w:lang w:val="ro-RO"/>
        </w:rPr>
        <w:t>,</w:t>
      </w:r>
      <w:r w:rsidRPr="00F55BA6">
        <w:rPr>
          <w:rFonts w:asciiTheme="majorHAnsi" w:hAnsiTheme="majorHAnsi" w:cstheme="majorHAnsi"/>
          <w:color w:val="333333"/>
          <w:sz w:val="24"/>
          <w:szCs w:val="24"/>
          <w:shd w:val="clear" w:color="auto" w:fill="FFFFFF"/>
          <w:lang w:val="ro-RO"/>
        </w:rPr>
        <w:t xml:space="preserve"> au crescut cu 108,4 mil. lei</w:t>
      </w:r>
      <w:r w:rsidR="00B0488B">
        <w:rPr>
          <w:rFonts w:asciiTheme="majorHAnsi" w:hAnsiTheme="majorHAnsi" w:cstheme="majorHAnsi"/>
          <w:color w:val="333333"/>
          <w:sz w:val="24"/>
          <w:szCs w:val="24"/>
          <w:shd w:val="clear" w:color="auto" w:fill="FFFFFF"/>
          <w:lang w:val="ro-RO"/>
        </w:rPr>
        <w:t>,</w:t>
      </w:r>
      <w:r w:rsidRPr="00F55BA6">
        <w:rPr>
          <w:rFonts w:asciiTheme="majorHAnsi" w:hAnsiTheme="majorHAnsi" w:cstheme="majorHAnsi"/>
          <w:color w:val="333333"/>
          <w:sz w:val="24"/>
          <w:szCs w:val="24"/>
          <w:shd w:val="clear" w:color="auto" w:fill="FFFFFF"/>
          <w:lang w:val="ro-RO"/>
        </w:rPr>
        <w:t xml:space="preserve"> iar față de anul 2018 </w:t>
      </w:r>
      <w:r w:rsidR="00B0488B">
        <w:rPr>
          <w:rFonts w:asciiTheme="majorHAnsi" w:eastAsiaTheme="minorEastAsia" w:hAnsiTheme="majorHAnsi" w:cstheme="majorHAnsi"/>
          <w:bCs/>
          <w:iCs/>
          <w:sz w:val="24"/>
          <w:szCs w:val="24"/>
          <w:lang w:val="ro-RO" w:eastAsia="ru-RU"/>
        </w:rPr>
        <w:t xml:space="preserve">– </w:t>
      </w:r>
      <w:r w:rsidRPr="00F55BA6">
        <w:rPr>
          <w:rFonts w:asciiTheme="majorHAnsi" w:hAnsiTheme="majorHAnsi" w:cstheme="majorHAnsi"/>
          <w:color w:val="333333"/>
          <w:sz w:val="24"/>
          <w:szCs w:val="24"/>
          <w:shd w:val="clear" w:color="auto" w:fill="FFFFFF"/>
          <w:lang w:val="ro-RO"/>
        </w:rPr>
        <w:t>cu 107,7 mil. lei. BL nu își pot acoperi discrepanța dintre costurile salariale generate și suplimentarea părții de venituri din defalcări de la impozitul pe venit al persoanelor fizice și transferuri generale.</w:t>
      </w:r>
    </w:p>
    <w:p w:rsidR="00E470B5" w:rsidRPr="00F55BA6" w:rsidRDefault="00E470B5" w:rsidP="00E470B5">
      <w:pPr>
        <w:spacing w:after="0" w:line="276" w:lineRule="auto"/>
        <w:rPr>
          <w:rFonts w:asciiTheme="majorHAnsi" w:eastAsia="MS Mincho" w:hAnsiTheme="majorHAnsi" w:cstheme="majorHAnsi"/>
          <w:i/>
          <w:sz w:val="24"/>
          <w:szCs w:val="24"/>
          <w:lang w:val="ro-RO" w:eastAsia="ja-JP"/>
        </w:rPr>
      </w:pPr>
      <w:r w:rsidRPr="00F55BA6">
        <w:rPr>
          <w:rFonts w:asciiTheme="majorHAnsi" w:eastAsia="MS Mincho" w:hAnsiTheme="majorHAnsi" w:cstheme="majorHAnsi"/>
          <w:sz w:val="24"/>
          <w:szCs w:val="24"/>
          <w:shd w:val="clear" w:color="auto" w:fill="FFFFFF" w:themeFill="background1"/>
          <w:lang w:val="ro-RO" w:eastAsia="ja-JP"/>
        </w:rPr>
        <w:t xml:space="preserve">Ponderea transferurilor executate de la BS în totalul veniturilor bugetelor componente ale BPN a constituit 40,2% la BASS (în creștere cu 3,6 p.p. față de anul 2019), 41,4% la FAOAM (în creștere cu </w:t>
      </w:r>
      <w:r w:rsidRPr="00F55BA6">
        <w:rPr>
          <w:rFonts w:asciiTheme="majorHAnsi" w:eastAsia="MS Mincho" w:hAnsiTheme="majorHAnsi" w:cstheme="majorHAnsi"/>
          <w:sz w:val="24"/>
          <w:szCs w:val="24"/>
          <w:shd w:val="clear" w:color="auto" w:fill="FFFFFF" w:themeFill="background1"/>
          <w:lang w:val="ro-RO" w:eastAsia="ja-JP"/>
        </w:rPr>
        <w:lastRenderedPageBreak/>
        <w:t xml:space="preserve">4,6 p.p. față de anul 2019) și 74,6% la BUAT (în creștere cu 0,9 p.p. față de anul 2019). </w:t>
      </w:r>
      <w:r w:rsidRPr="00F55BA6">
        <w:rPr>
          <w:rFonts w:asciiTheme="majorHAnsi" w:eastAsia="MS Mincho" w:hAnsiTheme="majorHAnsi" w:cstheme="majorHAnsi"/>
          <w:sz w:val="24"/>
          <w:szCs w:val="24"/>
          <w:lang w:val="ro-RO" w:eastAsia="ja-JP"/>
        </w:rPr>
        <w:t>Deși totalul veniturilor proprii ale BUAT a înregistrat o creștere de 250,2 mil. lei</w:t>
      </w:r>
      <w:r w:rsidR="002406A2">
        <w:rPr>
          <w:rFonts w:asciiTheme="majorHAnsi" w:eastAsia="MS Mincho" w:hAnsiTheme="majorHAnsi" w:cstheme="majorHAnsi"/>
          <w:sz w:val="24"/>
          <w:szCs w:val="24"/>
          <w:lang w:val="ro-RO" w:eastAsia="ja-JP"/>
        </w:rPr>
        <w:t>,</w:t>
      </w:r>
      <w:r w:rsidRPr="00F55BA6">
        <w:rPr>
          <w:rFonts w:asciiTheme="majorHAnsi" w:eastAsia="MS Mincho" w:hAnsiTheme="majorHAnsi" w:cstheme="majorHAnsi"/>
          <w:sz w:val="24"/>
          <w:szCs w:val="24"/>
          <w:lang w:val="ro-RO" w:eastAsia="ja-JP"/>
        </w:rPr>
        <w:t xml:space="preserve"> comparativ cu anul 2019, acesta a rămas la un nivel inferior nivelului transferurilor interbugetare.</w:t>
      </w:r>
      <w:r w:rsidRPr="00F55BA6">
        <w:rPr>
          <w:rFonts w:asciiTheme="majorHAnsi" w:hAnsiTheme="majorHAnsi"/>
          <w:sz w:val="24"/>
          <w:szCs w:val="24"/>
          <w:lang w:val="ro-RO"/>
        </w:rPr>
        <w:t xml:space="preserve"> Astfel,</w:t>
      </w:r>
      <w:r w:rsidRPr="00F55BA6">
        <w:rPr>
          <w:sz w:val="24"/>
          <w:szCs w:val="24"/>
          <w:lang w:val="ro-RO"/>
        </w:rPr>
        <w:t xml:space="preserve"> </w:t>
      </w:r>
      <w:r w:rsidRPr="00F55BA6">
        <w:rPr>
          <w:rFonts w:asciiTheme="majorHAnsi" w:eastAsia="MS Mincho" w:hAnsiTheme="majorHAnsi" w:cstheme="majorHAnsi"/>
          <w:sz w:val="24"/>
          <w:szCs w:val="24"/>
          <w:lang w:val="ro-RO" w:eastAsia="ja-JP"/>
        </w:rPr>
        <w:t xml:space="preserve">auditul atestă că în anul 2020 volumul transferurilor de la bugetul de stat către BUAT (13 617,9 mil. lei) a devansat de circa 2,9 ori volumul veniturilor proprii încasate (4 646,4 mil. lei), ceea ce relevă gradul înalt de dependență a BUAT față pe bugetul de stat. </w:t>
      </w:r>
    </w:p>
    <w:p w:rsidR="00E470B5" w:rsidRPr="00F55BA6" w:rsidRDefault="00E470B5" w:rsidP="00854848">
      <w:pPr>
        <w:spacing w:after="0" w:line="276" w:lineRule="auto"/>
        <w:rPr>
          <w:rFonts w:asciiTheme="majorHAnsi" w:eastAsia="MS Mincho" w:hAnsiTheme="majorHAnsi" w:cstheme="majorHAnsi"/>
          <w:sz w:val="24"/>
          <w:szCs w:val="24"/>
          <w:lang w:val="ro-RO" w:eastAsia="ja-JP"/>
        </w:rPr>
      </w:pPr>
      <w:r w:rsidRPr="00F55BA6">
        <w:rPr>
          <w:rFonts w:asciiTheme="majorHAnsi" w:eastAsia="MS Mincho" w:hAnsiTheme="majorHAnsi" w:cstheme="majorHAnsi"/>
          <w:sz w:val="24"/>
          <w:szCs w:val="24"/>
          <w:lang w:val="ro-RO" w:eastAsia="ja-JP"/>
        </w:rPr>
        <w:t>Soldurile mijloacelor neutilizate ale bugetelor locale primite din contul transferurilor cu destinație specială la sfârșitul anului 2020 s-au înregistrat în sumă totală de 14,0 mil. lei, din care</w:t>
      </w:r>
      <w:r w:rsidR="002406A2">
        <w:rPr>
          <w:rFonts w:asciiTheme="majorHAnsi" w:eastAsia="MS Mincho" w:hAnsiTheme="majorHAnsi" w:cstheme="majorHAnsi"/>
          <w:sz w:val="24"/>
          <w:szCs w:val="24"/>
          <w:lang w:val="ro-RO" w:eastAsia="ja-JP"/>
        </w:rPr>
        <w:t>:</w:t>
      </w:r>
      <w:r w:rsidRPr="00F55BA6">
        <w:rPr>
          <w:rFonts w:asciiTheme="majorHAnsi" w:eastAsia="MS Mincho" w:hAnsiTheme="majorHAnsi" w:cstheme="majorHAnsi"/>
          <w:sz w:val="24"/>
          <w:szCs w:val="24"/>
          <w:lang w:val="ro-RO" w:eastAsia="ja-JP"/>
        </w:rPr>
        <w:t xml:space="preserve"> la UTA Găgăuzia </w:t>
      </w:r>
      <w:r w:rsidR="00B0488B">
        <w:rPr>
          <w:rFonts w:asciiTheme="majorHAnsi" w:eastAsiaTheme="minorEastAsia" w:hAnsiTheme="majorHAnsi" w:cstheme="majorHAnsi"/>
          <w:bCs/>
          <w:iCs/>
          <w:sz w:val="24"/>
          <w:szCs w:val="24"/>
          <w:lang w:val="ro-RO" w:eastAsia="ru-RU"/>
        </w:rPr>
        <w:t>–</w:t>
      </w:r>
      <w:r w:rsidRPr="00F55BA6">
        <w:rPr>
          <w:rFonts w:asciiTheme="majorHAnsi" w:eastAsia="MS Mincho" w:hAnsiTheme="majorHAnsi" w:cstheme="majorHAnsi"/>
          <w:sz w:val="24"/>
          <w:szCs w:val="24"/>
          <w:lang w:val="ro-RO" w:eastAsia="ja-JP"/>
        </w:rPr>
        <w:t xml:space="preserve"> 4,5 mil. lei, Drochia – 1,4 mil. lei, Strășeni – 0,7 mil. lei, mun. Bălți – 0,7 mil. lei etc.</w:t>
      </w:r>
      <w:r w:rsidR="00B0488B">
        <w:rPr>
          <w:rFonts w:asciiTheme="majorHAnsi" w:eastAsia="MS Mincho" w:hAnsiTheme="majorHAnsi" w:cstheme="majorHAnsi"/>
          <w:sz w:val="24"/>
          <w:szCs w:val="24"/>
          <w:lang w:val="ro-RO" w:eastAsia="ja-JP"/>
        </w:rPr>
        <w:t>,</w:t>
      </w:r>
      <w:r w:rsidRPr="00F55BA6">
        <w:rPr>
          <w:rFonts w:asciiTheme="majorHAnsi" w:eastAsia="MS Mincho" w:hAnsiTheme="majorHAnsi" w:cstheme="majorHAnsi"/>
          <w:sz w:val="24"/>
          <w:szCs w:val="24"/>
          <w:lang w:val="ro-RO" w:eastAsia="ja-JP"/>
        </w:rPr>
        <w:t xml:space="preserve"> fiind în pondere semnificativă la învățământ.</w:t>
      </w:r>
    </w:p>
    <w:p w:rsidR="005B3E18" w:rsidRPr="00F55BA6" w:rsidRDefault="00071637" w:rsidP="005B3E18">
      <w:pPr>
        <w:spacing w:after="0" w:line="276" w:lineRule="auto"/>
        <w:rPr>
          <w:rFonts w:asciiTheme="majorHAnsi" w:eastAsia="Times New Roman" w:hAnsiTheme="majorHAnsi" w:cstheme="majorHAnsi"/>
          <w:b/>
          <w:color w:val="000000" w:themeColor="text1"/>
          <w:sz w:val="24"/>
          <w:szCs w:val="24"/>
          <w:lang w:val="ro-RO"/>
        </w:rPr>
      </w:pPr>
      <w:r w:rsidRPr="00F55BA6">
        <w:rPr>
          <w:rFonts w:asciiTheme="majorHAnsi" w:eastAsia="Times New Roman" w:hAnsiTheme="majorHAnsi" w:cstheme="majorHAnsi"/>
          <w:b/>
          <w:color w:val="000000" w:themeColor="text1"/>
          <w:sz w:val="24"/>
          <w:szCs w:val="24"/>
          <w:lang w:val="ro-RO"/>
        </w:rPr>
        <w:t xml:space="preserve">7.2.3 </w:t>
      </w:r>
      <w:r w:rsidR="005B3E18" w:rsidRPr="00F55BA6">
        <w:rPr>
          <w:rFonts w:asciiTheme="majorHAnsi" w:eastAsia="Times New Roman" w:hAnsiTheme="majorHAnsi" w:cstheme="majorHAnsi"/>
          <w:b/>
          <w:color w:val="000000" w:themeColor="text1"/>
          <w:sz w:val="24"/>
          <w:szCs w:val="24"/>
          <w:lang w:val="ro-RO"/>
        </w:rPr>
        <w:t>Se atestă o creștere a cheltuielilor privind plățile aferente documentelor executorii</w:t>
      </w:r>
      <w:r w:rsidR="00313A31">
        <w:rPr>
          <w:rFonts w:asciiTheme="majorHAnsi" w:eastAsia="Times New Roman" w:hAnsiTheme="majorHAnsi" w:cstheme="majorHAnsi"/>
          <w:b/>
          <w:color w:val="000000" w:themeColor="text1"/>
          <w:sz w:val="24"/>
          <w:szCs w:val="24"/>
          <w:lang w:val="ro-RO"/>
        </w:rPr>
        <w:t>.</w:t>
      </w:r>
    </w:p>
    <w:p w:rsidR="005B3E18" w:rsidRPr="00207634" w:rsidRDefault="005B3E18" w:rsidP="005B3E18">
      <w:pPr>
        <w:spacing w:after="0" w:line="276" w:lineRule="auto"/>
        <w:rPr>
          <w:rFonts w:asciiTheme="majorHAnsi" w:eastAsia="Times New Roman" w:hAnsiTheme="majorHAnsi"/>
          <w:color w:val="000000"/>
          <w:sz w:val="24"/>
          <w:szCs w:val="24"/>
          <w:lang w:val="ro-RO"/>
        </w:rPr>
      </w:pPr>
      <w:r w:rsidRPr="00E4517B">
        <w:rPr>
          <w:rFonts w:asciiTheme="majorHAnsi" w:eastAsia="Times New Roman" w:hAnsiTheme="majorHAnsi"/>
          <w:color w:val="000000"/>
          <w:sz w:val="24"/>
          <w:szCs w:val="24"/>
          <w:lang w:val="ro-RO"/>
        </w:rPr>
        <w:t>Pentru executarea documentelor executorii, în anul 2020 au fost aprobate</w:t>
      </w:r>
      <w:r w:rsidRPr="00973E5B">
        <w:rPr>
          <w:rFonts w:asciiTheme="majorHAnsi" w:eastAsia="Times New Roman" w:hAnsiTheme="majorHAnsi"/>
          <w:color w:val="000000"/>
          <w:sz w:val="24"/>
          <w:szCs w:val="24"/>
          <w:lang w:val="ro-RO"/>
        </w:rPr>
        <w:t xml:space="preserve"> mijloace din BS în sumă de 24,2 mil. lei, u</w:t>
      </w:r>
      <w:r w:rsidRPr="003A12E6">
        <w:rPr>
          <w:rFonts w:asciiTheme="majorHAnsi" w:eastAsia="Times New Roman" w:hAnsiTheme="majorHAnsi"/>
          <w:color w:val="000000"/>
          <w:sz w:val="24"/>
          <w:szCs w:val="24"/>
          <w:lang w:val="ro-RO"/>
        </w:rPr>
        <w:t>lterior la rectificarea bugetului au fost majorate cu 72,8 mil. lei, fiind executate la nivel de 60,0%</w:t>
      </w:r>
      <w:r w:rsidR="00B0488B">
        <w:rPr>
          <w:rFonts w:asciiTheme="majorHAnsi" w:eastAsia="Times New Roman" w:hAnsiTheme="majorHAnsi"/>
          <w:color w:val="000000"/>
          <w:sz w:val="24"/>
          <w:szCs w:val="24"/>
          <w:lang w:val="ro-RO"/>
        </w:rPr>
        <w:t>,</w:t>
      </w:r>
      <w:r w:rsidRPr="003A12E6">
        <w:rPr>
          <w:rFonts w:asciiTheme="majorHAnsi" w:eastAsia="Times New Roman" w:hAnsiTheme="majorHAnsi"/>
          <w:color w:val="000000"/>
          <w:sz w:val="24"/>
          <w:szCs w:val="24"/>
          <w:lang w:val="ro-RO"/>
        </w:rPr>
        <w:t xml:space="preserve"> sau în sumă de 58,2 mil. lei. Analiza auditului denotă </w:t>
      </w:r>
      <w:r w:rsidRPr="00207634">
        <w:rPr>
          <w:rFonts w:asciiTheme="majorHAnsi" w:hAnsiTheme="majorHAnsi" w:cs="Times New Roman"/>
          <w:sz w:val="24"/>
          <w:szCs w:val="24"/>
          <w:lang w:val="ro-RO"/>
        </w:rPr>
        <w:t xml:space="preserve">creșterea cheltuielilor </w:t>
      </w:r>
      <w:r w:rsidRPr="00F55BA6">
        <w:rPr>
          <w:rFonts w:asciiTheme="majorHAnsi" w:eastAsia="Times New Roman" w:hAnsiTheme="majorHAnsi" w:cs="Times New Roman"/>
          <w:sz w:val="24"/>
          <w:szCs w:val="24"/>
          <w:lang w:val="ro-RO"/>
        </w:rPr>
        <w:t>privind plățile aferente documentelor executorii</w:t>
      </w:r>
      <w:r w:rsidRPr="00E4517B">
        <w:rPr>
          <w:rFonts w:asciiTheme="majorHAnsi" w:hAnsiTheme="majorHAnsi" w:cs="Times New Roman"/>
          <w:sz w:val="24"/>
          <w:szCs w:val="24"/>
          <w:lang w:val="ro-RO"/>
        </w:rPr>
        <w:t xml:space="preserve"> </w:t>
      </w:r>
      <w:r w:rsidRPr="00973E5B">
        <w:rPr>
          <w:rFonts w:asciiTheme="majorHAnsi" w:hAnsiTheme="majorHAnsi" w:cs="Times New Roman"/>
          <w:sz w:val="24"/>
          <w:szCs w:val="24"/>
          <w:lang w:val="ro-RO"/>
        </w:rPr>
        <w:t>față de anul precedent c</w:t>
      </w:r>
      <w:r w:rsidRPr="003A12E6">
        <w:rPr>
          <w:rFonts w:asciiTheme="majorHAnsi" w:hAnsiTheme="majorHAnsi" w:cs="Times New Roman"/>
          <w:sz w:val="24"/>
          <w:szCs w:val="24"/>
          <w:lang w:val="ro-RO"/>
        </w:rPr>
        <w:t>u 24,7mil.lei</w:t>
      </w:r>
      <w:r w:rsidR="00B0488B">
        <w:rPr>
          <w:rFonts w:asciiTheme="majorHAnsi" w:hAnsiTheme="majorHAnsi" w:cs="Times New Roman"/>
          <w:sz w:val="24"/>
          <w:szCs w:val="24"/>
          <w:lang w:val="ro-RO"/>
        </w:rPr>
        <w:t>,</w:t>
      </w:r>
      <w:r w:rsidRPr="003A12E6">
        <w:rPr>
          <w:rFonts w:asciiTheme="majorHAnsi" w:hAnsiTheme="majorHAnsi" w:cs="Times New Roman"/>
          <w:sz w:val="24"/>
          <w:szCs w:val="24"/>
          <w:lang w:val="ro-RO"/>
        </w:rPr>
        <w:t xml:space="preserve"> sau cu 73,9%.</w:t>
      </w:r>
    </w:p>
    <w:p w:rsidR="005B3E18" w:rsidRPr="00F55BA6" w:rsidRDefault="005B3E18" w:rsidP="005B3E18">
      <w:pPr>
        <w:spacing w:after="0" w:line="276" w:lineRule="auto"/>
        <w:rPr>
          <w:rFonts w:ascii="Calibri Light" w:eastAsia="Times New Roman" w:hAnsi="Calibri Light" w:cs="Times New Roman"/>
          <w:color w:val="000000" w:themeColor="text1"/>
          <w:sz w:val="24"/>
          <w:szCs w:val="24"/>
          <w:lang w:val="ro-RO"/>
        </w:rPr>
      </w:pPr>
      <w:r w:rsidRPr="00F55BA6">
        <w:rPr>
          <w:rFonts w:ascii="Calibri Light" w:eastAsia="Times New Roman" w:hAnsi="Calibri Light" w:cs="Times New Roman"/>
          <w:sz w:val="24"/>
          <w:szCs w:val="24"/>
          <w:lang w:val="ro-RO"/>
        </w:rPr>
        <w:t xml:space="preserve">În anul 2020, din totalul cheltuielilor executate </w:t>
      </w:r>
      <w:r w:rsidR="00B0488B">
        <w:rPr>
          <w:rFonts w:ascii="Calibri Light" w:eastAsia="Times New Roman" w:hAnsi="Calibri Light" w:cs="Times New Roman"/>
          <w:sz w:val="24"/>
          <w:szCs w:val="24"/>
          <w:lang w:val="ro-RO"/>
        </w:rPr>
        <w:t xml:space="preserve">în sumă </w:t>
      </w:r>
      <w:r w:rsidRPr="00F55BA6">
        <w:rPr>
          <w:rFonts w:ascii="Calibri Light" w:eastAsia="Times New Roman" w:hAnsi="Calibri Light" w:cs="Times New Roman"/>
          <w:sz w:val="24"/>
          <w:szCs w:val="24"/>
          <w:lang w:val="ro-RO"/>
        </w:rPr>
        <w:t>de 58,2 mil. lei, 51,4 mil. lei (88,3 %) au fost achitate direct de către MF, iar 6,8 mil.lei (11,7%) – de către executorii de buget</w:t>
      </w:r>
      <w:r w:rsidRPr="00F55BA6">
        <w:rPr>
          <w:rFonts w:ascii="Calibri Light" w:eastAsia="Times New Roman" w:hAnsi="Calibri Light" w:cs="Times New Roman"/>
          <w:color w:val="000000" w:themeColor="text1"/>
          <w:sz w:val="24"/>
          <w:szCs w:val="24"/>
          <w:lang w:val="ro-RO"/>
        </w:rPr>
        <w:t>.</w:t>
      </w:r>
    </w:p>
    <w:p w:rsidR="005B3E18" w:rsidRPr="00F55BA6" w:rsidRDefault="005B3E18" w:rsidP="005B3E18">
      <w:pPr>
        <w:shd w:val="clear" w:color="auto" w:fill="FFFFFF"/>
        <w:spacing w:after="0" w:line="276" w:lineRule="auto"/>
        <w:rPr>
          <w:rFonts w:asciiTheme="majorHAnsi" w:eastAsia="Times New Roman" w:hAnsiTheme="majorHAnsi"/>
          <w:sz w:val="24"/>
          <w:szCs w:val="24"/>
          <w:lang w:val="ro-RO"/>
        </w:rPr>
      </w:pPr>
      <w:r w:rsidRPr="00F55BA6">
        <w:rPr>
          <w:rFonts w:ascii="Calibri Light" w:eastAsia="Times New Roman" w:hAnsi="Calibri Light" w:cs="Times New Roman"/>
          <w:sz w:val="24"/>
          <w:szCs w:val="24"/>
          <w:lang w:val="ro-RO"/>
        </w:rPr>
        <w:t>Verificările auditului denotă că, pe parcursul anului 2020</w:t>
      </w:r>
      <w:r w:rsidR="00B0488B">
        <w:rPr>
          <w:rFonts w:ascii="Calibri Light" w:eastAsia="Times New Roman" w:hAnsi="Calibri Light" w:cs="Times New Roman"/>
          <w:sz w:val="24"/>
          <w:szCs w:val="24"/>
          <w:lang w:val="ro-RO"/>
        </w:rPr>
        <w:t>,</w:t>
      </w:r>
      <w:r w:rsidRPr="00F55BA6">
        <w:rPr>
          <w:rFonts w:ascii="Calibri Light" w:eastAsia="Times New Roman" w:hAnsi="Calibri Light" w:cs="Times New Roman"/>
          <w:sz w:val="24"/>
          <w:szCs w:val="24"/>
          <w:lang w:val="ro-RO"/>
        </w:rPr>
        <w:t xml:space="preserve"> MF i-au fost înaintate spre achitare 230 documente executorii care au fost executate în sumă de 51,4 mil. lei, din care: 183 </w:t>
      </w:r>
      <w:r w:rsidR="00B0488B">
        <w:rPr>
          <w:rFonts w:ascii="Calibri Light" w:eastAsia="Times New Roman" w:hAnsi="Calibri Light" w:cs="Times New Roman"/>
          <w:sz w:val="24"/>
          <w:szCs w:val="24"/>
          <w:lang w:val="ro-RO"/>
        </w:rPr>
        <w:t xml:space="preserve">de </w:t>
      </w:r>
      <w:r w:rsidRPr="00F55BA6">
        <w:rPr>
          <w:rFonts w:ascii="Calibri Light" w:eastAsia="Times New Roman" w:hAnsi="Calibri Light" w:cs="Times New Roman"/>
          <w:sz w:val="24"/>
          <w:szCs w:val="24"/>
          <w:lang w:val="ro-RO"/>
        </w:rPr>
        <w:t xml:space="preserve">titluri executorii emise de instanțele judecătorești din RM </w:t>
      </w:r>
      <w:r w:rsidR="00B0488B">
        <w:rPr>
          <w:rFonts w:ascii="Calibri Light" w:eastAsia="Times New Roman" w:hAnsi="Calibri Light" w:cs="Times New Roman"/>
          <w:sz w:val="24"/>
          <w:szCs w:val="24"/>
          <w:lang w:val="ro-RO"/>
        </w:rPr>
        <w:t>în valoare de</w:t>
      </w:r>
      <w:r w:rsidRPr="00F55BA6">
        <w:rPr>
          <w:rFonts w:ascii="Calibri Light" w:eastAsia="Times New Roman" w:hAnsi="Calibri Light" w:cs="Times New Roman"/>
          <w:sz w:val="24"/>
          <w:szCs w:val="24"/>
          <w:lang w:val="ro-RO"/>
        </w:rPr>
        <w:t xml:space="preserve"> 9,7 mil.lei și 47 decizii CEDO </w:t>
      </w:r>
      <w:r w:rsidR="00B0488B">
        <w:rPr>
          <w:rFonts w:ascii="Calibri Light" w:eastAsia="Times New Roman" w:hAnsi="Calibri Light" w:cs="Times New Roman"/>
          <w:sz w:val="24"/>
          <w:szCs w:val="24"/>
          <w:lang w:val="ro-RO"/>
        </w:rPr>
        <w:t xml:space="preserve">în valoare de </w:t>
      </w:r>
      <w:r w:rsidRPr="00F55BA6">
        <w:rPr>
          <w:rFonts w:ascii="Calibri Light" w:eastAsia="Times New Roman" w:hAnsi="Calibri Light" w:cs="Times New Roman"/>
          <w:sz w:val="24"/>
          <w:szCs w:val="24"/>
          <w:lang w:val="ro-RO"/>
        </w:rPr>
        <w:t xml:space="preserve"> 41,7 mil. lei</w:t>
      </w:r>
      <w:r w:rsidR="00B0488B">
        <w:rPr>
          <w:rFonts w:ascii="Calibri Light" w:eastAsia="Times New Roman" w:hAnsi="Calibri Light" w:cs="Times New Roman"/>
          <w:sz w:val="24"/>
          <w:szCs w:val="24"/>
          <w:lang w:val="ro-RO"/>
        </w:rPr>
        <w:t>,</w:t>
      </w:r>
      <w:r w:rsidRPr="00F55BA6">
        <w:rPr>
          <w:rFonts w:ascii="Calibri Light" w:eastAsia="Times New Roman" w:hAnsi="Calibri Light" w:cs="Times New Roman"/>
          <w:sz w:val="24"/>
          <w:szCs w:val="24"/>
          <w:lang w:val="ro-RO"/>
        </w:rPr>
        <w:t xml:space="preserve"> </w:t>
      </w:r>
      <w:r w:rsidRPr="00F55BA6">
        <w:rPr>
          <w:rFonts w:asciiTheme="majorHAnsi" w:eastAsia="Times New Roman" w:hAnsiTheme="majorHAnsi" w:cstheme="majorHAnsi"/>
          <w:color w:val="000000"/>
          <w:sz w:val="24"/>
          <w:szCs w:val="24"/>
          <w:lang w:val="ro-RO"/>
        </w:rPr>
        <w:t xml:space="preserve">sau 71,6 % din totalul plaților aferente documentelor executorii. </w:t>
      </w:r>
      <w:r w:rsidR="00B0488B">
        <w:rPr>
          <w:rFonts w:asciiTheme="majorHAnsi" w:eastAsia="Times New Roman" w:hAnsiTheme="majorHAnsi" w:cstheme="majorHAnsi"/>
          <w:sz w:val="24"/>
          <w:szCs w:val="24"/>
          <w:lang w:val="ro-RO"/>
        </w:rPr>
        <w:t>A</w:t>
      </w:r>
      <w:r w:rsidRPr="00F55BA6">
        <w:rPr>
          <w:rFonts w:asciiTheme="majorHAnsi" w:eastAsia="Times New Roman" w:hAnsiTheme="majorHAnsi" w:cstheme="majorHAnsi"/>
          <w:sz w:val="24"/>
          <w:szCs w:val="24"/>
          <w:lang w:val="ro-RO"/>
        </w:rPr>
        <w:t>naliz</w:t>
      </w:r>
      <w:r w:rsidR="00B0488B">
        <w:rPr>
          <w:rFonts w:asciiTheme="majorHAnsi" w:eastAsia="Times New Roman" w:hAnsiTheme="majorHAnsi" w:cstheme="majorHAnsi"/>
          <w:sz w:val="24"/>
          <w:szCs w:val="24"/>
          <w:lang w:val="ro-RO"/>
        </w:rPr>
        <w:t>a</w:t>
      </w:r>
      <w:r w:rsidRPr="00F55BA6">
        <w:rPr>
          <w:rFonts w:asciiTheme="majorHAnsi" w:eastAsia="Times New Roman" w:hAnsiTheme="majorHAnsi" w:cstheme="majorHAnsi"/>
          <w:sz w:val="24"/>
          <w:szCs w:val="24"/>
          <w:lang w:val="ro-RO"/>
        </w:rPr>
        <w:t xml:space="preserve"> de audit a cheltuielilor din BS conform</w:t>
      </w:r>
      <w:r w:rsidRPr="00E4517B">
        <w:rPr>
          <w:rFonts w:asciiTheme="majorHAnsi" w:eastAsia="Times New Roman" w:hAnsiTheme="majorHAnsi" w:cstheme="majorHAnsi"/>
          <w:color w:val="000000"/>
          <w:sz w:val="24"/>
          <w:szCs w:val="24"/>
          <w:lang w:val="ro-RO"/>
        </w:rPr>
        <w:t xml:space="preserve"> deciziilor CEDO</w:t>
      </w:r>
      <w:r w:rsidRPr="00F55BA6">
        <w:rPr>
          <w:rFonts w:asciiTheme="majorHAnsi" w:eastAsia="Times New Roman" w:hAnsiTheme="majorHAnsi" w:cstheme="majorHAnsi"/>
          <w:sz w:val="24"/>
          <w:szCs w:val="24"/>
          <w:lang w:val="ro-RO"/>
        </w:rPr>
        <w:t xml:space="preserve"> (41,7 mil.lei) denotă că ponderea majoră în totalul plăților efectuate pe parcursul anului 2020 o deține achitarea prejudiciului conform hotărârii CEDO nr. 06/2804 din 24.03.2020</w:t>
      </w:r>
      <w:r w:rsidRPr="00F55BA6">
        <w:rPr>
          <w:rStyle w:val="ac"/>
          <w:rFonts w:asciiTheme="majorHAnsi" w:eastAsia="Times New Roman" w:hAnsiTheme="majorHAnsi" w:cstheme="majorHAnsi"/>
          <w:sz w:val="24"/>
          <w:szCs w:val="24"/>
          <w:lang w:val="ro-RO"/>
        </w:rPr>
        <w:footnoteReference w:id="103"/>
      </w:r>
      <w:r w:rsidRPr="00F55BA6">
        <w:rPr>
          <w:rFonts w:asciiTheme="majorHAnsi" w:eastAsia="Times New Roman" w:hAnsiTheme="majorHAnsi" w:cstheme="majorHAnsi"/>
          <w:sz w:val="24"/>
          <w:szCs w:val="24"/>
          <w:lang w:val="ro-RO"/>
        </w:rPr>
        <w:t>, care însumează 29,6 mil.lei</w:t>
      </w:r>
      <w:r w:rsidR="00B0488B">
        <w:rPr>
          <w:rFonts w:asciiTheme="majorHAnsi" w:eastAsia="Times New Roman" w:hAnsiTheme="majorHAnsi" w:cstheme="majorHAnsi"/>
          <w:sz w:val="24"/>
          <w:szCs w:val="24"/>
          <w:lang w:val="ro-RO"/>
        </w:rPr>
        <w:t>,</w:t>
      </w:r>
      <w:r w:rsidRPr="00F55BA6">
        <w:rPr>
          <w:rFonts w:asciiTheme="majorHAnsi" w:eastAsia="Times New Roman" w:hAnsiTheme="majorHAnsi" w:cstheme="majorHAnsi"/>
          <w:sz w:val="24"/>
          <w:szCs w:val="24"/>
          <w:lang w:val="ro-RO"/>
        </w:rPr>
        <w:t xml:space="preserve"> sau circa 71,0 %. </w:t>
      </w:r>
    </w:p>
    <w:p w:rsidR="005B3E18" w:rsidRPr="00E4517B" w:rsidRDefault="005B3E18" w:rsidP="005B3E18">
      <w:pPr>
        <w:spacing w:after="0"/>
        <w:rPr>
          <w:rFonts w:asciiTheme="majorHAnsi" w:eastAsia="Times New Roman" w:hAnsiTheme="majorHAnsi"/>
          <w:color w:val="000000"/>
          <w:sz w:val="24"/>
          <w:szCs w:val="24"/>
          <w:lang w:val="ro-RO"/>
        </w:rPr>
      </w:pPr>
      <w:r w:rsidRPr="00F55BA6">
        <w:rPr>
          <w:rFonts w:asciiTheme="majorHAnsi" w:eastAsia="Times New Roman" w:hAnsiTheme="majorHAnsi" w:cstheme="majorHAnsi"/>
          <w:color w:val="000000"/>
          <w:sz w:val="24"/>
          <w:szCs w:val="24"/>
          <w:lang w:val="ro-RO"/>
        </w:rPr>
        <w:t xml:space="preserve">Verificările auditului </w:t>
      </w:r>
      <w:r w:rsidR="00B0488B">
        <w:rPr>
          <w:rFonts w:asciiTheme="majorHAnsi" w:eastAsia="Times New Roman" w:hAnsiTheme="majorHAnsi" w:cstheme="majorHAnsi"/>
          <w:color w:val="000000"/>
          <w:sz w:val="24"/>
          <w:szCs w:val="24"/>
          <w:lang w:val="ro-RO"/>
        </w:rPr>
        <w:t>relevă faptul că</w:t>
      </w:r>
      <w:r w:rsidRPr="00F55BA6">
        <w:rPr>
          <w:rFonts w:asciiTheme="majorHAnsi" w:eastAsia="Times New Roman" w:hAnsiTheme="majorHAnsi" w:cstheme="majorHAnsi"/>
          <w:color w:val="000000"/>
          <w:sz w:val="24"/>
          <w:szCs w:val="24"/>
          <w:lang w:val="ro-RO"/>
        </w:rPr>
        <w:t xml:space="preserve"> se înregistrează datorii debitoare cu termenul de prescripție expirat aferente hotărârilor rămase definitive ale instanțelor judecătorești, în valoare totală de 20,1 mil. lei la 3 agenți economici și o persoană fizică, dintre care la 2 agenți economici înregistrate din anul 2000 (3,8 mil.lei), la un agent economic din anul 2009 (8,3 mil. lei), și a unei persoane fizice din anul 2012 (8,0 mil.lei).</w:t>
      </w:r>
    </w:p>
    <w:p w:rsidR="00496C42" w:rsidRPr="00F55BA6" w:rsidRDefault="00496C42" w:rsidP="00854848">
      <w:pPr>
        <w:spacing w:after="0" w:line="276" w:lineRule="auto"/>
        <w:rPr>
          <w:rFonts w:asciiTheme="majorHAnsi" w:eastAsia="Times New Roman" w:hAnsiTheme="majorHAnsi" w:cstheme="majorHAnsi"/>
          <w:b/>
          <w:sz w:val="24"/>
          <w:szCs w:val="24"/>
          <w:lang w:val="ro-RO"/>
        </w:rPr>
      </w:pPr>
      <w:r w:rsidRPr="00F55BA6">
        <w:rPr>
          <w:rFonts w:asciiTheme="majorHAnsi" w:eastAsia="Times New Roman" w:hAnsiTheme="majorHAnsi" w:cstheme="majorHAnsi"/>
          <w:b/>
          <w:iCs/>
          <w:sz w:val="24"/>
          <w:szCs w:val="24"/>
          <w:lang w:val="ro-RO"/>
        </w:rPr>
        <w:t xml:space="preserve">7.3 </w:t>
      </w:r>
      <w:r w:rsidR="0080585C" w:rsidRPr="00F55BA6">
        <w:rPr>
          <w:rFonts w:asciiTheme="majorHAnsi" w:eastAsia="Times New Roman" w:hAnsiTheme="majorHAnsi" w:cstheme="majorHAnsi"/>
          <w:b/>
          <w:iCs/>
          <w:sz w:val="24"/>
          <w:szCs w:val="24"/>
          <w:lang w:val="ro-RO"/>
        </w:rPr>
        <w:t>BPN</w:t>
      </w:r>
      <w:r w:rsidR="00C04D26" w:rsidRPr="00F55BA6">
        <w:rPr>
          <w:rFonts w:asciiTheme="majorHAnsi" w:eastAsia="Times New Roman" w:hAnsiTheme="majorHAnsi" w:cstheme="majorHAnsi"/>
          <w:b/>
          <w:iCs/>
          <w:sz w:val="24"/>
          <w:szCs w:val="24"/>
          <w:lang w:val="ro-RO"/>
        </w:rPr>
        <w:t xml:space="preserve"> este o</w:t>
      </w:r>
      <w:r w:rsidR="00C04D26" w:rsidRPr="00F55BA6">
        <w:rPr>
          <w:rFonts w:asciiTheme="majorHAnsi" w:eastAsia="Times New Roman" w:hAnsiTheme="majorHAnsi" w:cstheme="majorHAnsi"/>
          <w:b/>
          <w:sz w:val="24"/>
          <w:szCs w:val="24"/>
          <w:lang w:val="ro-RO"/>
        </w:rPr>
        <w:t xml:space="preserve"> sinteză a bugetelor constituite în cadrul sistemului bugetar, cu excluder</w:t>
      </w:r>
      <w:r w:rsidRPr="00F55BA6">
        <w:rPr>
          <w:rFonts w:asciiTheme="majorHAnsi" w:eastAsia="Times New Roman" w:hAnsiTheme="majorHAnsi" w:cstheme="majorHAnsi"/>
          <w:b/>
          <w:sz w:val="24"/>
          <w:szCs w:val="24"/>
          <w:lang w:val="ro-RO"/>
        </w:rPr>
        <w:t>ea transferurilor interbugetare</w:t>
      </w:r>
      <w:r w:rsidR="00313A31">
        <w:rPr>
          <w:rFonts w:asciiTheme="majorHAnsi" w:eastAsia="Times New Roman" w:hAnsiTheme="majorHAnsi" w:cstheme="majorHAnsi"/>
          <w:b/>
          <w:sz w:val="24"/>
          <w:szCs w:val="24"/>
          <w:lang w:val="ro-RO"/>
        </w:rPr>
        <w:t>.</w:t>
      </w:r>
    </w:p>
    <w:p w:rsidR="000013EB" w:rsidRPr="009131CF" w:rsidRDefault="00CC2842" w:rsidP="00854848">
      <w:pPr>
        <w:spacing w:after="0" w:line="276" w:lineRule="auto"/>
        <w:rPr>
          <w:rFonts w:asciiTheme="majorHAnsi" w:eastAsia="Times New Roman" w:hAnsiTheme="majorHAnsi" w:cstheme="majorHAnsi"/>
          <w:color w:val="000000"/>
          <w:spacing w:val="-1"/>
          <w:sz w:val="24"/>
          <w:szCs w:val="24"/>
          <w:lang w:val="ro-RO" w:eastAsia="ru-RU"/>
        </w:rPr>
      </w:pPr>
      <w:r w:rsidRPr="00F55BA6">
        <w:rPr>
          <w:rFonts w:asciiTheme="majorHAnsi" w:hAnsiTheme="majorHAnsi" w:cstheme="majorHAnsi"/>
          <w:sz w:val="24"/>
          <w:szCs w:val="24"/>
          <w:lang w:val="ro-RO"/>
        </w:rPr>
        <w:t>Componentele BPN cuprind BS</w:t>
      </w:r>
      <w:r w:rsidRPr="00F55BA6">
        <w:rPr>
          <w:rFonts w:asciiTheme="majorHAnsi" w:hAnsiTheme="majorHAnsi" w:cstheme="majorHAnsi"/>
          <w:sz w:val="24"/>
          <w:szCs w:val="24"/>
          <w:vertAlign w:val="superscript"/>
          <w:lang w:val="ro-RO"/>
        </w:rPr>
        <w:footnoteReference w:id="104"/>
      </w:r>
      <w:r w:rsidRPr="00F55BA6">
        <w:rPr>
          <w:rFonts w:asciiTheme="majorHAnsi" w:hAnsiTheme="majorHAnsi" w:cstheme="majorHAnsi"/>
          <w:sz w:val="24"/>
          <w:szCs w:val="24"/>
          <w:lang w:val="ro-RO"/>
        </w:rPr>
        <w:t>, BASS, FAOAM și BL, din care bugetul consolidat central se formează din BS, BASS și FAOAM, iar bugetele locale de nivelul întâi și de nivelul al doilea formează în ansamblu bugetul consolidat local</w:t>
      </w:r>
      <w:r w:rsidRPr="00F55BA6">
        <w:rPr>
          <w:rFonts w:asciiTheme="majorHAnsi" w:hAnsiTheme="majorHAnsi" w:cstheme="majorHAnsi"/>
          <w:sz w:val="24"/>
          <w:szCs w:val="24"/>
          <w:vertAlign w:val="superscript"/>
          <w:lang w:val="ro-RO"/>
        </w:rPr>
        <w:footnoteReference w:id="105"/>
      </w:r>
      <w:r w:rsidRPr="00F55BA6">
        <w:rPr>
          <w:rFonts w:asciiTheme="majorHAnsi" w:hAnsiTheme="majorHAnsi" w:cstheme="majorHAnsi"/>
          <w:sz w:val="24"/>
          <w:szCs w:val="24"/>
          <w:lang w:val="ro-RO"/>
        </w:rPr>
        <w:t xml:space="preserve">. </w:t>
      </w:r>
      <w:r w:rsidRPr="00F55BA6">
        <w:rPr>
          <w:rFonts w:asciiTheme="majorHAnsi" w:eastAsia="Times New Roman" w:hAnsiTheme="majorHAnsi" w:cstheme="majorHAnsi"/>
          <w:sz w:val="24"/>
          <w:szCs w:val="24"/>
          <w:lang w:val="ro-RO"/>
        </w:rPr>
        <w:t xml:space="preserve">MF anual întocmește și plasează pe pagina oficială Bilanțul contabil </w:t>
      </w:r>
      <w:r w:rsidRPr="003B36F4">
        <w:rPr>
          <w:rFonts w:asciiTheme="majorHAnsi" w:eastAsia="Times New Roman" w:hAnsiTheme="majorHAnsi" w:cstheme="majorHAnsi"/>
          <w:sz w:val="24"/>
          <w:szCs w:val="24"/>
          <w:lang w:val="ro-RO"/>
        </w:rPr>
        <w:t>consolidat al Guvernului central, care include bilanțul contabil consolidat al APC, CNAS și CNAM.</w:t>
      </w:r>
      <w:r w:rsidR="00C04D26" w:rsidRPr="003B36F4">
        <w:rPr>
          <w:rFonts w:asciiTheme="majorHAnsi" w:eastAsia="Times New Roman" w:hAnsiTheme="majorHAnsi" w:cstheme="majorHAnsi"/>
          <w:sz w:val="24"/>
          <w:szCs w:val="24"/>
          <w:lang w:val="ro-RO"/>
        </w:rPr>
        <w:t xml:space="preserve"> </w:t>
      </w:r>
      <w:r w:rsidR="00FA6950" w:rsidRPr="003B36F4">
        <w:rPr>
          <w:rFonts w:asciiTheme="majorHAnsi" w:eastAsia="Times New Roman" w:hAnsiTheme="majorHAnsi" w:cstheme="majorHAnsi"/>
          <w:sz w:val="24"/>
          <w:szCs w:val="24"/>
          <w:lang w:val="ro-RO"/>
        </w:rPr>
        <w:t>Trezoreria de Stat şi trezoreriile regionale</w:t>
      </w:r>
      <w:r w:rsidR="00FA6950" w:rsidRPr="00F55BA6">
        <w:rPr>
          <w:rFonts w:asciiTheme="majorHAnsi" w:eastAsia="Times New Roman" w:hAnsiTheme="majorHAnsi" w:cstheme="majorHAnsi"/>
          <w:sz w:val="24"/>
          <w:szCs w:val="24"/>
          <w:lang w:val="ro-RO"/>
        </w:rPr>
        <w:t xml:space="preserve"> ale MF asigură evidența contabilă a executării de casă a </w:t>
      </w:r>
      <w:r w:rsidR="00FA6950" w:rsidRPr="00F55BA6">
        <w:rPr>
          <w:rFonts w:asciiTheme="majorHAnsi" w:eastAsia="Times New Roman" w:hAnsiTheme="majorHAnsi" w:cstheme="majorHAnsi"/>
          <w:sz w:val="24"/>
          <w:szCs w:val="24"/>
          <w:lang w:val="ro-RO"/>
        </w:rPr>
        <w:lastRenderedPageBreak/>
        <w:t xml:space="preserve">mijloacelor BPN. </w:t>
      </w:r>
      <w:r w:rsidR="000013EB" w:rsidRPr="00E4517B">
        <w:rPr>
          <w:rFonts w:asciiTheme="majorHAnsi" w:hAnsiTheme="majorHAnsi" w:cstheme="majorHAnsi"/>
          <w:sz w:val="24"/>
          <w:szCs w:val="24"/>
          <w:lang w:val="ro-RO"/>
        </w:rPr>
        <w:t>Potrivit Raportului privind executarea bugetului public național pe anul 20</w:t>
      </w:r>
      <w:r w:rsidR="00E42B06" w:rsidRPr="00973E5B">
        <w:rPr>
          <w:rFonts w:asciiTheme="majorHAnsi" w:hAnsiTheme="majorHAnsi" w:cstheme="majorHAnsi"/>
          <w:sz w:val="24"/>
          <w:szCs w:val="24"/>
          <w:lang w:val="ro-RO"/>
        </w:rPr>
        <w:t>20</w:t>
      </w:r>
      <w:r w:rsidR="000013EB" w:rsidRPr="00E4517B">
        <w:rPr>
          <w:rFonts w:asciiTheme="majorHAnsi" w:hAnsiTheme="majorHAnsi" w:cstheme="majorHAnsi"/>
          <w:sz w:val="24"/>
          <w:szCs w:val="24"/>
          <w:vertAlign w:val="superscript"/>
          <w:lang w:val="ro-RO"/>
        </w:rPr>
        <w:footnoteReference w:id="106"/>
      </w:r>
      <w:r w:rsidR="000013EB" w:rsidRPr="00E4517B">
        <w:rPr>
          <w:rFonts w:asciiTheme="majorHAnsi" w:hAnsiTheme="majorHAnsi" w:cstheme="majorHAnsi"/>
          <w:sz w:val="24"/>
          <w:szCs w:val="24"/>
          <w:lang w:val="ro-RO"/>
        </w:rPr>
        <w:t>, au fost încasate veni</w:t>
      </w:r>
      <w:r w:rsidR="000013EB" w:rsidRPr="00973E5B">
        <w:rPr>
          <w:rFonts w:asciiTheme="majorHAnsi" w:hAnsiTheme="majorHAnsi" w:cstheme="majorHAnsi"/>
          <w:sz w:val="24"/>
          <w:szCs w:val="24"/>
          <w:lang w:val="ro-RO"/>
        </w:rPr>
        <w:t xml:space="preserve">turi în sumă totală de </w:t>
      </w:r>
      <w:r w:rsidR="008D3C15" w:rsidRPr="003A12E6">
        <w:rPr>
          <w:rFonts w:asciiTheme="majorHAnsi" w:hAnsiTheme="majorHAnsi" w:cstheme="majorHAnsi"/>
          <w:sz w:val="24"/>
          <w:szCs w:val="24"/>
          <w:lang w:val="ro-RO"/>
        </w:rPr>
        <w:t>62 650,0</w:t>
      </w:r>
      <w:r w:rsidR="000013EB" w:rsidRPr="00207634">
        <w:rPr>
          <w:rFonts w:asciiTheme="majorHAnsi" w:hAnsiTheme="majorHAnsi" w:cstheme="majorHAnsi"/>
          <w:sz w:val="24"/>
          <w:szCs w:val="24"/>
          <w:lang w:val="ro-RO"/>
        </w:rPr>
        <w:t xml:space="preserve"> mil. lei, ceea ce reprezintă </w:t>
      </w:r>
      <w:r w:rsidR="008D3C15" w:rsidRPr="00207634">
        <w:rPr>
          <w:rFonts w:asciiTheme="majorHAnsi" w:hAnsiTheme="majorHAnsi" w:cstheme="majorHAnsi"/>
          <w:sz w:val="24"/>
          <w:szCs w:val="24"/>
          <w:lang w:val="ro-RO"/>
        </w:rPr>
        <w:t>30,4</w:t>
      </w:r>
      <w:r w:rsidR="000013EB" w:rsidRPr="00FF09F0">
        <w:rPr>
          <w:rFonts w:asciiTheme="majorHAnsi" w:hAnsiTheme="majorHAnsi" w:cstheme="majorHAnsi"/>
          <w:sz w:val="24"/>
          <w:szCs w:val="24"/>
          <w:lang w:val="ro-RO"/>
        </w:rPr>
        <w:t>% din PIB. Veniturile BPN, în comparație cu indicatorii</w:t>
      </w:r>
      <w:r w:rsidR="008D3C15" w:rsidRPr="009131CF">
        <w:rPr>
          <w:rFonts w:asciiTheme="majorHAnsi" w:hAnsiTheme="majorHAnsi" w:cstheme="majorHAnsi"/>
          <w:sz w:val="24"/>
          <w:szCs w:val="24"/>
          <w:lang w:val="ro-RO"/>
        </w:rPr>
        <w:t xml:space="preserve"> precizați, au înregistrat o </w:t>
      </w:r>
      <w:r w:rsidR="000013EB" w:rsidRPr="009131CF">
        <w:rPr>
          <w:rFonts w:asciiTheme="majorHAnsi" w:hAnsiTheme="majorHAnsi" w:cstheme="majorHAnsi"/>
          <w:sz w:val="24"/>
          <w:szCs w:val="24"/>
          <w:lang w:val="ro-RO"/>
        </w:rPr>
        <w:t xml:space="preserve">creștere cu </w:t>
      </w:r>
      <w:r w:rsidR="008D3C15" w:rsidRPr="009131CF">
        <w:rPr>
          <w:rFonts w:asciiTheme="majorHAnsi" w:hAnsiTheme="majorHAnsi" w:cstheme="majorHAnsi"/>
          <w:sz w:val="24"/>
          <w:szCs w:val="24"/>
          <w:lang w:val="ro-RO"/>
        </w:rPr>
        <w:t>2,3</w:t>
      </w:r>
      <w:r w:rsidR="000013EB" w:rsidRPr="009131CF">
        <w:rPr>
          <w:rFonts w:asciiTheme="majorHAnsi" w:hAnsiTheme="majorHAnsi" w:cstheme="majorHAnsi"/>
          <w:sz w:val="24"/>
          <w:szCs w:val="24"/>
          <w:lang w:val="ro-RO"/>
        </w:rPr>
        <w:t xml:space="preserve">%, echivalentă cu </w:t>
      </w:r>
      <w:r w:rsidR="008D3C15" w:rsidRPr="00E4517B">
        <w:rPr>
          <w:rFonts w:asciiTheme="majorHAnsi" w:hAnsiTheme="majorHAnsi" w:cstheme="majorHAnsi"/>
          <w:sz w:val="24"/>
          <w:szCs w:val="24"/>
          <w:lang w:val="ro-RO"/>
        </w:rPr>
        <w:t>1 422,9 mil. lei</w:t>
      </w:r>
      <w:r w:rsidR="000013EB" w:rsidRPr="00E4517B">
        <w:rPr>
          <w:rFonts w:asciiTheme="majorHAnsi" w:hAnsiTheme="majorHAnsi" w:cstheme="majorHAnsi"/>
          <w:sz w:val="24"/>
          <w:szCs w:val="24"/>
          <w:lang w:val="ro-RO"/>
        </w:rPr>
        <w:t xml:space="preserve">. Totodată, comparativ cu anul </w:t>
      </w:r>
      <w:r w:rsidR="008D3C15" w:rsidRPr="00E4517B">
        <w:rPr>
          <w:rFonts w:asciiTheme="majorHAnsi" w:hAnsiTheme="majorHAnsi" w:cstheme="majorHAnsi"/>
          <w:sz w:val="24"/>
          <w:szCs w:val="24"/>
          <w:lang w:val="ro-RO"/>
        </w:rPr>
        <w:t>2019</w:t>
      </w:r>
      <w:r w:rsidR="000013EB" w:rsidRPr="00E4517B">
        <w:rPr>
          <w:rFonts w:asciiTheme="majorHAnsi" w:hAnsiTheme="majorHAnsi" w:cstheme="majorHAnsi"/>
          <w:sz w:val="24"/>
          <w:szCs w:val="24"/>
          <w:lang w:val="ro-RO"/>
        </w:rPr>
        <w:t xml:space="preserve">, veniturile încasate în BPN au fost în </w:t>
      </w:r>
      <w:r w:rsidR="008D3C15" w:rsidRPr="00E4517B">
        <w:rPr>
          <w:rFonts w:asciiTheme="majorHAnsi" w:hAnsiTheme="majorHAnsi" w:cstheme="majorHAnsi"/>
          <w:sz w:val="24"/>
          <w:szCs w:val="24"/>
          <w:lang w:val="ro-RO"/>
        </w:rPr>
        <w:t>des</w:t>
      </w:r>
      <w:r w:rsidR="000013EB" w:rsidRPr="00E4517B">
        <w:rPr>
          <w:rFonts w:asciiTheme="majorHAnsi" w:hAnsiTheme="majorHAnsi" w:cstheme="majorHAnsi"/>
          <w:sz w:val="24"/>
          <w:szCs w:val="24"/>
          <w:lang w:val="ro-RO"/>
        </w:rPr>
        <w:t xml:space="preserve">creștere cu </w:t>
      </w:r>
      <w:r w:rsidR="008D3C15" w:rsidRPr="00E4517B">
        <w:rPr>
          <w:rFonts w:asciiTheme="majorHAnsi" w:hAnsiTheme="majorHAnsi" w:cstheme="majorHAnsi"/>
          <w:sz w:val="24"/>
          <w:szCs w:val="24"/>
          <w:lang w:val="ro-RO"/>
        </w:rPr>
        <w:t>0,5</w:t>
      </w:r>
      <w:r w:rsidR="000013EB" w:rsidRPr="00E4517B">
        <w:rPr>
          <w:rFonts w:asciiTheme="majorHAnsi" w:hAnsiTheme="majorHAnsi" w:cstheme="majorHAnsi"/>
          <w:sz w:val="24"/>
          <w:szCs w:val="24"/>
          <w:lang w:val="ro-RO"/>
        </w:rPr>
        <w:t xml:space="preserve">%, sau cu </w:t>
      </w:r>
      <w:r w:rsidR="008D3C15" w:rsidRPr="00E4517B">
        <w:rPr>
          <w:rFonts w:asciiTheme="majorHAnsi" w:hAnsiTheme="majorHAnsi" w:cstheme="majorHAnsi"/>
          <w:sz w:val="24"/>
          <w:szCs w:val="24"/>
          <w:lang w:val="ro-RO"/>
        </w:rPr>
        <w:t>299,2</w:t>
      </w:r>
      <w:r w:rsidR="000013EB" w:rsidRPr="00E4517B">
        <w:rPr>
          <w:rFonts w:asciiTheme="majorHAnsi" w:hAnsiTheme="majorHAnsi" w:cstheme="majorHAnsi"/>
          <w:sz w:val="24"/>
          <w:szCs w:val="24"/>
          <w:lang w:val="ro-RO"/>
        </w:rPr>
        <w:t xml:space="preserve"> mil. lei.</w:t>
      </w:r>
      <w:r w:rsidR="000013EB" w:rsidRPr="00E4517B">
        <w:rPr>
          <w:rFonts w:asciiTheme="majorHAnsi" w:eastAsia="Times New Roman" w:hAnsiTheme="majorHAnsi" w:cstheme="majorHAnsi"/>
          <w:color w:val="000000"/>
          <w:spacing w:val="-1"/>
          <w:sz w:val="24"/>
          <w:szCs w:val="24"/>
          <w:lang w:val="ro-RO" w:eastAsia="ru-RU"/>
        </w:rPr>
        <w:t xml:space="preserve"> </w:t>
      </w:r>
      <w:r w:rsidR="00C32B78" w:rsidRPr="00E4517B">
        <w:rPr>
          <w:rFonts w:asciiTheme="majorHAnsi" w:eastAsia="Times New Roman" w:hAnsiTheme="majorHAnsi" w:cstheme="majorHAnsi"/>
          <w:color w:val="000000"/>
          <w:spacing w:val="-1"/>
          <w:sz w:val="24"/>
          <w:szCs w:val="24"/>
          <w:lang w:val="ro-RO" w:eastAsia="ru-RU"/>
        </w:rPr>
        <w:t>Exercițiul bugetar pentru anul 2020 s-a încheiat cu un sold bugetar (deficit) la nivel de 5,1% din PIB</w:t>
      </w:r>
      <w:r w:rsidR="00313A31">
        <w:rPr>
          <w:rFonts w:asciiTheme="majorHAnsi" w:eastAsia="Times New Roman" w:hAnsiTheme="majorHAnsi" w:cstheme="majorHAnsi"/>
          <w:color w:val="000000"/>
          <w:spacing w:val="-1"/>
          <w:sz w:val="24"/>
          <w:szCs w:val="24"/>
          <w:lang w:val="ro-RO" w:eastAsia="ru-RU"/>
        </w:rPr>
        <w:t>,</w:t>
      </w:r>
      <w:r w:rsidR="00C32B78" w:rsidRPr="00E4517B">
        <w:rPr>
          <w:rFonts w:asciiTheme="majorHAnsi" w:eastAsia="Times New Roman" w:hAnsiTheme="majorHAnsi" w:cstheme="majorHAnsi"/>
          <w:color w:val="000000"/>
          <w:spacing w:val="-1"/>
          <w:sz w:val="24"/>
          <w:szCs w:val="24"/>
          <w:lang w:val="ro-RO" w:eastAsia="ru-RU"/>
        </w:rPr>
        <w:t xml:space="preserve"> față de 1,44% în anul 2019. </w:t>
      </w:r>
      <w:r w:rsidR="000013EB" w:rsidRPr="00F55BA6">
        <w:rPr>
          <w:rFonts w:asciiTheme="majorHAnsi" w:hAnsiTheme="majorHAnsi" w:cstheme="majorHAnsi"/>
          <w:sz w:val="24"/>
          <w:szCs w:val="24"/>
          <w:lang w:val="ro-RO"/>
        </w:rPr>
        <w:t>Regula fiscală generală, stabilită în art.15 alin.(1) din Legea nr.181</w:t>
      </w:r>
      <w:r w:rsidR="00EF4F0F">
        <w:rPr>
          <w:rFonts w:asciiTheme="majorHAnsi" w:hAnsiTheme="majorHAnsi" w:cstheme="majorHAnsi"/>
          <w:sz w:val="24"/>
          <w:szCs w:val="24"/>
          <w:lang w:val="ro-RO"/>
        </w:rPr>
        <w:t>,</w:t>
      </w:r>
      <w:r w:rsidR="000013EB" w:rsidRPr="00F55BA6">
        <w:rPr>
          <w:rFonts w:asciiTheme="majorHAnsi" w:hAnsiTheme="majorHAnsi" w:cstheme="majorHAnsi"/>
          <w:sz w:val="24"/>
          <w:szCs w:val="24"/>
          <w:lang w:val="ro-RO"/>
        </w:rPr>
        <w:t xml:space="preserve"> nu a fost respectată</w:t>
      </w:r>
      <w:r w:rsidR="00EF4F0F">
        <w:rPr>
          <w:rFonts w:asciiTheme="majorHAnsi" w:hAnsiTheme="majorHAnsi" w:cstheme="majorHAnsi"/>
          <w:sz w:val="24"/>
          <w:szCs w:val="24"/>
          <w:lang w:val="ro-RO"/>
        </w:rPr>
        <w:t>,</w:t>
      </w:r>
      <w:r w:rsidR="000013EB" w:rsidRPr="00F55BA6">
        <w:rPr>
          <w:rFonts w:asciiTheme="majorHAnsi" w:hAnsiTheme="majorHAnsi" w:cstheme="majorHAnsi"/>
          <w:sz w:val="24"/>
          <w:szCs w:val="24"/>
          <w:lang w:val="ro-RO"/>
        </w:rPr>
        <w:t xml:space="preserve"> însă în baza prevederilor alin.(3) al aceluiași articol se admite derogarea în caz de situații excepționale care pun în pericol securitatea națională și declinul activității economice. </w:t>
      </w:r>
      <w:r w:rsidR="000013EB" w:rsidRPr="00E4517B">
        <w:rPr>
          <w:rFonts w:asciiTheme="majorHAnsi" w:eastAsia="Times New Roman" w:hAnsiTheme="majorHAnsi" w:cstheme="majorHAnsi"/>
          <w:i/>
          <w:color w:val="000000"/>
          <w:spacing w:val="-1"/>
          <w:sz w:val="24"/>
          <w:szCs w:val="24"/>
          <w:lang w:val="ro-RO" w:eastAsia="ru-RU"/>
        </w:rPr>
        <w:t>Executarea principalilo</w:t>
      </w:r>
      <w:r w:rsidR="000013EB" w:rsidRPr="00973E5B">
        <w:rPr>
          <w:rFonts w:asciiTheme="majorHAnsi" w:eastAsia="Times New Roman" w:hAnsiTheme="majorHAnsi" w:cstheme="majorHAnsi"/>
          <w:i/>
          <w:color w:val="000000"/>
          <w:spacing w:val="-1"/>
          <w:sz w:val="24"/>
          <w:szCs w:val="24"/>
          <w:lang w:val="ro-RO" w:eastAsia="ru-RU"/>
        </w:rPr>
        <w:t>r</w:t>
      </w:r>
      <w:r w:rsidR="000013EB" w:rsidRPr="003A12E6">
        <w:rPr>
          <w:rFonts w:asciiTheme="majorHAnsi" w:eastAsia="Times New Roman" w:hAnsiTheme="majorHAnsi" w:cstheme="majorHAnsi"/>
          <w:i/>
          <w:color w:val="000000"/>
          <w:spacing w:val="-1"/>
          <w:sz w:val="24"/>
          <w:szCs w:val="24"/>
          <w:lang w:val="ro-RO" w:eastAsia="ru-RU"/>
        </w:rPr>
        <w:t xml:space="preserve"> indicatori ai BPN pe anul </w:t>
      </w:r>
      <w:r w:rsidR="004D6726" w:rsidRPr="00207634">
        <w:rPr>
          <w:rFonts w:asciiTheme="majorHAnsi" w:eastAsia="Times New Roman" w:hAnsiTheme="majorHAnsi" w:cstheme="majorHAnsi"/>
          <w:i/>
          <w:color w:val="000000"/>
          <w:spacing w:val="-1"/>
          <w:sz w:val="24"/>
          <w:szCs w:val="24"/>
          <w:lang w:val="ro-RO" w:eastAsia="ru-RU"/>
        </w:rPr>
        <w:t xml:space="preserve">2020 se </w:t>
      </w:r>
      <w:r w:rsidR="00D6543E" w:rsidRPr="00207634">
        <w:rPr>
          <w:rFonts w:asciiTheme="majorHAnsi" w:eastAsia="Times New Roman" w:hAnsiTheme="majorHAnsi" w:cstheme="majorHAnsi"/>
          <w:i/>
          <w:color w:val="000000"/>
          <w:spacing w:val="-1"/>
          <w:sz w:val="24"/>
          <w:szCs w:val="24"/>
          <w:lang w:val="ro-RO" w:eastAsia="ru-RU"/>
        </w:rPr>
        <w:t>prezintă în Anexa nr.14</w:t>
      </w:r>
      <w:r w:rsidR="000013EB" w:rsidRPr="009131CF">
        <w:rPr>
          <w:rFonts w:asciiTheme="majorHAnsi" w:eastAsia="Times New Roman" w:hAnsiTheme="majorHAnsi" w:cstheme="majorHAnsi"/>
          <w:i/>
          <w:color w:val="000000"/>
          <w:spacing w:val="-1"/>
          <w:sz w:val="24"/>
          <w:szCs w:val="24"/>
          <w:lang w:val="ro-RO" w:eastAsia="ru-RU"/>
        </w:rPr>
        <w:t xml:space="preserve"> la prezentul Raport de audit.</w:t>
      </w:r>
    </w:p>
    <w:p w:rsidR="00445D66" w:rsidRPr="00F55BA6" w:rsidRDefault="00445D66" w:rsidP="00854848">
      <w:pPr>
        <w:spacing w:after="0"/>
        <w:rPr>
          <w:rFonts w:asciiTheme="majorHAnsi" w:hAnsiTheme="majorHAnsi" w:cstheme="majorHAnsi"/>
          <w:sz w:val="24"/>
          <w:szCs w:val="24"/>
          <w:lang w:val="ro-RO"/>
        </w:rPr>
      </w:pPr>
    </w:p>
    <w:p w:rsidR="00493404" w:rsidRPr="00F55BA6" w:rsidRDefault="00445D66" w:rsidP="00854848">
      <w:pPr>
        <w:numPr>
          <w:ilvl w:val="0"/>
          <w:numId w:val="1"/>
        </w:numPr>
        <w:tabs>
          <w:tab w:val="left" w:pos="284"/>
        </w:tabs>
        <w:spacing w:after="0" w:line="276" w:lineRule="auto"/>
        <w:ind w:left="0" w:firstLine="0"/>
        <w:contextualSpacing/>
        <w:jc w:val="left"/>
        <w:outlineLvl w:val="0"/>
        <w:rPr>
          <w:rFonts w:asciiTheme="majorHAnsi" w:hAnsiTheme="majorHAnsi" w:cstheme="majorHAnsi"/>
          <w:b/>
          <w:szCs w:val="28"/>
          <w:lang w:val="ro-RO"/>
        </w:rPr>
      </w:pPr>
      <w:r w:rsidRPr="00F55BA6">
        <w:rPr>
          <w:rFonts w:asciiTheme="majorHAnsi" w:hAnsiTheme="majorHAnsi" w:cstheme="majorHAnsi"/>
          <w:b/>
          <w:szCs w:val="28"/>
          <w:lang w:val="ro-RO"/>
        </w:rPr>
        <w:t xml:space="preserve">RECOMANDĂRI </w:t>
      </w:r>
      <w:r w:rsidR="00493404" w:rsidRPr="00F55BA6">
        <w:rPr>
          <w:rFonts w:asciiTheme="majorHAnsi" w:hAnsiTheme="majorHAnsi" w:cstheme="majorHAnsi"/>
          <w:b/>
          <w:szCs w:val="28"/>
          <w:lang w:val="ro-RO"/>
        </w:rPr>
        <w:t>MINISTERULUI FINANȚELOR</w:t>
      </w:r>
    </w:p>
    <w:p w:rsidR="00091EC1" w:rsidRPr="00125B16" w:rsidRDefault="00091EC1" w:rsidP="00091EC1">
      <w:pPr>
        <w:pStyle w:val="af0"/>
        <w:numPr>
          <w:ilvl w:val="0"/>
          <w:numId w:val="19"/>
        </w:numPr>
        <w:tabs>
          <w:tab w:val="left" w:pos="426"/>
        </w:tabs>
        <w:spacing w:after="0"/>
        <w:ind w:left="0" w:firstLine="0"/>
        <w:rPr>
          <w:rFonts w:asciiTheme="majorHAnsi" w:hAnsiTheme="majorHAnsi" w:cstheme="majorHAnsi"/>
          <w:sz w:val="24"/>
          <w:szCs w:val="24"/>
          <w:lang w:val="ro-RO"/>
        </w:rPr>
      </w:pPr>
      <w:r w:rsidRPr="00125B16">
        <w:rPr>
          <w:rFonts w:asciiTheme="majorHAnsi" w:eastAsia="Times New Roman" w:hAnsiTheme="majorHAnsi" w:cstheme="majorHAnsi"/>
          <w:iCs/>
          <w:sz w:val="24"/>
          <w:szCs w:val="24"/>
          <w:lang w:val="ro-RO"/>
        </w:rPr>
        <w:t xml:space="preserve">Modificarea </w:t>
      </w:r>
      <w:r w:rsidR="00EF4F0F" w:rsidRPr="00125B16">
        <w:rPr>
          <w:rFonts w:asciiTheme="majorHAnsi" w:eastAsia="Times New Roman" w:hAnsiTheme="majorHAnsi" w:cstheme="majorHAnsi"/>
          <w:iCs/>
          <w:sz w:val="24"/>
          <w:szCs w:val="24"/>
          <w:lang w:val="ro-RO"/>
        </w:rPr>
        <w:t>„</w:t>
      </w:r>
      <w:r w:rsidRPr="00125B16">
        <w:rPr>
          <w:rFonts w:asciiTheme="majorHAnsi" w:eastAsia="Times New Roman" w:hAnsiTheme="majorHAnsi" w:cstheme="majorHAnsi"/>
          <w:iCs/>
          <w:sz w:val="24"/>
          <w:szCs w:val="24"/>
          <w:lang w:val="ro-RO"/>
        </w:rPr>
        <w:t>Setului metodologic privind elaborarea, aprobarea și modificarea bugetului” în scopul reflectării prevederilor cadrului legal în vigoare, precum și reglementării abaterilor admisibile între limitele stabilite în CBTM și proiectul legii bugetare anuale</w:t>
      </w:r>
      <w:r w:rsidRPr="00125B16">
        <w:rPr>
          <w:rFonts w:asciiTheme="majorHAnsi" w:eastAsia="Times New Roman" w:hAnsiTheme="majorHAnsi" w:cstheme="majorHAnsi"/>
          <w:b/>
          <w:sz w:val="24"/>
          <w:szCs w:val="24"/>
          <w:lang w:val="ro-RO"/>
        </w:rPr>
        <w:t xml:space="preserve">. </w:t>
      </w:r>
      <w:r w:rsidRPr="00125B16">
        <w:rPr>
          <w:rFonts w:asciiTheme="majorHAnsi" w:hAnsiTheme="majorHAnsi" w:cstheme="majorHAnsi"/>
          <w:b/>
          <w:sz w:val="24"/>
          <w:szCs w:val="24"/>
          <w:lang w:val="ro-RO"/>
        </w:rPr>
        <w:t>(Secțiunea VI</w:t>
      </w:r>
      <w:r w:rsidR="00313A31" w:rsidRPr="00125B16">
        <w:rPr>
          <w:rFonts w:asciiTheme="majorHAnsi" w:hAnsiTheme="majorHAnsi" w:cstheme="majorHAnsi"/>
          <w:b/>
          <w:sz w:val="24"/>
          <w:szCs w:val="24"/>
          <w:lang w:val="ro-RO"/>
        </w:rPr>
        <w:t>,</w:t>
      </w:r>
      <w:r w:rsidRPr="00125B16">
        <w:rPr>
          <w:rFonts w:asciiTheme="majorHAnsi" w:hAnsiTheme="majorHAnsi" w:cstheme="majorHAnsi"/>
          <w:b/>
          <w:sz w:val="24"/>
          <w:szCs w:val="24"/>
          <w:lang w:val="ro-RO"/>
        </w:rPr>
        <w:t xml:space="preserve"> </w:t>
      </w:r>
      <w:r w:rsidR="00313A31" w:rsidRPr="00125B16">
        <w:rPr>
          <w:rFonts w:asciiTheme="majorHAnsi" w:hAnsiTheme="majorHAnsi" w:cstheme="majorHAnsi"/>
          <w:b/>
          <w:sz w:val="24"/>
          <w:szCs w:val="24"/>
          <w:lang w:val="ro-RO"/>
        </w:rPr>
        <w:t xml:space="preserve">pct. </w:t>
      </w:r>
      <w:r w:rsidRPr="00125B16">
        <w:rPr>
          <w:rFonts w:asciiTheme="majorHAnsi" w:hAnsiTheme="majorHAnsi" w:cstheme="majorHAnsi"/>
          <w:b/>
          <w:sz w:val="24"/>
          <w:szCs w:val="24"/>
          <w:lang w:val="ro-RO"/>
        </w:rPr>
        <w:t>6.4)</w:t>
      </w:r>
    </w:p>
    <w:p w:rsidR="001C547D" w:rsidRPr="00125B16" w:rsidRDefault="001C547D" w:rsidP="000A7A49">
      <w:pPr>
        <w:pStyle w:val="af0"/>
        <w:numPr>
          <w:ilvl w:val="0"/>
          <w:numId w:val="19"/>
        </w:numPr>
        <w:tabs>
          <w:tab w:val="left" w:pos="284"/>
        </w:tabs>
        <w:spacing w:after="0" w:line="276" w:lineRule="auto"/>
        <w:ind w:left="0" w:firstLine="0"/>
        <w:rPr>
          <w:rFonts w:asciiTheme="majorHAnsi" w:hAnsiTheme="majorHAnsi" w:cstheme="majorHAnsi"/>
          <w:sz w:val="24"/>
          <w:szCs w:val="24"/>
          <w:lang w:val="ro-RO"/>
        </w:rPr>
      </w:pPr>
      <w:r w:rsidRPr="00125B16">
        <w:rPr>
          <w:rFonts w:asciiTheme="majorHAnsi" w:hAnsiTheme="majorHAnsi" w:cstheme="majorHAnsi"/>
          <w:sz w:val="24"/>
          <w:szCs w:val="24"/>
          <w:lang w:val="ro-RO"/>
        </w:rPr>
        <w:t>Îmbunătățirea gestionării finanțelor publice</w:t>
      </w:r>
      <w:r w:rsidR="000A7A49" w:rsidRPr="00125B16">
        <w:rPr>
          <w:rFonts w:asciiTheme="majorHAnsi" w:hAnsiTheme="majorHAnsi" w:cstheme="majorHAnsi"/>
          <w:sz w:val="24"/>
          <w:szCs w:val="24"/>
          <w:lang w:val="ro-RO"/>
        </w:rPr>
        <w:t>, inclusiv prin asigurarea calității ținerii evi</w:t>
      </w:r>
      <w:r w:rsidR="00E36D76" w:rsidRPr="00125B16">
        <w:rPr>
          <w:rFonts w:asciiTheme="majorHAnsi" w:hAnsiTheme="majorHAnsi" w:cstheme="majorHAnsi"/>
          <w:sz w:val="24"/>
          <w:szCs w:val="24"/>
          <w:lang w:val="ro-RO"/>
        </w:rPr>
        <w:t xml:space="preserve">denței contabile </w:t>
      </w:r>
      <w:r w:rsidR="00EF4F0F" w:rsidRPr="00125B16">
        <w:rPr>
          <w:rFonts w:asciiTheme="majorHAnsi" w:hAnsiTheme="majorHAnsi" w:cstheme="majorHAnsi"/>
          <w:sz w:val="24"/>
          <w:szCs w:val="24"/>
          <w:lang w:val="ro-RO"/>
        </w:rPr>
        <w:t xml:space="preserve">la </w:t>
      </w:r>
      <w:r w:rsidR="00E36D76" w:rsidRPr="00125B16">
        <w:rPr>
          <w:rFonts w:asciiTheme="majorHAnsi" w:hAnsiTheme="majorHAnsi" w:cstheme="majorHAnsi"/>
          <w:sz w:val="24"/>
          <w:szCs w:val="24"/>
          <w:lang w:val="ro-RO"/>
        </w:rPr>
        <w:t>execut</w:t>
      </w:r>
      <w:r w:rsidR="00EF4F0F" w:rsidRPr="00125B16">
        <w:rPr>
          <w:rFonts w:asciiTheme="majorHAnsi" w:hAnsiTheme="majorHAnsi" w:cstheme="majorHAnsi"/>
          <w:sz w:val="24"/>
          <w:szCs w:val="24"/>
          <w:lang w:val="ro-RO"/>
        </w:rPr>
        <w:t>area</w:t>
      </w:r>
      <w:r w:rsidRPr="00125B16">
        <w:rPr>
          <w:rFonts w:asciiTheme="majorHAnsi" w:hAnsiTheme="majorHAnsi" w:cstheme="majorHAnsi"/>
          <w:sz w:val="24"/>
          <w:szCs w:val="24"/>
          <w:lang w:val="ro-RO"/>
        </w:rPr>
        <w:t xml:space="preserve"> </w:t>
      </w:r>
      <w:r w:rsidR="000A7A49" w:rsidRPr="00125B16">
        <w:rPr>
          <w:rFonts w:asciiTheme="majorHAnsi" w:hAnsiTheme="majorHAnsi" w:cstheme="majorHAnsi"/>
          <w:sz w:val="24"/>
          <w:szCs w:val="24"/>
          <w:lang w:val="ro-RO"/>
        </w:rPr>
        <w:t>și raport</w:t>
      </w:r>
      <w:r w:rsidR="00EF4F0F" w:rsidRPr="00125B16">
        <w:rPr>
          <w:rFonts w:asciiTheme="majorHAnsi" w:hAnsiTheme="majorHAnsi" w:cstheme="majorHAnsi"/>
          <w:sz w:val="24"/>
          <w:szCs w:val="24"/>
          <w:lang w:val="ro-RO"/>
        </w:rPr>
        <w:t>area</w:t>
      </w:r>
      <w:r w:rsidR="000A7A49" w:rsidRPr="00125B16">
        <w:rPr>
          <w:rFonts w:asciiTheme="majorHAnsi" w:hAnsiTheme="majorHAnsi" w:cstheme="majorHAnsi"/>
          <w:sz w:val="24"/>
          <w:szCs w:val="24"/>
          <w:lang w:val="ro-RO"/>
        </w:rPr>
        <w:t xml:space="preserve"> BS conform cadrului normativ</w:t>
      </w:r>
      <w:r w:rsidRPr="00125B16">
        <w:rPr>
          <w:rFonts w:asciiTheme="majorHAnsi" w:hAnsiTheme="majorHAnsi" w:cstheme="majorHAnsi"/>
          <w:sz w:val="24"/>
          <w:szCs w:val="24"/>
          <w:lang w:val="ro-RO"/>
        </w:rPr>
        <w:t xml:space="preserve">. </w:t>
      </w:r>
      <w:r w:rsidRPr="00125B16">
        <w:rPr>
          <w:rFonts w:asciiTheme="majorHAnsi" w:hAnsiTheme="majorHAnsi" w:cstheme="majorHAnsi"/>
          <w:b/>
          <w:sz w:val="24"/>
          <w:szCs w:val="24"/>
          <w:lang w:val="ro-RO"/>
        </w:rPr>
        <w:t xml:space="preserve">(Secțiunea </w:t>
      </w:r>
      <w:r w:rsidR="00541793" w:rsidRPr="00125B16">
        <w:rPr>
          <w:rFonts w:asciiTheme="majorHAnsi" w:hAnsiTheme="majorHAnsi" w:cstheme="majorHAnsi"/>
          <w:b/>
          <w:sz w:val="24"/>
          <w:szCs w:val="24"/>
          <w:lang w:val="ro-RO"/>
        </w:rPr>
        <w:t>VI</w:t>
      </w:r>
      <w:r w:rsidR="00313A31" w:rsidRPr="00125B16">
        <w:rPr>
          <w:rFonts w:asciiTheme="majorHAnsi" w:hAnsiTheme="majorHAnsi" w:cstheme="majorHAnsi"/>
          <w:b/>
          <w:sz w:val="24"/>
          <w:szCs w:val="24"/>
          <w:lang w:val="ro-RO"/>
        </w:rPr>
        <w:t>,</w:t>
      </w:r>
      <w:r w:rsidRPr="00125B16">
        <w:rPr>
          <w:rFonts w:asciiTheme="majorHAnsi" w:hAnsiTheme="majorHAnsi" w:cstheme="majorHAnsi"/>
          <w:b/>
          <w:sz w:val="24"/>
          <w:szCs w:val="24"/>
          <w:lang w:val="ro-RO"/>
        </w:rPr>
        <w:t xml:space="preserve"> </w:t>
      </w:r>
      <w:r w:rsidR="00313A31" w:rsidRPr="00125B16">
        <w:rPr>
          <w:rFonts w:asciiTheme="majorHAnsi" w:hAnsiTheme="majorHAnsi" w:cstheme="majorHAnsi"/>
          <w:b/>
          <w:sz w:val="24"/>
          <w:szCs w:val="24"/>
          <w:lang w:val="ro-RO"/>
        </w:rPr>
        <w:t xml:space="preserve">pct. </w:t>
      </w:r>
      <w:r w:rsidR="00541793" w:rsidRPr="00125B16">
        <w:rPr>
          <w:rFonts w:asciiTheme="majorHAnsi" w:hAnsiTheme="majorHAnsi" w:cstheme="majorHAnsi"/>
          <w:b/>
          <w:sz w:val="24"/>
          <w:szCs w:val="24"/>
          <w:lang w:val="ro-RO"/>
        </w:rPr>
        <w:t>6.5</w:t>
      </w:r>
      <w:r w:rsidRPr="00125B16">
        <w:rPr>
          <w:rFonts w:asciiTheme="majorHAnsi" w:hAnsiTheme="majorHAnsi" w:cstheme="majorHAnsi"/>
          <w:b/>
          <w:sz w:val="24"/>
          <w:szCs w:val="24"/>
          <w:lang w:val="ro-RO"/>
        </w:rPr>
        <w:t>,</w:t>
      </w:r>
      <w:r w:rsidR="00541793" w:rsidRPr="00125B16">
        <w:rPr>
          <w:rFonts w:asciiTheme="majorHAnsi" w:hAnsiTheme="majorHAnsi" w:cstheme="majorHAnsi"/>
          <w:b/>
          <w:sz w:val="24"/>
          <w:szCs w:val="24"/>
          <w:lang w:val="ro-RO"/>
        </w:rPr>
        <w:t xml:space="preserve"> Secțiunea III</w:t>
      </w:r>
      <w:r w:rsidRPr="00125B16">
        <w:rPr>
          <w:rFonts w:asciiTheme="majorHAnsi" w:hAnsiTheme="majorHAnsi" w:cstheme="majorHAnsi"/>
          <w:b/>
          <w:sz w:val="24"/>
          <w:szCs w:val="24"/>
          <w:lang w:val="ro-RO"/>
        </w:rPr>
        <w:t>)</w:t>
      </w:r>
    </w:p>
    <w:p w:rsidR="001C547D" w:rsidRPr="00125B16" w:rsidRDefault="001C547D" w:rsidP="00F47C3E">
      <w:pPr>
        <w:pStyle w:val="af0"/>
        <w:numPr>
          <w:ilvl w:val="0"/>
          <w:numId w:val="19"/>
        </w:numPr>
        <w:tabs>
          <w:tab w:val="left" w:pos="284"/>
        </w:tabs>
        <w:spacing w:after="0" w:line="276" w:lineRule="auto"/>
        <w:ind w:left="0" w:firstLine="0"/>
        <w:rPr>
          <w:rFonts w:asciiTheme="majorHAnsi" w:hAnsiTheme="majorHAnsi" w:cstheme="majorHAnsi"/>
          <w:sz w:val="24"/>
          <w:szCs w:val="24"/>
          <w:lang w:val="ro-RO"/>
        </w:rPr>
      </w:pPr>
      <w:r w:rsidRPr="00125B16">
        <w:rPr>
          <w:rFonts w:asciiTheme="majorHAnsi" w:hAnsiTheme="majorHAnsi" w:cstheme="majorHAnsi"/>
          <w:sz w:val="24"/>
          <w:szCs w:val="24"/>
          <w:lang w:val="ro-RO"/>
        </w:rPr>
        <w:t xml:space="preserve">Asigurarea </w:t>
      </w:r>
      <w:r w:rsidR="00F47C3E" w:rsidRPr="00125B16">
        <w:rPr>
          <w:rFonts w:asciiTheme="majorHAnsi" w:hAnsiTheme="majorHAnsi" w:cstheme="majorHAnsi"/>
          <w:sz w:val="24"/>
          <w:szCs w:val="24"/>
          <w:lang w:val="ro-RO"/>
        </w:rPr>
        <w:t>fortificării controlului intern managerial a</w:t>
      </w:r>
      <w:r w:rsidR="00EF4F0F" w:rsidRPr="00125B16">
        <w:rPr>
          <w:rFonts w:asciiTheme="majorHAnsi" w:hAnsiTheme="majorHAnsi" w:cstheme="majorHAnsi"/>
          <w:sz w:val="24"/>
          <w:szCs w:val="24"/>
          <w:lang w:val="ro-RO"/>
        </w:rPr>
        <w:t>l</w:t>
      </w:r>
      <w:r w:rsidR="00F47C3E" w:rsidRPr="00125B16">
        <w:rPr>
          <w:rFonts w:asciiTheme="majorHAnsi" w:hAnsiTheme="majorHAnsi" w:cstheme="majorHAnsi"/>
          <w:sz w:val="24"/>
          <w:szCs w:val="24"/>
          <w:lang w:val="ro-RO"/>
        </w:rPr>
        <w:t xml:space="preserve"> proceselor aferente executării BS prin intermediul sistemului trezorerial, cu identificarea și descrierea proceselor de consolidare a rapoartelor Trezoreriei de Stat și Trezoreriilor Regionale.</w:t>
      </w:r>
      <w:r w:rsidRPr="00125B16">
        <w:rPr>
          <w:rFonts w:asciiTheme="majorHAnsi" w:hAnsiTheme="majorHAnsi" w:cstheme="majorHAnsi"/>
          <w:sz w:val="24"/>
          <w:szCs w:val="24"/>
          <w:lang w:val="ro-RO"/>
        </w:rPr>
        <w:t xml:space="preserve"> </w:t>
      </w:r>
      <w:r w:rsidRPr="00125B16">
        <w:rPr>
          <w:rFonts w:asciiTheme="majorHAnsi" w:hAnsiTheme="majorHAnsi" w:cstheme="majorHAnsi"/>
          <w:b/>
          <w:sz w:val="24"/>
          <w:szCs w:val="24"/>
          <w:lang w:val="ro-RO"/>
        </w:rPr>
        <w:t>(Secți</w:t>
      </w:r>
      <w:r w:rsidR="00541793" w:rsidRPr="00125B16">
        <w:rPr>
          <w:rFonts w:asciiTheme="majorHAnsi" w:hAnsiTheme="majorHAnsi" w:cstheme="majorHAnsi"/>
          <w:b/>
          <w:sz w:val="24"/>
          <w:szCs w:val="24"/>
          <w:lang w:val="ro-RO"/>
        </w:rPr>
        <w:t>unea VI</w:t>
      </w:r>
      <w:r w:rsidR="00313A31" w:rsidRPr="00125B16">
        <w:rPr>
          <w:rFonts w:asciiTheme="majorHAnsi" w:hAnsiTheme="majorHAnsi" w:cstheme="majorHAnsi"/>
          <w:b/>
          <w:sz w:val="24"/>
          <w:szCs w:val="24"/>
          <w:lang w:val="ro-RO"/>
        </w:rPr>
        <w:t>,</w:t>
      </w:r>
      <w:r w:rsidR="00541793" w:rsidRPr="00125B16">
        <w:rPr>
          <w:rFonts w:asciiTheme="majorHAnsi" w:hAnsiTheme="majorHAnsi" w:cstheme="majorHAnsi"/>
          <w:b/>
          <w:sz w:val="24"/>
          <w:szCs w:val="24"/>
          <w:lang w:val="ro-RO"/>
        </w:rPr>
        <w:t xml:space="preserve"> </w:t>
      </w:r>
      <w:r w:rsidR="00313A31" w:rsidRPr="00125B16">
        <w:rPr>
          <w:rFonts w:asciiTheme="majorHAnsi" w:hAnsiTheme="majorHAnsi" w:cstheme="majorHAnsi"/>
          <w:b/>
          <w:sz w:val="24"/>
          <w:szCs w:val="24"/>
          <w:lang w:val="ro-RO"/>
        </w:rPr>
        <w:t xml:space="preserve">pct. </w:t>
      </w:r>
      <w:r w:rsidR="00541793" w:rsidRPr="00125B16">
        <w:rPr>
          <w:rFonts w:asciiTheme="majorHAnsi" w:hAnsiTheme="majorHAnsi" w:cstheme="majorHAnsi"/>
          <w:b/>
          <w:sz w:val="24"/>
          <w:szCs w:val="24"/>
          <w:lang w:val="ro-RO"/>
        </w:rPr>
        <w:t>6.5</w:t>
      </w:r>
      <w:r w:rsidRPr="00125B16">
        <w:rPr>
          <w:rFonts w:asciiTheme="majorHAnsi" w:hAnsiTheme="majorHAnsi" w:cstheme="majorHAnsi"/>
          <w:b/>
          <w:sz w:val="24"/>
          <w:szCs w:val="24"/>
          <w:lang w:val="ro-RO"/>
        </w:rPr>
        <w:t>)</w:t>
      </w:r>
    </w:p>
    <w:p w:rsidR="00B035C1" w:rsidRPr="00125B16" w:rsidRDefault="007507AF" w:rsidP="00B035C1">
      <w:pPr>
        <w:pStyle w:val="af0"/>
        <w:numPr>
          <w:ilvl w:val="0"/>
          <w:numId w:val="19"/>
        </w:numPr>
        <w:tabs>
          <w:tab w:val="left" w:pos="284"/>
        </w:tabs>
        <w:spacing w:after="0" w:line="276" w:lineRule="auto"/>
        <w:ind w:left="0" w:firstLine="0"/>
        <w:rPr>
          <w:rFonts w:asciiTheme="majorHAnsi" w:hAnsiTheme="majorHAnsi" w:cstheme="majorHAnsi"/>
          <w:sz w:val="24"/>
          <w:szCs w:val="24"/>
          <w:lang w:val="ro-RO"/>
        </w:rPr>
      </w:pPr>
      <w:r w:rsidRPr="00125B16">
        <w:rPr>
          <w:rFonts w:asciiTheme="majorHAnsi" w:hAnsiTheme="majorHAnsi" w:cstheme="majorHAnsi"/>
          <w:b/>
          <w:i/>
          <w:sz w:val="24"/>
          <w:szCs w:val="24"/>
          <w:lang w:val="ro-RO"/>
        </w:rPr>
        <w:t>De comun cu autoritățile publice centrale:</w:t>
      </w:r>
      <w:r w:rsidRPr="00125B16">
        <w:rPr>
          <w:rFonts w:asciiTheme="majorHAnsi" w:hAnsiTheme="majorHAnsi" w:cstheme="majorHAnsi"/>
          <w:sz w:val="24"/>
          <w:szCs w:val="24"/>
          <w:lang w:val="ro-RO"/>
        </w:rPr>
        <w:t xml:space="preserve"> </w:t>
      </w:r>
      <w:r w:rsidR="00EF4F0F" w:rsidRPr="00125B16">
        <w:rPr>
          <w:rFonts w:asciiTheme="majorHAnsi" w:hAnsiTheme="majorHAnsi" w:cstheme="majorHAnsi"/>
          <w:sz w:val="24"/>
          <w:szCs w:val="24"/>
          <w:lang w:val="ro-RO"/>
        </w:rPr>
        <w:t>m</w:t>
      </w:r>
      <w:r w:rsidR="00B035C1" w:rsidRPr="00125B16">
        <w:rPr>
          <w:rFonts w:asciiTheme="majorHAnsi" w:hAnsiTheme="majorHAnsi" w:cstheme="majorHAnsi"/>
          <w:sz w:val="24"/>
          <w:szCs w:val="24"/>
          <w:lang w:val="ro-RO"/>
        </w:rPr>
        <w:t>onitorizarea planificării și executării de către APC a cheltuielilor de personal în vederea asigurării limitei stabilite</w:t>
      </w:r>
      <w:r w:rsidRPr="00125B16">
        <w:rPr>
          <w:rFonts w:asciiTheme="majorHAnsi" w:hAnsiTheme="majorHAnsi" w:cstheme="majorHAnsi"/>
          <w:sz w:val="24"/>
          <w:szCs w:val="24"/>
          <w:lang w:val="ro-RO"/>
        </w:rPr>
        <w:t xml:space="preserve"> în Legea bugetară anuală</w:t>
      </w:r>
      <w:r w:rsidR="00B035C1" w:rsidRPr="00125B16">
        <w:rPr>
          <w:rFonts w:asciiTheme="majorHAnsi" w:hAnsiTheme="majorHAnsi" w:cstheme="majorHAnsi"/>
          <w:sz w:val="24"/>
          <w:szCs w:val="24"/>
          <w:lang w:val="ro-RO"/>
        </w:rPr>
        <w:t xml:space="preserve">. </w:t>
      </w:r>
      <w:r w:rsidR="000C0C01" w:rsidRPr="00125B16">
        <w:rPr>
          <w:rFonts w:asciiTheme="majorHAnsi" w:hAnsiTheme="majorHAnsi" w:cstheme="majorHAnsi"/>
          <w:b/>
          <w:sz w:val="24"/>
          <w:szCs w:val="24"/>
          <w:lang w:val="ro-RO"/>
        </w:rPr>
        <w:t>(Secți</w:t>
      </w:r>
      <w:r w:rsidR="00091EC1" w:rsidRPr="00125B16">
        <w:rPr>
          <w:rFonts w:asciiTheme="majorHAnsi" w:hAnsiTheme="majorHAnsi" w:cstheme="majorHAnsi"/>
          <w:b/>
          <w:sz w:val="24"/>
          <w:szCs w:val="24"/>
          <w:lang w:val="ro-RO"/>
        </w:rPr>
        <w:t>unea VI</w:t>
      </w:r>
      <w:r w:rsidR="00313A31" w:rsidRPr="00125B16">
        <w:rPr>
          <w:rFonts w:asciiTheme="majorHAnsi" w:hAnsiTheme="majorHAnsi" w:cstheme="majorHAnsi"/>
          <w:b/>
          <w:sz w:val="24"/>
          <w:szCs w:val="24"/>
          <w:lang w:val="ro-RO"/>
        </w:rPr>
        <w:t>,</w:t>
      </w:r>
      <w:r w:rsidR="00091EC1" w:rsidRPr="00125B16">
        <w:rPr>
          <w:rFonts w:asciiTheme="majorHAnsi" w:hAnsiTheme="majorHAnsi" w:cstheme="majorHAnsi"/>
          <w:b/>
          <w:sz w:val="24"/>
          <w:szCs w:val="24"/>
          <w:lang w:val="ro-RO"/>
        </w:rPr>
        <w:t xml:space="preserve"> </w:t>
      </w:r>
      <w:r w:rsidR="00313A31" w:rsidRPr="00125B16">
        <w:rPr>
          <w:rFonts w:asciiTheme="majorHAnsi" w:hAnsiTheme="majorHAnsi" w:cstheme="majorHAnsi"/>
          <w:b/>
          <w:sz w:val="24"/>
          <w:szCs w:val="24"/>
          <w:lang w:val="ro-RO"/>
        </w:rPr>
        <w:t xml:space="preserve">pct. </w:t>
      </w:r>
      <w:r w:rsidR="00091EC1" w:rsidRPr="00125B16">
        <w:rPr>
          <w:rFonts w:asciiTheme="majorHAnsi" w:hAnsiTheme="majorHAnsi" w:cstheme="majorHAnsi"/>
          <w:b/>
          <w:sz w:val="24"/>
          <w:szCs w:val="24"/>
          <w:lang w:val="ro-RO"/>
        </w:rPr>
        <w:t>6.7</w:t>
      </w:r>
      <w:r w:rsidR="000C0C01" w:rsidRPr="00125B16">
        <w:rPr>
          <w:rFonts w:asciiTheme="majorHAnsi" w:hAnsiTheme="majorHAnsi" w:cstheme="majorHAnsi"/>
          <w:b/>
          <w:sz w:val="24"/>
          <w:szCs w:val="24"/>
          <w:lang w:val="ro-RO"/>
        </w:rPr>
        <w:t>)</w:t>
      </w:r>
    </w:p>
    <w:p w:rsidR="0074511E" w:rsidRPr="00125B16" w:rsidRDefault="00F218CC" w:rsidP="0074511E">
      <w:pPr>
        <w:pStyle w:val="af0"/>
        <w:numPr>
          <w:ilvl w:val="0"/>
          <w:numId w:val="19"/>
        </w:numPr>
        <w:tabs>
          <w:tab w:val="left" w:pos="284"/>
        </w:tabs>
        <w:spacing w:after="0" w:line="276" w:lineRule="auto"/>
        <w:ind w:left="0" w:firstLine="0"/>
        <w:rPr>
          <w:rFonts w:asciiTheme="majorHAnsi" w:hAnsiTheme="majorHAnsi" w:cstheme="majorHAnsi"/>
          <w:sz w:val="24"/>
          <w:szCs w:val="24"/>
          <w:lang w:val="ro-RO"/>
        </w:rPr>
      </w:pPr>
      <w:r w:rsidRPr="00125B16">
        <w:rPr>
          <w:rFonts w:asciiTheme="majorHAnsi" w:hAnsiTheme="majorHAnsi" w:cstheme="majorHAnsi"/>
          <w:sz w:val="24"/>
          <w:szCs w:val="24"/>
          <w:lang w:val="ro-RO"/>
        </w:rPr>
        <w:t>Îmbunătățirea modului de gestionare/monitorizare și raportare a procesului investițional pentru ridicarea nivelului de executare a alocațiilor pentru investiții capitale</w:t>
      </w:r>
      <w:r w:rsidR="0074511E" w:rsidRPr="00125B16">
        <w:rPr>
          <w:rFonts w:asciiTheme="majorHAnsi" w:hAnsiTheme="majorHAnsi" w:cstheme="majorHAnsi"/>
          <w:sz w:val="24"/>
          <w:szCs w:val="24"/>
          <w:lang w:val="ro-RO"/>
        </w:rPr>
        <w:t xml:space="preserve"> din mijloacele financiare externe acordate RM și din surse interne</w:t>
      </w:r>
      <w:r w:rsidRPr="00125B16">
        <w:rPr>
          <w:rFonts w:asciiTheme="majorHAnsi" w:hAnsiTheme="majorHAnsi" w:cstheme="majorHAnsi"/>
          <w:sz w:val="24"/>
          <w:szCs w:val="24"/>
          <w:lang w:val="ro-RO"/>
        </w:rPr>
        <w:t>.</w:t>
      </w:r>
      <w:r w:rsidRPr="00125B16">
        <w:rPr>
          <w:rFonts w:asciiTheme="majorHAnsi" w:hAnsiTheme="majorHAnsi" w:cstheme="majorHAnsi"/>
          <w:b/>
          <w:sz w:val="24"/>
          <w:szCs w:val="24"/>
          <w:lang w:val="ro-RO"/>
        </w:rPr>
        <w:t xml:space="preserve"> </w:t>
      </w:r>
      <w:r w:rsidR="000C0C01" w:rsidRPr="00125B16">
        <w:rPr>
          <w:rFonts w:asciiTheme="majorHAnsi" w:hAnsiTheme="majorHAnsi" w:cstheme="majorHAnsi"/>
          <w:b/>
          <w:sz w:val="24"/>
          <w:szCs w:val="24"/>
          <w:lang w:val="ro-RO"/>
        </w:rPr>
        <w:t>(Secți</w:t>
      </w:r>
      <w:r w:rsidR="00091EC1" w:rsidRPr="00125B16">
        <w:rPr>
          <w:rFonts w:asciiTheme="majorHAnsi" w:hAnsiTheme="majorHAnsi" w:cstheme="majorHAnsi"/>
          <w:b/>
          <w:sz w:val="24"/>
          <w:szCs w:val="24"/>
          <w:lang w:val="ro-RO"/>
        </w:rPr>
        <w:t>unea VI</w:t>
      </w:r>
      <w:r w:rsidR="00313A31" w:rsidRPr="00125B16">
        <w:rPr>
          <w:rFonts w:asciiTheme="majorHAnsi" w:hAnsiTheme="majorHAnsi" w:cstheme="majorHAnsi"/>
          <w:b/>
          <w:sz w:val="24"/>
          <w:szCs w:val="24"/>
          <w:lang w:val="ro-RO"/>
        </w:rPr>
        <w:t>,</w:t>
      </w:r>
      <w:r w:rsidR="00091EC1" w:rsidRPr="00125B16">
        <w:rPr>
          <w:rFonts w:asciiTheme="majorHAnsi" w:hAnsiTheme="majorHAnsi" w:cstheme="majorHAnsi"/>
          <w:b/>
          <w:sz w:val="24"/>
          <w:szCs w:val="24"/>
          <w:lang w:val="ro-RO"/>
        </w:rPr>
        <w:t xml:space="preserve"> </w:t>
      </w:r>
      <w:r w:rsidR="00313A31" w:rsidRPr="00125B16">
        <w:rPr>
          <w:rFonts w:asciiTheme="majorHAnsi" w:hAnsiTheme="majorHAnsi" w:cstheme="majorHAnsi"/>
          <w:b/>
          <w:sz w:val="24"/>
          <w:szCs w:val="24"/>
          <w:lang w:val="ro-RO"/>
        </w:rPr>
        <w:t xml:space="preserve">pct. </w:t>
      </w:r>
      <w:r w:rsidR="00091EC1" w:rsidRPr="00125B16">
        <w:rPr>
          <w:rFonts w:asciiTheme="majorHAnsi" w:hAnsiTheme="majorHAnsi" w:cstheme="majorHAnsi"/>
          <w:b/>
          <w:sz w:val="24"/>
          <w:szCs w:val="24"/>
          <w:lang w:val="ro-RO"/>
        </w:rPr>
        <w:t>6.9</w:t>
      </w:r>
      <w:r w:rsidR="000C0C01" w:rsidRPr="00125B16">
        <w:rPr>
          <w:rFonts w:asciiTheme="majorHAnsi" w:hAnsiTheme="majorHAnsi" w:cstheme="majorHAnsi"/>
          <w:b/>
          <w:sz w:val="24"/>
          <w:szCs w:val="24"/>
          <w:lang w:val="ro-RO"/>
        </w:rPr>
        <w:t>)</w:t>
      </w:r>
    </w:p>
    <w:p w:rsidR="000C0C01" w:rsidRPr="00125B16" w:rsidRDefault="000C0C01" w:rsidP="000C0C01">
      <w:pPr>
        <w:pStyle w:val="af0"/>
        <w:numPr>
          <w:ilvl w:val="0"/>
          <w:numId w:val="19"/>
        </w:numPr>
        <w:tabs>
          <w:tab w:val="left" w:pos="426"/>
        </w:tabs>
        <w:spacing w:after="0"/>
        <w:ind w:left="0" w:firstLine="0"/>
        <w:rPr>
          <w:rFonts w:asciiTheme="majorHAnsi" w:hAnsiTheme="majorHAnsi" w:cstheme="majorHAnsi"/>
          <w:sz w:val="24"/>
          <w:szCs w:val="24"/>
          <w:lang w:val="ro-RO"/>
        </w:rPr>
      </w:pPr>
      <w:r w:rsidRPr="00125B16">
        <w:rPr>
          <w:rFonts w:asciiTheme="majorHAnsi" w:hAnsiTheme="majorHAnsi" w:cstheme="majorHAnsi"/>
          <w:sz w:val="24"/>
          <w:szCs w:val="24"/>
          <w:lang w:val="ro-RO"/>
        </w:rPr>
        <w:t>Monitorizarea eficientă, reevaluarea și aprobarea proiectelor investiționale la care costurile estimate inițial au fost modificate cu peste 15% și/sau implementarea depășește termenele planificate, în lipsa grupului de lucru activ.</w:t>
      </w:r>
      <w:r w:rsidRPr="00125B16">
        <w:rPr>
          <w:rFonts w:asciiTheme="majorHAnsi" w:hAnsiTheme="majorHAnsi" w:cstheme="majorHAnsi"/>
          <w:b/>
          <w:sz w:val="24"/>
          <w:szCs w:val="24"/>
          <w:lang w:val="ro-RO"/>
        </w:rPr>
        <w:t xml:space="preserve"> (Secți</w:t>
      </w:r>
      <w:r w:rsidR="00091EC1" w:rsidRPr="00125B16">
        <w:rPr>
          <w:rFonts w:asciiTheme="majorHAnsi" w:hAnsiTheme="majorHAnsi" w:cstheme="majorHAnsi"/>
          <w:b/>
          <w:sz w:val="24"/>
          <w:szCs w:val="24"/>
          <w:lang w:val="ro-RO"/>
        </w:rPr>
        <w:t>unea VI</w:t>
      </w:r>
      <w:r w:rsidR="00313A31" w:rsidRPr="00125B16">
        <w:rPr>
          <w:rFonts w:asciiTheme="majorHAnsi" w:hAnsiTheme="majorHAnsi" w:cstheme="majorHAnsi"/>
          <w:b/>
          <w:sz w:val="24"/>
          <w:szCs w:val="24"/>
          <w:lang w:val="ro-RO"/>
        </w:rPr>
        <w:t>,</w:t>
      </w:r>
      <w:r w:rsidR="00091EC1" w:rsidRPr="00125B16">
        <w:rPr>
          <w:rFonts w:asciiTheme="majorHAnsi" w:hAnsiTheme="majorHAnsi" w:cstheme="majorHAnsi"/>
          <w:b/>
          <w:sz w:val="24"/>
          <w:szCs w:val="24"/>
          <w:lang w:val="ro-RO"/>
        </w:rPr>
        <w:t xml:space="preserve"> </w:t>
      </w:r>
      <w:r w:rsidR="00125B16">
        <w:rPr>
          <w:rFonts w:asciiTheme="majorHAnsi" w:hAnsiTheme="majorHAnsi" w:cstheme="majorHAnsi"/>
          <w:b/>
          <w:sz w:val="24"/>
          <w:szCs w:val="24"/>
          <w:lang w:val="ro-RO"/>
        </w:rPr>
        <w:t xml:space="preserve">pct. </w:t>
      </w:r>
      <w:r w:rsidR="00091EC1" w:rsidRPr="00125B16">
        <w:rPr>
          <w:rFonts w:asciiTheme="majorHAnsi" w:hAnsiTheme="majorHAnsi" w:cstheme="majorHAnsi"/>
          <w:b/>
          <w:sz w:val="24"/>
          <w:szCs w:val="24"/>
          <w:lang w:val="ro-RO"/>
        </w:rPr>
        <w:t>6.9</w:t>
      </w:r>
      <w:r w:rsidRPr="00125B16">
        <w:rPr>
          <w:rFonts w:asciiTheme="majorHAnsi" w:hAnsiTheme="majorHAnsi" w:cstheme="majorHAnsi"/>
          <w:b/>
          <w:sz w:val="24"/>
          <w:szCs w:val="24"/>
          <w:lang w:val="ro-RO"/>
        </w:rPr>
        <w:t>)</w:t>
      </w:r>
    </w:p>
    <w:p w:rsidR="00F218CC" w:rsidRPr="00125B16" w:rsidRDefault="00F218CC" w:rsidP="00F218CC">
      <w:pPr>
        <w:pStyle w:val="af0"/>
        <w:numPr>
          <w:ilvl w:val="0"/>
          <w:numId w:val="19"/>
        </w:numPr>
        <w:tabs>
          <w:tab w:val="left" w:pos="284"/>
        </w:tabs>
        <w:spacing w:after="0"/>
        <w:ind w:left="0" w:firstLine="0"/>
        <w:rPr>
          <w:rFonts w:asciiTheme="majorHAnsi" w:hAnsiTheme="majorHAnsi" w:cstheme="majorHAnsi"/>
          <w:sz w:val="24"/>
          <w:szCs w:val="24"/>
          <w:lang w:val="ro-RO"/>
        </w:rPr>
      </w:pPr>
      <w:r w:rsidRPr="00125B16">
        <w:rPr>
          <w:rFonts w:asciiTheme="majorHAnsi" w:hAnsiTheme="majorHAnsi" w:cstheme="majorHAnsi"/>
          <w:b/>
          <w:i/>
          <w:sz w:val="24"/>
          <w:szCs w:val="24"/>
          <w:lang w:val="ro-RO"/>
        </w:rPr>
        <w:t>De comun cu autoritățile publice centrale:</w:t>
      </w:r>
      <w:r w:rsidRPr="00125B16">
        <w:rPr>
          <w:rFonts w:asciiTheme="majorHAnsi" w:hAnsiTheme="majorHAnsi" w:cstheme="majorHAnsi"/>
          <w:sz w:val="24"/>
          <w:szCs w:val="24"/>
          <w:lang w:val="ro-RO"/>
        </w:rPr>
        <w:t xml:space="preserve"> </w:t>
      </w:r>
      <w:r w:rsidR="00EF4F0F" w:rsidRPr="00125B16">
        <w:rPr>
          <w:rFonts w:asciiTheme="majorHAnsi" w:hAnsiTheme="majorHAnsi" w:cstheme="majorHAnsi"/>
          <w:sz w:val="24"/>
          <w:szCs w:val="24"/>
          <w:lang w:val="ro-RO"/>
        </w:rPr>
        <w:t>d</w:t>
      </w:r>
      <w:r w:rsidRPr="00125B16">
        <w:rPr>
          <w:rFonts w:asciiTheme="majorHAnsi" w:hAnsiTheme="majorHAnsi" w:cstheme="majorHAnsi"/>
          <w:sz w:val="24"/>
          <w:szCs w:val="24"/>
          <w:lang w:val="ro-RO"/>
        </w:rPr>
        <w:t>ezvoltarea/sporirea capacităților APC și mediului de control intern la elaborarea bugetelor investiționale în concordanță cu strategiile sectoriale și în raport cu volumul resurselor alocate de la bugetul de stat pentru consolidarea și gestionarea eficientă a resurselor financiare investiționale din surse interne și externe.</w:t>
      </w:r>
      <w:r w:rsidRPr="00125B16">
        <w:rPr>
          <w:rFonts w:asciiTheme="majorHAnsi" w:hAnsiTheme="majorHAnsi" w:cstheme="majorHAnsi"/>
          <w:b/>
          <w:sz w:val="24"/>
          <w:szCs w:val="24"/>
          <w:lang w:val="ro-RO"/>
        </w:rPr>
        <w:t xml:space="preserve"> </w:t>
      </w:r>
      <w:r w:rsidR="000C0C01" w:rsidRPr="00125B16">
        <w:rPr>
          <w:rFonts w:asciiTheme="majorHAnsi" w:hAnsiTheme="majorHAnsi" w:cstheme="majorHAnsi"/>
          <w:b/>
          <w:sz w:val="24"/>
          <w:szCs w:val="24"/>
          <w:lang w:val="ro-RO"/>
        </w:rPr>
        <w:t>(Secți</w:t>
      </w:r>
      <w:r w:rsidR="00091EC1" w:rsidRPr="00125B16">
        <w:rPr>
          <w:rFonts w:asciiTheme="majorHAnsi" w:hAnsiTheme="majorHAnsi" w:cstheme="majorHAnsi"/>
          <w:b/>
          <w:sz w:val="24"/>
          <w:szCs w:val="24"/>
          <w:lang w:val="ro-RO"/>
        </w:rPr>
        <w:t>unea VI</w:t>
      </w:r>
      <w:r w:rsidR="00313A31" w:rsidRPr="00125B16">
        <w:rPr>
          <w:rFonts w:asciiTheme="majorHAnsi" w:hAnsiTheme="majorHAnsi" w:cstheme="majorHAnsi"/>
          <w:b/>
          <w:sz w:val="24"/>
          <w:szCs w:val="24"/>
          <w:lang w:val="ro-RO"/>
        </w:rPr>
        <w:t>,</w:t>
      </w:r>
      <w:r w:rsidR="00091EC1" w:rsidRPr="00125B16">
        <w:rPr>
          <w:rFonts w:asciiTheme="majorHAnsi" w:hAnsiTheme="majorHAnsi" w:cstheme="majorHAnsi"/>
          <w:b/>
          <w:sz w:val="24"/>
          <w:szCs w:val="24"/>
          <w:lang w:val="ro-RO"/>
        </w:rPr>
        <w:t xml:space="preserve"> </w:t>
      </w:r>
      <w:r w:rsidR="00125B16">
        <w:rPr>
          <w:rFonts w:asciiTheme="majorHAnsi" w:hAnsiTheme="majorHAnsi" w:cstheme="majorHAnsi"/>
          <w:b/>
          <w:sz w:val="24"/>
          <w:szCs w:val="24"/>
          <w:lang w:val="ro-RO"/>
        </w:rPr>
        <w:t xml:space="preserve">pct. </w:t>
      </w:r>
      <w:r w:rsidR="00091EC1" w:rsidRPr="00125B16">
        <w:rPr>
          <w:rFonts w:asciiTheme="majorHAnsi" w:hAnsiTheme="majorHAnsi" w:cstheme="majorHAnsi"/>
          <w:b/>
          <w:sz w:val="24"/>
          <w:szCs w:val="24"/>
          <w:lang w:val="ro-RO"/>
        </w:rPr>
        <w:t>6.6, 6.9</w:t>
      </w:r>
      <w:r w:rsidR="000C0C01" w:rsidRPr="00125B16">
        <w:rPr>
          <w:rFonts w:asciiTheme="majorHAnsi" w:hAnsiTheme="majorHAnsi" w:cstheme="majorHAnsi"/>
          <w:b/>
          <w:sz w:val="24"/>
          <w:szCs w:val="24"/>
          <w:lang w:val="ro-RO"/>
        </w:rPr>
        <w:t>)</w:t>
      </w:r>
    </w:p>
    <w:p w:rsidR="00BC55B1" w:rsidRPr="00125B16" w:rsidRDefault="000D047F" w:rsidP="00BC55B1">
      <w:pPr>
        <w:pStyle w:val="af0"/>
        <w:numPr>
          <w:ilvl w:val="0"/>
          <w:numId w:val="19"/>
        </w:numPr>
        <w:tabs>
          <w:tab w:val="left" w:pos="426"/>
        </w:tabs>
        <w:spacing w:after="0"/>
        <w:ind w:left="0" w:firstLine="0"/>
        <w:rPr>
          <w:rFonts w:asciiTheme="majorHAnsi" w:hAnsiTheme="majorHAnsi" w:cstheme="majorHAnsi"/>
          <w:sz w:val="24"/>
          <w:szCs w:val="24"/>
          <w:lang w:val="ro-RO"/>
        </w:rPr>
      </w:pPr>
      <w:r w:rsidRPr="00125B16">
        <w:rPr>
          <w:rFonts w:asciiTheme="majorHAnsi" w:hAnsiTheme="majorHAnsi" w:cstheme="majorHAnsi"/>
          <w:bCs/>
          <w:iCs/>
          <w:sz w:val="24"/>
          <w:szCs w:val="24"/>
          <w:lang w:val="ro-RO"/>
        </w:rPr>
        <w:t>Asigurarea respectării prevederilor cadrului normativ la finanțarea/raportarea cheltuielilor în cadrul</w:t>
      </w:r>
      <w:r w:rsidR="00BC55B1" w:rsidRPr="00125B16">
        <w:rPr>
          <w:rFonts w:asciiTheme="majorHAnsi" w:hAnsiTheme="majorHAnsi" w:cstheme="majorHAnsi"/>
          <w:bCs/>
          <w:iCs/>
          <w:sz w:val="24"/>
          <w:szCs w:val="24"/>
          <w:lang w:val="ro-RO"/>
        </w:rPr>
        <w:t xml:space="preserve"> Programului activităților de reintegrare a țării, cu asigurarea virării pe contul BS de către APL a sumelor neutilizate.</w:t>
      </w:r>
      <w:r w:rsidR="00BC55B1" w:rsidRPr="00125B16">
        <w:rPr>
          <w:rFonts w:asciiTheme="majorHAnsi" w:hAnsiTheme="majorHAnsi" w:cstheme="majorHAnsi"/>
          <w:b/>
          <w:sz w:val="24"/>
          <w:szCs w:val="24"/>
          <w:lang w:val="ro-RO"/>
        </w:rPr>
        <w:t xml:space="preserve"> </w:t>
      </w:r>
      <w:r w:rsidR="000C0C01" w:rsidRPr="00125B16">
        <w:rPr>
          <w:rFonts w:asciiTheme="majorHAnsi" w:hAnsiTheme="majorHAnsi" w:cstheme="majorHAnsi"/>
          <w:b/>
          <w:sz w:val="24"/>
          <w:szCs w:val="24"/>
          <w:lang w:val="ro-RO"/>
        </w:rPr>
        <w:t>(Secți</w:t>
      </w:r>
      <w:r w:rsidR="00091EC1" w:rsidRPr="00125B16">
        <w:rPr>
          <w:rFonts w:asciiTheme="majorHAnsi" w:hAnsiTheme="majorHAnsi" w:cstheme="majorHAnsi"/>
          <w:b/>
          <w:sz w:val="24"/>
          <w:szCs w:val="24"/>
          <w:lang w:val="ro-RO"/>
        </w:rPr>
        <w:t>unea VI</w:t>
      </w:r>
      <w:r w:rsidR="00313A31" w:rsidRPr="00125B16">
        <w:rPr>
          <w:rFonts w:asciiTheme="majorHAnsi" w:hAnsiTheme="majorHAnsi" w:cstheme="majorHAnsi"/>
          <w:b/>
          <w:sz w:val="24"/>
          <w:szCs w:val="24"/>
          <w:lang w:val="ro-RO"/>
        </w:rPr>
        <w:t>, pct.</w:t>
      </w:r>
      <w:r w:rsidR="00091EC1" w:rsidRPr="00125B16">
        <w:rPr>
          <w:rFonts w:asciiTheme="majorHAnsi" w:hAnsiTheme="majorHAnsi" w:cstheme="majorHAnsi"/>
          <w:b/>
          <w:sz w:val="24"/>
          <w:szCs w:val="24"/>
          <w:lang w:val="ro-RO"/>
        </w:rPr>
        <w:t xml:space="preserve"> 6.10</w:t>
      </w:r>
      <w:r w:rsidR="000C0C01" w:rsidRPr="00125B16">
        <w:rPr>
          <w:rFonts w:asciiTheme="majorHAnsi" w:hAnsiTheme="majorHAnsi" w:cstheme="majorHAnsi"/>
          <w:b/>
          <w:sz w:val="24"/>
          <w:szCs w:val="24"/>
          <w:lang w:val="ro-RO"/>
        </w:rPr>
        <w:t>)</w:t>
      </w:r>
    </w:p>
    <w:p w:rsidR="000C0C01" w:rsidRPr="00125B16" w:rsidRDefault="00BC55B1" w:rsidP="000C0C01">
      <w:pPr>
        <w:pStyle w:val="af0"/>
        <w:numPr>
          <w:ilvl w:val="0"/>
          <w:numId w:val="19"/>
        </w:numPr>
        <w:tabs>
          <w:tab w:val="left" w:pos="426"/>
        </w:tabs>
        <w:spacing w:after="0"/>
        <w:ind w:left="0" w:firstLine="0"/>
        <w:rPr>
          <w:rFonts w:asciiTheme="majorHAnsi" w:hAnsiTheme="majorHAnsi" w:cstheme="majorHAnsi"/>
          <w:sz w:val="24"/>
          <w:szCs w:val="24"/>
          <w:lang w:val="ro-RO"/>
        </w:rPr>
      </w:pPr>
      <w:r w:rsidRPr="00125B16">
        <w:rPr>
          <w:rFonts w:asciiTheme="majorHAnsi" w:hAnsiTheme="majorHAnsi" w:cstheme="majorHAnsi"/>
          <w:sz w:val="24"/>
          <w:szCs w:val="24"/>
          <w:lang w:val="ro-RO"/>
        </w:rPr>
        <w:t>Completarea Formularului nr.9 la Raportul privind executarea BS</w:t>
      </w:r>
      <w:r w:rsidRPr="00125B16">
        <w:rPr>
          <w:rFonts w:asciiTheme="majorHAnsi" w:hAnsiTheme="majorHAnsi" w:cstheme="majorHAnsi"/>
          <w:bCs/>
          <w:iCs/>
          <w:sz w:val="24"/>
          <w:szCs w:val="24"/>
          <w:lang w:val="ro-RO"/>
        </w:rPr>
        <w:t xml:space="preserve"> cu creanțele și datoriile formate în autoritățile/instituțiile bugetare finanțate de la BS la venituri.</w:t>
      </w:r>
      <w:r w:rsidRPr="00125B16">
        <w:rPr>
          <w:rFonts w:asciiTheme="majorHAnsi" w:hAnsiTheme="majorHAnsi" w:cstheme="majorHAnsi"/>
          <w:b/>
          <w:sz w:val="24"/>
          <w:szCs w:val="24"/>
          <w:lang w:val="ro-RO"/>
        </w:rPr>
        <w:t xml:space="preserve"> </w:t>
      </w:r>
      <w:r w:rsidR="000C0C01" w:rsidRPr="00125B16">
        <w:rPr>
          <w:rFonts w:asciiTheme="majorHAnsi" w:hAnsiTheme="majorHAnsi" w:cstheme="majorHAnsi"/>
          <w:b/>
          <w:sz w:val="24"/>
          <w:szCs w:val="24"/>
          <w:lang w:val="ro-RO"/>
        </w:rPr>
        <w:t>(Secți</w:t>
      </w:r>
      <w:r w:rsidR="00091EC1" w:rsidRPr="00125B16">
        <w:rPr>
          <w:rFonts w:asciiTheme="majorHAnsi" w:hAnsiTheme="majorHAnsi" w:cstheme="majorHAnsi"/>
          <w:b/>
          <w:sz w:val="24"/>
          <w:szCs w:val="24"/>
          <w:lang w:val="ro-RO"/>
        </w:rPr>
        <w:t>unea VI</w:t>
      </w:r>
      <w:r w:rsidR="00313A31" w:rsidRPr="00125B16">
        <w:rPr>
          <w:rFonts w:asciiTheme="majorHAnsi" w:hAnsiTheme="majorHAnsi" w:cstheme="majorHAnsi"/>
          <w:b/>
          <w:sz w:val="24"/>
          <w:szCs w:val="24"/>
          <w:lang w:val="ro-RO"/>
        </w:rPr>
        <w:t>, pct.</w:t>
      </w:r>
      <w:r w:rsidR="00091EC1" w:rsidRPr="00125B16">
        <w:rPr>
          <w:rFonts w:asciiTheme="majorHAnsi" w:hAnsiTheme="majorHAnsi" w:cstheme="majorHAnsi"/>
          <w:b/>
          <w:sz w:val="24"/>
          <w:szCs w:val="24"/>
          <w:lang w:val="ro-RO"/>
        </w:rPr>
        <w:t xml:space="preserve"> 6.12</w:t>
      </w:r>
      <w:r w:rsidR="000C0C01" w:rsidRPr="00125B16">
        <w:rPr>
          <w:rFonts w:asciiTheme="majorHAnsi" w:hAnsiTheme="majorHAnsi" w:cstheme="majorHAnsi"/>
          <w:b/>
          <w:sz w:val="24"/>
          <w:szCs w:val="24"/>
          <w:lang w:val="ro-RO"/>
        </w:rPr>
        <w:t>)</w:t>
      </w:r>
    </w:p>
    <w:p w:rsidR="000C0C01" w:rsidRPr="00125B16" w:rsidRDefault="007D32B0" w:rsidP="008716A7">
      <w:pPr>
        <w:pStyle w:val="af0"/>
        <w:numPr>
          <w:ilvl w:val="0"/>
          <w:numId w:val="19"/>
        </w:numPr>
        <w:tabs>
          <w:tab w:val="left" w:pos="426"/>
        </w:tabs>
        <w:spacing w:after="0"/>
        <w:ind w:left="0" w:firstLine="0"/>
        <w:rPr>
          <w:rFonts w:asciiTheme="majorHAnsi" w:hAnsiTheme="majorHAnsi" w:cstheme="majorHAnsi"/>
          <w:sz w:val="24"/>
          <w:szCs w:val="24"/>
          <w:lang w:val="ro-RO"/>
        </w:rPr>
      </w:pPr>
      <w:r w:rsidRPr="00125B16">
        <w:rPr>
          <w:rFonts w:asciiTheme="majorHAnsi" w:hAnsiTheme="majorHAnsi" w:cstheme="majorHAnsi"/>
          <w:b/>
          <w:i/>
          <w:sz w:val="24"/>
          <w:szCs w:val="24"/>
          <w:lang w:val="ro-RO" w:bidi="ro-RO"/>
        </w:rPr>
        <w:lastRenderedPageBreak/>
        <w:t>De comun cu IP</w:t>
      </w:r>
      <w:r w:rsidRPr="00125B16">
        <w:rPr>
          <w:rFonts w:asciiTheme="majorHAnsi" w:hAnsiTheme="majorHAnsi" w:cstheme="majorHAnsi"/>
          <w:b/>
          <w:i/>
          <w:color w:val="000000"/>
          <w:sz w:val="24"/>
          <w:szCs w:val="24"/>
          <w:lang w:val="ro-RO" w:eastAsia="ro-RO" w:bidi="ro-RO"/>
        </w:rPr>
        <w:t xml:space="preserve"> „Oficiul de Gestionare a Programelor de Asistență Externă”</w:t>
      </w:r>
      <w:r w:rsidR="00EF4F0F" w:rsidRPr="00125B16">
        <w:rPr>
          <w:rFonts w:asciiTheme="majorHAnsi" w:eastAsia="Times New Roman" w:hAnsiTheme="majorHAnsi" w:cstheme="majorHAnsi"/>
          <w:sz w:val="24"/>
          <w:szCs w:val="24"/>
          <w:lang w:val="ro-RO"/>
        </w:rPr>
        <w:t>:</w:t>
      </w:r>
      <w:r w:rsidR="006D6095" w:rsidRPr="00125B16">
        <w:rPr>
          <w:rFonts w:asciiTheme="majorHAnsi" w:eastAsia="Times New Roman" w:hAnsiTheme="majorHAnsi" w:cstheme="majorHAnsi"/>
          <w:sz w:val="24"/>
          <w:szCs w:val="24"/>
          <w:lang w:val="ro-RO"/>
        </w:rPr>
        <w:t xml:space="preserve"> d</w:t>
      </w:r>
      <w:r w:rsidRPr="00125B16">
        <w:rPr>
          <w:rFonts w:asciiTheme="majorHAnsi" w:hAnsiTheme="majorHAnsi" w:cstheme="majorHAnsi"/>
          <w:sz w:val="24"/>
          <w:szCs w:val="24"/>
          <w:lang w:val="ro-RO" w:bidi="ro-RO"/>
        </w:rPr>
        <w:t>ezvoltarea</w:t>
      </w:r>
      <w:r w:rsidR="000C0C01" w:rsidRPr="00125B16">
        <w:rPr>
          <w:rFonts w:asciiTheme="majorHAnsi" w:hAnsiTheme="majorHAnsi" w:cstheme="majorHAnsi"/>
          <w:sz w:val="24"/>
          <w:szCs w:val="24"/>
          <w:lang w:val="ro-RO" w:bidi="ro-RO"/>
        </w:rPr>
        <w:t xml:space="preserve"> cadrului normativ </w:t>
      </w:r>
      <w:r w:rsidR="006D6095" w:rsidRPr="00125B16">
        <w:rPr>
          <w:rFonts w:asciiTheme="majorHAnsi" w:hAnsiTheme="majorHAnsi" w:cstheme="majorHAnsi"/>
          <w:sz w:val="24"/>
          <w:szCs w:val="24"/>
          <w:lang w:val="ro-RO" w:bidi="ro-RO"/>
        </w:rPr>
        <w:t xml:space="preserve">în aspectul prevederilor ce țin de </w:t>
      </w:r>
      <w:r w:rsidR="008716A7" w:rsidRPr="00125B16">
        <w:rPr>
          <w:rFonts w:asciiTheme="majorHAnsi" w:hAnsiTheme="majorHAnsi" w:cstheme="majorHAnsi"/>
          <w:sz w:val="24"/>
          <w:szCs w:val="24"/>
          <w:lang w:val="ro-RO" w:bidi="ro-RO"/>
        </w:rPr>
        <w:t>modul de virare a unei părți de venituri la BS</w:t>
      </w:r>
      <w:r w:rsidR="000C0C01" w:rsidRPr="00125B16">
        <w:rPr>
          <w:rFonts w:asciiTheme="majorHAnsi" w:hAnsiTheme="majorHAnsi" w:cstheme="majorHAnsi"/>
          <w:sz w:val="24"/>
          <w:szCs w:val="24"/>
          <w:lang w:val="ro-RO" w:bidi="ro-RO"/>
        </w:rPr>
        <w:t>.</w:t>
      </w:r>
      <w:r w:rsidR="00091EC1" w:rsidRPr="00125B16">
        <w:rPr>
          <w:rFonts w:asciiTheme="majorHAnsi" w:hAnsiTheme="majorHAnsi" w:cstheme="majorHAnsi"/>
          <w:b/>
          <w:sz w:val="24"/>
          <w:szCs w:val="24"/>
          <w:lang w:val="ro-RO"/>
        </w:rPr>
        <w:t xml:space="preserve"> (Secțiunea VI</w:t>
      </w:r>
      <w:r w:rsidR="001F49C1" w:rsidRPr="00125B16">
        <w:rPr>
          <w:rFonts w:asciiTheme="majorHAnsi" w:hAnsiTheme="majorHAnsi" w:cstheme="majorHAnsi"/>
          <w:b/>
          <w:sz w:val="24"/>
          <w:szCs w:val="24"/>
          <w:lang w:val="ro-RO"/>
        </w:rPr>
        <w:t>, pct.</w:t>
      </w:r>
      <w:r w:rsidR="00091EC1" w:rsidRPr="00125B16">
        <w:rPr>
          <w:rFonts w:asciiTheme="majorHAnsi" w:hAnsiTheme="majorHAnsi" w:cstheme="majorHAnsi"/>
          <w:b/>
          <w:sz w:val="24"/>
          <w:szCs w:val="24"/>
          <w:lang w:val="ro-RO"/>
        </w:rPr>
        <w:t xml:space="preserve"> 6.13</w:t>
      </w:r>
      <w:r w:rsidR="000C0C01" w:rsidRPr="00125B16">
        <w:rPr>
          <w:rFonts w:asciiTheme="majorHAnsi" w:hAnsiTheme="majorHAnsi" w:cstheme="majorHAnsi"/>
          <w:b/>
          <w:sz w:val="24"/>
          <w:szCs w:val="24"/>
          <w:lang w:val="ro-RO"/>
        </w:rPr>
        <w:t>)</w:t>
      </w:r>
    </w:p>
    <w:p w:rsidR="008716A7" w:rsidRPr="00F55BA6" w:rsidRDefault="008716A7" w:rsidP="008716A7">
      <w:pPr>
        <w:pStyle w:val="af0"/>
        <w:tabs>
          <w:tab w:val="left" w:pos="426"/>
        </w:tabs>
        <w:spacing w:after="0"/>
        <w:ind w:left="0"/>
        <w:rPr>
          <w:rFonts w:asciiTheme="majorHAnsi" w:hAnsiTheme="majorHAnsi" w:cstheme="majorHAnsi"/>
          <w:sz w:val="24"/>
          <w:szCs w:val="24"/>
          <w:lang w:val="ro-RO"/>
        </w:rPr>
      </w:pPr>
    </w:p>
    <w:p w:rsidR="002A5BC3" w:rsidRPr="00F55BA6" w:rsidRDefault="002A5BC3" w:rsidP="001128F8">
      <w:pPr>
        <w:numPr>
          <w:ilvl w:val="0"/>
          <w:numId w:val="1"/>
        </w:numPr>
        <w:tabs>
          <w:tab w:val="left" w:pos="426"/>
        </w:tabs>
        <w:spacing w:after="0" w:line="276" w:lineRule="auto"/>
        <w:ind w:left="0" w:firstLine="0"/>
        <w:contextualSpacing/>
        <w:jc w:val="left"/>
        <w:outlineLvl w:val="0"/>
        <w:rPr>
          <w:rFonts w:asciiTheme="majorHAnsi" w:hAnsiTheme="majorHAnsi" w:cstheme="majorHAnsi"/>
          <w:b/>
          <w:szCs w:val="28"/>
          <w:lang w:val="ro-RO"/>
        </w:rPr>
      </w:pPr>
      <w:r w:rsidRPr="00F55BA6">
        <w:rPr>
          <w:rFonts w:asciiTheme="majorHAnsi" w:hAnsiTheme="majorHAnsi" w:cstheme="majorHAnsi"/>
          <w:b/>
          <w:szCs w:val="28"/>
          <w:lang w:val="ro-RO"/>
        </w:rPr>
        <w:t>RESPONSABILITĂȚILE CELOR ÎNSĂRCINAȚI CU GUVERNANȚA PENTRU RAPOARTELE GUVERNULUI</w:t>
      </w:r>
    </w:p>
    <w:p w:rsidR="006412F2" w:rsidRPr="00720754" w:rsidRDefault="006412F2" w:rsidP="00F55BA6">
      <w:pPr>
        <w:rPr>
          <w:rFonts w:asciiTheme="majorHAnsi" w:hAnsiTheme="majorHAnsi" w:cstheme="majorHAnsi"/>
          <w:sz w:val="24"/>
          <w:szCs w:val="24"/>
          <w:lang w:val="ro-MD"/>
        </w:rPr>
      </w:pPr>
      <w:r w:rsidRPr="00720754">
        <w:rPr>
          <w:rFonts w:asciiTheme="majorHAnsi" w:hAnsiTheme="majorHAnsi" w:cstheme="majorHAnsi"/>
          <w:b/>
          <w:sz w:val="24"/>
          <w:szCs w:val="24"/>
          <w:lang w:val="ro-MD"/>
        </w:rPr>
        <w:t>Responsabilitatea Guvernului</w:t>
      </w:r>
      <w:r w:rsidRPr="00720754">
        <w:rPr>
          <w:rFonts w:asciiTheme="majorHAnsi" w:hAnsiTheme="majorHAnsi" w:cstheme="majorHAnsi"/>
          <w:sz w:val="24"/>
          <w:szCs w:val="24"/>
          <w:lang w:val="ro-MD"/>
        </w:rPr>
        <w:t>, în domeniul finanțelor publice, constă în conducerea generală a activității executive în domeniul gestionării finanțelor publice, în conformitate cu principiile și regulile stabilite</w:t>
      </w:r>
      <w:r w:rsidR="009953C1" w:rsidRPr="00720754">
        <w:rPr>
          <w:rFonts w:asciiTheme="majorHAnsi" w:hAnsiTheme="majorHAnsi" w:cstheme="majorHAnsi"/>
          <w:sz w:val="24"/>
          <w:szCs w:val="24"/>
          <w:lang w:val="ro-MD"/>
        </w:rPr>
        <w:t>,</w:t>
      </w:r>
      <w:r w:rsidRPr="00720754">
        <w:rPr>
          <w:rFonts w:asciiTheme="majorHAnsi" w:hAnsiTheme="majorHAnsi" w:cstheme="majorHAnsi"/>
          <w:sz w:val="24"/>
          <w:szCs w:val="24"/>
          <w:lang w:val="ro-MD"/>
        </w:rPr>
        <w:t xml:space="preserve"> și prezentarea Raportului privind executarea BS </w:t>
      </w:r>
      <w:r w:rsidR="00EF4F0F" w:rsidRPr="00720754">
        <w:rPr>
          <w:rFonts w:asciiTheme="majorHAnsi" w:hAnsiTheme="majorHAnsi" w:cstheme="majorHAnsi"/>
          <w:sz w:val="24"/>
          <w:szCs w:val="24"/>
          <w:lang w:val="ro-MD"/>
        </w:rPr>
        <w:t xml:space="preserve">către </w:t>
      </w:r>
      <w:r w:rsidRPr="00720754">
        <w:rPr>
          <w:rFonts w:asciiTheme="majorHAnsi" w:hAnsiTheme="majorHAnsi" w:cstheme="majorHAnsi"/>
          <w:sz w:val="24"/>
          <w:szCs w:val="24"/>
          <w:lang w:val="ro-MD"/>
        </w:rPr>
        <w:t>Parlament</w:t>
      </w:r>
      <w:r w:rsidRPr="00720754">
        <w:rPr>
          <w:rFonts w:asciiTheme="majorHAnsi" w:hAnsiTheme="majorHAnsi" w:cstheme="majorHAnsi"/>
          <w:sz w:val="24"/>
          <w:szCs w:val="24"/>
          <w:vertAlign w:val="superscript"/>
          <w:lang w:val="ro-MD"/>
        </w:rPr>
        <w:footnoteReference w:id="107"/>
      </w:r>
      <w:r w:rsidRPr="00720754">
        <w:rPr>
          <w:rFonts w:asciiTheme="majorHAnsi" w:hAnsiTheme="majorHAnsi" w:cstheme="majorHAnsi"/>
          <w:sz w:val="24"/>
          <w:szCs w:val="24"/>
          <w:lang w:val="ro-MD"/>
        </w:rPr>
        <w:t>.</w:t>
      </w:r>
    </w:p>
    <w:p w:rsidR="000926D9" w:rsidRPr="00720754" w:rsidRDefault="006412F2" w:rsidP="00F55BA6">
      <w:pPr>
        <w:rPr>
          <w:rFonts w:asciiTheme="majorHAnsi" w:hAnsiTheme="majorHAnsi" w:cstheme="majorHAnsi"/>
          <w:sz w:val="24"/>
          <w:szCs w:val="24"/>
          <w:lang w:val="ro-MD"/>
        </w:rPr>
      </w:pPr>
      <w:r w:rsidRPr="00720754">
        <w:rPr>
          <w:rFonts w:asciiTheme="majorHAnsi" w:eastAsia="Calibri" w:hAnsiTheme="majorHAnsi" w:cstheme="majorHAnsi"/>
          <w:b/>
          <w:sz w:val="24"/>
          <w:szCs w:val="24"/>
          <w:lang w:val="ro-MD" w:eastAsia="ru-RU"/>
        </w:rPr>
        <w:t>Responsabilitatea Ministerului Finanțelor</w:t>
      </w:r>
      <w:r w:rsidRPr="00720754">
        <w:rPr>
          <w:rFonts w:asciiTheme="majorHAnsi" w:eastAsia="Calibri" w:hAnsiTheme="majorHAnsi" w:cstheme="majorHAnsi"/>
          <w:sz w:val="24"/>
          <w:szCs w:val="24"/>
          <w:vertAlign w:val="superscript"/>
          <w:lang w:val="ro-MD" w:eastAsia="ru-RU"/>
        </w:rPr>
        <w:footnoteReference w:id="108"/>
      </w:r>
      <w:r w:rsidRPr="00720754">
        <w:rPr>
          <w:rFonts w:asciiTheme="majorHAnsi" w:eastAsia="Calibri" w:hAnsiTheme="majorHAnsi" w:cstheme="majorHAnsi"/>
          <w:sz w:val="24"/>
          <w:szCs w:val="24"/>
          <w:lang w:val="ro-MD" w:eastAsia="ru-RU"/>
        </w:rPr>
        <w:t xml:space="preserve"> </w:t>
      </w:r>
      <w:r w:rsidRPr="00720754">
        <w:rPr>
          <w:rFonts w:asciiTheme="majorHAnsi" w:hAnsiTheme="majorHAnsi" w:cstheme="majorHAnsi"/>
          <w:sz w:val="24"/>
          <w:szCs w:val="24"/>
          <w:lang w:val="ro-MD"/>
        </w:rPr>
        <w:t xml:space="preserve">a constat în pregătirea și prezentarea fidelă către Guvern a </w:t>
      </w:r>
      <w:r w:rsidRPr="00720754">
        <w:rPr>
          <w:rFonts w:asciiTheme="majorHAnsi" w:eastAsia="SimSun" w:hAnsiTheme="majorHAnsi" w:cstheme="majorHAnsi"/>
          <w:sz w:val="24"/>
          <w:szCs w:val="24"/>
          <w:lang w:val="ro-MD"/>
        </w:rPr>
        <w:t>Raportului privind executarea BS în termenul prevăzut de calendarul bugetar, în conformitate cu cadrul de raportare aplicabil și asigurarea publicării acestuia</w:t>
      </w:r>
      <w:r w:rsidRPr="00720754">
        <w:rPr>
          <w:rFonts w:asciiTheme="majorHAnsi" w:hAnsiTheme="majorHAnsi" w:cstheme="majorHAnsi"/>
          <w:sz w:val="24"/>
          <w:szCs w:val="24"/>
          <w:vertAlign w:val="superscript"/>
          <w:lang w:val="ro-MD" w:eastAsia="ro-RO"/>
        </w:rPr>
        <w:footnoteReference w:id="109"/>
      </w:r>
      <w:r w:rsidRPr="00720754">
        <w:rPr>
          <w:rFonts w:asciiTheme="majorHAnsi" w:hAnsiTheme="majorHAnsi" w:cstheme="majorHAnsi"/>
          <w:sz w:val="24"/>
          <w:szCs w:val="24"/>
          <w:lang w:val="ro-MD"/>
        </w:rPr>
        <w:t>.</w:t>
      </w:r>
      <w:r w:rsidRPr="00720754">
        <w:rPr>
          <w:rFonts w:asciiTheme="majorHAnsi" w:eastAsia="Calibri" w:hAnsiTheme="majorHAnsi" w:cstheme="majorHAnsi"/>
          <w:sz w:val="24"/>
          <w:szCs w:val="24"/>
          <w:lang w:val="ro-MD" w:eastAsia="ru-RU"/>
        </w:rPr>
        <w:t xml:space="preserve"> Totodată, în calitate de autoritate publică centrală în domeniul finanțelor publice, MF este responsabil de: </w:t>
      </w:r>
      <w:r w:rsidRPr="00720754">
        <w:rPr>
          <w:rFonts w:asciiTheme="majorHAnsi" w:eastAsia="Calibri" w:hAnsiTheme="majorHAnsi" w:cstheme="majorHAnsi"/>
          <w:b/>
          <w:sz w:val="24"/>
          <w:szCs w:val="24"/>
          <w:lang w:val="ro-MD" w:eastAsia="ru-RU"/>
        </w:rPr>
        <w:t>(i)</w:t>
      </w:r>
      <w:r w:rsidRPr="00720754">
        <w:rPr>
          <w:rFonts w:asciiTheme="majorHAnsi" w:eastAsia="Calibri" w:hAnsiTheme="majorHAnsi" w:cstheme="majorHAnsi"/>
          <w:sz w:val="24"/>
          <w:szCs w:val="24"/>
          <w:lang w:val="ro-MD" w:eastAsia="ru-RU"/>
        </w:rPr>
        <w:t xml:space="preserve"> </w:t>
      </w:r>
      <w:r w:rsidRPr="00720754">
        <w:rPr>
          <w:rFonts w:asciiTheme="majorHAnsi" w:hAnsiTheme="majorHAnsi" w:cstheme="majorHAnsi"/>
          <w:sz w:val="24"/>
          <w:szCs w:val="24"/>
          <w:lang w:val="ro-MD"/>
        </w:rPr>
        <w:t xml:space="preserve">stabilirea activităților intermediare ale calendarului bugetar și monitorizarea implementării acestuia, precum și asigurarea coordonării generale a procesului bugetar; </w:t>
      </w:r>
      <w:r w:rsidRPr="00720754">
        <w:rPr>
          <w:rFonts w:asciiTheme="majorHAnsi" w:hAnsiTheme="majorHAnsi" w:cstheme="majorHAnsi"/>
          <w:b/>
          <w:sz w:val="24"/>
          <w:szCs w:val="24"/>
          <w:lang w:val="ro-MD"/>
        </w:rPr>
        <w:t>(ii)</w:t>
      </w:r>
      <w:r w:rsidRPr="00720754">
        <w:rPr>
          <w:rFonts w:asciiTheme="majorHAnsi" w:hAnsiTheme="majorHAnsi" w:cstheme="majorHAnsi"/>
          <w:sz w:val="24"/>
          <w:szCs w:val="24"/>
          <w:lang w:val="ro-MD"/>
        </w:rPr>
        <w:t xml:space="preserve"> elaborarea și asigurarea implementării politicii bugetar-fiscale în conformitate cu principiile și regulile bugetar-fiscale stabilite; </w:t>
      </w:r>
      <w:r w:rsidRPr="00720754">
        <w:rPr>
          <w:rFonts w:asciiTheme="majorHAnsi" w:hAnsiTheme="majorHAnsi" w:cstheme="majorHAnsi"/>
          <w:b/>
          <w:sz w:val="24"/>
          <w:szCs w:val="24"/>
          <w:lang w:val="ro-MD"/>
        </w:rPr>
        <w:t>(iii)</w:t>
      </w:r>
      <w:r w:rsidRPr="00720754">
        <w:rPr>
          <w:rFonts w:asciiTheme="majorHAnsi" w:hAnsiTheme="majorHAnsi" w:cstheme="majorHAnsi"/>
          <w:sz w:val="24"/>
          <w:szCs w:val="24"/>
          <w:lang w:val="ro-MD"/>
        </w:rPr>
        <w:t xml:space="preserve"> elaborarea și prezentarea </w:t>
      </w:r>
      <w:r w:rsidR="000926D9" w:rsidRPr="00720754">
        <w:rPr>
          <w:rFonts w:asciiTheme="majorHAnsi" w:hAnsiTheme="majorHAnsi" w:cstheme="majorHAnsi"/>
          <w:sz w:val="24"/>
          <w:szCs w:val="24"/>
          <w:lang w:val="ro-MD"/>
        </w:rPr>
        <w:t>Guvernului spre aprobare a CBTM</w:t>
      </w:r>
      <w:r w:rsidRPr="00720754">
        <w:rPr>
          <w:rFonts w:asciiTheme="majorHAnsi" w:hAnsiTheme="majorHAnsi" w:cstheme="majorHAnsi"/>
          <w:sz w:val="24"/>
          <w:szCs w:val="24"/>
          <w:lang w:val="ro-MD"/>
        </w:rPr>
        <w:t xml:space="preserve"> </w:t>
      </w:r>
      <w:r w:rsidR="000926D9" w:rsidRPr="00720754">
        <w:rPr>
          <w:rFonts w:asciiTheme="majorHAnsi" w:hAnsiTheme="majorHAnsi" w:cstheme="majorHAnsi"/>
          <w:sz w:val="24"/>
          <w:szCs w:val="24"/>
          <w:lang w:val="ro-MD"/>
        </w:rPr>
        <w:t>etc.</w:t>
      </w:r>
    </w:p>
    <w:p w:rsidR="006412F2" w:rsidRPr="00720754" w:rsidRDefault="006412F2" w:rsidP="006412F2">
      <w:pPr>
        <w:spacing w:after="0" w:line="276" w:lineRule="auto"/>
        <w:rPr>
          <w:rFonts w:asciiTheme="majorHAnsi" w:eastAsia="Times New Roman" w:hAnsiTheme="majorHAnsi" w:cstheme="majorHAnsi"/>
          <w:sz w:val="24"/>
          <w:szCs w:val="24"/>
          <w:lang w:val="ro-MD"/>
        </w:rPr>
      </w:pPr>
      <w:r w:rsidRPr="00720754">
        <w:rPr>
          <w:rFonts w:asciiTheme="majorHAnsi" w:eastAsia="Times New Roman" w:hAnsiTheme="majorHAnsi" w:cstheme="majorHAnsi"/>
          <w:b/>
          <w:sz w:val="24"/>
          <w:szCs w:val="24"/>
          <w:lang w:val="ro-MD"/>
        </w:rPr>
        <w:t>Responsabilitatea autorităților/instituțiilor bugetare</w:t>
      </w:r>
      <w:r w:rsidRPr="00720754">
        <w:rPr>
          <w:rFonts w:asciiTheme="majorHAnsi" w:eastAsia="Times New Roman" w:hAnsiTheme="majorHAnsi" w:cstheme="majorHAnsi"/>
          <w:sz w:val="24"/>
          <w:szCs w:val="24"/>
          <w:lang w:val="ro-MD"/>
        </w:rPr>
        <w:t xml:space="preserve"> constă în întocmirea și prezentarea rapoartelor financiare în baza Legii contabilității și în conformitate cu termenele și cerințele stabilite de Ministerul Finanțelor</w:t>
      </w:r>
      <w:r w:rsidRPr="00720754">
        <w:rPr>
          <w:rFonts w:asciiTheme="majorHAnsi" w:eastAsia="Times New Roman" w:hAnsiTheme="majorHAnsi" w:cstheme="majorHAnsi"/>
          <w:sz w:val="24"/>
          <w:szCs w:val="24"/>
          <w:vertAlign w:val="superscript"/>
          <w:lang w:val="ro-MD"/>
        </w:rPr>
        <w:footnoteReference w:id="110"/>
      </w:r>
      <w:r w:rsidRPr="00720754">
        <w:rPr>
          <w:rFonts w:asciiTheme="majorHAnsi" w:eastAsia="Times New Roman" w:hAnsiTheme="majorHAnsi" w:cstheme="majorHAnsi"/>
          <w:sz w:val="24"/>
          <w:szCs w:val="24"/>
          <w:lang w:val="ro-MD"/>
        </w:rPr>
        <w:t>.</w:t>
      </w:r>
    </w:p>
    <w:p w:rsidR="006412F2" w:rsidRPr="00F55BA6" w:rsidRDefault="006412F2" w:rsidP="006412F2">
      <w:pPr>
        <w:tabs>
          <w:tab w:val="left" w:pos="1134"/>
        </w:tabs>
        <w:spacing w:after="0" w:line="276" w:lineRule="auto"/>
        <w:rPr>
          <w:rFonts w:asciiTheme="majorHAnsi" w:eastAsia="Calibri" w:hAnsiTheme="majorHAnsi" w:cstheme="majorHAnsi"/>
          <w:sz w:val="16"/>
          <w:szCs w:val="16"/>
          <w:lang w:val="ro-RO" w:eastAsia="ru-RU"/>
        </w:rPr>
      </w:pPr>
    </w:p>
    <w:p w:rsidR="00944C3C" w:rsidRPr="00E4517B" w:rsidRDefault="00944C3C" w:rsidP="00944C3C">
      <w:pPr>
        <w:numPr>
          <w:ilvl w:val="0"/>
          <w:numId w:val="1"/>
        </w:numPr>
        <w:tabs>
          <w:tab w:val="left" w:pos="0"/>
          <w:tab w:val="left" w:pos="426"/>
        </w:tabs>
        <w:spacing w:after="0" w:line="276" w:lineRule="auto"/>
        <w:ind w:left="0" w:firstLine="0"/>
        <w:contextualSpacing/>
        <w:outlineLvl w:val="0"/>
        <w:rPr>
          <w:rFonts w:asciiTheme="majorHAnsi" w:hAnsiTheme="majorHAnsi" w:cstheme="majorHAnsi"/>
          <w:b/>
          <w:szCs w:val="28"/>
          <w:lang w:val="ro-RO"/>
        </w:rPr>
      </w:pPr>
      <w:bookmarkStart w:id="2" w:name="_Toc9324231"/>
      <w:r w:rsidRPr="00E4517B">
        <w:rPr>
          <w:rFonts w:asciiTheme="majorHAnsi" w:hAnsiTheme="majorHAnsi" w:cstheme="majorHAnsi"/>
          <w:b/>
          <w:szCs w:val="28"/>
          <w:lang w:val="ro-RO"/>
        </w:rPr>
        <w:t>RESPONSABILITĂȚILE AUDITORULUI</w:t>
      </w:r>
      <w:bookmarkEnd w:id="2"/>
      <w:r w:rsidRPr="00E4517B">
        <w:rPr>
          <w:rFonts w:asciiTheme="majorHAnsi" w:hAnsiTheme="majorHAnsi" w:cstheme="majorHAnsi"/>
          <w:b/>
          <w:szCs w:val="28"/>
          <w:lang w:val="ro-RO"/>
        </w:rPr>
        <w:t xml:space="preserve"> ÎNTR-UN AUDIT AL RAPOARTELOR GUVERNULUI</w:t>
      </w:r>
    </w:p>
    <w:p w:rsidR="006412F2" w:rsidRPr="00207634" w:rsidRDefault="006412F2" w:rsidP="006412F2">
      <w:pPr>
        <w:tabs>
          <w:tab w:val="left" w:pos="720"/>
        </w:tabs>
        <w:spacing w:after="0" w:line="276" w:lineRule="auto"/>
        <w:contextualSpacing/>
        <w:rPr>
          <w:rFonts w:asciiTheme="majorHAnsi" w:hAnsiTheme="majorHAnsi" w:cstheme="majorHAnsi"/>
          <w:sz w:val="24"/>
          <w:szCs w:val="24"/>
          <w:lang w:val="ro-RO"/>
        </w:rPr>
      </w:pPr>
      <w:r w:rsidRPr="00973E5B">
        <w:rPr>
          <w:rFonts w:asciiTheme="majorHAnsi" w:hAnsiTheme="majorHAnsi" w:cstheme="majorHAnsi"/>
          <w:sz w:val="24"/>
          <w:szCs w:val="24"/>
          <w:lang w:val="ro-RO"/>
        </w:rPr>
        <w:t>Auditorul este respons</w:t>
      </w:r>
      <w:r w:rsidRPr="00207634">
        <w:rPr>
          <w:rFonts w:asciiTheme="majorHAnsi" w:hAnsiTheme="majorHAnsi" w:cstheme="majorHAnsi"/>
          <w:sz w:val="24"/>
          <w:szCs w:val="24"/>
          <w:lang w:val="ro-RO"/>
        </w:rPr>
        <w:t>abil de planificarea și realizarea misiunii de audit, cu obținerea probelor suficiente și adecvate în vederea susținerii bazei pentru opinia de audit.</w:t>
      </w:r>
    </w:p>
    <w:p w:rsidR="006412F2" w:rsidRPr="00E4517B" w:rsidRDefault="006412F2" w:rsidP="006412F2">
      <w:pPr>
        <w:tabs>
          <w:tab w:val="left" w:pos="720"/>
        </w:tabs>
        <w:spacing w:after="0" w:line="276" w:lineRule="auto"/>
        <w:contextualSpacing/>
        <w:rPr>
          <w:rFonts w:asciiTheme="majorHAnsi" w:hAnsiTheme="majorHAnsi" w:cstheme="majorHAnsi"/>
          <w:sz w:val="24"/>
          <w:szCs w:val="24"/>
          <w:lang w:val="ro-RO"/>
        </w:rPr>
      </w:pPr>
      <w:r w:rsidRPr="00207634">
        <w:rPr>
          <w:rFonts w:asciiTheme="majorHAnsi" w:hAnsiTheme="majorHAnsi" w:cstheme="majorHAnsi"/>
          <w:sz w:val="24"/>
          <w:szCs w:val="24"/>
          <w:lang w:val="ro-RO"/>
        </w:rPr>
        <w:t xml:space="preserve">Obiectivele auditorului sunt: obținerea unei asigurări rezonabile că </w:t>
      </w:r>
      <w:r w:rsidRPr="00F55BA6">
        <w:rPr>
          <w:rFonts w:asciiTheme="majorHAnsi" w:hAnsiTheme="majorHAnsi" w:cstheme="majorHAnsi"/>
          <w:bCs/>
          <w:iCs/>
          <w:sz w:val="24"/>
          <w:szCs w:val="24"/>
          <w:lang w:val="ro-RO"/>
        </w:rPr>
        <w:t xml:space="preserve">Raportul Guvernului privind executarea bugetului de stat </w:t>
      </w:r>
      <w:r w:rsidRPr="00E4517B">
        <w:rPr>
          <w:rFonts w:asciiTheme="majorHAnsi" w:hAnsiTheme="majorHAnsi" w:cstheme="majorHAnsi"/>
          <w:sz w:val="24"/>
          <w:szCs w:val="24"/>
          <w:lang w:val="ro-RO"/>
        </w:rPr>
        <w:t>nu este afectat de denaturări semnificative, cauzate de fraude sau erori, precum și emiterea unei opinii.</w:t>
      </w:r>
    </w:p>
    <w:p w:rsidR="006412F2" w:rsidRPr="009131CF" w:rsidRDefault="006412F2" w:rsidP="006412F2">
      <w:pPr>
        <w:tabs>
          <w:tab w:val="left" w:pos="720"/>
        </w:tabs>
        <w:spacing w:after="0" w:line="276" w:lineRule="auto"/>
        <w:contextualSpacing/>
        <w:rPr>
          <w:rFonts w:asciiTheme="majorHAnsi" w:hAnsiTheme="majorHAnsi" w:cstheme="majorHAnsi"/>
          <w:sz w:val="24"/>
          <w:szCs w:val="24"/>
          <w:lang w:val="ro-RO"/>
        </w:rPr>
      </w:pPr>
      <w:r w:rsidRPr="00973E5B">
        <w:rPr>
          <w:rFonts w:asciiTheme="majorHAnsi" w:hAnsiTheme="majorHAnsi" w:cstheme="majorHAnsi"/>
          <w:sz w:val="24"/>
          <w:szCs w:val="24"/>
          <w:lang w:val="ro-RO"/>
        </w:rPr>
        <w:t>Asigurarea rezonabilă este un nivel ridicat de asigurare, dar nu este o garanție că un audit efectuat în conformitate cu SIA va d</w:t>
      </w:r>
      <w:r w:rsidRPr="00207634">
        <w:rPr>
          <w:rFonts w:asciiTheme="majorHAnsi" w:hAnsiTheme="majorHAnsi" w:cstheme="majorHAnsi"/>
          <w:sz w:val="24"/>
          <w:szCs w:val="24"/>
          <w:lang w:val="ro-RO"/>
        </w:rPr>
        <w:t>etecta întotdeauna o denaturare semnificativă atunci când ea există. Denaturările pot fi urmare a fraudelor sau erorilor. Totodată, denaturările pot fi considerate semnificative dacă, în mod individual sau în ansamblu, pot influența deciziile economice ale</w:t>
      </w:r>
      <w:r w:rsidRPr="009131CF">
        <w:rPr>
          <w:rFonts w:asciiTheme="majorHAnsi" w:hAnsiTheme="majorHAnsi" w:cstheme="majorHAnsi"/>
          <w:sz w:val="24"/>
          <w:szCs w:val="24"/>
          <w:lang w:val="ro-RO"/>
        </w:rPr>
        <w:t xml:space="preserve"> utilizatorilor acestor situații financiare. </w:t>
      </w:r>
    </w:p>
    <w:p w:rsidR="006412F2" w:rsidRPr="00207634" w:rsidRDefault="006412F2" w:rsidP="000948F1">
      <w:pPr>
        <w:tabs>
          <w:tab w:val="left" w:pos="720"/>
        </w:tabs>
        <w:spacing w:after="0" w:line="276" w:lineRule="auto"/>
        <w:contextualSpacing/>
        <w:rPr>
          <w:rFonts w:asciiTheme="majorHAnsi" w:eastAsia="SimSun" w:hAnsiTheme="majorHAnsi" w:cstheme="majorHAnsi"/>
          <w:b/>
          <w:sz w:val="24"/>
          <w:szCs w:val="24"/>
          <w:lang w:val="ro-RO"/>
        </w:rPr>
      </w:pPr>
      <w:r w:rsidRPr="00E4517B">
        <w:rPr>
          <w:rFonts w:asciiTheme="majorHAnsi" w:eastAsia="SimSun" w:hAnsiTheme="majorHAnsi" w:cstheme="majorHAnsi"/>
          <w:i/>
          <w:sz w:val="24"/>
          <w:szCs w:val="24"/>
          <w:lang w:val="ro-RO"/>
        </w:rPr>
        <w:t xml:space="preserve">O informație mai detaliată privind responsabilitățile auditorului este prezentată pe pagina web a Curții de Conturi, la adresa: </w:t>
      </w:r>
      <w:hyperlink r:id="rId12" w:history="1">
        <w:r w:rsidRPr="00E4517B">
          <w:rPr>
            <w:rFonts w:asciiTheme="majorHAnsi" w:eastAsia="SimSun" w:hAnsiTheme="majorHAnsi" w:cstheme="majorHAnsi"/>
            <w:i/>
            <w:color w:val="0563C1" w:themeColor="hyperlink"/>
            <w:sz w:val="24"/>
            <w:szCs w:val="24"/>
            <w:u w:val="single"/>
            <w:lang w:val="ro-RO"/>
          </w:rPr>
          <w:t>http://www.ccrm.md/activitatea-curtii-de-conturi-1-25</w:t>
        </w:r>
      </w:hyperlink>
      <w:r w:rsidRPr="00E4517B">
        <w:rPr>
          <w:rFonts w:asciiTheme="majorHAnsi" w:eastAsia="SimSun" w:hAnsiTheme="majorHAnsi" w:cstheme="majorHAnsi"/>
          <w:i/>
          <w:sz w:val="24"/>
          <w:szCs w:val="24"/>
          <w:lang w:val="ro-RO"/>
        </w:rPr>
        <w:t>.</w:t>
      </w:r>
      <w:r w:rsidRPr="00973E5B">
        <w:rPr>
          <w:rFonts w:asciiTheme="majorHAnsi" w:eastAsia="SimSun" w:hAnsiTheme="majorHAnsi" w:cstheme="majorHAnsi"/>
          <w:sz w:val="24"/>
          <w:szCs w:val="24"/>
          <w:lang w:val="ro-RO"/>
        </w:rPr>
        <w:t xml:space="preserve"> </w:t>
      </w:r>
    </w:p>
    <w:p w:rsidR="00AD1129" w:rsidRPr="009131CF" w:rsidRDefault="00AD1129" w:rsidP="006412F2">
      <w:pPr>
        <w:tabs>
          <w:tab w:val="left" w:pos="993"/>
        </w:tabs>
        <w:spacing w:after="0" w:line="276" w:lineRule="auto"/>
        <w:rPr>
          <w:rFonts w:asciiTheme="majorHAnsi" w:hAnsiTheme="majorHAnsi" w:cstheme="majorHAnsi"/>
          <w:b/>
          <w:szCs w:val="28"/>
          <w:lang w:val="ro-RO"/>
        </w:rPr>
      </w:pPr>
    </w:p>
    <w:p w:rsidR="006412F2" w:rsidRPr="00E4517B" w:rsidRDefault="006412F2" w:rsidP="006412F2">
      <w:pPr>
        <w:tabs>
          <w:tab w:val="left" w:pos="993"/>
        </w:tabs>
        <w:spacing w:after="0" w:line="276" w:lineRule="auto"/>
        <w:rPr>
          <w:rFonts w:asciiTheme="majorHAnsi" w:hAnsiTheme="majorHAnsi" w:cstheme="majorHAnsi"/>
          <w:b/>
          <w:szCs w:val="28"/>
          <w:lang w:val="ro-RO"/>
        </w:rPr>
      </w:pPr>
      <w:r w:rsidRPr="00E4517B">
        <w:rPr>
          <w:rFonts w:asciiTheme="majorHAnsi" w:hAnsiTheme="majorHAnsi" w:cstheme="majorHAnsi"/>
          <w:b/>
          <w:szCs w:val="28"/>
          <w:lang w:val="ro-RO"/>
        </w:rPr>
        <w:t>SEMNĂTURA AUDITORULUI</w:t>
      </w:r>
    </w:p>
    <w:p w:rsidR="006412F2" w:rsidRPr="00E4517B" w:rsidRDefault="006412F2" w:rsidP="006412F2">
      <w:pPr>
        <w:tabs>
          <w:tab w:val="left" w:pos="993"/>
        </w:tabs>
        <w:spacing w:after="0" w:line="276" w:lineRule="auto"/>
        <w:rPr>
          <w:rFonts w:asciiTheme="majorHAnsi" w:hAnsiTheme="majorHAnsi" w:cstheme="majorHAnsi"/>
          <w:sz w:val="24"/>
          <w:szCs w:val="24"/>
          <w:lang w:val="ro-RO"/>
        </w:rPr>
      </w:pPr>
    </w:p>
    <w:p w:rsidR="006412F2" w:rsidRPr="00E4517B" w:rsidRDefault="006412F2" w:rsidP="006412F2">
      <w:pPr>
        <w:spacing w:after="0" w:line="276" w:lineRule="auto"/>
        <w:jc w:val="left"/>
        <w:rPr>
          <w:rFonts w:asciiTheme="majorHAnsi" w:eastAsia="Times New Roman" w:hAnsiTheme="majorHAnsi" w:cstheme="majorHAnsi"/>
          <w:bCs/>
          <w:sz w:val="24"/>
          <w:szCs w:val="24"/>
          <w:lang w:val="ro-RO" w:eastAsia="ru-RU"/>
        </w:rPr>
      </w:pPr>
      <w:r w:rsidRPr="00E4517B">
        <w:rPr>
          <w:rFonts w:asciiTheme="majorHAnsi" w:eastAsia="Times New Roman" w:hAnsiTheme="majorHAnsi" w:cstheme="majorHAnsi"/>
          <w:iCs/>
          <w:sz w:val="24"/>
          <w:szCs w:val="24"/>
          <w:lang w:val="ro-RO" w:eastAsia="ru-RU"/>
        </w:rPr>
        <w:t>Șeful echipei de audit,</w:t>
      </w:r>
      <w:r w:rsidRPr="00E4517B">
        <w:rPr>
          <w:rFonts w:asciiTheme="majorHAnsi" w:eastAsia="Times New Roman" w:hAnsiTheme="majorHAnsi" w:cstheme="majorHAnsi"/>
          <w:bCs/>
          <w:sz w:val="24"/>
          <w:szCs w:val="24"/>
          <w:lang w:val="ro-RO" w:eastAsia="ru-RU"/>
        </w:rPr>
        <w:t xml:space="preserve"> </w:t>
      </w:r>
    </w:p>
    <w:p w:rsidR="006412F2" w:rsidRPr="00E4517B" w:rsidRDefault="006412F2" w:rsidP="006412F2">
      <w:pPr>
        <w:spacing w:after="0" w:line="276" w:lineRule="auto"/>
        <w:jc w:val="left"/>
        <w:rPr>
          <w:rFonts w:asciiTheme="majorHAnsi" w:eastAsia="Times New Roman" w:hAnsiTheme="majorHAnsi" w:cstheme="majorHAnsi"/>
          <w:iCs/>
          <w:sz w:val="24"/>
          <w:szCs w:val="24"/>
          <w:lang w:val="ro-RO" w:eastAsia="ru-RU"/>
        </w:rPr>
      </w:pPr>
      <w:r w:rsidRPr="00E4517B">
        <w:rPr>
          <w:rFonts w:asciiTheme="majorHAnsi" w:hAnsiTheme="majorHAnsi" w:cstheme="majorHAnsi"/>
          <w:sz w:val="24"/>
          <w:szCs w:val="24"/>
          <w:lang w:val="ro-RO"/>
        </w:rPr>
        <w:t xml:space="preserve">auditor public principal,                                             </w:t>
      </w:r>
      <w:r w:rsidRPr="00E4517B">
        <w:rPr>
          <w:rFonts w:asciiTheme="majorHAnsi" w:eastAsia="Times New Roman" w:hAnsiTheme="majorHAnsi" w:cstheme="majorHAnsi"/>
          <w:iCs/>
          <w:sz w:val="24"/>
          <w:szCs w:val="24"/>
          <w:lang w:val="ro-RO" w:eastAsia="ru-RU"/>
        </w:rPr>
        <w:t xml:space="preserve">                                                     </w:t>
      </w:r>
      <w:r w:rsidRPr="00E4517B">
        <w:rPr>
          <w:rFonts w:asciiTheme="majorHAnsi" w:eastAsia="Times New Roman" w:hAnsiTheme="majorHAnsi" w:cstheme="majorHAnsi"/>
          <w:bCs/>
          <w:sz w:val="24"/>
          <w:szCs w:val="24"/>
          <w:lang w:val="ro-RO" w:eastAsia="ru-RU"/>
        </w:rPr>
        <w:t>Maia Savva</w:t>
      </w:r>
      <w:r w:rsidRPr="00E4517B">
        <w:rPr>
          <w:rFonts w:asciiTheme="majorHAnsi" w:eastAsia="Times New Roman" w:hAnsiTheme="majorHAnsi" w:cstheme="majorHAnsi"/>
          <w:iCs/>
          <w:sz w:val="24"/>
          <w:szCs w:val="24"/>
          <w:lang w:val="ro-RO" w:eastAsia="ru-RU"/>
        </w:rPr>
        <w:t xml:space="preserve"> </w:t>
      </w:r>
    </w:p>
    <w:p w:rsidR="006412F2" w:rsidRPr="00E4517B" w:rsidRDefault="006412F2" w:rsidP="006412F2">
      <w:pPr>
        <w:tabs>
          <w:tab w:val="left" w:pos="993"/>
        </w:tabs>
        <w:spacing w:after="0" w:line="276" w:lineRule="auto"/>
        <w:rPr>
          <w:rFonts w:asciiTheme="majorHAnsi" w:hAnsiTheme="majorHAnsi" w:cstheme="majorHAnsi"/>
          <w:sz w:val="24"/>
          <w:szCs w:val="24"/>
          <w:lang w:val="ro-RO"/>
        </w:rPr>
      </w:pPr>
    </w:p>
    <w:p w:rsidR="006412F2" w:rsidRPr="00E4517B" w:rsidRDefault="006412F2" w:rsidP="006412F2">
      <w:pPr>
        <w:tabs>
          <w:tab w:val="left" w:pos="993"/>
        </w:tabs>
        <w:spacing w:after="0" w:line="276" w:lineRule="auto"/>
        <w:rPr>
          <w:rFonts w:asciiTheme="majorHAnsi" w:hAnsiTheme="majorHAnsi" w:cstheme="majorHAnsi"/>
          <w:sz w:val="24"/>
          <w:szCs w:val="24"/>
          <w:lang w:val="ro-RO"/>
        </w:rPr>
      </w:pPr>
      <w:r w:rsidRPr="00E4517B">
        <w:rPr>
          <w:rFonts w:asciiTheme="majorHAnsi" w:hAnsiTheme="majorHAnsi" w:cstheme="majorHAnsi"/>
          <w:sz w:val="24"/>
          <w:szCs w:val="24"/>
          <w:lang w:val="ro-RO"/>
        </w:rPr>
        <w:t xml:space="preserve">Auditor public principal,                                                                                                  </w:t>
      </w:r>
      <w:r w:rsidR="00E046BF" w:rsidRPr="00E4517B">
        <w:rPr>
          <w:rFonts w:asciiTheme="majorHAnsi" w:hAnsiTheme="majorHAnsi" w:cstheme="majorHAnsi"/>
          <w:sz w:val="24"/>
          <w:szCs w:val="24"/>
          <w:lang w:val="ro-RO"/>
        </w:rPr>
        <w:t>Uliana Negru</w:t>
      </w:r>
    </w:p>
    <w:p w:rsidR="006412F2" w:rsidRPr="00E4517B" w:rsidRDefault="006412F2" w:rsidP="006412F2">
      <w:pPr>
        <w:tabs>
          <w:tab w:val="left" w:pos="993"/>
        </w:tabs>
        <w:spacing w:after="0" w:line="276" w:lineRule="auto"/>
        <w:rPr>
          <w:rFonts w:asciiTheme="majorHAnsi" w:hAnsiTheme="majorHAnsi" w:cstheme="majorHAnsi"/>
          <w:sz w:val="24"/>
          <w:szCs w:val="24"/>
          <w:lang w:val="ro-RO"/>
        </w:rPr>
      </w:pPr>
    </w:p>
    <w:p w:rsidR="006412F2" w:rsidRPr="00F55BA6" w:rsidRDefault="006412F2" w:rsidP="006412F2">
      <w:pPr>
        <w:tabs>
          <w:tab w:val="left" w:pos="993"/>
        </w:tabs>
        <w:spacing w:after="0" w:line="276" w:lineRule="auto"/>
        <w:rPr>
          <w:rFonts w:asciiTheme="majorHAnsi" w:hAnsiTheme="majorHAnsi" w:cstheme="majorHAnsi"/>
          <w:sz w:val="24"/>
          <w:szCs w:val="24"/>
          <w:lang w:val="ro-RO"/>
        </w:rPr>
      </w:pPr>
      <w:r w:rsidRPr="00E4517B">
        <w:rPr>
          <w:rFonts w:asciiTheme="majorHAnsi" w:hAnsiTheme="majorHAnsi" w:cstheme="majorHAnsi"/>
          <w:sz w:val="24"/>
          <w:szCs w:val="24"/>
          <w:lang w:val="ro-RO"/>
        </w:rPr>
        <w:t xml:space="preserve">Auditor public superior,                                                                                                   </w:t>
      </w:r>
      <w:r w:rsidR="00E046BF" w:rsidRPr="00E4517B">
        <w:rPr>
          <w:rFonts w:asciiTheme="majorHAnsi" w:hAnsiTheme="majorHAnsi" w:cstheme="majorHAnsi"/>
          <w:sz w:val="24"/>
          <w:szCs w:val="24"/>
          <w:lang w:val="ro-RO"/>
        </w:rPr>
        <w:t>Vera Bor</w:t>
      </w:r>
      <w:r w:rsidR="00E046BF" w:rsidRPr="00F55BA6">
        <w:rPr>
          <w:rFonts w:asciiTheme="majorHAnsi" w:hAnsiTheme="majorHAnsi" w:cstheme="majorHAnsi"/>
          <w:sz w:val="24"/>
          <w:szCs w:val="24"/>
          <w:lang w:val="ro-RO"/>
        </w:rPr>
        <w:t>șevschi</w:t>
      </w:r>
    </w:p>
    <w:p w:rsidR="006412F2" w:rsidRPr="00E4517B" w:rsidRDefault="006412F2" w:rsidP="006412F2">
      <w:pPr>
        <w:tabs>
          <w:tab w:val="left" w:pos="993"/>
        </w:tabs>
        <w:spacing w:after="0" w:line="276" w:lineRule="auto"/>
        <w:rPr>
          <w:rFonts w:asciiTheme="majorHAnsi" w:hAnsiTheme="majorHAnsi" w:cstheme="majorHAnsi"/>
          <w:sz w:val="24"/>
          <w:szCs w:val="24"/>
          <w:lang w:val="ro-RO"/>
        </w:rPr>
      </w:pPr>
    </w:p>
    <w:p w:rsidR="006412F2" w:rsidRPr="00F55BA6" w:rsidRDefault="006412F2" w:rsidP="006412F2">
      <w:pPr>
        <w:spacing w:after="0" w:line="276" w:lineRule="auto"/>
        <w:jc w:val="left"/>
        <w:rPr>
          <w:rFonts w:asciiTheme="majorHAnsi" w:eastAsia="Times New Roman" w:hAnsiTheme="majorHAnsi" w:cstheme="majorHAnsi"/>
          <w:b/>
          <w:bCs/>
          <w:i/>
          <w:iCs/>
          <w:sz w:val="24"/>
          <w:szCs w:val="24"/>
          <w:lang w:val="ro-RO"/>
        </w:rPr>
      </w:pPr>
      <w:r w:rsidRPr="00F55BA6">
        <w:rPr>
          <w:rFonts w:asciiTheme="majorHAnsi" w:eastAsia="Times New Roman" w:hAnsiTheme="majorHAnsi" w:cstheme="majorHAnsi"/>
          <w:b/>
          <w:bCs/>
          <w:i/>
          <w:iCs/>
          <w:sz w:val="24"/>
          <w:szCs w:val="24"/>
          <w:lang w:val="ro-RO"/>
        </w:rPr>
        <w:t xml:space="preserve">Responsabil de audit: </w:t>
      </w:r>
    </w:p>
    <w:p w:rsidR="001F49C1" w:rsidRDefault="006412F2" w:rsidP="006412F2">
      <w:pPr>
        <w:tabs>
          <w:tab w:val="left" w:pos="1080"/>
        </w:tabs>
        <w:spacing w:line="276" w:lineRule="auto"/>
        <w:contextualSpacing/>
        <w:rPr>
          <w:rFonts w:asciiTheme="majorHAnsi" w:eastAsia="Times New Roman" w:hAnsiTheme="majorHAnsi" w:cstheme="majorHAnsi"/>
          <w:sz w:val="24"/>
          <w:szCs w:val="24"/>
          <w:lang w:val="ro-RO"/>
        </w:rPr>
      </w:pPr>
      <w:r w:rsidRPr="00F55BA6">
        <w:rPr>
          <w:rFonts w:asciiTheme="majorHAnsi" w:eastAsia="Times New Roman" w:hAnsiTheme="majorHAnsi" w:cstheme="majorHAnsi"/>
          <w:sz w:val="24"/>
          <w:szCs w:val="24"/>
          <w:lang w:val="ro-RO"/>
        </w:rPr>
        <w:t xml:space="preserve">Șeful Direcției generale audit I,                                                                                       </w:t>
      </w:r>
      <w:r w:rsidR="00BC4CFA" w:rsidRPr="00F55BA6">
        <w:rPr>
          <w:rFonts w:asciiTheme="majorHAnsi" w:eastAsia="Times New Roman" w:hAnsiTheme="majorHAnsi" w:cstheme="majorHAnsi"/>
          <w:sz w:val="24"/>
          <w:szCs w:val="24"/>
          <w:lang w:val="ro-RO"/>
        </w:rPr>
        <w:t>Natalia Trofim</w:t>
      </w:r>
    </w:p>
    <w:p w:rsidR="001F49C1" w:rsidRPr="001F49C1" w:rsidRDefault="001F49C1" w:rsidP="00D95182">
      <w:pPr>
        <w:rPr>
          <w:rFonts w:asciiTheme="majorHAnsi" w:eastAsia="Times New Roman" w:hAnsiTheme="majorHAnsi" w:cstheme="majorHAnsi"/>
          <w:sz w:val="24"/>
          <w:szCs w:val="24"/>
          <w:lang w:val="ro-RO"/>
        </w:rPr>
      </w:pPr>
    </w:p>
    <w:p w:rsidR="001F49C1" w:rsidRPr="001F49C1" w:rsidRDefault="001F49C1" w:rsidP="00D95182">
      <w:pPr>
        <w:rPr>
          <w:rFonts w:asciiTheme="majorHAnsi" w:eastAsia="Times New Roman" w:hAnsiTheme="majorHAnsi" w:cstheme="majorHAnsi"/>
          <w:sz w:val="24"/>
          <w:szCs w:val="24"/>
          <w:lang w:val="ro-RO"/>
        </w:rPr>
      </w:pPr>
    </w:p>
    <w:p w:rsidR="001F49C1" w:rsidRPr="001F49C1" w:rsidRDefault="001F49C1" w:rsidP="00D95182">
      <w:pPr>
        <w:rPr>
          <w:rFonts w:asciiTheme="majorHAnsi" w:eastAsia="Times New Roman" w:hAnsiTheme="majorHAnsi" w:cstheme="majorHAnsi"/>
          <w:sz w:val="24"/>
          <w:szCs w:val="24"/>
          <w:lang w:val="ro-RO"/>
        </w:rPr>
      </w:pPr>
    </w:p>
    <w:p w:rsidR="001F49C1" w:rsidRDefault="001F49C1" w:rsidP="001F49C1">
      <w:pPr>
        <w:rPr>
          <w:rFonts w:asciiTheme="majorHAnsi" w:eastAsia="Times New Roman" w:hAnsiTheme="majorHAnsi" w:cstheme="majorHAnsi"/>
          <w:sz w:val="24"/>
          <w:szCs w:val="24"/>
          <w:lang w:val="ro-RO"/>
        </w:rPr>
      </w:pPr>
    </w:p>
    <w:p w:rsidR="001F49C1" w:rsidRDefault="001F49C1" w:rsidP="00D95182">
      <w:pPr>
        <w:tabs>
          <w:tab w:val="left" w:pos="8229"/>
        </w:tabs>
        <w:rPr>
          <w:rFonts w:asciiTheme="majorHAnsi" w:eastAsia="Times New Roman" w:hAnsiTheme="majorHAnsi" w:cstheme="majorHAnsi"/>
          <w:sz w:val="24"/>
          <w:szCs w:val="24"/>
          <w:lang w:val="ro-RO"/>
        </w:rPr>
      </w:pPr>
      <w:r>
        <w:rPr>
          <w:rFonts w:asciiTheme="majorHAnsi" w:eastAsia="Times New Roman" w:hAnsiTheme="majorHAnsi" w:cstheme="majorHAnsi"/>
          <w:sz w:val="24"/>
          <w:szCs w:val="24"/>
          <w:lang w:val="ro-RO"/>
        </w:rPr>
        <w:tab/>
      </w:r>
    </w:p>
    <w:p w:rsidR="006412F2" w:rsidRPr="001F49C1" w:rsidRDefault="001F49C1" w:rsidP="00D95182">
      <w:pPr>
        <w:tabs>
          <w:tab w:val="left" w:pos="8229"/>
        </w:tabs>
        <w:rPr>
          <w:rFonts w:asciiTheme="majorHAnsi" w:eastAsia="Times New Roman" w:hAnsiTheme="majorHAnsi" w:cstheme="majorHAnsi"/>
          <w:sz w:val="24"/>
          <w:szCs w:val="24"/>
          <w:lang w:val="ro-RO"/>
        </w:rPr>
        <w:sectPr w:rsidR="006412F2" w:rsidRPr="001F49C1" w:rsidSect="0091215A">
          <w:footerReference w:type="default" r:id="rId13"/>
          <w:pgSz w:w="12240" w:h="15840"/>
          <w:pgMar w:top="851" w:right="851" w:bottom="851" w:left="1701" w:header="709" w:footer="709" w:gutter="0"/>
          <w:cols w:space="708"/>
          <w:docGrid w:linePitch="360"/>
        </w:sectPr>
      </w:pPr>
      <w:r>
        <w:rPr>
          <w:rFonts w:asciiTheme="majorHAnsi" w:eastAsia="Times New Roman" w:hAnsiTheme="majorHAnsi" w:cstheme="majorHAnsi"/>
          <w:sz w:val="24"/>
          <w:szCs w:val="24"/>
          <w:lang w:val="ro-RO"/>
        </w:rPr>
        <w:tab/>
      </w:r>
    </w:p>
    <w:p w:rsidR="006412F2" w:rsidRPr="00F55BA6" w:rsidRDefault="009D5A3B" w:rsidP="000E0FBD">
      <w:pPr>
        <w:pStyle w:val="af0"/>
        <w:numPr>
          <w:ilvl w:val="0"/>
          <w:numId w:val="1"/>
        </w:numPr>
        <w:tabs>
          <w:tab w:val="left" w:pos="426"/>
        </w:tabs>
        <w:ind w:left="0" w:firstLine="0"/>
        <w:rPr>
          <w:rFonts w:asciiTheme="majorHAnsi" w:hAnsiTheme="majorHAnsi" w:cstheme="majorHAnsi"/>
          <w:b/>
          <w:lang w:val="ro-RO"/>
        </w:rPr>
      </w:pPr>
      <w:r w:rsidRPr="00F55BA6">
        <w:rPr>
          <w:rFonts w:asciiTheme="majorHAnsi" w:hAnsiTheme="majorHAnsi" w:cstheme="majorHAnsi"/>
          <w:b/>
          <w:lang w:val="ro-RO"/>
        </w:rPr>
        <w:lastRenderedPageBreak/>
        <w:t>ANEXE</w:t>
      </w:r>
    </w:p>
    <w:p w:rsidR="0050015C" w:rsidRPr="00F55BA6" w:rsidRDefault="0050015C" w:rsidP="0050015C">
      <w:pPr>
        <w:jc w:val="right"/>
        <w:rPr>
          <w:rFonts w:asciiTheme="majorHAnsi" w:hAnsiTheme="majorHAnsi" w:cstheme="majorHAnsi"/>
          <w:b/>
          <w:sz w:val="24"/>
          <w:szCs w:val="24"/>
          <w:lang w:val="ro-RO"/>
        </w:rPr>
      </w:pPr>
      <w:r w:rsidRPr="00F55BA6">
        <w:rPr>
          <w:rFonts w:asciiTheme="majorHAnsi" w:hAnsiTheme="majorHAnsi" w:cstheme="majorHAnsi"/>
          <w:b/>
          <w:sz w:val="24"/>
          <w:szCs w:val="24"/>
          <w:lang w:val="ro-RO"/>
        </w:rPr>
        <w:t>Anexa nr.1</w:t>
      </w:r>
    </w:p>
    <w:p w:rsidR="006F758A" w:rsidRPr="00973E5B" w:rsidRDefault="006F758A" w:rsidP="006F758A">
      <w:pPr>
        <w:spacing w:after="0"/>
        <w:jc w:val="center"/>
        <w:rPr>
          <w:rFonts w:asciiTheme="majorHAnsi" w:hAnsiTheme="majorHAnsi" w:cstheme="majorHAnsi"/>
          <w:b/>
          <w:sz w:val="24"/>
          <w:szCs w:val="24"/>
          <w:lang w:val="ro-RO"/>
        </w:rPr>
      </w:pPr>
      <w:r w:rsidRPr="00E4517B">
        <w:rPr>
          <w:rFonts w:asciiTheme="majorHAnsi" w:hAnsiTheme="majorHAnsi" w:cstheme="majorHAnsi"/>
          <w:b/>
          <w:sz w:val="24"/>
          <w:szCs w:val="24"/>
          <w:lang w:val="ro-RO"/>
        </w:rPr>
        <w:t>Componența și formatul formularelor la Raportul anual privind executarea bugetului de s</w:t>
      </w:r>
      <w:r w:rsidRPr="00973E5B">
        <w:rPr>
          <w:rFonts w:asciiTheme="majorHAnsi" w:hAnsiTheme="majorHAnsi" w:cstheme="majorHAnsi"/>
          <w:b/>
          <w:sz w:val="24"/>
          <w:szCs w:val="24"/>
          <w:lang w:val="ro-RO"/>
        </w:rPr>
        <w:t xml:space="preserve">tat </w:t>
      </w:r>
    </w:p>
    <w:p w:rsidR="006F758A" w:rsidRPr="009131CF" w:rsidRDefault="006F758A" w:rsidP="006F758A">
      <w:pPr>
        <w:spacing w:after="0"/>
        <w:jc w:val="center"/>
        <w:rPr>
          <w:rFonts w:asciiTheme="majorHAnsi" w:hAnsiTheme="majorHAnsi" w:cstheme="majorHAnsi"/>
          <w:b/>
          <w:sz w:val="24"/>
          <w:szCs w:val="24"/>
          <w:lang w:val="ro-RO"/>
        </w:rPr>
      </w:pPr>
      <w:r w:rsidRPr="009131CF">
        <w:rPr>
          <w:rFonts w:asciiTheme="majorHAnsi" w:hAnsiTheme="majorHAnsi" w:cstheme="majorHAnsi"/>
          <w:b/>
          <w:sz w:val="24"/>
          <w:szCs w:val="24"/>
          <w:lang w:val="ro-RO"/>
        </w:rPr>
        <w:t>pe anul 2020</w:t>
      </w:r>
    </w:p>
    <w:p w:rsidR="006F758A" w:rsidRPr="00E4517B" w:rsidRDefault="006F758A" w:rsidP="006F758A">
      <w:pPr>
        <w:spacing w:after="0"/>
        <w:jc w:val="center"/>
        <w:rPr>
          <w:rFonts w:asciiTheme="majorHAnsi" w:hAnsiTheme="majorHAnsi" w:cstheme="majorHAnsi"/>
          <w:b/>
          <w:sz w:val="24"/>
          <w:szCs w:val="24"/>
          <w:lang w:val="ro-RO"/>
        </w:rPr>
      </w:pPr>
    </w:p>
    <w:tbl>
      <w:tblPr>
        <w:tblStyle w:val="TableGrid2"/>
        <w:tblW w:w="11199" w:type="dxa"/>
        <w:tblInd w:w="-998" w:type="dxa"/>
        <w:tblLayout w:type="fixed"/>
        <w:tblLook w:val="04A0" w:firstRow="1" w:lastRow="0" w:firstColumn="1" w:lastColumn="0" w:noHBand="0" w:noVBand="1"/>
      </w:tblPr>
      <w:tblGrid>
        <w:gridCol w:w="1985"/>
        <w:gridCol w:w="9214"/>
      </w:tblGrid>
      <w:tr w:rsidR="006F758A" w:rsidRPr="00E4517B" w:rsidTr="006F758A">
        <w:trPr>
          <w:trHeight w:val="405"/>
        </w:trPr>
        <w:tc>
          <w:tcPr>
            <w:tcW w:w="1985" w:type="dxa"/>
            <w:tcBorders>
              <w:right w:val="single" w:sz="12" w:space="0" w:color="auto"/>
            </w:tcBorders>
          </w:tcPr>
          <w:p w:rsidR="006F758A" w:rsidRPr="00E4517B" w:rsidRDefault="006F758A" w:rsidP="006F758A">
            <w:pPr>
              <w:jc w:val="center"/>
              <w:rPr>
                <w:rFonts w:asciiTheme="majorHAnsi" w:eastAsia="Times New Roman" w:hAnsiTheme="majorHAnsi" w:cstheme="majorHAnsi"/>
                <w:b/>
                <w:bCs/>
                <w:iCs/>
                <w:sz w:val="20"/>
                <w:szCs w:val="20"/>
                <w:lang w:val="ro-RO" w:eastAsia="ru-RU"/>
              </w:rPr>
            </w:pPr>
            <w:r w:rsidRPr="00E4517B">
              <w:rPr>
                <w:rFonts w:asciiTheme="majorHAnsi" w:eastAsia="Times New Roman" w:hAnsiTheme="majorHAnsi" w:cstheme="majorHAnsi"/>
                <w:b/>
                <w:bCs/>
                <w:iCs/>
                <w:sz w:val="20"/>
                <w:szCs w:val="20"/>
                <w:lang w:val="ro-RO" w:eastAsia="ru-RU"/>
              </w:rPr>
              <w:t>Nr. formularului</w:t>
            </w:r>
          </w:p>
        </w:tc>
        <w:tc>
          <w:tcPr>
            <w:tcW w:w="9214" w:type="dxa"/>
            <w:tcBorders>
              <w:left w:val="single" w:sz="12" w:space="0" w:color="auto"/>
              <w:right w:val="single" w:sz="12" w:space="0" w:color="auto"/>
            </w:tcBorders>
          </w:tcPr>
          <w:p w:rsidR="006F758A" w:rsidRPr="00F55BA6" w:rsidRDefault="006F758A" w:rsidP="006F758A">
            <w:pPr>
              <w:jc w:val="center"/>
              <w:rPr>
                <w:rFonts w:asciiTheme="majorHAnsi" w:eastAsia="Times New Roman" w:hAnsiTheme="majorHAnsi" w:cstheme="majorHAnsi"/>
                <w:b/>
                <w:bCs/>
                <w:iCs/>
                <w:sz w:val="20"/>
                <w:szCs w:val="20"/>
                <w:lang w:val="ro-RO" w:eastAsia="ru-RU"/>
              </w:rPr>
            </w:pPr>
            <w:r w:rsidRPr="00E4517B">
              <w:rPr>
                <w:rFonts w:asciiTheme="majorHAnsi" w:eastAsia="Times New Roman" w:hAnsiTheme="majorHAnsi" w:cstheme="majorHAnsi"/>
                <w:b/>
                <w:bCs/>
                <w:iCs/>
                <w:sz w:val="20"/>
                <w:szCs w:val="20"/>
                <w:lang w:val="ro-RO" w:eastAsia="ru-RU"/>
              </w:rPr>
              <w:t>Denumirea conform Ordinului MF</w:t>
            </w:r>
            <w:r w:rsidRPr="00F55BA6">
              <w:rPr>
                <w:rFonts w:asciiTheme="majorHAnsi" w:eastAsia="Times New Roman" w:hAnsiTheme="majorHAnsi" w:cstheme="majorHAnsi"/>
                <w:b/>
                <w:bCs/>
                <w:iCs/>
                <w:sz w:val="20"/>
                <w:szCs w:val="20"/>
                <w:lang w:val="ro-RO" w:eastAsia="ru-RU"/>
              </w:rPr>
              <w:t xml:space="preserve"> nr.18 din 27.01.2020</w:t>
            </w:r>
          </w:p>
        </w:tc>
      </w:tr>
      <w:tr w:rsidR="006F758A" w:rsidRPr="00E4517B" w:rsidTr="006F758A">
        <w:tc>
          <w:tcPr>
            <w:tcW w:w="1985" w:type="dxa"/>
            <w:tcBorders>
              <w:right w:val="single" w:sz="12" w:space="0" w:color="auto"/>
            </w:tcBorders>
          </w:tcPr>
          <w:p w:rsidR="006F758A" w:rsidRPr="00E4517B" w:rsidRDefault="006F758A" w:rsidP="006F758A">
            <w:pPr>
              <w:jc w:val="center"/>
              <w:rPr>
                <w:rFonts w:asciiTheme="majorHAnsi" w:eastAsia="Times New Roman" w:hAnsiTheme="majorHAnsi" w:cstheme="majorHAnsi"/>
                <w:bCs/>
                <w:i/>
                <w:iCs/>
                <w:sz w:val="20"/>
                <w:szCs w:val="20"/>
                <w:lang w:val="ro-RO" w:eastAsia="ru-RU"/>
              </w:rPr>
            </w:pPr>
            <w:r w:rsidRPr="00E4517B">
              <w:rPr>
                <w:rFonts w:asciiTheme="majorHAnsi" w:eastAsia="Times New Roman" w:hAnsiTheme="majorHAnsi" w:cstheme="majorHAnsi"/>
                <w:bCs/>
                <w:i/>
                <w:iCs/>
                <w:sz w:val="20"/>
                <w:szCs w:val="20"/>
                <w:lang w:val="ro-RO" w:eastAsia="ru-RU"/>
              </w:rPr>
              <w:t>Formularul nr.1*</w:t>
            </w:r>
          </w:p>
        </w:tc>
        <w:tc>
          <w:tcPr>
            <w:tcW w:w="9214" w:type="dxa"/>
            <w:tcBorders>
              <w:left w:val="single" w:sz="12" w:space="0" w:color="auto"/>
              <w:right w:val="single" w:sz="12" w:space="0" w:color="auto"/>
            </w:tcBorders>
          </w:tcPr>
          <w:p w:rsidR="006F758A" w:rsidRPr="00A053FD" w:rsidRDefault="006F758A" w:rsidP="00530DCD">
            <w:pPr>
              <w:rPr>
                <w:rFonts w:asciiTheme="majorHAnsi" w:eastAsia="Times New Roman" w:hAnsiTheme="majorHAnsi" w:cstheme="majorHAnsi"/>
                <w:bCs/>
                <w:iCs/>
                <w:sz w:val="20"/>
                <w:szCs w:val="20"/>
                <w:lang w:val="ro-RO" w:eastAsia="ru-RU"/>
              </w:rPr>
            </w:pPr>
            <w:r w:rsidRPr="00A053FD">
              <w:rPr>
                <w:rFonts w:asciiTheme="majorHAnsi" w:eastAsia="Times New Roman" w:hAnsiTheme="majorHAnsi" w:cstheme="majorHAnsi"/>
                <w:bCs/>
                <w:iCs/>
                <w:sz w:val="20"/>
                <w:szCs w:val="20"/>
                <w:lang w:val="ro-RO" w:eastAsia="ru-RU"/>
              </w:rPr>
              <w:t>Raport privind executarea indicatorilor generali și surselor de finanțare ale bugetului de stat</w:t>
            </w:r>
            <w:r w:rsidR="00327C9A" w:rsidRPr="00A053FD">
              <w:rPr>
                <w:rFonts w:asciiTheme="majorHAnsi" w:eastAsia="Times New Roman" w:hAnsiTheme="majorHAnsi" w:cstheme="majorHAnsi"/>
                <w:bCs/>
                <w:iCs/>
                <w:sz w:val="20"/>
                <w:szCs w:val="20"/>
                <w:lang w:val="ro-RO" w:eastAsia="ru-RU"/>
              </w:rPr>
              <w:t xml:space="preserve"> pe anul 2020</w:t>
            </w:r>
            <w:r w:rsidRPr="00A053FD">
              <w:rPr>
                <w:rFonts w:asciiTheme="majorHAnsi" w:eastAsia="Times New Roman" w:hAnsiTheme="majorHAnsi" w:cstheme="majorHAnsi"/>
                <w:bCs/>
                <w:iCs/>
                <w:sz w:val="20"/>
                <w:szCs w:val="20"/>
                <w:lang w:val="ro-RO" w:eastAsia="ru-RU"/>
              </w:rPr>
              <w:t xml:space="preserve"> (conform Anexei nr.1 la</w:t>
            </w:r>
            <w:r w:rsidRPr="00F55BA6">
              <w:rPr>
                <w:rFonts w:asciiTheme="majorHAnsi" w:hAnsiTheme="majorHAnsi" w:cstheme="majorHAnsi"/>
                <w:sz w:val="20"/>
                <w:szCs w:val="20"/>
                <w:lang w:val="ro-RO"/>
              </w:rPr>
              <w:t xml:space="preserve"> </w:t>
            </w:r>
            <w:r w:rsidRPr="00A053FD">
              <w:rPr>
                <w:rFonts w:asciiTheme="majorHAnsi" w:eastAsia="Times New Roman" w:hAnsiTheme="majorHAnsi" w:cstheme="majorHAnsi"/>
                <w:bCs/>
                <w:iCs/>
                <w:sz w:val="20"/>
                <w:szCs w:val="20"/>
                <w:lang w:val="ro-RO" w:eastAsia="ru-RU"/>
              </w:rPr>
              <w:t>Legea bugetului de stat)</w:t>
            </w:r>
          </w:p>
        </w:tc>
      </w:tr>
      <w:tr w:rsidR="006F758A" w:rsidRPr="00E4517B" w:rsidTr="006F758A">
        <w:tc>
          <w:tcPr>
            <w:tcW w:w="1985" w:type="dxa"/>
            <w:tcBorders>
              <w:right w:val="single" w:sz="12" w:space="0" w:color="auto"/>
            </w:tcBorders>
          </w:tcPr>
          <w:p w:rsidR="006F758A" w:rsidRPr="00E4517B" w:rsidRDefault="006F758A" w:rsidP="006F758A">
            <w:pPr>
              <w:jc w:val="center"/>
              <w:rPr>
                <w:rFonts w:asciiTheme="majorHAnsi" w:eastAsia="Times New Roman" w:hAnsiTheme="majorHAnsi" w:cstheme="majorHAnsi"/>
                <w:bCs/>
                <w:i/>
                <w:iCs/>
                <w:sz w:val="20"/>
                <w:szCs w:val="20"/>
                <w:lang w:val="ro-RO" w:eastAsia="ru-RU"/>
              </w:rPr>
            </w:pPr>
            <w:r w:rsidRPr="00E4517B">
              <w:rPr>
                <w:rFonts w:asciiTheme="majorHAnsi" w:eastAsia="Times New Roman" w:hAnsiTheme="majorHAnsi" w:cstheme="majorHAnsi"/>
                <w:bCs/>
                <w:i/>
                <w:iCs/>
                <w:sz w:val="20"/>
                <w:szCs w:val="20"/>
                <w:lang w:val="ro-RO" w:eastAsia="ru-RU"/>
              </w:rPr>
              <w:t>Formularul nr.2*</w:t>
            </w:r>
          </w:p>
        </w:tc>
        <w:tc>
          <w:tcPr>
            <w:tcW w:w="9214" w:type="dxa"/>
            <w:tcBorders>
              <w:left w:val="single" w:sz="12" w:space="0" w:color="auto"/>
              <w:right w:val="single" w:sz="12" w:space="0" w:color="auto"/>
            </w:tcBorders>
          </w:tcPr>
          <w:p w:rsidR="006F758A" w:rsidRPr="00A053FD" w:rsidRDefault="006F758A" w:rsidP="00530DCD">
            <w:pPr>
              <w:rPr>
                <w:rFonts w:asciiTheme="majorHAnsi" w:eastAsia="Times New Roman" w:hAnsiTheme="majorHAnsi" w:cstheme="majorHAnsi"/>
                <w:bCs/>
                <w:iCs/>
                <w:sz w:val="20"/>
                <w:szCs w:val="20"/>
                <w:lang w:val="ro-RO" w:eastAsia="ru-RU"/>
              </w:rPr>
            </w:pPr>
            <w:r w:rsidRPr="00A053FD">
              <w:rPr>
                <w:rFonts w:asciiTheme="majorHAnsi" w:eastAsia="Times New Roman" w:hAnsiTheme="majorHAnsi" w:cstheme="majorHAnsi"/>
                <w:bCs/>
                <w:iCs/>
                <w:sz w:val="20"/>
                <w:szCs w:val="20"/>
                <w:lang w:val="ro-RO" w:eastAsia="ru-RU"/>
              </w:rPr>
              <w:t xml:space="preserve">Raport privind executarea veniturilor bugetului de stat și surselor de finanțare a soldului bugetar </w:t>
            </w:r>
            <w:r w:rsidR="00250651" w:rsidRPr="00A053FD">
              <w:rPr>
                <w:rFonts w:asciiTheme="majorHAnsi" w:eastAsia="Times New Roman" w:hAnsiTheme="majorHAnsi" w:cstheme="majorHAnsi"/>
                <w:bCs/>
                <w:iCs/>
                <w:sz w:val="20"/>
                <w:szCs w:val="20"/>
                <w:lang w:val="ro-RO" w:eastAsia="ru-RU"/>
              </w:rPr>
              <w:t xml:space="preserve">pe anul 2020 </w:t>
            </w:r>
            <w:r w:rsidRPr="00A053FD">
              <w:rPr>
                <w:rFonts w:asciiTheme="majorHAnsi" w:eastAsia="Times New Roman" w:hAnsiTheme="majorHAnsi" w:cstheme="majorHAnsi"/>
                <w:bCs/>
                <w:iCs/>
                <w:sz w:val="20"/>
                <w:szCs w:val="20"/>
                <w:lang w:val="ro-RO" w:eastAsia="ru-RU"/>
              </w:rPr>
              <w:t>(conform Anexei nr.2</w:t>
            </w:r>
            <w:r w:rsidRPr="00F55BA6">
              <w:rPr>
                <w:rFonts w:asciiTheme="majorHAnsi" w:hAnsiTheme="majorHAnsi" w:cstheme="majorHAnsi"/>
                <w:sz w:val="20"/>
                <w:szCs w:val="20"/>
                <w:lang w:val="ro-RO"/>
              </w:rPr>
              <w:t xml:space="preserve"> la </w:t>
            </w:r>
            <w:r w:rsidRPr="00A053FD">
              <w:rPr>
                <w:rFonts w:asciiTheme="majorHAnsi" w:eastAsia="Times New Roman" w:hAnsiTheme="majorHAnsi" w:cstheme="majorHAnsi"/>
                <w:bCs/>
                <w:iCs/>
                <w:sz w:val="20"/>
                <w:szCs w:val="20"/>
                <w:lang w:val="ro-RO" w:eastAsia="ru-RU"/>
              </w:rPr>
              <w:t>Legea bugetului de stat)</w:t>
            </w:r>
          </w:p>
        </w:tc>
      </w:tr>
      <w:tr w:rsidR="006F758A" w:rsidRPr="00E4517B" w:rsidTr="006F758A">
        <w:tc>
          <w:tcPr>
            <w:tcW w:w="1985" w:type="dxa"/>
            <w:tcBorders>
              <w:right w:val="single" w:sz="12" w:space="0" w:color="auto"/>
            </w:tcBorders>
          </w:tcPr>
          <w:p w:rsidR="006F758A" w:rsidRPr="00E4517B" w:rsidRDefault="006F758A" w:rsidP="006F758A">
            <w:pPr>
              <w:jc w:val="center"/>
              <w:rPr>
                <w:rFonts w:asciiTheme="majorHAnsi" w:eastAsia="Times New Roman" w:hAnsiTheme="majorHAnsi" w:cstheme="majorHAnsi"/>
                <w:bCs/>
                <w:i/>
                <w:iCs/>
                <w:sz w:val="20"/>
                <w:szCs w:val="20"/>
                <w:lang w:val="ro-RO" w:eastAsia="ru-RU"/>
              </w:rPr>
            </w:pPr>
            <w:r w:rsidRPr="00E4517B">
              <w:rPr>
                <w:rFonts w:asciiTheme="majorHAnsi" w:eastAsia="Times New Roman" w:hAnsiTheme="majorHAnsi" w:cstheme="majorHAnsi"/>
                <w:bCs/>
                <w:i/>
                <w:iCs/>
                <w:sz w:val="20"/>
                <w:szCs w:val="20"/>
                <w:lang w:val="ro-RO" w:eastAsia="ru-RU"/>
              </w:rPr>
              <w:t>Formularul nr.3*</w:t>
            </w:r>
          </w:p>
        </w:tc>
        <w:tc>
          <w:tcPr>
            <w:tcW w:w="9214" w:type="dxa"/>
            <w:tcBorders>
              <w:left w:val="single" w:sz="12" w:space="0" w:color="auto"/>
              <w:right w:val="single" w:sz="12" w:space="0" w:color="auto"/>
            </w:tcBorders>
          </w:tcPr>
          <w:p w:rsidR="006F758A" w:rsidRPr="00A053FD" w:rsidRDefault="006F758A" w:rsidP="00530DCD">
            <w:pPr>
              <w:rPr>
                <w:rFonts w:asciiTheme="majorHAnsi" w:eastAsia="Times New Roman" w:hAnsiTheme="majorHAnsi" w:cstheme="majorHAnsi"/>
                <w:bCs/>
                <w:iCs/>
                <w:sz w:val="20"/>
                <w:szCs w:val="20"/>
                <w:lang w:val="ro-RO" w:eastAsia="ru-RU"/>
              </w:rPr>
            </w:pPr>
            <w:r w:rsidRPr="00A053FD">
              <w:rPr>
                <w:rFonts w:asciiTheme="majorHAnsi" w:eastAsia="Times New Roman" w:hAnsiTheme="majorHAnsi" w:cstheme="majorHAnsi"/>
                <w:bCs/>
                <w:iCs/>
                <w:sz w:val="20"/>
                <w:szCs w:val="20"/>
                <w:lang w:val="ro-RO" w:eastAsia="ru-RU"/>
              </w:rPr>
              <w:t xml:space="preserve">Raport privind executarea bugetelor autorităților finanțate de la bugetul de stat la partea de cheltuieli </w:t>
            </w:r>
            <w:r w:rsidR="00250651" w:rsidRPr="00A053FD">
              <w:rPr>
                <w:rFonts w:asciiTheme="majorHAnsi" w:eastAsia="Times New Roman" w:hAnsiTheme="majorHAnsi" w:cstheme="majorHAnsi"/>
                <w:bCs/>
                <w:iCs/>
                <w:sz w:val="20"/>
                <w:szCs w:val="20"/>
                <w:lang w:val="ro-RO" w:eastAsia="ru-RU"/>
              </w:rPr>
              <w:t xml:space="preserve">pe anul 2020 </w:t>
            </w:r>
            <w:r w:rsidRPr="00A053FD">
              <w:rPr>
                <w:rFonts w:asciiTheme="majorHAnsi" w:eastAsia="Times New Roman" w:hAnsiTheme="majorHAnsi" w:cstheme="majorHAnsi"/>
                <w:bCs/>
                <w:iCs/>
                <w:sz w:val="20"/>
                <w:szCs w:val="20"/>
                <w:lang w:val="ro-RO" w:eastAsia="ru-RU"/>
              </w:rPr>
              <w:t>(conform Anexei nr.3</w:t>
            </w:r>
            <w:r w:rsidRPr="00F55BA6">
              <w:rPr>
                <w:rFonts w:asciiTheme="majorHAnsi" w:hAnsiTheme="majorHAnsi" w:cstheme="majorHAnsi"/>
                <w:sz w:val="20"/>
                <w:szCs w:val="20"/>
                <w:lang w:val="ro-RO"/>
              </w:rPr>
              <w:t xml:space="preserve"> la </w:t>
            </w:r>
            <w:r w:rsidRPr="00A053FD">
              <w:rPr>
                <w:rFonts w:asciiTheme="majorHAnsi" w:eastAsia="Times New Roman" w:hAnsiTheme="majorHAnsi" w:cstheme="majorHAnsi"/>
                <w:bCs/>
                <w:iCs/>
                <w:sz w:val="20"/>
                <w:szCs w:val="20"/>
                <w:lang w:val="ro-RO" w:eastAsia="ru-RU"/>
              </w:rPr>
              <w:t>Legea bugetului de stat)</w:t>
            </w:r>
          </w:p>
        </w:tc>
      </w:tr>
      <w:tr w:rsidR="006F758A" w:rsidRPr="00E4517B" w:rsidTr="006F758A">
        <w:tc>
          <w:tcPr>
            <w:tcW w:w="1985" w:type="dxa"/>
            <w:tcBorders>
              <w:right w:val="single" w:sz="12" w:space="0" w:color="auto"/>
            </w:tcBorders>
          </w:tcPr>
          <w:p w:rsidR="006F758A" w:rsidRPr="00E4517B" w:rsidRDefault="006F758A" w:rsidP="006F758A">
            <w:pPr>
              <w:jc w:val="center"/>
              <w:rPr>
                <w:rFonts w:asciiTheme="majorHAnsi" w:eastAsia="Times New Roman" w:hAnsiTheme="majorHAnsi" w:cstheme="majorHAnsi"/>
                <w:bCs/>
                <w:i/>
                <w:iCs/>
                <w:sz w:val="20"/>
                <w:szCs w:val="20"/>
                <w:lang w:val="ro-RO" w:eastAsia="ru-RU"/>
              </w:rPr>
            </w:pPr>
            <w:r w:rsidRPr="00E4517B">
              <w:rPr>
                <w:rFonts w:asciiTheme="majorHAnsi" w:eastAsia="Times New Roman" w:hAnsiTheme="majorHAnsi" w:cstheme="majorHAnsi"/>
                <w:bCs/>
                <w:i/>
                <w:iCs/>
                <w:sz w:val="20"/>
                <w:szCs w:val="20"/>
                <w:lang w:val="ro-RO" w:eastAsia="ru-RU"/>
              </w:rPr>
              <w:t>Formularul nr.3.1</w:t>
            </w:r>
          </w:p>
        </w:tc>
        <w:tc>
          <w:tcPr>
            <w:tcW w:w="9214" w:type="dxa"/>
            <w:tcBorders>
              <w:left w:val="single" w:sz="12" w:space="0" w:color="auto"/>
              <w:right w:val="single" w:sz="12" w:space="0" w:color="auto"/>
            </w:tcBorders>
          </w:tcPr>
          <w:p w:rsidR="006F758A" w:rsidRPr="00A053FD" w:rsidRDefault="006F758A" w:rsidP="00530DCD">
            <w:pPr>
              <w:rPr>
                <w:rFonts w:asciiTheme="majorHAnsi" w:eastAsia="Times New Roman" w:hAnsiTheme="majorHAnsi" w:cstheme="majorHAnsi"/>
                <w:bCs/>
                <w:iCs/>
                <w:sz w:val="20"/>
                <w:szCs w:val="20"/>
                <w:lang w:val="ro-RO" w:eastAsia="ru-RU"/>
              </w:rPr>
            </w:pPr>
            <w:r w:rsidRPr="00A053FD">
              <w:rPr>
                <w:rFonts w:asciiTheme="majorHAnsi" w:eastAsia="Times New Roman" w:hAnsiTheme="majorHAnsi" w:cstheme="majorHAnsi"/>
                <w:bCs/>
                <w:iCs/>
                <w:sz w:val="20"/>
                <w:szCs w:val="20"/>
                <w:lang w:val="ro-RO" w:eastAsia="ru-RU"/>
              </w:rPr>
              <w:t>Raport privind executarea bugetelor autorităților finanțate de la bugetul de stat la partea de resurse totale</w:t>
            </w:r>
            <w:r w:rsidR="0058558C" w:rsidRPr="00A053FD">
              <w:rPr>
                <w:rFonts w:asciiTheme="majorHAnsi" w:eastAsia="Times New Roman" w:hAnsiTheme="majorHAnsi" w:cstheme="majorHAnsi"/>
                <w:bCs/>
                <w:iCs/>
                <w:sz w:val="20"/>
                <w:szCs w:val="20"/>
                <w:lang w:val="ro-RO" w:eastAsia="ru-RU"/>
              </w:rPr>
              <w:t xml:space="preserve"> pe anul 2020 </w:t>
            </w:r>
            <w:r w:rsidRPr="00A053FD">
              <w:rPr>
                <w:rFonts w:asciiTheme="majorHAnsi" w:eastAsia="Times New Roman" w:hAnsiTheme="majorHAnsi" w:cstheme="majorHAnsi"/>
                <w:bCs/>
                <w:iCs/>
                <w:sz w:val="20"/>
                <w:szCs w:val="20"/>
                <w:lang w:val="ro-RO" w:eastAsia="ru-RU"/>
              </w:rPr>
              <w:t xml:space="preserve"> (conform Anexei nr.3</w:t>
            </w:r>
            <w:r w:rsidRPr="00F55BA6">
              <w:rPr>
                <w:rFonts w:asciiTheme="majorHAnsi" w:hAnsiTheme="majorHAnsi" w:cstheme="majorHAnsi"/>
                <w:sz w:val="20"/>
                <w:szCs w:val="20"/>
                <w:lang w:val="ro-RO"/>
              </w:rPr>
              <w:t xml:space="preserve"> la </w:t>
            </w:r>
            <w:r w:rsidRPr="00A053FD">
              <w:rPr>
                <w:rFonts w:asciiTheme="majorHAnsi" w:eastAsia="Times New Roman" w:hAnsiTheme="majorHAnsi" w:cstheme="majorHAnsi"/>
                <w:bCs/>
                <w:iCs/>
                <w:sz w:val="20"/>
                <w:szCs w:val="20"/>
                <w:lang w:val="ro-RO" w:eastAsia="ru-RU"/>
              </w:rPr>
              <w:t>Legea bugetului de stat)</w:t>
            </w:r>
            <w:r w:rsidR="00250651" w:rsidRPr="00A053FD">
              <w:rPr>
                <w:rFonts w:asciiTheme="majorHAnsi" w:eastAsia="Times New Roman" w:hAnsiTheme="majorHAnsi" w:cstheme="majorHAnsi"/>
                <w:bCs/>
                <w:iCs/>
                <w:sz w:val="20"/>
                <w:szCs w:val="20"/>
                <w:lang w:val="ro-RO" w:eastAsia="ru-RU"/>
              </w:rPr>
              <w:t xml:space="preserve"> </w:t>
            </w:r>
          </w:p>
        </w:tc>
      </w:tr>
      <w:tr w:rsidR="006F758A" w:rsidRPr="00E4517B" w:rsidTr="006F758A">
        <w:tc>
          <w:tcPr>
            <w:tcW w:w="1985" w:type="dxa"/>
            <w:tcBorders>
              <w:right w:val="single" w:sz="12" w:space="0" w:color="auto"/>
            </w:tcBorders>
          </w:tcPr>
          <w:p w:rsidR="006F758A" w:rsidRPr="00E4517B" w:rsidRDefault="006F758A" w:rsidP="006F758A">
            <w:pPr>
              <w:jc w:val="center"/>
              <w:rPr>
                <w:rFonts w:asciiTheme="majorHAnsi" w:eastAsia="Times New Roman" w:hAnsiTheme="majorHAnsi" w:cstheme="majorHAnsi"/>
                <w:bCs/>
                <w:i/>
                <w:iCs/>
                <w:sz w:val="20"/>
                <w:szCs w:val="20"/>
                <w:lang w:val="ro-RO" w:eastAsia="ru-RU"/>
              </w:rPr>
            </w:pPr>
            <w:r w:rsidRPr="00E4517B">
              <w:rPr>
                <w:rFonts w:asciiTheme="majorHAnsi" w:eastAsia="Times New Roman" w:hAnsiTheme="majorHAnsi" w:cstheme="majorHAnsi"/>
                <w:bCs/>
                <w:i/>
                <w:iCs/>
                <w:sz w:val="20"/>
                <w:szCs w:val="20"/>
                <w:lang w:val="ro-RO" w:eastAsia="ru-RU"/>
              </w:rPr>
              <w:t>Formularul nr.3.2</w:t>
            </w:r>
          </w:p>
        </w:tc>
        <w:tc>
          <w:tcPr>
            <w:tcW w:w="9214" w:type="dxa"/>
            <w:tcBorders>
              <w:left w:val="single" w:sz="12" w:space="0" w:color="auto"/>
              <w:right w:val="single" w:sz="12" w:space="0" w:color="auto"/>
            </w:tcBorders>
          </w:tcPr>
          <w:p w:rsidR="006F758A" w:rsidRPr="00A053FD" w:rsidRDefault="006F758A" w:rsidP="00530DCD">
            <w:pPr>
              <w:rPr>
                <w:rFonts w:asciiTheme="majorHAnsi" w:eastAsia="Times New Roman" w:hAnsiTheme="majorHAnsi" w:cstheme="majorHAnsi"/>
                <w:bCs/>
                <w:iCs/>
                <w:sz w:val="20"/>
                <w:szCs w:val="20"/>
                <w:lang w:val="ro-RO" w:eastAsia="ru-RU"/>
              </w:rPr>
            </w:pPr>
            <w:r w:rsidRPr="00A053FD">
              <w:rPr>
                <w:rFonts w:asciiTheme="majorHAnsi" w:eastAsia="Times New Roman" w:hAnsiTheme="majorHAnsi" w:cstheme="majorHAnsi"/>
                <w:bCs/>
                <w:iCs/>
                <w:sz w:val="20"/>
                <w:szCs w:val="20"/>
                <w:lang w:val="ro-RO" w:eastAsia="ru-RU"/>
              </w:rPr>
              <w:t>Raport privind executarea bugetelor autorităților finanțate de la bugetul de stat la partea de resurse generale</w:t>
            </w:r>
            <w:r w:rsidR="0058558C" w:rsidRPr="00A053FD">
              <w:rPr>
                <w:rFonts w:asciiTheme="majorHAnsi" w:eastAsia="Times New Roman" w:hAnsiTheme="majorHAnsi" w:cstheme="majorHAnsi"/>
                <w:bCs/>
                <w:iCs/>
                <w:sz w:val="20"/>
                <w:szCs w:val="20"/>
                <w:lang w:val="ro-RO" w:eastAsia="ru-RU"/>
              </w:rPr>
              <w:t xml:space="preserve"> pe anul 2020 </w:t>
            </w:r>
            <w:r w:rsidRPr="00A053FD">
              <w:rPr>
                <w:rFonts w:asciiTheme="majorHAnsi" w:eastAsia="Times New Roman" w:hAnsiTheme="majorHAnsi" w:cstheme="majorHAnsi"/>
                <w:bCs/>
                <w:iCs/>
                <w:sz w:val="20"/>
                <w:szCs w:val="20"/>
                <w:lang w:val="ro-RO" w:eastAsia="ru-RU"/>
              </w:rPr>
              <w:t xml:space="preserve"> (conform Anexei nr.3 la</w:t>
            </w:r>
            <w:r w:rsidRPr="00F55BA6">
              <w:rPr>
                <w:rFonts w:asciiTheme="majorHAnsi" w:hAnsiTheme="majorHAnsi" w:cstheme="majorHAnsi"/>
                <w:sz w:val="20"/>
                <w:szCs w:val="20"/>
                <w:lang w:val="ro-RO"/>
              </w:rPr>
              <w:t xml:space="preserve"> </w:t>
            </w:r>
            <w:r w:rsidRPr="00A053FD">
              <w:rPr>
                <w:rFonts w:asciiTheme="majorHAnsi" w:eastAsia="Times New Roman" w:hAnsiTheme="majorHAnsi" w:cstheme="majorHAnsi"/>
                <w:bCs/>
                <w:iCs/>
                <w:sz w:val="20"/>
                <w:szCs w:val="20"/>
                <w:lang w:val="ro-RO" w:eastAsia="ru-RU"/>
              </w:rPr>
              <w:t>Legea bugetului de stat)</w:t>
            </w:r>
            <w:r w:rsidR="0058558C" w:rsidRPr="00A053FD">
              <w:rPr>
                <w:rFonts w:asciiTheme="majorHAnsi" w:eastAsia="Times New Roman" w:hAnsiTheme="majorHAnsi" w:cstheme="majorHAnsi"/>
                <w:bCs/>
                <w:iCs/>
                <w:sz w:val="20"/>
                <w:szCs w:val="20"/>
                <w:lang w:val="ro-RO" w:eastAsia="ru-RU"/>
              </w:rPr>
              <w:t xml:space="preserve"> </w:t>
            </w:r>
          </w:p>
        </w:tc>
      </w:tr>
      <w:tr w:rsidR="006F758A" w:rsidRPr="00E4517B" w:rsidTr="006F758A">
        <w:tc>
          <w:tcPr>
            <w:tcW w:w="1985" w:type="dxa"/>
            <w:tcBorders>
              <w:right w:val="single" w:sz="12" w:space="0" w:color="auto"/>
            </w:tcBorders>
          </w:tcPr>
          <w:p w:rsidR="006F758A" w:rsidRPr="00973E5B" w:rsidRDefault="006F758A" w:rsidP="006F758A">
            <w:pPr>
              <w:jc w:val="center"/>
              <w:rPr>
                <w:rFonts w:asciiTheme="majorHAnsi" w:eastAsia="Times New Roman" w:hAnsiTheme="majorHAnsi" w:cstheme="majorHAnsi"/>
                <w:bCs/>
                <w:i/>
                <w:iCs/>
                <w:sz w:val="20"/>
                <w:szCs w:val="20"/>
                <w:lang w:val="ro-RO" w:eastAsia="ru-RU"/>
              </w:rPr>
            </w:pPr>
            <w:r w:rsidRPr="00E4517B">
              <w:rPr>
                <w:rFonts w:asciiTheme="majorHAnsi" w:eastAsia="Times New Roman" w:hAnsiTheme="majorHAnsi" w:cstheme="majorHAnsi"/>
                <w:bCs/>
                <w:i/>
                <w:iCs/>
                <w:sz w:val="20"/>
                <w:szCs w:val="20"/>
                <w:lang w:val="ro-RO" w:eastAsia="ru-RU"/>
              </w:rPr>
              <w:t>Formu</w:t>
            </w:r>
            <w:r w:rsidRPr="00973E5B">
              <w:rPr>
                <w:rFonts w:asciiTheme="majorHAnsi" w:eastAsia="Times New Roman" w:hAnsiTheme="majorHAnsi" w:cstheme="majorHAnsi"/>
                <w:bCs/>
                <w:i/>
                <w:iCs/>
                <w:sz w:val="20"/>
                <w:szCs w:val="20"/>
                <w:lang w:val="ro-RO" w:eastAsia="ru-RU"/>
              </w:rPr>
              <w:t>larul nr.3.3</w:t>
            </w:r>
          </w:p>
        </w:tc>
        <w:tc>
          <w:tcPr>
            <w:tcW w:w="9214" w:type="dxa"/>
            <w:tcBorders>
              <w:left w:val="single" w:sz="12" w:space="0" w:color="auto"/>
              <w:right w:val="single" w:sz="12" w:space="0" w:color="auto"/>
            </w:tcBorders>
          </w:tcPr>
          <w:p w:rsidR="006F758A" w:rsidRPr="00A053FD" w:rsidRDefault="006F758A" w:rsidP="00530DCD">
            <w:pPr>
              <w:rPr>
                <w:rFonts w:asciiTheme="majorHAnsi" w:eastAsia="Times New Roman" w:hAnsiTheme="majorHAnsi" w:cstheme="majorHAnsi"/>
                <w:bCs/>
                <w:iCs/>
                <w:sz w:val="20"/>
                <w:szCs w:val="20"/>
                <w:lang w:val="ro-RO" w:eastAsia="ru-RU"/>
              </w:rPr>
            </w:pPr>
            <w:r w:rsidRPr="00A053FD">
              <w:rPr>
                <w:rFonts w:asciiTheme="majorHAnsi" w:eastAsia="Times New Roman" w:hAnsiTheme="majorHAnsi" w:cstheme="majorHAnsi"/>
                <w:bCs/>
                <w:iCs/>
                <w:sz w:val="20"/>
                <w:szCs w:val="20"/>
                <w:lang w:val="ro-RO" w:eastAsia="ru-RU"/>
              </w:rPr>
              <w:t>Raport privind executarea bugetelor autorităților finanțate de la bugetul de stat la partea de venituri colectate</w:t>
            </w:r>
            <w:r w:rsidR="0058558C" w:rsidRPr="00A053FD">
              <w:rPr>
                <w:rFonts w:asciiTheme="majorHAnsi" w:eastAsia="Times New Roman" w:hAnsiTheme="majorHAnsi" w:cstheme="majorHAnsi"/>
                <w:bCs/>
                <w:iCs/>
                <w:sz w:val="20"/>
                <w:szCs w:val="20"/>
                <w:lang w:val="ro-RO" w:eastAsia="ru-RU"/>
              </w:rPr>
              <w:t xml:space="preserve"> pe anul 2020 </w:t>
            </w:r>
            <w:r w:rsidRPr="00A053FD">
              <w:rPr>
                <w:rFonts w:asciiTheme="majorHAnsi" w:eastAsia="Times New Roman" w:hAnsiTheme="majorHAnsi" w:cstheme="majorHAnsi"/>
                <w:bCs/>
                <w:iCs/>
                <w:sz w:val="20"/>
                <w:szCs w:val="20"/>
                <w:lang w:val="ro-RO" w:eastAsia="ru-RU"/>
              </w:rPr>
              <w:t xml:space="preserve"> (conform Anexei nr.3 la</w:t>
            </w:r>
            <w:r w:rsidRPr="00F55BA6">
              <w:rPr>
                <w:rFonts w:asciiTheme="majorHAnsi" w:hAnsiTheme="majorHAnsi" w:cstheme="majorHAnsi"/>
                <w:sz w:val="20"/>
                <w:szCs w:val="20"/>
                <w:lang w:val="ro-RO"/>
              </w:rPr>
              <w:t xml:space="preserve"> </w:t>
            </w:r>
            <w:r w:rsidRPr="00A053FD">
              <w:rPr>
                <w:rFonts w:asciiTheme="majorHAnsi" w:eastAsia="Times New Roman" w:hAnsiTheme="majorHAnsi" w:cstheme="majorHAnsi"/>
                <w:bCs/>
                <w:iCs/>
                <w:sz w:val="20"/>
                <w:szCs w:val="20"/>
                <w:lang w:val="ro-RO" w:eastAsia="ru-RU"/>
              </w:rPr>
              <w:t>Legea bugetului de stat)</w:t>
            </w:r>
            <w:r w:rsidR="0058558C" w:rsidRPr="00A053FD">
              <w:rPr>
                <w:rFonts w:asciiTheme="majorHAnsi" w:eastAsia="Times New Roman" w:hAnsiTheme="majorHAnsi" w:cstheme="majorHAnsi"/>
                <w:bCs/>
                <w:iCs/>
                <w:sz w:val="20"/>
                <w:szCs w:val="20"/>
                <w:lang w:val="ro-RO" w:eastAsia="ru-RU"/>
              </w:rPr>
              <w:t xml:space="preserve"> </w:t>
            </w:r>
          </w:p>
        </w:tc>
      </w:tr>
      <w:tr w:rsidR="006F758A" w:rsidRPr="00E4517B" w:rsidTr="006F758A">
        <w:tc>
          <w:tcPr>
            <w:tcW w:w="1985" w:type="dxa"/>
            <w:tcBorders>
              <w:right w:val="single" w:sz="12" w:space="0" w:color="auto"/>
            </w:tcBorders>
          </w:tcPr>
          <w:p w:rsidR="006F758A" w:rsidRPr="00E4517B" w:rsidRDefault="006F758A" w:rsidP="006F758A">
            <w:pPr>
              <w:jc w:val="center"/>
              <w:rPr>
                <w:rFonts w:asciiTheme="majorHAnsi" w:eastAsia="Times New Roman" w:hAnsiTheme="majorHAnsi" w:cstheme="majorHAnsi"/>
                <w:bCs/>
                <w:i/>
                <w:iCs/>
                <w:sz w:val="20"/>
                <w:szCs w:val="20"/>
                <w:lang w:val="ro-RO" w:eastAsia="ru-RU"/>
              </w:rPr>
            </w:pPr>
            <w:r w:rsidRPr="00E4517B">
              <w:rPr>
                <w:rFonts w:asciiTheme="majorHAnsi" w:eastAsia="Times New Roman" w:hAnsiTheme="majorHAnsi" w:cstheme="majorHAnsi"/>
                <w:bCs/>
                <w:i/>
                <w:iCs/>
                <w:sz w:val="20"/>
                <w:szCs w:val="20"/>
                <w:lang w:val="ro-RO" w:eastAsia="ru-RU"/>
              </w:rPr>
              <w:t>Formularul nr.3.4</w:t>
            </w:r>
          </w:p>
        </w:tc>
        <w:tc>
          <w:tcPr>
            <w:tcW w:w="9214" w:type="dxa"/>
            <w:tcBorders>
              <w:left w:val="single" w:sz="12" w:space="0" w:color="auto"/>
              <w:right w:val="single" w:sz="12" w:space="0" w:color="auto"/>
            </w:tcBorders>
          </w:tcPr>
          <w:p w:rsidR="006F758A" w:rsidRPr="00A053FD" w:rsidRDefault="006F758A" w:rsidP="00530DCD">
            <w:pPr>
              <w:rPr>
                <w:rFonts w:asciiTheme="majorHAnsi" w:eastAsia="Times New Roman" w:hAnsiTheme="majorHAnsi" w:cstheme="majorHAnsi"/>
                <w:bCs/>
                <w:iCs/>
                <w:sz w:val="20"/>
                <w:szCs w:val="20"/>
                <w:lang w:val="ro-RO" w:eastAsia="ru-RU"/>
              </w:rPr>
            </w:pPr>
            <w:r w:rsidRPr="00A053FD">
              <w:rPr>
                <w:rFonts w:asciiTheme="majorHAnsi" w:eastAsia="Times New Roman" w:hAnsiTheme="majorHAnsi" w:cstheme="majorHAnsi"/>
                <w:bCs/>
                <w:iCs/>
                <w:sz w:val="20"/>
                <w:szCs w:val="20"/>
                <w:lang w:val="ro-RO" w:eastAsia="ru-RU"/>
              </w:rPr>
              <w:t xml:space="preserve">Raport privind executarea bugetelor autorităților finanțate de la bugetul de stat la partea de resurse ale proiectelor finanțate din surse externe </w:t>
            </w:r>
            <w:r w:rsidR="0058558C" w:rsidRPr="00A053FD">
              <w:rPr>
                <w:rFonts w:asciiTheme="majorHAnsi" w:eastAsia="Times New Roman" w:hAnsiTheme="majorHAnsi" w:cstheme="majorHAnsi"/>
                <w:bCs/>
                <w:iCs/>
                <w:sz w:val="20"/>
                <w:szCs w:val="20"/>
                <w:lang w:val="ro-RO" w:eastAsia="ru-RU"/>
              </w:rPr>
              <w:t xml:space="preserve">pe anul 2020 </w:t>
            </w:r>
            <w:r w:rsidRPr="00A053FD">
              <w:rPr>
                <w:rFonts w:asciiTheme="majorHAnsi" w:eastAsia="Times New Roman" w:hAnsiTheme="majorHAnsi" w:cstheme="majorHAnsi"/>
                <w:bCs/>
                <w:iCs/>
                <w:sz w:val="20"/>
                <w:szCs w:val="20"/>
                <w:lang w:val="ro-RO" w:eastAsia="ru-RU"/>
              </w:rPr>
              <w:t>(conform Anexei nr.3</w:t>
            </w:r>
            <w:r w:rsidRPr="00F55BA6">
              <w:rPr>
                <w:rFonts w:asciiTheme="majorHAnsi" w:hAnsiTheme="majorHAnsi" w:cstheme="majorHAnsi"/>
                <w:sz w:val="20"/>
                <w:szCs w:val="20"/>
                <w:lang w:val="ro-RO"/>
              </w:rPr>
              <w:t xml:space="preserve"> la </w:t>
            </w:r>
            <w:r w:rsidRPr="00A053FD">
              <w:rPr>
                <w:rFonts w:asciiTheme="majorHAnsi" w:eastAsia="Times New Roman" w:hAnsiTheme="majorHAnsi" w:cstheme="majorHAnsi"/>
                <w:bCs/>
                <w:iCs/>
                <w:sz w:val="20"/>
                <w:szCs w:val="20"/>
                <w:lang w:val="ro-RO" w:eastAsia="ru-RU"/>
              </w:rPr>
              <w:t>Legea bugetului de stat)</w:t>
            </w:r>
          </w:p>
        </w:tc>
      </w:tr>
      <w:tr w:rsidR="006F758A" w:rsidRPr="00E4517B" w:rsidTr="006F758A">
        <w:tc>
          <w:tcPr>
            <w:tcW w:w="1985" w:type="dxa"/>
            <w:tcBorders>
              <w:right w:val="single" w:sz="12" w:space="0" w:color="auto"/>
            </w:tcBorders>
          </w:tcPr>
          <w:p w:rsidR="006F758A" w:rsidRPr="00E4517B" w:rsidRDefault="006F758A" w:rsidP="006F758A">
            <w:pPr>
              <w:jc w:val="center"/>
              <w:rPr>
                <w:rFonts w:asciiTheme="majorHAnsi" w:eastAsia="Times New Roman" w:hAnsiTheme="majorHAnsi" w:cstheme="majorHAnsi"/>
                <w:bCs/>
                <w:i/>
                <w:iCs/>
                <w:sz w:val="20"/>
                <w:szCs w:val="20"/>
                <w:lang w:val="ro-RO" w:eastAsia="ru-RU"/>
              </w:rPr>
            </w:pPr>
            <w:r w:rsidRPr="00E4517B">
              <w:rPr>
                <w:rFonts w:asciiTheme="majorHAnsi" w:eastAsia="Times New Roman" w:hAnsiTheme="majorHAnsi" w:cstheme="majorHAnsi"/>
                <w:bCs/>
                <w:i/>
                <w:iCs/>
                <w:sz w:val="20"/>
                <w:szCs w:val="20"/>
                <w:lang w:val="ro-RO" w:eastAsia="ru-RU"/>
              </w:rPr>
              <w:t>Formularul nr.4*</w:t>
            </w:r>
          </w:p>
        </w:tc>
        <w:tc>
          <w:tcPr>
            <w:tcW w:w="9214" w:type="dxa"/>
            <w:tcBorders>
              <w:left w:val="single" w:sz="12" w:space="0" w:color="auto"/>
              <w:right w:val="single" w:sz="12" w:space="0" w:color="auto"/>
            </w:tcBorders>
          </w:tcPr>
          <w:p w:rsidR="006F758A" w:rsidRPr="00A053FD" w:rsidRDefault="006F758A" w:rsidP="00530DCD">
            <w:pPr>
              <w:rPr>
                <w:rFonts w:asciiTheme="majorHAnsi" w:eastAsia="Times New Roman" w:hAnsiTheme="majorHAnsi" w:cstheme="majorHAnsi"/>
                <w:bCs/>
                <w:iCs/>
                <w:sz w:val="20"/>
                <w:szCs w:val="20"/>
                <w:lang w:val="ro-RO" w:eastAsia="ru-RU"/>
              </w:rPr>
            </w:pPr>
            <w:r w:rsidRPr="00A053FD">
              <w:rPr>
                <w:rFonts w:asciiTheme="majorHAnsi" w:eastAsia="Times New Roman" w:hAnsiTheme="majorHAnsi" w:cstheme="majorHAnsi"/>
                <w:bCs/>
                <w:iCs/>
                <w:sz w:val="20"/>
                <w:szCs w:val="20"/>
                <w:lang w:val="ro-RO" w:eastAsia="ru-RU"/>
              </w:rPr>
              <w:t xml:space="preserve">Raport privind executarea cheltuielilor bugetului de stat conform clasificației funcționale </w:t>
            </w:r>
            <w:r w:rsidR="001D5AA7" w:rsidRPr="00A053FD">
              <w:rPr>
                <w:rFonts w:asciiTheme="majorHAnsi" w:eastAsia="Times New Roman" w:hAnsiTheme="majorHAnsi" w:cstheme="majorHAnsi"/>
                <w:bCs/>
                <w:iCs/>
                <w:sz w:val="20"/>
                <w:szCs w:val="20"/>
                <w:lang w:val="ro-RO" w:eastAsia="ru-RU"/>
              </w:rPr>
              <w:t xml:space="preserve">pe anul 2020 </w:t>
            </w:r>
            <w:r w:rsidRPr="00A053FD">
              <w:rPr>
                <w:rFonts w:asciiTheme="majorHAnsi" w:eastAsia="Times New Roman" w:hAnsiTheme="majorHAnsi" w:cstheme="majorHAnsi"/>
                <w:bCs/>
                <w:iCs/>
                <w:sz w:val="20"/>
                <w:szCs w:val="20"/>
                <w:lang w:val="ro-RO" w:eastAsia="ru-RU"/>
              </w:rPr>
              <w:t>( conform Anexei nr.4</w:t>
            </w:r>
            <w:r w:rsidRPr="00F55BA6">
              <w:rPr>
                <w:rFonts w:asciiTheme="majorHAnsi" w:hAnsiTheme="majorHAnsi" w:cstheme="majorHAnsi"/>
                <w:sz w:val="20"/>
                <w:szCs w:val="20"/>
                <w:lang w:val="ro-RO"/>
              </w:rPr>
              <w:t xml:space="preserve"> la </w:t>
            </w:r>
            <w:r w:rsidRPr="00A053FD">
              <w:rPr>
                <w:rFonts w:asciiTheme="majorHAnsi" w:eastAsia="Times New Roman" w:hAnsiTheme="majorHAnsi" w:cstheme="majorHAnsi"/>
                <w:bCs/>
                <w:iCs/>
                <w:sz w:val="20"/>
                <w:szCs w:val="20"/>
                <w:lang w:val="ro-RO" w:eastAsia="ru-RU"/>
              </w:rPr>
              <w:t>Legea bugetului de stat)</w:t>
            </w:r>
          </w:p>
        </w:tc>
      </w:tr>
      <w:tr w:rsidR="006F758A" w:rsidRPr="00E4517B" w:rsidTr="006F758A">
        <w:tc>
          <w:tcPr>
            <w:tcW w:w="1985" w:type="dxa"/>
            <w:tcBorders>
              <w:right w:val="single" w:sz="12" w:space="0" w:color="auto"/>
            </w:tcBorders>
          </w:tcPr>
          <w:p w:rsidR="006F758A" w:rsidRPr="00E4517B" w:rsidRDefault="006F758A" w:rsidP="006F758A">
            <w:pPr>
              <w:jc w:val="center"/>
              <w:rPr>
                <w:rFonts w:asciiTheme="majorHAnsi" w:eastAsia="Times New Roman" w:hAnsiTheme="majorHAnsi" w:cstheme="majorHAnsi"/>
                <w:bCs/>
                <w:i/>
                <w:iCs/>
                <w:sz w:val="20"/>
                <w:szCs w:val="20"/>
                <w:lang w:val="ro-RO" w:eastAsia="ru-RU"/>
              </w:rPr>
            </w:pPr>
            <w:r w:rsidRPr="00E4517B">
              <w:rPr>
                <w:rFonts w:asciiTheme="majorHAnsi" w:eastAsia="Times New Roman" w:hAnsiTheme="majorHAnsi" w:cstheme="majorHAnsi"/>
                <w:bCs/>
                <w:i/>
                <w:iCs/>
                <w:sz w:val="20"/>
                <w:szCs w:val="20"/>
                <w:lang w:val="ro-RO" w:eastAsia="ru-RU"/>
              </w:rPr>
              <w:t>Formularul nr.5*</w:t>
            </w:r>
          </w:p>
        </w:tc>
        <w:tc>
          <w:tcPr>
            <w:tcW w:w="9214" w:type="dxa"/>
            <w:tcBorders>
              <w:left w:val="single" w:sz="12" w:space="0" w:color="auto"/>
              <w:right w:val="single" w:sz="12" w:space="0" w:color="auto"/>
            </w:tcBorders>
          </w:tcPr>
          <w:p w:rsidR="006F758A" w:rsidRPr="00A053FD" w:rsidRDefault="006F758A" w:rsidP="00530DCD">
            <w:pPr>
              <w:rPr>
                <w:rFonts w:asciiTheme="majorHAnsi" w:eastAsia="Times New Roman" w:hAnsiTheme="majorHAnsi" w:cstheme="majorHAnsi"/>
                <w:bCs/>
                <w:iCs/>
                <w:sz w:val="20"/>
                <w:szCs w:val="20"/>
                <w:lang w:val="ro-RO" w:eastAsia="ru-RU"/>
              </w:rPr>
            </w:pPr>
            <w:r w:rsidRPr="00A053FD">
              <w:rPr>
                <w:rFonts w:asciiTheme="majorHAnsi" w:eastAsia="Times New Roman" w:hAnsiTheme="majorHAnsi" w:cstheme="majorHAnsi"/>
                <w:bCs/>
                <w:iCs/>
                <w:sz w:val="20"/>
                <w:szCs w:val="20"/>
                <w:lang w:val="ro-RO" w:eastAsia="ru-RU"/>
              </w:rPr>
              <w:t>Raport privind executarea cheltuielilor de personal pe autorități publice centrale</w:t>
            </w:r>
            <w:r w:rsidR="001D5AA7" w:rsidRPr="00A053FD">
              <w:rPr>
                <w:rFonts w:asciiTheme="majorHAnsi" w:eastAsia="Times New Roman" w:hAnsiTheme="majorHAnsi" w:cstheme="majorHAnsi"/>
                <w:bCs/>
                <w:iCs/>
                <w:sz w:val="20"/>
                <w:szCs w:val="20"/>
                <w:lang w:val="ro-RO" w:eastAsia="ru-RU"/>
              </w:rPr>
              <w:t xml:space="preserve"> pe anul 2020 </w:t>
            </w:r>
            <w:r w:rsidRPr="00A053FD">
              <w:rPr>
                <w:rFonts w:asciiTheme="majorHAnsi" w:eastAsia="Times New Roman" w:hAnsiTheme="majorHAnsi" w:cstheme="majorHAnsi"/>
                <w:bCs/>
                <w:iCs/>
                <w:sz w:val="20"/>
                <w:szCs w:val="20"/>
                <w:lang w:val="ro-RO" w:eastAsia="ru-RU"/>
              </w:rPr>
              <w:t xml:space="preserve"> (conform Anexei nr.5</w:t>
            </w:r>
            <w:r w:rsidRPr="00F55BA6">
              <w:rPr>
                <w:rFonts w:asciiTheme="majorHAnsi" w:hAnsiTheme="majorHAnsi" w:cstheme="majorHAnsi"/>
                <w:sz w:val="20"/>
                <w:szCs w:val="20"/>
                <w:lang w:val="ro-RO"/>
              </w:rPr>
              <w:t xml:space="preserve"> la </w:t>
            </w:r>
            <w:r w:rsidRPr="00A053FD">
              <w:rPr>
                <w:rFonts w:asciiTheme="majorHAnsi" w:eastAsia="Times New Roman" w:hAnsiTheme="majorHAnsi" w:cstheme="majorHAnsi"/>
                <w:bCs/>
                <w:iCs/>
                <w:sz w:val="20"/>
                <w:szCs w:val="20"/>
                <w:lang w:val="ro-RO" w:eastAsia="ru-RU"/>
              </w:rPr>
              <w:t>Legea bugetului de stat)</w:t>
            </w:r>
          </w:p>
        </w:tc>
      </w:tr>
      <w:tr w:rsidR="006F758A" w:rsidRPr="00E4517B" w:rsidTr="00530DCD">
        <w:trPr>
          <w:trHeight w:val="488"/>
        </w:trPr>
        <w:tc>
          <w:tcPr>
            <w:tcW w:w="1985" w:type="dxa"/>
            <w:tcBorders>
              <w:right w:val="single" w:sz="12" w:space="0" w:color="auto"/>
            </w:tcBorders>
          </w:tcPr>
          <w:p w:rsidR="006F758A" w:rsidRPr="00973E5B" w:rsidRDefault="006F758A" w:rsidP="006F758A">
            <w:pPr>
              <w:jc w:val="center"/>
              <w:rPr>
                <w:rFonts w:asciiTheme="majorHAnsi" w:eastAsia="Times New Roman" w:hAnsiTheme="majorHAnsi" w:cstheme="majorHAnsi"/>
                <w:bCs/>
                <w:i/>
                <w:iCs/>
                <w:sz w:val="20"/>
                <w:szCs w:val="20"/>
                <w:lang w:val="ro-RO" w:eastAsia="ru-RU"/>
              </w:rPr>
            </w:pPr>
            <w:r w:rsidRPr="00E4517B">
              <w:rPr>
                <w:rFonts w:asciiTheme="majorHAnsi" w:eastAsia="Times New Roman" w:hAnsiTheme="majorHAnsi" w:cstheme="majorHAnsi"/>
                <w:bCs/>
                <w:i/>
                <w:iCs/>
                <w:sz w:val="20"/>
                <w:szCs w:val="20"/>
                <w:lang w:val="ro-RO" w:eastAsia="ru-RU"/>
              </w:rPr>
              <w:t xml:space="preserve">Formularul </w:t>
            </w:r>
            <w:r w:rsidRPr="00973E5B">
              <w:rPr>
                <w:rFonts w:asciiTheme="majorHAnsi" w:eastAsia="Times New Roman" w:hAnsiTheme="majorHAnsi" w:cstheme="majorHAnsi"/>
                <w:bCs/>
                <w:i/>
                <w:iCs/>
                <w:sz w:val="20"/>
                <w:szCs w:val="20"/>
                <w:lang w:val="ro-RO" w:eastAsia="ru-RU"/>
              </w:rPr>
              <w:t>nr.6*</w:t>
            </w:r>
          </w:p>
        </w:tc>
        <w:tc>
          <w:tcPr>
            <w:tcW w:w="9214" w:type="dxa"/>
            <w:tcBorders>
              <w:left w:val="single" w:sz="12" w:space="0" w:color="auto"/>
              <w:right w:val="single" w:sz="12" w:space="0" w:color="auto"/>
            </w:tcBorders>
          </w:tcPr>
          <w:p w:rsidR="006F758A" w:rsidRPr="00A053FD" w:rsidRDefault="006F758A" w:rsidP="00530DCD">
            <w:pPr>
              <w:rPr>
                <w:rFonts w:asciiTheme="majorHAnsi" w:eastAsia="Times New Roman" w:hAnsiTheme="majorHAnsi" w:cstheme="majorHAnsi"/>
                <w:bCs/>
                <w:iCs/>
                <w:sz w:val="20"/>
                <w:szCs w:val="20"/>
                <w:lang w:val="ro-RO" w:eastAsia="ru-RU"/>
              </w:rPr>
            </w:pPr>
            <w:r w:rsidRPr="00A053FD">
              <w:rPr>
                <w:rFonts w:asciiTheme="majorHAnsi" w:eastAsia="Times New Roman" w:hAnsiTheme="majorHAnsi" w:cstheme="majorHAnsi"/>
                <w:bCs/>
                <w:iCs/>
                <w:sz w:val="20"/>
                <w:szCs w:val="20"/>
                <w:lang w:val="ro-RO" w:eastAsia="ru-RU"/>
              </w:rPr>
              <w:t xml:space="preserve">Raport privind executarea investițiilor capitale pe autorități publice centrale la total </w:t>
            </w:r>
            <w:r w:rsidR="001D5AA7" w:rsidRPr="00A053FD">
              <w:rPr>
                <w:rFonts w:asciiTheme="majorHAnsi" w:eastAsia="Times New Roman" w:hAnsiTheme="majorHAnsi" w:cstheme="majorHAnsi"/>
                <w:bCs/>
                <w:iCs/>
                <w:sz w:val="20"/>
                <w:szCs w:val="20"/>
                <w:lang w:val="ro-RO" w:eastAsia="ru-RU"/>
              </w:rPr>
              <w:t xml:space="preserve">pe anul 2020 </w:t>
            </w:r>
            <w:r w:rsidRPr="00A053FD">
              <w:rPr>
                <w:rFonts w:asciiTheme="majorHAnsi" w:eastAsia="Times New Roman" w:hAnsiTheme="majorHAnsi" w:cstheme="majorHAnsi"/>
                <w:bCs/>
                <w:iCs/>
                <w:sz w:val="20"/>
                <w:szCs w:val="20"/>
                <w:lang w:val="ro-RO" w:eastAsia="ru-RU"/>
              </w:rPr>
              <w:t>(conform Anexei nr.6</w:t>
            </w:r>
            <w:r w:rsidRPr="00F55BA6">
              <w:rPr>
                <w:rFonts w:asciiTheme="majorHAnsi" w:hAnsiTheme="majorHAnsi" w:cstheme="majorHAnsi"/>
                <w:sz w:val="20"/>
                <w:szCs w:val="20"/>
                <w:lang w:val="ro-RO"/>
              </w:rPr>
              <w:t xml:space="preserve"> la </w:t>
            </w:r>
            <w:r w:rsidRPr="00A053FD">
              <w:rPr>
                <w:rFonts w:asciiTheme="majorHAnsi" w:eastAsia="Times New Roman" w:hAnsiTheme="majorHAnsi" w:cstheme="majorHAnsi"/>
                <w:bCs/>
                <w:iCs/>
                <w:sz w:val="20"/>
                <w:szCs w:val="20"/>
                <w:lang w:val="ro-RO" w:eastAsia="ru-RU"/>
              </w:rPr>
              <w:t>Legea bugetului de stat)</w:t>
            </w:r>
          </w:p>
        </w:tc>
      </w:tr>
      <w:tr w:rsidR="006F758A" w:rsidRPr="00E4517B" w:rsidTr="006F758A">
        <w:tc>
          <w:tcPr>
            <w:tcW w:w="1985" w:type="dxa"/>
            <w:tcBorders>
              <w:right w:val="single" w:sz="12" w:space="0" w:color="auto"/>
            </w:tcBorders>
          </w:tcPr>
          <w:p w:rsidR="006F758A" w:rsidRPr="00E4517B" w:rsidRDefault="006F758A" w:rsidP="006F758A">
            <w:pPr>
              <w:jc w:val="center"/>
              <w:rPr>
                <w:rFonts w:asciiTheme="majorHAnsi" w:eastAsia="Times New Roman" w:hAnsiTheme="majorHAnsi" w:cstheme="majorHAnsi"/>
                <w:bCs/>
                <w:i/>
                <w:iCs/>
                <w:sz w:val="20"/>
                <w:szCs w:val="20"/>
                <w:lang w:val="ro-RO" w:eastAsia="ru-RU"/>
              </w:rPr>
            </w:pPr>
            <w:r w:rsidRPr="00E4517B">
              <w:rPr>
                <w:rFonts w:asciiTheme="majorHAnsi" w:eastAsia="Times New Roman" w:hAnsiTheme="majorHAnsi" w:cstheme="majorHAnsi"/>
                <w:bCs/>
                <w:i/>
                <w:iCs/>
                <w:sz w:val="20"/>
                <w:szCs w:val="20"/>
                <w:lang w:val="ro-RO" w:eastAsia="ru-RU"/>
              </w:rPr>
              <w:t>Formularul nr.6.1</w:t>
            </w:r>
          </w:p>
        </w:tc>
        <w:tc>
          <w:tcPr>
            <w:tcW w:w="9214" w:type="dxa"/>
            <w:tcBorders>
              <w:left w:val="single" w:sz="12" w:space="0" w:color="auto"/>
              <w:right w:val="single" w:sz="12" w:space="0" w:color="auto"/>
            </w:tcBorders>
          </w:tcPr>
          <w:p w:rsidR="006F758A" w:rsidRPr="00A053FD" w:rsidRDefault="006F758A" w:rsidP="00530DCD">
            <w:pPr>
              <w:rPr>
                <w:rFonts w:asciiTheme="majorHAnsi" w:eastAsia="Times New Roman" w:hAnsiTheme="majorHAnsi" w:cstheme="majorHAnsi"/>
                <w:bCs/>
                <w:iCs/>
                <w:sz w:val="20"/>
                <w:szCs w:val="20"/>
                <w:lang w:val="ro-RO" w:eastAsia="ru-RU"/>
              </w:rPr>
            </w:pPr>
            <w:r w:rsidRPr="00A053FD">
              <w:rPr>
                <w:rFonts w:asciiTheme="majorHAnsi" w:eastAsia="Times New Roman" w:hAnsiTheme="majorHAnsi" w:cstheme="majorHAnsi"/>
                <w:bCs/>
                <w:iCs/>
                <w:sz w:val="20"/>
                <w:szCs w:val="20"/>
                <w:lang w:val="ro-RO" w:eastAsia="ru-RU"/>
              </w:rPr>
              <w:t xml:space="preserve">Raport privind executarea investițiilor capitale pe autorități publice centrale din contul resurselor generale și veniturilor colectate </w:t>
            </w:r>
            <w:r w:rsidR="009F556F" w:rsidRPr="00A053FD">
              <w:rPr>
                <w:rFonts w:asciiTheme="majorHAnsi" w:eastAsia="Times New Roman" w:hAnsiTheme="majorHAnsi" w:cstheme="majorHAnsi"/>
                <w:bCs/>
                <w:iCs/>
                <w:sz w:val="20"/>
                <w:szCs w:val="20"/>
                <w:lang w:val="ro-RO" w:eastAsia="ru-RU"/>
              </w:rPr>
              <w:t xml:space="preserve">pe anul 2020 </w:t>
            </w:r>
            <w:r w:rsidRPr="00A053FD">
              <w:rPr>
                <w:rFonts w:asciiTheme="majorHAnsi" w:eastAsia="Times New Roman" w:hAnsiTheme="majorHAnsi" w:cstheme="majorHAnsi"/>
                <w:bCs/>
                <w:iCs/>
                <w:sz w:val="20"/>
                <w:szCs w:val="20"/>
                <w:lang w:val="ro-RO" w:eastAsia="ru-RU"/>
              </w:rPr>
              <w:t>(conform Anexei nr.6</w:t>
            </w:r>
            <w:r w:rsidRPr="00F55BA6">
              <w:rPr>
                <w:rFonts w:asciiTheme="majorHAnsi" w:hAnsiTheme="majorHAnsi" w:cstheme="majorHAnsi"/>
                <w:sz w:val="20"/>
                <w:szCs w:val="20"/>
                <w:lang w:val="ro-RO"/>
              </w:rPr>
              <w:t xml:space="preserve"> la </w:t>
            </w:r>
            <w:r w:rsidRPr="00A053FD">
              <w:rPr>
                <w:rFonts w:asciiTheme="majorHAnsi" w:eastAsia="Times New Roman" w:hAnsiTheme="majorHAnsi" w:cstheme="majorHAnsi"/>
                <w:bCs/>
                <w:iCs/>
                <w:sz w:val="20"/>
                <w:szCs w:val="20"/>
                <w:lang w:val="ro-RO" w:eastAsia="ru-RU"/>
              </w:rPr>
              <w:t>Legea bugetului de stat)</w:t>
            </w:r>
          </w:p>
        </w:tc>
      </w:tr>
      <w:tr w:rsidR="006F758A" w:rsidRPr="00E4517B" w:rsidTr="006F758A">
        <w:tc>
          <w:tcPr>
            <w:tcW w:w="1985" w:type="dxa"/>
            <w:tcBorders>
              <w:right w:val="single" w:sz="12" w:space="0" w:color="auto"/>
            </w:tcBorders>
          </w:tcPr>
          <w:p w:rsidR="006F758A" w:rsidRPr="00E4517B" w:rsidRDefault="006F758A" w:rsidP="006F758A">
            <w:pPr>
              <w:jc w:val="center"/>
              <w:rPr>
                <w:rFonts w:asciiTheme="majorHAnsi" w:eastAsia="Times New Roman" w:hAnsiTheme="majorHAnsi" w:cstheme="majorHAnsi"/>
                <w:bCs/>
                <w:i/>
                <w:iCs/>
                <w:sz w:val="20"/>
                <w:szCs w:val="20"/>
                <w:lang w:val="ro-RO" w:eastAsia="ru-RU"/>
              </w:rPr>
            </w:pPr>
            <w:r w:rsidRPr="00E4517B">
              <w:rPr>
                <w:rFonts w:asciiTheme="majorHAnsi" w:eastAsia="Times New Roman" w:hAnsiTheme="majorHAnsi" w:cstheme="majorHAnsi"/>
                <w:bCs/>
                <w:i/>
                <w:iCs/>
                <w:sz w:val="20"/>
                <w:szCs w:val="20"/>
                <w:lang w:val="ro-RO" w:eastAsia="ru-RU"/>
              </w:rPr>
              <w:t>Formularul nr.6.2</w:t>
            </w:r>
          </w:p>
        </w:tc>
        <w:tc>
          <w:tcPr>
            <w:tcW w:w="9214" w:type="dxa"/>
            <w:tcBorders>
              <w:left w:val="single" w:sz="12" w:space="0" w:color="auto"/>
              <w:right w:val="single" w:sz="12" w:space="0" w:color="auto"/>
            </w:tcBorders>
          </w:tcPr>
          <w:p w:rsidR="006F758A" w:rsidRPr="00A053FD" w:rsidRDefault="006F758A" w:rsidP="00530DCD">
            <w:pPr>
              <w:rPr>
                <w:rFonts w:asciiTheme="majorHAnsi" w:eastAsia="Times New Roman" w:hAnsiTheme="majorHAnsi" w:cstheme="majorHAnsi"/>
                <w:bCs/>
                <w:iCs/>
                <w:sz w:val="20"/>
                <w:szCs w:val="20"/>
                <w:lang w:val="ro-RO" w:eastAsia="ru-RU"/>
              </w:rPr>
            </w:pPr>
            <w:r w:rsidRPr="00A053FD">
              <w:rPr>
                <w:rFonts w:asciiTheme="majorHAnsi" w:eastAsia="Times New Roman" w:hAnsiTheme="majorHAnsi" w:cstheme="majorHAnsi"/>
                <w:bCs/>
                <w:iCs/>
                <w:sz w:val="20"/>
                <w:szCs w:val="20"/>
                <w:lang w:val="ro-RO" w:eastAsia="ru-RU"/>
              </w:rPr>
              <w:t xml:space="preserve">Raport privind executarea investițiilor capitale pe autorități publice centrale din contul proiectelor finanțate din surse externe </w:t>
            </w:r>
            <w:r w:rsidR="009F556F" w:rsidRPr="00A053FD">
              <w:rPr>
                <w:rFonts w:asciiTheme="majorHAnsi" w:eastAsia="Times New Roman" w:hAnsiTheme="majorHAnsi" w:cstheme="majorHAnsi"/>
                <w:bCs/>
                <w:iCs/>
                <w:sz w:val="20"/>
                <w:szCs w:val="20"/>
                <w:lang w:val="ro-RO" w:eastAsia="ru-RU"/>
              </w:rPr>
              <w:t xml:space="preserve">pe anul 2020 </w:t>
            </w:r>
            <w:r w:rsidRPr="00A053FD">
              <w:rPr>
                <w:rFonts w:asciiTheme="majorHAnsi" w:eastAsia="Times New Roman" w:hAnsiTheme="majorHAnsi" w:cstheme="majorHAnsi"/>
                <w:bCs/>
                <w:iCs/>
                <w:sz w:val="20"/>
                <w:szCs w:val="20"/>
                <w:lang w:val="ro-RO" w:eastAsia="ru-RU"/>
              </w:rPr>
              <w:t>(conform Anexei nr.6</w:t>
            </w:r>
            <w:r w:rsidRPr="00F55BA6">
              <w:rPr>
                <w:rFonts w:asciiTheme="majorHAnsi" w:hAnsiTheme="majorHAnsi" w:cstheme="majorHAnsi"/>
                <w:sz w:val="20"/>
                <w:szCs w:val="20"/>
                <w:lang w:val="ro-RO"/>
              </w:rPr>
              <w:t xml:space="preserve"> la </w:t>
            </w:r>
            <w:r w:rsidRPr="00A053FD">
              <w:rPr>
                <w:rFonts w:asciiTheme="majorHAnsi" w:eastAsia="Times New Roman" w:hAnsiTheme="majorHAnsi" w:cstheme="majorHAnsi"/>
                <w:bCs/>
                <w:iCs/>
                <w:sz w:val="20"/>
                <w:szCs w:val="20"/>
                <w:lang w:val="ro-RO" w:eastAsia="ru-RU"/>
              </w:rPr>
              <w:t>Legea bugetului de stat)</w:t>
            </w:r>
          </w:p>
        </w:tc>
      </w:tr>
      <w:tr w:rsidR="006F758A" w:rsidRPr="00E4517B" w:rsidTr="006F758A">
        <w:tc>
          <w:tcPr>
            <w:tcW w:w="1985" w:type="dxa"/>
            <w:tcBorders>
              <w:right w:val="single" w:sz="12" w:space="0" w:color="auto"/>
            </w:tcBorders>
          </w:tcPr>
          <w:p w:rsidR="006F758A" w:rsidRPr="00E4517B" w:rsidRDefault="006F758A" w:rsidP="006F758A">
            <w:pPr>
              <w:jc w:val="center"/>
              <w:rPr>
                <w:rFonts w:asciiTheme="majorHAnsi" w:eastAsia="Times New Roman" w:hAnsiTheme="majorHAnsi" w:cstheme="majorHAnsi"/>
                <w:bCs/>
                <w:i/>
                <w:iCs/>
                <w:sz w:val="20"/>
                <w:szCs w:val="20"/>
                <w:lang w:val="ro-RO" w:eastAsia="ru-RU"/>
              </w:rPr>
            </w:pPr>
            <w:r w:rsidRPr="00E4517B">
              <w:rPr>
                <w:rFonts w:asciiTheme="majorHAnsi" w:eastAsia="Times New Roman" w:hAnsiTheme="majorHAnsi" w:cstheme="majorHAnsi"/>
                <w:bCs/>
                <w:i/>
                <w:iCs/>
                <w:sz w:val="20"/>
                <w:szCs w:val="20"/>
                <w:lang w:val="ro-RO" w:eastAsia="ru-RU"/>
              </w:rPr>
              <w:t>Formularul nr.7*</w:t>
            </w:r>
          </w:p>
        </w:tc>
        <w:tc>
          <w:tcPr>
            <w:tcW w:w="9214" w:type="dxa"/>
            <w:tcBorders>
              <w:left w:val="single" w:sz="12" w:space="0" w:color="auto"/>
              <w:right w:val="single" w:sz="12" w:space="0" w:color="auto"/>
            </w:tcBorders>
          </w:tcPr>
          <w:p w:rsidR="006F758A" w:rsidRPr="00A053FD" w:rsidRDefault="006F758A" w:rsidP="00530DCD">
            <w:pPr>
              <w:rPr>
                <w:rFonts w:asciiTheme="majorHAnsi" w:eastAsia="Times New Roman" w:hAnsiTheme="majorHAnsi" w:cstheme="majorHAnsi"/>
                <w:bCs/>
                <w:iCs/>
                <w:sz w:val="20"/>
                <w:szCs w:val="20"/>
                <w:lang w:val="ro-RO" w:eastAsia="ru-RU"/>
              </w:rPr>
            </w:pPr>
            <w:r w:rsidRPr="00A053FD">
              <w:rPr>
                <w:rFonts w:asciiTheme="majorHAnsi" w:eastAsia="Times New Roman" w:hAnsiTheme="majorHAnsi" w:cstheme="majorHAnsi"/>
                <w:bCs/>
                <w:iCs/>
                <w:sz w:val="20"/>
                <w:szCs w:val="20"/>
                <w:lang w:val="ro-RO" w:eastAsia="ru-RU"/>
              </w:rPr>
              <w:t xml:space="preserve">Raport privind transferurile de la bugetul de stat către bugetele locale </w:t>
            </w:r>
            <w:r w:rsidR="00CE1158" w:rsidRPr="00A053FD">
              <w:rPr>
                <w:rFonts w:asciiTheme="majorHAnsi" w:eastAsia="Times New Roman" w:hAnsiTheme="majorHAnsi" w:cstheme="majorHAnsi"/>
                <w:bCs/>
                <w:iCs/>
                <w:sz w:val="20"/>
                <w:szCs w:val="20"/>
                <w:lang w:val="ro-RO" w:eastAsia="ru-RU"/>
              </w:rPr>
              <w:t xml:space="preserve">pe anul 2020 </w:t>
            </w:r>
            <w:r w:rsidRPr="00A053FD">
              <w:rPr>
                <w:rFonts w:asciiTheme="majorHAnsi" w:eastAsia="Times New Roman" w:hAnsiTheme="majorHAnsi" w:cstheme="majorHAnsi"/>
                <w:bCs/>
                <w:iCs/>
                <w:sz w:val="20"/>
                <w:szCs w:val="20"/>
                <w:lang w:val="ro-RO" w:eastAsia="ru-RU"/>
              </w:rPr>
              <w:t>(conform Anexei nr.7</w:t>
            </w:r>
            <w:r w:rsidRPr="00F55BA6">
              <w:rPr>
                <w:rFonts w:asciiTheme="majorHAnsi" w:hAnsiTheme="majorHAnsi" w:cstheme="majorHAnsi"/>
                <w:sz w:val="20"/>
                <w:szCs w:val="20"/>
                <w:lang w:val="ro-RO"/>
              </w:rPr>
              <w:t xml:space="preserve"> la </w:t>
            </w:r>
            <w:r w:rsidRPr="00A053FD">
              <w:rPr>
                <w:rFonts w:asciiTheme="majorHAnsi" w:eastAsia="Times New Roman" w:hAnsiTheme="majorHAnsi" w:cstheme="majorHAnsi"/>
                <w:bCs/>
                <w:iCs/>
                <w:sz w:val="20"/>
                <w:szCs w:val="20"/>
                <w:lang w:val="ro-RO" w:eastAsia="ru-RU"/>
              </w:rPr>
              <w:t>Legea bugetului de stat)</w:t>
            </w:r>
          </w:p>
        </w:tc>
      </w:tr>
      <w:tr w:rsidR="006F758A" w:rsidRPr="00E4517B" w:rsidTr="006F758A">
        <w:tc>
          <w:tcPr>
            <w:tcW w:w="1985" w:type="dxa"/>
            <w:tcBorders>
              <w:right w:val="single" w:sz="12" w:space="0" w:color="auto"/>
            </w:tcBorders>
          </w:tcPr>
          <w:p w:rsidR="006F758A" w:rsidRPr="00E4517B" w:rsidRDefault="006F758A" w:rsidP="006F758A">
            <w:pPr>
              <w:jc w:val="center"/>
              <w:rPr>
                <w:rFonts w:asciiTheme="majorHAnsi" w:eastAsia="Times New Roman" w:hAnsiTheme="majorHAnsi" w:cstheme="majorHAnsi"/>
                <w:bCs/>
                <w:i/>
                <w:iCs/>
                <w:sz w:val="20"/>
                <w:szCs w:val="20"/>
                <w:lang w:val="ro-RO" w:eastAsia="ru-RU"/>
              </w:rPr>
            </w:pPr>
            <w:r w:rsidRPr="00E4517B">
              <w:rPr>
                <w:rFonts w:asciiTheme="majorHAnsi" w:eastAsia="Times New Roman" w:hAnsiTheme="majorHAnsi" w:cstheme="majorHAnsi"/>
                <w:bCs/>
                <w:i/>
                <w:iCs/>
                <w:sz w:val="20"/>
                <w:szCs w:val="20"/>
                <w:lang w:val="ro-RO" w:eastAsia="ru-RU"/>
              </w:rPr>
              <w:t>Formularul nr.7.1</w:t>
            </w:r>
          </w:p>
        </w:tc>
        <w:tc>
          <w:tcPr>
            <w:tcW w:w="9214" w:type="dxa"/>
            <w:tcBorders>
              <w:left w:val="single" w:sz="12" w:space="0" w:color="auto"/>
              <w:right w:val="single" w:sz="12" w:space="0" w:color="auto"/>
            </w:tcBorders>
          </w:tcPr>
          <w:p w:rsidR="006F758A" w:rsidRPr="00A053FD" w:rsidRDefault="006F758A" w:rsidP="00530DCD">
            <w:pPr>
              <w:rPr>
                <w:rFonts w:asciiTheme="majorHAnsi" w:eastAsia="Times New Roman" w:hAnsiTheme="majorHAnsi" w:cstheme="majorHAnsi"/>
                <w:bCs/>
                <w:iCs/>
                <w:sz w:val="20"/>
                <w:szCs w:val="20"/>
                <w:lang w:val="ro-RO" w:eastAsia="ru-RU"/>
              </w:rPr>
            </w:pPr>
            <w:r w:rsidRPr="00A053FD">
              <w:rPr>
                <w:rFonts w:asciiTheme="majorHAnsi" w:eastAsia="Times New Roman" w:hAnsiTheme="majorHAnsi" w:cstheme="majorHAnsi"/>
                <w:bCs/>
                <w:iCs/>
                <w:sz w:val="20"/>
                <w:szCs w:val="20"/>
                <w:lang w:val="ro-RO" w:eastAsia="ru-RU"/>
              </w:rPr>
              <w:t>Raport privind transferurile cu destinație specială de la bugetul de stat către bugetele locale</w:t>
            </w:r>
            <w:r w:rsidR="00F66505" w:rsidRPr="00A053FD">
              <w:rPr>
                <w:rFonts w:asciiTheme="majorHAnsi" w:eastAsia="Times New Roman" w:hAnsiTheme="majorHAnsi" w:cstheme="majorHAnsi"/>
                <w:bCs/>
                <w:iCs/>
                <w:sz w:val="20"/>
                <w:szCs w:val="20"/>
                <w:lang w:val="ro-RO" w:eastAsia="ru-RU"/>
              </w:rPr>
              <w:t xml:space="preserve"> pe anul 2020 </w:t>
            </w:r>
            <w:r w:rsidRPr="00A053FD">
              <w:rPr>
                <w:rFonts w:asciiTheme="majorHAnsi" w:eastAsia="Times New Roman" w:hAnsiTheme="majorHAnsi" w:cstheme="majorHAnsi"/>
                <w:bCs/>
                <w:iCs/>
                <w:sz w:val="20"/>
                <w:szCs w:val="20"/>
                <w:lang w:val="ro-RO" w:eastAsia="ru-RU"/>
              </w:rPr>
              <w:t xml:space="preserve"> (conform Anexei nr.7</w:t>
            </w:r>
            <w:r w:rsidRPr="00F55BA6">
              <w:rPr>
                <w:rFonts w:asciiTheme="majorHAnsi" w:hAnsiTheme="majorHAnsi" w:cstheme="majorHAnsi"/>
                <w:sz w:val="20"/>
                <w:szCs w:val="20"/>
                <w:lang w:val="ro-RO"/>
              </w:rPr>
              <w:t xml:space="preserve"> la </w:t>
            </w:r>
            <w:r w:rsidRPr="00A053FD">
              <w:rPr>
                <w:rFonts w:asciiTheme="majorHAnsi" w:eastAsia="Times New Roman" w:hAnsiTheme="majorHAnsi" w:cstheme="majorHAnsi"/>
                <w:bCs/>
                <w:iCs/>
                <w:sz w:val="20"/>
                <w:szCs w:val="20"/>
                <w:lang w:val="ro-RO" w:eastAsia="ru-RU"/>
              </w:rPr>
              <w:t>Legea bugetului de stat)</w:t>
            </w:r>
          </w:p>
        </w:tc>
      </w:tr>
      <w:tr w:rsidR="006F758A" w:rsidRPr="00E4517B" w:rsidTr="006F758A">
        <w:tc>
          <w:tcPr>
            <w:tcW w:w="1985" w:type="dxa"/>
            <w:tcBorders>
              <w:right w:val="single" w:sz="12" w:space="0" w:color="auto"/>
            </w:tcBorders>
          </w:tcPr>
          <w:p w:rsidR="006F758A" w:rsidRPr="00E4517B" w:rsidRDefault="006F758A" w:rsidP="006F758A">
            <w:pPr>
              <w:jc w:val="center"/>
              <w:rPr>
                <w:rFonts w:asciiTheme="majorHAnsi" w:eastAsia="Times New Roman" w:hAnsiTheme="majorHAnsi" w:cstheme="majorHAnsi"/>
                <w:bCs/>
                <w:i/>
                <w:iCs/>
                <w:sz w:val="20"/>
                <w:szCs w:val="20"/>
                <w:lang w:val="ro-RO" w:eastAsia="ru-RU"/>
              </w:rPr>
            </w:pPr>
            <w:r w:rsidRPr="00E4517B">
              <w:rPr>
                <w:rFonts w:asciiTheme="majorHAnsi" w:eastAsia="Times New Roman" w:hAnsiTheme="majorHAnsi" w:cstheme="majorHAnsi"/>
                <w:bCs/>
                <w:i/>
                <w:iCs/>
                <w:sz w:val="20"/>
                <w:szCs w:val="20"/>
                <w:lang w:val="ro-RO" w:eastAsia="ru-RU"/>
              </w:rPr>
              <w:t>Formularul nr.7.1.1</w:t>
            </w:r>
          </w:p>
        </w:tc>
        <w:tc>
          <w:tcPr>
            <w:tcW w:w="9214" w:type="dxa"/>
            <w:tcBorders>
              <w:left w:val="single" w:sz="12" w:space="0" w:color="auto"/>
              <w:right w:val="single" w:sz="12" w:space="0" w:color="auto"/>
            </w:tcBorders>
          </w:tcPr>
          <w:p w:rsidR="006F758A" w:rsidRPr="00A053FD" w:rsidRDefault="006F758A" w:rsidP="00530DCD">
            <w:pPr>
              <w:rPr>
                <w:rFonts w:asciiTheme="majorHAnsi" w:eastAsia="Times New Roman" w:hAnsiTheme="majorHAnsi" w:cstheme="majorHAnsi"/>
                <w:bCs/>
                <w:iCs/>
                <w:sz w:val="20"/>
                <w:szCs w:val="20"/>
                <w:lang w:val="ro-RO" w:eastAsia="ru-RU"/>
              </w:rPr>
            </w:pPr>
            <w:r w:rsidRPr="00A053FD">
              <w:rPr>
                <w:rFonts w:asciiTheme="majorHAnsi" w:eastAsia="Times New Roman" w:hAnsiTheme="majorHAnsi" w:cstheme="majorHAnsi"/>
                <w:bCs/>
                <w:iCs/>
                <w:sz w:val="20"/>
                <w:szCs w:val="20"/>
                <w:lang w:val="ro-RO" w:eastAsia="ru-RU"/>
              </w:rPr>
              <w:t xml:space="preserve">Raport privind transferurile cu destinație specială pentru asistența socială de la bugetul de stat către bugetele locale </w:t>
            </w:r>
            <w:r w:rsidR="00F66505" w:rsidRPr="00A053FD">
              <w:rPr>
                <w:rFonts w:asciiTheme="majorHAnsi" w:eastAsia="Times New Roman" w:hAnsiTheme="majorHAnsi" w:cstheme="majorHAnsi"/>
                <w:bCs/>
                <w:iCs/>
                <w:sz w:val="20"/>
                <w:szCs w:val="20"/>
                <w:lang w:val="ro-RO" w:eastAsia="ru-RU"/>
              </w:rPr>
              <w:t xml:space="preserve">pe anul 2020 </w:t>
            </w:r>
            <w:r w:rsidRPr="00A053FD">
              <w:rPr>
                <w:rFonts w:asciiTheme="majorHAnsi" w:eastAsia="Times New Roman" w:hAnsiTheme="majorHAnsi" w:cstheme="majorHAnsi"/>
                <w:bCs/>
                <w:iCs/>
                <w:sz w:val="20"/>
                <w:szCs w:val="20"/>
                <w:lang w:val="ro-RO" w:eastAsia="ru-RU"/>
              </w:rPr>
              <w:t>(conform Anexei nr.7</w:t>
            </w:r>
            <w:r w:rsidRPr="00F55BA6">
              <w:rPr>
                <w:rFonts w:asciiTheme="majorHAnsi" w:hAnsiTheme="majorHAnsi" w:cstheme="majorHAnsi"/>
                <w:sz w:val="20"/>
                <w:szCs w:val="20"/>
                <w:lang w:val="ro-RO"/>
              </w:rPr>
              <w:t xml:space="preserve"> </w:t>
            </w:r>
            <w:r w:rsidR="00A053FD" w:rsidRPr="00F55BA6">
              <w:rPr>
                <w:rFonts w:asciiTheme="majorHAnsi" w:hAnsiTheme="majorHAnsi" w:cstheme="majorHAnsi"/>
                <w:sz w:val="20"/>
                <w:szCs w:val="20"/>
                <w:lang w:val="ro-RO"/>
              </w:rPr>
              <w:t xml:space="preserve">la </w:t>
            </w:r>
            <w:r w:rsidRPr="00A053FD">
              <w:rPr>
                <w:rFonts w:asciiTheme="majorHAnsi" w:eastAsia="Times New Roman" w:hAnsiTheme="majorHAnsi" w:cstheme="majorHAnsi"/>
                <w:bCs/>
                <w:iCs/>
                <w:sz w:val="20"/>
                <w:szCs w:val="20"/>
                <w:lang w:val="ro-RO" w:eastAsia="ru-RU"/>
              </w:rPr>
              <w:t>Legea bugetului de stat)</w:t>
            </w:r>
          </w:p>
        </w:tc>
      </w:tr>
      <w:tr w:rsidR="006F758A" w:rsidRPr="00E4517B" w:rsidTr="006F758A">
        <w:tc>
          <w:tcPr>
            <w:tcW w:w="1985" w:type="dxa"/>
            <w:tcBorders>
              <w:right w:val="single" w:sz="12" w:space="0" w:color="auto"/>
            </w:tcBorders>
          </w:tcPr>
          <w:p w:rsidR="006F758A" w:rsidRPr="00E4517B" w:rsidRDefault="006F758A" w:rsidP="006F758A">
            <w:pPr>
              <w:jc w:val="center"/>
              <w:rPr>
                <w:rFonts w:asciiTheme="majorHAnsi" w:eastAsia="Times New Roman" w:hAnsiTheme="majorHAnsi" w:cstheme="majorHAnsi"/>
                <w:bCs/>
                <w:i/>
                <w:iCs/>
                <w:sz w:val="20"/>
                <w:szCs w:val="20"/>
                <w:lang w:val="ro-RO" w:eastAsia="ru-RU"/>
              </w:rPr>
            </w:pPr>
            <w:r w:rsidRPr="00E4517B">
              <w:rPr>
                <w:rFonts w:asciiTheme="majorHAnsi" w:eastAsia="Times New Roman" w:hAnsiTheme="majorHAnsi" w:cstheme="majorHAnsi"/>
                <w:bCs/>
                <w:i/>
                <w:iCs/>
                <w:sz w:val="20"/>
                <w:szCs w:val="20"/>
                <w:lang w:val="ro-RO" w:eastAsia="ru-RU"/>
              </w:rPr>
              <w:t>Formularul nr.8*</w:t>
            </w:r>
          </w:p>
        </w:tc>
        <w:tc>
          <w:tcPr>
            <w:tcW w:w="9214" w:type="dxa"/>
            <w:tcBorders>
              <w:left w:val="single" w:sz="12" w:space="0" w:color="auto"/>
              <w:right w:val="single" w:sz="12" w:space="0" w:color="auto"/>
            </w:tcBorders>
          </w:tcPr>
          <w:p w:rsidR="006F758A" w:rsidRPr="005F5FE6" w:rsidRDefault="006F758A" w:rsidP="006F758A">
            <w:pPr>
              <w:rPr>
                <w:rFonts w:asciiTheme="majorHAnsi" w:eastAsia="Times New Roman" w:hAnsiTheme="majorHAnsi" w:cstheme="majorHAnsi"/>
                <w:bCs/>
                <w:iCs/>
                <w:sz w:val="20"/>
                <w:szCs w:val="20"/>
                <w:lang w:val="ro-RO" w:eastAsia="ru-RU"/>
              </w:rPr>
            </w:pPr>
            <w:r w:rsidRPr="00A053FD">
              <w:rPr>
                <w:rFonts w:asciiTheme="majorHAnsi" w:eastAsia="Times New Roman" w:hAnsiTheme="majorHAnsi" w:cstheme="majorHAnsi"/>
                <w:bCs/>
                <w:iCs/>
                <w:sz w:val="20"/>
                <w:szCs w:val="20"/>
                <w:lang w:val="ro-RO" w:eastAsia="ru-RU"/>
              </w:rPr>
              <w:t xml:space="preserve">Raport privind executarea cheltuielilor și activelor nefinanciare ale bugetului de stat sub aspectul clasificației economice </w:t>
            </w:r>
            <w:r w:rsidR="00F66505" w:rsidRPr="005F5FE6">
              <w:rPr>
                <w:rFonts w:asciiTheme="majorHAnsi" w:eastAsia="Times New Roman" w:hAnsiTheme="majorHAnsi" w:cstheme="majorHAnsi"/>
                <w:bCs/>
                <w:iCs/>
                <w:sz w:val="20"/>
                <w:szCs w:val="20"/>
                <w:lang w:val="ro-RO" w:eastAsia="ru-RU"/>
              </w:rPr>
              <w:t>pe anul 2020</w:t>
            </w:r>
          </w:p>
        </w:tc>
      </w:tr>
      <w:tr w:rsidR="006F758A" w:rsidRPr="00E4517B" w:rsidTr="006F758A">
        <w:tc>
          <w:tcPr>
            <w:tcW w:w="1985" w:type="dxa"/>
            <w:tcBorders>
              <w:right w:val="single" w:sz="12" w:space="0" w:color="auto"/>
            </w:tcBorders>
          </w:tcPr>
          <w:p w:rsidR="006F758A" w:rsidRPr="00973E5B" w:rsidRDefault="006F758A" w:rsidP="006F758A">
            <w:pPr>
              <w:jc w:val="center"/>
              <w:rPr>
                <w:rFonts w:asciiTheme="majorHAnsi" w:eastAsia="Times New Roman" w:hAnsiTheme="majorHAnsi" w:cstheme="majorHAnsi"/>
                <w:bCs/>
                <w:i/>
                <w:iCs/>
                <w:sz w:val="20"/>
                <w:szCs w:val="20"/>
                <w:lang w:val="ro-RO" w:eastAsia="ru-RU"/>
              </w:rPr>
            </w:pPr>
            <w:r w:rsidRPr="00E4517B">
              <w:rPr>
                <w:rFonts w:asciiTheme="majorHAnsi" w:eastAsia="Times New Roman" w:hAnsiTheme="majorHAnsi" w:cstheme="majorHAnsi"/>
                <w:bCs/>
                <w:i/>
                <w:iCs/>
                <w:sz w:val="20"/>
                <w:szCs w:val="20"/>
                <w:lang w:val="ro-RO" w:eastAsia="ru-RU"/>
              </w:rPr>
              <w:t>Formu</w:t>
            </w:r>
            <w:r w:rsidRPr="00973E5B">
              <w:rPr>
                <w:rFonts w:asciiTheme="majorHAnsi" w:eastAsia="Times New Roman" w:hAnsiTheme="majorHAnsi" w:cstheme="majorHAnsi"/>
                <w:bCs/>
                <w:i/>
                <w:iCs/>
                <w:sz w:val="20"/>
                <w:szCs w:val="20"/>
                <w:lang w:val="ro-RO" w:eastAsia="ru-RU"/>
              </w:rPr>
              <w:t>larul nr.9*</w:t>
            </w:r>
          </w:p>
        </w:tc>
        <w:tc>
          <w:tcPr>
            <w:tcW w:w="9214" w:type="dxa"/>
            <w:tcBorders>
              <w:left w:val="single" w:sz="12" w:space="0" w:color="auto"/>
              <w:right w:val="single" w:sz="12" w:space="0" w:color="auto"/>
            </w:tcBorders>
          </w:tcPr>
          <w:p w:rsidR="006F758A" w:rsidRPr="00A053FD" w:rsidRDefault="006F758A" w:rsidP="006F758A">
            <w:pPr>
              <w:rPr>
                <w:rFonts w:asciiTheme="majorHAnsi" w:eastAsia="Times New Roman" w:hAnsiTheme="majorHAnsi" w:cstheme="majorHAnsi"/>
                <w:bCs/>
                <w:iCs/>
                <w:sz w:val="20"/>
                <w:szCs w:val="20"/>
                <w:lang w:val="ro-RO" w:eastAsia="ru-RU"/>
              </w:rPr>
            </w:pPr>
            <w:r w:rsidRPr="00A053FD">
              <w:rPr>
                <w:rFonts w:asciiTheme="majorHAnsi" w:eastAsia="Times New Roman" w:hAnsiTheme="majorHAnsi" w:cstheme="majorHAnsi"/>
                <w:bCs/>
                <w:iCs/>
                <w:sz w:val="20"/>
                <w:szCs w:val="20"/>
                <w:lang w:val="ro-RO" w:eastAsia="ru-RU"/>
              </w:rPr>
              <w:t xml:space="preserve">Raport privind creanțele și datoriile la cheltuieli și active nefinanciare formate în autoritățile/instituțiile bugetare finanțate de la bugetul de stat conform clasificației economice </w:t>
            </w:r>
            <w:r w:rsidR="00826002" w:rsidRPr="00A053FD">
              <w:rPr>
                <w:rFonts w:asciiTheme="majorHAnsi" w:eastAsia="Times New Roman" w:hAnsiTheme="majorHAnsi" w:cstheme="majorHAnsi"/>
                <w:bCs/>
                <w:iCs/>
                <w:sz w:val="20"/>
                <w:szCs w:val="20"/>
                <w:lang w:val="ro-RO" w:eastAsia="ru-RU"/>
              </w:rPr>
              <w:t>pe anul 2020</w:t>
            </w:r>
          </w:p>
        </w:tc>
      </w:tr>
      <w:tr w:rsidR="006F758A" w:rsidRPr="00E4517B" w:rsidTr="006F758A">
        <w:tc>
          <w:tcPr>
            <w:tcW w:w="1985" w:type="dxa"/>
            <w:tcBorders>
              <w:right w:val="single" w:sz="12" w:space="0" w:color="auto"/>
            </w:tcBorders>
          </w:tcPr>
          <w:p w:rsidR="006F758A" w:rsidRPr="00E4517B" w:rsidRDefault="006F758A" w:rsidP="006F758A">
            <w:pPr>
              <w:jc w:val="center"/>
              <w:rPr>
                <w:rFonts w:asciiTheme="majorHAnsi" w:eastAsia="Times New Roman" w:hAnsiTheme="majorHAnsi" w:cstheme="majorHAnsi"/>
                <w:bCs/>
                <w:i/>
                <w:iCs/>
                <w:sz w:val="20"/>
                <w:szCs w:val="20"/>
                <w:lang w:val="ro-RO" w:eastAsia="ru-RU"/>
              </w:rPr>
            </w:pPr>
            <w:r w:rsidRPr="00E4517B">
              <w:rPr>
                <w:rFonts w:asciiTheme="majorHAnsi" w:eastAsia="Times New Roman" w:hAnsiTheme="majorHAnsi" w:cstheme="majorHAnsi"/>
                <w:bCs/>
                <w:i/>
                <w:iCs/>
                <w:sz w:val="20"/>
                <w:szCs w:val="20"/>
                <w:lang w:val="ro-RO" w:eastAsia="ru-RU"/>
              </w:rPr>
              <w:t>Formularul nr.10*</w:t>
            </w:r>
          </w:p>
        </w:tc>
        <w:tc>
          <w:tcPr>
            <w:tcW w:w="9214" w:type="dxa"/>
            <w:tcBorders>
              <w:left w:val="single" w:sz="12" w:space="0" w:color="auto"/>
              <w:right w:val="single" w:sz="12" w:space="0" w:color="auto"/>
            </w:tcBorders>
          </w:tcPr>
          <w:p w:rsidR="006F758A" w:rsidRPr="00A053FD" w:rsidRDefault="006F758A" w:rsidP="006F758A">
            <w:pPr>
              <w:rPr>
                <w:rFonts w:asciiTheme="majorHAnsi" w:eastAsia="Times New Roman" w:hAnsiTheme="majorHAnsi" w:cstheme="majorHAnsi"/>
                <w:bCs/>
                <w:iCs/>
                <w:sz w:val="20"/>
                <w:szCs w:val="20"/>
                <w:lang w:val="ro-RO" w:eastAsia="ru-RU"/>
              </w:rPr>
            </w:pPr>
            <w:r w:rsidRPr="00A053FD">
              <w:rPr>
                <w:rFonts w:asciiTheme="majorHAnsi" w:eastAsia="Times New Roman" w:hAnsiTheme="majorHAnsi" w:cstheme="majorHAnsi"/>
                <w:bCs/>
                <w:iCs/>
                <w:sz w:val="20"/>
                <w:szCs w:val="20"/>
                <w:lang w:val="ro-RO" w:eastAsia="ru-RU"/>
              </w:rPr>
              <w:t xml:space="preserve">Raport privind repartizarea și utilizarea mijloacelor fondului de rezervă al Guvernului </w:t>
            </w:r>
            <w:r w:rsidR="00826002" w:rsidRPr="00A053FD">
              <w:rPr>
                <w:rFonts w:asciiTheme="majorHAnsi" w:eastAsia="Times New Roman" w:hAnsiTheme="majorHAnsi" w:cstheme="majorHAnsi"/>
                <w:bCs/>
                <w:iCs/>
                <w:sz w:val="20"/>
                <w:szCs w:val="20"/>
                <w:lang w:val="ro-RO" w:eastAsia="ru-RU"/>
              </w:rPr>
              <w:t>pe anul 2020</w:t>
            </w:r>
          </w:p>
        </w:tc>
      </w:tr>
      <w:tr w:rsidR="006F758A" w:rsidRPr="00E4517B" w:rsidTr="006F758A">
        <w:tc>
          <w:tcPr>
            <w:tcW w:w="1985" w:type="dxa"/>
            <w:tcBorders>
              <w:right w:val="single" w:sz="12" w:space="0" w:color="auto"/>
            </w:tcBorders>
          </w:tcPr>
          <w:p w:rsidR="006F758A" w:rsidRPr="00E4517B" w:rsidRDefault="006F758A" w:rsidP="006F758A">
            <w:pPr>
              <w:jc w:val="center"/>
              <w:rPr>
                <w:rFonts w:asciiTheme="majorHAnsi" w:eastAsia="Times New Roman" w:hAnsiTheme="majorHAnsi" w:cstheme="majorHAnsi"/>
                <w:bCs/>
                <w:i/>
                <w:iCs/>
                <w:sz w:val="20"/>
                <w:szCs w:val="20"/>
                <w:lang w:val="ro-RO" w:eastAsia="ru-RU"/>
              </w:rPr>
            </w:pPr>
            <w:r w:rsidRPr="00E4517B">
              <w:rPr>
                <w:rFonts w:asciiTheme="majorHAnsi" w:eastAsia="Times New Roman" w:hAnsiTheme="majorHAnsi" w:cstheme="majorHAnsi"/>
                <w:bCs/>
                <w:i/>
                <w:iCs/>
                <w:sz w:val="20"/>
                <w:szCs w:val="20"/>
                <w:lang w:val="ro-RO" w:eastAsia="ru-RU"/>
              </w:rPr>
              <w:t>Formularul nr.11*</w:t>
            </w:r>
          </w:p>
        </w:tc>
        <w:tc>
          <w:tcPr>
            <w:tcW w:w="9214" w:type="dxa"/>
            <w:tcBorders>
              <w:left w:val="single" w:sz="12" w:space="0" w:color="auto"/>
              <w:right w:val="single" w:sz="12" w:space="0" w:color="auto"/>
            </w:tcBorders>
          </w:tcPr>
          <w:p w:rsidR="006F758A" w:rsidRPr="00A053FD" w:rsidRDefault="006F758A" w:rsidP="006F758A">
            <w:pPr>
              <w:rPr>
                <w:rFonts w:asciiTheme="majorHAnsi" w:eastAsia="Times New Roman" w:hAnsiTheme="majorHAnsi" w:cstheme="majorHAnsi"/>
                <w:bCs/>
                <w:iCs/>
                <w:sz w:val="20"/>
                <w:szCs w:val="20"/>
                <w:lang w:val="ro-RO" w:eastAsia="ru-RU"/>
              </w:rPr>
            </w:pPr>
            <w:r w:rsidRPr="00A053FD">
              <w:rPr>
                <w:rFonts w:asciiTheme="majorHAnsi" w:eastAsia="Times New Roman" w:hAnsiTheme="majorHAnsi" w:cstheme="majorHAnsi"/>
                <w:bCs/>
                <w:iCs/>
                <w:sz w:val="20"/>
                <w:szCs w:val="20"/>
                <w:lang w:val="ro-RO" w:eastAsia="ru-RU"/>
              </w:rPr>
              <w:t xml:space="preserve">Raport privind repartizarea și utilizarea mijloacelor fondului de intervenție al Guvernului </w:t>
            </w:r>
            <w:r w:rsidR="00826002" w:rsidRPr="00A053FD">
              <w:rPr>
                <w:rFonts w:asciiTheme="majorHAnsi" w:eastAsia="Times New Roman" w:hAnsiTheme="majorHAnsi" w:cstheme="majorHAnsi"/>
                <w:bCs/>
                <w:iCs/>
                <w:sz w:val="20"/>
                <w:szCs w:val="20"/>
                <w:lang w:val="ro-RO" w:eastAsia="ru-RU"/>
              </w:rPr>
              <w:t>pe anul 2020</w:t>
            </w:r>
          </w:p>
        </w:tc>
      </w:tr>
      <w:tr w:rsidR="006F758A" w:rsidRPr="00E4517B" w:rsidTr="006F758A">
        <w:tc>
          <w:tcPr>
            <w:tcW w:w="1985" w:type="dxa"/>
            <w:tcBorders>
              <w:right w:val="single" w:sz="12" w:space="0" w:color="auto"/>
            </w:tcBorders>
          </w:tcPr>
          <w:p w:rsidR="006F758A" w:rsidRPr="00E4517B" w:rsidRDefault="006F758A" w:rsidP="006F758A">
            <w:pPr>
              <w:jc w:val="center"/>
              <w:rPr>
                <w:rFonts w:asciiTheme="majorHAnsi" w:eastAsia="Times New Roman" w:hAnsiTheme="majorHAnsi" w:cstheme="majorHAnsi"/>
                <w:bCs/>
                <w:i/>
                <w:iCs/>
                <w:sz w:val="20"/>
                <w:szCs w:val="20"/>
                <w:lang w:val="ro-RO" w:eastAsia="ru-RU"/>
              </w:rPr>
            </w:pPr>
            <w:r w:rsidRPr="00E4517B">
              <w:rPr>
                <w:rFonts w:asciiTheme="majorHAnsi" w:eastAsia="Times New Roman" w:hAnsiTheme="majorHAnsi" w:cstheme="majorHAnsi"/>
                <w:bCs/>
                <w:i/>
                <w:iCs/>
                <w:sz w:val="20"/>
                <w:szCs w:val="20"/>
                <w:lang w:val="ro-RO" w:eastAsia="ru-RU"/>
              </w:rPr>
              <w:t>Formularul nr.12*</w:t>
            </w:r>
          </w:p>
        </w:tc>
        <w:tc>
          <w:tcPr>
            <w:tcW w:w="9214" w:type="dxa"/>
            <w:tcBorders>
              <w:left w:val="single" w:sz="12" w:space="0" w:color="auto"/>
              <w:right w:val="single" w:sz="12" w:space="0" w:color="auto"/>
            </w:tcBorders>
          </w:tcPr>
          <w:p w:rsidR="006F758A" w:rsidRPr="00A053FD" w:rsidRDefault="006F758A" w:rsidP="006F758A">
            <w:pPr>
              <w:rPr>
                <w:rFonts w:asciiTheme="majorHAnsi" w:eastAsia="Times New Roman" w:hAnsiTheme="majorHAnsi" w:cstheme="majorHAnsi"/>
                <w:bCs/>
                <w:iCs/>
                <w:sz w:val="20"/>
                <w:szCs w:val="20"/>
                <w:lang w:val="ro-RO" w:eastAsia="ru-RU"/>
              </w:rPr>
            </w:pPr>
            <w:r w:rsidRPr="00A053FD">
              <w:rPr>
                <w:rFonts w:asciiTheme="majorHAnsi" w:eastAsia="Times New Roman" w:hAnsiTheme="majorHAnsi" w:cstheme="majorHAnsi"/>
                <w:bCs/>
                <w:iCs/>
                <w:sz w:val="20"/>
                <w:szCs w:val="20"/>
                <w:lang w:val="ro-RO" w:eastAsia="ru-RU"/>
              </w:rPr>
              <w:t>Raport privind repartizarea și utilizarea mijloacelor Programului de reintegrare a țării</w:t>
            </w:r>
            <w:r w:rsidR="00826002" w:rsidRPr="00A053FD">
              <w:rPr>
                <w:rFonts w:asciiTheme="majorHAnsi" w:eastAsia="Times New Roman" w:hAnsiTheme="majorHAnsi" w:cstheme="majorHAnsi"/>
                <w:bCs/>
                <w:iCs/>
                <w:sz w:val="20"/>
                <w:szCs w:val="20"/>
                <w:lang w:val="ro-RO" w:eastAsia="ru-RU"/>
              </w:rPr>
              <w:t xml:space="preserve"> pe anul 2020</w:t>
            </w:r>
          </w:p>
        </w:tc>
      </w:tr>
      <w:tr w:rsidR="006F758A" w:rsidRPr="00E4517B" w:rsidTr="006F758A">
        <w:tc>
          <w:tcPr>
            <w:tcW w:w="1985" w:type="dxa"/>
            <w:tcBorders>
              <w:right w:val="single" w:sz="12" w:space="0" w:color="auto"/>
            </w:tcBorders>
          </w:tcPr>
          <w:p w:rsidR="006F758A" w:rsidRPr="00E4517B" w:rsidRDefault="006F758A" w:rsidP="006F758A">
            <w:pPr>
              <w:jc w:val="center"/>
              <w:rPr>
                <w:rFonts w:asciiTheme="majorHAnsi" w:eastAsia="Times New Roman" w:hAnsiTheme="majorHAnsi" w:cstheme="majorHAnsi"/>
                <w:bCs/>
                <w:i/>
                <w:iCs/>
                <w:sz w:val="20"/>
                <w:szCs w:val="20"/>
                <w:lang w:val="ro-RO" w:eastAsia="ru-RU"/>
              </w:rPr>
            </w:pPr>
            <w:r w:rsidRPr="00E4517B">
              <w:rPr>
                <w:rFonts w:asciiTheme="majorHAnsi" w:eastAsia="Times New Roman" w:hAnsiTheme="majorHAnsi" w:cstheme="majorHAnsi"/>
                <w:bCs/>
                <w:i/>
                <w:iCs/>
                <w:sz w:val="20"/>
                <w:szCs w:val="20"/>
                <w:lang w:val="ro-RO" w:eastAsia="ru-RU"/>
              </w:rPr>
              <w:t>Formularul nr.13*</w:t>
            </w:r>
          </w:p>
        </w:tc>
        <w:tc>
          <w:tcPr>
            <w:tcW w:w="9214" w:type="dxa"/>
            <w:tcBorders>
              <w:left w:val="single" w:sz="12" w:space="0" w:color="auto"/>
              <w:right w:val="single" w:sz="12" w:space="0" w:color="auto"/>
            </w:tcBorders>
          </w:tcPr>
          <w:p w:rsidR="006F758A" w:rsidRPr="00A053FD" w:rsidRDefault="006F758A" w:rsidP="006F758A">
            <w:pPr>
              <w:rPr>
                <w:rFonts w:asciiTheme="majorHAnsi" w:eastAsia="Times New Roman" w:hAnsiTheme="majorHAnsi" w:cstheme="majorHAnsi"/>
                <w:bCs/>
                <w:iCs/>
                <w:sz w:val="20"/>
                <w:szCs w:val="20"/>
                <w:lang w:val="ro-RO" w:eastAsia="ru-RU"/>
              </w:rPr>
            </w:pPr>
            <w:r w:rsidRPr="00A053FD">
              <w:rPr>
                <w:rFonts w:asciiTheme="majorHAnsi" w:eastAsia="Times New Roman" w:hAnsiTheme="majorHAnsi" w:cstheme="majorHAnsi"/>
                <w:bCs/>
                <w:iCs/>
                <w:sz w:val="20"/>
                <w:szCs w:val="20"/>
                <w:lang w:val="ro-RO" w:eastAsia="ru-RU"/>
              </w:rPr>
              <w:t xml:space="preserve">Bilanțul contabil privind executarea bugetului de stat </w:t>
            </w:r>
            <w:r w:rsidR="00826002" w:rsidRPr="00A053FD">
              <w:rPr>
                <w:rFonts w:asciiTheme="majorHAnsi" w:eastAsia="Times New Roman" w:hAnsiTheme="majorHAnsi" w:cstheme="majorHAnsi"/>
                <w:bCs/>
                <w:iCs/>
                <w:sz w:val="20"/>
                <w:szCs w:val="20"/>
                <w:lang w:val="ro-RO" w:eastAsia="ru-RU"/>
              </w:rPr>
              <w:t>pe anul 2020</w:t>
            </w:r>
          </w:p>
        </w:tc>
      </w:tr>
      <w:tr w:rsidR="006F758A" w:rsidRPr="00E4517B" w:rsidTr="006F758A">
        <w:tc>
          <w:tcPr>
            <w:tcW w:w="1985" w:type="dxa"/>
            <w:tcBorders>
              <w:right w:val="single" w:sz="12" w:space="0" w:color="auto"/>
            </w:tcBorders>
          </w:tcPr>
          <w:p w:rsidR="006F758A" w:rsidRPr="00E4517B" w:rsidRDefault="006F758A" w:rsidP="006F758A">
            <w:pPr>
              <w:jc w:val="center"/>
              <w:rPr>
                <w:rFonts w:asciiTheme="majorHAnsi" w:eastAsia="Times New Roman" w:hAnsiTheme="majorHAnsi" w:cstheme="majorHAnsi"/>
                <w:bCs/>
                <w:i/>
                <w:iCs/>
                <w:sz w:val="20"/>
                <w:szCs w:val="20"/>
                <w:lang w:val="ro-RO" w:eastAsia="ru-RU"/>
              </w:rPr>
            </w:pPr>
            <w:r w:rsidRPr="00E4517B">
              <w:rPr>
                <w:rFonts w:asciiTheme="majorHAnsi" w:eastAsia="Times New Roman" w:hAnsiTheme="majorHAnsi" w:cstheme="majorHAnsi"/>
                <w:bCs/>
                <w:i/>
                <w:iCs/>
                <w:sz w:val="20"/>
                <w:szCs w:val="20"/>
                <w:lang w:val="ro-RO" w:eastAsia="ru-RU"/>
              </w:rPr>
              <w:t>Formularul nr.14</w:t>
            </w:r>
          </w:p>
        </w:tc>
        <w:tc>
          <w:tcPr>
            <w:tcW w:w="9214" w:type="dxa"/>
            <w:tcBorders>
              <w:left w:val="single" w:sz="12" w:space="0" w:color="auto"/>
              <w:right w:val="single" w:sz="12" w:space="0" w:color="auto"/>
            </w:tcBorders>
          </w:tcPr>
          <w:p w:rsidR="006F758A" w:rsidRPr="00A053FD" w:rsidRDefault="006F758A" w:rsidP="006F758A">
            <w:pPr>
              <w:rPr>
                <w:rFonts w:asciiTheme="majorHAnsi" w:eastAsia="Times New Roman" w:hAnsiTheme="majorHAnsi" w:cstheme="majorHAnsi"/>
                <w:bCs/>
                <w:iCs/>
                <w:sz w:val="20"/>
                <w:szCs w:val="20"/>
                <w:lang w:val="ro-RO" w:eastAsia="ru-RU"/>
              </w:rPr>
            </w:pPr>
            <w:r w:rsidRPr="00A053FD">
              <w:rPr>
                <w:rFonts w:asciiTheme="majorHAnsi" w:eastAsia="Times New Roman" w:hAnsiTheme="majorHAnsi" w:cstheme="majorHAnsi"/>
                <w:bCs/>
                <w:iCs/>
                <w:sz w:val="20"/>
                <w:szCs w:val="20"/>
                <w:lang w:val="ro-RO" w:eastAsia="ru-RU"/>
              </w:rPr>
              <w:t xml:space="preserve">Raport privind executarea bugetului public național </w:t>
            </w:r>
            <w:r w:rsidR="00E617BB" w:rsidRPr="00A053FD">
              <w:rPr>
                <w:rFonts w:asciiTheme="majorHAnsi" w:eastAsia="Times New Roman" w:hAnsiTheme="majorHAnsi" w:cstheme="majorHAnsi"/>
                <w:bCs/>
                <w:iCs/>
                <w:sz w:val="20"/>
                <w:szCs w:val="20"/>
                <w:lang w:val="ro-RO" w:eastAsia="ru-RU"/>
              </w:rPr>
              <w:t>pe anul 2020</w:t>
            </w:r>
          </w:p>
        </w:tc>
      </w:tr>
    </w:tbl>
    <w:p w:rsidR="006F758A" w:rsidRPr="009131CF" w:rsidRDefault="006F758A" w:rsidP="00530DCD">
      <w:pPr>
        <w:ind w:left="-993"/>
        <w:rPr>
          <w:rFonts w:asciiTheme="majorHAnsi" w:hAnsiTheme="majorHAnsi" w:cstheme="majorHAnsi"/>
          <w:i/>
          <w:sz w:val="20"/>
          <w:szCs w:val="20"/>
          <w:lang w:val="ro-RO"/>
        </w:rPr>
      </w:pPr>
      <w:r w:rsidRPr="00E4517B">
        <w:rPr>
          <w:rFonts w:asciiTheme="majorHAnsi" w:hAnsiTheme="majorHAnsi" w:cstheme="majorHAnsi"/>
          <w:b/>
          <w:i/>
          <w:sz w:val="20"/>
          <w:szCs w:val="20"/>
          <w:lang w:val="ro-RO"/>
        </w:rPr>
        <w:t>Notă:</w:t>
      </w:r>
      <w:r w:rsidRPr="00973E5B">
        <w:rPr>
          <w:rFonts w:asciiTheme="majorHAnsi" w:hAnsiTheme="majorHAnsi" w:cstheme="majorHAnsi"/>
          <w:i/>
          <w:sz w:val="20"/>
          <w:szCs w:val="20"/>
          <w:lang w:val="ro-RO"/>
        </w:rPr>
        <w:t xml:space="preserve"> Cu asterisc (*) </w:t>
      </w:r>
      <w:r w:rsidRPr="00207634">
        <w:rPr>
          <w:rFonts w:asciiTheme="majorHAnsi" w:hAnsiTheme="majorHAnsi" w:cstheme="majorHAnsi"/>
          <w:i/>
          <w:sz w:val="20"/>
          <w:szCs w:val="20"/>
          <w:lang w:val="ro-RO"/>
        </w:rPr>
        <w:t>sunt marcate formularele Rapoartelor, parte componentă a Raportului privind executare</w:t>
      </w:r>
      <w:r w:rsidR="00530DCD" w:rsidRPr="00207634">
        <w:rPr>
          <w:rFonts w:asciiTheme="majorHAnsi" w:hAnsiTheme="majorHAnsi" w:cstheme="majorHAnsi"/>
          <w:i/>
          <w:sz w:val="20"/>
          <w:szCs w:val="20"/>
          <w:lang w:val="ro-RO"/>
        </w:rPr>
        <w:t>a bugetului de stat pe anul 2020</w:t>
      </w:r>
      <w:r w:rsidRPr="009131CF">
        <w:rPr>
          <w:rFonts w:asciiTheme="majorHAnsi" w:hAnsiTheme="majorHAnsi" w:cstheme="majorHAnsi"/>
          <w:i/>
          <w:sz w:val="20"/>
          <w:szCs w:val="20"/>
          <w:lang w:val="ro-RO"/>
        </w:rPr>
        <w:t>, testate de către audit sub aspect financiar și regulamentar.</w:t>
      </w:r>
    </w:p>
    <w:p w:rsidR="00047E13" w:rsidRPr="00F55BA6" w:rsidRDefault="00047E13" w:rsidP="00047E13">
      <w:pPr>
        <w:jc w:val="right"/>
        <w:rPr>
          <w:rFonts w:asciiTheme="majorHAnsi" w:hAnsiTheme="majorHAnsi" w:cstheme="majorHAnsi"/>
          <w:b/>
          <w:sz w:val="24"/>
          <w:szCs w:val="24"/>
          <w:lang w:val="ro-RO"/>
        </w:rPr>
      </w:pPr>
    </w:p>
    <w:p w:rsidR="008C5AF4" w:rsidRDefault="008C5AF4" w:rsidP="009E14ED">
      <w:pPr>
        <w:jc w:val="right"/>
        <w:rPr>
          <w:rFonts w:asciiTheme="majorHAnsi" w:hAnsiTheme="majorHAnsi" w:cstheme="majorHAnsi"/>
          <w:b/>
          <w:sz w:val="24"/>
          <w:szCs w:val="24"/>
          <w:lang w:val="ro-RO"/>
        </w:rPr>
      </w:pPr>
    </w:p>
    <w:p w:rsidR="009E14ED" w:rsidRPr="00F55BA6" w:rsidRDefault="00047E13" w:rsidP="009E14ED">
      <w:pPr>
        <w:jc w:val="right"/>
        <w:rPr>
          <w:rFonts w:asciiTheme="majorHAnsi" w:hAnsiTheme="majorHAnsi" w:cstheme="majorHAnsi"/>
          <w:b/>
          <w:sz w:val="24"/>
          <w:szCs w:val="24"/>
          <w:lang w:val="ro-RO"/>
        </w:rPr>
      </w:pPr>
      <w:r w:rsidRPr="00F55BA6">
        <w:rPr>
          <w:rFonts w:asciiTheme="majorHAnsi" w:hAnsiTheme="majorHAnsi" w:cstheme="majorHAnsi"/>
          <w:b/>
          <w:sz w:val="24"/>
          <w:szCs w:val="24"/>
          <w:lang w:val="ro-RO"/>
        </w:rPr>
        <w:lastRenderedPageBreak/>
        <w:t>Anexa nr.2</w:t>
      </w:r>
    </w:p>
    <w:p w:rsidR="0026590F" w:rsidRPr="00F55BA6" w:rsidRDefault="0026590F" w:rsidP="0026590F">
      <w:pPr>
        <w:pStyle w:val="af0"/>
        <w:jc w:val="center"/>
        <w:rPr>
          <w:rFonts w:asciiTheme="majorHAnsi" w:hAnsiTheme="majorHAnsi" w:cstheme="majorHAnsi"/>
          <w:b/>
          <w:sz w:val="22"/>
          <w:lang w:val="ro-RO"/>
        </w:rPr>
      </w:pPr>
      <w:r w:rsidRPr="00F55BA6">
        <w:rPr>
          <w:rFonts w:asciiTheme="majorHAnsi" w:hAnsiTheme="majorHAnsi" w:cstheme="majorHAnsi"/>
          <w:b/>
          <w:sz w:val="22"/>
          <w:lang w:val="ro-RO" w:bidi="ro-RO"/>
        </w:rPr>
        <w:t xml:space="preserve">Informația cu privire la subvenționarea contribuabililor </w:t>
      </w:r>
      <w:r w:rsidRPr="00F55BA6">
        <w:rPr>
          <w:rFonts w:asciiTheme="majorHAnsi" w:hAnsiTheme="majorHAnsi" w:cstheme="majorHAnsi"/>
          <w:b/>
          <w:sz w:val="22"/>
          <w:lang w:val="ro-RO"/>
        </w:rPr>
        <w:t>pentru cheltuielile legate de achitarea salariului/</w:t>
      </w:r>
      <w:r w:rsidR="00A053FD" w:rsidRPr="00F55BA6">
        <w:rPr>
          <w:rFonts w:asciiTheme="majorHAnsi" w:hAnsiTheme="majorHAnsi" w:cstheme="majorHAnsi"/>
          <w:b/>
          <w:sz w:val="22"/>
          <w:lang w:val="ro-RO"/>
        </w:rPr>
        <w:t>i</w:t>
      </w:r>
      <w:r w:rsidRPr="00F55BA6">
        <w:rPr>
          <w:rFonts w:asciiTheme="majorHAnsi" w:hAnsiTheme="majorHAnsi" w:cstheme="majorHAnsi"/>
          <w:b/>
          <w:sz w:val="22"/>
          <w:lang w:val="ro-RO"/>
        </w:rPr>
        <w:t xml:space="preserve">ndemnizației în cazul șomajului tehnic/staționării mai mari de 1,0 mil. </w:t>
      </w:r>
      <w:r w:rsidR="009C0837" w:rsidRPr="00F55BA6">
        <w:rPr>
          <w:rFonts w:asciiTheme="majorHAnsi" w:hAnsiTheme="majorHAnsi" w:cstheme="majorHAnsi"/>
          <w:b/>
          <w:sz w:val="22"/>
          <w:lang w:val="ro-RO"/>
        </w:rPr>
        <w:t>lei</w:t>
      </w:r>
    </w:p>
    <w:p w:rsidR="009C0837" w:rsidRPr="00F55BA6" w:rsidRDefault="009C0837" w:rsidP="0026590F">
      <w:pPr>
        <w:pStyle w:val="af0"/>
        <w:jc w:val="center"/>
        <w:rPr>
          <w:rFonts w:asciiTheme="majorHAnsi" w:hAnsiTheme="majorHAnsi" w:cstheme="majorHAnsi"/>
          <w:b/>
          <w:sz w:val="24"/>
          <w:szCs w:val="24"/>
          <w:lang w:val="ro-RO" w:bidi="ro-RO"/>
        </w:rPr>
      </w:pPr>
    </w:p>
    <w:p w:rsidR="007A6FD7" w:rsidRPr="00F55BA6" w:rsidRDefault="0026590F" w:rsidP="0026590F">
      <w:pPr>
        <w:pStyle w:val="af0"/>
        <w:tabs>
          <w:tab w:val="left" w:pos="426"/>
          <w:tab w:val="left" w:pos="851"/>
          <w:tab w:val="left" w:pos="993"/>
        </w:tabs>
        <w:spacing w:after="0" w:line="276" w:lineRule="auto"/>
        <w:ind w:left="0" w:right="1466"/>
        <w:jc w:val="right"/>
        <w:rPr>
          <w:rFonts w:asciiTheme="majorHAnsi" w:eastAsia="Times New Roman" w:hAnsiTheme="majorHAnsi" w:cstheme="majorHAnsi"/>
          <w:b/>
          <w:color w:val="000000" w:themeColor="text1"/>
          <w:sz w:val="20"/>
          <w:szCs w:val="20"/>
          <w:lang w:val="ro-RO" w:bidi="ro-RO"/>
        </w:rPr>
      </w:pPr>
      <w:r w:rsidRPr="00F55BA6">
        <w:rPr>
          <w:rFonts w:asciiTheme="majorHAnsi" w:eastAsia="Times New Roman" w:hAnsiTheme="majorHAnsi" w:cstheme="majorHAnsi"/>
          <w:b/>
          <w:color w:val="000000" w:themeColor="text1"/>
          <w:sz w:val="20"/>
          <w:szCs w:val="20"/>
          <w:lang w:val="ro-RO" w:bidi="ro-RO"/>
        </w:rPr>
        <w:t>(m</w:t>
      </w:r>
      <w:r w:rsidR="007A6FD7" w:rsidRPr="00F55BA6">
        <w:rPr>
          <w:rFonts w:asciiTheme="majorHAnsi" w:eastAsia="Times New Roman" w:hAnsiTheme="majorHAnsi" w:cstheme="majorHAnsi"/>
          <w:b/>
          <w:color w:val="000000" w:themeColor="text1"/>
          <w:sz w:val="20"/>
          <w:szCs w:val="20"/>
          <w:lang w:val="ro-RO" w:bidi="ro-RO"/>
        </w:rPr>
        <w:t>il. lei</w:t>
      </w:r>
      <w:r w:rsidRPr="00F55BA6">
        <w:rPr>
          <w:rFonts w:asciiTheme="majorHAnsi" w:eastAsia="Times New Roman" w:hAnsiTheme="majorHAnsi" w:cstheme="majorHAnsi"/>
          <w:b/>
          <w:color w:val="000000" w:themeColor="text1"/>
          <w:sz w:val="20"/>
          <w:szCs w:val="20"/>
          <w:lang w:val="ro-RO" w:bidi="ro-RO"/>
        </w:rPr>
        <w:t>)</w:t>
      </w:r>
    </w:p>
    <w:tbl>
      <w:tblPr>
        <w:tblW w:w="6780" w:type="dxa"/>
        <w:jc w:val="center"/>
        <w:tblLook w:val="04A0" w:firstRow="1" w:lastRow="0" w:firstColumn="1" w:lastColumn="0" w:noHBand="0" w:noVBand="1"/>
      </w:tblPr>
      <w:tblGrid>
        <w:gridCol w:w="562"/>
        <w:gridCol w:w="4820"/>
        <w:gridCol w:w="1391"/>
        <w:gridCol w:w="7"/>
      </w:tblGrid>
      <w:tr w:rsidR="007A6FD7" w:rsidRPr="00A053FD" w:rsidTr="003257A8">
        <w:trPr>
          <w:gridAfter w:val="1"/>
          <w:wAfter w:w="7" w:type="dxa"/>
          <w:trHeight w:val="782"/>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6FD7" w:rsidRPr="00F55BA6" w:rsidRDefault="007A6FD7" w:rsidP="00055740">
            <w:pPr>
              <w:spacing w:after="0" w:line="240" w:lineRule="auto"/>
              <w:jc w:val="left"/>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Nr. d/o</w:t>
            </w:r>
          </w:p>
        </w:tc>
        <w:tc>
          <w:tcPr>
            <w:tcW w:w="4820" w:type="dxa"/>
            <w:tcBorders>
              <w:top w:val="single" w:sz="4" w:space="0" w:color="auto"/>
              <w:left w:val="nil"/>
              <w:bottom w:val="single" w:sz="4" w:space="0" w:color="auto"/>
              <w:right w:val="single" w:sz="4" w:space="0" w:color="auto"/>
            </w:tcBorders>
            <w:shd w:val="clear" w:color="auto" w:fill="auto"/>
            <w:noWrap/>
            <w:vAlign w:val="center"/>
            <w:hideMark/>
          </w:tcPr>
          <w:p w:rsidR="007A6FD7" w:rsidRPr="00F55BA6" w:rsidRDefault="007A6FD7" w:rsidP="0005574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 xml:space="preserve">Denumirea contribuabilului </w:t>
            </w:r>
          </w:p>
        </w:tc>
        <w:tc>
          <w:tcPr>
            <w:tcW w:w="1391" w:type="dxa"/>
            <w:tcBorders>
              <w:top w:val="single" w:sz="4" w:space="0" w:color="auto"/>
              <w:left w:val="nil"/>
              <w:bottom w:val="single" w:sz="4" w:space="0" w:color="auto"/>
              <w:right w:val="single" w:sz="4" w:space="0" w:color="auto"/>
            </w:tcBorders>
            <w:shd w:val="clear" w:color="auto" w:fill="auto"/>
            <w:vAlign w:val="center"/>
            <w:hideMark/>
          </w:tcPr>
          <w:p w:rsidR="007A6FD7" w:rsidRPr="00F55BA6" w:rsidRDefault="007A6FD7" w:rsidP="0005574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Suma subvenției</w:t>
            </w:r>
          </w:p>
          <w:p w:rsidR="007A6FD7" w:rsidRPr="00F55BA6" w:rsidRDefault="007A6FD7" w:rsidP="0005574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executate</w:t>
            </w:r>
          </w:p>
        </w:tc>
      </w:tr>
      <w:tr w:rsidR="007A6FD7" w:rsidRPr="00A053FD" w:rsidTr="00EA7546">
        <w:trPr>
          <w:gridAfter w:val="1"/>
          <w:wAfter w:w="7" w:type="dxa"/>
          <w:trHeight w:val="288"/>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7A6FD7" w:rsidRPr="00F55BA6" w:rsidRDefault="007A6FD7" w:rsidP="00B564EF">
            <w:pPr>
              <w:spacing w:after="0" w:line="240" w:lineRule="auto"/>
              <w:jc w:val="center"/>
              <w:rPr>
                <w:rFonts w:asciiTheme="majorHAnsi" w:eastAsia="Times New Roman" w:hAnsiTheme="majorHAnsi" w:cstheme="majorHAnsi"/>
                <w:b/>
                <w:color w:val="000000"/>
                <w:sz w:val="20"/>
                <w:szCs w:val="20"/>
                <w:lang w:val="ro-RO"/>
              </w:rPr>
            </w:pPr>
            <w:r w:rsidRPr="00F55BA6">
              <w:rPr>
                <w:rFonts w:asciiTheme="majorHAnsi" w:eastAsia="Times New Roman" w:hAnsiTheme="majorHAnsi" w:cstheme="majorHAnsi"/>
                <w:b/>
                <w:color w:val="000000"/>
                <w:sz w:val="20"/>
                <w:szCs w:val="20"/>
                <w:lang w:val="ro-RO"/>
              </w:rPr>
              <w:t>1</w:t>
            </w:r>
          </w:p>
        </w:tc>
        <w:tc>
          <w:tcPr>
            <w:tcW w:w="4820" w:type="dxa"/>
            <w:tcBorders>
              <w:top w:val="nil"/>
              <w:left w:val="nil"/>
              <w:bottom w:val="single" w:sz="4" w:space="0" w:color="auto"/>
              <w:right w:val="single" w:sz="4" w:space="0" w:color="auto"/>
            </w:tcBorders>
            <w:shd w:val="clear" w:color="auto" w:fill="auto"/>
            <w:noWrap/>
            <w:vAlign w:val="center"/>
            <w:hideMark/>
          </w:tcPr>
          <w:p w:rsidR="007A6FD7" w:rsidRPr="00F55BA6" w:rsidRDefault="007A6FD7" w:rsidP="0005574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SE BORDNETZE S.R.L.</w:t>
            </w:r>
          </w:p>
        </w:tc>
        <w:tc>
          <w:tcPr>
            <w:tcW w:w="1391" w:type="dxa"/>
            <w:tcBorders>
              <w:top w:val="nil"/>
              <w:left w:val="nil"/>
              <w:bottom w:val="single" w:sz="4" w:space="0" w:color="auto"/>
              <w:right w:val="single" w:sz="4" w:space="0" w:color="auto"/>
            </w:tcBorders>
            <w:shd w:val="clear" w:color="auto" w:fill="auto"/>
            <w:noWrap/>
            <w:vAlign w:val="center"/>
            <w:hideMark/>
          </w:tcPr>
          <w:p w:rsidR="007A6FD7" w:rsidRPr="00F55BA6" w:rsidRDefault="007A6FD7" w:rsidP="0005574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7,81</w:t>
            </w:r>
          </w:p>
        </w:tc>
      </w:tr>
      <w:tr w:rsidR="007A6FD7" w:rsidRPr="00A053FD" w:rsidTr="00EA7546">
        <w:trPr>
          <w:gridAfter w:val="1"/>
          <w:wAfter w:w="7" w:type="dxa"/>
          <w:trHeight w:val="288"/>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7A6FD7" w:rsidRPr="00F55BA6" w:rsidRDefault="007A6FD7" w:rsidP="00B564EF">
            <w:pPr>
              <w:spacing w:after="0" w:line="240" w:lineRule="auto"/>
              <w:jc w:val="center"/>
              <w:rPr>
                <w:rFonts w:asciiTheme="majorHAnsi" w:eastAsia="Times New Roman" w:hAnsiTheme="majorHAnsi" w:cstheme="majorHAnsi"/>
                <w:b/>
                <w:color w:val="000000"/>
                <w:sz w:val="20"/>
                <w:szCs w:val="20"/>
                <w:lang w:val="ro-RO"/>
              </w:rPr>
            </w:pPr>
            <w:r w:rsidRPr="00F55BA6">
              <w:rPr>
                <w:rFonts w:asciiTheme="majorHAnsi" w:eastAsia="Times New Roman" w:hAnsiTheme="majorHAnsi" w:cstheme="majorHAnsi"/>
                <w:b/>
                <w:color w:val="000000"/>
                <w:sz w:val="20"/>
                <w:szCs w:val="20"/>
                <w:lang w:val="ro-RO"/>
              </w:rPr>
              <w:t>2</w:t>
            </w:r>
          </w:p>
        </w:tc>
        <w:tc>
          <w:tcPr>
            <w:tcW w:w="4820" w:type="dxa"/>
            <w:tcBorders>
              <w:top w:val="nil"/>
              <w:left w:val="nil"/>
              <w:bottom w:val="single" w:sz="4" w:space="0" w:color="auto"/>
              <w:right w:val="single" w:sz="4" w:space="0" w:color="auto"/>
            </w:tcBorders>
            <w:shd w:val="clear" w:color="auto" w:fill="auto"/>
            <w:noWrap/>
            <w:vAlign w:val="center"/>
            <w:hideMark/>
          </w:tcPr>
          <w:p w:rsidR="007A6FD7" w:rsidRPr="00F55BA6" w:rsidRDefault="007A6FD7" w:rsidP="0005574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C.A. AIR MOLDOVA S.R.L.</w:t>
            </w:r>
          </w:p>
        </w:tc>
        <w:tc>
          <w:tcPr>
            <w:tcW w:w="1391" w:type="dxa"/>
            <w:tcBorders>
              <w:top w:val="nil"/>
              <w:left w:val="nil"/>
              <w:bottom w:val="single" w:sz="4" w:space="0" w:color="auto"/>
              <w:right w:val="single" w:sz="4" w:space="0" w:color="auto"/>
            </w:tcBorders>
            <w:shd w:val="clear" w:color="auto" w:fill="auto"/>
            <w:noWrap/>
            <w:vAlign w:val="center"/>
            <w:hideMark/>
          </w:tcPr>
          <w:p w:rsidR="007A6FD7" w:rsidRPr="00F55BA6" w:rsidRDefault="007A6FD7" w:rsidP="0005574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4,22</w:t>
            </w:r>
          </w:p>
        </w:tc>
      </w:tr>
      <w:tr w:rsidR="007A6FD7" w:rsidRPr="00A053FD" w:rsidTr="00EA7546">
        <w:trPr>
          <w:gridAfter w:val="1"/>
          <w:wAfter w:w="7" w:type="dxa"/>
          <w:trHeight w:val="288"/>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7A6FD7" w:rsidRPr="00F55BA6" w:rsidRDefault="007A6FD7" w:rsidP="00B564EF">
            <w:pPr>
              <w:spacing w:after="0" w:line="240" w:lineRule="auto"/>
              <w:jc w:val="center"/>
              <w:rPr>
                <w:rFonts w:asciiTheme="majorHAnsi" w:eastAsia="Times New Roman" w:hAnsiTheme="majorHAnsi" w:cstheme="majorHAnsi"/>
                <w:b/>
                <w:color w:val="000000"/>
                <w:sz w:val="20"/>
                <w:szCs w:val="20"/>
                <w:lang w:val="ro-RO"/>
              </w:rPr>
            </w:pPr>
            <w:r w:rsidRPr="00F55BA6">
              <w:rPr>
                <w:rFonts w:asciiTheme="majorHAnsi" w:eastAsia="Times New Roman" w:hAnsiTheme="majorHAnsi" w:cstheme="majorHAnsi"/>
                <w:b/>
                <w:color w:val="000000"/>
                <w:sz w:val="20"/>
                <w:szCs w:val="20"/>
                <w:lang w:val="ro-RO"/>
              </w:rPr>
              <w:t>3</w:t>
            </w:r>
          </w:p>
        </w:tc>
        <w:tc>
          <w:tcPr>
            <w:tcW w:w="4820" w:type="dxa"/>
            <w:tcBorders>
              <w:top w:val="nil"/>
              <w:left w:val="nil"/>
              <w:bottom w:val="single" w:sz="4" w:space="0" w:color="auto"/>
              <w:right w:val="single" w:sz="4" w:space="0" w:color="auto"/>
            </w:tcBorders>
            <w:shd w:val="clear" w:color="auto" w:fill="auto"/>
            <w:noWrap/>
            <w:vAlign w:val="center"/>
            <w:hideMark/>
          </w:tcPr>
          <w:p w:rsidR="007A6FD7" w:rsidRPr="00F55BA6" w:rsidRDefault="007A6FD7" w:rsidP="0005574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I.C.S. DRA DRAEXLMAIER AUTOMOTIVE S.R.L.</w:t>
            </w:r>
          </w:p>
        </w:tc>
        <w:tc>
          <w:tcPr>
            <w:tcW w:w="1391" w:type="dxa"/>
            <w:tcBorders>
              <w:top w:val="nil"/>
              <w:left w:val="nil"/>
              <w:bottom w:val="single" w:sz="4" w:space="0" w:color="auto"/>
              <w:right w:val="single" w:sz="4" w:space="0" w:color="auto"/>
            </w:tcBorders>
            <w:shd w:val="clear" w:color="auto" w:fill="auto"/>
            <w:noWrap/>
            <w:vAlign w:val="center"/>
            <w:hideMark/>
          </w:tcPr>
          <w:p w:rsidR="007A6FD7" w:rsidRPr="00F55BA6" w:rsidRDefault="007A6FD7" w:rsidP="0005574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3,46</w:t>
            </w:r>
          </w:p>
        </w:tc>
      </w:tr>
      <w:tr w:rsidR="007A6FD7" w:rsidRPr="00A053FD" w:rsidTr="00EA7546">
        <w:trPr>
          <w:gridAfter w:val="1"/>
          <w:wAfter w:w="7" w:type="dxa"/>
          <w:trHeight w:val="288"/>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7A6FD7" w:rsidRPr="00F55BA6" w:rsidRDefault="007A6FD7" w:rsidP="00B564EF">
            <w:pPr>
              <w:spacing w:after="0" w:line="240" w:lineRule="auto"/>
              <w:jc w:val="center"/>
              <w:rPr>
                <w:rFonts w:asciiTheme="majorHAnsi" w:eastAsia="Times New Roman" w:hAnsiTheme="majorHAnsi" w:cstheme="majorHAnsi"/>
                <w:b/>
                <w:color w:val="000000"/>
                <w:sz w:val="20"/>
                <w:szCs w:val="20"/>
                <w:lang w:val="ro-RO"/>
              </w:rPr>
            </w:pPr>
            <w:r w:rsidRPr="00F55BA6">
              <w:rPr>
                <w:rFonts w:asciiTheme="majorHAnsi" w:eastAsia="Times New Roman" w:hAnsiTheme="majorHAnsi" w:cstheme="majorHAnsi"/>
                <w:b/>
                <w:color w:val="000000"/>
                <w:sz w:val="20"/>
                <w:szCs w:val="20"/>
                <w:lang w:val="ro-RO"/>
              </w:rPr>
              <w:t>4</w:t>
            </w:r>
          </w:p>
        </w:tc>
        <w:tc>
          <w:tcPr>
            <w:tcW w:w="4820" w:type="dxa"/>
            <w:tcBorders>
              <w:top w:val="nil"/>
              <w:left w:val="nil"/>
              <w:bottom w:val="single" w:sz="4" w:space="0" w:color="auto"/>
              <w:right w:val="single" w:sz="4" w:space="0" w:color="auto"/>
            </w:tcBorders>
            <w:shd w:val="clear" w:color="auto" w:fill="auto"/>
            <w:noWrap/>
            <w:vAlign w:val="center"/>
            <w:hideMark/>
          </w:tcPr>
          <w:p w:rsidR="007A6FD7" w:rsidRPr="00F55BA6" w:rsidRDefault="007A6FD7" w:rsidP="0005574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CALEA FERATA DIN MOLDOVA I.S.</w:t>
            </w:r>
          </w:p>
        </w:tc>
        <w:tc>
          <w:tcPr>
            <w:tcW w:w="1391" w:type="dxa"/>
            <w:tcBorders>
              <w:top w:val="nil"/>
              <w:left w:val="nil"/>
              <w:bottom w:val="single" w:sz="4" w:space="0" w:color="auto"/>
              <w:right w:val="single" w:sz="4" w:space="0" w:color="auto"/>
            </w:tcBorders>
            <w:shd w:val="clear" w:color="auto" w:fill="auto"/>
            <w:noWrap/>
            <w:vAlign w:val="center"/>
            <w:hideMark/>
          </w:tcPr>
          <w:p w:rsidR="007A6FD7" w:rsidRPr="00F55BA6" w:rsidRDefault="007A6FD7" w:rsidP="0005574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3,05</w:t>
            </w:r>
          </w:p>
        </w:tc>
      </w:tr>
      <w:tr w:rsidR="007A6FD7" w:rsidRPr="00A053FD" w:rsidTr="00EA7546">
        <w:trPr>
          <w:gridAfter w:val="1"/>
          <w:wAfter w:w="7" w:type="dxa"/>
          <w:trHeight w:val="288"/>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7A6FD7" w:rsidRPr="00F55BA6" w:rsidRDefault="007A6FD7" w:rsidP="00B564EF">
            <w:pPr>
              <w:spacing w:after="0" w:line="240" w:lineRule="auto"/>
              <w:jc w:val="center"/>
              <w:rPr>
                <w:rFonts w:asciiTheme="majorHAnsi" w:eastAsia="Times New Roman" w:hAnsiTheme="majorHAnsi" w:cstheme="majorHAnsi"/>
                <w:b/>
                <w:color w:val="000000"/>
                <w:sz w:val="20"/>
                <w:szCs w:val="20"/>
                <w:lang w:val="ro-RO"/>
              </w:rPr>
            </w:pPr>
            <w:r w:rsidRPr="00F55BA6">
              <w:rPr>
                <w:rFonts w:asciiTheme="majorHAnsi" w:eastAsia="Times New Roman" w:hAnsiTheme="majorHAnsi" w:cstheme="majorHAnsi"/>
                <w:b/>
                <w:color w:val="000000"/>
                <w:sz w:val="20"/>
                <w:szCs w:val="20"/>
                <w:lang w:val="ro-RO"/>
              </w:rPr>
              <w:t>5</w:t>
            </w:r>
          </w:p>
        </w:tc>
        <w:tc>
          <w:tcPr>
            <w:tcW w:w="4820" w:type="dxa"/>
            <w:tcBorders>
              <w:top w:val="nil"/>
              <w:left w:val="nil"/>
              <w:bottom w:val="single" w:sz="4" w:space="0" w:color="auto"/>
              <w:right w:val="single" w:sz="4" w:space="0" w:color="auto"/>
            </w:tcBorders>
            <w:shd w:val="clear" w:color="auto" w:fill="auto"/>
            <w:noWrap/>
            <w:vAlign w:val="center"/>
            <w:hideMark/>
          </w:tcPr>
          <w:p w:rsidR="007A6FD7" w:rsidRPr="00F55BA6" w:rsidRDefault="007A6FD7" w:rsidP="0005574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DFM S.R.L.</w:t>
            </w:r>
          </w:p>
        </w:tc>
        <w:tc>
          <w:tcPr>
            <w:tcW w:w="1391" w:type="dxa"/>
            <w:tcBorders>
              <w:top w:val="nil"/>
              <w:left w:val="nil"/>
              <w:bottom w:val="single" w:sz="4" w:space="0" w:color="auto"/>
              <w:right w:val="single" w:sz="4" w:space="0" w:color="auto"/>
            </w:tcBorders>
            <w:shd w:val="clear" w:color="auto" w:fill="auto"/>
            <w:noWrap/>
            <w:vAlign w:val="center"/>
            <w:hideMark/>
          </w:tcPr>
          <w:p w:rsidR="007A6FD7" w:rsidRPr="00F55BA6" w:rsidRDefault="007A6FD7" w:rsidP="0005574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1,88</w:t>
            </w:r>
          </w:p>
        </w:tc>
      </w:tr>
      <w:tr w:rsidR="007A6FD7" w:rsidRPr="00A053FD" w:rsidTr="00EA7546">
        <w:trPr>
          <w:gridAfter w:val="1"/>
          <w:wAfter w:w="7" w:type="dxa"/>
          <w:trHeight w:val="288"/>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7A6FD7" w:rsidRPr="00F55BA6" w:rsidRDefault="007A6FD7" w:rsidP="00B564EF">
            <w:pPr>
              <w:spacing w:after="0" w:line="240" w:lineRule="auto"/>
              <w:jc w:val="center"/>
              <w:rPr>
                <w:rFonts w:asciiTheme="majorHAnsi" w:eastAsia="Times New Roman" w:hAnsiTheme="majorHAnsi" w:cstheme="majorHAnsi"/>
                <w:b/>
                <w:color w:val="000000"/>
                <w:sz w:val="20"/>
                <w:szCs w:val="20"/>
                <w:lang w:val="ro-RO"/>
              </w:rPr>
            </w:pPr>
            <w:r w:rsidRPr="00F55BA6">
              <w:rPr>
                <w:rFonts w:asciiTheme="majorHAnsi" w:eastAsia="Times New Roman" w:hAnsiTheme="majorHAnsi" w:cstheme="majorHAnsi"/>
                <w:b/>
                <w:color w:val="000000"/>
                <w:sz w:val="20"/>
                <w:szCs w:val="20"/>
                <w:lang w:val="ro-RO"/>
              </w:rPr>
              <w:t>6</w:t>
            </w:r>
          </w:p>
        </w:tc>
        <w:tc>
          <w:tcPr>
            <w:tcW w:w="4820" w:type="dxa"/>
            <w:tcBorders>
              <w:top w:val="nil"/>
              <w:left w:val="nil"/>
              <w:bottom w:val="single" w:sz="4" w:space="0" w:color="auto"/>
              <w:right w:val="single" w:sz="4" w:space="0" w:color="auto"/>
            </w:tcBorders>
            <w:shd w:val="clear" w:color="auto" w:fill="auto"/>
            <w:noWrap/>
            <w:vAlign w:val="center"/>
            <w:hideMark/>
          </w:tcPr>
          <w:p w:rsidR="007A6FD7" w:rsidRPr="00F55BA6" w:rsidRDefault="007A6FD7" w:rsidP="00A053FD">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AP</w:t>
            </w:r>
            <w:r w:rsidR="00A053FD">
              <w:rPr>
                <w:rFonts w:asciiTheme="majorHAnsi" w:eastAsia="Times New Roman" w:hAnsiTheme="majorHAnsi" w:cstheme="majorHAnsi"/>
                <w:color w:val="000000"/>
                <w:sz w:val="20"/>
                <w:szCs w:val="20"/>
                <w:lang w:val="ro-RO"/>
              </w:rPr>
              <w:t>Ă</w:t>
            </w:r>
            <w:r w:rsidRPr="00F55BA6">
              <w:rPr>
                <w:rFonts w:asciiTheme="majorHAnsi" w:eastAsia="Times New Roman" w:hAnsiTheme="majorHAnsi" w:cstheme="majorHAnsi"/>
                <w:color w:val="000000"/>
                <w:sz w:val="20"/>
                <w:szCs w:val="20"/>
                <w:lang w:val="ro-RO"/>
              </w:rPr>
              <w:t>-CANAL CHI</w:t>
            </w:r>
            <w:r w:rsidR="00A053FD">
              <w:rPr>
                <w:rFonts w:asciiTheme="majorHAnsi" w:eastAsia="Times New Roman" w:hAnsiTheme="majorHAnsi" w:cstheme="majorHAnsi"/>
                <w:color w:val="000000"/>
                <w:sz w:val="20"/>
                <w:szCs w:val="20"/>
                <w:lang w:val="ro-RO"/>
              </w:rPr>
              <w:t>Ș</w:t>
            </w:r>
            <w:r w:rsidRPr="00F55BA6">
              <w:rPr>
                <w:rFonts w:asciiTheme="majorHAnsi" w:eastAsia="Times New Roman" w:hAnsiTheme="majorHAnsi" w:cstheme="majorHAnsi"/>
                <w:color w:val="000000"/>
                <w:sz w:val="20"/>
                <w:szCs w:val="20"/>
                <w:lang w:val="ro-RO"/>
              </w:rPr>
              <w:t>IN</w:t>
            </w:r>
            <w:r w:rsidR="00A053FD">
              <w:rPr>
                <w:rFonts w:asciiTheme="majorHAnsi" w:eastAsia="Times New Roman" w:hAnsiTheme="majorHAnsi" w:cstheme="majorHAnsi"/>
                <w:color w:val="000000"/>
                <w:sz w:val="20"/>
                <w:szCs w:val="20"/>
                <w:lang w:val="ro-RO"/>
              </w:rPr>
              <w:t>Ă</w:t>
            </w:r>
            <w:r w:rsidRPr="00F55BA6">
              <w:rPr>
                <w:rFonts w:asciiTheme="majorHAnsi" w:eastAsia="Times New Roman" w:hAnsiTheme="majorHAnsi" w:cstheme="majorHAnsi"/>
                <w:color w:val="000000"/>
                <w:sz w:val="20"/>
                <w:szCs w:val="20"/>
                <w:lang w:val="ro-RO"/>
              </w:rPr>
              <w:t>U S.A.</w:t>
            </w:r>
          </w:p>
        </w:tc>
        <w:tc>
          <w:tcPr>
            <w:tcW w:w="1391" w:type="dxa"/>
            <w:tcBorders>
              <w:top w:val="nil"/>
              <w:left w:val="nil"/>
              <w:bottom w:val="single" w:sz="4" w:space="0" w:color="auto"/>
              <w:right w:val="single" w:sz="4" w:space="0" w:color="auto"/>
            </w:tcBorders>
            <w:shd w:val="clear" w:color="auto" w:fill="auto"/>
            <w:noWrap/>
            <w:vAlign w:val="center"/>
            <w:hideMark/>
          </w:tcPr>
          <w:p w:rsidR="007A6FD7" w:rsidRPr="00F55BA6" w:rsidRDefault="007A6FD7" w:rsidP="0005574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1,85</w:t>
            </w:r>
          </w:p>
        </w:tc>
      </w:tr>
      <w:tr w:rsidR="007A6FD7" w:rsidRPr="00A053FD" w:rsidTr="00EA7546">
        <w:trPr>
          <w:gridAfter w:val="1"/>
          <w:wAfter w:w="7" w:type="dxa"/>
          <w:trHeight w:val="288"/>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7A6FD7" w:rsidRPr="00F55BA6" w:rsidRDefault="007A6FD7" w:rsidP="00B564EF">
            <w:pPr>
              <w:spacing w:after="0" w:line="240" w:lineRule="auto"/>
              <w:jc w:val="center"/>
              <w:rPr>
                <w:rFonts w:asciiTheme="majorHAnsi" w:eastAsia="Times New Roman" w:hAnsiTheme="majorHAnsi" w:cstheme="majorHAnsi"/>
                <w:b/>
                <w:color w:val="000000"/>
                <w:sz w:val="20"/>
                <w:szCs w:val="20"/>
                <w:lang w:val="ro-RO"/>
              </w:rPr>
            </w:pPr>
            <w:r w:rsidRPr="00F55BA6">
              <w:rPr>
                <w:rFonts w:asciiTheme="majorHAnsi" w:eastAsia="Times New Roman" w:hAnsiTheme="majorHAnsi" w:cstheme="majorHAnsi"/>
                <w:b/>
                <w:color w:val="000000"/>
                <w:sz w:val="20"/>
                <w:szCs w:val="20"/>
                <w:lang w:val="ro-RO"/>
              </w:rPr>
              <w:t>7</w:t>
            </w:r>
          </w:p>
        </w:tc>
        <w:tc>
          <w:tcPr>
            <w:tcW w:w="4820" w:type="dxa"/>
            <w:tcBorders>
              <w:top w:val="nil"/>
              <w:left w:val="nil"/>
              <w:bottom w:val="single" w:sz="4" w:space="0" w:color="auto"/>
              <w:right w:val="single" w:sz="4" w:space="0" w:color="auto"/>
            </w:tcBorders>
            <w:shd w:val="clear" w:color="auto" w:fill="auto"/>
            <w:noWrap/>
            <w:vAlign w:val="center"/>
            <w:hideMark/>
          </w:tcPr>
          <w:p w:rsidR="007A6FD7" w:rsidRPr="00F55BA6" w:rsidRDefault="007A6FD7" w:rsidP="0005574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TERMOELECTRICA S.A.</w:t>
            </w:r>
          </w:p>
        </w:tc>
        <w:tc>
          <w:tcPr>
            <w:tcW w:w="1391" w:type="dxa"/>
            <w:tcBorders>
              <w:top w:val="nil"/>
              <w:left w:val="nil"/>
              <w:bottom w:val="single" w:sz="4" w:space="0" w:color="auto"/>
              <w:right w:val="single" w:sz="4" w:space="0" w:color="auto"/>
            </w:tcBorders>
            <w:shd w:val="clear" w:color="auto" w:fill="auto"/>
            <w:noWrap/>
            <w:vAlign w:val="center"/>
            <w:hideMark/>
          </w:tcPr>
          <w:p w:rsidR="007A6FD7" w:rsidRPr="00F55BA6" w:rsidRDefault="007A6FD7" w:rsidP="0005574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1,61</w:t>
            </w:r>
          </w:p>
        </w:tc>
      </w:tr>
      <w:tr w:rsidR="007A6FD7" w:rsidRPr="00A053FD" w:rsidTr="00EA7546">
        <w:trPr>
          <w:gridAfter w:val="1"/>
          <w:wAfter w:w="7" w:type="dxa"/>
          <w:trHeight w:val="288"/>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7A6FD7" w:rsidRPr="00F55BA6" w:rsidRDefault="007A6FD7" w:rsidP="00B564EF">
            <w:pPr>
              <w:spacing w:after="0" w:line="240" w:lineRule="auto"/>
              <w:jc w:val="center"/>
              <w:rPr>
                <w:rFonts w:asciiTheme="majorHAnsi" w:eastAsia="Times New Roman" w:hAnsiTheme="majorHAnsi" w:cstheme="majorHAnsi"/>
                <w:b/>
                <w:color w:val="000000"/>
                <w:sz w:val="20"/>
                <w:szCs w:val="20"/>
                <w:lang w:val="ro-RO"/>
              </w:rPr>
            </w:pPr>
            <w:r w:rsidRPr="00F55BA6">
              <w:rPr>
                <w:rFonts w:asciiTheme="majorHAnsi" w:eastAsia="Times New Roman" w:hAnsiTheme="majorHAnsi" w:cstheme="majorHAnsi"/>
                <w:b/>
                <w:color w:val="000000"/>
                <w:sz w:val="20"/>
                <w:szCs w:val="20"/>
                <w:lang w:val="ro-RO"/>
              </w:rPr>
              <w:t>8</w:t>
            </w:r>
          </w:p>
        </w:tc>
        <w:tc>
          <w:tcPr>
            <w:tcW w:w="4820" w:type="dxa"/>
            <w:tcBorders>
              <w:top w:val="nil"/>
              <w:left w:val="nil"/>
              <w:bottom w:val="single" w:sz="4" w:space="0" w:color="auto"/>
              <w:right w:val="single" w:sz="4" w:space="0" w:color="auto"/>
            </w:tcBorders>
            <w:shd w:val="clear" w:color="auto" w:fill="auto"/>
            <w:noWrap/>
            <w:vAlign w:val="center"/>
            <w:hideMark/>
          </w:tcPr>
          <w:p w:rsidR="007A6FD7" w:rsidRPr="00F55BA6" w:rsidRDefault="007A6FD7" w:rsidP="0005574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 xml:space="preserve">LICEUL TEORETIC </w:t>
            </w:r>
            <w:r w:rsidR="00A053FD">
              <w:rPr>
                <w:rFonts w:asciiTheme="majorHAnsi" w:eastAsia="Times New Roman" w:hAnsiTheme="majorHAnsi" w:cstheme="majorHAnsi"/>
                <w:color w:val="000000"/>
                <w:sz w:val="20"/>
                <w:szCs w:val="20"/>
                <w:lang w:val="ro-RO"/>
              </w:rPr>
              <w:t>„</w:t>
            </w:r>
            <w:r w:rsidRPr="00F55BA6">
              <w:rPr>
                <w:rFonts w:asciiTheme="majorHAnsi" w:eastAsia="Times New Roman" w:hAnsiTheme="majorHAnsi" w:cstheme="majorHAnsi"/>
                <w:color w:val="000000"/>
                <w:sz w:val="20"/>
                <w:szCs w:val="20"/>
                <w:lang w:val="ro-RO"/>
              </w:rPr>
              <w:t>ORIZONT</w:t>
            </w:r>
            <w:r w:rsidR="00A053FD">
              <w:rPr>
                <w:rFonts w:asciiTheme="majorHAnsi" w:eastAsia="Times New Roman" w:hAnsiTheme="majorHAnsi" w:cstheme="majorHAnsi"/>
                <w:color w:val="000000"/>
                <w:sz w:val="20"/>
                <w:szCs w:val="20"/>
                <w:lang w:val="ro-RO"/>
              </w:rPr>
              <w:t>”</w:t>
            </w:r>
          </w:p>
        </w:tc>
        <w:tc>
          <w:tcPr>
            <w:tcW w:w="1391" w:type="dxa"/>
            <w:tcBorders>
              <w:top w:val="nil"/>
              <w:left w:val="nil"/>
              <w:bottom w:val="single" w:sz="4" w:space="0" w:color="auto"/>
              <w:right w:val="single" w:sz="4" w:space="0" w:color="auto"/>
            </w:tcBorders>
            <w:shd w:val="clear" w:color="auto" w:fill="auto"/>
            <w:noWrap/>
            <w:vAlign w:val="center"/>
            <w:hideMark/>
          </w:tcPr>
          <w:p w:rsidR="007A6FD7" w:rsidRPr="00F55BA6" w:rsidRDefault="007A6FD7" w:rsidP="0005574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1,52</w:t>
            </w:r>
          </w:p>
        </w:tc>
      </w:tr>
      <w:tr w:rsidR="007A6FD7" w:rsidRPr="00A053FD" w:rsidTr="00EA7546">
        <w:trPr>
          <w:gridAfter w:val="1"/>
          <w:wAfter w:w="7" w:type="dxa"/>
          <w:trHeight w:val="288"/>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7A6FD7" w:rsidRPr="00F55BA6" w:rsidRDefault="007A6FD7" w:rsidP="00B564EF">
            <w:pPr>
              <w:spacing w:after="0" w:line="240" w:lineRule="auto"/>
              <w:jc w:val="center"/>
              <w:rPr>
                <w:rFonts w:asciiTheme="majorHAnsi" w:eastAsia="Times New Roman" w:hAnsiTheme="majorHAnsi" w:cstheme="majorHAnsi"/>
                <w:b/>
                <w:color w:val="000000"/>
                <w:sz w:val="20"/>
                <w:szCs w:val="20"/>
                <w:lang w:val="ro-RO"/>
              </w:rPr>
            </w:pPr>
            <w:r w:rsidRPr="00F55BA6">
              <w:rPr>
                <w:rFonts w:asciiTheme="majorHAnsi" w:eastAsia="Times New Roman" w:hAnsiTheme="majorHAnsi" w:cstheme="majorHAnsi"/>
                <w:b/>
                <w:color w:val="000000"/>
                <w:sz w:val="20"/>
                <w:szCs w:val="20"/>
                <w:lang w:val="ro-RO"/>
              </w:rPr>
              <w:t>9</w:t>
            </w:r>
          </w:p>
        </w:tc>
        <w:tc>
          <w:tcPr>
            <w:tcW w:w="4820" w:type="dxa"/>
            <w:tcBorders>
              <w:top w:val="nil"/>
              <w:left w:val="nil"/>
              <w:bottom w:val="single" w:sz="4" w:space="0" w:color="auto"/>
              <w:right w:val="single" w:sz="4" w:space="0" w:color="auto"/>
            </w:tcBorders>
            <w:shd w:val="clear" w:color="auto" w:fill="auto"/>
            <w:noWrap/>
            <w:vAlign w:val="center"/>
            <w:hideMark/>
          </w:tcPr>
          <w:p w:rsidR="007A6FD7" w:rsidRPr="00F55BA6" w:rsidRDefault="007A6FD7" w:rsidP="0005574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AEROPORT HANDLING S.R.L.</w:t>
            </w:r>
          </w:p>
        </w:tc>
        <w:tc>
          <w:tcPr>
            <w:tcW w:w="1391" w:type="dxa"/>
            <w:tcBorders>
              <w:top w:val="nil"/>
              <w:left w:val="nil"/>
              <w:bottom w:val="single" w:sz="4" w:space="0" w:color="auto"/>
              <w:right w:val="single" w:sz="4" w:space="0" w:color="auto"/>
            </w:tcBorders>
            <w:shd w:val="clear" w:color="auto" w:fill="auto"/>
            <w:noWrap/>
            <w:vAlign w:val="center"/>
            <w:hideMark/>
          </w:tcPr>
          <w:p w:rsidR="007A6FD7" w:rsidRPr="00F55BA6" w:rsidRDefault="007A6FD7" w:rsidP="0005574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1,08</w:t>
            </w:r>
          </w:p>
        </w:tc>
      </w:tr>
      <w:tr w:rsidR="007A6FD7" w:rsidRPr="00A053FD" w:rsidTr="00EA7546">
        <w:trPr>
          <w:gridAfter w:val="1"/>
          <w:wAfter w:w="7" w:type="dxa"/>
          <w:trHeight w:val="288"/>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6FD7" w:rsidRPr="00F55BA6" w:rsidRDefault="007A6FD7" w:rsidP="00B564EF">
            <w:pPr>
              <w:spacing w:after="0" w:line="240" w:lineRule="auto"/>
              <w:jc w:val="center"/>
              <w:rPr>
                <w:rFonts w:asciiTheme="majorHAnsi" w:eastAsia="Times New Roman" w:hAnsiTheme="majorHAnsi" w:cstheme="majorHAnsi"/>
                <w:b/>
                <w:color w:val="000000"/>
                <w:sz w:val="20"/>
                <w:szCs w:val="20"/>
                <w:lang w:val="ro-RO"/>
              </w:rPr>
            </w:pPr>
            <w:r w:rsidRPr="00F55BA6">
              <w:rPr>
                <w:rFonts w:asciiTheme="majorHAnsi" w:eastAsia="Times New Roman" w:hAnsiTheme="majorHAnsi" w:cstheme="majorHAnsi"/>
                <w:b/>
                <w:color w:val="000000"/>
                <w:sz w:val="20"/>
                <w:szCs w:val="20"/>
                <w:lang w:val="ro-RO"/>
              </w:rPr>
              <w:t>10</w:t>
            </w:r>
          </w:p>
        </w:tc>
        <w:tc>
          <w:tcPr>
            <w:tcW w:w="4820" w:type="dxa"/>
            <w:tcBorders>
              <w:top w:val="single" w:sz="4" w:space="0" w:color="auto"/>
              <w:left w:val="nil"/>
              <w:bottom w:val="single" w:sz="4" w:space="0" w:color="auto"/>
              <w:right w:val="single" w:sz="4" w:space="0" w:color="auto"/>
            </w:tcBorders>
            <w:shd w:val="clear" w:color="auto" w:fill="auto"/>
            <w:noWrap/>
            <w:vAlign w:val="center"/>
            <w:hideMark/>
          </w:tcPr>
          <w:p w:rsidR="007A6FD7" w:rsidRPr="00F55BA6" w:rsidRDefault="007A6FD7" w:rsidP="0005574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FUJIKURA AUTOMOTIVE MLD S.R.L.</w:t>
            </w:r>
          </w:p>
        </w:tc>
        <w:tc>
          <w:tcPr>
            <w:tcW w:w="1391" w:type="dxa"/>
            <w:tcBorders>
              <w:top w:val="single" w:sz="4" w:space="0" w:color="auto"/>
              <w:left w:val="nil"/>
              <w:bottom w:val="single" w:sz="4" w:space="0" w:color="auto"/>
              <w:right w:val="single" w:sz="4" w:space="0" w:color="auto"/>
            </w:tcBorders>
            <w:shd w:val="clear" w:color="auto" w:fill="auto"/>
            <w:noWrap/>
            <w:vAlign w:val="center"/>
            <w:hideMark/>
          </w:tcPr>
          <w:p w:rsidR="007A6FD7" w:rsidRPr="00F55BA6" w:rsidRDefault="007A6FD7" w:rsidP="0005574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1,05</w:t>
            </w:r>
          </w:p>
        </w:tc>
      </w:tr>
      <w:tr w:rsidR="007A6FD7" w:rsidRPr="00E4517B" w:rsidTr="00EA7546">
        <w:trPr>
          <w:trHeight w:val="288"/>
          <w:jc w:val="center"/>
        </w:trPr>
        <w:tc>
          <w:tcPr>
            <w:tcW w:w="5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A6FD7" w:rsidRPr="00F55BA6" w:rsidRDefault="007A6FD7" w:rsidP="00055740">
            <w:pPr>
              <w:spacing w:after="0" w:line="240" w:lineRule="auto"/>
              <w:jc w:val="center"/>
              <w:rPr>
                <w:rFonts w:asciiTheme="majorHAnsi" w:eastAsia="Times New Roman" w:hAnsiTheme="majorHAnsi" w:cstheme="majorHAnsi"/>
                <w:b/>
                <w:color w:val="000000"/>
                <w:sz w:val="20"/>
                <w:szCs w:val="20"/>
                <w:lang w:val="ro-RO"/>
              </w:rPr>
            </w:pPr>
            <w:r w:rsidRPr="00F55BA6">
              <w:rPr>
                <w:rFonts w:asciiTheme="majorHAnsi" w:eastAsia="Times New Roman" w:hAnsiTheme="majorHAnsi" w:cstheme="majorHAnsi"/>
                <w:b/>
                <w:color w:val="000000"/>
                <w:sz w:val="20"/>
                <w:szCs w:val="20"/>
                <w:lang w:val="ro-RO"/>
              </w:rPr>
              <w:t>TOTAL</w:t>
            </w:r>
          </w:p>
        </w:tc>
        <w:tc>
          <w:tcPr>
            <w:tcW w:w="1398" w:type="dxa"/>
            <w:gridSpan w:val="2"/>
            <w:tcBorders>
              <w:top w:val="single" w:sz="4" w:space="0" w:color="auto"/>
              <w:left w:val="nil"/>
              <w:bottom w:val="single" w:sz="4" w:space="0" w:color="auto"/>
              <w:right w:val="single" w:sz="4" w:space="0" w:color="auto"/>
            </w:tcBorders>
            <w:shd w:val="clear" w:color="auto" w:fill="auto"/>
            <w:noWrap/>
            <w:vAlign w:val="center"/>
          </w:tcPr>
          <w:p w:rsidR="007A6FD7" w:rsidRPr="00F55BA6" w:rsidRDefault="007A6FD7" w:rsidP="0005574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27,53</w:t>
            </w:r>
          </w:p>
        </w:tc>
      </w:tr>
    </w:tbl>
    <w:p w:rsidR="007A6FD7" w:rsidRPr="00F55BA6" w:rsidRDefault="0026590F" w:rsidP="003B1744">
      <w:pPr>
        <w:jc w:val="right"/>
        <w:rPr>
          <w:rFonts w:asciiTheme="majorHAnsi" w:hAnsiTheme="majorHAnsi" w:cstheme="majorHAnsi"/>
          <w:i/>
          <w:sz w:val="20"/>
          <w:szCs w:val="20"/>
          <w:lang w:val="ro-RO"/>
        </w:rPr>
      </w:pPr>
      <w:r w:rsidRPr="00F55BA6">
        <w:rPr>
          <w:rFonts w:asciiTheme="majorHAnsi" w:hAnsiTheme="majorHAnsi" w:cstheme="majorHAnsi"/>
          <w:b/>
          <w:i/>
          <w:sz w:val="20"/>
          <w:szCs w:val="20"/>
          <w:lang w:val="ro-RO"/>
        </w:rPr>
        <w:t xml:space="preserve">Sursă: </w:t>
      </w:r>
      <w:r w:rsidR="009C0837" w:rsidRPr="00F55BA6">
        <w:rPr>
          <w:rFonts w:asciiTheme="majorHAnsi" w:hAnsiTheme="majorHAnsi" w:cstheme="majorHAnsi"/>
          <w:i/>
          <w:sz w:val="20"/>
          <w:szCs w:val="20"/>
          <w:lang w:val="ro-RO"/>
        </w:rPr>
        <w:t>Informație selectată de către echipa de audit conform documentelor de plată executate în anul 2020.</w:t>
      </w:r>
    </w:p>
    <w:p w:rsidR="003B1744" w:rsidRPr="00F55BA6" w:rsidRDefault="003B1744" w:rsidP="003B1744">
      <w:pPr>
        <w:spacing w:after="0"/>
        <w:jc w:val="right"/>
        <w:rPr>
          <w:rFonts w:asciiTheme="majorHAnsi" w:hAnsiTheme="majorHAnsi" w:cstheme="majorHAnsi"/>
          <w:b/>
          <w:sz w:val="24"/>
          <w:szCs w:val="24"/>
          <w:lang w:val="ro-RO"/>
        </w:rPr>
      </w:pPr>
    </w:p>
    <w:p w:rsidR="00CB76B8" w:rsidRPr="00E4517B" w:rsidRDefault="00CB76B8" w:rsidP="009E14ED">
      <w:pPr>
        <w:spacing w:after="0" w:line="276" w:lineRule="auto"/>
        <w:jc w:val="right"/>
        <w:rPr>
          <w:rFonts w:asciiTheme="majorHAnsi" w:eastAsia="Times New Roman" w:hAnsiTheme="majorHAnsi" w:cstheme="majorHAnsi"/>
          <w:b/>
          <w:sz w:val="24"/>
          <w:szCs w:val="24"/>
          <w:lang w:val="ro-RO" w:eastAsia="ru-RU"/>
        </w:rPr>
      </w:pPr>
    </w:p>
    <w:p w:rsidR="00CB76B8" w:rsidRPr="00973E5B" w:rsidRDefault="00CB76B8" w:rsidP="009E14ED">
      <w:pPr>
        <w:spacing w:after="0" w:line="276" w:lineRule="auto"/>
        <w:jc w:val="right"/>
        <w:rPr>
          <w:rFonts w:asciiTheme="majorHAnsi" w:eastAsia="Times New Roman" w:hAnsiTheme="majorHAnsi" w:cstheme="majorHAnsi"/>
          <w:b/>
          <w:sz w:val="24"/>
          <w:szCs w:val="24"/>
          <w:lang w:val="ro-RO" w:eastAsia="ru-RU"/>
        </w:rPr>
      </w:pPr>
    </w:p>
    <w:p w:rsidR="006E5228" w:rsidRPr="009131CF" w:rsidRDefault="006E5228" w:rsidP="009E14ED">
      <w:pPr>
        <w:spacing w:after="0" w:line="276" w:lineRule="auto"/>
        <w:jc w:val="right"/>
        <w:rPr>
          <w:rFonts w:asciiTheme="majorHAnsi" w:eastAsia="Times New Roman" w:hAnsiTheme="majorHAnsi" w:cstheme="majorHAnsi"/>
          <w:b/>
          <w:sz w:val="24"/>
          <w:szCs w:val="24"/>
          <w:lang w:val="ro-RO" w:eastAsia="ru-RU"/>
        </w:rPr>
      </w:pPr>
    </w:p>
    <w:p w:rsidR="006E5228" w:rsidRPr="00E4517B" w:rsidRDefault="006E5228" w:rsidP="009E14ED">
      <w:pPr>
        <w:spacing w:after="0" w:line="276" w:lineRule="auto"/>
        <w:jc w:val="right"/>
        <w:rPr>
          <w:rFonts w:asciiTheme="majorHAnsi" w:eastAsia="Times New Roman" w:hAnsiTheme="majorHAnsi" w:cstheme="majorHAnsi"/>
          <w:b/>
          <w:sz w:val="24"/>
          <w:szCs w:val="24"/>
          <w:lang w:val="ro-RO" w:eastAsia="ru-RU"/>
        </w:rPr>
      </w:pPr>
    </w:p>
    <w:p w:rsidR="006E5228" w:rsidRPr="00E4517B" w:rsidRDefault="006E5228" w:rsidP="006E5228">
      <w:pPr>
        <w:spacing w:after="0" w:line="276" w:lineRule="auto"/>
        <w:jc w:val="center"/>
        <w:rPr>
          <w:rFonts w:asciiTheme="majorHAnsi" w:eastAsia="Times New Roman" w:hAnsiTheme="majorHAnsi" w:cstheme="majorHAnsi"/>
          <w:b/>
          <w:sz w:val="24"/>
          <w:szCs w:val="24"/>
          <w:lang w:val="ro-RO" w:eastAsia="ru-RU"/>
        </w:rPr>
        <w:sectPr w:rsidR="006E5228" w:rsidRPr="00E4517B" w:rsidSect="002317E9">
          <w:footerReference w:type="default" r:id="rId14"/>
          <w:pgSz w:w="12240" w:h="15840"/>
          <w:pgMar w:top="851" w:right="851" w:bottom="851" w:left="1701" w:header="709" w:footer="709" w:gutter="0"/>
          <w:cols w:space="708"/>
          <w:docGrid w:linePitch="360"/>
        </w:sectPr>
      </w:pPr>
    </w:p>
    <w:p w:rsidR="006E5228" w:rsidRPr="00E4517B" w:rsidRDefault="006E5228" w:rsidP="006E5228">
      <w:pPr>
        <w:spacing w:after="0" w:line="276" w:lineRule="auto"/>
        <w:rPr>
          <w:rFonts w:asciiTheme="majorHAnsi" w:eastAsia="Times New Roman" w:hAnsiTheme="majorHAnsi" w:cstheme="majorHAnsi"/>
          <w:b/>
          <w:sz w:val="24"/>
          <w:szCs w:val="24"/>
          <w:lang w:val="ro-RO" w:eastAsia="ru-RU"/>
        </w:rPr>
      </w:pPr>
    </w:p>
    <w:p w:rsidR="00CB76B8" w:rsidRPr="00E4517B" w:rsidRDefault="00CB76B8" w:rsidP="009E14ED">
      <w:pPr>
        <w:spacing w:after="0" w:line="276" w:lineRule="auto"/>
        <w:jc w:val="right"/>
        <w:rPr>
          <w:rFonts w:asciiTheme="majorHAnsi" w:eastAsia="Times New Roman" w:hAnsiTheme="majorHAnsi" w:cstheme="majorHAnsi"/>
          <w:b/>
          <w:sz w:val="24"/>
          <w:szCs w:val="24"/>
          <w:lang w:val="ro-RO" w:eastAsia="ru-RU"/>
        </w:rPr>
      </w:pPr>
      <w:r w:rsidRPr="00E4517B">
        <w:rPr>
          <w:rFonts w:asciiTheme="majorHAnsi" w:eastAsia="Times New Roman" w:hAnsiTheme="majorHAnsi" w:cstheme="majorHAnsi"/>
          <w:b/>
          <w:sz w:val="24"/>
          <w:szCs w:val="24"/>
          <w:lang w:val="ro-RO" w:eastAsia="ru-RU"/>
        </w:rPr>
        <w:t>Anexa nr.</w:t>
      </w:r>
      <w:r w:rsidR="00C37226" w:rsidRPr="00E4517B">
        <w:rPr>
          <w:rFonts w:asciiTheme="majorHAnsi" w:eastAsia="Times New Roman" w:hAnsiTheme="majorHAnsi" w:cstheme="majorHAnsi"/>
          <w:b/>
          <w:sz w:val="24"/>
          <w:szCs w:val="24"/>
          <w:lang w:val="ro-RO" w:eastAsia="ru-RU"/>
        </w:rPr>
        <w:t>3</w:t>
      </w:r>
    </w:p>
    <w:p w:rsidR="00C37226" w:rsidRPr="00F55BA6" w:rsidRDefault="00C37226" w:rsidP="00C37226">
      <w:pPr>
        <w:spacing w:after="0" w:line="240" w:lineRule="auto"/>
        <w:jc w:val="center"/>
        <w:rPr>
          <w:rFonts w:asciiTheme="majorHAnsi" w:eastAsia="Times New Roman" w:hAnsiTheme="majorHAnsi" w:cstheme="majorHAnsi"/>
          <w:b/>
          <w:bCs/>
          <w:iCs/>
          <w:sz w:val="22"/>
          <w:lang w:val="ro-RO" w:eastAsia="ru-RU"/>
        </w:rPr>
      </w:pPr>
      <w:r w:rsidRPr="00F55BA6">
        <w:rPr>
          <w:rFonts w:asciiTheme="majorHAnsi" w:eastAsia="Times New Roman" w:hAnsiTheme="majorHAnsi" w:cstheme="majorHAnsi"/>
          <w:b/>
          <w:bCs/>
          <w:iCs/>
          <w:sz w:val="22"/>
          <w:lang w:val="ro-RO" w:eastAsia="ru-RU"/>
        </w:rPr>
        <w:t xml:space="preserve">Implementarea cerințelor și recomandărilor expuse în Hotărârile anterioare ale Curții de Conturi (Hotărârea Curții de Conturi nr.38 din 28 iulie 2020 </w:t>
      </w:r>
      <w:r w:rsidR="00A053FD" w:rsidRPr="00F55BA6">
        <w:rPr>
          <w:rFonts w:asciiTheme="majorHAnsi" w:eastAsia="Times New Roman" w:hAnsiTheme="majorHAnsi" w:cstheme="majorHAnsi"/>
          <w:b/>
          <w:bCs/>
          <w:iCs/>
          <w:sz w:val="22"/>
          <w:lang w:val="ro-RO" w:eastAsia="ru-RU"/>
        </w:rPr>
        <w:t>„</w:t>
      </w:r>
      <w:r w:rsidRPr="00F55BA6">
        <w:rPr>
          <w:rFonts w:asciiTheme="majorHAnsi" w:eastAsia="Times New Roman" w:hAnsiTheme="majorHAnsi" w:cstheme="majorHAnsi"/>
          <w:b/>
          <w:bCs/>
          <w:iCs/>
          <w:sz w:val="22"/>
          <w:lang w:val="ro-RO" w:eastAsia="ru-RU"/>
        </w:rPr>
        <w:t>Cu privire la Raportul auditului financiar asupra Raportului Guvernului privind executarea bugetului de stat pe anul 2019”)</w:t>
      </w:r>
    </w:p>
    <w:p w:rsidR="00C37226" w:rsidRPr="00E4517B" w:rsidRDefault="00C37226" w:rsidP="00C37226">
      <w:pPr>
        <w:spacing w:after="0" w:line="240" w:lineRule="auto"/>
        <w:jc w:val="center"/>
        <w:rPr>
          <w:rFonts w:asciiTheme="majorHAnsi" w:eastAsia="Times New Roman" w:hAnsiTheme="majorHAnsi" w:cstheme="majorHAnsi"/>
          <w:b/>
          <w:bCs/>
          <w:iCs/>
          <w:sz w:val="24"/>
          <w:szCs w:val="24"/>
          <w:lang w:val="ro-RO" w:eastAsia="ru-RU"/>
        </w:rPr>
      </w:pPr>
    </w:p>
    <w:tbl>
      <w:tblPr>
        <w:tblW w:w="14892" w:type="dxa"/>
        <w:tblInd w:w="-294" w:type="dxa"/>
        <w:tblLayout w:type="fixed"/>
        <w:tblLook w:val="04A0" w:firstRow="1" w:lastRow="0" w:firstColumn="1" w:lastColumn="0" w:noHBand="0" w:noVBand="1"/>
      </w:tblPr>
      <w:tblGrid>
        <w:gridCol w:w="5671"/>
        <w:gridCol w:w="6378"/>
        <w:gridCol w:w="850"/>
        <w:gridCol w:w="992"/>
        <w:gridCol w:w="992"/>
        <w:gridCol w:w="9"/>
      </w:tblGrid>
      <w:tr w:rsidR="00C37226" w:rsidRPr="00E4517B" w:rsidTr="00C37226">
        <w:trPr>
          <w:trHeight w:val="269"/>
        </w:trPr>
        <w:tc>
          <w:tcPr>
            <w:tcW w:w="5671" w:type="dxa"/>
            <w:vMerge w:val="restart"/>
            <w:tcBorders>
              <w:top w:val="single" w:sz="8" w:space="0" w:color="auto"/>
              <w:left w:val="single" w:sz="8" w:space="0" w:color="auto"/>
              <w:right w:val="single" w:sz="8" w:space="0" w:color="auto"/>
            </w:tcBorders>
            <w:shd w:val="clear" w:color="auto" w:fill="auto"/>
            <w:vAlign w:val="center"/>
            <w:hideMark/>
          </w:tcPr>
          <w:p w:rsidR="00C37226" w:rsidRPr="00E4517B" w:rsidRDefault="00C37226" w:rsidP="00B51730">
            <w:pPr>
              <w:spacing w:after="0" w:line="240" w:lineRule="auto"/>
              <w:jc w:val="center"/>
              <w:rPr>
                <w:rFonts w:asciiTheme="majorHAnsi" w:eastAsia="Times New Roman" w:hAnsiTheme="majorHAnsi" w:cstheme="majorHAnsi"/>
                <w:b/>
                <w:bCs/>
                <w:color w:val="000000"/>
                <w:sz w:val="20"/>
                <w:szCs w:val="20"/>
                <w:lang w:val="ro-RO"/>
              </w:rPr>
            </w:pPr>
            <w:r w:rsidRPr="00E4517B">
              <w:rPr>
                <w:rFonts w:asciiTheme="majorHAnsi" w:eastAsia="Times New Roman" w:hAnsiTheme="majorHAnsi" w:cstheme="majorHAnsi"/>
                <w:b/>
                <w:bCs/>
                <w:color w:val="000000"/>
                <w:sz w:val="20"/>
                <w:szCs w:val="20"/>
                <w:lang w:val="ro-RO"/>
              </w:rPr>
              <w:t>Recomandarea</w:t>
            </w:r>
          </w:p>
        </w:tc>
        <w:tc>
          <w:tcPr>
            <w:tcW w:w="6378" w:type="dxa"/>
            <w:vMerge w:val="restart"/>
            <w:tcBorders>
              <w:top w:val="single" w:sz="8" w:space="0" w:color="auto"/>
              <w:left w:val="nil"/>
              <w:right w:val="single" w:sz="8" w:space="0" w:color="auto"/>
            </w:tcBorders>
            <w:shd w:val="clear" w:color="auto" w:fill="auto"/>
            <w:vAlign w:val="center"/>
            <w:hideMark/>
          </w:tcPr>
          <w:p w:rsidR="00C37226" w:rsidRPr="00E4517B" w:rsidRDefault="00C37226" w:rsidP="00B51730">
            <w:pPr>
              <w:spacing w:after="0" w:line="240" w:lineRule="auto"/>
              <w:jc w:val="center"/>
              <w:rPr>
                <w:rFonts w:asciiTheme="majorHAnsi" w:eastAsia="Times New Roman" w:hAnsiTheme="majorHAnsi" w:cstheme="majorHAnsi"/>
                <w:b/>
                <w:bCs/>
                <w:color w:val="000000"/>
                <w:sz w:val="20"/>
                <w:szCs w:val="20"/>
                <w:lang w:val="ro-RO"/>
              </w:rPr>
            </w:pPr>
            <w:r w:rsidRPr="00E4517B">
              <w:rPr>
                <w:rFonts w:asciiTheme="majorHAnsi" w:hAnsiTheme="majorHAnsi" w:cstheme="majorHAnsi"/>
                <w:b/>
                <w:sz w:val="20"/>
                <w:szCs w:val="20"/>
                <w:lang w:val="ro-RO"/>
              </w:rPr>
              <w:t>Măsurile întreprinse</w:t>
            </w:r>
          </w:p>
        </w:tc>
        <w:tc>
          <w:tcPr>
            <w:tcW w:w="2843" w:type="dxa"/>
            <w:gridSpan w:val="4"/>
            <w:tcBorders>
              <w:top w:val="single" w:sz="8" w:space="0" w:color="auto"/>
              <w:left w:val="nil"/>
              <w:bottom w:val="single" w:sz="4" w:space="0" w:color="auto"/>
              <w:right w:val="single" w:sz="8" w:space="0" w:color="auto"/>
            </w:tcBorders>
          </w:tcPr>
          <w:p w:rsidR="00C37226" w:rsidRPr="00E4517B" w:rsidRDefault="00C37226" w:rsidP="00B51730">
            <w:pPr>
              <w:spacing w:after="0" w:line="240" w:lineRule="auto"/>
              <w:jc w:val="center"/>
              <w:rPr>
                <w:rFonts w:asciiTheme="majorHAnsi" w:eastAsia="Times New Roman" w:hAnsiTheme="majorHAnsi" w:cstheme="majorHAnsi"/>
                <w:b/>
                <w:bCs/>
                <w:color w:val="000000"/>
                <w:sz w:val="20"/>
                <w:szCs w:val="20"/>
                <w:lang w:val="ro-RO"/>
              </w:rPr>
            </w:pPr>
            <w:r w:rsidRPr="00E4517B">
              <w:rPr>
                <w:rFonts w:asciiTheme="majorHAnsi" w:hAnsiTheme="majorHAnsi" w:cstheme="majorHAnsi"/>
                <w:b/>
                <w:sz w:val="20"/>
                <w:szCs w:val="20"/>
                <w:lang w:val="ro-RO"/>
              </w:rPr>
              <w:t>Statutul implementării recomandării</w:t>
            </w:r>
          </w:p>
        </w:tc>
      </w:tr>
      <w:tr w:rsidR="00C37226" w:rsidRPr="00E4517B" w:rsidTr="00C37226">
        <w:trPr>
          <w:gridAfter w:val="1"/>
          <w:wAfter w:w="9" w:type="dxa"/>
          <w:trHeight w:val="57"/>
        </w:trPr>
        <w:tc>
          <w:tcPr>
            <w:tcW w:w="5671" w:type="dxa"/>
            <w:vMerge/>
            <w:tcBorders>
              <w:left w:val="single" w:sz="8" w:space="0" w:color="auto"/>
              <w:bottom w:val="single" w:sz="8" w:space="0" w:color="auto"/>
              <w:right w:val="single" w:sz="8" w:space="0" w:color="auto"/>
            </w:tcBorders>
            <w:shd w:val="clear" w:color="auto" w:fill="auto"/>
          </w:tcPr>
          <w:p w:rsidR="00C37226" w:rsidRPr="00E4517B" w:rsidRDefault="00C37226" w:rsidP="00B51730">
            <w:pPr>
              <w:spacing w:after="0" w:line="240" w:lineRule="auto"/>
              <w:rPr>
                <w:rFonts w:asciiTheme="majorHAnsi" w:hAnsiTheme="majorHAnsi" w:cstheme="majorHAnsi"/>
                <w:sz w:val="20"/>
                <w:szCs w:val="20"/>
                <w:lang w:val="ro-RO"/>
              </w:rPr>
            </w:pPr>
          </w:p>
        </w:tc>
        <w:tc>
          <w:tcPr>
            <w:tcW w:w="6378" w:type="dxa"/>
            <w:vMerge/>
            <w:tcBorders>
              <w:left w:val="nil"/>
              <w:bottom w:val="single" w:sz="8" w:space="0" w:color="auto"/>
              <w:right w:val="single" w:sz="8" w:space="0" w:color="auto"/>
            </w:tcBorders>
            <w:shd w:val="clear" w:color="auto" w:fill="auto"/>
          </w:tcPr>
          <w:p w:rsidR="00C37226" w:rsidRPr="00E4517B" w:rsidRDefault="00C37226" w:rsidP="00B51730">
            <w:pPr>
              <w:spacing w:after="0" w:line="240" w:lineRule="auto"/>
              <w:rPr>
                <w:rFonts w:asciiTheme="majorHAnsi" w:hAnsiTheme="majorHAnsi" w:cstheme="majorHAnsi"/>
                <w:sz w:val="20"/>
                <w:szCs w:val="20"/>
                <w:lang w:val="ro-RO"/>
              </w:rPr>
            </w:pPr>
          </w:p>
        </w:tc>
        <w:tc>
          <w:tcPr>
            <w:tcW w:w="850" w:type="dxa"/>
            <w:tcBorders>
              <w:top w:val="single" w:sz="4" w:space="0" w:color="auto"/>
              <w:left w:val="single" w:sz="8" w:space="0" w:color="auto"/>
              <w:bottom w:val="single" w:sz="4" w:space="0" w:color="auto"/>
              <w:right w:val="single" w:sz="4" w:space="0" w:color="auto"/>
            </w:tcBorders>
            <w:shd w:val="clear" w:color="auto" w:fill="auto"/>
            <w:vAlign w:val="center"/>
          </w:tcPr>
          <w:p w:rsidR="00C37226" w:rsidRPr="00E4517B" w:rsidRDefault="00C37226" w:rsidP="00B51730">
            <w:pPr>
              <w:tabs>
                <w:tab w:val="left" w:pos="720"/>
              </w:tabs>
              <w:spacing w:after="0" w:line="240" w:lineRule="auto"/>
              <w:jc w:val="center"/>
              <w:rPr>
                <w:rFonts w:asciiTheme="majorHAnsi" w:hAnsiTheme="majorHAnsi" w:cstheme="majorHAnsi"/>
                <w:b/>
                <w:sz w:val="20"/>
                <w:szCs w:val="20"/>
                <w:lang w:val="ro-RO"/>
              </w:rPr>
            </w:pPr>
            <w:r w:rsidRPr="00E4517B">
              <w:rPr>
                <w:rFonts w:asciiTheme="majorHAnsi" w:hAnsiTheme="majorHAnsi" w:cstheme="majorHAnsi"/>
                <w:b/>
                <w:sz w:val="20"/>
                <w:szCs w:val="20"/>
                <w:lang w:val="ro-RO"/>
              </w:rPr>
              <w:t>realizat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7226" w:rsidRPr="00E4517B" w:rsidRDefault="00C37226" w:rsidP="00B51730">
            <w:pPr>
              <w:tabs>
                <w:tab w:val="left" w:pos="720"/>
              </w:tabs>
              <w:spacing w:after="0" w:line="240" w:lineRule="auto"/>
              <w:jc w:val="center"/>
              <w:rPr>
                <w:rFonts w:asciiTheme="majorHAnsi" w:hAnsiTheme="majorHAnsi" w:cstheme="majorHAnsi"/>
                <w:b/>
                <w:sz w:val="20"/>
                <w:szCs w:val="20"/>
                <w:lang w:val="ro-RO"/>
              </w:rPr>
            </w:pPr>
            <w:r w:rsidRPr="00E4517B">
              <w:rPr>
                <w:rFonts w:asciiTheme="majorHAnsi" w:hAnsiTheme="majorHAnsi" w:cstheme="majorHAnsi"/>
                <w:b/>
                <w:sz w:val="20"/>
                <w:szCs w:val="20"/>
                <w:lang w:val="ro-RO"/>
              </w:rPr>
              <w:t>parțial realizat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7226" w:rsidRPr="00E4517B" w:rsidRDefault="00C37226" w:rsidP="00B51730">
            <w:pPr>
              <w:tabs>
                <w:tab w:val="left" w:pos="720"/>
              </w:tabs>
              <w:spacing w:after="0" w:line="240" w:lineRule="auto"/>
              <w:ind w:left="-145" w:right="-105" w:firstLine="39"/>
              <w:jc w:val="center"/>
              <w:rPr>
                <w:rFonts w:asciiTheme="majorHAnsi" w:hAnsiTheme="majorHAnsi" w:cstheme="majorHAnsi"/>
                <w:b/>
                <w:sz w:val="20"/>
                <w:szCs w:val="20"/>
                <w:lang w:val="ro-RO"/>
              </w:rPr>
            </w:pPr>
            <w:r w:rsidRPr="00E4517B">
              <w:rPr>
                <w:rFonts w:asciiTheme="majorHAnsi" w:hAnsiTheme="majorHAnsi" w:cstheme="majorHAnsi"/>
                <w:b/>
                <w:sz w:val="20"/>
                <w:szCs w:val="20"/>
                <w:lang w:val="ro-RO"/>
              </w:rPr>
              <w:t>nerealizat</w:t>
            </w:r>
          </w:p>
        </w:tc>
      </w:tr>
      <w:tr w:rsidR="00C37226" w:rsidRPr="00E4517B" w:rsidTr="00C37226">
        <w:trPr>
          <w:gridAfter w:val="1"/>
          <w:wAfter w:w="9" w:type="dxa"/>
          <w:trHeight w:val="57"/>
        </w:trPr>
        <w:tc>
          <w:tcPr>
            <w:tcW w:w="5671" w:type="dxa"/>
            <w:tcBorders>
              <w:top w:val="single" w:sz="8" w:space="0" w:color="auto"/>
              <w:left w:val="single" w:sz="8" w:space="0" w:color="auto"/>
              <w:bottom w:val="single" w:sz="8" w:space="0" w:color="auto"/>
              <w:right w:val="single" w:sz="8" w:space="0" w:color="auto"/>
            </w:tcBorders>
            <w:shd w:val="clear" w:color="auto" w:fill="auto"/>
          </w:tcPr>
          <w:p w:rsidR="00C37226" w:rsidRPr="009131CF" w:rsidRDefault="00C37226" w:rsidP="00B51730">
            <w:pPr>
              <w:spacing w:after="0" w:line="240" w:lineRule="auto"/>
              <w:rPr>
                <w:rFonts w:asciiTheme="majorHAnsi" w:eastAsia="Times New Roman" w:hAnsiTheme="majorHAnsi" w:cstheme="majorHAnsi"/>
                <w:b/>
                <w:bCs/>
                <w:color w:val="000000"/>
                <w:sz w:val="20"/>
                <w:szCs w:val="20"/>
                <w:lang w:val="ro-RO"/>
              </w:rPr>
            </w:pPr>
            <w:r w:rsidRPr="00E4517B">
              <w:rPr>
                <w:rFonts w:asciiTheme="majorHAnsi" w:hAnsiTheme="majorHAnsi" w:cstheme="majorHAnsi"/>
                <w:sz w:val="20"/>
                <w:szCs w:val="20"/>
                <w:lang w:val="ro-RO"/>
              </w:rPr>
              <w:t>2.1. Examinarea</w:t>
            </w:r>
            <w:r w:rsidRPr="00973E5B">
              <w:rPr>
                <w:rFonts w:asciiTheme="majorHAnsi" w:hAnsiTheme="majorHAnsi" w:cstheme="majorHAnsi"/>
                <w:sz w:val="20"/>
                <w:szCs w:val="20"/>
                <w:lang w:val="ro-RO"/>
              </w:rPr>
              <w:t xml:space="preserve"> rezultatelor auditului financiar asupra Raportului Guvernului privind executarea bugetului de stat pe anul 2019, cu luare de atitudine față de situațiile constatate, și aprobarea unui plan de măsur</w:t>
            </w:r>
            <w:r w:rsidRPr="00207634">
              <w:rPr>
                <w:rFonts w:asciiTheme="majorHAnsi" w:hAnsiTheme="majorHAnsi" w:cstheme="majorHAnsi"/>
                <w:sz w:val="20"/>
                <w:szCs w:val="20"/>
                <w:lang w:val="ro-RO"/>
              </w:rPr>
              <w:t>i privind implementarea recomandărilor  cuprinse  în Raportul de audit, precum și a celor reiterate</w:t>
            </w:r>
          </w:p>
        </w:tc>
        <w:tc>
          <w:tcPr>
            <w:tcW w:w="6378" w:type="dxa"/>
            <w:tcBorders>
              <w:top w:val="single" w:sz="8" w:space="0" w:color="auto"/>
              <w:left w:val="nil"/>
              <w:bottom w:val="single" w:sz="8" w:space="0" w:color="auto"/>
              <w:right w:val="single" w:sz="8" w:space="0" w:color="auto"/>
            </w:tcBorders>
            <w:shd w:val="clear" w:color="auto" w:fill="auto"/>
          </w:tcPr>
          <w:p w:rsidR="00C37226" w:rsidRPr="00E4517B" w:rsidRDefault="00C37226" w:rsidP="00257CE7">
            <w:pPr>
              <w:spacing w:after="0" w:line="240" w:lineRule="auto"/>
              <w:rPr>
                <w:rFonts w:asciiTheme="majorHAnsi" w:hAnsiTheme="majorHAnsi" w:cstheme="majorHAnsi"/>
                <w:sz w:val="20"/>
                <w:szCs w:val="20"/>
                <w:lang w:val="ro-RO"/>
              </w:rPr>
            </w:pPr>
            <w:r w:rsidRPr="00E4517B">
              <w:rPr>
                <w:rFonts w:asciiTheme="majorHAnsi" w:hAnsiTheme="majorHAnsi" w:cstheme="majorHAnsi"/>
                <w:sz w:val="20"/>
                <w:szCs w:val="20"/>
                <w:lang w:val="ro-RO"/>
              </w:rPr>
              <w:t xml:space="preserve">Planul de măsuri privind implementarea recomandărilor cuprinse în Hotărârea Curții de Conturi nr.38 din 28 iulie 2020 </w:t>
            </w:r>
            <w:r w:rsidR="00257CE7">
              <w:rPr>
                <w:rFonts w:asciiTheme="majorHAnsi" w:hAnsiTheme="majorHAnsi" w:cstheme="majorHAnsi"/>
                <w:sz w:val="20"/>
                <w:szCs w:val="20"/>
                <w:lang w:val="ro-RO"/>
              </w:rPr>
              <w:t>„</w:t>
            </w:r>
            <w:r w:rsidRPr="00E4517B">
              <w:rPr>
                <w:rFonts w:asciiTheme="majorHAnsi" w:hAnsiTheme="majorHAnsi" w:cstheme="majorHAnsi"/>
                <w:sz w:val="20"/>
                <w:szCs w:val="20"/>
                <w:lang w:val="ro-RO"/>
              </w:rPr>
              <w:t xml:space="preserve">Cu privire la Raportul auditului financiar asupra Raportului Guvernului privind executarea bugetului de stat pe anul 2019” a fost aprobat prin </w:t>
            </w:r>
            <w:r w:rsidRPr="00E4517B">
              <w:rPr>
                <w:rFonts w:asciiTheme="majorHAnsi" w:hAnsiTheme="majorHAnsi" w:cstheme="majorHAnsi"/>
                <w:i/>
                <w:sz w:val="20"/>
                <w:szCs w:val="20"/>
                <w:lang w:val="ro-RO"/>
              </w:rPr>
              <w:t xml:space="preserve">Ordinul </w:t>
            </w:r>
            <w:r w:rsidR="00257CE7">
              <w:rPr>
                <w:rFonts w:asciiTheme="majorHAnsi" w:hAnsiTheme="majorHAnsi" w:cstheme="majorHAnsi"/>
                <w:i/>
                <w:sz w:val="20"/>
                <w:szCs w:val="20"/>
                <w:lang w:val="ro-RO"/>
              </w:rPr>
              <w:t>m</w:t>
            </w:r>
            <w:r w:rsidRPr="00E4517B">
              <w:rPr>
                <w:rFonts w:asciiTheme="majorHAnsi" w:hAnsiTheme="majorHAnsi" w:cstheme="majorHAnsi"/>
                <w:i/>
                <w:sz w:val="20"/>
                <w:szCs w:val="20"/>
                <w:lang w:val="ro-RO"/>
              </w:rPr>
              <w:t>inistrului Finanțelor nr.138 din 29 octombrie</w:t>
            </w:r>
            <w:r w:rsidRPr="00E4517B">
              <w:rPr>
                <w:rFonts w:asciiTheme="majorHAnsi" w:hAnsiTheme="majorHAnsi" w:cstheme="majorHAnsi"/>
                <w:sz w:val="20"/>
                <w:szCs w:val="20"/>
                <w:lang w:val="ro-RO"/>
              </w:rPr>
              <w:t xml:space="preserve"> 2020</w:t>
            </w:r>
          </w:p>
        </w:tc>
        <w:tc>
          <w:tcPr>
            <w:tcW w:w="850" w:type="dxa"/>
            <w:tcBorders>
              <w:top w:val="single" w:sz="4" w:space="0" w:color="auto"/>
              <w:left w:val="nil"/>
              <w:bottom w:val="single" w:sz="4" w:space="0" w:color="auto"/>
              <w:right w:val="single" w:sz="8" w:space="0" w:color="auto"/>
            </w:tcBorders>
          </w:tcPr>
          <w:p w:rsidR="00C37226" w:rsidRPr="00E4517B" w:rsidRDefault="00C37226" w:rsidP="00B51730">
            <w:pPr>
              <w:spacing w:after="0" w:line="240" w:lineRule="auto"/>
              <w:jc w:val="center"/>
              <w:rPr>
                <w:rFonts w:asciiTheme="majorHAnsi" w:hAnsiTheme="majorHAnsi" w:cstheme="majorHAnsi"/>
                <w:sz w:val="20"/>
                <w:szCs w:val="20"/>
                <w:lang w:val="ro-RO"/>
              </w:rPr>
            </w:pPr>
            <w:r w:rsidRPr="00E4517B">
              <w:rPr>
                <w:rFonts w:asciiTheme="majorHAnsi" w:hAnsiTheme="majorHAnsi" w:cstheme="majorHAnsi"/>
                <w:sz w:val="20"/>
                <w:szCs w:val="20"/>
                <w:lang w:val="ro-RO"/>
              </w:rPr>
              <w:t>v</w:t>
            </w:r>
          </w:p>
        </w:tc>
        <w:tc>
          <w:tcPr>
            <w:tcW w:w="992" w:type="dxa"/>
            <w:tcBorders>
              <w:top w:val="single" w:sz="4" w:space="0" w:color="auto"/>
              <w:left w:val="nil"/>
              <w:bottom w:val="single" w:sz="4" w:space="0" w:color="auto"/>
              <w:right w:val="single" w:sz="8" w:space="0" w:color="auto"/>
            </w:tcBorders>
          </w:tcPr>
          <w:p w:rsidR="00C37226" w:rsidRPr="00E4517B" w:rsidRDefault="00C37226" w:rsidP="00B51730">
            <w:pPr>
              <w:spacing w:after="0" w:line="240" w:lineRule="auto"/>
              <w:rPr>
                <w:rFonts w:asciiTheme="majorHAnsi" w:hAnsiTheme="majorHAnsi" w:cstheme="majorHAnsi"/>
                <w:sz w:val="20"/>
                <w:szCs w:val="20"/>
                <w:lang w:val="ro-RO"/>
              </w:rPr>
            </w:pPr>
          </w:p>
        </w:tc>
        <w:tc>
          <w:tcPr>
            <w:tcW w:w="992" w:type="dxa"/>
            <w:tcBorders>
              <w:top w:val="single" w:sz="4" w:space="0" w:color="auto"/>
              <w:left w:val="nil"/>
              <w:bottom w:val="single" w:sz="4" w:space="0" w:color="auto"/>
              <w:right w:val="single" w:sz="8" w:space="0" w:color="auto"/>
            </w:tcBorders>
          </w:tcPr>
          <w:p w:rsidR="00C37226" w:rsidRPr="00E4517B" w:rsidRDefault="00C37226" w:rsidP="00B51730">
            <w:pPr>
              <w:spacing w:after="0" w:line="240" w:lineRule="auto"/>
              <w:rPr>
                <w:rFonts w:asciiTheme="majorHAnsi" w:hAnsiTheme="majorHAnsi" w:cstheme="majorHAnsi"/>
                <w:sz w:val="20"/>
                <w:szCs w:val="20"/>
                <w:lang w:val="ro-RO"/>
              </w:rPr>
            </w:pPr>
          </w:p>
        </w:tc>
      </w:tr>
      <w:tr w:rsidR="00C37226" w:rsidRPr="00E4517B" w:rsidTr="00C37226">
        <w:trPr>
          <w:gridAfter w:val="1"/>
          <w:wAfter w:w="9" w:type="dxa"/>
          <w:trHeight w:val="57"/>
        </w:trPr>
        <w:tc>
          <w:tcPr>
            <w:tcW w:w="5671" w:type="dxa"/>
            <w:tcBorders>
              <w:top w:val="single" w:sz="8" w:space="0" w:color="auto"/>
              <w:left w:val="single" w:sz="8" w:space="0" w:color="auto"/>
              <w:bottom w:val="single" w:sz="8" w:space="0" w:color="auto"/>
              <w:right w:val="single" w:sz="8" w:space="0" w:color="auto"/>
            </w:tcBorders>
            <w:shd w:val="clear" w:color="auto" w:fill="auto"/>
          </w:tcPr>
          <w:p w:rsidR="00C37226" w:rsidRPr="00E4517B" w:rsidRDefault="00C37226" w:rsidP="00B51730">
            <w:pPr>
              <w:spacing w:after="0" w:line="240" w:lineRule="auto"/>
              <w:rPr>
                <w:rFonts w:asciiTheme="majorHAnsi" w:eastAsia="Times New Roman" w:hAnsiTheme="majorHAnsi" w:cstheme="majorHAnsi"/>
                <w:bCs/>
                <w:color w:val="000000"/>
                <w:sz w:val="20"/>
                <w:szCs w:val="20"/>
                <w:lang w:val="ro-RO"/>
              </w:rPr>
            </w:pPr>
            <w:r w:rsidRPr="00E4517B">
              <w:rPr>
                <w:rFonts w:asciiTheme="majorHAnsi" w:eastAsia="Times New Roman" w:hAnsiTheme="majorHAnsi" w:cstheme="majorHAnsi"/>
                <w:bCs/>
                <w:color w:val="000000"/>
                <w:sz w:val="20"/>
                <w:szCs w:val="20"/>
                <w:lang w:val="ro-RO"/>
              </w:rPr>
              <w:t>2.1.1. Dezvoltarea/completarea cadrului normativ cu reglementări privind executare</w:t>
            </w:r>
            <w:r w:rsidRPr="00973E5B">
              <w:rPr>
                <w:rFonts w:asciiTheme="majorHAnsi" w:eastAsia="Times New Roman" w:hAnsiTheme="majorHAnsi" w:cstheme="majorHAnsi"/>
                <w:bCs/>
                <w:color w:val="000000"/>
                <w:sz w:val="20"/>
                <w:szCs w:val="20"/>
                <w:lang w:val="ro-RO"/>
              </w:rPr>
              <w:t>a și debursarea mijloacelor de finanțare externă provenite exclusiv prin intermediul sistemului trezorerial</w:t>
            </w:r>
            <w:r w:rsidRPr="00207634">
              <w:rPr>
                <w:rFonts w:asciiTheme="majorHAnsi" w:eastAsia="Times New Roman" w:hAnsiTheme="majorHAnsi" w:cstheme="majorHAnsi"/>
                <w:b/>
                <w:bCs/>
                <w:color w:val="000000"/>
                <w:sz w:val="20"/>
                <w:szCs w:val="20"/>
                <w:lang w:val="ro-RO"/>
              </w:rPr>
              <w:t xml:space="preserve"> </w:t>
            </w:r>
            <w:r w:rsidRPr="009131CF">
              <w:rPr>
                <w:rFonts w:asciiTheme="majorHAnsi" w:eastAsia="Times New Roman" w:hAnsiTheme="majorHAnsi" w:cstheme="majorHAnsi"/>
                <w:b/>
                <w:bCs/>
                <w:i/>
                <w:color w:val="000000"/>
                <w:sz w:val="20"/>
                <w:szCs w:val="20"/>
                <w:lang w:val="ro-RO"/>
              </w:rPr>
              <w:t>(recomandare reiterată</w:t>
            </w:r>
            <w:r w:rsidRPr="009131CF">
              <w:rPr>
                <w:rFonts w:asciiTheme="majorHAnsi" w:eastAsia="Times New Roman" w:hAnsiTheme="majorHAnsi" w:cstheme="majorHAnsi"/>
                <w:b/>
                <w:bCs/>
                <w:color w:val="000000"/>
                <w:sz w:val="20"/>
                <w:szCs w:val="20"/>
                <w:lang w:val="ro-RO"/>
              </w:rPr>
              <w:t>)</w:t>
            </w:r>
          </w:p>
        </w:tc>
        <w:tc>
          <w:tcPr>
            <w:tcW w:w="6378" w:type="dxa"/>
            <w:tcBorders>
              <w:top w:val="single" w:sz="8" w:space="0" w:color="auto"/>
              <w:left w:val="nil"/>
              <w:bottom w:val="single" w:sz="8" w:space="0" w:color="auto"/>
              <w:right w:val="single" w:sz="8" w:space="0" w:color="auto"/>
            </w:tcBorders>
            <w:shd w:val="clear" w:color="auto" w:fill="auto"/>
          </w:tcPr>
          <w:p w:rsidR="00C37226" w:rsidRPr="00E4517B" w:rsidRDefault="00C37226" w:rsidP="00F55BA6">
            <w:pPr>
              <w:tabs>
                <w:tab w:val="left" w:pos="1392"/>
                <w:tab w:val="left" w:pos="3197"/>
              </w:tabs>
              <w:spacing w:after="0" w:line="240" w:lineRule="auto"/>
              <w:rPr>
                <w:rFonts w:eastAsia="Times New Roman" w:cs="Times New Roman"/>
                <w:color w:val="000000"/>
                <w:sz w:val="20"/>
                <w:szCs w:val="20"/>
                <w:lang w:val="ro-RO" w:eastAsia="ro-RO" w:bidi="ro-RO"/>
              </w:rPr>
            </w:pPr>
            <w:r w:rsidRPr="00E4517B">
              <w:rPr>
                <w:rFonts w:asciiTheme="majorHAnsi" w:hAnsiTheme="majorHAnsi" w:cstheme="majorHAnsi"/>
                <w:sz w:val="20"/>
                <w:szCs w:val="20"/>
                <w:lang w:val="ro-RO" w:bidi="ro-RO"/>
              </w:rPr>
              <w:t xml:space="preserve">Proiectul de ordin pentru completarea Ordinului MF nr.215/2016 cu reglementări privind executarea şi debursarea mijloacelor de finanţare externă provenite exclusiv prin intermediul sistemului trezorerial a fost aprobat prin Ordinul </w:t>
            </w:r>
            <w:r w:rsidR="00257CE7">
              <w:rPr>
                <w:rFonts w:asciiTheme="majorHAnsi" w:hAnsiTheme="majorHAnsi" w:cstheme="majorHAnsi"/>
                <w:sz w:val="20"/>
                <w:szCs w:val="20"/>
                <w:lang w:val="ro-RO" w:bidi="ro-RO"/>
              </w:rPr>
              <w:t>m</w:t>
            </w:r>
            <w:r w:rsidRPr="00E4517B">
              <w:rPr>
                <w:rFonts w:asciiTheme="majorHAnsi" w:hAnsiTheme="majorHAnsi" w:cstheme="majorHAnsi"/>
                <w:sz w:val="20"/>
                <w:szCs w:val="20"/>
                <w:lang w:val="ro-RO" w:bidi="ro-RO"/>
              </w:rPr>
              <w:t xml:space="preserve">inistrului Finanțelor nr.57/2021 </w:t>
            </w:r>
            <w:r w:rsidR="00257CE7">
              <w:rPr>
                <w:rFonts w:asciiTheme="majorHAnsi" w:hAnsiTheme="majorHAnsi" w:cstheme="majorHAnsi"/>
                <w:sz w:val="20"/>
                <w:szCs w:val="20"/>
                <w:lang w:val="ro-RO" w:bidi="ro-RO"/>
              </w:rPr>
              <w:t>„</w:t>
            </w:r>
            <w:r w:rsidRPr="00E4517B">
              <w:rPr>
                <w:rFonts w:asciiTheme="majorHAnsi" w:hAnsiTheme="majorHAnsi" w:cstheme="majorHAnsi"/>
                <w:i/>
                <w:iCs/>
                <w:sz w:val="20"/>
                <w:szCs w:val="20"/>
                <w:lang w:val="ro-RO" w:bidi="ro-RO"/>
              </w:rPr>
              <w:t>Cu privire la</w:t>
            </w:r>
            <w:r w:rsidRPr="00E4517B">
              <w:rPr>
                <w:rFonts w:asciiTheme="majorHAnsi" w:eastAsia="Times New Roman" w:hAnsiTheme="majorHAnsi" w:cstheme="majorHAnsi"/>
                <w:i/>
                <w:iCs/>
                <w:color w:val="000000"/>
                <w:sz w:val="20"/>
                <w:szCs w:val="20"/>
                <w:lang w:val="ro-RO" w:eastAsia="ro-RO" w:bidi="ro-RO"/>
              </w:rPr>
              <w:t xml:space="preserve"> modificarea Normelor metodologice privind executarea de casă a bugetelor componente ale bugetului public</w:t>
            </w:r>
            <w:r w:rsidRPr="00E4517B">
              <w:rPr>
                <w:rFonts w:asciiTheme="majorHAnsi" w:eastAsia="Times New Roman" w:hAnsiTheme="majorHAnsi" w:cstheme="majorHAnsi"/>
                <w:color w:val="000000"/>
                <w:sz w:val="20"/>
                <w:szCs w:val="20"/>
                <w:lang w:val="ro-RO" w:eastAsia="ro-RO" w:bidi="ro-RO"/>
              </w:rPr>
              <w:t xml:space="preserve"> </w:t>
            </w:r>
            <w:r w:rsidRPr="00E4517B">
              <w:rPr>
                <w:rFonts w:asciiTheme="majorHAnsi" w:eastAsia="Courier New" w:hAnsiTheme="majorHAnsi" w:cstheme="majorHAnsi"/>
                <w:i/>
                <w:iCs/>
                <w:color w:val="000000"/>
                <w:sz w:val="20"/>
                <w:szCs w:val="20"/>
                <w:lang w:val="ro-RO" w:eastAsia="ro-RO" w:bidi="ro-RO"/>
              </w:rPr>
              <w:t>naţional şi a mijloacelor extrabugetare prin sistemul trezoreria</w:t>
            </w:r>
            <w:r w:rsidR="00257CE7">
              <w:rPr>
                <w:rFonts w:asciiTheme="majorHAnsi" w:eastAsia="Courier New" w:hAnsiTheme="majorHAnsi" w:cstheme="majorHAnsi"/>
                <w:i/>
                <w:iCs/>
                <w:color w:val="000000"/>
                <w:sz w:val="20"/>
                <w:szCs w:val="20"/>
                <w:lang w:val="ro-RO" w:eastAsia="ro-RO" w:bidi="ro-RO"/>
              </w:rPr>
              <w:t>l</w:t>
            </w:r>
            <w:r w:rsidRPr="00E4517B">
              <w:rPr>
                <w:rFonts w:asciiTheme="majorHAnsi" w:eastAsia="Courier New" w:hAnsiTheme="majorHAnsi" w:cstheme="majorHAnsi"/>
                <w:i/>
                <w:iCs/>
                <w:color w:val="000000"/>
                <w:sz w:val="20"/>
                <w:szCs w:val="20"/>
                <w:lang w:val="ro-RO" w:eastAsia="ro-RO" w:bidi="ro-RO"/>
              </w:rPr>
              <w:t xml:space="preserve"> al Ministerului Finanţelor</w:t>
            </w:r>
            <w:r w:rsidR="00257CE7">
              <w:rPr>
                <w:rFonts w:asciiTheme="majorHAnsi" w:eastAsia="Courier New" w:hAnsiTheme="majorHAnsi" w:cstheme="majorHAnsi"/>
                <w:i/>
                <w:iCs/>
                <w:color w:val="000000"/>
                <w:sz w:val="20"/>
                <w:szCs w:val="20"/>
                <w:lang w:val="ro-RO" w:eastAsia="ro-RO" w:bidi="ro-RO"/>
              </w:rPr>
              <w:t xml:space="preserve"> </w:t>
            </w:r>
            <w:r w:rsidRPr="00E4517B">
              <w:rPr>
                <w:rFonts w:asciiTheme="majorHAnsi" w:eastAsia="Courier New" w:hAnsiTheme="majorHAnsi" w:cstheme="majorHAnsi"/>
                <w:i/>
                <w:iCs/>
                <w:color w:val="000000"/>
                <w:sz w:val="20"/>
                <w:szCs w:val="20"/>
                <w:lang w:val="ro-RO" w:eastAsia="ro-RO" w:bidi="ro-RO"/>
              </w:rPr>
              <w:t>nr.215/2015"</w:t>
            </w:r>
          </w:p>
        </w:tc>
        <w:tc>
          <w:tcPr>
            <w:tcW w:w="850" w:type="dxa"/>
            <w:tcBorders>
              <w:top w:val="single" w:sz="4" w:space="0" w:color="auto"/>
              <w:left w:val="nil"/>
              <w:bottom w:val="single" w:sz="4" w:space="0" w:color="auto"/>
              <w:right w:val="single" w:sz="8" w:space="0" w:color="auto"/>
            </w:tcBorders>
          </w:tcPr>
          <w:p w:rsidR="00C37226" w:rsidRPr="00E4517B" w:rsidRDefault="00C37226" w:rsidP="00B51730">
            <w:pPr>
              <w:spacing w:after="0" w:line="240" w:lineRule="auto"/>
              <w:jc w:val="center"/>
              <w:rPr>
                <w:rFonts w:asciiTheme="majorHAnsi" w:hAnsiTheme="majorHAnsi" w:cstheme="majorHAnsi"/>
                <w:sz w:val="20"/>
                <w:szCs w:val="20"/>
                <w:lang w:val="ro-RO"/>
              </w:rPr>
            </w:pPr>
            <w:r w:rsidRPr="00E4517B">
              <w:rPr>
                <w:rFonts w:asciiTheme="majorHAnsi" w:hAnsiTheme="majorHAnsi" w:cstheme="majorHAnsi"/>
                <w:sz w:val="20"/>
                <w:szCs w:val="20"/>
                <w:lang w:val="ro-RO"/>
              </w:rPr>
              <w:t>v</w:t>
            </w:r>
          </w:p>
        </w:tc>
        <w:tc>
          <w:tcPr>
            <w:tcW w:w="992" w:type="dxa"/>
            <w:tcBorders>
              <w:top w:val="single" w:sz="4" w:space="0" w:color="auto"/>
              <w:left w:val="nil"/>
              <w:bottom w:val="single" w:sz="4" w:space="0" w:color="auto"/>
              <w:right w:val="single" w:sz="8" w:space="0" w:color="auto"/>
            </w:tcBorders>
          </w:tcPr>
          <w:p w:rsidR="00C37226" w:rsidRPr="00E4517B" w:rsidRDefault="00C37226" w:rsidP="00B51730">
            <w:pPr>
              <w:spacing w:after="0" w:line="240" w:lineRule="auto"/>
              <w:jc w:val="center"/>
              <w:rPr>
                <w:rFonts w:asciiTheme="majorHAnsi" w:hAnsiTheme="majorHAnsi" w:cstheme="majorHAnsi"/>
                <w:sz w:val="20"/>
                <w:szCs w:val="20"/>
                <w:lang w:val="ro-RO"/>
              </w:rPr>
            </w:pPr>
          </w:p>
        </w:tc>
        <w:tc>
          <w:tcPr>
            <w:tcW w:w="992" w:type="dxa"/>
            <w:tcBorders>
              <w:top w:val="single" w:sz="4" w:space="0" w:color="auto"/>
              <w:left w:val="nil"/>
              <w:bottom w:val="single" w:sz="4" w:space="0" w:color="auto"/>
              <w:right w:val="single" w:sz="8" w:space="0" w:color="auto"/>
            </w:tcBorders>
          </w:tcPr>
          <w:p w:rsidR="00C37226" w:rsidRPr="00E4517B" w:rsidRDefault="00C37226" w:rsidP="00B51730">
            <w:pPr>
              <w:spacing w:after="0" w:line="240" w:lineRule="auto"/>
              <w:rPr>
                <w:rFonts w:asciiTheme="majorHAnsi" w:hAnsiTheme="majorHAnsi" w:cstheme="majorHAnsi"/>
                <w:sz w:val="20"/>
                <w:szCs w:val="20"/>
                <w:lang w:val="ro-RO"/>
              </w:rPr>
            </w:pPr>
          </w:p>
        </w:tc>
      </w:tr>
      <w:tr w:rsidR="00C37226" w:rsidRPr="00E4517B" w:rsidTr="00C37226">
        <w:trPr>
          <w:gridAfter w:val="1"/>
          <w:wAfter w:w="9" w:type="dxa"/>
          <w:trHeight w:val="57"/>
        </w:trPr>
        <w:tc>
          <w:tcPr>
            <w:tcW w:w="5671" w:type="dxa"/>
            <w:tcBorders>
              <w:top w:val="single" w:sz="8" w:space="0" w:color="auto"/>
              <w:left w:val="single" w:sz="8" w:space="0" w:color="auto"/>
              <w:bottom w:val="single" w:sz="8" w:space="0" w:color="auto"/>
              <w:right w:val="single" w:sz="8" w:space="0" w:color="auto"/>
            </w:tcBorders>
            <w:shd w:val="clear" w:color="auto" w:fill="auto"/>
          </w:tcPr>
          <w:p w:rsidR="00C37226" w:rsidRPr="009131CF" w:rsidRDefault="00C37226" w:rsidP="00B51730">
            <w:pPr>
              <w:spacing w:after="0" w:line="240" w:lineRule="auto"/>
              <w:rPr>
                <w:rFonts w:asciiTheme="majorHAnsi" w:eastAsia="Times New Roman" w:hAnsiTheme="majorHAnsi" w:cstheme="majorHAnsi"/>
                <w:b/>
                <w:bCs/>
                <w:color w:val="000000"/>
                <w:sz w:val="20"/>
                <w:szCs w:val="20"/>
                <w:lang w:val="ro-RO"/>
              </w:rPr>
            </w:pPr>
            <w:r w:rsidRPr="00E4517B">
              <w:rPr>
                <w:rFonts w:asciiTheme="majorHAnsi" w:eastAsia="Times New Roman" w:hAnsiTheme="majorHAnsi" w:cstheme="majorHAnsi"/>
                <w:bCs/>
                <w:color w:val="000000"/>
                <w:sz w:val="20"/>
                <w:szCs w:val="20"/>
                <w:lang w:val="ro-RO"/>
              </w:rPr>
              <w:t xml:space="preserve">2.1.2. Respectarea și conformarea la prevederile actelor normative privind procesul de includere pentru finanțare din buget a obiectelor </w:t>
            </w:r>
            <w:r w:rsidRPr="00973E5B">
              <w:rPr>
                <w:rFonts w:asciiTheme="majorHAnsi" w:eastAsia="Times New Roman" w:hAnsiTheme="majorHAnsi" w:cstheme="majorHAnsi"/>
                <w:bCs/>
                <w:color w:val="000000"/>
                <w:sz w:val="20"/>
                <w:szCs w:val="20"/>
                <w:lang w:val="ro-RO"/>
              </w:rPr>
              <w:t>de investiții capitale, cu asigurarea unui sistem eficient de monitorizare a execuției obiectelor de investiții capitale</w:t>
            </w:r>
            <w:r w:rsidRPr="00207634">
              <w:rPr>
                <w:rFonts w:asciiTheme="majorHAnsi" w:eastAsia="Times New Roman" w:hAnsiTheme="majorHAnsi" w:cstheme="majorHAnsi"/>
                <w:b/>
                <w:bCs/>
                <w:color w:val="000000"/>
                <w:sz w:val="20"/>
                <w:szCs w:val="20"/>
                <w:lang w:val="ro-RO"/>
              </w:rPr>
              <w:t xml:space="preserve"> </w:t>
            </w:r>
            <w:r w:rsidRPr="009131CF">
              <w:rPr>
                <w:rFonts w:asciiTheme="majorHAnsi" w:eastAsia="Times New Roman" w:hAnsiTheme="majorHAnsi" w:cstheme="majorHAnsi"/>
                <w:b/>
                <w:bCs/>
                <w:i/>
                <w:color w:val="000000"/>
                <w:sz w:val="20"/>
                <w:szCs w:val="20"/>
                <w:lang w:val="ro-RO"/>
              </w:rPr>
              <w:t>(recomandare reiterată</w:t>
            </w:r>
            <w:r w:rsidRPr="009131CF">
              <w:rPr>
                <w:rFonts w:asciiTheme="majorHAnsi" w:eastAsia="Times New Roman" w:hAnsiTheme="majorHAnsi" w:cstheme="majorHAnsi"/>
                <w:b/>
                <w:bCs/>
                <w:color w:val="000000"/>
                <w:sz w:val="20"/>
                <w:szCs w:val="20"/>
                <w:lang w:val="ro-RO"/>
              </w:rPr>
              <w:t>)</w:t>
            </w:r>
          </w:p>
        </w:tc>
        <w:tc>
          <w:tcPr>
            <w:tcW w:w="6378" w:type="dxa"/>
            <w:tcBorders>
              <w:top w:val="single" w:sz="8" w:space="0" w:color="auto"/>
              <w:left w:val="nil"/>
              <w:bottom w:val="single" w:sz="8" w:space="0" w:color="auto"/>
              <w:right w:val="single" w:sz="8" w:space="0" w:color="auto"/>
            </w:tcBorders>
            <w:shd w:val="clear" w:color="auto" w:fill="auto"/>
          </w:tcPr>
          <w:p w:rsidR="00C37226" w:rsidRPr="00E4517B" w:rsidRDefault="00C37226" w:rsidP="00B51730">
            <w:pPr>
              <w:spacing w:after="0" w:line="240" w:lineRule="auto"/>
              <w:rPr>
                <w:rFonts w:asciiTheme="majorHAnsi" w:hAnsiTheme="majorHAnsi" w:cstheme="majorHAnsi"/>
                <w:sz w:val="20"/>
                <w:szCs w:val="20"/>
                <w:lang w:val="ro-RO"/>
              </w:rPr>
            </w:pPr>
            <w:r w:rsidRPr="00E4517B">
              <w:rPr>
                <w:rFonts w:asciiTheme="majorHAnsi" w:hAnsiTheme="majorHAnsi" w:cstheme="majorHAnsi"/>
                <w:sz w:val="20"/>
                <w:szCs w:val="20"/>
                <w:lang w:val="ro-RO"/>
              </w:rPr>
              <w:t>În luna ianuarie 2021 a fost elaborat proiectul hotărârii Guvernului „Pentru modificarea Hotărârii Guvernului nr.1029/2013 cu privire la investițiile capitale publice”, care, la moment, se află la etapa de coordonare în cadrul Ministerului Finanțelor.</w:t>
            </w:r>
          </w:p>
          <w:p w:rsidR="00C37226" w:rsidRPr="00E4517B" w:rsidRDefault="00C37226" w:rsidP="00257CE7">
            <w:pPr>
              <w:spacing w:after="0" w:line="240" w:lineRule="auto"/>
              <w:rPr>
                <w:rFonts w:asciiTheme="majorHAnsi" w:hAnsiTheme="majorHAnsi" w:cstheme="majorHAnsi"/>
                <w:sz w:val="20"/>
                <w:szCs w:val="20"/>
                <w:lang w:val="ro-RO"/>
              </w:rPr>
            </w:pPr>
            <w:r w:rsidRPr="00E4517B">
              <w:rPr>
                <w:rFonts w:asciiTheme="majorHAnsi" w:hAnsiTheme="majorHAnsi" w:cstheme="majorHAnsi"/>
                <w:sz w:val="20"/>
                <w:szCs w:val="20"/>
                <w:lang w:val="ro-RO"/>
              </w:rPr>
              <w:t>În temeiul Hotărârii Guvernului nr.1029/2013 au fost elaborate formularele rapoartelor anuale de monitorizare a implementării proiectelor de investiții capitale publice. Prin scr. nr. 09/1-09/6 din 11 ianuarie 2021</w:t>
            </w:r>
            <w:r w:rsidR="00257CE7">
              <w:rPr>
                <w:rFonts w:asciiTheme="majorHAnsi" w:hAnsiTheme="majorHAnsi" w:cstheme="majorHAnsi"/>
                <w:sz w:val="20"/>
                <w:szCs w:val="20"/>
                <w:lang w:val="ro-RO"/>
              </w:rPr>
              <w:t>,</w:t>
            </w:r>
            <w:r w:rsidRPr="00E4517B">
              <w:rPr>
                <w:rFonts w:asciiTheme="majorHAnsi" w:hAnsiTheme="majorHAnsi" w:cstheme="majorHAnsi"/>
                <w:sz w:val="20"/>
                <w:szCs w:val="20"/>
                <w:lang w:val="ro-RO"/>
              </w:rPr>
              <w:t xml:space="preserve"> Ministerul Finanțelor a solicitat de la APC prezentarea rapoartelor nominalizate pentru anul 2020, în termen de 12 februarie 2021</w:t>
            </w:r>
          </w:p>
        </w:tc>
        <w:tc>
          <w:tcPr>
            <w:tcW w:w="850" w:type="dxa"/>
            <w:tcBorders>
              <w:top w:val="single" w:sz="4" w:space="0" w:color="auto"/>
              <w:left w:val="nil"/>
              <w:bottom w:val="single" w:sz="4" w:space="0" w:color="auto"/>
              <w:right w:val="single" w:sz="8" w:space="0" w:color="auto"/>
            </w:tcBorders>
          </w:tcPr>
          <w:p w:rsidR="00C37226" w:rsidRPr="00E4517B" w:rsidRDefault="00C37226" w:rsidP="00B51730">
            <w:pPr>
              <w:spacing w:after="0" w:line="240" w:lineRule="auto"/>
              <w:jc w:val="center"/>
              <w:rPr>
                <w:rFonts w:asciiTheme="majorHAnsi" w:hAnsiTheme="majorHAnsi" w:cstheme="majorHAnsi"/>
                <w:sz w:val="20"/>
                <w:szCs w:val="20"/>
                <w:lang w:val="ro-RO"/>
              </w:rPr>
            </w:pPr>
          </w:p>
        </w:tc>
        <w:tc>
          <w:tcPr>
            <w:tcW w:w="992" w:type="dxa"/>
            <w:tcBorders>
              <w:top w:val="single" w:sz="4" w:space="0" w:color="auto"/>
              <w:left w:val="nil"/>
              <w:bottom w:val="single" w:sz="4" w:space="0" w:color="auto"/>
              <w:right w:val="single" w:sz="8" w:space="0" w:color="auto"/>
            </w:tcBorders>
          </w:tcPr>
          <w:p w:rsidR="00C37226" w:rsidRPr="00E4517B" w:rsidRDefault="00C37226" w:rsidP="00B51730">
            <w:pPr>
              <w:spacing w:after="0" w:line="240" w:lineRule="auto"/>
              <w:jc w:val="center"/>
              <w:rPr>
                <w:rFonts w:asciiTheme="majorHAnsi" w:hAnsiTheme="majorHAnsi" w:cstheme="majorHAnsi"/>
                <w:sz w:val="20"/>
                <w:szCs w:val="20"/>
                <w:lang w:val="ro-RO"/>
              </w:rPr>
            </w:pPr>
            <w:r w:rsidRPr="00E4517B">
              <w:rPr>
                <w:rFonts w:asciiTheme="majorHAnsi" w:hAnsiTheme="majorHAnsi" w:cstheme="majorHAnsi"/>
                <w:sz w:val="20"/>
                <w:szCs w:val="20"/>
                <w:lang w:val="ro-RO"/>
              </w:rPr>
              <w:t>v</w:t>
            </w:r>
          </w:p>
        </w:tc>
        <w:tc>
          <w:tcPr>
            <w:tcW w:w="992" w:type="dxa"/>
            <w:tcBorders>
              <w:top w:val="single" w:sz="4" w:space="0" w:color="auto"/>
              <w:left w:val="nil"/>
              <w:bottom w:val="single" w:sz="4" w:space="0" w:color="auto"/>
              <w:right w:val="single" w:sz="8" w:space="0" w:color="auto"/>
            </w:tcBorders>
          </w:tcPr>
          <w:p w:rsidR="00C37226" w:rsidRPr="00E4517B" w:rsidRDefault="00C37226" w:rsidP="00B51730">
            <w:pPr>
              <w:spacing w:after="0" w:line="240" w:lineRule="auto"/>
              <w:rPr>
                <w:rFonts w:asciiTheme="majorHAnsi" w:hAnsiTheme="majorHAnsi" w:cstheme="majorHAnsi"/>
                <w:sz w:val="20"/>
                <w:szCs w:val="20"/>
                <w:lang w:val="ro-RO"/>
              </w:rPr>
            </w:pPr>
          </w:p>
        </w:tc>
      </w:tr>
      <w:tr w:rsidR="00C37226" w:rsidRPr="00E4517B" w:rsidTr="00C37226">
        <w:trPr>
          <w:gridAfter w:val="1"/>
          <w:wAfter w:w="9" w:type="dxa"/>
          <w:trHeight w:val="1117"/>
        </w:trPr>
        <w:tc>
          <w:tcPr>
            <w:tcW w:w="5671" w:type="dxa"/>
            <w:tcBorders>
              <w:top w:val="single" w:sz="8" w:space="0" w:color="auto"/>
              <w:left w:val="single" w:sz="8" w:space="0" w:color="auto"/>
              <w:bottom w:val="single" w:sz="8" w:space="0" w:color="auto"/>
              <w:right w:val="single" w:sz="8" w:space="0" w:color="auto"/>
            </w:tcBorders>
            <w:shd w:val="clear" w:color="auto" w:fill="auto"/>
          </w:tcPr>
          <w:p w:rsidR="00C37226" w:rsidRPr="009131CF" w:rsidRDefault="00C37226" w:rsidP="00B51730">
            <w:pPr>
              <w:tabs>
                <w:tab w:val="left" w:pos="171"/>
              </w:tabs>
              <w:spacing w:after="0" w:line="240" w:lineRule="auto"/>
              <w:rPr>
                <w:rFonts w:asciiTheme="majorHAnsi" w:hAnsiTheme="majorHAnsi" w:cstheme="majorHAnsi"/>
                <w:bCs/>
                <w:color w:val="000000"/>
                <w:sz w:val="20"/>
                <w:szCs w:val="20"/>
                <w:lang w:val="ro-RO"/>
              </w:rPr>
            </w:pPr>
            <w:r w:rsidRPr="00E4517B">
              <w:rPr>
                <w:rFonts w:asciiTheme="majorHAnsi" w:hAnsiTheme="majorHAnsi" w:cstheme="majorHAnsi"/>
                <w:bCs/>
                <w:color w:val="000000"/>
                <w:sz w:val="20"/>
                <w:szCs w:val="20"/>
                <w:lang w:val="ro-RO"/>
              </w:rPr>
              <w:t>2.1.3. Monitorizarea</w:t>
            </w:r>
            <w:r w:rsidRPr="00973E5B">
              <w:rPr>
                <w:rFonts w:asciiTheme="majorHAnsi" w:hAnsiTheme="majorHAnsi" w:cstheme="majorHAnsi"/>
                <w:bCs/>
                <w:color w:val="000000"/>
                <w:sz w:val="20"/>
                <w:szCs w:val="20"/>
                <w:lang w:val="ro-RO"/>
              </w:rPr>
              <w:t xml:space="preserve"> neadmiterii imobilizării mijloacelor bugetare de către autoritățile publice centrale în generarea creanțelor, ținând cont de procesul de înregistrare a contractelor de achiziții prin sistemul trezorerial </w:t>
            </w:r>
            <w:r w:rsidRPr="00207634">
              <w:rPr>
                <w:rFonts w:asciiTheme="majorHAnsi" w:hAnsiTheme="majorHAnsi" w:cstheme="majorHAnsi"/>
                <w:b/>
                <w:bCs/>
                <w:i/>
                <w:color w:val="000000"/>
                <w:sz w:val="20"/>
                <w:szCs w:val="20"/>
                <w:lang w:val="ro-RO"/>
              </w:rPr>
              <w:t>(recomandare reiterată</w:t>
            </w:r>
            <w:r w:rsidRPr="00207634">
              <w:rPr>
                <w:rFonts w:asciiTheme="majorHAnsi" w:hAnsiTheme="majorHAnsi" w:cstheme="majorHAnsi"/>
                <w:b/>
                <w:bCs/>
                <w:color w:val="000000"/>
                <w:sz w:val="20"/>
                <w:szCs w:val="20"/>
                <w:lang w:val="ro-RO"/>
              </w:rPr>
              <w:t>)</w:t>
            </w:r>
          </w:p>
        </w:tc>
        <w:tc>
          <w:tcPr>
            <w:tcW w:w="6378" w:type="dxa"/>
            <w:tcBorders>
              <w:top w:val="single" w:sz="8" w:space="0" w:color="auto"/>
              <w:left w:val="nil"/>
              <w:bottom w:val="single" w:sz="8" w:space="0" w:color="auto"/>
              <w:right w:val="single" w:sz="8" w:space="0" w:color="auto"/>
            </w:tcBorders>
            <w:shd w:val="clear" w:color="auto" w:fill="auto"/>
          </w:tcPr>
          <w:p w:rsidR="00C37226" w:rsidRPr="00E4517B" w:rsidRDefault="00C37226" w:rsidP="00005092">
            <w:pPr>
              <w:spacing w:after="0" w:line="240" w:lineRule="auto"/>
              <w:rPr>
                <w:rFonts w:asciiTheme="majorHAnsi" w:hAnsiTheme="majorHAnsi" w:cstheme="majorHAnsi"/>
                <w:sz w:val="20"/>
                <w:szCs w:val="20"/>
                <w:lang w:val="ro-RO"/>
              </w:rPr>
            </w:pPr>
            <w:r w:rsidRPr="00E4517B">
              <w:rPr>
                <w:rFonts w:asciiTheme="majorHAnsi" w:hAnsiTheme="majorHAnsi" w:cstheme="majorHAnsi"/>
                <w:sz w:val="20"/>
                <w:szCs w:val="20"/>
                <w:lang w:val="ro-RO"/>
              </w:rPr>
              <w:t xml:space="preserve">Direcția Trezoreria de Stat, lunar, recepționează și generalizează informația  privind creanțele. Informația respectivă este transmisă Inspecției Financiare pentru verificarea corectitudinii determinării creanțelor cu termen expirat și, după necesitate, aplicarea sancțiunilor conform Codului </w:t>
            </w:r>
            <w:r w:rsidR="00005092">
              <w:rPr>
                <w:rFonts w:asciiTheme="majorHAnsi" w:hAnsiTheme="majorHAnsi" w:cstheme="majorHAnsi"/>
                <w:sz w:val="20"/>
                <w:szCs w:val="20"/>
                <w:lang w:val="ro-RO"/>
              </w:rPr>
              <w:t>c</w:t>
            </w:r>
            <w:r w:rsidRPr="00E4517B">
              <w:rPr>
                <w:rFonts w:asciiTheme="majorHAnsi" w:hAnsiTheme="majorHAnsi" w:cstheme="majorHAnsi"/>
                <w:sz w:val="20"/>
                <w:szCs w:val="20"/>
                <w:lang w:val="ro-RO"/>
              </w:rPr>
              <w:t xml:space="preserve">ontravențional </w:t>
            </w:r>
          </w:p>
        </w:tc>
        <w:tc>
          <w:tcPr>
            <w:tcW w:w="850" w:type="dxa"/>
            <w:tcBorders>
              <w:top w:val="single" w:sz="4" w:space="0" w:color="auto"/>
              <w:left w:val="nil"/>
              <w:bottom w:val="single" w:sz="4" w:space="0" w:color="auto"/>
              <w:right w:val="single" w:sz="8" w:space="0" w:color="auto"/>
            </w:tcBorders>
          </w:tcPr>
          <w:p w:rsidR="00C37226" w:rsidRPr="00E4517B" w:rsidRDefault="00F4317E" w:rsidP="00B51730">
            <w:pPr>
              <w:spacing w:after="0" w:line="240" w:lineRule="auto"/>
              <w:jc w:val="center"/>
              <w:rPr>
                <w:rFonts w:asciiTheme="majorHAnsi" w:hAnsiTheme="majorHAnsi" w:cstheme="majorHAnsi"/>
                <w:sz w:val="20"/>
                <w:szCs w:val="20"/>
                <w:lang w:val="ro-RO"/>
              </w:rPr>
            </w:pPr>
            <w:r w:rsidRPr="00E4517B">
              <w:rPr>
                <w:rFonts w:asciiTheme="majorHAnsi" w:hAnsiTheme="majorHAnsi" w:cstheme="majorHAnsi"/>
                <w:sz w:val="20"/>
                <w:szCs w:val="20"/>
                <w:lang w:val="ro-RO"/>
              </w:rPr>
              <w:t>v</w:t>
            </w:r>
          </w:p>
        </w:tc>
        <w:tc>
          <w:tcPr>
            <w:tcW w:w="992" w:type="dxa"/>
            <w:tcBorders>
              <w:top w:val="single" w:sz="4" w:space="0" w:color="auto"/>
              <w:left w:val="nil"/>
              <w:bottom w:val="single" w:sz="4" w:space="0" w:color="auto"/>
              <w:right w:val="single" w:sz="8" w:space="0" w:color="auto"/>
            </w:tcBorders>
          </w:tcPr>
          <w:p w:rsidR="00C37226" w:rsidRPr="00E4517B" w:rsidRDefault="00C37226" w:rsidP="00B51730">
            <w:pPr>
              <w:spacing w:after="0" w:line="240" w:lineRule="auto"/>
              <w:jc w:val="center"/>
              <w:rPr>
                <w:rFonts w:asciiTheme="majorHAnsi" w:hAnsiTheme="majorHAnsi" w:cstheme="majorHAnsi"/>
                <w:sz w:val="20"/>
                <w:szCs w:val="20"/>
                <w:lang w:val="ro-RO"/>
              </w:rPr>
            </w:pPr>
          </w:p>
        </w:tc>
        <w:tc>
          <w:tcPr>
            <w:tcW w:w="992" w:type="dxa"/>
            <w:tcBorders>
              <w:top w:val="single" w:sz="4" w:space="0" w:color="auto"/>
              <w:left w:val="nil"/>
              <w:bottom w:val="single" w:sz="4" w:space="0" w:color="auto"/>
              <w:right w:val="single" w:sz="8" w:space="0" w:color="auto"/>
            </w:tcBorders>
          </w:tcPr>
          <w:p w:rsidR="00C37226" w:rsidRPr="00E4517B" w:rsidRDefault="00C37226" w:rsidP="00B51730">
            <w:pPr>
              <w:spacing w:after="0" w:line="240" w:lineRule="auto"/>
              <w:rPr>
                <w:rFonts w:asciiTheme="majorHAnsi" w:hAnsiTheme="majorHAnsi" w:cstheme="majorHAnsi"/>
                <w:sz w:val="20"/>
                <w:szCs w:val="20"/>
                <w:lang w:val="ro-RO"/>
              </w:rPr>
            </w:pPr>
          </w:p>
        </w:tc>
      </w:tr>
      <w:tr w:rsidR="00C37226" w:rsidRPr="00E4517B" w:rsidTr="00C37226">
        <w:trPr>
          <w:gridAfter w:val="1"/>
          <w:wAfter w:w="9" w:type="dxa"/>
          <w:trHeight w:val="57"/>
        </w:trPr>
        <w:tc>
          <w:tcPr>
            <w:tcW w:w="5671" w:type="dxa"/>
            <w:tcBorders>
              <w:top w:val="single" w:sz="8" w:space="0" w:color="auto"/>
              <w:left w:val="single" w:sz="8" w:space="0" w:color="auto"/>
              <w:bottom w:val="single" w:sz="8" w:space="0" w:color="auto"/>
              <w:right w:val="single" w:sz="8" w:space="0" w:color="auto"/>
            </w:tcBorders>
            <w:shd w:val="clear" w:color="auto" w:fill="auto"/>
          </w:tcPr>
          <w:p w:rsidR="00C37226" w:rsidRPr="009131CF" w:rsidRDefault="00C37226" w:rsidP="00B51730">
            <w:pPr>
              <w:spacing w:after="0" w:line="240" w:lineRule="auto"/>
              <w:rPr>
                <w:rFonts w:asciiTheme="majorHAnsi" w:hAnsiTheme="majorHAnsi" w:cstheme="majorHAnsi"/>
                <w:bCs/>
                <w:color w:val="000000"/>
                <w:sz w:val="20"/>
                <w:szCs w:val="20"/>
                <w:lang w:val="ro-RO"/>
              </w:rPr>
            </w:pPr>
            <w:r w:rsidRPr="00E4517B">
              <w:rPr>
                <w:rFonts w:asciiTheme="majorHAnsi" w:hAnsiTheme="majorHAnsi" w:cstheme="majorHAnsi"/>
                <w:bCs/>
                <w:color w:val="000000"/>
                <w:sz w:val="20"/>
                <w:szCs w:val="20"/>
                <w:lang w:val="ro-RO"/>
              </w:rPr>
              <w:t xml:space="preserve">2.1.4. Asigurarea elaborării, </w:t>
            </w:r>
            <w:r w:rsidRPr="00973E5B">
              <w:rPr>
                <w:rFonts w:asciiTheme="majorHAnsi" w:hAnsiTheme="majorHAnsi" w:cstheme="majorHAnsi"/>
                <w:b/>
                <w:bCs/>
                <w:color w:val="000000"/>
                <w:sz w:val="20"/>
                <w:szCs w:val="20"/>
                <w:lang w:val="ro-RO"/>
              </w:rPr>
              <w:t>de comun cu Ministerul Educației, Culturii și Cercetării,</w:t>
            </w:r>
            <w:r w:rsidRPr="00207634">
              <w:rPr>
                <w:rFonts w:asciiTheme="majorHAnsi" w:hAnsiTheme="majorHAnsi" w:cstheme="majorHAnsi"/>
                <w:bCs/>
                <w:color w:val="000000"/>
                <w:sz w:val="20"/>
                <w:szCs w:val="20"/>
                <w:lang w:val="ro-RO"/>
              </w:rPr>
              <w:t xml:space="preserve"> a metodologiilor de calcul pentru transferurile cu destinație special</w:t>
            </w:r>
            <w:r w:rsidR="00A053FD">
              <w:rPr>
                <w:rFonts w:asciiTheme="majorHAnsi" w:hAnsiTheme="majorHAnsi" w:cstheme="majorHAnsi"/>
                <w:bCs/>
                <w:color w:val="000000"/>
                <w:sz w:val="20"/>
                <w:szCs w:val="20"/>
                <w:lang w:val="ro-RO"/>
              </w:rPr>
              <w:t>ă</w:t>
            </w:r>
            <w:r w:rsidRPr="00207634">
              <w:rPr>
                <w:rFonts w:asciiTheme="majorHAnsi" w:hAnsiTheme="majorHAnsi" w:cstheme="majorHAnsi"/>
                <w:bCs/>
                <w:color w:val="000000"/>
                <w:sz w:val="20"/>
                <w:szCs w:val="20"/>
                <w:lang w:val="ro-RO"/>
              </w:rPr>
              <w:t xml:space="preserve"> la finanțarea instituțiilor de învățământ (instituții preșcolare,</w:t>
            </w:r>
            <w:r w:rsidRPr="009131CF">
              <w:rPr>
                <w:rFonts w:asciiTheme="majorHAnsi" w:hAnsiTheme="majorHAnsi" w:cstheme="majorHAnsi"/>
                <w:bCs/>
                <w:color w:val="000000"/>
                <w:sz w:val="20"/>
                <w:szCs w:val="20"/>
                <w:lang w:val="ro-RO"/>
              </w:rPr>
              <w:t xml:space="preserve"> licee-internat cu profil sportiv, școli de tip internat, centre de educație extrașcolară etc.), precum și completării normelor metodologice cu referire la determinarea transferurilor destinate școlilor primare, gimnaziilor și liceelor etc. </w:t>
            </w:r>
          </w:p>
          <w:p w:rsidR="00C37226" w:rsidRPr="00E4517B" w:rsidRDefault="00C37226" w:rsidP="00B51730">
            <w:pPr>
              <w:spacing w:after="0" w:line="240" w:lineRule="auto"/>
              <w:rPr>
                <w:rFonts w:asciiTheme="majorHAnsi" w:eastAsia="Times New Roman" w:hAnsiTheme="majorHAnsi" w:cstheme="majorHAnsi"/>
                <w:b/>
                <w:bCs/>
                <w:color w:val="000000"/>
                <w:sz w:val="20"/>
                <w:szCs w:val="20"/>
                <w:lang w:val="ro-RO"/>
              </w:rPr>
            </w:pPr>
            <w:r w:rsidRPr="00E4517B">
              <w:rPr>
                <w:rFonts w:asciiTheme="majorHAnsi" w:eastAsia="Times New Roman" w:hAnsiTheme="majorHAnsi" w:cstheme="majorHAnsi"/>
                <w:b/>
                <w:bCs/>
                <w:i/>
                <w:color w:val="000000"/>
                <w:sz w:val="20"/>
                <w:szCs w:val="20"/>
                <w:lang w:val="ro-RO"/>
              </w:rPr>
              <w:lastRenderedPageBreak/>
              <w:t>(recomandare reiterată</w:t>
            </w:r>
            <w:r w:rsidRPr="00E4517B">
              <w:rPr>
                <w:rFonts w:asciiTheme="majorHAnsi" w:eastAsia="Times New Roman" w:hAnsiTheme="majorHAnsi" w:cstheme="majorHAnsi"/>
                <w:b/>
                <w:bCs/>
                <w:color w:val="000000"/>
                <w:sz w:val="20"/>
                <w:szCs w:val="20"/>
                <w:lang w:val="ro-RO"/>
              </w:rPr>
              <w:t>)</w:t>
            </w:r>
          </w:p>
        </w:tc>
        <w:tc>
          <w:tcPr>
            <w:tcW w:w="6378" w:type="dxa"/>
            <w:tcBorders>
              <w:top w:val="single" w:sz="8" w:space="0" w:color="auto"/>
              <w:left w:val="nil"/>
              <w:bottom w:val="single" w:sz="8" w:space="0" w:color="auto"/>
              <w:right w:val="single" w:sz="8" w:space="0" w:color="auto"/>
            </w:tcBorders>
            <w:shd w:val="clear" w:color="auto" w:fill="auto"/>
          </w:tcPr>
          <w:p w:rsidR="00C37226" w:rsidRPr="00E4517B" w:rsidRDefault="00C37226" w:rsidP="00B51730">
            <w:pPr>
              <w:spacing w:after="0" w:line="240" w:lineRule="auto"/>
              <w:rPr>
                <w:rFonts w:asciiTheme="majorHAnsi" w:hAnsiTheme="majorHAnsi" w:cstheme="majorHAnsi"/>
                <w:sz w:val="20"/>
                <w:szCs w:val="20"/>
                <w:lang w:val="ro-RO"/>
              </w:rPr>
            </w:pPr>
            <w:r w:rsidRPr="00E4517B">
              <w:rPr>
                <w:rFonts w:asciiTheme="majorHAnsi" w:hAnsiTheme="majorHAnsi" w:cstheme="majorHAnsi"/>
                <w:sz w:val="20"/>
                <w:szCs w:val="20"/>
                <w:lang w:val="ro-RO"/>
              </w:rPr>
              <w:lastRenderedPageBreak/>
              <w:t>Ministerul Finanțelor, prin scrisoarea nr. 07/1-17/03 din 12 ianuarie curent</w:t>
            </w:r>
            <w:r w:rsidR="00005092">
              <w:rPr>
                <w:rFonts w:asciiTheme="majorHAnsi" w:hAnsiTheme="majorHAnsi" w:cstheme="majorHAnsi"/>
                <w:sz w:val="20"/>
                <w:szCs w:val="20"/>
                <w:lang w:val="ro-RO"/>
              </w:rPr>
              <w:t>,</w:t>
            </w:r>
            <w:r w:rsidRPr="00E4517B">
              <w:rPr>
                <w:rFonts w:asciiTheme="majorHAnsi" w:hAnsiTheme="majorHAnsi" w:cstheme="majorHAnsi"/>
                <w:sz w:val="20"/>
                <w:szCs w:val="20"/>
                <w:lang w:val="ro-RO"/>
              </w:rPr>
              <w:t xml:space="preserve"> a informat Ministerul Educației, Culturii și Cercetării despre necesitatea de a asigura, în mod prioritar, elaborarea / modificarea metodologiilor, </w:t>
            </w:r>
            <w:r w:rsidR="00005092">
              <w:rPr>
                <w:rFonts w:asciiTheme="majorHAnsi" w:hAnsiTheme="majorHAnsi" w:cstheme="majorHAnsi"/>
                <w:sz w:val="20"/>
                <w:szCs w:val="20"/>
                <w:lang w:val="ro-RO"/>
              </w:rPr>
              <w:t>pe</w:t>
            </w:r>
            <w:r w:rsidRPr="00E4517B">
              <w:rPr>
                <w:rFonts w:asciiTheme="majorHAnsi" w:hAnsiTheme="majorHAnsi" w:cstheme="majorHAnsi"/>
                <w:sz w:val="20"/>
                <w:szCs w:val="20"/>
                <w:lang w:val="ro-RO"/>
              </w:rPr>
              <w:t xml:space="preserve">ntru distribuirea cât mai eficientă a alocațiilor pe autorități publice locale, care au în subordine instituții de învățământ, precum și </w:t>
            </w:r>
            <w:r w:rsidR="00005092">
              <w:rPr>
                <w:rFonts w:asciiTheme="majorHAnsi" w:hAnsiTheme="majorHAnsi" w:cstheme="majorHAnsi"/>
                <w:sz w:val="20"/>
                <w:szCs w:val="20"/>
                <w:lang w:val="ro-RO"/>
              </w:rPr>
              <w:t>pe</w:t>
            </w:r>
            <w:r w:rsidRPr="00E4517B">
              <w:rPr>
                <w:rFonts w:asciiTheme="majorHAnsi" w:hAnsiTheme="majorHAnsi" w:cstheme="majorHAnsi"/>
                <w:sz w:val="20"/>
                <w:szCs w:val="20"/>
                <w:lang w:val="ro-RO"/>
              </w:rPr>
              <w:t>ntru eficientizarea banului public</w:t>
            </w:r>
          </w:p>
          <w:p w:rsidR="00C37226" w:rsidRPr="00E4517B" w:rsidRDefault="00C37226" w:rsidP="00B51730">
            <w:pPr>
              <w:spacing w:after="0" w:line="240" w:lineRule="auto"/>
              <w:rPr>
                <w:rFonts w:asciiTheme="majorHAnsi" w:hAnsiTheme="majorHAnsi" w:cstheme="majorHAnsi"/>
                <w:sz w:val="20"/>
                <w:szCs w:val="20"/>
                <w:lang w:val="ro-RO" w:bidi="ro-RO"/>
              </w:rPr>
            </w:pPr>
            <w:r w:rsidRPr="00E4517B">
              <w:rPr>
                <w:rFonts w:asciiTheme="majorHAnsi" w:hAnsiTheme="majorHAnsi" w:cstheme="majorHAnsi"/>
                <w:sz w:val="20"/>
                <w:szCs w:val="20"/>
                <w:lang w:val="ro-RO" w:bidi="ro-RO"/>
              </w:rPr>
              <w:lastRenderedPageBreak/>
              <w:t>Prin demersul nr.07/1-03/32 din 26 aprilie 2021 a fost solicitată intervenţia Prim-ministrului interimar al Republicii Moldova de a dispune Ministerului Educaţiei, Culturii şi Cercetării întreprinderea măsurilor necesare în vederea examinării posibilităţii de modificare a Hotărârii Guvernului nr. 868/2014 „Privind finanţarea în bază de cost standard per elev a instituţiilor de învăţământ primar şi secundar general din subordinea autorităţilor publice locale de nivelul al doilea</w:t>
            </w:r>
            <w:r w:rsidR="00005092">
              <w:rPr>
                <w:rFonts w:asciiTheme="majorHAnsi" w:hAnsiTheme="majorHAnsi" w:cstheme="majorHAnsi"/>
                <w:sz w:val="20"/>
                <w:szCs w:val="20"/>
                <w:lang w:val="ro-RO" w:bidi="ro-RO"/>
              </w:rPr>
              <w:t>”</w:t>
            </w:r>
            <w:r w:rsidRPr="00E4517B">
              <w:rPr>
                <w:rFonts w:asciiTheme="majorHAnsi" w:hAnsiTheme="majorHAnsi" w:cstheme="majorHAnsi"/>
                <w:sz w:val="20"/>
                <w:szCs w:val="20"/>
                <w:lang w:val="ro-RO" w:bidi="ro-RO"/>
              </w:rPr>
              <w:t>.</w:t>
            </w:r>
          </w:p>
          <w:p w:rsidR="00C37226" w:rsidRPr="00E4517B" w:rsidRDefault="00C37226" w:rsidP="00B51730">
            <w:pPr>
              <w:spacing w:after="0" w:line="240" w:lineRule="auto"/>
              <w:rPr>
                <w:rFonts w:asciiTheme="majorHAnsi" w:hAnsiTheme="majorHAnsi" w:cstheme="majorHAnsi"/>
                <w:sz w:val="20"/>
                <w:szCs w:val="20"/>
                <w:lang w:val="ro-RO" w:bidi="ro-RO"/>
              </w:rPr>
            </w:pPr>
            <w:r w:rsidRPr="00E4517B">
              <w:rPr>
                <w:rFonts w:asciiTheme="majorHAnsi" w:hAnsiTheme="majorHAnsi" w:cstheme="majorHAnsi"/>
                <w:sz w:val="20"/>
                <w:szCs w:val="20"/>
                <w:lang w:val="ro-RO" w:bidi="ro-RO"/>
              </w:rPr>
              <w:t>Până în prezent de la Ministerul Educaţiei, Culturii şi Cercetării nu au parvenit propuneri concrete de modificare/completare</w:t>
            </w:r>
            <w:r w:rsidRPr="00E4517B">
              <w:rPr>
                <w:rFonts w:asciiTheme="majorHAnsi" w:hAnsiTheme="majorHAnsi" w:cstheme="majorHAnsi"/>
                <w:sz w:val="20"/>
                <w:szCs w:val="20"/>
                <w:lang w:val="ro-RO" w:bidi="ro-RO"/>
              </w:rPr>
              <w:tab/>
              <w:t>a</w:t>
            </w:r>
            <w:r w:rsidRPr="00E4517B">
              <w:rPr>
                <w:rFonts w:asciiTheme="majorHAnsi" w:hAnsiTheme="majorHAnsi" w:cstheme="majorHAnsi"/>
                <w:sz w:val="20"/>
                <w:szCs w:val="20"/>
                <w:lang w:val="ro-RO" w:bidi="ro-RO"/>
              </w:rPr>
              <w:tab/>
              <w:t>actului</w:t>
            </w:r>
          </w:p>
          <w:p w:rsidR="00C37226" w:rsidRPr="00E4517B" w:rsidRDefault="00C37226" w:rsidP="00005092">
            <w:pPr>
              <w:spacing w:after="0" w:line="240" w:lineRule="auto"/>
              <w:rPr>
                <w:rFonts w:asciiTheme="majorHAnsi" w:hAnsiTheme="majorHAnsi" w:cstheme="majorHAnsi"/>
                <w:sz w:val="20"/>
                <w:szCs w:val="20"/>
                <w:lang w:val="ro-RO"/>
              </w:rPr>
            </w:pPr>
            <w:r w:rsidRPr="00E4517B">
              <w:rPr>
                <w:rFonts w:asciiTheme="majorHAnsi" w:hAnsiTheme="majorHAnsi" w:cstheme="majorHAnsi"/>
                <w:sz w:val="20"/>
                <w:szCs w:val="20"/>
                <w:lang w:val="ro-RO" w:bidi="ro-RO"/>
              </w:rPr>
              <w:t>normativ, solicitate prin demersul Guvernului, ca urmare a solicitării MF</w:t>
            </w:r>
          </w:p>
        </w:tc>
        <w:tc>
          <w:tcPr>
            <w:tcW w:w="850" w:type="dxa"/>
            <w:tcBorders>
              <w:top w:val="single" w:sz="4" w:space="0" w:color="auto"/>
              <w:left w:val="nil"/>
              <w:bottom w:val="single" w:sz="4" w:space="0" w:color="auto"/>
              <w:right w:val="single" w:sz="8" w:space="0" w:color="auto"/>
            </w:tcBorders>
          </w:tcPr>
          <w:p w:rsidR="00C37226" w:rsidRPr="00E4517B" w:rsidRDefault="00C37226" w:rsidP="00B51730">
            <w:pPr>
              <w:spacing w:after="0" w:line="240" w:lineRule="auto"/>
              <w:jc w:val="center"/>
              <w:rPr>
                <w:rFonts w:asciiTheme="majorHAnsi" w:hAnsiTheme="majorHAnsi" w:cstheme="majorHAnsi"/>
                <w:sz w:val="20"/>
                <w:szCs w:val="20"/>
                <w:lang w:val="ro-RO"/>
              </w:rPr>
            </w:pPr>
          </w:p>
        </w:tc>
        <w:tc>
          <w:tcPr>
            <w:tcW w:w="992" w:type="dxa"/>
            <w:tcBorders>
              <w:top w:val="single" w:sz="4" w:space="0" w:color="auto"/>
              <w:left w:val="nil"/>
              <w:bottom w:val="single" w:sz="4" w:space="0" w:color="auto"/>
              <w:right w:val="single" w:sz="8" w:space="0" w:color="auto"/>
            </w:tcBorders>
          </w:tcPr>
          <w:p w:rsidR="00C37226" w:rsidRPr="00E4517B" w:rsidRDefault="00C37226" w:rsidP="00B51730">
            <w:pPr>
              <w:spacing w:after="0" w:line="240" w:lineRule="auto"/>
              <w:jc w:val="center"/>
              <w:rPr>
                <w:rFonts w:asciiTheme="majorHAnsi" w:hAnsiTheme="majorHAnsi" w:cstheme="majorHAnsi"/>
                <w:sz w:val="20"/>
                <w:szCs w:val="20"/>
                <w:lang w:val="ro-RO"/>
              </w:rPr>
            </w:pPr>
            <w:r w:rsidRPr="00E4517B">
              <w:rPr>
                <w:rFonts w:asciiTheme="majorHAnsi" w:hAnsiTheme="majorHAnsi" w:cstheme="majorHAnsi"/>
                <w:sz w:val="20"/>
                <w:szCs w:val="20"/>
                <w:lang w:val="ro-RO"/>
              </w:rPr>
              <w:t>v</w:t>
            </w:r>
          </w:p>
        </w:tc>
        <w:tc>
          <w:tcPr>
            <w:tcW w:w="992" w:type="dxa"/>
            <w:tcBorders>
              <w:top w:val="single" w:sz="4" w:space="0" w:color="auto"/>
              <w:left w:val="nil"/>
              <w:bottom w:val="single" w:sz="4" w:space="0" w:color="auto"/>
              <w:right w:val="single" w:sz="8" w:space="0" w:color="auto"/>
            </w:tcBorders>
          </w:tcPr>
          <w:p w:rsidR="00C37226" w:rsidRPr="00E4517B" w:rsidRDefault="00C37226" w:rsidP="00B51730">
            <w:pPr>
              <w:spacing w:after="0" w:line="240" w:lineRule="auto"/>
              <w:rPr>
                <w:rFonts w:asciiTheme="majorHAnsi" w:hAnsiTheme="majorHAnsi" w:cstheme="majorHAnsi"/>
                <w:sz w:val="20"/>
                <w:szCs w:val="20"/>
                <w:lang w:val="ro-RO"/>
              </w:rPr>
            </w:pPr>
          </w:p>
        </w:tc>
      </w:tr>
      <w:tr w:rsidR="00C37226" w:rsidRPr="00E4517B" w:rsidTr="00C37226">
        <w:trPr>
          <w:gridAfter w:val="1"/>
          <w:wAfter w:w="9" w:type="dxa"/>
          <w:trHeight w:val="57"/>
        </w:trPr>
        <w:tc>
          <w:tcPr>
            <w:tcW w:w="5671" w:type="dxa"/>
            <w:tcBorders>
              <w:top w:val="single" w:sz="8" w:space="0" w:color="auto"/>
              <w:left w:val="single" w:sz="8" w:space="0" w:color="auto"/>
              <w:bottom w:val="single" w:sz="8" w:space="0" w:color="auto"/>
              <w:right w:val="single" w:sz="8" w:space="0" w:color="auto"/>
            </w:tcBorders>
            <w:shd w:val="clear" w:color="auto" w:fill="auto"/>
          </w:tcPr>
          <w:p w:rsidR="00C37226" w:rsidRPr="00E4517B" w:rsidRDefault="00C37226" w:rsidP="00B51730">
            <w:pPr>
              <w:numPr>
                <w:ilvl w:val="0"/>
                <w:numId w:val="10"/>
              </w:numPr>
              <w:spacing w:after="0" w:line="240" w:lineRule="auto"/>
              <w:rPr>
                <w:rFonts w:asciiTheme="majorHAnsi" w:hAnsiTheme="majorHAnsi" w:cstheme="majorHAnsi"/>
                <w:bCs/>
                <w:color w:val="000000"/>
                <w:sz w:val="20"/>
                <w:szCs w:val="20"/>
                <w:lang w:val="ro-RO"/>
              </w:rPr>
            </w:pPr>
            <w:r w:rsidRPr="00E4517B">
              <w:rPr>
                <w:rFonts w:asciiTheme="majorHAnsi" w:hAnsiTheme="majorHAnsi" w:cstheme="majorHAnsi"/>
                <w:bCs/>
                <w:color w:val="000000"/>
                <w:sz w:val="20"/>
                <w:szCs w:val="20"/>
                <w:lang w:val="ro-RO"/>
              </w:rPr>
              <w:t>Definitivarea cadrului normativ în vigoare și aducerea în concordanță cu prevederile Legii nr.181/2014 referitor la noțiunea de „subsidii/subvenții”</w:t>
            </w:r>
          </w:p>
        </w:tc>
        <w:tc>
          <w:tcPr>
            <w:tcW w:w="6378" w:type="dxa"/>
            <w:tcBorders>
              <w:top w:val="single" w:sz="8" w:space="0" w:color="auto"/>
              <w:left w:val="nil"/>
              <w:bottom w:val="single" w:sz="8" w:space="0" w:color="auto"/>
              <w:right w:val="single" w:sz="8" w:space="0" w:color="auto"/>
            </w:tcBorders>
            <w:shd w:val="clear" w:color="auto" w:fill="auto"/>
          </w:tcPr>
          <w:p w:rsidR="00C37226" w:rsidRPr="00207634" w:rsidRDefault="00C37226" w:rsidP="00B51730">
            <w:pPr>
              <w:spacing w:after="0" w:line="240" w:lineRule="auto"/>
              <w:rPr>
                <w:rFonts w:asciiTheme="majorHAnsi" w:hAnsiTheme="majorHAnsi" w:cstheme="majorHAnsi"/>
                <w:sz w:val="20"/>
                <w:szCs w:val="20"/>
                <w:lang w:val="ro-RO"/>
              </w:rPr>
            </w:pPr>
            <w:r w:rsidRPr="00973E5B">
              <w:rPr>
                <w:rFonts w:asciiTheme="majorHAnsi" w:hAnsiTheme="majorHAnsi" w:cstheme="majorHAnsi"/>
                <w:sz w:val="20"/>
                <w:szCs w:val="20"/>
                <w:lang w:val="ro-RO"/>
              </w:rPr>
              <w:t>Definitivarea c</w:t>
            </w:r>
            <w:r w:rsidRPr="00207634">
              <w:rPr>
                <w:rFonts w:asciiTheme="majorHAnsi" w:hAnsiTheme="majorHAnsi" w:cstheme="majorHAnsi"/>
                <w:sz w:val="20"/>
                <w:szCs w:val="20"/>
                <w:lang w:val="ro-RO"/>
              </w:rPr>
              <w:t>adrului normativ în vigoare și aducerea în concordanță cu prevederile Legii nr.181/2014 referitor la noțiunea de „subsidii/subvenții” a fost realizată prin aprobarea:</w:t>
            </w:r>
          </w:p>
          <w:p w:rsidR="00C37226" w:rsidRPr="009131CF" w:rsidRDefault="00C37226" w:rsidP="00B51730">
            <w:pPr>
              <w:spacing w:after="0" w:line="240" w:lineRule="auto"/>
              <w:rPr>
                <w:rFonts w:asciiTheme="majorHAnsi" w:hAnsiTheme="majorHAnsi" w:cstheme="majorHAnsi"/>
                <w:sz w:val="20"/>
                <w:szCs w:val="20"/>
                <w:lang w:val="ro-RO"/>
              </w:rPr>
            </w:pPr>
            <w:r w:rsidRPr="009131CF">
              <w:rPr>
                <w:rFonts w:asciiTheme="majorHAnsi" w:hAnsiTheme="majorHAnsi" w:cstheme="majorHAnsi"/>
                <w:sz w:val="20"/>
                <w:szCs w:val="20"/>
                <w:lang w:val="ro-RO"/>
              </w:rPr>
              <w:t xml:space="preserve">- Ordinului </w:t>
            </w:r>
            <w:r w:rsidR="00005092">
              <w:rPr>
                <w:rFonts w:asciiTheme="majorHAnsi" w:hAnsiTheme="majorHAnsi" w:cstheme="majorHAnsi"/>
                <w:sz w:val="20"/>
                <w:szCs w:val="20"/>
                <w:lang w:val="ro-RO"/>
              </w:rPr>
              <w:t>m</w:t>
            </w:r>
            <w:r w:rsidRPr="009131CF">
              <w:rPr>
                <w:rFonts w:asciiTheme="majorHAnsi" w:hAnsiTheme="majorHAnsi" w:cstheme="majorHAnsi"/>
                <w:sz w:val="20"/>
                <w:szCs w:val="20"/>
                <w:lang w:val="ro-RO"/>
              </w:rPr>
              <w:t xml:space="preserve">inistrului Finanțelor nr.144/2020 </w:t>
            </w:r>
            <w:r w:rsidR="00005092">
              <w:rPr>
                <w:rFonts w:asciiTheme="majorHAnsi" w:hAnsiTheme="majorHAnsi" w:cstheme="majorHAnsi"/>
                <w:sz w:val="20"/>
                <w:szCs w:val="20"/>
                <w:lang w:val="ro-RO"/>
              </w:rPr>
              <w:t>„</w:t>
            </w:r>
            <w:r w:rsidRPr="009131CF">
              <w:rPr>
                <w:rFonts w:asciiTheme="majorHAnsi" w:hAnsiTheme="majorHAnsi" w:cstheme="majorHAnsi"/>
                <w:sz w:val="20"/>
                <w:szCs w:val="20"/>
                <w:lang w:val="ro-RO"/>
              </w:rPr>
              <w:t>Privind modificarea Clasificației bugetare” (MO al R. Moldova nr. 344-351 art.1359 din 18.12.2020);</w:t>
            </w:r>
          </w:p>
          <w:p w:rsidR="00C37226" w:rsidRPr="00E4517B" w:rsidRDefault="00C37226" w:rsidP="00005092">
            <w:pPr>
              <w:spacing w:after="0" w:line="240" w:lineRule="auto"/>
              <w:rPr>
                <w:rFonts w:asciiTheme="majorHAnsi" w:hAnsiTheme="majorHAnsi" w:cstheme="majorHAnsi"/>
                <w:sz w:val="20"/>
                <w:szCs w:val="20"/>
                <w:lang w:val="ro-RO"/>
              </w:rPr>
            </w:pPr>
            <w:r w:rsidRPr="00E4517B">
              <w:rPr>
                <w:rFonts w:asciiTheme="majorHAnsi" w:hAnsiTheme="majorHAnsi" w:cstheme="majorHAnsi"/>
                <w:sz w:val="20"/>
                <w:szCs w:val="20"/>
                <w:lang w:val="ro-RO"/>
              </w:rPr>
              <w:t xml:space="preserve">- Ordinului </w:t>
            </w:r>
            <w:r w:rsidR="00005092">
              <w:rPr>
                <w:rFonts w:asciiTheme="majorHAnsi" w:hAnsiTheme="majorHAnsi" w:cstheme="majorHAnsi"/>
                <w:sz w:val="20"/>
                <w:szCs w:val="20"/>
                <w:lang w:val="ro-RO"/>
              </w:rPr>
              <w:t>m</w:t>
            </w:r>
            <w:r w:rsidRPr="00E4517B">
              <w:rPr>
                <w:rFonts w:asciiTheme="majorHAnsi" w:hAnsiTheme="majorHAnsi" w:cstheme="majorHAnsi"/>
                <w:sz w:val="20"/>
                <w:szCs w:val="20"/>
                <w:lang w:val="ro-RO"/>
              </w:rPr>
              <w:t xml:space="preserve">inistrului Finanțelor nr. 6/2021 </w:t>
            </w:r>
            <w:r w:rsidR="00005092">
              <w:rPr>
                <w:rFonts w:asciiTheme="majorHAnsi" w:hAnsiTheme="majorHAnsi" w:cstheme="majorHAnsi"/>
                <w:sz w:val="20"/>
                <w:szCs w:val="20"/>
                <w:lang w:val="ro-RO"/>
              </w:rPr>
              <w:t>„</w:t>
            </w:r>
            <w:r w:rsidRPr="00E4517B">
              <w:rPr>
                <w:rFonts w:asciiTheme="majorHAnsi" w:hAnsiTheme="majorHAnsi" w:cstheme="majorHAnsi"/>
                <w:sz w:val="20"/>
                <w:szCs w:val="20"/>
                <w:lang w:val="ro-RO"/>
              </w:rPr>
              <w:t>Privind modificarea şi completarea Planului de conturi contabile în sistemul bugetar şi a Normelor metodologice privind evidenţa contabilă şi raportarea financiară în sistemul bugetar, aprobate prin Ordinul ministrului finanţelor nr.216/2015” (MO al R.Moldova nr. 33-41 art. 109 din 05.02.2021)</w:t>
            </w:r>
          </w:p>
        </w:tc>
        <w:tc>
          <w:tcPr>
            <w:tcW w:w="850" w:type="dxa"/>
            <w:tcBorders>
              <w:top w:val="single" w:sz="4" w:space="0" w:color="auto"/>
              <w:left w:val="nil"/>
              <w:bottom w:val="single" w:sz="4" w:space="0" w:color="auto"/>
              <w:right w:val="single" w:sz="8" w:space="0" w:color="auto"/>
            </w:tcBorders>
          </w:tcPr>
          <w:p w:rsidR="00C37226" w:rsidRPr="00E4517B" w:rsidRDefault="00C37226" w:rsidP="00B51730">
            <w:pPr>
              <w:spacing w:after="0" w:line="240" w:lineRule="auto"/>
              <w:jc w:val="center"/>
              <w:rPr>
                <w:rFonts w:asciiTheme="majorHAnsi" w:hAnsiTheme="majorHAnsi" w:cstheme="majorHAnsi"/>
                <w:sz w:val="20"/>
                <w:szCs w:val="20"/>
                <w:lang w:val="ro-RO"/>
              </w:rPr>
            </w:pPr>
            <w:r w:rsidRPr="00E4517B">
              <w:rPr>
                <w:rFonts w:asciiTheme="majorHAnsi" w:hAnsiTheme="majorHAnsi" w:cstheme="majorHAnsi"/>
                <w:sz w:val="20"/>
                <w:szCs w:val="20"/>
                <w:lang w:val="ro-RO"/>
              </w:rPr>
              <w:t>v</w:t>
            </w:r>
          </w:p>
        </w:tc>
        <w:tc>
          <w:tcPr>
            <w:tcW w:w="992" w:type="dxa"/>
            <w:tcBorders>
              <w:top w:val="single" w:sz="4" w:space="0" w:color="auto"/>
              <w:left w:val="nil"/>
              <w:bottom w:val="single" w:sz="4" w:space="0" w:color="auto"/>
              <w:right w:val="single" w:sz="8" w:space="0" w:color="auto"/>
            </w:tcBorders>
          </w:tcPr>
          <w:p w:rsidR="00C37226" w:rsidRPr="00E4517B" w:rsidRDefault="00C37226" w:rsidP="00B51730">
            <w:pPr>
              <w:spacing w:after="0" w:line="240" w:lineRule="auto"/>
              <w:rPr>
                <w:rFonts w:asciiTheme="majorHAnsi" w:hAnsiTheme="majorHAnsi" w:cstheme="majorHAnsi"/>
                <w:sz w:val="20"/>
                <w:szCs w:val="20"/>
                <w:lang w:val="ro-RO"/>
              </w:rPr>
            </w:pPr>
          </w:p>
        </w:tc>
        <w:tc>
          <w:tcPr>
            <w:tcW w:w="992" w:type="dxa"/>
            <w:tcBorders>
              <w:top w:val="single" w:sz="4" w:space="0" w:color="auto"/>
              <w:left w:val="nil"/>
              <w:bottom w:val="single" w:sz="4" w:space="0" w:color="auto"/>
              <w:right w:val="single" w:sz="8" w:space="0" w:color="auto"/>
            </w:tcBorders>
          </w:tcPr>
          <w:p w:rsidR="00C37226" w:rsidRPr="00E4517B" w:rsidRDefault="00C37226" w:rsidP="00B51730">
            <w:pPr>
              <w:spacing w:after="0" w:line="240" w:lineRule="auto"/>
              <w:rPr>
                <w:rFonts w:asciiTheme="majorHAnsi" w:hAnsiTheme="majorHAnsi" w:cstheme="majorHAnsi"/>
                <w:sz w:val="20"/>
                <w:szCs w:val="20"/>
                <w:lang w:val="ro-RO"/>
              </w:rPr>
            </w:pPr>
          </w:p>
        </w:tc>
      </w:tr>
      <w:tr w:rsidR="00C37226" w:rsidRPr="00E4517B" w:rsidTr="00C37226">
        <w:trPr>
          <w:gridAfter w:val="1"/>
          <w:wAfter w:w="9" w:type="dxa"/>
          <w:trHeight w:val="57"/>
        </w:trPr>
        <w:tc>
          <w:tcPr>
            <w:tcW w:w="5671" w:type="dxa"/>
            <w:tcBorders>
              <w:top w:val="single" w:sz="8" w:space="0" w:color="auto"/>
              <w:left w:val="single" w:sz="8" w:space="0" w:color="auto"/>
              <w:bottom w:val="single" w:sz="8" w:space="0" w:color="auto"/>
              <w:right w:val="single" w:sz="8" w:space="0" w:color="auto"/>
            </w:tcBorders>
            <w:shd w:val="clear" w:color="auto" w:fill="auto"/>
          </w:tcPr>
          <w:p w:rsidR="00C37226" w:rsidRPr="00973E5B" w:rsidRDefault="00C37226" w:rsidP="00B51730">
            <w:pPr>
              <w:numPr>
                <w:ilvl w:val="0"/>
                <w:numId w:val="10"/>
              </w:numPr>
              <w:spacing w:after="0" w:line="240" w:lineRule="auto"/>
              <w:rPr>
                <w:rFonts w:asciiTheme="majorHAnsi" w:hAnsiTheme="majorHAnsi" w:cstheme="majorHAnsi"/>
                <w:bCs/>
                <w:color w:val="000000"/>
                <w:sz w:val="20"/>
                <w:szCs w:val="20"/>
                <w:lang w:val="ro-RO"/>
              </w:rPr>
            </w:pPr>
            <w:r w:rsidRPr="00E4517B">
              <w:rPr>
                <w:rFonts w:asciiTheme="majorHAnsi" w:hAnsiTheme="majorHAnsi" w:cstheme="majorHAnsi"/>
                <w:bCs/>
                <w:color w:val="000000"/>
                <w:sz w:val="20"/>
                <w:szCs w:val="20"/>
                <w:lang w:val="ro-RO"/>
              </w:rPr>
              <w:t>Modificarea cadrului normativ privind finanțarea de la bugetul de stat a instituțiilor publice, fondu</w:t>
            </w:r>
            <w:r w:rsidRPr="00973E5B">
              <w:rPr>
                <w:rFonts w:asciiTheme="majorHAnsi" w:hAnsiTheme="majorHAnsi" w:cstheme="majorHAnsi"/>
                <w:bCs/>
                <w:color w:val="000000"/>
                <w:sz w:val="20"/>
                <w:szCs w:val="20"/>
                <w:lang w:val="ro-RO"/>
              </w:rPr>
              <w:t>rilor și proiectelor investiționale prin intermediul subsidiilor, cu conformarea la prevederile Legii nr.181/2014</w:t>
            </w:r>
          </w:p>
        </w:tc>
        <w:tc>
          <w:tcPr>
            <w:tcW w:w="6378" w:type="dxa"/>
            <w:tcBorders>
              <w:top w:val="single" w:sz="8" w:space="0" w:color="auto"/>
              <w:left w:val="nil"/>
              <w:bottom w:val="single" w:sz="8" w:space="0" w:color="auto"/>
              <w:right w:val="single" w:sz="8" w:space="0" w:color="auto"/>
            </w:tcBorders>
            <w:shd w:val="clear" w:color="auto" w:fill="auto"/>
          </w:tcPr>
          <w:p w:rsidR="00C37226" w:rsidRPr="00E4517B" w:rsidRDefault="00C37226" w:rsidP="00005092">
            <w:pPr>
              <w:spacing w:after="0" w:line="240" w:lineRule="auto"/>
              <w:rPr>
                <w:rFonts w:asciiTheme="majorHAnsi" w:hAnsiTheme="majorHAnsi" w:cstheme="majorHAnsi"/>
                <w:sz w:val="20"/>
                <w:szCs w:val="20"/>
                <w:lang w:val="ro-RO"/>
              </w:rPr>
            </w:pPr>
            <w:r w:rsidRPr="009131CF">
              <w:rPr>
                <w:rFonts w:asciiTheme="majorHAnsi" w:hAnsiTheme="majorHAnsi" w:cstheme="majorHAnsi"/>
                <w:sz w:val="20"/>
                <w:szCs w:val="20"/>
                <w:lang w:val="ro-RO"/>
              </w:rPr>
              <w:t>Pe parcursul anului 2020 a fost elaborat proiectul de act normativ, care la moment se află la etapa de coordonare în cadrul Ministerului Finanț</w:t>
            </w:r>
            <w:r w:rsidRPr="00E4517B">
              <w:rPr>
                <w:rFonts w:asciiTheme="majorHAnsi" w:hAnsiTheme="majorHAnsi" w:cstheme="majorHAnsi"/>
                <w:sz w:val="20"/>
                <w:szCs w:val="20"/>
                <w:lang w:val="ro-RO"/>
              </w:rPr>
              <w:t>elor</w:t>
            </w:r>
          </w:p>
        </w:tc>
        <w:tc>
          <w:tcPr>
            <w:tcW w:w="850" w:type="dxa"/>
            <w:tcBorders>
              <w:top w:val="single" w:sz="4" w:space="0" w:color="auto"/>
              <w:left w:val="nil"/>
              <w:bottom w:val="single" w:sz="4" w:space="0" w:color="auto"/>
              <w:right w:val="single" w:sz="8" w:space="0" w:color="auto"/>
            </w:tcBorders>
          </w:tcPr>
          <w:p w:rsidR="00C37226" w:rsidRPr="00E4517B" w:rsidRDefault="00C37226" w:rsidP="00B51730">
            <w:pPr>
              <w:spacing w:after="0" w:line="240" w:lineRule="auto"/>
              <w:jc w:val="center"/>
              <w:rPr>
                <w:rFonts w:asciiTheme="majorHAnsi" w:hAnsiTheme="majorHAnsi" w:cstheme="majorHAnsi"/>
                <w:sz w:val="20"/>
                <w:szCs w:val="20"/>
                <w:lang w:val="ro-RO"/>
              </w:rPr>
            </w:pPr>
          </w:p>
        </w:tc>
        <w:tc>
          <w:tcPr>
            <w:tcW w:w="992" w:type="dxa"/>
            <w:tcBorders>
              <w:top w:val="single" w:sz="4" w:space="0" w:color="auto"/>
              <w:left w:val="nil"/>
              <w:bottom w:val="single" w:sz="4" w:space="0" w:color="auto"/>
              <w:right w:val="single" w:sz="8" w:space="0" w:color="auto"/>
            </w:tcBorders>
          </w:tcPr>
          <w:p w:rsidR="00C37226" w:rsidRPr="00E4517B" w:rsidRDefault="00C37226" w:rsidP="00B51730">
            <w:pPr>
              <w:spacing w:after="0" w:line="240" w:lineRule="auto"/>
              <w:jc w:val="center"/>
              <w:rPr>
                <w:rFonts w:asciiTheme="majorHAnsi" w:hAnsiTheme="majorHAnsi" w:cstheme="majorHAnsi"/>
                <w:sz w:val="20"/>
                <w:szCs w:val="20"/>
                <w:lang w:val="ro-RO"/>
              </w:rPr>
            </w:pPr>
            <w:r w:rsidRPr="00E4517B">
              <w:rPr>
                <w:rFonts w:asciiTheme="majorHAnsi" w:hAnsiTheme="majorHAnsi" w:cstheme="majorHAnsi"/>
                <w:sz w:val="20"/>
                <w:szCs w:val="20"/>
                <w:lang w:val="ro-RO"/>
              </w:rPr>
              <w:t>v</w:t>
            </w:r>
          </w:p>
        </w:tc>
        <w:tc>
          <w:tcPr>
            <w:tcW w:w="992" w:type="dxa"/>
            <w:tcBorders>
              <w:top w:val="single" w:sz="4" w:space="0" w:color="auto"/>
              <w:left w:val="nil"/>
              <w:bottom w:val="single" w:sz="4" w:space="0" w:color="auto"/>
              <w:right w:val="single" w:sz="8" w:space="0" w:color="auto"/>
            </w:tcBorders>
          </w:tcPr>
          <w:p w:rsidR="00C37226" w:rsidRPr="00E4517B" w:rsidRDefault="00C37226" w:rsidP="00B51730">
            <w:pPr>
              <w:spacing w:after="0" w:line="240" w:lineRule="auto"/>
              <w:rPr>
                <w:rFonts w:asciiTheme="majorHAnsi" w:hAnsiTheme="majorHAnsi" w:cstheme="majorHAnsi"/>
                <w:sz w:val="20"/>
                <w:szCs w:val="20"/>
                <w:lang w:val="ro-RO"/>
              </w:rPr>
            </w:pPr>
          </w:p>
        </w:tc>
      </w:tr>
      <w:tr w:rsidR="00C37226" w:rsidRPr="00E4517B" w:rsidTr="00C37226">
        <w:trPr>
          <w:gridAfter w:val="1"/>
          <w:wAfter w:w="9" w:type="dxa"/>
          <w:trHeight w:val="57"/>
        </w:trPr>
        <w:tc>
          <w:tcPr>
            <w:tcW w:w="5671" w:type="dxa"/>
            <w:tcBorders>
              <w:top w:val="single" w:sz="8" w:space="0" w:color="auto"/>
              <w:left w:val="single" w:sz="8" w:space="0" w:color="auto"/>
              <w:bottom w:val="single" w:sz="8" w:space="0" w:color="auto"/>
              <w:right w:val="single" w:sz="8" w:space="0" w:color="auto"/>
            </w:tcBorders>
            <w:shd w:val="clear" w:color="auto" w:fill="auto"/>
          </w:tcPr>
          <w:p w:rsidR="00C37226" w:rsidRPr="00207634" w:rsidRDefault="00C37226" w:rsidP="00B51730">
            <w:pPr>
              <w:spacing w:after="0" w:line="240" w:lineRule="auto"/>
              <w:ind w:left="313" w:hanging="313"/>
              <w:rPr>
                <w:rFonts w:asciiTheme="majorHAnsi" w:eastAsia="Times New Roman" w:hAnsiTheme="majorHAnsi" w:cstheme="majorHAnsi"/>
                <w:b/>
                <w:bCs/>
                <w:color w:val="000000"/>
                <w:sz w:val="20"/>
                <w:szCs w:val="20"/>
                <w:lang w:val="ro-RO"/>
              </w:rPr>
            </w:pPr>
            <w:r w:rsidRPr="00E4517B">
              <w:rPr>
                <w:rFonts w:asciiTheme="majorHAnsi" w:eastAsia="Times New Roman" w:hAnsiTheme="majorHAnsi" w:cstheme="majorHAnsi"/>
                <w:b/>
                <w:bCs/>
                <w:color w:val="000000"/>
                <w:sz w:val="20"/>
                <w:szCs w:val="20"/>
                <w:lang w:val="ro-RO"/>
              </w:rPr>
              <w:t>3.</w:t>
            </w:r>
            <w:r w:rsidRPr="00E4517B">
              <w:rPr>
                <w:rFonts w:asciiTheme="majorHAnsi" w:eastAsia="Times New Roman" w:hAnsiTheme="majorHAnsi" w:cstheme="majorHAnsi"/>
                <w:b/>
                <w:bCs/>
                <w:color w:val="000000"/>
                <w:sz w:val="20"/>
                <w:szCs w:val="20"/>
                <w:lang w:val="ro-RO"/>
              </w:rPr>
              <w:tab/>
            </w:r>
            <w:r w:rsidRPr="00973E5B">
              <w:rPr>
                <w:rFonts w:asciiTheme="majorHAnsi" w:eastAsia="Times New Roman" w:hAnsiTheme="majorHAnsi" w:cstheme="majorHAnsi"/>
                <w:bCs/>
                <w:color w:val="000000"/>
                <w:sz w:val="20"/>
                <w:szCs w:val="20"/>
                <w:lang w:val="ro-RO"/>
              </w:rPr>
              <w:t>Completarea/dezvoltarea cadrului legal cu prevederi exhaustive privind utilizarea mijloacelor financiare aferente proiectelor finanțate din surse externe</w:t>
            </w:r>
          </w:p>
        </w:tc>
        <w:tc>
          <w:tcPr>
            <w:tcW w:w="6378" w:type="dxa"/>
            <w:tcBorders>
              <w:top w:val="single" w:sz="8" w:space="0" w:color="auto"/>
              <w:left w:val="nil"/>
              <w:bottom w:val="single" w:sz="8" w:space="0" w:color="auto"/>
              <w:right w:val="single" w:sz="8" w:space="0" w:color="auto"/>
            </w:tcBorders>
            <w:shd w:val="clear" w:color="auto" w:fill="auto"/>
          </w:tcPr>
          <w:p w:rsidR="00C37226" w:rsidRPr="00E4517B" w:rsidRDefault="00C37226" w:rsidP="00005092">
            <w:pPr>
              <w:spacing w:after="0" w:line="240" w:lineRule="auto"/>
              <w:rPr>
                <w:rFonts w:asciiTheme="majorHAnsi" w:hAnsiTheme="majorHAnsi" w:cstheme="majorHAnsi"/>
                <w:sz w:val="20"/>
                <w:szCs w:val="20"/>
                <w:lang w:val="ro-RO" w:bidi="ro-RO"/>
              </w:rPr>
            </w:pPr>
            <w:r w:rsidRPr="009131CF">
              <w:rPr>
                <w:rFonts w:asciiTheme="majorHAnsi" w:hAnsiTheme="majorHAnsi" w:cstheme="majorHAnsi"/>
                <w:sz w:val="20"/>
                <w:szCs w:val="20"/>
                <w:lang w:val="ro-RO" w:bidi="ro-RO"/>
              </w:rPr>
              <w:t xml:space="preserve">Prin Ordinul </w:t>
            </w:r>
            <w:r w:rsidR="00005092">
              <w:rPr>
                <w:rFonts w:asciiTheme="majorHAnsi" w:hAnsiTheme="majorHAnsi" w:cstheme="majorHAnsi"/>
                <w:sz w:val="20"/>
                <w:szCs w:val="20"/>
                <w:lang w:val="ro-RO"/>
              </w:rPr>
              <w:t>m</w:t>
            </w:r>
            <w:r w:rsidR="00005092" w:rsidRPr="00E4517B">
              <w:rPr>
                <w:rFonts w:asciiTheme="majorHAnsi" w:hAnsiTheme="majorHAnsi" w:cstheme="majorHAnsi"/>
                <w:sz w:val="20"/>
                <w:szCs w:val="20"/>
                <w:lang w:val="ro-RO"/>
              </w:rPr>
              <w:t>inistrului</w:t>
            </w:r>
            <w:r w:rsidRPr="009131CF">
              <w:rPr>
                <w:rFonts w:asciiTheme="majorHAnsi" w:hAnsiTheme="majorHAnsi" w:cstheme="majorHAnsi"/>
                <w:sz w:val="20"/>
                <w:szCs w:val="20"/>
                <w:lang w:val="ro-RO" w:bidi="ro-RO"/>
              </w:rPr>
              <w:t xml:space="preserve"> Finanțelor nr.157/2020 </w:t>
            </w:r>
            <w:r w:rsidR="00005092">
              <w:rPr>
                <w:rFonts w:asciiTheme="majorHAnsi" w:hAnsiTheme="majorHAnsi" w:cstheme="majorHAnsi"/>
                <w:sz w:val="20"/>
                <w:szCs w:val="20"/>
                <w:lang w:val="ro-RO" w:bidi="ro-RO"/>
              </w:rPr>
              <w:t>„</w:t>
            </w:r>
            <w:r w:rsidRPr="009131CF">
              <w:rPr>
                <w:rFonts w:asciiTheme="majorHAnsi" w:hAnsiTheme="majorHAnsi" w:cstheme="majorHAnsi"/>
                <w:sz w:val="20"/>
                <w:szCs w:val="20"/>
                <w:lang w:val="ro-RO" w:bidi="ro-RO"/>
              </w:rPr>
              <w:t>Privind modificarea şi completarea Cerințelor la întocmirea Raportului narativ privind executarea bugetelor</w:t>
            </w:r>
            <w:r w:rsidRPr="009131CF">
              <w:rPr>
                <w:rFonts w:asciiTheme="majorHAnsi" w:hAnsiTheme="majorHAnsi" w:cstheme="majorHAnsi"/>
                <w:sz w:val="20"/>
                <w:szCs w:val="20"/>
                <w:lang w:val="ro-RO" w:bidi="ro-RO"/>
              </w:rPr>
              <w:tab/>
              <w:t>autorităților, instituțiilor bugetare aprobat prin Ordinul ministrului finanțelor nr.164 din 30 decembrie 2016”</w:t>
            </w:r>
            <w:r w:rsidRPr="00E4517B">
              <w:rPr>
                <w:rFonts w:asciiTheme="majorHAnsi" w:hAnsiTheme="majorHAnsi" w:cstheme="majorHAnsi"/>
                <w:i/>
                <w:iCs/>
                <w:sz w:val="20"/>
                <w:szCs w:val="20"/>
                <w:lang w:val="ro-RO" w:bidi="ro-RO"/>
              </w:rPr>
              <w:t>,</w:t>
            </w:r>
            <w:r w:rsidRPr="00E4517B">
              <w:rPr>
                <w:rFonts w:asciiTheme="majorHAnsi" w:hAnsiTheme="majorHAnsi" w:cstheme="majorHAnsi"/>
                <w:sz w:val="20"/>
                <w:szCs w:val="20"/>
                <w:lang w:val="ro-RO" w:bidi="ro-RO"/>
              </w:rPr>
              <w:t xml:space="preserve"> a fost modificat Ordinul </w:t>
            </w:r>
            <w:r w:rsidR="00005092">
              <w:rPr>
                <w:rFonts w:asciiTheme="majorHAnsi" w:hAnsiTheme="majorHAnsi" w:cstheme="majorHAnsi"/>
                <w:sz w:val="20"/>
                <w:szCs w:val="20"/>
                <w:lang w:val="ro-RO"/>
              </w:rPr>
              <w:t>m</w:t>
            </w:r>
            <w:r w:rsidR="00005092" w:rsidRPr="00E4517B">
              <w:rPr>
                <w:rFonts w:asciiTheme="majorHAnsi" w:hAnsiTheme="majorHAnsi" w:cstheme="majorHAnsi"/>
                <w:sz w:val="20"/>
                <w:szCs w:val="20"/>
                <w:lang w:val="ro-RO"/>
              </w:rPr>
              <w:t>inistrului</w:t>
            </w:r>
            <w:r w:rsidRPr="00E4517B">
              <w:rPr>
                <w:rFonts w:asciiTheme="majorHAnsi" w:hAnsiTheme="majorHAnsi" w:cstheme="majorHAnsi"/>
                <w:sz w:val="20"/>
                <w:szCs w:val="20"/>
                <w:lang w:val="ro-RO" w:bidi="ro-RO"/>
              </w:rPr>
              <w:t xml:space="preserve"> Finanțelor nr. 164/2016 şi inclusă Anexa nr.2 </w:t>
            </w:r>
            <w:r w:rsidRPr="00E4517B">
              <w:rPr>
                <w:rFonts w:asciiTheme="majorHAnsi" w:hAnsiTheme="majorHAnsi" w:cstheme="majorHAnsi"/>
                <w:i/>
                <w:iCs/>
                <w:sz w:val="20"/>
                <w:szCs w:val="20"/>
                <w:lang w:val="ro-RO" w:bidi="ro-RO"/>
              </w:rPr>
              <w:t>Informație privind cauzele neexecutarii resurselor din proiectele finanțate din surse externe la situația din 31.12.</w:t>
            </w:r>
            <w:r w:rsidR="00005092">
              <w:rPr>
                <w:rFonts w:asciiTheme="majorHAnsi" w:hAnsiTheme="majorHAnsi" w:cstheme="majorHAnsi"/>
                <w:i/>
                <w:iCs/>
                <w:sz w:val="20"/>
                <w:szCs w:val="20"/>
                <w:lang w:val="ro-RO" w:bidi="ro-RO"/>
              </w:rPr>
              <w:t>20</w:t>
            </w:r>
            <w:r w:rsidRPr="00E4517B">
              <w:rPr>
                <w:rFonts w:asciiTheme="majorHAnsi" w:hAnsiTheme="majorHAnsi" w:cstheme="majorHAnsi"/>
                <w:i/>
                <w:iCs/>
                <w:sz w:val="20"/>
                <w:szCs w:val="20"/>
                <w:lang w:val="ro-RO" w:bidi="ro-RO"/>
              </w:rPr>
              <w:t>20</w:t>
            </w:r>
          </w:p>
        </w:tc>
        <w:tc>
          <w:tcPr>
            <w:tcW w:w="850" w:type="dxa"/>
            <w:tcBorders>
              <w:top w:val="single" w:sz="4" w:space="0" w:color="auto"/>
              <w:left w:val="nil"/>
              <w:bottom w:val="single" w:sz="4" w:space="0" w:color="auto"/>
              <w:right w:val="single" w:sz="8" w:space="0" w:color="auto"/>
            </w:tcBorders>
          </w:tcPr>
          <w:p w:rsidR="00C37226" w:rsidRPr="00E4517B" w:rsidRDefault="00C37226" w:rsidP="00B51730">
            <w:pPr>
              <w:spacing w:after="0" w:line="240" w:lineRule="auto"/>
              <w:jc w:val="center"/>
              <w:rPr>
                <w:rFonts w:asciiTheme="majorHAnsi" w:hAnsiTheme="majorHAnsi" w:cstheme="majorHAnsi"/>
                <w:sz w:val="20"/>
                <w:szCs w:val="20"/>
                <w:lang w:val="ro-RO"/>
              </w:rPr>
            </w:pPr>
            <w:r w:rsidRPr="00E4517B">
              <w:rPr>
                <w:rFonts w:asciiTheme="majorHAnsi" w:hAnsiTheme="majorHAnsi" w:cstheme="majorHAnsi"/>
                <w:sz w:val="20"/>
                <w:szCs w:val="20"/>
                <w:lang w:val="ro-RO"/>
              </w:rPr>
              <w:t>v</w:t>
            </w:r>
          </w:p>
        </w:tc>
        <w:tc>
          <w:tcPr>
            <w:tcW w:w="992" w:type="dxa"/>
            <w:tcBorders>
              <w:top w:val="single" w:sz="4" w:space="0" w:color="auto"/>
              <w:left w:val="nil"/>
              <w:bottom w:val="single" w:sz="4" w:space="0" w:color="auto"/>
              <w:right w:val="single" w:sz="8" w:space="0" w:color="auto"/>
            </w:tcBorders>
          </w:tcPr>
          <w:p w:rsidR="00C37226" w:rsidRPr="00E4517B" w:rsidRDefault="00C37226" w:rsidP="00B51730">
            <w:pPr>
              <w:spacing w:after="0" w:line="240" w:lineRule="auto"/>
              <w:jc w:val="center"/>
              <w:rPr>
                <w:rFonts w:asciiTheme="majorHAnsi" w:hAnsiTheme="majorHAnsi" w:cstheme="majorHAnsi"/>
                <w:sz w:val="20"/>
                <w:szCs w:val="20"/>
                <w:lang w:val="ro-RO"/>
              </w:rPr>
            </w:pPr>
          </w:p>
        </w:tc>
        <w:tc>
          <w:tcPr>
            <w:tcW w:w="992" w:type="dxa"/>
            <w:tcBorders>
              <w:top w:val="single" w:sz="4" w:space="0" w:color="auto"/>
              <w:left w:val="nil"/>
              <w:bottom w:val="single" w:sz="4" w:space="0" w:color="auto"/>
              <w:right w:val="single" w:sz="8" w:space="0" w:color="auto"/>
            </w:tcBorders>
          </w:tcPr>
          <w:p w:rsidR="00C37226" w:rsidRPr="00E4517B" w:rsidRDefault="00C37226" w:rsidP="00B51730">
            <w:pPr>
              <w:spacing w:after="0" w:line="240" w:lineRule="auto"/>
              <w:rPr>
                <w:rFonts w:asciiTheme="majorHAnsi" w:hAnsiTheme="majorHAnsi" w:cstheme="majorHAnsi"/>
                <w:sz w:val="20"/>
                <w:szCs w:val="20"/>
                <w:lang w:val="ro-RO"/>
              </w:rPr>
            </w:pPr>
          </w:p>
        </w:tc>
      </w:tr>
      <w:tr w:rsidR="00C37226" w:rsidRPr="00E4517B" w:rsidTr="00C37226">
        <w:trPr>
          <w:gridAfter w:val="1"/>
          <w:wAfter w:w="9" w:type="dxa"/>
          <w:trHeight w:val="694"/>
        </w:trPr>
        <w:tc>
          <w:tcPr>
            <w:tcW w:w="5671" w:type="dxa"/>
            <w:tcBorders>
              <w:top w:val="single" w:sz="8" w:space="0" w:color="auto"/>
              <w:left w:val="single" w:sz="8" w:space="0" w:color="auto"/>
              <w:bottom w:val="single" w:sz="8" w:space="0" w:color="auto"/>
              <w:right w:val="single" w:sz="8" w:space="0" w:color="auto"/>
            </w:tcBorders>
            <w:shd w:val="clear" w:color="auto" w:fill="auto"/>
          </w:tcPr>
          <w:p w:rsidR="00C37226" w:rsidRPr="00207634" w:rsidRDefault="00C37226" w:rsidP="00B51730">
            <w:pPr>
              <w:spacing w:after="0" w:line="240" w:lineRule="auto"/>
              <w:ind w:left="313" w:hanging="313"/>
              <w:rPr>
                <w:rFonts w:asciiTheme="majorHAnsi" w:eastAsia="Times New Roman" w:hAnsiTheme="majorHAnsi" w:cstheme="majorHAnsi"/>
                <w:b/>
                <w:bCs/>
                <w:color w:val="000000"/>
                <w:sz w:val="20"/>
                <w:szCs w:val="20"/>
                <w:lang w:val="ro-RO"/>
              </w:rPr>
            </w:pPr>
            <w:r w:rsidRPr="00E4517B">
              <w:rPr>
                <w:rFonts w:asciiTheme="majorHAnsi" w:eastAsia="Times New Roman" w:hAnsiTheme="majorHAnsi" w:cstheme="majorHAnsi"/>
                <w:b/>
                <w:bCs/>
                <w:color w:val="000000"/>
                <w:sz w:val="20"/>
                <w:szCs w:val="20"/>
                <w:lang w:val="ro-RO"/>
              </w:rPr>
              <w:t>4.</w:t>
            </w:r>
            <w:r w:rsidRPr="00E4517B">
              <w:rPr>
                <w:rFonts w:asciiTheme="majorHAnsi" w:eastAsia="Times New Roman" w:hAnsiTheme="majorHAnsi" w:cstheme="majorHAnsi"/>
                <w:b/>
                <w:bCs/>
                <w:color w:val="000000"/>
                <w:sz w:val="20"/>
                <w:szCs w:val="20"/>
                <w:lang w:val="ro-RO"/>
              </w:rPr>
              <w:tab/>
            </w:r>
            <w:r w:rsidRPr="00973E5B">
              <w:rPr>
                <w:rFonts w:asciiTheme="majorHAnsi" w:eastAsia="Times New Roman" w:hAnsiTheme="majorHAnsi" w:cstheme="majorHAnsi"/>
                <w:bCs/>
                <w:color w:val="000000"/>
                <w:sz w:val="20"/>
                <w:szCs w:val="20"/>
                <w:lang w:val="ro-RO"/>
              </w:rPr>
              <w:t>Asigurarea ajustării cadrului regulator cu privire la planificarea resurselor și cheltuielilor bugetare în concord</w:t>
            </w:r>
            <w:r w:rsidRPr="00207634">
              <w:rPr>
                <w:rFonts w:asciiTheme="majorHAnsi" w:eastAsia="Times New Roman" w:hAnsiTheme="majorHAnsi" w:cstheme="majorHAnsi"/>
                <w:bCs/>
                <w:color w:val="000000"/>
                <w:sz w:val="20"/>
                <w:szCs w:val="20"/>
                <w:lang w:val="ro-RO"/>
              </w:rPr>
              <w:t>anță cu cadrul legal</w:t>
            </w:r>
          </w:p>
        </w:tc>
        <w:tc>
          <w:tcPr>
            <w:tcW w:w="6378" w:type="dxa"/>
            <w:tcBorders>
              <w:top w:val="single" w:sz="8" w:space="0" w:color="auto"/>
              <w:left w:val="nil"/>
              <w:bottom w:val="single" w:sz="8" w:space="0" w:color="auto"/>
              <w:right w:val="single" w:sz="8" w:space="0" w:color="auto"/>
            </w:tcBorders>
            <w:shd w:val="clear" w:color="auto" w:fill="auto"/>
          </w:tcPr>
          <w:p w:rsidR="00C37226" w:rsidRPr="009131CF" w:rsidRDefault="00C37226" w:rsidP="00985160">
            <w:pPr>
              <w:spacing w:after="0"/>
              <w:rPr>
                <w:rFonts w:asciiTheme="majorHAnsi" w:hAnsiTheme="majorHAnsi" w:cstheme="majorHAnsi"/>
                <w:sz w:val="20"/>
                <w:szCs w:val="20"/>
                <w:lang w:val="ro-RO"/>
              </w:rPr>
            </w:pPr>
            <w:r w:rsidRPr="009131CF">
              <w:rPr>
                <w:rFonts w:asciiTheme="majorHAnsi" w:hAnsiTheme="majorHAnsi" w:cstheme="majorHAnsi"/>
                <w:sz w:val="20"/>
                <w:szCs w:val="20"/>
                <w:lang w:val="ro-RO"/>
              </w:rPr>
              <w:t xml:space="preserve">Modificarea /completarea cadrului metodologic de elaborare și aprobare a bugetului (Ordinul MF nr.209/2015). La moment, modificarea Setului metodologic se află în proces de definitivare </w:t>
            </w:r>
          </w:p>
        </w:tc>
        <w:tc>
          <w:tcPr>
            <w:tcW w:w="850" w:type="dxa"/>
            <w:tcBorders>
              <w:top w:val="single" w:sz="4" w:space="0" w:color="auto"/>
              <w:left w:val="nil"/>
              <w:bottom w:val="single" w:sz="4" w:space="0" w:color="auto"/>
              <w:right w:val="single" w:sz="8" w:space="0" w:color="auto"/>
            </w:tcBorders>
          </w:tcPr>
          <w:p w:rsidR="00C37226" w:rsidRPr="00E4517B" w:rsidRDefault="00C37226" w:rsidP="00B51730">
            <w:pPr>
              <w:spacing w:after="0" w:line="240" w:lineRule="auto"/>
              <w:jc w:val="center"/>
              <w:rPr>
                <w:rFonts w:asciiTheme="majorHAnsi" w:hAnsiTheme="majorHAnsi" w:cstheme="majorHAnsi"/>
                <w:sz w:val="20"/>
                <w:szCs w:val="20"/>
                <w:lang w:val="ro-RO"/>
              </w:rPr>
            </w:pPr>
          </w:p>
        </w:tc>
        <w:tc>
          <w:tcPr>
            <w:tcW w:w="992" w:type="dxa"/>
            <w:tcBorders>
              <w:top w:val="single" w:sz="4" w:space="0" w:color="auto"/>
              <w:left w:val="nil"/>
              <w:bottom w:val="single" w:sz="4" w:space="0" w:color="auto"/>
              <w:right w:val="single" w:sz="8" w:space="0" w:color="auto"/>
            </w:tcBorders>
          </w:tcPr>
          <w:p w:rsidR="00C37226" w:rsidRPr="00E4517B" w:rsidRDefault="00C37226" w:rsidP="00B51730">
            <w:pPr>
              <w:spacing w:after="0" w:line="240" w:lineRule="auto"/>
              <w:jc w:val="center"/>
              <w:rPr>
                <w:rFonts w:asciiTheme="majorHAnsi" w:hAnsiTheme="majorHAnsi" w:cstheme="majorHAnsi"/>
                <w:sz w:val="20"/>
                <w:szCs w:val="20"/>
                <w:lang w:val="ro-RO"/>
              </w:rPr>
            </w:pPr>
            <w:r w:rsidRPr="00E4517B">
              <w:rPr>
                <w:rFonts w:asciiTheme="majorHAnsi" w:hAnsiTheme="majorHAnsi" w:cstheme="majorHAnsi"/>
                <w:sz w:val="20"/>
                <w:szCs w:val="20"/>
                <w:lang w:val="ro-RO"/>
              </w:rPr>
              <w:t>v</w:t>
            </w:r>
          </w:p>
        </w:tc>
        <w:tc>
          <w:tcPr>
            <w:tcW w:w="992" w:type="dxa"/>
            <w:tcBorders>
              <w:top w:val="single" w:sz="4" w:space="0" w:color="auto"/>
              <w:left w:val="nil"/>
              <w:bottom w:val="single" w:sz="4" w:space="0" w:color="auto"/>
              <w:right w:val="single" w:sz="8" w:space="0" w:color="auto"/>
            </w:tcBorders>
          </w:tcPr>
          <w:p w:rsidR="00C37226" w:rsidRPr="00E4517B" w:rsidRDefault="00C37226" w:rsidP="00B51730">
            <w:pPr>
              <w:spacing w:after="0" w:line="240" w:lineRule="auto"/>
              <w:rPr>
                <w:rFonts w:asciiTheme="majorHAnsi" w:hAnsiTheme="majorHAnsi" w:cstheme="majorHAnsi"/>
                <w:sz w:val="20"/>
                <w:szCs w:val="20"/>
                <w:lang w:val="ro-RO"/>
              </w:rPr>
            </w:pPr>
          </w:p>
        </w:tc>
      </w:tr>
      <w:tr w:rsidR="00C37226" w:rsidRPr="00E4517B" w:rsidTr="00C37226">
        <w:trPr>
          <w:gridAfter w:val="1"/>
          <w:wAfter w:w="9" w:type="dxa"/>
          <w:trHeight w:val="57"/>
        </w:trPr>
        <w:tc>
          <w:tcPr>
            <w:tcW w:w="5671" w:type="dxa"/>
            <w:tcBorders>
              <w:top w:val="single" w:sz="8" w:space="0" w:color="auto"/>
              <w:left w:val="single" w:sz="8" w:space="0" w:color="auto"/>
              <w:bottom w:val="single" w:sz="8" w:space="0" w:color="auto"/>
              <w:right w:val="single" w:sz="8" w:space="0" w:color="auto"/>
            </w:tcBorders>
            <w:shd w:val="clear" w:color="auto" w:fill="auto"/>
          </w:tcPr>
          <w:p w:rsidR="00C37226" w:rsidRPr="009131CF" w:rsidRDefault="00C37226" w:rsidP="00B51730">
            <w:pPr>
              <w:spacing w:after="0" w:line="240" w:lineRule="auto"/>
              <w:ind w:left="313" w:hanging="313"/>
              <w:rPr>
                <w:rFonts w:asciiTheme="majorHAnsi" w:eastAsia="Times New Roman" w:hAnsiTheme="majorHAnsi" w:cstheme="majorHAnsi"/>
                <w:b/>
                <w:bCs/>
                <w:color w:val="000000"/>
                <w:sz w:val="20"/>
                <w:szCs w:val="20"/>
                <w:lang w:val="ro-RO"/>
              </w:rPr>
            </w:pPr>
            <w:r w:rsidRPr="00E4517B">
              <w:rPr>
                <w:rFonts w:asciiTheme="majorHAnsi" w:eastAsia="Times New Roman" w:hAnsiTheme="majorHAnsi" w:cstheme="majorHAnsi"/>
                <w:b/>
                <w:bCs/>
                <w:color w:val="000000"/>
                <w:sz w:val="20"/>
                <w:szCs w:val="20"/>
                <w:lang w:val="ro-RO"/>
              </w:rPr>
              <w:t>5.</w:t>
            </w:r>
            <w:r w:rsidRPr="00E4517B">
              <w:rPr>
                <w:rFonts w:asciiTheme="majorHAnsi" w:eastAsia="Times New Roman" w:hAnsiTheme="majorHAnsi" w:cstheme="majorHAnsi"/>
                <w:b/>
                <w:bCs/>
                <w:color w:val="000000"/>
                <w:sz w:val="20"/>
                <w:szCs w:val="20"/>
                <w:lang w:val="ro-RO"/>
              </w:rPr>
              <w:tab/>
            </w:r>
            <w:r w:rsidRPr="00973E5B">
              <w:rPr>
                <w:rFonts w:asciiTheme="majorHAnsi" w:eastAsia="Times New Roman" w:hAnsiTheme="majorHAnsi" w:cstheme="majorHAnsi"/>
                <w:bCs/>
                <w:color w:val="000000"/>
                <w:sz w:val="20"/>
                <w:szCs w:val="20"/>
                <w:lang w:val="ro-RO"/>
              </w:rPr>
              <w:t>Reglementarea, în comun cu alte organe</w:t>
            </w:r>
            <w:r w:rsidRPr="00207634">
              <w:rPr>
                <w:rFonts w:asciiTheme="majorHAnsi" w:eastAsia="Times New Roman" w:hAnsiTheme="majorHAnsi" w:cstheme="majorHAnsi"/>
                <w:bCs/>
                <w:color w:val="000000"/>
                <w:sz w:val="20"/>
                <w:szCs w:val="20"/>
                <w:lang w:val="ro-RO"/>
              </w:rPr>
              <w:t xml:space="preserve"> cu atribuții de administrare a veniturilor bugetului de stat, a normelor regulatorii cu privire la obligativitatea, modul și periodicitatea raportării restanțelor către Ministerul Finanțelor, pentru includerea informației respective în Raportul Guvernului</w:t>
            </w:r>
            <w:r w:rsidRPr="009131CF">
              <w:rPr>
                <w:rFonts w:asciiTheme="majorHAnsi" w:eastAsia="Times New Roman" w:hAnsiTheme="majorHAnsi" w:cstheme="majorHAnsi"/>
                <w:bCs/>
                <w:color w:val="000000"/>
                <w:sz w:val="20"/>
                <w:szCs w:val="20"/>
                <w:lang w:val="ro-RO"/>
              </w:rPr>
              <w:t xml:space="preserve"> privind executarea bugetului de stat</w:t>
            </w:r>
          </w:p>
        </w:tc>
        <w:tc>
          <w:tcPr>
            <w:tcW w:w="6378" w:type="dxa"/>
            <w:tcBorders>
              <w:top w:val="single" w:sz="8" w:space="0" w:color="auto"/>
              <w:left w:val="nil"/>
              <w:bottom w:val="single" w:sz="8" w:space="0" w:color="auto"/>
              <w:right w:val="single" w:sz="8" w:space="0" w:color="auto"/>
            </w:tcBorders>
            <w:shd w:val="clear" w:color="auto" w:fill="auto"/>
          </w:tcPr>
          <w:p w:rsidR="00C37226" w:rsidRPr="00E4517B" w:rsidRDefault="00C37226" w:rsidP="00B347BB">
            <w:pPr>
              <w:spacing w:after="0" w:line="240" w:lineRule="auto"/>
              <w:rPr>
                <w:rFonts w:asciiTheme="majorHAnsi" w:hAnsiTheme="majorHAnsi" w:cstheme="majorHAnsi"/>
                <w:i/>
                <w:iCs/>
                <w:sz w:val="20"/>
                <w:szCs w:val="20"/>
                <w:lang w:val="ro-RO" w:bidi="ro-RO"/>
              </w:rPr>
            </w:pPr>
            <w:r w:rsidRPr="00E4517B">
              <w:rPr>
                <w:rFonts w:asciiTheme="majorHAnsi" w:hAnsiTheme="majorHAnsi" w:cstheme="majorHAnsi"/>
                <w:sz w:val="20"/>
                <w:szCs w:val="20"/>
                <w:lang w:val="ro-RO" w:bidi="ro-RO"/>
              </w:rPr>
              <w:t>Ordinul</w:t>
            </w:r>
            <w:r w:rsidRPr="00E4517B">
              <w:rPr>
                <w:rFonts w:asciiTheme="majorHAnsi" w:hAnsiTheme="majorHAnsi" w:cstheme="majorHAnsi"/>
                <w:sz w:val="20"/>
                <w:szCs w:val="20"/>
                <w:lang w:val="ro-RO" w:bidi="ro-RO"/>
              </w:rPr>
              <w:tab/>
            </w:r>
            <w:r w:rsidR="00B347BB">
              <w:rPr>
                <w:rFonts w:asciiTheme="majorHAnsi" w:hAnsiTheme="majorHAnsi" w:cstheme="majorHAnsi"/>
                <w:sz w:val="20"/>
                <w:szCs w:val="20"/>
                <w:lang w:val="ro-RO"/>
              </w:rPr>
              <w:t>m</w:t>
            </w:r>
            <w:r w:rsidR="00B347BB" w:rsidRPr="00E4517B">
              <w:rPr>
                <w:rFonts w:asciiTheme="majorHAnsi" w:hAnsiTheme="majorHAnsi" w:cstheme="majorHAnsi"/>
                <w:sz w:val="20"/>
                <w:szCs w:val="20"/>
                <w:lang w:val="ro-RO"/>
              </w:rPr>
              <w:t>inistrului</w:t>
            </w:r>
            <w:r w:rsidRPr="00E4517B">
              <w:rPr>
                <w:rFonts w:asciiTheme="majorHAnsi" w:hAnsiTheme="majorHAnsi" w:cstheme="majorHAnsi"/>
                <w:sz w:val="20"/>
                <w:szCs w:val="20"/>
                <w:lang w:val="ro-RO" w:bidi="ro-RO"/>
              </w:rPr>
              <w:tab/>
              <w:t>Finanţelor nr.215</w:t>
            </w:r>
            <w:r w:rsidR="00B347BB">
              <w:rPr>
                <w:rFonts w:asciiTheme="majorHAnsi" w:hAnsiTheme="majorHAnsi" w:cstheme="majorHAnsi"/>
                <w:sz w:val="20"/>
                <w:szCs w:val="20"/>
                <w:lang w:val="ro-RO" w:bidi="ro-RO"/>
              </w:rPr>
              <w:t>/</w:t>
            </w:r>
            <w:r w:rsidRPr="00E4517B">
              <w:rPr>
                <w:rFonts w:asciiTheme="majorHAnsi" w:hAnsiTheme="majorHAnsi" w:cstheme="majorHAnsi"/>
                <w:sz w:val="20"/>
                <w:szCs w:val="20"/>
                <w:lang w:val="ro-RO" w:bidi="ro-RO"/>
              </w:rPr>
              <w:t xml:space="preserve">2016 </w:t>
            </w:r>
            <w:r w:rsidR="00B347BB">
              <w:rPr>
                <w:rFonts w:asciiTheme="majorHAnsi" w:hAnsiTheme="majorHAnsi" w:cstheme="majorHAnsi"/>
                <w:sz w:val="20"/>
                <w:szCs w:val="20"/>
                <w:lang w:val="ro-RO" w:bidi="ro-RO"/>
              </w:rPr>
              <w:t>„</w:t>
            </w:r>
            <w:r w:rsidRPr="00E4517B">
              <w:rPr>
                <w:rFonts w:asciiTheme="majorHAnsi" w:hAnsiTheme="majorHAnsi" w:cstheme="majorHAnsi"/>
                <w:sz w:val="20"/>
                <w:szCs w:val="20"/>
                <w:lang w:val="ro-RO" w:bidi="ro-RO"/>
              </w:rPr>
              <w:t>Cu privire la aprobarea Normelor</w:t>
            </w:r>
            <w:r w:rsidRPr="00E4517B">
              <w:rPr>
                <w:rFonts w:asciiTheme="majorHAnsi" w:hAnsiTheme="majorHAnsi" w:cstheme="majorHAnsi"/>
                <w:sz w:val="20"/>
                <w:szCs w:val="20"/>
                <w:lang w:val="ro-RO" w:bidi="ro-RO"/>
              </w:rPr>
              <w:tab/>
              <w:t>metodologice</w:t>
            </w:r>
            <w:r w:rsidRPr="00E4517B">
              <w:rPr>
                <w:rFonts w:asciiTheme="majorHAnsi" w:hAnsiTheme="majorHAnsi" w:cstheme="majorHAnsi"/>
                <w:sz w:val="20"/>
                <w:szCs w:val="20"/>
                <w:lang w:val="ro-RO" w:bidi="ro-RO"/>
              </w:rPr>
              <w:tab/>
              <w:t>privind executarea</w:t>
            </w:r>
            <w:r w:rsidRPr="00E4517B">
              <w:rPr>
                <w:rFonts w:asciiTheme="majorHAnsi" w:hAnsiTheme="majorHAnsi" w:cstheme="majorHAnsi"/>
                <w:sz w:val="20"/>
                <w:szCs w:val="20"/>
                <w:lang w:val="ro-RO" w:bidi="ro-RO"/>
              </w:rPr>
              <w:tab/>
              <w:t>de casă a bugetelor componente ale bugetului public naţional şi a mijloacelor extrabugetare prin Contul Unic Trezorerial al Ministerului Finanţelor</w:t>
            </w:r>
            <w:r w:rsidR="00B347BB">
              <w:rPr>
                <w:rFonts w:asciiTheme="majorHAnsi" w:hAnsiTheme="majorHAnsi" w:cstheme="majorHAnsi"/>
                <w:sz w:val="20"/>
                <w:szCs w:val="20"/>
                <w:lang w:val="ro-RO" w:bidi="ro-RO"/>
              </w:rPr>
              <w:t>”</w:t>
            </w:r>
            <w:r w:rsidRPr="00E4517B">
              <w:rPr>
                <w:rFonts w:asciiTheme="majorHAnsi" w:hAnsiTheme="majorHAnsi" w:cstheme="majorHAnsi"/>
                <w:sz w:val="20"/>
                <w:szCs w:val="20"/>
                <w:lang w:val="ro-RO" w:bidi="ro-RO"/>
              </w:rPr>
              <w:t xml:space="preserve"> a fost completat prin Ordinul </w:t>
            </w:r>
            <w:r w:rsidR="00B347BB">
              <w:rPr>
                <w:rFonts w:asciiTheme="majorHAnsi" w:hAnsiTheme="majorHAnsi" w:cstheme="majorHAnsi"/>
                <w:sz w:val="20"/>
                <w:szCs w:val="20"/>
                <w:lang w:val="ro-RO"/>
              </w:rPr>
              <w:t>m</w:t>
            </w:r>
            <w:r w:rsidR="00B347BB" w:rsidRPr="00E4517B">
              <w:rPr>
                <w:rFonts w:asciiTheme="majorHAnsi" w:hAnsiTheme="majorHAnsi" w:cstheme="majorHAnsi"/>
                <w:sz w:val="20"/>
                <w:szCs w:val="20"/>
                <w:lang w:val="ro-RO"/>
              </w:rPr>
              <w:t>inistrului</w:t>
            </w:r>
            <w:r w:rsidRPr="00E4517B">
              <w:rPr>
                <w:rFonts w:asciiTheme="majorHAnsi" w:hAnsiTheme="majorHAnsi" w:cstheme="majorHAnsi"/>
                <w:sz w:val="20"/>
                <w:szCs w:val="20"/>
                <w:lang w:val="ro-RO" w:bidi="ro-RO"/>
              </w:rPr>
              <w:t xml:space="preserve"> Finanţelor nr. 57/2021 </w:t>
            </w:r>
            <w:r w:rsidR="00B347BB">
              <w:rPr>
                <w:rFonts w:asciiTheme="majorHAnsi" w:hAnsiTheme="majorHAnsi" w:cstheme="majorHAnsi"/>
                <w:i/>
                <w:iCs/>
                <w:sz w:val="20"/>
                <w:szCs w:val="20"/>
                <w:lang w:val="ro-RO" w:bidi="ro-RO"/>
              </w:rPr>
              <w:t>„</w:t>
            </w:r>
            <w:r w:rsidRPr="00E4517B">
              <w:rPr>
                <w:rFonts w:asciiTheme="majorHAnsi" w:hAnsiTheme="majorHAnsi" w:cstheme="majorHAnsi"/>
                <w:i/>
                <w:iCs/>
                <w:sz w:val="20"/>
                <w:szCs w:val="20"/>
                <w:lang w:val="ro-RO" w:bidi="ro-RO"/>
              </w:rPr>
              <w:t>Cu privire la modificarea Normelor</w:t>
            </w:r>
            <w:r w:rsidRPr="00E4517B">
              <w:rPr>
                <w:rFonts w:asciiTheme="majorHAnsi" w:hAnsiTheme="majorHAnsi" w:cstheme="majorHAnsi"/>
                <w:i/>
                <w:iCs/>
                <w:sz w:val="20"/>
                <w:szCs w:val="20"/>
                <w:lang w:val="ro-RO" w:bidi="ro-RO"/>
              </w:rPr>
              <w:tab/>
              <w:t>metodologice</w:t>
            </w:r>
            <w:r w:rsidRPr="00E4517B">
              <w:rPr>
                <w:rFonts w:asciiTheme="majorHAnsi" w:hAnsiTheme="majorHAnsi" w:cstheme="majorHAnsi"/>
                <w:i/>
                <w:iCs/>
                <w:sz w:val="20"/>
                <w:szCs w:val="20"/>
                <w:lang w:val="ro-RO" w:bidi="ro-RO"/>
              </w:rPr>
              <w:tab/>
              <w:t>privind</w:t>
            </w:r>
            <w:r w:rsidRPr="00E4517B">
              <w:rPr>
                <w:rFonts w:eastAsia="Times New Roman" w:cs="Times New Roman"/>
                <w:i/>
                <w:iCs/>
                <w:color w:val="000000"/>
                <w:sz w:val="22"/>
                <w:lang w:val="ro-RO" w:eastAsia="ro-RO" w:bidi="ro-RO"/>
              </w:rPr>
              <w:t xml:space="preserve"> </w:t>
            </w:r>
            <w:r w:rsidRPr="00E4517B">
              <w:rPr>
                <w:rFonts w:asciiTheme="majorHAnsi" w:hAnsiTheme="majorHAnsi" w:cstheme="majorHAnsi"/>
                <w:i/>
                <w:iCs/>
                <w:sz w:val="20"/>
                <w:szCs w:val="20"/>
                <w:lang w:val="ro-RO" w:bidi="ro-RO"/>
              </w:rPr>
              <w:t xml:space="preserve">executarea de casă a bugetelor componente ale bugetului public naţional şi a mijloacelor </w:t>
            </w:r>
            <w:r w:rsidRPr="00E4517B">
              <w:rPr>
                <w:rFonts w:asciiTheme="majorHAnsi" w:hAnsiTheme="majorHAnsi" w:cstheme="majorHAnsi"/>
                <w:i/>
                <w:iCs/>
                <w:sz w:val="20"/>
                <w:szCs w:val="20"/>
                <w:lang w:val="ro-RO" w:bidi="ro-RO"/>
              </w:rPr>
              <w:lastRenderedPageBreak/>
              <w:t>extrabugetare prin sistemul trezorerial al Ministerului Finanțelor</w:t>
            </w:r>
            <w:r w:rsidRPr="00E4517B">
              <w:rPr>
                <w:rFonts w:asciiTheme="majorHAnsi" w:hAnsiTheme="majorHAnsi" w:cstheme="majorHAnsi"/>
                <w:i/>
                <w:iCs/>
                <w:sz w:val="20"/>
                <w:szCs w:val="20"/>
                <w:lang w:val="ro-RO" w:bidi="ro-RO"/>
              </w:rPr>
              <w:tab/>
              <w:t>nr. 215/2015”,</w:t>
            </w:r>
            <w:r w:rsidRPr="00E4517B">
              <w:rPr>
                <w:rFonts w:asciiTheme="majorHAnsi" w:hAnsiTheme="majorHAnsi" w:cstheme="majorHAnsi"/>
                <w:i/>
                <w:iCs/>
                <w:sz w:val="20"/>
                <w:szCs w:val="20"/>
                <w:lang w:val="ro-RO" w:bidi="ro-RO"/>
              </w:rPr>
              <w:tab/>
              <w:t>cu reglementări cu privire la obligativitatea, modul şi periodicitatea</w:t>
            </w:r>
            <w:r w:rsidRPr="00E4517B">
              <w:rPr>
                <w:rFonts w:asciiTheme="majorHAnsi" w:hAnsiTheme="majorHAnsi" w:cstheme="majorHAnsi"/>
                <w:i/>
                <w:iCs/>
                <w:sz w:val="20"/>
                <w:szCs w:val="20"/>
                <w:lang w:val="ro-RO" w:bidi="ro-RO"/>
              </w:rPr>
              <w:tab/>
              <w:t>raportării restanțelor către Ministerul Finanțelor</w:t>
            </w:r>
          </w:p>
        </w:tc>
        <w:tc>
          <w:tcPr>
            <w:tcW w:w="850" w:type="dxa"/>
            <w:tcBorders>
              <w:top w:val="single" w:sz="4" w:space="0" w:color="auto"/>
              <w:left w:val="nil"/>
              <w:bottom w:val="single" w:sz="4" w:space="0" w:color="auto"/>
              <w:right w:val="single" w:sz="8" w:space="0" w:color="auto"/>
            </w:tcBorders>
          </w:tcPr>
          <w:p w:rsidR="00C37226" w:rsidRPr="00E4517B" w:rsidRDefault="00C37226" w:rsidP="00B51730">
            <w:pPr>
              <w:spacing w:after="0" w:line="240" w:lineRule="auto"/>
              <w:jc w:val="center"/>
              <w:rPr>
                <w:rFonts w:asciiTheme="majorHAnsi" w:hAnsiTheme="majorHAnsi" w:cstheme="majorHAnsi"/>
                <w:sz w:val="20"/>
                <w:szCs w:val="20"/>
                <w:lang w:val="ro-RO"/>
              </w:rPr>
            </w:pPr>
            <w:r w:rsidRPr="00E4517B">
              <w:rPr>
                <w:rFonts w:asciiTheme="majorHAnsi" w:hAnsiTheme="majorHAnsi" w:cstheme="majorHAnsi"/>
                <w:sz w:val="20"/>
                <w:szCs w:val="20"/>
                <w:lang w:val="ro-RO"/>
              </w:rPr>
              <w:lastRenderedPageBreak/>
              <w:t>v</w:t>
            </w:r>
          </w:p>
        </w:tc>
        <w:tc>
          <w:tcPr>
            <w:tcW w:w="992" w:type="dxa"/>
            <w:tcBorders>
              <w:top w:val="single" w:sz="4" w:space="0" w:color="auto"/>
              <w:left w:val="nil"/>
              <w:bottom w:val="single" w:sz="4" w:space="0" w:color="auto"/>
              <w:right w:val="single" w:sz="8" w:space="0" w:color="auto"/>
            </w:tcBorders>
          </w:tcPr>
          <w:p w:rsidR="00C37226" w:rsidRPr="00E4517B" w:rsidRDefault="00C37226" w:rsidP="00B51730">
            <w:pPr>
              <w:spacing w:after="0" w:line="240" w:lineRule="auto"/>
              <w:jc w:val="center"/>
              <w:rPr>
                <w:rFonts w:asciiTheme="majorHAnsi" w:hAnsiTheme="majorHAnsi" w:cstheme="majorHAnsi"/>
                <w:sz w:val="20"/>
                <w:szCs w:val="20"/>
                <w:lang w:val="ro-RO"/>
              </w:rPr>
            </w:pPr>
          </w:p>
        </w:tc>
        <w:tc>
          <w:tcPr>
            <w:tcW w:w="992" w:type="dxa"/>
            <w:tcBorders>
              <w:top w:val="single" w:sz="4" w:space="0" w:color="auto"/>
              <w:left w:val="nil"/>
              <w:bottom w:val="single" w:sz="4" w:space="0" w:color="auto"/>
              <w:right w:val="single" w:sz="8" w:space="0" w:color="auto"/>
            </w:tcBorders>
          </w:tcPr>
          <w:p w:rsidR="00C37226" w:rsidRPr="00E4517B" w:rsidRDefault="00C37226" w:rsidP="00B51730">
            <w:pPr>
              <w:spacing w:after="0" w:line="240" w:lineRule="auto"/>
              <w:rPr>
                <w:rFonts w:asciiTheme="majorHAnsi" w:hAnsiTheme="majorHAnsi" w:cstheme="majorHAnsi"/>
                <w:sz w:val="20"/>
                <w:szCs w:val="20"/>
                <w:lang w:val="ro-RO"/>
              </w:rPr>
            </w:pPr>
          </w:p>
        </w:tc>
      </w:tr>
      <w:tr w:rsidR="00C37226" w:rsidRPr="00E4517B" w:rsidTr="00C37226">
        <w:trPr>
          <w:gridAfter w:val="1"/>
          <w:wAfter w:w="9" w:type="dxa"/>
          <w:trHeight w:val="57"/>
        </w:trPr>
        <w:tc>
          <w:tcPr>
            <w:tcW w:w="5671" w:type="dxa"/>
            <w:tcBorders>
              <w:top w:val="single" w:sz="8" w:space="0" w:color="auto"/>
              <w:left w:val="single" w:sz="8" w:space="0" w:color="auto"/>
              <w:bottom w:val="single" w:sz="8" w:space="0" w:color="auto"/>
              <w:right w:val="single" w:sz="8" w:space="0" w:color="auto"/>
            </w:tcBorders>
            <w:shd w:val="clear" w:color="auto" w:fill="auto"/>
          </w:tcPr>
          <w:p w:rsidR="00C37226" w:rsidRPr="009131CF" w:rsidRDefault="00C37226" w:rsidP="00B51730">
            <w:pPr>
              <w:spacing w:after="0" w:line="240" w:lineRule="auto"/>
              <w:ind w:left="313" w:hanging="313"/>
              <w:rPr>
                <w:rFonts w:asciiTheme="majorHAnsi" w:eastAsia="Times New Roman" w:hAnsiTheme="majorHAnsi" w:cstheme="majorHAnsi"/>
                <w:b/>
                <w:bCs/>
                <w:color w:val="000000"/>
                <w:sz w:val="20"/>
                <w:szCs w:val="20"/>
                <w:lang w:val="ro-RO"/>
              </w:rPr>
            </w:pPr>
            <w:r w:rsidRPr="00E4517B">
              <w:rPr>
                <w:rFonts w:asciiTheme="majorHAnsi" w:eastAsia="Times New Roman" w:hAnsiTheme="majorHAnsi" w:cstheme="majorHAnsi"/>
                <w:b/>
                <w:bCs/>
                <w:color w:val="000000"/>
                <w:sz w:val="20"/>
                <w:szCs w:val="20"/>
                <w:lang w:val="ro-RO"/>
              </w:rPr>
              <w:t>6.</w:t>
            </w:r>
            <w:r w:rsidRPr="00E4517B">
              <w:rPr>
                <w:rFonts w:asciiTheme="majorHAnsi" w:eastAsia="Times New Roman" w:hAnsiTheme="majorHAnsi" w:cstheme="majorHAnsi"/>
                <w:b/>
                <w:bCs/>
                <w:color w:val="000000"/>
                <w:sz w:val="20"/>
                <w:szCs w:val="20"/>
                <w:lang w:val="ro-RO"/>
              </w:rPr>
              <w:tab/>
            </w:r>
            <w:r w:rsidRPr="00973E5B">
              <w:rPr>
                <w:rFonts w:asciiTheme="majorHAnsi" w:eastAsia="Times New Roman" w:hAnsiTheme="majorHAnsi" w:cstheme="majorHAnsi"/>
                <w:bCs/>
                <w:color w:val="000000"/>
                <w:sz w:val="20"/>
                <w:szCs w:val="20"/>
                <w:lang w:val="ro-RO"/>
              </w:rPr>
              <w:t>Reglementarea modului de ținere a Registrul</w:t>
            </w:r>
            <w:r w:rsidRPr="00207634">
              <w:rPr>
                <w:rFonts w:asciiTheme="majorHAnsi" w:eastAsia="Times New Roman" w:hAnsiTheme="majorHAnsi" w:cstheme="majorHAnsi"/>
                <w:bCs/>
                <w:color w:val="000000"/>
                <w:sz w:val="20"/>
                <w:szCs w:val="20"/>
                <w:lang w:val="ro-RO"/>
              </w:rPr>
              <w:t>ui debitorilor și modul de evidență a executării sancțiunilor și amenzilor</w:t>
            </w:r>
          </w:p>
        </w:tc>
        <w:tc>
          <w:tcPr>
            <w:tcW w:w="6378" w:type="dxa"/>
            <w:tcBorders>
              <w:top w:val="single" w:sz="8" w:space="0" w:color="auto"/>
              <w:left w:val="nil"/>
              <w:bottom w:val="single" w:sz="8" w:space="0" w:color="auto"/>
              <w:right w:val="single" w:sz="8" w:space="0" w:color="auto"/>
            </w:tcBorders>
            <w:shd w:val="clear" w:color="auto" w:fill="auto"/>
          </w:tcPr>
          <w:p w:rsidR="00C37226" w:rsidRPr="00E4517B" w:rsidRDefault="00C37226" w:rsidP="00B51730">
            <w:pPr>
              <w:spacing w:after="0" w:line="240" w:lineRule="auto"/>
              <w:rPr>
                <w:rFonts w:asciiTheme="majorHAnsi" w:hAnsiTheme="majorHAnsi" w:cstheme="majorHAnsi"/>
                <w:sz w:val="20"/>
                <w:szCs w:val="20"/>
                <w:lang w:val="ro-RO"/>
              </w:rPr>
            </w:pPr>
            <w:r w:rsidRPr="00E4517B">
              <w:rPr>
                <w:rFonts w:asciiTheme="majorHAnsi" w:hAnsiTheme="majorHAnsi" w:cstheme="majorHAnsi"/>
                <w:sz w:val="20"/>
                <w:szCs w:val="20"/>
                <w:lang w:val="ro-RO"/>
              </w:rPr>
              <w:t xml:space="preserve">Hotărârea Guvernului nr.746/2020 </w:t>
            </w:r>
            <w:r w:rsidR="00B347BB">
              <w:rPr>
                <w:rFonts w:asciiTheme="majorHAnsi" w:hAnsiTheme="majorHAnsi" w:cstheme="majorHAnsi"/>
                <w:sz w:val="20"/>
                <w:szCs w:val="20"/>
                <w:lang w:val="ro-RO"/>
              </w:rPr>
              <w:t>„</w:t>
            </w:r>
            <w:r w:rsidRPr="00E4517B">
              <w:rPr>
                <w:rFonts w:asciiTheme="majorHAnsi" w:hAnsiTheme="majorHAnsi" w:cstheme="majorHAnsi"/>
                <w:sz w:val="20"/>
                <w:szCs w:val="20"/>
                <w:lang w:val="ro-RO"/>
              </w:rPr>
              <w:t xml:space="preserve">Cu privire la procedura de furnizare a informației privind amenzile contravenționale către Serviciul Fiscal de Stat” </w:t>
            </w:r>
            <w:r w:rsidRPr="00E4517B">
              <w:rPr>
                <w:rFonts w:asciiTheme="majorHAnsi" w:hAnsiTheme="majorHAnsi" w:cstheme="majorHAnsi"/>
                <w:sz w:val="20"/>
                <w:szCs w:val="20"/>
                <w:u w:val="single"/>
                <w:lang w:val="ro-RO"/>
              </w:rPr>
              <w:t>(în vigoare din 1 ianuarie 2021),</w:t>
            </w:r>
            <w:r w:rsidRPr="00E4517B">
              <w:rPr>
                <w:rFonts w:asciiTheme="majorHAnsi" w:hAnsiTheme="majorHAnsi" w:cstheme="majorHAnsi"/>
                <w:sz w:val="20"/>
                <w:szCs w:val="20"/>
                <w:lang w:val="ro-RO"/>
              </w:rPr>
              <w:t xml:space="preserve"> are drept scop reglementarea procedurii de prezentare a informației cu privire la amenzile contravenționale aplicate și utilizarea datelor respective de către Serviciul Fiscal de Stat, în vederea asigurării evidenței analitice conforme a calculării și achitării amenzilor contravenționale, urmăririi plenitudinii încasării și raportării acestora.</w:t>
            </w:r>
          </w:p>
          <w:p w:rsidR="00C37226" w:rsidRPr="00E4517B" w:rsidRDefault="00C37226" w:rsidP="00B51730">
            <w:pPr>
              <w:spacing w:after="0" w:line="240" w:lineRule="auto"/>
              <w:rPr>
                <w:rFonts w:asciiTheme="majorHAnsi" w:hAnsiTheme="majorHAnsi" w:cstheme="majorHAnsi"/>
                <w:sz w:val="20"/>
                <w:szCs w:val="20"/>
                <w:lang w:val="ro-RO"/>
              </w:rPr>
            </w:pPr>
            <w:r w:rsidRPr="00E4517B">
              <w:rPr>
                <w:rFonts w:asciiTheme="majorHAnsi" w:hAnsiTheme="majorHAnsi" w:cstheme="majorHAnsi"/>
                <w:sz w:val="20"/>
                <w:szCs w:val="20"/>
                <w:lang w:val="ro-RO"/>
              </w:rPr>
              <w:t>În scopul implementării Hotărârii Guvernului sus</w:t>
            </w:r>
            <w:r w:rsidR="00B347BB">
              <w:rPr>
                <w:rFonts w:asciiTheme="majorHAnsi" w:hAnsiTheme="majorHAnsi" w:cstheme="majorHAnsi"/>
                <w:sz w:val="20"/>
                <w:szCs w:val="20"/>
                <w:lang w:val="ro-RO"/>
              </w:rPr>
              <w:t>-</w:t>
            </w:r>
            <w:r w:rsidRPr="00E4517B">
              <w:rPr>
                <w:rFonts w:asciiTheme="majorHAnsi" w:hAnsiTheme="majorHAnsi" w:cstheme="majorHAnsi"/>
                <w:sz w:val="20"/>
                <w:szCs w:val="20"/>
                <w:lang w:val="ro-RO"/>
              </w:rPr>
              <w:t xml:space="preserve">menționate, a fost aprobat Ordinul Serviciului Fiscal de Stat nr.544 din 23 octombrie 2020 </w:t>
            </w:r>
            <w:r w:rsidR="00B347BB">
              <w:rPr>
                <w:rFonts w:asciiTheme="majorHAnsi" w:hAnsiTheme="majorHAnsi" w:cstheme="majorHAnsi"/>
                <w:sz w:val="20"/>
                <w:szCs w:val="20"/>
                <w:lang w:val="ro-RO"/>
              </w:rPr>
              <w:t>„</w:t>
            </w:r>
            <w:r w:rsidRPr="00E4517B">
              <w:rPr>
                <w:rFonts w:asciiTheme="majorHAnsi" w:hAnsiTheme="majorHAnsi" w:cstheme="majorHAnsi"/>
                <w:sz w:val="20"/>
                <w:szCs w:val="20"/>
                <w:lang w:val="ro-RO"/>
              </w:rPr>
              <w:t xml:space="preserve">Cu privire la aprobarea Planului de acțiuni privind implementarea Hotărârii Guvernului nr.746/2020 </w:t>
            </w:r>
            <w:r w:rsidR="00B347BB">
              <w:rPr>
                <w:rFonts w:asciiTheme="majorHAnsi" w:hAnsiTheme="majorHAnsi" w:cstheme="majorHAnsi"/>
                <w:sz w:val="20"/>
                <w:szCs w:val="20"/>
                <w:lang w:val="ro-RO"/>
              </w:rPr>
              <w:t>„C</w:t>
            </w:r>
            <w:r w:rsidRPr="00E4517B">
              <w:rPr>
                <w:rFonts w:asciiTheme="majorHAnsi" w:hAnsiTheme="majorHAnsi" w:cstheme="majorHAnsi"/>
                <w:sz w:val="20"/>
                <w:szCs w:val="20"/>
                <w:lang w:val="ro-RO"/>
              </w:rPr>
              <w:t>u privire la procedura de furnizare a informației privind amenzile contravenționale către Serviciul Fiscal de Stat</w:t>
            </w:r>
            <w:r w:rsidRPr="00F55BA6">
              <w:rPr>
                <w:rFonts w:asciiTheme="majorHAnsi" w:hAnsiTheme="majorHAnsi" w:cstheme="majorHAnsi"/>
                <w:sz w:val="20"/>
                <w:szCs w:val="20"/>
                <w:lang w:val="ro-RO"/>
              </w:rPr>
              <w:t>”</w:t>
            </w:r>
            <w:r w:rsidRPr="00E4517B">
              <w:rPr>
                <w:rFonts w:asciiTheme="majorHAnsi" w:hAnsiTheme="majorHAnsi" w:cstheme="majorHAnsi"/>
                <w:sz w:val="20"/>
                <w:szCs w:val="20"/>
                <w:lang w:val="ro-RO"/>
              </w:rPr>
              <w:t>.</w:t>
            </w:r>
          </w:p>
          <w:p w:rsidR="00C37226" w:rsidRPr="009131CF" w:rsidRDefault="00C37226" w:rsidP="00B347BB">
            <w:pPr>
              <w:spacing w:after="0" w:line="240" w:lineRule="auto"/>
              <w:rPr>
                <w:rFonts w:asciiTheme="majorHAnsi" w:hAnsiTheme="majorHAnsi" w:cstheme="majorHAnsi"/>
                <w:sz w:val="20"/>
                <w:szCs w:val="20"/>
                <w:lang w:val="ro-RO"/>
              </w:rPr>
            </w:pPr>
            <w:r w:rsidRPr="00973E5B">
              <w:rPr>
                <w:rFonts w:asciiTheme="majorHAnsi" w:hAnsiTheme="majorHAnsi" w:cstheme="majorHAnsi"/>
                <w:i/>
                <w:sz w:val="20"/>
                <w:szCs w:val="20"/>
                <w:lang w:val="ro-RO"/>
              </w:rPr>
              <w:t>Totodată, Serviciul Fiscal de Stat urmează să implementez</w:t>
            </w:r>
            <w:r w:rsidRPr="00207634">
              <w:rPr>
                <w:rFonts w:asciiTheme="majorHAnsi" w:hAnsiTheme="majorHAnsi" w:cstheme="majorHAnsi"/>
                <w:i/>
                <w:sz w:val="20"/>
                <w:szCs w:val="20"/>
                <w:lang w:val="ro-RO"/>
              </w:rPr>
              <w:t>e, până la 31 mai 2021, web-serviciul de consum al datelor prin intermediul platformei de interoperabilitate MConnect</w:t>
            </w:r>
          </w:p>
        </w:tc>
        <w:tc>
          <w:tcPr>
            <w:tcW w:w="850" w:type="dxa"/>
            <w:tcBorders>
              <w:top w:val="single" w:sz="4" w:space="0" w:color="auto"/>
              <w:left w:val="nil"/>
              <w:bottom w:val="single" w:sz="4" w:space="0" w:color="auto"/>
              <w:right w:val="single" w:sz="8" w:space="0" w:color="auto"/>
            </w:tcBorders>
          </w:tcPr>
          <w:p w:rsidR="00C37226" w:rsidRPr="00E4517B" w:rsidRDefault="00C37226" w:rsidP="00B51730">
            <w:pPr>
              <w:spacing w:after="0" w:line="240" w:lineRule="auto"/>
              <w:jc w:val="center"/>
              <w:rPr>
                <w:rFonts w:asciiTheme="majorHAnsi" w:hAnsiTheme="majorHAnsi" w:cstheme="majorHAnsi"/>
                <w:sz w:val="20"/>
                <w:szCs w:val="20"/>
                <w:lang w:val="ro-RO"/>
              </w:rPr>
            </w:pPr>
          </w:p>
        </w:tc>
        <w:tc>
          <w:tcPr>
            <w:tcW w:w="992" w:type="dxa"/>
            <w:tcBorders>
              <w:top w:val="single" w:sz="4" w:space="0" w:color="auto"/>
              <w:left w:val="nil"/>
              <w:bottom w:val="single" w:sz="4" w:space="0" w:color="auto"/>
              <w:right w:val="single" w:sz="8" w:space="0" w:color="auto"/>
            </w:tcBorders>
          </w:tcPr>
          <w:p w:rsidR="00C37226" w:rsidRPr="00E4517B" w:rsidRDefault="00C37226" w:rsidP="00B51730">
            <w:pPr>
              <w:spacing w:after="0" w:line="240" w:lineRule="auto"/>
              <w:jc w:val="center"/>
              <w:rPr>
                <w:rFonts w:asciiTheme="majorHAnsi" w:hAnsiTheme="majorHAnsi" w:cstheme="majorHAnsi"/>
                <w:sz w:val="20"/>
                <w:szCs w:val="20"/>
                <w:lang w:val="ro-RO"/>
              </w:rPr>
            </w:pPr>
            <w:r w:rsidRPr="00E4517B">
              <w:rPr>
                <w:rFonts w:asciiTheme="majorHAnsi" w:hAnsiTheme="majorHAnsi" w:cstheme="majorHAnsi"/>
                <w:sz w:val="20"/>
                <w:szCs w:val="20"/>
                <w:lang w:val="ro-RO"/>
              </w:rPr>
              <w:t>v</w:t>
            </w:r>
          </w:p>
        </w:tc>
        <w:tc>
          <w:tcPr>
            <w:tcW w:w="992" w:type="dxa"/>
            <w:tcBorders>
              <w:top w:val="single" w:sz="4" w:space="0" w:color="auto"/>
              <w:left w:val="nil"/>
              <w:bottom w:val="single" w:sz="4" w:space="0" w:color="auto"/>
              <w:right w:val="single" w:sz="8" w:space="0" w:color="auto"/>
            </w:tcBorders>
          </w:tcPr>
          <w:p w:rsidR="00C37226" w:rsidRPr="00E4517B" w:rsidRDefault="00C37226" w:rsidP="00B51730">
            <w:pPr>
              <w:spacing w:after="0" w:line="240" w:lineRule="auto"/>
              <w:rPr>
                <w:rFonts w:asciiTheme="majorHAnsi" w:hAnsiTheme="majorHAnsi" w:cstheme="majorHAnsi"/>
                <w:sz w:val="20"/>
                <w:szCs w:val="20"/>
                <w:lang w:val="ro-RO"/>
              </w:rPr>
            </w:pPr>
          </w:p>
        </w:tc>
      </w:tr>
    </w:tbl>
    <w:p w:rsidR="00C37226" w:rsidRPr="00F55BA6" w:rsidRDefault="00C37226" w:rsidP="00C37226">
      <w:pPr>
        <w:jc w:val="left"/>
        <w:rPr>
          <w:rFonts w:asciiTheme="majorHAnsi" w:hAnsiTheme="majorHAnsi" w:cstheme="majorHAnsi"/>
          <w:b/>
          <w:i/>
          <w:sz w:val="20"/>
          <w:szCs w:val="20"/>
          <w:lang w:val="ro-RO"/>
        </w:rPr>
      </w:pPr>
    </w:p>
    <w:p w:rsidR="00C37226" w:rsidRPr="00E4517B" w:rsidRDefault="00C37226" w:rsidP="00C37226">
      <w:pPr>
        <w:tabs>
          <w:tab w:val="left" w:pos="993"/>
        </w:tabs>
        <w:spacing w:after="0" w:line="276" w:lineRule="auto"/>
        <w:outlineLvl w:val="2"/>
        <w:rPr>
          <w:rFonts w:ascii="Calibri Light" w:hAnsi="Calibri Light" w:cs="Calibri Light"/>
          <w:b/>
          <w:sz w:val="24"/>
          <w:szCs w:val="24"/>
          <w:lang w:val="ro-RO"/>
        </w:rPr>
      </w:pPr>
    </w:p>
    <w:p w:rsidR="00C37226" w:rsidRPr="00973E5B" w:rsidRDefault="00C37226" w:rsidP="00C37226">
      <w:pPr>
        <w:tabs>
          <w:tab w:val="left" w:pos="993"/>
        </w:tabs>
        <w:spacing w:after="0" w:line="276" w:lineRule="auto"/>
        <w:ind w:firstLine="540"/>
        <w:jc w:val="right"/>
        <w:outlineLvl w:val="2"/>
        <w:rPr>
          <w:rFonts w:ascii="Calibri Light" w:hAnsi="Calibri Light" w:cs="Calibri Light"/>
          <w:b/>
          <w:sz w:val="24"/>
          <w:szCs w:val="24"/>
          <w:lang w:val="ro-RO"/>
        </w:rPr>
      </w:pPr>
      <w:r w:rsidRPr="00973E5B">
        <w:rPr>
          <w:rFonts w:ascii="Calibri Light" w:hAnsi="Calibri Light" w:cs="Calibri Light"/>
          <w:b/>
          <w:sz w:val="24"/>
          <w:szCs w:val="24"/>
          <w:lang w:val="ro-RO"/>
        </w:rPr>
        <w:t>Anexa nr.4</w:t>
      </w:r>
    </w:p>
    <w:p w:rsidR="00C37226" w:rsidRPr="00F55BA6" w:rsidRDefault="00C37226" w:rsidP="00C37226">
      <w:pPr>
        <w:jc w:val="center"/>
        <w:rPr>
          <w:rFonts w:asciiTheme="majorHAnsi" w:eastAsia="Times New Roman" w:hAnsiTheme="majorHAnsi" w:cstheme="majorHAnsi"/>
          <w:b/>
          <w:bCs/>
          <w:iCs/>
          <w:sz w:val="22"/>
          <w:lang w:val="ro-RO" w:eastAsia="ru-RU"/>
        </w:rPr>
      </w:pPr>
      <w:r w:rsidRPr="00F55BA6">
        <w:rPr>
          <w:rFonts w:asciiTheme="majorHAnsi" w:eastAsia="Times New Roman" w:hAnsiTheme="majorHAnsi" w:cstheme="majorHAnsi"/>
          <w:b/>
          <w:bCs/>
          <w:iCs/>
          <w:sz w:val="22"/>
          <w:lang w:val="ro-RO" w:eastAsia="ru-RU"/>
        </w:rPr>
        <w:t xml:space="preserve">Implementarea cerințelor și recomandărilor expuse în HCC nr.24 din 28.05.2018 </w:t>
      </w:r>
      <w:r w:rsidR="00B347BB">
        <w:rPr>
          <w:rFonts w:asciiTheme="majorHAnsi" w:eastAsia="Times New Roman" w:hAnsiTheme="majorHAnsi" w:cstheme="majorHAnsi"/>
          <w:b/>
          <w:bCs/>
          <w:iCs/>
          <w:sz w:val="22"/>
          <w:lang w:val="ro-RO" w:eastAsia="ru-RU"/>
        </w:rPr>
        <w:t>„C</w:t>
      </w:r>
      <w:r w:rsidRPr="00F55BA6">
        <w:rPr>
          <w:rFonts w:asciiTheme="majorHAnsi" w:eastAsia="Times New Roman" w:hAnsiTheme="majorHAnsi" w:cstheme="majorHAnsi"/>
          <w:b/>
          <w:bCs/>
          <w:iCs/>
          <w:sz w:val="22"/>
          <w:lang w:val="ro-RO" w:eastAsia="ru-RU"/>
        </w:rPr>
        <w:t xml:space="preserve">u privire la Raportul auditului financiar al Raportului Guvernului privind executarea </w:t>
      </w:r>
      <w:r w:rsidR="00B347BB">
        <w:rPr>
          <w:rFonts w:asciiTheme="majorHAnsi" w:eastAsia="Times New Roman" w:hAnsiTheme="majorHAnsi" w:cstheme="majorHAnsi"/>
          <w:b/>
          <w:bCs/>
          <w:iCs/>
          <w:sz w:val="22"/>
          <w:lang w:val="ro-RO" w:eastAsia="ru-RU"/>
        </w:rPr>
        <w:t>bugetului</w:t>
      </w:r>
      <w:r w:rsidRPr="00F55BA6">
        <w:rPr>
          <w:rFonts w:asciiTheme="majorHAnsi" w:eastAsia="Times New Roman" w:hAnsiTheme="majorHAnsi" w:cstheme="majorHAnsi"/>
          <w:b/>
          <w:bCs/>
          <w:iCs/>
          <w:sz w:val="22"/>
          <w:lang w:val="ro-RO" w:eastAsia="ru-RU"/>
        </w:rPr>
        <w:t xml:space="preserve"> </w:t>
      </w:r>
      <w:r w:rsidR="00B347BB">
        <w:rPr>
          <w:rFonts w:asciiTheme="majorHAnsi" w:eastAsia="Times New Roman" w:hAnsiTheme="majorHAnsi" w:cstheme="majorHAnsi"/>
          <w:b/>
          <w:bCs/>
          <w:iCs/>
          <w:sz w:val="22"/>
          <w:lang w:val="ro-RO" w:eastAsia="ru-RU"/>
        </w:rPr>
        <w:t xml:space="preserve">de stat </w:t>
      </w:r>
      <w:r w:rsidRPr="00F55BA6">
        <w:rPr>
          <w:rFonts w:asciiTheme="majorHAnsi" w:eastAsia="Times New Roman" w:hAnsiTheme="majorHAnsi" w:cstheme="majorHAnsi"/>
          <w:b/>
          <w:bCs/>
          <w:iCs/>
          <w:sz w:val="22"/>
          <w:lang w:val="ro-RO" w:eastAsia="ru-RU"/>
        </w:rPr>
        <w:t>pe anul 2017”</w:t>
      </w:r>
    </w:p>
    <w:tbl>
      <w:tblPr>
        <w:tblW w:w="15026" w:type="dxa"/>
        <w:tblInd w:w="-294" w:type="dxa"/>
        <w:tblLayout w:type="fixed"/>
        <w:tblLook w:val="04A0" w:firstRow="1" w:lastRow="0" w:firstColumn="1" w:lastColumn="0" w:noHBand="0" w:noVBand="1"/>
      </w:tblPr>
      <w:tblGrid>
        <w:gridCol w:w="5671"/>
        <w:gridCol w:w="6378"/>
        <w:gridCol w:w="993"/>
        <w:gridCol w:w="992"/>
        <w:gridCol w:w="992"/>
      </w:tblGrid>
      <w:tr w:rsidR="00C37226" w:rsidRPr="00E4517B" w:rsidTr="00C37226">
        <w:trPr>
          <w:trHeight w:val="269"/>
        </w:trPr>
        <w:tc>
          <w:tcPr>
            <w:tcW w:w="5671" w:type="dxa"/>
            <w:vMerge w:val="restart"/>
            <w:tcBorders>
              <w:top w:val="single" w:sz="8" w:space="0" w:color="auto"/>
              <w:left w:val="single" w:sz="8" w:space="0" w:color="auto"/>
              <w:right w:val="single" w:sz="8" w:space="0" w:color="auto"/>
            </w:tcBorders>
            <w:shd w:val="clear" w:color="auto" w:fill="auto"/>
            <w:vAlign w:val="center"/>
            <w:hideMark/>
          </w:tcPr>
          <w:p w:rsidR="00C37226" w:rsidRPr="00E4517B" w:rsidRDefault="00C37226" w:rsidP="00B51730">
            <w:pPr>
              <w:spacing w:after="0" w:line="240" w:lineRule="auto"/>
              <w:jc w:val="center"/>
              <w:rPr>
                <w:rFonts w:asciiTheme="majorHAnsi" w:eastAsia="Times New Roman" w:hAnsiTheme="majorHAnsi" w:cstheme="majorHAnsi"/>
                <w:b/>
                <w:bCs/>
                <w:color w:val="000000"/>
                <w:sz w:val="20"/>
                <w:szCs w:val="20"/>
                <w:lang w:val="ro-RO"/>
              </w:rPr>
            </w:pPr>
            <w:r w:rsidRPr="00E4517B">
              <w:rPr>
                <w:rFonts w:asciiTheme="majorHAnsi" w:eastAsia="Times New Roman" w:hAnsiTheme="majorHAnsi" w:cstheme="majorHAnsi"/>
                <w:b/>
                <w:bCs/>
                <w:color w:val="000000"/>
                <w:sz w:val="20"/>
                <w:szCs w:val="20"/>
                <w:lang w:val="ro-RO"/>
              </w:rPr>
              <w:t>Recomandarea</w:t>
            </w:r>
          </w:p>
        </w:tc>
        <w:tc>
          <w:tcPr>
            <w:tcW w:w="6378" w:type="dxa"/>
            <w:vMerge w:val="restart"/>
            <w:tcBorders>
              <w:top w:val="single" w:sz="8" w:space="0" w:color="auto"/>
              <w:left w:val="nil"/>
              <w:right w:val="single" w:sz="8" w:space="0" w:color="auto"/>
            </w:tcBorders>
            <w:shd w:val="clear" w:color="auto" w:fill="auto"/>
            <w:vAlign w:val="center"/>
            <w:hideMark/>
          </w:tcPr>
          <w:p w:rsidR="00C37226" w:rsidRPr="00E4517B" w:rsidRDefault="00C37226" w:rsidP="00B51730">
            <w:pPr>
              <w:spacing w:after="0" w:line="240" w:lineRule="auto"/>
              <w:jc w:val="center"/>
              <w:rPr>
                <w:rFonts w:asciiTheme="majorHAnsi" w:eastAsia="Times New Roman" w:hAnsiTheme="majorHAnsi" w:cstheme="majorHAnsi"/>
                <w:b/>
                <w:bCs/>
                <w:color w:val="000000"/>
                <w:sz w:val="20"/>
                <w:szCs w:val="20"/>
                <w:lang w:val="ro-RO"/>
              </w:rPr>
            </w:pPr>
            <w:r w:rsidRPr="00E4517B">
              <w:rPr>
                <w:rFonts w:asciiTheme="majorHAnsi" w:hAnsiTheme="majorHAnsi" w:cstheme="majorHAnsi"/>
                <w:b/>
                <w:sz w:val="20"/>
                <w:szCs w:val="20"/>
                <w:lang w:val="ro-RO"/>
              </w:rPr>
              <w:t>Măsurile întreprinse</w:t>
            </w:r>
          </w:p>
        </w:tc>
        <w:tc>
          <w:tcPr>
            <w:tcW w:w="2977" w:type="dxa"/>
            <w:gridSpan w:val="3"/>
            <w:tcBorders>
              <w:top w:val="single" w:sz="8" w:space="0" w:color="auto"/>
              <w:left w:val="nil"/>
              <w:bottom w:val="single" w:sz="4" w:space="0" w:color="auto"/>
              <w:right w:val="single" w:sz="8" w:space="0" w:color="auto"/>
            </w:tcBorders>
          </w:tcPr>
          <w:p w:rsidR="00C37226" w:rsidRPr="00E4517B" w:rsidRDefault="00C37226" w:rsidP="00B51730">
            <w:pPr>
              <w:spacing w:after="0" w:line="240" w:lineRule="auto"/>
              <w:jc w:val="center"/>
              <w:rPr>
                <w:rFonts w:asciiTheme="majorHAnsi" w:eastAsia="Times New Roman" w:hAnsiTheme="majorHAnsi" w:cstheme="majorHAnsi"/>
                <w:b/>
                <w:bCs/>
                <w:color w:val="000000"/>
                <w:sz w:val="20"/>
                <w:szCs w:val="20"/>
                <w:lang w:val="ro-RO"/>
              </w:rPr>
            </w:pPr>
            <w:r w:rsidRPr="00E4517B">
              <w:rPr>
                <w:rFonts w:asciiTheme="majorHAnsi" w:hAnsiTheme="majorHAnsi" w:cstheme="majorHAnsi"/>
                <w:b/>
                <w:sz w:val="20"/>
                <w:szCs w:val="20"/>
                <w:lang w:val="ro-RO"/>
              </w:rPr>
              <w:t>Statutul implementării recomandării</w:t>
            </w:r>
          </w:p>
        </w:tc>
      </w:tr>
      <w:tr w:rsidR="00C37226" w:rsidRPr="00E4517B" w:rsidTr="00C37226">
        <w:trPr>
          <w:trHeight w:val="57"/>
        </w:trPr>
        <w:tc>
          <w:tcPr>
            <w:tcW w:w="5671" w:type="dxa"/>
            <w:vMerge/>
            <w:tcBorders>
              <w:left w:val="single" w:sz="8" w:space="0" w:color="auto"/>
              <w:bottom w:val="single" w:sz="8" w:space="0" w:color="auto"/>
              <w:right w:val="single" w:sz="8" w:space="0" w:color="auto"/>
            </w:tcBorders>
            <w:shd w:val="clear" w:color="auto" w:fill="auto"/>
          </w:tcPr>
          <w:p w:rsidR="00C37226" w:rsidRPr="00E4517B" w:rsidRDefault="00C37226" w:rsidP="00B51730">
            <w:pPr>
              <w:spacing w:after="0" w:line="240" w:lineRule="auto"/>
              <w:rPr>
                <w:rFonts w:asciiTheme="majorHAnsi" w:hAnsiTheme="majorHAnsi" w:cstheme="majorHAnsi"/>
                <w:sz w:val="20"/>
                <w:szCs w:val="20"/>
                <w:lang w:val="ro-RO"/>
              </w:rPr>
            </w:pPr>
          </w:p>
        </w:tc>
        <w:tc>
          <w:tcPr>
            <w:tcW w:w="6378" w:type="dxa"/>
            <w:vMerge/>
            <w:tcBorders>
              <w:left w:val="nil"/>
              <w:bottom w:val="single" w:sz="8" w:space="0" w:color="auto"/>
              <w:right w:val="single" w:sz="8" w:space="0" w:color="auto"/>
            </w:tcBorders>
            <w:shd w:val="clear" w:color="auto" w:fill="auto"/>
          </w:tcPr>
          <w:p w:rsidR="00C37226" w:rsidRPr="00E4517B" w:rsidRDefault="00C37226" w:rsidP="00B51730">
            <w:pPr>
              <w:spacing w:after="0" w:line="240" w:lineRule="auto"/>
              <w:rPr>
                <w:rFonts w:asciiTheme="majorHAnsi" w:hAnsiTheme="majorHAnsi" w:cstheme="majorHAnsi"/>
                <w:sz w:val="20"/>
                <w:szCs w:val="20"/>
                <w:lang w:val="ro-RO"/>
              </w:rPr>
            </w:pPr>
          </w:p>
        </w:tc>
        <w:tc>
          <w:tcPr>
            <w:tcW w:w="993" w:type="dxa"/>
            <w:tcBorders>
              <w:top w:val="single" w:sz="4" w:space="0" w:color="auto"/>
              <w:left w:val="single" w:sz="8" w:space="0" w:color="auto"/>
              <w:bottom w:val="single" w:sz="4" w:space="0" w:color="auto"/>
              <w:right w:val="single" w:sz="4" w:space="0" w:color="auto"/>
            </w:tcBorders>
            <w:shd w:val="clear" w:color="auto" w:fill="auto"/>
            <w:vAlign w:val="center"/>
          </w:tcPr>
          <w:p w:rsidR="00C37226" w:rsidRPr="00E4517B" w:rsidRDefault="00C37226" w:rsidP="00B51730">
            <w:pPr>
              <w:tabs>
                <w:tab w:val="left" w:pos="720"/>
              </w:tabs>
              <w:spacing w:after="0" w:line="240" w:lineRule="auto"/>
              <w:jc w:val="center"/>
              <w:rPr>
                <w:rFonts w:asciiTheme="majorHAnsi" w:hAnsiTheme="majorHAnsi" w:cstheme="majorHAnsi"/>
                <w:b/>
                <w:sz w:val="20"/>
                <w:szCs w:val="20"/>
                <w:lang w:val="ro-RO"/>
              </w:rPr>
            </w:pPr>
            <w:r w:rsidRPr="00E4517B">
              <w:rPr>
                <w:rFonts w:asciiTheme="majorHAnsi" w:hAnsiTheme="majorHAnsi" w:cstheme="majorHAnsi"/>
                <w:b/>
                <w:sz w:val="20"/>
                <w:szCs w:val="20"/>
                <w:lang w:val="ro-RO"/>
              </w:rPr>
              <w:t>realizat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7226" w:rsidRPr="00E4517B" w:rsidRDefault="00C37226" w:rsidP="00B51730">
            <w:pPr>
              <w:tabs>
                <w:tab w:val="left" w:pos="720"/>
              </w:tabs>
              <w:spacing w:after="0" w:line="240" w:lineRule="auto"/>
              <w:jc w:val="center"/>
              <w:rPr>
                <w:rFonts w:asciiTheme="majorHAnsi" w:hAnsiTheme="majorHAnsi" w:cstheme="majorHAnsi"/>
                <w:b/>
                <w:sz w:val="20"/>
                <w:szCs w:val="20"/>
                <w:lang w:val="ro-RO"/>
              </w:rPr>
            </w:pPr>
            <w:r w:rsidRPr="00E4517B">
              <w:rPr>
                <w:rFonts w:asciiTheme="majorHAnsi" w:hAnsiTheme="majorHAnsi" w:cstheme="majorHAnsi"/>
                <w:b/>
                <w:sz w:val="20"/>
                <w:szCs w:val="20"/>
                <w:lang w:val="ro-RO"/>
              </w:rPr>
              <w:t>parțial realizat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7226" w:rsidRPr="00E4517B" w:rsidRDefault="00C37226" w:rsidP="00B51730">
            <w:pPr>
              <w:tabs>
                <w:tab w:val="left" w:pos="720"/>
              </w:tabs>
              <w:spacing w:after="0" w:line="240" w:lineRule="auto"/>
              <w:ind w:left="-145" w:right="-105" w:firstLine="39"/>
              <w:jc w:val="center"/>
              <w:rPr>
                <w:rFonts w:asciiTheme="majorHAnsi" w:hAnsiTheme="majorHAnsi" w:cstheme="majorHAnsi"/>
                <w:b/>
                <w:sz w:val="20"/>
                <w:szCs w:val="20"/>
                <w:lang w:val="ro-RO"/>
              </w:rPr>
            </w:pPr>
            <w:r w:rsidRPr="00E4517B">
              <w:rPr>
                <w:rFonts w:asciiTheme="majorHAnsi" w:hAnsiTheme="majorHAnsi" w:cstheme="majorHAnsi"/>
                <w:b/>
                <w:sz w:val="20"/>
                <w:szCs w:val="20"/>
                <w:lang w:val="ro-RO"/>
              </w:rPr>
              <w:t>nerealizat</w:t>
            </w:r>
          </w:p>
        </w:tc>
      </w:tr>
      <w:tr w:rsidR="00C37226" w:rsidRPr="00E4517B" w:rsidTr="00C37226">
        <w:trPr>
          <w:trHeight w:val="57"/>
        </w:trPr>
        <w:tc>
          <w:tcPr>
            <w:tcW w:w="5671" w:type="dxa"/>
            <w:tcBorders>
              <w:top w:val="single" w:sz="8" w:space="0" w:color="auto"/>
              <w:left w:val="single" w:sz="8" w:space="0" w:color="auto"/>
              <w:bottom w:val="single" w:sz="8" w:space="0" w:color="auto"/>
              <w:right w:val="single" w:sz="8" w:space="0" w:color="auto"/>
            </w:tcBorders>
            <w:shd w:val="clear" w:color="auto" w:fill="auto"/>
          </w:tcPr>
          <w:p w:rsidR="00C37226" w:rsidRPr="009131CF" w:rsidRDefault="00C37226" w:rsidP="00B51730">
            <w:pPr>
              <w:spacing w:after="0" w:line="240" w:lineRule="auto"/>
              <w:rPr>
                <w:rFonts w:asciiTheme="majorHAnsi" w:eastAsia="Times New Roman" w:hAnsiTheme="majorHAnsi" w:cstheme="majorHAnsi"/>
                <w:b/>
                <w:bCs/>
                <w:color w:val="000000"/>
                <w:sz w:val="20"/>
                <w:szCs w:val="20"/>
                <w:lang w:val="ro-RO"/>
              </w:rPr>
            </w:pPr>
            <w:r w:rsidRPr="00E4517B">
              <w:rPr>
                <w:rFonts w:asciiTheme="majorHAnsi" w:hAnsiTheme="majorHAnsi" w:cstheme="majorHAnsi"/>
                <w:b/>
                <w:i/>
                <w:sz w:val="20"/>
                <w:szCs w:val="20"/>
                <w:lang w:val="ro-RO"/>
              </w:rPr>
              <w:t xml:space="preserve">Cerința nr.2.1.1. </w:t>
            </w:r>
            <w:r w:rsidRPr="00973E5B">
              <w:rPr>
                <w:rFonts w:asciiTheme="majorHAnsi" w:hAnsiTheme="majorHAnsi" w:cstheme="majorHAnsi"/>
                <w:sz w:val="20"/>
                <w:szCs w:val="20"/>
                <w:lang w:val="ro-RO"/>
              </w:rPr>
              <w:t>Examinarea rezultatelor auditului financiar al Raportului Guve</w:t>
            </w:r>
            <w:r w:rsidRPr="00207634">
              <w:rPr>
                <w:rFonts w:asciiTheme="majorHAnsi" w:hAnsiTheme="majorHAnsi" w:cstheme="majorHAnsi"/>
                <w:sz w:val="20"/>
                <w:szCs w:val="20"/>
                <w:lang w:val="ro-RO"/>
              </w:rPr>
              <w:t>rnului privind executarea bugetului de stat pe anul 2017 în cadrul Colegiului ministerial, cu aprobarea unui plan de măsuri de remediere a situațiilor constatate și a recomandărilor cuprinse în Raportul de audit</w:t>
            </w:r>
          </w:p>
        </w:tc>
        <w:tc>
          <w:tcPr>
            <w:tcW w:w="6378" w:type="dxa"/>
            <w:tcBorders>
              <w:top w:val="single" w:sz="8" w:space="0" w:color="auto"/>
              <w:left w:val="nil"/>
              <w:bottom w:val="single" w:sz="8" w:space="0" w:color="auto"/>
              <w:right w:val="single" w:sz="8" w:space="0" w:color="auto"/>
            </w:tcBorders>
            <w:shd w:val="clear" w:color="auto" w:fill="auto"/>
          </w:tcPr>
          <w:p w:rsidR="00C37226" w:rsidRPr="00F55BA6" w:rsidRDefault="00C37226" w:rsidP="00B51730">
            <w:pPr>
              <w:spacing w:after="0"/>
              <w:rPr>
                <w:rFonts w:asciiTheme="majorHAnsi" w:hAnsiTheme="majorHAnsi" w:cs="Times New Roman"/>
                <w:sz w:val="20"/>
                <w:szCs w:val="24"/>
                <w:lang w:val="ro-RO"/>
              </w:rPr>
            </w:pPr>
            <w:r w:rsidRPr="009131CF">
              <w:rPr>
                <w:rFonts w:asciiTheme="majorHAnsi" w:hAnsiTheme="majorHAnsi" w:cstheme="majorHAnsi"/>
                <w:sz w:val="20"/>
                <w:szCs w:val="20"/>
                <w:lang w:val="ro-RO"/>
              </w:rPr>
              <w:t>Elaborarea și aprobarea</w:t>
            </w:r>
            <w:r w:rsidRPr="00F55BA6">
              <w:rPr>
                <w:rFonts w:asciiTheme="majorHAnsi" w:hAnsiTheme="majorHAnsi" w:cs="Times New Roman"/>
                <w:sz w:val="20"/>
                <w:szCs w:val="24"/>
                <w:lang w:val="ro-RO"/>
              </w:rPr>
              <w:t xml:space="preserve"> Planului de măsuri privind implementarea recomandărilor Curții de Conturi din Hotărârea nr.24 din 28 mai 2018 </w:t>
            </w:r>
            <w:r w:rsidRPr="00E4517B">
              <w:rPr>
                <w:rFonts w:asciiTheme="majorHAnsi" w:hAnsiTheme="majorHAnsi" w:cstheme="majorHAnsi"/>
                <w:sz w:val="20"/>
                <w:szCs w:val="20"/>
                <w:lang w:val="ro-RO"/>
              </w:rPr>
              <w:t>„</w:t>
            </w:r>
            <w:r w:rsidRPr="00F55BA6">
              <w:rPr>
                <w:rFonts w:asciiTheme="majorHAnsi" w:hAnsiTheme="majorHAnsi" w:cs="Times New Roman"/>
                <w:sz w:val="20"/>
                <w:szCs w:val="24"/>
                <w:lang w:val="ro-RO"/>
              </w:rPr>
              <w:t>Cu privire la Raportul auditului financiar al Raportului Guvernului privind executarea bugetului de stat pe anul 2017</w:t>
            </w:r>
            <w:r w:rsidRPr="00E4517B">
              <w:rPr>
                <w:rFonts w:asciiTheme="majorHAnsi" w:hAnsiTheme="majorHAnsi" w:cstheme="majorHAnsi"/>
                <w:sz w:val="20"/>
                <w:szCs w:val="20"/>
                <w:lang w:val="ro-RO"/>
              </w:rPr>
              <w:t xml:space="preserve">”, aprobat prin </w:t>
            </w:r>
            <w:r w:rsidRPr="00F55BA6">
              <w:rPr>
                <w:rFonts w:asciiTheme="majorHAnsi" w:hAnsiTheme="majorHAnsi" w:cs="Times New Roman"/>
                <w:sz w:val="20"/>
                <w:szCs w:val="24"/>
                <w:lang w:val="ro-RO"/>
              </w:rPr>
              <w:t xml:space="preserve">Ordinul ministrului </w:t>
            </w:r>
            <w:r w:rsidR="00835524">
              <w:rPr>
                <w:rFonts w:asciiTheme="majorHAnsi" w:hAnsiTheme="majorHAnsi" w:cs="Times New Roman"/>
                <w:sz w:val="20"/>
                <w:szCs w:val="24"/>
                <w:lang w:val="ro-RO"/>
              </w:rPr>
              <w:t>F</w:t>
            </w:r>
            <w:r w:rsidRPr="00F55BA6">
              <w:rPr>
                <w:rFonts w:asciiTheme="majorHAnsi" w:hAnsiTheme="majorHAnsi" w:cs="Times New Roman"/>
                <w:sz w:val="20"/>
                <w:szCs w:val="24"/>
                <w:lang w:val="ro-RO"/>
              </w:rPr>
              <w:t>inanțelor nr.188 din 8 noiembrie 2018</w:t>
            </w:r>
          </w:p>
        </w:tc>
        <w:tc>
          <w:tcPr>
            <w:tcW w:w="993" w:type="dxa"/>
            <w:tcBorders>
              <w:top w:val="single" w:sz="4" w:space="0" w:color="auto"/>
              <w:left w:val="nil"/>
              <w:bottom w:val="single" w:sz="8" w:space="0" w:color="auto"/>
              <w:right w:val="single" w:sz="8" w:space="0" w:color="auto"/>
            </w:tcBorders>
          </w:tcPr>
          <w:p w:rsidR="00C37226" w:rsidRPr="00E4517B" w:rsidRDefault="00C37226" w:rsidP="00B51730">
            <w:pPr>
              <w:spacing w:after="0" w:line="240" w:lineRule="auto"/>
              <w:jc w:val="center"/>
              <w:rPr>
                <w:rFonts w:asciiTheme="majorHAnsi" w:hAnsiTheme="majorHAnsi" w:cstheme="majorHAnsi"/>
                <w:sz w:val="20"/>
                <w:szCs w:val="20"/>
                <w:lang w:val="ro-RO"/>
              </w:rPr>
            </w:pPr>
            <w:r w:rsidRPr="00E4517B">
              <w:rPr>
                <w:rFonts w:asciiTheme="majorHAnsi" w:hAnsiTheme="majorHAnsi" w:cstheme="majorHAnsi"/>
                <w:sz w:val="20"/>
                <w:szCs w:val="20"/>
                <w:lang w:val="ro-RO"/>
              </w:rPr>
              <w:t>v</w:t>
            </w:r>
          </w:p>
        </w:tc>
        <w:tc>
          <w:tcPr>
            <w:tcW w:w="992" w:type="dxa"/>
            <w:tcBorders>
              <w:top w:val="single" w:sz="4" w:space="0" w:color="auto"/>
              <w:left w:val="nil"/>
              <w:bottom w:val="single" w:sz="8" w:space="0" w:color="auto"/>
              <w:right w:val="single" w:sz="8" w:space="0" w:color="auto"/>
            </w:tcBorders>
          </w:tcPr>
          <w:p w:rsidR="00C37226" w:rsidRPr="00973E5B" w:rsidRDefault="00C37226" w:rsidP="00B51730">
            <w:pPr>
              <w:spacing w:after="0" w:line="240" w:lineRule="auto"/>
              <w:rPr>
                <w:rFonts w:asciiTheme="majorHAnsi" w:hAnsiTheme="majorHAnsi" w:cstheme="majorHAnsi"/>
                <w:sz w:val="20"/>
                <w:szCs w:val="20"/>
                <w:lang w:val="ro-RO"/>
              </w:rPr>
            </w:pPr>
          </w:p>
        </w:tc>
        <w:tc>
          <w:tcPr>
            <w:tcW w:w="992" w:type="dxa"/>
            <w:tcBorders>
              <w:top w:val="single" w:sz="4" w:space="0" w:color="auto"/>
              <w:left w:val="nil"/>
              <w:bottom w:val="single" w:sz="8" w:space="0" w:color="auto"/>
              <w:right w:val="single" w:sz="8" w:space="0" w:color="auto"/>
            </w:tcBorders>
          </w:tcPr>
          <w:p w:rsidR="00C37226" w:rsidRPr="009131CF" w:rsidRDefault="00C37226" w:rsidP="00B51730">
            <w:pPr>
              <w:spacing w:after="0" w:line="240" w:lineRule="auto"/>
              <w:rPr>
                <w:rFonts w:asciiTheme="majorHAnsi" w:hAnsiTheme="majorHAnsi" w:cstheme="majorHAnsi"/>
                <w:sz w:val="20"/>
                <w:szCs w:val="20"/>
                <w:lang w:val="ro-RO"/>
              </w:rPr>
            </w:pPr>
          </w:p>
        </w:tc>
      </w:tr>
      <w:tr w:rsidR="00C37226" w:rsidRPr="00E4517B" w:rsidTr="00C37226">
        <w:trPr>
          <w:trHeight w:val="57"/>
        </w:trPr>
        <w:tc>
          <w:tcPr>
            <w:tcW w:w="5671" w:type="dxa"/>
            <w:tcBorders>
              <w:top w:val="single" w:sz="8" w:space="0" w:color="auto"/>
              <w:left w:val="single" w:sz="8" w:space="0" w:color="auto"/>
              <w:bottom w:val="single" w:sz="8" w:space="0" w:color="auto"/>
              <w:right w:val="single" w:sz="8" w:space="0" w:color="auto"/>
            </w:tcBorders>
            <w:shd w:val="clear" w:color="auto" w:fill="auto"/>
          </w:tcPr>
          <w:p w:rsidR="00C37226" w:rsidRPr="00207634" w:rsidRDefault="00C37226" w:rsidP="00B51730">
            <w:pPr>
              <w:spacing w:after="0" w:line="240" w:lineRule="auto"/>
              <w:rPr>
                <w:rFonts w:asciiTheme="majorHAnsi" w:eastAsia="Times New Roman" w:hAnsiTheme="majorHAnsi" w:cstheme="majorHAnsi"/>
                <w:b/>
                <w:bCs/>
                <w:color w:val="000000"/>
                <w:sz w:val="20"/>
                <w:szCs w:val="20"/>
                <w:lang w:val="ro-RO"/>
              </w:rPr>
            </w:pPr>
            <w:r w:rsidRPr="00E4517B">
              <w:rPr>
                <w:rFonts w:asciiTheme="majorHAnsi" w:hAnsiTheme="majorHAnsi" w:cstheme="majorHAnsi"/>
                <w:b/>
                <w:i/>
                <w:sz w:val="20"/>
                <w:szCs w:val="20"/>
                <w:lang w:val="ro-RO"/>
              </w:rPr>
              <w:t xml:space="preserve">Cerința nr.2.1.2. </w:t>
            </w:r>
            <w:r w:rsidRPr="00973E5B">
              <w:rPr>
                <w:rFonts w:asciiTheme="majorHAnsi" w:hAnsiTheme="majorHAnsi" w:cstheme="majorHAnsi"/>
                <w:sz w:val="20"/>
                <w:szCs w:val="20"/>
                <w:lang w:val="ro-RO"/>
              </w:rPr>
              <w:t>Asigurarea funcționalității grupului de lucru pentru investiții capitale, în vederea respectării procesului de includere și monitorizare a obiectelor de investiții capitale</w:t>
            </w:r>
          </w:p>
        </w:tc>
        <w:tc>
          <w:tcPr>
            <w:tcW w:w="6378" w:type="dxa"/>
            <w:tcBorders>
              <w:top w:val="single" w:sz="8" w:space="0" w:color="auto"/>
              <w:left w:val="nil"/>
              <w:bottom w:val="single" w:sz="8" w:space="0" w:color="auto"/>
              <w:right w:val="single" w:sz="8" w:space="0" w:color="auto"/>
            </w:tcBorders>
            <w:shd w:val="clear" w:color="auto" w:fill="auto"/>
          </w:tcPr>
          <w:p w:rsidR="00C37226" w:rsidRPr="00E4517B" w:rsidRDefault="00C37226" w:rsidP="00835524">
            <w:pPr>
              <w:spacing w:after="0" w:line="240" w:lineRule="auto"/>
              <w:rPr>
                <w:rFonts w:asciiTheme="majorHAnsi" w:eastAsia="Calibri" w:hAnsiTheme="majorHAnsi" w:cs="Times New Roman"/>
                <w:sz w:val="20"/>
                <w:szCs w:val="24"/>
                <w:lang w:val="ro-RO" w:eastAsia="ru-RU"/>
              </w:rPr>
            </w:pPr>
            <w:r w:rsidRPr="009131CF">
              <w:rPr>
                <w:rFonts w:asciiTheme="majorHAnsi" w:eastAsia="Calibri" w:hAnsiTheme="majorHAnsi" w:cs="Times New Roman"/>
                <w:sz w:val="20"/>
                <w:szCs w:val="24"/>
                <w:lang w:val="ro-RO" w:eastAsia="ru-RU"/>
              </w:rPr>
              <w:t>În prezent în structurile organizatorice ale autorităților publice centrale nu există subdiviziuni care gestionează proiectele de investiții capitale și respectiv lipsesc capacități de implementare a prevederilor Hotărârii Guvernului nr.1029/2013 „Cu privire la investițiile capitale pub</w:t>
            </w:r>
            <w:r w:rsidRPr="00E4517B">
              <w:rPr>
                <w:rFonts w:asciiTheme="majorHAnsi" w:eastAsia="Calibri" w:hAnsiTheme="majorHAnsi" w:cs="Times New Roman"/>
                <w:sz w:val="20"/>
                <w:szCs w:val="24"/>
                <w:lang w:val="ro-RO" w:eastAsia="ru-RU"/>
              </w:rPr>
              <w:t xml:space="preserve">lice”. Concomitent, prevederile Hotărârii Guvernului nr.1029/2013 nu se aplică asupra tuturor surselor de finanțare a cheltuielilor de investiții capitale </w:t>
            </w:r>
            <w:r w:rsidRPr="00E4517B">
              <w:rPr>
                <w:rFonts w:asciiTheme="majorHAnsi" w:eastAsia="Calibri" w:hAnsiTheme="majorHAnsi" w:cs="Times New Roman"/>
                <w:sz w:val="20"/>
                <w:szCs w:val="24"/>
                <w:lang w:val="ro-RO" w:eastAsia="ru-RU"/>
              </w:rPr>
              <w:lastRenderedPageBreak/>
              <w:t xml:space="preserve">publice și în special executate prin intermediul fondurilor de dezvoltare și subvențiilor. Astfel, </w:t>
            </w:r>
            <w:r w:rsidRPr="00E4517B">
              <w:rPr>
                <w:rFonts w:asciiTheme="majorHAnsi" w:eastAsia="Calibri" w:hAnsiTheme="majorHAnsi" w:cs="Times New Roman"/>
                <w:i/>
                <w:sz w:val="20"/>
                <w:szCs w:val="24"/>
                <w:lang w:val="ro-RO" w:eastAsia="ru-RU"/>
              </w:rPr>
              <w:t>grupul de lucru pentru investiții capitale nu este funcțional</w:t>
            </w:r>
          </w:p>
        </w:tc>
        <w:tc>
          <w:tcPr>
            <w:tcW w:w="993" w:type="dxa"/>
            <w:tcBorders>
              <w:top w:val="single" w:sz="8" w:space="0" w:color="auto"/>
              <w:left w:val="nil"/>
              <w:bottom w:val="single" w:sz="8" w:space="0" w:color="auto"/>
              <w:right w:val="single" w:sz="8" w:space="0" w:color="auto"/>
            </w:tcBorders>
          </w:tcPr>
          <w:p w:rsidR="00C37226" w:rsidRPr="00E4517B" w:rsidRDefault="00C37226" w:rsidP="00B51730">
            <w:pPr>
              <w:spacing w:after="0" w:line="240" w:lineRule="auto"/>
              <w:jc w:val="center"/>
              <w:rPr>
                <w:rFonts w:asciiTheme="majorHAnsi" w:eastAsia="Times New Roman" w:hAnsiTheme="majorHAnsi" w:cstheme="majorHAnsi"/>
                <w:bCs/>
                <w:color w:val="000000"/>
                <w:sz w:val="20"/>
                <w:szCs w:val="20"/>
                <w:lang w:val="ro-RO"/>
              </w:rPr>
            </w:pPr>
          </w:p>
        </w:tc>
        <w:tc>
          <w:tcPr>
            <w:tcW w:w="992" w:type="dxa"/>
            <w:tcBorders>
              <w:top w:val="single" w:sz="8" w:space="0" w:color="auto"/>
              <w:left w:val="nil"/>
              <w:bottom w:val="single" w:sz="8" w:space="0" w:color="auto"/>
              <w:right w:val="single" w:sz="8" w:space="0" w:color="auto"/>
            </w:tcBorders>
          </w:tcPr>
          <w:p w:rsidR="00C37226" w:rsidRPr="00E4517B" w:rsidRDefault="00C37226" w:rsidP="00B51730">
            <w:pPr>
              <w:spacing w:after="0" w:line="240" w:lineRule="auto"/>
              <w:jc w:val="center"/>
              <w:rPr>
                <w:rFonts w:asciiTheme="majorHAnsi" w:eastAsia="Times New Roman" w:hAnsiTheme="majorHAnsi" w:cstheme="majorHAnsi"/>
                <w:bCs/>
                <w:color w:val="000000"/>
                <w:sz w:val="20"/>
                <w:szCs w:val="20"/>
                <w:lang w:val="ro-RO"/>
              </w:rPr>
            </w:pPr>
          </w:p>
        </w:tc>
        <w:tc>
          <w:tcPr>
            <w:tcW w:w="992" w:type="dxa"/>
            <w:tcBorders>
              <w:top w:val="single" w:sz="8" w:space="0" w:color="auto"/>
              <w:left w:val="nil"/>
              <w:bottom w:val="single" w:sz="8" w:space="0" w:color="auto"/>
              <w:right w:val="single" w:sz="8" w:space="0" w:color="auto"/>
            </w:tcBorders>
          </w:tcPr>
          <w:p w:rsidR="00C37226" w:rsidRPr="00E4517B" w:rsidRDefault="00C37226" w:rsidP="00B51730">
            <w:pPr>
              <w:spacing w:after="0" w:line="240" w:lineRule="auto"/>
              <w:jc w:val="center"/>
              <w:rPr>
                <w:rFonts w:asciiTheme="majorHAnsi" w:eastAsia="Times New Roman" w:hAnsiTheme="majorHAnsi" w:cstheme="majorHAnsi"/>
                <w:bCs/>
                <w:color w:val="000000"/>
                <w:sz w:val="20"/>
                <w:szCs w:val="20"/>
                <w:lang w:val="ro-RO"/>
              </w:rPr>
            </w:pPr>
            <w:r w:rsidRPr="00E4517B">
              <w:rPr>
                <w:rFonts w:asciiTheme="majorHAnsi" w:eastAsia="Times New Roman" w:hAnsiTheme="majorHAnsi" w:cstheme="majorHAnsi"/>
                <w:bCs/>
                <w:color w:val="000000"/>
                <w:sz w:val="20"/>
                <w:szCs w:val="20"/>
                <w:lang w:val="ro-RO"/>
              </w:rPr>
              <w:t>v</w:t>
            </w:r>
          </w:p>
        </w:tc>
      </w:tr>
      <w:tr w:rsidR="00C37226" w:rsidRPr="00E4517B" w:rsidTr="00C37226">
        <w:trPr>
          <w:trHeight w:val="57"/>
        </w:trPr>
        <w:tc>
          <w:tcPr>
            <w:tcW w:w="5671" w:type="dxa"/>
            <w:tcBorders>
              <w:top w:val="single" w:sz="8" w:space="0" w:color="auto"/>
              <w:left w:val="single" w:sz="8" w:space="0" w:color="auto"/>
              <w:bottom w:val="single" w:sz="8" w:space="0" w:color="auto"/>
              <w:right w:val="single" w:sz="8" w:space="0" w:color="auto"/>
            </w:tcBorders>
            <w:shd w:val="clear" w:color="auto" w:fill="auto"/>
          </w:tcPr>
          <w:p w:rsidR="00C37226" w:rsidRPr="00207634" w:rsidRDefault="00C37226" w:rsidP="00B51730">
            <w:pPr>
              <w:spacing w:after="0" w:line="240" w:lineRule="auto"/>
              <w:rPr>
                <w:rFonts w:asciiTheme="majorHAnsi" w:eastAsia="Times New Roman" w:hAnsiTheme="majorHAnsi" w:cstheme="majorHAnsi"/>
                <w:b/>
                <w:bCs/>
                <w:color w:val="000000"/>
                <w:sz w:val="20"/>
                <w:szCs w:val="20"/>
                <w:lang w:val="ro-RO"/>
              </w:rPr>
            </w:pPr>
            <w:r w:rsidRPr="00E4517B">
              <w:rPr>
                <w:rFonts w:asciiTheme="majorHAnsi" w:hAnsiTheme="majorHAnsi" w:cstheme="majorHAnsi"/>
                <w:b/>
                <w:i/>
                <w:sz w:val="20"/>
                <w:szCs w:val="20"/>
                <w:lang w:val="ro-RO"/>
              </w:rPr>
              <w:t xml:space="preserve">Cerința nr.2.1.3. </w:t>
            </w:r>
            <w:r w:rsidRPr="00973E5B">
              <w:rPr>
                <w:rFonts w:asciiTheme="majorHAnsi" w:hAnsiTheme="majorHAnsi" w:cstheme="majorHAnsi"/>
                <w:sz w:val="20"/>
                <w:szCs w:val="20"/>
                <w:lang w:val="ro-RO"/>
              </w:rPr>
              <w:t>Luarea de atitudine față de autoritățile/instituțiile bugetare care nu respectă calendarul bugetar, prin prezentarea rapoartelor financiare în modul și termenele stabilite</w:t>
            </w:r>
          </w:p>
        </w:tc>
        <w:tc>
          <w:tcPr>
            <w:tcW w:w="6378" w:type="dxa"/>
            <w:tcBorders>
              <w:top w:val="single" w:sz="8" w:space="0" w:color="auto"/>
              <w:left w:val="nil"/>
              <w:bottom w:val="single" w:sz="8" w:space="0" w:color="auto"/>
              <w:right w:val="single" w:sz="8" w:space="0" w:color="auto"/>
            </w:tcBorders>
            <w:shd w:val="clear" w:color="auto" w:fill="auto"/>
          </w:tcPr>
          <w:p w:rsidR="00C37226" w:rsidRPr="00E4517B" w:rsidRDefault="00C37226" w:rsidP="00B51730">
            <w:pPr>
              <w:spacing w:after="0"/>
              <w:rPr>
                <w:rFonts w:asciiTheme="majorHAnsi" w:eastAsia="Calibri" w:hAnsiTheme="majorHAnsi" w:cs="Times New Roman"/>
                <w:sz w:val="20"/>
                <w:szCs w:val="24"/>
                <w:lang w:val="ro-RO" w:eastAsia="ru-RU"/>
              </w:rPr>
            </w:pPr>
            <w:r w:rsidRPr="00F55BA6">
              <w:rPr>
                <w:rFonts w:asciiTheme="majorHAnsi" w:hAnsiTheme="majorHAnsi" w:cs="Times New Roman"/>
                <w:sz w:val="20"/>
                <w:szCs w:val="24"/>
                <w:lang w:val="ro-RO"/>
              </w:rPr>
              <w:t xml:space="preserve">Mecanismul de aplicare a măsurilor restrictive cu caracter temporar în procesul de finanțare de la bugetul de stat a autorităților/instituțiilor bugetare și alți beneficiari de mijloace bugetare a fost elaborat și aprobat prin Ordinul ministrului </w:t>
            </w:r>
            <w:r w:rsidR="00835524">
              <w:rPr>
                <w:rFonts w:asciiTheme="majorHAnsi" w:hAnsiTheme="majorHAnsi" w:cs="Times New Roman"/>
                <w:sz w:val="20"/>
                <w:szCs w:val="24"/>
                <w:lang w:val="ro-RO"/>
              </w:rPr>
              <w:t>F</w:t>
            </w:r>
            <w:r w:rsidRPr="00F55BA6">
              <w:rPr>
                <w:rFonts w:asciiTheme="majorHAnsi" w:hAnsiTheme="majorHAnsi" w:cs="Times New Roman"/>
                <w:sz w:val="20"/>
                <w:szCs w:val="24"/>
                <w:lang w:val="ro-RO"/>
              </w:rPr>
              <w:t>inanțelor nr.215 din 28 decembrie 2018.</w:t>
            </w:r>
            <w:r w:rsidRPr="00E4517B">
              <w:rPr>
                <w:rFonts w:asciiTheme="majorHAnsi" w:eastAsia="Calibri" w:hAnsiTheme="majorHAnsi" w:cs="Times New Roman"/>
                <w:sz w:val="20"/>
                <w:szCs w:val="24"/>
                <w:lang w:val="ro-RO" w:eastAsia="ru-RU"/>
              </w:rPr>
              <w:t xml:space="preserve"> </w:t>
            </w:r>
          </w:p>
          <w:p w:rsidR="00C37226" w:rsidRPr="00F55BA6" w:rsidRDefault="00C37226" w:rsidP="00835524">
            <w:pPr>
              <w:spacing w:after="0"/>
              <w:rPr>
                <w:rFonts w:asciiTheme="majorHAnsi" w:hAnsiTheme="majorHAnsi" w:cs="Times New Roman"/>
                <w:sz w:val="20"/>
                <w:szCs w:val="24"/>
                <w:lang w:val="ro-RO"/>
              </w:rPr>
            </w:pPr>
            <w:r w:rsidRPr="00973E5B">
              <w:rPr>
                <w:rFonts w:asciiTheme="majorHAnsi" w:eastAsia="Calibri" w:hAnsiTheme="majorHAnsi" w:cs="Times New Roman"/>
                <w:sz w:val="20"/>
                <w:szCs w:val="24"/>
                <w:lang w:val="ro-RO" w:eastAsia="ru-RU"/>
              </w:rPr>
              <w:t>Acest mecanism a fost aplicat către Primăria municipiului Cahul în suspendarea transferurilor cu destinație generală pentru luna decembrie a anului 2020, până la data de 29.12.2020 sau până la prezentarea de către Direcți</w:t>
            </w:r>
            <w:r w:rsidRPr="00207634">
              <w:rPr>
                <w:rFonts w:asciiTheme="majorHAnsi" w:eastAsia="Calibri" w:hAnsiTheme="majorHAnsi" w:cs="Times New Roman"/>
                <w:sz w:val="20"/>
                <w:szCs w:val="24"/>
                <w:lang w:val="ro-RO" w:eastAsia="ru-RU"/>
              </w:rPr>
              <w:t>a finanțe Cahul a raportului financiar pe 9 luni al</w:t>
            </w:r>
            <w:r w:rsidR="00835524">
              <w:rPr>
                <w:rFonts w:asciiTheme="majorHAnsi" w:eastAsia="Calibri" w:hAnsiTheme="majorHAnsi" w:cs="Times New Roman"/>
                <w:sz w:val="20"/>
                <w:szCs w:val="24"/>
                <w:lang w:val="ro-RO" w:eastAsia="ru-RU"/>
              </w:rPr>
              <w:t>e</w:t>
            </w:r>
            <w:r w:rsidRPr="00207634">
              <w:rPr>
                <w:rFonts w:asciiTheme="majorHAnsi" w:eastAsia="Calibri" w:hAnsiTheme="majorHAnsi" w:cs="Times New Roman"/>
                <w:sz w:val="20"/>
                <w:szCs w:val="24"/>
                <w:lang w:val="ro-RO" w:eastAsia="ru-RU"/>
              </w:rPr>
              <w:t xml:space="preserve"> anului 2020</w:t>
            </w:r>
          </w:p>
        </w:tc>
        <w:tc>
          <w:tcPr>
            <w:tcW w:w="993" w:type="dxa"/>
            <w:tcBorders>
              <w:top w:val="single" w:sz="8" w:space="0" w:color="auto"/>
              <w:left w:val="nil"/>
              <w:bottom w:val="single" w:sz="8" w:space="0" w:color="auto"/>
              <w:right w:val="single" w:sz="8" w:space="0" w:color="auto"/>
            </w:tcBorders>
          </w:tcPr>
          <w:p w:rsidR="00C37226" w:rsidRPr="00E4517B" w:rsidRDefault="00C37226" w:rsidP="00B51730">
            <w:pPr>
              <w:spacing w:after="0" w:line="240" w:lineRule="auto"/>
              <w:jc w:val="center"/>
              <w:rPr>
                <w:rFonts w:asciiTheme="majorHAnsi" w:eastAsia="Times New Roman" w:hAnsiTheme="majorHAnsi" w:cstheme="majorHAnsi"/>
                <w:bCs/>
                <w:color w:val="000000"/>
                <w:sz w:val="20"/>
                <w:szCs w:val="20"/>
                <w:lang w:val="ro-RO"/>
              </w:rPr>
            </w:pPr>
            <w:r w:rsidRPr="00E4517B">
              <w:rPr>
                <w:rFonts w:asciiTheme="majorHAnsi" w:eastAsia="Times New Roman" w:hAnsiTheme="majorHAnsi" w:cstheme="majorHAnsi"/>
                <w:bCs/>
                <w:color w:val="000000"/>
                <w:sz w:val="20"/>
                <w:szCs w:val="20"/>
                <w:lang w:val="ro-RO"/>
              </w:rPr>
              <w:t>v</w:t>
            </w:r>
          </w:p>
        </w:tc>
        <w:tc>
          <w:tcPr>
            <w:tcW w:w="992" w:type="dxa"/>
            <w:tcBorders>
              <w:top w:val="single" w:sz="8" w:space="0" w:color="auto"/>
              <w:left w:val="nil"/>
              <w:bottom w:val="single" w:sz="8" w:space="0" w:color="auto"/>
              <w:right w:val="single" w:sz="8" w:space="0" w:color="auto"/>
            </w:tcBorders>
          </w:tcPr>
          <w:p w:rsidR="00C37226" w:rsidRPr="00973E5B" w:rsidRDefault="00C37226" w:rsidP="00B51730">
            <w:pPr>
              <w:spacing w:after="0" w:line="240" w:lineRule="auto"/>
              <w:jc w:val="center"/>
              <w:rPr>
                <w:rFonts w:asciiTheme="majorHAnsi" w:eastAsia="Times New Roman" w:hAnsiTheme="majorHAnsi" w:cstheme="majorHAnsi"/>
                <w:bCs/>
                <w:color w:val="000000"/>
                <w:sz w:val="20"/>
                <w:szCs w:val="20"/>
                <w:lang w:val="ro-RO"/>
              </w:rPr>
            </w:pPr>
          </w:p>
        </w:tc>
        <w:tc>
          <w:tcPr>
            <w:tcW w:w="992" w:type="dxa"/>
            <w:tcBorders>
              <w:top w:val="single" w:sz="8" w:space="0" w:color="auto"/>
              <w:left w:val="nil"/>
              <w:bottom w:val="single" w:sz="8" w:space="0" w:color="auto"/>
              <w:right w:val="single" w:sz="8" w:space="0" w:color="auto"/>
            </w:tcBorders>
          </w:tcPr>
          <w:p w:rsidR="00C37226" w:rsidRPr="009131CF" w:rsidRDefault="00C37226" w:rsidP="00B51730">
            <w:pPr>
              <w:spacing w:after="0" w:line="240" w:lineRule="auto"/>
              <w:rPr>
                <w:rFonts w:asciiTheme="majorHAnsi" w:eastAsia="Times New Roman" w:hAnsiTheme="majorHAnsi" w:cstheme="majorHAnsi"/>
                <w:bCs/>
                <w:color w:val="000000"/>
                <w:sz w:val="20"/>
                <w:szCs w:val="20"/>
                <w:lang w:val="ro-RO"/>
              </w:rPr>
            </w:pPr>
          </w:p>
        </w:tc>
      </w:tr>
      <w:tr w:rsidR="00C37226" w:rsidRPr="00E4517B" w:rsidTr="00C37226">
        <w:trPr>
          <w:trHeight w:val="60"/>
        </w:trPr>
        <w:tc>
          <w:tcPr>
            <w:tcW w:w="5671" w:type="dxa"/>
            <w:tcBorders>
              <w:top w:val="single" w:sz="8" w:space="0" w:color="auto"/>
              <w:left w:val="single" w:sz="8" w:space="0" w:color="auto"/>
              <w:bottom w:val="single" w:sz="8" w:space="0" w:color="auto"/>
              <w:right w:val="single" w:sz="8" w:space="0" w:color="auto"/>
            </w:tcBorders>
            <w:shd w:val="clear" w:color="auto" w:fill="auto"/>
          </w:tcPr>
          <w:p w:rsidR="00C37226" w:rsidRPr="009131CF" w:rsidRDefault="00C37226" w:rsidP="00B51730">
            <w:pPr>
              <w:spacing w:after="0" w:line="240" w:lineRule="auto"/>
              <w:rPr>
                <w:rFonts w:asciiTheme="majorHAnsi" w:eastAsia="Times New Roman" w:hAnsiTheme="majorHAnsi" w:cstheme="majorHAnsi"/>
                <w:b/>
                <w:bCs/>
                <w:color w:val="000000"/>
                <w:sz w:val="20"/>
                <w:szCs w:val="20"/>
                <w:lang w:val="ro-RO"/>
              </w:rPr>
            </w:pPr>
            <w:r w:rsidRPr="00E4517B">
              <w:rPr>
                <w:rFonts w:asciiTheme="majorHAnsi" w:hAnsiTheme="majorHAnsi" w:cstheme="majorHAnsi"/>
                <w:b/>
                <w:i/>
                <w:sz w:val="20"/>
                <w:szCs w:val="20"/>
                <w:lang w:val="ro-RO"/>
              </w:rPr>
              <w:t xml:space="preserve">Recomandarea nr.1. </w:t>
            </w:r>
            <w:r w:rsidRPr="00973E5B">
              <w:rPr>
                <w:rFonts w:asciiTheme="majorHAnsi" w:hAnsiTheme="majorHAnsi" w:cstheme="majorHAnsi"/>
                <w:color w:val="000000"/>
                <w:spacing w:val="-2"/>
                <w:sz w:val="20"/>
                <w:szCs w:val="20"/>
                <w:lang w:val="ro-RO"/>
              </w:rPr>
              <w:t xml:space="preserve">Să asigure efectuarea verificărilor reciproce în aspectul tipurilor de venituri administrate de Serviciul Fiscal de Stat, inclusiv „Plata obligatorie a producătorilor </w:t>
            </w:r>
            <w:r w:rsidRPr="00207634">
              <w:rPr>
                <w:rFonts w:asciiTheme="majorHAnsi" w:hAnsiTheme="majorHAnsi" w:cstheme="majorHAnsi"/>
                <w:color w:val="000000"/>
                <w:spacing w:val="-2"/>
                <w:sz w:val="20"/>
                <w:szCs w:val="20"/>
                <w:lang w:val="ro-RO"/>
              </w:rPr>
              <w:t>de produse vitivinicole” (cod-114640) (constatarea din capitolul 4.1.1)</w:t>
            </w:r>
          </w:p>
        </w:tc>
        <w:tc>
          <w:tcPr>
            <w:tcW w:w="6378" w:type="dxa"/>
            <w:tcBorders>
              <w:top w:val="single" w:sz="8" w:space="0" w:color="auto"/>
              <w:left w:val="nil"/>
              <w:bottom w:val="single" w:sz="8" w:space="0" w:color="auto"/>
              <w:right w:val="single" w:sz="8" w:space="0" w:color="auto"/>
            </w:tcBorders>
            <w:shd w:val="clear" w:color="auto" w:fill="auto"/>
          </w:tcPr>
          <w:p w:rsidR="00C37226" w:rsidRPr="00F55BA6" w:rsidRDefault="00C37226" w:rsidP="00B51730">
            <w:pPr>
              <w:spacing w:after="0"/>
              <w:rPr>
                <w:rFonts w:asciiTheme="majorHAnsi" w:hAnsiTheme="majorHAnsi" w:cs="Times New Roman"/>
                <w:sz w:val="20"/>
                <w:szCs w:val="24"/>
                <w:lang w:val="ro-RO"/>
              </w:rPr>
            </w:pPr>
            <w:r w:rsidRPr="00E4517B">
              <w:rPr>
                <w:rFonts w:asciiTheme="majorHAnsi" w:eastAsia="Times New Roman" w:hAnsiTheme="majorHAnsi" w:cs="Times New Roman"/>
                <w:color w:val="000000"/>
                <w:sz w:val="20"/>
                <w:szCs w:val="24"/>
                <w:shd w:val="clear" w:color="auto" w:fill="FFFFFF"/>
                <w:lang w:val="ro-RO" w:eastAsia="ru-RU"/>
              </w:rPr>
              <w:t>Începând cu anul 2019, potrivit art.32</w:t>
            </w:r>
            <w:r w:rsidRPr="00AB29F3">
              <w:rPr>
                <w:rFonts w:asciiTheme="majorHAnsi" w:eastAsia="Times New Roman" w:hAnsiTheme="majorHAnsi" w:cs="Times New Roman"/>
                <w:color w:val="000000"/>
                <w:sz w:val="20"/>
                <w:szCs w:val="24"/>
                <w:shd w:val="clear" w:color="auto" w:fill="FFFFFF"/>
                <w:vertAlign w:val="superscript"/>
                <w:lang w:val="ro-RO" w:eastAsia="ru-RU"/>
              </w:rPr>
              <w:t>3</w:t>
            </w:r>
            <w:r w:rsidRPr="00E4517B">
              <w:rPr>
                <w:rFonts w:asciiTheme="majorHAnsi" w:eastAsia="Times New Roman" w:hAnsiTheme="majorHAnsi" w:cs="Times New Roman"/>
                <w:color w:val="000000"/>
                <w:sz w:val="20"/>
                <w:szCs w:val="24"/>
                <w:shd w:val="clear" w:color="auto" w:fill="FFFFFF"/>
                <w:lang w:val="ro-RO" w:eastAsia="ru-RU"/>
              </w:rPr>
              <w:t xml:space="preserve"> din Legea viei și vinului nr.57-XVI din 10 martie 2006, gestionarea colectării contribuțiilor de la plătitori, evidența contribuțiilor, calculele penalităților, precum și urmărirea datoriilor către Fond se efectuează de către Serviciul Fiscal de Stat similar modului stabilit conform legislației fiscale pentru administrarea impozitelor și taxelor. Astfel, pentru realizarea celor menționate anterior, conform pct.3.9 din Normele metodologice privind executarea de casă a bugetelor componente ale bugetului public național și a mijloacelor extrabugetare prin sistemul trezorerial al Ministerului Finanțelor, aprobate prin Ordinul </w:t>
            </w:r>
            <w:r w:rsidR="00835524">
              <w:rPr>
                <w:rFonts w:asciiTheme="majorHAnsi" w:hAnsiTheme="majorHAnsi" w:cstheme="majorHAnsi"/>
                <w:sz w:val="20"/>
                <w:szCs w:val="20"/>
                <w:lang w:val="ro-RO"/>
              </w:rPr>
              <w:t>m</w:t>
            </w:r>
            <w:r w:rsidR="00835524" w:rsidRPr="00E4517B">
              <w:rPr>
                <w:rFonts w:asciiTheme="majorHAnsi" w:hAnsiTheme="majorHAnsi" w:cstheme="majorHAnsi"/>
                <w:sz w:val="20"/>
                <w:szCs w:val="20"/>
                <w:lang w:val="ro-RO"/>
              </w:rPr>
              <w:t>inistrului</w:t>
            </w:r>
            <w:r w:rsidRPr="00E4517B">
              <w:rPr>
                <w:rFonts w:asciiTheme="majorHAnsi" w:eastAsia="Times New Roman" w:hAnsiTheme="majorHAnsi" w:cs="Times New Roman"/>
                <w:color w:val="000000"/>
                <w:sz w:val="20"/>
                <w:szCs w:val="24"/>
                <w:shd w:val="clear" w:color="auto" w:fill="FFFFFF"/>
                <w:lang w:val="ro-RO" w:eastAsia="ru-RU"/>
              </w:rPr>
              <w:t xml:space="preserve"> Finanțelor nr.215/2015, Direcția Trezoreria de Stat prezintă administratorilor de venit în a zecea zi a lunii următoare perioadei de gestiune în format electronic scanat Registrul veniturilor bugetului de stat/bugetului asigurărilor sociale de stat/fondurilor asigurării obligatorii de asistență medicală/bugetelor </w:t>
            </w:r>
            <w:r w:rsidRPr="002E461B">
              <w:rPr>
                <w:rFonts w:asciiTheme="majorHAnsi" w:eastAsia="Times New Roman" w:hAnsiTheme="majorHAnsi" w:cs="Times New Roman"/>
                <w:color w:val="000000"/>
                <w:sz w:val="20"/>
                <w:szCs w:val="24"/>
                <w:shd w:val="clear" w:color="auto" w:fill="FFFFFF"/>
                <w:lang w:val="ro-RO" w:eastAsia="ru-RU"/>
              </w:rPr>
              <w:t>locale (Forma FI-006</w:t>
            </w:r>
            <w:r w:rsidRPr="00E4517B">
              <w:rPr>
                <w:rFonts w:asciiTheme="majorHAnsi" w:eastAsia="Times New Roman" w:hAnsiTheme="majorHAnsi" w:cs="Times New Roman"/>
                <w:color w:val="000000"/>
                <w:sz w:val="20"/>
                <w:szCs w:val="24"/>
                <w:shd w:val="clear" w:color="auto" w:fill="FFFFFF"/>
                <w:lang w:val="ro-RO" w:eastAsia="ru-RU"/>
              </w:rPr>
              <w:t>) semnat de persoanele împuternicite, cu aplicarea ștampilei</w:t>
            </w:r>
          </w:p>
        </w:tc>
        <w:tc>
          <w:tcPr>
            <w:tcW w:w="993" w:type="dxa"/>
            <w:tcBorders>
              <w:top w:val="single" w:sz="8" w:space="0" w:color="auto"/>
              <w:left w:val="nil"/>
              <w:bottom w:val="single" w:sz="8" w:space="0" w:color="auto"/>
              <w:right w:val="single" w:sz="8" w:space="0" w:color="auto"/>
            </w:tcBorders>
          </w:tcPr>
          <w:p w:rsidR="00C37226" w:rsidRPr="00E4517B" w:rsidRDefault="00C37226" w:rsidP="00B51730">
            <w:pPr>
              <w:spacing w:after="0" w:line="240" w:lineRule="auto"/>
              <w:jc w:val="center"/>
              <w:rPr>
                <w:rFonts w:asciiTheme="majorHAnsi" w:eastAsia="Calibri" w:hAnsiTheme="majorHAnsi" w:cstheme="majorHAnsi"/>
                <w:sz w:val="20"/>
                <w:szCs w:val="20"/>
                <w:lang w:val="ro-RO"/>
              </w:rPr>
            </w:pPr>
            <w:r w:rsidRPr="00E4517B">
              <w:rPr>
                <w:rFonts w:asciiTheme="majorHAnsi" w:eastAsia="Calibri" w:hAnsiTheme="majorHAnsi" w:cstheme="majorHAnsi"/>
                <w:sz w:val="20"/>
                <w:szCs w:val="20"/>
                <w:lang w:val="ro-RO"/>
              </w:rPr>
              <w:t>v</w:t>
            </w:r>
          </w:p>
        </w:tc>
        <w:tc>
          <w:tcPr>
            <w:tcW w:w="992" w:type="dxa"/>
            <w:tcBorders>
              <w:top w:val="single" w:sz="8" w:space="0" w:color="auto"/>
              <w:left w:val="nil"/>
              <w:bottom w:val="single" w:sz="8" w:space="0" w:color="auto"/>
              <w:right w:val="single" w:sz="8" w:space="0" w:color="auto"/>
            </w:tcBorders>
          </w:tcPr>
          <w:p w:rsidR="00C37226" w:rsidRPr="00973E5B" w:rsidRDefault="00C37226" w:rsidP="00B51730">
            <w:pPr>
              <w:spacing w:after="0" w:line="240" w:lineRule="auto"/>
              <w:rPr>
                <w:rFonts w:asciiTheme="majorHAnsi" w:eastAsia="Calibri" w:hAnsiTheme="majorHAnsi" w:cstheme="majorHAnsi"/>
                <w:sz w:val="20"/>
                <w:szCs w:val="20"/>
                <w:lang w:val="ro-RO"/>
              </w:rPr>
            </w:pPr>
          </w:p>
        </w:tc>
        <w:tc>
          <w:tcPr>
            <w:tcW w:w="992" w:type="dxa"/>
            <w:tcBorders>
              <w:top w:val="single" w:sz="8" w:space="0" w:color="auto"/>
              <w:left w:val="nil"/>
              <w:bottom w:val="single" w:sz="8" w:space="0" w:color="auto"/>
              <w:right w:val="single" w:sz="8" w:space="0" w:color="auto"/>
            </w:tcBorders>
          </w:tcPr>
          <w:p w:rsidR="00C37226" w:rsidRPr="009131CF" w:rsidRDefault="00C37226" w:rsidP="00B51730">
            <w:pPr>
              <w:spacing w:after="0" w:line="240" w:lineRule="auto"/>
              <w:rPr>
                <w:rFonts w:asciiTheme="majorHAnsi" w:eastAsia="Calibri" w:hAnsiTheme="majorHAnsi" w:cstheme="majorHAnsi"/>
                <w:sz w:val="20"/>
                <w:szCs w:val="20"/>
                <w:lang w:val="ro-RO"/>
              </w:rPr>
            </w:pPr>
          </w:p>
        </w:tc>
      </w:tr>
      <w:tr w:rsidR="00C37226" w:rsidRPr="00E4517B" w:rsidTr="00C37226">
        <w:trPr>
          <w:trHeight w:val="268"/>
        </w:trPr>
        <w:tc>
          <w:tcPr>
            <w:tcW w:w="5671" w:type="dxa"/>
            <w:tcBorders>
              <w:top w:val="single" w:sz="8" w:space="0" w:color="auto"/>
              <w:left w:val="single" w:sz="8" w:space="0" w:color="auto"/>
              <w:bottom w:val="single" w:sz="8" w:space="0" w:color="auto"/>
              <w:right w:val="single" w:sz="8" w:space="0" w:color="auto"/>
            </w:tcBorders>
            <w:shd w:val="clear" w:color="auto" w:fill="auto"/>
          </w:tcPr>
          <w:p w:rsidR="00C37226" w:rsidRPr="009131CF" w:rsidRDefault="00C37226" w:rsidP="00835524">
            <w:pPr>
              <w:spacing w:after="0" w:line="240" w:lineRule="auto"/>
              <w:rPr>
                <w:rFonts w:asciiTheme="majorHAnsi" w:hAnsiTheme="majorHAnsi" w:cstheme="majorHAnsi"/>
                <w:color w:val="000000"/>
                <w:spacing w:val="-2"/>
                <w:sz w:val="20"/>
                <w:szCs w:val="20"/>
                <w:lang w:val="ro-RO"/>
              </w:rPr>
            </w:pPr>
            <w:r w:rsidRPr="00E4517B">
              <w:rPr>
                <w:rFonts w:asciiTheme="majorHAnsi" w:hAnsiTheme="majorHAnsi" w:cstheme="majorHAnsi"/>
                <w:b/>
                <w:i/>
                <w:sz w:val="20"/>
                <w:szCs w:val="20"/>
                <w:lang w:val="ro-RO"/>
              </w:rPr>
              <w:t xml:space="preserve">Recomandarea nr.2. </w:t>
            </w:r>
            <w:r w:rsidRPr="00973E5B">
              <w:rPr>
                <w:rFonts w:asciiTheme="majorHAnsi" w:hAnsiTheme="majorHAnsi" w:cstheme="majorHAnsi"/>
                <w:sz w:val="20"/>
                <w:szCs w:val="20"/>
                <w:lang w:val="ro-RO"/>
              </w:rPr>
              <w:t>Să conformeze efectuarea restituirilor TVA la rigorile Codului fiscal, fiind excluse restituirile efec</w:t>
            </w:r>
            <w:r w:rsidRPr="00207634">
              <w:rPr>
                <w:rFonts w:asciiTheme="majorHAnsi" w:hAnsiTheme="majorHAnsi" w:cstheme="majorHAnsi"/>
                <w:sz w:val="20"/>
                <w:szCs w:val="20"/>
                <w:lang w:val="ro-RO"/>
              </w:rPr>
              <w:t>tuate persoanelor juridice și fizice secundare (constatarea din capitolul 4.1.3)</w:t>
            </w:r>
          </w:p>
        </w:tc>
        <w:tc>
          <w:tcPr>
            <w:tcW w:w="6378" w:type="dxa"/>
            <w:tcBorders>
              <w:top w:val="single" w:sz="8" w:space="0" w:color="auto"/>
              <w:left w:val="nil"/>
              <w:bottom w:val="single" w:sz="8" w:space="0" w:color="auto"/>
              <w:right w:val="single" w:sz="8" w:space="0" w:color="auto"/>
            </w:tcBorders>
            <w:shd w:val="clear" w:color="auto" w:fill="auto"/>
          </w:tcPr>
          <w:p w:rsidR="00C37226" w:rsidRPr="00F55BA6" w:rsidRDefault="00C37226" w:rsidP="00827BFD">
            <w:pPr>
              <w:spacing w:after="0"/>
              <w:rPr>
                <w:rFonts w:asciiTheme="majorHAnsi" w:hAnsiTheme="majorHAnsi" w:cs="Times New Roman"/>
                <w:sz w:val="20"/>
                <w:szCs w:val="24"/>
                <w:lang w:val="ro-RO"/>
              </w:rPr>
            </w:pPr>
            <w:r w:rsidRPr="00E4517B">
              <w:rPr>
                <w:rFonts w:asciiTheme="majorHAnsi" w:eastAsia="Times New Roman" w:hAnsiTheme="majorHAnsi" w:cs="Times New Roman"/>
                <w:sz w:val="20"/>
                <w:szCs w:val="24"/>
                <w:lang w:val="ro-RO" w:eastAsia="ru-RU"/>
              </w:rPr>
              <w:t xml:space="preserve">A fost aprobat Ordinul </w:t>
            </w:r>
            <w:r w:rsidR="00827BFD">
              <w:rPr>
                <w:rFonts w:asciiTheme="majorHAnsi" w:hAnsiTheme="majorHAnsi" w:cstheme="majorHAnsi"/>
                <w:sz w:val="20"/>
                <w:szCs w:val="20"/>
                <w:lang w:val="ro-RO"/>
              </w:rPr>
              <w:t>m</w:t>
            </w:r>
            <w:r w:rsidR="00827BFD" w:rsidRPr="00E4517B">
              <w:rPr>
                <w:rFonts w:asciiTheme="majorHAnsi" w:hAnsiTheme="majorHAnsi" w:cstheme="majorHAnsi"/>
                <w:sz w:val="20"/>
                <w:szCs w:val="20"/>
                <w:lang w:val="ro-RO"/>
              </w:rPr>
              <w:t>inistrului</w:t>
            </w:r>
            <w:r w:rsidRPr="00E4517B">
              <w:rPr>
                <w:rFonts w:asciiTheme="majorHAnsi" w:eastAsia="Times New Roman" w:hAnsiTheme="majorHAnsi" w:cs="Times New Roman"/>
                <w:sz w:val="20"/>
                <w:szCs w:val="24"/>
                <w:lang w:val="ro-RO" w:eastAsia="ru-RU"/>
              </w:rPr>
              <w:t xml:space="preserve"> Finanțelor nr.11 din 18 ianuarie 2019 </w:t>
            </w:r>
            <w:r w:rsidR="00827BFD">
              <w:rPr>
                <w:rFonts w:asciiTheme="majorHAnsi" w:eastAsia="Times New Roman" w:hAnsiTheme="majorHAnsi" w:cs="Times New Roman"/>
                <w:sz w:val="20"/>
                <w:szCs w:val="24"/>
                <w:lang w:val="ro-RO" w:eastAsia="ru-RU"/>
              </w:rPr>
              <w:t>„</w:t>
            </w:r>
            <w:r w:rsidRPr="00E4517B">
              <w:rPr>
                <w:rFonts w:asciiTheme="majorHAnsi" w:eastAsia="Times New Roman" w:hAnsiTheme="majorHAnsi" w:cs="Times New Roman"/>
                <w:sz w:val="20"/>
                <w:szCs w:val="24"/>
                <w:lang w:val="ro-RO" w:eastAsia="ru-RU"/>
              </w:rPr>
              <w:t>C</w:t>
            </w:r>
            <w:r w:rsidRPr="00E4517B">
              <w:rPr>
                <w:rFonts w:asciiTheme="majorHAnsi" w:eastAsia="Times New Roman" w:hAnsiTheme="majorHAnsi" w:cs="Times New Roman"/>
                <w:bCs/>
                <w:sz w:val="20"/>
                <w:szCs w:val="24"/>
                <w:lang w:val="ro-RO" w:eastAsia="ru-RU"/>
              </w:rPr>
              <w:t>u privire la modificarea și completarea Normelor metodologice privind executarea de casă a bugetelor componente ale bugetului public național și a mijloacelor extrabugetare prin sistemul trezorerial al Ministerului Finanțelor nr. 215/2015”</w:t>
            </w:r>
          </w:p>
        </w:tc>
        <w:tc>
          <w:tcPr>
            <w:tcW w:w="993" w:type="dxa"/>
            <w:tcBorders>
              <w:top w:val="single" w:sz="8" w:space="0" w:color="auto"/>
              <w:left w:val="nil"/>
              <w:bottom w:val="single" w:sz="8" w:space="0" w:color="auto"/>
              <w:right w:val="single" w:sz="8" w:space="0" w:color="auto"/>
            </w:tcBorders>
          </w:tcPr>
          <w:p w:rsidR="00C37226" w:rsidRPr="00E4517B" w:rsidRDefault="00C37226" w:rsidP="00B51730">
            <w:pPr>
              <w:spacing w:after="0" w:line="240" w:lineRule="auto"/>
              <w:jc w:val="center"/>
              <w:rPr>
                <w:rFonts w:asciiTheme="majorHAnsi" w:hAnsiTheme="majorHAnsi" w:cstheme="majorHAnsi"/>
                <w:sz w:val="20"/>
                <w:szCs w:val="20"/>
                <w:lang w:val="ro-RO"/>
              </w:rPr>
            </w:pPr>
            <w:r w:rsidRPr="00E4517B">
              <w:rPr>
                <w:rFonts w:asciiTheme="majorHAnsi" w:hAnsiTheme="majorHAnsi" w:cstheme="majorHAnsi"/>
                <w:sz w:val="20"/>
                <w:szCs w:val="20"/>
                <w:lang w:val="ro-RO"/>
              </w:rPr>
              <w:t>v</w:t>
            </w:r>
          </w:p>
        </w:tc>
        <w:tc>
          <w:tcPr>
            <w:tcW w:w="992" w:type="dxa"/>
            <w:tcBorders>
              <w:top w:val="single" w:sz="8" w:space="0" w:color="auto"/>
              <w:left w:val="nil"/>
              <w:bottom w:val="single" w:sz="8" w:space="0" w:color="auto"/>
              <w:right w:val="single" w:sz="8" w:space="0" w:color="auto"/>
            </w:tcBorders>
          </w:tcPr>
          <w:p w:rsidR="00C37226" w:rsidRPr="00973E5B" w:rsidRDefault="00C37226" w:rsidP="00B51730">
            <w:pPr>
              <w:spacing w:after="0" w:line="240" w:lineRule="auto"/>
              <w:jc w:val="center"/>
              <w:rPr>
                <w:rFonts w:asciiTheme="majorHAnsi" w:hAnsiTheme="majorHAnsi" w:cstheme="majorHAnsi"/>
                <w:sz w:val="20"/>
                <w:szCs w:val="20"/>
                <w:lang w:val="ro-RO"/>
              </w:rPr>
            </w:pPr>
          </w:p>
        </w:tc>
        <w:tc>
          <w:tcPr>
            <w:tcW w:w="992" w:type="dxa"/>
            <w:tcBorders>
              <w:top w:val="single" w:sz="8" w:space="0" w:color="auto"/>
              <w:left w:val="nil"/>
              <w:bottom w:val="single" w:sz="8" w:space="0" w:color="auto"/>
              <w:right w:val="single" w:sz="8" w:space="0" w:color="auto"/>
            </w:tcBorders>
          </w:tcPr>
          <w:p w:rsidR="00C37226" w:rsidRPr="009131CF" w:rsidRDefault="00C37226" w:rsidP="00B51730">
            <w:pPr>
              <w:spacing w:after="0" w:line="240" w:lineRule="auto"/>
              <w:jc w:val="center"/>
              <w:rPr>
                <w:rFonts w:asciiTheme="majorHAnsi" w:hAnsiTheme="majorHAnsi" w:cstheme="majorHAnsi"/>
                <w:sz w:val="20"/>
                <w:szCs w:val="20"/>
                <w:lang w:val="ro-RO"/>
              </w:rPr>
            </w:pPr>
          </w:p>
        </w:tc>
      </w:tr>
      <w:tr w:rsidR="00C37226" w:rsidRPr="00E4517B" w:rsidTr="00C37226">
        <w:trPr>
          <w:trHeight w:val="833"/>
        </w:trPr>
        <w:tc>
          <w:tcPr>
            <w:tcW w:w="5671" w:type="dxa"/>
            <w:tcBorders>
              <w:top w:val="single" w:sz="8" w:space="0" w:color="auto"/>
              <w:left w:val="single" w:sz="8" w:space="0" w:color="auto"/>
              <w:bottom w:val="single" w:sz="8" w:space="0" w:color="auto"/>
              <w:right w:val="single" w:sz="8" w:space="0" w:color="auto"/>
            </w:tcBorders>
            <w:shd w:val="clear" w:color="auto" w:fill="auto"/>
          </w:tcPr>
          <w:p w:rsidR="00C37226" w:rsidRPr="00207634" w:rsidRDefault="00C37226" w:rsidP="00B51730">
            <w:pPr>
              <w:spacing w:after="0" w:line="240" w:lineRule="auto"/>
              <w:rPr>
                <w:rFonts w:asciiTheme="majorHAnsi" w:hAnsiTheme="majorHAnsi" w:cstheme="majorHAnsi"/>
                <w:sz w:val="20"/>
                <w:szCs w:val="20"/>
                <w:lang w:val="ro-RO"/>
              </w:rPr>
            </w:pPr>
            <w:r w:rsidRPr="00E4517B">
              <w:rPr>
                <w:rFonts w:asciiTheme="majorHAnsi" w:hAnsiTheme="majorHAnsi" w:cstheme="majorHAnsi"/>
                <w:b/>
                <w:i/>
                <w:sz w:val="20"/>
                <w:szCs w:val="20"/>
                <w:lang w:val="ro-RO"/>
              </w:rPr>
              <w:t xml:space="preserve">Recomandarea nr.3. </w:t>
            </w:r>
            <w:r w:rsidRPr="00973E5B">
              <w:rPr>
                <w:rFonts w:asciiTheme="majorHAnsi" w:hAnsiTheme="majorHAnsi" w:cstheme="majorHAnsi"/>
                <w:sz w:val="20"/>
                <w:szCs w:val="20"/>
                <w:lang w:val="ro-RO"/>
              </w:rPr>
              <w:t>Să continue realizarea acțiunilor privind consolidarea bazei de venituri locale proprii</w:t>
            </w:r>
            <w:r w:rsidRPr="00207634">
              <w:rPr>
                <w:rFonts w:asciiTheme="majorHAnsi" w:hAnsiTheme="majorHAnsi" w:cstheme="majorHAnsi"/>
                <w:sz w:val="20"/>
                <w:szCs w:val="20"/>
                <w:lang w:val="ro-RO"/>
              </w:rPr>
              <w:t xml:space="preserve"> ale administrațiilor APL, prevăzute în documentele strategice naționale (constatarea din capitolul 4.1.7)</w:t>
            </w:r>
          </w:p>
        </w:tc>
        <w:tc>
          <w:tcPr>
            <w:tcW w:w="6378" w:type="dxa"/>
            <w:tcBorders>
              <w:top w:val="single" w:sz="8" w:space="0" w:color="auto"/>
              <w:left w:val="nil"/>
              <w:bottom w:val="single" w:sz="8" w:space="0" w:color="auto"/>
              <w:right w:val="single" w:sz="8" w:space="0" w:color="auto"/>
            </w:tcBorders>
            <w:shd w:val="clear" w:color="auto" w:fill="auto"/>
          </w:tcPr>
          <w:p w:rsidR="00C37226" w:rsidRPr="00F55BA6" w:rsidRDefault="00C37226" w:rsidP="00B51730">
            <w:pPr>
              <w:tabs>
                <w:tab w:val="left" w:pos="7621"/>
              </w:tabs>
              <w:spacing w:after="0"/>
              <w:rPr>
                <w:rFonts w:asciiTheme="majorHAnsi" w:eastAsia="Calibri" w:hAnsiTheme="majorHAnsi" w:cs="Times New Roman"/>
                <w:sz w:val="20"/>
                <w:szCs w:val="24"/>
                <w:lang w:val="ro-RO" w:eastAsia="ru-RU"/>
              </w:rPr>
            </w:pPr>
            <w:r w:rsidRPr="00F55BA6">
              <w:rPr>
                <w:rFonts w:asciiTheme="majorHAnsi" w:eastAsia="Calibri" w:hAnsiTheme="majorHAnsi" w:cs="Times New Roman"/>
                <w:sz w:val="20"/>
                <w:szCs w:val="24"/>
                <w:lang w:val="ro-RO" w:eastAsia="ru-RU"/>
              </w:rPr>
              <w:t>În vederea fortificării autonomiei financiare a autorităților publice locale,  prin Legea nr.257/2020 cu privire la modificarea unor acte normative, au fost realizate următoarele acțiuni:</w:t>
            </w:r>
          </w:p>
          <w:p w:rsidR="00C37226" w:rsidRPr="00F55BA6" w:rsidRDefault="00C37226" w:rsidP="00B51730">
            <w:pPr>
              <w:tabs>
                <w:tab w:val="left" w:pos="7621"/>
              </w:tabs>
              <w:spacing w:after="0"/>
              <w:rPr>
                <w:rFonts w:asciiTheme="majorHAnsi" w:eastAsia="Calibri" w:hAnsiTheme="majorHAnsi" w:cs="Times New Roman"/>
                <w:sz w:val="20"/>
                <w:szCs w:val="24"/>
                <w:lang w:val="ro-RO" w:eastAsia="ru-RU"/>
              </w:rPr>
            </w:pPr>
            <w:r w:rsidRPr="00F55BA6">
              <w:rPr>
                <w:rFonts w:asciiTheme="majorHAnsi" w:eastAsia="Calibri" w:hAnsiTheme="majorHAnsi" w:cs="Times New Roman"/>
                <w:sz w:val="20"/>
                <w:szCs w:val="24"/>
                <w:lang w:val="ro-RO" w:eastAsia="ru-RU"/>
              </w:rPr>
              <w:t>- anularea facilității ce vizează dreptul la o reducere cu 15% a sumei impozitului pe bunurile imobiliare pentru contribuabilii care achită suma integrală a impozitului pentru anul fiscal în curs până la 30 iunie a anului respectiv;</w:t>
            </w:r>
          </w:p>
          <w:p w:rsidR="00C37226" w:rsidRPr="00F55BA6" w:rsidRDefault="00C37226" w:rsidP="00B51730">
            <w:pPr>
              <w:spacing w:after="0"/>
              <w:rPr>
                <w:rFonts w:asciiTheme="majorHAnsi" w:hAnsiTheme="majorHAnsi" w:cs="Times New Roman"/>
                <w:sz w:val="20"/>
                <w:szCs w:val="24"/>
                <w:lang w:val="ro-RO"/>
              </w:rPr>
            </w:pPr>
            <w:r w:rsidRPr="00F55BA6">
              <w:rPr>
                <w:rFonts w:asciiTheme="majorHAnsi" w:eastAsia="Calibri" w:hAnsiTheme="majorHAnsi" w:cs="Times New Roman"/>
                <w:sz w:val="20"/>
                <w:szCs w:val="24"/>
                <w:lang w:val="ro-RO" w:eastAsia="ru-RU"/>
              </w:rPr>
              <w:t>- plafonarea taxelor locale și reglementarea acestora pe termen mediu (3 ani), cu majorarea anuală în mărimea ratei inflației</w:t>
            </w:r>
          </w:p>
        </w:tc>
        <w:tc>
          <w:tcPr>
            <w:tcW w:w="993" w:type="dxa"/>
            <w:tcBorders>
              <w:top w:val="single" w:sz="8" w:space="0" w:color="auto"/>
              <w:left w:val="nil"/>
              <w:bottom w:val="single" w:sz="8" w:space="0" w:color="auto"/>
              <w:right w:val="single" w:sz="8" w:space="0" w:color="auto"/>
            </w:tcBorders>
          </w:tcPr>
          <w:p w:rsidR="00C37226" w:rsidRPr="00973E5B" w:rsidRDefault="00C37226" w:rsidP="00B51730">
            <w:pPr>
              <w:spacing w:after="0" w:line="240" w:lineRule="auto"/>
              <w:jc w:val="center"/>
              <w:rPr>
                <w:rFonts w:asciiTheme="majorHAnsi" w:hAnsiTheme="majorHAnsi" w:cstheme="majorHAnsi"/>
                <w:sz w:val="20"/>
                <w:szCs w:val="20"/>
                <w:lang w:val="ro-RO"/>
              </w:rPr>
            </w:pPr>
            <w:r w:rsidRPr="00E4517B">
              <w:rPr>
                <w:rFonts w:asciiTheme="majorHAnsi" w:hAnsiTheme="majorHAnsi" w:cstheme="majorHAnsi"/>
                <w:sz w:val="20"/>
                <w:szCs w:val="20"/>
                <w:lang w:val="ro-RO"/>
              </w:rPr>
              <w:t>v</w:t>
            </w:r>
          </w:p>
        </w:tc>
        <w:tc>
          <w:tcPr>
            <w:tcW w:w="992" w:type="dxa"/>
            <w:tcBorders>
              <w:top w:val="single" w:sz="8" w:space="0" w:color="auto"/>
              <w:left w:val="nil"/>
              <w:bottom w:val="single" w:sz="8" w:space="0" w:color="auto"/>
              <w:right w:val="single" w:sz="8" w:space="0" w:color="auto"/>
            </w:tcBorders>
          </w:tcPr>
          <w:p w:rsidR="00C37226" w:rsidRPr="009131CF" w:rsidRDefault="00C37226" w:rsidP="00B51730">
            <w:pPr>
              <w:spacing w:after="0" w:line="240" w:lineRule="auto"/>
              <w:jc w:val="center"/>
              <w:rPr>
                <w:rFonts w:asciiTheme="majorHAnsi" w:hAnsiTheme="majorHAnsi" w:cstheme="majorHAnsi"/>
                <w:sz w:val="20"/>
                <w:szCs w:val="20"/>
                <w:lang w:val="ro-RO"/>
              </w:rPr>
            </w:pPr>
          </w:p>
        </w:tc>
        <w:tc>
          <w:tcPr>
            <w:tcW w:w="992" w:type="dxa"/>
            <w:tcBorders>
              <w:top w:val="single" w:sz="8" w:space="0" w:color="auto"/>
              <w:left w:val="nil"/>
              <w:bottom w:val="single" w:sz="8" w:space="0" w:color="auto"/>
              <w:right w:val="single" w:sz="8" w:space="0" w:color="auto"/>
            </w:tcBorders>
          </w:tcPr>
          <w:p w:rsidR="00C37226" w:rsidRPr="00E4517B" w:rsidRDefault="00C37226" w:rsidP="00B51730">
            <w:pPr>
              <w:spacing w:after="0" w:line="240" w:lineRule="auto"/>
              <w:rPr>
                <w:rFonts w:asciiTheme="majorHAnsi" w:hAnsiTheme="majorHAnsi" w:cstheme="majorHAnsi"/>
                <w:sz w:val="20"/>
                <w:szCs w:val="20"/>
                <w:lang w:val="ro-RO"/>
              </w:rPr>
            </w:pPr>
          </w:p>
        </w:tc>
      </w:tr>
      <w:tr w:rsidR="00C37226" w:rsidRPr="00E4517B" w:rsidTr="00C37226">
        <w:trPr>
          <w:trHeight w:val="1870"/>
        </w:trPr>
        <w:tc>
          <w:tcPr>
            <w:tcW w:w="5671" w:type="dxa"/>
            <w:tcBorders>
              <w:top w:val="single" w:sz="8" w:space="0" w:color="auto"/>
              <w:left w:val="single" w:sz="8" w:space="0" w:color="auto"/>
              <w:bottom w:val="single" w:sz="8" w:space="0" w:color="auto"/>
              <w:right w:val="single" w:sz="8" w:space="0" w:color="auto"/>
            </w:tcBorders>
            <w:shd w:val="clear" w:color="auto" w:fill="auto"/>
          </w:tcPr>
          <w:p w:rsidR="00C37226" w:rsidRPr="009131CF" w:rsidRDefault="00C37226" w:rsidP="00835524">
            <w:pPr>
              <w:spacing w:after="0" w:line="240" w:lineRule="auto"/>
              <w:rPr>
                <w:rFonts w:asciiTheme="majorHAnsi" w:hAnsiTheme="majorHAnsi" w:cstheme="majorHAnsi"/>
                <w:b/>
                <w:sz w:val="20"/>
                <w:szCs w:val="20"/>
                <w:lang w:val="ro-RO"/>
              </w:rPr>
            </w:pPr>
            <w:r w:rsidRPr="00E4517B">
              <w:rPr>
                <w:rFonts w:asciiTheme="majorHAnsi" w:hAnsiTheme="majorHAnsi" w:cstheme="majorHAnsi"/>
                <w:b/>
                <w:i/>
                <w:sz w:val="20"/>
                <w:szCs w:val="20"/>
                <w:lang w:val="ro-RO"/>
              </w:rPr>
              <w:lastRenderedPageBreak/>
              <w:t xml:space="preserve">Recomandarea nr.4. </w:t>
            </w:r>
            <w:r w:rsidRPr="00973E5B">
              <w:rPr>
                <w:rFonts w:asciiTheme="majorHAnsi" w:hAnsiTheme="majorHAnsi" w:cstheme="majorHAnsi"/>
                <w:sz w:val="20"/>
                <w:szCs w:val="20"/>
                <w:lang w:val="ro-RO"/>
              </w:rPr>
              <w:t>Să asigure respectarea principiului transparenței în relațiile dintre bugetul de stat ș</w:t>
            </w:r>
            <w:r w:rsidRPr="00207634">
              <w:rPr>
                <w:rFonts w:asciiTheme="majorHAnsi" w:hAnsiTheme="majorHAnsi" w:cstheme="majorHAnsi"/>
                <w:sz w:val="20"/>
                <w:szCs w:val="20"/>
                <w:lang w:val="ro-RO"/>
              </w:rPr>
              <w:t>i bugetele locale, prin aplicarea procedurilor de modificare a legilor bugetare anuale pentru încorporarea în acestea a tuturor transferurilor (constatarea din capitolul 4.1.7)</w:t>
            </w:r>
          </w:p>
        </w:tc>
        <w:tc>
          <w:tcPr>
            <w:tcW w:w="6378" w:type="dxa"/>
            <w:tcBorders>
              <w:top w:val="single" w:sz="8" w:space="0" w:color="auto"/>
              <w:left w:val="nil"/>
              <w:bottom w:val="single" w:sz="8" w:space="0" w:color="auto"/>
              <w:right w:val="single" w:sz="8" w:space="0" w:color="auto"/>
            </w:tcBorders>
            <w:shd w:val="clear" w:color="auto" w:fill="auto"/>
          </w:tcPr>
          <w:p w:rsidR="00C37226" w:rsidRPr="00F55BA6" w:rsidRDefault="00C37226" w:rsidP="00B51730">
            <w:pPr>
              <w:spacing w:after="0"/>
              <w:rPr>
                <w:rFonts w:asciiTheme="majorHAnsi" w:hAnsiTheme="majorHAnsi" w:cs="Times New Roman"/>
                <w:sz w:val="20"/>
                <w:szCs w:val="24"/>
                <w:lang w:val="ro-RO"/>
              </w:rPr>
            </w:pPr>
            <w:r w:rsidRPr="00F55BA6">
              <w:rPr>
                <w:rFonts w:asciiTheme="majorHAnsi" w:hAnsiTheme="majorHAnsi" w:cs="Times New Roman"/>
                <w:sz w:val="20"/>
                <w:szCs w:val="24"/>
                <w:lang w:val="ro-RO"/>
              </w:rPr>
              <w:t xml:space="preserve">Măsură realizată prin încorporarea în Anexa nr.7 </w:t>
            </w:r>
            <w:r w:rsidR="00827BFD">
              <w:rPr>
                <w:rFonts w:asciiTheme="majorHAnsi" w:hAnsiTheme="majorHAnsi" w:cs="Times New Roman"/>
                <w:sz w:val="20"/>
                <w:szCs w:val="24"/>
                <w:lang w:val="ro-RO"/>
              </w:rPr>
              <w:t>„</w:t>
            </w:r>
            <w:r w:rsidRPr="00F55BA6">
              <w:rPr>
                <w:rFonts w:asciiTheme="majorHAnsi" w:hAnsiTheme="majorHAnsi" w:cs="Times New Roman"/>
                <w:sz w:val="20"/>
                <w:szCs w:val="24"/>
                <w:lang w:val="ro-RO"/>
              </w:rPr>
              <w:t>Volumul transferurilor de la bugetul de stat către bugetele locale" la Legea bugetului de stat pentru anul 2019 nr.303 din 30 noiembrie 2018.</w:t>
            </w:r>
          </w:p>
          <w:p w:rsidR="00C37226" w:rsidRPr="00E4517B" w:rsidRDefault="00C37226" w:rsidP="00827BFD">
            <w:pPr>
              <w:shd w:val="clear" w:color="auto" w:fill="FEFEFC"/>
              <w:spacing w:after="0" w:line="257" w:lineRule="atLeast"/>
              <w:rPr>
                <w:rFonts w:asciiTheme="majorHAnsi" w:eastAsia="Times New Roman" w:hAnsiTheme="majorHAnsi" w:cs="Times New Roman"/>
                <w:color w:val="000000"/>
                <w:sz w:val="20"/>
                <w:szCs w:val="24"/>
                <w:lang w:val="ro-RO"/>
              </w:rPr>
            </w:pPr>
            <w:r w:rsidRPr="00E4517B">
              <w:rPr>
                <w:rFonts w:asciiTheme="majorHAnsi" w:eastAsia="Times New Roman" w:hAnsiTheme="majorHAnsi" w:cs="Times New Roman"/>
                <w:color w:val="000000"/>
                <w:sz w:val="20"/>
                <w:szCs w:val="24"/>
                <w:lang w:val="ro-RO"/>
              </w:rPr>
              <w:t xml:space="preserve">Potrivit Indicației </w:t>
            </w:r>
            <w:r w:rsidR="00827BFD">
              <w:rPr>
                <w:rFonts w:asciiTheme="majorHAnsi" w:hAnsiTheme="majorHAnsi" w:cstheme="majorHAnsi"/>
                <w:sz w:val="20"/>
                <w:szCs w:val="20"/>
                <w:lang w:val="ro-RO"/>
              </w:rPr>
              <w:t>m</w:t>
            </w:r>
            <w:r w:rsidR="00827BFD" w:rsidRPr="00E4517B">
              <w:rPr>
                <w:rFonts w:asciiTheme="majorHAnsi" w:hAnsiTheme="majorHAnsi" w:cstheme="majorHAnsi"/>
                <w:sz w:val="20"/>
                <w:szCs w:val="20"/>
                <w:lang w:val="ro-RO"/>
              </w:rPr>
              <w:t>inistrului</w:t>
            </w:r>
            <w:r w:rsidRPr="00E4517B">
              <w:rPr>
                <w:rFonts w:asciiTheme="majorHAnsi" w:eastAsia="Times New Roman" w:hAnsiTheme="majorHAnsi" w:cs="Times New Roman"/>
                <w:color w:val="000000"/>
                <w:sz w:val="20"/>
                <w:szCs w:val="24"/>
                <w:lang w:val="ro-RO"/>
              </w:rPr>
              <w:t xml:space="preserve"> Finanțelor nr.39 din 09 </w:t>
            </w:r>
            <w:r w:rsidRPr="00973E5B">
              <w:rPr>
                <w:rFonts w:asciiTheme="majorHAnsi" w:eastAsia="Times New Roman" w:hAnsiTheme="majorHAnsi" w:cs="Times New Roman"/>
                <w:sz w:val="20"/>
                <w:szCs w:val="24"/>
                <w:lang w:val="ro-RO"/>
              </w:rPr>
              <w:t>noiembrie </w:t>
            </w:r>
            <w:r w:rsidRPr="00207634">
              <w:rPr>
                <w:rFonts w:asciiTheme="majorHAnsi" w:eastAsia="Times New Roman" w:hAnsiTheme="majorHAnsi" w:cs="Times New Roman"/>
                <w:color w:val="000000"/>
                <w:sz w:val="20"/>
                <w:szCs w:val="24"/>
                <w:lang w:val="ro-RO"/>
              </w:rPr>
              <w:t>2020 „Cu privire la structura documentației la proiectul bugetului de stat</w:t>
            </w:r>
            <w:r w:rsidRPr="009131CF">
              <w:rPr>
                <w:rFonts w:asciiTheme="majorHAnsi" w:eastAsia="Times New Roman" w:hAnsiTheme="majorHAnsi" w:cs="Times New Roman"/>
                <w:color w:val="000000"/>
                <w:sz w:val="20"/>
                <w:szCs w:val="24"/>
                <w:lang w:val="ro-RO"/>
              </w:rPr>
              <w:t xml:space="preserve"> pentru anul 2021”, la Nota informativă a proiectului Legii </w:t>
            </w:r>
            <w:r w:rsidR="00827BFD">
              <w:rPr>
                <w:rFonts w:asciiTheme="majorHAnsi" w:eastAsia="Times New Roman" w:hAnsiTheme="majorHAnsi" w:cs="Times New Roman"/>
                <w:color w:val="000000"/>
                <w:sz w:val="20"/>
                <w:szCs w:val="24"/>
                <w:lang w:val="ro-RO"/>
              </w:rPr>
              <w:t>b</w:t>
            </w:r>
            <w:r w:rsidRPr="009131CF">
              <w:rPr>
                <w:rFonts w:asciiTheme="majorHAnsi" w:eastAsia="Times New Roman" w:hAnsiTheme="majorHAnsi" w:cs="Times New Roman"/>
                <w:color w:val="000000"/>
                <w:sz w:val="20"/>
                <w:szCs w:val="24"/>
                <w:lang w:val="ro-RO"/>
              </w:rPr>
              <w:t xml:space="preserve">ugetului de stat pentru anul 2021 a fost inclus </w:t>
            </w:r>
            <w:r w:rsidRPr="009131CF">
              <w:rPr>
                <w:rFonts w:asciiTheme="majorHAnsi" w:eastAsia="Times New Roman" w:hAnsiTheme="majorHAnsi" w:cs="Times New Roman"/>
                <w:bCs/>
                <w:color w:val="000000"/>
                <w:sz w:val="20"/>
                <w:szCs w:val="24"/>
                <w:lang w:val="ro-RO"/>
              </w:rPr>
              <w:t>tabelul nr.14 „Sinteza măsurilor/proiectelor finanțate din Fondul Ecologic Național pe anii 2018-2021”</w:t>
            </w:r>
          </w:p>
        </w:tc>
        <w:tc>
          <w:tcPr>
            <w:tcW w:w="993" w:type="dxa"/>
            <w:tcBorders>
              <w:top w:val="single" w:sz="8" w:space="0" w:color="auto"/>
              <w:left w:val="nil"/>
              <w:bottom w:val="single" w:sz="8" w:space="0" w:color="auto"/>
              <w:right w:val="single" w:sz="8" w:space="0" w:color="auto"/>
            </w:tcBorders>
          </w:tcPr>
          <w:p w:rsidR="00C37226" w:rsidRPr="00E4517B" w:rsidRDefault="00C37226" w:rsidP="00B51730">
            <w:pPr>
              <w:spacing w:after="0" w:line="240" w:lineRule="auto"/>
              <w:jc w:val="center"/>
              <w:rPr>
                <w:rFonts w:asciiTheme="majorHAnsi" w:eastAsia="Calibri" w:hAnsiTheme="majorHAnsi" w:cstheme="majorHAnsi"/>
                <w:sz w:val="20"/>
                <w:szCs w:val="20"/>
                <w:lang w:val="ro-RO"/>
              </w:rPr>
            </w:pPr>
            <w:r w:rsidRPr="00E4517B">
              <w:rPr>
                <w:rFonts w:asciiTheme="majorHAnsi" w:eastAsia="Calibri" w:hAnsiTheme="majorHAnsi" w:cstheme="majorHAnsi"/>
                <w:sz w:val="20"/>
                <w:szCs w:val="20"/>
                <w:lang w:val="ro-RO"/>
              </w:rPr>
              <w:t>v</w:t>
            </w:r>
          </w:p>
        </w:tc>
        <w:tc>
          <w:tcPr>
            <w:tcW w:w="992" w:type="dxa"/>
            <w:tcBorders>
              <w:top w:val="single" w:sz="8" w:space="0" w:color="auto"/>
              <w:left w:val="nil"/>
              <w:bottom w:val="single" w:sz="8" w:space="0" w:color="auto"/>
              <w:right w:val="single" w:sz="8" w:space="0" w:color="auto"/>
            </w:tcBorders>
          </w:tcPr>
          <w:p w:rsidR="00C37226" w:rsidRPr="00E4517B" w:rsidRDefault="00C37226" w:rsidP="00B51730">
            <w:pPr>
              <w:spacing w:after="0" w:line="240" w:lineRule="auto"/>
              <w:jc w:val="center"/>
              <w:rPr>
                <w:rFonts w:asciiTheme="majorHAnsi" w:eastAsia="Calibri" w:hAnsiTheme="majorHAnsi" w:cstheme="majorHAnsi"/>
                <w:sz w:val="20"/>
                <w:szCs w:val="20"/>
                <w:lang w:val="ro-RO"/>
              </w:rPr>
            </w:pPr>
          </w:p>
        </w:tc>
        <w:tc>
          <w:tcPr>
            <w:tcW w:w="992" w:type="dxa"/>
            <w:tcBorders>
              <w:top w:val="single" w:sz="8" w:space="0" w:color="auto"/>
              <w:left w:val="nil"/>
              <w:bottom w:val="single" w:sz="8" w:space="0" w:color="auto"/>
              <w:right w:val="single" w:sz="8" w:space="0" w:color="auto"/>
            </w:tcBorders>
          </w:tcPr>
          <w:p w:rsidR="00C37226" w:rsidRPr="00E4517B" w:rsidRDefault="00C37226" w:rsidP="00B51730">
            <w:pPr>
              <w:spacing w:after="0" w:line="240" w:lineRule="auto"/>
              <w:jc w:val="center"/>
              <w:rPr>
                <w:rFonts w:asciiTheme="majorHAnsi" w:eastAsia="Calibri" w:hAnsiTheme="majorHAnsi" w:cstheme="majorHAnsi"/>
                <w:sz w:val="20"/>
                <w:szCs w:val="20"/>
                <w:lang w:val="ro-RO"/>
              </w:rPr>
            </w:pPr>
          </w:p>
        </w:tc>
      </w:tr>
      <w:tr w:rsidR="00C37226" w:rsidRPr="00E4517B" w:rsidTr="00C37226">
        <w:trPr>
          <w:trHeight w:val="264"/>
        </w:trPr>
        <w:tc>
          <w:tcPr>
            <w:tcW w:w="5671" w:type="dxa"/>
            <w:tcBorders>
              <w:top w:val="single" w:sz="8" w:space="0" w:color="auto"/>
              <w:left w:val="single" w:sz="8" w:space="0" w:color="auto"/>
              <w:bottom w:val="single" w:sz="8" w:space="0" w:color="auto"/>
              <w:right w:val="single" w:sz="8" w:space="0" w:color="auto"/>
            </w:tcBorders>
            <w:shd w:val="clear" w:color="auto" w:fill="auto"/>
          </w:tcPr>
          <w:p w:rsidR="00C37226" w:rsidRPr="009131CF" w:rsidRDefault="00C37226" w:rsidP="00B51730">
            <w:pPr>
              <w:spacing w:after="0" w:line="240" w:lineRule="auto"/>
              <w:rPr>
                <w:rFonts w:asciiTheme="majorHAnsi" w:hAnsiTheme="majorHAnsi" w:cstheme="majorHAnsi"/>
                <w:b/>
                <w:i/>
                <w:sz w:val="20"/>
                <w:szCs w:val="20"/>
                <w:lang w:val="ro-RO"/>
              </w:rPr>
            </w:pPr>
            <w:r w:rsidRPr="00E4517B">
              <w:rPr>
                <w:rFonts w:asciiTheme="majorHAnsi" w:hAnsiTheme="majorHAnsi" w:cstheme="majorHAnsi"/>
                <w:b/>
                <w:i/>
                <w:sz w:val="20"/>
                <w:szCs w:val="20"/>
                <w:lang w:val="ro-RO"/>
              </w:rPr>
              <w:t xml:space="preserve">Recomandare nr.5. </w:t>
            </w:r>
            <w:r w:rsidRPr="00973E5B">
              <w:rPr>
                <w:rFonts w:asciiTheme="majorHAnsi" w:hAnsiTheme="majorHAnsi" w:cstheme="majorHAnsi"/>
                <w:sz w:val="20"/>
                <w:szCs w:val="20"/>
                <w:lang w:val="ro-RO"/>
              </w:rPr>
              <w:t>Să asigure respectar</w:t>
            </w:r>
            <w:r w:rsidRPr="00207634">
              <w:rPr>
                <w:rFonts w:asciiTheme="majorHAnsi" w:hAnsiTheme="majorHAnsi" w:cstheme="majorHAnsi"/>
                <w:sz w:val="20"/>
                <w:szCs w:val="20"/>
                <w:lang w:val="ro-RO"/>
              </w:rPr>
              <w:t>ea prevederilor regulamentare privind procesul de examinare și de confirmare a eligibilității propunerilor de proiecte pentru investiții capitale, respectând principiile de prioritizare și de conformitate ale acestora cu documentele de planificare strategi</w:t>
            </w:r>
            <w:r w:rsidRPr="009131CF">
              <w:rPr>
                <w:rFonts w:asciiTheme="majorHAnsi" w:hAnsiTheme="majorHAnsi" w:cstheme="majorHAnsi"/>
                <w:sz w:val="20"/>
                <w:szCs w:val="20"/>
                <w:lang w:val="ro-RO"/>
              </w:rPr>
              <w:t>că națională și sectorială (constatarea din capitolul 4.2.6)</w:t>
            </w:r>
          </w:p>
        </w:tc>
        <w:tc>
          <w:tcPr>
            <w:tcW w:w="6378" w:type="dxa"/>
            <w:tcBorders>
              <w:top w:val="single" w:sz="8" w:space="0" w:color="auto"/>
              <w:left w:val="nil"/>
              <w:bottom w:val="single" w:sz="8" w:space="0" w:color="auto"/>
              <w:right w:val="single" w:sz="8" w:space="0" w:color="auto"/>
            </w:tcBorders>
            <w:shd w:val="clear" w:color="auto" w:fill="auto"/>
          </w:tcPr>
          <w:p w:rsidR="00C37226" w:rsidRPr="00E4517B" w:rsidRDefault="00C37226" w:rsidP="00B51730">
            <w:pPr>
              <w:spacing w:after="0"/>
              <w:rPr>
                <w:rFonts w:asciiTheme="majorHAnsi" w:hAnsiTheme="majorHAnsi" w:cs="Times New Roman"/>
                <w:sz w:val="20"/>
                <w:szCs w:val="24"/>
                <w:lang w:val="ro-RO"/>
              </w:rPr>
            </w:pPr>
            <w:r w:rsidRPr="00E4517B">
              <w:rPr>
                <w:rFonts w:asciiTheme="majorHAnsi" w:hAnsiTheme="majorHAnsi" w:cs="Times New Roman"/>
                <w:sz w:val="20"/>
                <w:szCs w:val="24"/>
                <w:lang w:val="ro-RO"/>
              </w:rPr>
              <w:t>1. Elaborarea proiectului de hotărâre a Guvernului pentru modificarea și completarea Hotărârii Guvernului nr.1029/2013 „Cu privire la investițiile capitale publice”.</w:t>
            </w:r>
          </w:p>
          <w:p w:rsidR="00C37226" w:rsidRPr="00E4517B" w:rsidRDefault="00C37226" w:rsidP="00B51730">
            <w:pPr>
              <w:spacing w:after="0"/>
              <w:rPr>
                <w:rFonts w:asciiTheme="majorHAnsi" w:hAnsiTheme="majorHAnsi" w:cs="Times New Roman"/>
                <w:sz w:val="20"/>
                <w:szCs w:val="24"/>
                <w:lang w:val="ro-RO"/>
              </w:rPr>
            </w:pPr>
            <w:r w:rsidRPr="00E4517B">
              <w:rPr>
                <w:rFonts w:asciiTheme="majorHAnsi" w:hAnsiTheme="majorHAnsi" w:cs="Times New Roman"/>
                <w:sz w:val="20"/>
                <w:szCs w:val="24"/>
                <w:lang w:val="ro-RO"/>
              </w:rPr>
              <w:t xml:space="preserve">2. Elaborarea proiectului de ordin cu privire la modificarea Instrucțiunii privind managementul proiectelor de investiții capitale, aprobată prin Ordinul </w:t>
            </w:r>
            <w:r w:rsidR="00CC2C91">
              <w:rPr>
                <w:rFonts w:asciiTheme="majorHAnsi" w:hAnsiTheme="majorHAnsi" w:cs="Times New Roman"/>
                <w:sz w:val="20"/>
                <w:szCs w:val="24"/>
                <w:lang w:val="ro-RO"/>
              </w:rPr>
              <w:t>m</w:t>
            </w:r>
            <w:r w:rsidRPr="00E4517B">
              <w:rPr>
                <w:rFonts w:asciiTheme="majorHAnsi" w:hAnsiTheme="majorHAnsi" w:cs="Times New Roman"/>
                <w:sz w:val="20"/>
                <w:szCs w:val="24"/>
                <w:lang w:val="ro-RO"/>
              </w:rPr>
              <w:t xml:space="preserve">inistrului </w:t>
            </w:r>
            <w:r w:rsidR="00CC2C91">
              <w:rPr>
                <w:rFonts w:asciiTheme="majorHAnsi" w:hAnsiTheme="majorHAnsi" w:cs="Times New Roman"/>
                <w:sz w:val="20"/>
                <w:szCs w:val="24"/>
                <w:lang w:val="ro-RO"/>
              </w:rPr>
              <w:t>F</w:t>
            </w:r>
            <w:r w:rsidRPr="00E4517B">
              <w:rPr>
                <w:rFonts w:asciiTheme="majorHAnsi" w:hAnsiTheme="majorHAnsi" w:cs="Times New Roman"/>
                <w:sz w:val="20"/>
                <w:szCs w:val="24"/>
                <w:lang w:val="ro-RO"/>
              </w:rPr>
              <w:t>inanțelor nr. 185/2015.</w:t>
            </w:r>
          </w:p>
          <w:p w:rsidR="00C37226" w:rsidRPr="00E4517B" w:rsidRDefault="00C37226" w:rsidP="00B51730">
            <w:pPr>
              <w:spacing w:after="0"/>
              <w:rPr>
                <w:rFonts w:asciiTheme="majorHAnsi" w:hAnsiTheme="majorHAnsi" w:cs="Times New Roman"/>
                <w:sz w:val="20"/>
                <w:szCs w:val="24"/>
                <w:lang w:val="ro-RO"/>
              </w:rPr>
            </w:pPr>
            <w:r w:rsidRPr="00E4517B">
              <w:rPr>
                <w:rFonts w:asciiTheme="majorHAnsi" w:hAnsiTheme="majorHAnsi" w:cs="Times New Roman"/>
                <w:sz w:val="20"/>
                <w:szCs w:val="24"/>
                <w:lang w:val="ro-RO"/>
              </w:rPr>
              <w:t>În primăvara anului 2019, în cadrul vizitei oficiale la Washington, conducerea Ministerului Finanțelor a solicitat asistența tehnică în vederea evaluării sistemului de management a tuturor cheltuielilor capitale publice din Republica Moldova, care a fost acceptată de către FMI. Astfel, în luna octombrie 2019 în Republica Moldova s-a aflat un grup de experți ai FMI care au oferit asistență tehnică în procesul de evaluare a managementului investițiilor publice din Republica Moldova (Public Investment Management Assessment - PIMA). În rezultatul expertizei, a fost elaborat Raport</w:t>
            </w:r>
            <w:r w:rsidR="00CC2C91">
              <w:rPr>
                <w:rFonts w:asciiTheme="majorHAnsi" w:hAnsiTheme="majorHAnsi" w:cs="Times New Roman"/>
                <w:sz w:val="20"/>
                <w:szCs w:val="24"/>
                <w:lang w:val="ro-RO"/>
              </w:rPr>
              <w:t>ul</w:t>
            </w:r>
            <w:r w:rsidRPr="00E4517B">
              <w:rPr>
                <w:rFonts w:asciiTheme="majorHAnsi" w:hAnsiTheme="majorHAnsi" w:cs="Times New Roman"/>
                <w:sz w:val="20"/>
                <w:szCs w:val="24"/>
                <w:lang w:val="ro-RO"/>
              </w:rPr>
              <w:t xml:space="preserve"> preliminar care trasează părțile slabe și forte, lacunele existente în sistemul de management a</w:t>
            </w:r>
            <w:r w:rsidR="00CC2C91">
              <w:rPr>
                <w:rFonts w:asciiTheme="majorHAnsi" w:hAnsiTheme="majorHAnsi" w:cs="Times New Roman"/>
                <w:sz w:val="20"/>
                <w:szCs w:val="24"/>
                <w:lang w:val="ro-RO"/>
              </w:rPr>
              <w:t>l</w:t>
            </w:r>
            <w:r w:rsidRPr="00E4517B">
              <w:rPr>
                <w:rFonts w:asciiTheme="majorHAnsi" w:hAnsiTheme="majorHAnsi" w:cs="Times New Roman"/>
                <w:sz w:val="20"/>
                <w:szCs w:val="24"/>
                <w:lang w:val="ro-RO"/>
              </w:rPr>
              <w:t xml:space="preserve"> cheltuielilor capitale publice din Republica Moldova, precum și recomandările de îmbunătățire, perfecționare a sistemului, inclusiv a cadrului legislativ și normativ în vigoare. Respectiv, după prezentarea Raportului final al PIMA, în baza tuturor recomandărilor înaintate, Ministerul Finanțelor va reveni la elaborarea propunerilor de modificare a Hotărârii Guvernului nr.1029/2013</w:t>
            </w:r>
            <w:r w:rsidR="00CC2C91">
              <w:rPr>
                <w:rFonts w:asciiTheme="majorHAnsi" w:hAnsiTheme="majorHAnsi" w:cs="Times New Roman"/>
                <w:sz w:val="20"/>
                <w:szCs w:val="24"/>
                <w:lang w:val="ro-RO"/>
              </w:rPr>
              <w:t xml:space="preserve"> „</w:t>
            </w:r>
            <w:r w:rsidRPr="00E4517B">
              <w:rPr>
                <w:rFonts w:asciiTheme="majorHAnsi" w:hAnsiTheme="majorHAnsi" w:cs="Times New Roman"/>
                <w:sz w:val="20"/>
                <w:szCs w:val="24"/>
                <w:lang w:val="ro-RO"/>
              </w:rPr>
              <w:t>Cu privire la investițiile capitale publice</w:t>
            </w:r>
            <w:r w:rsidRPr="00F55BA6">
              <w:rPr>
                <w:rFonts w:asciiTheme="majorHAnsi" w:hAnsiTheme="majorHAnsi" w:cs="Times New Roman"/>
                <w:sz w:val="20"/>
                <w:szCs w:val="24"/>
                <w:lang w:val="ro-RO"/>
              </w:rPr>
              <w:t>”</w:t>
            </w:r>
            <w:r w:rsidRPr="00E4517B">
              <w:rPr>
                <w:rFonts w:asciiTheme="majorHAnsi" w:hAnsiTheme="majorHAnsi" w:cs="Times New Roman"/>
                <w:sz w:val="20"/>
                <w:szCs w:val="24"/>
                <w:lang w:val="ro-RO"/>
              </w:rPr>
              <w:t xml:space="preserve"> și</w:t>
            </w:r>
            <w:r w:rsidRPr="00973E5B">
              <w:rPr>
                <w:rFonts w:asciiTheme="majorHAnsi" w:hAnsiTheme="majorHAnsi" w:cs="Times New Roman"/>
                <w:sz w:val="20"/>
                <w:szCs w:val="24"/>
                <w:lang w:val="ro-RO"/>
              </w:rPr>
              <w:t xml:space="preserve"> a Ordinului ministrului </w:t>
            </w:r>
            <w:r w:rsidR="00CC2C91">
              <w:rPr>
                <w:rFonts w:asciiTheme="majorHAnsi" w:hAnsiTheme="majorHAnsi" w:cs="Times New Roman"/>
                <w:sz w:val="20"/>
                <w:szCs w:val="24"/>
                <w:lang w:val="ro-RO"/>
              </w:rPr>
              <w:t>F</w:t>
            </w:r>
            <w:r w:rsidRPr="00973E5B">
              <w:rPr>
                <w:rFonts w:asciiTheme="majorHAnsi" w:hAnsiTheme="majorHAnsi" w:cs="Times New Roman"/>
                <w:sz w:val="20"/>
                <w:szCs w:val="24"/>
                <w:lang w:val="ro-RO"/>
              </w:rPr>
              <w:t xml:space="preserve">inanțelor nr.185/2015 </w:t>
            </w:r>
            <w:r w:rsidR="00CC2C91">
              <w:rPr>
                <w:rFonts w:asciiTheme="majorHAnsi" w:hAnsiTheme="majorHAnsi" w:cs="Times New Roman"/>
                <w:sz w:val="20"/>
                <w:szCs w:val="24"/>
                <w:lang w:val="ro-RO"/>
              </w:rPr>
              <w:t>„</w:t>
            </w:r>
            <w:r w:rsidRPr="00973E5B">
              <w:rPr>
                <w:rFonts w:asciiTheme="majorHAnsi" w:hAnsiTheme="majorHAnsi" w:cs="Times New Roman"/>
                <w:sz w:val="20"/>
                <w:szCs w:val="24"/>
                <w:lang w:val="ro-RO"/>
              </w:rPr>
              <w:t>Cu privire la aprobarea Instrucțiunii privind managementul proiectelor de investiții capitale</w:t>
            </w:r>
            <w:r w:rsidRPr="00F55BA6">
              <w:rPr>
                <w:rFonts w:asciiTheme="majorHAnsi" w:hAnsiTheme="majorHAnsi" w:cs="Times New Roman"/>
                <w:sz w:val="20"/>
                <w:szCs w:val="24"/>
                <w:lang w:val="ro-RO"/>
              </w:rPr>
              <w:t>”</w:t>
            </w:r>
            <w:r w:rsidRPr="00E4517B">
              <w:rPr>
                <w:rFonts w:asciiTheme="majorHAnsi" w:hAnsiTheme="majorHAnsi" w:cs="Times New Roman"/>
                <w:sz w:val="20"/>
                <w:szCs w:val="24"/>
                <w:lang w:val="ro-RO"/>
              </w:rPr>
              <w:t>.</w:t>
            </w:r>
          </w:p>
          <w:p w:rsidR="00C37226" w:rsidRPr="009131CF" w:rsidRDefault="00C37226" w:rsidP="00B51730">
            <w:pPr>
              <w:spacing w:after="0" w:line="240" w:lineRule="auto"/>
              <w:rPr>
                <w:rFonts w:asciiTheme="majorHAnsi" w:eastAsia="Calibri" w:hAnsiTheme="majorHAnsi" w:cs="Times New Roman"/>
                <w:sz w:val="20"/>
                <w:szCs w:val="24"/>
                <w:lang w:val="ro-RO" w:eastAsia="ru-RU"/>
              </w:rPr>
            </w:pPr>
            <w:r w:rsidRPr="00973E5B">
              <w:rPr>
                <w:rFonts w:asciiTheme="majorHAnsi" w:eastAsia="Calibri" w:hAnsiTheme="majorHAnsi" w:cs="Times New Roman"/>
                <w:sz w:val="20"/>
                <w:szCs w:val="24"/>
                <w:lang w:val="ro-RO" w:eastAsia="ru-RU"/>
              </w:rPr>
              <w:t>În prezent în structurile organizatorice ale autorităților publice centrale nu există subdiviziuni care gestio</w:t>
            </w:r>
            <w:r w:rsidRPr="00207634">
              <w:rPr>
                <w:rFonts w:asciiTheme="majorHAnsi" w:eastAsia="Calibri" w:hAnsiTheme="majorHAnsi" w:cs="Times New Roman"/>
                <w:sz w:val="20"/>
                <w:szCs w:val="24"/>
                <w:lang w:val="ro-RO" w:eastAsia="ru-RU"/>
              </w:rPr>
              <w:t xml:space="preserve">nează proiectele de investiții capitale și respectiv lipsesc capacități de implementare a prevederilor Hotărârii Guvernului nr.1029/2013 „Cu privire la investițiile capitale publice”. Concomitent, prevederile Hotărârii Guvernului nr.1029/2013 nu se aplică </w:t>
            </w:r>
            <w:r w:rsidRPr="009131CF">
              <w:rPr>
                <w:rFonts w:asciiTheme="majorHAnsi" w:eastAsia="Calibri" w:hAnsiTheme="majorHAnsi" w:cs="Times New Roman"/>
                <w:sz w:val="20"/>
                <w:szCs w:val="24"/>
                <w:lang w:val="ro-RO" w:eastAsia="ru-RU"/>
              </w:rPr>
              <w:t xml:space="preserve">asupra tuturor surselor de finanțare a cheltuielilor de investiții capitale publice, și în special executate prin intermediul fondurilor de dezvoltare și subvențiilor </w:t>
            </w:r>
          </w:p>
          <w:p w:rsidR="00C37226" w:rsidRPr="00F55BA6" w:rsidRDefault="00C37226" w:rsidP="00B51730">
            <w:pPr>
              <w:spacing w:after="0" w:line="240" w:lineRule="auto"/>
              <w:rPr>
                <w:rFonts w:asciiTheme="majorHAnsi" w:eastAsia="Calibri" w:hAnsiTheme="majorHAnsi" w:cs="Times New Roman"/>
                <w:sz w:val="20"/>
                <w:szCs w:val="24"/>
                <w:lang w:val="ro-RO" w:eastAsia="ru-RU"/>
              </w:rPr>
            </w:pPr>
            <w:r w:rsidRPr="00F55BA6">
              <w:rPr>
                <w:rFonts w:asciiTheme="majorHAnsi" w:eastAsia="Calibri" w:hAnsiTheme="majorHAnsi" w:cs="Times New Roman"/>
                <w:sz w:val="20"/>
                <w:szCs w:val="24"/>
                <w:lang w:val="ro-RO" w:eastAsia="ru-RU"/>
              </w:rPr>
              <w:lastRenderedPageBreak/>
              <w:t>Conform recomandării CCRM, MF urma să asigure respectarea prevederilor actelor normative existente, care stabilesc metodologia transparentă și eficientă de planificare, implementare și gestionare a investițiilor capitale publice și care stipulează distinct atribuțiile MF la toate etapele de executare ale acestora</w:t>
            </w:r>
          </w:p>
        </w:tc>
        <w:tc>
          <w:tcPr>
            <w:tcW w:w="993" w:type="dxa"/>
            <w:tcBorders>
              <w:top w:val="single" w:sz="8" w:space="0" w:color="auto"/>
              <w:left w:val="nil"/>
              <w:bottom w:val="single" w:sz="8" w:space="0" w:color="auto"/>
              <w:right w:val="single" w:sz="8" w:space="0" w:color="auto"/>
            </w:tcBorders>
          </w:tcPr>
          <w:p w:rsidR="00C37226" w:rsidRPr="00E4517B" w:rsidRDefault="00C37226" w:rsidP="00B51730">
            <w:pPr>
              <w:spacing w:after="0" w:line="240" w:lineRule="auto"/>
              <w:rPr>
                <w:rFonts w:asciiTheme="majorHAnsi" w:eastAsia="Calibri" w:hAnsiTheme="majorHAnsi" w:cstheme="majorHAnsi"/>
                <w:sz w:val="20"/>
                <w:szCs w:val="20"/>
                <w:lang w:val="ro-RO"/>
              </w:rPr>
            </w:pPr>
          </w:p>
        </w:tc>
        <w:tc>
          <w:tcPr>
            <w:tcW w:w="992" w:type="dxa"/>
            <w:tcBorders>
              <w:top w:val="single" w:sz="8" w:space="0" w:color="auto"/>
              <w:left w:val="nil"/>
              <w:bottom w:val="single" w:sz="8" w:space="0" w:color="auto"/>
              <w:right w:val="single" w:sz="8" w:space="0" w:color="auto"/>
            </w:tcBorders>
          </w:tcPr>
          <w:p w:rsidR="00C37226" w:rsidRPr="00973E5B" w:rsidRDefault="00C37226" w:rsidP="00B51730">
            <w:pPr>
              <w:spacing w:after="0" w:line="240" w:lineRule="auto"/>
              <w:jc w:val="center"/>
              <w:rPr>
                <w:rFonts w:asciiTheme="majorHAnsi" w:eastAsia="Calibri" w:hAnsiTheme="majorHAnsi" w:cstheme="majorHAnsi"/>
                <w:sz w:val="20"/>
                <w:szCs w:val="20"/>
                <w:lang w:val="ro-RO"/>
              </w:rPr>
            </w:pPr>
            <w:r w:rsidRPr="00973E5B">
              <w:rPr>
                <w:rFonts w:asciiTheme="majorHAnsi" w:eastAsia="Calibri" w:hAnsiTheme="majorHAnsi" w:cstheme="majorHAnsi"/>
                <w:sz w:val="20"/>
                <w:szCs w:val="20"/>
                <w:lang w:val="ro-RO"/>
              </w:rPr>
              <w:t>v</w:t>
            </w:r>
          </w:p>
        </w:tc>
        <w:tc>
          <w:tcPr>
            <w:tcW w:w="992" w:type="dxa"/>
            <w:tcBorders>
              <w:top w:val="single" w:sz="8" w:space="0" w:color="auto"/>
              <w:left w:val="nil"/>
              <w:bottom w:val="single" w:sz="8" w:space="0" w:color="auto"/>
              <w:right w:val="single" w:sz="8" w:space="0" w:color="auto"/>
            </w:tcBorders>
          </w:tcPr>
          <w:p w:rsidR="00C37226" w:rsidRPr="009131CF" w:rsidRDefault="00C37226" w:rsidP="00B51730">
            <w:pPr>
              <w:spacing w:after="0" w:line="240" w:lineRule="auto"/>
              <w:jc w:val="center"/>
              <w:rPr>
                <w:rFonts w:asciiTheme="majorHAnsi" w:eastAsia="Calibri" w:hAnsiTheme="majorHAnsi" w:cstheme="majorHAnsi"/>
                <w:sz w:val="20"/>
                <w:szCs w:val="20"/>
                <w:lang w:val="ro-RO"/>
              </w:rPr>
            </w:pPr>
          </w:p>
        </w:tc>
      </w:tr>
      <w:tr w:rsidR="00A63A06" w:rsidRPr="00E4517B" w:rsidTr="00C37226">
        <w:trPr>
          <w:trHeight w:val="1870"/>
        </w:trPr>
        <w:tc>
          <w:tcPr>
            <w:tcW w:w="5671" w:type="dxa"/>
            <w:tcBorders>
              <w:top w:val="single" w:sz="8" w:space="0" w:color="auto"/>
              <w:left w:val="single" w:sz="8" w:space="0" w:color="auto"/>
              <w:bottom w:val="single" w:sz="8" w:space="0" w:color="auto"/>
              <w:right w:val="single" w:sz="8" w:space="0" w:color="auto"/>
            </w:tcBorders>
            <w:shd w:val="clear" w:color="auto" w:fill="auto"/>
          </w:tcPr>
          <w:p w:rsidR="00A63A06" w:rsidRPr="009131CF" w:rsidRDefault="00A63A06" w:rsidP="00A63A06">
            <w:pPr>
              <w:spacing w:after="0" w:line="240" w:lineRule="auto"/>
              <w:rPr>
                <w:rFonts w:asciiTheme="majorHAnsi" w:hAnsiTheme="majorHAnsi" w:cstheme="majorHAnsi"/>
                <w:b/>
                <w:i/>
                <w:sz w:val="20"/>
                <w:szCs w:val="20"/>
                <w:lang w:val="ro-RO"/>
              </w:rPr>
            </w:pPr>
            <w:r w:rsidRPr="00E4517B">
              <w:rPr>
                <w:rFonts w:asciiTheme="majorHAnsi" w:hAnsiTheme="majorHAnsi" w:cstheme="majorHAnsi"/>
                <w:b/>
                <w:i/>
                <w:sz w:val="20"/>
                <w:szCs w:val="20"/>
                <w:lang w:val="ro-RO"/>
              </w:rPr>
              <w:t xml:space="preserve">Recomandare nr.6. </w:t>
            </w:r>
            <w:r w:rsidRPr="00973E5B">
              <w:rPr>
                <w:rFonts w:asciiTheme="majorHAnsi" w:hAnsiTheme="majorHAnsi" w:cstheme="majorHAnsi"/>
                <w:sz w:val="20"/>
                <w:szCs w:val="20"/>
                <w:lang w:val="ro-RO"/>
              </w:rPr>
              <w:t>Să a</w:t>
            </w:r>
            <w:r w:rsidRPr="00207634">
              <w:rPr>
                <w:rFonts w:asciiTheme="majorHAnsi" w:hAnsiTheme="majorHAnsi" w:cstheme="majorHAnsi"/>
                <w:sz w:val="20"/>
                <w:szCs w:val="20"/>
                <w:lang w:val="ro-RO"/>
              </w:rPr>
              <w:t>sigure includerea și prezentarea în componența și formatul formularelor Raportului anual privind executarea bugetului de stat a informației consolidate aferente rapoartelor financiare ale APC și UAT, în special situațiile patrimoniale reflectate în „Bilanț</w:t>
            </w:r>
            <w:r w:rsidRPr="009131CF">
              <w:rPr>
                <w:rFonts w:asciiTheme="majorHAnsi" w:hAnsiTheme="majorHAnsi" w:cstheme="majorHAnsi"/>
                <w:sz w:val="20"/>
                <w:szCs w:val="20"/>
                <w:lang w:val="ro-RO"/>
              </w:rPr>
              <w:t>ul contabil” (constatarea din capitolul 4.2.9)</w:t>
            </w:r>
          </w:p>
        </w:tc>
        <w:tc>
          <w:tcPr>
            <w:tcW w:w="6378" w:type="dxa"/>
            <w:tcBorders>
              <w:top w:val="single" w:sz="8" w:space="0" w:color="auto"/>
              <w:left w:val="nil"/>
              <w:bottom w:val="single" w:sz="8" w:space="0" w:color="auto"/>
              <w:right w:val="single" w:sz="8" w:space="0" w:color="auto"/>
            </w:tcBorders>
            <w:shd w:val="clear" w:color="auto" w:fill="auto"/>
          </w:tcPr>
          <w:p w:rsidR="00A63A06" w:rsidRPr="00E4517B" w:rsidRDefault="00A63A06" w:rsidP="00CC2C91">
            <w:pPr>
              <w:spacing w:after="0"/>
              <w:rPr>
                <w:rFonts w:asciiTheme="majorHAnsi" w:hAnsiTheme="majorHAnsi" w:cs="Times New Roman"/>
                <w:sz w:val="20"/>
                <w:szCs w:val="24"/>
                <w:lang w:val="ro-RO"/>
              </w:rPr>
            </w:pPr>
            <w:r w:rsidRPr="00F55BA6">
              <w:rPr>
                <w:rFonts w:asciiTheme="majorHAnsi" w:eastAsia="Times New Roman" w:hAnsiTheme="majorHAnsi" w:cs="Times New Roman"/>
                <w:sz w:val="20"/>
                <w:szCs w:val="24"/>
                <w:lang w:val="ro-RO" w:eastAsia="ru-RU"/>
              </w:rPr>
              <w:t>Începând cu Raportul pe anul 2018, în Raportul anual privind executarea bugetului de stat prezentat la Guvern este inclusă informația privind activele autorităților publice centrale (mijloace fixe, stocuri de materiale circulante, producție în curs de execuție, terenuri, acțiuni și alte forme de participare în capital în interiorul țării) doar în Nota narativă</w:t>
            </w:r>
            <w:r w:rsidR="00CC2C91">
              <w:rPr>
                <w:rFonts w:asciiTheme="majorHAnsi" w:eastAsia="Times New Roman" w:hAnsiTheme="majorHAnsi" w:cs="Times New Roman"/>
                <w:sz w:val="20"/>
                <w:szCs w:val="24"/>
                <w:lang w:val="ro-RO" w:eastAsia="ru-RU"/>
              </w:rPr>
              <w:t>,</w:t>
            </w:r>
            <w:r w:rsidRPr="00F55BA6">
              <w:rPr>
                <w:rFonts w:asciiTheme="majorHAnsi" w:eastAsia="Times New Roman" w:hAnsiTheme="majorHAnsi" w:cs="Times New Roman"/>
                <w:sz w:val="20"/>
                <w:szCs w:val="24"/>
                <w:lang w:val="ro-RO" w:eastAsia="ru-RU"/>
              </w:rPr>
              <w:t xml:space="preserve"> nefiind elaborat un Formular</w:t>
            </w:r>
          </w:p>
        </w:tc>
        <w:tc>
          <w:tcPr>
            <w:tcW w:w="993" w:type="dxa"/>
            <w:tcBorders>
              <w:top w:val="single" w:sz="8" w:space="0" w:color="auto"/>
              <w:left w:val="nil"/>
              <w:bottom w:val="single" w:sz="8" w:space="0" w:color="auto"/>
              <w:right w:val="single" w:sz="8" w:space="0" w:color="auto"/>
            </w:tcBorders>
          </w:tcPr>
          <w:p w:rsidR="00A63A06" w:rsidRPr="00973E5B" w:rsidRDefault="00A63A06" w:rsidP="00A63A06">
            <w:pPr>
              <w:spacing w:after="0" w:line="240" w:lineRule="auto"/>
              <w:rPr>
                <w:rFonts w:asciiTheme="majorHAnsi" w:eastAsia="Calibri" w:hAnsiTheme="majorHAnsi" w:cstheme="majorHAnsi"/>
                <w:sz w:val="20"/>
                <w:szCs w:val="20"/>
                <w:lang w:val="ro-RO"/>
              </w:rPr>
            </w:pPr>
          </w:p>
        </w:tc>
        <w:tc>
          <w:tcPr>
            <w:tcW w:w="992" w:type="dxa"/>
            <w:tcBorders>
              <w:top w:val="single" w:sz="8" w:space="0" w:color="auto"/>
              <w:left w:val="nil"/>
              <w:bottom w:val="single" w:sz="8" w:space="0" w:color="auto"/>
              <w:right w:val="single" w:sz="8" w:space="0" w:color="auto"/>
            </w:tcBorders>
          </w:tcPr>
          <w:p w:rsidR="00A63A06" w:rsidRPr="009131CF" w:rsidRDefault="00A63A06" w:rsidP="00A63A06">
            <w:pPr>
              <w:spacing w:after="0" w:line="240" w:lineRule="auto"/>
              <w:jc w:val="center"/>
              <w:rPr>
                <w:rFonts w:asciiTheme="majorHAnsi" w:eastAsia="Calibri" w:hAnsiTheme="majorHAnsi" w:cstheme="majorHAnsi"/>
                <w:sz w:val="20"/>
                <w:szCs w:val="20"/>
                <w:lang w:val="ro-RO"/>
              </w:rPr>
            </w:pPr>
            <w:r w:rsidRPr="009131CF">
              <w:rPr>
                <w:rFonts w:asciiTheme="majorHAnsi" w:eastAsia="Calibri" w:hAnsiTheme="majorHAnsi" w:cstheme="majorHAnsi"/>
                <w:sz w:val="20"/>
                <w:szCs w:val="20"/>
                <w:lang w:val="ro-RO"/>
              </w:rPr>
              <w:t>v</w:t>
            </w:r>
          </w:p>
        </w:tc>
        <w:tc>
          <w:tcPr>
            <w:tcW w:w="992" w:type="dxa"/>
            <w:tcBorders>
              <w:top w:val="single" w:sz="8" w:space="0" w:color="auto"/>
              <w:left w:val="nil"/>
              <w:bottom w:val="single" w:sz="8" w:space="0" w:color="auto"/>
              <w:right w:val="single" w:sz="8" w:space="0" w:color="auto"/>
            </w:tcBorders>
          </w:tcPr>
          <w:p w:rsidR="00A63A06" w:rsidRPr="00E4517B" w:rsidRDefault="00A63A06" w:rsidP="00A63A06">
            <w:pPr>
              <w:spacing w:after="0" w:line="240" w:lineRule="auto"/>
              <w:jc w:val="center"/>
              <w:rPr>
                <w:rFonts w:asciiTheme="majorHAnsi" w:eastAsia="Calibri" w:hAnsiTheme="majorHAnsi" w:cstheme="majorHAnsi"/>
                <w:sz w:val="20"/>
                <w:szCs w:val="20"/>
                <w:lang w:val="ro-RO"/>
              </w:rPr>
            </w:pPr>
          </w:p>
        </w:tc>
      </w:tr>
    </w:tbl>
    <w:p w:rsidR="00C37226" w:rsidRPr="00F55BA6" w:rsidRDefault="00C37226" w:rsidP="00C37226">
      <w:pPr>
        <w:jc w:val="left"/>
        <w:rPr>
          <w:rFonts w:asciiTheme="majorHAnsi" w:hAnsiTheme="majorHAnsi" w:cstheme="majorHAnsi"/>
          <w:b/>
          <w:i/>
          <w:sz w:val="20"/>
          <w:szCs w:val="20"/>
          <w:lang w:val="ro-RO"/>
        </w:rPr>
      </w:pPr>
    </w:p>
    <w:p w:rsidR="00424F4D" w:rsidRPr="00F55BA6" w:rsidRDefault="00424F4D" w:rsidP="00424F4D">
      <w:pPr>
        <w:spacing w:line="276" w:lineRule="auto"/>
        <w:jc w:val="right"/>
        <w:rPr>
          <w:rFonts w:asciiTheme="majorHAnsi" w:eastAsia="Times New Roman" w:hAnsiTheme="majorHAnsi" w:cstheme="majorHAnsi"/>
          <w:b/>
          <w:sz w:val="24"/>
          <w:szCs w:val="24"/>
          <w:lang w:val="ro-RO"/>
        </w:rPr>
      </w:pPr>
      <w:r w:rsidRPr="00F55BA6">
        <w:rPr>
          <w:rFonts w:asciiTheme="majorHAnsi" w:eastAsia="Times New Roman" w:hAnsiTheme="majorHAnsi" w:cstheme="majorHAnsi"/>
          <w:b/>
          <w:sz w:val="24"/>
          <w:szCs w:val="24"/>
          <w:lang w:val="ro-RO"/>
        </w:rPr>
        <w:t>Anexa nr.</w:t>
      </w:r>
      <w:r w:rsidR="001A250F" w:rsidRPr="00F55BA6">
        <w:rPr>
          <w:rFonts w:asciiTheme="majorHAnsi" w:eastAsia="Times New Roman" w:hAnsiTheme="majorHAnsi" w:cstheme="majorHAnsi"/>
          <w:b/>
          <w:sz w:val="24"/>
          <w:szCs w:val="24"/>
          <w:lang w:val="ro-RO"/>
        </w:rPr>
        <w:t>5</w:t>
      </w:r>
    </w:p>
    <w:p w:rsidR="00424F4D" w:rsidRPr="00E4517B" w:rsidRDefault="00424F4D" w:rsidP="00424F4D">
      <w:pPr>
        <w:tabs>
          <w:tab w:val="left" w:pos="993"/>
        </w:tabs>
        <w:spacing w:after="0" w:line="276" w:lineRule="auto"/>
        <w:ind w:firstLine="540"/>
        <w:jc w:val="center"/>
        <w:outlineLvl w:val="2"/>
        <w:rPr>
          <w:rFonts w:ascii="Calibri Light" w:hAnsi="Calibri Light" w:cs="Calibri Light"/>
          <w:b/>
          <w:sz w:val="24"/>
          <w:szCs w:val="24"/>
          <w:lang w:val="ro-RO"/>
        </w:rPr>
      </w:pPr>
      <w:r w:rsidRPr="00F55BA6">
        <w:rPr>
          <w:rFonts w:asciiTheme="majorHAnsi" w:eastAsia="Times New Roman" w:hAnsiTheme="majorHAnsi" w:cstheme="majorHAnsi"/>
          <w:b/>
          <w:bCs/>
          <w:sz w:val="24"/>
          <w:szCs w:val="24"/>
          <w:lang w:val="ro-RO"/>
        </w:rPr>
        <w:t>Sinteza subvențiilor executate din BS în anul 2020 și soldurile de mijloace bănești acumulate la beneficiarii de subvenții</w:t>
      </w:r>
    </w:p>
    <w:tbl>
      <w:tblPr>
        <w:tblW w:w="15230" w:type="dxa"/>
        <w:tblInd w:w="-426" w:type="dxa"/>
        <w:tblLook w:val="04A0" w:firstRow="1" w:lastRow="0" w:firstColumn="1" w:lastColumn="0" w:noHBand="0" w:noVBand="1"/>
      </w:tblPr>
      <w:tblGrid>
        <w:gridCol w:w="469"/>
        <w:gridCol w:w="1942"/>
        <w:gridCol w:w="709"/>
        <w:gridCol w:w="1171"/>
        <w:gridCol w:w="1171"/>
        <w:gridCol w:w="1171"/>
        <w:gridCol w:w="1171"/>
        <w:gridCol w:w="1035"/>
        <w:gridCol w:w="1035"/>
        <w:gridCol w:w="944"/>
        <w:gridCol w:w="1171"/>
        <w:gridCol w:w="1171"/>
        <w:gridCol w:w="1035"/>
        <w:gridCol w:w="1035"/>
      </w:tblGrid>
      <w:tr w:rsidR="00424F4D" w:rsidRPr="00E4517B" w:rsidTr="00B51730">
        <w:trPr>
          <w:trHeight w:val="288"/>
        </w:trPr>
        <w:tc>
          <w:tcPr>
            <w:tcW w:w="469" w:type="dxa"/>
            <w:tcBorders>
              <w:top w:val="nil"/>
              <w:left w:val="nil"/>
              <w:bottom w:val="nil"/>
              <w:right w:val="nil"/>
            </w:tcBorders>
            <w:shd w:val="clear" w:color="auto" w:fill="auto"/>
            <w:noWrap/>
            <w:vAlign w:val="bottom"/>
            <w:hideMark/>
          </w:tcPr>
          <w:p w:rsidR="00424F4D" w:rsidRPr="00F55BA6" w:rsidRDefault="00424F4D" w:rsidP="00B51730">
            <w:pPr>
              <w:spacing w:after="0" w:line="240" w:lineRule="auto"/>
              <w:jc w:val="left"/>
              <w:rPr>
                <w:rFonts w:asciiTheme="majorHAnsi" w:eastAsia="Times New Roman" w:hAnsiTheme="majorHAnsi" w:cstheme="majorHAnsi"/>
                <w:sz w:val="18"/>
                <w:szCs w:val="18"/>
                <w:lang w:val="ro-RO"/>
              </w:rPr>
            </w:pPr>
          </w:p>
        </w:tc>
        <w:tc>
          <w:tcPr>
            <w:tcW w:w="1942" w:type="dxa"/>
            <w:tcBorders>
              <w:top w:val="nil"/>
              <w:left w:val="nil"/>
              <w:bottom w:val="nil"/>
              <w:right w:val="nil"/>
            </w:tcBorders>
            <w:shd w:val="clear" w:color="auto" w:fill="auto"/>
            <w:noWrap/>
            <w:vAlign w:val="bottom"/>
            <w:hideMark/>
          </w:tcPr>
          <w:p w:rsidR="00424F4D" w:rsidRPr="00F55BA6" w:rsidRDefault="00424F4D" w:rsidP="00B51730">
            <w:pPr>
              <w:spacing w:after="0" w:line="240" w:lineRule="auto"/>
              <w:jc w:val="left"/>
              <w:rPr>
                <w:rFonts w:asciiTheme="majorHAnsi" w:eastAsia="Times New Roman" w:hAnsiTheme="majorHAnsi" w:cstheme="majorHAnsi"/>
                <w:sz w:val="18"/>
                <w:szCs w:val="18"/>
                <w:lang w:val="ro-RO"/>
              </w:rPr>
            </w:pPr>
          </w:p>
        </w:tc>
        <w:tc>
          <w:tcPr>
            <w:tcW w:w="709" w:type="dxa"/>
            <w:tcBorders>
              <w:top w:val="nil"/>
              <w:left w:val="nil"/>
              <w:bottom w:val="nil"/>
              <w:right w:val="nil"/>
            </w:tcBorders>
            <w:shd w:val="clear" w:color="auto" w:fill="auto"/>
            <w:noWrap/>
            <w:vAlign w:val="bottom"/>
            <w:hideMark/>
          </w:tcPr>
          <w:p w:rsidR="00424F4D" w:rsidRPr="00F55BA6" w:rsidRDefault="00424F4D" w:rsidP="00B51730">
            <w:pPr>
              <w:spacing w:after="0" w:line="240" w:lineRule="auto"/>
              <w:jc w:val="left"/>
              <w:rPr>
                <w:rFonts w:asciiTheme="majorHAnsi" w:eastAsia="Times New Roman" w:hAnsiTheme="majorHAnsi" w:cstheme="majorHAnsi"/>
                <w:sz w:val="18"/>
                <w:szCs w:val="18"/>
                <w:lang w:val="ro-RO"/>
              </w:rPr>
            </w:pPr>
          </w:p>
        </w:tc>
        <w:tc>
          <w:tcPr>
            <w:tcW w:w="1171" w:type="dxa"/>
            <w:tcBorders>
              <w:top w:val="nil"/>
              <w:left w:val="nil"/>
              <w:bottom w:val="nil"/>
              <w:right w:val="nil"/>
            </w:tcBorders>
            <w:shd w:val="clear" w:color="auto" w:fill="auto"/>
            <w:noWrap/>
            <w:vAlign w:val="bottom"/>
            <w:hideMark/>
          </w:tcPr>
          <w:p w:rsidR="00424F4D" w:rsidRPr="00F55BA6" w:rsidRDefault="00424F4D" w:rsidP="00B51730">
            <w:pPr>
              <w:spacing w:after="0" w:line="240" w:lineRule="auto"/>
              <w:jc w:val="left"/>
              <w:rPr>
                <w:rFonts w:asciiTheme="majorHAnsi" w:eastAsia="Times New Roman" w:hAnsiTheme="majorHAnsi" w:cstheme="majorHAnsi"/>
                <w:sz w:val="18"/>
                <w:szCs w:val="18"/>
                <w:lang w:val="ro-RO"/>
              </w:rPr>
            </w:pPr>
          </w:p>
        </w:tc>
        <w:tc>
          <w:tcPr>
            <w:tcW w:w="1171" w:type="dxa"/>
            <w:tcBorders>
              <w:top w:val="nil"/>
              <w:left w:val="nil"/>
              <w:bottom w:val="nil"/>
              <w:right w:val="nil"/>
            </w:tcBorders>
            <w:shd w:val="clear" w:color="auto" w:fill="auto"/>
            <w:noWrap/>
            <w:vAlign w:val="bottom"/>
            <w:hideMark/>
          </w:tcPr>
          <w:p w:rsidR="00424F4D" w:rsidRPr="00F55BA6" w:rsidRDefault="00424F4D" w:rsidP="00B51730">
            <w:pPr>
              <w:spacing w:after="0" w:line="240" w:lineRule="auto"/>
              <w:jc w:val="left"/>
              <w:rPr>
                <w:rFonts w:asciiTheme="majorHAnsi" w:eastAsia="Times New Roman" w:hAnsiTheme="majorHAnsi" w:cstheme="majorHAnsi"/>
                <w:sz w:val="18"/>
                <w:szCs w:val="18"/>
                <w:lang w:val="ro-RO"/>
              </w:rPr>
            </w:pPr>
          </w:p>
        </w:tc>
        <w:tc>
          <w:tcPr>
            <w:tcW w:w="1171" w:type="dxa"/>
            <w:tcBorders>
              <w:top w:val="nil"/>
              <w:left w:val="nil"/>
              <w:bottom w:val="nil"/>
              <w:right w:val="nil"/>
            </w:tcBorders>
            <w:shd w:val="clear" w:color="auto" w:fill="auto"/>
            <w:noWrap/>
            <w:vAlign w:val="bottom"/>
            <w:hideMark/>
          </w:tcPr>
          <w:p w:rsidR="00424F4D" w:rsidRPr="00F55BA6" w:rsidRDefault="00424F4D" w:rsidP="00B51730">
            <w:pPr>
              <w:spacing w:after="0" w:line="240" w:lineRule="auto"/>
              <w:jc w:val="left"/>
              <w:rPr>
                <w:rFonts w:asciiTheme="majorHAnsi" w:eastAsia="Times New Roman" w:hAnsiTheme="majorHAnsi" w:cstheme="majorHAnsi"/>
                <w:sz w:val="18"/>
                <w:szCs w:val="18"/>
                <w:lang w:val="ro-RO"/>
              </w:rPr>
            </w:pPr>
          </w:p>
        </w:tc>
        <w:tc>
          <w:tcPr>
            <w:tcW w:w="1171" w:type="dxa"/>
            <w:tcBorders>
              <w:top w:val="nil"/>
              <w:left w:val="nil"/>
              <w:bottom w:val="nil"/>
              <w:right w:val="nil"/>
            </w:tcBorders>
            <w:shd w:val="clear" w:color="auto" w:fill="auto"/>
            <w:noWrap/>
            <w:vAlign w:val="bottom"/>
            <w:hideMark/>
          </w:tcPr>
          <w:p w:rsidR="00424F4D" w:rsidRPr="00F55BA6" w:rsidRDefault="00424F4D" w:rsidP="00B51730">
            <w:pPr>
              <w:spacing w:after="0" w:line="240" w:lineRule="auto"/>
              <w:jc w:val="left"/>
              <w:rPr>
                <w:rFonts w:asciiTheme="majorHAnsi" w:eastAsia="Times New Roman" w:hAnsiTheme="majorHAnsi" w:cstheme="majorHAnsi"/>
                <w:sz w:val="18"/>
                <w:szCs w:val="18"/>
                <w:lang w:val="ro-RO"/>
              </w:rPr>
            </w:pPr>
          </w:p>
        </w:tc>
        <w:tc>
          <w:tcPr>
            <w:tcW w:w="1035" w:type="dxa"/>
            <w:tcBorders>
              <w:top w:val="nil"/>
              <w:left w:val="nil"/>
              <w:bottom w:val="nil"/>
              <w:right w:val="nil"/>
            </w:tcBorders>
            <w:shd w:val="clear" w:color="auto" w:fill="auto"/>
            <w:noWrap/>
            <w:vAlign w:val="bottom"/>
            <w:hideMark/>
          </w:tcPr>
          <w:p w:rsidR="00424F4D" w:rsidRPr="00F55BA6" w:rsidRDefault="00424F4D" w:rsidP="00B51730">
            <w:pPr>
              <w:spacing w:after="0" w:line="240" w:lineRule="auto"/>
              <w:jc w:val="left"/>
              <w:rPr>
                <w:rFonts w:asciiTheme="majorHAnsi" w:eastAsia="Times New Roman" w:hAnsiTheme="majorHAnsi" w:cstheme="majorHAnsi"/>
                <w:sz w:val="18"/>
                <w:szCs w:val="18"/>
                <w:lang w:val="ro-RO"/>
              </w:rPr>
            </w:pPr>
          </w:p>
        </w:tc>
        <w:tc>
          <w:tcPr>
            <w:tcW w:w="1035" w:type="dxa"/>
            <w:tcBorders>
              <w:top w:val="nil"/>
              <w:left w:val="nil"/>
              <w:bottom w:val="nil"/>
              <w:right w:val="nil"/>
            </w:tcBorders>
            <w:shd w:val="clear" w:color="auto" w:fill="auto"/>
            <w:noWrap/>
            <w:vAlign w:val="bottom"/>
            <w:hideMark/>
          </w:tcPr>
          <w:p w:rsidR="00424F4D" w:rsidRPr="00F55BA6" w:rsidRDefault="00424F4D" w:rsidP="00B51730">
            <w:pPr>
              <w:spacing w:after="0" w:line="240" w:lineRule="auto"/>
              <w:jc w:val="left"/>
              <w:rPr>
                <w:rFonts w:asciiTheme="majorHAnsi" w:eastAsia="Times New Roman" w:hAnsiTheme="majorHAnsi" w:cstheme="majorHAnsi"/>
                <w:sz w:val="18"/>
                <w:szCs w:val="18"/>
                <w:lang w:val="ro-RO"/>
              </w:rPr>
            </w:pPr>
          </w:p>
        </w:tc>
        <w:tc>
          <w:tcPr>
            <w:tcW w:w="944" w:type="dxa"/>
            <w:tcBorders>
              <w:top w:val="nil"/>
              <w:left w:val="nil"/>
              <w:bottom w:val="nil"/>
              <w:right w:val="nil"/>
            </w:tcBorders>
            <w:shd w:val="clear" w:color="auto" w:fill="auto"/>
            <w:noWrap/>
            <w:vAlign w:val="bottom"/>
            <w:hideMark/>
          </w:tcPr>
          <w:p w:rsidR="00424F4D" w:rsidRPr="00F55BA6" w:rsidRDefault="00424F4D" w:rsidP="00B51730">
            <w:pPr>
              <w:spacing w:after="0" w:line="240" w:lineRule="auto"/>
              <w:jc w:val="left"/>
              <w:rPr>
                <w:rFonts w:asciiTheme="majorHAnsi" w:eastAsia="Times New Roman" w:hAnsiTheme="majorHAnsi" w:cstheme="majorHAnsi"/>
                <w:sz w:val="18"/>
                <w:szCs w:val="18"/>
                <w:lang w:val="ro-RO"/>
              </w:rPr>
            </w:pPr>
          </w:p>
        </w:tc>
        <w:tc>
          <w:tcPr>
            <w:tcW w:w="1171" w:type="dxa"/>
            <w:tcBorders>
              <w:top w:val="nil"/>
              <w:left w:val="nil"/>
              <w:bottom w:val="nil"/>
              <w:right w:val="nil"/>
            </w:tcBorders>
            <w:shd w:val="clear" w:color="auto" w:fill="auto"/>
            <w:noWrap/>
            <w:vAlign w:val="bottom"/>
            <w:hideMark/>
          </w:tcPr>
          <w:p w:rsidR="00424F4D" w:rsidRPr="00F55BA6" w:rsidRDefault="00424F4D" w:rsidP="00B51730">
            <w:pPr>
              <w:spacing w:after="0" w:line="240" w:lineRule="auto"/>
              <w:jc w:val="left"/>
              <w:rPr>
                <w:rFonts w:asciiTheme="majorHAnsi" w:eastAsia="Times New Roman" w:hAnsiTheme="majorHAnsi" w:cstheme="majorHAnsi"/>
                <w:sz w:val="18"/>
                <w:szCs w:val="18"/>
                <w:lang w:val="ro-RO"/>
              </w:rPr>
            </w:pPr>
          </w:p>
        </w:tc>
        <w:tc>
          <w:tcPr>
            <w:tcW w:w="1171" w:type="dxa"/>
            <w:tcBorders>
              <w:top w:val="nil"/>
              <w:left w:val="nil"/>
              <w:bottom w:val="nil"/>
              <w:right w:val="nil"/>
            </w:tcBorders>
            <w:shd w:val="clear" w:color="auto" w:fill="auto"/>
            <w:noWrap/>
            <w:vAlign w:val="bottom"/>
            <w:hideMark/>
          </w:tcPr>
          <w:p w:rsidR="00424F4D" w:rsidRPr="00F55BA6" w:rsidRDefault="00424F4D" w:rsidP="00B51730">
            <w:pPr>
              <w:spacing w:after="0" w:line="240" w:lineRule="auto"/>
              <w:jc w:val="left"/>
              <w:rPr>
                <w:rFonts w:asciiTheme="majorHAnsi" w:eastAsia="Times New Roman" w:hAnsiTheme="majorHAnsi" w:cstheme="majorHAnsi"/>
                <w:sz w:val="18"/>
                <w:szCs w:val="18"/>
                <w:lang w:val="ro-RO"/>
              </w:rPr>
            </w:pPr>
          </w:p>
        </w:tc>
        <w:tc>
          <w:tcPr>
            <w:tcW w:w="1035" w:type="dxa"/>
            <w:tcBorders>
              <w:top w:val="nil"/>
              <w:left w:val="nil"/>
              <w:bottom w:val="nil"/>
              <w:right w:val="nil"/>
            </w:tcBorders>
            <w:shd w:val="clear" w:color="auto" w:fill="auto"/>
            <w:noWrap/>
            <w:vAlign w:val="bottom"/>
            <w:hideMark/>
          </w:tcPr>
          <w:p w:rsidR="00424F4D" w:rsidRPr="00F55BA6" w:rsidRDefault="00424F4D" w:rsidP="00B51730">
            <w:pPr>
              <w:spacing w:after="0" w:line="240" w:lineRule="auto"/>
              <w:jc w:val="left"/>
              <w:rPr>
                <w:rFonts w:asciiTheme="majorHAnsi" w:eastAsia="Times New Roman" w:hAnsiTheme="majorHAnsi" w:cstheme="majorHAnsi"/>
                <w:sz w:val="18"/>
                <w:szCs w:val="18"/>
                <w:lang w:val="ro-RO"/>
              </w:rPr>
            </w:pPr>
          </w:p>
        </w:tc>
        <w:tc>
          <w:tcPr>
            <w:tcW w:w="1035" w:type="dxa"/>
            <w:tcBorders>
              <w:top w:val="nil"/>
              <w:left w:val="nil"/>
              <w:bottom w:val="nil"/>
              <w:right w:val="nil"/>
            </w:tcBorders>
            <w:shd w:val="clear" w:color="auto" w:fill="auto"/>
            <w:noWrap/>
            <w:vAlign w:val="bottom"/>
            <w:hideMark/>
          </w:tcPr>
          <w:p w:rsidR="00424F4D" w:rsidRPr="00F55BA6" w:rsidRDefault="00424F4D" w:rsidP="00B51730">
            <w:pPr>
              <w:spacing w:after="0" w:line="240" w:lineRule="auto"/>
              <w:jc w:val="center"/>
              <w:rPr>
                <w:rFonts w:asciiTheme="majorHAnsi" w:eastAsia="Times New Roman" w:hAnsiTheme="majorHAnsi" w:cstheme="majorHAnsi"/>
                <w:b/>
                <w:bCs/>
                <w:color w:val="000000"/>
                <w:sz w:val="24"/>
                <w:szCs w:val="24"/>
                <w:lang w:val="ro-RO"/>
              </w:rPr>
            </w:pPr>
            <w:r w:rsidRPr="00F55BA6">
              <w:rPr>
                <w:rFonts w:asciiTheme="majorHAnsi" w:eastAsia="Times New Roman" w:hAnsiTheme="majorHAnsi" w:cstheme="majorHAnsi"/>
                <w:b/>
                <w:bCs/>
                <w:color w:val="000000"/>
                <w:sz w:val="24"/>
                <w:szCs w:val="24"/>
                <w:lang w:val="ro-RO"/>
              </w:rPr>
              <w:t>(mii lei)</w:t>
            </w:r>
          </w:p>
        </w:tc>
      </w:tr>
      <w:tr w:rsidR="00424F4D" w:rsidRPr="00E4517B" w:rsidTr="00B51730">
        <w:trPr>
          <w:trHeight w:val="1056"/>
        </w:trPr>
        <w:tc>
          <w:tcPr>
            <w:tcW w:w="4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4F4D" w:rsidRPr="00F55BA6" w:rsidRDefault="00424F4D" w:rsidP="00B51730">
            <w:pPr>
              <w:spacing w:after="0" w:line="240" w:lineRule="auto"/>
              <w:jc w:val="center"/>
              <w:rPr>
                <w:rFonts w:asciiTheme="majorHAnsi" w:eastAsia="Times New Roman" w:hAnsiTheme="majorHAnsi" w:cstheme="majorHAnsi"/>
                <w:b/>
                <w:bCs/>
                <w:color w:val="000000"/>
                <w:sz w:val="18"/>
                <w:szCs w:val="18"/>
                <w:lang w:val="ro-RO"/>
              </w:rPr>
            </w:pPr>
            <w:r w:rsidRPr="00F55BA6">
              <w:rPr>
                <w:rFonts w:asciiTheme="majorHAnsi" w:eastAsia="Times New Roman" w:hAnsiTheme="majorHAnsi" w:cstheme="majorHAnsi"/>
                <w:b/>
                <w:bCs/>
                <w:color w:val="000000"/>
                <w:sz w:val="18"/>
                <w:szCs w:val="18"/>
                <w:lang w:val="ro-RO"/>
              </w:rPr>
              <w:t>Nr. d/o</w:t>
            </w: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rsidR="00424F4D" w:rsidRPr="00F55BA6" w:rsidRDefault="00424F4D" w:rsidP="00B51730">
            <w:pPr>
              <w:spacing w:after="0" w:line="240" w:lineRule="auto"/>
              <w:jc w:val="center"/>
              <w:rPr>
                <w:rFonts w:asciiTheme="majorHAnsi" w:eastAsia="Times New Roman" w:hAnsiTheme="majorHAnsi" w:cstheme="majorHAnsi"/>
                <w:b/>
                <w:bCs/>
                <w:color w:val="000000"/>
                <w:sz w:val="18"/>
                <w:szCs w:val="18"/>
                <w:lang w:val="ro-RO"/>
              </w:rPr>
            </w:pPr>
            <w:r w:rsidRPr="00F55BA6">
              <w:rPr>
                <w:rFonts w:asciiTheme="majorHAnsi" w:eastAsia="Times New Roman" w:hAnsiTheme="majorHAnsi" w:cstheme="majorHAnsi"/>
                <w:b/>
                <w:bCs/>
                <w:color w:val="000000"/>
                <w:sz w:val="18"/>
                <w:szCs w:val="18"/>
                <w:lang w:val="ro-RO"/>
              </w:rPr>
              <w:t>Instituția</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24F4D" w:rsidRPr="00F55BA6" w:rsidRDefault="00424F4D" w:rsidP="00B51730">
            <w:pPr>
              <w:spacing w:after="0" w:line="240" w:lineRule="auto"/>
              <w:jc w:val="center"/>
              <w:rPr>
                <w:rFonts w:asciiTheme="majorHAnsi" w:eastAsia="Times New Roman" w:hAnsiTheme="majorHAnsi" w:cstheme="majorHAnsi"/>
                <w:b/>
                <w:bCs/>
                <w:color w:val="000000"/>
                <w:sz w:val="18"/>
                <w:szCs w:val="18"/>
                <w:lang w:val="ro-RO"/>
              </w:rPr>
            </w:pPr>
            <w:r w:rsidRPr="00F55BA6">
              <w:rPr>
                <w:rFonts w:asciiTheme="majorHAnsi" w:eastAsia="Times New Roman" w:hAnsiTheme="majorHAnsi" w:cstheme="majorHAnsi"/>
                <w:b/>
                <w:bCs/>
                <w:color w:val="000000"/>
                <w:sz w:val="18"/>
                <w:szCs w:val="18"/>
                <w:lang w:val="ro-RO"/>
              </w:rPr>
              <w:t>Cod</w:t>
            </w:r>
          </w:p>
        </w:tc>
        <w:tc>
          <w:tcPr>
            <w:tcW w:w="1171" w:type="dxa"/>
            <w:tcBorders>
              <w:top w:val="single" w:sz="4" w:space="0" w:color="auto"/>
              <w:left w:val="nil"/>
              <w:bottom w:val="single" w:sz="4" w:space="0" w:color="auto"/>
              <w:right w:val="single" w:sz="4" w:space="0" w:color="auto"/>
            </w:tcBorders>
            <w:shd w:val="clear" w:color="auto" w:fill="auto"/>
            <w:noWrap/>
            <w:vAlign w:val="center"/>
            <w:hideMark/>
          </w:tcPr>
          <w:p w:rsidR="00424F4D" w:rsidRPr="00F55BA6" w:rsidRDefault="00424F4D" w:rsidP="00B51730">
            <w:pPr>
              <w:spacing w:after="0" w:line="240" w:lineRule="auto"/>
              <w:jc w:val="center"/>
              <w:rPr>
                <w:rFonts w:asciiTheme="majorHAnsi" w:eastAsia="Times New Roman" w:hAnsiTheme="majorHAnsi" w:cstheme="majorHAnsi"/>
                <w:b/>
                <w:bCs/>
                <w:color w:val="000000"/>
                <w:sz w:val="18"/>
                <w:szCs w:val="18"/>
                <w:lang w:val="ro-RO"/>
              </w:rPr>
            </w:pPr>
            <w:r w:rsidRPr="00F55BA6">
              <w:rPr>
                <w:rFonts w:asciiTheme="majorHAnsi" w:eastAsia="Times New Roman" w:hAnsiTheme="majorHAnsi" w:cstheme="majorHAnsi"/>
                <w:b/>
                <w:bCs/>
                <w:color w:val="000000"/>
                <w:sz w:val="18"/>
                <w:szCs w:val="18"/>
                <w:lang w:val="ro-RO"/>
              </w:rPr>
              <w:t>Aprobat</w:t>
            </w:r>
          </w:p>
        </w:tc>
        <w:tc>
          <w:tcPr>
            <w:tcW w:w="1171" w:type="dxa"/>
            <w:tcBorders>
              <w:top w:val="single" w:sz="4" w:space="0" w:color="auto"/>
              <w:left w:val="nil"/>
              <w:bottom w:val="single" w:sz="4" w:space="0" w:color="auto"/>
              <w:right w:val="single" w:sz="4" w:space="0" w:color="auto"/>
            </w:tcBorders>
            <w:shd w:val="clear" w:color="auto" w:fill="auto"/>
            <w:noWrap/>
            <w:vAlign w:val="center"/>
            <w:hideMark/>
          </w:tcPr>
          <w:p w:rsidR="00424F4D" w:rsidRPr="00F55BA6" w:rsidRDefault="00424F4D" w:rsidP="00B51730">
            <w:pPr>
              <w:spacing w:after="0" w:line="240" w:lineRule="auto"/>
              <w:jc w:val="center"/>
              <w:rPr>
                <w:rFonts w:asciiTheme="majorHAnsi" w:eastAsia="Times New Roman" w:hAnsiTheme="majorHAnsi" w:cstheme="majorHAnsi"/>
                <w:b/>
                <w:bCs/>
                <w:color w:val="000000"/>
                <w:sz w:val="18"/>
                <w:szCs w:val="18"/>
                <w:lang w:val="ro-RO"/>
              </w:rPr>
            </w:pPr>
            <w:r w:rsidRPr="00F55BA6">
              <w:rPr>
                <w:rFonts w:asciiTheme="majorHAnsi" w:eastAsia="Times New Roman" w:hAnsiTheme="majorHAnsi" w:cstheme="majorHAnsi"/>
                <w:b/>
                <w:bCs/>
                <w:color w:val="000000"/>
                <w:sz w:val="18"/>
                <w:szCs w:val="18"/>
                <w:lang w:val="ro-RO"/>
              </w:rPr>
              <w:t>Precizat</w:t>
            </w:r>
          </w:p>
        </w:tc>
        <w:tc>
          <w:tcPr>
            <w:tcW w:w="1171" w:type="dxa"/>
            <w:tcBorders>
              <w:top w:val="single" w:sz="4" w:space="0" w:color="auto"/>
              <w:left w:val="nil"/>
              <w:bottom w:val="single" w:sz="4" w:space="0" w:color="auto"/>
              <w:right w:val="single" w:sz="4" w:space="0" w:color="auto"/>
            </w:tcBorders>
            <w:shd w:val="clear" w:color="auto" w:fill="auto"/>
            <w:noWrap/>
            <w:vAlign w:val="center"/>
            <w:hideMark/>
          </w:tcPr>
          <w:p w:rsidR="00424F4D" w:rsidRPr="00F55BA6" w:rsidRDefault="00424F4D" w:rsidP="00B51730">
            <w:pPr>
              <w:spacing w:after="0" w:line="240" w:lineRule="auto"/>
              <w:jc w:val="center"/>
              <w:rPr>
                <w:rFonts w:asciiTheme="majorHAnsi" w:eastAsia="Times New Roman" w:hAnsiTheme="majorHAnsi" w:cstheme="majorHAnsi"/>
                <w:b/>
                <w:bCs/>
                <w:color w:val="000000"/>
                <w:sz w:val="18"/>
                <w:szCs w:val="18"/>
                <w:lang w:val="ro-RO"/>
              </w:rPr>
            </w:pPr>
            <w:r w:rsidRPr="00F55BA6">
              <w:rPr>
                <w:rFonts w:asciiTheme="majorHAnsi" w:eastAsia="Times New Roman" w:hAnsiTheme="majorHAnsi" w:cstheme="majorHAnsi"/>
                <w:b/>
                <w:bCs/>
                <w:color w:val="000000"/>
                <w:sz w:val="18"/>
                <w:szCs w:val="18"/>
                <w:lang w:val="ro-RO"/>
              </w:rPr>
              <w:t>Executat</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424F4D" w:rsidRPr="00F55BA6" w:rsidRDefault="00424F4D" w:rsidP="00B51730">
            <w:pPr>
              <w:spacing w:after="0" w:line="240" w:lineRule="auto"/>
              <w:jc w:val="center"/>
              <w:rPr>
                <w:rFonts w:asciiTheme="majorHAnsi" w:eastAsia="Times New Roman" w:hAnsiTheme="majorHAnsi" w:cstheme="majorHAnsi"/>
                <w:b/>
                <w:bCs/>
                <w:color w:val="000000"/>
                <w:sz w:val="18"/>
                <w:szCs w:val="18"/>
                <w:lang w:val="ro-RO"/>
              </w:rPr>
            </w:pPr>
            <w:r w:rsidRPr="00F55BA6">
              <w:rPr>
                <w:rFonts w:asciiTheme="majorHAnsi" w:eastAsia="Times New Roman" w:hAnsiTheme="majorHAnsi" w:cstheme="majorHAnsi"/>
                <w:b/>
                <w:bCs/>
                <w:color w:val="000000"/>
                <w:sz w:val="18"/>
                <w:szCs w:val="18"/>
                <w:lang w:val="ro-RO"/>
              </w:rPr>
              <w:t>Executat conform Raportului instituției</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424F4D" w:rsidRPr="00F55BA6" w:rsidRDefault="00424F4D" w:rsidP="00B51730">
            <w:pPr>
              <w:spacing w:after="0" w:line="240" w:lineRule="auto"/>
              <w:jc w:val="center"/>
              <w:rPr>
                <w:rFonts w:asciiTheme="majorHAnsi" w:eastAsia="Times New Roman" w:hAnsiTheme="majorHAnsi" w:cstheme="majorHAnsi"/>
                <w:b/>
                <w:bCs/>
                <w:color w:val="000000"/>
                <w:sz w:val="18"/>
                <w:szCs w:val="18"/>
                <w:lang w:val="ro-RO"/>
              </w:rPr>
            </w:pPr>
            <w:r w:rsidRPr="00F55BA6">
              <w:rPr>
                <w:rFonts w:asciiTheme="majorHAnsi" w:eastAsia="Times New Roman" w:hAnsiTheme="majorHAnsi" w:cstheme="majorHAnsi"/>
                <w:b/>
                <w:bCs/>
                <w:color w:val="000000"/>
                <w:sz w:val="18"/>
                <w:szCs w:val="18"/>
                <w:lang w:val="ro-RO"/>
              </w:rPr>
              <w:t>Sold final raportat în anul precedent</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424F4D" w:rsidRPr="00F55BA6" w:rsidRDefault="00424F4D" w:rsidP="00B51730">
            <w:pPr>
              <w:spacing w:after="0" w:line="240" w:lineRule="auto"/>
              <w:jc w:val="center"/>
              <w:rPr>
                <w:rFonts w:asciiTheme="majorHAnsi" w:eastAsia="Times New Roman" w:hAnsiTheme="majorHAnsi" w:cstheme="majorHAnsi"/>
                <w:b/>
                <w:bCs/>
                <w:color w:val="000000"/>
                <w:sz w:val="18"/>
                <w:szCs w:val="18"/>
                <w:lang w:val="ro-RO"/>
              </w:rPr>
            </w:pPr>
            <w:r w:rsidRPr="00F55BA6">
              <w:rPr>
                <w:rFonts w:asciiTheme="majorHAnsi" w:eastAsia="Times New Roman" w:hAnsiTheme="majorHAnsi" w:cstheme="majorHAnsi"/>
                <w:b/>
                <w:bCs/>
                <w:color w:val="000000"/>
                <w:sz w:val="18"/>
                <w:szCs w:val="18"/>
                <w:lang w:val="ro-RO"/>
              </w:rPr>
              <w:t>Sold la 01.01.2020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424F4D" w:rsidRPr="00F55BA6" w:rsidRDefault="00424F4D" w:rsidP="00B51730">
            <w:pPr>
              <w:spacing w:after="0" w:line="240" w:lineRule="auto"/>
              <w:jc w:val="center"/>
              <w:rPr>
                <w:rFonts w:asciiTheme="majorHAnsi" w:eastAsia="Times New Roman" w:hAnsiTheme="majorHAnsi" w:cstheme="majorHAnsi"/>
                <w:b/>
                <w:bCs/>
                <w:color w:val="000000"/>
                <w:sz w:val="18"/>
                <w:szCs w:val="18"/>
                <w:lang w:val="ro-RO"/>
              </w:rPr>
            </w:pPr>
            <w:r w:rsidRPr="00F55BA6">
              <w:rPr>
                <w:rFonts w:asciiTheme="majorHAnsi" w:eastAsia="Times New Roman" w:hAnsiTheme="majorHAnsi" w:cstheme="majorHAnsi"/>
                <w:b/>
                <w:bCs/>
                <w:color w:val="000000"/>
                <w:sz w:val="18"/>
                <w:szCs w:val="18"/>
                <w:lang w:val="ro-RO"/>
              </w:rPr>
              <w:t>Devieri (+/-)</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424F4D" w:rsidRPr="00F55BA6" w:rsidRDefault="00424F4D" w:rsidP="00B51730">
            <w:pPr>
              <w:spacing w:after="0" w:line="240" w:lineRule="auto"/>
              <w:jc w:val="center"/>
              <w:rPr>
                <w:rFonts w:asciiTheme="majorHAnsi" w:eastAsia="Times New Roman" w:hAnsiTheme="majorHAnsi" w:cstheme="majorHAnsi"/>
                <w:b/>
                <w:bCs/>
                <w:color w:val="000000"/>
                <w:sz w:val="18"/>
                <w:szCs w:val="18"/>
                <w:lang w:val="ro-RO"/>
              </w:rPr>
            </w:pPr>
            <w:r w:rsidRPr="00F55BA6">
              <w:rPr>
                <w:rFonts w:asciiTheme="majorHAnsi" w:eastAsia="Times New Roman" w:hAnsiTheme="majorHAnsi" w:cstheme="majorHAnsi"/>
                <w:b/>
                <w:bCs/>
                <w:color w:val="000000"/>
                <w:sz w:val="18"/>
                <w:szCs w:val="18"/>
                <w:lang w:val="ro-RO"/>
              </w:rPr>
              <w:t>Cheltuieli executate</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424F4D" w:rsidRPr="00F55BA6" w:rsidRDefault="00424F4D" w:rsidP="00B51730">
            <w:pPr>
              <w:spacing w:after="0" w:line="240" w:lineRule="auto"/>
              <w:jc w:val="center"/>
              <w:rPr>
                <w:rFonts w:asciiTheme="majorHAnsi" w:eastAsia="Times New Roman" w:hAnsiTheme="majorHAnsi" w:cstheme="majorHAnsi"/>
                <w:b/>
                <w:bCs/>
                <w:color w:val="000000"/>
                <w:sz w:val="18"/>
                <w:szCs w:val="18"/>
                <w:lang w:val="ro-RO"/>
              </w:rPr>
            </w:pPr>
            <w:r w:rsidRPr="00F55BA6">
              <w:rPr>
                <w:rFonts w:asciiTheme="majorHAnsi" w:eastAsia="Times New Roman" w:hAnsiTheme="majorHAnsi" w:cstheme="majorHAnsi"/>
                <w:b/>
                <w:bCs/>
                <w:color w:val="000000"/>
                <w:sz w:val="18"/>
                <w:szCs w:val="18"/>
                <w:lang w:val="ro-RO"/>
              </w:rPr>
              <w:t>Cheltuieli efective</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424F4D" w:rsidRPr="00F55BA6" w:rsidRDefault="00424F4D" w:rsidP="00B51730">
            <w:pPr>
              <w:spacing w:after="0" w:line="240" w:lineRule="auto"/>
              <w:jc w:val="center"/>
              <w:rPr>
                <w:rFonts w:asciiTheme="majorHAnsi" w:eastAsia="Times New Roman" w:hAnsiTheme="majorHAnsi" w:cstheme="majorHAnsi"/>
                <w:b/>
                <w:bCs/>
                <w:color w:val="000000"/>
                <w:sz w:val="18"/>
                <w:szCs w:val="18"/>
                <w:lang w:val="ro-RO"/>
              </w:rPr>
            </w:pPr>
            <w:r w:rsidRPr="00F55BA6">
              <w:rPr>
                <w:rFonts w:asciiTheme="majorHAnsi" w:eastAsia="Times New Roman" w:hAnsiTheme="majorHAnsi" w:cstheme="majorHAnsi"/>
                <w:b/>
                <w:bCs/>
                <w:color w:val="000000"/>
                <w:sz w:val="18"/>
                <w:szCs w:val="18"/>
                <w:lang w:val="ro-RO"/>
              </w:rPr>
              <w:t>Sold de mijloace bănești la 31.12.2020</w:t>
            </w:r>
          </w:p>
        </w:tc>
        <w:tc>
          <w:tcPr>
            <w:tcW w:w="1035" w:type="dxa"/>
            <w:tcBorders>
              <w:top w:val="single" w:sz="4" w:space="0" w:color="auto"/>
              <w:left w:val="nil"/>
              <w:bottom w:val="single" w:sz="4" w:space="0" w:color="auto"/>
              <w:right w:val="single" w:sz="4" w:space="0" w:color="auto"/>
            </w:tcBorders>
            <w:shd w:val="clear" w:color="000000" w:fill="F2F2F2"/>
            <w:vAlign w:val="center"/>
            <w:hideMark/>
          </w:tcPr>
          <w:p w:rsidR="00424F4D" w:rsidRPr="00F55BA6" w:rsidRDefault="00424F4D" w:rsidP="00B51730">
            <w:pPr>
              <w:spacing w:after="0" w:line="240" w:lineRule="auto"/>
              <w:jc w:val="center"/>
              <w:rPr>
                <w:rFonts w:asciiTheme="majorHAnsi" w:eastAsia="Times New Roman" w:hAnsiTheme="majorHAnsi" w:cstheme="majorHAnsi"/>
                <w:b/>
                <w:bCs/>
                <w:color w:val="000000"/>
                <w:sz w:val="18"/>
                <w:szCs w:val="18"/>
                <w:lang w:val="ro-RO"/>
              </w:rPr>
            </w:pPr>
            <w:r w:rsidRPr="00F55BA6">
              <w:rPr>
                <w:rFonts w:asciiTheme="majorHAnsi" w:eastAsia="Times New Roman" w:hAnsiTheme="majorHAnsi" w:cstheme="majorHAnsi"/>
                <w:b/>
                <w:bCs/>
                <w:color w:val="000000"/>
                <w:sz w:val="18"/>
                <w:szCs w:val="18"/>
                <w:lang w:val="ro-RO"/>
              </w:rPr>
              <w:t>Sold recalculat de către echipa de audit</w:t>
            </w:r>
          </w:p>
        </w:tc>
      </w:tr>
      <w:tr w:rsidR="00424F4D" w:rsidRPr="00E4517B" w:rsidTr="00B51730">
        <w:trPr>
          <w:trHeight w:val="288"/>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424F4D" w:rsidRPr="00F55BA6" w:rsidRDefault="00424F4D" w:rsidP="00B51730">
            <w:pPr>
              <w:spacing w:after="0" w:line="240" w:lineRule="auto"/>
              <w:jc w:val="left"/>
              <w:rPr>
                <w:rFonts w:asciiTheme="majorHAnsi" w:eastAsia="Times New Roman" w:hAnsiTheme="majorHAnsi" w:cstheme="majorHAnsi"/>
                <w:b/>
                <w:bCs/>
                <w:color w:val="000000"/>
                <w:sz w:val="18"/>
                <w:szCs w:val="18"/>
                <w:lang w:val="ro-RO"/>
              </w:rPr>
            </w:pPr>
          </w:p>
        </w:tc>
        <w:tc>
          <w:tcPr>
            <w:tcW w:w="1942" w:type="dxa"/>
            <w:tcBorders>
              <w:top w:val="nil"/>
              <w:left w:val="nil"/>
              <w:bottom w:val="single" w:sz="4" w:space="0" w:color="auto"/>
              <w:right w:val="single" w:sz="4" w:space="0" w:color="auto"/>
            </w:tcBorders>
            <w:shd w:val="clear" w:color="auto" w:fill="auto"/>
            <w:noWrap/>
            <w:vAlign w:val="center"/>
            <w:hideMark/>
          </w:tcPr>
          <w:p w:rsidR="00424F4D" w:rsidRPr="00F55BA6" w:rsidRDefault="00424F4D" w:rsidP="00B51730">
            <w:pPr>
              <w:spacing w:after="0" w:line="240" w:lineRule="auto"/>
              <w:jc w:val="center"/>
              <w:rPr>
                <w:rFonts w:asciiTheme="majorHAnsi" w:eastAsia="Times New Roman" w:hAnsiTheme="majorHAnsi" w:cstheme="majorHAnsi"/>
                <w:i/>
                <w:iCs/>
                <w:color w:val="000000"/>
                <w:sz w:val="16"/>
                <w:szCs w:val="16"/>
                <w:lang w:val="ro-RO"/>
              </w:rPr>
            </w:pPr>
            <w:r w:rsidRPr="00F55BA6">
              <w:rPr>
                <w:rFonts w:asciiTheme="majorHAnsi" w:eastAsia="Times New Roman" w:hAnsiTheme="majorHAnsi" w:cstheme="majorHAnsi"/>
                <w:i/>
                <w:iCs/>
                <w:color w:val="000000"/>
                <w:sz w:val="16"/>
                <w:szCs w:val="16"/>
                <w:lang w:val="ro-RO"/>
              </w:rPr>
              <w:t>1</w:t>
            </w:r>
          </w:p>
        </w:tc>
        <w:tc>
          <w:tcPr>
            <w:tcW w:w="709" w:type="dxa"/>
            <w:tcBorders>
              <w:top w:val="nil"/>
              <w:left w:val="nil"/>
              <w:bottom w:val="single" w:sz="4" w:space="0" w:color="auto"/>
              <w:right w:val="single" w:sz="4" w:space="0" w:color="auto"/>
            </w:tcBorders>
            <w:shd w:val="clear" w:color="auto" w:fill="auto"/>
            <w:noWrap/>
            <w:vAlign w:val="center"/>
            <w:hideMark/>
          </w:tcPr>
          <w:p w:rsidR="00424F4D" w:rsidRPr="00F55BA6" w:rsidRDefault="00424F4D" w:rsidP="00B51730">
            <w:pPr>
              <w:spacing w:after="0" w:line="240" w:lineRule="auto"/>
              <w:jc w:val="center"/>
              <w:rPr>
                <w:rFonts w:asciiTheme="majorHAnsi" w:eastAsia="Times New Roman" w:hAnsiTheme="majorHAnsi" w:cstheme="majorHAnsi"/>
                <w:i/>
                <w:iCs/>
                <w:color w:val="000000"/>
                <w:sz w:val="16"/>
                <w:szCs w:val="16"/>
                <w:lang w:val="ro-RO"/>
              </w:rPr>
            </w:pPr>
            <w:r w:rsidRPr="00F55BA6">
              <w:rPr>
                <w:rFonts w:asciiTheme="majorHAnsi" w:eastAsia="Times New Roman" w:hAnsiTheme="majorHAnsi" w:cstheme="majorHAnsi"/>
                <w:i/>
                <w:iCs/>
                <w:color w:val="000000"/>
                <w:sz w:val="16"/>
                <w:szCs w:val="16"/>
                <w:lang w:val="ro-RO"/>
              </w:rPr>
              <w:t>2</w:t>
            </w:r>
          </w:p>
        </w:tc>
        <w:tc>
          <w:tcPr>
            <w:tcW w:w="1171" w:type="dxa"/>
            <w:tcBorders>
              <w:top w:val="nil"/>
              <w:left w:val="nil"/>
              <w:bottom w:val="single" w:sz="4" w:space="0" w:color="auto"/>
              <w:right w:val="single" w:sz="4" w:space="0" w:color="auto"/>
            </w:tcBorders>
            <w:shd w:val="clear" w:color="auto" w:fill="auto"/>
            <w:noWrap/>
            <w:vAlign w:val="center"/>
            <w:hideMark/>
          </w:tcPr>
          <w:p w:rsidR="00424F4D" w:rsidRPr="00F55BA6" w:rsidRDefault="00424F4D" w:rsidP="00B51730">
            <w:pPr>
              <w:spacing w:after="0" w:line="240" w:lineRule="auto"/>
              <w:jc w:val="center"/>
              <w:rPr>
                <w:rFonts w:asciiTheme="majorHAnsi" w:eastAsia="Times New Roman" w:hAnsiTheme="majorHAnsi" w:cstheme="majorHAnsi"/>
                <w:i/>
                <w:iCs/>
                <w:color w:val="000000"/>
                <w:sz w:val="16"/>
                <w:szCs w:val="16"/>
                <w:lang w:val="ro-RO"/>
              </w:rPr>
            </w:pPr>
            <w:r w:rsidRPr="00F55BA6">
              <w:rPr>
                <w:rFonts w:asciiTheme="majorHAnsi" w:eastAsia="Times New Roman" w:hAnsiTheme="majorHAnsi" w:cstheme="majorHAnsi"/>
                <w:i/>
                <w:iCs/>
                <w:color w:val="000000"/>
                <w:sz w:val="16"/>
                <w:szCs w:val="16"/>
                <w:lang w:val="ro-RO"/>
              </w:rPr>
              <w:t>3</w:t>
            </w:r>
          </w:p>
        </w:tc>
        <w:tc>
          <w:tcPr>
            <w:tcW w:w="1171" w:type="dxa"/>
            <w:tcBorders>
              <w:top w:val="nil"/>
              <w:left w:val="nil"/>
              <w:bottom w:val="single" w:sz="4" w:space="0" w:color="auto"/>
              <w:right w:val="single" w:sz="4" w:space="0" w:color="auto"/>
            </w:tcBorders>
            <w:shd w:val="clear" w:color="auto" w:fill="auto"/>
            <w:noWrap/>
            <w:vAlign w:val="center"/>
            <w:hideMark/>
          </w:tcPr>
          <w:p w:rsidR="00424F4D" w:rsidRPr="00F55BA6" w:rsidRDefault="00424F4D" w:rsidP="00B51730">
            <w:pPr>
              <w:spacing w:after="0" w:line="240" w:lineRule="auto"/>
              <w:jc w:val="center"/>
              <w:rPr>
                <w:rFonts w:asciiTheme="majorHAnsi" w:eastAsia="Times New Roman" w:hAnsiTheme="majorHAnsi" w:cstheme="majorHAnsi"/>
                <w:i/>
                <w:iCs/>
                <w:color w:val="000000"/>
                <w:sz w:val="16"/>
                <w:szCs w:val="16"/>
                <w:lang w:val="ro-RO"/>
              </w:rPr>
            </w:pPr>
            <w:r w:rsidRPr="00F55BA6">
              <w:rPr>
                <w:rFonts w:asciiTheme="majorHAnsi" w:eastAsia="Times New Roman" w:hAnsiTheme="majorHAnsi" w:cstheme="majorHAnsi"/>
                <w:i/>
                <w:iCs/>
                <w:color w:val="000000"/>
                <w:sz w:val="16"/>
                <w:szCs w:val="16"/>
                <w:lang w:val="ro-RO"/>
              </w:rPr>
              <w:t>4</w:t>
            </w:r>
          </w:p>
        </w:tc>
        <w:tc>
          <w:tcPr>
            <w:tcW w:w="1171" w:type="dxa"/>
            <w:tcBorders>
              <w:top w:val="nil"/>
              <w:left w:val="nil"/>
              <w:bottom w:val="single" w:sz="4" w:space="0" w:color="auto"/>
              <w:right w:val="single" w:sz="4" w:space="0" w:color="auto"/>
            </w:tcBorders>
            <w:shd w:val="clear" w:color="auto" w:fill="auto"/>
            <w:noWrap/>
            <w:vAlign w:val="center"/>
            <w:hideMark/>
          </w:tcPr>
          <w:p w:rsidR="00424F4D" w:rsidRPr="00F55BA6" w:rsidRDefault="00424F4D" w:rsidP="00B51730">
            <w:pPr>
              <w:spacing w:after="0" w:line="240" w:lineRule="auto"/>
              <w:jc w:val="center"/>
              <w:rPr>
                <w:rFonts w:asciiTheme="majorHAnsi" w:eastAsia="Times New Roman" w:hAnsiTheme="majorHAnsi" w:cstheme="majorHAnsi"/>
                <w:i/>
                <w:iCs/>
                <w:color w:val="000000"/>
                <w:sz w:val="16"/>
                <w:szCs w:val="16"/>
                <w:lang w:val="ro-RO"/>
              </w:rPr>
            </w:pPr>
            <w:r w:rsidRPr="00F55BA6">
              <w:rPr>
                <w:rFonts w:asciiTheme="majorHAnsi" w:eastAsia="Times New Roman" w:hAnsiTheme="majorHAnsi" w:cstheme="majorHAnsi"/>
                <w:i/>
                <w:iCs/>
                <w:color w:val="000000"/>
                <w:sz w:val="16"/>
                <w:szCs w:val="16"/>
                <w:lang w:val="ro-RO"/>
              </w:rPr>
              <w:t>5</w:t>
            </w:r>
          </w:p>
        </w:tc>
        <w:tc>
          <w:tcPr>
            <w:tcW w:w="1171" w:type="dxa"/>
            <w:tcBorders>
              <w:top w:val="nil"/>
              <w:left w:val="nil"/>
              <w:bottom w:val="single" w:sz="4" w:space="0" w:color="auto"/>
              <w:right w:val="single" w:sz="4" w:space="0" w:color="auto"/>
            </w:tcBorders>
            <w:shd w:val="clear" w:color="auto" w:fill="auto"/>
            <w:noWrap/>
            <w:vAlign w:val="center"/>
            <w:hideMark/>
          </w:tcPr>
          <w:p w:rsidR="00424F4D" w:rsidRPr="00F55BA6" w:rsidRDefault="00424F4D" w:rsidP="00B51730">
            <w:pPr>
              <w:spacing w:after="0" w:line="240" w:lineRule="auto"/>
              <w:jc w:val="center"/>
              <w:rPr>
                <w:rFonts w:asciiTheme="majorHAnsi" w:eastAsia="Times New Roman" w:hAnsiTheme="majorHAnsi" w:cstheme="majorHAnsi"/>
                <w:i/>
                <w:iCs/>
                <w:color w:val="000000"/>
                <w:sz w:val="16"/>
                <w:szCs w:val="16"/>
                <w:lang w:val="ro-RO"/>
              </w:rPr>
            </w:pPr>
            <w:r w:rsidRPr="00F55BA6">
              <w:rPr>
                <w:rFonts w:asciiTheme="majorHAnsi" w:eastAsia="Times New Roman" w:hAnsiTheme="majorHAnsi" w:cstheme="majorHAnsi"/>
                <w:i/>
                <w:iCs/>
                <w:color w:val="000000"/>
                <w:sz w:val="16"/>
                <w:szCs w:val="16"/>
                <w:lang w:val="ro-RO"/>
              </w:rPr>
              <w:t>6</w:t>
            </w:r>
          </w:p>
        </w:tc>
        <w:tc>
          <w:tcPr>
            <w:tcW w:w="1035" w:type="dxa"/>
            <w:tcBorders>
              <w:top w:val="nil"/>
              <w:left w:val="nil"/>
              <w:bottom w:val="single" w:sz="4" w:space="0" w:color="auto"/>
              <w:right w:val="single" w:sz="4" w:space="0" w:color="auto"/>
            </w:tcBorders>
            <w:shd w:val="clear" w:color="auto" w:fill="auto"/>
            <w:noWrap/>
            <w:vAlign w:val="center"/>
            <w:hideMark/>
          </w:tcPr>
          <w:p w:rsidR="00424F4D" w:rsidRPr="00F55BA6" w:rsidRDefault="00424F4D" w:rsidP="00B51730">
            <w:pPr>
              <w:spacing w:after="0" w:line="240" w:lineRule="auto"/>
              <w:jc w:val="center"/>
              <w:rPr>
                <w:rFonts w:asciiTheme="majorHAnsi" w:eastAsia="Times New Roman" w:hAnsiTheme="majorHAnsi" w:cstheme="majorHAnsi"/>
                <w:i/>
                <w:iCs/>
                <w:color w:val="000000"/>
                <w:sz w:val="16"/>
                <w:szCs w:val="16"/>
                <w:lang w:val="ro-RO"/>
              </w:rPr>
            </w:pPr>
            <w:r w:rsidRPr="00F55BA6">
              <w:rPr>
                <w:rFonts w:asciiTheme="majorHAnsi" w:eastAsia="Times New Roman" w:hAnsiTheme="majorHAnsi" w:cstheme="majorHAnsi"/>
                <w:i/>
                <w:iCs/>
                <w:color w:val="000000"/>
                <w:sz w:val="16"/>
                <w:szCs w:val="16"/>
                <w:lang w:val="ro-RO"/>
              </w:rPr>
              <w:t>7</w:t>
            </w:r>
          </w:p>
        </w:tc>
        <w:tc>
          <w:tcPr>
            <w:tcW w:w="1035" w:type="dxa"/>
            <w:tcBorders>
              <w:top w:val="nil"/>
              <w:left w:val="nil"/>
              <w:bottom w:val="single" w:sz="4" w:space="0" w:color="auto"/>
              <w:right w:val="single" w:sz="4" w:space="0" w:color="auto"/>
            </w:tcBorders>
            <w:shd w:val="clear" w:color="auto" w:fill="auto"/>
            <w:noWrap/>
            <w:vAlign w:val="center"/>
            <w:hideMark/>
          </w:tcPr>
          <w:p w:rsidR="00424F4D" w:rsidRPr="00F55BA6" w:rsidRDefault="00424F4D" w:rsidP="00B51730">
            <w:pPr>
              <w:spacing w:after="0" w:line="240" w:lineRule="auto"/>
              <w:jc w:val="center"/>
              <w:rPr>
                <w:rFonts w:asciiTheme="majorHAnsi" w:eastAsia="Times New Roman" w:hAnsiTheme="majorHAnsi" w:cstheme="majorHAnsi"/>
                <w:i/>
                <w:iCs/>
                <w:color w:val="000000"/>
                <w:sz w:val="16"/>
                <w:szCs w:val="16"/>
                <w:lang w:val="ro-RO"/>
              </w:rPr>
            </w:pPr>
            <w:r w:rsidRPr="00F55BA6">
              <w:rPr>
                <w:rFonts w:asciiTheme="majorHAnsi" w:eastAsia="Times New Roman" w:hAnsiTheme="majorHAnsi" w:cstheme="majorHAnsi"/>
                <w:i/>
                <w:iCs/>
                <w:color w:val="000000"/>
                <w:sz w:val="16"/>
                <w:szCs w:val="16"/>
                <w:lang w:val="ro-RO"/>
              </w:rPr>
              <w:t>8</w:t>
            </w:r>
          </w:p>
        </w:tc>
        <w:tc>
          <w:tcPr>
            <w:tcW w:w="944" w:type="dxa"/>
            <w:tcBorders>
              <w:top w:val="nil"/>
              <w:left w:val="nil"/>
              <w:bottom w:val="single" w:sz="4" w:space="0" w:color="auto"/>
              <w:right w:val="single" w:sz="4" w:space="0" w:color="auto"/>
            </w:tcBorders>
            <w:shd w:val="clear" w:color="auto" w:fill="auto"/>
            <w:noWrap/>
            <w:vAlign w:val="center"/>
            <w:hideMark/>
          </w:tcPr>
          <w:p w:rsidR="00424F4D" w:rsidRPr="00F55BA6" w:rsidRDefault="00424F4D" w:rsidP="00B51730">
            <w:pPr>
              <w:spacing w:after="0" w:line="240" w:lineRule="auto"/>
              <w:jc w:val="center"/>
              <w:rPr>
                <w:rFonts w:asciiTheme="majorHAnsi" w:eastAsia="Times New Roman" w:hAnsiTheme="majorHAnsi" w:cstheme="majorHAnsi"/>
                <w:i/>
                <w:iCs/>
                <w:color w:val="000000"/>
                <w:sz w:val="16"/>
                <w:szCs w:val="16"/>
                <w:lang w:val="ro-RO"/>
              </w:rPr>
            </w:pPr>
            <w:r w:rsidRPr="00F55BA6">
              <w:rPr>
                <w:rFonts w:asciiTheme="majorHAnsi" w:eastAsia="Times New Roman" w:hAnsiTheme="majorHAnsi" w:cstheme="majorHAnsi"/>
                <w:i/>
                <w:iCs/>
                <w:color w:val="000000"/>
                <w:sz w:val="16"/>
                <w:szCs w:val="16"/>
                <w:lang w:val="ro-RO"/>
              </w:rPr>
              <w:t>9=8-7</w:t>
            </w:r>
          </w:p>
        </w:tc>
        <w:tc>
          <w:tcPr>
            <w:tcW w:w="1171"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center"/>
              <w:rPr>
                <w:rFonts w:asciiTheme="majorHAnsi" w:eastAsia="Times New Roman" w:hAnsiTheme="majorHAnsi" w:cstheme="majorHAnsi"/>
                <w:i/>
                <w:iCs/>
                <w:color w:val="000000"/>
                <w:sz w:val="16"/>
                <w:szCs w:val="16"/>
                <w:lang w:val="ro-RO"/>
              </w:rPr>
            </w:pPr>
            <w:r w:rsidRPr="00F55BA6">
              <w:rPr>
                <w:rFonts w:asciiTheme="majorHAnsi" w:eastAsia="Times New Roman" w:hAnsiTheme="majorHAnsi" w:cstheme="majorHAnsi"/>
                <w:i/>
                <w:iCs/>
                <w:color w:val="000000"/>
                <w:sz w:val="16"/>
                <w:szCs w:val="16"/>
                <w:lang w:val="ro-RO"/>
              </w:rPr>
              <w:t>10</w:t>
            </w:r>
          </w:p>
        </w:tc>
        <w:tc>
          <w:tcPr>
            <w:tcW w:w="1171"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center"/>
              <w:rPr>
                <w:rFonts w:asciiTheme="majorHAnsi" w:eastAsia="Times New Roman" w:hAnsiTheme="majorHAnsi" w:cstheme="majorHAnsi"/>
                <w:i/>
                <w:iCs/>
                <w:color w:val="000000"/>
                <w:sz w:val="16"/>
                <w:szCs w:val="16"/>
                <w:lang w:val="ro-RO"/>
              </w:rPr>
            </w:pPr>
            <w:r w:rsidRPr="00F55BA6">
              <w:rPr>
                <w:rFonts w:asciiTheme="majorHAnsi" w:eastAsia="Times New Roman" w:hAnsiTheme="majorHAnsi" w:cstheme="majorHAnsi"/>
                <w:i/>
                <w:iCs/>
                <w:color w:val="000000"/>
                <w:sz w:val="16"/>
                <w:szCs w:val="16"/>
                <w:lang w:val="ro-RO"/>
              </w:rPr>
              <w:t>11</w:t>
            </w:r>
          </w:p>
        </w:tc>
        <w:tc>
          <w:tcPr>
            <w:tcW w:w="1035"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center"/>
              <w:rPr>
                <w:rFonts w:asciiTheme="majorHAnsi" w:eastAsia="Times New Roman" w:hAnsiTheme="majorHAnsi" w:cstheme="majorHAnsi"/>
                <w:i/>
                <w:iCs/>
                <w:color w:val="000000"/>
                <w:sz w:val="16"/>
                <w:szCs w:val="16"/>
                <w:lang w:val="ro-RO"/>
              </w:rPr>
            </w:pPr>
            <w:r w:rsidRPr="00F55BA6">
              <w:rPr>
                <w:rFonts w:asciiTheme="majorHAnsi" w:eastAsia="Times New Roman" w:hAnsiTheme="majorHAnsi" w:cstheme="majorHAnsi"/>
                <w:i/>
                <w:iCs/>
                <w:color w:val="000000"/>
                <w:sz w:val="16"/>
                <w:szCs w:val="16"/>
                <w:lang w:val="ro-RO"/>
              </w:rPr>
              <w:t>12</w:t>
            </w:r>
          </w:p>
        </w:tc>
        <w:tc>
          <w:tcPr>
            <w:tcW w:w="1035"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center"/>
              <w:rPr>
                <w:rFonts w:asciiTheme="majorHAnsi" w:eastAsia="Times New Roman" w:hAnsiTheme="majorHAnsi" w:cstheme="majorHAnsi"/>
                <w:i/>
                <w:iCs/>
                <w:color w:val="000000"/>
                <w:sz w:val="16"/>
                <w:szCs w:val="16"/>
                <w:lang w:val="ro-RO"/>
              </w:rPr>
            </w:pPr>
            <w:r w:rsidRPr="00F55BA6">
              <w:rPr>
                <w:rFonts w:asciiTheme="majorHAnsi" w:eastAsia="Times New Roman" w:hAnsiTheme="majorHAnsi" w:cstheme="majorHAnsi"/>
                <w:i/>
                <w:iCs/>
                <w:color w:val="000000"/>
                <w:sz w:val="16"/>
                <w:szCs w:val="16"/>
                <w:lang w:val="ro-RO"/>
              </w:rPr>
              <w:t>13=6+8-10</w:t>
            </w:r>
          </w:p>
        </w:tc>
      </w:tr>
      <w:tr w:rsidR="00424F4D" w:rsidRPr="00E4517B" w:rsidTr="00B51730">
        <w:trPr>
          <w:trHeight w:val="288"/>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center"/>
              <w:rPr>
                <w:rFonts w:asciiTheme="majorHAnsi" w:eastAsia="Times New Roman" w:hAnsiTheme="majorHAnsi" w:cstheme="majorHAnsi"/>
                <w:b/>
                <w:bCs/>
                <w:color w:val="000000"/>
                <w:sz w:val="18"/>
                <w:szCs w:val="18"/>
                <w:lang w:val="ro-RO"/>
              </w:rPr>
            </w:pPr>
            <w:r w:rsidRPr="00F55BA6">
              <w:rPr>
                <w:rFonts w:asciiTheme="majorHAnsi" w:eastAsia="Times New Roman" w:hAnsiTheme="majorHAnsi" w:cstheme="majorHAnsi"/>
                <w:b/>
                <w:bCs/>
                <w:color w:val="000000"/>
                <w:sz w:val="18"/>
                <w:szCs w:val="18"/>
                <w:lang w:val="ro-RO"/>
              </w:rPr>
              <w:t>1</w:t>
            </w:r>
          </w:p>
        </w:tc>
        <w:tc>
          <w:tcPr>
            <w:tcW w:w="1942"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lef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Cancelaria de Stat</w:t>
            </w:r>
          </w:p>
        </w:tc>
        <w:tc>
          <w:tcPr>
            <w:tcW w:w="709"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center"/>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0201</w:t>
            </w:r>
          </w:p>
        </w:tc>
        <w:tc>
          <w:tcPr>
            <w:tcW w:w="1171"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107.922,00</w:t>
            </w:r>
          </w:p>
        </w:tc>
        <w:tc>
          <w:tcPr>
            <w:tcW w:w="1171"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102.174,10</w:t>
            </w:r>
          </w:p>
        </w:tc>
        <w:tc>
          <w:tcPr>
            <w:tcW w:w="1171"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98.784,89</w:t>
            </w:r>
          </w:p>
        </w:tc>
        <w:tc>
          <w:tcPr>
            <w:tcW w:w="1171"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98.784,90</w:t>
            </w:r>
          </w:p>
        </w:tc>
        <w:tc>
          <w:tcPr>
            <w:tcW w:w="1035"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33.771,60</w:t>
            </w:r>
          </w:p>
        </w:tc>
        <w:tc>
          <w:tcPr>
            <w:tcW w:w="1035"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33.771,60</w:t>
            </w:r>
          </w:p>
        </w:tc>
        <w:tc>
          <w:tcPr>
            <w:tcW w:w="944"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0,00</w:t>
            </w:r>
          </w:p>
        </w:tc>
        <w:tc>
          <w:tcPr>
            <w:tcW w:w="1171"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99.270,30</w:t>
            </w:r>
          </w:p>
        </w:tc>
        <w:tc>
          <w:tcPr>
            <w:tcW w:w="1171"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101.946,00</w:t>
            </w:r>
          </w:p>
        </w:tc>
        <w:tc>
          <w:tcPr>
            <w:tcW w:w="1035"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33.286,20</w:t>
            </w:r>
          </w:p>
        </w:tc>
        <w:tc>
          <w:tcPr>
            <w:tcW w:w="1035"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33.286,20</w:t>
            </w:r>
          </w:p>
        </w:tc>
      </w:tr>
      <w:tr w:rsidR="00424F4D" w:rsidRPr="00E4517B" w:rsidTr="00B51730">
        <w:trPr>
          <w:trHeight w:val="288"/>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center"/>
              <w:rPr>
                <w:rFonts w:asciiTheme="majorHAnsi" w:eastAsia="Times New Roman" w:hAnsiTheme="majorHAnsi" w:cstheme="majorHAnsi"/>
                <w:b/>
                <w:bCs/>
                <w:color w:val="000000"/>
                <w:sz w:val="18"/>
                <w:szCs w:val="18"/>
                <w:lang w:val="ro-RO"/>
              </w:rPr>
            </w:pPr>
            <w:r w:rsidRPr="00F55BA6">
              <w:rPr>
                <w:rFonts w:asciiTheme="majorHAnsi" w:eastAsia="Times New Roman" w:hAnsiTheme="majorHAnsi" w:cstheme="majorHAnsi"/>
                <w:b/>
                <w:bCs/>
                <w:color w:val="000000"/>
                <w:sz w:val="18"/>
                <w:szCs w:val="18"/>
                <w:lang w:val="ro-RO"/>
              </w:rPr>
              <w:t>2</w:t>
            </w:r>
          </w:p>
        </w:tc>
        <w:tc>
          <w:tcPr>
            <w:tcW w:w="1942"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lef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Ministerul Finanțelor</w:t>
            </w:r>
          </w:p>
        </w:tc>
        <w:tc>
          <w:tcPr>
            <w:tcW w:w="709"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center"/>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0203</w:t>
            </w:r>
          </w:p>
        </w:tc>
        <w:tc>
          <w:tcPr>
            <w:tcW w:w="1171"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624,90</w:t>
            </w:r>
          </w:p>
        </w:tc>
        <w:tc>
          <w:tcPr>
            <w:tcW w:w="1171"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200,00</w:t>
            </w:r>
          </w:p>
        </w:tc>
        <w:tc>
          <w:tcPr>
            <w:tcW w:w="1171"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0,00</w:t>
            </w:r>
          </w:p>
        </w:tc>
        <w:tc>
          <w:tcPr>
            <w:tcW w:w="1171"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0,00</w:t>
            </w:r>
          </w:p>
        </w:tc>
        <w:tc>
          <w:tcPr>
            <w:tcW w:w="1035"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0,00</w:t>
            </w:r>
          </w:p>
        </w:tc>
        <w:tc>
          <w:tcPr>
            <w:tcW w:w="1035"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0,00</w:t>
            </w:r>
          </w:p>
        </w:tc>
        <w:tc>
          <w:tcPr>
            <w:tcW w:w="944"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0,00</w:t>
            </w:r>
          </w:p>
        </w:tc>
        <w:tc>
          <w:tcPr>
            <w:tcW w:w="1171"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0,00</w:t>
            </w:r>
          </w:p>
        </w:tc>
        <w:tc>
          <w:tcPr>
            <w:tcW w:w="1171"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0,00</w:t>
            </w:r>
          </w:p>
        </w:tc>
        <w:tc>
          <w:tcPr>
            <w:tcW w:w="1035"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0,00</w:t>
            </w:r>
          </w:p>
        </w:tc>
        <w:tc>
          <w:tcPr>
            <w:tcW w:w="1035"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0,00</w:t>
            </w:r>
          </w:p>
        </w:tc>
      </w:tr>
      <w:tr w:rsidR="00424F4D" w:rsidRPr="00E4517B" w:rsidTr="00B51730">
        <w:trPr>
          <w:trHeight w:val="288"/>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center"/>
              <w:rPr>
                <w:rFonts w:asciiTheme="majorHAnsi" w:eastAsia="Times New Roman" w:hAnsiTheme="majorHAnsi" w:cstheme="majorHAnsi"/>
                <w:b/>
                <w:bCs/>
                <w:color w:val="000000"/>
                <w:sz w:val="18"/>
                <w:szCs w:val="18"/>
                <w:lang w:val="ro-RO"/>
              </w:rPr>
            </w:pPr>
            <w:r w:rsidRPr="00F55BA6">
              <w:rPr>
                <w:rFonts w:asciiTheme="majorHAnsi" w:eastAsia="Times New Roman" w:hAnsiTheme="majorHAnsi" w:cstheme="majorHAnsi"/>
                <w:b/>
                <w:bCs/>
                <w:color w:val="000000"/>
                <w:sz w:val="18"/>
                <w:szCs w:val="18"/>
                <w:lang w:val="ro-RO"/>
              </w:rPr>
              <w:t>3</w:t>
            </w:r>
          </w:p>
        </w:tc>
        <w:tc>
          <w:tcPr>
            <w:tcW w:w="1942"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lef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Ministerul Economiei și Infrastructurii</w:t>
            </w:r>
          </w:p>
        </w:tc>
        <w:tc>
          <w:tcPr>
            <w:tcW w:w="709"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center"/>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0218</w:t>
            </w:r>
          </w:p>
        </w:tc>
        <w:tc>
          <w:tcPr>
            <w:tcW w:w="1171"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1.954.567,40</w:t>
            </w:r>
          </w:p>
        </w:tc>
        <w:tc>
          <w:tcPr>
            <w:tcW w:w="1171"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3.257.679,90</w:t>
            </w:r>
          </w:p>
        </w:tc>
        <w:tc>
          <w:tcPr>
            <w:tcW w:w="1171"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3.006.479,70</w:t>
            </w:r>
          </w:p>
        </w:tc>
        <w:tc>
          <w:tcPr>
            <w:tcW w:w="1171"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3.006.479,70</w:t>
            </w:r>
          </w:p>
        </w:tc>
        <w:tc>
          <w:tcPr>
            <w:tcW w:w="1035" w:type="dxa"/>
            <w:tcBorders>
              <w:top w:val="nil"/>
              <w:left w:val="nil"/>
              <w:bottom w:val="single" w:sz="4" w:space="0" w:color="auto"/>
              <w:right w:val="single" w:sz="4" w:space="0" w:color="auto"/>
            </w:tcBorders>
            <w:shd w:val="clear" w:color="000000" w:fill="FFFFFF"/>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144.585,80</w:t>
            </w:r>
          </w:p>
        </w:tc>
        <w:tc>
          <w:tcPr>
            <w:tcW w:w="1035" w:type="dxa"/>
            <w:tcBorders>
              <w:top w:val="nil"/>
              <w:left w:val="nil"/>
              <w:bottom w:val="single" w:sz="4" w:space="0" w:color="auto"/>
              <w:right w:val="single" w:sz="4" w:space="0" w:color="auto"/>
            </w:tcBorders>
            <w:shd w:val="clear" w:color="000000" w:fill="FFFFFF"/>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144.585,80</w:t>
            </w:r>
          </w:p>
        </w:tc>
        <w:tc>
          <w:tcPr>
            <w:tcW w:w="944" w:type="dxa"/>
            <w:tcBorders>
              <w:top w:val="nil"/>
              <w:left w:val="nil"/>
              <w:bottom w:val="single" w:sz="4" w:space="0" w:color="auto"/>
              <w:right w:val="single" w:sz="4" w:space="0" w:color="auto"/>
            </w:tcBorders>
            <w:shd w:val="clear" w:color="000000" w:fill="FFFFFF"/>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0,00</w:t>
            </w:r>
          </w:p>
        </w:tc>
        <w:tc>
          <w:tcPr>
            <w:tcW w:w="1171"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2.967.981,30</w:t>
            </w:r>
          </w:p>
        </w:tc>
        <w:tc>
          <w:tcPr>
            <w:tcW w:w="1171"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2.781.382,10</w:t>
            </w:r>
          </w:p>
        </w:tc>
        <w:tc>
          <w:tcPr>
            <w:tcW w:w="1035"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182.984,60</w:t>
            </w:r>
          </w:p>
        </w:tc>
        <w:tc>
          <w:tcPr>
            <w:tcW w:w="1035"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183.084,20</w:t>
            </w:r>
          </w:p>
        </w:tc>
      </w:tr>
      <w:tr w:rsidR="00424F4D" w:rsidRPr="00E4517B" w:rsidTr="00B51730">
        <w:trPr>
          <w:trHeight w:val="564"/>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center"/>
              <w:rPr>
                <w:rFonts w:asciiTheme="majorHAnsi" w:eastAsia="Times New Roman" w:hAnsiTheme="majorHAnsi" w:cstheme="majorHAnsi"/>
                <w:b/>
                <w:bCs/>
                <w:color w:val="000000"/>
                <w:sz w:val="18"/>
                <w:szCs w:val="18"/>
                <w:lang w:val="ro-RO"/>
              </w:rPr>
            </w:pPr>
            <w:r w:rsidRPr="00F55BA6">
              <w:rPr>
                <w:rFonts w:asciiTheme="majorHAnsi" w:eastAsia="Times New Roman" w:hAnsiTheme="majorHAnsi" w:cstheme="majorHAnsi"/>
                <w:b/>
                <w:bCs/>
                <w:color w:val="000000"/>
                <w:sz w:val="18"/>
                <w:szCs w:val="18"/>
                <w:lang w:val="ro-RO"/>
              </w:rPr>
              <w:t>4</w:t>
            </w:r>
          </w:p>
        </w:tc>
        <w:tc>
          <w:tcPr>
            <w:tcW w:w="1942" w:type="dxa"/>
            <w:tcBorders>
              <w:top w:val="nil"/>
              <w:left w:val="nil"/>
              <w:bottom w:val="single" w:sz="4" w:space="0" w:color="auto"/>
              <w:right w:val="single" w:sz="4" w:space="0" w:color="auto"/>
            </w:tcBorders>
            <w:shd w:val="clear" w:color="auto" w:fill="auto"/>
            <w:vAlign w:val="bottom"/>
            <w:hideMark/>
          </w:tcPr>
          <w:p w:rsidR="00424F4D" w:rsidRPr="00F55BA6" w:rsidRDefault="00424F4D" w:rsidP="00B51730">
            <w:pPr>
              <w:spacing w:after="0" w:line="240" w:lineRule="auto"/>
              <w:jc w:val="lef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Ministerul Agriculturii</w:t>
            </w:r>
            <w:r w:rsidR="00CC2C91">
              <w:rPr>
                <w:rFonts w:asciiTheme="majorHAnsi" w:eastAsia="Times New Roman" w:hAnsiTheme="majorHAnsi" w:cstheme="majorHAnsi"/>
                <w:color w:val="000000"/>
                <w:sz w:val="18"/>
                <w:szCs w:val="18"/>
                <w:lang w:val="ro-RO"/>
              </w:rPr>
              <w:t>,</w:t>
            </w:r>
            <w:r w:rsidRPr="00F55BA6">
              <w:rPr>
                <w:rFonts w:asciiTheme="majorHAnsi" w:eastAsia="Times New Roman" w:hAnsiTheme="majorHAnsi" w:cstheme="majorHAnsi"/>
                <w:color w:val="000000"/>
                <w:sz w:val="18"/>
                <w:szCs w:val="18"/>
                <w:lang w:val="ro-RO"/>
              </w:rPr>
              <w:t xml:space="preserve"> Dezvoltării Regionale și Mediului</w:t>
            </w:r>
          </w:p>
        </w:tc>
        <w:tc>
          <w:tcPr>
            <w:tcW w:w="709"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center"/>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0219</w:t>
            </w:r>
          </w:p>
        </w:tc>
        <w:tc>
          <w:tcPr>
            <w:tcW w:w="1171"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1.091.964,50</w:t>
            </w:r>
          </w:p>
        </w:tc>
        <w:tc>
          <w:tcPr>
            <w:tcW w:w="1171"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1.274.988,92</w:t>
            </w:r>
          </w:p>
        </w:tc>
        <w:tc>
          <w:tcPr>
            <w:tcW w:w="1171"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1.260.102,18</w:t>
            </w:r>
          </w:p>
        </w:tc>
        <w:tc>
          <w:tcPr>
            <w:tcW w:w="1171"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1.260.102,20</w:t>
            </w:r>
          </w:p>
        </w:tc>
        <w:tc>
          <w:tcPr>
            <w:tcW w:w="1035" w:type="dxa"/>
            <w:tcBorders>
              <w:top w:val="nil"/>
              <w:left w:val="nil"/>
              <w:bottom w:val="single" w:sz="4" w:space="0" w:color="auto"/>
              <w:right w:val="single" w:sz="4" w:space="0" w:color="auto"/>
            </w:tcBorders>
            <w:shd w:val="clear" w:color="000000" w:fill="E2EFDA"/>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9.512,80</w:t>
            </w:r>
          </w:p>
        </w:tc>
        <w:tc>
          <w:tcPr>
            <w:tcW w:w="1035" w:type="dxa"/>
            <w:tcBorders>
              <w:top w:val="nil"/>
              <w:left w:val="nil"/>
              <w:bottom w:val="single" w:sz="4" w:space="0" w:color="auto"/>
              <w:right w:val="single" w:sz="4" w:space="0" w:color="auto"/>
            </w:tcBorders>
            <w:shd w:val="clear" w:color="000000" w:fill="E2EFDA"/>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10.851,43</w:t>
            </w:r>
          </w:p>
        </w:tc>
        <w:tc>
          <w:tcPr>
            <w:tcW w:w="944" w:type="dxa"/>
            <w:tcBorders>
              <w:top w:val="nil"/>
              <w:left w:val="nil"/>
              <w:bottom w:val="single" w:sz="4" w:space="0" w:color="auto"/>
              <w:right w:val="single" w:sz="4" w:space="0" w:color="auto"/>
            </w:tcBorders>
            <w:shd w:val="clear" w:color="000000" w:fill="E2EFDA"/>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1.338,63</w:t>
            </w:r>
          </w:p>
        </w:tc>
        <w:tc>
          <w:tcPr>
            <w:tcW w:w="1171"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1.270.953,60</w:t>
            </w:r>
          </w:p>
        </w:tc>
        <w:tc>
          <w:tcPr>
            <w:tcW w:w="1171"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1.270.953,60</w:t>
            </w:r>
          </w:p>
        </w:tc>
        <w:tc>
          <w:tcPr>
            <w:tcW w:w="1035"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0,00</w:t>
            </w:r>
          </w:p>
        </w:tc>
        <w:tc>
          <w:tcPr>
            <w:tcW w:w="1035"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0,03</w:t>
            </w:r>
          </w:p>
        </w:tc>
      </w:tr>
      <w:tr w:rsidR="00424F4D" w:rsidRPr="00E4517B" w:rsidTr="00B51730">
        <w:trPr>
          <w:trHeight w:val="288"/>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center"/>
              <w:rPr>
                <w:rFonts w:asciiTheme="majorHAnsi" w:eastAsia="Times New Roman" w:hAnsiTheme="majorHAnsi" w:cstheme="majorHAnsi"/>
                <w:b/>
                <w:bCs/>
                <w:color w:val="000000"/>
                <w:sz w:val="18"/>
                <w:szCs w:val="18"/>
                <w:lang w:val="ro-RO"/>
              </w:rPr>
            </w:pPr>
            <w:r w:rsidRPr="00F55BA6">
              <w:rPr>
                <w:rFonts w:asciiTheme="majorHAnsi" w:eastAsia="Times New Roman" w:hAnsiTheme="majorHAnsi" w:cstheme="majorHAnsi"/>
                <w:b/>
                <w:bCs/>
                <w:color w:val="000000"/>
                <w:sz w:val="18"/>
                <w:szCs w:val="18"/>
                <w:lang w:val="ro-RO"/>
              </w:rPr>
              <w:t>5</w:t>
            </w:r>
          </w:p>
        </w:tc>
        <w:tc>
          <w:tcPr>
            <w:tcW w:w="1942"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CC2C91">
            <w:pPr>
              <w:spacing w:after="0" w:line="240" w:lineRule="auto"/>
              <w:jc w:val="lef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Ministerul E</w:t>
            </w:r>
            <w:r w:rsidR="00CC2C91">
              <w:rPr>
                <w:rFonts w:asciiTheme="majorHAnsi" w:eastAsia="Times New Roman" w:hAnsiTheme="majorHAnsi" w:cstheme="majorHAnsi"/>
                <w:color w:val="000000"/>
                <w:sz w:val="18"/>
                <w:szCs w:val="18"/>
                <w:lang w:val="ro-RO"/>
              </w:rPr>
              <w:t>d</w:t>
            </w:r>
            <w:r w:rsidRPr="00F55BA6">
              <w:rPr>
                <w:rFonts w:asciiTheme="majorHAnsi" w:eastAsia="Times New Roman" w:hAnsiTheme="majorHAnsi" w:cstheme="majorHAnsi"/>
                <w:color w:val="000000"/>
                <w:sz w:val="18"/>
                <w:szCs w:val="18"/>
                <w:lang w:val="ro-RO"/>
              </w:rPr>
              <w:t>u</w:t>
            </w:r>
            <w:r w:rsidR="00CC2C91">
              <w:rPr>
                <w:rFonts w:asciiTheme="majorHAnsi" w:eastAsia="Times New Roman" w:hAnsiTheme="majorHAnsi" w:cstheme="majorHAnsi"/>
                <w:color w:val="000000"/>
                <w:sz w:val="18"/>
                <w:szCs w:val="18"/>
                <w:lang w:val="ro-RO"/>
              </w:rPr>
              <w:t>c</w:t>
            </w:r>
            <w:r w:rsidRPr="00F55BA6">
              <w:rPr>
                <w:rFonts w:asciiTheme="majorHAnsi" w:eastAsia="Times New Roman" w:hAnsiTheme="majorHAnsi" w:cstheme="majorHAnsi"/>
                <w:color w:val="000000"/>
                <w:sz w:val="18"/>
                <w:szCs w:val="18"/>
                <w:lang w:val="ro-RO"/>
              </w:rPr>
              <w:t>ației, Culturii și Cercetării</w:t>
            </w:r>
          </w:p>
        </w:tc>
        <w:tc>
          <w:tcPr>
            <w:tcW w:w="709"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center"/>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0220</w:t>
            </w:r>
          </w:p>
        </w:tc>
        <w:tc>
          <w:tcPr>
            <w:tcW w:w="1171"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259.597,00</w:t>
            </w:r>
          </w:p>
        </w:tc>
        <w:tc>
          <w:tcPr>
            <w:tcW w:w="1171"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237.822,37</w:t>
            </w:r>
          </w:p>
        </w:tc>
        <w:tc>
          <w:tcPr>
            <w:tcW w:w="1171"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226.250,95</w:t>
            </w:r>
          </w:p>
        </w:tc>
        <w:tc>
          <w:tcPr>
            <w:tcW w:w="1171"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226.250,95</w:t>
            </w:r>
          </w:p>
        </w:tc>
        <w:tc>
          <w:tcPr>
            <w:tcW w:w="1035" w:type="dxa"/>
            <w:tcBorders>
              <w:top w:val="nil"/>
              <w:left w:val="nil"/>
              <w:bottom w:val="single" w:sz="4" w:space="0" w:color="auto"/>
              <w:right w:val="single" w:sz="4" w:space="0" w:color="auto"/>
            </w:tcBorders>
            <w:shd w:val="clear" w:color="000000" w:fill="E2EFDA"/>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41.846,20</w:t>
            </w:r>
          </w:p>
        </w:tc>
        <w:tc>
          <w:tcPr>
            <w:tcW w:w="1035" w:type="dxa"/>
            <w:tcBorders>
              <w:top w:val="nil"/>
              <w:left w:val="nil"/>
              <w:bottom w:val="single" w:sz="4" w:space="0" w:color="auto"/>
              <w:right w:val="single" w:sz="4" w:space="0" w:color="auto"/>
            </w:tcBorders>
            <w:shd w:val="clear" w:color="000000" w:fill="E2EFDA"/>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51.846,20</w:t>
            </w:r>
          </w:p>
        </w:tc>
        <w:tc>
          <w:tcPr>
            <w:tcW w:w="944" w:type="dxa"/>
            <w:tcBorders>
              <w:top w:val="nil"/>
              <w:left w:val="nil"/>
              <w:bottom w:val="single" w:sz="4" w:space="0" w:color="auto"/>
              <w:right w:val="single" w:sz="4" w:space="0" w:color="auto"/>
            </w:tcBorders>
            <w:shd w:val="clear" w:color="000000" w:fill="E2EFDA"/>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10.000,00</w:t>
            </w:r>
          </w:p>
        </w:tc>
        <w:tc>
          <w:tcPr>
            <w:tcW w:w="1171"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313.250,70</w:t>
            </w:r>
          </w:p>
        </w:tc>
        <w:tc>
          <w:tcPr>
            <w:tcW w:w="1171"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213.324,20</w:t>
            </w:r>
          </w:p>
        </w:tc>
        <w:tc>
          <w:tcPr>
            <w:tcW w:w="1035"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64.846,80</w:t>
            </w:r>
          </w:p>
        </w:tc>
        <w:tc>
          <w:tcPr>
            <w:tcW w:w="1035"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-35.153,55</w:t>
            </w:r>
          </w:p>
        </w:tc>
      </w:tr>
      <w:tr w:rsidR="00424F4D" w:rsidRPr="00E4517B" w:rsidTr="00B51730">
        <w:trPr>
          <w:trHeight w:val="564"/>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center"/>
              <w:rPr>
                <w:rFonts w:asciiTheme="majorHAnsi" w:eastAsia="Times New Roman" w:hAnsiTheme="majorHAnsi" w:cstheme="majorHAnsi"/>
                <w:b/>
                <w:bCs/>
                <w:color w:val="000000"/>
                <w:sz w:val="18"/>
                <w:szCs w:val="18"/>
                <w:lang w:val="ro-RO"/>
              </w:rPr>
            </w:pPr>
            <w:r w:rsidRPr="00F55BA6">
              <w:rPr>
                <w:rFonts w:asciiTheme="majorHAnsi" w:eastAsia="Times New Roman" w:hAnsiTheme="majorHAnsi" w:cstheme="majorHAnsi"/>
                <w:b/>
                <w:bCs/>
                <w:color w:val="000000"/>
                <w:sz w:val="18"/>
                <w:szCs w:val="18"/>
                <w:lang w:val="ro-RO"/>
              </w:rPr>
              <w:t>6</w:t>
            </w:r>
          </w:p>
        </w:tc>
        <w:tc>
          <w:tcPr>
            <w:tcW w:w="1942" w:type="dxa"/>
            <w:tcBorders>
              <w:top w:val="nil"/>
              <w:left w:val="nil"/>
              <w:bottom w:val="single" w:sz="4" w:space="0" w:color="auto"/>
              <w:right w:val="single" w:sz="4" w:space="0" w:color="auto"/>
            </w:tcBorders>
            <w:shd w:val="clear" w:color="auto" w:fill="auto"/>
            <w:vAlign w:val="bottom"/>
            <w:hideMark/>
          </w:tcPr>
          <w:p w:rsidR="00424F4D" w:rsidRPr="00F55BA6" w:rsidRDefault="00424F4D" w:rsidP="00B51730">
            <w:pPr>
              <w:spacing w:after="0" w:line="240" w:lineRule="auto"/>
              <w:jc w:val="lef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Ministerul Sănătății, Muncii și Protecției Sociale</w:t>
            </w:r>
          </w:p>
        </w:tc>
        <w:tc>
          <w:tcPr>
            <w:tcW w:w="709"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center"/>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0221</w:t>
            </w:r>
          </w:p>
        </w:tc>
        <w:tc>
          <w:tcPr>
            <w:tcW w:w="1171"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216.651,60</w:t>
            </w:r>
          </w:p>
        </w:tc>
        <w:tc>
          <w:tcPr>
            <w:tcW w:w="1171"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209.011,40</w:t>
            </w:r>
          </w:p>
        </w:tc>
        <w:tc>
          <w:tcPr>
            <w:tcW w:w="1171"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186.092,55</w:t>
            </w:r>
          </w:p>
        </w:tc>
        <w:tc>
          <w:tcPr>
            <w:tcW w:w="1171"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186.092,50</w:t>
            </w:r>
          </w:p>
        </w:tc>
        <w:tc>
          <w:tcPr>
            <w:tcW w:w="1035" w:type="dxa"/>
            <w:tcBorders>
              <w:top w:val="nil"/>
              <w:left w:val="nil"/>
              <w:bottom w:val="single" w:sz="4" w:space="0" w:color="auto"/>
              <w:right w:val="single" w:sz="4" w:space="0" w:color="auto"/>
            </w:tcBorders>
            <w:shd w:val="clear" w:color="000000" w:fill="FFFFFF"/>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7.990,30</w:t>
            </w:r>
          </w:p>
        </w:tc>
        <w:tc>
          <w:tcPr>
            <w:tcW w:w="1035" w:type="dxa"/>
            <w:tcBorders>
              <w:top w:val="nil"/>
              <w:left w:val="nil"/>
              <w:bottom w:val="single" w:sz="4" w:space="0" w:color="auto"/>
              <w:right w:val="single" w:sz="4" w:space="0" w:color="auto"/>
            </w:tcBorders>
            <w:shd w:val="clear" w:color="000000" w:fill="FFFFFF"/>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7.990,30</w:t>
            </w:r>
          </w:p>
        </w:tc>
        <w:tc>
          <w:tcPr>
            <w:tcW w:w="944" w:type="dxa"/>
            <w:tcBorders>
              <w:top w:val="nil"/>
              <w:left w:val="nil"/>
              <w:bottom w:val="single" w:sz="4" w:space="0" w:color="auto"/>
              <w:right w:val="single" w:sz="4" w:space="0" w:color="auto"/>
            </w:tcBorders>
            <w:shd w:val="clear" w:color="000000" w:fill="FFFFFF"/>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0,00</w:t>
            </w:r>
          </w:p>
        </w:tc>
        <w:tc>
          <w:tcPr>
            <w:tcW w:w="1171"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186.731,60</w:t>
            </w:r>
          </w:p>
        </w:tc>
        <w:tc>
          <w:tcPr>
            <w:tcW w:w="1171"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191.223,80</w:t>
            </w:r>
          </w:p>
        </w:tc>
        <w:tc>
          <w:tcPr>
            <w:tcW w:w="1035" w:type="dxa"/>
            <w:tcBorders>
              <w:top w:val="nil"/>
              <w:left w:val="nil"/>
              <w:bottom w:val="single" w:sz="4" w:space="0" w:color="auto"/>
              <w:right w:val="single" w:sz="4" w:space="0" w:color="auto"/>
            </w:tcBorders>
            <w:shd w:val="clear" w:color="000000" w:fill="FFFFFF"/>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7.351,25</w:t>
            </w:r>
          </w:p>
        </w:tc>
        <w:tc>
          <w:tcPr>
            <w:tcW w:w="1035" w:type="dxa"/>
            <w:tcBorders>
              <w:top w:val="nil"/>
              <w:left w:val="nil"/>
              <w:bottom w:val="single" w:sz="4" w:space="0" w:color="auto"/>
              <w:right w:val="single" w:sz="4" w:space="0" w:color="auto"/>
            </w:tcBorders>
            <w:shd w:val="clear" w:color="000000" w:fill="FFFFFF"/>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7.351,20</w:t>
            </w:r>
          </w:p>
        </w:tc>
      </w:tr>
      <w:tr w:rsidR="00424F4D" w:rsidRPr="00E4517B" w:rsidTr="00B51730">
        <w:trPr>
          <w:trHeight w:val="288"/>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center"/>
              <w:rPr>
                <w:rFonts w:asciiTheme="majorHAnsi" w:eastAsia="Times New Roman" w:hAnsiTheme="majorHAnsi" w:cstheme="majorHAnsi"/>
                <w:b/>
                <w:bCs/>
                <w:color w:val="000000"/>
                <w:sz w:val="18"/>
                <w:szCs w:val="18"/>
                <w:lang w:val="ro-RO"/>
              </w:rPr>
            </w:pPr>
            <w:r w:rsidRPr="00F55BA6">
              <w:rPr>
                <w:rFonts w:asciiTheme="majorHAnsi" w:eastAsia="Times New Roman" w:hAnsiTheme="majorHAnsi" w:cstheme="majorHAnsi"/>
                <w:b/>
                <w:bCs/>
                <w:color w:val="000000"/>
                <w:sz w:val="18"/>
                <w:szCs w:val="18"/>
                <w:lang w:val="ro-RO"/>
              </w:rPr>
              <w:t>7</w:t>
            </w:r>
          </w:p>
        </w:tc>
        <w:tc>
          <w:tcPr>
            <w:tcW w:w="1942"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lef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Agenția Relații Funciare și Cadastru</w:t>
            </w:r>
          </w:p>
        </w:tc>
        <w:tc>
          <w:tcPr>
            <w:tcW w:w="709"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center"/>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0242</w:t>
            </w:r>
          </w:p>
        </w:tc>
        <w:tc>
          <w:tcPr>
            <w:tcW w:w="1171"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35.602,70</w:t>
            </w:r>
          </w:p>
        </w:tc>
        <w:tc>
          <w:tcPr>
            <w:tcW w:w="1171"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25.152,70</w:t>
            </w:r>
          </w:p>
        </w:tc>
        <w:tc>
          <w:tcPr>
            <w:tcW w:w="1171"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22.076,96</w:t>
            </w:r>
          </w:p>
        </w:tc>
        <w:tc>
          <w:tcPr>
            <w:tcW w:w="1171"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22.076,96</w:t>
            </w:r>
          </w:p>
        </w:tc>
        <w:tc>
          <w:tcPr>
            <w:tcW w:w="1035"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0,00</w:t>
            </w:r>
          </w:p>
        </w:tc>
        <w:tc>
          <w:tcPr>
            <w:tcW w:w="1035"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0,00</w:t>
            </w:r>
          </w:p>
        </w:tc>
        <w:tc>
          <w:tcPr>
            <w:tcW w:w="944"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0,00</w:t>
            </w:r>
          </w:p>
        </w:tc>
        <w:tc>
          <w:tcPr>
            <w:tcW w:w="1171"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22.076,96</w:t>
            </w:r>
          </w:p>
        </w:tc>
        <w:tc>
          <w:tcPr>
            <w:tcW w:w="1171"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22.076,96</w:t>
            </w:r>
          </w:p>
        </w:tc>
        <w:tc>
          <w:tcPr>
            <w:tcW w:w="1035"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0,00</w:t>
            </w:r>
          </w:p>
        </w:tc>
        <w:tc>
          <w:tcPr>
            <w:tcW w:w="1035"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0,00</w:t>
            </w:r>
          </w:p>
        </w:tc>
      </w:tr>
      <w:tr w:rsidR="00424F4D" w:rsidRPr="00E4517B" w:rsidTr="00B51730">
        <w:trPr>
          <w:trHeight w:val="288"/>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center"/>
              <w:rPr>
                <w:rFonts w:asciiTheme="majorHAnsi" w:eastAsia="Times New Roman" w:hAnsiTheme="majorHAnsi" w:cstheme="majorHAnsi"/>
                <w:b/>
                <w:bCs/>
                <w:color w:val="000000"/>
                <w:sz w:val="18"/>
                <w:szCs w:val="18"/>
                <w:lang w:val="ro-RO"/>
              </w:rPr>
            </w:pPr>
            <w:r w:rsidRPr="00F55BA6">
              <w:rPr>
                <w:rFonts w:asciiTheme="majorHAnsi" w:eastAsia="Times New Roman" w:hAnsiTheme="majorHAnsi" w:cstheme="majorHAnsi"/>
                <w:b/>
                <w:bCs/>
                <w:color w:val="000000"/>
                <w:sz w:val="18"/>
                <w:szCs w:val="18"/>
                <w:lang w:val="ro-RO"/>
              </w:rPr>
              <w:t>8</w:t>
            </w:r>
          </w:p>
        </w:tc>
        <w:tc>
          <w:tcPr>
            <w:tcW w:w="1942"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lef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 xml:space="preserve">Agenția </w:t>
            </w:r>
            <w:r w:rsidR="00CC2C91">
              <w:rPr>
                <w:rFonts w:asciiTheme="majorHAnsi" w:eastAsia="Times New Roman" w:hAnsiTheme="majorHAnsi" w:cstheme="majorHAnsi"/>
                <w:color w:val="000000"/>
                <w:sz w:val="18"/>
                <w:szCs w:val="18"/>
                <w:lang w:val="ro-RO"/>
              </w:rPr>
              <w:t>„</w:t>
            </w:r>
            <w:r w:rsidRPr="00F55BA6">
              <w:rPr>
                <w:rFonts w:asciiTheme="majorHAnsi" w:eastAsia="Times New Roman" w:hAnsiTheme="majorHAnsi" w:cstheme="majorHAnsi"/>
                <w:color w:val="000000"/>
                <w:sz w:val="18"/>
                <w:szCs w:val="18"/>
                <w:lang w:val="ro-RO"/>
              </w:rPr>
              <w:t>Moldsilva</w:t>
            </w:r>
            <w:r w:rsidR="00CC2C91">
              <w:rPr>
                <w:rFonts w:asciiTheme="majorHAnsi" w:eastAsia="Times New Roman" w:hAnsiTheme="majorHAnsi" w:cstheme="majorHAnsi"/>
                <w:color w:val="000000"/>
                <w:sz w:val="18"/>
                <w:szCs w:val="18"/>
                <w:lang w:val="ro-RO"/>
              </w:rPr>
              <w:t>”</w:t>
            </w:r>
          </w:p>
        </w:tc>
        <w:tc>
          <w:tcPr>
            <w:tcW w:w="709"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center"/>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0244</w:t>
            </w:r>
          </w:p>
        </w:tc>
        <w:tc>
          <w:tcPr>
            <w:tcW w:w="1171"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11.000,00</w:t>
            </w:r>
          </w:p>
        </w:tc>
        <w:tc>
          <w:tcPr>
            <w:tcW w:w="1171"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11.000,00</w:t>
            </w:r>
          </w:p>
        </w:tc>
        <w:tc>
          <w:tcPr>
            <w:tcW w:w="1171"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11.000,00</w:t>
            </w:r>
          </w:p>
        </w:tc>
        <w:tc>
          <w:tcPr>
            <w:tcW w:w="1171"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11.000,00</w:t>
            </w:r>
          </w:p>
        </w:tc>
        <w:tc>
          <w:tcPr>
            <w:tcW w:w="1035"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0,00</w:t>
            </w:r>
          </w:p>
        </w:tc>
        <w:tc>
          <w:tcPr>
            <w:tcW w:w="1035"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0,00</w:t>
            </w:r>
          </w:p>
        </w:tc>
        <w:tc>
          <w:tcPr>
            <w:tcW w:w="944"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0,00</w:t>
            </w:r>
          </w:p>
        </w:tc>
        <w:tc>
          <w:tcPr>
            <w:tcW w:w="1171"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11.000,00</w:t>
            </w:r>
          </w:p>
        </w:tc>
        <w:tc>
          <w:tcPr>
            <w:tcW w:w="1171"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11.000,00</w:t>
            </w:r>
          </w:p>
        </w:tc>
        <w:tc>
          <w:tcPr>
            <w:tcW w:w="1035"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0,00</w:t>
            </w:r>
          </w:p>
        </w:tc>
        <w:tc>
          <w:tcPr>
            <w:tcW w:w="1035"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0,00</w:t>
            </w:r>
          </w:p>
        </w:tc>
      </w:tr>
      <w:tr w:rsidR="00424F4D" w:rsidRPr="00E4517B" w:rsidTr="00B51730">
        <w:trPr>
          <w:trHeight w:val="288"/>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center"/>
              <w:rPr>
                <w:rFonts w:asciiTheme="majorHAnsi" w:eastAsia="Times New Roman" w:hAnsiTheme="majorHAnsi" w:cstheme="majorHAnsi"/>
                <w:b/>
                <w:bCs/>
                <w:color w:val="000000"/>
                <w:sz w:val="18"/>
                <w:szCs w:val="18"/>
                <w:lang w:val="ro-RO"/>
              </w:rPr>
            </w:pPr>
            <w:r w:rsidRPr="00F55BA6">
              <w:rPr>
                <w:rFonts w:asciiTheme="majorHAnsi" w:eastAsia="Times New Roman" w:hAnsiTheme="majorHAnsi" w:cstheme="majorHAnsi"/>
                <w:b/>
                <w:bCs/>
                <w:color w:val="000000"/>
                <w:sz w:val="18"/>
                <w:szCs w:val="18"/>
                <w:lang w:val="ro-RO"/>
              </w:rPr>
              <w:t>9</w:t>
            </w:r>
          </w:p>
        </w:tc>
        <w:tc>
          <w:tcPr>
            <w:tcW w:w="1942"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lef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Agenția Proprietății Publice</w:t>
            </w:r>
          </w:p>
        </w:tc>
        <w:tc>
          <w:tcPr>
            <w:tcW w:w="709"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center"/>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0249</w:t>
            </w:r>
          </w:p>
        </w:tc>
        <w:tc>
          <w:tcPr>
            <w:tcW w:w="1171"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0,00</w:t>
            </w:r>
          </w:p>
        </w:tc>
        <w:tc>
          <w:tcPr>
            <w:tcW w:w="1171"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4.965,20</w:t>
            </w:r>
          </w:p>
        </w:tc>
        <w:tc>
          <w:tcPr>
            <w:tcW w:w="1171"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3.473,73</w:t>
            </w:r>
          </w:p>
        </w:tc>
        <w:tc>
          <w:tcPr>
            <w:tcW w:w="1171"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3.473,70</w:t>
            </w:r>
          </w:p>
        </w:tc>
        <w:tc>
          <w:tcPr>
            <w:tcW w:w="1035"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0,00</w:t>
            </w:r>
          </w:p>
        </w:tc>
        <w:tc>
          <w:tcPr>
            <w:tcW w:w="1035"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0,00</w:t>
            </w:r>
          </w:p>
        </w:tc>
        <w:tc>
          <w:tcPr>
            <w:tcW w:w="944"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0,00</w:t>
            </w:r>
          </w:p>
        </w:tc>
        <w:tc>
          <w:tcPr>
            <w:tcW w:w="1171"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3.473,70</w:t>
            </w:r>
          </w:p>
        </w:tc>
        <w:tc>
          <w:tcPr>
            <w:tcW w:w="1171"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3.473,70</w:t>
            </w:r>
          </w:p>
        </w:tc>
        <w:tc>
          <w:tcPr>
            <w:tcW w:w="1035"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0,00</w:t>
            </w:r>
          </w:p>
        </w:tc>
        <w:tc>
          <w:tcPr>
            <w:tcW w:w="1035"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0,00</w:t>
            </w:r>
          </w:p>
        </w:tc>
      </w:tr>
      <w:tr w:rsidR="00424F4D" w:rsidRPr="00E4517B" w:rsidTr="00B51730">
        <w:trPr>
          <w:trHeight w:val="288"/>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center"/>
              <w:rPr>
                <w:rFonts w:asciiTheme="majorHAnsi" w:eastAsia="Times New Roman" w:hAnsiTheme="majorHAnsi" w:cstheme="majorHAnsi"/>
                <w:b/>
                <w:bCs/>
                <w:color w:val="000000"/>
                <w:sz w:val="18"/>
                <w:szCs w:val="18"/>
                <w:lang w:val="ro-RO"/>
              </w:rPr>
            </w:pPr>
            <w:r w:rsidRPr="00F55BA6">
              <w:rPr>
                <w:rFonts w:asciiTheme="majorHAnsi" w:eastAsia="Times New Roman" w:hAnsiTheme="majorHAnsi" w:cstheme="majorHAnsi"/>
                <w:b/>
                <w:bCs/>
                <w:color w:val="000000"/>
                <w:sz w:val="18"/>
                <w:szCs w:val="18"/>
                <w:lang w:val="ro-RO"/>
              </w:rPr>
              <w:t>10</w:t>
            </w:r>
          </w:p>
        </w:tc>
        <w:tc>
          <w:tcPr>
            <w:tcW w:w="1942"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lef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Agenția de Investiții</w:t>
            </w:r>
          </w:p>
        </w:tc>
        <w:tc>
          <w:tcPr>
            <w:tcW w:w="709"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center"/>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0251</w:t>
            </w:r>
          </w:p>
        </w:tc>
        <w:tc>
          <w:tcPr>
            <w:tcW w:w="1171"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5.000,00</w:t>
            </w:r>
          </w:p>
        </w:tc>
        <w:tc>
          <w:tcPr>
            <w:tcW w:w="1171"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4.200,00</w:t>
            </w:r>
          </w:p>
        </w:tc>
        <w:tc>
          <w:tcPr>
            <w:tcW w:w="1171"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3.578,42</w:t>
            </w:r>
          </w:p>
        </w:tc>
        <w:tc>
          <w:tcPr>
            <w:tcW w:w="1171"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3.578,40</w:t>
            </w:r>
          </w:p>
        </w:tc>
        <w:tc>
          <w:tcPr>
            <w:tcW w:w="1035"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0,00</w:t>
            </w:r>
          </w:p>
        </w:tc>
        <w:tc>
          <w:tcPr>
            <w:tcW w:w="1035"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0,00</w:t>
            </w:r>
          </w:p>
        </w:tc>
        <w:tc>
          <w:tcPr>
            <w:tcW w:w="944"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0,00</w:t>
            </w:r>
          </w:p>
        </w:tc>
        <w:tc>
          <w:tcPr>
            <w:tcW w:w="1171"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3.578,40</w:t>
            </w:r>
          </w:p>
        </w:tc>
        <w:tc>
          <w:tcPr>
            <w:tcW w:w="1171"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3.578,40</w:t>
            </w:r>
          </w:p>
        </w:tc>
        <w:tc>
          <w:tcPr>
            <w:tcW w:w="1035"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0,00</w:t>
            </w:r>
          </w:p>
        </w:tc>
        <w:tc>
          <w:tcPr>
            <w:tcW w:w="1035"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0,00</w:t>
            </w:r>
          </w:p>
        </w:tc>
      </w:tr>
      <w:tr w:rsidR="00424F4D" w:rsidRPr="00E4517B" w:rsidTr="00B51730">
        <w:trPr>
          <w:trHeight w:val="564"/>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center"/>
              <w:rPr>
                <w:rFonts w:asciiTheme="majorHAnsi" w:eastAsia="Times New Roman" w:hAnsiTheme="majorHAnsi" w:cstheme="majorHAnsi"/>
                <w:b/>
                <w:bCs/>
                <w:color w:val="000000"/>
                <w:sz w:val="18"/>
                <w:szCs w:val="18"/>
                <w:lang w:val="ro-RO"/>
              </w:rPr>
            </w:pPr>
            <w:r w:rsidRPr="00F55BA6">
              <w:rPr>
                <w:rFonts w:asciiTheme="majorHAnsi" w:eastAsia="Times New Roman" w:hAnsiTheme="majorHAnsi" w:cstheme="majorHAnsi"/>
                <w:b/>
                <w:bCs/>
                <w:color w:val="000000"/>
                <w:sz w:val="18"/>
                <w:szCs w:val="18"/>
                <w:lang w:val="ro-RO"/>
              </w:rPr>
              <w:lastRenderedPageBreak/>
              <w:t>11</w:t>
            </w:r>
          </w:p>
        </w:tc>
        <w:tc>
          <w:tcPr>
            <w:tcW w:w="1942" w:type="dxa"/>
            <w:tcBorders>
              <w:top w:val="nil"/>
              <w:left w:val="nil"/>
              <w:bottom w:val="single" w:sz="4" w:space="0" w:color="auto"/>
              <w:right w:val="single" w:sz="4" w:space="0" w:color="auto"/>
            </w:tcBorders>
            <w:shd w:val="clear" w:color="auto" w:fill="auto"/>
            <w:vAlign w:val="bottom"/>
            <w:hideMark/>
          </w:tcPr>
          <w:p w:rsidR="00424F4D" w:rsidRPr="00F55BA6" w:rsidRDefault="00424F4D" w:rsidP="00B51730">
            <w:pPr>
              <w:spacing w:after="0" w:line="240" w:lineRule="auto"/>
              <w:jc w:val="lef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Agenția Națională pentru Siguranța Alimentelor</w:t>
            </w:r>
          </w:p>
        </w:tc>
        <w:tc>
          <w:tcPr>
            <w:tcW w:w="709"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center"/>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0275</w:t>
            </w:r>
          </w:p>
        </w:tc>
        <w:tc>
          <w:tcPr>
            <w:tcW w:w="1171"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34.634,60</w:t>
            </w:r>
          </w:p>
        </w:tc>
        <w:tc>
          <w:tcPr>
            <w:tcW w:w="1171"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25.434,66</w:t>
            </w:r>
          </w:p>
        </w:tc>
        <w:tc>
          <w:tcPr>
            <w:tcW w:w="1171"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24.017,67</w:t>
            </w:r>
          </w:p>
        </w:tc>
        <w:tc>
          <w:tcPr>
            <w:tcW w:w="1171"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24.017,70</w:t>
            </w:r>
          </w:p>
        </w:tc>
        <w:tc>
          <w:tcPr>
            <w:tcW w:w="1035"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1.096,30</w:t>
            </w:r>
          </w:p>
        </w:tc>
        <w:tc>
          <w:tcPr>
            <w:tcW w:w="1035"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1.096,30</w:t>
            </w:r>
          </w:p>
        </w:tc>
        <w:tc>
          <w:tcPr>
            <w:tcW w:w="944"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0,00</w:t>
            </w:r>
          </w:p>
        </w:tc>
        <w:tc>
          <w:tcPr>
            <w:tcW w:w="1171"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25.114,00</w:t>
            </w:r>
          </w:p>
        </w:tc>
        <w:tc>
          <w:tcPr>
            <w:tcW w:w="1171"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24.393,30</w:t>
            </w:r>
          </w:p>
        </w:tc>
        <w:tc>
          <w:tcPr>
            <w:tcW w:w="1035"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0,00</w:t>
            </w:r>
          </w:p>
        </w:tc>
        <w:tc>
          <w:tcPr>
            <w:tcW w:w="1035"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0,00</w:t>
            </w:r>
          </w:p>
        </w:tc>
      </w:tr>
      <w:tr w:rsidR="00424F4D" w:rsidRPr="00E4517B" w:rsidTr="00B51730">
        <w:trPr>
          <w:trHeight w:val="288"/>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center"/>
              <w:rPr>
                <w:rFonts w:asciiTheme="majorHAnsi" w:eastAsia="Times New Roman" w:hAnsiTheme="majorHAnsi" w:cstheme="majorHAnsi"/>
                <w:b/>
                <w:bCs/>
                <w:color w:val="000000"/>
                <w:sz w:val="18"/>
                <w:szCs w:val="18"/>
                <w:lang w:val="ro-RO"/>
              </w:rPr>
            </w:pPr>
            <w:r w:rsidRPr="00F55BA6">
              <w:rPr>
                <w:rFonts w:asciiTheme="majorHAnsi" w:eastAsia="Times New Roman" w:hAnsiTheme="majorHAnsi" w:cstheme="majorHAnsi"/>
                <w:b/>
                <w:bCs/>
                <w:color w:val="000000"/>
                <w:sz w:val="18"/>
                <w:szCs w:val="18"/>
                <w:lang w:val="ro-RO"/>
              </w:rPr>
              <w:t>12</w:t>
            </w:r>
          </w:p>
        </w:tc>
        <w:tc>
          <w:tcPr>
            <w:tcW w:w="1942"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lef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Comisia Electorală Centrală</w:t>
            </w:r>
          </w:p>
        </w:tc>
        <w:tc>
          <w:tcPr>
            <w:tcW w:w="709"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center"/>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0402</w:t>
            </w:r>
          </w:p>
        </w:tc>
        <w:tc>
          <w:tcPr>
            <w:tcW w:w="1171"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38.172,70</w:t>
            </w:r>
          </w:p>
        </w:tc>
        <w:tc>
          <w:tcPr>
            <w:tcW w:w="1171"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31.203,80</w:t>
            </w:r>
          </w:p>
        </w:tc>
        <w:tc>
          <w:tcPr>
            <w:tcW w:w="1171"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29.333,65</w:t>
            </w:r>
          </w:p>
        </w:tc>
        <w:tc>
          <w:tcPr>
            <w:tcW w:w="1171"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29.333,60</w:t>
            </w:r>
          </w:p>
        </w:tc>
        <w:tc>
          <w:tcPr>
            <w:tcW w:w="1035" w:type="dxa"/>
            <w:tcBorders>
              <w:top w:val="nil"/>
              <w:left w:val="nil"/>
              <w:bottom w:val="single" w:sz="4" w:space="0" w:color="auto"/>
              <w:right w:val="single" w:sz="4" w:space="0" w:color="auto"/>
            </w:tcBorders>
            <w:shd w:val="clear" w:color="000000" w:fill="E2EFDA"/>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19.438,07</w:t>
            </w:r>
          </w:p>
        </w:tc>
        <w:tc>
          <w:tcPr>
            <w:tcW w:w="1035" w:type="dxa"/>
            <w:tcBorders>
              <w:top w:val="nil"/>
              <w:left w:val="nil"/>
              <w:bottom w:val="single" w:sz="4" w:space="0" w:color="auto"/>
              <w:right w:val="single" w:sz="4" w:space="0" w:color="auto"/>
            </w:tcBorders>
            <w:shd w:val="clear" w:color="000000" w:fill="E2EFDA"/>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19.449,50</w:t>
            </w:r>
          </w:p>
        </w:tc>
        <w:tc>
          <w:tcPr>
            <w:tcW w:w="944" w:type="dxa"/>
            <w:tcBorders>
              <w:top w:val="nil"/>
              <w:left w:val="nil"/>
              <w:bottom w:val="single" w:sz="4" w:space="0" w:color="auto"/>
              <w:right w:val="single" w:sz="4" w:space="0" w:color="auto"/>
            </w:tcBorders>
            <w:shd w:val="clear" w:color="000000" w:fill="E2EFDA"/>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11,43</w:t>
            </w:r>
          </w:p>
        </w:tc>
        <w:tc>
          <w:tcPr>
            <w:tcW w:w="1171"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37.885,34</w:t>
            </w:r>
          </w:p>
        </w:tc>
        <w:tc>
          <w:tcPr>
            <w:tcW w:w="1171"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lef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 </w:t>
            </w:r>
          </w:p>
        </w:tc>
        <w:tc>
          <w:tcPr>
            <w:tcW w:w="1035"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10.890,73</w:t>
            </w:r>
          </w:p>
        </w:tc>
        <w:tc>
          <w:tcPr>
            <w:tcW w:w="1035"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10.897,76</w:t>
            </w:r>
          </w:p>
        </w:tc>
      </w:tr>
      <w:tr w:rsidR="00424F4D" w:rsidRPr="00E4517B" w:rsidTr="00B51730">
        <w:trPr>
          <w:trHeight w:val="564"/>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center"/>
              <w:rPr>
                <w:rFonts w:asciiTheme="majorHAnsi" w:eastAsia="Times New Roman" w:hAnsiTheme="majorHAnsi" w:cstheme="majorHAnsi"/>
                <w:b/>
                <w:bCs/>
                <w:color w:val="000000"/>
                <w:sz w:val="18"/>
                <w:szCs w:val="18"/>
                <w:lang w:val="ro-RO"/>
              </w:rPr>
            </w:pPr>
            <w:r w:rsidRPr="00F55BA6">
              <w:rPr>
                <w:rFonts w:asciiTheme="majorHAnsi" w:eastAsia="Times New Roman" w:hAnsiTheme="majorHAnsi" w:cstheme="majorHAnsi"/>
                <w:b/>
                <w:bCs/>
                <w:color w:val="000000"/>
                <w:sz w:val="18"/>
                <w:szCs w:val="18"/>
                <w:lang w:val="ro-RO"/>
              </w:rPr>
              <w:t>13</w:t>
            </w:r>
          </w:p>
        </w:tc>
        <w:tc>
          <w:tcPr>
            <w:tcW w:w="1942" w:type="dxa"/>
            <w:tcBorders>
              <w:top w:val="nil"/>
              <w:left w:val="nil"/>
              <w:bottom w:val="single" w:sz="4" w:space="0" w:color="auto"/>
              <w:right w:val="single" w:sz="4" w:space="0" w:color="auto"/>
            </w:tcBorders>
            <w:shd w:val="clear" w:color="auto" w:fill="auto"/>
            <w:vAlign w:val="bottom"/>
            <w:hideMark/>
          </w:tcPr>
          <w:p w:rsidR="00424F4D" w:rsidRPr="00F55BA6" w:rsidRDefault="00424F4D" w:rsidP="00CC2C91">
            <w:pPr>
              <w:spacing w:after="0" w:line="240" w:lineRule="auto"/>
              <w:jc w:val="lef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 xml:space="preserve">IP Națională a Audiovizualului Compania </w:t>
            </w:r>
            <w:r w:rsidR="00CC2C91">
              <w:rPr>
                <w:rFonts w:asciiTheme="majorHAnsi" w:eastAsia="Times New Roman" w:hAnsiTheme="majorHAnsi" w:cstheme="majorHAnsi"/>
                <w:color w:val="000000"/>
                <w:sz w:val="18"/>
                <w:szCs w:val="18"/>
                <w:lang w:val="ro-RO"/>
              </w:rPr>
              <w:t>„</w:t>
            </w:r>
            <w:r w:rsidRPr="00F55BA6">
              <w:rPr>
                <w:rFonts w:asciiTheme="majorHAnsi" w:eastAsia="Times New Roman" w:hAnsiTheme="majorHAnsi" w:cstheme="majorHAnsi"/>
                <w:color w:val="000000"/>
                <w:sz w:val="18"/>
                <w:szCs w:val="18"/>
                <w:lang w:val="ro-RO"/>
              </w:rPr>
              <w:t>Teleradio Moldova”</w:t>
            </w:r>
          </w:p>
        </w:tc>
        <w:tc>
          <w:tcPr>
            <w:tcW w:w="709"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center"/>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0503</w:t>
            </w:r>
          </w:p>
        </w:tc>
        <w:tc>
          <w:tcPr>
            <w:tcW w:w="1171"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126.260,50</w:t>
            </w:r>
          </w:p>
        </w:tc>
        <w:tc>
          <w:tcPr>
            <w:tcW w:w="1171"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126.260,50</w:t>
            </w:r>
          </w:p>
        </w:tc>
        <w:tc>
          <w:tcPr>
            <w:tcW w:w="1171"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126.260,50</w:t>
            </w:r>
          </w:p>
        </w:tc>
        <w:tc>
          <w:tcPr>
            <w:tcW w:w="1171"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126.260,50</w:t>
            </w:r>
          </w:p>
        </w:tc>
        <w:tc>
          <w:tcPr>
            <w:tcW w:w="1035" w:type="dxa"/>
            <w:tcBorders>
              <w:top w:val="nil"/>
              <w:left w:val="nil"/>
              <w:bottom w:val="single" w:sz="4" w:space="0" w:color="auto"/>
              <w:right w:val="single" w:sz="4" w:space="0" w:color="auto"/>
            </w:tcBorders>
            <w:shd w:val="clear" w:color="000000" w:fill="E2EFDA"/>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10.912,00</w:t>
            </w:r>
          </w:p>
        </w:tc>
        <w:tc>
          <w:tcPr>
            <w:tcW w:w="1035" w:type="dxa"/>
            <w:tcBorders>
              <w:top w:val="nil"/>
              <w:left w:val="nil"/>
              <w:bottom w:val="single" w:sz="4" w:space="0" w:color="auto"/>
              <w:right w:val="single" w:sz="4" w:space="0" w:color="auto"/>
            </w:tcBorders>
            <w:shd w:val="clear" w:color="000000" w:fill="E2EFDA"/>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16.105,85</w:t>
            </w:r>
          </w:p>
        </w:tc>
        <w:tc>
          <w:tcPr>
            <w:tcW w:w="944" w:type="dxa"/>
            <w:tcBorders>
              <w:top w:val="nil"/>
              <w:left w:val="nil"/>
              <w:bottom w:val="single" w:sz="4" w:space="0" w:color="auto"/>
              <w:right w:val="single" w:sz="4" w:space="0" w:color="auto"/>
            </w:tcBorders>
            <w:shd w:val="clear" w:color="000000" w:fill="E2EFDA"/>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5.193,85</w:t>
            </w:r>
          </w:p>
        </w:tc>
        <w:tc>
          <w:tcPr>
            <w:tcW w:w="1171"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115.796,50</w:t>
            </w:r>
          </w:p>
        </w:tc>
        <w:tc>
          <w:tcPr>
            <w:tcW w:w="1171"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114.576,30</w:t>
            </w:r>
          </w:p>
        </w:tc>
        <w:tc>
          <w:tcPr>
            <w:tcW w:w="1035"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26.569,81</w:t>
            </w:r>
          </w:p>
        </w:tc>
        <w:tc>
          <w:tcPr>
            <w:tcW w:w="1035"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26.569,85</w:t>
            </w:r>
          </w:p>
        </w:tc>
      </w:tr>
      <w:tr w:rsidR="00424F4D" w:rsidRPr="00E4517B" w:rsidTr="00B51730">
        <w:trPr>
          <w:trHeight w:val="288"/>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center"/>
              <w:rPr>
                <w:rFonts w:asciiTheme="majorHAnsi" w:eastAsia="Times New Roman" w:hAnsiTheme="majorHAnsi" w:cstheme="majorHAnsi"/>
                <w:b/>
                <w:bCs/>
                <w:color w:val="000000"/>
                <w:sz w:val="18"/>
                <w:szCs w:val="18"/>
                <w:lang w:val="ro-RO"/>
              </w:rPr>
            </w:pPr>
            <w:r w:rsidRPr="00F55BA6">
              <w:rPr>
                <w:rFonts w:asciiTheme="majorHAnsi" w:eastAsia="Times New Roman" w:hAnsiTheme="majorHAnsi" w:cstheme="majorHAnsi"/>
                <w:b/>
                <w:bCs/>
                <w:color w:val="000000"/>
                <w:sz w:val="18"/>
                <w:szCs w:val="18"/>
                <w:lang w:val="ro-RO"/>
              </w:rPr>
              <w:t>14</w:t>
            </w:r>
          </w:p>
        </w:tc>
        <w:tc>
          <w:tcPr>
            <w:tcW w:w="1942"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lef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Acțiuni generale</w:t>
            </w:r>
          </w:p>
        </w:tc>
        <w:tc>
          <w:tcPr>
            <w:tcW w:w="709"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center"/>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0799</w:t>
            </w:r>
          </w:p>
        </w:tc>
        <w:tc>
          <w:tcPr>
            <w:tcW w:w="1171"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82.885,00</w:t>
            </w:r>
          </w:p>
        </w:tc>
        <w:tc>
          <w:tcPr>
            <w:tcW w:w="1171"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142.885,00</w:t>
            </w:r>
          </w:p>
        </w:tc>
        <w:tc>
          <w:tcPr>
            <w:tcW w:w="1171"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104.649,83</w:t>
            </w:r>
          </w:p>
        </w:tc>
        <w:tc>
          <w:tcPr>
            <w:tcW w:w="1171"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0,00</w:t>
            </w:r>
          </w:p>
        </w:tc>
        <w:tc>
          <w:tcPr>
            <w:tcW w:w="1035"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0,00</w:t>
            </w:r>
          </w:p>
        </w:tc>
        <w:tc>
          <w:tcPr>
            <w:tcW w:w="1035"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0,00</w:t>
            </w:r>
          </w:p>
        </w:tc>
        <w:tc>
          <w:tcPr>
            <w:tcW w:w="944"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0,00</w:t>
            </w:r>
          </w:p>
        </w:tc>
        <w:tc>
          <w:tcPr>
            <w:tcW w:w="1171"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0,00</w:t>
            </w:r>
          </w:p>
        </w:tc>
        <w:tc>
          <w:tcPr>
            <w:tcW w:w="1171"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0,00</w:t>
            </w:r>
          </w:p>
        </w:tc>
        <w:tc>
          <w:tcPr>
            <w:tcW w:w="1035"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0,00</w:t>
            </w:r>
          </w:p>
        </w:tc>
        <w:tc>
          <w:tcPr>
            <w:tcW w:w="1035"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0,00</w:t>
            </w:r>
          </w:p>
        </w:tc>
      </w:tr>
      <w:tr w:rsidR="00424F4D" w:rsidRPr="00E4517B" w:rsidTr="00B51730">
        <w:trPr>
          <w:trHeight w:val="288"/>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left"/>
              <w:rPr>
                <w:rFonts w:asciiTheme="majorHAnsi" w:eastAsia="Times New Roman" w:hAnsiTheme="majorHAnsi" w:cstheme="majorHAnsi"/>
                <w:color w:val="000000"/>
                <w:sz w:val="18"/>
                <w:szCs w:val="18"/>
                <w:lang w:val="ro-RO"/>
              </w:rPr>
            </w:pPr>
            <w:r w:rsidRPr="00F55BA6">
              <w:rPr>
                <w:rFonts w:asciiTheme="majorHAnsi" w:eastAsia="Times New Roman" w:hAnsiTheme="majorHAnsi" w:cstheme="majorHAnsi"/>
                <w:color w:val="000000"/>
                <w:sz w:val="18"/>
                <w:szCs w:val="18"/>
                <w:lang w:val="ro-RO"/>
              </w:rPr>
              <w:t> </w:t>
            </w:r>
          </w:p>
        </w:tc>
        <w:tc>
          <w:tcPr>
            <w:tcW w:w="1942"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left"/>
              <w:rPr>
                <w:rFonts w:asciiTheme="majorHAnsi" w:eastAsia="Times New Roman" w:hAnsiTheme="majorHAnsi" w:cstheme="majorHAnsi"/>
                <w:b/>
                <w:bCs/>
                <w:color w:val="000000"/>
                <w:sz w:val="18"/>
                <w:szCs w:val="18"/>
                <w:lang w:val="ro-RO"/>
              </w:rPr>
            </w:pPr>
            <w:r w:rsidRPr="00F55BA6">
              <w:rPr>
                <w:rFonts w:asciiTheme="majorHAnsi" w:eastAsia="Times New Roman" w:hAnsiTheme="majorHAnsi" w:cstheme="majorHAnsi"/>
                <w:b/>
                <w:bCs/>
                <w:color w:val="000000"/>
                <w:sz w:val="18"/>
                <w:szCs w:val="18"/>
                <w:lang w:val="ro-RO"/>
              </w:rPr>
              <w:t>TOTAL</w:t>
            </w:r>
          </w:p>
        </w:tc>
        <w:tc>
          <w:tcPr>
            <w:tcW w:w="709"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left"/>
              <w:rPr>
                <w:rFonts w:asciiTheme="majorHAnsi" w:eastAsia="Times New Roman" w:hAnsiTheme="majorHAnsi" w:cstheme="majorHAnsi"/>
                <w:b/>
                <w:bCs/>
                <w:color w:val="000000"/>
                <w:sz w:val="18"/>
                <w:szCs w:val="18"/>
                <w:lang w:val="ro-RO"/>
              </w:rPr>
            </w:pPr>
            <w:r w:rsidRPr="00F55BA6">
              <w:rPr>
                <w:rFonts w:asciiTheme="majorHAnsi" w:eastAsia="Times New Roman" w:hAnsiTheme="majorHAnsi" w:cstheme="majorHAnsi"/>
                <w:b/>
                <w:bCs/>
                <w:color w:val="000000"/>
                <w:sz w:val="18"/>
                <w:szCs w:val="18"/>
                <w:lang w:val="ro-RO"/>
              </w:rPr>
              <w:t> </w:t>
            </w:r>
          </w:p>
        </w:tc>
        <w:tc>
          <w:tcPr>
            <w:tcW w:w="1171"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b/>
                <w:bCs/>
                <w:color w:val="000000"/>
                <w:sz w:val="18"/>
                <w:szCs w:val="18"/>
                <w:lang w:val="ro-RO"/>
              </w:rPr>
            </w:pPr>
            <w:r w:rsidRPr="00F55BA6">
              <w:rPr>
                <w:rFonts w:asciiTheme="majorHAnsi" w:eastAsia="Times New Roman" w:hAnsiTheme="majorHAnsi" w:cstheme="majorHAnsi"/>
                <w:b/>
                <w:bCs/>
                <w:color w:val="000000"/>
                <w:sz w:val="18"/>
                <w:szCs w:val="18"/>
                <w:lang w:val="ro-RO"/>
              </w:rPr>
              <w:t>3.964.882,90</w:t>
            </w:r>
          </w:p>
        </w:tc>
        <w:tc>
          <w:tcPr>
            <w:tcW w:w="1171"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b/>
                <w:bCs/>
                <w:color w:val="000000"/>
                <w:sz w:val="18"/>
                <w:szCs w:val="18"/>
                <w:lang w:val="ro-RO"/>
              </w:rPr>
            </w:pPr>
            <w:r w:rsidRPr="00F55BA6">
              <w:rPr>
                <w:rFonts w:asciiTheme="majorHAnsi" w:eastAsia="Times New Roman" w:hAnsiTheme="majorHAnsi" w:cstheme="majorHAnsi"/>
                <w:b/>
                <w:bCs/>
                <w:color w:val="000000"/>
                <w:sz w:val="18"/>
                <w:szCs w:val="18"/>
                <w:lang w:val="ro-RO"/>
              </w:rPr>
              <w:t>5.452.978,55</w:t>
            </w:r>
          </w:p>
        </w:tc>
        <w:tc>
          <w:tcPr>
            <w:tcW w:w="1171"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b/>
                <w:bCs/>
                <w:color w:val="000000"/>
                <w:sz w:val="18"/>
                <w:szCs w:val="18"/>
                <w:lang w:val="ro-RO"/>
              </w:rPr>
            </w:pPr>
            <w:r w:rsidRPr="00F55BA6">
              <w:rPr>
                <w:rFonts w:asciiTheme="majorHAnsi" w:eastAsia="Times New Roman" w:hAnsiTheme="majorHAnsi" w:cstheme="majorHAnsi"/>
                <w:b/>
                <w:bCs/>
                <w:color w:val="000000"/>
                <w:sz w:val="18"/>
                <w:szCs w:val="18"/>
                <w:lang w:val="ro-RO"/>
              </w:rPr>
              <w:t>5.102.101,03</w:t>
            </w:r>
          </w:p>
        </w:tc>
        <w:tc>
          <w:tcPr>
            <w:tcW w:w="1171"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b/>
                <w:bCs/>
                <w:color w:val="000000"/>
                <w:sz w:val="18"/>
                <w:szCs w:val="18"/>
                <w:lang w:val="ro-RO"/>
              </w:rPr>
            </w:pPr>
            <w:r w:rsidRPr="00F55BA6">
              <w:rPr>
                <w:rFonts w:asciiTheme="majorHAnsi" w:eastAsia="Times New Roman" w:hAnsiTheme="majorHAnsi" w:cstheme="majorHAnsi"/>
                <w:b/>
                <w:bCs/>
                <w:color w:val="000000"/>
                <w:sz w:val="18"/>
                <w:szCs w:val="18"/>
                <w:lang w:val="ro-RO"/>
              </w:rPr>
              <w:t>4.997.451,11</w:t>
            </w:r>
          </w:p>
        </w:tc>
        <w:tc>
          <w:tcPr>
            <w:tcW w:w="1035"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b/>
                <w:bCs/>
                <w:color w:val="000000"/>
                <w:sz w:val="18"/>
                <w:szCs w:val="18"/>
                <w:lang w:val="ro-RO"/>
              </w:rPr>
            </w:pPr>
            <w:r w:rsidRPr="00F55BA6">
              <w:rPr>
                <w:rFonts w:asciiTheme="majorHAnsi" w:eastAsia="Times New Roman" w:hAnsiTheme="majorHAnsi" w:cstheme="majorHAnsi"/>
                <w:b/>
                <w:bCs/>
                <w:color w:val="000000"/>
                <w:sz w:val="18"/>
                <w:szCs w:val="18"/>
                <w:lang w:val="ro-RO"/>
              </w:rPr>
              <w:t>269.153,07</w:t>
            </w:r>
          </w:p>
        </w:tc>
        <w:tc>
          <w:tcPr>
            <w:tcW w:w="1035"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b/>
                <w:bCs/>
                <w:color w:val="000000"/>
                <w:sz w:val="18"/>
                <w:szCs w:val="18"/>
                <w:lang w:val="ro-RO"/>
              </w:rPr>
            </w:pPr>
            <w:r w:rsidRPr="00F55BA6">
              <w:rPr>
                <w:rFonts w:asciiTheme="majorHAnsi" w:eastAsia="Times New Roman" w:hAnsiTheme="majorHAnsi" w:cstheme="majorHAnsi"/>
                <w:b/>
                <w:bCs/>
                <w:color w:val="000000"/>
                <w:sz w:val="18"/>
                <w:szCs w:val="18"/>
                <w:lang w:val="ro-RO"/>
              </w:rPr>
              <w:t>285.696,98</w:t>
            </w:r>
          </w:p>
        </w:tc>
        <w:tc>
          <w:tcPr>
            <w:tcW w:w="944"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b/>
                <w:bCs/>
                <w:color w:val="000000"/>
                <w:sz w:val="18"/>
                <w:szCs w:val="18"/>
                <w:lang w:val="ro-RO"/>
              </w:rPr>
            </w:pPr>
            <w:r w:rsidRPr="00F55BA6">
              <w:rPr>
                <w:rFonts w:asciiTheme="majorHAnsi" w:eastAsia="Times New Roman" w:hAnsiTheme="majorHAnsi" w:cstheme="majorHAnsi"/>
                <w:b/>
                <w:bCs/>
                <w:color w:val="000000"/>
                <w:sz w:val="18"/>
                <w:szCs w:val="18"/>
                <w:lang w:val="ro-RO"/>
              </w:rPr>
              <w:t>16.543,91</w:t>
            </w:r>
          </w:p>
        </w:tc>
        <w:tc>
          <w:tcPr>
            <w:tcW w:w="1171"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b/>
                <w:bCs/>
                <w:color w:val="000000"/>
                <w:sz w:val="18"/>
                <w:szCs w:val="18"/>
                <w:lang w:val="ro-RO"/>
              </w:rPr>
            </w:pPr>
            <w:r w:rsidRPr="00F55BA6">
              <w:rPr>
                <w:rFonts w:asciiTheme="majorHAnsi" w:eastAsia="Times New Roman" w:hAnsiTheme="majorHAnsi" w:cstheme="majorHAnsi"/>
                <w:b/>
                <w:bCs/>
                <w:color w:val="000000"/>
                <w:sz w:val="18"/>
                <w:szCs w:val="18"/>
                <w:lang w:val="ro-RO"/>
              </w:rPr>
              <w:t>5.057.112,40</w:t>
            </w:r>
          </w:p>
        </w:tc>
        <w:tc>
          <w:tcPr>
            <w:tcW w:w="1171"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b/>
                <w:bCs/>
                <w:color w:val="000000"/>
                <w:sz w:val="18"/>
                <w:szCs w:val="18"/>
                <w:lang w:val="ro-RO"/>
              </w:rPr>
            </w:pPr>
            <w:r w:rsidRPr="00F55BA6">
              <w:rPr>
                <w:rFonts w:asciiTheme="majorHAnsi" w:eastAsia="Times New Roman" w:hAnsiTheme="majorHAnsi" w:cstheme="majorHAnsi"/>
                <w:b/>
                <w:bCs/>
                <w:color w:val="000000"/>
                <w:sz w:val="18"/>
                <w:szCs w:val="18"/>
                <w:lang w:val="ro-RO"/>
              </w:rPr>
              <w:t>4.737.928,36</w:t>
            </w:r>
          </w:p>
        </w:tc>
        <w:tc>
          <w:tcPr>
            <w:tcW w:w="1035"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b/>
                <w:bCs/>
                <w:color w:val="000000"/>
                <w:sz w:val="18"/>
                <w:szCs w:val="18"/>
                <w:lang w:val="ro-RO"/>
              </w:rPr>
            </w:pPr>
            <w:r w:rsidRPr="00F55BA6">
              <w:rPr>
                <w:rFonts w:asciiTheme="majorHAnsi" w:eastAsia="Times New Roman" w:hAnsiTheme="majorHAnsi" w:cstheme="majorHAnsi"/>
                <w:b/>
                <w:bCs/>
                <w:color w:val="000000"/>
                <w:sz w:val="18"/>
                <w:szCs w:val="18"/>
                <w:lang w:val="ro-RO"/>
              </w:rPr>
              <w:t>325.929,39</w:t>
            </w:r>
          </w:p>
        </w:tc>
        <w:tc>
          <w:tcPr>
            <w:tcW w:w="1035" w:type="dxa"/>
            <w:tcBorders>
              <w:top w:val="nil"/>
              <w:left w:val="nil"/>
              <w:bottom w:val="single" w:sz="4" w:space="0" w:color="auto"/>
              <w:right w:val="single" w:sz="4" w:space="0" w:color="auto"/>
            </w:tcBorders>
            <w:shd w:val="clear" w:color="auto" w:fill="auto"/>
            <w:noWrap/>
            <w:vAlign w:val="bottom"/>
            <w:hideMark/>
          </w:tcPr>
          <w:p w:rsidR="00424F4D" w:rsidRPr="00F55BA6" w:rsidRDefault="00424F4D" w:rsidP="00B51730">
            <w:pPr>
              <w:spacing w:after="0" w:line="240" w:lineRule="auto"/>
              <w:jc w:val="right"/>
              <w:rPr>
                <w:rFonts w:asciiTheme="majorHAnsi" w:eastAsia="Times New Roman" w:hAnsiTheme="majorHAnsi" w:cstheme="majorHAnsi"/>
                <w:b/>
                <w:bCs/>
                <w:color w:val="000000"/>
                <w:sz w:val="18"/>
                <w:szCs w:val="18"/>
                <w:lang w:val="ro-RO"/>
              </w:rPr>
            </w:pPr>
            <w:r w:rsidRPr="00F55BA6">
              <w:rPr>
                <w:rFonts w:asciiTheme="majorHAnsi" w:eastAsia="Times New Roman" w:hAnsiTheme="majorHAnsi" w:cstheme="majorHAnsi"/>
                <w:b/>
                <w:bCs/>
                <w:color w:val="000000"/>
                <w:sz w:val="18"/>
                <w:szCs w:val="18"/>
                <w:lang w:val="ro-RO"/>
              </w:rPr>
              <w:t>226.035,69</w:t>
            </w:r>
          </w:p>
        </w:tc>
      </w:tr>
    </w:tbl>
    <w:p w:rsidR="00424F4D" w:rsidRPr="00E4517B" w:rsidRDefault="00424F4D" w:rsidP="001A250F">
      <w:pPr>
        <w:tabs>
          <w:tab w:val="left" w:pos="993"/>
        </w:tabs>
        <w:spacing w:after="0" w:line="276" w:lineRule="auto"/>
        <w:jc w:val="left"/>
        <w:outlineLvl w:val="2"/>
        <w:rPr>
          <w:rFonts w:ascii="Calibri Light" w:hAnsi="Calibri Light" w:cs="Calibri Light"/>
          <w:b/>
          <w:sz w:val="24"/>
          <w:szCs w:val="24"/>
          <w:lang w:val="ro-RO"/>
        </w:rPr>
      </w:pPr>
      <w:r w:rsidRPr="00F55BA6">
        <w:rPr>
          <w:rFonts w:asciiTheme="majorHAnsi" w:hAnsiTheme="majorHAnsi" w:cstheme="majorHAnsi"/>
          <w:b/>
          <w:i/>
          <w:sz w:val="20"/>
          <w:szCs w:val="20"/>
          <w:lang w:val="ro-RO"/>
        </w:rPr>
        <w:t>Sursă:</w:t>
      </w:r>
      <w:r w:rsidRPr="00F55BA6">
        <w:rPr>
          <w:rFonts w:asciiTheme="majorHAnsi" w:hAnsiTheme="majorHAnsi" w:cstheme="majorHAnsi"/>
          <w:i/>
          <w:sz w:val="20"/>
          <w:szCs w:val="20"/>
          <w:lang w:val="ro-RO"/>
        </w:rPr>
        <w:t xml:space="preserve"> Rapoartele narative privind executarea bugetelor autorităților/instituțiilor bugetare pentru anul 2020.</w:t>
      </w:r>
    </w:p>
    <w:p w:rsidR="001A250F" w:rsidRPr="00973E5B" w:rsidRDefault="001A250F" w:rsidP="001A250F">
      <w:pPr>
        <w:tabs>
          <w:tab w:val="left" w:pos="993"/>
        </w:tabs>
        <w:spacing w:after="0" w:line="276" w:lineRule="auto"/>
        <w:jc w:val="left"/>
        <w:outlineLvl w:val="2"/>
        <w:rPr>
          <w:rFonts w:ascii="Calibri Light" w:hAnsi="Calibri Light" w:cs="Calibri Light"/>
          <w:b/>
          <w:sz w:val="24"/>
          <w:szCs w:val="24"/>
          <w:lang w:val="ro-RO"/>
        </w:rPr>
      </w:pPr>
    </w:p>
    <w:p w:rsidR="00281CBE" w:rsidRPr="009131CF" w:rsidRDefault="00281CBE" w:rsidP="00281CBE">
      <w:pPr>
        <w:spacing w:line="276" w:lineRule="auto"/>
        <w:ind w:firstLine="709"/>
        <w:contextualSpacing/>
        <w:jc w:val="right"/>
        <w:rPr>
          <w:rFonts w:asciiTheme="majorHAnsi" w:eastAsia="Times New Roman" w:hAnsiTheme="majorHAnsi" w:cstheme="majorHAnsi"/>
          <w:b/>
          <w:sz w:val="24"/>
          <w:szCs w:val="24"/>
          <w:lang w:val="ro-RO"/>
        </w:rPr>
      </w:pPr>
      <w:r w:rsidRPr="009131CF">
        <w:rPr>
          <w:rFonts w:asciiTheme="majorHAnsi" w:eastAsia="Times New Roman" w:hAnsiTheme="majorHAnsi" w:cstheme="majorHAnsi"/>
          <w:b/>
          <w:sz w:val="24"/>
          <w:szCs w:val="24"/>
          <w:lang w:val="ro-RO"/>
        </w:rPr>
        <w:t>Anexa nr.6</w:t>
      </w:r>
    </w:p>
    <w:p w:rsidR="00281CBE" w:rsidRPr="00E4517B" w:rsidRDefault="00281CBE" w:rsidP="00281CBE">
      <w:pPr>
        <w:shd w:val="clear" w:color="auto" w:fill="FFFFFF" w:themeFill="background1"/>
        <w:tabs>
          <w:tab w:val="left" w:pos="284"/>
          <w:tab w:val="left" w:pos="993"/>
          <w:tab w:val="left" w:pos="6663"/>
        </w:tabs>
        <w:spacing w:after="0" w:line="276" w:lineRule="auto"/>
        <w:jc w:val="center"/>
        <w:rPr>
          <w:rFonts w:asciiTheme="majorHAnsi" w:eastAsia="Times New Roman" w:hAnsiTheme="majorHAnsi" w:cstheme="majorHAnsi"/>
          <w:b/>
          <w:sz w:val="24"/>
          <w:szCs w:val="24"/>
          <w:lang w:val="ro-RO"/>
        </w:rPr>
      </w:pPr>
      <w:r w:rsidRPr="00E4517B">
        <w:rPr>
          <w:rFonts w:asciiTheme="majorHAnsi" w:eastAsia="Times New Roman" w:hAnsiTheme="majorHAnsi" w:cstheme="majorHAnsi"/>
          <w:b/>
          <w:sz w:val="24"/>
          <w:szCs w:val="24"/>
          <w:lang w:val="ro-RO"/>
        </w:rPr>
        <w:t>Sinteza executării alocațiilor aprobate prin Legea bugetară anuală destinate investițiilor capitale pe surse de finanțare pentru perioada 2018-2020</w:t>
      </w:r>
    </w:p>
    <w:p w:rsidR="00281CBE" w:rsidRPr="00E4517B" w:rsidRDefault="00281CBE" w:rsidP="00281CBE">
      <w:pPr>
        <w:shd w:val="clear" w:color="auto" w:fill="FFFFFF" w:themeFill="background1"/>
        <w:tabs>
          <w:tab w:val="left" w:pos="284"/>
          <w:tab w:val="left" w:pos="567"/>
          <w:tab w:val="left" w:pos="6237"/>
          <w:tab w:val="left" w:pos="6379"/>
        </w:tabs>
        <w:spacing w:after="0" w:line="276" w:lineRule="auto"/>
        <w:contextualSpacing/>
        <w:jc w:val="right"/>
        <w:rPr>
          <w:rFonts w:asciiTheme="majorHAnsi" w:eastAsia="Times New Roman" w:hAnsiTheme="majorHAnsi" w:cstheme="majorHAnsi"/>
          <w:b/>
          <w:sz w:val="24"/>
          <w:szCs w:val="24"/>
          <w:lang w:val="ro-RO"/>
        </w:rPr>
      </w:pPr>
      <w:r w:rsidRPr="00E4517B">
        <w:rPr>
          <w:rFonts w:asciiTheme="majorHAnsi" w:eastAsia="Times New Roman" w:hAnsiTheme="majorHAnsi" w:cstheme="majorHAnsi"/>
          <w:b/>
          <w:sz w:val="24"/>
          <w:szCs w:val="24"/>
          <w:lang w:val="ro-RO"/>
        </w:rPr>
        <w:t>(mil. lei)</w:t>
      </w:r>
    </w:p>
    <w:tbl>
      <w:tblPr>
        <w:tblW w:w="14687" w:type="dxa"/>
        <w:tblInd w:w="-289" w:type="dxa"/>
        <w:tblLook w:val="04A0" w:firstRow="1" w:lastRow="0" w:firstColumn="1" w:lastColumn="0" w:noHBand="0" w:noVBand="1"/>
      </w:tblPr>
      <w:tblGrid>
        <w:gridCol w:w="2836"/>
        <w:gridCol w:w="871"/>
        <w:gridCol w:w="857"/>
        <w:gridCol w:w="913"/>
        <w:gridCol w:w="986"/>
        <w:gridCol w:w="871"/>
        <w:gridCol w:w="857"/>
        <w:gridCol w:w="913"/>
        <w:gridCol w:w="986"/>
        <w:gridCol w:w="871"/>
        <w:gridCol w:w="857"/>
        <w:gridCol w:w="913"/>
        <w:gridCol w:w="986"/>
        <w:gridCol w:w="986"/>
      </w:tblGrid>
      <w:tr w:rsidR="00281CBE" w:rsidRPr="00E4517B" w:rsidTr="00B51730">
        <w:trPr>
          <w:trHeight w:val="300"/>
        </w:trPr>
        <w:tc>
          <w:tcPr>
            <w:tcW w:w="28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1CBE" w:rsidRPr="00F55BA6" w:rsidRDefault="00281CBE" w:rsidP="00B51730">
            <w:pPr>
              <w:spacing w:after="0" w:line="240" w:lineRule="auto"/>
              <w:ind w:right="-101"/>
              <w:jc w:val="center"/>
              <w:rPr>
                <w:rFonts w:ascii="Calibri Light" w:eastAsia="Times New Roman" w:hAnsi="Calibri Light" w:cs="Times New Roman"/>
                <w:b/>
                <w:bCs/>
                <w:color w:val="000000"/>
                <w:sz w:val="20"/>
                <w:szCs w:val="20"/>
                <w:lang w:val="ro-RO"/>
              </w:rPr>
            </w:pPr>
            <w:r w:rsidRPr="00E4517B">
              <w:rPr>
                <w:rFonts w:ascii="Calibri Light" w:eastAsia="Times New Roman" w:hAnsi="Calibri Light" w:cs="Times New Roman"/>
                <w:b/>
                <w:bCs/>
                <w:color w:val="000000"/>
                <w:sz w:val="20"/>
                <w:szCs w:val="20"/>
                <w:lang w:val="ro-RO"/>
              </w:rPr>
              <w:t>Indicator</w:t>
            </w:r>
          </w:p>
        </w:tc>
        <w:tc>
          <w:tcPr>
            <w:tcW w:w="3622" w:type="dxa"/>
            <w:gridSpan w:val="4"/>
            <w:tcBorders>
              <w:top w:val="single" w:sz="4" w:space="0" w:color="auto"/>
              <w:left w:val="nil"/>
              <w:bottom w:val="single" w:sz="4" w:space="0" w:color="auto"/>
              <w:right w:val="single" w:sz="4" w:space="0" w:color="auto"/>
            </w:tcBorders>
            <w:shd w:val="clear" w:color="auto" w:fill="auto"/>
            <w:noWrap/>
            <w:vAlign w:val="center"/>
            <w:hideMark/>
          </w:tcPr>
          <w:p w:rsidR="00281CBE" w:rsidRPr="00F55BA6" w:rsidRDefault="00281CBE" w:rsidP="00B51730">
            <w:pPr>
              <w:spacing w:after="0" w:line="240" w:lineRule="auto"/>
              <w:jc w:val="center"/>
              <w:rPr>
                <w:rFonts w:ascii="Calibri Light" w:eastAsia="Times New Roman" w:hAnsi="Calibri Light" w:cs="Times New Roman"/>
                <w:b/>
                <w:bCs/>
                <w:color w:val="000000"/>
                <w:sz w:val="20"/>
                <w:szCs w:val="20"/>
                <w:lang w:val="ro-RO"/>
              </w:rPr>
            </w:pPr>
            <w:r w:rsidRPr="00E4517B">
              <w:rPr>
                <w:rFonts w:ascii="Calibri Light" w:eastAsia="Times New Roman" w:hAnsi="Calibri Light" w:cs="Times New Roman"/>
                <w:b/>
                <w:bCs/>
                <w:color w:val="000000"/>
                <w:sz w:val="20"/>
                <w:szCs w:val="20"/>
                <w:lang w:val="ro-RO"/>
              </w:rPr>
              <w:t>Anul 2018</w:t>
            </w:r>
          </w:p>
        </w:tc>
        <w:tc>
          <w:tcPr>
            <w:tcW w:w="3622" w:type="dxa"/>
            <w:gridSpan w:val="4"/>
            <w:tcBorders>
              <w:top w:val="single" w:sz="4" w:space="0" w:color="auto"/>
              <w:left w:val="nil"/>
              <w:bottom w:val="single" w:sz="4" w:space="0" w:color="auto"/>
              <w:right w:val="single" w:sz="4" w:space="0" w:color="auto"/>
            </w:tcBorders>
            <w:shd w:val="clear" w:color="auto" w:fill="auto"/>
            <w:noWrap/>
            <w:vAlign w:val="center"/>
            <w:hideMark/>
          </w:tcPr>
          <w:p w:rsidR="00281CBE" w:rsidRPr="00F55BA6" w:rsidRDefault="00281CBE" w:rsidP="00B51730">
            <w:pPr>
              <w:spacing w:after="0" w:line="240" w:lineRule="auto"/>
              <w:jc w:val="center"/>
              <w:rPr>
                <w:rFonts w:ascii="Calibri Light" w:eastAsia="Times New Roman" w:hAnsi="Calibri Light" w:cs="Times New Roman"/>
                <w:b/>
                <w:bCs/>
                <w:color w:val="000000"/>
                <w:sz w:val="20"/>
                <w:szCs w:val="20"/>
                <w:lang w:val="ro-RO"/>
              </w:rPr>
            </w:pPr>
            <w:r w:rsidRPr="00E4517B">
              <w:rPr>
                <w:rFonts w:ascii="Calibri Light" w:eastAsia="Times New Roman" w:hAnsi="Calibri Light" w:cs="Times New Roman"/>
                <w:b/>
                <w:bCs/>
                <w:color w:val="000000"/>
                <w:sz w:val="20"/>
                <w:szCs w:val="20"/>
                <w:lang w:val="ro-RO"/>
              </w:rPr>
              <w:t>Anul 2019</w:t>
            </w:r>
          </w:p>
        </w:tc>
        <w:tc>
          <w:tcPr>
            <w:tcW w:w="4607" w:type="dxa"/>
            <w:gridSpan w:val="5"/>
            <w:tcBorders>
              <w:top w:val="single" w:sz="4" w:space="0" w:color="auto"/>
              <w:left w:val="nil"/>
              <w:bottom w:val="single" w:sz="4" w:space="0" w:color="auto"/>
              <w:right w:val="single" w:sz="4" w:space="0" w:color="auto"/>
            </w:tcBorders>
            <w:shd w:val="clear" w:color="auto" w:fill="auto"/>
            <w:noWrap/>
            <w:vAlign w:val="center"/>
            <w:hideMark/>
          </w:tcPr>
          <w:p w:rsidR="00281CBE" w:rsidRPr="00F55BA6" w:rsidRDefault="00281CBE" w:rsidP="00B51730">
            <w:pPr>
              <w:spacing w:after="0" w:line="240" w:lineRule="auto"/>
              <w:jc w:val="center"/>
              <w:rPr>
                <w:rFonts w:ascii="Calibri Light" w:eastAsia="Times New Roman" w:hAnsi="Calibri Light" w:cs="Times New Roman"/>
                <w:b/>
                <w:bCs/>
                <w:color w:val="000000"/>
                <w:sz w:val="20"/>
                <w:szCs w:val="20"/>
                <w:lang w:val="ro-RO"/>
              </w:rPr>
            </w:pPr>
            <w:r w:rsidRPr="00E4517B">
              <w:rPr>
                <w:rFonts w:ascii="Calibri Light" w:eastAsia="Times New Roman" w:hAnsi="Calibri Light" w:cs="Times New Roman"/>
                <w:b/>
                <w:bCs/>
                <w:color w:val="000000"/>
                <w:sz w:val="20"/>
                <w:szCs w:val="20"/>
                <w:lang w:val="ro-RO"/>
              </w:rPr>
              <w:t>Anul 2020</w:t>
            </w:r>
          </w:p>
        </w:tc>
      </w:tr>
      <w:tr w:rsidR="00281CBE" w:rsidRPr="00E4517B" w:rsidTr="00B51730">
        <w:trPr>
          <w:trHeight w:val="510"/>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281CBE" w:rsidRPr="00F55BA6" w:rsidRDefault="00281CBE" w:rsidP="00B51730">
            <w:pPr>
              <w:spacing w:after="0" w:line="240" w:lineRule="auto"/>
              <w:ind w:right="-101"/>
              <w:jc w:val="left"/>
              <w:rPr>
                <w:rFonts w:ascii="Calibri Light" w:eastAsia="Times New Roman" w:hAnsi="Calibri Light" w:cs="Times New Roman"/>
                <w:b/>
                <w:bCs/>
                <w:color w:val="000000"/>
                <w:sz w:val="20"/>
                <w:szCs w:val="20"/>
                <w:lang w:val="ro-RO"/>
              </w:rPr>
            </w:pPr>
          </w:p>
        </w:tc>
        <w:tc>
          <w:tcPr>
            <w:tcW w:w="871" w:type="dxa"/>
            <w:tcBorders>
              <w:top w:val="nil"/>
              <w:left w:val="nil"/>
              <w:bottom w:val="single" w:sz="4" w:space="0" w:color="auto"/>
              <w:right w:val="single" w:sz="4" w:space="0" w:color="auto"/>
            </w:tcBorders>
            <w:shd w:val="clear" w:color="auto" w:fill="auto"/>
            <w:noWrap/>
            <w:vAlign w:val="center"/>
            <w:hideMark/>
          </w:tcPr>
          <w:p w:rsidR="00281CBE" w:rsidRPr="00F55BA6" w:rsidRDefault="004D101D" w:rsidP="00B51730">
            <w:pPr>
              <w:spacing w:after="0" w:line="240" w:lineRule="auto"/>
              <w:jc w:val="center"/>
              <w:rPr>
                <w:rFonts w:ascii="Calibri Light" w:eastAsia="Times New Roman" w:hAnsi="Calibri Light" w:cs="Times New Roman"/>
                <w:b/>
                <w:bCs/>
                <w:color w:val="000000"/>
                <w:sz w:val="20"/>
                <w:szCs w:val="20"/>
                <w:lang w:val="ro-RO"/>
              </w:rPr>
            </w:pPr>
            <w:r w:rsidRPr="00E4517B">
              <w:rPr>
                <w:rFonts w:ascii="Calibri Light" w:eastAsia="Times New Roman" w:hAnsi="Calibri Light" w:cs="Times New Roman"/>
                <w:b/>
                <w:bCs/>
                <w:color w:val="000000"/>
                <w:sz w:val="20"/>
                <w:szCs w:val="20"/>
                <w:lang w:val="ro-RO"/>
              </w:rPr>
              <w:t>aprobat</w:t>
            </w:r>
          </w:p>
        </w:tc>
        <w:tc>
          <w:tcPr>
            <w:tcW w:w="854" w:type="dxa"/>
            <w:tcBorders>
              <w:top w:val="nil"/>
              <w:left w:val="nil"/>
              <w:bottom w:val="single" w:sz="4" w:space="0" w:color="auto"/>
              <w:right w:val="single" w:sz="4" w:space="0" w:color="auto"/>
            </w:tcBorders>
            <w:shd w:val="clear" w:color="auto" w:fill="auto"/>
            <w:noWrap/>
            <w:vAlign w:val="center"/>
            <w:hideMark/>
          </w:tcPr>
          <w:p w:rsidR="00281CBE" w:rsidRPr="00F55BA6" w:rsidRDefault="004D101D" w:rsidP="00B51730">
            <w:pPr>
              <w:spacing w:after="0" w:line="240" w:lineRule="auto"/>
              <w:jc w:val="center"/>
              <w:rPr>
                <w:rFonts w:ascii="Calibri Light" w:eastAsia="Times New Roman" w:hAnsi="Calibri Light" w:cs="Times New Roman"/>
                <w:b/>
                <w:bCs/>
                <w:color w:val="000000"/>
                <w:sz w:val="20"/>
                <w:szCs w:val="20"/>
                <w:lang w:val="ro-RO"/>
              </w:rPr>
            </w:pPr>
            <w:r w:rsidRPr="00E4517B">
              <w:rPr>
                <w:rFonts w:ascii="Calibri Light" w:eastAsia="Times New Roman" w:hAnsi="Calibri Light" w:cs="Times New Roman"/>
                <w:b/>
                <w:bCs/>
                <w:color w:val="000000"/>
                <w:sz w:val="20"/>
                <w:szCs w:val="20"/>
                <w:lang w:val="ro-RO"/>
              </w:rPr>
              <w:t>precizat</w:t>
            </w:r>
          </w:p>
        </w:tc>
        <w:tc>
          <w:tcPr>
            <w:tcW w:w="912" w:type="dxa"/>
            <w:tcBorders>
              <w:top w:val="nil"/>
              <w:left w:val="nil"/>
              <w:bottom w:val="single" w:sz="4" w:space="0" w:color="auto"/>
              <w:right w:val="single" w:sz="4" w:space="0" w:color="auto"/>
            </w:tcBorders>
            <w:shd w:val="clear" w:color="auto" w:fill="auto"/>
            <w:noWrap/>
            <w:vAlign w:val="center"/>
            <w:hideMark/>
          </w:tcPr>
          <w:p w:rsidR="00281CBE" w:rsidRPr="00F55BA6" w:rsidRDefault="004D101D" w:rsidP="00B51730">
            <w:pPr>
              <w:spacing w:after="0" w:line="240" w:lineRule="auto"/>
              <w:jc w:val="center"/>
              <w:rPr>
                <w:rFonts w:ascii="Calibri Light" w:eastAsia="Times New Roman" w:hAnsi="Calibri Light" w:cs="Times New Roman"/>
                <w:b/>
                <w:bCs/>
                <w:color w:val="000000"/>
                <w:sz w:val="20"/>
                <w:szCs w:val="20"/>
                <w:lang w:val="ro-RO"/>
              </w:rPr>
            </w:pPr>
            <w:r w:rsidRPr="00E4517B">
              <w:rPr>
                <w:rFonts w:ascii="Calibri Light" w:eastAsia="Times New Roman" w:hAnsi="Calibri Light" w:cs="Times New Roman"/>
                <w:b/>
                <w:bCs/>
                <w:color w:val="000000"/>
                <w:sz w:val="20"/>
                <w:szCs w:val="20"/>
                <w:lang w:val="ro-RO"/>
              </w:rPr>
              <w:t>executat</w:t>
            </w:r>
          </w:p>
        </w:tc>
        <w:tc>
          <w:tcPr>
            <w:tcW w:w="985" w:type="dxa"/>
            <w:tcBorders>
              <w:top w:val="nil"/>
              <w:left w:val="nil"/>
              <w:bottom w:val="single" w:sz="4" w:space="0" w:color="auto"/>
              <w:right w:val="single" w:sz="4" w:space="0" w:color="auto"/>
            </w:tcBorders>
            <w:shd w:val="clear" w:color="auto" w:fill="auto"/>
            <w:vAlign w:val="center"/>
            <w:hideMark/>
          </w:tcPr>
          <w:p w:rsidR="00281CBE" w:rsidRPr="00F55BA6" w:rsidRDefault="004D101D" w:rsidP="00B51730">
            <w:pPr>
              <w:spacing w:after="0" w:line="240" w:lineRule="auto"/>
              <w:jc w:val="center"/>
              <w:rPr>
                <w:rFonts w:ascii="Calibri Light" w:eastAsia="Times New Roman" w:hAnsi="Calibri Light" w:cs="Times New Roman"/>
                <w:b/>
                <w:bCs/>
                <w:color w:val="000000"/>
                <w:sz w:val="20"/>
                <w:szCs w:val="20"/>
                <w:lang w:val="ro-RO"/>
              </w:rPr>
            </w:pPr>
            <w:r w:rsidRPr="00E4517B">
              <w:rPr>
                <w:rFonts w:ascii="Calibri Light" w:eastAsia="Times New Roman" w:hAnsi="Calibri Light" w:cs="Times New Roman"/>
                <w:b/>
                <w:bCs/>
                <w:color w:val="000000"/>
                <w:sz w:val="20"/>
                <w:szCs w:val="20"/>
                <w:lang w:val="ro-RO"/>
              </w:rPr>
              <w:t>executat/ precizat</w:t>
            </w:r>
          </w:p>
        </w:tc>
        <w:tc>
          <w:tcPr>
            <w:tcW w:w="871" w:type="dxa"/>
            <w:tcBorders>
              <w:top w:val="nil"/>
              <w:left w:val="nil"/>
              <w:bottom w:val="single" w:sz="4" w:space="0" w:color="auto"/>
              <w:right w:val="single" w:sz="4" w:space="0" w:color="auto"/>
            </w:tcBorders>
            <w:shd w:val="clear" w:color="auto" w:fill="auto"/>
            <w:noWrap/>
            <w:vAlign w:val="center"/>
            <w:hideMark/>
          </w:tcPr>
          <w:p w:rsidR="00281CBE" w:rsidRPr="00F55BA6" w:rsidRDefault="004D101D" w:rsidP="00B51730">
            <w:pPr>
              <w:spacing w:after="0" w:line="240" w:lineRule="auto"/>
              <w:jc w:val="center"/>
              <w:rPr>
                <w:rFonts w:ascii="Calibri Light" w:eastAsia="Times New Roman" w:hAnsi="Calibri Light" w:cs="Times New Roman"/>
                <w:b/>
                <w:bCs/>
                <w:color w:val="000000"/>
                <w:sz w:val="20"/>
                <w:szCs w:val="20"/>
                <w:lang w:val="ro-RO"/>
              </w:rPr>
            </w:pPr>
            <w:r w:rsidRPr="00E4517B">
              <w:rPr>
                <w:rFonts w:ascii="Calibri Light" w:eastAsia="Times New Roman" w:hAnsi="Calibri Light" w:cs="Times New Roman"/>
                <w:b/>
                <w:bCs/>
                <w:color w:val="000000"/>
                <w:sz w:val="20"/>
                <w:szCs w:val="20"/>
                <w:lang w:val="ro-RO"/>
              </w:rPr>
              <w:t>aprobat</w:t>
            </w:r>
          </w:p>
        </w:tc>
        <w:tc>
          <w:tcPr>
            <w:tcW w:w="854" w:type="dxa"/>
            <w:tcBorders>
              <w:top w:val="nil"/>
              <w:left w:val="nil"/>
              <w:bottom w:val="single" w:sz="4" w:space="0" w:color="auto"/>
              <w:right w:val="single" w:sz="4" w:space="0" w:color="auto"/>
            </w:tcBorders>
            <w:shd w:val="clear" w:color="auto" w:fill="auto"/>
            <w:noWrap/>
            <w:vAlign w:val="center"/>
            <w:hideMark/>
          </w:tcPr>
          <w:p w:rsidR="00281CBE" w:rsidRPr="00F55BA6" w:rsidRDefault="004D101D" w:rsidP="00B51730">
            <w:pPr>
              <w:spacing w:after="0" w:line="240" w:lineRule="auto"/>
              <w:jc w:val="center"/>
              <w:rPr>
                <w:rFonts w:ascii="Calibri Light" w:eastAsia="Times New Roman" w:hAnsi="Calibri Light" w:cs="Times New Roman"/>
                <w:b/>
                <w:bCs/>
                <w:color w:val="000000"/>
                <w:sz w:val="20"/>
                <w:szCs w:val="20"/>
                <w:lang w:val="ro-RO"/>
              </w:rPr>
            </w:pPr>
            <w:r w:rsidRPr="00E4517B">
              <w:rPr>
                <w:rFonts w:ascii="Calibri Light" w:eastAsia="Times New Roman" w:hAnsi="Calibri Light" w:cs="Times New Roman"/>
                <w:b/>
                <w:bCs/>
                <w:color w:val="000000"/>
                <w:sz w:val="20"/>
                <w:szCs w:val="20"/>
                <w:lang w:val="ro-RO"/>
              </w:rPr>
              <w:t>precizat</w:t>
            </w:r>
          </w:p>
        </w:tc>
        <w:tc>
          <w:tcPr>
            <w:tcW w:w="912" w:type="dxa"/>
            <w:tcBorders>
              <w:top w:val="nil"/>
              <w:left w:val="nil"/>
              <w:bottom w:val="single" w:sz="4" w:space="0" w:color="auto"/>
              <w:right w:val="single" w:sz="4" w:space="0" w:color="auto"/>
            </w:tcBorders>
            <w:shd w:val="clear" w:color="auto" w:fill="auto"/>
            <w:noWrap/>
            <w:vAlign w:val="center"/>
            <w:hideMark/>
          </w:tcPr>
          <w:p w:rsidR="00281CBE" w:rsidRPr="00F55BA6" w:rsidRDefault="004D101D" w:rsidP="00B51730">
            <w:pPr>
              <w:spacing w:after="0" w:line="240" w:lineRule="auto"/>
              <w:jc w:val="center"/>
              <w:rPr>
                <w:rFonts w:ascii="Calibri Light" w:eastAsia="Times New Roman" w:hAnsi="Calibri Light" w:cs="Times New Roman"/>
                <w:b/>
                <w:bCs/>
                <w:color w:val="000000"/>
                <w:sz w:val="20"/>
                <w:szCs w:val="20"/>
                <w:lang w:val="ro-RO"/>
              </w:rPr>
            </w:pPr>
            <w:r w:rsidRPr="00E4517B">
              <w:rPr>
                <w:rFonts w:ascii="Calibri Light" w:eastAsia="Times New Roman" w:hAnsi="Calibri Light" w:cs="Times New Roman"/>
                <w:b/>
                <w:bCs/>
                <w:color w:val="000000"/>
                <w:sz w:val="20"/>
                <w:szCs w:val="20"/>
                <w:lang w:val="ro-RO"/>
              </w:rPr>
              <w:t>executat</w:t>
            </w:r>
          </w:p>
        </w:tc>
        <w:tc>
          <w:tcPr>
            <w:tcW w:w="985" w:type="dxa"/>
            <w:tcBorders>
              <w:top w:val="nil"/>
              <w:left w:val="nil"/>
              <w:bottom w:val="single" w:sz="4" w:space="0" w:color="auto"/>
              <w:right w:val="single" w:sz="4" w:space="0" w:color="auto"/>
            </w:tcBorders>
            <w:shd w:val="clear" w:color="auto" w:fill="auto"/>
            <w:vAlign w:val="center"/>
            <w:hideMark/>
          </w:tcPr>
          <w:p w:rsidR="00281CBE" w:rsidRPr="00F55BA6" w:rsidRDefault="004D101D" w:rsidP="00B51730">
            <w:pPr>
              <w:spacing w:after="0" w:line="240" w:lineRule="auto"/>
              <w:jc w:val="center"/>
              <w:rPr>
                <w:rFonts w:ascii="Calibri Light" w:eastAsia="Times New Roman" w:hAnsi="Calibri Light" w:cs="Times New Roman"/>
                <w:b/>
                <w:bCs/>
                <w:color w:val="000000"/>
                <w:sz w:val="20"/>
                <w:szCs w:val="20"/>
                <w:lang w:val="ro-RO"/>
              </w:rPr>
            </w:pPr>
            <w:r w:rsidRPr="00E4517B">
              <w:rPr>
                <w:rFonts w:ascii="Calibri Light" w:eastAsia="Times New Roman" w:hAnsi="Calibri Light" w:cs="Times New Roman"/>
                <w:b/>
                <w:bCs/>
                <w:color w:val="000000"/>
                <w:sz w:val="20"/>
                <w:szCs w:val="20"/>
                <w:lang w:val="ro-RO"/>
              </w:rPr>
              <w:t>executat/ precizat</w:t>
            </w:r>
          </w:p>
        </w:tc>
        <w:tc>
          <w:tcPr>
            <w:tcW w:w="871" w:type="dxa"/>
            <w:tcBorders>
              <w:top w:val="nil"/>
              <w:left w:val="nil"/>
              <w:bottom w:val="single" w:sz="4" w:space="0" w:color="auto"/>
              <w:right w:val="single" w:sz="4" w:space="0" w:color="auto"/>
            </w:tcBorders>
            <w:shd w:val="clear" w:color="auto" w:fill="auto"/>
            <w:noWrap/>
            <w:vAlign w:val="center"/>
            <w:hideMark/>
          </w:tcPr>
          <w:p w:rsidR="00281CBE" w:rsidRPr="00F55BA6" w:rsidRDefault="004D101D" w:rsidP="00B51730">
            <w:pPr>
              <w:spacing w:after="0" w:line="240" w:lineRule="auto"/>
              <w:jc w:val="center"/>
              <w:rPr>
                <w:rFonts w:ascii="Calibri Light" w:eastAsia="Times New Roman" w:hAnsi="Calibri Light" w:cs="Times New Roman"/>
                <w:b/>
                <w:bCs/>
                <w:color w:val="000000"/>
                <w:sz w:val="20"/>
                <w:szCs w:val="20"/>
                <w:lang w:val="ro-RO"/>
              </w:rPr>
            </w:pPr>
            <w:r w:rsidRPr="00E4517B">
              <w:rPr>
                <w:rFonts w:ascii="Calibri Light" w:eastAsia="Times New Roman" w:hAnsi="Calibri Light" w:cs="Times New Roman"/>
                <w:b/>
                <w:bCs/>
                <w:color w:val="000000"/>
                <w:sz w:val="20"/>
                <w:szCs w:val="20"/>
                <w:lang w:val="ro-RO"/>
              </w:rPr>
              <w:t>aprobat</w:t>
            </w:r>
          </w:p>
        </w:tc>
        <w:tc>
          <w:tcPr>
            <w:tcW w:w="854" w:type="dxa"/>
            <w:tcBorders>
              <w:top w:val="nil"/>
              <w:left w:val="nil"/>
              <w:bottom w:val="single" w:sz="4" w:space="0" w:color="auto"/>
              <w:right w:val="single" w:sz="4" w:space="0" w:color="auto"/>
            </w:tcBorders>
            <w:shd w:val="clear" w:color="auto" w:fill="auto"/>
            <w:noWrap/>
            <w:vAlign w:val="center"/>
            <w:hideMark/>
          </w:tcPr>
          <w:p w:rsidR="00281CBE" w:rsidRPr="00F55BA6" w:rsidRDefault="004D101D" w:rsidP="00B51730">
            <w:pPr>
              <w:spacing w:after="0" w:line="240" w:lineRule="auto"/>
              <w:jc w:val="center"/>
              <w:rPr>
                <w:rFonts w:ascii="Calibri Light" w:eastAsia="Times New Roman" w:hAnsi="Calibri Light" w:cs="Times New Roman"/>
                <w:b/>
                <w:bCs/>
                <w:color w:val="000000"/>
                <w:sz w:val="20"/>
                <w:szCs w:val="20"/>
                <w:lang w:val="ro-RO"/>
              </w:rPr>
            </w:pPr>
            <w:r w:rsidRPr="00E4517B">
              <w:rPr>
                <w:rFonts w:ascii="Calibri Light" w:eastAsia="Times New Roman" w:hAnsi="Calibri Light" w:cs="Times New Roman"/>
                <w:b/>
                <w:bCs/>
                <w:color w:val="000000"/>
                <w:sz w:val="20"/>
                <w:szCs w:val="20"/>
                <w:lang w:val="ro-RO"/>
              </w:rPr>
              <w:t>precizat</w:t>
            </w:r>
          </w:p>
        </w:tc>
        <w:tc>
          <w:tcPr>
            <w:tcW w:w="912" w:type="dxa"/>
            <w:tcBorders>
              <w:top w:val="nil"/>
              <w:left w:val="nil"/>
              <w:bottom w:val="single" w:sz="4" w:space="0" w:color="auto"/>
              <w:right w:val="single" w:sz="4" w:space="0" w:color="auto"/>
            </w:tcBorders>
            <w:shd w:val="clear" w:color="auto" w:fill="auto"/>
            <w:noWrap/>
            <w:vAlign w:val="center"/>
            <w:hideMark/>
          </w:tcPr>
          <w:p w:rsidR="00281CBE" w:rsidRPr="00F55BA6" w:rsidRDefault="004D101D" w:rsidP="00B51730">
            <w:pPr>
              <w:spacing w:after="0" w:line="240" w:lineRule="auto"/>
              <w:jc w:val="center"/>
              <w:rPr>
                <w:rFonts w:ascii="Calibri Light" w:eastAsia="Times New Roman" w:hAnsi="Calibri Light" w:cs="Times New Roman"/>
                <w:b/>
                <w:bCs/>
                <w:color w:val="000000"/>
                <w:sz w:val="20"/>
                <w:szCs w:val="20"/>
                <w:lang w:val="ro-RO"/>
              </w:rPr>
            </w:pPr>
            <w:r w:rsidRPr="00E4517B">
              <w:rPr>
                <w:rFonts w:ascii="Calibri Light" w:eastAsia="Times New Roman" w:hAnsi="Calibri Light" w:cs="Times New Roman"/>
                <w:b/>
                <w:bCs/>
                <w:color w:val="000000"/>
                <w:sz w:val="20"/>
                <w:szCs w:val="20"/>
                <w:lang w:val="ro-RO"/>
              </w:rPr>
              <w:t>executat</w:t>
            </w:r>
          </w:p>
        </w:tc>
        <w:tc>
          <w:tcPr>
            <w:tcW w:w="985" w:type="dxa"/>
            <w:tcBorders>
              <w:top w:val="nil"/>
              <w:left w:val="nil"/>
              <w:bottom w:val="single" w:sz="4" w:space="0" w:color="auto"/>
              <w:right w:val="single" w:sz="4" w:space="0" w:color="auto"/>
            </w:tcBorders>
            <w:shd w:val="clear" w:color="auto" w:fill="auto"/>
            <w:vAlign w:val="center"/>
            <w:hideMark/>
          </w:tcPr>
          <w:p w:rsidR="00281CBE" w:rsidRPr="00F55BA6" w:rsidRDefault="004D101D" w:rsidP="00B51730">
            <w:pPr>
              <w:spacing w:after="0" w:line="240" w:lineRule="auto"/>
              <w:jc w:val="center"/>
              <w:rPr>
                <w:rFonts w:ascii="Calibri Light" w:eastAsia="Times New Roman" w:hAnsi="Calibri Light" w:cs="Times New Roman"/>
                <w:b/>
                <w:bCs/>
                <w:color w:val="000000"/>
                <w:sz w:val="20"/>
                <w:szCs w:val="20"/>
                <w:lang w:val="ro-RO"/>
              </w:rPr>
            </w:pPr>
            <w:r w:rsidRPr="004D101D">
              <w:rPr>
                <w:rFonts w:ascii="Calibri Light" w:eastAsia="Times New Roman" w:hAnsi="Calibri Light" w:cs="Times New Roman"/>
                <w:b/>
                <w:bCs/>
                <w:color w:val="000000"/>
                <w:sz w:val="20"/>
                <w:szCs w:val="20"/>
                <w:lang w:val="ro-RO"/>
              </w:rPr>
              <w:t>executat/ aprobat</w:t>
            </w:r>
          </w:p>
        </w:tc>
        <w:tc>
          <w:tcPr>
            <w:tcW w:w="985" w:type="dxa"/>
            <w:tcBorders>
              <w:top w:val="nil"/>
              <w:left w:val="nil"/>
              <w:bottom w:val="single" w:sz="4" w:space="0" w:color="auto"/>
              <w:right w:val="single" w:sz="4" w:space="0" w:color="auto"/>
            </w:tcBorders>
            <w:shd w:val="clear" w:color="auto" w:fill="auto"/>
            <w:vAlign w:val="center"/>
            <w:hideMark/>
          </w:tcPr>
          <w:p w:rsidR="00281CBE" w:rsidRPr="00F55BA6" w:rsidRDefault="004D101D" w:rsidP="00B51730">
            <w:pPr>
              <w:spacing w:after="0" w:line="240" w:lineRule="auto"/>
              <w:jc w:val="center"/>
              <w:rPr>
                <w:rFonts w:ascii="Calibri Light" w:eastAsia="Times New Roman" w:hAnsi="Calibri Light" w:cs="Times New Roman"/>
                <w:b/>
                <w:bCs/>
                <w:color w:val="000000"/>
                <w:sz w:val="20"/>
                <w:szCs w:val="20"/>
                <w:lang w:val="ro-RO"/>
              </w:rPr>
            </w:pPr>
            <w:r w:rsidRPr="00E4517B">
              <w:rPr>
                <w:rFonts w:ascii="Calibri Light" w:eastAsia="Times New Roman" w:hAnsi="Calibri Light" w:cs="Times New Roman"/>
                <w:b/>
                <w:bCs/>
                <w:color w:val="000000"/>
                <w:sz w:val="20"/>
                <w:szCs w:val="20"/>
                <w:lang w:val="ro-RO"/>
              </w:rPr>
              <w:t>executat/ precizat</w:t>
            </w:r>
          </w:p>
        </w:tc>
      </w:tr>
      <w:tr w:rsidR="00281CBE" w:rsidRPr="00E4517B" w:rsidTr="00B51730">
        <w:trPr>
          <w:trHeight w:val="175"/>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281CBE" w:rsidRPr="00F55BA6" w:rsidRDefault="00281CBE" w:rsidP="00B51730">
            <w:pPr>
              <w:spacing w:after="0" w:line="240" w:lineRule="auto"/>
              <w:ind w:right="-101"/>
              <w:jc w:val="center"/>
              <w:rPr>
                <w:rFonts w:ascii="Calibri Light" w:eastAsia="Times New Roman" w:hAnsi="Calibri Light" w:cs="Times New Roman"/>
                <w:i/>
                <w:color w:val="000000"/>
                <w:sz w:val="16"/>
                <w:szCs w:val="16"/>
                <w:lang w:val="ro-RO"/>
              </w:rPr>
            </w:pPr>
            <w:r w:rsidRPr="00E4517B">
              <w:rPr>
                <w:rFonts w:ascii="Calibri Light" w:eastAsia="Times New Roman" w:hAnsi="Calibri Light" w:cs="Times New Roman"/>
                <w:i/>
                <w:color w:val="000000"/>
                <w:sz w:val="16"/>
                <w:szCs w:val="16"/>
                <w:lang w:val="ro-RO"/>
              </w:rPr>
              <w:t>1</w:t>
            </w:r>
          </w:p>
        </w:tc>
        <w:tc>
          <w:tcPr>
            <w:tcW w:w="871" w:type="dxa"/>
            <w:tcBorders>
              <w:top w:val="nil"/>
              <w:left w:val="nil"/>
              <w:bottom w:val="single" w:sz="4" w:space="0" w:color="auto"/>
              <w:right w:val="single" w:sz="4" w:space="0" w:color="auto"/>
            </w:tcBorders>
            <w:shd w:val="clear" w:color="auto" w:fill="auto"/>
            <w:noWrap/>
            <w:vAlign w:val="center"/>
            <w:hideMark/>
          </w:tcPr>
          <w:p w:rsidR="00281CBE" w:rsidRPr="00F55BA6" w:rsidRDefault="00281CBE" w:rsidP="00B51730">
            <w:pPr>
              <w:spacing w:after="0" w:line="240" w:lineRule="auto"/>
              <w:jc w:val="center"/>
              <w:rPr>
                <w:rFonts w:ascii="Calibri Light" w:eastAsia="Times New Roman" w:hAnsi="Calibri Light" w:cs="Times New Roman"/>
                <w:i/>
                <w:color w:val="000000"/>
                <w:sz w:val="16"/>
                <w:szCs w:val="16"/>
                <w:lang w:val="ro-RO"/>
              </w:rPr>
            </w:pPr>
            <w:r w:rsidRPr="00E4517B">
              <w:rPr>
                <w:rFonts w:ascii="Calibri Light" w:eastAsia="Times New Roman" w:hAnsi="Calibri Light" w:cs="Times New Roman"/>
                <w:i/>
                <w:color w:val="000000"/>
                <w:sz w:val="16"/>
                <w:szCs w:val="16"/>
                <w:lang w:val="ro-RO"/>
              </w:rPr>
              <w:t>2</w:t>
            </w:r>
          </w:p>
        </w:tc>
        <w:tc>
          <w:tcPr>
            <w:tcW w:w="854" w:type="dxa"/>
            <w:tcBorders>
              <w:top w:val="nil"/>
              <w:left w:val="nil"/>
              <w:bottom w:val="single" w:sz="4" w:space="0" w:color="auto"/>
              <w:right w:val="single" w:sz="4" w:space="0" w:color="auto"/>
            </w:tcBorders>
            <w:shd w:val="clear" w:color="auto" w:fill="auto"/>
            <w:noWrap/>
            <w:vAlign w:val="center"/>
            <w:hideMark/>
          </w:tcPr>
          <w:p w:rsidR="00281CBE" w:rsidRPr="00F55BA6" w:rsidRDefault="00281CBE" w:rsidP="00B51730">
            <w:pPr>
              <w:spacing w:after="0" w:line="240" w:lineRule="auto"/>
              <w:jc w:val="center"/>
              <w:rPr>
                <w:rFonts w:ascii="Calibri Light" w:eastAsia="Times New Roman" w:hAnsi="Calibri Light" w:cs="Times New Roman"/>
                <w:i/>
                <w:color w:val="000000"/>
                <w:sz w:val="16"/>
                <w:szCs w:val="16"/>
                <w:lang w:val="ro-RO"/>
              </w:rPr>
            </w:pPr>
            <w:r w:rsidRPr="00E4517B">
              <w:rPr>
                <w:rFonts w:ascii="Calibri Light" w:eastAsia="Times New Roman" w:hAnsi="Calibri Light" w:cs="Times New Roman"/>
                <w:i/>
                <w:color w:val="000000"/>
                <w:sz w:val="16"/>
                <w:szCs w:val="16"/>
                <w:lang w:val="ro-RO"/>
              </w:rPr>
              <w:t>3</w:t>
            </w:r>
          </w:p>
        </w:tc>
        <w:tc>
          <w:tcPr>
            <w:tcW w:w="912" w:type="dxa"/>
            <w:tcBorders>
              <w:top w:val="nil"/>
              <w:left w:val="nil"/>
              <w:bottom w:val="single" w:sz="4" w:space="0" w:color="auto"/>
              <w:right w:val="single" w:sz="4" w:space="0" w:color="auto"/>
            </w:tcBorders>
            <w:shd w:val="clear" w:color="auto" w:fill="auto"/>
            <w:noWrap/>
            <w:vAlign w:val="center"/>
            <w:hideMark/>
          </w:tcPr>
          <w:p w:rsidR="00281CBE" w:rsidRPr="00F55BA6" w:rsidRDefault="00281CBE" w:rsidP="00B51730">
            <w:pPr>
              <w:spacing w:after="0" w:line="240" w:lineRule="auto"/>
              <w:jc w:val="center"/>
              <w:rPr>
                <w:rFonts w:ascii="Calibri Light" w:eastAsia="Times New Roman" w:hAnsi="Calibri Light" w:cs="Times New Roman"/>
                <w:i/>
                <w:color w:val="000000"/>
                <w:sz w:val="16"/>
                <w:szCs w:val="16"/>
                <w:lang w:val="ro-RO"/>
              </w:rPr>
            </w:pPr>
            <w:r w:rsidRPr="00E4517B">
              <w:rPr>
                <w:rFonts w:ascii="Calibri Light" w:eastAsia="Times New Roman" w:hAnsi="Calibri Light" w:cs="Times New Roman"/>
                <w:i/>
                <w:color w:val="000000"/>
                <w:sz w:val="16"/>
                <w:szCs w:val="16"/>
                <w:lang w:val="ro-RO"/>
              </w:rPr>
              <w:t>4</w:t>
            </w:r>
          </w:p>
        </w:tc>
        <w:tc>
          <w:tcPr>
            <w:tcW w:w="985" w:type="dxa"/>
            <w:tcBorders>
              <w:top w:val="nil"/>
              <w:left w:val="nil"/>
              <w:bottom w:val="single" w:sz="4" w:space="0" w:color="auto"/>
              <w:right w:val="single" w:sz="4" w:space="0" w:color="auto"/>
            </w:tcBorders>
            <w:shd w:val="clear" w:color="auto" w:fill="auto"/>
            <w:noWrap/>
            <w:vAlign w:val="center"/>
            <w:hideMark/>
          </w:tcPr>
          <w:p w:rsidR="00281CBE" w:rsidRPr="00973E5B" w:rsidRDefault="00281CBE" w:rsidP="00B51730">
            <w:pPr>
              <w:spacing w:after="0" w:line="240" w:lineRule="auto"/>
              <w:jc w:val="center"/>
              <w:rPr>
                <w:rFonts w:ascii="Calibri Light" w:eastAsia="Times New Roman" w:hAnsi="Calibri Light" w:cs="Times New Roman"/>
                <w:i/>
                <w:color w:val="000000"/>
                <w:sz w:val="16"/>
                <w:szCs w:val="16"/>
                <w:lang w:val="ro-RO"/>
              </w:rPr>
            </w:pPr>
            <w:r w:rsidRPr="00E4517B">
              <w:rPr>
                <w:rFonts w:ascii="Calibri Light" w:eastAsia="Times New Roman" w:hAnsi="Calibri Light" w:cs="Times New Roman"/>
                <w:i/>
                <w:color w:val="000000"/>
                <w:sz w:val="16"/>
                <w:szCs w:val="16"/>
                <w:lang w:val="ro-RO"/>
              </w:rPr>
              <w:t>5=4/3</w:t>
            </w:r>
          </w:p>
          <w:p w:rsidR="00281CBE" w:rsidRPr="00F55BA6" w:rsidRDefault="00281CBE" w:rsidP="00B51730">
            <w:pPr>
              <w:spacing w:after="0" w:line="240" w:lineRule="auto"/>
              <w:jc w:val="center"/>
              <w:rPr>
                <w:rFonts w:ascii="Calibri Light" w:eastAsia="Times New Roman" w:hAnsi="Calibri Light" w:cs="Times New Roman"/>
                <w:i/>
                <w:color w:val="000000"/>
                <w:sz w:val="16"/>
                <w:szCs w:val="16"/>
                <w:lang w:val="ro-RO"/>
              </w:rPr>
            </w:pPr>
            <w:r w:rsidRPr="00207634">
              <w:rPr>
                <w:rFonts w:ascii="Calibri Light" w:eastAsia="Times New Roman" w:hAnsi="Calibri Light" w:cs="Times New Roman"/>
                <w:i/>
                <w:color w:val="000000"/>
                <w:sz w:val="16"/>
                <w:szCs w:val="16"/>
                <w:lang w:val="ro-RO"/>
              </w:rPr>
              <w:t>*100</w:t>
            </w:r>
          </w:p>
        </w:tc>
        <w:tc>
          <w:tcPr>
            <w:tcW w:w="871" w:type="dxa"/>
            <w:tcBorders>
              <w:top w:val="nil"/>
              <w:left w:val="nil"/>
              <w:bottom w:val="single" w:sz="4" w:space="0" w:color="auto"/>
              <w:right w:val="single" w:sz="4" w:space="0" w:color="auto"/>
            </w:tcBorders>
            <w:shd w:val="clear" w:color="auto" w:fill="auto"/>
            <w:noWrap/>
            <w:vAlign w:val="center"/>
            <w:hideMark/>
          </w:tcPr>
          <w:p w:rsidR="00281CBE" w:rsidRPr="00F55BA6" w:rsidRDefault="00281CBE" w:rsidP="00B51730">
            <w:pPr>
              <w:spacing w:after="0" w:line="240" w:lineRule="auto"/>
              <w:jc w:val="center"/>
              <w:rPr>
                <w:rFonts w:ascii="Calibri Light" w:eastAsia="Times New Roman" w:hAnsi="Calibri Light" w:cs="Times New Roman"/>
                <w:i/>
                <w:color w:val="000000"/>
                <w:sz w:val="16"/>
                <w:szCs w:val="16"/>
                <w:lang w:val="ro-RO"/>
              </w:rPr>
            </w:pPr>
            <w:r w:rsidRPr="00E4517B">
              <w:rPr>
                <w:rFonts w:ascii="Calibri Light" w:eastAsia="Times New Roman" w:hAnsi="Calibri Light" w:cs="Times New Roman"/>
                <w:i/>
                <w:color w:val="000000"/>
                <w:sz w:val="16"/>
                <w:szCs w:val="16"/>
                <w:lang w:val="ro-RO"/>
              </w:rPr>
              <w:t>6</w:t>
            </w:r>
          </w:p>
        </w:tc>
        <w:tc>
          <w:tcPr>
            <w:tcW w:w="854" w:type="dxa"/>
            <w:tcBorders>
              <w:top w:val="nil"/>
              <w:left w:val="nil"/>
              <w:bottom w:val="single" w:sz="4" w:space="0" w:color="auto"/>
              <w:right w:val="single" w:sz="4" w:space="0" w:color="auto"/>
            </w:tcBorders>
            <w:shd w:val="clear" w:color="auto" w:fill="auto"/>
            <w:noWrap/>
            <w:vAlign w:val="center"/>
            <w:hideMark/>
          </w:tcPr>
          <w:p w:rsidR="00281CBE" w:rsidRPr="00F55BA6" w:rsidRDefault="00281CBE" w:rsidP="00B51730">
            <w:pPr>
              <w:spacing w:after="0" w:line="240" w:lineRule="auto"/>
              <w:jc w:val="center"/>
              <w:rPr>
                <w:rFonts w:ascii="Calibri Light" w:eastAsia="Times New Roman" w:hAnsi="Calibri Light" w:cs="Times New Roman"/>
                <w:i/>
                <w:color w:val="000000"/>
                <w:sz w:val="16"/>
                <w:szCs w:val="16"/>
                <w:lang w:val="ro-RO"/>
              </w:rPr>
            </w:pPr>
            <w:r w:rsidRPr="00E4517B">
              <w:rPr>
                <w:rFonts w:ascii="Calibri Light" w:eastAsia="Times New Roman" w:hAnsi="Calibri Light" w:cs="Times New Roman"/>
                <w:i/>
                <w:color w:val="000000"/>
                <w:sz w:val="16"/>
                <w:szCs w:val="16"/>
                <w:lang w:val="ro-RO"/>
              </w:rPr>
              <w:t>7</w:t>
            </w:r>
          </w:p>
        </w:tc>
        <w:tc>
          <w:tcPr>
            <w:tcW w:w="912" w:type="dxa"/>
            <w:tcBorders>
              <w:top w:val="nil"/>
              <w:left w:val="nil"/>
              <w:bottom w:val="single" w:sz="4" w:space="0" w:color="auto"/>
              <w:right w:val="single" w:sz="4" w:space="0" w:color="auto"/>
            </w:tcBorders>
            <w:shd w:val="clear" w:color="auto" w:fill="auto"/>
            <w:noWrap/>
            <w:vAlign w:val="center"/>
            <w:hideMark/>
          </w:tcPr>
          <w:p w:rsidR="00281CBE" w:rsidRPr="00F55BA6" w:rsidRDefault="00281CBE" w:rsidP="00B51730">
            <w:pPr>
              <w:spacing w:after="0" w:line="240" w:lineRule="auto"/>
              <w:jc w:val="center"/>
              <w:rPr>
                <w:rFonts w:ascii="Calibri Light" w:eastAsia="Times New Roman" w:hAnsi="Calibri Light" w:cs="Times New Roman"/>
                <w:i/>
                <w:color w:val="000000"/>
                <w:sz w:val="16"/>
                <w:szCs w:val="16"/>
                <w:lang w:val="ro-RO"/>
              </w:rPr>
            </w:pPr>
            <w:r w:rsidRPr="00E4517B">
              <w:rPr>
                <w:rFonts w:ascii="Calibri Light" w:eastAsia="Times New Roman" w:hAnsi="Calibri Light" w:cs="Times New Roman"/>
                <w:i/>
                <w:color w:val="000000"/>
                <w:sz w:val="16"/>
                <w:szCs w:val="16"/>
                <w:lang w:val="ro-RO"/>
              </w:rPr>
              <w:t>8</w:t>
            </w:r>
          </w:p>
        </w:tc>
        <w:tc>
          <w:tcPr>
            <w:tcW w:w="985" w:type="dxa"/>
            <w:tcBorders>
              <w:top w:val="nil"/>
              <w:left w:val="nil"/>
              <w:bottom w:val="single" w:sz="4" w:space="0" w:color="auto"/>
              <w:right w:val="single" w:sz="4" w:space="0" w:color="auto"/>
            </w:tcBorders>
            <w:shd w:val="clear" w:color="auto" w:fill="auto"/>
            <w:noWrap/>
            <w:vAlign w:val="center"/>
            <w:hideMark/>
          </w:tcPr>
          <w:p w:rsidR="00281CBE" w:rsidRPr="00F55BA6" w:rsidRDefault="00281CBE" w:rsidP="00B51730">
            <w:pPr>
              <w:spacing w:after="0" w:line="240" w:lineRule="auto"/>
              <w:jc w:val="center"/>
              <w:rPr>
                <w:rFonts w:ascii="Calibri Light" w:eastAsia="Times New Roman" w:hAnsi="Calibri Light" w:cs="Times New Roman"/>
                <w:i/>
                <w:color w:val="000000"/>
                <w:sz w:val="16"/>
                <w:szCs w:val="16"/>
                <w:lang w:val="ro-RO"/>
              </w:rPr>
            </w:pPr>
            <w:r w:rsidRPr="00E4517B">
              <w:rPr>
                <w:rFonts w:ascii="Calibri Light" w:eastAsia="Times New Roman" w:hAnsi="Calibri Light" w:cs="Times New Roman"/>
                <w:i/>
                <w:color w:val="000000"/>
                <w:sz w:val="16"/>
                <w:szCs w:val="16"/>
                <w:lang w:val="ro-RO"/>
              </w:rPr>
              <w:t>9=8/7*100</w:t>
            </w:r>
          </w:p>
        </w:tc>
        <w:tc>
          <w:tcPr>
            <w:tcW w:w="871" w:type="dxa"/>
            <w:tcBorders>
              <w:top w:val="nil"/>
              <w:left w:val="nil"/>
              <w:bottom w:val="single" w:sz="4" w:space="0" w:color="auto"/>
              <w:right w:val="single" w:sz="4" w:space="0" w:color="auto"/>
            </w:tcBorders>
            <w:shd w:val="clear" w:color="auto" w:fill="auto"/>
            <w:noWrap/>
            <w:vAlign w:val="center"/>
            <w:hideMark/>
          </w:tcPr>
          <w:p w:rsidR="00281CBE" w:rsidRPr="00F55BA6" w:rsidRDefault="00281CBE" w:rsidP="00B51730">
            <w:pPr>
              <w:spacing w:after="0" w:line="240" w:lineRule="auto"/>
              <w:jc w:val="center"/>
              <w:rPr>
                <w:rFonts w:ascii="Calibri Light" w:eastAsia="Times New Roman" w:hAnsi="Calibri Light" w:cs="Times New Roman"/>
                <w:i/>
                <w:color w:val="000000"/>
                <w:sz w:val="16"/>
                <w:szCs w:val="16"/>
                <w:lang w:val="ro-RO"/>
              </w:rPr>
            </w:pPr>
            <w:r w:rsidRPr="00E4517B">
              <w:rPr>
                <w:rFonts w:ascii="Calibri Light" w:eastAsia="Times New Roman" w:hAnsi="Calibri Light" w:cs="Times New Roman"/>
                <w:i/>
                <w:color w:val="000000"/>
                <w:sz w:val="16"/>
                <w:szCs w:val="16"/>
                <w:lang w:val="ro-RO"/>
              </w:rPr>
              <w:t>10</w:t>
            </w:r>
          </w:p>
        </w:tc>
        <w:tc>
          <w:tcPr>
            <w:tcW w:w="854" w:type="dxa"/>
            <w:tcBorders>
              <w:top w:val="nil"/>
              <w:left w:val="nil"/>
              <w:bottom w:val="single" w:sz="4" w:space="0" w:color="auto"/>
              <w:right w:val="single" w:sz="4" w:space="0" w:color="auto"/>
            </w:tcBorders>
            <w:shd w:val="clear" w:color="auto" w:fill="auto"/>
            <w:noWrap/>
            <w:vAlign w:val="center"/>
            <w:hideMark/>
          </w:tcPr>
          <w:p w:rsidR="00281CBE" w:rsidRPr="00F55BA6" w:rsidRDefault="00281CBE" w:rsidP="00B51730">
            <w:pPr>
              <w:spacing w:after="0" w:line="240" w:lineRule="auto"/>
              <w:jc w:val="center"/>
              <w:rPr>
                <w:rFonts w:ascii="Calibri Light" w:eastAsia="Times New Roman" w:hAnsi="Calibri Light" w:cs="Times New Roman"/>
                <w:i/>
                <w:color w:val="000000"/>
                <w:sz w:val="16"/>
                <w:szCs w:val="16"/>
                <w:lang w:val="ro-RO"/>
              </w:rPr>
            </w:pPr>
            <w:r w:rsidRPr="00E4517B">
              <w:rPr>
                <w:rFonts w:ascii="Calibri Light" w:eastAsia="Times New Roman" w:hAnsi="Calibri Light" w:cs="Times New Roman"/>
                <w:i/>
                <w:color w:val="000000"/>
                <w:sz w:val="16"/>
                <w:szCs w:val="16"/>
                <w:lang w:val="ro-RO"/>
              </w:rPr>
              <w:t>11</w:t>
            </w:r>
          </w:p>
        </w:tc>
        <w:tc>
          <w:tcPr>
            <w:tcW w:w="912" w:type="dxa"/>
            <w:tcBorders>
              <w:top w:val="nil"/>
              <w:left w:val="nil"/>
              <w:bottom w:val="single" w:sz="4" w:space="0" w:color="auto"/>
              <w:right w:val="single" w:sz="4" w:space="0" w:color="auto"/>
            </w:tcBorders>
            <w:shd w:val="clear" w:color="auto" w:fill="auto"/>
            <w:noWrap/>
            <w:vAlign w:val="center"/>
            <w:hideMark/>
          </w:tcPr>
          <w:p w:rsidR="00281CBE" w:rsidRPr="00F55BA6" w:rsidRDefault="00281CBE" w:rsidP="00B51730">
            <w:pPr>
              <w:spacing w:after="0" w:line="240" w:lineRule="auto"/>
              <w:jc w:val="center"/>
              <w:rPr>
                <w:rFonts w:ascii="Calibri Light" w:eastAsia="Times New Roman" w:hAnsi="Calibri Light" w:cs="Times New Roman"/>
                <w:i/>
                <w:color w:val="000000"/>
                <w:sz w:val="16"/>
                <w:szCs w:val="16"/>
                <w:lang w:val="ro-RO"/>
              </w:rPr>
            </w:pPr>
            <w:r w:rsidRPr="00E4517B">
              <w:rPr>
                <w:rFonts w:ascii="Calibri Light" w:eastAsia="Times New Roman" w:hAnsi="Calibri Light" w:cs="Times New Roman"/>
                <w:i/>
                <w:color w:val="000000"/>
                <w:sz w:val="16"/>
                <w:szCs w:val="16"/>
                <w:lang w:val="ro-RO"/>
              </w:rPr>
              <w:t>12</w:t>
            </w:r>
          </w:p>
        </w:tc>
        <w:tc>
          <w:tcPr>
            <w:tcW w:w="985" w:type="dxa"/>
            <w:tcBorders>
              <w:top w:val="nil"/>
              <w:left w:val="nil"/>
              <w:bottom w:val="single" w:sz="4" w:space="0" w:color="auto"/>
              <w:right w:val="single" w:sz="4" w:space="0" w:color="auto"/>
            </w:tcBorders>
            <w:shd w:val="clear" w:color="auto" w:fill="auto"/>
            <w:noWrap/>
            <w:vAlign w:val="center"/>
            <w:hideMark/>
          </w:tcPr>
          <w:p w:rsidR="00281CBE" w:rsidRPr="00F55BA6" w:rsidRDefault="00281CBE" w:rsidP="00B51730">
            <w:pPr>
              <w:spacing w:after="0" w:line="240" w:lineRule="auto"/>
              <w:jc w:val="center"/>
              <w:rPr>
                <w:rFonts w:ascii="Calibri Light" w:eastAsia="Times New Roman" w:hAnsi="Calibri Light" w:cs="Times New Roman"/>
                <w:i/>
                <w:color w:val="000000"/>
                <w:sz w:val="16"/>
                <w:szCs w:val="16"/>
                <w:lang w:val="ro-RO"/>
              </w:rPr>
            </w:pPr>
            <w:r w:rsidRPr="00F55BA6">
              <w:rPr>
                <w:rFonts w:ascii="Calibri Light" w:eastAsia="Times New Roman" w:hAnsi="Calibri Light" w:cs="Times New Roman"/>
                <w:i/>
                <w:color w:val="000000"/>
                <w:sz w:val="16"/>
                <w:szCs w:val="16"/>
                <w:lang w:val="ro-RO"/>
              </w:rPr>
              <w:t>13=12/10</w:t>
            </w:r>
          </w:p>
          <w:p w:rsidR="00281CBE" w:rsidRPr="00F55BA6" w:rsidRDefault="00281CBE" w:rsidP="00B51730">
            <w:pPr>
              <w:spacing w:after="0" w:line="240" w:lineRule="auto"/>
              <w:jc w:val="center"/>
              <w:rPr>
                <w:rFonts w:ascii="Calibri Light" w:eastAsia="Times New Roman" w:hAnsi="Calibri Light" w:cs="Times New Roman"/>
                <w:i/>
                <w:color w:val="000000"/>
                <w:sz w:val="16"/>
                <w:szCs w:val="16"/>
                <w:lang w:val="ro-RO"/>
              </w:rPr>
            </w:pPr>
            <w:r w:rsidRPr="00F55BA6">
              <w:rPr>
                <w:rFonts w:ascii="Calibri Light" w:eastAsia="Times New Roman" w:hAnsi="Calibri Light" w:cs="Times New Roman"/>
                <w:i/>
                <w:color w:val="000000"/>
                <w:sz w:val="16"/>
                <w:szCs w:val="16"/>
                <w:lang w:val="ro-RO"/>
              </w:rPr>
              <w:t>*100</w:t>
            </w:r>
          </w:p>
        </w:tc>
        <w:tc>
          <w:tcPr>
            <w:tcW w:w="985" w:type="dxa"/>
            <w:tcBorders>
              <w:top w:val="nil"/>
              <w:left w:val="nil"/>
              <w:bottom w:val="single" w:sz="4" w:space="0" w:color="auto"/>
              <w:right w:val="single" w:sz="4" w:space="0" w:color="auto"/>
            </w:tcBorders>
            <w:shd w:val="clear" w:color="auto" w:fill="auto"/>
            <w:noWrap/>
            <w:vAlign w:val="center"/>
            <w:hideMark/>
          </w:tcPr>
          <w:p w:rsidR="00281CBE" w:rsidRPr="00973E5B" w:rsidRDefault="00281CBE" w:rsidP="00B51730">
            <w:pPr>
              <w:spacing w:after="0" w:line="240" w:lineRule="auto"/>
              <w:jc w:val="center"/>
              <w:rPr>
                <w:rFonts w:ascii="Calibri Light" w:eastAsia="Times New Roman" w:hAnsi="Calibri Light" w:cs="Times New Roman"/>
                <w:i/>
                <w:color w:val="000000"/>
                <w:sz w:val="16"/>
                <w:szCs w:val="16"/>
                <w:lang w:val="ro-RO"/>
              </w:rPr>
            </w:pPr>
            <w:r w:rsidRPr="00E4517B">
              <w:rPr>
                <w:rFonts w:ascii="Calibri Light" w:eastAsia="Times New Roman" w:hAnsi="Calibri Light" w:cs="Times New Roman"/>
                <w:i/>
                <w:color w:val="000000"/>
                <w:sz w:val="16"/>
                <w:szCs w:val="16"/>
                <w:lang w:val="ro-RO"/>
              </w:rPr>
              <w:t>14=12/11</w:t>
            </w:r>
          </w:p>
          <w:p w:rsidR="00281CBE" w:rsidRPr="00F55BA6" w:rsidRDefault="00281CBE" w:rsidP="00B51730">
            <w:pPr>
              <w:spacing w:after="0" w:line="240" w:lineRule="auto"/>
              <w:jc w:val="center"/>
              <w:rPr>
                <w:rFonts w:ascii="Calibri Light" w:eastAsia="Times New Roman" w:hAnsi="Calibri Light" w:cs="Times New Roman"/>
                <w:i/>
                <w:color w:val="000000"/>
                <w:sz w:val="16"/>
                <w:szCs w:val="16"/>
                <w:lang w:val="ro-RO"/>
              </w:rPr>
            </w:pPr>
            <w:r w:rsidRPr="00207634">
              <w:rPr>
                <w:rFonts w:ascii="Calibri Light" w:eastAsia="Times New Roman" w:hAnsi="Calibri Light" w:cs="Times New Roman"/>
                <w:i/>
                <w:color w:val="000000"/>
                <w:sz w:val="16"/>
                <w:szCs w:val="16"/>
                <w:lang w:val="ro-RO"/>
              </w:rPr>
              <w:t>*100</w:t>
            </w:r>
          </w:p>
        </w:tc>
      </w:tr>
      <w:tr w:rsidR="00281CBE" w:rsidRPr="00E4517B" w:rsidTr="00B51730">
        <w:trPr>
          <w:trHeight w:val="300"/>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281CBE" w:rsidRPr="00F55BA6" w:rsidRDefault="00281CBE" w:rsidP="00B51730">
            <w:pPr>
              <w:spacing w:after="0" w:line="240" w:lineRule="auto"/>
              <w:jc w:val="left"/>
              <w:rPr>
                <w:rFonts w:ascii="Calibri Light" w:eastAsia="Times New Roman" w:hAnsi="Calibri Light" w:cs="Times New Roman"/>
                <w:b/>
                <w:bCs/>
                <w:color w:val="000000"/>
                <w:sz w:val="20"/>
                <w:szCs w:val="20"/>
                <w:lang w:val="ro-RO"/>
              </w:rPr>
            </w:pPr>
            <w:r w:rsidRPr="00E4517B">
              <w:rPr>
                <w:rFonts w:ascii="Calibri Light" w:eastAsia="Times New Roman" w:hAnsi="Calibri Light" w:cs="Times New Roman"/>
                <w:b/>
                <w:bCs/>
                <w:color w:val="000000"/>
                <w:sz w:val="20"/>
                <w:szCs w:val="20"/>
                <w:lang w:val="ro-RO"/>
              </w:rPr>
              <w:t xml:space="preserve">Total, </w:t>
            </w:r>
            <w:r w:rsidRPr="00973E5B">
              <w:rPr>
                <w:rFonts w:ascii="Calibri Light" w:eastAsia="Times New Roman" w:hAnsi="Calibri Light" w:cs="Times New Roman"/>
                <w:bCs/>
                <w:i/>
                <w:color w:val="000000"/>
                <w:sz w:val="20"/>
                <w:szCs w:val="20"/>
                <w:lang w:val="ro-RO"/>
              </w:rPr>
              <w:t>inclusiv:</w:t>
            </w:r>
          </w:p>
        </w:tc>
        <w:tc>
          <w:tcPr>
            <w:tcW w:w="871" w:type="dxa"/>
            <w:tcBorders>
              <w:top w:val="nil"/>
              <w:left w:val="nil"/>
              <w:bottom w:val="single" w:sz="4" w:space="0" w:color="auto"/>
              <w:right w:val="single" w:sz="4" w:space="0" w:color="auto"/>
            </w:tcBorders>
            <w:shd w:val="clear" w:color="auto" w:fill="auto"/>
            <w:noWrap/>
            <w:vAlign w:val="center"/>
            <w:hideMark/>
          </w:tcPr>
          <w:p w:rsidR="00281CBE" w:rsidRPr="00F55BA6" w:rsidRDefault="00281CBE" w:rsidP="00B51730">
            <w:pPr>
              <w:spacing w:after="0" w:line="240" w:lineRule="auto"/>
              <w:jc w:val="right"/>
              <w:rPr>
                <w:rFonts w:ascii="Calibri Light" w:eastAsia="Times New Roman" w:hAnsi="Calibri Light" w:cs="Times New Roman"/>
                <w:b/>
                <w:bCs/>
                <w:color w:val="000000"/>
                <w:sz w:val="20"/>
                <w:szCs w:val="20"/>
                <w:lang w:val="ro-RO"/>
              </w:rPr>
            </w:pPr>
            <w:r w:rsidRPr="00E4517B">
              <w:rPr>
                <w:rFonts w:ascii="Calibri Light" w:eastAsia="Times New Roman" w:hAnsi="Calibri Light" w:cs="Times New Roman"/>
                <w:b/>
                <w:bCs/>
                <w:color w:val="000000"/>
                <w:sz w:val="20"/>
                <w:szCs w:val="20"/>
                <w:lang w:val="ro-RO"/>
              </w:rPr>
              <w:t>3.336,7</w:t>
            </w:r>
          </w:p>
        </w:tc>
        <w:tc>
          <w:tcPr>
            <w:tcW w:w="854" w:type="dxa"/>
            <w:tcBorders>
              <w:top w:val="nil"/>
              <w:left w:val="nil"/>
              <w:bottom w:val="single" w:sz="4" w:space="0" w:color="auto"/>
              <w:right w:val="single" w:sz="4" w:space="0" w:color="auto"/>
            </w:tcBorders>
            <w:shd w:val="clear" w:color="auto" w:fill="auto"/>
            <w:noWrap/>
            <w:vAlign w:val="center"/>
            <w:hideMark/>
          </w:tcPr>
          <w:p w:rsidR="00281CBE" w:rsidRPr="00F55BA6" w:rsidRDefault="00281CBE" w:rsidP="00B51730">
            <w:pPr>
              <w:spacing w:after="0" w:line="240" w:lineRule="auto"/>
              <w:jc w:val="right"/>
              <w:rPr>
                <w:rFonts w:ascii="Calibri Light" w:eastAsia="Times New Roman" w:hAnsi="Calibri Light" w:cs="Times New Roman"/>
                <w:b/>
                <w:bCs/>
                <w:color w:val="000000"/>
                <w:sz w:val="20"/>
                <w:szCs w:val="20"/>
                <w:lang w:val="ro-RO"/>
              </w:rPr>
            </w:pPr>
            <w:r w:rsidRPr="00E4517B">
              <w:rPr>
                <w:rFonts w:ascii="Calibri Light" w:eastAsia="Times New Roman" w:hAnsi="Calibri Light" w:cs="Times New Roman"/>
                <w:b/>
                <w:bCs/>
                <w:color w:val="000000"/>
                <w:sz w:val="20"/>
                <w:szCs w:val="20"/>
                <w:lang w:val="ro-RO"/>
              </w:rPr>
              <w:t>1.906,5</w:t>
            </w:r>
          </w:p>
        </w:tc>
        <w:tc>
          <w:tcPr>
            <w:tcW w:w="912" w:type="dxa"/>
            <w:tcBorders>
              <w:top w:val="nil"/>
              <w:left w:val="nil"/>
              <w:bottom w:val="single" w:sz="4" w:space="0" w:color="auto"/>
              <w:right w:val="single" w:sz="4" w:space="0" w:color="auto"/>
            </w:tcBorders>
            <w:shd w:val="clear" w:color="auto" w:fill="auto"/>
            <w:noWrap/>
            <w:vAlign w:val="center"/>
            <w:hideMark/>
          </w:tcPr>
          <w:p w:rsidR="00281CBE" w:rsidRPr="00F55BA6" w:rsidRDefault="00281CBE" w:rsidP="00B51730">
            <w:pPr>
              <w:spacing w:after="0" w:line="240" w:lineRule="auto"/>
              <w:jc w:val="right"/>
              <w:rPr>
                <w:rFonts w:ascii="Calibri Light" w:eastAsia="Times New Roman" w:hAnsi="Calibri Light" w:cs="Times New Roman"/>
                <w:b/>
                <w:bCs/>
                <w:color w:val="000000"/>
                <w:sz w:val="20"/>
                <w:szCs w:val="20"/>
                <w:lang w:val="ro-RO"/>
              </w:rPr>
            </w:pPr>
            <w:r w:rsidRPr="00E4517B">
              <w:rPr>
                <w:rFonts w:ascii="Calibri Light" w:eastAsia="Times New Roman" w:hAnsi="Calibri Light" w:cs="Times New Roman"/>
                <w:b/>
                <w:bCs/>
                <w:color w:val="000000"/>
                <w:sz w:val="20"/>
                <w:szCs w:val="20"/>
                <w:lang w:val="ro-RO"/>
              </w:rPr>
              <w:t>849,7</w:t>
            </w:r>
          </w:p>
        </w:tc>
        <w:tc>
          <w:tcPr>
            <w:tcW w:w="985" w:type="dxa"/>
            <w:tcBorders>
              <w:top w:val="nil"/>
              <w:left w:val="nil"/>
              <w:bottom w:val="single" w:sz="4" w:space="0" w:color="auto"/>
              <w:right w:val="single" w:sz="4" w:space="0" w:color="auto"/>
            </w:tcBorders>
            <w:shd w:val="clear" w:color="auto" w:fill="auto"/>
            <w:noWrap/>
            <w:vAlign w:val="center"/>
            <w:hideMark/>
          </w:tcPr>
          <w:p w:rsidR="00281CBE" w:rsidRPr="00F55BA6" w:rsidRDefault="00281CBE" w:rsidP="00B51730">
            <w:pPr>
              <w:spacing w:after="0" w:line="240" w:lineRule="auto"/>
              <w:jc w:val="right"/>
              <w:rPr>
                <w:rFonts w:ascii="Calibri Light" w:eastAsia="Times New Roman" w:hAnsi="Calibri Light" w:cs="Times New Roman"/>
                <w:b/>
                <w:bCs/>
                <w:color w:val="000000"/>
                <w:sz w:val="20"/>
                <w:szCs w:val="20"/>
                <w:lang w:val="ro-RO"/>
              </w:rPr>
            </w:pPr>
            <w:r w:rsidRPr="00E4517B">
              <w:rPr>
                <w:rFonts w:ascii="Calibri Light" w:eastAsia="Times New Roman" w:hAnsi="Calibri Light" w:cs="Times New Roman"/>
                <w:b/>
                <w:bCs/>
                <w:color w:val="000000"/>
                <w:sz w:val="20"/>
                <w:szCs w:val="20"/>
                <w:lang w:val="ro-RO"/>
              </w:rPr>
              <w:t>44,6%</w:t>
            </w:r>
          </w:p>
        </w:tc>
        <w:tc>
          <w:tcPr>
            <w:tcW w:w="871" w:type="dxa"/>
            <w:tcBorders>
              <w:top w:val="nil"/>
              <w:left w:val="nil"/>
              <w:bottom w:val="single" w:sz="4" w:space="0" w:color="auto"/>
              <w:right w:val="single" w:sz="4" w:space="0" w:color="auto"/>
            </w:tcBorders>
            <w:shd w:val="clear" w:color="auto" w:fill="auto"/>
            <w:noWrap/>
            <w:vAlign w:val="center"/>
            <w:hideMark/>
          </w:tcPr>
          <w:p w:rsidR="00281CBE" w:rsidRPr="00F55BA6" w:rsidRDefault="00281CBE" w:rsidP="00B51730">
            <w:pPr>
              <w:spacing w:after="0" w:line="240" w:lineRule="auto"/>
              <w:jc w:val="right"/>
              <w:rPr>
                <w:rFonts w:ascii="Calibri Light" w:eastAsia="Times New Roman" w:hAnsi="Calibri Light" w:cs="Times New Roman"/>
                <w:b/>
                <w:bCs/>
                <w:color w:val="000000"/>
                <w:sz w:val="20"/>
                <w:szCs w:val="20"/>
                <w:lang w:val="ro-RO"/>
              </w:rPr>
            </w:pPr>
            <w:r w:rsidRPr="00E4517B">
              <w:rPr>
                <w:rFonts w:ascii="Calibri Light" w:eastAsia="Times New Roman" w:hAnsi="Calibri Light" w:cs="Times New Roman"/>
                <w:b/>
                <w:bCs/>
                <w:color w:val="000000"/>
                <w:sz w:val="20"/>
                <w:szCs w:val="20"/>
                <w:lang w:val="ro-RO"/>
              </w:rPr>
              <w:t>2.374,2</w:t>
            </w:r>
          </w:p>
        </w:tc>
        <w:tc>
          <w:tcPr>
            <w:tcW w:w="854" w:type="dxa"/>
            <w:tcBorders>
              <w:top w:val="nil"/>
              <w:left w:val="nil"/>
              <w:bottom w:val="single" w:sz="4" w:space="0" w:color="auto"/>
              <w:right w:val="single" w:sz="4" w:space="0" w:color="auto"/>
            </w:tcBorders>
            <w:shd w:val="clear" w:color="auto" w:fill="auto"/>
            <w:noWrap/>
            <w:vAlign w:val="center"/>
            <w:hideMark/>
          </w:tcPr>
          <w:p w:rsidR="00281CBE" w:rsidRPr="00F55BA6" w:rsidRDefault="00281CBE" w:rsidP="00B51730">
            <w:pPr>
              <w:spacing w:after="0" w:line="240" w:lineRule="auto"/>
              <w:jc w:val="right"/>
              <w:rPr>
                <w:rFonts w:ascii="Calibri Light" w:eastAsia="Times New Roman" w:hAnsi="Calibri Light" w:cs="Times New Roman"/>
                <w:b/>
                <w:bCs/>
                <w:color w:val="000000"/>
                <w:sz w:val="20"/>
                <w:szCs w:val="20"/>
                <w:lang w:val="ro-RO"/>
              </w:rPr>
            </w:pPr>
            <w:r w:rsidRPr="00E4517B">
              <w:rPr>
                <w:rFonts w:ascii="Calibri Light" w:eastAsia="Times New Roman" w:hAnsi="Calibri Light" w:cs="Times New Roman"/>
                <w:b/>
                <w:bCs/>
                <w:color w:val="000000"/>
                <w:sz w:val="20"/>
                <w:szCs w:val="20"/>
                <w:lang w:val="ro-RO"/>
              </w:rPr>
              <w:t>1.665,4</w:t>
            </w:r>
          </w:p>
        </w:tc>
        <w:tc>
          <w:tcPr>
            <w:tcW w:w="912" w:type="dxa"/>
            <w:tcBorders>
              <w:top w:val="nil"/>
              <w:left w:val="nil"/>
              <w:bottom w:val="single" w:sz="4" w:space="0" w:color="auto"/>
              <w:right w:val="single" w:sz="4" w:space="0" w:color="auto"/>
            </w:tcBorders>
            <w:shd w:val="clear" w:color="auto" w:fill="auto"/>
            <w:noWrap/>
            <w:vAlign w:val="center"/>
            <w:hideMark/>
          </w:tcPr>
          <w:p w:rsidR="00281CBE" w:rsidRPr="00F55BA6" w:rsidRDefault="00281CBE" w:rsidP="00B51730">
            <w:pPr>
              <w:spacing w:after="0" w:line="240" w:lineRule="auto"/>
              <w:jc w:val="right"/>
              <w:rPr>
                <w:rFonts w:ascii="Calibri Light" w:eastAsia="Times New Roman" w:hAnsi="Calibri Light" w:cs="Times New Roman"/>
                <w:b/>
                <w:bCs/>
                <w:color w:val="000000"/>
                <w:sz w:val="20"/>
                <w:szCs w:val="20"/>
                <w:lang w:val="ro-RO"/>
              </w:rPr>
            </w:pPr>
            <w:r w:rsidRPr="00E4517B">
              <w:rPr>
                <w:rFonts w:ascii="Calibri Light" w:eastAsia="Times New Roman" w:hAnsi="Calibri Light" w:cs="Times New Roman"/>
                <w:b/>
                <w:bCs/>
                <w:color w:val="000000"/>
                <w:sz w:val="20"/>
                <w:szCs w:val="20"/>
                <w:lang w:val="ro-RO"/>
              </w:rPr>
              <w:t>1.278,7</w:t>
            </w:r>
          </w:p>
        </w:tc>
        <w:tc>
          <w:tcPr>
            <w:tcW w:w="985" w:type="dxa"/>
            <w:tcBorders>
              <w:top w:val="nil"/>
              <w:left w:val="nil"/>
              <w:bottom w:val="single" w:sz="4" w:space="0" w:color="auto"/>
              <w:right w:val="single" w:sz="4" w:space="0" w:color="auto"/>
            </w:tcBorders>
            <w:shd w:val="clear" w:color="auto" w:fill="auto"/>
            <w:noWrap/>
            <w:vAlign w:val="center"/>
            <w:hideMark/>
          </w:tcPr>
          <w:p w:rsidR="00281CBE" w:rsidRPr="00F55BA6" w:rsidRDefault="00281CBE" w:rsidP="00B51730">
            <w:pPr>
              <w:spacing w:after="0" w:line="240" w:lineRule="auto"/>
              <w:jc w:val="right"/>
              <w:rPr>
                <w:rFonts w:ascii="Calibri Light" w:eastAsia="Times New Roman" w:hAnsi="Calibri Light" w:cs="Times New Roman"/>
                <w:b/>
                <w:bCs/>
                <w:color w:val="000000"/>
                <w:sz w:val="20"/>
                <w:szCs w:val="20"/>
                <w:lang w:val="ro-RO"/>
              </w:rPr>
            </w:pPr>
            <w:r w:rsidRPr="00E4517B">
              <w:rPr>
                <w:rFonts w:ascii="Calibri Light" w:eastAsia="Times New Roman" w:hAnsi="Calibri Light" w:cs="Times New Roman"/>
                <w:b/>
                <w:bCs/>
                <w:color w:val="000000"/>
                <w:sz w:val="20"/>
                <w:szCs w:val="20"/>
                <w:lang w:val="ro-RO"/>
              </w:rPr>
              <w:t>76,8%</w:t>
            </w:r>
          </w:p>
        </w:tc>
        <w:tc>
          <w:tcPr>
            <w:tcW w:w="871" w:type="dxa"/>
            <w:tcBorders>
              <w:top w:val="nil"/>
              <w:left w:val="nil"/>
              <w:bottom w:val="single" w:sz="4" w:space="0" w:color="auto"/>
              <w:right w:val="single" w:sz="4" w:space="0" w:color="auto"/>
            </w:tcBorders>
            <w:shd w:val="clear" w:color="auto" w:fill="auto"/>
            <w:noWrap/>
            <w:vAlign w:val="center"/>
            <w:hideMark/>
          </w:tcPr>
          <w:p w:rsidR="00281CBE" w:rsidRPr="00F55BA6" w:rsidRDefault="00281CBE" w:rsidP="00B51730">
            <w:pPr>
              <w:spacing w:after="0" w:line="240" w:lineRule="auto"/>
              <w:jc w:val="right"/>
              <w:rPr>
                <w:rFonts w:ascii="Calibri Light" w:eastAsia="Times New Roman" w:hAnsi="Calibri Light" w:cs="Times New Roman"/>
                <w:b/>
                <w:bCs/>
                <w:color w:val="000000"/>
                <w:sz w:val="20"/>
                <w:szCs w:val="20"/>
                <w:lang w:val="ro-RO"/>
              </w:rPr>
            </w:pPr>
            <w:r w:rsidRPr="00E4517B">
              <w:rPr>
                <w:rFonts w:ascii="Calibri Light" w:eastAsia="Times New Roman" w:hAnsi="Calibri Light" w:cs="Times New Roman"/>
                <w:b/>
                <w:bCs/>
                <w:color w:val="000000"/>
                <w:sz w:val="20"/>
                <w:szCs w:val="20"/>
                <w:lang w:val="ro-RO"/>
              </w:rPr>
              <w:t>4.133,4</w:t>
            </w:r>
          </w:p>
        </w:tc>
        <w:tc>
          <w:tcPr>
            <w:tcW w:w="854" w:type="dxa"/>
            <w:tcBorders>
              <w:top w:val="nil"/>
              <w:left w:val="nil"/>
              <w:bottom w:val="single" w:sz="4" w:space="0" w:color="auto"/>
              <w:right w:val="single" w:sz="4" w:space="0" w:color="auto"/>
            </w:tcBorders>
            <w:shd w:val="clear" w:color="auto" w:fill="auto"/>
            <w:noWrap/>
            <w:vAlign w:val="center"/>
            <w:hideMark/>
          </w:tcPr>
          <w:p w:rsidR="00281CBE" w:rsidRPr="00F55BA6" w:rsidRDefault="00281CBE" w:rsidP="00B51730">
            <w:pPr>
              <w:spacing w:after="0" w:line="240" w:lineRule="auto"/>
              <w:jc w:val="right"/>
              <w:rPr>
                <w:rFonts w:ascii="Calibri Light" w:eastAsia="Times New Roman" w:hAnsi="Calibri Light" w:cs="Times New Roman"/>
                <w:b/>
                <w:bCs/>
                <w:color w:val="000000"/>
                <w:sz w:val="20"/>
                <w:szCs w:val="20"/>
                <w:lang w:val="ro-RO"/>
              </w:rPr>
            </w:pPr>
            <w:r w:rsidRPr="00E4517B">
              <w:rPr>
                <w:rFonts w:ascii="Calibri Light" w:eastAsia="Times New Roman" w:hAnsi="Calibri Light" w:cs="Times New Roman"/>
                <w:b/>
                <w:bCs/>
                <w:color w:val="000000"/>
                <w:sz w:val="20"/>
                <w:szCs w:val="20"/>
                <w:lang w:val="ro-RO"/>
              </w:rPr>
              <w:t>1.598,7</w:t>
            </w:r>
          </w:p>
        </w:tc>
        <w:tc>
          <w:tcPr>
            <w:tcW w:w="912" w:type="dxa"/>
            <w:tcBorders>
              <w:top w:val="nil"/>
              <w:left w:val="nil"/>
              <w:bottom w:val="single" w:sz="4" w:space="0" w:color="auto"/>
              <w:right w:val="single" w:sz="4" w:space="0" w:color="auto"/>
            </w:tcBorders>
            <w:shd w:val="clear" w:color="auto" w:fill="auto"/>
            <w:noWrap/>
            <w:vAlign w:val="center"/>
            <w:hideMark/>
          </w:tcPr>
          <w:p w:rsidR="00281CBE" w:rsidRPr="00F55BA6" w:rsidRDefault="00281CBE" w:rsidP="00B51730">
            <w:pPr>
              <w:spacing w:after="0" w:line="240" w:lineRule="auto"/>
              <w:jc w:val="right"/>
              <w:rPr>
                <w:rFonts w:ascii="Calibri Light" w:eastAsia="Times New Roman" w:hAnsi="Calibri Light" w:cs="Times New Roman"/>
                <w:b/>
                <w:bCs/>
                <w:color w:val="000000"/>
                <w:sz w:val="20"/>
                <w:szCs w:val="20"/>
                <w:lang w:val="ro-RO"/>
              </w:rPr>
            </w:pPr>
            <w:r w:rsidRPr="00E4517B">
              <w:rPr>
                <w:rFonts w:ascii="Calibri Light" w:eastAsia="Times New Roman" w:hAnsi="Calibri Light" w:cs="Times New Roman"/>
                <w:b/>
                <w:bCs/>
                <w:color w:val="000000"/>
                <w:sz w:val="20"/>
                <w:szCs w:val="20"/>
                <w:lang w:val="ro-RO"/>
              </w:rPr>
              <w:t>1.524,2</w:t>
            </w:r>
          </w:p>
        </w:tc>
        <w:tc>
          <w:tcPr>
            <w:tcW w:w="985" w:type="dxa"/>
            <w:tcBorders>
              <w:top w:val="nil"/>
              <w:left w:val="nil"/>
              <w:bottom w:val="single" w:sz="4" w:space="0" w:color="auto"/>
              <w:right w:val="single" w:sz="4" w:space="0" w:color="auto"/>
            </w:tcBorders>
            <w:shd w:val="clear" w:color="auto" w:fill="auto"/>
            <w:noWrap/>
            <w:vAlign w:val="center"/>
            <w:hideMark/>
          </w:tcPr>
          <w:p w:rsidR="00281CBE" w:rsidRPr="00F55BA6" w:rsidRDefault="00281CBE" w:rsidP="00B51730">
            <w:pPr>
              <w:spacing w:after="0" w:line="240" w:lineRule="auto"/>
              <w:jc w:val="right"/>
              <w:rPr>
                <w:rFonts w:ascii="Calibri Light" w:eastAsia="Times New Roman" w:hAnsi="Calibri Light" w:cs="Times New Roman"/>
                <w:b/>
                <w:bCs/>
                <w:color w:val="000000"/>
                <w:sz w:val="20"/>
                <w:szCs w:val="20"/>
                <w:lang w:val="ro-RO"/>
              </w:rPr>
            </w:pPr>
            <w:r w:rsidRPr="00F55BA6">
              <w:rPr>
                <w:rFonts w:ascii="Calibri Light" w:eastAsia="Times New Roman" w:hAnsi="Calibri Light" w:cs="Times New Roman"/>
                <w:b/>
                <w:bCs/>
                <w:color w:val="000000"/>
                <w:sz w:val="20"/>
                <w:szCs w:val="20"/>
                <w:lang w:val="ro-RO"/>
              </w:rPr>
              <w:t>36,9%</w:t>
            </w:r>
          </w:p>
        </w:tc>
        <w:tc>
          <w:tcPr>
            <w:tcW w:w="985" w:type="dxa"/>
            <w:tcBorders>
              <w:top w:val="nil"/>
              <w:left w:val="nil"/>
              <w:bottom w:val="single" w:sz="4" w:space="0" w:color="auto"/>
              <w:right w:val="single" w:sz="4" w:space="0" w:color="auto"/>
            </w:tcBorders>
            <w:shd w:val="clear" w:color="auto" w:fill="auto"/>
            <w:noWrap/>
            <w:vAlign w:val="center"/>
            <w:hideMark/>
          </w:tcPr>
          <w:p w:rsidR="00281CBE" w:rsidRPr="00F55BA6" w:rsidRDefault="00281CBE" w:rsidP="00B51730">
            <w:pPr>
              <w:spacing w:after="0" w:line="240" w:lineRule="auto"/>
              <w:jc w:val="right"/>
              <w:rPr>
                <w:rFonts w:ascii="Calibri Light" w:eastAsia="Times New Roman" w:hAnsi="Calibri Light" w:cs="Times New Roman"/>
                <w:b/>
                <w:bCs/>
                <w:color w:val="000000"/>
                <w:sz w:val="20"/>
                <w:szCs w:val="20"/>
                <w:lang w:val="ro-RO"/>
              </w:rPr>
            </w:pPr>
            <w:r w:rsidRPr="00E4517B">
              <w:rPr>
                <w:rFonts w:ascii="Calibri Light" w:eastAsia="Times New Roman" w:hAnsi="Calibri Light" w:cs="Times New Roman"/>
                <w:b/>
                <w:bCs/>
                <w:color w:val="000000"/>
                <w:sz w:val="20"/>
                <w:szCs w:val="20"/>
                <w:lang w:val="ro-RO"/>
              </w:rPr>
              <w:t>95,3%</w:t>
            </w:r>
          </w:p>
        </w:tc>
      </w:tr>
      <w:tr w:rsidR="00281CBE" w:rsidRPr="00E4517B" w:rsidTr="00B51730">
        <w:trPr>
          <w:trHeight w:val="451"/>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281CBE" w:rsidRPr="00F55BA6" w:rsidRDefault="00281CBE" w:rsidP="00B51730">
            <w:pPr>
              <w:spacing w:after="0" w:line="240" w:lineRule="auto"/>
              <w:ind w:right="-101"/>
              <w:jc w:val="left"/>
              <w:rPr>
                <w:rFonts w:ascii="Calibri Light" w:eastAsia="Times New Roman" w:hAnsi="Calibri Light" w:cs="Times New Roman"/>
                <w:b/>
                <w:bCs/>
                <w:color w:val="000000"/>
                <w:sz w:val="20"/>
                <w:szCs w:val="20"/>
                <w:lang w:val="ro-RO"/>
              </w:rPr>
            </w:pPr>
            <w:r w:rsidRPr="00E4517B">
              <w:rPr>
                <w:rFonts w:ascii="Calibri Light" w:eastAsia="Times New Roman" w:hAnsi="Calibri Light" w:cs="Times New Roman"/>
                <w:b/>
                <w:bCs/>
                <w:color w:val="000000"/>
                <w:sz w:val="20"/>
                <w:szCs w:val="20"/>
                <w:lang w:val="ro-RO"/>
              </w:rPr>
              <w:t>Resurse generale și colectate</w:t>
            </w:r>
          </w:p>
        </w:tc>
        <w:tc>
          <w:tcPr>
            <w:tcW w:w="871" w:type="dxa"/>
            <w:tcBorders>
              <w:top w:val="nil"/>
              <w:left w:val="nil"/>
              <w:bottom w:val="single" w:sz="4" w:space="0" w:color="auto"/>
              <w:right w:val="single" w:sz="4" w:space="0" w:color="auto"/>
            </w:tcBorders>
            <w:shd w:val="clear" w:color="auto" w:fill="auto"/>
            <w:noWrap/>
            <w:vAlign w:val="center"/>
            <w:hideMark/>
          </w:tcPr>
          <w:p w:rsidR="00281CBE" w:rsidRPr="00F55BA6" w:rsidRDefault="00281CBE" w:rsidP="00B51730">
            <w:pPr>
              <w:spacing w:after="0" w:line="240" w:lineRule="auto"/>
              <w:jc w:val="right"/>
              <w:rPr>
                <w:rFonts w:ascii="Calibri Light" w:eastAsia="Times New Roman" w:hAnsi="Calibri Light" w:cs="Times New Roman"/>
                <w:color w:val="000000"/>
                <w:sz w:val="20"/>
                <w:szCs w:val="20"/>
                <w:lang w:val="ro-RO"/>
              </w:rPr>
            </w:pPr>
            <w:r w:rsidRPr="00E4517B">
              <w:rPr>
                <w:rFonts w:ascii="Calibri Light" w:eastAsia="Times New Roman" w:hAnsi="Calibri Light" w:cs="Times New Roman"/>
                <w:color w:val="000000"/>
                <w:sz w:val="20"/>
                <w:szCs w:val="20"/>
                <w:lang w:val="ro-RO"/>
              </w:rPr>
              <w:t>499,0</w:t>
            </w:r>
          </w:p>
        </w:tc>
        <w:tc>
          <w:tcPr>
            <w:tcW w:w="854" w:type="dxa"/>
            <w:tcBorders>
              <w:top w:val="nil"/>
              <w:left w:val="nil"/>
              <w:bottom w:val="single" w:sz="4" w:space="0" w:color="auto"/>
              <w:right w:val="single" w:sz="4" w:space="0" w:color="auto"/>
            </w:tcBorders>
            <w:shd w:val="clear" w:color="auto" w:fill="auto"/>
            <w:noWrap/>
            <w:vAlign w:val="center"/>
            <w:hideMark/>
          </w:tcPr>
          <w:p w:rsidR="00281CBE" w:rsidRPr="00F55BA6" w:rsidRDefault="00281CBE" w:rsidP="00B51730">
            <w:pPr>
              <w:spacing w:after="0" w:line="240" w:lineRule="auto"/>
              <w:jc w:val="right"/>
              <w:rPr>
                <w:rFonts w:ascii="Calibri Light" w:eastAsia="Times New Roman" w:hAnsi="Calibri Light" w:cs="Times New Roman"/>
                <w:color w:val="000000"/>
                <w:sz w:val="20"/>
                <w:szCs w:val="20"/>
                <w:lang w:val="ro-RO"/>
              </w:rPr>
            </w:pPr>
            <w:r w:rsidRPr="00E4517B">
              <w:rPr>
                <w:rFonts w:ascii="Calibri Light" w:eastAsia="Times New Roman" w:hAnsi="Calibri Light" w:cs="Times New Roman"/>
                <w:color w:val="000000"/>
                <w:sz w:val="20"/>
                <w:szCs w:val="20"/>
                <w:lang w:val="ro-RO"/>
              </w:rPr>
              <w:t>334,1</w:t>
            </w:r>
          </w:p>
        </w:tc>
        <w:tc>
          <w:tcPr>
            <w:tcW w:w="912" w:type="dxa"/>
            <w:tcBorders>
              <w:top w:val="nil"/>
              <w:left w:val="nil"/>
              <w:bottom w:val="single" w:sz="4" w:space="0" w:color="auto"/>
              <w:right w:val="single" w:sz="4" w:space="0" w:color="auto"/>
            </w:tcBorders>
            <w:shd w:val="clear" w:color="auto" w:fill="auto"/>
            <w:noWrap/>
            <w:vAlign w:val="center"/>
            <w:hideMark/>
          </w:tcPr>
          <w:p w:rsidR="00281CBE" w:rsidRPr="00F55BA6" w:rsidRDefault="00281CBE" w:rsidP="00B51730">
            <w:pPr>
              <w:spacing w:after="0" w:line="240" w:lineRule="auto"/>
              <w:jc w:val="right"/>
              <w:rPr>
                <w:rFonts w:ascii="Calibri Light" w:eastAsia="Times New Roman" w:hAnsi="Calibri Light" w:cs="Times New Roman"/>
                <w:color w:val="000000"/>
                <w:sz w:val="20"/>
                <w:szCs w:val="20"/>
                <w:lang w:val="ro-RO"/>
              </w:rPr>
            </w:pPr>
            <w:r w:rsidRPr="00E4517B">
              <w:rPr>
                <w:rFonts w:ascii="Calibri Light" w:eastAsia="Times New Roman" w:hAnsi="Calibri Light" w:cs="Times New Roman"/>
                <w:color w:val="000000"/>
                <w:sz w:val="20"/>
                <w:szCs w:val="20"/>
                <w:lang w:val="ro-RO"/>
              </w:rPr>
              <w:t>245,3</w:t>
            </w:r>
          </w:p>
        </w:tc>
        <w:tc>
          <w:tcPr>
            <w:tcW w:w="985" w:type="dxa"/>
            <w:tcBorders>
              <w:top w:val="nil"/>
              <w:left w:val="nil"/>
              <w:bottom w:val="single" w:sz="4" w:space="0" w:color="auto"/>
              <w:right w:val="single" w:sz="4" w:space="0" w:color="auto"/>
            </w:tcBorders>
            <w:shd w:val="clear" w:color="auto" w:fill="auto"/>
            <w:noWrap/>
            <w:vAlign w:val="center"/>
            <w:hideMark/>
          </w:tcPr>
          <w:p w:rsidR="00281CBE" w:rsidRPr="00F55BA6" w:rsidRDefault="00281CBE" w:rsidP="00B51730">
            <w:pPr>
              <w:spacing w:after="0" w:line="240" w:lineRule="auto"/>
              <w:jc w:val="right"/>
              <w:rPr>
                <w:rFonts w:ascii="Calibri Light" w:eastAsia="Times New Roman" w:hAnsi="Calibri Light" w:cs="Times New Roman"/>
                <w:color w:val="000000"/>
                <w:sz w:val="20"/>
                <w:szCs w:val="20"/>
                <w:lang w:val="ro-RO"/>
              </w:rPr>
            </w:pPr>
            <w:r w:rsidRPr="00E4517B">
              <w:rPr>
                <w:rFonts w:ascii="Calibri Light" w:eastAsia="Times New Roman" w:hAnsi="Calibri Light" w:cs="Times New Roman"/>
                <w:color w:val="000000"/>
                <w:sz w:val="20"/>
                <w:szCs w:val="20"/>
                <w:lang w:val="ro-RO"/>
              </w:rPr>
              <w:t>73,4%</w:t>
            </w:r>
          </w:p>
        </w:tc>
        <w:tc>
          <w:tcPr>
            <w:tcW w:w="871" w:type="dxa"/>
            <w:tcBorders>
              <w:top w:val="nil"/>
              <w:left w:val="nil"/>
              <w:bottom w:val="single" w:sz="4" w:space="0" w:color="auto"/>
              <w:right w:val="single" w:sz="4" w:space="0" w:color="auto"/>
            </w:tcBorders>
            <w:shd w:val="clear" w:color="auto" w:fill="auto"/>
            <w:noWrap/>
            <w:vAlign w:val="center"/>
            <w:hideMark/>
          </w:tcPr>
          <w:p w:rsidR="00281CBE" w:rsidRPr="00F55BA6" w:rsidRDefault="00281CBE" w:rsidP="00B51730">
            <w:pPr>
              <w:spacing w:after="0" w:line="240" w:lineRule="auto"/>
              <w:jc w:val="right"/>
              <w:rPr>
                <w:rFonts w:ascii="Calibri Light" w:eastAsia="Times New Roman" w:hAnsi="Calibri Light" w:cs="Times New Roman"/>
                <w:color w:val="000000"/>
                <w:sz w:val="20"/>
                <w:szCs w:val="20"/>
                <w:lang w:val="ro-RO"/>
              </w:rPr>
            </w:pPr>
            <w:r w:rsidRPr="00E4517B">
              <w:rPr>
                <w:rFonts w:ascii="Calibri Light" w:eastAsia="Times New Roman" w:hAnsi="Calibri Light" w:cs="Times New Roman"/>
                <w:color w:val="000000"/>
                <w:sz w:val="20"/>
                <w:szCs w:val="20"/>
                <w:lang w:val="ro-RO"/>
              </w:rPr>
              <w:t>520,1</w:t>
            </w:r>
          </w:p>
        </w:tc>
        <w:tc>
          <w:tcPr>
            <w:tcW w:w="854" w:type="dxa"/>
            <w:tcBorders>
              <w:top w:val="nil"/>
              <w:left w:val="nil"/>
              <w:bottom w:val="single" w:sz="4" w:space="0" w:color="auto"/>
              <w:right w:val="single" w:sz="4" w:space="0" w:color="auto"/>
            </w:tcBorders>
            <w:shd w:val="clear" w:color="auto" w:fill="auto"/>
            <w:noWrap/>
            <w:vAlign w:val="center"/>
            <w:hideMark/>
          </w:tcPr>
          <w:p w:rsidR="00281CBE" w:rsidRPr="00F55BA6" w:rsidRDefault="00281CBE" w:rsidP="00B51730">
            <w:pPr>
              <w:spacing w:after="0" w:line="240" w:lineRule="auto"/>
              <w:jc w:val="right"/>
              <w:rPr>
                <w:rFonts w:ascii="Calibri Light" w:eastAsia="Times New Roman" w:hAnsi="Calibri Light" w:cs="Times New Roman"/>
                <w:color w:val="000000"/>
                <w:sz w:val="20"/>
                <w:szCs w:val="20"/>
                <w:lang w:val="ro-RO"/>
              </w:rPr>
            </w:pPr>
            <w:r w:rsidRPr="00E4517B">
              <w:rPr>
                <w:rFonts w:ascii="Calibri Light" w:eastAsia="Times New Roman" w:hAnsi="Calibri Light" w:cs="Times New Roman"/>
                <w:color w:val="000000"/>
                <w:sz w:val="20"/>
                <w:szCs w:val="20"/>
                <w:lang w:val="ro-RO"/>
              </w:rPr>
              <w:t>314,9</w:t>
            </w:r>
          </w:p>
        </w:tc>
        <w:tc>
          <w:tcPr>
            <w:tcW w:w="912" w:type="dxa"/>
            <w:tcBorders>
              <w:top w:val="nil"/>
              <w:left w:val="nil"/>
              <w:bottom w:val="single" w:sz="4" w:space="0" w:color="auto"/>
              <w:right w:val="single" w:sz="4" w:space="0" w:color="auto"/>
            </w:tcBorders>
            <w:shd w:val="clear" w:color="auto" w:fill="auto"/>
            <w:noWrap/>
            <w:vAlign w:val="center"/>
            <w:hideMark/>
          </w:tcPr>
          <w:p w:rsidR="00281CBE" w:rsidRPr="00F55BA6" w:rsidRDefault="00281CBE" w:rsidP="00B51730">
            <w:pPr>
              <w:spacing w:after="0" w:line="240" w:lineRule="auto"/>
              <w:jc w:val="right"/>
              <w:rPr>
                <w:rFonts w:ascii="Calibri Light" w:eastAsia="Times New Roman" w:hAnsi="Calibri Light" w:cs="Times New Roman"/>
                <w:color w:val="000000"/>
                <w:sz w:val="20"/>
                <w:szCs w:val="20"/>
                <w:lang w:val="ro-RO"/>
              </w:rPr>
            </w:pPr>
            <w:r w:rsidRPr="00E4517B">
              <w:rPr>
                <w:rFonts w:ascii="Calibri Light" w:eastAsia="Times New Roman" w:hAnsi="Calibri Light" w:cs="Times New Roman"/>
                <w:color w:val="000000"/>
                <w:sz w:val="20"/>
                <w:szCs w:val="20"/>
                <w:lang w:val="ro-RO"/>
              </w:rPr>
              <w:t>204,0</w:t>
            </w:r>
          </w:p>
        </w:tc>
        <w:tc>
          <w:tcPr>
            <w:tcW w:w="985" w:type="dxa"/>
            <w:tcBorders>
              <w:top w:val="nil"/>
              <w:left w:val="nil"/>
              <w:bottom w:val="single" w:sz="4" w:space="0" w:color="auto"/>
              <w:right w:val="single" w:sz="4" w:space="0" w:color="auto"/>
            </w:tcBorders>
            <w:shd w:val="clear" w:color="auto" w:fill="auto"/>
            <w:noWrap/>
            <w:vAlign w:val="center"/>
            <w:hideMark/>
          </w:tcPr>
          <w:p w:rsidR="00281CBE" w:rsidRPr="00F55BA6" w:rsidRDefault="00281CBE" w:rsidP="00B51730">
            <w:pPr>
              <w:spacing w:after="0" w:line="240" w:lineRule="auto"/>
              <w:jc w:val="right"/>
              <w:rPr>
                <w:rFonts w:ascii="Calibri Light" w:eastAsia="Times New Roman" w:hAnsi="Calibri Light" w:cs="Times New Roman"/>
                <w:color w:val="000000"/>
                <w:sz w:val="20"/>
                <w:szCs w:val="20"/>
                <w:lang w:val="ro-RO"/>
              </w:rPr>
            </w:pPr>
            <w:r w:rsidRPr="00E4517B">
              <w:rPr>
                <w:rFonts w:ascii="Calibri Light" w:eastAsia="Times New Roman" w:hAnsi="Calibri Light" w:cs="Times New Roman"/>
                <w:color w:val="000000"/>
                <w:sz w:val="20"/>
                <w:szCs w:val="20"/>
                <w:lang w:val="ro-RO"/>
              </w:rPr>
              <w:t>64,8%</w:t>
            </w:r>
          </w:p>
        </w:tc>
        <w:tc>
          <w:tcPr>
            <w:tcW w:w="871" w:type="dxa"/>
            <w:tcBorders>
              <w:top w:val="nil"/>
              <w:left w:val="nil"/>
              <w:bottom w:val="single" w:sz="4" w:space="0" w:color="auto"/>
              <w:right w:val="single" w:sz="4" w:space="0" w:color="auto"/>
            </w:tcBorders>
            <w:shd w:val="clear" w:color="auto" w:fill="auto"/>
            <w:noWrap/>
            <w:vAlign w:val="center"/>
            <w:hideMark/>
          </w:tcPr>
          <w:p w:rsidR="00281CBE" w:rsidRPr="00F55BA6" w:rsidRDefault="00281CBE" w:rsidP="00B51730">
            <w:pPr>
              <w:spacing w:after="0" w:line="240" w:lineRule="auto"/>
              <w:jc w:val="right"/>
              <w:rPr>
                <w:rFonts w:ascii="Calibri Light" w:eastAsia="Times New Roman" w:hAnsi="Calibri Light" w:cs="Times New Roman"/>
                <w:color w:val="000000"/>
                <w:sz w:val="20"/>
                <w:szCs w:val="20"/>
                <w:lang w:val="ro-RO"/>
              </w:rPr>
            </w:pPr>
            <w:r w:rsidRPr="00E4517B">
              <w:rPr>
                <w:rFonts w:ascii="Calibri Light" w:eastAsia="Times New Roman" w:hAnsi="Calibri Light" w:cs="Times New Roman"/>
                <w:color w:val="000000"/>
                <w:sz w:val="20"/>
                <w:szCs w:val="20"/>
                <w:lang w:val="ro-RO"/>
              </w:rPr>
              <w:t>433,8</w:t>
            </w:r>
          </w:p>
        </w:tc>
        <w:tc>
          <w:tcPr>
            <w:tcW w:w="854" w:type="dxa"/>
            <w:tcBorders>
              <w:top w:val="nil"/>
              <w:left w:val="nil"/>
              <w:bottom w:val="single" w:sz="4" w:space="0" w:color="auto"/>
              <w:right w:val="single" w:sz="4" w:space="0" w:color="auto"/>
            </w:tcBorders>
            <w:shd w:val="clear" w:color="auto" w:fill="auto"/>
            <w:noWrap/>
            <w:vAlign w:val="center"/>
            <w:hideMark/>
          </w:tcPr>
          <w:p w:rsidR="00281CBE" w:rsidRPr="00F55BA6" w:rsidRDefault="00281CBE" w:rsidP="00B51730">
            <w:pPr>
              <w:spacing w:after="0" w:line="240" w:lineRule="auto"/>
              <w:jc w:val="right"/>
              <w:rPr>
                <w:rFonts w:ascii="Calibri Light" w:eastAsia="Times New Roman" w:hAnsi="Calibri Light" w:cs="Times New Roman"/>
                <w:color w:val="000000"/>
                <w:sz w:val="20"/>
                <w:szCs w:val="20"/>
                <w:lang w:val="ro-RO"/>
              </w:rPr>
            </w:pPr>
            <w:r w:rsidRPr="00E4517B">
              <w:rPr>
                <w:rFonts w:ascii="Calibri Light" w:eastAsia="Times New Roman" w:hAnsi="Calibri Light" w:cs="Times New Roman"/>
                <w:color w:val="000000"/>
                <w:sz w:val="20"/>
                <w:szCs w:val="20"/>
                <w:lang w:val="ro-RO"/>
              </w:rPr>
              <w:t>242,4</w:t>
            </w:r>
          </w:p>
        </w:tc>
        <w:tc>
          <w:tcPr>
            <w:tcW w:w="912" w:type="dxa"/>
            <w:tcBorders>
              <w:top w:val="nil"/>
              <w:left w:val="nil"/>
              <w:bottom w:val="single" w:sz="4" w:space="0" w:color="auto"/>
              <w:right w:val="single" w:sz="4" w:space="0" w:color="auto"/>
            </w:tcBorders>
            <w:shd w:val="clear" w:color="auto" w:fill="auto"/>
            <w:noWrap/>
            <w:vAlign w:val="center"/>
            <w:hideMark/>
          </w:tcPr>
          <w:p w:rsidR="00281CBE" w:rsidRPr="00F55BA6" w:rsidRDefault="00281CBE" w:rsidP="00B51730">
            <w:pPr>
              <w:spacing w:after="0" w:line="240" w:lineRule="auto"/>
              <w:jc w:val="right"/>
              <w:rPr>
                <w:rFonts w:ascii="Calibri Light" w:eastAsia="Times New Roman" w:hAnsi="Calibri Light" w:cs="Times New Roman"/>
                <w:color w:val="000000"/>
                <w:sz w:val="20"/>
                <w:szCs w:val="20"/>
                <w:lang w:val="ro-RO"/>
              </w:rPr>
            </w:pPr>
            <w:r w:rsidRPr="00E4517B">
              <w:rPr>
                <w:rFonts w:ascii="Calibri Light" w:eastAsia="Times New Roman" w:hAnsi="Calibri Light" w:cs="Times New Roman"/>
                <w:color w:val="000000"/>
                <w:sz w:val="20"/>
                <w:szCs w:val="20"/>
                <w:lang w:val="ro-RO"/>
              </w:rPr>
              <w:t>193,1</w:t>
            </w:r>
          </w:p>
        </w:tc>
        <w:tc>
          <w:tcPr>
            <w:tcW w:w="985" w:type="dxa"/>
            <w:tcBorders>
              <w:top w:val="nil"/>
              <w:left w:val="nil"/>
              <w:bottom w:val="single" w:sz="4" w:space="0" w:color="auto"/>
              <w:right w:val="single" w:sz="4" w:space="0" w:color="auto"/>
            </w:tcBorders>
            <w:shd w:val="clear" w:color="auto" w:fill="auto"/>
            <w:noWrap/>
            <w:vAlign w:val="center"/>
            <w:hideMark/>
          </w:tcPr>
          <w:p w:rsidR="00281CBE" w:rsidRPr="00F55BA6" w:rsidRDefault="00281CBE" w:rsidP="00B51730">
            <w:pPr>
              <w:spacing w:after="0" w:line="240" w:lineRule="auto"/>
              <w:jc w:val="right"/>
              <w:rPr>
                <w:rFonts w:ascii="Calibri Light" w:eastAsia="Times New Roman" w:hAnsi="Calibri Light" w:cs="Times New Roman"/>
                <w:color w:val="000000"/>
                <w:sz w:val="20"/>
                <w:szCs w:val="20"/>
                <w:lang w:val="ro-RO"/>
              </w:rPr>
            </w:pPr>
            <w:r w:rsidRPr="00F55BA6">
              <w:rPr>
                <w:rFonts w:ascii="Calibri Light" w:eastAsia="Times New Roman" w:hAnsi="Calibri Light" w:cs="Times New Roman"/>
                <w:color w:val="000000"/>
                <w:sz w:val="20"/>
                <w:szCs w:val="20"/>
                <w:lang w:val="ro-RO"/>
              </w:rPr>
              <w:t>44,5%</w:t>
            </w:r>
          </w:p>
        </w:tc>
        <w:tc>
          <w:tcPr>
            <w:tcW w:w="985" w:type="dxa"/>
            <w:tcBorders>
              <w:top w:val="nil"/>
              <w:left w:val="nil"/>
              <w:bottom w:val="single" w:sz="4" w:space="0" w:color="auto"/>
              <w:right w:val="single" w:sz="4" w:space="0" w:color="auto"/>
            </w:tcBorders>
            <w:shd w:val="clear" w:color="auto" w:fill="auto"/>
            <w:noWrap/>
            <w:vAlign w:val="center"/>
            <w:hideMark/>
          </w:tcPr>
          <w:p w:rsidR="00281CBE" w:rsidRPr="00F55BA6" w:rsidRDefault="00281CBE" w:rsidP="00B51730">
            <w:pPr>
              <w:spacing w:after="0" w:line="240" w:lineRule="auto"/>
              <w:jc w:val="right"/>
              <w:rPr>
                <w:rFonts w:ascii="Calibri Light" w:eastAsia="Times New Roman" w:hAnsi="Calibri Light" w:cs="Times New Roman"/>
                <w:color w:val="000000"/>
                <w:sz w:val="20"/>
                <w:szCs w:val="20"/>
                <w:lang w:val="ro-RO"/>
              </w:rPr>
            </w:pPr>
            <w:r w:rsidRPr="00E4517B">
              <w:rPr>
                <w:rFonts w:ascii="Calibri Light" w:eastAsia="Times New Roman" w:hAnsi="Calibri Light" w:cs="Times New Roman"/>
                <w:color w:val="000000"/>
                <w:sz w:val="20"/>
                <w:szCs w:val="20"/>
                <w:lang w:val="ro-RO"/>
              </w:rPr>
              <w:t>79,7%</w:t>
            </w:r>
          </w:p>
        </w:tc>
      </w:tr>
      <w:tr w:rsidR="00281CBE" w:rsidRPr="00E4517B" w:rsidTr="00B51730">
        <w:trPr>
          <w:trHeight w:val="30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281CBE" w:rsidRPr="00F55BA6" w:rsidRDefault="00281CBE" w:rsidP="00B51730">
            <w:pPr>
              <w:spacing w:after="0" w:line="240" w:lineRule="auto"/>
              <w:ind w:right="-101"/>
              <w:jc w:val="left"/>
              <w:rPr>
                <w:rFonts w:ascii="Calibri Light" w:eastAsia="Times New Roman" w:hAnsi="Calibri Light" w:cs="Times New Roman"/>
                <w:b/>
                <w:bCs/>
                <w:color w:val="000000"/>
                <w:sz w:val="20"/>
                <w:szCs w:val="20"/>
                <w:lang w:val="ro-RO"/>
              </w:rPr>
            </w:pPr>
            <w:r w:rsidRPr="00E4517B">
              <w:rPr>
                <w:rFonts w:ascii="Calibri Light" w:eastAsia="Times New Roman" w:hAnsi="Calibri Light" w:cs="Times New Roman"/>
                <w:b/>
                <w:bCs/>
                <w:color w:val="000000"/>
                <w:sz w:val="20"/>
                <w:szCs w:val="20"/>
                <w:lang w:val="ro-RO"/>
              </w:rPr>
              <w:t>Surse externe</w:t>
            </w:r>
          </w:p>
        </w:tc>
        <w:tc>
          <w:tcPr>
            <w:tcW w:w="871" w:type="dxa"/>
            <w:tcBorders>
              <w:top w:val="nil"/>
              <w:left w:val="nil"/>
              <w:bottom w:val="single" w:sz="4" w:space="0" w:color="auto"/>
              <w:right w:val="single" w:sz="4" w:space="0" w:color="auto"/>
            </w:tcBorders>
            <w:shd w:val="clear" w:color="auto" w:fill="auto"/>
            <w:noWrap/>
            <w:vAlign w:val="center"/>
            <w:hideMark/>
          </w:tcPr>
          <w:p w:rsidR="00281CBE" w:rsidRPr="00F55BA6" w:rsidRDefault="00281CBE" w:rsidP="00B51730">
            <w:pPr>
              <w:spacing w:after="0" w:line="240" w:lineRule="auto"/>
              <w:jc w:val="right"/>
              <w:rPr>
                <w:rFonts w:ascii="Calibri Light" w:eastAsia="Times New Roman" w:hAnsi="Calibri Light" w:cs="Times New Roman"/>
                <w:color w:val="000000"/>
                <w:sz w:val="20"/>
                <w:szCs w:val="20"/>
                <w:lang w:val="ro-RO"/>
              </w:rPr>
            </w:pPr>
            <w:r w:rsidRPr="00E4517B">
              <w:rPr>
                <w:rFonts w:ascii="Calibri Light" w:eastAsia="Times New Roman" w:hAnsi="Calibri Light" w:cs="Times New Roman"/>
                <w:color w:val="000000"/>
                <w:sz w:val="20"/>
                <w:szCs w:val="20"/>
                <w:lang w:val="ro-RO"/>
              </w:rPr>
              <w:t>2.837,7</w:t>
            </w:r>
          </w:p>
        </w:tc>
        <w:tc>
          <w:tcPr>
            <w:tcW w:w="854" w:type="dxa"/>
            <w:tcBorders>
              <w:top w:val="nil"/>
              <w:left w:val="nil"/>
              <w:bottom w:val="single" w:sz="4" w:space="0" w:color="auto"/>
              <w:right w:val="single" w:sz="4" w:space="0" w:color="auto"/>
            </w:tcBorders>
            <w:shd w:val="clear" w:color="auto" w:fill="auto"/>
            <w:noWrap/>
            <w:vAlign w:val="center"/>
            <w:hideMark/>
          </w:tcPr>
          <w:p w:rsidR="00281CBE" w:rsidRPr="00F55BA6" w:rsidRDefault="00281CBE" w:rsidP="00B51730">
            <w:pPr>
              <w:spacing w:after="0" w:line="240" w:lineRule="auto"/>
              <w:jc w:val="right"/>
              <w:rPr>
                <w:rFonts w:ascii="Calibri Light" w:eastAsia="Times New Roman" w:hAnsi="Calibri Light" w:cs="Times New Roman"/>
                <w:color w:val="000000"/>
                <w:sz w:val="20"/>
                <w:szCs w:val="20"/>
                <w:lang w:val="ro-RO"/>
              </w:rPr>
            </w:pPr>
            <w:r w:rsidRPr="00E4517B">
              <w:rPr>
                <w:rFonts w:ascii="Calibri Light" w:eastAsia="Times New Roman" w:hAnsi="Calibri Light" w:cs="Times New Roman"/>
                <w:color w:val="000000"/>
                <w:sz w:val="20"/>
                <w:szCs w:val="20"/>
                <w:lang w:val="ro-RO"/>
              </w:rPr>
              <w:t>1.572,4</w:t>
            </w:r>
          </w:p>
        </w:tc>
        <w:tc>
          <w:tcPr>
            <w:tcW w:w="912" w:type="dxa"/>
            <w:tcBorders>
              <w:top w:val="nil"/>
              <w:left w:val="nil"/>
              <w:bottom w:val="single" w:sz="4" w:space="0" w:color="auto"/>
              <w:right w:val="single" w:sz="4" w:space="0" w:color="auto"/>
            </w:tcBorders>
            <w:shd w:val="clear" w:color="auto" w:fill="auto"/>
            <w:noWrap/>
            <w:vAlign w:val="center"/>
            <w:hideMark/>
          </w:tcPr>
          <w:p w:rsidR="00281CBE" w:rsidRPr="00F55BA6" w:rsidRDefault="00281CBE" w:rsidP="00B51730">
            <w:pPr>
              <w:spacing w:after="0" w:line="240" w:lineRule="auto"/>
              <w:jc w:val="right"/>
              <w:rPr>
                <w:rFonts w:ascii="Calibri Light" w:eastAsia="Times New Roman" w:hAnsi="Calibri Light" w:cs="Times New Roman"/>
                <w:color w:val="000000"/>
                <w:sz w:val="20"/>
                <w:szCs w:val="20"/>
                <w:lang w:val="ro-RO"/>
              </w:rPr>
            </w:pPr>
            <w:r w:rsidRPr="00E4517B">
              <w:rPr>
                <w:rFonts w:ascii="Calibri Light" w:eastAsia="Times New Roman" w:hAnsi="Calibri Light" w:cs="Times New Roman"/>
                <w:color w:val="000000"/>
                <w:sz w:val="20"/>
                <w:szCs w:val="20"/>
                <w:lang w:val="ro-RO"/>
              </w:rPr>
              <w:t>604,3</w:t>
            </w:r>
          </w:p>
        </w:tc>
        <w:tc>
          <w:tcPr>
            <w:tcW w:w="985" w:type="dxa"/>
            <w:tcBorders>
              <w:top w:val="nil"/>
              <w:left w:val="nil"/>
              <w:bottom w:val="single" w:sz="4" w:space="0" w:color="auto"/>
              <w:right w:val="single" w:sz="4" w:space="0" w:color="auto"/>
            </w:tcBorders>
            <w:shd w:val="clear" w:color="auto" w:fill="auto"/>
            <w:noWrap/>
            <w:vAlign w:val="center"/>
            <w:hideMark/>
          </w:tcPr>
          <w:p w:rsidR="00281CBE" w:rsidRPr="00F55BA6" w:rsidRDefault="00281CBE" w:rsidP="00B51730">
            <w:pPr>
              <w:spacing w:after="0" w:line="240" w:lineRule="auto"/>
              <w:jc w:val="right"/>
              <w:rPr>
                <w:rFonts w:ascii="Calibri Light" w:eastAsia="Times New Roman" w:hAnsi="Calibri Light" w:cs="Times New Roman"/>
                <w:color w:val="000000"/>
                <w:sz w:val="20"/>
                <w:szCs w:val="20"/>
                <w:lang w:val="ro-RO"/>
              </w:rPr>
            </w:pPr>
            <w:r w:rsidRPr="00E4517B">
              <w:rPr>
                <w:rFonts w:ascii="Calibri Light" w:eastAsia="Times New Roman" w:hAnsi="Calibri Light" w:cs="Times New Roman"/>
                <w:color w:val="000000"/>
                <w:sz w:val="20"/>
                <w:szCs w:val="20"/>
                <w:lang w:val="ro-RO"/>
              </w:rPr>
              <w:t>38,4%</w:t>
            </w:r>
          </w:p>
        </w:tc>
        <w:tc>
          <w:tcPr>
            <w:tcW w:w="871" w:type="dxa"/>
            <w:tcBorders>
              <w:top w:val="nil"/>
              <w:left w:val="nil"/>
              <w:bottom w:val="single" w:sz="4" w:space="0" w:color="auto"/>
              <w:right w:val="single" w:sz="4" w:space="0" w:color="auto"/>
            </w:tcBorders>
            <w:shd w:val="clear" w:color="auto" w:fill="auto"/>
            <w:noWrap/>
            <w:vAlign w:val="center"/>
            <w:hideMark/>
          </w:tcPr>
          <w:p w:rsidR="00281CBE" w:rsidRPr="00F55BA6" w:rsidRDefault="00281CBE" w:rsidP="00B51730">
            <w:pPr>
              <w:spacing w:after="0" w:line="240" w:lineRule="auto"/>
              <w:jc w:val="right"/>
              <w:rPr>
                <w:rFonts w:ascii="Calibri Light" w:eastAsia="Times New Roman" w:hAnsi="Calibri Light" w:cs="Times New Roman"/>
                <w:color w:val="000000"/>
                <w:sz w:val="20"/>
                <w:szCs w:val="20"/>
                <w:lang w:val="ro-RO"/>
              </w:rPr>
            </w:pPr>
            <w:r w:rsidRPr="00E4517B">
              <w:rPr>
                <w:rFonts w:ascii="Calibri Light" w:eastAsia="Times New Roman" w:hAnsi="Calibri Light" w:cs="Times New Roman"/>
                <w:color w:val="000000"/>
                <w:sz w:val="20"/>
                <w:szCs w:val="20"/>
                <w:lang w:val="ro-RO"/>
              </w:rPr>
              <w:t>1.854,1</w:t>
            </w:r>
          </w:p>
        </w:tc>
        <w:tc>
          <w:tcPr>
            <w:tcW w:w="854" w:type="dxa"/>
            <w:tcBorders>
              <w:top w:val="nil"/>
              <w:left w:val="nil"/>
              <w:bottom w:val="single" w:sz="4" w:space="0" w:color="auto"/>
              <w:right w:val="single" w:sz="4" w:space="0" w:color="auto"/>
            </w:tcBorders>
            <w:shd w:val="clear" w:color="auto" w:fill="auto"/>
            <w:noWrap/>
            <w:vAlign w:val="center"/>
            <w:hideMark/>
          </w:tcPr>
          <w:p w:rsidR="00281CBE" w:rsidRPr="00F55BA6" w:rsidRDefault="00281CBE" w:rsidP="00B51730">
            <w:pPr>
              <w:spacing w:after="0" w:line="240" w:lineRule="auto"/>
              <w:jc w:val="right"/>
              <w:rPr>
                <w:rFonts w:ascii="Calibri Light" w:eastAsia="Times New Roman" w:hAnsi="Calibri Light" w:cs="Times New Roman"/>
                <w:color w:val="000000"/>
                <w:sz w:val="20"/>
                <w:szCs w:val="20"/>
                <w:lang w:val="ro-RO"/>
              </w:rPr>
            </w:pPr>
            <w:r w:rsidRPr="00E4517B">
              <w:rPr>
                <w:rFonts w:ascii="Calibri Light" w:eastAsia="Times New Roman" w:hAnsi="Calibri Light" w:cs="Times New Roman"/>
                <w:color w:val="000000"/>
                <w:sz w:val="20"/>
                <w:szCs w:val="20"/>
                <w:lang w:val="ro-RO"/>
              </w:rPr>
              <w:t>1.350,5</w:t>
            </w:r>
          </w:p>
        </w:tc>
        <w:tc>
          <w:tcPr>
            <w:tcW w:w="912" w:type="dxa"/>
            <w:tcBorders>
              <w:top w:val="nil"/>
              <w:left w:val="nil"/>
              <w:bottom w:val="single" w:sz="4" w:space="0" w:color="auto"/>
              <w:right w:val="single" w:sz="4" w:space="0" w:color="auto"/>
            </w:tcBorders>
            <w:shd w:val="clear" w:color="auto" w:fill="auto"/>
            <w:noWrap/>
            <w:vAlign w:val="center"/>
            <w:hideMark/>
          </w:tcPr>
          <w:p w:rsidR="00281CBE" w:rsidRPr="00F55BA6" w:rsidRDefault="00281CBE" w:rsidP="00B51730">
            <w:pPr>
              <w:spacing w:after="0" w:line="240" w:lineRule="auto"/>
              <w:jc w:val="right"/>
              <w:rPr>
                <w:rFonts w:ascii="Calibri Light" w:eastAsia="Times New Roman" w:hAnsi="Calibri Light" w:cs="Times New Roman"/>
                <w:color w:val="000000"/>
                <w:sz w:val="20"/>
                <w:szCs w:val="20"/>
                <w:lang w:val="ro-RO"/>
              </w:rPr>
            </w:pPr>
            <w:r w:rsidRPr="00E4517B">
              <w:rPr>
                <w:rFonts w:ascii="Calibri Light" w:eastAsia="Times New Roman" w:hAnsi="Calibri Light" w:cs="Times New Roman"/>
                <w:color w:val="000000"/>
                <w:sz w:val="20"/>
                <w:szCs w:val="20"/>
                <w:lang w:val="ro-RO"/>
              </w:rPr>
              <w:t>1.074,7</w:t>
            </w:r>
          </w:p>
        </w:tc>
        <w:tc>
          <w:tcPr>
            <w:tcW w:w="985" w:type="dxa"/>
            <w:tcBorders>
              <w:top w:val="nil"/>
              <w:left w:val="nil"/>
              <w:bottom w:val="single" w:sz="4" w:space="0" w:color="auto"/>
              <w:right w:val="single" w:sz="4" w:space="0" w:color="auto"/>
            </w:tcBorders>
            <w:shd w:val="clear" w:color="auto" w:fill="auto"/>
            <w:noWrap/>
            <w:vAlign w:val="center"/>
            <w:hideMark/>
          </w:tcPr>
          <w:p w:rsidR="00281CBE" w:rsidRPr="00F55BA6" w:rsidRDefault="00281CBE" w:rsidP="00B51730">
            <w:pPr>
              <w:spacing w:after="0" w:line="240" w:lineRule="auto"/>
              <w:jc w:val="right"/>
              <w:rPr>
                <w:rFonts w:ascii="Calibri Light" w:eastAsia="Times New Roman" w:hAnsi="Calibri Light" w:cs="Times New Roman"/>
                <w:color w:val="000000"/>
                <w:sz w:val="20"/>
                <w:szCs w:val="20"/>
                <w:lang w:val="ro-RO"/>
              </w:rPr>
            </w:pPr>
            <w:r w:rsidRPr="00E4517B">
              <w:rPr>
                <w:rFonts w:ascii="Calibri Light" w:eastAsia="Times New Roman" w:hAnsi="Calibri Light" w:cs="Times New Roman"/>
                <w:color w:val="000000"/>
                <w:sz w:val="20"/>
                <w:szCs w:val="20"/>
                <w:lang w:val="ro-RO"/>
              </w:rPr>
              <w:t>79,6%</w:t>
            </w:r>
          </w:p>
        </w:tc>
        <w:tc>
          <w:tcPr>
            <w:tcW w:w="871" w:type="dxa"/>
            <w:tcBorders>
              <w:top w:val="nil"/>
              <w:left w:val="nil"/>
              <w:bottom w:val="single" w:sz="4" w:space="0" w:color="auto"/>
              <w:right w:val="single" w:sz="4" w:space="0" w:color="auto"/>
            </w:tcBorders>
            <w:shd w:val="clear" w:color="auto" w:fill="auto"/>
            <w:noWrap/>
            <w:vAlign w:val="center"/>
            <w:hideMark/>
          </w:tcPr>
          <w:p w:rsidR="00281CBE" w:rsidRPr="00F55BA6" w:rsidRDefault="00281CBE" w:rsidP="00B51730">
            <w:pPr>
              <w:spacing w:after="0" w:line="240" w:lineRule="auto"/>
              <w:jc w:val="right"/>
              <w:rPr>
                <w:rFonts w:ascii="Calibri Light" w:eastAsia="Times New Roman" w:hAnsi="Calibri Light" w:cs="Times New Roman"/>
                <w:color w:val="000000"/>
                <w:sz w:val="20"/>
                <w:szCs w:val="20"/>
                <w:lang w:val="ro-RO"/>
              </w:rPr>
            </w:pPr>
            <w:r w:rsidRPr="00E4517B">
              <w:rPr>
                <w:rFonts w:ascii="Calibri Light" w:eastAsia="Times New Roman" w:hAnsi="Calibri Light" w:cs="Times New Roman"/>
                <w:color w:val="000000"/>
                <w:sz w:val="20"/>
                <w:szCs w:val="20"/>
                <w:lang w:val="ro-RO"/>
              </w:rPr>
              <w:t>3.699,6</w:t>
            </w:r>
          </w:p>
        </w:tc>
        <w:tc>
          <w:tcPr>
            <w:tcW w:w="854" w:type="dxa"/>
            <w:tcBorders>
              <w:top w:val="nil"/>
              <w:left w:val="nil"/>
              <w:bottom w:val="single" w:sz="4" w:space="0" w:color="auto"/>
              <w:right w:val="single" w:sz="4" w:space="0" w:color="auto"/>
            </w:tcBorders>
            <w:shd w:val="clear" w:color="auto" w:fill="auto"/>
            <w:noWrap/>
            <w:vAlign w:val="center"/>
            <w:hideMark/>
          </w:tcPr>
          <w:p w:rsidR="00281CBE" w:rsidRPr="00F55BA6" w:rsidRDefault="00281CBE" w:rsidP="00B51730">
            <w:pPr>
              <w:spacing w:after="0" w:line="240" w:lineRule="auto"/>
              <w:jc w:val="right"/>
              <w:rPr>
                <w:rFonts w:ascii="Calibri Light" w:eastAsia="Times New Roman" w:hAnsi="Calibri Light" w:cs="Times New Roman"/>
                <w:color w:val="000000"/>
                <w:sz w:val="20"/>
                <w:szCs w:val="20"/>
                <w:lang w:val="ro-RO"/>
              </w:rPr>
            </w:pPr>
            <w:r w:rsidRPr="00E4517B">
              <w:rPr>
                <w:rFonts w:ascii="Calibri Light" w:eastAsia="Times New Roman" w:hAnsi="Calibri Light" w:cs="Times New Roman"/>
                <w:color w:val="000000"/>
                <w:sz w:val="20"/>
                <w:szCs w:val="20"/>
                <w:lang w:val="ro-RO"/>
              </w:rPr>
              <w:t>1.356,3</w:t>
            </w:r>
          </w:p>
        </w:tc>
        <w:tc>
          <w:tcPr>
            <w:tcW w:w="912" w:type="dxa"/>
            <w:tcBorders>
              <w:top w:val="nil"/>
              <w:left w:val="nil"/>
              <w:bottom w:val="single" w:sz="4" w:space="0" w:color="auto"/>
              <w:right w:val="single" w:sz="4" w:space="0" w:color="auto"/>
            </w:tcBorders>
            <w:shd w:val="clear" w:color="auto" w:fill="auto"/>
            <w:noWrap/>
            <w:vAlign w:val="center"/>
            <w:hideMark/>
          </w:tcPr>
          <w:p w:rsidR="00281CBE" w:rsidRPr="00F55BA6" w:rsidRDefault="00281CBE" w:rsidP="00B51730">
            <w:pPr>
              <w:spacing w:after="0" w:line="240" w:lineRule="auto"/>
              <w:jc w:val="right"/>
              <w:rPr>
                <w:rFonts w:ascii="Calibri Light" w:eastAsia="Times New Roman" w:hAnsi="Calibri Light" w:cs="Times New Roman"/>
                <w:color w:val="000000"/>
                <w:sz w:val="20"/>
                <w:szCs w:val="20"/>
                <w:lang w:val="ro-RO"/>
              </w:rPr>
            </w:pPr>
            <w:r w:rsidRPr="00E4517B">
              <w:rPr>
                <w:rFonts w:ascii="Calibri Light" w:eastAsia="Times New Roman" w:hAnsi="Calibri Light" w:cs="Times New Roman"/>
                <w:color w:val="000000"/>
                <w:sz w:val="20"/>
                <w:szCs w:val="20"/>
                <w:lang w:val="ro-RO"/>
              </w:rPr>
              <w:t>1.331,1</w:t>
            </w:r>
          </w:p>
        </w:tc>
        <w:tc>
          <w:tcPr>
            <w:tcW w:w="985" w:type="dxa"/>
            <w:tcBorders>
              <w:top w:val="nil"/>
              <w:left w:val="nil"/>
              <w:bottom w:val="single" w:sz="4" w:space="0" w:color="auto"/>
              <w:right w:val="single" w:sz="4" w:space="0" w:color="auto"/>
            </w:tcBorders>
            <w:shd w:val="clear" w:color="auto" w:fill="auto"/>
            <w:noWrap/>
            <w:vAlign w:val="center"/>
            <w:hideMark/>
          </w:tcPr>
          <w:p w:rsidR="00281CBE" w:rsidRPr="00F55BA6" w:rsidRDefault="00281CBE" w:rsidP="00B51730">
            <w:pPr>
              <w:spacing w:after="0" w:line="240" w:lineRule="auto"/>
              <w:jc w:val="right"/>
              <w:rPr>
                <w:rFonts w:ascii="Calibri Light" w:eastAsia="Times New Roman" w:hAnsi="Calibri Light" w:cs="Times New Roman"/>
                <w:color w:val="000000"/>
                <w:sz w:val="20"/>
                <w:szCs w:val="20"/>
                <w:lang w:val="ro-RO"/>
              </w:rPr>
            </w:pPr>
            <w:r w:rsidRPr="00F55BA6">
              <w:rPr>
                <w:rFonts w:ascii="Calibri Light" w:eastAsia="Times New Roman" w:hAnsi="Calibri Light" w:cs="Times New Roman"/>
                <w:color w:val="000000"/>
                <w:sz w:val="20"/>
                <w:szCs w:val="20"/>
                <w:lang w:val="ro-RO"/>
              </w:rPr>
              <w:t>36,0%</w:t>
            </w:r>
          </w:p>
        </w:tc>
        <w:tc>
          <w:tcPr>
            <w:tcW w:w="985" w:type="dxa"/>
            <w:tcBorders>
              <w:top w:val="nil"/>
              <w:left w:val="nil"/>
              <w:bottom w:val="single" w:sz="4" w:space="0" w:color="auto"/>
              <w:right w:val="single" w:sz="4" w:space="0" w:color="auto"/>
            </w:tcBorders>
            <w:shd w:val="clear" w:color="auto" w:fill="auto"/>
            <w:noWrap/>
            <w:vAlign w:val="center"/>
            <w:hideMark/>
          </w:tcPr>
          <w:p w:rsidR="00281CBE" w:rsidRPr="00F55BA6" w:rsidRDefault="00281CBE" w:rsidP="00B51730">
            <w:pPr>
              <w:spacing w:after="0" w:line="240" w:lineRule="auto"/>
              <w:jc w:val="right"/>
              <w:rPr>
                <w:rFonts w:ascii="Calibri Light" w:eastAsia="Times New Roman" w:hAnsi="Calibri Light" w:cs="Times New Roman"/>
                <w:color w:val="000000"/>
                <w:sz w:val="20"/>
                <w:szCs w:val="20"/>
                <w:lang w:val="ro-RO"/>
              </w:rPr>
            </w:pPr>
            <w:r w:rsidRPr="00E4517B">
              <w:rPr>
                <w:rFonts w:ascii="Calibri Light" w:eastAsia="Times New Roman" w:hAnsi="Calibri Light" w:cs="Times New Roman"/>
                <w:color w:val="000000"/>
                <w:sz w:val="20"/>
                <w:szCs w:val="20"/>
                <w:lang w:val="ro-RO"/>
              </w:rPr>
              <w:t>98,1</w:t>
            </w:r>
            <w:r w:rsidRPr="00973E5B">
              <w:rPr>
                <w:rFonts w:ascii="Calibri Light" w:eastAsia="Times New Roman" w:hAnsi="Calibri Light" w:cs="Times New Roman"/>
                <w:color w:val="000000"/>
                <w:sz w:val="20"/>
                <w:szCs w:val="20"/>
                <w:lang w:val="ro-RO"/>
              </w:rPr>
              <w:t>%</w:t>
            </w:r>
          </w:p>
        </w:tc>
      </w:tr>
    </w:tbl>
    <w:p w:rsidR="00281CBE" w:rsidRPr="00973E5B" w:rsidRDefault="00281CBE" w:rsidP="00281CBE">
      <w:pPr>
        <w:shd w:val="clear" w:color="auto" w:fill="FFFFFF" w:themeFill="background1"/>
        <w:tabs>
          <w:tab w:val="left" w:pos="284"/>
          <w:tab w:val="left" w:pos="567"/>
          <w:tab w:val="left" w:pos="6237"/>
          <w:tab w:val="left" w:pos="6379"/>
        </w:tabs>
        <w:spacing w:after="0" w:line="276" w:lineRule="auto"/>
        <w:ind w:left="426"/>
        <w:contextualSpacing/>
        <w:rPr>
          <w:rFonts w:asciiTheme="majorHAnsi" w:hAnsiTheme="majorHAnsi" w:cstheme="majorHAnsi"/>
          <w:i/>
          <w:sz w:val="20"/>
          <w:szCs w:val="20"/>
          <w:lang w:val="ro-RO"/>
        </w:rPr>
      </w:pPr>
      <w:r w:rsidRPr="00E4517B">
        <w:rPr>
          <w:rFonts w:asciiTheme="majorHAnsi" w:hAnsiTheme="majorHAnsi" w:cstheme="majorHAnsi"/>
          <w:b/>
          <w:i/>
          <w:sz w:val="20"/>
          <w:szCs w:val="20"/>
          <w:lang w:val="ro-RO"/>
        </w:rPr>
        <w:t>Sursă</w:t>
      </w:r>
      <w:r w:rsidRPr="00973E5B">
        <w:rPr>
          <w:rFonts w:asciiTheme="majorHAnsi" w:hAnsiTheme="majorHAnsi" w:cstheme="majorHAnsi"/>
          <w:i/>
          <w:sz w:val="20"/>
          <w:szCs w:val="20"/>
          <w:lang w:val="ro-RO"/>
        </w:rPr>
        <w:t>: Date generalizate de echipa de audit în baza Rapoartelor Ministerului Finanțelor privind executarea investițiilor capitale de la bugetul de stat pe anii 2017, 2018, 2019.</w:t>
      </w:r>
    </w:p>
    <w:p w:rsidR="00281CBE" w:rsidRPr="009131CF" w:rsidRDefault="00281CBE" w:rsidP="00281CBE">
      <w:pPr>
        <w:spacing w:line="276" w:lineRule="auto"/>
        <w:ind w:firstLine="709"/>
        <w:contextualSpacing/>
        <w:jc w:val="right"/>
        <w:rPr>
          <w:rFonts w:asciiTheme="majorHAnsi" w:eastAsiaTheme="minorEastAsia" w:hAnsiTheme="majorHAnsi" w:cstheme="majorHAnsi"/>
          <w:b/>
          <w:bCs/>
          <w:iCs/>
          <w:sz w:val="24"/>
          <w:szCs w:val="24"/>
          <w:lang w:val="ro-RO" w:eastAsia="ru-RU"/>
        </w:rPr>
      </w:pPr>
    </w:p>
    <w:p w:rsidR="00281CBE" w:rsidRPr="00E4517B" w:rsidRDefault="00281CBE" w:rsidP="00281CBE">
      <w:pPr>
        <w:spacing w:line="276" w:lineRule="auto"/>
        <w:ind w:firstLine="709"/>
        <w:contextualSpacing/>
        <w:jc w:val="right"/>
        <w:rPr>
          <w:rFonts w:asciiTheme="majorHAnsi" w:eastAsia="Times New Roman" w:hAnsiTheme="majorHAnsi" w:cstheme="majorHAnsi"/>
          <w:b/>
          <w:sz w:val="24"/>
          <w:szCs w:val="24"/>
          <w:lang w:val="ro-RO"/>
        </w:rPr>
      </w:pPr>
      <w:r w:rsidRPr="00E4517B">
        <w:rPr>
          <w:rFonts w:asciiTheme="majorHAnsi" w:eastAsia="Times New Roman" w:hAnsiTheme="majorHAnsi" w:cstheme="majorHAnsi"/>
          <w:b/>
          <w:sz w:val="24"/>
          <w:szCs w:val="24"/>
          <w:lang w:val="ro-RO"/>
        </w:rPr>
        <w:t>Anexa nr.7</w:t>
      </w:r>
    </w:p>
    <w:p w:rsidR="00281CBE" w:rsidRPr="00E4517B" w:rsidRDefault="00281CBE" w:rsidP="00281CBE">
      <w:pPr>
        <w:shd w:val="clear" w:color="auto" w:fill="FFFFFF" w:themeFill="background1"/>
        <w:tabs>
          <w:tab w:val="left" w:pos="284"/>
          <w:tab w:val="left" w:pos="993"/>
          <w:tab w:val="left" w:pos="6663"/>
        </w:tabs>
        <w:spacing w:after="0" w:line="276" w:lineRule="auto"/>
        <w:jc w:val="center"/>
        <w:rPr>
          <w:rFonts w:asciiTheme="majorHAnsi" w:eastAsia="Times New Roman" w:hAnsiTheme="majorHAnsi" w:cstheme="majorHAnsi"/>
          <w:b/>
          <w:sz w:val="24"/>
          <w:szCs w:val="24"/>
          <w:lang w:val="ro-RO"/>
        </w:rPr>
      </w:pPr>
      <w:r w:rsidRPr="00E4517B">
        <w:rPr>
          <w:rFonts w:asciiTheme="majorHAnsi" w:eastAsia="Times New Roman" w:hAnsiTheme="majorHAnsi" w:cstheme="majorHAnsi"/>
          <w:b/>
          <w:sz w:val="24"/>
          <w:szCs w:val="24"/>
          <w:lang w:val="ro-RO"/>
        </w:rPr>
        <w:t>Analiza nivelului de executare a investițiilor capitale pe proiecte în anul 2020</w:t>
      </w:r>
    </w:p>
    <w:p w:rsidR="00281CBE" w:rsidRPr="00E4517B" w:rsidRDefault="00281CBE" w:rsidP="00281CBE">
      <w:pPr>
        <w:shd w:val="clear" w:color="auto" w:fill="FFFFFF" w:themeFill="background1"/>
        <w:tabs>
          <w:tab w:val="left" w:pos="284"/>
          <w:tab w:val="left" w:pos="567"/>
          <w:tab w:val="left" w:pos="6237"/>
          <w:tab w:val="left" w:pos="6379"/>
        </w:tabs>
        <w:spacing w:after="0" w:line="276" w:lineRule="auto"/>
        <w:contextualSpacing/>
        <w:jc w:val="right"/>
        <w:rPr>
          <w:rFonts w:asciiTheme="majorHAnsi" w:eastAsia="Times New Roman" w:hAnsiTheme="majorHAnsi" w:cstheme="majorHAnsi"/>
          <w:b/>
          <w:sz w:val="24"/>
          <w:szCs w:val="24"/>
          <w:lang w:val="ro-RO"/>
        </w:rPr>
      </w:pPr>
      <w:r w:rsidRPr="00E4517B">
        <w:rPr>
          <w:rFonts w:asciiTheme="majorHAnsi" w:eastAsia="Times New Roman" w:hAnsiTheme="majorHAnsi" w:cstheme="majorHAnsi"/>
          <w:b/>
          <w:sz w:val="24"/>
          <w:szCs w:val="24"/>
          <w:lang w:val="ro-RO"/>
        </w:rPr>
        <w:t>(mii lei)</w:t>
      </w:r>
    </w:p>
    <w:tbl>
      <w:tblPr>
        <w:tblW w:w="15276" w:type="dxa"/>
        <w:tblInd w:w="-431" w:type="dxa"/>
        <w:tblLook w:val="04A0" w:firstRow="1" w:lastRow="0" w:firstColumn="1" w:lastColumn="0" w:noHBand="0" w:noVBand="1"/>
      </w:tblPr>
      <w:tblGrid>
        <w:gridCol w:w="581"/>
        <w:gridCol w:w="8492"/>
        <w:gridCol w:w="1175"/>
        <w:gridCol w:w="1175"/>
        <w:gridCol w:w="1175"/>
        <w:gridCol w:w="1402"/>
        <w:gridCol w:w="1276"/>
      </w:tblGrid>
      <w:tr w:rsidR="00281CBE" w:rsidRPr="00E4517B" w:rsidTr="00281CBE">
        <w:trPr>
          <w:trHeight w:val="555"/>
        </w:trPr>
        <w:tc>
          <w:tcPr>
            <w:tcW w:w="581" w:type="dxa"/>
            <w:tcBorders>
              <w:top w:val="single" w:sz="4" w:space="0" w:color="auto"/>
              <w:left w:val="single" w:sz="4" w:space="0" w:color="auto"/>
              <w:bottom w:val="single" w:sz="4" w:space="0" w:color="auto"/>
              <w:right w:val="single" w:sz="4" w:space="0" w:color="auto"/>
            </w:tcBorders>
            <w:noWrap/>
            <w:vAlign w:val="center"/>
            <w:hideMark/>
          </w:tcPr>
          <w:p w:rsidR="00281CBE" w:rsidRPr="00F55BA6" w:rsidRDefault="00281CBE"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N/o</w:t>
            </w:r>
          </w:p>
        </w:tc>
        <w:tc>
          <w:tcPr>
            <w:tcW w:w="8492" w:type="dxa"/>
            <w:tcBorders>
              <w:top w:val="single" w:sz="4" w:space="0" w:color="auto"/>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Denumirea proiectului</w:t>
            </w:r>
          </w:p>
        </w:tc>
        <w:tc>
          <w:tcPr>
            <w:tcW w:w="1175" w:type="dxa"/>
            <w:tcBorders>
              <w:top w:val="single" w:sz="4" w:space="0" w:color="auto"/>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Aprobat*</w:t>
            </w:r>
          </w:p>
        </w:tc>
        <w:tc>
          <w:tcPr>
            <w:tcW w:w="1175" w:type="dxa"/>
            <w:tcBorders>
              <w:top w:val="single" w:sz="4" w:space="0" w:color="auto"/>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Precizat</w:t>
            </w:r>
          </w:p>
        </w:tc>
        <w:tc>
          <w:tcPr>
            <w:tcW w:w="1175" w:type="dxa"/>
            <w:tcBorders>
              <w:top w:val="single" w:sz="4" w:space="0" w:color="auto"/>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Executat</w:t>
            </w:r>
          </w:p>
        </w:tc>
        <w:tc>
          <w:tcPr>
            <w:tcW w:w="1402" w:type="dxa"/>
            <w:tcBorders>
              <w:top w:val="single" w:sz="4" w:space="0" w:color="auto"/>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ind w:left="-128" w:right="-104"/>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Executat față de Aprobat (%)</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ind w:left="-105" w:right="-104"/>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Executat față de Precizat (%)</w:t>
            </w:r>
          </w:p>
        </w:tc>
      </w:tr>
      <w:tr w:rsidR="00281CBE" w:rsidRPr="00E4517B" w:rsidTr="00281CBE">
        <w:trPr>
          <w:trHeight w:val="300"/>
        </w:trPr>
        <w:tc>
          <w:tcPr>
            <w:tcW w:w="581" w:type="dxa"/>
            <w:tcBorders>
              <w:top w:val="nil"/>
              <w:left w:val="single" w:sz="4" w:space="0" w:color="auto"/>
              <w:bottom w:val="single" w:sz="4" w:space="0" w:color="auto"/>
              <w:right w:val="single" w:sz="4" w:space="0" w:color="auto"/>
            </w:tcBorders>
            <w:noWrap/>
            <w:vAlign w:val="center"/>
            <w:hideMark/>
          </w:tcPr>
          <w:p w:rsidR="00281CBE" w:rsidRPr="00F55BA6" w:rsidRDefault="00281CBE" w:rsidP="00B51730">
            <w:pPr>
              <w:spacing w:after="0" w:line="240" w:lineRule="auto"/>
              <w:jc w:val="center"/>
              <w:rPr>
                <w:rFonts w:asciiTheme="majorHAnsi" w:eastAsia="Times New Roman" w:hAnsiTheme="majorHAnsi" w:cstheme="majorHAnsi"/>
                <w:i/>
                <w:iCs/>
                <w:color w:val="000000"/>
                <w:sz w:val="20"/>
                <w:szCs w:val="20"/>
                <w:lang w:val="ro-RO"/>
              </w:rPr>
            </w:pPr>
            <w:r w:rsidRPr="00F55BA6">
              <w:rPr>
                <w:rFonts w:asciiTheme="majorHAnsi" w:eastAsia="Times New Roman" w:hAnsiTheme="majorHAnsi" w:cstheme="majorHAnsi"/>
                <w:i/>
                <w:iCs/>
                <w:color w:val="000000"/>
                <w:sz w:val="20"/>
                <w:szCs w:val="20"/>
                <w:lang w:val="ro-RO"/>
              </w:rPr>
              <w:t>1</w:t>
            </w:r>
          </w:p>
        </w:tc>
        <w:tc>
          <w:tcPr>
            <w:tcW w:w="8492" w:type="dxa"/>
            <w:tcBorders>
              <w:top w:val="nil"/>
              <w:left w:val="single" w:sz="4" w:space="0" w:color="auto"/>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i/>
                <w:iCs/>
                <w:color w:val="000000"/>
                <w:sz w:val="20"/>
                <w:szCs w:val="20"/>
                <w:lang w:val="ro-RO"/>
              </w:rPr>
            </w:pPr>
            <w:r w:rsidRPr="00F55BA6">
              <w:rPr>
                <w:rFonts w:asciiTheme="majorHAnsi" w:eastAsia="Times New Roman" w:hAnsiTheme="majorHAnsi" w:cstheme="majorHAnsi"/>
                <w:i/>
                <w:iCs/>
                <w:color w:val="000000"/>
                <w:sz w:val="20"/>
                <w:szCs w:val="20"/>
                <w:lang w:val="ro-RO"/>
              </w:rPr>
              <w:t>2</w:t>
            </w:r>
          </w:p>
        </w:tc>
        <w:tc>
          <w:tcPr>
            <w:tcW w:w="1175"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i/>
                <w:iCs/>
                <w:color w:val="000000"/>
                <w:sz w:val="20"/>
                <w:szCs w:val="20"/>
                <w:lang w:val="ro-RO"/>
              </w:rPr>
            </w:pPr>
            <w:r w:rsidRPr="00F55BA6">
              <w:rPr>
                <w:rFonts w:asciiTheme="majorHAnsi" w:eastAsia="Times New Roman" w:hAnsiTheme="majorHAnsi" w:cstheme="majorHAnsi"/>
                <w:i/>
                <w:iCs/>
                <w:color w:val="000000"/>
                <w:sz w:val="20"/>
                <w:szCs w:val="20"/>
                <w:lang w:val="ro-RO"/>
              </w:rPr>
              <w:t>3</w:t>
            </w:r>
          </w:p>
        </w:tc>
        <w:tc>
          <w:tcPr>
            <w:tcW w:w="1175"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i/>
                <w:iCs/>
                <w:color w:val="000000"/>
                <w:sz w:val="20"/>
                <w:szCs w:val="20"/>
                <w:lang w:val="ro-RO"/>
              </w:rPr>
            </w:pPr>
            <w:r w:rsidRPr="00F55BA6">
              <w:rPr>
                <w:rFonts w:asciiTheme="majorHAnsi" w:eastAsia="Times New Roman" w:hAnsiTheme="majorHAnsi" w:cstheme="majorHAnsi"/>
                <w:i/>
                <w:iCs/>
                <w:color w:val="000000"/>
                <w:sz w:val="20"/>
                <w:szCs w:val="20"/>
                <w:lang w:val="ro-RO"/>
              </w:rPr>
              <w:t>4</w:t>
            </w:r>
          </w:p>
        </w:tc>
        <w:tc>
          <w:tcPr>
            <w:tcW w:w="1175"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i/>
                <w:iCs/>
                <w:color w:val="000000"/>
                <w:sz w:val="20"/>
                <w:szCs w:val="20"/>
                <w:lang w:val="ro-RO"/>
              </w:rPr>
            </w:pPr>
            <w:r w:rsidRPr="00F55BA6">
              <w:rPr>
                <w:rFonts w:asciiTheme="majorHAnsi" w:eastAsia="Times New Roman" w:hAnsiTheme="majorHAnsi" w:cstheme="majorHAnsi"/>
                <w:i/>
                <w:iCs/>
                <w:color w:val="000000"/>
                <w:sz w:val="20"/>
                <w:szCs w:val="20"/>
                <w:lang w:val="ro-RO"/>
              </w:rPr>
              <w:t>5</w:t>
            </w:r>
          </w:p>
        </w:tc>
        <w:tc>
          <w:tcPr>
            <w:tcW w:w="1402"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i/>
                <w:iCs/>
                <w:color w:val="000000"/>
                <w:sz w:val="20"/>
                <w:szCs w:val="20"/>
                <w:lang w:val="ro-RO"/>
              </w:rPr>
            </w:pPr>
            <w:r w:rsidRPr="00F55BA6">
              <w:rPr>
                <w:rFonts w:asciiTheme="majorHAnsi" w:eastAsia="Times New Roman" w:hAnsiTheme="majorHAnsi" w:cstheme="majorHAnsi"/>
                <w:i/>
                <w:iCs/>
                <w:color w:val="000000"/>
                <w:sz w:val="20"/>
                <w:szCs w:val="20"/>
                <w:lang w:val="ro-RO"/>
              </w:rPr>
              <w:t>6=5/3*100</w:t>
            </w:r>
          </w:p>
        </w:tc>
        <w:tc>
          <w:tcPr>
            <w:tcW w:w="1276"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i/>
                <w:iCs/>
                <w:color w:val="000000"/>
                <w:sz w:val="20"/>
                <w:szCs w:val="20"/>
                <w:lang w:val="ro-RO"/>
              </w:rPr>
            </w:pPr>
            <w:r w:rsidRPr="00F55BA6">
              <w:rPr>
                <w:rFonts w:asciiTheme="majorHAnsi" w:eastAsia="Times New Roman" w:hAnsiTheme="majorHAnsi" w:cstheme="majorHAnsi"/>
                <w:i/>
                <w:iCs/>
                <w:color w:val="000000"/>
                <w:sz w:val="20"/>
                <w:szCs w:val="20"/>
                <w:lang w:val="ro-RO"/>
              </w:rPr>
              <w:t>7=5/4*100</w:t>
            </w:r>
          </w:p>
        </w:tc>
      </w:tr>
      <w:tr w:rsidR="00281CBE" w:rsidRPr="00E4517B" w:rsidTr="00281CBE">
        <w:trPr>
          <w:trHeight w:val="300"/>
        </w:trPr>
        <w:tc>
          <w:tcPr>
            <w:tcW w:w="581" w:type="dxa"/>
            <w:tcBorders>
              <w:top w:val="nil"/>
              <w:left w:val="single" w:sz="4" w:space="0" w:color="auto"/>
              <w:bottom w:val="single" w:sz="4" w:space="0" w:color="auto"/>
              <w:right w:val="single" w:sz="4" w:space="0" w:color="auto"/>
            </w:tcBorders>
            <w:shd w:val="clear" w:color="auto" w:fill="222B35"/>
            <w:noWrap/>
            <w:vAlign w:val="center"/>
            <w:hideMark/>
          </w:tcPr>
          <w:p w:rsidR="00281CBE" w:rsidRPr="00F55BA6" w:rsidRDefault="00281CBE" w:rsidP="00B51730">
            <w:pPr>
              <w:spacing w:after="0" w:line="240" w:lineRule="auto"/>
              <w:jc w:val="center"/>
              <w:rPr>
                <w:rFonts w:asciiTheme="majorHAnsi" w:eastAsia="Times New Roman" w:hAnsiTheme="majorHAnsi" w:cstheme="majorHAnsi"/>
                <w:b/>
                <w:bCs/>
                <w:color w:val="FFFFFF"/>
                <w:sz w:val="20"/>
                <w:szCs w:val="20"/>
                <w:lang w:val="ro-RO"/>
              </w:rPr>
            </w:pPr>
            <w:r w:rsidRPr="00F55BA6">
              <w:rPr>
                <w:rFonts w:asciiTheme="majorHAnsi" w:eastAsia="Times New Roman" w:hAnsiTheme="majorHAnsi" w:cstheme="majorHAnsi"/>
                <w:b/>
                <w:bCs/>
                <w:color w:val="FFFFFF"/>
                <w:sz w:val="20"/>
                <w:szCs w:val="20"/>
                <w:lang w:val="ro-RO"/>
              </w:rPr>
              <w:t> </w:t>
            </w:r>
          </w:p>
        </w:tc>
        <w:tc>
          <w:tcPr>
            <w:tcW w:w="8492" w:type="dxa"/>
            <w:tcBorders>
              <w:top w:val="nil"/>
              <w:left w:val="single" w:sz="4" w:space="0" w:color="auto"/>
              <w:bottom w:val="single" w:sz="4" w:space="0" w:color="auto"/>
              <w:right w:val="single" w:sz="4" w:space="0" w:color="auto"/>
            </w:tcBorders>
            <w:shd w:val="clear" w:color="auto" w:fill="222B35"/>
            <w:vAlign w:val="center"/>
            <w:hideMark/>
          </w:tcPr>
          <w:p w:rsidR="00281CBE" w:rsidRPr="00F55BA6" w:rsidRDefault="00281CBE" w:rsidP="00B51730">
            <w:pPr>
              <w:spacing w:after="0" w:line="240" w:lineRule="auto"/>
              <w:jc w:val="left"/>
              <w:rPr>
                <w:rFonts w:asciiTheme="majorHAnsi" w:eastAsia="Times New Roman" w:hAnsiTheme="majorHAnsi" w:cstheme="majorHAnsi"/>
                <w:b/>
                <w:bCs/>
                <w:color w:val="FFFFFF"/>
                <w:sz w:val="20"/>
                <w:szCs w:val="20"/>
                <w:lang w:val="ro-RO"/>
              </w:rPr>
            </w:pPr>
            <w:r w:rsidRPr="00F55BA6">
              <w:rPr>
                <w:rFonts w:asciiTheme="majorHAnsi" w:eastAsia="Times New Roman" w:hAnsiTheme="majorHAnsi" w:cstheme="majorHAnsi"/>
                <w:b/>
                <w:bCs/>
                <w:color w:val="FFFFFF"/>
                <w:sz w:val="20"/>
                <w:szCs w:val="20"/>
                <w:lang w:val="ro-RO"/>
              </w:rPr>
              <w:t>TOTAL - 70 proiecte</w:t>
            </w:r>
          </w:p>
        </w:tc>
        <w:tc>
          <w:tcPr>
            <w:tcW w:w="1175" w:type="dxa"/>
            <w:tcBorders>
              <w:top w:val="nil"/>
              <w:left w:val="nil"/>
              <w:bottom w:val="single" w:sz="4" w:space="0" w:color="auto"/>
              <w:right w:val="single" w:sz="4" w:space="0" w:color="auto"/>
            </w:tcBorders>
            <w:shd w:val="clear" w:color="auto" w:fill="222B35"/>
            <w:vAlign w:val="center"/>
            <w:hideMark/>
          </w:tcPr>
          <w:p w:rsidR="00281CBE" w:rsidRPr="00F55BA6" w:rsidRDefault="00281CBE" w:rsidP="00B51730">
            <w:pPr>
              <w:spacing w:after="0" w:line="240" w:lineRule="auto"/>
              <w:jc w:val="right"/>
              <w:rPr>
                <w:rFonts w:asciiTheme="majorHAnsi" w:eastAsia="Times New Roman" w:hAnsiTheme="majorHAnsi" w:cstheme="majorHAnsi"/>
                <w:b/>
                <w:bCs/>
                <w:color w:val="FFFFFF"/>
                <w:sz w:val="20"/>
                <w:szCs w:val="20"/>
                <w:lang w:val="ro-RO"/>
              </w:rPr>
            </w:pPr>
            <w:r w:rsidRPr="00F55BA6">
              <w:rPr>
                <w:rFonts w:asciiTheme="majorHAnsi" w:eastAsia="Times New Roman" w:hAnsiTheme="majorHAnsi" w:cstheme="majorHAnsi"/>
                <w:b/>
                <w:bCs/>
                <w:color w:val="FFFFFF"/>
                <w:sz w:val="20"/>
                <w:szCs w:val="20"/>
                <w:lang w:val="ro-RO"/>
              </w:rPr>
              <w:t>2.108.977,9</w:t>
            </w:r>
          </w:p>
        </w:tc>
        <w:tc>
          <w:tcPr>
            <w:tcW w:w="1175" w:type="dxa"/>
            <w:tcBorders>
              <w:top w:val="nil"/>
              <w:left w:val="nil"/>
              <w:bottom w:val="single" w:sz="4" w:space="0" w:color="auto"/>
              <w:right w:val="single" w:sz="4" w:space="0" w:color="auto"/>
            </w:tcBorders>
            <w:shd w:val="clear" w:color="auto" w:fill="222B35"/>
            <w:vAlign w:val="center"/>
            <w:hideMark/>
          </w:tcPr>
          <w:p w:rsidR="00281CBE" w:rsidRPr="00F55BA6" w:rsidRDefault="00281CBE" w:rsidP="00B51730">
            <w:pPr>
              <w:spacing w:after="0" w:line="240" w:lineRule="auto"/>
              <w:jc w:val="right"/>
              <w:rPr>
                <w:rFonts w:asciiTheme="majorHAnsi" w:eastAsia="Times New Roman" w:hAnsiTheme="majorHAnsi" w:cstheme="majorHAnsi"/>
                <w:b/>
                <w:bCs/>
                <w:color w:val="FFFFFF"/>
                <w:sz w:val="20"/>
                <w:szCs w:val="20"/>
                <w:lang w:val="ro-RO"/>
              </w:rPr>
            </w:pPr>
            <w:r w:rsidRPr="00F55BA6">
              <w:rPr>
                <w:rFonts w:asciiTheme="majorHAnsi" w:eastAsia="Times New Roman" w:hAnsiTheme="majorHAnsi" w:cstheme="majorHAnsi"/>
                <w:b/>
                <w:bCs/>
                <w:color w:val="FFFFFF"/>
                <w:sz w:val="20"/>
                <w:szCs w:val="20"/>
                <w:lang w:val="ro-RO"/>
              </w:rPr>
              <w:t>1.598.736,1</w:t>
            </w:r>
          </w:p>
        </w:tc>
        <w:tc>
          <w:tcPr>
            <w:tcW w:w="1175" w:type="dxa"/>
            <w:tcBorders>
              <w:top w:val="nil"/>
              <w:left w:val="nil"/>
              <w:bottom w:val="single" w:sz="4" w:space="0" w:color="auto"/>
              <w:right w:val="single" w:sz="4" w:space="0" w:color="auto"/>
            </w:tcBorders>
            <w:shd w:val="clear" w:color="auto" w:fill="222B35"/>
            <w:vAlign w:val="center"/>
            <w:hideMark/>
          </w:tcPr>
          <w:p w:rsidR="00281CBE" w:rsidRPr="00F55BA6" w:rsidRDefault="00281CBE" w:rsidP="00B51730">
            <w:pPr>
              <w:spacing w:after="0" w:line="240" w:lineRule="auto"/>
              <w:jc w:val="right"/>
              <w:rPr>
                <w:rFonts w:asciiTheme="majorHAnsi" w:eastAsia="Times New Roman" w:hAnsiTheme="majorHAnsi" w:cstheme="majorHAnsi"/>
                <w:b/>
                <w:bCs/>
                <w:color w:val="FFFFFF"/>
                <w:sz w:val="20"/>
                <w:szCs w:val="20"/>
                <w:lang w:val="ro-RO"/>
              </w:rPr>
            </w:pPr>
            <w:r w:rsidRPr="00F55BA6">
              <w:rPr>
                <w:rFonts w:asciiTheme="majorHAnsi" w:eastAsia="Times New Roman" w:hAnsiTheme="majorHAnsi" w:cstheme="majorHAnsi"/>
                <w:b/>
                <w:bCs/>
                <w:color w:val="FFFFFF"/>
                <w:sz w:val="20"/>
                <w:szCs w:val="20"/>
                <w:lang w:val="ro-RO"/>
              </w:rPr>
              <w:t>1.524.229,4</w:t>
            </w:r>
          </w:p>
        </w:tc>
        <w:tc>
          <w:tcPr>
            <w:tcW w:w="1402" w:type="dxa"/>
            <w:tcBorders>
              <w:top w:val="nil"/>
              <w:left w:val="nil"/>
              <w:bottom w:val="single" w:sz="4" w:space="0" w:color="auto"/>
              <w:right w:val="single" w:sz="4" w:space="0" w:color="auto"/>
            </w:tcBorders>
            <w:shd w:val="clear" w:color="auto" w:fill="222B35"/>
            <w:vAlign w:val="center"/>
            <w:hideMark/>
          </w:tcPr>
          <w:p w:rsidR="00281CBE" w:rsidRPr="00F55BA6" w:rsidRDefault="00281CBE" w:rsidP="00B51730">
            <w:pPr>
              <w:spacing w:after="0" w:line="240" w:lineRule="auto"/>
              <w:jc w:val="center"/>
              <w:rPr>
                <w:rFonts w:asciiTheme="majorHAnsi" w:eastAsia="Times New Roman" w:hAnsiTheme="majorHAnsi" w:cstheme="majorHAnsi"/>
                <w:b/>
                <w:bCs/>
                <w:color w:val="FFFFFF"/>
                <w:sz w:val="20"/>
                <w:szCs w:val="20"/>
                <w:lang w:val="ro-RO"/>
              </w:rPr>
            </w:pPr>
            <w:r w:rsidRPr="00F55BA6">
              <w:rPr>
                <w:rFonts w:asciiTheme="majorHAnsi" w:eastAsia="Times New Roman" w:hAnsiTheme="majorHAnsi" w:cstheme="majorHAnsi"/>
                <w:b/>
                <w:bCs/>
                <w:color w:val="FFFFFF"/>
                <w:sz w:val="20"/>
                <w:szCs w:val="20"/>
                <w:lang w:val="ro-RO"/>
              </w:rPr>
              <w:t>72,3</w:t>
            </w:r>
          </w:p>
        </w:tc>
        <w:tc>
          <w:tcPr>
            <w:tcW w:w="1276" w:type="dxa"/>
            <w:tcBorders>
              <w:top w:val="nil"/>
              <w:left w:val="nil"/>
              <w:bottom w:val="single" w:sz="4" w:space="0" w:color="auto"/>
              <w:right w:val="single" w:sz="4" w:space="0" w:color="auto"/>
            </w:tcBorders>
            <w:shd w:val="clear" w:color="auto" w:fill="222B35"/>
            <w:vAlign w:val="center"/>
            <w:hideMark/>
          </w:tcPr>
          <w:p w:rsidR="00281CBE" w:rsidRPr="00F55BA6" w:rsidRDefault="00281CBE" w:rsidP="00B51730">
            <w:pPr>
              <w:spacing w:after="0" w:line="240" w:lineRule="auto"/>
              <w:jc w:val="center"/>
              <w:rPr>
                <w:rFonts w:asciiTheme="majorHAnsi" w:eastAsia="Times New Roman" w:hAnsiTheme="majorHAnsi" w:cstheme="majorHAnsi"/>
                <w:b/>
                <w:bCs/>
                <w:color w:val="FFFFFF"/>
                <w:sz w:val="20"/>
                <w:szCs w:val="20"/>
                <w:lang w:val="ro-RO"/>
              </w:rPr>
            </w:pPr>
            <w:r w:rsidRPr="00F55BA6">
              <w:rPr>
                <w:rFonts w:asciiTheme="majorHAnsi" w:eastAsia="Times New Roman" w:hAnsiTheme="majorHAnsi" w:cstheme="majorHAnsi"/>
                <w:b/>
                <w:bCs/>
                <w:color w:val="FFFFFF"/>
                <w:sz w:val="20"/>
                <w:szCs w:val="20"/>
                <w:lang w:val="ro-RO"/>
              </w:rPr>
              <w:t>95,3</w:t>
            </w:r>
          </w:p>
        </w:tc>
      </w:tr>
      <w:tr w:rsidR="00281CBE" w:rsidRPr="00E4517B" w:rsidTr="00281CBE">
        <w:trPr>
          <w:trHeight w:val="300"/>
        </w:trPr>
        <w:tc>
          <w:tcPr>
            <w:tcW w:w="581" w:type="dxa"/>
            <w:tcBorders>
              <w:top w:val="nil"/>
              <w:left w:val="single" w:sz="4" w:space="0" w:color="auto"/>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 </w:t>
            </w:r>
          </w:p>
        </w:tc>
        <w:tc>
          <w:tcPr>
            <w:tcW w:w="8492" w:type="dxa"/>
            <w:tcBorders>
              <w:top w:val="nil"/>
              <w:left w:val="nil"/>
              <w:bottom w:val="single" w:sz="4" w:space="0" w:color="auto"/>
              <w:right w:val="single" w:sz="4" w:space="0" w:color="auto"/>
            </w:tcBorders>
            <w:vAlign w:val="center"/>
            <w:hideMark/>
          </w:tcPr>
          <w:p w:rsidR="00281CBE" w:rsidRPr="00F55BA6" w:rsidRDefault="00281CBE"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Proiectul „Susținerea Programului în sectorul drumurilor”</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1.191.073,5</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834.273,5</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910.428,6</w:t>
            </w:r>
          </w:p>
        </w:tc>
        <w:tc>
          <w:tcPr>
            <w:tcW w:w="1402"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76,4</w:t>
            </w:r>
          </w:p>
        </w:tc>
        <w:tc>
          <w:tcPr>
            <w:tcW w:w="1276" w:type="dxa"/>
            <w:tcBorders>
              <w:top w:val="nil"/>
              <w:left w:val="nil"/>
              <w:bottom w:val="single" w:sz="4" w:space="0" w:color="auto"/>
              <w:right w:val="single" w:sz="4" w:space="0" w:color="auto"/>
            </w:tcBorders>
            <w:shd w:val="clear" w:color="auto" w:fill="FFC000"/>
            <w:vAlign w:val="center"/>
            <w:hideMark/>
          </w:tcPr>
          <w:p w:rsidR="00281CBE" w:rsidRPr="00F55BA6" w:rsidRDefault="00281CBE"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109,1</w:t>
            </w:r>
          </w:p>
        </w:tc>
      </w:tr>
      <w:tr w:rsidR="00281CBE" w:rsidRPr="00E4517B" w:rsidTr="00281CBE">
        <w:trPr>
          <w:trHeight w:val="300"/>
        </w:trPr>
        <w:tc>
          <w:tcPr>
            <w:tcW w:w="581" w:type="dxa"/>
            <w:tcBorders>
              <w:top w:val="nil"/>
              <w:left w:val="single" w:sz="4" w:space="0" w:color="auto"/>
              <w:bottom w:val="single" w:sz="4" w:space="0" w:color="auto"/>
              <w:right w:val="single" w:sz="4" w:space="0" w:color="auto"/>
            </w:tcBorders>
            <w:shd w:val="clear" w:color="auto" w:fill="F8CBAD"/>
            <w:noWrap/>
            <w:vAlign w:val="center"/>
            <w:hideMark/>
          </w:tcPr>
          <w:p w:rsidR="00281CBE" w:rsidRPr="00F55BA6" w:rsidRDefault="00281CBE"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 </w:t>
            </w:r>
          </w:p>
        </w:tc>
        <w:tc>
          <w:tcPr>
            <w:tcW w:w="8492" w:type="dxa"/>
            <w:tcBorders>
              <w:top w:val="nil"/>
              <w:left w:val="single" w:sz="4" w:space="0" w:color="auto"/>
              <w:bottom w:val="single" w:sz="4" w:space="0" w:color="auto"/>
              <w:right w:val="single" w:sz="4" w:space="0" w:color="auto"/>
            </w:tcBorders>
            <w:shd w:val="clear" w:color="auto" w:fill="F8CBAD"/>
            <w:vAlign w:val="center"/>
            <w:hideMark/>
          </w:tcPr>
          <w:p w:rsidR="00281CBE" w:rsidRPr="00F55BA6" w:rsidRDefault="00281CBE" w:rsidP="00B51730">
            <w:pPr>
              <w:spacing w:after="0" w:line="240" w:lineRule="auto"/>
              <w:jc w:val="left"/>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Total cu executare 0,0%-100% - 69 proiecte</w:t>
            </w:r>
          </w:p>
        </w:tc>
        <w:tc>
          <w:tcPr>
            <w:tcW w:w="1175" w:type="dxa"/>
            <w:tcBorders>
              <w:top w:val="nil"/>
              <w:left w:val="nil"/>
              <w:bottom w:val="single" w:sz="4" w:space="0" w:color="auto"/>
              <w:right w:val="single" w:sz="4" w:space="0" w:color="auto"/>
            </w:tcBorders>
            <w:shd w:val="clear" w:color="auto" w:fill="F8CBAD"/>
            <w:noWrap/>
            <w:vAlign w:val="center"/>
            <w:hideMark/>
          </w:tcPr>
          <w:p w:rsidR="00281CBE" w:rsidRPr="00F55BA6" w:rsidRDefault="00281CBE" w:rsidP="00B51730">
            <w:pPr>
              <w:spacing w:after="0" w:line="240" w:lineRule="auto"/>
              <w:jc w:val="right"/>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917.904,4</w:t>
            </w:r>
          </w:p>
        </w:tc>
        <w:tc>
          <w:tcPr>
            <w:tcW w:w="1175" w:type="dxa"/>
            <w:tcBorders>
              <w:top w:val="nil"/>
              <w:left w:val="nil"/>
              <w:bottom w:val="single" w:sz="4" w:space="0" w:color="auto"/>
              <w:right w:val="single" w:sz="4" w:space="0" w:color="auto"/>
            </w:tcBorders>
            <w:shd w:val="clear" w:color="auto" w:fill="F8CBAD"/>
            <w:noWrap/>
            <w:vAlign w:val="center"/>
            <w:hideMark/>
          </w:tcPr>
          <w:p w:rsidR="00281CBE" w:rsidRPr="00F55BA6" w:rsidRDefault="00281CBE" w:rsidP="00B51730">
            <w:pPr>
              <w:spacing w:after="0" w:line="240" w:lineRule="auto"/>
              <w:jc w:val="right"/>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764.462,6</w:t>
            </w:r>
          </w:p>
        </w:tc>
        <w:tc>
          <w:tcPr>
            <w:tcW w:w="1175" w:type="dxa"/>
            <w:tcBorders>
              <w:top w:val="nil"/>
              <w:left w:val="nil"/>
              <w:bottom w:val="single" w:sz="4" w:space="0" w:color="auto"/>
              <w:right w:val="single" w:sz="4" w:space="0" w:color="auto"/>
            </w:tcBorders>
            <w:shd w:val="clear" w:color="auto" w:fill="F8CBAD"/>
            <w:noWrap/>
            <w:vAlign w:val="center"/>
            <w:hideMark/>
          </w:tcPr>
          <w:p w:rsidR="00281CBE" w:rsidRPr="00F55BA6" w:rsidRDefault="00281CBE" w:rsidP="00B51730">
            <w:pPr>
              <w:spacing w:after="0" w:line="240" w:lineRule="auto"/>
              <w:jc w:val="right"/>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613.800,8</w:t>
            </w:r>
          </w:p>
        </w:tc>
        <w:tc>
          <w:tcPr>
            <w:tcW w:w="1402" w:type="dxa"/>
            <w:tcBorders>
              <w:top w:val="nil"/>
              <w:left w:val="nil"/>
              <w:bottom w:val="single" w:sz="4" w:space="0" w:color="auto"/>
              <w:right w:val="single" w:sz="4" w:space="0" w:color="auto"/>
            </w:tcBorders>
            <w:shd w:val="clear" w:color="auto" w:fill="F8CBAD"/>
            <w:vAlign w:val="center"/>
            <w:hideMark/>
          </w:tcPr>
          <w:p w:rsidR="00281CBE" w:rsidRPr="00F55BA6" w:rsidRDefault="00281CBE" w:rsidP="00B51730">
            <w:pPr>
              <w:spacing w:after="0" w:line="240" w:lineRule="auto"/>
              <w:jc w:val="center"/>
              <w:rPr>
                <w:rFonts w:asciiTheme="majorHAnsi" w:eastAsia="Times New Roman" w:hAnsiTheme="majorHAnsi" w:cstheme="majorHAnsi"/>
                <w:b/>
                <w:bCs/>
                <w:sz w:val="20"/>
                <w:szCs w:val="20"/>
                <w:lang w:val="ro-RO"/>
              </w:rPr>
            </w:pPr>
            <w:r w:rsidRPr="00F55BA6">
              <w:rPr>
                <w:rFonts w:asciiTheme="majorHAnsi" w:eastAsia="Times New Roman" w:hAnsiTheme="majorHAnsi" w:cstheme="majorHAnsi"/>
                <w:b/>
                <w:bCs/>
                <w:sz w:val="20"/>
                <w:szCs w:val="20"/>
                <w:lang w:val="ro-RO"/>
              </w:rPr>
              <w:t>66,9</w:t>
            </w:r>
          </w:p>
        </w:tc>
        <w:tc>
          <w:tcPr>
            <w:tcW w:w="1276" w:type="dxa"/>
            <w:tcBorders>
              <w:top w:val="nil"/>
              <w:left w:val="nil"/>
              <w:bottom w:val="single" w:sz="4" w:space="0" w:color="auto"/>
              <w:right w:val="single" w:sz="4" w:space="0" w:color="auto"/>
            </w:tcBorders>
            <w:shd w:val="clear" w:color="auto" w:fill="F8CBAD"/>
            <w:vAlign w:val="center"/>
            <w:hideMark/>
          </w:tcPr>
          <w:p w:rsidR="00281CBE" w:rsidRPr="00F55BA6" w:rsidRDefault="00281CBE" w:rsidP="00B51730">
            <w:pPr>
              <w:spacing w:after="0" w:line="240" w:lineRule="auto"/>
              <w:jc w:val="center"/>
              <w:rPr>
                <w:rFonts w:asciiTheme="majorHAnsi" w:eastAsia="Times New Roman" w:hAnsiTheme="majorHAnsi" w:cstheme="majorHAnsi"/>
                <w:b/>
                <w:bCs/>
                <w:sz w:val="20"/>
                <w:szCs w:val="20"/>
                <w:lang w:val="ro-RO"/>
              </w:rPr>
            </w:pPr>
            <w:r w:rsidRPr="00F55BA6">
              <w:rPr>
                <w:rFonts w:asciiTheme="majorHAnsi" w:eastAsia="Times New Roman" w:hAnsiTheme="majorHAnsi" w:cstheme="majorHAnsi"/>
                <w:b/>
                <w:bCs/>
                <w:sz w:val="20"/>
                <w:szCs w:val="20"/>
                <w:lang w:val="ro-RO"/>
              </w:rPr>
              <w:t>80,3</w:t>
            </w:r>
          </w:p>
        </w:tc>
      </w:tr>
      <w:tr w:rsidR="00281CBE" w:rsidRPr="00E4517B" w:rsidTr="00281CBE">
        <w:trPr>
          <w:trHeight w:val="300"/>
        </w:trPr>
        <w:tc>
          <w:tcPr>
            <w:tcW w:w="581" w:type="dxa"/>
            <w:tcBorders>
              <w:top w:val="nil"/>
              <w:left w:val="single" w:sz="4" w:space="0" w:color="auto"/>
              <w:bottom w:val="single" w:sz="4" w:space="0" w:color="auto"/>
              <w:right w:val="single" w:sz="4" w:space="0" w:color="auto"/>
            </w:tcBorders>
            <w:shd w:val="clear" w:color="auto" w:fill="F8CBAD"/>
            <w:noWrap/>
            <w:vAlign w:val="center"/>
            <w:hideMark/>
          </w:tcPr>
          <w:p w:rsidR="00281CBE" w:rsidRPr="00F55BA6" w:rsidRDefault="00281CBE"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 </w:t>
            </w:r>
          </w:p>
        </w:tc>
        <w:tc>
          <w:tcPr>
            <w:tcW w:w="8492" w:type="dxa"/>
            <w:tcBorders>
              <w:top w:val="nil"/>
              <w:left w:val="single" w:sz="4" w:space="0" w:color="auto"/>
              <w:bottom w:val="single" w:sz="4" w:space="0" w:color="auto"/>
              <w:right w:val="single" w:sz="4" w:space="0" w:color="auto"/>
            </w:tcBorders>
            <w:shd w:val="clear" w:color="auto" w:fill="F8CBAD"/>
            <w:vAlign w:val="center"/>
            <w:hideMark/>
          </w:tcPr>
          <w:p w:rsidR="00281CBE" w:rsidRPr="00F55BA6" w:rsidRDefault="00281CBE" w:rsidP="00B51730">
            <w:pPr>
              <w:spacing w:after="0" w:line="240" w:lineRule="auto"/>
              <w:jc w:val="left"/>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Total cu executare 90%-100% - 39 proiecte</w:t>
            </w:r>
          </w:p>
        </w:tc>
        <w:tc>
          <w:tcPr>
            <w:tcW w:w="1175" w:type="dxa"/>
            <w:tcBorders>
              <w:top w:val="nil"/>
              <w:left w:val="nil"/>
              <w:bottom w:val="single" w:sz="4" w:space="0" w:color="auto"/>
              <w:right w:val="single" w:sz="4" w:space="0" w:color="auto"/>
            </w:tcBorders>
            <w:shd w:val="clear" w:color="auto" w:fill="F8CBAD"/>
            <w:vAlign w:val="center"/>
            <w:hideMark/>
          </w:tcPr>
          <w:p w:rsidR="00281CBE" w:rsidRPr="00F55BA6" w:rsidRDefault="00281CBE" w:rsidP="00B51730">
            <w:pPr>
              <w:spacing w:after="0" w:line="240" w:lineRule="auto"/>
              <w:jc w:val="right"/>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170.685,2</w:t>
            </w:r>
          </w:p>
        </w:tc>
        <w:tc>
          <w:tcPr>
            <w:tcW w:w="1175" w:type="dxa"/>
            <w:tcBorders>
              <w:top w:val="nil"/>
              <w:left w:val="nil"/>
              <w:bottom w:val="single" w:sz="4" w:space="0" w:color="auto"/>
              <w:right w:val="single" w:sz="4" w:space="0" w:color="auto"/>
            </w:tcBorders>
            <w:shd w:val="clear" w:color="auto" w:fill="F8CBAD"/>
            <w:vAlign w:val="center"/>
            <w:hideMark/>
          </w:tcPr>
          <w:p w:rsidR="00281CBE" w:rsidRPr="00F55BA6" w:rsidRDefault="00281CBE" w:rsidP="00B51730">
            <w:pPr>
              <w:spacing w:after="0" w:line="240" w:lineRule="auto"/>
              <w:jc w:val="right"/>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171.630,8</w:t>
            </w:r>
          </w:p>
        </w:tc>
        <w:tc>
          <w:tcPr>
            <w:tcW w:w="1175" w:type="dxa"/>
            <w:tcBorders>
              <w:top w:val="nil"/>
              <w:left w:val="nil"/>
              <w:bottom w:val="single" w:sz="4" w:space="0" w:color="auto"/>
              <w:right w:val="single" w:sz="4" w:space="0" w:color="auto"/>
            </w:tcBorders>
            <w:shd w:val="clear" w:color="auto" w:fill="F8CBAD"/>
            <w:vAlign w:val="center"/>
            <w:hideMark/>
          </w:tcPr>
          <w:p w:rsidR="00281CBE" w:rsidRPr="00F55BA6" w:rsidRDefault="00281CBE" w:rsidP="00B51730">
            <w:pPr>
              <w:spacing w:after="0" w:line="240" w:lineRule="auto"/>
              <w:jc w:val="right"/>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170.057,7</w:t>
            </w:r>
          </w:p>
        </w:tc>
        <w:tc>
          <w:tcPr>
            <w:tcW w:w="1402" w:type="dxa"/>
            <w:tcBorders>
              <w:top w:val="nil"/>
              <w:left w:val="nil"/>
              <w:bottom w:val="single" w:sz="4" w:space="0" w:color="auto"/>
              <w:right w:val="single" w:sz="4" w:space="0" w:color="auto"/>
            </w:tcBorders>
            <w:shd w:val="clear" w:color="auto" w:fill="F8CBAD"/>
            <w:vAlign w:val="center"/>
            <w:hideMark/>
          </w:tcPr>
          <w:p w:rsidR="00281CBE" w:rsidRPr="00F55BA6" w:rsidRDefault="00281CBE" w:rsidP="00B51730">
            <w:pPr>
              <w:spacing w:after="0" w:line="240" w:lineRule="auto"/>
              <w:jc w:val="center"/>
              <w:rPr>
                <w:rFonts w:asciiTheme="majorHAnsi" w:eastAsia="Times New Roman" w:hAnsiTheme="majorHAnsi" w:cstheme="majorHAnsi"/>
                <w:b/>
                <w:bCs/>
                <w:sz w:val="20"/>
                <w:szCs w:val="20"/>
                <w:lang w:val="ro-RO"/>
              </w:rPr>
            </w:pPr>
            <w:r w:rsidRPr="00F55BA6">
              <w:rPr>
                <w:rFonts w:asciiTheme="majorHAnsi" w:eastAsia="Times New Roman" w:hAnsiTheme="majorHAnsi" w:cstheme="majorHAnsi"/>
                <w:b/>
                <w:bCs/>
                <w:sz w:val="20"/>
                <w:szCs w:val="20"/>
                <w:lang w:val="ro-RO"/>
              </w:rPr>
              <w:t>99,6</w:t>
            </w:r>
          </w:p>
        </w:tc>
        <w:tc>
          <w:tcPr>
            <w:tcW w:w="1276" w:type="dxa"/>
            <w:tcBorders>
              <w:top w:val="nil"/>
              <w:left w:val="nil"/>
              <w:bottom w:val="single" w:sz="4" w:space="0" w:color="auto"/>
              <w:right w:val="single" w:sz="4" w:space="0" w:color="auto"/>
            </w:tcBorders>
            <w:shd w:val="clear" w:color="auto" w:fill="F8CBAD"/>
            <w:vAlign w:val="center"/>
            <w:hideMark/>
          </w:tcPr>
          <w:p w:rsidR="00281CBE" w:rsidRPr="00F55BA6" w:rsidRDefault="00281CBE" w:rsidP="00B51730">
            <w:pPr>
              <w:spacing w:after="0" w:line="240" w:lineRule="auto"/>
              <w:jc w:val="center"/>
              <w:rPr>
                <w:rFonts w:asciiTheme="majorHAnsi" w:eastAsia="Times New Roman" w:hAnsiTheme="majorHAnsi" w:cstheme="majorHAnsi"/>
                <w:b/>
                <w:bCs/>
                <w:sz w:val="20"/>
                <w:szCs w:val="20"/>
                <w:lang w:val="ro-RO"/>
              </w:rPr>
            </w:pPr>
            <w:r w:rsidRPr="00F55BA6">
              <w:rPr>
                <w:rFonts w:asciiTheme="majorHAnsi" w:eastAsia="Times New Roman" w:hAnsiTheme="majorHAnsi" w:cstheme="majorHAnsi"/>
                <w:b/>
                <w:bCs/>
                <w:sz w:val="20"/>
                <w:szCs w:val="20"/>
                <w:lang w:val="ro-RO"/>
              </w:rPr>
              <w:t>99,1</w:t>
            </w:r>
          </w:p>
        </w:tc>
      </w:tr>
      <w:tr w:rsidR="00281CBE" w:rsidRPr="00E4517B" w:rsidTr="00281CBE">
        <w:trPr>
          <w:trHeight w:val="264"/>
        </w:trPr>
        <w:tc>
          <w:tcPr>
            <w:tcW w:w="581" w:type="dxa"/>
            <w:tcBorders>
              <w:top w:val="nil"/>
              <w:left w:val="single" w:sz="4" w:space="0" w:color="auto"/>
              <w:bottom w:val="single" w:sz="4" w:space="0" w:color="auto"/>
              <w:right w:val="single" w:sz="4" w:space="0" w:color="auto"/>
            </w:tcBorders>
            <w:noWrap/>
            <w:vAlign w:val="center"/>
            <w:hideMark/>
          </w:tcPr>
          <w:p w:rsidR="00281CBE" w:rsidRPr="00F55BA6" w:rsidRDefault="00281CBE"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1</w:t>
            </w:r>
          </w:p>
        </w:tc>
        <w:tc>
          <w:tcPr>
            <w:tcW w:w="8492" w:type="dxa"/>
            <w:tcBorders>
              <w:top w:val="nil"/>
              <w:left w:val="nil"/>
              <w:bottom w:val="single" w:sz="4" w:space="0" w:color="auto"/>
              <w:right w:val="single" w:sz="4" w:space="0" w:color="auto"/>
            </w:tcBorders>
            <w:vAlign w:val="center"/>
            <w:hideMark/>
          </w:tcPr>
          <w:p w:rsidR="00281CBE" w:rsidRPr="00F55BA6" w:rsidRDefault="00281CBE"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 xml:space="preserve">Construcția zonei de control la Postul vamal Giurgiulești </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2.214,7</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727,2</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727,2</w:t>
            </w:r>
          </w:p>
        </w:tc>
        <w:tc>
          <w:tcPr>
            <w:tcW w:w="1402"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32,8</w:t>
            </w:r>
          </w:p>
        </w:tc>
        <w:tc>
          <w:tcPr>
            <w:tcW w:w="1276"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100,0</w:t>
            </w:r>
          </w:p>
        </w:tc>
      </w:tr>
      <w:tr w:rsidR="00281CBE" w:rsidRPr="00E4517B" w:rsidTr="00281CBE">
        <w:trPr>
          <w:trHeight w:val="239"/>
        </w:trPr>
        <w:tc>
          <w:tcPr>
            <w:tcW w:w="581" w:type="dxa"/>
            <w:tcBorders>
              <w:top w:val="nil"/>
              <w:left w:val="single" w:sz="4" w:space="0" w:color="auto"/>
              <w:bottom w:val="single" w:sz="4" w:space="0" w:color="auto"/>
              <w:right w:val="single" w:sz="4" w:space="0" w:color="auto"/>
            </w:tcBorders>
            <w:noWrap/>
            <w:vAlign w:val="center"/>
            <w:hideMark/>
          </w:tcPr>
          <w:p w:rsidR="00281CBE" w:rsidRPr="00F55BA6" w:rsidRDefault="00281CBE"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lastRenderedPageBreak/>
              <w:t>2</w:t>
            </w:r>
          </w:p>
        </w:tc>
        <w:tc>
          <w:tcPr>
            <w:tcW w:w="8492" w:type="dxa"/>
            <w:tcBorders>
              <w:top w:val="nil"/>
              <w:left w:val="nil"/>
              <w:bottom w:val="single" w:sz="4" w:space="0" w:color="auto"/>
              <w:right w:val="single" w:sz="4" w:space="0" w:color="auto"/>
            </w:tcBorders>
            <w:vAlign w:val="center"/>
            <w:hideMark/>
          </w:tcPr>
          <w:p w:rsidR="00281CBE" w:rsidRPr="00F55BA6" w:rsidRDefault="00281CBE"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Construcția zonei de control la Postul vamal Costești</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 </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1.800,0</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1.659,8</w:t>
            </w:r>
          </w:p>
        </w:tc>
        <w:tc>
          <w:tcPr>
            <w:tcW w:w="1402"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w:t>
            </w:r>
          </w:p>
        </w:tc>
        <w:tc>
          <w:tcPr>
            <w:tcW w:w="1276"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92,2</w:t>
            </w:r>
          </w:p>
        </w:tc>
      </w:tr>
      <w:tr w:rsidR="00281CBE" w:rsidRPr="00E4517B" w:rsidTr="00281CBE">
        <w:trPr>
          <w:trHeight w:val="216"/>
        </w:trPr>
        <w:tc>
          <w:tcPr>
            <w:tcW w:w="581" w:type="dxa"/>
            <w:tcBorders>
              <w:top w:val="nil"/>
              <w:left w:val="single" w:sz="4" w:space="0" w:color="auto"/>
              <w:bottom w:val="single" w:sz="4" w:space="0" w:color="auto"/>
              <w:right w:val="single" w:sz="4" w:space="0" w:color="auto"/>
            </w:tcBorders>
            <w:noWrap/>
            <w:vAlign w:val="center"/>
            <w:hideMark/>
          </w:tcPr>
          <w:p w:rsidR="00281CBE" w:rsidRPr="00F55BA6" w:rsidRDefault="00281CBE"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3</w:t>
            </w:r>
          </w:p>
        </w:tc>
        <w:tc>
          <w:tcPr>
            <w:tcW w:w="8492" w:type="dxa"/>
            <w:tcBorders>
              <w:top w:val="nil"/>
              <w:left w:val="nil"/>
              <w:bottom w:val="single" w:sz="4" w:space="0" w:color="auto"/>
              <w:right w:val="single" w:sz="4" w:space="0" w:color="auto"/>
            </w:tcBorders>
            <w:vAlign w:val="center"/>
            <w:hideMark/>
          </w:tcPr>
          <w:p w:rsidR="00281CBE" w:rsidRPr="00F55BA6" w:rsidRDefault="00281CBE"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Modernizarea infrastructurii Postului vamal Sculeni</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38.094,8</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472,0</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470,2</w:t>
            </w:r>
          </w:p>
        </w:tc>
        <w:tc>
          <w:tcPr>
            <w:tcW w:w="1402"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1,2</w:t>
            </w:r>
          </w:p>
        </w:tc>
        <w:tc>
          <w:tcPr>
            <w:tcW w:w="1276"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99,6</w:t>
            </w:r>
          </w:p>
        </w:tc>
      </w:tr>
      <w:tr w:rsidR="00281CBE" w:rsidRPr="00E4517B" w:rsidTr="00281CBE">
        <w:trPr>
          <w:trHeight w:val="333"/>
        </w:trPr>
        <w:tc>
          <w:tcPr>
            <w:tcW w:w="581" w:type="dxa"/>
            <w:tcBorders>
              <w:top w:val="nil"/>
              <w:left w:val="single" w:sz="4" w:space="0" w:color="auto"/>
              <w:bottom w:val="single" w:sz="4" w:space="0" w:color="auto"/>
              <w:right w:val="single" w:sz="4" w:space="0" w:color="auto"/>
            </w:tcBorders>
            <w:noWrap/>
            <w:vAlign w:val="center"/>
            <w:hideMark/>
          </w:tcPr>
          <w:p w:rsidR="00281CBE" w:rsidRPr="00F55BA6" w:rsidRDefault="00281CBE"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4</w:t>
            </w:r>
          </w:p>
        </w:tc>
        <w:tc>
          <w:tcPr>
            <w:tcW w:w="8492" w:type="dxa"/>
            <w:tcBorders>
              <w:top w:val="nil"/>
              <w:left w:val="nil"/>
              <w:bottom w:val="single" w:sz="4" w:space="0" w:color="auto"/>
              <w:right w:val="single" w:sz="4" w:space="0" w:color="auto"/>
            </w:tcBorders>
            <w:vAlign w:val="center"/>
            <w:hideMark/>
          </w:tcPr>
          <w:p w:rsidR="00281CBE" w:rsidRPr="00F55BA6" w:rsidRDefault="00281CBE"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Reconstrucția perimetrului de pază al Penitenciarului nr.7, satul Rusca, raionul Hâncești</w:t>
            </w:r>
          </w:p>
        </w:tc>
        <w:tc>
          <w:tcPr>
            <w:tcW w:w="1175" w:type="dxa"/>
            <w:tcBorders>
              <w:top w:val="nil"/>
              <w:left w:val="nil"/>
              <w:bottom w:val="single" w:sz="4" w:space="0" w:color="auto"/>
              <w:right w:val="single" w:sz="4" w:space="0" w:color="auto"/>
            </w:tcBorders>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2.000,0</w:t>
            </w:r>
          </w:p>
        </w:tc>
        <w:tc>
          <w:tcPr>
            <w:tcW w:w="1175" w:type="dxa"/>
            <w:tcBorders>
              <w:top w:val="nil"/>
              <w:left w:val="nil"/>
              <w:bottom w:val="single" w:sz="4" w:space="0" w:color="auto"/>
              <w:right w:val="single" w:sz="4" w:space="0" w:color="auto"/>
            </w:tcBorders>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4.289,0</w:t>
            </w:r>
          </w:p>
        </w:tc>
        <w:tc>
          <w:tcPr>
            <w:tcW w:w="1175" w:type="dxa"/>
            <w:tcBorders>
              <w:top w:val="nil"/>
              <w:left w:val="nil"/>
              <w:bottom w:val="single" w:sz="4" w:space="0" w:color="auto"/>
              <w:right w:val="single" w:sz="4" w:space="0" w:color="auto"/>
            </w:tcBorders>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4.267,5</w:t>
            </w:r>
          </w:p>
        </w:tc>
        <w:tc>
          <w:tcPr>
            <w:tcW w:w="1402"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213,4</w:t>
            </w:r>
          </w:p>
        </w:tc>
        <w:tc>
          <w:tcPr>
            <w:tcW w:w="1276"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99,5</w:t>
            </w:r>
          </w:p>
        </w:tc>
      </w:tr>
      <w:tr w:rsidR="00281CBE" w:rsidRPr="00E4517B" w:rsidTr="00281CBE">
        <w:trPr>
          <w:trHeight w:val="369"/>
        </w:trPr>
        <w:tc>
          <w:tcPr>
            <w:tcW w:w="581" w:type="dxa"/>
            <w:tcBorders>
              <w:top w:val="nil"/>
              <w:left w:val="single" w:sz="4" w:space="0" w:color="auto"/>
              <w:bottom w:val="single" w:sz="4" w:space="0" w:color="auto"/>
              <w:right w:val="single" w:sz="4" w:space="0" w:color="auto"/>
            </w:tcBorders>
            <w:noWrap/>
            <w:vAlign w:val="center"/>
            <w:hideMark/>
          </w:tcPr>
          <w:p w:rsidR="00281CBE" w:rsidRPr="00F55BA6" w:rsidRDefault="00281CBE"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5</w:t>
            </w:r>
          </w:p>
        </w:tc>
        <w:tc>
          <w:tcPr>
            <w:tcW w:w="8492" w:type="dxa"/>
            <w:tcBorders>
              <w:top w:val="nil"/>
              <w:left w:val="nil"/>
              <w:bottom w:val="single" w:sz="4" w:space="0" w:color="auto"/>
              <w:right w:val="single" w:sz="4" w:space="0" w:color="auto"/>
            </w:tcBorders>
            <w:vAlign w:val="center"/>
            <w:hideMark/>
          </w:tcPr>
          <w:p w:rsidR="00281CBE" w:rsidRPr="00F55BA6" w:rsidRDefault="00281CBE" w:rsidP="00C73DDF">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 xml:space="preserve">Construcția anexei la clădirea </w:t>
            </w:r>
            <w:r w:rsidR="00C73DDF">
              <w:rPr>
                <w:rFonts w:asciiTheme="majorHAnsi" w:eastAsia="Times New Roman" w:hAnsiTheme="majorHAnsi" w:cstheme="majorHAnsi"/>
                <w:color w:val="000000"/>
                <w:sz w:val="20"/>
                <w:szCs w:val="20"/>
                <w:lang w:val="ro-RO"/>
              </w:rPr>
              <w:t>L</w:t>
            </w:r>
            <w:r w:rsidRPr="00F55BA6">
              <w:rPr>
                <w:rFonts w:asciiTheme="majorHAnsi" w:eastAsia="Times New Roman" w:hAnsiTheme="majorHAnsi" w:cstheme="majorHAnsi"/>
                <w:color w:val="000000"/>
                <w:sz w:val="20"/>
                <w:szCs w:val="20"/>
                <w:lang w:val="ro-RO"/>
              </w:rPr>
              <w:t>aboratorului de expertiză genetico-judiciară (ADN), str. Putna nr.10, municipiul Chișinău</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5.719,1</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9.412,0</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9.411,9</w:t>
            </w:r>
          </w:p>
        </w:tc>
        <w:tc>
          <w:tcPr>
            <w:tcW w:w="1402"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164,6</w:t>
            </w:r>
          </w:p>
        </w:tc>
        <w:tc>
          <w:tcPr>
            <w:tcW w:w="1276"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100,0</w:t>
            </w:r>
          </w:p>
        </w:tc>
      </w:tr>
      <w:tr w:rsidR="00281CBE" w:rsidRPr="00E4517B" w:rsidTr="00281CBE">
        <w:trPr>
          <w:trHeight w:val="291"/>
        </w:trPr>
        <w:tc>
          <w:tcPr>
            <w:tcW w:w="581" w:type="dxa"/>
            <w:tcBorders>
              <w:top w:val="nil"/>
              <w:left w:val="single" w:sz="4" w:space="0" w:color="auto"/>
              <w:bottom w:val="single" w:sz="4" w:space="0" w:color="auto"/>
              <w:right w:val="single" w:sz="4" w:space="0" w:color="auto"/>
            </w:tcBorders>
            <w:noWrap/>
            <w:vAlign w:val="center"/>
            <w:hideMark/>
          </w:tcPr>
          <w:p w:rsidR="00281CBE" w:rsidRPr="00F55BA6" w:rsidRDefault="00281CBE"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6</w:t>
            </w:r>
          </w:p>
        </w:tc>
        <w:tc>
          <w:tcPr>
            <w:tcW w:w="8492" w:type="dxa"/>
            <w:tcBorders>
              <w:top w:val="nil"/>
              <w:left w:val="nil"/>
              <w:bottom w:val="single" w:sz="4" w:space="0" w:color="auto"/>
              <w:right w:val="single" w:sz="4" w:space="0" w:color="auto"/>
            </w:tcBorders>
            <w:vAlign w:val="center"/>
            <w:hideMark/>
          </w:tcPr>
          <w:p w:rsidR="00281CBE" w:rsidRPr="00F55BA6" w:rsidRDefault="00281CBE"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Construcția izolatorului de detenție provizorie al Inspectoratului de Poliție Bălți</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2.280,0</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2.970,0</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2.970,0</w:t>
            </w:r>
          </w:p>
        </w:tc>
        <w:tc>
          <w:tcPr>
            <w:tcW w:w="1402"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130,3</w:t>
            </w:r>
          </w:p>
        </w:tc>
        <w:tc>
          <w:tcPr>
            <w:tcW w:w="1276"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100,0</w:t>
            </w:r>
          </w:p>
        </w:tc>
      </w:tr>
      <w:tr w:rsidR="00281CBE" w:rsidRPr="00E4517B" w:rsidTr="00281CBE">
        <w:trPr>
          <w:trHeight w:val="469"/>
        </w:trPr>
        <w:tc>
          <w:tcPr>
            <w:tcW w:w="581" w:type="dxa"/>
            <w:tcBorders>
              <w:top w:val="nil"/>
              <w:left w:val="single" w:sz="4" w:space="0" w:color="auto"/>
              <w:bottom w:val="single" w:sz="4" w:space="0" w:color="auto"/>
              <w:right w:val="single" w:sz="4" w:space="0" w:color="auto"/>
            </w:tcBorders>
            <w:noWrap/>
            <w:vAlign w:val="center"/>
            <w:hideMark/>
          </w:tcPr>
          <w:p w:rsidR="00281CBE" w:rsidRPr="00F55BA6" w:rsidRDefault="00281CBE"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7</w:t>
            </w:r>
          </w:p>
        </w:tc>
        <w:tc>
          <w:tcPr>
            <w:tcW w:w="8492" w:type="dxa"/>
            <w:tcBorders>
              <w:top w:val="nil"/>
              <w:left w:val="nil"/>
              <w:bottom w:val="single" w:sz="4" w:space="0" w:color="auto"/>
              <w:right w:val="single" w:sz="4" w:space="0" w:color="auto"/>
            </w:tcBorders>
            <w:vAlign w:val="center"/>
            <w:hideMark/>
          </w:tcPr>
          <w:p w:rsidR="00281CBE" w:rsidRPr="00F55BA6" w:rsidRDefault="00281CBE"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Reconstrucția bazinului Clubului Sportiv Central „Dinamo”, str. Gheorghe Asachi nr.23, municipiul Chișinău</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0,0</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9.000,0</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9.000,0</w:t>
            </w:r>
          </w:p>
        </w:tc>
        <w:tc>
          <w:tcPr>
            <w:tcW w:w="1402"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w:t>
            </w:r>
          </w:p>
        </w:tc>
        <w:tc>
          <w:tcPr>
            <w:tcW w:w="1276"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100,0</w:t>
            </w:r>
          </w:p>
        </w:tc>
      </w:tr>
      <w:tr w:rsidR="00281CBE" w:rsidRPr="00E4517B" w:rsidTr="00281CBE">
        <w:trPr>
          <w:trHeight w:val="93"/>
        </w:trPr>
        <w:tc>
          <w:tcPr>
            <w:tcW w:w="581" w:type="dxa"/>
            <w:tcBorders>
              <w:top w:val="nil"/>
              <w:left w:val="single" w:sz="4" w:space="0" w:color="auto"/>
              <w:bottom w:val="single" w:sz="4" w:space="0" w:color="auto"/>
              <w:right w:val="single" w:sz="4" w:space="0" w:color="auto"/>
            </w:tcBorders>
            <w:noWrap/>
            <w:vAlign w:val="center"/>
            <w:hideMark/>
          </w:tcPr>
          <w:p w:rsidR="00281CBE" w:rsidRPr="00F55BA6" w:rsidRDefault="00281CBE"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8</w:t>
            </w:r>
          </w:p>
        </w:tc>
        <w:tc>
          <w:tcPr>
            <w:tcW w:w="8492" w:type="dxa"/>
            <w:tcBorders>
              <w:top w:val="nil"/>
              <w:left w:val="nil"/>
              <w:bottom w:val="single" w:sz="4" w:space="0" w:color="auto"/>
              <w:right w:val="single" w:sz="4" w:space="0" w:color="auto"/>
            </w:tcBorders>
            <w:vAlign w:val="center"/>
            <w:hideMark/>
          </w:tcPr>
          <w:p w:rsidR="00281CBE" w:rsidRPr="00F55BA6" w:rsidRDefault="00281CBE"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 xml:space="preserve">Reconstrucția sediului Sectorului Poliției de Frontieră Brânza, raionul Cahul </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2.394,6</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2.126,6</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2.126,6</w:t>
            </w:r>
          </w:p>
        </w:tc>
        <w:tc>
          <w:tcPr>
            <w:tcW w:w="1402"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88,8</w:t>
            </w:r>
          </w:p>
        </w:tc>
        <w:tc>
          <w:tcPr>
            <w:tcW w:w="1276"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100,0</w:t>
            </w:r>
          </w:p>
        </w:tc>
      </w:tr>
      <w:tr w:rsidR="00281CBE" w:rsidRPr="00E4517B" w:rsidTr="00281CBE">
        <w:trPr>
          <w:trHeight w:val="395"/>
        </w:trPr>
        <w:tc>
          <w:tcPr>
            <w:tcW w:w="581" w:type="dxa"/>
            <w:tcBorders>
              <w:top w:val="nil"/>
              <w:left w:val="single" w:sz="4" w:space="0" w:color="auto"/>
              <w:bottom w:val="single" w:sz="4" w:space="0" w:color="auto"/>
              <w:right w:val="single" w:sz="4" w:space="0" w:color="auto"/>
            </w:tcBorders>
            <w:noWrap/>
            <w:vAlign w:val="center"/>
            <w:hideMark/>
          </w:tcPr>
          <w:p w:rsidR="00281CBE" w:rsidRPr="00F55BA6" w:rsidRDefault="00281CBE"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9</w:t>
            </w:r>
          </w:p>
        </w:tc>
        <w:tc>
          <w:tcPr>
            <w:tcW w:w="8492" w:type="dxa"/>
            <w:tcBorders>
              <w:top w:val="nil"/>
              <w:left w:val="nil"/>
              <w:bottom w:val="single" w:sz="4" w:space="0" w:color="auto"/>
              <w:right w:val="single" w:sz="4" w:space="0" w:color="auto"/>
            </w:tcBorders>
            <w:vAlign w:val="center"/>
            <w:hideMark/>
          </w:tcPr>
          <w:p w:rsidR="00281CBE" w:rsidRPr="00F55BA6" w:rsidRDefault="00281CBE"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 xml:space="preserve">Reconstrucția sediului Sectorului Poliției de Frontieră Stoianovca, raionul Cantemir </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2.394,6</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2.126,6</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2.126,6</w:t>
            </w:r>
          </w:p>
        </w:tc>
        <w:tc>
          <w:tcPr>
            <w:tcW w:w="1402"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88,8</w:t>
            </w:r>
          </w:p>
        </w:tc>
        <w:tc>
          <w:tcPr>
            <w:tcW w:w="1276"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100,0</w:t>
            </w:r>
          </w:p>
        </w:tc>
      </w:tr>
      <w:tr w:rsidR="00281CBE" w:rsidRPr="00E4517B" w:rsidTr="00281CBE">
        <w:trPr>
          <w:trHeight w:val="70"/>
        </w:trPr>
        <w:tc>
          <w:tcPr>
            <w:tcW w:w="581" w:type="dxa"/>
            <w:tcBorders>
              <w:top w:val="nil"/>
              <w:left w:val="single" w:sz="4" w:space="0" w:color="auto"/>
              <w:bottom w:val="single" w:sz="4" w:space="0" w:color="auto"/>
              <w:right w:val="single" w:sz="4" w:space="0" w:color="auto"/>
            </w:tcBorders>
            <w:noWrap/>
            <w:vAlign w:val="center"/>
            <w:hideMark/>
          </w:tcPr>
          <w:p w:rsidR="00281CBE" w:rsidRPr="00F55BA6" w:rsidRDefault="00281CBE"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10</w:t>
            </w:r>
          </w:p>
        </w:tc>
        <w:tc>
          <w:tcPr>
            <w:tcW w:w="8492" w:type="dxa"/>
            <w:tcBorders>
              <w:top w:val="nil"/>
              <w:left w:val="nil"/>
              <w:bottom w:val="single" w:sz="4" w:space="0" w:color="auto"/>
              <w:right w:val="single" w:sz="4" w:space="0" w:color="auto"/>
            </w:tcBorders>
            <w:vAlign w:val="center"/>
            <w:hideMark/>
          </w:tcPr>
          <w:p w:rsidR="00281CBE" w:rsidRPr="00F55BA6" w:rsidRDefault="00281CBE"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 xml:space="preserve">Reconstrucția sediului Sectorului Poliției de Frontieră Toceni, raionul Cantemir </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2.394,6</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2.127,6</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2.127,6</w:t>
            </w:r>
          </w:p>
        </w:tc>
        <w:tc>
          <w:tcPr>
            <w:tcW w:w="1402"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88,8</w:t>
            </w:r>
          </w:p>
        </w:tc>
        <w:tc>
          <w:tcPr>
            <w:tcW w:w="1276"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100,0</w:t>
            </w:r>
          </w:p>
        </w:tc>
      </w:tr>
      <w:tr w:rsidR="00281CBE" w:rsidRPr="00E4517B" w:rsidTr="00281CBE">
        <w:trPr>
          <w:trHeight w:val="349"/>
        </w:trPr>
        <w:tc>
          <w:tcPr>
            <w:tcW w:w="581" w:type="dxa"/>
            <w:tcBorders>
              <w:top w:val="nil"/>
              <w:left w:val="single" w:sz="4" w:space="0" w:color="auto"/>
              <w:bottom w:val="single" w:sz="4" w:space="0" w:color="auto"/>
              <w:right w:val="single" w:sz="4" w:space="0" w:color="auto"/>
            </w:tcBorders>
            <w:noWrap/>
            <w:vAlign w:val="center"/>
            <w:hideMark/>
          </w:tcPr>
          <w:p w:rsidR="00281CBE" w:rsidRPr="00F55BA6" w:rsidRDefault="00281CBE"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11</w:t>
            </w:r>
          </w:p>
        </w:tc>
        <w:tc>
          <w:tcPr>
            <w:tcW w:w="8492" w:type="dxa"/>
            <w:tcBorders>
              <w:top w:val="nil"/>
              <w:left w:val="nil"/>
              <w:bottom w:val="single" w:sz="4" w:space="0" w:color="auto"/>
              <w:right w:val="single" w:sz="4" w:space="0" w:color="auto"/>
            </w:tcBorders>
            <w:vAlign w:val="center"/>
            <w:hideMark/>
          </w:tcPr>
          <w:p w:rsidR="00281CBE" w:rsidRPr="00F55BA6" w:rsidRDefault="00281CBE"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 xml:space="preserve">Reconstrucția sediului Sectorului Poliției de Frontieră Valea Mare, raionul Ungheni </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2.394,6</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2.127,6</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2.127,6</w:t>
            </w:r>
          </w:p>
        </w:tc>
        <w:tc>
          <w:tcPr>
            <w:tcW w:w="1402"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88,8</w:t>
            </w:r>
          </w:p>
        </w:tc>
        <w:tc>
          <w:tcPr>
            <w:tcW w:w="1276"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100,0</w:t>
            </w:r>
          </w:p>
        </w:tc>
      </w:tr>
      <w:tr w:rsidR="00281CBE" w:rsidRPr="00E4517B" w:rsidTr="00281CBE">
        <w:trPr>
          <w:trHeight w:val="102"/>
        </w:trPr>
        <w:tc>
          <w:tcPr>
            <w:tcW w:w="581" w:type="dxa"/>
            <w:tcBorders>
              <w:top w:val="nil"/>
              <w:left w:val="single" w:sz="4" w:space="0" w:color="auto"/>
              <w:bottom w:val="single" w:sz="4" w:space="0" w:color="auto"/>
              <w:right w:val="single" w:sz="4" w:space="0" w:color="auto"/>
            </w:tcBorders>
            <w:noWrap/>
            <w:vAlign w:val="center"/>
            <w:hideMark/>
          </w:tcPr>
          <w:p w:rsidR="00281CBE" w:rsidRPr="00F55BA6" w:rsidRDefault="00281CBE"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12</w:t>
            </w:r>
          </w:p>
        </w:tc>
        <w:tc>
          <w:tcPr>
            <w:tcW w:w="8492" w:type="dxa"/>
            <w:tcBorders>
              <w:top w:val="nil"/>
              <w:left w:val="nil"/>
              <w:bottom w:val="single" w:sz="4" w:space="0" w:color="auto"/>
              <w:right w:val="single" w:sz="4" w:space="0" w:color="auto"/>
            </w:tcBorders>
            <w:vAlign w:val="center"/>
            <w:hideMark/>
          </w:tcPr>
          <w:p w:rsidR="00281CBE" w:rsidRPr="00F55BA6" w:rsidRDefault="00281CBE"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Reconstrucția sediului Sectorului Poliției de Frontieră Briceni</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2.944,8</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2.593,3</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2.393,3</w:t>
            </w:r>
          </w:p>
        </w:tc>
        <w:tc>
          <w:tcPr>
            <w:tcW w:w="1402"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81,3</w:t>
            </w:r>
          </w:p>
        </w:tc>
        <w:tc>
          <w:tcPr>
            <w:tcW w:w="1276"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92,3</w:t>
            </w:r>
          </w:p>
        </w:tc>
      </w:tr>
      <w:tr w:rsidR="00281CBE" w:rsidRPr="00E4517B" w:rsidTr="00281CBE">
        <w:trPr>
          <w:trHeight w:val="77"/>
        </w:trPr>
        <w:tc>
          <w:tcPr>
            <w:tcW w:w="581" w:type="dxa"/>
            <w:tcBorders>
              <w:top w:val="nil"/>
              <w:left w:val="single" w:sz="4" w:space="0" w:color="auto"/>
              <w:bottom w:val="single" w:sz="4" w:space="0" w:color="auto"/>
              <w:right w:val="single" w:sz="4" w:space="0" w:color="auto"/>
            </w:tcBorders>
            <w:noWrap/>
            <w:vAlign w:val="center"/>
            <w:hideMark/>
          </w:tcPr>
          <w:p w:rsidR="00281CBE" w:rsidRPr="00F55BA6" w:rsidRDefault="00281CBE"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13</w:t>
            </w:r>
          </w:p>
        </w:tc>
        <w:tc>
          <w:tcPr>
            <w:tcW w:w="8492" w:type="dxa"/>
            <w:tcBorders>
              <w:top w:val="nil"/>
              <w:left w:val="nil"/>
              <w:bottom w:val="single" w:sz="4" w:space="0" w:color="auto"/>
              <w:right w:val="single" w:sz="4" w:space="0" w:color="auto"/>
            </w:tcBorders>
            <w:vAlign w:val="center"/>
            <w:hideMark/>
          </w:tcPr>
          <w:p w:rsidR="00281CBE" w:rsidRPr="00F55BA6" w:rsidRDefault="00281CBE"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Construcția sistemului de comunicații al Poliției de Frontieră (TETRA) pe segmentul moldo-ucrainean al frontierei</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9.000,0</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9.000,0</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9.000,0</w:t>
            </w:r>
          </w:p>
        </w:tc>
        <w:tc>
          <w:tcPr>
            <w:tcW w:w="1402"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100,0</w:t>
            </w:r>
          </w:p>
        </w:tc>
        <w:tc>
          <w:tcPr>
            <w:tcW w:w="1276"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100,0</w:t>
            </w:r>
          </w:p>
        </w:tc>
      </w:tr>
      <w:tr w:rsidR="00281CBE" w:rsidRPr="00E4517B" w:rsidTr="00281CBE">
        <w:trPr>
          <w:trHeight w:val="70"/>
        </w:trPr>
        <w:tc>
          <w:tcPr>
            <w:tcW w:w="581" w:type="dxa"/>
            <w:tcBorders>
              <w:top w:val="nil"/>
              <w:left w:val="single" w:sz="4" w:space="0" w:color="auto"/>
              <w:bottom w:val="single" w:sz="4" w:space="0" w:color="auto"/>
              <w:right w:val="single" w:sz="4" w:space="0" w:color="auto"/>
            </w:tcBorders>
            <w:noWrap/>
            <w:vAlign w:val="center"/>
            <w:hideMark/>
          </w:tcPr>
          <w:p w:rsidR="00281CBE" w:rsidRPr="00F55BA6" w:rsidRDefault="00281CBE"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14</w:t>
            </w:r>
          </w:p>
        </w:tc>
        <w:tc>
          <w:tcPr>
            <w:tcW w:w="8492" w:type="dxa"/>
            <w:tcBorders>
              <w:top w:val="nil"/>
              <w:left w:val="nil"/>
              <w:bottom w:val="single" w:sz="4" w:space="0" w:color="auto"/>
              <w:right w:val="single" w:sz="4" w:space="0" w:color="auto"/>
            </w:tcBorders>
            <w:vAlign w:val="center"/>
            <w:hideMark/>
          </w:tcPr>
          <w:p w:rsidR="00281CBE" w:rsidRPr="00F55BA6" w:rsidRDefault="00281CBE"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Construcţia sediului Unității de salvatori și pompieri Ungheni</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1.000,0</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1.000,0</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1.000,0</w:t>
            </w:r>
          </w:p>
        </w:tc>
        <w:tc>
          <w:tcPr>
            <w:tcW w:w="1402"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100,0</w:t>
            </w:r>
          </w:p>
        </w:tc>
        <w:tc>
          <w:tcPr>
            <w:tcW w:w="1276"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100,0</w:t>
            </w:r>
          </w:p>
        </w:tc>
      </w:tr>
      <w:tr w:rsidR="00281CBE" w:rsidRPr="00E4517B" w:rsidTr="00281CBE">
        <w:trPr>
          <w:trHeight w:val="70"/>
        </w:trPr>
        <w:tc>
          <w:tcPr>
            <w:tcW w:w="581" w:type="dxa"/>
            <w:tcBorders>
              <w:top w:val="nil"/>
              <w:left w:val="single" w:sz="4" w:space="0" w:color="auto"/>
              <w:bottom w:val="single" w:sz="4" w:space="0" w:color="auto"/>
              <w:right w:val="single" w:sz="4" w:space="0" w:color="auto"/>
            </w:tcBorders>
            <w:noWrap/>
            <w:vAlign w:val="center"/>
            <w:hideMark/>
          </w:tcPr>
          <w:p w:rsidR="00281CBE" w:rsidRPr="00F55BA6" w:rsidRDefault="00281CBE"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15</w:t>
            </w:r>
          </w:p>
        </w:tc>
        <w:tc>
          <w:tcPr>
            <w:tcW w:w="8492" w:type="dxa"/>
            <w:tcBorders>
              <w:top w:val="nil"/>
              <w:left w:val="nil"/>
              <w:bottom w:val="single" w:sz="4" w:space="0" w:color="auto"/>
              <w:right w:val="single" w:sz="4" w:space="0" w:color="auto"/>
            </w:tcBorders>
            <w:vAlign w:val="center"/>
            <w:hideMark/>
          </w:tcPr>
          <w:p w:rsidR="00281CBE" w:rsidRPr="00F55BA6" w:rsidRDefault="00281CBE"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Reconstrucţia sediului Unității de salvatori și pompieri Cantemir</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0,0</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1.000,0</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1.000,0</w:t>
            </w:r>
          </w:p>
        </w:tc>
        <w:tc>
          <w:tcPr>
            <w:tcW w:w="1402"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w:t>
            </w:r>
          </w:p>
        </w:tc>
        <w:tc>
          <w:tcPr>
            <w:tcW w:w="1276"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100,0</w:t>
            </w:r>
          </w:p>
        </w:tc>
      </w:tr>
      <w:tr w:rsidR="00281CBE" w:rsidRPr="00E4517B" w:rsidTr="00281CBE">
        <w:trPr>
          <w:trHeight w:val="70"/>
        </w:trPr>
        <w:tc>
          <w:tcPr>
            <w:tcW w:w="581" w:type="dxa"/>
            <w:tcBorders>
              <w:top w:val="nil"/>
              <w:left w:val="single" w:sz="4" w:space="0" w:color="auto"/>
              <w:bottom w:val="single" w:sz="4" w:space="0" w:color="auto"/>
              <w:right w:val="single" w:sz="4" w:space="0" w:color="auto"/>
            </w:tcBorders>
            <w:noWrap/>
            <w:vAlign w:val="center"/>
            <w:hideMark/>
          </w:tcPr>
          <w:p w:rsidR="00281CBE" w:rsidRPr="00F55BA6" w:rsidRDefault="00281CBE"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16</w:t>
            </w:r>
          </w:p>
        </w:tc>
        <w:tc>
          <w:tcPr>
            <w:tcW w:w="8492" w:type="dxa"/>
            <w:tcBorders>
              <w:top w:val="nil"/>
              <w:left w:val="nil"/>
              <w:bottom w:val="single" w:sz="4" w:space="0" w:color="auto"/>
              <w:right w:val="single" w:sz="4" w:space="0" w:color="auto"/>
            </w:tcBorders>
            <w:vAlign w:val="center"/>
            <w:hideMark/>
          </w:tcPr>
          <w:p w:rsidR="00281CBE" w:rsidRPr="00F55BA6" w:rsidRDefault="00281CBE"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Construcţia sediului Unității de salvatori și pompieri Hâncești</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0,0</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341,7</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341,6</w:t>
            </w:r>
          </w:p>
        </w:tc>
        <w:tc>
          <w:tcPr>
            <w:tcW w:w="1402"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w:t>
            </w:r>
          </w:p>
        </w:tc>
        <w:tc>
          <w:tcPr>
            <w:tcW w:w="1276"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100,0</w:t>
            </w:r>
          </w:p>
        </w:tc>
      </w:tr>
      <w:tr w:rsidR="00281CBE" w:rsidRPr="00E4517B" w:rsidTr="00281CBE">
        <w:trPr>
          <w:trHeight w:val="431"/>
        </w:trPr>
        <w:tc>
          <w:tcPr>
            <w:tcW w:w="581" w:type="dxa"/>
            <w:tcBorders>
              <w:top w:val="nil"/>
              <w:left w:val="single" w:sz="4" w:space="0" w:color="auto"/>
              <w:bottom w:val="single" w:sz="4" w:space="0" w:color="auto"/>
              <w:right w:val="single" w:sz="4" w:space="0" w:color="auto"/>
            </w:tcBorders>
            <w:noWrap/>
            <w:vAlign w:val="center"/>
            <w:hideMark/>
          </w:tcPr>
          <w:p w:rsidR="00281CBE" w:rsidRPr="00F55BA6" w:rsidRDefault="00281CBE"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17</w:t>
            </w:r>
          </w:p>
        </w:tc>
        <w:tc>
          <w:tcPr>
            <w:tcW w:w="8492" w:type="dxa"/>
            <w:tcBorders>
              <w:top w:val="nil"/>
              <w:left w:val="nil"/>
              <w:bottom w:val="single" w:sz="4" w:space="0" w:color="auto"/>
              <w:right w:val="single" w:sz="4" w:space="0" w:color="auto"/>
            </w:tcBorders>
            <w:vAlign w:val="center"/>
            <w:hideMark/>
          </w:tcPr>
          <w:p w:rsidR="00281CBE" w:rsidRPr="00F55BA6" w:rsidRDefault="00281CBE"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Construcția sediului Postului de salvatori și pompieri, satul Sănătăuca, raionul Florești</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0,0</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164,7</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164,7</w:t>
            </w:r>
          </w:p>
        </w:tc>
        <w:tc>
          <w:tcPr>
            <w:tcW w:w="1402"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w:t>
            </w:r>
          </w:p>
        </w:tc>
        <w:tc>
          <w:tcPr>
            <w:tcW w:w="1276"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100,0</w:t>
            </w:r>
          </w:p>
        </w:tc>
      </w:tr>
      <w:tr w:rsidR="00281CBE" w:rsidRPr="00E4517B" w:rsidTr="00281CBE">
        <w:trPr>
          <w:trHeight w:val="212"/>
        </w:trPr>
        <w:tc>
          <w:tcPr>
            <w:tcW w:w="581" w:type="dxa"/>
            <w:tcBorders>
              <w:top w:val="nil"/>
              <w:left w:val="single" w:sz="4" w:space="0" w:color="auto"/>
              <w:bottom w:val="single" w:sz="4" w:space="0" w:color="auto"/>
              <w:right w:val="single" w:sz="4" w:space="0" w:color="auto"/>
            </w:tcBorders>
            <w:noWrap/>
            <w:vAlign w:val="center"/>
            <w:hideMark/>
          </w:tcPr>
          <w:p w:rsidR="00281CBE" w:rsidRPr="00F55BA6" w:rsidRDefault="00281CBE"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18</w:t>
            </w:r>
          </w:p>
        </w:tc>
        <w:tc>
          <w:tcPr>
            <w:tcW w:w="8492" w:type="dxa"/>
            <w:tcBorders>
              <w:top w:val="nil"/>
              <w:left w:val="nil"/>
              <w:bottom w:val="single" w:sz="4" w:space="0" w:color="auto"/>
              <w:right w:val="single" w:sz="4" w:space="0" w:color="auto"/>
            </w:tcBorders>
            <w:vAlign w:val="center"/>
            <w:hideMark/>
          </w:tcPr>
          <w:p w:rsidR="00281CBE" w:rsidRPr="00F55BA6" w:rsidRDefault="00281CBE"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Reconstrucţia sediului Punctului de operare terestră SMURD Cantemir</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2.362,5</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3.136,0</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2.872,4</w:t>
            </w:r>
          </w:p>
        </w:tc>
        <w:tc>
          <w:tcPr>
            <w:tcW w:w="1402"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121,6</w:t>
            </w:r>
          </w:p>
        </w:tc>
        <w:tc>
          <w:tcPr>
            <w:tcW w:w="1276"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91,6</w:t>
            </w:r>
          </w:p>
        </w:tc>
      </w:tr>
      <w:tr w:rsidR="00281CBE" w:rsidRPr="00E4517B" w:rsidTr="00281CBE">
        <w:trPr>
          <w:trHeight w:val="70"/>
        </w:trPr>
        <w:tc>
          <w:tcPr>
            <w:tcW w:w="581" w:type="dxa"/>
            <w:tcBorders>
              <w:top w:val="nil"/>
              <w:left w:val="single" w:sz="4" w:space="0" w:color="auto"/>
              <w:bottom w:val="single" w:sz="4" w:space="0" w:color="auto"/>
              <w:right w:val="single" w:sz="4" w:space="0" w:color="auto"/>
            </w:tcBorders>
            <w:noWrap/>
            <w:vAlign w:val="center"/>
            <w:hideMark/>
          </w:tcPr>
          <w:p w:rsidR="00281CBE" w:rsidRPr="00F55BA6" w:rsidRDefault="00281CBE"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19</w:t>
            </w:r>
          </w:p>
        </w:tc>
        <w:tc>
          <w:tcPr>
            <w:tcW w:w="8492" w:type="dxa"/>
            <w:tcBorders>
              <w:top w:val="nil"/>
              <w:left w:val="nil"/>
              <w:bottom w:val="single" w:sz="4" w:space="0" w:color="auto"/>
              <w:right w:val="single" w:sz="4" w:space="0" w:color="auto"/>
            </w:tcBorders>
            <w:vAlign w:val="center"/>
            <w:hideMark/>
          </w:tcPr>
          <w:p w:rsidR="00281CBE" w:rsidRPr="00F55BA6" w:rsidRDefault="00281CBE"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Reconstrucţia sediului Punctului de operare terestră SMURD Ungheni</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3.037,5</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4.333,0</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4.333,0</w:t>
            </w:r>
          </w:p>
        </w:tc>
        <w:tc>
          <w:tcPr>
            <w:tcW w:w="1402"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142,7</w:t>
            </w:r>
          </w:p>
        </w:tc>
        <w:tc>
          <w:tcPr>
            <w:tcW w:w="1276"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100,0</w:t>
            </w:r>
          </w:p>
        </w:tc>
      </w:tr>
      <w:tr w:rsidR="00281CBE" w:rsidRPr="00E4517B" w:rsidTr="00281CBE">
        <w:trPr>
          <w:trHeight w:val="276"/>
        </w:trPr>
        <w:tc>
          <w:tcPr>
            <w:tcW w:w="581" w:type="dxa"/>
            <w:tcBorders>
              <w:top w:val="nil"/>
              <w:left w:val="single" w:sz="4" w:space="0" w:color="auto"/>
              <w:bottom w:val="single" w:sz="4" w:space="0" w:color="auto"/>
              <w:right w:val="single" w:sz="4" w:space="0" w:color="auto"/>
            </w:tcBorders>
            <w:noWrap/>
            <w:vAlign w:val="center"/>
            <w:hideMark/>
          </w:tcPr>
          <w:p w:rsidR="00281CBE" w:rsidRPr="00F55BA6" w:rsidRDefault="00281CBE"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20</w:t>
            </w:r>
          </w:p>
        </w:tc>
        <w:tc>
          <w:tcPr>
            <w:tcW w:w="8492" w:type="dxa"/>
            <w:tcBorders>
              <w:top w:val="nil"/>
              <w:left w:val="nil"/>
              <w:bottom w:val="single" w:sz="4" w:space="0" w:color="auto"/>
              <w:right w:val="single" w:sz="4" w:space="0" w:color="auto"/>
            </w:tcBorders>
            <w:vAlign w:val="center"/>
            <w:hideMark/>
          </w:tcPr>
          <w:p w:rsidR="00281CBE" w:rsidRPr="00F55BA6" w:rsidRDefault="00281CBE"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Finalizarea construcției pistei de decolare/aterizare pentru elicoptere cu drum de acces, satul Giurgiulești, raionul Cahul</w:t>
            </w:r>
          </w:p>
        </w:tc>
        <w:tc>
          <w:tcPr>
            <w:tcW w:w="1175" w:type="dxa"/>
            <w:tcBorders>
              <w:top w:val="nil"/>
              <w:left w:val="nil"/>
              <w:bottom w:val="single" w:sz="4" w:space="0" w:color="auto"/>
              <w:right w:val="single" w:sz="4" w:space="0" w:color="auto"/>
            </w:tcBorders>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0,0</w:t>
            </w:r>
          </w:p>
        </w:tc>
        <w:tc>
          <w:tcPr>
            <w:tcW w:w="1175" w:type="dxa"/>
            <w:tcBorders>
              <w:top w:val="nil"/>
              <w:left w:val="nil"/>
              <w:bottom w:val="single" w:sz="4" w:space="0" w:color="auto"/>
              <w:right w:val="single" w:sz="4" w:space="0" w:color="auto"/>
            </w:tcBorders>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100,0</w:t>
            </w:r>
          </w:p>
        </w:tc>
        <w:tc>
          <w:tcPr>
            <w:tcW w:w="1175" w:type="dxa"/>
            <w:tcBorders>
              <w:top w:val="nil"/>
              <w:left w:val="nil"/>
              <w:bottom w:val="single" w:sz="4" w:space="0" w:color="auto"/>
              <w:right w:val="single" w:sz="4" w:space="0" w:color="auto"/>
            </w:tcBorders>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100,0</w:t>
            </w:r>
          </w:p>
        </w:tc>
        <w:tc>
          <w:tcPr>
            <w:tcW w:w="1402"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w:t>
            </w:r>
          </w:p>
        </w:tc>
        <w:tc>
          <w:tcPr>
            <w:tcW w:w="1276"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100,0</w:t>
            </w:r>
          </w:p>
        </w:tc>
      </w:tr>
      <w:tr w:rsidR="00281CBE" w:rsidRPr="00E4517B" w:rsidTr="00281CBE">
        <w:trPr>
          <w:trHeight w:val="198"/>
        </w:trPr>
        <w:tc>
          <w:tcPr>
            <w:tcW w:w="581" w:type="dxa"/>
            <w:tcBorders>
              <w:top w:val="nil"/>
              <w:left w:val="single" w:sz="4" w:space="0" w:color="auto"/>
              <w:bottom w:val="single" w:sz="4" w:space="0" w:color="auto"/>
              <w:right w:val="single" w:sz="4" w:space="0" w:color="auto"/>
            </w:tcBorders>
            <w:noWrap/>
            <w:vAlign w:val="center"/>
            <w:hideMark/>
          </w:tcPr>
          <w:p w:rsidR="00281CBE" w:rsidRPr="00F55BA6" w:rsidRDefault="00281CBE"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21</w:t>
            </w:r>
          </w:p>
        </w:tc>
        <w:tc>
          <w:tcPr>
            <w:tcW w:w="8492" w:type="dxa"/>
            <w:tcBorders>
              <w:top w:val="nil"/>
              <w:left w:val="nil"/>
              <w:bottom w:val="single" w:sz="4" w:space="0" w:color="auto"/>
              <w:right w:val="single" w:sz="4" w:space="0" w:color="auto"/>
            </w:tcBorders>
            <w:vAlign w:val="center"/>
            <w:hideMark/>
          </w:tcPr>
          <w:p w:rsidR="00281CBE" w:rsidRPr="00F55BA6" w:rsidRDefault="00281CBE"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 xml:space="preserve">Proiectul „Programul rural de reziliență economico-climatică incluzivă (IFAD VI)” </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7.349,7</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36.599,5</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35.816,7</w:t>
            </w:r>
          </w:p>
        </w:tc>
        <w:tc>
          <w:tcPr>
            <w:tcW w:w="1402"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487,3</w:t>
            </w:r>
          </w:p>
        </w:tc>
        <w:tc>
          <w:tcPr>
            <w:tcW w:w="1276"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97,9</w:t>
            </w:r>
          </w:p>
        </w:tc>
      </w:tr>
      <w:tr w:rsidR="00281CBE" w:rsidRPr="00E4517B" w:rsidTr="00281CBE">
        <w:trPr>
          <w:trHeight w:val="134"/>
        </w:trPr>
        <w:tc>
          <w:tcPr>
            <w:tcW w:w="581" w:type="dxa"/>
            <w:tcBorders>
              <w:top w:val="nil"/>
              <w:left w:val="single" w:sz="4" w:space="0" w:color="auto"/>
              <w:bottom w:val="single" w:sz="4" w:space="0" w:color="auto"/>
              <w:right w:val="single" w:sz="4" w:space="0" w:color="auto"/>
            </w:tcBorders>
            <w:noWrap/>
            <w:vAlign w:val="center"/>
            <w:hideMark/>
          </w:tcPr>
          <w:p w:rsidR="00281CBE" w:rsidRPr="00F55BA6" w:rsidRDefault="00281CBE"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22</w:t>
            </w:r>
          </w:p>
        </w:tc>
        <w:tc>
          <w:tcPr>
            <w:tcW w:w="8492" w:type="dxa"/>
            <w:tcBorders>
              <w:top w:val="nil"/>
              <w:left w:val="nil"/>
              <w:bottom w:val="single" w:sz="4" w:space="0" w:color="auto"/>
              <w:right w:val="single" w:sz="4" w:space="0" w:color="auto"/>
            </w:tcBorders>
            <w:vAlign w:val="center"/>
            <w:hideMark/>
          </w:tcPr>
          <w:p w:rsidR="00281CBE" w:rsidRPr="00F55BA6" w:rsidRDefault="00281CBE"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Proiectul „Agricultura competitivă”</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13.174,8</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10.523,1</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10.519,9</w:t>
            </w:r>
          </w:p>
        </w:tc>
        <w:tc>
          <w:tcPr>
            <w:tcW w:w="1402"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79,8</w:t>
            </w:r>
          </w:p>
        </w:tc>
        <w:tc>
          <w:tcPr>
            <w:tcW w:w="1276"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100,0</w:t>
            </w:r>
          </w:p>
        </w:tc>
      </w:tr>
      <w:tr w:rsidR="00281CBE" w:rsidRPr="00E4517B" w:rsidTr="00281CBE">
        <w:trPr>
          <w:trHeight w:val="307"/>
        </w:trPr>
        <w:tc>
          <w:tcPr>
            <w:tcW w:w="581" w:type="dxa"/>
            <w:tcBorders>
              <w:top w:val="nil"/>
              <w:left w:val="single" w:sz="4" w:space="0" w:color="auto"/>
              <w:bottom w:val="single" w:sz="4" w:space="0" w:color="auto"/>
              <w:right w:val="single" w:sz="4" w:space="0" w:color="auto"/>
            </w:tcBorders>
            <w:noWrap/>
            <w:vAlign w:val="center"/>
            <w:hideMark/>
          </w:tcPr>
          <w:p w:rsidR="00281CBE" w:rsidRPr="00F55BA6" w:rsidRDefault="00281CBE"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23</w:t>
            </w:r>
          </w:p>
        </w:tc>
        <w:tc>
          <w:tcPr>
            <w:tcW w:w="8492" w:type="dxa"/>
            <w:tcBorders>
              <w:top w:val="nil"/>
              <w:left w:val="nil"/>
              <w:bottom w:val="single" w:sz="4" w:space="0" w:color="auto"/>
              <w:right w:val="single" w:sz="4" w:space="0" w:color="auto"/>
            </w:tcBorders>
            <w:vAlign w:val="center"/>
            <w:hideMark/>
          </w:tcPr>
          <w:p w:rsidR="00281CBE" w:rsidRPr="00F55BA6" w:rsidRDefault="00281CBE"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Reconstrucția și modernizarea clădirilor Centrului de Excelență în Horticultură și Tehnologii Agricole, satul Țaul, raionul Dondușeni</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10.056,6</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6.334,8</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6.334,1</w:t>
            </w:r>
          </w:p>
        </w:tc>
        <w:tc>
          <w:tcPr>
            <w:tcW w:w="1402"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63,0</w:t>
            </w:r>
          </w:p>
        </w:tc>
        <w:tc>
          <w:tcPr>
            <w:tcW w:w="1276"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100,0</w:t>
            </w:r>
          </w:p>
        </w:tc>
      </w:tr>
      <w:tr w:rsidR="00281CBE" w:rsidRPr="00E4517B" w:rsidTr="00281CBE">
        <w:trPr>
          <w:trHeight w:val="510"/>
        </w:trPr>
        <w:tc>
          <w:tcPr>
            <w:tcW w:w="581" w:type="dxa"/>
            <w:tcBorders>
              <w:top w:val="nil"/>
              <w:left w:val="single" w:sz="4" w:space="0" w:color="auto"/>
              <w:bottom w:val="single" w:sz="4" w:space="0" w:color="auto"/>
              <w:right w:val="single" w:sz="4" w:space="0" w:color="auto"/>
            </w:tcBorders>
            <w:noWrap/>
            <w:vAlign w:val="center"/>
            <w:hideMark/>
          </w:tcPr>
          <w:p w:rsidR="00281CBE" w:rsidRPr="00F55BA6" w:rsidRDefault="00281CBE"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24</w:t>
            </w:r>
          </w:p>
        </w:tc>
        <w:tc>
          <w:tcPr>
            <w:tcW w:w="8492" w:type="dxa"/>
            <w:tcBorders>
              <w:top w:val="nil"/>
              <w:left w:val="nil"/>
              <w:bottom w:val="single" w:sz="4" w:space="0" w:color="auto"/>
              <w:right w:val="single" w:sz="4" w:space="0" w:color="auto"/>
            </w:tcBorders>
            <w:vAlign w:val="center"/>
            <w:hideMark/>
          </w:tcPr>
          <w:p w:rsidR="00281CBE" w:rsidRPr="00F55BA6" w:rsidRDefault="00281CBE"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Reconstrucția serelor Grădinii Botanice Naționale (Institut) „Alexandru Ciubotaru”, str. Pădurii nr.18, municipiul Chișinău</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606,3</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606,3</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583,3</w:t>
            </w:r>
          </w:p>
        </w:tc>
        <w:tc>
          <w:tcPr>
            <w:tcW w:w="1402"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96,2</w:t>
            </w:r>
          </w:p>
        </w:tc>
        <w:tc>
          <w:tcPr>
            <w:tcW w:w="1276"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96,2</w:t>
            </w:r>
          </w:p>
        </w:tc>
      </w:tr>
      <w:tr w:rsidR="00281CBE" w:rsidRPr="00E4517B" w:rsidTr="00281CBE">
        <w:trPr>
          <w:trHeight w:val="510"/>
        </w:trPr>
        <w:tc>
          <w:tcPr>
            <w:tcW w:w="581" w:type="dxa"/>
            <w:tcBorders>
              <w:top w:val="nil"/>
              <w:left w:val="single" w:sz="4" w:space="0" w:color="auto"/>
              <w:bottom w:val="single" w:sz="4" w:space="0" w:color="auto"/>
              <w:right w:val="single" w:sz="4" w:space="0" w:color="auto"/>
            </w:tcBorders>
            <w:noWrap/>
            <w:vAlign w:val="center"/>
            <w:hideMark/>
          </w:tcPr>
          <w:p w:rsidR="00281CBE" w:rsidRPr="00F55BA6" w:rsidRDefault="00281CBE"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25</w:t>
            </w:r>
          </w:p>
        </w:tc>
        <w:tc>
          <w:tcPr>
            <w:tcW w:w="8492" w:type="dxa"/>
            <w:tcBorders>
              <w:top w:val="nil"/>
              <w:left w:val="nil"/>
              <w:bottom w:val="single" w:sz="4" w:space="0" w:color="auto"/>
              <w:right w:val="single" w:sz="4" w:space="0" w:color="auto"/>
            </w:tcBorders>
            <w:vAlign w:val="center"/>
            <w:hideMark/>
          </w:tcPr>
          <w:p w:rsidR="00281CBE" w:rsidRPr="00F55BA6" w:rsidRDefault="00281CBE"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Restaurarea edificiului Muzeului Naţional de Artă al Moldovei, str. 31 August 1989 nr.115, municipiul Chişinău</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17.000,0</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17.000,0</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17.000,0</w:t>
            </w:r>
          </w:p>
        </w:tc>
        <w:tc>
          <w:tcPr>
            <w:tcW w:w="1402"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100,0</w:t>
            </w:r>
          </w:p>
        </w:tc>
        <w:tc>
          <w:tcPr>
            <w:tcW w:w="1276"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100,0</w:t>
            </w:r>
          </w:p>
        </w:tc>
      </w:tr>
      <w:tr w:rsidR="00281CBE" w:rsidRPr="00E4517B" w:rsidTr="00281CBE">
        <w:trPr>
          <w:trHeight w:val="510"/>
        </w:trPr>
        <w:tc>
          <w:tcPr>
            <w:tcW w:w="581" w:type="dxa"/>
            <w:tcBorders>
              <w:top w:val="nil"/>
              <w:left w:val="single" w:sz="4" w:space="0" w:color="auto"/>
              <w:bottom w:val="single" w:sz="4" w:space="0" w:color="auto"/>
              <w:right w:val="single" w:sz="4" w:space="0" w:color="auto"/>
            </w:tcBorders>
            <w:noWrap/>
            <w:vAlign w:val="center"/>
            <w:hideMark/>
          </w:tcPr>
          <w:p w:rsidR="00281CBE" w:rsidRPr="00F55BA6" w:rsidRDefault="00281CBE"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26</w:t>
            </w:r>
          </w:p>
        </w:tc>
        <w:tc>
          <w:tcPr>
            <w:tcW w:w="8492" w:type="dxa"/>
            <w:tcBorders>
              <w:top w:val="nil"/>
              <w:left w:val="nil"/>
              <w:bottom w:val="single" w:sz="4" w:space="0" w:color="auto"/>
              <w:right w:val="single" w:sz="4" w:space="0" w:color="auto"/>
            </w:tcBorders>
            <w:vAlign w:val="center"/>
            <w:hideMark/>
          </w:tcPr>
          <w:p w:rsidR="00281CBE" w:rsidRPr="00F55BA6" w:rsidRDefault="00281CBE"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Restaurarea și reconstrucția edificiilor Muzeului Național de Etnografie și Istorie Naturală, str. Mihail Kogălniceanu nr.82, municipiul Chișinău</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3.000,0</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3.000,0</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2.999,5</w:t>
            </w:r>
          </w:p>
        </w:tc>
        <w:tc>
          <w:tcPr>
            <w:tcW w:w="1402"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100,0</w:t>
            </w:r>
          </w:p>
        </w:tc>
        <w:tc>
          <w:tcPr>
            <w:tcW w:w="1276"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100,0</w:t>
            </w:r>
          </w:p>
        </w:tc>
      </w:tr>
      <w:tr w:rsidR="00281CBE" w:rsidRPr="00E4517B" w:rsidTr="00281CBE">
        <w:trPr>
          <w:trHeight w:val="365"/>
        </w:trPr>
        <w:tc>
          <w:tcPr>
            <w:tcW w:w="581" w:type="dxa"/>
            <w:tcBorders>
              <w:top w:val="nil"/>
              <w:left w:val="single" w:sz="4" w:space="0" w:color="auto"/>
              <w:bottom w:val="single" w:sz="4" w:space="0" w:color="auto"/>
              <w:right w:val="single" w:sz="4" w:space="0" w:color="auto"/>
            </w:tcBorders>
            <w:noWrap/>
            <w:vAlign w:val="center"/>
            <w:hideMark/>
          </w:tcPr>
          <w:p w:rsidR="00281CBE" w:rsidRPr="00F55BA6" w:rsidRDefault="00281CBE"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27</w:t>
            </w:r>
          </w:p>
        </w:tc>
        <w:tc>
          <w:tcPr>
            <w:tcW w:w="8492" w:type="dxa"/>
            <w:tcBorders>
              <w:top w:val="nil"/>
              <w:left w:val="nil"/>
              <w:bottom w:val="single" w:sz="4" w:space="0" w:color="auto"/>
              <w:right w:val="single" w:sz="4" w:space="0" w:color="auto"/>
            </w:tcBorders>
            <w:vAlign w:val="center"/>
            <w:hideMark/>
          </w:tcPr>
          <w:p w:rsidR="00281CBE" w:rsidRPr="00F55BA6" w:rsidRDefault="00281CBE"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 xml:space="preserve">Reconstrucția blocului „B” al Muzeului Național de Istorie a Moldovei (Muzeul Victimelor Deportărilor și Represiunilor Politice), str. Mitropolit Gavriil Bănulescu-Bodoni nr.16, municipiul Chișinău </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0,0</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1.000,0</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1.000,0</w:t>
            </w:r>
          </w:p>
        </w:tc>
        <w:tc>
          <w:tcPr>
            <w:tcW w:w="1402"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w:t>
            </w:r>
          </w:p>
        </w:tc>
        <w:tc>
          <w:tcPr>
            <w:tcW w:w="1276"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100,0</w:t>
            </w:r>
          </w:p>
        </w:tc>
      </w:tr>
      <w:tr w:rsidR="00281CBE" w:rsidRPr="00E4517B" w:rsidTr="00281CBE">
        <w:trPr>
          <w:trHeight w:val="70"/>
        </w:trPr>
        <w:tc>
          <w:tcPr>
            <w:tcW w:w="581" w:type="dxa"/>
            <w:tcBorders>
              <w:top w:val="nil"/>
              <w:left w:val="single" w:sz="4" w:space="0" w:color="auto"/>
              <w:bottom w:val="single" w:sz="4" w:space="0" w:color="auto"/>
              <w:right w:val="single" w:sz="4" w:space="0" w:color="auto"/>
            </w:tcBorders>
            <w:noWrap/>
            <w:vAlign w:val="center"/>
            <w:hideMark/>
          </w:tcPr>
          <w:p w:rsidR="00281CBE" w:rsidRPr="00F55BA6" w:rsidRDefault="00281CBE"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28</w:t>
            </w:r>
          </w:p>
        </w:tc>
        <w:tc>
          <w:tcPr>
            <w:tcW w:w="8492" w:type="dxa"/>
            <w:tcBorders>
              <w:top w:val="nil"/>
              <w:left w:val="nil"/>
              <w:bottom w:val="single" w:sz="4" w:space="0" w:color="auto"/>
              <w:right w:val="single" w:sz="4" w:space="0" w:color="auto"/>
            </w:tcBorders>
            <w:vAlign w:val="center"/>
            <w:hideMark/>
          </w:tcPr>
          <w:p w:rsidR="00281CBE" w:rsidRPr="00F55BA6" w:rsidRDefault="00281CBE"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Restaurarea Muzeului Satului, filiala Muzeului Național de Etnografie și Istorie Naturală, bd. Dacia, municipiul Chișinău</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500,0</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500,0</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496,3</w:t>
            </w:r>
          </w:p>
        </w:tc>
        <w:tc>
          <w:tcPr>
            <w:tcW w:w="1402"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99,3</w:t>
            </w:r>
          </w:p>
        </w:tc>
        <w:tc>
          <w:tcPr>
            <w:tcW w:w="1276"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99,3</w:t>
            </w:r>
          </w:p>
        </w:tc>
      </w:tr>
      <w:tr w:rsidR="00281CBE" w:rsidRPr="00E4517B" w:rsidTr="00281CBE">
        <w:trPr>
          <w:trHeight w:val="255"/>
        </w:trPr>
        <w:tc>
          <w:tcPr>
            <w:tcW w:w="581" w:type="dxa"/>
            <w:tcBorders>
              <w:top w:val="nil"/>
              <w:left w:val="single" w:sz="4" w:space="0" w:color="auto"/>
              <w:bottom w:val="single" w:sz="4" w:space="0" w:color="auto"/>
              <w:right w:val="single" w:sz="4" w:space="0" w:color="auto"/>
            </w:tcBorders>
            <w:noWrap/>
            <w:vAlign w:val="center"/>
            <w:hideMark/>
          </w:tcPr>
          <w:p w:rsidR="00281CBE" w:rsidRPr="00F55BA6" w:rsidRDefault="00281CBE"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29</w:t>
            </w:r>
          </w:p>
        </w:tc>
        <w:tc>
          <w:tcPr>
            <w:tcW w:w="8492" w:type="dxa"/>
            <w:tcBorders>
              <w:top w:val="nil"/>
              <w:left w:val="nil"/>
              <w:bottom w:val="single" w:sz="4" w:space="0" w:color="auto"/>
              <w:right w:val="single" w:sz="4" w:space="0" w:color="auto"/>
            </w:tcBorders>
            <w:vAlign w:val="center"/>
            <w:hideMark/>
          </w:tcPr>
          <w:p w:rsidR="00281CBE" w:rsidRPr="00F55BA6" w:rsidRDefault="00281CBE"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Restaurarea caselor tradiționale țărănești din cadrul Rezervației cultural-naturale „Orheiul Vechi”, satele Butuceni și Morovaia, raionul Orhei</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500,0</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500,0</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500,0</w:t>
            </w:r>
          </w:p>
        </w:tc>
        <w:tc>
          <w:tcPr>
            <w:tcW w:w="1402"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100,0</w:t>
            </w:r>
          </w:p>
        </w:tc>
        <w:tc>
          <w:tcPr>
            <w:tcW w:w="1276"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100,0</w:t>
            </w:r>
          </w:p>
        </w:tc>
      </w:tr>
      <w:tr w:rsidR="00281CBE" w:rsidRPr="00E4517B" w:rsidTr="00281CBE">
        <w:trPr>
          <w:trHeight w:val="70"/>
        </w:trPr>
        <w:tc>
          <w:tcPr>
            <w:tcW w:w="581" w:type="dxa"/>
            <w:tcBorders>
              <w:top w:val="nil"/>
              <w:left w:val="single" w:sz="4" w:space="0" w:color="auto"/>
              <w:bottom w:val="single" w:sz="4" w:space="0" w:color="auto"/>
              <w:right w:val="single" w:sz="4" w:space="0" w:color="auto"/>
            </w:tcBorders>
            <w:noWrap/>
            <w:vAlign w:val="center"/>
            <w:hideMark/>
          </w:tcPr>
          <w:p w:rsidR="00281CBE" w:rsidRPr="00F55BA6" w:rsidRDefault="00281CBE"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lastRenderedPageBreak/>
              <w:t>30</w:t>
            </w:r>
          </w:p>
        </w:tc>
        <w:tc>
          <w:tcPr>
            <w:tcW w:w="8492" w:type="dxa"/>
            <w:tcBorders>
              <w:top w:val="nil"/>
              <w:left w:val="nil"/>
              <w:bottom w:val="single" w:sz="4" w:space="0" w:color="auto"/>
              <w:right w:val="single" w:sz="4" w:space="0" w:color="auto"/>
            </w:tcBorders>
            <w:vAlign w:val="center"/>
            <w:hideMark/>
          </w:tcPr>
          <w:p w:rsidR="00281CBE" w:rsidRPr="00F55BA6" w:rsidRDefault="00281CBE"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Reconstrucţia bazei sportive de canotaj a Centrului Sportiv de Pregătire a Loturilor Naționale, oraşul Vatra, municipiul Chişinău</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4.000,0</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4.000,0</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4.000,0</w:t>
            </w:r>
          </w:p>
        </w:tc>
        <w:tc>
          <w:tcPr>
            <w:tcW w:w="1402"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100,0</w:t>
            </w:r>
          </w:p>
        </w:tc>
        <w:tc>
          <w:tcPr>
            <w:tcW w:w="1276"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100,0</w:t>
            </w:r>
          </w:p>
        </w:tc>
      </w:tr>
      <w:tr w:rsidR="00281CBE" w:rsidRPr="00E4517B" w:rsidTr="00281CBE">
        <w:trPr>
          <w:trHeight w:val="411"/>
        </w:trPr>
        <w:tc>
          <w:tcPr>
            <w:tcW w:w="581" w:type="dxa"/>
            <w:tcBorders>
              <w:top w:val="nil"/>
              <w:left w:val="single" w:sz="4" w:space="0" w:color="auto"/>
              <w:bottom w:val="single" w:sz="4" w:space="0" w:color="auto"/>
              <w:right w:val="single" w:sz="4" w:space="0" w:color="auto"/>
            </w:tcBorders>
            <w:noWrap/>
            <w:vAlign w:val="center"/>
            <w:hideMark/>
          </w:tcPr>
          <w:p w:rsidR="00281CBE" w:rsidRPr="00F55BA6" w:rsidRDefault="00281CBE"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31</w:t>
            </w:r>
          </w:p>
        </w:tc>
        <w:tc>
          <w:tcPr>
            <w:tcW w:w="8492" w:type="dxa"/>
            <w:tcBorders>
              <w:top w:val="nil"/>
              <w:left w:val="nil"/>
              <w:bottom w:val="single" w:sz="4" w:space="0" w:color="auto"/>
              <w:right w:val="single" w:sz="4" w:space="0" w:color="auto"/>
            </w:tcBorders>
            <w:vAlign w:val="center"/>
            <w:hideMark/>
          </w:tcPr>
          <w:p w:rsidR="00281CBE" w:rsidRPr="00F55BA6" w:rsidRDefault="00281CBE"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Reconstrucția clădirii cu anexarea sălii polivalente a Școlii Sportive Specializate de Box din satul Grimăncăuți, raionul Briceni</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8.000,0</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6,0</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6,0</w:t>
            </w:r>
          </w:p>
        </w:tc>
        <w:tc>
          <w:tcPr>
            <w:tcW w:w="1402"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0,1</w:t>
            </w:r>
          </w:p>
        </w:tc>
        <w:tc>
          <w:tcPr>
            <w:tcW w:w="1276"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100,0</w:t>
            </w:r>
          </w:p>
        </w:tc>
      </w:tr>
      <w:tr w:rsidR="00281CBE" w:rsidRPr="00E4517B" w:rsidTr="00281CBE">
        <w:trPr>
          <w:trHeight w:val="333"/>
        </w:trPr>
        <w:tc>
          <w:tcPr>
            <w:tcW w:w="581" w:type="dxa"/>
            <w:tcBorders>
              <w:top w:val="nil"/>
              <w:left w:val="single" w:sz="4" w:space="0" w:color="auto"/>
              <w:bottom w:val="single" w:sz="4" w:space="0" w:color="auto"/>
              <w:right w:val="single" w:sz="4" w:space="0" w:color="auto"/>
            </w:tcBorders>
            <w:noWrap/>
            <w:vAlign w:val="center"/>
            <w:hideMark/>
          </w:tcPr>
          <w:p w:rsidR="00281CBE" w:rsidRPr="00F55BA6" w:rsidRDefault="00281CBE"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32</w:t>
            </w:r>
          </w:p>
        </w:tc>
        <w:tc>
          <w:tcPr>
            <w:tcW w:w="8492" w:type="dxa"/>
            <w:tcBorders>
              <w:top w:val="nil"/>
              <w:left w:val="nil"/>
              <w:bottom w:val="single" w:sz="4" w:space="0" w:color="auto"/>
              <w:right w:val="single" w:sz="4" w:space="0" w:color="auto"/>
            </w:tcBorders>
            <w:vAlign w:val="center"/>
            <w:hideMark/>
          </w:tcPr>
          <w:p w:rsidR="00281CBE" w:rsidRPr="00F55BA6" w:rsidRDefault="00281CBE"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Construcția centralei termice pe gaze naturale a Școlii Profesionale nr.2 din municipiul Cahul</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1.610,0</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1.610,0</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1.610,0</w:t>
            </w:r>
          </w:p>
        </w:tc>
        <w:tc>
          <w:tcPr>
            <w:tcW w:w="1402"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100,0</w:t>
            </w:r>
          </w:p>
        </w:tc>
        <w:tc>
          <w:tcPr>
            <w:tcW w:w="1276"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100,0</w:t>
            </w:r>
          </w:p>
        </w:tc>
      </w:tr>
      <w:tr w:rsidR="00281CBE" w:rsidRPr="00E4517B" w:rsidTr="00281CBE">
        <w:trPr>
          <w:trHeight w:val="256"/>
        </w:trPr>
        <w:tc>
          <w:tcPr>
            <w:tcW w:w="581" w:type="dxa"/>
            <w:tcBorders>
              <w:top w:val="nil"/>
              <w:left w:val="single" w:sz="4" w:space="0" w:color="auto"/>
              <w:bottom w:val="single" w:sz="4" w:space="0" w:color="auto"/>
              <w:right w:val="single" w:sz="4" w:space="0" w:color="auto"/>
            </w:tcBorders>
            <w:noWrap/>
            <w:vAlign w:val="center"/>
            <w:hideMark/>
          </w:tcPr>
          <w:p w:rsidR="00281CBE" w:rsidRPr="00F55BA6" w:rsidRDefault="00281CBE"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33</w:t>
            </w:r>
          </w:p>
        </w:tc>
        <w:tc>
          <w:tcPr>
            <w:tcW w:w="8492" w:type="dxa"/>
            <w:tcBorders>
              <w:top w:val="nil"/>
              <w:left w:val="nil"/>
              <w:bottom w:val="single" w:sz="4" w:space="0" w:color="auto"/>
              <w:right w:val="single" w:sz="4" w:space="0" w:color="auto"/>
            </w:tcBorders>
            <w:vAlign w:val="center"/>
            <w:hideMark/>
          </w:tcPr>
          <w:p w:rsidR="00281CBE" w:rsidRPr="00F55BA6" w:rsidRDefault="00281CBE"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Reconstrucția și modernizarea clădirilor Centrului de Excelență în Economie și Finanțe, str. Miron Costin nr.26/2, municipiul Chișinău</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1.495,8</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1.985,3</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1.980,4</w:t>
            </w:r>
          </w:p>
        </w:tc>
        <w:tc>
          <w:tcPr>
            <w:tcW w:w="1402"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132,4</w:t>
            </w:r>
          </w:p>
        </w:tc>
        <w:tc>
          <w:tcPr>
            <w:tcW w:w="1276"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99,8</w:t>
            </w:r>
          </w:p>
        </w:tc>
      </w:tr>
      <w:tr w:rsidR="00281CBE" w:rsidRPr="00E4517B" w:rsidTr="00281CBE">
        <w:trPr>
          <w:trHeight w:val="177"/>
        </w:trPr>
        <w:tc>
          <w:tcPr>
            <w:tcW w:w="581" w:type="dxa"/>
            <w:tcBorders>
              <w:top w:val="nil"/>
              <w:left w:val="single" w:sz="4" w:space="0" w:color="auto"/>
              <w:bottom w:val="single" w:sz="4" w:space="0" w:color="auto"/>
              <w:right w:val="single" w:sz="4" w:space="0" w:color="auto"/>
            </w:tcBorders>
            <w:noWrap/>
            <w:vAlign w:val="center"/>
            <w:hideMark/>
          </w:tcPr>
          <w:p w:rsidR="00281CBE" w:rsidRPr="00F55BA6" w:rsidRDefault="00281CBE"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34</w:t>
            </w:r>
          </w:p>
        </w:tc>
        <w:tc>
          <w:tcPr>
            <w:tcW w:w="8492" w:type="dxa"/>
            <w:tcBorders>
              <w:top w:val="nil"/>
              <w:left w:val="nil"/>
              <w:bottom w:val="single" w:sz="4" w:space="0" w:color="auto"/>
              <w:right w:val="single" w:sz="4" w:space="0" w:color="auto"/>
            </w:tcBorders>
            <w:vAlign w:val="center"/>
            <w:hideMark/>
          </w:tcPr>
          <w:p w:rsidR="00281CBE" w:rsidRPr="00F55BA6" w:rsidRDefault="00281CBE"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Reconstrucția și modernizarea clădirilor Centrului de Excelență în Educație Artistică  „Ștefan Neaga”, str. Hristo Botev nr.4, municipiul Chișinău</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14.688,8</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17.188,8</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17.123,4</w:t>
            </w:r>
          </w:p>
        </w:tc>
        <w:tc>
          <w:tcPr>
            <w:tcW w:w="1402"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116,6</w:t>
            </w:r>
          </w:p>
        </w:tc>
        <w:tc>
          <w:tcPr>
            <w:tcW w:w="1276"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99,6</w:t>
            </w:r>
          </w:p>
        </w:tc>
      </w:tr>
      <w:tr w:rsidR="00281CBE" w:rsidRPr="00E4517B" w:rsidTr="00281CBE">
        <w:trPr>
          <w:trHeight w:val="255"/>
        </w:trPr>
        <w:tc>
          <w:tcPr>
            <w:tcW w:w="581" w:type="dxa"/>
            <w:tcBorders>
              <w:top w:val="nil"/>
              <w:left w:val="single" w:sz="4" w:space="0" w:color="auto"/>
              <w:bottom w:val="single" w:sz="4" w:space="0" w:color="auto"/>
              <w:right w:val="single" w:sz="4" w:space="0" w:color="auto"/>
            </w:tcBorders>
            <w:noWrap/>
            <w:vAlign w:val="center"/>
            <w:hideMark/>
          </w:tcPr>
          <w:p w:rsidR="00281CBE" w:rsidRPr="00F55BA6" w:rsidRDefault="00281CBE"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35</w:t>
            </w:r>
          </w:p>
        </w:tc>
        <w:tc>
          <w:tcPr>
            <w:tcW w:w="8492" w:type="dxa"/>
            <w:tcBorders>
              <w:top w:val="nil"/>
              <w:left w:val="nil"/>
              <w:bottom w:val="single" w:sz="4" w:space="0" w:color="auto"/>
              <w:right w:val="single" w:sz="4" w:space="0" w:color="auto"/>
            </w:tcBorders>
            <w:vAlign w:val="center"/>
            <w:hideMark/>
          </w:tcPr>
          <w:p w:rsidR="00281CBE" w:rsidRPr="00F55BA6" w:rsidRDefault="00281CBE"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Reconstrucția și modernizarea clădirii Centrului de Excelență în Energetică și Electronică, str. Mihail Sadoveanu nr.40/2, municipiul Chișinău</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0,0</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1.400,0</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1.399,9</w:t>
            </w:r>
          </w:p>
        </w:tc>
        <w:tc>
          <w:tcPr>
            <w:tcW w:w="1402"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w:t>
            </w:r>
          </w:p>
        </w:tc>
        <w:tc>
          <w:tcPr>
            <w:tcW w:w="1276"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100,0</w:t>
            </w:r>
          </w:p>
        </w:tc>
      </w:tr>
      <w:tr w:rsidR="00281CBE" w:rsidRPr="00E4517B" w:rsidTr="00281CBE">
        <w:trPr>
          <w:trHeight w:val="70"/>
        </w:trPr>
        <w:tc>
          <w:tcPr>
            <w:tcW w:w="581" w:type="dxa"/>
            <w:tcBorders>
              <w:top w:val="nil"/>
              <w:left w:val="single" w:sz="4" w:space="0" w:color="auto"/>
              <w:bottom w:val="single" w:sz="4" w:space="0" w:color="auto"/>
              <w:right w:val="single" w:sz="4" w:space="0" w:color="auto"/>
            </w:tcBorders>
            <w:noWrap/>
            <w:vAlign w:val="center"/>
            <w:hideMark/>
          </w:tcPr>
          <w:p w:rsidR="00281CBE" w:rsidRPr="00F55BA6" w:rsidRDefault="00281CBE"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36</w:t>
            </w:r>
          </w:p>
        </w:tc>
        <w:tc>
          <w:tcPr>
            <w:tcW w:w="8492" w:type="dxa"/>
            <w:tcBorders>
              <w:top w:val="nil"/>
              <w:left w:val="nil"/>
              <w:bottom w:val="single" w:sz="4" w:space="0" w:color="auto"/>
              <w:right w:val="single" w:sz="4" w:space="0" w:color="auto"/>
            </w:tcBorders>
            <w:vAlign w:val="center"/>
            <w:hideMark/>
          </w:tcPr>
          <w:p w:rsidR="00281CBE" w:rsidRPr="00F55BA6" w:rsidRDefault="00281CBE"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Reconstrucția și modernizarea clădirilor Centrului de Excelență în Transporturi, str. Sarmizegetusa nr.31, municipiul Chișinău</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0,0</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58,3</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58,3</w:t>
            </w:r>
          </w:p>
        </w:tc>
        <w:tc>
          <w:tcPr>
            <w:tcW w:w="1402"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w:t>
            </w:r>
          </w:p>
        </w:tc>
        <w:tc>
          <w:tcPr>
            <w:tcW w:w="1276"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100,0</w:t>
            </w:r>
          </w:p>
        </w:tc>
      </w:tr>
      <w:tr w:rsidR="00281CBE" w:rsidRPr="00E4517B" w:rsidTr="00281CBE">
        <w:trPr>
          <w:trHeight w:val="113"/>
        </w:trPr>
        <w:tc>
          <w:tcPr>
            <w:tcW w:w="581" w:type="dxa"/>
            <w:tcBorders>
              <w:top w:val="nil"/>
              <w:left w:val="single" w:sz="4" w:space="0" w:color="auto"/>
              <w:bottom w:val="single" w:sz="4" w:space="0" w:color="auto"/>
              <w:right w:val="single" w:sz="4" w:space="0" w:color="auto"/>
            </w:tcBorders>
            <w:noWrap/>
            <w:vAlign w:val="center"/>
            <w:hideMark/>
          </w:tcPr>
          <w:p w:rsidR="00281CBE" w:rsidRPr="00F55BA6" w:rsidRDefault="00281CBE"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37</w:t>
            </w:r>
          </w:p>
        </w:tc>
        <w:tc>
          <w:tcPr>
            <w:tcW w:w="8492" w:type="dxa"/>
            <w:tcBorders>
              <w:top w:val="nil"/>
              <w:left w:val="nil"/>
              <w:bottom w:val="single" w:sz="4" w:space="0" w:color="auto"/>
              <w:right w:val="single" w:sz="4" w:space="0" w:color="auto"/>
            </w:tcBorders>
            <w:vAlign w:val="center"/>
            <w:hideMark/>
          </w:tcPr>
          <w:p w:rsidR="00281CBE" w:rsidRPr="00F55BA6" w:rsidRDefault="00281CBE"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 xml:space="preserve">Renovarea clădirii și a teritoriului </w:t>
            </w:r>
            <w:r w:rsidRPr="002E461B">
              <w:rPr>
                <w:rFonts w:asciiTheme="majorHAnsi" w:eastAsia="Times New Roman" w:hAnsiTheme="majorHAnsi" w:cstheme="majorHAnsi"/>
                <w:color w:val="000000"/>
                <w:sz w:val="20"/>
                <w:szCs w:val="20"/>
                <w:lang w:val="ro-RO"/>
              </w:rPr>
              <w:t>adiacent ale Spitalului de Stat, str</w:t>
            </w:r>
            <w:r w:rsidRPr="00F55BA6">
              <w:rPr>
                <w:rFonts w:asciiTheme="majorHAnsi" w:eastAsia="Times New Roman" w:hAnsiTheme="majorHAnsi" w:cstheme="majorHAnsi"/>
                <w:color w:val="000000"/>
                <w:sz w:val="20"/>
                <w:szCs w:val="20"/>
                <w:lang w:val="ro-RO"/>
              </w:rPr>
              <w:t>. Drumul Viilor nr.34, municipiul Chișinău</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4.471,4</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4.471,4</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4.409,9</w:t>
            </w:r>
          </w:p>
        </w:tc>
        <w:tc>
          <w:tcPr>
            <w:tcW w:w="1402"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98,6</w:t>
            </w:r>
          </w:p>
        </w:tc>
        <w:tc>
          <w:tcPr>
            <w:tcW w:w="1276"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98,6</w:t>
            </w:r>
          </w:p>
        </w:tc>
      </w:tr>
      <w:tr w:rsidR="00281CBE" w:rsidRPr="00E4517B" w:rsidTr="00281CBE">
        <w:trPr>
          <w:trHeight w:val="70"/>
        </w:trPr>
        <w:tc>
          <w:tcPr>
            <w:tcW w:w="581" w:type="dxa"/>
            <w:tcBorders>
              <w:top w:val="nil"/>
              <w:left w:val="single" w:sz="4" w:space="0" w:color="auto"/>
              <w:bottom w:val="single" w:sz="4" w:space="0" w:color="auto"/>
              <w:right w:val="single" w:sz="4" w:space="0" w:color="auto"/>
            </w:tcBorders>
            <w:noWrap/>
            <w:vAlign w:val="center"/>
            <w:hideMark/>
          </w:tcPr>
          <w:p w:rsidR="00281CBE" w:rsidRPr="00F55BA6" w:rsidRDefault="00281CBE"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38</w:t>
            </w:r>
          </w:p>
        </w:tc>
        <w:tc>
          <w:tcPr>
            <w:tcW w:w="8492" w:type="dxa"/>
            <w:tcBorders>
              <w:top w:val="nil"/>
              <w:left w:val="nil"/>
              <w:bottom w:val="single" w:sz="4" w:space="0" w:color="auto"/>
              <w:right w:val="single" w:sz="4" w:space="0" w:color="auto"/>
            </w:tcBorders>
            <w:vAlign w:val="center"/>
            <w:hideMark/>
          </w:tcPr>
          <w:p w:rsidR="00281CBE" w:rsidRPr="00F55BA6" w:rsidRDefault="00281CBE"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Proiect de investiții capitale SIS nr.4</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6.000,0</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6.000,0</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6.000,0</w:t>
            </w:r>
          </w:p>
        </w:tc>
        <w:tc>
          <w:tcPr>
            <w:tcW w:w="1402"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100,0</w:t>
            </w:r>
          </w:p>
        </w:tc>
        <w:tc>
          <w:tcPr>
            <w:tcW w:w="1276"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100,0</w:t>
            </w:r>
          </w:p>
        </w:tc>
      </w:tr>
      <w:tr w:rsidR="00281CBE" w:rsidRPr="00E4517B" w:rsidTr="00281CBE">
        <w:trPr>
          <w:trHeight w:val="418"/>
        </w:trPr>
        <w:tc>
          <w:tcPr>
            <w:tcW w:w="581" w:type="dxa"/>
            <w:tcBorders>
              <w:top w:val="nil"/>
              <w:left w:val="single" w:sz="4" w:space="0" w:color="auto"/>
              <w:bottom w:val="single" w:sz="4" w:space="0" w:color="auto"/>
              <w:right w:val="single" w:sz="4" w:space="0" w:color="auto"/>
            </w:tcBorders>
            <w:shd w:val="clear" w:color="auto" w:fill="F8CBAD"/>
            <w:noWrap/>
            <w:vAlign w:val="center"/>
            <w:hideMark/>
          </w:tcPr>
          <w:p w:rsidR="00281CBE" w:rsidRPr="00F55BA6" w:rsidRDefault="00281CBE"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 </w:t>
            </w:r>
          </w:p>
        </w:tc>
        <w:tc>
          <w:tcPr>
            <w:tcW w:w="8492" w:type="dxa"/>
            <w:tcBorders>
              <w:top w:val="nil"/>
              <w:left w:val="single" w:sz="4" w:space="0" w:color="auto"/>
              <w:bottom w:val="single" w:sz="4" w:space="0" w:color="auto"/>
              <w:right w:val="single" w:sz="4" w:space="0" w:color="auto"/>
            </w:tcBorders>
            <w:shd w:val="clear" w:color="auto" w:fill="F8CBAD"/>
            <w:vAlign w:val="center"/>
            <w:hideMark/>
          </w:tcPr>
          <w:p w:rsidR="00281CBE" w:rsidRPr="00F55BA6" w:rsidRDefault="00281CBE" w:rsidP="00B51730">
            <w:pPr>
              <w:spacing w:after="0" w:line="240" w:lineRule="auto"/>
              <w:jc w:val="left"/>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Total cu executare 50%-90% -  17 proiecte</w:t>
            </w:r>
          </w:p>
        </w:tc>
        <w:tc>
          <w:tcPr>
            <w:tcW w:w="1175" w:type="dxa"/>
            <w:tcBorders>
              <w:top w:val="nil"/>
              <w:left w:val="nil"/>
              <w:bottom w:val="single" w:sz="4" w:space="0" w:color="auto"/>
              <w:right w:val="single" w:sz="4" w:space="0" w:color="auto"/>
            </w:tcBorders>
            <w:shd w:val="clear" w:color="auto" w:fill="F8CBAD"/>
            <w:vAlign w:val="center"/>
            <w:hideMark/>
          </w:tcPr>
          <w:p w:rsidR="00281CBE" w:rsidRPr="00F55BA6" w:rsidRDefault="00281CBE" w:rsidP="00B51730">
            <w:pPr>
              <w:spacing w:after="0" w:line="240" w:lineRule="auto"/>
              <w:jc w:val="right"/>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681.883,0</w:t>
            </w:r>
          </w:p>
        </w:tc>
        <w:tc>
          <w:tcPr>
            <w:tcW w:w="1175" w:type="dxa"/>
            <w:tcBorders>
              <w:top w:val="nil"/>
              <w:left w:val="nil"/>
              <w:bottom w:val="single" w:sz="4" w:space="0" w:color="auto"/>
              <w:right w:val="single" w:sz="4" w:space="0" w:color="auto"/>
            </w:tcBorders>
            <w:shd w:val="clear" w:color="auto" w:fill="F8CBAD"/>
            <w:vAlign w:val="center"/>
            <w:hideMark/>
          </w:tcPr>
          <w:p w:rsidR="00281CBE" w:rsidRPr="00F55BA6" w:rsidRDefault="00281CBE" w:rsidP="00B51730">
            <w:pPr>
              <w:spacing w:after="0" w:line="240" w:lineRule="auto"/>
              <w:jc w:val="right"/>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532.511,5</w:t>
            </w:r>
          </w:p>
        </w:tc>
        <w:tc>
          <w:tcPr>
            <w:tcW w:w="1175" w:type="dxa"/>
            <w:tcBorders>
              <w:top w:val="nil"/>
              <w:left w:val="nil"/>
              <w:bottom w:val="single" w:sz="4" w:space="0" w:color="auto"/>
              <w:right w:val="single" w:sz="4" w:space="0" w:color="auto"/>
            </w:tcBorders>
            <w:shd w:val="clear" w:color="auto" w:fill="F8CBAD"/>
            <w:vAlign w:val="center"/>
            <w:hideMark/>
          </w:tcPr>
          <w:p w:rsidR="00281CBE" w:rsidRPr="00F55BA6" w:rsidRDefault="00281CBE" w:rsidP="00B51730">
            <w:pPr>
              <w:spacing w:after="0" w:line="240" w:lineRule="auto"/>
              <w:jc w:val="right"/>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427.006,1</w:t>
            </w:r>
          </w:p>
        </w:tc>
        <w:tc>
          <w:tcPr>
            <w:tcW w:w="1402" w:type="dxa"/>
            <w:tcBorders>
              <w:top w:val="nil"/>
              <w:left w:val="nil"/>
              <w:bottom w:val="single" w:sz="4" w:space="0" w:color="auto"/>
              <w:right w:val="single" w:sz="4" w:space="0" w:color="auto"/>
            </w:tcBorders>
            <w:shd w:val="clear" w:color="auto" w:fill="F8CBAD"/>
            <w:vAlign w:val="center"/>
            <w:hideMark/>
          </w:tcPr>
          <w:p w:rsidR="00281CBE" w:rsidRPr="00F55BA6" w:rsidRDefault="00281CBE" w:rsidP="00B51730">
            <w:pPr>
              <w:spacing w:after="0" w:line="240" w:lineRule="auto"/>
              <w:jc w:val="center"/>
              <w:rPr>
                <w:rFonts w:asciiTheme="majorHAnsi" w:eastAsia="Times New Roman" w:hAnsiTheme="majorHAnsi" w:cstheme="majorHAnsi"/>
                <w:b/>
                <w:bCs/>
                <w:sz w:val="20"/>
                <w:szCs w:val="20"/>
                <w:lang w:val="ro-RO"/>
              </w:rPr>
            </w:pPr>
            <w:r w:rsidRPr="00F55BA6">
              <w:rPr>
                <w:rFonts w:asciiTheme="majorHAnsi" w:eastAsia="Times New Roman" w:hAnsiTheme="majorHAnsi" w:cstheme="majorHAnsi"/>
                <w:b/>
                <w:bCs/>
                <w:sz w:val="20"/>
                <w:szCs w:val="20"/>
                <w:lang w:val="ro-RO"/>
              </w:rPr>
              <w:t>62,6</w:t>
            </w:r>
          </w:p>
        </w:tc>
        <w:tc>
          <w:tcPr>
            <w:tcW w:w="1276" w:type="dxa"/>
            <w:tcBorders>
              <w:top w:val="nil"/>
              <w:left w:val="nil"/>
              <w:bottom w:val="single" w:sz="4" w:space="0" w:color="auto"/>
              <w:right w:val="single" w:sz="4" w:space="0" w:color="auto"/>
            </w:tcBorders>
            <w:shd w:val="clear" w:color="auto" w:fill="F8CBAD"/>
            <w:vAlign w:val="center"/>
            <w:hideMark/>
          </w:tcPr>
          <w:p w:rsidR="00281CBE" w:rsidRPr="00F55BA6" w:rsidRDefault="00281CBE" w:rsidP="00B51730">
            <w:pPr>
              <w:spacing w:after="0" w:line="240" w:lineRule="auto"/>
              <w:jc w:val="center"/>
              <w:rPr>
                <w:rFonts w:asciiTheme="majorHAnsi" w:eastAsia="Times New Roman" w:hAnsiTheme="majorHAnsi" w:cstheme="majorHAnsi"/>
                <w:b/>
                <w:bCs/>
                <w:sz w:val="20"/>
                <w:szCs w:val="20"/>
                <w:lang w:val="ro-RO"/>
              </w:rPr>
            </w:pPr>
            <w:r w:rsidRPr="00F55BA6">
              <w:rPr>
                <w:rFonts w:asciiTheme="majorHAnsi" w:eastAsia="Times New Roman" w:hAnsiTheme="majorHAnsi" w:cstheme="majorHAnsi"/>
                <w:b/>
                <w:bCs/>
                <w:sz w:val="20"/>
                <w:szCs w:val="20"/>
                <w:lang w:val="ro-RO"/>
              </w:rPr>
              <w:t>80,2</w:t>
            </w:r>
          </w:p>
        </w:tc>
      </w:tr>
      <w:tr w:rsidR="00281CBE" w:rsidRPr="00E4517B" w:rsidTr="00281CBE">
        <w:trPr>
          <w:trHeight w:val="70"/>
        </w:trPr>
        <w:tc>
          <w:tcPr>
            <w:tcW w:w="581" w:type="dxa"/>
            <w:tcBorders>
              <w:top w:val="nil"/>
              <w:left w:val="single" w:sz="4" w:space="0" w:color="auto"/>
              <w:bottom w:val="single" w:sz="4" w:space="0" w:color="auto"/>
              <w:right w:val="single" w:sz="4" w:space="0" w:color="auto"/>
            </w:tcBorders>
            <w:noWrap/>
            <w:vAlign w:val="center"/>
            <w:hideMark/>
          </w:tcPr>
          <w:p w:rsidR="00281CBE" w:rsidRPr="00F55BA6" w:rsidRDefault="00281CBE"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1</w:t>
            </w:r>
          </w:p>
        </w:tc>
        <w:tc>
          <w:tcPr>
            <w:tcW w:w="8492" w:type="dxa"/>
            <w:tcBorders>
              <w:top w:val="nil"/>
              <w:left w:val="nil"/>
              <w:bottom w:val="single" w:sz="4" w:space="0" w:color="auto"/>
              <w:right w:val="single" w:sz="4" w:space="0" w:color="auto"/>
            </w:tcBorders>
            <w:hideMark/>
          </w:tcPr>
          <w:p w:rsidR="00281CBE" w:rsidRPr="00F55BA6" w:rsidRDefault="00281CBE"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 xml:space="preserve">Construcția blocurilor sanitare la 23 de posturi vamale </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6.620,0</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3.820,9</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3.011,6</w:t>
            </w:r>
          </w:p>
        </w:tc>
        <w:tc>
          <w:tcPr>
            <w:tcW w:w="1402"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45,5</w:t>
            </w:r>
          </w:p>
        </w:tc>
        <w:tc>
          <w:tcPr>
            <w:tcW w:w="1276"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78,8</w:t>
            </w:r>
          </w:p>
        </w:tc>
      </w:tr>
      <w:tr w:rsidR="00281CBE" w:rsidRPr="00E4517B" w:rsidTr="00281CBE">
        <w:trPr>
          <w:trHeight w:val="70"/>
        </w:trPr>
        <w:tc>
          <w:tcPr>
            <w:tcW w:w="581" w:type="dxa"/>
            <w:tcBorders>
              <w:top w:val="nil"/>
              <w:left w:val="single" w:sz="4" w:space="0" w:color="auto"/>
              <w:bottom w:val="single" w:sz="4" w:space="0" w:color="auto"/>
              <w:right w:val="single" w:sz="4" w:space="0" w:color="auto"/>
            </w:tcBorders>
            <w:noWrap/>
            <w:vAlign w:val="center"/>
            <w:hideMark/>
          </w:tcPr>
          <w:p w:rsidR="00281CBE" w:rsidRPr="00F55BA6" w:rsidRDefault="00281CBE"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2</w:t>
            </w:r>
          </w:p>
        </w:tc>
        <w:tc>
          <w:tcPr>
            <w:tcW w:w="8492" w:type="dxa"/>
            <w:tcBorders>
              <w:top w:val="nil"/>
              <w:left w:val="nil"/>
              <w:bottom w:val="single" w:sz="4" w:space="0" w:color="auto"/>
              <w:right w:val="single" w:sz="4" w:space="0" w:color="auto"/>
            </w:tcBorders>
            <w:vAlign w:val="center"/>
            <w:hideMark/>
          </w:tcPr>
          <w:p w:rsidR="00281CBE" w:rsidRPr="00F55BA6" w:rsidRDefault="00281CBE"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 xml:space="preserve">Modernizarea infrastructurii Postului vamal Giurgiulești </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5.265,0</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4.353,2</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2.337,1</w:t>
            </w:r>
          </w:p>
        </w:tc>
        <w:tc>
          <w:tcPr>
            <w:tcW w:w="1402"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44,4</w:t>
            </w:r>
          </w:p>
        </w:tc>
        <w:tc>
          <w:tcPr>
            <w:tcW w:w="1276"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53,7</w:t>
            </w:r>
          </w:p>
        </w:tc>
      </w:tr>
      <w:tr w:rsidR="00281CBE" w:rsidRPr="00E4517B" w:rsidTr="00281CBE">
        <w:trPr>
          <w:trHeight w:val="70"/>
        </w:trPr>
        <w:tc>
          <w:tcPr>
            <w:tcW w:w="581" w:type="dxa"/>
            <w:tcBorders>
              <w:top w:val="nil"/>
              <w:left w:val="single" w:sz="4" w:space="0" w:color="auto"/>
              <w:bottom w:val="single" w:sz="4" w:space="0" w:color="auto"/>
              <w:right w:val="single" w:sz="4" w:space="0" w:color="auto"/>
            </w:tcBorders>
            <w:noWrap/>
            <w:vAlign w:val="center"/>
            <w:hideMark/>
          </w:tcPr>
          <w:p w:rsidR="00281CBE" w:rsidRPr="00F55BA6" w:rsidRDefault="00281CBE"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3</w:t>
            </w:r>
          </w:p>
        </w:tc>
        <w:tc>
          <w:tcPr>
            <w:tcW w:w="8492" w:type="dxa"/>
            <w:tcBorders>
              <w:top w:val="nil"/>
              <w:left w:val="nil"/>
              <w:bottom w:val="single" w:sz="4" w:space="0" w:color="auto"/>
              <w:right w:val="single" w:sz="4" w:space="0" w:color="auto"/>
            </w:tcBorders>
            <w:vAlign w:val="center"/>
            <w:hideMark/>
          </w:tcPr>
          <w:p w:rsidR="00281CBE" w:rsidRPr="00F55BA6" w:rsidRDefault="00281CBE"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Construcția casei de arest din municipiul Bălţi</w:t>
            </w:r>
          </w:p>
        </w:tc>
        <w:tc>
          <w:tcPr>
            <w:tcW w:w="1175" w:type="dxa"/>
            <w:tcBorders>
              <w:top w:val="nil"/>
              <w:left w:val="nil"/>
              <w:bottom w:val="single" w:sz="4" w:space="0" w:color="auto"/>
              <w:right w:val="single" w:sz="4" w:space="0" w:color="auto"/>
            </w:tcBorders>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48.000,0</w:t>
            </w:r>
          </w:p>
        </w:tc>
        <w:tc>
          <w:tcPr>
            <w:tcW w:w="1175" w:type="dxa"/>
            <w:tcBorders>
              <w:top w:val="nil"/>
              <w:left w:val="nil"/>
              <w:bottom w:val="single" w:sz="4" w:space="0" w:color="auto"/>
              <w:right w:val="single" w:sz="4" w:space="0" w:color="auto"/>
            </w:tcBorders>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22.711,0</w:t>
            </w:r>
          </w:p>
        </w:tc>
        <w:tc>
          <w:tcPr>
            <w:tcW w:w="1175" w:type="dxa"/>
            <w:tcBorders>
              <w:top w:val="nil"/>
              <w:left w:val="nil"/>
              <w:bottom w:val="single" w:sz="4" w:space="0" w:color="auto"/>
              <w:right w:val="single" w:sz="4" w:space="0" w:color="auto"/>
            </w:tcBorders>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20.137,6</w:t>
            </w:r>
          </w:p>
        </w:tc>
        <w:tc>
          <w:tcPr>
            <w:tcW w:w="1402"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42,0</w:t>
            </w:r>
          </w:p>
        </w:tc>
        <w:tc>
          <w:tcPr>
            <w:tcW w:w="1276"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88,7</w:t>
            </w:r>
          </w:p>
        </w:tc>
      </w:tr>
      <w:tr w:rsidR="00281CBE" w:rsidRPr="00E4517B" w:rsidTr="00281CBE">
        <w:trPr>
          <w:trHeight w:val="88"/>
        </w:trPr>
        <w:tc>
          <w:tcPr>
            <w:tcW w:w="581" w:type="dxa"/>
            <w:tcBorders>
              <w:top w:val="nil"/>
              <w:left w:val="single" w:sz="4" w:space="0" w:color="auto"/>
              <w:bottom w:val="single" w:sz="4" w:space="0" w:color="auto"/>
              <w:right w:val="single" w:sz="4" w:space="0" w:color="auto"/>
            </w:tcBorders>
            <w:noWrap/>
            <w:vAlign w:val="center"/>
            <w:hideMark/>
          </w:tcPr>
          <w:p w:rsidR="00281CBE" w:rsidRPr="00F55BA6" w:rsidRDefault="00281CBE"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4</w:t>
            </w:r>
          </w:p>
        </w:tc>
        <w:tc>
          <w:tcPr>
            <w:tcW w:w="8492" w:type="dxa"/>
            <w:tcBorders>
              <w:top w:val="nil"/>
              <w:left w:val="nil"/>
              <w:bottom w:val="single" w:sz="4" w:space="0" w:color="auto"/>
              <w:right w:val="single" w:sz="4" w:space="0" w:color="auto"/>
            </w:tcBorders>
            <w:vAlign w:val="center"/>
            <w:hideMark/>
          </w:tcPr>
          <w:p w:rsidR="00281CBE" w:rsidRPr="00F55BA6" w:rsidRDefault="00281CBE"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 xml:space="preserve">Construcția sediului pentru trei subdiviziuni operative ale Inspectoratului Național de Investigații, str. Bucuriei nr.14, municipiul Chișinău </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13.686,8</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13.686,8</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6.895,9</w:t>
            </w:r>
          </w:p>
        </w:tc>
        <w:tc>
          <w:tcPr>
            <w:tcW w:w="1402"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50,4</w:t>
            </w:r>
          </w:p>
        </w:tc>
        <w:tc>
          <w:tcPr>
            <w:tcW w:w="1276"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50,4</w:t>
            </w:r>
          </w:p>
        </w:tc>
      </w:tr>
      <w:tr w:rsidR="00281CBE" w:rsidRPr="00E4517B" w:rsidTr="00281CBE">
        <w:trPr>
          <w:trHeight w:val="165"/>
        </w:trPr>
        <w:tc>
          <w:tcPr>
            <w:tcW w:w="581" w:type="dxa"/>
            <w:tcBorders>
              <w:top w:val="nil"/>
              <w:left w:val="single" w:sz="4" w:space="0" w:color="auto"/>
              <w:bottom w:val="single" w:sz="4" w:space="0" w:color="auto"/>
              <w:right w:val="single" w:sz="4" w:space="0" w:color="auto"/>
            </w:tcBorders>
            <w:noWrap/>
            <w:vAlign w:val="center"/>
            <w:hideMark/>
          </w:tcPr>
          <w:p w:rsidR="00281CBE" w:rsidRPr="00F55BA6" w:rsidRDefault="00281CBE"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5</w:t>
            </w:r>
          </w:p>
        </w:tc>
        <w:tc>
          <w:tcPr>
            <w:tcW w:w="8492" w:type="dxa"/>
            <w:tcBorders>
              <w:top w:val="nil"/>
              <w:left w:val="nil"/>
              <w:bottom w:val="single" w:sz="4" w:space="0" w:color="auto"/>
              <w:right w:val="single" w:sz="4" w:space="0" w:color="auto"/>
            </w:tcBorders>
            <w:vAlign w:val="center"/>
            <w:hideMark/>
          </w:tcPr>
          <w:p w:rsidR="00281CBE" w:rsidRPr="00F55BA6" w:rsidRDefault="00281CBE"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Reconstrucția perimetrului de pază al Penitenciarului nr.10, satul Goian, municipiul Chișinău</w:t>
            </w:r>
          </w:p>
        </w:tc>
        <w:tc>
          <w:tcPr>
            <w:tcW w:w="1175" w:type="dxa"/>
            <w:tcBorders>
              <w:top w:val="nil"/>
              <w:left w:val="nil"/>
              <w:bottom w:val="single" w:sz="4" w:space="0" w:color="auto"/>
              <w:right w:val="single" w:sz="4" w:space="0" w:color="auto"/>
            </w:tcBorders>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0,0</w:t>
            </w:r>
          </w:p>
        </w:tc>
        <w:tc>
          <w:tcPr>
            <w:tcW w:w="1175" w:type="dxa"/>
            <w:tcBorders>
              <w:top w:val="nil"/>
              <w:left w:val="nil"/>
              <w:bottom w:val="single" w:sz="4" w:space="0" w:color="auto"/>
              <w:right w:val="single" w:sz="4" w:space="0" w:color="auto"/>
            </w:tcBorders>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1.000,0</w:t>
            </w:r>
          </w:p>
        </w:tc>
        <w:tc>
          <w:tcPr>
            <w:tcW w:w="1175" w:type="dxa"/>
            <w:tcBorders>
              <w:top w:val="nil"/>
              <w:left w:val="nil"/>
              <w:bottom w:val="single" w:sz="4" w:space="0" w:color="auto"/>
              <w:right w:val="single" w:sz="4" w:space="0" w:color="auto"/>
            </w:tcBorders>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572,5</w:t>
            </w:r>
          </w:p>
        </w:tc>
        <w:tc>
          <w:tcPr>
            <w:tcW w:w="1402"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w:t>
            </w:r>
          </w:p>
        </w:tc>
        <w:tc>
          <w:tcPr>
            <w:tcW w:w="1276"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57,3</w:t>
            </w:r>
          </w:p>
        </w:tc>
      </w:tr>
      <w:tr w:rsidR="00281CBE" w:rsidRPr="00E4517B" w:rsidTr="00281CBE">
        <w:trPr>
          <w:trHeight w:val="70"/>
        </w:trPr>
        <w:tc>
          <w:tcPr>
            <w:tcW w:w="581" w:type="dxa"/>
            <w:tcBorders>
              <w:top w:val="nil"/>
              <w:left w:val="single" w:sz="4" w:space="0" w:color="auto"/>
              <w:bottom w:val="single" w:sz="4" w:space="0" w:color="auto"/>
              <w:right w:val="single" w:sz="4" w:space="0" w:color="auto"/>
            </w:tcBorders>
            <w:noWrap/>
            <w:vAlign w:val="center"/>
            <w:hideMark/>
          </w:tcPr>
          <w:p w:rsidR="00281CBE" w:rsidRPr="00F55BA6" w:rsidRDefault="00281CBE"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6</w:t>
            </w:r>
          </w:p>
        </w:tc>
        <w:tc>
          <w:tcPr>
            <w:tcW w:w="8492" w:type="dxa"/>
            <w:tcBorders>
              <w:top w:val="nil"/>
              <w:left w:val="nil"/>
              <w:bottom w:val="single" w:sz="4" w:space="0" w:color="auto"/>
              <w:right w:val="single" w:sz="4" w:space="0" w:color="auto"/>
            </w:tcBorders>
            <w:vAlign w:val="center"/>
            <w:hideMark/>
          </w:tcPr>
          <w:p w:rsidR="00281CBE" w:rsidRPr="00F55BA6" w:rsidRDefault="00281CBE"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Construcția sediului Sectorului Poliției de Frontieră Soroca</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2.104,1</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2.002,1</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1.552,1</w:t>
            </w:r>
          </w:p>
        </w:tc>
        <w:tc>
          <w:tcPr>
            <w:tcW w:w="1402"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73,8</w:t>
            </w:r>
          </w:p>
        </w:tc>
        <w:tc>
          <w:tcPr>
            <w:tcW w:w="1276"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77,5</w:t>
            </w:r>
          </w:p>
        </w:tc>
      </w:tr>
      <w:tr w:rsidR="00281CBE" w:rsidRPr="00E4517B" w:rsidTr="00281CBE">
        <w:trPr>
          <w:trHeight w:val="106"/>
        </w:trPr>
        <w:tc>
          <w:tcPr>
            <w:tcW w:w="581" w:type="dxa"/>
            <w:tcBorders>
              <w:top w:val="nil"/>
              <w:left w:val="single" w:sz="4" w:space="0" w:color="auto"/>
              <w:bottom w:val="single" w:sz="4" w:space="0" w:color="auto"/>
              <w:right w:val="single" w:sz="4" w:space="0" w:color="auto"/>
            </w:tcBorders>
            <w:noWrap/>
            <w:vAlign w:val="center"/>
            <w:hideMark/>
          </w:tcPr>
          <w:p w:rsidR="00281CBE" w:rsidRPr="00F55BA6" w:rsidRDefault="00281CBE"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7</w:t>
            </w:r>
          </w:p>
        </w:tc>
        <w:tc>
          <w:tcPr>
            <w:tcW w:w="8492" w:type="dxa"/>
            <w:tcBorders>
              <w:top w:val="nil"/>
              <w:left w:val="nil"/>
              <w:bottom w:val="single" w:sz="4" w:space="0" w:color="auto"/>
              <w:right w:val="single" w:sz="4" w:space="0" w:color="auto"/>
            </w:tcBorders>
            <w:vAlign w:val="center"/>
            <w:hideMark/>
          </w:tcPr>
          <w:p w:rsidR="00281CBE" w:rsidRPr="00F55BA6" w:rsidRDefault="00281CBE"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 xml:space="preserve">Construcția sediului Dispeceratului Regional pentru Situații de Urgență Nord, municipiul Bălți </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1.170,0</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1.170,0</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916,2</w:t>
            </w:r>
          </w:p>
        </w:tc>
        <w:tc>
          <w:tcPr>
            <w:tcW w:w="1402"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78,3</w:t>
            </w:r>
          </w:p>
        </w:tc>
        <w:tc>
          <w:tcPr>
            <w:tcW w:w="1276"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78,3</w:t>
            </w:r>
          </w:p>
        </w:tc>
      </w:tr>
      <w:tr w:rsidR="00281CBE" w:rsidRPr="00E4517B" w:rsidTr="00281CBE">
        <w:trPr>
          <w:trHeight w:val="311"/>
        </w:trPr>
        <w:tc>
          <w:tcPr>
            <w:tcW w:w="581" w:type="dxa"/>
            <w:tcBorders>
              <w:top w:val="nil"/>
              <w:left w:val="single" w:sz="4" w:space="0" w:color="auto"/>
              <w:bottom w:val="single" w:sz="4" w:space="0" w:color="auto"/>
              <w:right w:val="single" w:sz="4" w:space="0" w:color="auto"/>
            </w:tcBorders>
            <w:noWrap/>
            <w:vAlign w:val="center"/>
            <w:hideMark/>
          </w:tcPr>
          <w:p w:rsidR="00281CBE" w:rsidRPr="00F55BA6" w:rsidRDefault="00281CBE"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8</w:t>
            </w:r>
          </w:p>
        </w:tc>
        <w:tc>
          <w:tcPr>
            <w:tcW w:w="8492" w:type="dxa"/>
            <w:tcBorders>
              <w:top w:val="nil"/>
              <w:left w:val="nil"/>
              <w:bottom w:val="single" w:sz="4" w:space="0" w:color="auto"/>
              <w:right w:val="single" w:sz="4" w:space="0" w:color="auto"/>
            </w:tcBorders>
            <w:vAlign w:val="center"/>
            <w:hideMark/>
          </w:tcPr>
          <w:p w:rsidR="00281CBE" w:rsidRPr="00F55BA6" w:rsidRDefault="00281CBE"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Reconstrucția Centrului Republican de Instruire pentru Pompieri și Salvatori, satul Răzeni, raionul Ialoveni</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1.476,0</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1.476,0</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1.152,0</w:t>
            </w:r>
          </w:p>
        </w:tc>
        <w:tc>
          <w:tcPr>
            <w:tcW w:w="1402"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78,0</w:t>
            </w:r>
          </w:p>
        </w:tc>
        <w:tc>
          <w:tcPr>
            <w:tcW w:w="1276"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78,0</w:t>
            </w:r>
          </w:p>
        </w:tc>
      </w:tr>
      <w:tr w:rsidR="00281CBE" w:rsidRPr="00E4517B" w:rsidTr="00281CBE">
        <w:trPr>
          <w:trHeight w:val="105"/>
        </w:trPr>
        <w:tc>
          <w:tcPr>
            <w:tcW w:w="581" w:type="dxa"/>
            <w:tcBorders>
              <w:top w:val="nil"/>
              <w:left w:val="single" w:sz="4" w:space="0" w:color="auto"/>
              <w:bottom w:val="single" w:sz="4" w:space="0" w:color="auto"/>
              <w:right w:val="single" w:sz="4" w:space="0" w:color="auto"/>
            </w:tcBorders>
            <w:noWrap/>
            <w:vAlign w:val="center"/>
            <w:hideMark/>
          </w:tcPr>
          <w:p w:rsidR="00281CBE" w:rsidRPr="00F55BA6" w:rsidRDefault="00281CBE"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9</w:t>
            </w:r>
          </w:p>
        </w:tc>
        <w:tc>
          <w:tcPr>
            <w:tcW w:w="8492" w:type="dxa"/>
            <w:tcBorders>
              <w:top w:val="nil"/>
              <w:left w:val="nil"/>
              <w:bottom w:val="single" w:sz="4" w:space="0" w:color="auto"/>
              <w:right w:val="single" w:sz="4" w:space="0" w:color="auto"/>
            </w:tcBorders>
            <w:vAlign w:val="center"/>
            <w:hideMark/>
          </w:tcPr>
          <w:p w:rsidR="00281CBE" w:rsidRPr="00F55BA6" w:rsidRDefault="00281CBE"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Proiectul „Reabilitarea drumurilor locale”</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512.450,0</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402.450,0</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335.613,9</w:t>
            </w:r>
          </w:p>
        </w:tc>
        <w:tc>
          <w:tcPr>
            <w:tcW w:w="1402"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65,5</w:t>
            </w:r>
          </w:p>
        </w:tc>
        <w:tc>
          <w:tcPr>
            <w:tcW w:w="1276"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83,4</w:t>
            </w:r>
          </w:p>
        </w:tc>
      </w:tr>
      <w:tr w:rsidR="00281CBE" w:rsidRPr="00E4517B" w:rsidTr="00281CBE">
        <w:trPr>
          <w:trHeight w:val="138"/>
        </w:trPr>
        <w:tc>
          <w:tcPr>
            <w:tcW w:w="581" w:type="dxa"/>
            <w:tcBorders>
              <w:top w:val="nil"/>
              <w:left w:val="single" w:sz="4" w:space="0" w:color="auto"/>
              <w:bottom w:val="single" w:sz="4" w:space="0" w:color="auto"/>
              <w:right w:val="single" w:sz="4" w:space="0" w:color="auto"/>
            </w:tcBorders>
            <w:noWrap/>
            <w:vAlign w:val="center"/>
            <w:hideMark/>
          </w:tcPr>
          <w:p w:rsidR="00281CBE" w:rsidRPr="00F55BA6" w:rsidRDefault="00281CBE"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10</w:t>
            </w:r>
          </w:p>
        </w:tc>
        <w:tc>
          <w:tcPr>
            <w:tcW w:w="8492" w:type="dxa"/>
            <w:tcBorders>
              <w:top w:val="nil"/>
              <w:left w:val="nil"/>
              <w:bottom w:val="single" w:sz="4" w:space="0" w:color="auto"/>
              <w:right w:val="single" w:sz="4" w:space="0" w:color="auto"/>
            </w:tcBorders>
            <w:vAlign w:val="center"/>
            <w:hideMark/>
          </w:tcPr>
          <w:p w:rsidR="00281CBE" w:rsidRPr="00F55BA6" w:rsidRDefault="00281CBE"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Proiectul „Programul de reziliență rurală (IFAD VII)”</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22.207,1</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9.407,1</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5.333,2</w:t>
            </w:r>
          </w:p>
        </w:tc>
        <w:tc>
          <w:tcPr>
            <w:tcW w:w="1402"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24,0</w:t>
            </w:r>
          </w:p>
        </w:tc>
        <w:tc>
          <w:tcPr>
            <w:tcW w:w="1276"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56,7</w:t>
            </w:r>
          </w:p>
        </w:tc>
      </w:tr>
      <w:tr w:rsidR="00281CBE" w:rsidRPr="00E4517B" w:rsidTr="00281CBE">
        <w:trPr>
          <w:trHeight w:val="70"/>
        </w:trPr>
        <w:tc>
          <w:tcPr>
            <w:tcW w:w="581" w:type="dxa"/>
            <w:tcBorders>
              <w:top w:val="nil"/>
              <w:left w:val="single" w:sz="4" w:space="0" w:color="auto"/>
              <w:bottom w:val="single" w:sz="4" w:space="0" w:color="auto"/>
              <w:right w:val="single" w:sz="4" w:space="0" w:color="auto"/>
            </w:tcBorders>
            <w:noWrap/>
            <w:vAlign w:val="center"/>
            <w:hideMark/>
          </w:tcPr>
          <w:p w:rsidR="00281CBE" w:rsidRPr="00F55BA6" w:rsidRDefault="00281CBE"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11</w:t>
            </w:r>
          </w:p>
        </w:tc>
        <w:tc>
          <w:tcPr>
            <w:tcW w:w="8492" w:type="dxa"/>
            <w:tcBorders>
              <w:top w:val="nil"/>
              <w:left w:val="nil"/>
              <w:bottom w:val="single" w:sz="4" w:space="0" w:color="auto"/>
              <w:right w:val="single" w:sz="4" w:space="0" w:color="auto"/>
            </w:tcBorders>
            <w:vAlign w:val="center"/>
            <w:hideMark/>
          </w:tcPr>
          <w:p w:rsidR="00281CBE" w:rsidRPr="00F55BA6" w:rsidRDefault="00281CBE"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Proiectul „Construcţia locuinţelor sociale II”</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10.104,0</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18.029,5</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10.409,1</w:t>
            </w:r>
          </w:p>
        </w:tc>
        <w:tc>
          <w:tcPr>
            <w:tcW w:w="1402"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103,0</w:t>
            </w:r>
          </w:p>
        </w:tc>
        <w:tc>
          <w:tcPr>
            <w:tcW w:w="1276"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57,7</w:t>
            </w:r>
          </w:p>
        </w:tc>
      </w:tr>
      <w:tr w:rsidR="00281CBE" w:rsidRPr="00E4517B" w:rsidTr="00281CBE">
        <w:trPr>
          <w:trHeight w:val="70"/>
        </w:trPr>
        <w:tc>
          <w:tcPr>
            <w:tcW w:w="581" w:type="dxa"/>
            <w:tcBorders>
              <w:top w:val="nil"/>
              <w:left w:val="single" w:sz="4" w:space="0" w:color="auto"/>
              <w:bottom w:val="single" w:sz="4" w:space="0" w:color="auto"/>
              <w:right w:val="single" w:sz="4" w:space="0" w:color="auto"/>
            </w:tcBorders>
            <w:noWrap/>
            <w:vAlign w:val="center"/>
            <w:hideMark/>
          </w:tcPr>
          <w:p w:rsidR="00281CBE" w:rsidRPr="00F55BA6" w:rsidRDefault="00281CBE"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12</w:t>
            </w:r>
          </w:p>
        </w:tc>
        <w:tc>
          <w:tcPr>
            <w:tcW w:w="8492" w:type="dxa"/>
            <w:tcBorders>
              <w:top w:val="nil"/>
              <w:left w:val="nil"/>
              <w:bottom w:val="single" w:sz="4" w:space="0" w:color="auto"/>
              <w:right w:val="single" w:sz="4" w:space="0" w:color="auto"/>
            </w:tcBorders>
            <w:vAlign w:val="center"/>
            <w:hideMark/>
          </w:tcPr>
          <w:p w:rsidR="00281CBE" w:rsidRPr="00F55BA6" w:rsidRDefault="00281CBE"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Reconstrucţia căminului pentru sportivi al Centrului Sportiv de Pregătire a Loturilor Naționale, bd. Decebal nr.72/2, municipiul Chişinău</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0,0</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5.354,9</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4.297,9</w:t>
            </w:r>
          </w:p>
        </w:tc>
        <w:tc>
          <w:tcPr>
            <w:tcW w:w="1402"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w:t>
            </w:r>
          </w:p>
        </w:tc>
        <w:tc>
          <w:tcPr>
            <w:tcW w:w="1276"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80,3</w:t>
            </w:r>
          </w:p>
        </w:tc>
      </w:tr>
      <w:tr w:rsidR="00281CBE" w:rsidRPr="00E4517B" w:rsidTr="00281CBE">
        <w:trPr>
          <w:trHeight w:val="124"/>
        </w:trPr>
        <w:tc>
          <w:tcPr>
            <w:tcW w:w="581" w:type="dxa"/>
            <w:tcBorders>
              <w:top w:val="nil"/>
              <w:left w:val="single" w:sz="4" w:space="0" w:color="auto"/>
              <w:bottom w:val="single" w:sz="4" w:space="0" w:color="auto"/>
              <w:right w:val="single" w:sz="4" w:space="0" w:color="auto"/>
            </w:tcBorders>
            <w:noWrap/>
            <w:vAlign w:val="center"/>
            <w:hideMark/>
          </w:tcPr>
          <w:p w:rsidR="00281CBE" w:rsidRPr="00F55BA6" w:rsidRDefault="00281CBE"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13</w:t>
            </w:r>
          </w:p>
        </w:tc>
        <w:tc>
          <w:tcPr>
            <w:tcW w:w="8492" w:type="dxa"/>
            <w:tcBorders>
              <w:top w:val="nil"/>
              <w:left w:val="nil"/>
              <w:bottom w:val="single" w:sz="4" w:space="0" w:color="auto"/>
              <w:right w:val="single" w:sz="4" w:space="0" w:color="auto"/>
            </w:tcBorders>
            <w:vAlign w:val="center"/>
            <w:hideMark/>
          </w:tcPr>
          <w:p w:rsidR="00281CBE" w:rsidRPr="00F55BA6" w:rsidRDefault="00281CBE"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Reconstrucția și modernizarea clădirilor Centrului de Excelență în Energetică și Electronică, str. Melestiu nr.12, municipiul Chișinău</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16.000,0</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18.000,0</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11.709,5</w:t>
            </w:r>
          </w:p>
        </w:tc>
        <w:tc>
          <w:tcPr>
            <w:tcW w:w="1402"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73,2</w:t>
            </w:r>
          </w:p>
        </w:tc>
        <w:tc>
          <w:tcPr>
            <w:tcW w:w="1276"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65,1</w:t>
            </w:r>
          </w:p>
        </w:tc>
      </w:tr>
      <w:tr w:rsidR="00281CBE" w:rsidRPr="00E4517B" w:rsidTr="00281CBE">
        <w:trPr>
          <w:trHeight w:val="70"/>
        </w:trPr>
        <w:tc>
          <w:tcPr>
            <w:tcW w:w="581" w:type="dxa"/>
            <w:tcBorders>
              <w:top w:val="nil"/>
              <w:left w:val="single" w:sz="4" w:space="0" w:color="auto"/>
              <w:bottom w:val="single" w:sz="4" w:space="0" w:color="auto"/>
              <w:right w:val="single" w:sz="4" w:space="0" w:color="auto"/>
            </w:tcBorders>
            <w:noWrap/>
            <w:vAlign w:val="center"/>
            <w:hideMark/>
          </w:tcPr>
          <w:p w:rsidR="00281CBE" w:rsidRPr="00F55BA6" w:rsidRDefault="00281CBE"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14</w:t>
            </w:r>
          </w:p>
        </w:tc>
        <w:tc>
          <w:tcPr>
            <w:tcW w:w="8492" w:type="dxa"/>
            <w:tcBorders>
              <w:top w:val="nil"/>
              <w:left w:val="nil"/>
              <w:bottom w:val="single" w:sz="4" w:space="0" w:color="auto"/>
              <w:right w:val="single" w:sz="4" w:space="0" w:color="auto"/>
            </w:tcBorders>
            <w:vAlign w:val="center"/>
            <w:hideMark/>
          </w:tcPr>
          <w:p w:rsidR="00281CBE" w:rsidRPr="00F55BA6" w:rsidRDefault="00281CBE"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Construcția Unității de primiri urgente a Institutului de Medicină Urgentă, str. Toma Ciorbă nr.1, municipiul Chișinău</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24.057,0</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14.057,0</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11.026,8</w:t>
            </w:r>
          </w:p>
        </w:tc>
        <w:tc>
          <w:tcPr>
            <w:tcW w:w="1402"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45,8</w:t>
            </w:r>
          </w:p>
        </w:tc>
        <w:tc>
          <w:tcPr>
            <w:tcW w:w="1276"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78,4</w:t>
            </w:r>
          </w:p>
        </w:tc>
      </w:tr>
      <w:tr w:rsidR="00281CBE" w:rsidRPr="00E4517B" w:rsidTr="00281CBE">
        <w:trPr>
          <w:trHeight w:val="123"/>
        </w:trPr>
        <w:tc>
          <w:tcPr>
            <w:tcW w:w="581" w:type="dxa"/>
            <w:tcBorders>
              <w:top w:val="nil"/>
              <w:left w:val="single" w:sz="4" w:space="0" w:color="auto"/>
              <w:bottom w:val="single" w:sz="4" w:space="0" w:color="auto"/>
              <w:right w:val="single" w:sz="4" w:space="0" w:color="auto"/>
            </w:tcBorders>
            <w:noWrap/>
            <w:vAlign w:val="center"/>
            <w:hideMark/>
          </w:tcPr>
          <w:p w:rsidR="00281CBE" w:rsidRPr="00F55BA6" w:rsidRDefault="00281CBE"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15</w:t>
            </w:r>
          </w:p>
        </w:tc>
        <w:tc>
          <w:tcPr>
            <w:tcW w:w="8492" w:type="dxa"/>
            <w:tcBorders>
              <w:top w:val="nil"/>
              <w:left w:val="nil"/>
              <w:bottom w:val="single" w:sz="4" w:space="0" w:color="auto"/>
              <w:right w:val="single" w:sz="4" w:space="0" w:color="auto"/>
            </w:tcBorders>
            <w:hideMark/>
          </w:tcPr>
          <w:p w:rsidR="00281CBE" w:rsidRPr="00F55BA6" w:rsidRDefault="00281CBE" w:rsidP="00C73DDF">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Construcţia blocului locativ pentru participanţii la lichidarea consecinţelor avariei de la CAE Cernob</w:t>
            </w:r>
            <w:r w:rsidR="00C73DDF">
              <w:rPr>
                <w:rFonts w:asciiTheme="majorHAnsi" w:eastAsia="Times New Roman" w:hAnsiTheme="majorHAnsi" w:cstheme="majorHAnsi"/>
                <w:color w:val="000000"/>
                <w:sz w:val="20"/>
                <w:szCs w:val="20"/>
                <w:lang w:val="ro-RO"/>
              </w:rPr>
              <w:t>â</w:t>
            </w:r>
            <w:r w:rsidRPr="00F55BA6">
              <w:rPr>
                <w:rFonts w:asciiTheme="majorHAnsi" w:eastAsia="Times New Roman" w:hAnsiTheme="majorHAnsi" w:cstheme="majorHAnsi"/>
                <w:color w:val="000000"/>
                <w:sz w:val="20"/>
                <w:szCs w:val="20"/>
                <w:lang w:val="ro-RO"/>
              </w:rPr>
              <w:t>l, str. Alba Iulia nr.91/3, municipiul Chişinău</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385,0</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635,0</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499,4</w:t>
            </w:r>
          </w:p>
        </w:tc>
        <w:tc>
          <w:tcPr>
            <w:tcW w:w="1402"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129,7</w:t>
            </w:r>
          </w:p>
        </w:tc>
        <w:tc>
          <w:tcPr>
            <w:tcW w:w="1276"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78,6</w:t>
            </w:r>
          </w:p>
        </w:tc>
      </w:tr>
      <w:tr w:rsidR="00281CBE" w:rsidRPr="00E4517B" w:rsidTr="00281CBE">
        <w:trPr>
          <w:trHeight w:val="70"/>
        </w:trPr>
        <w:tc>
          <w:tcPr>
            <w:tcW w:w="581" w:type="dxa"/>
            <w:tcBorders>
              <w:top w:val="nil"/>
              <w:left w:val="single" w:sz="4" w:space="0" w:color="auto"/>
              <w:bottom w:val="single" w:sz="4" w:space="0" w:color="auto"/>
              <w:right w:val="single" w:sz="4" w:space="0" w:color="auto"/>
            </w:tcBorders>
            <w:noWrap/>
            <w:vAlign w:val="center"/>
            <w:hideMark/>
          </w:tcPr>
          <w:p w:rsidR="00281CBE" w:rsidRPr="00F55BA6" w:rsidRDefault="00281CBE"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16</w:t>
            </w:r>
          </w:p>
        </w:tc>
        <w:tc>
          <w:tcPr>
            <w:tcW w:w="8492" w:type="dxa"/>
            <w:tcBorders>
              <w:top w:val="nil"/>
              <w:left w:val="nil"/>
              <w:bottom w:val="single" w:sz="4" w:space="0" w:color="auto"/>
              <w:right w:val="single" w:sz="4" w:space="0" w:color="auto"/>
            </w:tcBorders>
            <w:vAlign w:val="center"/>
            <w:hideMark/>
          </w:tcPr>
          <w:p w:rsidR="00281CBE" w:rsidRPr="00F55BA6" w:rsidRDefault="00281CBE"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 xml:space="preserve">Construcţia sediului Centrului Național pentru Determinarea Dizabilității și Capacității de Muncă, str. Alexandru Hâjdeu nr.49, municipiul Chişinău </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8.260,0</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6.260,0</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4.818,0</w:t>
            </w:r>
          </w:p>
        </w:tc>
        <w:tc>
          <w:tcPr>
            <w:tcW w:w="1402"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58,3</w:t>
            </w:r>
          </w:p>
        </w:tc>
        <w:tc>
          <w:tcPr>
            <w:tcW w:w="1276"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77,0</w:t>
            </w:r>
          </w:p>
        </w:tc>
      </w:tr>
      <w:tr w:rsidR="00281CBE" w:rsidRPr="00E4517B" w:rsidTr="00281CBE">
        <w:trPr>
          <w:trHeight w:val="510"/>
        </w:trPr>
        <w:tc>
          <w:tcPr>
            <w:tcW w:w="581" w:type="dxa"/>
            <w:tcBorders>
              <w:top w:val="nil"/>
              <w:left w:val="single" w:sz="4" w:space="0" w:color="auto"/>
              <w:bottom w:val="single" w:sz="4" w:space="0" w:color="auto"/>
              <w:right w:val="single" w:sz="4" w:space="0" w:color="auto"/>
            </w:tcBorders>
            <w:noWrap/>
            <w:vAlign w:val="center"/>
            <w:hideMark/>
          </w:tcPr>
          <w:p w:rsidR="00281CBE" w:rsidRPr="00F55BA6" w:rsidRDefault="00281CBE"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lastRenderedPageBreak/>
              <w:t>17</w:t>
            </w:r>
          </w:p>
        </w:tc>
        <w:tc>
          <w:tcPr>
            <w:tcW w:w="8492" w:type="dxa"/>
            <w:tcBorders>
              <w:top w:val="nil"/>
              <w:left w:val="nil"/>
              <w:bottom w:val="single" w:sz="4" w:space="0" w:color="auto"/>
              <w:right w:val="single" w:sz="4" w:space="0" w:color="auto"/>
            </w:tcBorders>
            <w:vAlign w:val="center"/>
            <w:hideMark/>
          </w:tcPr>
          <w:p w:rsidR="00281CBE" w:rsidRPr="00F55BA6" w:rsidRDefault="00281CBE"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Construcția blocului de studii al Liceului Teoretic „Mihai Eminescu” din municipiul Comrat</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10.098,0</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8.098,0</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6.723,3</w:t>
            </w:r>
          </w:p>
        </w:tc>
        <w:tc>
          <w:tcPr>
            <w:tcW w:w="1402"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66,6</w:t>
            </w:r>
          </w:p>
        </w:tc>
        <w:tc>
          <w:tcPr>
            <w:tcW w:w="1276"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83,0</w:t>
            </w:r>
          </w:p>
        </w:tc>
      </w:tr>
      <w:tr w:rsidR="00281CBE" w:rsidRPr="00E4517B" w:rsidTr="00281CBE">
        <w:trPr>
          <w:trHeight w:val="429"/>
        </w:trPr>
        <w:tc>
          <w:tcPr>
            <w:tcW w:w="581" w:type="dxa"/>
            <w:tcBorders>
              <w:top w:val="nil"/>
              <w:left w:val="single" w:sz="4" w:space="0" w:color="auto"/>
              <w:bottom w:val="single" w:sz="4" w:space="0" w:color="auto"/>
              <w:right w:val="single" w:sz="4" w:space="0" w:color="auto"/>
            </w:tcBorders>
            <w:shd w:val="clear" w:color="auto" w:fill="F8CBAD"/>
            <w:noWrap/>
            <w:vAlign w:val="center"/>
            <w:hideMark/>
          </w:tcPr>
          <w:p w:rsidR="00281CBE" w:rsidRPr="00F55BA6" w:rsidRDefault="00281CBE"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 </w:t>
            </w:r>
          </w:p>
        </w:tc>
        <w:tc>
          <w:tcPr>
            <w:tcW w:w="8492" w:type="dxa"/>
            <w:tcBorders>
              <w:top w:val="nil"/>
              <w:left w:val="single" w:sz="4" w:space="0" w:color="auto"/>
              <w:bottom w:val="single" w:sz="4" w:space="0" w:color="auto"/>
              <w:right w:val="single" w:sz="4" w:space="0" w:color="auto"/>
            </w:tcBorders>
            <w:shd w:val="clear" w:color="auto" w:fill="F8CBAD"/>
            <w:vAlign w:val="center"/>
            <w:hideMark/>
          </w:tcPr>
          <w:p w:rsidR="00281CBE" w:rsidRPr="00F55BA6" w:rsidRDefault="00281CBE" w:rsidP="00B51730">
            <w:pPr>
              <w:spacing w:after="0" w:line="240" w:lineRule="auto"/>
              <w:jc w:val="left"/>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Total cu executare 0,1%-50% - 9 proiecte</w:t>
            </w:r>
          </w:p>
        </w:tc>
        <w:tc>
          <w:tcPr>
            <w:tcW w:w="1175" w:type="dxa"/>
            <w:tcBorders>
              <w:top w:val="nil"/>
              <w:left w:val="nil"/>
              <w:bottom w:val="single" w:sz="4" w:space="0" w:color="auto"/>
              <w:right w:val="single" w:sz="4" w:space="0" w:color="auto"/>
            </w:tcBorders>
            <w:shd w:val="clear" w:color="auto" w:fill="F8CBAD"/>
            <w:vAlign w:val="center"/>
            <w:hideMark/>
          </w:tcPr>
          <w:p w:rsidR="00281CBE" w:rsidRPr="00F55BA6" w:rsidRDefault="00281CBE" w:rsidP="00B51730">
            <w:pPr>
              <w:spacing w:after="0" w:line="240" w:lineRule="auto"/>
              <w:jc w:val="right"/>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59.995,8</w:t>
            </w:r>
          </w:p>
        </w:tc>
        <w:tc>
          <w:tcPr>
            <w:tcW w:w="1175" w:type="dxa"/>
            <w:tcBorders>
              <w:top w:val="nil"/>
              <w:left w:val="nil"/>
              <w:bottom w:val="single" w:sz="4" w:space="0" w:color="auto"/>
              <w:right w:val="single" w:sz="4" w:space="0" w:color="auto"/>
            </w:tcBorders>
            <w:shd w:val="clear" w:color="auto" w:fill="F8CBAD"/>
            <w:vAlign w:val="center"/>
            <w:hideMark/>
          </w:tcPr>
          <w:p w:rsidR="00281CBE" w:rsidRPr="00F55BA6" w:rsidRDefault="00281CBE" w:rsidP="00B51730">
            <w:pPr>
              <w:spacing w:after="0" w:line="240" w:lineRule="auto"/>
              <w:jc w:val="right"/>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54.579,9</w:t>
            </w:r>
          </w:p>
        </w:tc>
        <w:tc>
          <w:tcPr>
            <w:tcW w:w="1175" w:type="dxa"/>
            <w:tcBorders>
              <w:top w:val="nil"/>
              <w:left w:val="nil"/>
              <w:bottom w:val="single" w:sz="4" w:space="0" w:color="auto"/>
              <w:right w:val="single" w:sz="4" w:space="0" w:color="auto"/>
            </w:tcBorders>
            <w:shd w:val="clear" w:color="auto" w:fill="F8CBAD"/>
            <w:vAlign w:val="center"/>
            <w:hideMark/>
          </w:tcPr>
          <w:p w:rsidR="00281CBE" w:rsidRPr="00F55BA6" w:rsidRDefault="00281CBE" w:rsidP="00B51730">
            <w:pPr>
              <w:spacing w:after="0" w:line="240" w:lineRule="auto"/>
              <w:jc w:val="right"/>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16.737,1</w:t>
            </w:r>
          </w:p>
        </w:tc>
        <w:tc>
          <w:tcPr>
            <w:tcW w:w="1402" w:type="dxa"/>
            <w:tcBorders>
              <w:top w:val="nil"/>
              <w:left w:val="nil"/>
              <w:bottom w:val="single" w:sz="4" w:space="0" w:color="auto"/>
              <w:right w:val="single" w:sz="4" w:space="0" w:color="auto"/>
            </w:tcBorders>
            <w:shd w:val="clear" w:color="auto" w:fill="F8CBAD"/>
            <w:vAlign w:val="center"/>
            <w:hideMark/>
          </w:tcPr>
          <w:p w:rsidR="00281CBE" w:rsidRPr="00F55BA6" w:rsidRDefault="00281CBE" w:rsidP="00B51730">
            <w:pPr>
              <w:spacing w:after="0" w:line="240" w:lineRule="auto"/>
              <w:jc w:val="center"/>
              <w:rPr>
                <w:rFonts w:asciiTheme="majorHAnsi" w:eastAsia="Times New Roman" w:hAnsiTheme="majorHAnsi" w:cstheme="majorHAnsi"/>
                <w:b/>
                <w:bCs/>
                <w:sz w:val="20"/>
                <w:szCs w:val="20"/>
                <w:lang w:val="ro-RO"/>
              </w:rPr>
            </w:pPr>
            <w:r w:rsidRPr="00F55BA6">
              <w:rPr>
                <w:rFonts w:asciiTheme="majorHAnsi" w:eastAsia="Times New Roman" w:hAnsiTheme="majorHAnsi" w:cstheme="majorHAnsi"/>
                <w:b/>
                <w:bCs/>
                <w:sz w:val="20"/>
                <w:szCs w:val="20"/>
                <w:lang w:val="ro-RO"/>
              </w:rPr>
              <w:t>27,9</w:t>
            </w:r>
          </w:p>
        </w:tc>
        <w:tc>
          <w:tcPr>
            <w:tcW w:w="1276" w:type="dxa"/>
            <w:tcBorders>
              <w:top w:val="nil"/>
              <w:left w:val="nil"/>
              <w:bottom w:val="single" w:sz="4" w:space="0" w:color="auto"/>
              <w:right w:val="single" w:sz="4" w:space="0" w:color="auto"/>
            </w:tcBorders>
            <w:shd w:val="clear" w:color="auto" w:fill="F8CBAD"/>
            <w:vAlign w:val="center"/>
            <w:hideMark/>
          </w:tcPr>
          <w:p w:rsidR="00281CBE" w:rsidRPr="00F55BA6" w:rsidRDefault="00281CBE" w:rsidP="00B51730">
            <w:pPr>
              <w:spacing w:after="0" w:line="240" w:lineRule="auto"/>
              <w:jc w:val="center"/>
              <w:rPr>
                <w:rFonts w:asciiTheme="majorHAnsi" w:eastAsia="Times New Roman" w:hAnsiTheme="majorHAnsi" w:cstheme="majorHAnsi"/>
                <w:b/>
                <w:bCs/>
                <w:sz w:val="20"/>
                <w:szCs w:val="20"/>
                <w:lang w:val="ro-RO"/>
              </w:rPr>
            </w:pPr>
            <w:r w:rsidRPr="00F55BA6">
              <w:rPr>
                <w:rFonts w:asciiTheme="majorHAnsi" w:eastAsia="Times New Roman" w:hAnsiTheme="majorHAnsi" w:cstheme="majorHAnsi"/>
                <w:b/>
                <w:bCs/>
                <w:sz w:val="20"/>
                <w:szCs w:val="20"/>
                <w:lang w:val="ro-RO"/>
              </w:rPr>
              <w:t>30,7</w:t>
            </w:r>
          </w:p>
        </w:tc>
      </w:tr>
      <w:tr w:rsidR="00281CBE" w:rsidRPr="00E4517B" w:rsidTr="00281CBE">
        <w:trPr>
          <w:trHeight w:val="70"/>
        </w:trPr>
        <w:tc>
          <w:tcPr>
            <w:tcW w:w="581" w:type="dxa"/>
            <w:tcBorders>
              <w:top w:val="nil"/>
              <w:left w:val="single" w:sz="4" w:space="0" w:color="auto"/>
              <w:bottom w:val="single" w:sz="4" w:space="0" w:color="auto"/>
              <w:right w:val="single" w:sz="4" w:space="0" w:color="auto"/>
            </w:tcBorders>
            <w:noWrap/>
            <w:vAlign w:val="center"/>
            <w:hideMark/>
          </w:tcPr>
          <w:p w:rsidR="00281CBE" w:rsidRPr="00F55BA6" w:rsidRDefault="00281CBE"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1</w:t>
            </w:r>
          </w:p>
        </w:tc>
        <w:tc>
          <w:tcPr>
            <w:tcW w:w="8492" w:type="dxa"/>
            <w:tcBorders>
              <w:top w:val="nil"/>
              <w:left w:val="nil"/>
              <w:bottom w:val="single" w:sz="4" w:space="0" w:color="auto"/>
              <w:right w:val="single" w:sz="4" w:space="0" w:color="auto"/>
            </w:tcBorders>
            <w:vAlign w:val="center"/>
            <w:hideMark/>
          </w:tcPr>
          <w:p w:rsidR="00281CBE" w:rsidRPr="00F55BA6" w:rsidRDefault="00281CBE"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Modernizarea infrastructurii Biroului vamal Leuşeni</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10.995,8</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10.065,8</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2.899,8</w:t>
            </w:r>
          </w:p>
        </w:tc>
        <w:tc>
          <w:tcPr>
            <w:tcW w:w="1402"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26,4</w:t>
            </w:r>
          </w:p>
        </w:tc>
        <w:tc>
          <w:tcPr>
            <w:tcW w:w="1276"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28,8</w:t>
            </w:r>
          </w:p>
        </w:tc>
      </w:tr>
      <w:tr w:rsidR="00281CBE" w:rsidRPr="00E4517B" w:rsidTr="00281CBE">
        <w:trPr>
          <w:trHeight w:val="102"/>
        </w:trPr>
        <w:tc>
          <w:tcPr>
            <w:tcW w:w="581" w:type="dxa"/>
            <w:tcBorders>
              <w:top w:val="nil"/>
              <w:left w:val="single" w:sz="4" w:space="0" w:color="auto"/>
              <w:bottom w:val="single" w:sz="4" w:space="0" w:color="auto"/>
              <w:right w:val="single" w:sz="4" w:space="0" w:color="auto"/>
            </w:tcBorders>
            <w:noWrap/>
            <w:vAlign w:val="center"/>
            <w:hideMark/>
          </w:tcPr>
          <w:p w:rsidR="00281CBE" w:rsidRPr="00F55BA6" w:rsidRDefault="00281CBE"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2</w:t>
            </w:r>
          </w:p>
        </w:tc>
        <w:tc>
          <w:tcPr>
            <w:tcW w:w="8492" w:type="dxa"/>
            <w:tcBorders>
              <w:top w:val="nil"/>
              <w:left w:val="nil"/>
              <w:bottom w:val="single" w:sz="4" w:space="0" w:color="auto"/>
              <w:right w:val="single" w:sz="4" w:space="0" w:color="auto"/>
            </w:tcBorders>
            <w:vAlign w:val="center"/>
            <w:hideMark/>
          </w:tcPr>
          <w:p w:rsidR="00281CBE" w:rsidRPr="00F55BA6" w:rsidRDefault="00281CBE"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Crearea noului site web al Serviciului Fiscal de Stat</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0,0</w:t>
            </w:r>
          </w:p>
        </w:tc>
        <w:tc>
          <w:tcPr>
            <w:tcW w:w="1175" w:type="dxa"/>
            <w:tcBorders>
              <w:top w:val="nil"/>
              <w:left w:val="nil"/>
              <w:bottom w:val="single" w:sz="4" w:space="0" w:color="auto"/>
              <w:right w:val="single" w:sz="4" w:space="0" w:color="auto"/>
            </w:tcBorders>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1.180,0</w:t>
            </w:r>
          </w:p>
        </w:tc>
        <w:tc>
          <w:tcPr>
            <w:tcW w:w="1175" w:type="dxa"/>
            <w:tcBorders>
              <w:top w:val="nil"/>
              <w:left w:val="nil"/>
              <w:bottom w:val="single" w:sz="4" w:space="0" w:color="auto"/>
              <w:right w:val="single" w:sz="4" w:space="0" w:color="auto"/>
            </w:tcBorders>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417,6</w:t>
            </w:r>
          </w:p>
        </w:tc>
        <w:tc>
          <w:tcPr>
            <w:tcW w:w="1402"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w:t>
            </w:r>
          </w:p>
        </w:tc>
        <w:tc>
          <w:tcPr>
            <w:tcW w:w="1276"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35,4</w:t>
            </w:r>
          </w:p>
        </w:tc>
      </w:tr>
      <w:tr w:rsidR="00281CBE" w:rsidRPr="00E4517B" w:rsidTr="00281CBE">
        <w:trPr>
          <w:trHeight w:val="133"/>
        </w:trPr>
        <w:tc>
          <w:tcPr>
            <w:tcW w:w="581" w:type="dxa"/>
            <w:tcBorders>
              <w:top w:val="nil"/>
              <w:left w:val="single" w:sz="4" w:space="0" w:color="auto"/>
              <w:bottom w:val="single" w:sz="4" w:space="0" w:color="auto"/>
              <w:right w:val="single" w:sz="4" w:space="0" w:color="auto"/>
            </w:tcBorders>
            <w:noWrap/>
            <w:vAlign w:val="center"/>
            <w:hideMark/>
          </w:tcPr>
          <w:p w:rsidR="00281CBE" w:rsidRPr="00F55BA6" w:rsidRDefault="00281CBE"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3</w:t>
            </w:r>
          </w:p>
        </w:tc>
        <w:tc>
          <w:tcPr>
            <w:tcW w:w="8492" w:type="dxa"/>
            <w:tcBorders>
              <w:top w:val="nil"/>
              <w:left w:val="nil"/>
              <w:bottom w:val="single" w:sz="4" w:space="0" w:color="auto"/>
              <w:right w:val="single" w:sz="4" w:space="0" w:color="auto"/>
            </w:tcBorders>
            <w:vAlign w:val="center"/>
            <w:hideMark/>
          </w:tcPr>
          <w:p w:rsidR="00281CBE" w:rsidRPr="00F55BA6" w:rsidRDefault="00281CBE"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Construcția complexului Ambasadei Republicii Moldova în Republica Belarus, orașul Minsk</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18.000,0</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9.000,0</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1.500,6</w:t>
            </w:r>
          </w:p>
        </w:tc>
        <w:tc>
          <w:tcPr>
            <w:tcW w:w="1402"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8,3</w:t>
            </w:r>
          </w:p>
        </w:tc>
        <w:tc>
          <w:tcPr>
            <w:tcW w:w="1276"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16,7</w:t>
            </w:r>
          </w:p>
        </w:tc>
      </w:tr>
      <w:tr w:rsidR="00281CBE" w:rsidRPr="00E4517B" w:rsidTr="00281CBE">
        <w:trPr>
          <w:trHeight w:val="70"/>
        </w:trPr>
        <w:tc>
          <w:tcPr>
            <w:tcW w:w="581" w:type="dxa"/>
            <w:tcBorders>
              <w:top w:val="nil"/>
              <w:left w:val="single" w:sz="4" w:space="0" w:color="auto"/>
              <w:bottom w:val="single" w:sz="4" w:space="0" w:color="auto"/>
              <w:right w:val="single" w:sz="4" w:space="0" w:color="auto"/>
            </w:tcBorders>
            <w:noWrap/>
            <w:vAlign w:val="center"/>
            <w:hideMark/>
          </w:tcPr>
          <w:p w:rsidR="00281CBE" w:rsidRPr="00F55BA6" w:rsidRDefault="00281CBE"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4</w:t>
            </w:r>
          </w:p>
        </w:tc>
        <w:tc>
          <w:tcPr>
            <w:tcW w:w="8492" w:type="dxa"/>
            <w:tcBorders>
              <w:top w:val="nil"/>
              <w:left w:val="nil"/>
              <w:bottom w:val="single" w:sz="4" w:space="0" w:color="auto"/>
              <w:right w:val="single" w:sz="4" w:space="0" w:color="auto"/>
            </w:tcBorders>
            <w:vAlign w:val="center"/>
            <w:hideMark/>
          </w:tcPr>
          <w:p w:rsidR="00281CBE" w:rsidRPr="00F55BA6" w:rsidRDefault="00281CBE"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Proiectul „Studiul de fezabilitate Interconectarea asincronă MD – RO”</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0,0</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5.234,1</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1.574,8</w:t>
            </w:r>
          </w:p>
        </w:tc>
        <w:tc>
          <w:tcPr>
            <w:tcW w:w="1402"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w:t>
            </w:r>
          </w:p>
        </w:tc>
        <w:tc>
          <w:tcPr>
            <w:tcW w:w="1276"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30,1</w:t>
            </w:r>
          </w:p>
        </w:tc>
      </w:tr>
      <w:tr w:rsidR="00281CBE" w:rsidRPr="00E4517B" w:rsidTr="00281CBE">
        <w:trPr>
          <w:trHeight w:val="87"/>
        </w:trPr>
        <w:tc>
          <w:tcPr>
            <w:tcW w:w="581" w:type="dxa"/>
            <w:tcBorders>
              <w:top w:val="nil"/>
              <w:left w:val="single" w:sz="4" w:space="0" w:color="auto"/>
              <w:bottom w:val="single" w:sz="4" w:space="0" w:color="auto"/>
              <w:right w:val="single" w:sz="4" w:space="0" w:color="auto"/>
            </w:tcBorders>
            <w:noWrap/>
            <w:vAlign w:val="center"/>
            <w:hideMark/>
          </w:tcPr>
          <w:p w:rsidR="00281CBE" w:rsidRPr="00F55BA6" w:rsidRDefault="00281CBE"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5</w:t>
            </w:r>
          </w:p>
        </w:tc>
        <w:tc>
          <w:tcPr>
            <w:tcW w:w="8492" w:type="dxa"/>
            <w:tcBorders>
              <w:top w:val="nil"/>
              <w:left w:val="nil"/>
              <w:bottom w:val="single" w:sz="4" w:space="0" w:color="auto"/>
              <w:right w:val="single" w:sz="4" w:space="0" w:color="auto"/>
            </w:tcBorders>
            <w:vAlign w:val="center"/>
            <w:hideMark/>
          </w:tcPr>
          <w:p w:rsidR="00281CBE" w:rsidRPr="00F55BA6" w:rsidRDefault="00281CBE"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Restaurarea edificiului Sălii cu Orgă, bd. Ștefan cel Mare și Sfânt nr.81, municipiul Chişinău</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2.000,0</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500,0</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118,1</w:t>
            </w:r>
          </w:p>
        </w:tc>
        <w:tc>
          <w:tcPr>
            <w:tcW w:w="1402"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5,9</w:t>
            </w:r>
          </w:p>
        </w:tc>
        <w:tc>
          <w:tcPr>
            <w:tcW w:w="1276"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23,6</w:t>
            </w:r>
          </w:p>
        </w:tc>
      </w:tr>
      <w:tr w:rsidR="00281CBE" w:rsidRPr="00E4517B" w:rsidTr="00281CBE">
        <w:trPr>
          <w:trHeight w:val="510"/>
        </w:trPr>
        <w:tc>
          <w:tcPr>
            <w:tcW w:w="581" w:type="dxa"/>
            <w:tcBorders>
              <w:top w:val="nil"/>
              <w:left w:val="single" w:sz="4" w:space="0" w:color="auto"/>
              <w:bottom w:val="single" w:sz="4" w:space="0" w:color="auto"/>
              <w:right w:val="single" w:sz="4" w:space="0" w:color="auto"/>
            </w:tcBorders>
            <w:noWrap/>
            <w:vAlign w:val="center"/>
            <w:hideMark/>
          </w:tcPr>
          <w:p w:rsidR="00281CBE" w:rsidRPr="00F55BA6" w:rsidRDefault="00281CBE"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6</w:t>
            </w:r>
          </w:p>
        </w:tc>
        <w:tc>
          <w:tcPr>
            <w:tcW w:w="8492" w:type="dxa"/>
            <w:tcBorders>
              <w:top w:val="nil"/>
              <w:left w:val="nil"/>
              <w:bottom w:val="single" w:sz="4" w:space="0" w:color="auto"/>
              <w:right w:val="single" w:sz="4" w:space="0" w:color="auto"/>
            </w:tcBorders>
            <w:vAlign w:val="center"/>
            <w:hideMark/>
          </w:tcPr>
          <w:p w:rsidR="00281CBE" w:rsidRPr="00F55BA6" w:rsidRDefault="00281CBE"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Construcția edificiului Teatrului Republican Muzical-Dramatic „B. P. Hasdeu”, str. Bogdan Petriceicu Hasdeu nr.6, municipiul Cahul</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5.000,0</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8.000,0</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3.336,3</w:t>
            </w:r>
          </w:p>
        </w:tc>
        <w:tc>
          <w:tcPr>
            <w:tcW w:w="1402"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66,7</w:t>
            </w:r>
          </w:p>
        </w:tc>
        <w:tc>
          <w:tcPr>
            <w:tcW w:w="1276"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41,7</w:t>
            </w:r>
          </w:p>
        </w:tc>
      </w:tr>
      <w:tr w:rsidR="00281CBE" w:rsidRPr="00E4517B" w:rsidTr="00281CBE">
        <w:trPr>
          <w:trHeight w:val="134"/>
        </w:trPr>
        <w:tc>
          <w:tcPr>
            <w:tcW w:w="581" w:type="dxa"/>
            <w:tcBorders>
              <w:top w:val="nil"/>
              <w:left w:val="single" w:sz="4" w:space="0" w:color="auto"/>
              <w:bottom w:val="single" w:sz="4" w:space="0" w:color="auto"/>
              <w:right w:val="single" w:sz="4" w:space="0" w:color="auto"/>
            </w:tcBorders>
            <w:noWrap/>
            <w:vAlign w:val="center"/>
            <w:hideMark/>
          </w:tcPr>
          <w:p w:rsidR="00281CBE" w:rsidRPr="00F55BA6" w:rsidRDefault="00281CBE"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7</w:t>
            </w:r>
          </w:p>
        </w:tc>
        <w:tc>
          <w:tcPr>
            <w:tcW w:w="8492" w:type="dxa"/>
            <w:tcBorders>
              <w:top w:val="nil"/>
              <w:left w:val="nil"/>
              <w:bottom w:val="single" w:sz="4" w:space="0" w:color="auto"/>
              <w:right w:val="single" w:sz="4" w:space="0" w:color="auto"/>
            </w:tcBorders>
            <w:vAlign w:val="center"/>
            <w:hideMark/>
          </w:tcPr>
          <w:p w:rsidR="00281CBE" w:rsidRPr="00F55BA6" w:rsidRDefault="00281CBE"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Reconstrucția și modernizarea clădirilor Centrului de Excelență în Construcții, str. Gheorghe Asachi nr.71, municipiul Chișinău</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7.000,0</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3.600,0</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41,7</w:t>
            </w:r>
          </w:p>
        </w:tc>
        <w:tc>
          <w:tcPr>
            <w:tcW w:w="1402"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0,6</w:t>
            </w:r>
          </w:p>
        </w:tc>
        <w:tc>
          <w:tcPr>
            <w:tcW w:w="1276"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1,2</w:t>
            </w:r>
          </w:p>
        </w:tc>
      </w:tr>
      <w:tr w:rsidR="00281CBE" w:rsidRPr="00E4517B" w:rsidTr="00281CBE">
        <w:trPr>
          <w:trHeight w:val="70"/>
        </w:trPr>
        <w:tc>
          <w:tcPr>
            <w:tcW w:w="581" w:type="dxa"/>
            <w:tcBorders>
              <w:top w:val="nil"/>
              <w:left w:val="single" w:sz="4" w:space="0" w:color="auto"/>
              <w:bottom w:val="single" w:sz="4" w:space="0" w:color="auto"/>
              <w:right w:val="single" w:sz="4" w:space="0" w:color="auto"/>
            </w:tcBorders>
            <w:noWrap/>
            <w:vAlign w:val="center"/>
            <w:hideMark/>
          </w:tcPr>
          <w:p w:rsidR="00281CBE" w:rsidRPr="00F55BA6" w:rsidRDefault="00281CBE"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8</w:t>
            </w:r>
          </w:p>
        </w:tc>
        <w:tc>
          <w:tcPr>
            <w:tcW w:w="8492" w:type="dxa"/>
            <w:tcBorders>
              <w:top w:val="nil"/>
              <w:left w:val="nil"/>
              <w:bottom w:val="single" w:sz="4" w:space="0" w:color="auto"/>
              <w:right w:val="single" w:sz="4" w:space="0" w:color="auto"/>
            </w:tcBorders>
            <w:vAlign w:val="center"/>
            <w:hideMark/>
          </w:tcPr>
          <w:p w:rsidR="00281CBE" w:rsidRPr="00F55BA6" w:rsidRDefault="00281CBE"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 xml:space="preserve">Reconstrucția blocului operator al Institutului de Medicină Urgentă, str. Toma Ciorbă nr.1, municipiul Chișinău </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15.000,0</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15.000,0</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6.648,2</w:t>
            </w:r>
          </w:p>
        </w:tc>
        <w:tc>
          <w:tcPr>
            <w:tcW w:w="1402"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44,3</w:t>
            </w:r>
          </w:p>
        </w:tc>
        <w:tc>
          <w:tcPr>
            <w:tcW w:w="1276"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44,3</w:t>
            </w:r>
          </w:p>
        </w:tc>
      </w:tr>
      <w:tr w:rsidR="00281CBE" w:rsidRPr="00E4517B" w:rsidTr="00281CBE">
        <w:trPr>
          <w:trHeight w:val="134"/>
        </w:trPr>
        <w:tc>
          <w:tcPr>
            <w:tcW w:w="581" w:type="dxa"/>
            <w:tcBorders>
              <w:top w:val="nil"/>
              <w:left w:val="single" w:sz="4" w:space="0" w:color="auto"/>
              <w:bottom w:val="single" w:sz="4" w:space="0" w:color="auto"/>
              <w:right w:val="single" w:sz="4" w:space="0" w:color="auto"/>
            </w:tcBorders>
            <w:noWrap/>
            <w:vAlign w:val="center"/>
            <w:hideMark/>
          </w:tcPr>
          <w:p w:rsidR="00281CBE" w:rsidRPr="00F55BA6" w:rsidRDefault="00281CBE"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9</w:t>
            </w:r>
          </w:p>
        </w:tc>
        <w:tc>
          <w:tcPr>
            <w:tcW w:w="8492" w:type="dxa"/>
            <w:tcBorders>
              <w:top w:val="nil"/>
              <w:left w:val="nil"/>
              <w:bottom w:val="single" w:sz="4" w:space="0" w:color="auto"/>
              <w:right w:val="single" w:sz="4" w:space="0" w:color="auto"/>
            </w:tcBorders>
            <w:vAlign w:val="center"/>
            <w:hideMark/>
          </w:tcPr>
          <w:p w:rsidR="00281CBE" w:rsidRPr="00F55BA6" w:rsidRDefault="00281CBE"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Restaurarea Bisericii „Adormirea Maicii Domnului”, orașul Căușeni, filiala Muzeului Naţional de Artă</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2.000,0</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2.000,0</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200,0</w:t>
            </w:r>
          </w:p>
        </w:tc>
        <w:tc>
          <w:tcPr>
            <w:tcW w:w="1402"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10,0</w:t>
            </w:r>
          </w:p>
        </w:tc>
        <w:tc>
          <w:tcPr>
            <w:tcW w:w="1276"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10,0</w:t>
            </w:r>
          </w:p>
        </w:tc>
      </w:tr>
      <w:tr w:rsidR="00281CBE" w:rsidRPr="00E4517B" w:rsidTr="00281CBE">
        <w:trPr>
          <w:trHeight w:val="417"/>
        </w:trPr>
        <w:tc>
          <w:tcPr>
            <w:tcW w:w="581" w:type="dxa"/>
            <w:tcBorders>
              <w:top w:val="nil"/>
              <w:left w:val="single" w:sz="4" w:space="0" w:color="auto"/>
              <w:bottom w:val="single" w:sz="4" w:space="0" w:color="auto"/>
              <w:right w:val="single" w:sz="4" w:space="0" w:color="auto"/>
            </w:tcBorders>
            <w:shd w:val="clear" w:color="auto" w:fill="F8CBAD"/>
            <w:noWrap/>
            <w:vAlign w:val="center"/>
            <w:hideMark/>
          </w:tcPr>
          <w:p w:rsidR="00281CBE" w:rsidRPr="00F55BA6" w:rsidRDefault="00281CBE"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 </w:t>
            </w:r>
          </w:p>
        </w:tc>
        <w:tc>
          <w:tcPr>
            <w:tcW w:w="8492" w:type="dxa"/>
            <w:tcBorders>
              <w:top w:val="nil"/>
              <w:left w:val="single" w:sz="4" w:space="0" w:color="auto"/>
              <w:bottom w:val="single" w:sz="4" w:space="0" w:color="auto"/>
              <w:right w:val="single" w:sz="4" w:space="0" w:color="auto"/>
            </w:tcBorders>
            <w:shd w:val="clear" w:color="auto" w:fill="F8CBAD"/>
            <w:vAlign w:val="center"/>
            <w:hideMark/>
          </w:tcPr>
          <w:p w:rsidR="00281CBE" w:rsidRPr="00F55BA6" w:rsidRDefault="00281CBE" w:rsidP="00B51730">
            <w:pPr>
              <w:spacing w:after="0" w:line="240" w:lineRule="auto"/>
              <w:jc w:val="left"/>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Total cu executare 0,0% - 5 proiecte</w:t>
            </w:r>
          </w:p>
        </w:tc>
        <w:tc>
          <w:tcPr>
            <w:tcW w:w="1175" w:type="dxa"/>
            <w:tcBorders>
              <w:top w:val="nil"/>
              <w:left w:val="nil"/>
              <w:bottom w:val="single" w:sz="4" w:space="0" w:color="auto"/>
              <w:right w:val="single" w:sz="4" w:space="0" w:color="auto"/>
            </w:tcBorders>
            <w:shd w:val="clear" w:color="auto" w:fill="F8CBAD"/>
            <w:vAlign w:val="center"/>
            <w:hideMark/>
          </w:tcPr>
          <w:p w:rsidR="00281CBE" w:rsidRPr="00F55BA6" w:rsidRDefault="00281CBE" w:rsidP="00B51730">
            <w:pPr>
              <w:spacing w:after="0" w:line="240" w:lineRule="auto"/>
              <w:jc w:val="right"/>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5.340,4</w:t>
            </w:r>
          </w:p>
        </w:tc>
        <w:tc>
          <w:tcPr>
            <w:tcW w:w="1175" w:type="dxa"/>
            <w:tcBorders>
              <w:top w:val="nil"/>
              <w:left w:val="nil"/>
              <w:bottom w:val="single" w:sz="4" w:space="0" w:color="auto"/>
              <w:right w:val="single" w:sz="4" w:space="0" w:color="auto"/>
            </w:tcBorders>
            <w:shd w:val="clear" w:color="auto" w:fill="F8CBAD"/>
            <w:vAlign w:val="center"/>
            <w:hideMark/>
          </w:tcPr>
          <w:p w:rsidR="00281CBE" w:rsidRPr="00F55BA6" w:rsidRDefault="00281CBE" w:rsidP="00B51730">
            <w:pPr>
              <w:spacing w:after="0" w:line="240" w:lineRule="auto"/>
              <w:jc w:val="right"/>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5.740,4</w:t>
            </w:r>
          </w:p>
        </w:tc>
        <w:tc>
          <w:tcPr>
            <w:tcW w:w="1175" w:type="dxa"/>
            <w:tcBorders>
              <w:top w:val="nil"/>
              <w:left w:val="nil"/>
              <w:bottom w:val="single" w:sz="4" w:space="0" w:color="auto"/>
              <w:right w:val="single" w:sz="4" w:space="0" w:color="auto"/>
            </w:tcBorders>
            <w:shd w:val="clear" w:color="auto" w:fill="F8CBAD"/>
            <w:vAlign w:val="center"/>
            <w:hideMark/>
          </w:tcPr>
          <w:p w:rsidR="00281CBE" w:rsidRPr="00F55BA6" w:rsidRDefault="00281CBE" w:rsidP="00B51730">
            <w:pPr>
              <w:spacing w:after="0" w:line="240" w:lineRule="auto"/>
              <w:jc w:val="right"/>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0,0</w:t>
            </w:r>
          </w:p>
        </w:tc>
        <w:tc>
          <w:tcPr>
            <w:tcW w:w="1402" w:type="dxa"/>
            <w:tcBorders>
              <w:top w:val="nil"/>
              <w:left w:val="nil"/>
              <w:bottom w:val="single" w:sz="4" w:space="0" w:color="auto"/>
              <w:right w:val="single" w:sz="4" w:space="0" w:color="auto"/>
            </w:tcBorders>
            <w:shd w:val="clear" w:color="auto" w:fill="F8CBAD"/>
            <w:vAlign w:val="center"/>
            <w:hideMark/>
          </w:tcPr>
          <w:p w:rsidR="00281CBE" w:rsidRPr="00F55BA6" w:rsidRDefault="00281CBE" w:rsidP="00B51730">
            <w:pPr>
              <w:spacing w:after="0" w:line="240" w:lineRule="auto"/>
              <w:jc w:val="center"/>
              <w:rPr>
                <w:rFonts w:asciiTheme="majorHAnsi" w:eastAsia="Times New Roman" w:hAnsiTheme="majorHAnsi" w:cstheme="majorHAnsi"/>
                <w:b/>
                <w:bCs/>
                <w:sz w:val="20"/>
                <w:szCs w:val="20"/>
                <w:lang w:val="ro-RO"/>
              </w:rPr>
            </w:pPr>
            <w:r w:rsidRPr="00F55BA6">
              <w:rPr>
                <w:rFonts w:asciiTheme="majorHAnsi" w:eastAsia="Times New Roman" w:hAnsiTheme="majorHAnsi" w:cstheme="majorHAnsi"/>
                <w:b/>
                <w:bCs/>
                <w:sz w:val="20"/>
                <w:szCs w:val="20"/>
                <w:lang w:val="ro-RO"/>
              </w:rPr>
              <w:t>0,0</w:t>
            </w:r>
          </w:p>
        </w:tc>
        <w:tc>
          <w:tcPr>
            <w:tcW w:w="1276" w:type="dxa"/>
            <w:tcBorders>
              <w:top w:val="nil"/>
              <w:left w:val="nil"/>
              <w:bottom w:val="single" w:sz="4" w:space="0" w:color="auto"/>
              <w:right w:val="single" w:sz="4" w:space="0" w:color="auto"/>
            </w:tcBorders>
            <w:shd w:val="clear" w:color="auto" w:fill="F8CBAD"/>
            <w:vAlign w:val="center"/>
            <w:hideMark/>
          </w:tcPr>
          <w:p w:rsidR="00281CBE" w:rsidRPr="00F55BA6" w:rsidRDefault="00281CBE" w:rsidP="00B51730">
            <w:pPr>
              <w:spacing w:after="0" w:line="240" w:lineRule="auto"/>
              <w:jc w:val="center"/>
              <w:rPr>
                <w:rFonts w:asciiTheme="majorHAnsi" w:eastAsia="Times New Roman" w:hAnsiTheme="majorHAnsi" w:cstheme="majorHAnsi"/>
                <w:b/>
                <w:bCs/>
                <w:sz w:val="20"/>
                <w:szCs w:val="20"/>
                <w:lang w:val="ro-RO"/>
              </w:rPr>
            </w:pPr>
            <w:r w:rsidRPr="00F55BA6">
              <w:rPr>
                <w:rFonts w:asciiTheme="majorHAnsi" w:eastAsia="Times New Roman" w:hAnsiTheme="majorHAnsi" w:cstheme="majorHAnsi"/>
                <w:b/>
                <w:bCs/>
                <w:sz w:val="20"/>
                <w:szCs w:val="20"/>
                <w:lang w:val="ro-RO"/>
              </w:rPr>
              <w:t>0,0</w:t>
            </w:r>
          </w:p>
        </w:tc>
      </w:tr>
      <w:tr w:rsidR="00281CBE" w:rsidRPr="00E4517B" w:rsidTr="00281CBE">
        <w:trPr>
          <w:trHeight w:val="133"/>
        </w:trPr>
        <w:tc>
          <w:tcPr>
            <w:tcW w:w="581" w:type="dxa"/>
            <w:tcBorders>
              <w:top w:val="nil"/>
              <w:left w:val="single" w:sz="4" w:space="0" w:color="auto"/>
              <w:bottom w:val="single" w:sz="4" w:space="0" w:color="auto"/>
              <w:right w:val="single" w:sz="4" w:space="0" w:color="auto"/>
            </w:tcBorders>
            <w:noWrap/>
            <w:vAlign w:val="center"/>
            <w:hideMark/>
          </w:tcPr>
          <w:p w:rsidR="00281CBE" w:rsidRPr="00F55BA6" w:rsidRDefault="00281CBE"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1</w:t>
            </w:r>
          </w:p>
        </w:tc>
        <w:tc>
          <w:tcPr>
            <w:tcW w:w="8492" w:type="dxa"/>
            <w:tcBorders>
              <w:top w:val="nil"/>
              <w:left w:val="nil"/>
              <w:bottom w:val="single" w:sz="4" w:space="0" w:color="auto"/>
              <w:right w:val="single" w:sz="4" w:space="0" w:color="auto"/>
            </w:tcBorders>
            <w:vAlign w:val="center"/>
            <w:hideMark/>
          </w:tcPr>
          <w:p w:rsidR="00281CBE" w:rsidRPr="00F55BA6" w:rsidRDefault="00281CBE"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Construcția heliportului pentru elicoptere medicale, str. Nicolae Testemițanu nr.29, municipiul Chișinău</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1.446,8</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1.446,8</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0,0</w:t>
            </w:r>
          </w:p>
        </w:tc>
        <w:tc>
          <w:tcPr>
            <w:tcW w:w="1402"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0,0</w:t>
            </w:r>
          </w:p>
        </w:tc>
        <w:tc>
          <w:tcPr>
            <w:tcW w:w="1276"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0,0</w:t>
            </w:r>
          </w:p>
        </w:tc>
      </w:tr>
      <w:tr w:rsidR="00281CBE" w:rsidRPr="00E4517B" w:rsidTr="00281CBE">
        <w:trPr>
          <w:trHeight w:val="70"/>
        </w:trPr>
        <w:tc>
          <w:tcPr>
            <w:tcW w:w="581" w:type="dxa"/>
            <w:tcBorders>
              <w:top w:val="nil"/>
              <w:left w:val="single" w:sz="4" w:space="0" w:color="auto"/>
              <w:bottom w:val="single" w:sz="4" w:space="0" w:color="auto"/>
              <w:right w:val="single" w:sz="4" w:space="0" w:color="auto"/>
            </w:tcBorders>
            <w:noWrap/>
            <w:vAlign w:val="center"/>
            <w:hideMark/>
          </w:tcPr>
          <w:p w:rsidR="00281CBE" w:rsidRPr="00F55BA6" w:rsidRDefault="00281CBE"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2</w:t>
            </w:r>
          </w:p>
        </w:tc>
        <w:tc>
          <w:tcPr>
            <w:tcW w:w="8492" w:type="dxa"/>
            <w:tcBorders>
              <w:top w:val="nil"/>
              <w:left w:val="nil"/>
              <w:bottom w:val="single" w:sz="4" w:space="0" w:color="auto"/>
              <w:right w:val="single" w:sz="4" w:space="0" w:color="auto"/>
            </w:tcBorders>
            <w:vAlign w:val="center"/>
            <w:hideMark/>
          </w:tcPr>
          <w:p w:rsidR="00281CBE" w:rsidRPr="00F55BA6" w:rsidRDefault="00281CBE"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Construcția heliportului pentru elicoptere medicale, str. Poamei nr.21, municipiul Chișinău</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1.446,8</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1.446,8</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0,0</w:t>
            </w:r>
          </w:p>
        </w:tc>
        <w:tc>
          <w:tcPr>
            <w:tcW w:w="1402"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0,0</w:t>
            </w:r>
          </w:p>
        </w:tc>
        <w:tc>
          <w:tcPr>
            <w:tcW w:w="1276"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0,0</w:t>
            </w:r>
          </w:p>
        </w:tc>
      </w:tr>
      <w:tr w:rsidR="00281CBE" w:rsidRPr="00E4517B" w:rsidTr="00281CBE">
        <w:trPr>
          <w:trHeight w:val="70"/>
        </w:trPr>
        <w:tc>
          <w:tcPr>
            <w:tcW w:w="581" w:type="dxa"/>
            <w:tcBorders>
              <w:top w:val="nil"/>
              <w:left w:val="single" w:sz="4" w:space="0" w:color="auto"/>
              <w:bottom w:val="single" w:sz="4" w:space="0" w:color="auto"/>
              <w:right w:val="single" w:sz="4" w:space="0" w:color="auto"/>
            </w:tcBorders>
            <w:noWrap/>
            <w:vAlign w:val="center"/>
            <w:hideMark/>
          </w:tcPr>
          <w:p w:rsidR="00281CBE" w:rsidRPr="00F55BA6" w:rsidRDefault="00281CBE"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3</w:t>
            </w:r>
          </w:p>
        </w:tc>
        <w:tc>
          <w:tcPr>
            <w:tcW w:w="8492" w:type="dxa"/>
            <w:tcBorders>
              <w:top w:val="nil"/>
              <w:left w:val="nil"/>
              <w:bottom w:val="nil"/>
              <w:right w:val="single" w:sz="4" w:space="0" w:color="auto"/>
            </w:tcBorders>
            <w:vAlign w:val="center"/>
            <w:hideMark/>
          </w:tcPr>
          <w:p w:rsidR="00281CBE" w:rsidRPr="00F55BA6" w:rsidRDefault="00281CBE"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 xml:space="preserve">Construcția heliportului pentru elicoptere medicale, municipiul Bălți </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1.446,8</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1.446,8</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0,0</w:t>
            </w:r>
          </w:p>
        </w:tc>
        <w:tc>
          <w:tcPr>
            <w:tcW w:w="1402"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0,0</w:t>
            </w:r>
          </w:p>
        </w:tc>
        <w:tc>
          <w:tcPr>
            <w:tcW w:w="1276"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0,0</w:t>
            </w:r>
          </w:p>
        </w:tc>
      </w:tr>
      <w:tr w:rsidR="00281CBE" w:rsidRPr="00E4517B" w:rsidTr="00281CBE">
        <w:trPr>
          <w:trHeight w:val="70"/>
        </w:trPr>
        <w:tc>
          <w:tcPr>
            <w:tcW w:w="581" w:type="dxa"/>
            <w:tcBorders>
              <w:top w:val="nil"/>
              <w:left w:val="single" w:sz="4" w:space="0" w:color="auto"/>
              <w:bottom w:val="single" w:sz="4" w:space="0" w:color="auto"/>
              <w:right w:val="single" w:sz="4" w:space="0" w:color="auto"/>
            </w:tcBorders>
            <w:noWrap/>
            <w:vAlign w:val="center"/>
            <w:hideMark/>
          </w:tcPr>
          <w:p w:rsidR="00281CBE" w:rsidRPr="00F55BA6" w:rsidRDefault="00281CBE"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4</w:t>
            </w:r>
          </w:p>
        </w:tc>
        <w:tc>
          <w:tcPr>
            <w:tcW w:w="8492" w:type="dxa"/>
            <w:tcBorders>
              <w:top w:val="single" w:sz="4" w:space="0" w:color="auto"/>
              <w:left w:val="nil"/>
              <w:bottom w:val="single" w:sz="4" w:space="0" w:color="auto"/>
              <w:right w:val="single" w:sz="4" w:space="0" w:color="auto"/>
            </w:tcBorders>
            <w:vAlign w:val="center"/>
            <w:hideMark/>
          </w:tcPr>
          <w:p w:rsidR="00281CBE" w:rsidRPr="00F55BA6" w:rsidRDefault="00281CBE"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Reconstrucția sediului Muzeului de Istorie a Evreilor din Republica Moldova, municipiul Chișinău</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1.000,0</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500,0</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0,0</w:t>
            </w:r>
          </w:p>
        </w:tc>
        <w:tc>
          <w:tcPr>
            <w:tcW w:w="1402"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0,0</w:t>
            </w:r>
          </w:p>
        </w:tc>
        <w:tc>
          <w:tcPr>
            <w:tcW w:w="1276"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0,0</w:t>
            </w:r>
          </w:p>
        </w:tc>
      </w:tr>
      <w:tr w:rsidR="00281CBE" w:rsidRPr="00E4517B" w:rsidTr="00281CBE">
        <w:trPr>
          <w:trHeight w:val="216"/>
        </w:trPr>
        <w:tc>
          <w:tcPr>
            <w:tcW w:w="581" w:type="dxa"/>
            <w:tcBorders>
              <w:top w:val="nil"/>
              <w:left w:val="single" w:sz="4" w:space="0" w:color="auto"/>
              <w:bottom w:val="single" w:sz="4" w:space="0" w:color="auto"/>
              <w:right w:val="single" w:sz="4" w:space="0" w:color="auto"/>
            </w:tcBorders>
            <w:noWrap/>
            <w:vAlign w:val="center"/>
            <w:hideMark/>
          </w:tcPr>
          <w:p w:rsidR="00281CBE" w:rsidRPr="00F55BA6" w:rsidRDefault="00281CBE"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5</w:t>
            </w:r>
          </w:p>
        </w:tc>
        <w:tc>
          <w:tcPr>
            <w:tcW w:w="8492" w:type="dxa"/>
            <w:tcBorders>
              <w:top w:val="nil"/>
              <w:left w:val="nil"/>
              <w:bottom w:val="single" w:sz="4" w:space="0" w:color="auto"/>
              <w:right w:val="single" w:sz="4" w:space="0" w:color="auto"/>
            </w:tcBorders>
            <w:vAlign w:val="center"/>
            <w:hideMark/>
          </w:tcPr>
          <w:p w:rsidR="00281CBE" w:rsidRPr="00F55BA6" w:rsidRDefault="00281CBE"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Restaurarea Casei-muzeu „Alexandr Pușkin”, str. Anton Pann nr.19, municipiul Chișinău</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0,0</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900,0</w:t>
            </w:r>
          </w:p>
        </w:tc>
        <w:tc>
          <w:tcPr>
            <w:tcW w:w="1175" w:type="dxa"/>
            <w:tcBorders>
              <w:top w:val="nil"/>
              <w:left w:val="nil"/>
              <w:bottom w:val="single" w:sz="4" w:space="0" w:color="auto"/>
              <w:right w:val="single" w:sz="4" w:space="0" w:color="auto"/>
            </w:tcBorders>
            <w:shd w:val="clear" w:color="auto" w:fill="FFFFFF"/>
            <w:noWrap/>
            <w:vAlign w:val="center"/>
            <w:hideMark/>
          </w:tcPr>
          <w:p w:rsidR="00281CBE" w:rsidRPr="00F55BA6" w:rsidRDefault="00281CBE"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0,0</w:t>
            </w:r>
          </w:p>
        </w:tc>
        <w:tc>
          <w:tcPr>
            <w:tcW w:w="1402"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w:t>
            </w:r>
          </w:p>
        </w:tc>
        <w:tc>
          <w:tcPr>
            <w:tcW w:w="1276" w:type="dxa"/>
            <w:tcBorders>
              <w:top w:val="nil"/>
              <w:left w:val="nil"/>
              <w:bottom w:val="single" w:sz="4" w:space="0" w:color="auto"/>
              <w:right w:val="single" w:sz="4" w:space="0" w:color="auto"/>
            </w:tcBorders>
            <w:shd w:val="clear" w:color="auto" w:fill="FFFFFF"/>
            <w:vAlign w:val="center"/>
            <w:hideMark/>
          </w:tcPr>
          <w:p w:rsidR="00281CBE" w:rsidRPr="00F55BA6" w:rsidRDefault="00281CBE"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0,0</w:t>
            </w:r>
          </w:p>
        </w:tc>
      </w:tr>
    </w:tbl>
    <w:p w:rsidR="00281CBE" w:rsidRPr="00207634" w:rsidRDefault="00281CBE" w:rsidP="00281CBE">
      <w:pPr>
        <w:shd w:val="clear" w:color="auto" w:fill="FFFFFF" w:themeFill="background1"/>
        <w:tabs>
          <w:tab w:val="left" w:pos="142"/>
          <w:tab w:val="left" w:pos="567"/>
          <w:tab w:val="left" w:pos="6237"/>
          <w:tab w:val="left" w:pos="6379"/>
        </w:tabs>
        <w:spacing w:after="0" w:line="276" w:lineRule="auto"/>
        <w:contextualSpacing/>
        <w:jc w:val="left"/>
        <w:rPr>
          <w:rFonts w:asciiTheme="majorHAnsi" w:eastAsia="Times New Roman" w:hAnsiTheme="majorHAnsi" w:cstheme="majorHAnsi"/>
          <w:i/>
          <w:sz w:val="20"/>
          <w:szCs w:val="24"/>
          <w:lang w:val="ro-RO"/>
        </w:rPr>
      </w:pPr>
      <w:r w:rsidRPr="00E4517B">
        <w:rPr>
          <w:rFonts w:asciiTheme="majorHAnsi" w:eastAsia="Times New Roman" w:hAnsiTheme="majorHAnsi" w:cstheme="majorHAnsi"/>
          <w:b/>
          <w:i/>
          <w:sz w:val="20"/>
          <w:szCs w:val="24"/>
          <w:lang w:val="ro-RO"/>
        </w:rPr>
        <w:t>*Notă:</w:t>
      </w:r>
      <w:r w:rsidRPr="00973E5B">
        <w:rPr>
          <w:rFonts w:asciiTheme="majorHAnsi" w:eastAsia="Times New Roman" w:hAnsiTheme="majorHAnsi" w:cstheme="majorHAnsi"/>
          <w:b/>
          <w:sz w:val="20"/>
          <w:szCs w:val="24"/>
          <w:lang w:val="ro-RO"/>
        </w:rPr>
        <w:t xml:space="preserve"> </w:t>
      </w:r>
      <w:r w:rsidRPr="00207634">
        <w:rPr>
          <w:rFonts w:asciiTheme="majorHAnsi" w:eastAsia="Times New Roman" w:hAnsiTheme="majorHAnsi" w:cstheme="majorHAnsi"/>
          <w:i/>
          <w:sz w:val="20"/>
          <w:szCs w:val="24"/>
          <w:lang w:val="ro-RO"/>
        </w:rPr>
        <w:t>Nu sunt incluse alocațiile excluse la rectificarea Legii bugetare anuale, în sumă de 2 024 396,1 mii lei.</w:t>
      </w:r>
    </w:p>
    <w:p w:rsidR="00281CBE" w:rsidRPr="00E4517B" w:rsidRDefault="00281CBE" w:rsidP="00281CBE">
      <w:pPr>
        <w:shd w:val="clear" w:color="auto" w:fill="FFFFFF" w:themeFill="background1"/>
        <w:tabs>
          <w:tab w:val="left" w:pos="142"/>
          <w:tab w:val="left" w:pos="567"/>
          <w:tab w:val="left" w:pos="6237"/>
          <w:tab w:val="left" w:pos="6379"/>
        </w:tabs>
        <w:spacing w:after="0" w:line="276" w:lineRule="auto"/>
        <w:contextualSpacing/>
        <w:jc w:val="left"/>
        <w:rPr>
          <w:rFonts w:asciiTheme="majorHAnsi" w:eastAsia="Times New Roman" w:hAnsiTheme="majorHAnsi" w:cstheme="majorHAnsi"/>
          <w:b/>
          <w:sz w:val="20"/>
          <w:szCs w:val="24"/>
          <w:lang w:val="ro-RO"/>
        </w:rPr>
      </w:pPr>
      <w:r w:rsidRPr="009131CF">
        <w:rPr>
          <w:rFonts w:asciiTheme="majorHAnsi" w:eastAsia="Times New Roman" w:hAnsiTheme="majorHAnsi" w:cstheme="majorHAnsi"/>
          <w:b/>
          <w:i/>
          <w:sz w:val="20"/>
          <w:szCs w:val="24"/>
          <w:lang w:val="ro-RO" w:eastAsia="ru-RU"/>
        </w:rPr>
        <w:t>Sursă:</w:t>
      </w:r>
      <w:r w:rsidRPr="00E4517B">
        <w:rPr>
          <w:rFonts w:asciiTheme="majorHAnsi" w:eastAsia="Times New Roman" w:hAnsiTheme="majorHAnsi" w:cstheme="majorHAnsi"/>
          <w:i/>
          <w:sz w:val="20"/>
          <w:szCs w:val="24"/>
          <w:lang w:val="ro-RO" w:eastAsia="ru-RU"/>
        </w:rPr>
        <w:t xml:space="preserve"> Informații generalizate de echipa de audit conform Raportului privind executarea bugetului de stat pentru anul 2020.</w:t>
      </w:r>
    </w:p>
    <w:p w:rsidR="002751E2" w:rsidRPr="00E4517B" w:rsidRDefault="002751E2" w:rsidP="002751E2">
      <w:pPr>
        <w:spacing w:line="276" w:lineRule="auto"/>
        <w:ind w:firstLine="709"/>
        <w:contextualSpacing/>
        <w:rPr>
          <w:rFonts w:asciiTheme="majorHAnsi" w:eastAsia="Times New Roman" w:hAnsiTheme="majorHAnsi" w:cstheme="majorHAnsi"/>
          <w:b/>
          <w:sz w:val="24"/>
          <w:szCs w:val="24"/>
          <w:lang w:val="ro-RO"/>
        </w:rPr>
        <w:sectPr w:rsidR="002751E2" w:rsidRPr="00E4517B" w:rsidSect="006E5228">
          <w:pgSz w:w="15840" w:h="12240" w:orient="landscape"/>
          <w:pgMar w:top="284" w:right="851" w:bottom="851" w:left="851" w:header="709" w:footer="709" w:gutter="0"/>
          <w:cols w:space="708"/>
          <w:docGrid w:linePitch="381"/>
        </w:sectPr>
      </w:pPr>
    </w:p>
    <w:p w:rsidR="002751E2" w:rsidRPr="00E4517B" w:rsidRDefault="008E47D2" w:rsidP="002751E2">
      <w:pPr>
        <w:shd w:val="clear" w:color="auto" w:fill="FFFFFF" w:themeFill="background1"/>
        <w:tabs>
          <w:tab w:val="left" w:pos="284"/>
          <w:tab w:val="left" w:pos="567"/>
          <w:tab w:val="left" w:pos="6237"/>
          <w:tab w:val="left" w:pos="6379"/>
        </w:tabs>
        <w:spacing w:after="0" w:line="276" w:lineRule="auto"/>
        <w:contextualSpacing/>
        <w:jc w:val="right"/>
        <w:rPr>
          <w:rFonts w:asciiTheme="majorHAnsi" w:eastAsia="Times New Roman" w:hAnsiTheme="majorHAnsi" w:cstheme="majorHAnsi"/>
          <w:b/>
          <w:sz w:val="24"/>
          <w:szCs w:val="24"/>
          <w:lang w:val="ro-RO"/>
        </w:rPr>
      </w:pPr>
      <w:r w:rsidRPr="00E4517B">
        <w:rPr>
          <w:rFonts w:asciiTheme="majorHAnsi" w:eastAsia="Times New Roman" w:hAnsiTheme="majorHAnsi" w:cstheme="majorHAnsi"/>
          <w:b/>
          <w:sz w:val="24"/>
          <w:szCs w:val="24"/>
          <w:lang w:val="ro-RO"/>
        </w:rPr>
        <w:lastRenderedPageBreak/>
        <w:t>Anexa nr.8</w:t>
      </w:r>
    </w:p>
    <w:p w:rsidR="002751E2" w:rsidRPr="00E4517B" w:rsidRDefault="002751E2" w:rsidP="002751E2">
      <w:pPr>
        <w:shd w:val="clear" w:color="auto" w:fill="FFFFFF" w:themeFill="background1"/>
        <w:tabs>
          <w:tab w:val="left" w:pos="284"/>
          <w:tab w:val="left" w:pos="993"/>
          <w:tab w:val="left" w:pos="6663"/>
        </w:tabs>
        <w:spacing w:after="0" w:line="276" w:lineRule="auto"/>
        <w:jc w:val="center"/>
        <w:rPr>
          <w:rFonts w:asciiTheme="majorHAnsi" w:eastAsia="Times New Roman" w:hAnsiTheme="majorHAnsi" w:cstheme="majorHAnsi"/>
          <w:b/>
          <w:bCs/>
          <w:color w:val="000000"/>
          <w:sz w:val="24"/>
          <w:szCs w:val="24"/>
          <w:lang w:val="ro-RO" w:eastAsia="ru-RU"/>
        </w:rPr>
      </w:pPr>
      <w:r w:rsidRPr="00E4517B">
        <w:rPr>
          <w:rFonts w:asciiTheme="majorHAnsi" w:eastAsia="Times New Roman" w:hAnsiTheme="majorHAnsi" w:cstheme="majorHAnsi"/>
          <w:b/>
          <w:bCs/>
          <w:color w:val="000000"/>
          <w:sz w:val="24"/>
          <w:szCs w:val="24"/>
          <w:lang w:val="ro-RO" w:eastAsia="ru-RU"/>
        </w:rPr>
        <w:t xml:space="preserve">Sinteza proiectelor de investiții la care au fost majorate cu peste 15,0% costurile totale estimate inițial </w:t>
      </w:r>
    </w:p>
    <w:p w:rsidR="002751E2" w:rsidRPr="00E4517B" w:rsidRDefault="002751E2" w:rsidP="002751E2">
      <w:pPr>
        <w:shd w:val="clear" w:color="auto" w:fill="FFFFFF" w:themeFill="background1"/>
        <w:tabs>
          <w:tab w:val="left" w:pos="284"/>
          <w:tab w:val="left" w:pos="993"/>
          <w:tab w:val="left" w:pos="6663"/>
        </w:tabs>
        <w:spacing w:after="0" w:line="276" w:lineRule="auto"/>
        <w:jc w:val="right"/>
        <w:rPr>
          <w:rFonts w:asciiTheme="majorHAnsi" w:eastAsia="Times New Roman" w:hAnsiTheme="majorHAnsi" w:cstheme="majorHAnsi"/>
          <w:b/>
          <w:bCs/>
          <w:color w:val="000000"/>
          <w:sz w:val="24"/>
          <w:szCs w:val="24"/>
          <w:lang w:val="ro-RO" w:eastAsia="ru-RU"/>
        </w:rPr>
      </w:pPr>
      <w:r w:rsidRPr="00E4517B">
        <w:rPr>
          <w:rFonts w:asciiTheme="majorHAnsi" w:eastAsia="Times New Roman" w:hAnsiTheme="majorHAnsi" w:cstheme="majorHAnsi"/>
          <w:b/>
          <w:bCs/>
          <w:color w:val="000000"/>
          <w:sz w:val="24"/>
          <w:szCs w:val="24"/>
          <w:lang w:val="ro-RO" w:eastAsia="ru-RU"/>
        </w:rPr>
        <w:t>(mii lei)</w:t>
      </w:r>
    </w:p>
    <w:tbl>
      <w:tblPr>
        <w:tblW w:w="15258" w:type="dxa"/>
        <w:tblInd w:w="-1281" w:type="dxa"/>
        <w:tblLook w:val="04A0" w:firstRow="1" w:lastRow="0" w:firstColumn="1" w:lastColumn="0" w:noHBand="0" w:noVBand="1"/>
      </w:tblPr>
      <w:tblGrid>
        <w:gridCol w:w="521"/>
        <w:gridCol w:w="2456"/>
        <w:gridCol w:w="707"/>
        <w:gridCol w:w="951"/>
        <w:gridCol w:w="1144"/>
        <w:gridCol w:w="831"/>
        <w:gridCol w:w="1073"/>
        <w:gridCol w:w="1127"/>
        <w:gridCol w:w="1107"/>
        <w:gridCol w:w="1071"/>
        <w:gridCol w:w="1162"/>
        <w:gridCol w:w="1139"/>
        <w:gridCol w:w="1024"/>
        <w:gridCol w:w="945"/>
      </w:tblGrid>
      <w:tr w:rsidR="002751E2" w:rsidRPr="00E4517B" w:rsidTr="00B51730">
        <w:trPr>
          <w:trHeight w:val="1185"/>
        </w:trPr>
        <w:tc>
          <w:tcPr>
            <w:tcW w:w="52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751E2" w:rsidRPr="00F55BA6" w:rsidRDefault="002751E2"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N/o</w:t>
            </w:r>
          </w:p>
        </w:tc>
        <w:tc>
          <w:tcPr>
            <w:tcW w:w="245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751E2" w:rsidRPr="00F55BA6" w:rsidRDefault="002751E2"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Denumirea proiectului</w:t>
            </w:r>
          </w:p>
        </w:tc>
        <w:tc>
          <w:tcPr>
            <w:tcW w:w="70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751E2" w:rsidRPr="00F55BA6" w:rsidRDefault="002751E2" w:rsidP="00B51730">
            <w:pPr>
              <w:spacing w:after="0" w:line="240" w:lineRule="auto"/>
              <w:ind w:left="-81"/>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Anul lansării</w:t>
            </w:r>
          </w:p>
        </w:tc>
        <w:tc>
          <w:tcPr>
            <w:tcW w:w="95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751E2" w:rsidRPr="00F55BA6" w:rsidRDefault="002751E2"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Surse de finanțare</w:t>
            </w:r>
          </w:p>
        </w:tc>
        <w:tc>
          <w:tcPr>
            <w:tcW w:w="1144"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2751E2" w:rsidRPr="00F55BA6" w:rsidRDefault="002751E2" w:rsidP="00B51730">
            <w:pPr>
              <w:spacing w:after="0" w:line="240" w:lineRule="auto"/>
              <w:ind w:left="-30" w:right="-1"/>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Costul total inițial la lansarea proiectului</w:t>
            </w:r>
          </w:p>
        </w:tc>
        <w:tc>
          <w:tcPr>
            <w:tcW w:w="7510" w:type="dxa"/>
            <w:gridSpan w:val="7"/>
            <w:tcBorders>
              <w:top w:val="single" w:sz="4" w:space="0" w:color="auto"/>
              <w:left w:val="nil"/>
              <w:bottom w:val="single" w:sz="4" w:space="0" w:color="auto"/>
              <w:right w:val="nil"/>
            </w:tcBorders>
            <w:shd w:val="clear" w:color="000000" w:fill="FFFFFF"/>
            <w:vAlign w:val="center"/>
            <w:hideMark/>
          </w:tcPr>
          <w:p w:rsidR="002751E2" w:rsidRPr="00F55BA6" w:rsidRDefault="002751E2"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 xml:space="preserve">Costul total estimat de către MF în </w:t>
            </w:r>
          </w:p>
          <w:p w:rsidR="002751E2" w:rsidRPr="00F55BA6" w:rsidRDefault="002751E2"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Nota informativă la proiectul Legii BS pentru anul:</w:t>
            </w:r>
          </w:p>
        </w:tc>
        <w:tc>
          <w:tcPr>
            <w:tcW w:w="1969" w:type="dxa"/>
            <w:gridSpan w:val="2"/>
            <w:tcBorders>
              <w:top w:val="single" w:sz="8" w:space="0" w:color="auto"/>
              <w:left w:val="single" w:sz="8" w:space="0" w:color="auto"/>
              <w:bottom w:val="single" w:sz="4" w:space="0" w:color="auto"/>
              <w:right w:val="single" w:sz="8" w:space="0" w:color="000000"/>
            </w:tcBorders>
            <w:shd w:val="clear" w:color="000000" w:fill="FFE699"/>
            <w:vAlign w:val="center"/>
            <w:hideMark/>
          </w:tcPr>
          <w:p w:rsidR="002751E2" w:rsidRPr="00F55BA6" w:rsidRDefault="002751E2"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Costul total estimat pentru 2020 față de costul total inițial</w:t>
            </w:r>
          </w:p>
        </w:tc>
      </w:tr>
      <w:tr w:rsidR="002751E2" w:rsidRPr="00E4517B" w:rsidTr="00B51730">
        <w:trPr>
          <w:trHeight w:val="300"/>
        </w:trPr>
        <w:tc>
          <w:tcPr>
            <w:tcW w:w="521" w:type="dxa"/>
            <w:vMerge/>
            <w:tcBorders>
              <w:top w:val="single" w:sz="4" w:space="0" w:color="auto"/>
              <w:left w:val="single" w:sz="4" w:space="0" w:color="auto"/>
              <w:bottom w:val="single" w:sz="4" w:space="0" w:color="000000"/>
              <w:right w:val="single" w:sz="4" w:space="0" w:color="auto"/>
            </w:tcBorders>
            <w:vAlign w:val="center"/>
            <w:hideMark/>
          </w:tcPr>
          <w:p w:rsidR="002751E2" w:rsidRPr="00F55BA6" w:rsidRDefault="002751E2" w:rsidP="00B51730">
            <w:pPr>
              <w:spacing w:after="0" w:line="240" w:lineRule="auto"/>
              <w:jc w:val="left"/>
              <w:rPr>
                <w:rFonts w:asciiTheme="majorHAnsi" w:eastAsia="Times New Roman" w:hAnsiTheme="majorHAnsi" w:cstheme="majorHAnsi"/>
                <w:b/>
                <w:bCs/>
                <w:color w:val="000000"/>
                <w:sz w:val="20"/>
                <w:szCs w:val="20"/>
                <w:lang w:val="ro-RO"/>
              </w:rPr>
            </w:pPr>
          </w:p>
        </w:tc>
        <w:tc>
          <w:tcPr>
            <w:tcW w:w="2456" w:type="dxa"/>
            <w:vMerge/>
            <w:tcBorders>
              <w:top w:val="single" w:sz="4" w:space="0" w:color="auto"/>
              <w:left w:val="single" w:sz="4" w:space="0" w:color="auto"/>
              <w:bottom w:val="single" w:sz="4" w:space="0" w:color="000000"/>
              <w:right w:val="single" w:sz="4" w:space="0" w:color="auto"/>
            </w:tcBorders>
            <w:vAlign w:val="center"/>
            <w:hideMark/>
          </w:tcPr>
          <w:p w:rsidR="002751E2" w:rsidRPr="00F55BA6" w:rsidRDefault="002751E2" w:rsidP="00B51730">
            <w:pPr>
              <w:spacing w:after="0" w:line="240" w:lineRule="auto"/>
              <w:jc w:val="left"/>
              <w:rPr>
                <w:rFonts w:asciiTheme="majorHAnsi" w:eastAsia="Times New Roman" w:hAnsiTheme="majorHAnsi" w:cstheme="majorHAnsi"/>
                <w:b/>
                <w:bCs/>
                <w:color w:val="000000"/>
                <w:sz w:val="20"/>
                <w:szCs w:val="20"/>
                <w:lang w:val="ro-RO"/>
              </w:rPr>
            </w:pPr>
          </w:p>
        </w:tc>
        <w:tc>
          <w:tcPr>
            <w:tcW w:w="707" w:type="dxa"/>
            <w:vMerge/>
            <w:tcBorders>
              <w:top w:val="single" w:sz="4" w:space="0" w:color="auto"/>
              <w:left w:val="single" w:sz="4" w:space="0" w:color="auto"/>
              <w:bottom w:val="single" w:sz="4" w:space="0" w:color="000000"/>
              <w:right w:val="single" w:sz="4" w:space="0" w:color="auto"/>
            </w:tcBorders>
            <w:vAlign w:val="center"/>
            <w:hideMark/>
          </w:tcPr>
          <w:p w:rsidR="002751E2" w:rsidRPr="00F55BA6" w:rsidRDefault="002751E2" w:rsidP="00B51730">
            <w:pPr>
              <w:spacing w:after="0" w:line="240" w:lineRule="auto"/>
              <w:jc w:val="left"/>
              <w:rPr>
                <w:rFonts w:asciiTheme="majorHAnsi" w:eastAsia="Times New Roman" w:hAnsiTheme="majorHAnsi" w:cstheme="majorHAnsi"/>
                <w:b/>
                <w:bCs/>
                <w:color w:val="000000"/>
                <w:sz w:val="20"/>
                <w:szCs w:val="20"/>
                <w:lang w:val="ro-RO"/>
              </w:rPr>
            </w:pPr>
          </w:p>
        </w:tc>
        <w:tc>
          <w:tcPr>
            <w:tcW w:w="951" w:type="dxa"/>
            <w:vMerge/>
            <w:tcBorders>
              <w:top w:val="single" w:sz="4" w:space="0" w:color="auto"/>
              <w:left w:val="single" w:sz="4" w:space="0" w:color="auto"/>
              <w:bottom w:val="single" w:sz="4" w:space="0" w:color="000000"/>
              <w:right w:val="single" w:sz="4" w:space="0" w:color="auto"/>
            </w:tcBorders>
            <w:vAlign w:val="center"/>
            <w:hideMark/>
          </w:tcPr>
          <w:p w:rsidR="002751E2" w:rsidRPr="00F55BA6" w:rsidRDefault="002751E2" w:rsidP="00B51730">
            <w:pPr>
              <w:spacing w:after="0" w:line="240" w:lineRule="auto"/>
              <w:jc w:val="left"/>
              <w:rPr>
                <w:rFonts w:asciiTheme="majorHAnsi" w:eastAsia="Times New Roman" w:hAnsiTheme="majorHAnsi" w:cstheme="majorHAnsi"/>
                <w:b/>
                <w:bCs/>
                <w:color w:val="000000"/>
                <w:sz w:val="20"/>
                <w:szCs w:val="20"/>
                <w:lang w:val="ro-RO"/>
              </w:rPr>
            </w:pPr>
          </w:p>
        </w:tc>
        <w:tc>
          <w:tcPr>
            <w:tcW w:w="1144" w:type="dxa"/>
            <w:vMerge/>
            <w:tcBorders>
              <w:top w:val="single" w:sz="4" w:space="0" w:color="auto"/>
              <w:left w:val="single" w:sz="4" w:space="0" w:color="auto"/>
              <w:bottom w:val="single" w:sz="4" w:space="0" w:color="000000"/>
              <w:right w:val="single" w:sz="4" w:space="0" w:color="auto"/>
            </w:tcBorders>
            <w:vAlign w:val="center"/>
            <w:hideMark/>
          </w:tcPr>
          <w:p w:rsidR="002751E2" w:rsidRPr="00F55BA6" w:rsidRDefault="002751E2" w:rsidP="00B51730">
            <w:pPr>
              <w:spacing w:after="0" w:line="240" w:lineRule="auto"/>
              <w:ind w:left="-30" w:right="-1"/>
              <w:jc w:val="left"/>
              <w:rPr>
                <w:rFonts w:asciiTheme="majorHAnsi" w:eastAsia="Times New Roman" w:hAnsiTheme="majorHAnsi" w:cstheme="majorHAnsi"/>
                <w:b/>
                <w:bCs/>
                <w:color w:val="000000"/>
                <w:sz w:val="20"/>
                <w:szCs w:val="20"/>
                <w:lang w:val="ro-RO"/>
              </w:rPr>
            </w:pPr>
          </w:p>
        </w:tc>
        <w:tc>
          <w:tcPr>
            <w:tcW w:w="831" w:type="dxa"/>
            <w:tcBorders>
              <w:top w:val="nil"/>
              <w:left w:val="nil"/>
              <w:bottom w:val="single" w:sz="4" w:space="0" w:color="auto"/>
              <w:right w:val="single" w:sz="4" w:space="0" w:color="auto"/>
            </w:tcBorders>
            <w:shd w:val="clear" w:color="000000" w:fill="FFFFFF"/>
            <w:noWrap/>
            <w:vAlign w:val="center"/>
            <w:hideMark/>
          </w:tcPr>
          <w:p w:rsidR="002751E2" w:rsidRPr="00F55BA6" w:rsidRDefault="002751E2"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2014</w:t>
            </w:r>
          </w:p>
        </w:tc>
        <w:tc>
          <w:tcPr>
            <w:tcW w:w="1073" w:type="dxa"/>
            <w:tcBorders>
              <w:top w:val="nil"/>
              <w:left w:val="nil"/>
              <w:bottom w:val="single" w:sz="4" w:space="0" w:color="auto"/>
              <w:right w:val="single" w:sz="4" w:space="0" w:color="auto"/>
            </w:tcBorders>
            <w:shd w:val="clear" w:color="000000" w:fill="FFFFFF"/>
            <w:noWrap/>
            <w:vAlign w:val="center"/>
            <w:hideMark/>
          </w:tcPr>
          <w:p w:rsidR="002751E2" w:rsidRPr="00F55BA6" w:rsidRDefault="002751E2"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2015</w:t>
            </w:r>
          </w:p>
        </w:tc>
        <w:tc>
          <w:tcPr>
            <w:tcW w:w="1127" w:type="dxa"/>
            <w:tcBorders>
              <w:top w:val="nil"/>
              <w:left w:val="nil"/>
              <w:bottom w:val="single" w:sz="4" w:space="0" w:color="auto"/>
              <w:right w:val="single" w:sz="4" w:space="0" w:color="auto"/>
            </w:tcBorders>
            <w:shd w:val="clear" w:color="000000" w:fill="FFFFFF"/>
            <w:noWrap/>
            <w:vAlign w:val="center"/>
            <w:hideMark/>
          </w:tcPr>
          <w:p w:rsidR="002751E2" w:rsidRPr="00F55BA6" w:rsidRDefault="002751E2"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2016</w:t>
            </w:r>
          </w:p>
        </w:tc>
        <w:tc>
          <w:tcPr>
            <w:tcW w:w="1107" w:type="dxa"/>
            <w:tcBorders>
              <w:top w:val="nil"/>
              <w:left w:val="nil"/>
              <w:bottom w:val="single" w:sz="4" w:space="0" w:color="auto"/>
              <w:right w:val="single" w:sz="4" w:space="0" w:color="auto"/>
            </w:tcBorders>
            <w:shd w:val="clear" w:color="000000" w:fill="FFFFFF"/>
            <w:noWrap/>
            <w:vAlign w:val="center"/>
            <w:hideMark/>
          </w:tcPr>
          <w:p w:rsidR="002751E2" w:rsidRPr="00F55BA6" w:rsidRDefault="002751E2"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2017</w:t>
            </w:r>
          </w:p>
        </w:tc>
        <w:tc>
          <w:tcPr>
            <w:tcW w:w="1071" w:type="dxa"/>
            <w:tcBorders>
              <w:top w:val="nil"/>
              <w:left w:val="nil"/>
              <w:bottom w:val="single" w:sz="4" w:space="0" w:color="auto"/>
              <w:right w:val="single" w:sz="4" w:space="0" w:color="auto"/>
            </w:tcBorders>
            <w:shd w:val="clear" w:color="000000" w:fill="FFFFFF"/>
            <w:noWrap/>
            <w:vAlign w:val="center"/>
            <w:hideMark/>
          </w:tcPr>
          <w:p w:rsidR="002751E2" w:rsidRPr="00F55BA6" w:rsidRDefault="002751E2"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2018</w:t>
            </w:r>
          </w:p>
        </w:tc>
        <w:tc>
          <w:tcPr>
            <w:tcW w:w="1162" w:type="dxa"/>
            <w:tcBorders>
              <w:top w:val="nil"/>
              <w:left w:val="nil"/>
              <w:bottom w:val="single" w:sz="4" w:space="0" w:color="auto"/>
              <w:right w:val="single" w:sz="4" w:space="0" w:color="auto"/>
            </w:tcBorders>
            <w:shd w:val="clear" w:color="000000" w:fill="FFFFFF"/>
            <w:noWrap/>
            <w:vAlign w:val="center"/>
            <w:hideMark/>
          </w:tcPr>
          <w:p w:rsidR="002751E2" w:rsidRPr="00F55BA6" w:rsidRDefault="002751E2"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2019</w:t>
            </w:r>
          </w:p>
        </w:tc>
        <w:tc>
          <w:tcPr>
            <w:tcW w:w="1139" w:type="dxa"/>
            <w:tcBorders>
              <w:top w:val="nil"/>
              <w:left w:val="nil"/>
              <w:bottom w:val="single" w:sz="4" w:space="0" w:color="auto"/>
              <w:right w:val="nil"/>
            </w:tcBorders>
            <w:shd w:val="clear" w:color="000000" w:fill="FFFFFF"/>
            <w:noWrap/>
            <w:vAlign w:val="center"/>
            <w:hideMark/>
          </w:tcPr>
          <w:p w:rsidR="002751E2" w:rsidRPr="00F55BA6" w:rsidRDefault="002751E2"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2020</w:t>
            </w:r>
          </w:p>
        </w:tc>
        <w:tc>
          <w:tcPr>
            <w:tcW w:w="1024" w:type="dxa"/>
            <w:tcBorders>
              <w:top w:val="nil"/>
              <w:left w:val="single" w:sz="8" w:space="0" w:color="auto"/>
              <w:bottom w:val="single" w:sz="4" w:space="0" w:color="auto"/>
              <w:right w:val="single" w:sz="4" w:space="0" w:color="auto"/>
            </w:tcBorders>
            <w:shd w:val="clear" w:color="000000" w:fill="FFE699"/>
            <w:noWrap/>
            <w:vAlign w:val="center"/>
            <w:hideMark/>
          </w:tcPr>
          <w:p w:rsidR="002751E2" w:rsidRPr="00F55BA6" w:rsidRDefault="002751E2"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w:t>
            </w:r>
          </w:p>
        </w:tc>
        <w:tc>
          <w:tcPr>
            <w:tcW w:w="945" w:type="dxa"/>
            <w:tcBorders>
              <w:top w:val="nil"/>
              <w:left w:val="nil"/>
              <w:bottom w:val="single" w:sz="4" w:space="0" w:color="auto"/>
              <w:right w:val="single" w:sz="8" w:space="0" w:color="auto"/>
            </w:tcBorders>
            <w:shd w:val="clear" w:color="000000" w:fill="FFE699"/>
            <w:noWrap/>
            <w:vAlign w:val="center"/>
            <w:hideMark/>
          </w:tcPr>
          <w:p w:rsidR="002751E2" w:rsidRPr="00F55BA6" w:rsidRDefault="002751E2"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w:t>
            </w:r>
          </w:p>
        </w:tc>
      </w:tr>
      <w:tr w:rsidR="002751E2" w:rsidRPr="00E4517B" w:rsidTr="00B51730">
        <w:trPr>
          <w:trHeight w:val="48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jc w:val="center"/>
              <w:rPr>
                <w:rFonts w:asciiTheme="majorHAnsi" w:eastAsia="Times New Roman" w:hAnsiTheme="majorHAnsi" w:cstheme="majorHAnsi"/>
                <w:i/>
                <w:iCs/>
                <w:color w:val="000000"/>
                <w:sz w:val="16"/>
                <w:szCs w:val="16"/>
                <w:lang w:val="ro-RO"/>
              </w:rPr>
            </w:pPr>
            <w:r w:rsidRPr="00F55BA6">
              <w:rPr>
                <w:rFonts w:asciiTheme="majorHAnsi" w:eastAsia="Times New Roman" w:hAnsiTheme="majorHAnsi" w:cstheme="majorHAnsi"/>
                <w:i/>
                <w:iCs/>
                <w:color w:val="000000"/>
                <w:sz w:val="16"/>
                <w:szCs w:val="16"/>
                <w:lang w:val="ro-RO"/>
              </w:rPr>
              <w:t>1</w:t>
            </w:r>
          </w:p>
        </w:tc>
        <w:tc>
          <w:tcPr>
            <w:tcW w:w="2456" w:type="dxa"/>
            <w:tcBorders>
              <w:top w:val="nil"/>
              <w:left w:val="nil"/>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jc w:val="center"/>
              <w:rPr>
                <w:rFonts w:asciiTheme="majorHAnsi" w:eastAsia="Times New Roman" w:hAnsiTheme="majorHAnsi" w:cstheme="majorHAnsi"/>
                <w:i/>
                <w:iCs/>
                <w:color w:val="000000"/>
                <w:sz w:val="16"/>
                <w:szCs w:val="16"/>
                <w:lang w:val="ro-RO"/>
              </w:rPr>
            </w:pPr>
            <w:r w:rsidRPr="00F55BA6">
              <w:rPr>
                <w:rFonts w:asciiTheme="majorHAnsi" w:eastAsia="Times New Roman" w:hAnsiTheme="majorHAnsi" w:cstheme="majorHAnsi"/>
                <w:i/>
                <w:iCs/>
                <w:color w:val="000000"/>
                <w:sz w:val="16"/>
                <w:szCs w:val="16"/>
                <w:lang w:val="ro-RO"/>
              </w:rPr>
              <w:t>2</w:t>
            </w:r>
          </w:p>
        </w:tc>
        <w:tc>
          <w:tcPr>
            <w:tcW w:w="707" w:type="dxa"/>
            <w:tcBorders>
              <w:top w:val="nil"/>
              <w:left w:val="nil"/>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jc w:val="center"/>
              <w:rPr>
                <w:rFonts w:asciiTheme="majorHAnsi" w:eastAsia="Times New Roman" w:hAnsiTheme="majorHAnsi" w:cstheme="majorHAnsi"/>
                <w:i/>
                <w:iCs/>
                <w:color w:val="000000"/>
                <w:sz w:val="16"/>
                <w:szCs w:val="16"/>
                <w:lang w:val="ro-RO"/>
              </w:rPr>
            </w:pPr>
            <w:r w:rsidRPr="00F55BA6">
              <w:rPr>
                <w:rFonts w:asciiTheme="majorHAnsi" w:eastAsia="Times New Roman" w:hAnsiTheme="majorHAnsi" w:cstheme="majorHAnsi"/>
                <w:i/>
                <w:iCs/>
                <w:color w:val="000000"/>
                <w:sz w:val="16"/>
                <w:szCs w:val="16"/>
                <w:lang w:val="ro-RO"/>
              </w:rPr>
              <w:t>3</w:t>
            </w:r>
          </w:p>
        </w:tc>
        <w:tc>
          <w:tcPr>
            <w:tcW w:w="951" w:type="dxa"/>
            <w:tcBorders>
              <w:top w:val="nil"/>
              <w:left w:val="nil"/>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jc w:val="center"/>
              <w:rPr>
                <w:rFonts w:asciiTheme="majorHAnsi" w:eastAsia="Times New Roman" w:hAnsiTheme="majorHAnsi" w:cstheme="majorHAnsi"/>
                <w:i/>
                <w:iCs/>
                <w:color w:val="000000"/>
                <w:sz w:val="16"/>
                <w:szCs w:val="16"/>
                <w:lang w:val="ro-RO"/>
              </w:rPr>
            </w:pPr>
            <w:r w:rsidRPr="00F55BA6">
              <w:rPr>
                <w:rFonts w:asciiTheme="majorHAnsi" w:eastAsia="Times New Roman" w:hAnsiTheme="majorHAnsi" w:cstheme="majorHAnsi"/>
                <w:i/>
                <w:iCs/>
                <w:color w:val="000000"/>
                <w:sz w:val="16"/>
                <w:szCs w:val="16"/>
                <w:lang w:val="ro-RO"/>
              </w:rPr>
              <w:t>4</w:t>
            </w:r>
          </w:p>
        </w:tc>
        <w:tc>
          <w:tcPr>
            <w:tcW w:w="1144" w:type="dxa"/>
            <w:tcBorders>
              <w:top w:val="nil"/>
              <w:left w:val="nil"/>
              <w:bottom w:val="single" w:sz="4" w:space="0" w:color="auto"/>
              <w:right w:val="single" w:sz="4" w:space="0" w:color="auto"/>
            </w:tcBorders>
            <w:shd w:val="clear" w:color="000000" w:fill="F2F2F2"/>
            <w:noWrap/>
            <w:vAlign w:val="center"/>
            <w:hideMark/>
          </w:tcPr>
          <w:p w:rsidR="002751E2" w:rsidRPr="00F55BA6" w:rsidRDefault="002751E2" w:rsidP="00B51730">
            <w:pPr>
              <w:spacing w:after="0" w:line="240" w:lineRule="auto"/>
              <w:ind w:left="-30" w:right="-1"/>
              <w:jc w:val="center"/>
              <w:rPr>
                <w:rFonts w:asciiTheme="majorHAnsi" w:eastAsia="Times New Roman" w:hAnsiTheme="majorHAnsi" w:cstheme="majorHAnsi"/>
                <w:i/>
                <w:iCs/>
                <w:color w:val="000000"/>
                <w:sz w:val="16"/>
                <w:szCs w:val="16"/>
                <w:lang w:val="ro-RO"/>
              </w:rPr>
            </w:pPr>
            <w:r w:rsidRPr="00F55BA6">
              <w:rPr>
                <w:rFonts w:asciiTheme="majorHAnsi" w:eastAsia="Times New Roman" w:hAnsiTheme="majorHAnsi" w:cstheme="majorHAnsi"/>
                <w:i/>
                <w:iCs/>
                <w:color w:val="000000"/>
                <w:sz w:val="16"/>
                <w:szCs w:val="16"/>
                <w:lang w:val="ro-RO"/>
              </w:rPr>
              <w:t>5</w:t>
            </w:r>
          </w:p>
        </w:tc>
        <w:tc>
          <w:tcPr>
            <w:tcW w:w="831" w:type="dxa"/>
            <w:tcBorders>
              <w:top w:val="nil"/>
              <w:left w:val="nil"/>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jc w:val="center"/>
              <w:rPr>
                <w:rFonts w:asciiTheme="majorHAnsi" w:eastAsia="Times New Roman" w:hAnsiTheme="majorHAnsi" w:cstheme="majorHAnsi"/>
                <w:i/>
                <w:iCs/>
                <w:color w:val="000000"/>
                <w:sz w:val="16"/>
                <w:szCs w:val="16"/>
                <w:lang w:val="ro-RO"/>
              </w:rPr>
            </w:pPr>
            <w:r w:rsidRPr="00F55BA6">
              <w:rPr>
                <w:rFonts w:asciiTheme="majorHAnsi" w:eastAsia="Times New Roman" w:hAnsiTheme="majorHAnsi" w:cstheme="majorHAnsi"/>
                <w:i/>
                <w:iCs/>
                <w:color w:val="000000"/>
                <w:sz w:val="16"/>
                <w:szCs w:val="16"/>
                <w:lang w:val="ro-RO"/>
              </w:rPr>
              <w:t>6</w:t>
            </w:r>
          </w:p>
        </w:tc>
        <w:tc>
          <w:tcPr>
            <w:tcW w:w="1073" w:type="dxa"/>
            <w:tcBorders>
              <w:top w:val="nil"/>
              <w:left w:val="nil"/>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jc w:val="center"/>
              <w:rPr>
                <w:rFonts w:asciiTheme="majorHAnsi" w:eastAsia="Times New Roman" w:hAnsiTheme="majorHAnsi" w:cstheme="majorHAnsi"/>
                <w:i/>
                <w:iCs/>
                <w:color w:val="000000"/>
                <w:sz w:val="16"/>
                <w:szCs w:val="16"/>
                <w:lang w:val="ro-RO"/>
              </w:rPr>
            </w:pPr>
            <w:r w:rsidRPr="00F55BA6">
              <w:rPr>
                <w:rFonts w:asciiTheme="majorHAnsi" w:eastAsia="Times New Roman" w:hAnsiTheme="majorHAnsi" w:cstheme="majorHAnsi"/>
                <w:i/>
                <w:iCs/>
                <w:color w:val="000000"/>
                <w:sz w:val="16"/>
                <w:szCs w:val="16"/>
                <w:lang w:val="ro-RO"/>
              </w:rPr>
              <w:t>7</w:t>
            </w:r>
          </w:p>
        </w:tc>
        <w:tc>
          <w:tcPr>
            <w:tcW w:w="1127" w:type="dxa"/>
            <w:tcBorders>
              <w:top w:val="nil"/>
              <w:left w:val="nil"/>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jc w:val="center"/>
              <w:rPr>
                <w:rFonts w:asciiTheme="majorHAnsi" w:eastAsia="Times New Roman" w:hAnsiTheme="majorHAnsi" w:cstheme="majorHAnsi"/>
                <w:i/>
                <w:iCs/>
                <w:color w:val="000000"/>
                <w:sz w:val="16"/>
                <w:szCs w:val="16"/>
                <w:lang w:val="ro-RO"/>
              </w:rPr>
            </w:pPr>
            <w:r w:rsidRPr="00F55BA6">
              <w:rPr>
                <w:rFonts w:asciiTheme="majorHAnsi" w:eastAsia="Times New Roman" w:hAnsiTheme="majorHAnsi" w:cstheme="majorHAnsi"/>
                <w:i/>
                <w:iCs/>
                <w:color w:val="000000"/>
                <w:sz w:val="16"/>
                <w:szCs w:val="16"/>
                <w:lang w:val="ro-RO"/>
              </w:rPr>
              <w:t>8</w:t>
            </w:r>
          </w:p>
        </w:tc>
        <w:tc>
          <w:tcPr>
            <w:tcW w:w="1107" w:type="dxa"/>
            <w:tcBorders>
              <w:top w:val="nil"/>
              <w:left w:val="nil"/>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jc w:val="center"/>
              <w:rPr>
                <w:rFonts w:asciiTheme="majorHAnsi" w:eastAsia="Times New Roman" w:hAnsiTheme="majorHAnsi" w:cstheme="majorHAnsi"/>
                <w:i/>
                <w:iCs/>
                <w:color w:val="000000"/>
                <w:sz w:val="16"/>
                <w:szCs w:val="16"/>
                <w:lang w:val="ro-RO"/>
              </w:rPr>
            </w:pPr>
            <w:r w:rsidRPr="00F55BA6">
              <w:rPr>
                <w:rFonts w:asciiTheme="majorHAnsi" w:eastAsia="Times New Roman" w:hAnsiTheme="majorHAnsi" w:cstheme="majorHAnsi"/>
                <w:i/>
                <w:iCs/>
                <w:color w:val="000000"/>
                <w:sz w:val="16"/>
                <w:szCs w:val="16"/>
                <w:lang w:val="ro-RO"/>
              </w:rPr>
              <w:t>9</w:t>
            </w:r>
          </w:p>
        </w:tc>
        <w:tc>
          <w:tcPr>
            <w:tcW w:w="1071" w:type="dxa"/>
            <w:tcBorders>
              <w:top w:val="nil"/>
              <w:left w:val="nil"/>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jc w:val="center"/>
              <w:rPr>
                <w:rFonts w:asciiTheme="majorHAnsi" w:eastAsia="Times New Roman" w:hAnsiTheme="majorHAnsi" w:cstheme="majorHAnsi"/>
                <w:i/>
                <w:iCs/>
                <w:color w:val="000000"/>
                <w:sz w:val="16"/>
                <w:szCs w:val="16"/>
                <w:lang w:val="ro-RO"/>
              </w:rPr>
            </w:pPr>
            <w:r w:rsidRPr="00F55BA6">
              <w:rPr>
                <w:rFonts w:asciiTheme="majorHAnsi" w:eastAsia="Times New Roman" w:hAnsiTheme="majorHAnsi" w:cstheme="majorHAnsi"/>
                <w:i/>
                <w:iCs/>
                <w:color w:val="000000"/>
                <w:sz w:val="16"/>
                <w:szCs w:val="16"/>
                <w:lang w:val="ro-RO"/>
              </w:rPr>
              <w:t>10</w:t>
            </w:r>
          </w:p>
        </w:tc>
        <w:tc>
          <w:tcPr>
            <w:tcW w:w="1162" w:type="dxa"/>
            <w:tcBorders>
              <w:top w:val="nil"/>
              <w:left w:val="nil"/>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jc w:val="center"/>
              <w:rPr>
                <w:rFonts w:asciiTheme="majorHAnsi" w:eastAsia="Times New Roman" w:hAnsiTheme="majorHAnsi" w:cstheme="majorHAnsi"/>
                <w:i/>
                <w:iCs/>
                <w:color w:val="000000"/>
                <w:sz w:val="16"/>
                <w:szCs w:val="16"/>
                <w:lang w:val="ro-RO"/>
              </w:rPr>
            </w:pPr>
            <w:r w:rsidRPr="00F55BA6">
              <w:rPr>
                <w:rFonts w:asciiTheme="majorHAnsi" w:eastAsia="Times New Roman" w:hAnsiTheme="majorHAnsi" w:cstheme="majorHAnsi"/>
                <w:i/>
                <w:iCs/>
                <w:color w:val="000000"/>
                <w:sz w:val="16"/>
                <w:szCs w:val="16"/>
                <w:lang w:val="ro-RO"/>
              </w:rPr>
              <w:t>11</w:t>
            </w:r>
          </w:p>
        </w:tc>
        <w:tc>
          <w:tcPr>
            <w:tcW w:w="1139" w:type="dxa"/>
            <w:tcBorders>
              <w:top w:val="nil"/>
              <w:left w:val="nil"/>
              <w:bottom w:val="single" w:sz="4" w:space="0" w:color="auto"/>
              <w:right w:val="nil"/>
            </w:tcBorders>
            <w:shd w:val="clear" w:color="auto" w:fill="auto"/>
            <w:noWrap/>
            <w:vAlign w:val="center"/>
            <w:hideMark/>
          </w:tcPr>
          <w:p w:rsidR="002751E2" w:rsidRPr="00F55BA6" w:rsidRDefault="002751E2" w:rsidP="00B51730">
            <w:pPr>
              <w:spacing w:after="0" w:line="240" w:lineRule="auto"/>
              <w:jc w:val="center"/>
              <w:rPr>
                <w:rFonts w:asciiTheme="majorHAnsi" w:eastAsia="Times New Roman" w:hAnsiTheme="majorHAnsi" w:cstheme="majorHAnsi"/>
                <w:i/>
                <w:iCs/>
                <w:color w:val="000000"/>
                <w:sz w:val="16"/>
                <w:szCs w:val="16"/>
                <w:lang w:val="ro-RO"/>
              </w:rPr>
            </w:pPr>
            <w:r w:rsidRPr="00F55BA6">
              <w:rPr>
                <w:rFonts w:asciiTheme="majorHAnsi" w:eastAsia="Times New Roman" w:hAnsiTheme="majorHAnsi" w:cstheme="majorHAnsi"/>
                <w:i/>
                <w:iCs/>
                <w:color w:val="000000"/>
                <w:sz w:val="16"/>
                <w:szCs w:val="16"/>
                <w:lang w:val="ro-RO"/>
              </w:rPr>
              <w:t>12</w:t>
            </w:r>
          </w:p>
        </w:tc>
        <w:tc>
          <w:tcPr>
            <w:tcW w:w="1024" w:type="dxa"/>
            <w:tcBorders>
              <w:top w:val="nil"/>
              <w:left w:val="single" w:sz="8" w:space="0" w:color="auto"/>
              <w:bottom w:val="single" w:sz="4" w:space="0" w:color="auto"/>
              <w:right w:val="single" w:sz="4" w:space="0" w:color="auto"/>
            </w:tcBorders>
            <w:shd w:val="clear" w:color="000000" w:fill="FFE699"/>
            <w:noWrap/>
            <w:vAlign w:val="center"/>
            <w:hideMark/>
          </w:tcPr>
          <w:p w:rsidR="002751E2" w:rsidRPr="00F55BA6" w:rsidRDefault="002751E2" w:rsidP="00B51730">
            <w:pPr>
              <w:spacing w:after="0" w:line="240" w:lineRule="auto"/>
              <w:jc w:val="center"/>
              <w:rPr>
                <w:rFonts w:asciiTheme="majorHAnsi" w:eastAsia="Times New Roman" w:hAnsiTheme="majorHAnsi" w:cstheme="majorHAnsi"/>
                <w:i/>
                <w:iCs/>
                <w:color w:val="000000"/>
                <w:sz w:val="16"/>
                <w:szCs w:val="16"/>
                <w:lang w:val="ro-RO"/>
              </w:rPr>
            </w:pPr>
            <w:r w:rsidRPr="00F55BA6">
              <w:rPr>
                <w:rFonts w:asciiTheme="majorHAnsi" w:eastAsia="Times New Roman" w:hAnsiTheme="majorHAnsi" w:cstheme="majorHAnsi"/>
                <w:i/>
                <w:iCs/>
                <w:color w:val="000000"/>
                <w:sz w:val="16"/>
                <w:szCs w:val="16"/>
                <w:lang w:val="ro-RO"/>
              </w:rPr>
              <w:t>13=12-5</w:t>
            </w:r>
          </w:p>
        </w:tc>
        <w:tc>
          <w:tcPr>
            <w:tcW w:w="945" w:type="dxa"/>
            <w:tcBorders>
              <w:top w:val="nil"/>
              <w:left w:val="nil"/>
              <w:bottom w:val="single" w:sz="4" w:space="0" w:color="auto"/>
              <w:right w:val="single" w:sz="8" w:space="0" w:color="auto"/>
            </w:tcBorders>
            <w:shd w:val="clear" w:color="000000" w:fill="FFE699"/>
            <w:vAlign w:val="center"/>
            <w:hideMark/>
          </w:tcPr>
          <w:p w:rsidR="002751E2" w:rsidRPr="00F55BA6" w:rsidRDefault="002751E2" w:rsidP="00B51730">
            <w:pPr>
              <w:spacing w:after="0" w:line="240" w:lineRule="auto"/>
              <w:ind w:left="-138" w:right="-79"/>
              <w:jc w:val="center"/>
              <w:rPr>
                <w:rFonts w:asciiTheme="majorHAnsi" w:eastAsia="Times New Roman" w:hAnsiTheme="majorHAnsi" w:cstheme="majorHAnsi"/>
                <w:i/>
                <w:iCs/>
                <w:color w:val="000000"/>
                <w:sz w:val="16"/>
                <w:szCs w:val="16"/>
                <w:lang w:val="ro-RO"/>
              </w:rPr>
            </w:pPr>
            <w:r w:rsidRPr="00F55BA6">
              <w:rPr>
                <w:rFonts w:asciiTheme="majorHAnsi" w:eastAsia="Times New Roman" w:hAnsiTheme="majorHAnsi" w:cstheme="majorHAnsi"/>
                <w:i/>
                <w:iCs/>
                <w:color w:val="000000"/>
                <w:sz w:val="16"/>
                <w:szCs w:val="16"/>
                <w:lang w:val="ro-RO"/>
              </w:rPr>
              <w:t>14=12/5*100</w:t>
            </w:r>
          </w:p>
          <w:p w:rsidR="002751E2" w:rsidRPr="00F55BA6" w:rsidRDefault="002751E2" w:rsidP="00B51730">
            <w:pPr>
              <w:spacing w:after="0" w:line="240" w:lineRule="auto"/>
              <w:ind w:left="-138" w:right="-79"/>
              <w:jc w:val="center"/>
              <w:rPr>
                <w:rFonts w:asciiTheme="majorHAnsi" w:eastAsia="Times New Roman" w:hAnsiTheme="majorHAnsi" w:cstheme="majorHAnsi"/>
                <w:i/>
                <w:iCs/>
                <w:color w:val="000000"/>
                <w:sz w:val="16"/>
                <w:szCs w:val="16"/>
                <w:lang w:val="ro-RO"/>
              </w:rPr>
            </w:pPr>
            <w:r w:rsidRPr="00F55BA6">
              <w:rPr>
                <w:rFonts w:asciiTheme="majorHAnsi" w:eastAsia="Times New Roman" w:hAnsiTheme="majorHAnsi" w:cstheme="majorHAnsi"/>
                <w:i/>
                <w:iCs/>
                <w:color w:val="000000"/>
                <w:sz w:val="16"/>
                <w:szCs w:val="16"/>
                <w:lang w:val="ro-RO"/>
              </w:rPr>
              <w:t>-100</w:t>
            </w:r>
          </w:p>
        </w:tc>
      </w:tr>
      <w:tr w:rsidR="002751E2" w:rsidRPr="00E4517B" w:rsidTr="00B51730">
        <w:trPr>
          <w:trHeight w:val="94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1</w:t>
            </w:r>
          </w:p>
        </w:tc>
        <w:tc>
          <w:tcPr>
            <w:tcW w:w="2456" w:type="dxa"/>
            <w:tcBorders>
              <w:top w:val="nil"/>
              <w:left w:val="nil"/>
              <w:bottom w:val="single" w:sz="4" w:space="0" w:color="auto"/>
              <w:right w:val="single" w:sz="4" w:space="0" w:color="auto"/>
            </w:tcBorders>
            <w:shd w:val="clear" w:color="auto" w:fill="auto"/>
            <w:hideMark/>
          </w:tcPr>
          <w:p w:rsidR="002751E2" w:rsidRPr="00F55BA6" w:rsidRDefault="002751E2" w:rsidP="00B51730">
            <w:pPr>
              <w:spacing w:after="0" w:line="240" w:lineRule="auto"/>
              <w:ind w:left="-60" w:right="-115"/>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Construcția blocului locativ pentru participanții la lichidarea consecințelor avariei de la CAE Cernobâl, str. Alba Iulia nr.91/3, municipiul Chișinău</w:t>
            </w:r>
          </w:p>
        </w:tc>
        <w:tc>
          <w:tcPr>
            <w:tcW w:w="707" w:type="dxa"/>
            <w:tcBorders>
              <w:top w:val="nil"/>
              <w:left w:val="nil"/>
              <w:bottom w:val="single" w:sz="4" w:space="0" w:color="auto"/>
              <w:right w:val="single" w:sz="4" w:space="0" w:color="auto"/>
            </w:tcBorders>
            <w:shd w:val="clear" w:color="auto" w:fill="auto"/>
            <w:vAlign w:val="center"/>
            <w:hideMark/>
          </w:tcPr>
          <w:p w:rsidR="002751E2" w:rsidRPr="00F55BA6" w:rsidRDefault="002751E2"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2004</w:t>
            </w:r>
          </w:p>
        </w:tc>
        <w:tc>
          <w:tcPr>
            <w:tcW w:w="951" w:type="dxa"/>
            <w:tcBorders>
              <w:top w:val="nil"/>
              <w:left w:val="nil"/>
              <w:bottom w:val="single" w:sz="4" w:space="0" w:color="auto"/>
              <w:right w:val="single" w:sz="4" w:space="0" w:color="auto"/>
            </w:tcBorders>
            <w:shd w:val="clear" w:color="000000" w:fill="FFFFFF"/>
            <w:vAlign w:val="center"/>
            <w:hideMark/>
          </w:tcPr>
          <w:p w:rsidR="002751E2" w:rsidRPr="00F55BA6" w:rsidRDefault="002751E2" w:rsidP="00B51730">
            <w:pPr>
              <w:spacing w:after="0" w:line="240" w:lineRule="auto"/>
              <w:ind w:left="-77" w:right="-111"/>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res. generale</w:t>
            </w:r>
          </w:p>
        </w:tc>
        <w:tc>
          <w:tcPr>
            <w:tcW w:w="1144" w:type="dxa"/>
            <w:tcBorders>
              <w:top w:val="nil"/>
              <w:left w:val="nil"/>
              <w:bottom w:val="single" w:sz="4" w:space="0" w:color="auto"/>
              <w:right w:val="single" w:sz="4" w:space="0" w:color="auto"/>
            </w:tcBorders>
            <w:shd w:val="clear" w:color="000000" w:fill="EDEDED"/>
            <w:noWrap/>
            <w:vAlign w:val="center"/>
            <w:hideMark/>
          </w:tcPr>
          <w:p w:rsidR="002751E2" w:rsidRPr="00F55BA6" w:rsidRDefault="002751E2" w:rsidP="00B51730">
            <w:pPr>
              <w:spacing w:after="0" w:line="240" w:lineRule="auto"/>
              <w:ind w:left="-30" w:right="-1"/>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61.359,0</w:t>
            </w:r>
          </w:p>
        </w:tc>
        <w:tc>
          <w:tcPr>
            <w:tcW w:w="831" w:type="dxa"/>
            <w:tcBorders>
              <w:top w:val="nil"/>
              <w:left w:val="nil"/>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ind w:left="-193"/>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69.829,6</w:t>
            </w:r>
          </w:p>
        </w:tc>
        <w:tc>
          <w:tcPr>
            <w:tcW w:w="1073" w:type="dxa"/>
            <w:tcBorders>
              <w:top w:val="nil"/>
              <w:left w:val="nil"/>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ind w:left="-101" w:right="-72"/>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69.830,0</w:t>
            </w:r>
          </w:p>
        </w:tc>
        <w:tc>
          <w:tcPr>
            <w:tcW w:w="1127" w:type="dxa"/>
            <w:tcBorders>
              <w:top w:val="nil"/>
              <w:left w:val="nil"/>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ind w:left="-47"/>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69.830,0</w:t>
            </w:r>
          </w:p>
        </w:tc>
        <w:tc>
          <w:tcPr>
            <w:tcW w:w="1107" w:type="dxa"/>
            <w:tcBorders>
              <w:top w:val="single" w:sz="4" w:space="0" w:color="auto"/>
              <w:left w:val="nil"/>
              <w:bottom w:val="nil"/>
              <w:right w:val="single" w:sz="4" w:space="0" w:color="auto"/>
            </w:tcBorders>
            <w:shd w:val="clear" w:color="auto" w:fill="auto"/>
            <w:noWrap/>
            <w:vAlign w:val="center"/>
            <w:hideMark/>
          </w:tcPr>
          <w:p w:rsidR="002751E2" w:rsidRPr="00F55BA6" w:rsidRDefault="002751E2" w:rsidP="00B51730">
            <w:pPr>
              <w:spacing w:after="0" w:line="240" w:lineRule="auto"/>
              <w:ind w:left="-209"/>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69.830,0</w:t>
            </w:r>
          </w:p>
        </w:tc>
        <w:tc>
          <w:tcPr>
            <w:tcW w:w="1071" w:type="dxa"/>
            <w:tcBorders>
              <w:top w:val="nil"/>
              <w:left w:val="single" w:sz="4" w:space="0" w:color="auto"/>
              <w:bottom w:val="nil"/>
              <w:right w:val="single" w:sz="4" w:space="0" w:color="auto"/>
            </w:tcBorders>
            <w:shd w:val="clear" w:color="auto" w:fill="auto"/>
            <w:noWrap/>
            <w:vAlign w:val="center"/>
            <w:hideMark/>
          </w:tcPr>
          <w:p w:rsidR="002751E2" w:rsidRPr="00F55BA6" w:rsidRDefault="002751E2" w:rsidP="00B51730">
            <w:pPr>
              <w:spacing w:after="0" w:line="240" w:lineRule="auto"/>
              <w:ind w:left="-103" w:right="-73"/>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74.412,8</w:t>
            </w:r>
          </w:p>
        </w:tc>
        <w:tc>
          <w:tcPr>
            <w:tcW w:w="1162" w:type="dxa"/>
            <w:tcBorders>
              <w:top w:val="nil"/>
              <w:left w:val="nil"/>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ind w:left="-114"/>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74.412,8</w:t>
            </w:r>
          </w:p>
        </w:tc>
        <w:tc>
          <w:tcPr>
            <w:tcW w:w="1139" w:type="dxa"/>
            <w:tcBorders>
              <w:top w:val="nil"/>
              <w:left w:val="nil"/>
              <w:bottom w:val="single" w:sz="4" w:space="0" w:color="auto"/>
              <w:right w:val="nil"/>
            </w:tcBorders>
            <w:shd w:val="clear" w:color="auto" w:fill="auto"/>
            <w:noWrap/>
            <w:vAlign w:val="center"/>
            <w:hideMark/>
          </w:tcPr>
          <w:p w:rsidR="002751E2" w:rsidRPr="00F55BA6" w:rsidRDefault="002751E2"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74.412,8</w:t>
            </w:r>
          </w:p>
        </w:tc>
        <w:tc>
          <w:tcPr>
            <w:tcW w:w="1024" w:type="dxa"/>
            <w:tcBorders>
              <w:top w:val="nil"/>
              <w:left w:val="single" w:sz="8" w:space="0" w:color="auto"/>
              <w:bottom w:val="single" w:sz="4" w:space="0" w:color="auto"/>
              <w:right w:val="single" w:sz="4" w:space="0" w:color="auto"/>
            </w:tcBorders>
            <w:shd w:val="clear" w:color="000000" w:fill="FFE699"/>
            <w:noWrap/>
            <w:vAlign w:val="center"/>
            <w:hideMark/>
          </w:tcPr>
          <w:p w:rsidR="002751E2" w:rsidRPr="00F55BA6" w:rsidRDefault="002751E2"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13.053,8</w:t>
            </w:r>
          </w:p>
        </w:tc>
        <w:tc>
          <w:tcPr>
            <w:tcW w:w="945" w:type="dxa"/>
            <w:tcBorders>
              <w:top w:val="nil"/>
              <w:left w:val="nil"/>
              <w:bottom w:val="single" w:sz="4" w:space="0" w:color="auto"/>
              <w:right w:val="single" w:sz="8" w:space="0" w:color="auto"/>
            </w:tcBorders>
            <w:shd w:val="clear" w:color="000000" w:fill="FFE699"/>
            <w:noWrap/>
            <w:vAlign w:val="center"/>
            <w:hideMark/>
          </w:tcPr>
          <w:p w:rsidR="002751E2" w:rsidRPr="00F55BA6" w:rsidRDefault="002751E2"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21,3</w:t>
            </w:r>
          </w:p>
        </w:tc>
      </w:tr>
      <w:tr w:rsidR="002751E2" w:rsidRPr="00E4517B" w:rsidTr="00B51730">
        <w:trPr>
          <w:trHeight w:val="825"/>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2</w:t>
            </w:r>
          </w:p>
        </w:tc>
        <w:tc>
          <w:tcPr>
            <w:tcW w:w="2456" w:type="dxa"/>
            <w:tcBorders>
              <w:top w:val="nil"/>
              <w:left w:val="nil"/>
              <w:bottom w:val="single" w:sz="4" w:space="0" w:color="auto"/>
              <w:right w:val="single" w:sz="4" w:space="0" w:color="auto"/>
            </w:tcBorders>
            <w:shd w:val="clear" w:color="auto" w:fill="auto"/>
            <w:vAlign w:val="center"/>
            <w:hideMark/>
          </w:tcPr>
          <w:p w:rsidR="002751E2" w:rsidRPr="00F55BA6" w:rsidRDefault="002751E2" w:rsidP="00B51730">
            <w:pPr>
              <w:spacing w:after="0" w:line="240" w:lineRule="auto"/>
              <w:ind w:left="-60" w:right="-115"/>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Restaurarea edificiului Muzeului Național de Artă al Moldovei, str. 31 August 1989 nr.115, municipiul Chișinău</w:t>
            </w:r>
          </w:p>
        </w:tc>
        <w:tc>
          <w:tcPr>
            <w:tcW w:w="707" w:type="dxa"/>
            <w:tcBorders>
              <w:top w:val="nil"/>
              <w:left w:val="nil"/>
              <w:bottom w:val="single" w:sz="4" w:space="0" w:color="auto"/>
              <w:right w:val="single" w:sz="4" w:space="0" w:color="auto"/>
            </w:tcBorders>
            <w:shd w:val="clear" w:color="auto" w:fill="auto"/>
            <w:vAlign w:val="center"/>
            <w:hideMark/>
          </w:tcPr>
          <w:p w:rsidR="002751E2" w:rsidRPr="00F55BA6" w:rsidRDefault="002751E2"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2005</w:t>
            </w:r>
          </w:p>
        </w:tc>
        <w:tc>
          <w:tcPr>
            <w:tcW w:w="951" w:type="dxa"/>
            <w:tcBorders>
              <w:top w:val="nil"/>
              <w:left w:val="nil"/>
              <w:bottom w:val="single" w:sz="4" w:space="0" w:color="auto"/>
              <w:right w:val="single" w:sz="4" w:space="0" w:color="auto"/>
            </w:tcBorders>
            <w:shd w:val="clear" w:color="000000" w:fill="FFFFFF"/>
            <w:vAlign w:val="center"/>
            <w:hideMark/>
          </w:tcPr>
          <w:p w:rsidR="002751E2" w:rsidRPr="00F55BA6" w:rsidRDefault="002751E2" w:rsidP="00B51730">
            <w:pPr>
              <w:spacing w:after="0" w:line="240" w:lineRule="auto"/>
              <w:ind w:left="-77" w:right="-111"/>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res. generale</w:t>
            </w:r>
          </w:p>
        </w:tc>
        <w:tc>
          <w:tcPr>
            <w:tcW w:w="1144" w:type="dxa"/>
            <w:tcBorders>
              <w:top w:val="nil"/>
              <w:left w:val="nil"/>
              <w:bottom w:val="single" w:sz="4" w:space="0" w:color="auto"/>
              <w:right w:val="single" w:sz="4" w:space="0" w:color="auto"/>
            </w:tcBorders>
            <w:shd w:val="clear" w:color="000000" w:fill="F2F2F2"/>
            <w:noWrap/>
            <w:vAlign w:val="center"/>
            <w:hideMark/>
          </w:tcPr>
          <w:p w:rsidR="002751E2" w:rsidRPr="00F55BA6" w:rsidRDefault="002751E2" w:rsidP="00B51730">
            <w:pPr>
              <w:spacing w:after="0" w:line="240" w:lineRule="auto"/>
              <w:ind w:left="-30" w:right="-1"/>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36.600,0</w:t>
            </w:r>
          </w:p>
        </w:tc>
        <w:tc>
          <w:tcPr>
            <w:tcW w:w="831" w:type="dxa"/>
            <w:tcBorders>
              <w:top w:val="nil"/>
              <w:left w:val="nil"/>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ind w:left="-193"/>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 </w:t>
            </w:r>
          </w:p>
        </w:tc>
        <w:tc>
          <w:tcPr>
            <w:tcW w:w="1073" w:type="dxa"/>
            <w:tcBorders>
              <w:top w:val="nil"/>
              <w:left w:val="nil"/>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ind w:left="-101" w:right="-72"/>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 </w:t>
            </w:r>
          </w:p>
        </w:tc>
        <w:tc>
          <w:tcPr>
            <w:tcW w:w="1127" w:type="dxa"/>
            <w:tcBorders>
              <w:top w:val="nil"/>
              <w:left w:val="nil"/>
              <w:bottom w:val="nil"/>
              <w:right w:val="single" w:sz="4" w:space="0" w:color="auto"/>
            </w:tcBorders>
            <w:shd w:val="clear" w:color="auto" w:fill="auto"/>
            <w:noWrap/>
            <w:vAlign w:val="center"/>
            <w:hideMark/>
          </w:tcPr>
          <w:p w:rsidR="002751E2" w:rsidRPr="00F55BA6" w:rsidRDefault="002751E2" w:rsidP="00B51730">
            <w:pPr>
              <w:spacing w:after="0" w:line="240" w:lineRule="auto"/>
              <w:ind w:left="-47"/>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69.000,0</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ind w:left="-209"/>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91.661,3</w:t>
            </w:r>
          </w:p>
        </w:tc>
        <w:tc>
          <w:tcPr>
            <w:tcW w:w="1071" w:type="dxa"/>
            <w:tcBorders>
              <w:top w:val="single" w:sz="4" w:space="0" w:color="auto"/>
              <w:left w:val="nil"/>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ind w:left="-103" w:right="-73"/>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91.661,3</w:t>
            </w:r>
          </w:p>
        </w:tc>
        <w:tc>
          <w:tcPr>
            <w:tcW w:w="1162" w:type="dxa"/>
            <w:tcBorders>
              <w:top w:val="nil"/>
              <w:left w:val="nil"/>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ind w:left="-114"/>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91.661,3</w:t>
            </w:r>
          </w:p>
        </w:tc>
        <w:tc>
          <w:tcPr>
            <w:tcW w:w="1139" w:type="dxa"/>
            <w:tcBorders>
              <w:top w:val="nil"/>
              <w:left w:val="nil"/>
              <w:bottom w:val="single" w:sz="4" w:space="0" w:color="auto"/>
              <w:right w:val="nil"/>
            </w:tcBorders>
            <w:shd w:val="clear" w:color="auto" w:fill="auto"/>
            <w:noWrap/>
            <w:vAlign w:val="center"/>
            <w:hideMark/>
          </w:tcPr>
          <w:p w:rsidR="002751E2" w:rsidRPr="00F55BA6" w:rsidRDefault="002751E2"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91.661,3</w:t>
            </w:r>
          </w:p>
        </w:tc>
        <w:tc>
          <w:tcPr>
            <w:tcW w:w="1024" w:type="dxa"/>
            <w:tcBorders>
              <w:top w:val="nil"/>
              <w:left w:val="single" w:sz="8" w:space="0" w:color="auto"/>
              <w:bottom w:val="single" w:sz="4" w:space="0" w:color="auto"/>
              <w:right w:val="single" w:sz="4" w:space="0" w:color="auto"/>
            </w:tcBorders>
            <w:shd w:val="clear" w:color="000000" w:fill="FFE699"/>
            <w:noWrap/>
            <w:vAlign w:val="center"/>
            <w:hideMark/>
          </w:tcPr>
          <w:p w:rsidR="002751E2" w:rsidRPr="00F55BA6" w:rsidRDefault="002751E2"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55.061,3</w:t>
            </w:r>
          </w:p>
        </w:tc>
        <w:tc>
          <w:tcPr>
            <w:tcW w:w="945" w:type="dxa"/>
            <w:tcBorders>
              <w:top w:val="nil"/>
              <w:left w:val="nil"/>
              <w:bottom w:val="single" w:sz="4" w:space="0" w:color="auto"/>
              <w:right w:val="single" w:sz="8" w:space="0" w:color="auto"/>
            </w:tcBorders>
            <w:shd w:val="clear" w:color="000000" w:fill="FFE699"/>
            <w:noWrap/>
            <w:vAlign w:val="center"/>
            <w:hideMark/>
          </w:tcPr>
          <w:p w:rsidR="002751E2" w:rsidRPr="00F55BA6" w:rsidRDefault="002751E2"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150,4</w:t>
            </w:r>
          </w:p>
        </w:tc>
      </w:tr>
      <w:tr w:rsidR="002751E2" w:rsidRPr="00E4517B" w:rsidTr="00B51730">
        <w:trPr>
          <w:trHeight w:val="559"/>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3</w:t>
            </w:r>
          </w:p>
        </w:tc>
        <w:tc>
          <w:tcPr>
            <w:tcW w:w="2456" w:type="dxa"/>
            <w:tcBorders>
              <w:top w:val="nil"/>
              <w:left w:val="nil"/>
              <w:bottom w:val="single" w:sz="4" w:space="0" w:color="auto"/>
              <w:right w:val="single" w:sz="4" w:space="0" w:color="auto"/>
            </w:tcBorders>
            <w:shd w:val="clear" w:color="auto" w:fill="auto"/>
            <w:vAlign w:val="center"/>
            <w:hideMark/>
          </w:tcPr>
          <w:p w:rsidR="002751E2" w:rsidRPr="00F55BA6" w:rsidRDefault="002751E2" w:rsidP="00B51730">
            <w:pPr>
              <w:spacing w:after="0" w:line="240" w:lineRule="auto"/>
              <w:ind w:left="-60" w:right="-115"/>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Restaurarea edificiului Sălii cu Orgă, bd. Ștefan cel Mare și Sfânt nr.81, municipiul Chișinău</w:t>
            </w:r>
          </w:p>
        </w:tc>
        <w:tc>
          <w:tcPr>
            <w:tcW w:w="707" w:type="dxa"/>
            <w:tcBorders>
              <w:top w:val="nil"/>
              <w:left w:val="nil"/>
              <w:bottom w:val="single" w:sz="4" w:space="0" w:color="auto"/>
              <w:right w:val="single" w:sz="4" w:space="0" w:color="auto"/>
            </w:tcBorders>
            <w:shd w:val="clear" w:color="000000" w:fill="FFFFFF"/>
            <w:vAlign w:val="center"/>
            <w:hideMark/>
          </w:tcPr>
          <w:p w:rsidR="002751E2" w:rsidRPr="00F55BA6" w:rsidRDefault="002751E2"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2008</w:t>
            </w:r>
          </w:p>
        </w:tc>
        <w:tc>
          <w:tcPr>
            <w:tcW w:w="951" w:type="dxa"/>
            <w:tcBorders>
              <w:top w:val="nil"/>
              <w:left w:val="nil"/>
              <w:bottom w:val="single" w:sz="4" w:space="0" w:color="auto"/>
              <w:right w:val="single" w:sz="4" w:space="0" w:color="auto"/>
            </w:tcBorders>
            <w:shd w:val="clear" w:color="000000" w:fill="FFFFFF"/>
            <w:vAlign w:val="center"/>
            <w:hideMark/>
          </w:tcPr>
          <w:p w:rsidR="002751E2" w:rsidRPr="00F55BA6" w:rsidRDefault="002751E2" w:rsidP="00B51730">
            <w:pPr>
              <w:spacing w:after="0" w:line="240" w:lineRule="auto"/>
              <w:ind w:left="-77" w:right="-111"/>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res. generale</w:t>
            </w:r>
          </w:p>
        </w:tc>
        <w:tc>
          <w:tcPr>
            <w:tcW w:w="1144" w:type="dxa"/>
            <w:tcBorders>
              <w:top w:val="nil"/>
              <w:left w:val="nil"/>
              <w:bottom w:val="single" w:sz="4" w:space="0" w:color="auto"/>
              <w:right w:val="single" w:sz="4" w:space="0" w:color="auto"/>
            </w:tcBorders>
            <w:shd w:val="clear" w:color="000000" w:fill="F2F2F2"/>
            <w:noWrap/>
            <w:vAlign w:val="center"/>
            <w:hideMark/>
          </w:tcPr>
          <w:p w:rsidR="002751E2" w:rsidRPr="00F55BA6" w:rsidRDefault="002751E2" w:rsidP="00B51730">
            <w:pPr>
              <w:spacing w:after="0" w:line="240" w:lineRule="auto"/>
              <w:ind w:left="-30" w:right="-1"/>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23.450,0</w:t>
            </w:r>
          </w:p>
        </w:tc>
        <w:tc>
          <w:tcPr>
            <w:tcW w:w="831" w:type="dxa"/>
            <w:tcBorders>
              <w:top w:val="nil"/>
              <w:left w:val="nil"/>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ind w:left="-193"/>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23.480,0</w:t>
            </w:r>
          </w:p>
        </w:tc>
        <w:tc>
          <w:tcPr>
            <w:tcW w:w="1073" w:type="dxa"/>
            <w:tcBorders>
              <w:top w:val="nil"/>
              <w:left w:val="nil"/>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ind w:left="-101" w:right="-72"/>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23.480,0</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ind w:left="-47"/>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45.000,0</w:t>
            </w:r>
          </w:p>
        </w:tc>
        <w:tc>
          <w:tcPr>
            <w:tcW w:w="1107" w:type="dxa"/>
            <w:tcBorders>
              <w:top w:val="nil"/>
              <w:left w:val="nil"/>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ind w:left="-209"/>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92.184,9</w:t>
            </w:r>
          </w:p>
        </w:tc>
        <w:tc>
          <w:tcPr>
            <w:tcW w:w="1071" w:type="dxa"/>
            <w:tcBorders>
              <w:top w:val="nil"/>
              <w:left w:val="nil"/>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ind w:left="-103" w:right="-73"/>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92.184,9</w:t>
            </w:r>
          </w:p>
        </w:tc>
        <w:tc>
          <w:tcPr>
            <w:tcW w:w="1162" w:type="dxa"/>
            <w:tcBorders>
              <w:top w:val="nil"/>
              <w:left w:val="nil"/>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ind w:left="-114"/>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92.185,0</w:t>
            </w:r>
          </w:p>
        </w:tc>
        <w:tc>
          <w:tcPr>
            <w:tcW w:w="1139" w:type="dxa"/>
            <w:tcBorders>
              <w:top w:val="nil"/>
              <w:left w:val="nil"/>
              <w:bottom w:val="single" w:sz="4" w:space="0" w:color="auto"/>
              <w:right w:val="nil"/>
            </w:tcBorders>
            <w:shd w:val="clear" w:color="auto" w:fill="auto"/>
            <w:noWrap/>
            <w:vAlign w:val="center"/>
            <w:hideMark/>
          </w:tcPr>
          <w:p w:rsidR="002751E2" w:rsidRPr="00F55BA6" w:rsidRDefault="002751E2"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92.185,0</w:t>
            </w:r>
          </w:p>
        </w:tc>
        <w:tc>
          <w:tcPr>
            <w:tcW w:w="1024" w:type="dxa"/>
            <w:tcBorders>
              <w:top w:val="nil"/>
              <w:left w:val="single" w:sz="8" w:space="0" w:color="auto"/>
              <w:bottom w:val="single" w:sz="4" w:space="0" w:color="auto"/>
              <w:right w:val="single" w:sz="4" w:space="0" w:color="auto"/>
            </w:tcBorders>
            <w:shd w:val="clear" w:color="000000" w:fill="FFE699"/>
            <w:noWrap/>
            <w:vAlign w:val="center"/>
            <w:hideMark/>
          </w:tcPr>
          <w:p w:rsidR="002751E2" w:rsidRPr="00F55BA6" w:rsidRDefault="002751E2"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68.735,0</w:t>
            </w:r>
          </w:p>
        </w:tc>
        <w:tc>
          <w:tcPr>
            <w:tcW w:w="945" w:type="dxa"/>
            <w:tcBorders>
              <w:top w:val="nil"/>
              <w:left w:val="nil"/>
              <w:bottom w:val="single" w:sz="4" w:space="0" w:color="auto"/>
              <w:right w:val="single" w:sz="8" w:space="0" w:color="auto"/>
            </w:tcBorders>
            <w:shd w:val="clear" w:color="000000" w:fill="FFE699"/>
            <w:noWrap/>
            <w:vAlign w:val="center"/>
            <w:hideMark/>
          </w:tcPr>
          <w:p w:rsidR="002751E2" w:rsidRPr="00F55BA6" w:rsidRDefault="002751E2"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293,1</w:t>
            </w:r>
          </w:p>
        </w:tc>
      </w:tr>
      <w:tr w:rsidR="002751E2" w:rsidRPr="00E4517B" w:rsidTr="00B51730">
        <w:trPr>
          <w:trHeight w:val="51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4</w:t>
            </w:r>
          </w:p>
        </w:tc>
        <w:tc>
          <w:tcPr>
            <w:tcW w:w="2456" w:type="dxa"/>
            <w:tcBorders>
              <w:top w:val="nil"/>
              <w:left w:val="nil"/>
              <w:bottom w:val="single" w:sz="4" w:space="0" w:color="auto"/>
              <w:right w:val="single" w:sz="4" w:space="0" w:color="auto"/>
            </w:tcBorders>
            <w:shd w:val="clear" w:color="auto" w:fill="auto"/>
            <w:vAlign w:val="center"/>
            <w:hideMark/>
          </w:tcPr>
          <w:p w:rsidR="002751E2" w:rsidRPr="00F55BA6" w:rsidRDefault="002751E2" w:rsidP="00B51730">
            <w:pPr>
              <w:spacing w:after="0" w:line="240" w:lineRule="auto"/>
              <w:ind w:left="-60" w:right="-115"/>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Proiectul „Susținerea Programului în sectorul drumurilor”</w:t>
            </w:r>
          </w:p>
        </w:tc>
        <w:tc>
          <w:tcPr>
            <w:tcW w:w="707" w:type="dxa"/>
            <w:tcBorders>
              <w:top w:val="nil"/>
              <w:left w:val="nil"/>
              <w:bottom w:val="single" w:sz="4" w:space="0" w:color="auto"/>
              <w:right w:val="single" w:sz="4" w:space="0" w:color="auto"/>
            </w:tcBorders>
            <w:shd w:val="clear" w:color="auto" w:fill="auto"/>
            <w:vAlign w:val="center"/>
            <w:hideMark/>
          </w:tcPr>
          <w:p w:rsidR="002751E2" w:rsidRPr="00F55BA6" w:rsidRDefault="002751E2"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2009</w:t>
            </w:r>
          </w:p>
        </w:tc>
        <w:tc>
          <w:tcPr>
            <w:tcW w:w="951" w:type="dxa"/>
            <w:tcBorders>
              <w:top w:val="nil"/>
              <w:left w:val="nil"/>
              <w:bottom w:val="single" w:sz="4" w:space="0" w:color="auto"/>
              <w:right w:val="single" w:sz="4" w:space="0" w:color="auto"/>
            </w:tcBorders>
            <w:shd w:val="clear" w:color="000000" w:fill="FFFFFF"/>
            <w:noWrap/>
            <w:vAlign w:val="center"/>
            <w:hideMark/>
          </w:tcPr>
          <w:p w:rsidR="002751E2" w:rsidRPr="00F55BA6" w:rsidRDefault="002751E2" w:rsidP="00B51730">
            <w:pPr>
              <w:spacing w:after="0" w:line="240" w:lineRule="auto"/>
              <w:ind w:left="-77" w:right="-111"/>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PFSE</w:t>
            </w:r>
          </w:p>
        </w:tc>
        <w:tc>
          <w:tcPr>
            <w:tcW w:w="1144" w:type="dxa"/>
            <w:tcBorders>
              <w:top w:val="nil"/>
              <w:left w:val="nil"/>
              <w:bottom w:val="single" w:sz="4" w:space="0" w:color="auto"/>
              <w:right w:val="single" w:sz="4" w:space="0" w:color="auto"/>
            </w:tcBorders>
            <w:shd w:val="clear" w:color="000000" w:fill="F2F2F2"/>
            <w:noWrap/>
            <w:vAlign w:val="center"/>
            <w:hideMark/>
          </w:tcPr>
          <w:p w:rsidR="002751E2" w:rsidRPr="00F55BA6" w:rsidRDefault="002751E2" w:rsidP="00B51730">
            <w:pPr>
              <w:spacing w:after="0" w:line="240" w:lineRule="auto"/>
              <w:ind w:left="-30" w:right="-1"/>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6.200.000,0</w:t>
            </w:r>
          </w:p>
        </w:tc>
        <w:tc>
          <w:tcPr>
            <w:tcW w:w="831" w:type="dxa"/>
            <w:tcBorders>
              <w:top w:val="nil"/>
              <w:left w:val="nil"/>
              <w:bottom w:val="single" w:sz="4" w:space="0" w:color="auto"/>
              <w:right w:val="single" w:sz="4" w:space="0" w:color="auto"/>
            </w:tcBorders>
            <w:shd w:val="clear" w:color="auto" w:fill="auto"/>
            <w:noWrap/>
            <w:vAlign w:val="bottom"/>
            <w:hideMark/>
          </w:tcPr>
          <w:p w:rsidR="002751E2" w:rsidRPr="00F55BA6" w:rsidRDefault="002751E2" w:rsidP="00B51730">
            <w:pPr>
              <w:spacing w:after="0" w:line="240" w:lineRule="auto"/>
              <w:ind w:left="-193"/>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ind w:left="-101" w:right="-72"/>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6.200.000,0</w:t>
            </w:r>
          </w:p>
        </w:tc>
        <w:tc>
          <w:tcPr>
            <w:tcW w:w="1127" w:type="dxa"/>
            <w:tcBorders>
              <w:top w:val="nil"/>
              <w:left w:val="single" w:sz="4" w:space="0" w:color="auto"/>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ind w:left="-47"/>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2.786.400,8</w:t>
            </w:r>
          </w:p>
        </w:tc>
        <w:tc>
          <w:tcPr>
            <w:tcW w:w="1107" w:type="dxa"/>
            <w:tcBorders>
              <w:top w:val="nil"/>
              <w:left w:val="nil"/>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ind w:left="-67" w:right="-39"/>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2.786.400,8</w:t>
            </w:r>
          </w:p>
        </w:tc>
        <w:tc>
          <w:tcPr>
            <w:tcW w:w="1071" w:type="dxa"/>
            <w:tcBorders>
              <w:top w:val="nil"/>
              <w:left w:val="nil"/>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ind w:left="-103" w:right="-73"/>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8.620.000,0</w:t>
            </w:r>
          </w:p>
        </w:tc>
        <w:tc>
          <w:tcPr>
            <w:tcW w:w="1162" w:type="dxa"/>
            <w:tcBorders>
              <w:top w:val="nil"/>
              <w:left w:val="nil"/>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ind w:left="-114" w:right="-72"/>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11.013.193,8</w:t>
            </w:r>
          </w:p>
        </w:tc>
        <w:tc>
          <w:tcPr>
            <w:tcW w:w="1139" w:type="dxa"/>
            <w:tcBorders>
              <w:top w:val="nil"/>
              <w:left w:val="nil"/>
              <w:bottom w:val="single" w:sz="4" w:space="0" w:color="auto"/>
              <w:right w:val="nil"/>
            </w:tcBorders>
            <w:shd w:val="clear" w:color="auto" w:fill="auto"/>
            <w:noWrap/>
            <w:vAlign w:val="center"/>
            <w:hideMark/>
          </w:tcPr>
          <w:p w:rsidR="002751E2" w:rsidRPr="00F55BA6" w:rsidRDefault="002751E2" w:rsidP="00B51730">
            <w:pPr>
              <w:spacing w:after="0" w:line="240" w:lineRule="auto"/>
              <w:ind w:left="-137" w:right="-73"/>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11.620.000,0</w:t>
            </w:r>
          </w:p>
        </w:tc>
        <w:tc>
          <w:tcPr>
            <w:tcW w:w="1024" w:type="dxa"/>
            <w:tcBorders>
              <w:top w:val="nil"/>
              <w:left w:val="single" w:sz="8" w:space="0" w:color="auto"/>
              <w:bottom w:val="single" w:sz="4" w:space="0" w:color="auto"/>
              <w:right w:val="single" w:sz="4" w:space="0" w:color="auto"/>
            </w:tcBorders>
            <w:shd w:val="clear" w:color="000000" w:fill="FFE699"/>
            <w:noWrap/>
            <w:vAlign w:val="center"/>
            <w:hideMark/>
          </w:tcPr>
          <w:p w:rsidR="002751E2" w:rsidRPr="00F55BA6" w:rsidRDefault="002751E2" w:rsidP="00B51730">
            <w:pPr>
              <w:spacing w:after="0" w:line="240" w:lineRule="auto"/>
              <w:ind w:left="-188" w:right="-213"/>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5.420.000,0</w:t>
            </w:r>
          </w:p>
        </w:tc>
        <w:tc>
          <w:tcPr>
            <w:tcW w:w="945" w:type="dxa"/>
            <w:tcBorders>
              <w:top w:val="nil"/>
              <w:left w:val="nil"/>
              <w:bottom w:val="single" w:sz="4" w:space="0" w:color="auto"/>
              <w:right w:val="single" w:sz="8" w:space="0" w:color="auto"/>
            </w:tcBorders>
            <w:shd w:val="clear" w:color="000000" w:fill="FFE699"/>
            <w:noWrap/>
            <w:vAlign w:val="center"/>
            <w:hideMark/>
          </w:tcPr>
          <w:p w:rsidR="002751E2" w:rsidRPr="00F55BA6" w:rsidRDefault="002751E2"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87,4</w:t>
            </w:r>
          </w:p>
        </w:tc>
      </w:tr>
      <w:tr w:rsidR="002751E2" w:rsidRPr="00E4517B" w:rsidTr="00B51730">
        <w:trPr>
          <w:trHeight w:val="363"/>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5</w:t>
            </w:r>
          </w:p>
        </w:tc>
        <w:tc>
          <w:tcPr>
            <w:tcW w:w="2456" w:type="dxa"/>
            <w:tcBorders>
              <w:top w:val="nil"/>
              <w:left w:val="nil"/>
              <w:bottom w:val="single" w:sz="4" w:space="0" w:color="auto"/>
              <w:right w:val="single" w:sz="4" w:space="0" w:color="auto"/>
            </w:tcBorders>
            <w:shd w:val="clear" w:color="auto" w:fill="auto"/>
            <w:vAlign w:val="center"/>
            <w:hideMark/>
          </w:tcPr>
          <w:p w:rsidR="002751E2" w:rsidRPr="00F55BA6" w:rsidRDefault="002751E2" w:rsidP="00B51730">
            <w:pPr>
              <w:spacing w:after="0" w:line="240" w:lineRule="auto"/>
              <w:ind w:left="-60" w:right="-115"/>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Construcția casei de arest din municipiul Bălți</w:t>
            </w:r>
          </w:p>
        </w:tc>
        <w:tc>
          <w:tcPr>
            <w:tcW w:w="707" w:type="dxa"/>
            <w:tcBorders>
              <w:top w:val="nil"/>
              <w:left w:val="nil"/>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2011</w:t>
            </w:r>
          </w:p>
        </w:tc>
        <w:tc>
          <w:tcPr>
            <w:tcW w:w="951" w:type="dxa"/>
            <w:tcBorders>
              <w:top w:val="nil"/>
              <w:left w:val="nil"/>
              <w:bottom w:val="single" w:sz="4" w:space="0" w:color="auto"/>
              <w:right w:val="single" w:sz="4" w:space="0" w:color="auto"/>
            </w:tcBorders>
            <w:shd w:val="clear" w:color="000000" w:fill="FFFFFF"/>
            <w:vAlign w:val="center"/>
            <w:hideMark/>
          </w:tcPr>
          <w:p w:rsidR="002751E2" w:rsidRPr="00F55BA6" w:rsidRDefault="002751E2" w:rsidP="00B51730">
            <w:pPr>
              <w:spacing w:after="0" w:line="240" w:lineRule="auto"/>
              <w:ind w:left="-77" w:right="-111"/>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res. generale</w:t>
            </w:r>
          </w:p>
        </w:tc>
        <w:tc>
          <w:tcPr>
            <w:tcW w:w="1144" w:type="dxa"/>
            <w:tcBorders>
              <w:top w:val="nil"/>
              <w:left w:val="nil"/>
              <w:bottom w:val="single" w:sz="4" w:space="0" w:color="auto"/>
              <w:right w:val="single" w:sz="4" w:space="0" w:color="auto"/>
            </w:tcBorders>
            <w:shd w:val="clear" w:color="000000" w:fill="F2F2F2"/>
            <w:noWrap/>
            <w:vAlign w:val="center"/>
            <w:hideMark/>
          </w:tcPr>
          <w:p w:rsidR="002751E2" w:rsidRPr="00F55BA6" w:rsidRDefault="002751E2" w:rsidP="00B51730">
            <w:pPr>
              <w:spacing w:after="0" w:line="240" w:lineRule="auto"/>
              <w:ind w:left="-30" w:right="-1"/>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200.000,0</w:t>
            </w:r>
          </w:p>
        </w:tc>
        <w:tc>
          <w:tcPr>
            <w:tcW w:w="831" w:type="dxa"/>
            <w:tcBorders>
              <w:top w:val="nil"/>
              <w:left w:val="nil"/>
              <w:bottom w:val="single" w:sz="4" w:space="0" w:color="auto"/>
              <w:right w:val="single" w:sz="4" w:space="0" w:color="auto"/>
            </w:tcBorders>
            <w:shd w:val="clear" w:color="000000" w:fill="FFFFFF"/>
            <w:noWrap/>
            <w:vAlign w:val="center"/>
            <w:hideMark/>
          </w:tcPr>
          <w:p w:rsidR="002751E2" w:rsidRPr="00F55BA6" w:rsidRDefault="002751E2" w:rsidP="00B51730">
            <w:pPr>
              <w:spacing w:after="0" w:line="240" w:lineRule="auto"/>
              <w:ind w:left="-193"/>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200.000,0</w:t>
            </w:r>
          </w:p>
        </w:tc>
        <w:tc>
          <w:tcPr>
            <w:tcW w:w="1073" w:type="dxa"/>
            <w:tcBorders>
              <w:top w:val="single" w:sz="4" w:space="0" w:color="auto"/>
              <w:left w:val="nil"/>
              <w:bottom w:val="single" w:sz="4" w:space="0" w:color="auto"/>
              <w:right w:val="single" w:sz="4" w:space="0" w:color="auto"/>
            </w:tcBorders>
            <w:shd w:val="clear" w:color="000000" w:fill="FFFFFF"/>
            <w:noWrap/>
            <w:vAlign w:val="center"/>
            <w:hideMark/>
          </w:tcPr>
          <w:p w:rsidR="002751E2" w:rsidRPr="00F55BA6" w:rsidRDefault="002751E2" w:rsidP="00B51730">
            <w:pPr>
              <w:spacing w:after="0" w:line="240" w:lineRule="auto"/>
              <w:ind w:left="-101" w:right="-72"/>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 </w:t>
            </w:r>
          </w:p>
        </w:tc>
        <w:tc>
          <w:tcPr>
            <w:tcW w:w="1127" w:type="dxa"/>
            <w:tcBorders>
              <w:top w:val="nil"/>
              <w:left w:val="nil"/>
              <w:bottom w:val="single" w:sz="4" w:space="0" w:color="auto"/>
              <w:right w:val="single" w:sz="4" w:space="0" w:color="auto"/>
            </w:tcBorders>
            <w:shd w:val="clear" w:color="000000" w:fill="FFFFFF"/>
            <w:noWrap/>
            <w:vAlign w:val="center"/>
            <w:hideMark/>
          </w:tcPr>
          <w:p w:rsidR="002751E2" w:rsidRPr="00F55BA6" w:rsidRDefault="002751E2" w:rsidP="00B51730">
            <w:pPr>
              <w:spacing w:after="0" w:line="240" w:lineRule="auto"/>
              <w:ind w:left="-47"/>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200.000,0</w:t>
            </w:r>
          </w:p>
        </w:tc>
        <w:tc>
          <w:tcPr>
            <w:tcW w:w="1107" w:type="dxa"/>
            <w:tcBorders>
              <w:top w:val="single" w:sz="4" w:space="0" w:color="auto"/>
              <w:left w:val="nil"/>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ind w:left="-209"/>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250.000,0</w:t>
            </w:r>
          </w:p>
        </w:tc>
        <w:tc>
          <w:tcPr>
            <w:tcW w:w="1071" w:type="dxa"/>
            <w:tcBorders>
              <w:top w:val="nil"/>
              <w:left w:val="single" w:sz="4" w:space="0" w:color="auto"/>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ind w:left="-103" w:right="-73"/>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250.000,0</w:t>
            </w:r>
          </w:p>
        </w:tc>
        <w:tc>
          <w:tcPr>
            <w:tcW w:w="1162" w:type="dxa"/>
            <w:tcBorders>
              <w:top w:val="nil"/>
              <w:left w:val="nil"/>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ind w:left="-114"/>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250.000,0</w:t>
            </w:r>
          </w:p>
        </w:tc>
        <w:tc>
          <w:tcPr>
            <w:tcW w:w="1139" w:type="dxa"/>
            <w:tcBorders>
              <w:top w:val="nil"/>
              <w:left w:val="nil"/>
              <w:bottom w:val="single" w:sz="4" w:space="0" w:color="auto"/>
              <w:right w:val="nil"/>
            </w:tcBorders>
            <w:shd w:val="clear" w:color="auto" w:fill="auto"/>
            <w:noWrap/>
            <w:vAlign w:val="center"/>
            <w:hideMark/>
          </w:tcPr>
          <w:p w:rsidR="002751E2" w:rsidRPr="00F55BA6" w:rsidRDefault="002751E2"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250.000,0</w:t>
            </w:r>
          </w:p>
        </w:tc>
        <w:tc>
          <w:tcPr>
            <w:tcW w:w="1024" w:type="dxa"/>
            <w:tcBorders>
              <w:top w:val="nil"/>
              <w:left w:val="single" w:sz="8" w:space="0" w:color="auto"/>
              <w:bottom w:val="single" w:sz="4" w:space="0" w:color="auto"/>
              <w:right w:val="single" w:sz="4" w:space="0" w:color="auto"/>
            </w:tcBorders>
            <w:shd w:val="clear" w:color="000000" w:fill="FFE699"/>
            <w:noWrap/>
            <w:vAlign w:val="center"/>
            <w:hideMark/>
          </w:tcPr>
          <w:p w:rsidR="002751E2" w:rsidRPr="00F55BA6" w:rsidRDefault="002751E2"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50.000,0</w:t>
            </w:r>
          </w:p>
        </w:tc>
        <w:tc>
          <w:tcPr>
            <w:tcW w:w="945" w:type="dxa"/>
            <w:tcBorders>
              <w:top w:val="nil"/>
              <w:left w:val="nil"/>
              <w:bottom w:val="single" w:sz="4" w:space="0" w:color="auto"/>
              <w:right w:val="single" w:sz="8" w:space="0" w:color="auto"/>
            </w:tcBorders>
            <w:shd w:val="clear" w:color="000000" w:fill="FFE699"/>
            <w:noWrap/>
            <w:vAlign w:val="center"/>
            <w:hideMark/>
          </w:tcPr>
          <w:p w:rsidR="002751E2" w:rsidRPr="00F55BA6" w:rsidRDefault="002751E2"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25,0</w:t>
            </w:r>
          </w:p>
        </w:tc>
      </w:tr>
      <w:tr w:rsidR="002751E2" w:rsidRPr="00E4517B" w:rsidTr="00B51730">
        <w:trPr>
          <w:trHeight w:val="726"/>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6</w:t>
            </w:r>
          </w:p>
        </w:tc>
        <w:tc>
          <w:tcPr>
            <w:tcW w:w="2456" w:type="dxa"/>
            <w:tcBorders>
              <w:top w:val="nil"/>
              <w:left w:val="nil"/>
              <w:bottom w:val="single" w:sz="4" w:space="0" w:color="auto"/>
              <w:right w:val="single" w:sz="4" w:space="0" w:color="auto"/>
            </w:tcBorders>
            <w:shd w:val="clear" w:color="auto" w:fill="auto"/>
            <w:vAlign w:val="center"/>
            <w:hideMark/>
          </w:tcPr>
          <w:p w:rsidR="002751E2" w:rsidRPr="00F55BA6" w:rsidRDefault="002751E2" w:rsidP="00B51730">
            <w:pPr>
              <w:spacing w:after="0" w:line="240" w:lineRule="auto"/>
              <w:ind w:left="-60" w:right="-115"/>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Reconstrucția clădirii cu anexarea sălii polivalente a Școlii Sportive Specializate de Box din satul Grimăncăuți, raionul Briceni</w:t>
            </w:r>
          </w:p>
        </w:tc>
        <w:tc>
          <w:tcPr>
            <w:tcW w:w="707" w:type="dxa"/>
            <w:tcBorders>
              <w:top w:val="nil"/>
              <w:left w:val="nil"/>
              <w:bottom w:val="single" w:sz="4" w:space="0" w:color="auto"/>
              <w:right w:val="single" w:sz="4" w:space="0" w:color="auto"/>
            </w:tcBorders>
            <w:shd w:val="clear" w:color="auto" w:fill="auto"/>
            <w:vAlign w:val="center"/>
            <w:hideMark/>
          </w:tcPr>
          <w:p w:rsidR="002751E2" w:rsidRPr="00F55BA6" w:rsidRDefault="002751E2"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2012</w:t>
            </w:r>
          </w:p>
        </w:tc>
        <w:tc>
          <w:tcPr>
            <w:tcW w:w="951" w:type="dxa"/>
            <w:tcBorders>
              <w:top w:val="nil"/>
              <w:left w:val="nil"/>
              <w:bottom w:val="single" w:sz="4" w:space="0" w:color="auto"/>
              <w:right w:val="single" w:sz="4" w:space="0" w:color="auto"/>
            </w:tcBorders>
            <w:shd w:val="clear" w:color="000000" w:fill="FFFFFF"/>
            <w:vAlign w:val="center"/>
            <w:hideMark/>
          </w:tcPr>
          <w:p w:rsidR="002751E2" w:rsidRPr="00F55BA6" w:rsidRDefault="002751E2" w:rsidP="00B51730">
            <w:pPr>
              <w:spacing w:after="0" w:line="240" w:lineRule="auto"/>
              <w:ind w:left="-77" w:right="-111"/>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res. generale</w:t>
            </w:r>
          </w:p>
        </w:tc>
        <w:tc>
          <w:tcPr>
            <w:tcW w:w="1144" w:type="dxa"/>
            <w:tcBorders>
              <w:top w:val="nil"/>
              <w:left w:val="nil"/>
              <w:bottom w:val="single" w:sz="4" w:space="0" w:color="auto"/>
              <w:right w:val="single" w:sz="4" w:space="0" w:color="auto"/>
            </w:tcBorders>
            <w:shd w:val="clear" w:color="000000" w:fill="F2F2F2"/>
            <w:noWrap/>
            <w:vAlign w:val="center"/>
            <w:hideMark/>
          </w:tcPr>
          <w:p w:rsidR="002751E2" w:rsidRPr="00F55BA6" w:rsidRDefault="002751E2" w:rsidP="00B51730">
            <w:pPr>
              <w:spacing w:after="0" w:line="240" w:lineRule="auto"/>
              <w:ind w:left="-30" w:right="-1"/>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12.000,0</w:t>
            </w:r>
          </w:p>
        </w:tc>
        <w:tc>
          <w:tcPr>
            <w:tcW w:w="831" w:type="dxa"/>
            <w:tcBorders>
              <w:top w:val="nil"/>
              <w:left w:val="nil"/>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ind w:left="-193"/>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12.000,0</w:t>
            </w:r>
          </w:p>
        </w:tc>
        <w:tc>
          <w:tcPr>
            <w:tcW w:w="1073" w:type="dxa"/>
            <w:tcBorders>
              <w:top w:val="single" w:sz="4" w:space="0" w:color="auto"/>
              <w:left w:val="nil"/>
              <w:bottom w:val="nil"/>
              <w:right w:val="single" w:sz="4" w:space="0" w:color="auto"/>
            </w:tcBorders>
            <w:shd w:val="clear" w:color="auto" w:fill="auto"/>
            <w:noWrap/>
            <w:vAlign w:val="center"/>
            <w:hideMark/>
          </w:tcPr>
          <w:p w:rsidR="002751E2" w:rsidRPr="00F55BA6" w:rsidRDefault="002751E2" w:rsidP="00B51730">
            <w:pPr>
              <w:spacing w:after="0" w:line="240" w:lineRule="auto"/>
              <w:ind w:left="-101" w:right="-72"/>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19.000,0</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2751E2" w:rsidRPr="00F55BA6" w:rsidRDefault="002751E2" w:rsidP="00B51730">
            <w:pPr>
              <w:spacing w:after="0" w:line="240" w:lineRule="auto"/>
              <w:ind w:left="-47"/>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 </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2751E2" w:rsidRPr="00F55BA6" w:rsidRDefault="002751E2" w:rsidP="00B51730">
            <w:pPr>
              <w:spacing w:after="0" w:line="240" w:lineRule="auto"/>
              <w:ind w:left="-209"/>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 </w:t>
            </w:r>
          </w:p>
        </w:tc>
        <w:tc>
          <w:tcPr>
            <w:tcW w:w="1071" w:type="dxa"/>
            <w:tcBorders>
              <w:top w:val="nil"/>
              <w:left w:val="nil"/>
              <w:bottom w:val="single" w:sz="4" w:space="0" w:color="auto"/>
              <w:right w:val="single" w:sz="4" w:space="0" w:color="auto"/>
            </w:tcBorders>
            <w:shd w:val="clear" w:color="auto" w:fill="auto"/>
            <w:noWrap/>
            <w:vAlign w:val="bottom"/>
            <w:hideMark/>
          </w:tcPr>
          <w:p w:rsidR="002751E2" w:rsidRPr="00F55BA6" w:rsidRDefault="002751E2" w:rsidP="00B51730">
            <w:pPr>
              <w:spacing w:after="0" w:line="240" w:lineRule="auto"/>
              <w:ind w:left="-103" w:right="-73"/>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 </w:t>
            </w:r>
          </w:p>
        </w:tc>
        <w:tc>
          <w:tcPr>
            <w:tcW w:w="1162" w:type="dxa"/>
            <w:tcBorders>
              <w:top w:val="nil"/>
              <w:left w:val="nil"/>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ind w:left="-114"/>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24.054,8</w:t>
            </w:r>
          </w:p>
        </w:tc>
        <w:tc>
          <w:tcPr>
            <w:tcW w:w="1139" w:type="dxa"/>
            <w:tcBorders>
              <w:top w:val="nil"/>
              <w:left w:val="nil"/>
              <w:bottom w:val="single" w:sz="4" w:space="0" w:color="auto"/>
              <w:right w:val="nil"/>
            </w:tcBorders>
            <w:shd w:val="clear" w:color="auto" w:fill="auto"/>
            <w:noWrap/>
            <w:vAlign w:val="center"/>
            <w:hideMark/>
          </w:tcPr>
          <w:p w:rsidR="002751E2" w:rsidRPr="00F55BA6" w:rsidRDefault="002751E2"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24.094,8</w:t>
            </w:r>
          </w:p>
        </w:tc>
        <w:tc>
          <w:tcPr>
            <w:tcW w:w="1024" w:type="dxa"/>
            <w:tcBorders>
              <w:top w:val="nil"/>
              <w:left w:val="single" w:sz="8" w:space="0" w:color="auto"/>
              <w:bottom w:val="single" w:sz="4" w:space="0" w:color="auto"/>
              <w:right w:val="single" w:sz="4" w:space="0" w:color="auto"/>
            </w:tcBorders>
            <w:shd w:val="clear" w:color="000000" w:fill="FFE699"/>
            <w:noWrap/>
            <w:vAlign w:val="center"/>
            <w:hideMark/>
          </w:tcPr>
          <w:p w:rsidR="002751E2" w:rsidRPr="00F55BA6" w:rsidRDefault="002751E2"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12.094,8</w:t>
            </w:r>
          </w:p>
        </w:tc>
        <w:tc>
          <w:tcPr>
            <w:tcW w:w="945" w:type="dxa"/>
            <w:tcBorders>
              <w:top w:val="nil"/>
              <w:left w:val="nil"/>
              <w:bottom w:val="single" w:sz="4" w:space="0" w:color="auto"/>
              <w:right w:val="single" w:sz="8" w:space="0" w:color="auto"/>
            </w:tcBorders>
            <w:shd w:val="clear" w:color="000000" w:fill="FFE699"/>
            <w:noWrap/>
            <w:vAlign w:val="center"/>
            <w:hideMark/>
          </w:tcPr>
          <w:p w:rsidR="002751E2" w:rsidRPr="00F55BA6" w:rsidRDefault="002751E2"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100,8</w:t>
            </w:r>
          </w:p>
        </w:tc>
      </w:tr>
      <w:tr w:rsidR="002751E2" w:rsidRPr="00E4517B" w:rsidTr="00B51730">
        <w:trPr>
          <w:trHeight w:val="411"/>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7</w:t>
            </w:r>
          </w:p>
        </w:tc>
        <w:tc>
          <w:tcPr>
            <w:tcW w:w="2456" w:type="dxa"/>
            <w:tcBorders>
              <w:top w:val="nil"/>
              <w:left w:val="nil"/>
              <w:bottom w:val="single" w:sz="4" w:space="0" w:color="auto"/>
              <w:right w:val="single" w:sz="4" w:space="0" w:color="auto"/>
            </w:tcBorders>
            <w:shd w:val="clear" w:color="auto" w:fill="auto"/>
            <w:vAlign w:val="center"/>
            <w:hideMark/>
          </w:tcPr>
          <w:p w:rsidR="002751E2" w:rsidRPr="00F55BA6" w:rsidRDefault="002751E2" w:rsidP="00B51730">
            <w:pPr>
              <w:spacing w:after="0" w:line="240" w:lineRule="auto"/>
              <w:ind w:left="-60" w:right="-115"/>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 xml:space="preserve">Proiectul „Construcția penitenciarului din municipiul Chișinău” </w:t>
            </w:r>
          </w:p>
        </w:tc>
        <w:tc>
          <w:tcPr>
            <w:tcW w:w="707" w:type="dxa"/>
            <w:tcBorders>
              <w:top w:val="nil"/>
              <w:left w:val="nil"/>
              <w:bottom w:val="single" w:sz="4" w:space="0" w:color="auto"/>
              <w:right w:val="single" w:sz="4" w:space="0" w:color="auto"/>
            </w:tcBorders>
            <w:shd w:val="clear" w:color="auto" w:fill="auto"/>
            <w:vAlign w:val="center"/>
            <w:hideMark/>
          </w:tcPr>
          <w:p w:rsidR="002751E2" w:rsidRPr="00F55BA6" w:rsidRDefault="002751E2"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2014</w:t>
            </w:r>
          </w:p>
        </w:tc>
        <w:tc>
          <w:tcPr>
            <w:tcW w:w="951" w:type="dxa"/>
            <w:tcBorders>
              <w:top w:val="nil"/>
              <w:left w:val="nil"/>
              <w:bottom w:val="single" w:sz="4" w:space="0" w:color="auto"/>
              <w:right w:val="single" w:sz="4" w:space="0" w:color="auto"/>
            </w:tcBorders>
            <w:shd w:val="clear" w:color="000000" w:fill="FFFFFF"/>
            <w:vAlign w:val="center"/>
            <w:hideMark/>
          </w:tcPr>
          <w:p w:rsidR="002751E2" w:rsidRPr="00F55BA6" w:rsidRDefault="002751E2" w:rsidP="00B51730">
            <w:pPr>
              <w:spacing w:after="0" w:line="240" w:lineRule="auto"/>
              <w:ind w:left="-77" w:right="-111"/>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res. generale și PFSE</w:t>
            </w:r>
          </w:p>
        </w:tc>
        <w:tc>
          <w:tcPr>
            <w:tcW w:w="1144" w:type="dxa"/>
            <w:tcBorders>
              <w:top w:val="nil"/>
              <w:left w:val="nil"/>
              <w:bottom w:val="single" w:sz="4" w:space="0" w:color="auto"/>
              <w:right w:val="single" w:sz="4" w:space="0" w:color="auto"/>
            </w:tcBorders>
            <w:shd w:val="clear" w:color="000000" w:fill="F2F2F2"/>
            <w:noWrap/>
            <w:vAlign w:val="center"/>
            <w:hideMark/>
          </w:tcPr>
          <w:p w:rsidR="002751E2" w:rsidRPr="00F55BA6" w:rsidRDefault="002751E2" w:rsidP="00B51730">
            <w:pPr>
              <w:spacing w:after="0" w:line="240" w:lineRule="auto"/>
              <w:ind w:left="-30" w:right="-1"/>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726.570,0</w:t>
            </w:r>
          </w:p>
        </w:tc>
        <w:tc>
          <w:tcPr>
            <w:tcW w:w="831" w:type="dxa"/>
            <w:tcBorders>
              <w:top w:val="nil"/>
              <w:left w:val="nil"/>
              <w:bottom w:val="single" w:sz="4" w:space="0" w:color="auto"/>
              <w:right w:val="single" w:sz="4" w:space="0" w:color="auto"/>
            </w:tcBorders>
            <w:shd w:val="clear" w:color="auto" w:fill="auto"/>
            <w:noWrap/>
            <w:vAlign w:val="bottom"/>
            <w:hideMark/>
          </w:tcPr>
          <w:p w:rsidR="002751E2" w:rsidRPr="00F55BA6" w:rsidRDefault="002751E2" w:rsidP="00B51730">
            <w:pPr>
              <w:spacing w:after="0" w:line="240" w:lineRule="auto"/>
              <w:ind w:left="-193"/>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 </w:t>
            </w:r>
          </w:p>
        </w:tc>
        <w:tc>
          <w:tcPr>
            <w:tcW w:w="1073" w:type="dxa"/>
            <w:tcBorders>
              <w:top w:val="single" w:sz="4" w:space="0" w:color="auto"/>
              <w:left w:val="nil"/>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ind w:left="-101" w:right="-72"/>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750.000,0</w:t>
            </w:r>
          </w:p>
        </w:tc>
        <w:tc>
          <w:tcPr>
            <w:tcW w:w="1127" w:type="dxa"/>
            <w:tcBorders>
              <w:top w:val="nil"/>
              <w:left w:val="nil"/>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ind w:left="-47"/>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964.054,8</w:t>
            </w:r>
          </w:p>
        </w:tc>
        <w:tc>
          <w:tcPr>
            <w:tcW w:w="1107" w:type="dxa"/>
            <w:tcBorders>
              <w:top w:val="nil"/>
              <w:left w:val="nil"/>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ind w:left="-209"/>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964.054,8</w:t>
            </w:r>
          </w:p>
        </w:tc>
        <w:tc>
          <w:tcPr>
            <w:tcW w:w="1071" w:type="dxa"/>
            <w:tcBorders>
              <w:top w:val="nil"/>
              <w:left w:val="nil"/>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ind w:left="-103" w:right="-73"/>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964.054,8</w:t>
            </w:r>
          </w:p>
        </w:tc>
        <w:tc>
          <w:tcPr>
            <w:tcW w:w="1162" w:type="dxa"/>
            <w:tcBorders>
              <w:top w:val="nil"/>
              <w:left w:val="nil"/>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ind w:left="-114"/>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1.174.452,0</w:t>
            </w:r>
          </w:p>
        </w:tc>
        <w:tc>
          <w:tcPr>
            <w:tcW w:w="1139" w:type="dxa"/>
            <w:tcBorders>
              <w:top w:val="nil"/>
              <w:left w:val="nil"/>
              <w:bottom w:val="single" w:sz="4" w:space="0" w:color="auto"/>
              <w:right w:val="nil"/>
            </w:tcBorders>
            <w:shd w:val="clear" w:color="auto" w:fill="auto"/>
            <w:noWrap/>
            <w:vAlign w:val="center"/>
            <w:hideMark/>
          </w:tcPr>
          <w:p w:rsidR="002751E2" w:rsidRPr="00F55BA6" w:rsidRDefault="002751E2" w:rsidP="00B51730">
            <w:pPr>
              <w:spacing w:after="0" w:line="240" w:lineRule="auto"/>
              <w:ind w:left="-136" w:right="-90"/>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1.292.943,6</w:t>
            </w:r>
          </w:p>
        </w:tc>
        <w:tc>
          <w:tcPr>
            <w:tcW w:w="1024" w:type="dxa"/>
            <w:tcBorders>
              <w:top w:val="nil"/>
              <w:left w:val="single" w:sz="8" w:space="0" w:color="auto"/>
              <w:bottom w:val="single" w:sz="4" w:space="0" w:color="auto"/>
              <w:right w:val="single" w:sz="4" w:space="0" w:color="auto"/>
            </w:tcBorders>
            <w:shd w:val="clear" w:color="000000" w:fill="FFE699"/>
            <w:noWrap/>
            <w:vAlign w:val="center"/>
            <w:hideMark/>
          </w:tcPr>
          <w:p w:rsidR="002751E2" w:rsidRPr="00F55BA6" w:rsidRDefault="002751E2"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566.373,6</w:t>
            </w:r>
          </w:p>
        </w:tc>
        <w:tc>
          <w:tcPr>
            <w:tcW w:w="945" w:type="dxa"/>
            <w:tcBorders>
              <w:top w:val="nil"/>
              <w:left w:val="nil"/>
              <w:bottom w:val="single" w:sz="4" w:space="0" w:color="auto"/>
              <w:right w:val="single" w:sz="8" w:space="0" w:color="auto"/>
            </w:tcBorders>
            <w:shd w:val="clear" w:color="000000" w:fill="FFE699"/>
            <w:noWrap/>
            <w:vAlign w:val="center"/>
            <w:hideMark/>
          </w:tcPr>
          <w:p w:rsidR="002751E2" w:rsidRPr="00F55BA6" w:rsidRDefault="002751E2"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78,0</w:t>
            </w:r>
          </w:p>
        </w:tc>
      </w:tr>
      <w:tr w:rsidR="002751E2" w:rsidRPr="00E4517B" w:rsidTr="00B51730">
        <w:trPr>
          <w:trHeight w:val="758"/>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lastRenderedPageBreak/>
              <w:t>8</w:t>
            </w:r>
          </w:p>
        </w:tc>
        <w:tc>
          <w:tcPr>
            <w:tcW w:w="2456" w:type="dxa"/>
            <w:tcBorders>
              <w:top w:val="nil"/>
              <w:left w:val="nil"/>
              <w:bottom w:val="single" w:sz="4" w:space="0" w:color="auto"/>
              <w:right w:val="single" w:sz="4" w:space="0" w:color="auto"/>
            </w:tcBorders>
            <w:shd w:val="clear" w:color="auto" w:fill="auto"/>
            <w:vAlign w:val="center"/>
            <w:hideMark/>
          </w:tcPr>
          <w:p w:rsidR="002751E2" w:rsidRPr="00F55BA6" w:rsidRDefault="002751E2" w:rsidP="00B51730">
            <w:pPr>
              <w:spacing w:after="0" w:line="240" w:lineRule="auto"/>
              <w:ind w:left="-60" w:right="-115"/>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Reconstrucția bazei sportive de canotaj a Centrului Sportiv de Pregătire a Loturilor Naționale, orașul Vatra, municipiul Chișinău</w:t>
            </w:r>
          </w:p>
        </w:tc>
        <w:tc>
          <w:tcPr>
            <w:tcW w:w="707" w:type="dxa"/>
            <w:tcBorders>
              <w:top w:val="nil"/>
              <w:left w:val="nil"/>
              <w:bottom w:val="single" w:sz="4" w:space="0" w:color="auto"/>
              <w:right w:val="single" w:sz="4" w:space="0" w:color="auto"/>
            </w:tcBorders>
            <w:shd w:val="clear" w:color="auto" w:fill="auto"/>
            <w:vAlign w:val="center"/>
            <w:hideMark/>
          </w:tcPr>
          <w:p w:rsidR="002751E2" w:rsidRPr="00F55BA6" w:rsidRDefault="002751E2"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2014</w:t>
            </w:r>
          </w:p>
        </w:tc>
        <w:tc>
          <w:tcPr>
            <w:tcW w:w="951" w:type="dxa"/>
            <w:tcBorders>
              <w:top w:val="nil"/>
              <w:left w:val="nil"/>
              <w:bottom w:val="single" w:sz="4" w:space="0" w:color="auto"/>
              <w:right w:val="single" w:sz="4" w:space="0" w:color="auto"/>
            </w:tcBorders>
            <w:shd w:val="clear" w:color="000000" w:fill="FFFFFF"/>
            <w:vAlign w:val="center"/>
            <w:hideMark/>
          </w:tcPr>
          <w:p w:rsidR="002751E2" w:rsidRPr="00F55BA6" w:rsidRDefault="002751E2" w:rsidP="00B51730">
            <w:pPr>
              <w:spacing w:after="0" w:line="240" w:lineRule="auto"/>
              <w:ind w:left="-77" w:right="-111"/>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res. generale</w:t>
            </w:r>
          </w:p>
        </w:tc>
        <w:tc>
          <w:tcPr>
            <w:tcW w:w="1144" w:type="dxa"/>
            <w:tcBorders>
              <w:top w:val="nil"/>
              <w:left w:val="nil"/>
              <w:bottom w:val="single" w:sz="4" w:space="0" w:color="auto"/>
              <w:right w:val="single" w:sz="4" w:space="0" w:color="auto"/>
            </w:tcBorders>
            <w:shd w:val="clear" w:color="000000" w:fill="F2F2F2"/>
            <w:noWrap/>
            <w:vAlign w:val="center"/>
            <w:hideMark/>
          </w:tcPr>
          <w:p w:rsidR="002751E2" w:rsidRPr="00F55BA6" w:rsidRDefault="002751E2" w:rsidP="00B51730">
            <w:pPr>
              <w:spacing w:after="0" w:line="240" w:lineRule="auto"/>
              <w:ind w:left="-30" w:right="-1"/>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5.000,0</w:t>
            </w:r>
          </w:p>
        </w:tc>
        <w:tc>
          <w:tcPr>
            <w:tcW w:w="831" w:type="dxa"/>
            <w:tcBorders>
              <w:top w:val="nil"/>
              <w:left w:val="nil"/>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ind w:left="-193"/>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5.000,0</w:t>
            </w:r>
          </w:p>
        </w:tc>
        <w:tc>
          <w:tcPr>
            <w:tcW w:w="1073" w:type="dxa"/>
            <w:tcBorders>
              <w:top w:val="nil"/>
              <w:left w:val="nil"/>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ind w:left="-101" w:right="-72"/>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5.000,0</w:t>
            </w:r>
          </w:p>
        </w:tc>
        <w:tc>
          <w:tcPr>
            <w:tcW w:w="1127" w:type="dxa"/>
            <w:tcBorders>
              <w:top w:val="nil"/>
              <w:left w:val="nil"/>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ind w:left="-47"/>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9.868,8</w:t>
            </w:r>
          </w:p>
        </w:tc>
        <w:tc>
          <w:tcPr>
            <w:tcW w:w="1107" w:type="dxa"/>
            <w:tcBorders>
              <w:top w:val="nil"/>
              <w:left w:val="nil"/>
              <w:bottom w:val="single" w:sz="4" w:space="0" w:color="auto"/>
              <w:right w:val="single" w:sz="4" w:space="0" w:color="auto"/>
            </w:tcBorders>
            <w:shd w:val="clear" w:color="auto" w:fill="auto"/>
            <w:noWrap/>
            <w:vAlign w:val="bottom"/>
            <w:hideMark/>
          </w:tcPr>
          <w:p w:rsidR="002751E2" w:rsidRPr="00F55BA6" w:rsidRDefault="002751E2" w:rsidP="00B51730">
            <w:pPr>
              <w:spacing w:after="0" w:line="240" w:lineRule="auto"/>
              <w:ind w:left="-209"/>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 </w:t>
            </w:r>
          </w:p>
        </w:tc>
        <w:tc>
          <w:tcPr>
            <w:tcW w:w="1071" w:type="dxa"/>
            <w:tcBorders>
              <w:top w:val="nil"/>
              <w:left w:val="nil"/>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ind w:left="-103" w:right="-73"/>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6.000,0</w:t>
            </w:r>
          </w:p>
        </w:tc>
        <w:tc>
          <w:tcPr>
            <w:tcW w:w="1162" w:type="dxa"/>
            <w:tcBorders>
              <w:top w:val="nil"/>
              <w:left w:val="nil"/>
              <w:bottom w:val="nil"/>
              <w:right w:val="nil"/>
            </w:tcBorders>
            <w:shd w:val="clear" w:color="auto" w:fill="auto"/>
            <w:noWrap/>
            <w:vAlign w:val="center"/>
            <w:hideMark/>
          </w:tcPr>
          <w:p w:rsidR="002751E2" w:rsidRPr="00F55BA6" w:rsidRDefault="002751E2" w:rsidP="00B51730">
            <w:pPr>
              <w:spacing w:after="0" w:line="240" w:lineRule="auto"/>
              <w:ind w:left="-114"/>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9.868,8</w:t>
            </w:r>
          </w:p>
        </w:tc>
        <w:tc>
          <w:tcPr>
            <w:tcW w:w="1139" w:type="dxa"/>
            <w:tcBorders>
              <w:top w:val="nil"/>
              <w:left w:val="single" w:sz="4" w:space="0" w:color="auto"/>
              <w:bottom w:val="single" w:sz="4" w:space="0" w:color="auto"/>
              <w:right w:val="nil"/>
            </w:tcBorders>
            <w:shd w:val="clear" w:color="auto" w:fill="auto"/>
            <w:noWrap/>
            <w:vAlign w:val="center"/>
            <w:hideMark/>
          </w:tcPr>
          <w:p w:rsidR="002751E2" w:rsidRPr="00F55BA6" w:rsidRDefault="002751E2"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9.868,8</w:t>
            </w:r>
          </w:p>
        </w:tc>
        <w:tc>
          <w:tcPr>
            <w:tcW w:w="1024" w:type="dxa"/>
            <w:tcBorders>
              <w:top w:val="nil"/>
              <w:left w:val="single" w:sz="8" w:space="0" w:color="auto"/>
              <w:bottom w:val="single" w:sz="4" w:space="0" w:color="auto"/>
              <w:right w:val="single" w:sz="4" w:space="0" w:color="auto"/>
            </w:tcBorders>
            <w:shd w:val="clear" w:color="000000" w:fill="FFE699"/>
            <w:noWrap/>
            <w:vAlign w:val="center"/>
            <w:hideMark/>
          </w:tcPr>
          <w:p w:rsidR="002751E2" w:rsidRPr="00F55BA6" w:rsidRDefault="002751E2"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4.868,8</w:t>
            </w:r>
          </w:p>
        </w:tc>
        <w:tc>
          <w:tcPr>
            <w:tcW w:w="945" w:type="dxa"/>
            <w:tcBorders>
              <w:top w:val="nil"/>
              <w:left w:val="nil"/>
              <w:bottom w:val="single" w:sz="4" w:space="0" w:color="auto"/>
              <w:right w:val="single" w:sz="8" w:space="0" w:color="auto"/>
            </w:tcBorders>
            <w:shd w:val="clear" w:color="000000" w:fill="FFE699"/>
            <w:noWrap/>
            <w:vAlign w:val="center"/>
            <w:hideMark/>
          </w:tcPr>
          <w:p w:rsidR="002751E2" w:rsidRPr="00F55BA6" w:rsidRDefault="002751E2"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97,4</w:t>
            </w:r>
          </w:p>
        </w:tc>
      </w:tr>
      <w:tr w:rsidR="002751E2" w:rsidRPr="00E4517B" w:rsidTr="00B51730">
        <w:trPr>
          <w:trHeight w:val="914"/>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9</w:t>
            </w:r>
          </w:p>
        </w:tc>
        <w:tc>
          <w:tcPr>
            <w:tcW w:w="2456" w:type="dxa"/>
            <w:tcBorders>
              <w:top w:val="nil"/>
              <w:left w:val="nil"/>
              <w:bottom w:val="single" w:sz="4" w:space="0" w:color="auto"/>
              <w:right w:val="single" w:sz="4" w:space="0" w:color="auto"/>
            </w:tcBorders>
            <w:shd w:val="clear" w:color="auto" w:fill="auto"/>
            <w:vAlign w:val="center"/>
            <w:hideMark/>
          </w:tcPr>
          <w:p w:rsidR="002751E2" w:rsidRPr="00F55BA6" w:rsidRDefault="002751E2" w:rsidP="00B51730">
            <w:pPr>
              <w:spacing w:after="0" w:line="240" w:lineRule="auto"/>
              <w:ind w:left="-60" w:right="-115"/>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 xml:space="preserve">Construcția sediului Centrului Național pentru Determinarea Dizabilității și Capacității de Muncă, str. Alexandru Hâjdeu nr.49, municipiul Chișinău </w:t>
            </w:r>
          </w:p>
        </w:tc>
        <w:tc>
          <w:tcPr>
            <w:tcW w:w="707" w:type="dxa"/>
            <w:tcBorders>
              <w:top w:val="nil"/>
              <w:left w:val="nil"/>
              <w:bottom w:val="single" w:sz="4" w:space="0" w:color="auto"/>
              <w:right w:val="single" w:sz="4" w:space="0" w:color="auto"/>
            </w:tcBorders>
            <w:shd w:val="clear" w:color="auto" w:fill="auto"/>
            <w:vAlign w:val="center"/>
            <w:hideMark/>
          </w:tcPr>
          <w:p w:rsidR="002751E2" w:rsidRPr="00F55BA6" w:rsidRDefault="002751E2"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2014</w:t>
            </w:r>
          </w:p>
        </w:tc>
        <w:tc>
          <w:tcPr>
            <w:tcW w:w="951" w:type="dxa"/>
            <w:tcBorders>
              <w:top w:val="nil"/>
              <w:left w:val="nil"/>
              <w:bottom w:val="single" w:sz="4" w:space="0" w:color="auto"/>
              <w:right w:val="single" w:sz="4" w:space="0" w:color="auto"/>
            </w:tcBorders>
            <w:shd w:val="clear" w:color="000000" w:fill="FFFFFF"/>
            <w:vAlign w:val="center"/>
            <w:hideMark/>
          </w:tcPr>
          <w:p w:rsidR="002751E2" w:rsidRPr="00F55BA6" w:rsidRDefault="002751E2" w:rsidP="00B51730">
            <w:pPr>
              <w:spacing w:after="0" w:line="240" w:lineRule="auto"/>
              <w:ind w:left="-77" w:right="-111"/>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res. generale</w:t>
            </w:r>
          </w:p>
        </w:tc>
        <w:tc>
          <w:tcPr>
            <w:tcW w:w="1144" w:type="dxa"/>
            <w:tcBorders>
              <w:top w:val="nil"/>
              <w:left w:val="nil"/>
              <w:bottom w:val="single" w:sz="4" w:space="0" w:color="auto"/>
              <w:right w:val="single" w:sz="4" w:space="0" w:color="auto"/>
            </w:tcBorders>
            <w:shd w:val="clear" w:color="000000" w:fill="F2F2F2"/>
            <w:noWrap/>
            <w:vAlign w:val="center"/>
            <w:hideMark/>
          </w:tcPr>
          <w:p w:rsidR="002751E2" w:rsidRPr="00F55BA6" w:rsidRDefault="002751E2" w:rsidP="00B51730">
            <w:pPr>
              <w:spacing w:after="0" w:line="240" w:lineRule="auto"/>
              <w:ind w:left="-30" w:right="-1"/>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20.611,7</w:t>
            </w:r>
          </w:p>
        </w:tc>
        <w:tc>
          <w:tcPr>
            <w:tcW w:w="831" w:type="dxa"/>
            <w:tcBorders>
              <w:top w:val="nil"/>
              <w:left w:val="nil"/>
              <w:bottom w:val="single" w:sz="4" w:space="0" w:color="auto"/>
              <w:right w:val="single" w:sz="4" w:space="0" w:color="auto"/>
            </w:tcBorders>
            <w:shd w:val="clear" w:color="auto" w:fill="auto"/>
            <w:noWrap/>
            <w:vAlign w:val="bottom"/>
            <w:hideMark/>
          </w:tcPr>
          <w:p w:rsidR="002751E2" w:rsidRPr="00F55BA6" w:rsidRDefault="002751E2" w:rsidP="00B51730">
            <w:pPr>
              <w:spacing w:after="0" w:line="240" w:lineRule="auto"/>
              <w:ind w:left="-193"/>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 </w:t>
            </w:r>
          </w:p>
        </w:tc>
        <w:tc>
          <w:tcPr>
            <w:tcW w:w="1073" w:type="dxa"/>
            <w:tcBorders>
              <w:top w:val="nil"/>
              <w:left w:val="nil"/>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ind w:left="-101" w:right="-72"/>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20.611,7</w:t>
            </w:r>
          </w:p>
        </w:tc>
        <w:tc>
          <w:tcPr>
            <w:tcW w:w="1127" w:type="dxa"/>
            <w:tcBorders>
              <w:top w:val="nil"/>
              <w:left w:val="nil"/>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ind w:left="-47"/>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20.311,7</w:t>
            </w:r>
          </w:p>
        </w:tc>
        <w:tc>
          <w:tcPr>
            <w:tcW w:w="1107" w:type="dxa"/>
            <w:tcBorders>
              <w:top w:val="nil"/>
              <w:left w:val="single" w:sz="4" w:space="0" w:color="auto"/>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ind w:left="-209"/>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33.047,0</w:t>
            </w:r>
          </w:p>
        </w:tc>
        <w:tc>
          <w:tcPr>
            <w:tcW w:w="1071" w:type="dxa"/>
            <w:tcBorders>
              <w:top w:val="nil"/>
              <w:left w:val="nil"/>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ind w:left="-103" w:right="-73"/>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33.047,9</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rsidR="002751E2" w:rsidRPr="00F55BA6" w:rsidRDefault="002751E2" w:rsidP="00B51730">
            <w:pPr>
              <w:spacing w:after="0" w:line="240" w:lineRule="auto"/>
              <w:ind w:left="-114"/>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 </w:t>
            </w:r>
          </w:p>
        </w:tc>
        <w:tc>
          <w:tcPr>
            <w:tcW w:w="1139" w:type="dxa"/>
            <w:tcBorders>
              <w:top w:val="nil"/>
              <w:left w:val="nil"/>
              <w:bottom w:val="single" w:sz="4" w:space="0" w:color="auto"/>
              <w:right w:val="nil"/>
            </w:tcBorders>
            <w:shd w:val="clear" w:color="auto" w:fill="auto"/>
            <w:noWrap/>
            <w:vAlign w:val="center"/>
            <w:hideMark/>
          </w:tcPr>
          <w:p w:rsidR="002751E2" w:rsidRPr="00F55BA6" w:rsidRDefault="002751E2"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26.904,2</w:t>
            </w:r>
          </w:p>
        </w:tc>
        <w:tc>
          <w:tcPr>
            <w:tcW w:w="1024" w:type="dxa"/>
            <w:tcBorders>
              <w:top w:val="nil"/>
              <w:left w:val="single" w:sz="8" w:space="0" w:color="auto"/>
              <w:bottom w:val="single" w:sz="4" w:space="0" w:color="auto"/>
              <w:right w:val="single" w:sz="4" w:space="0" w:color="auto"/>
            </w:tcBorders>
            <w:shd w:val="clear" w:color="000000" w:fill="FFE699"/>
            <w:noWrap/>
            <w:vAlign w:val="center"/>
            <w:hideMark/>
          </w:tcPr>
          <w:p w:rsidR="002751E2" w:rsidRPr="00F55BA6" w:rsidRDefault="002751E2"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6.292,5</w:t>
            </w:r>
          </w:p>
        </w:tc>
        <w:tc>
          <w:tcPr>
            <w:tcW w:w="945" w:type="dxa"/>
            <w:tcBorders>
              <w:top w:val="nil"/>
              <w:left w:val="nil"/>
              <w:bottom w:val="single" w:sz="4" w:space="0" w:color="auto"/>
              <w:right w:val="single" w:sz="8" w:space="0" w:color="auto"/>
            </w:tcBorders>
            <w:shd w:val="clear" w:color="000000" w:fill="FFE699"/>
            <w:noWrap/>
            <w:vAlign w:val="center"/>
            <w:hideMark/>
          </w:tcPr>
          <w:p w:rsidR="002751E2" w:rsidRPr="00F55BA6" w:rsidRDefault="002751E2"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30,5</w:t>
            </w:r>
          </w:p>
        </w:tc>
      </w:tr>
      <w:tr w:rsidR="002751E2" w:rsidRPr="00E4517B" w:rsidTr="00B51730">
        <w:trPr>
          <w:trHeight w:val="914"/>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10</w:t>
            </w:r>
          </w:p>
        </w:tc>
        <w:tc>
          <w:tcPr>
            <w:tcW w:w="2456" w:type="dxa"/>
            <w:tcBorders>
              <w:top w:val="nil"/>
              <w:left w:val="nil"/>
              <w:bottom w:val="single" w:sz="4" w:space="0" w:color="auto"/>
              <w:right w:val="single" w:sz="4" w:space="0" w:color="auto"/>
            </w:tcBorders>
            <w:shd w:val="clear" w:color="auto" w:fill="auto"/>
            <w:vAlign w:val="center"/>
            <w:hideMark/>
          </w:tcPr>
          <w:p w:rsidR="002751E2" w:rsidRPr="00F55BA6" w:rsidRDefault="002751E2" w:rsidP="00B51730">
            <w:pPr>
              <w:spacing w:after="0" w:line="240" w:lineRule="auto"/>
              <w:ind w:left="-60" w:right="-115"/>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Construcția edificiului Teatrului Republican Muzical-Dramatic „B. P. Hașdeu”, str. Bogdan Petriceicu Hașdeu nr.6, municipiul Cahul</w:t>
            </w:r>
          </w:p>
        </w:tc>
        <w:tc>
          <w:tcPr>
            <w:tcW w:w="707" w:type="dxa"/>
            <w:tcBorders>
              <w:top w:val="nil"/>
              <w:left w:val="nil"/>
              <w:bottom w:val="single" w:sz="4" w:space="0" w:color="auto"/>
              <w:right w:val="single" w:sz="4" w:space="0" w:color="auto"/>
            </w:tcBorders>
            <w:shd w:val="clear" w:color="auto" w:fill="auto"/>
            <w:vAlign w:val="center"/>
            <w:hideMark/>
          </w:tcPr>
          <w:p w:rsidR="002751E2" w:rsidRPr="00F55BA6" w:rsidRDefault="002751E2"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2015</w:t>
            </w:r>
          </w:p>
        </w:tc>
        <w:tc>
          <w:tcPr>
            <w:tcW w:w="951" w:type="dxa"/>
            <w:tcBorders>
              <w:top w:val="nil"/>
              <w:left w:val="nil"/>
              <w:bottom w:val="single" w:sz="4" w:space="0" w:color="auto"/>
              <w:right w:val="single" w:sz="4" w:space="0" w:color="auto"/>
            </w:tcBorders>
            <w:shd w:val="clear" w:color="000000" w:fill="FFFFFF"/>
            <w:vAlign w:val="center"/>
            <w:hideMark/>
          </w:tcPr>
          <w:p w:rsidR="002751E2" w:rsidRPr="00F55BA6" w:rsidRDefault="002751E2" w:rsidP="00B51730">
            <w:pPr>
              <w:spacing w:after="0" w:line="240" w:lineRule="auto"/>
              <w:ind w:left="-77" w:right="-111"/>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res. generale</w:t>
            </w:r>
          </w:p>
        </w:tc>
        <w:tc>
          <w:tcPr>
            <w:tcW w:w="1144" w:type="dxa"/>
            <w:tcBorders>
              <w:top w:val="nil"/>
              <w:left w:val="nil"/>
              <w:bottom w:val="single" w:sz="4" w:space="0" w:color="auto"/>
              <w:right w:val="single" w:sz="4" w:space="0" w:color="auto"/>
            </w:tcBorders>
            <w:shd w:val="clear" w:color="000000" w:fill="F2F2F2"/>
            <w:noWrap/>
            <w:vAlign w:val="center"/>
            <w:hideMark/>
          </w:tcPr>
          <w:p w:rsidR="002751E2" w:rsidRPr="00F55BA6" w:rsidRDefault="002751E2" w:rsidP="00B51730">
            <w:pPr>
              <w:spacing w:after="0" w:line="240" w:lineRule="auto"/>
              <w:ind w:left="-30" w:right="-1"/>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21.600,0</w:t>
            </w:r>
          </w:p>
        </w:tc>
        <w:tc>
          <w:tcPr>
            <w:tcW w:w="831" w:type="dxa"/>
            <w:tcBorders>
              <w:top w:val="nil"/>
              <w:left w:val="nil"/>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ind w:left="-193"/>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21.600,0</w:t>
            </w:r>
          </w:p>
        </w:tc>
        <w:tc>
          <w:tcPr>
            <w:tcW w:w="1073" w:type="dxa"/>
            <w:tcBorders>
              <w:top w:val="nil"/>
              <w:left w:val="nil"/>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ind w:left="-101" w:right="-72"/>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21.600,0</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ind w:left="-47"/>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69.000,0</w:t>
            </w:r>
          </w:p>
        </w:tc>
        <w:tc>
          <w:tcPr>
            <w:tcW w:w="1107" w:type="dxa"/>
            <w:tcBorders>
              <w:top w:val="nil"/>
              <w:left w:val="nil"/>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ind w:left="-209"/>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27.857,8</w:t>
            </w:r>
          </w:p>
        </w:tc>
        <w:tc>
          <w:tcPr>
            <w:tcW w:w="1071" w:type="dxa"/>
            <w:tcBorders>
              <w:top w:val="nil"/>
              <w:left w:val="nil"/>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ind w:left="-103" w:right="-73"/>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28.700,0</w:t>
            </w:r>
          </w:p>
        </w:tc>
        <w:tc>
          <w:tcPr>
            <w:tcW w:w="1162" w:type="dxa"/>
            <w:tcBorders>
              <w:top w:val="nil"/>
              <w:left w:val="nil"/>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ind w:left="-114"/>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35.420,5</w:t>
            </w:r>
          </w:p>
        </w:tc>
        <w:tc>
          <w:tcPr>
            <w:tcW w:w="1139" w:type="dxa"/>
            <w:tcBorders>
              <w:top w:val="nil"/>
              <w:left w:val="nil"/>
              <w:bottom w:val="single" w:sz="4" w:space="0" w:color="auto"/>
              <w:right w:val="nil"/>
            </w:tcBorders>
            <w:shd w:val="clear" w:color="auto" w:fill="auto"/>
            <w:noWrap/>
            <w:vAlign w:val="center"/>
            <w:hideMark/>
          </w:tcPr>
          <w:p w:rsidR="002751E2" w:rsidRPr="00F55BA6" w:rsidRDefault="002751E2"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35.757,5</w:t>
            </w:r>
          </w:p>
        </w:tc>
        <w:tc>
          <w:tcPr>
            <w:tcW w:w="1024" w:type="dxa"/>
            <w:tcBorders>
              <w:top w:val="nil"/>
              <w:left w:val="single" w:sz="8" w:space="0" w:color="auto"/>
              <w:bottom w:val="single" w:sz="4" w:space="0" w:color="auto"/>
              <w:right w:val="single" w:sz="4" w:space="0" w:color="auto"/>
            </w:tcBorders>
            <w:shd w:val="clear" w:color="000000" w:fill="FFE699"/>
            <w:noWrap/>
            <w:vAlign w:val="center"/>
            <w:hideMark/>
          </w:tcPr>
          <w:p w:rsidR="002751E2" w:rsidRPr="00F55BA6" w:rsidRDefault="002751E2"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14.157,5</w:t>
            </w:r>
          </w:p>
        </w:tc>
        <w:tc>
          <w:tcPr>
            <w:tcW w:w="945" w:type="dxa"/>
            <w:tcBorders>
              <w:top w:val="nil"/>
              <w:left w:val="nil"/>
              <w:bottom w:val="single" w:sz="4" w:space="0" w:color="auto"/>
              <w:right w:val="single" w:sz="8" w:space="0" w:color="auto"/>
            </w:tcBorders>
            <w:shd w:val="clear" w:color="000000" w:fill="FFE699"/>
            <w:noWrap/>
            <w:vAlign w:val="center"/>
            <w:hideMark/>
          </w:tcPr>
          <w:p w:rsidR="002751E2" w:rsidRPr="00F55BA6" w:rsidRDefault="002751E2"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65,5</w:t>
            </w:r>
          </w:p>
        </w:tc>
      </w:tr>
      <w:tr w:rsidR="002751E2" w:rsidRPr="00E4517B" w:rsidTr="00B51730">
        <w:trPr>
          <w:trHeight w:val="205"/>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11</w:t>
            </w:r>
          </w:p>
        </w:tc>
        <w:tc>
          <w:tcPr>
            <w:tcW w:w="2456" w:type="dxa"/>
            <w:tcBorders>
              <w:top w:val="nil"/>
              <w:left w:val="nil"/>
              <w:bottom w:val="single" w:sz="4" w:space="0" w:color="auto"/>
              <w:right w:val="single" w:sz="4" w:space="0" w:color="auto"/>
            </w:tcBorders>
            <w:shd w:val="clear" w:color="auto" w:fill="auto"/>
            <w:vAlign w:val="center"/>
            <w:hideMark/>
          </w:tcPr>
          <w:p w:rsidR="002751E2" w:rsidRPr="00F55BA6" w:rsidRDefault="002751E2" w:rsidP="00B51730">
            <w:pPr>
              <w:spacing w:after="0" w:line="240" w:lineRule="auto"/>
              <w:ind w:left="-60" w:right="-115"/>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Proiectul „Agricultura competitivă”</w:t>
            </w:r>
          </w:p>
        </w:tc>
        <w:tc>
          <w:tcPr>
            <w:tcW w:w="707" w:type="dxa"/>
            <w:tcBorders>
              <w:top w:val="nil"/>
              <w:left w:val="nil"/>
              <w:bottom w:val="single" w:sz="4" w:space="0" w:color="auto"/>
              <w:right w:val="single" w:sz="4" w:space="0" w:color="auto"/>
            </w:tcBorders>
            <w:shd w:val="clear" w:color="auto" w:fill="auto"/>
            <w:vAlign w:val="center"/>
            <w:hideMark/>
          </w:tcPr>
          <w:p w:rsidR="002751E2" w:rsidRPr="00F55BA6" w:rsidRDefault="002751E2"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2016</w:t>
            </w:r>
          </w:p>
        </w:tc>
        <w:tc>
          <w:tcPr>
            <w:tcW w:w="951" w:type="dxa"/>
            <w:tcBorders>
              <w:top w:val="nil"/>
              <w:left w:val="nil"/>
              <w:bottom w:val="single" w:sz="4" w:space="0" w:color="auto"/>
              <w:right w:val="single" w:sz="4" w:space="0" w:color="auto"/>
            </w:tcBorders>
            <w:shd w:val="clear" w:color="000000" w:fill="FFFFFF"/>
            <w:noWrap/>
            <w:vAlign w:val="center"/>
            <w:hideMark/>
          </w:tcPr>
          <w:p w:rsidR="002751E2" w:rsidRPr="00F55BA6" w:rsidRDefault="002751E2" w:rsidP="00B51730">
            <w:pPr>
              <w:spacing w:after="0" w:line="240" w:lineRule="auto"/>
              <w:ind w:left="-77" w:right="-111"/>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PFSE</w:t>
            </w:r>
          </w:p>
        </w:tc>
        <w:tc>
          <w:tcPr>
            <w:tcW w:w="1144" w:type="dxa"/>
            <w:tcBorders>
              <w:top w:val="nil"/>
              <w:left w:val="nil"/>
              <w:bottom w:val="single" w:sz="4" w:space="0" w:color="auto"/>
              <w:right w:val="single" w:sz="4" w:space="0" w:color="auto"/>
            </w:tcBorders>
            <w:shd w:val="clear" w:color="000000" w:fill="F2F2F2"/>
            <w:vAlign w:val="center"/>
            <w:hideMark/>
          </w:tcPr>
          <w:p w:rsidR="002751E2" w:rsidRPr="00F55BA6" w:rsidRDefault="002751E2" w:rsidP="00B51730">
            <w:pPr>
              <w:spacing w:after="0" w:line="240" w:lineRule="auto"/>
              <w:ind w:left="-30" w:right="-1"/>
              <w:jc w:val="right"/>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83.800,0</w:t>
            </w:r>
          </w:p>
        </w:tc>
        <w:tc>
          <w:tcPr>
            <w:tcW w:w="831" w:type="dxa"/>
            <w:tcBorders>
              <w:top w:val="nil"/>
              <w:left w:val="nil"/>
              <w:bottom w:val="single" w:sz="4" w:space="0" w:color="auto"/>
              <w:right w:val="single" w:sz="4" w:space="0" w:color="auto"/>
            </w:tcBorders>
            <w:shd w:val="clear" w:color="auto" w:fill="auto"/>
            <w:noWrap/>
            <w:vAlign w:val="bottom"/>
            <w:hideMark/>
          </w:tcPr>
          <w:p w:rsidR="002751E2" w:rsidRPr="00F55BA6" w:rsidRDefault="002751E2" w:rsidP="00B51730">
            <w:pPr>
              <w:spacing w:after="0" w:line="240" w:lineRule="auto"/>
              <w:ind w:left="-193"/>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 </w:t>
            </w:r>
          </w:p>
        </w:tc>
        <w:tc>
          <w:tcPr>
            <w:tcW w:w="1073" w:type="dxa"/>
            <w:tcBorders>
              <w:top w:val="nil"/>
              <w:left w:val="nil"/>
              <w:bottom w:val="single" w:sz="4" w:space="0" w:color="auto"/>
              <w:right w:val="single" w:sz="4" w:space="0" w:color="auto"/>
            </w:tcBorders>
            <w:shd w:val="clear" w:color="auto" w:fill="auto"/>
            <w:noWrap/>
            <w:vAlign w:val="bottom"/>
            <w:hideMark/>
          </w:tcPr>
          <w:p w:rsidR="002751E2" w:rsidRPr="00F55BA6" w:rsidRDefault="002751E2" w:rsidP="00B51730">
            <w:pPr>
              <w:spacing w:after="0" w:line="240" w:lineRule="auto"/>
              <w:ind w:left="-101" w:right="-72"/>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 </w:t>
            </w:r>
          </w:p>
        </w:tc>
        <w:tc>
          <w:tcPr>
            <w:tcW w:w="1127" w:type="dxa"/>
            <w:tcBorders>
              <w:top w:val="nil"/>
              <w:left w:val="nil"/>
              <w:bottom w:val="single" w:sz="4" w:space="0" w:color="auto"/>
              <w:right w:val="single" w:sz="4" w:space="0" w:color="auto"/>
            </w:tcBorders>
            <w:shd w:val="clear" w:color="auto" w:fill="auto"/>
            <w:noWrap/>
            <w:vAlign w:val="bottom"/>
            <w:hideMark/>
          </w:tcPr>
          <w:p w:rsidR="002751E2" w:rsidRPr="00F55BA6" w:rsidRDefault="002751E2" w:rsidP="00B51730">
            <w:pPr>
              <w:spacing w:after="0" w:line="240" w:lineRule="auto"/>
              <w:ind w:left="-47"/>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 </w:t>
            </w:r>
          </w:p>
        </w:tc>
        <w:tc>
          <w:tcPr>
            <w:tcW w:w="1107" w:type="dxa"/>
            <w:tcBorders>
              <w:top w:val="nil"/>
              <w:left w:val="nil"/>
              <w:bottom w:val="single" w:sz="4" w:space="0" w:color="auto"/>
              <w:right w:val="single" w:sz="4" w:space="0" w:color="auto"/>
            </w:tcBorders>
            <w:shd w:val="clear" w:color="auto" w:fill="auto"/>
            <w:vAlign w:val="center"/>
            <w:hideMark/>
          </w:tcPr>
          <w:p w:rsidR="002751E2" w:rsidRPr="00F55BA6" w:rsidRDefault="002751E2" w:rsidP="00B51730">
            <w:pPr>
              <w:spacing w:after="0" w:line="240" w:lineRule="auto"/>
              <w:ind w:left="-209"/>
              <w:jc w:val="right"/>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83.800,0</w:t>
            </w:r>
          </w:p>
        </w:tc>
        <w:tc>
          <w:tcPr>
            <w:tcW w:w="1071" w:type="dxa"/>
            <w:tcBorders>
              <w:top w:val="nil"/>
              <w:left w:val="nil"/>
              <w:bottom w:val="single" w:sz="4" w:space="0" w:color="auto"/>
              <w:right w:val="single" w:sz="4" w:space="0" w:color="auto"/>
            </w:tcBorders>
            <w:shd w:val="clear" w:color="auto" w:fill="auto"/>
            <w:vAlign w:val="center"/>
            <w:hideMark/>
          </w:tcPr>
          <w:p w:rsidR="002751E2" w:rsidRPr="00F55BA6" w:rsidRDefault="002751E2" w:rsidP="00B51730">
            <w:pPr>
              <w:spacing w:after="0" w:line="240" w:lineRule="auto"/>
              <w:ind w:left="-103" w:right="-73"/>
              <w:jc w:val="right"/>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153.924,5</w:t>
            </w:r>
          </w:p>
        </w:tc>
        <w:tc>
          <w:tcPr>
            <w:tcW w:w="1162" w:type="dxa"/>
            <w:tcBorders>
              <w:top w:val="nil"/>
              <w:left w:val="nil"/>
              <w:bottom w:val="single" w:sz="4" w:space="0" w:color="auto"/>
              <w:right w:val="single" w:sz="4" w:space="0" w:color="auto"/>
            </w:tcBorders>
            <w:shd w:val="clear" w:color="auto" w:fill="auto"/>
            <w:vAlign w:val="center"/>
            <w:hideMark/>
          </w:tcPr>
          <w:p w:rsidR="002751E2" w:rsidRPr="00F55BA6" w:rsidRDefault="002751E2" w:rsidP="00B51730">
            <w:pPr>
              <w:spacing w:after="0" w:line="240" w:lineRule="auto"/>
              <w:ind w:left="-114"/>
              <w:jc w:val="right"/>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167.860,5</w:t>
            </w:r>
          </w:p>
        </w:tc>
        <w:tc>
          <w:tcPr>
            <w:tcW w:w="1139" w:type="dxa"/>
            <w:tcBorders>
              <w:top w:val="nil"/>
              <w:left w:val="nil"/>
              <w:bottom w:val="single" w:sz="4" w:space="0" w:color="auto"/>
              <w:right w:val="nil"/>
            </w:tcBorders>
            <w:shd w:val="clear" w:color="auto" w:fill="auto"/>
            <w:vAlign w:val="center"/>
            <w:hideMark/>
          </w:tcPr>
          <w:p w:rsidR="002751E2" w:rsidRPr="00F55BA6" w:rsidRDefault="002751E2" w:rsidP="00B51730">
            <w:pPr>
              <w:spacing w:after="0" w:line="240" w:lineRule="auto"/>
              <w:jc w:val="right"/>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153.924,5</w:t>
            </w:r>
          </w:p>
        </w:tc>
        <w:tc>
          <w:tcPr>
            <w:tcW w:w="1024" w:type="dxa"/>
            <w:tcBorders>
              <w:top w:val="nil"/>
              <w:left w:val="single" w:sz="8" w:space="0" w:color="auto"/>
              <w:bottom w:val="single" w:sz="4" w:space="0" w:color="auto"/>
              <w:right w:val="single" w:sz="4" w:space="0" w:color="auto"/>
            </w:tcBorders>
            <w:shd w:val="clear" w:color="000000" w:fill="FFE699"/>
            <w:noWrap/>
            <w:vAlign w:val="center"/>
            <w:hideMark/>
          </w:tcPr>
          <w:p w:rsidR="002751E2" w:rsidRPr="00F55BA6" w:rsidRDefault="002751E2"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70.124,5</w:t>
            </w:r>
          </w:p>
        </w:tc>
        <w:tc>
          <w:tcPr>
            <w:tcW w:w="945" w:type="dxa"/>
            <w:tcBorders>
              <w:top w:val="nil"/>
              <w:left w:val="nil"/>
              <w:bottom w:val="single" w:sz="4" w:space="0" w:color="auto"/>
              <w:right w:val="single" w:sz="8" w:space="0" w:color="auto"/>
            </w:tcBorders>
            <w:shd w:val="clear" w:color="000000" w:fill="FFE699"/>
            <w:noWrap/>
            <w:vAlign w:val="center"/>
            <w:hideMark/>
          </w:tcPr>
          <w:p w:rsidR="002751E2" w:rsidRPr="00F55BA6" w:rsidRDefault="002751E2"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83,7</w:t>
            </w:r>
          </w:p>
        </w:tc>
      </w:tr>
      <w:tr w:rsidR="002751E2" w:rsidRPr="00E4517B" w:rsidTr="00B51730">
        <w:trPr>
          <w:trHeight w:val="804"/>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12</w:t>
            </w:r>
          </w:p>
        </w:tc>
        <w:tc>
          <w:tcPr>
            <w:tcW w:w="2456" w:type="dxa"/>
            <w:tcBorders>
              <w:top w:val="nil"/>
              <w:left w:val="nil"/>
              <w:bottom w:val="single" w:sz="4" w:space="0" w:color="auto"/>
              <w:right w:val="single" w:sz="4" w:space="0" w:color="auto"/>
            </w:tcBorders>
            <w:shd w:val="clear" w:color="auto" w:fill="auto"/>
            <w:vAlign w:val="center"/>
            <w:hideMark/>
          </w:tcPr>
          <w:p w:rsidR="002751E2" w:rsidRPr="00F55BA6" w:rsidRDefault="002751E2" w:rsidP="00B51730">
            <w:pPr>
              <w:spacing w:after="0" w:line="240" w:lineRule="auto"/>
              <w:ind w:left="-60" w:right="-115"/>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Reconstrucția și modernizarea clădirilor Centrului de Excelență în Construcții, str. Gheorghe Asachi nr.71, municipiul Chișinău</w:t>
            </w:r>
          </w:p>
        </w:tc>
        <w:tc>
          <w:tcPr>
            <w:tcW w:w="707" w:type="dxa"/>
            <w:tcBorders>
              <w:top w:val="nil"/>
              <w:left w:val="nil"/>
              <w:bottom w:val="single" w:sz="4" w:space="0" w:color="auto"/>
              <w:right w:val="single" w:sz="4" w:space="0" w:color="auto"/>
            </w:tcBorders>
            <w:shd w:val="clear" w:color="auto" w:fill="auto"/>
            <w:vAlign w:val="center"/>
            <w:hideMark/>
          </w:tcPr>
          <w:p w:rsidR="002751E2" w:rsidRPr="00F55BA6" w:rsidRDefault="002751E2"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2016</w:t>
            </w:r>
          </w:p>
        </w:tc>
        <w:tc>
          <w:tcPr>
            <w:tcW w:w="951" w:type="dxa"/>
            <w:tcBorders>
              <w:top w:val="nil"/>
              <w:left w:val="nil"/>
              <w:bottom w:val="single" w:sz="4" w:space="0" w:color="auto"/>
              <w:right w:val="single" w:sz="4" w:space="0" w:color="auto"/>
            </w:tcBorders>
            <w:shd w:val="clear" w:color="000000" w:fill="FFFFFF"/>
            <w:vAlign w:val="center"/>
            <w:hideMark/>
          </w:tcPr>
          <w:p w:rsidR="002751E2" w:rsidRPr="00F55BA6" w:rsidRDefault="002751E2" w:rsidP="00B51730">
            <w:pPr>
              <w:spacing w:after="0" w:line="240" w:lineRule="auto"/>
              <w:ind w:left="-77" w:right="-111"/>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res. generale</w:t>
            </w:r>
          </w:p>
        </w:tc>
        <w:tc>
          <w:tcPr>
            <w:tcW w:w="1144" w:type="dxa"/>
            <w:tcBorders>
              <w:top w:val="nil"/>
              <w:left w:val="nil"/>
              <w:bottom w:val="single" w:sz="4" w:space="0" w:color="auto"/>
              <w:right w:val="single" w:sz="4" w:space="0" w:color="auto"/>
            </w:tcBorders>
            <w:shd w:val="clear" w:color="000000" w:fill="F2F2F2"/>
            <w:noWrap/>
            <w:vAlign w:val="center"/>
            <w:hideMark/>
          </w:tcPr>
          <w:p w:rsidR="002751E2" w:rsidRPr="00F55BA6" w:rsidRDefault="002751E2" w:rsidP="00B51730">
            <w:pPr>
              <w:spacing w:after="0" w:line="240" w:lineRule="auto"/>
              <w:ind w:left="-30" w:right="-1"/>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26.500,0</w:t>
            </w:r>
          </w:p>
        </w:tc>
        <w:tc>
          <w:tcPr>
            <w:tcW w:w="831" w:type="dxa"/>
            <w:tcBorders>
              <w:top w:val="nil"/>
              <w:left w:val="nil"/>
              <w:bottom w:val="single" w:sz="4" w:space="0" w:color="auto"/>
              <w:right w:val="single" w:sz="4" w:space="0" w:color="auto"/>
            </w:tcBorders>
            <w:shd w:val="clear" w:color="auto" w:fill="auto"/>
            <w:noWrap/>
            <w:vAlign w:val="bottom"/>
            <w:hideMark/>
          </w:tcPr>
          <w:p w:rsidR="002751E2" w:rsidRPr="00F55BA6" w:rsidRDefault="002751E2"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 </w:t>
            </w:r>
          </w:p>
        </w:tc>
        <w:tc>
          <w:tcPr>
            <w:tcW w:w="1073" w:type="dxa"/>
            <w:tcBorders>
              <w:top w:val="nil"/>
              <w:left w:val="nil"/>
              <w:bottom w:val="single" w:sz="4" w:space="0" w:color="auto"/>
              <w:right w:val="single" w:sz="4" w:space="0" w:color="auto"/>
            </w:tcBorders>
            <w:shd w:val="clear" w:color="auto" w:fill="auto"/>
            <w:noWrap/>
            <w:vAlign w:val="bottom"/>
            <w:hideMark/>
          </w:tcPr>
          <w:p w:rsidR="002751E2" w:rsidRPr="00F55BA6" w:rsidRDefault="002751E2"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 </w:t>
            </w:r>
          </w:p>
        </w:tc>
        <w:tc>
          <w:tcPr>
            <w:tcW w:w="1127" w:type="dxa"/>
            <w:tcBorders>
              <w:top w:val="nil"/>
              <w:left w:val="nil"/>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ind w:left="-47"/>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26.500,0</w:t>
            </w:r>
          </w:p>
        </w:tc>
        <w:tc>
          <w:tcPr>
            <w:tcW w:w="1107" w:type="dxa"/>
            <w:tcBorders>
              <w:top w:val="nil"/>
              <w:left w:val="nil"/>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ind w:left="-209"/>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20.500,0</w:t>
            </w:r>
          </w:p>
        </w:tc>
        <w:tc>
          <w:tcPr>
            <w:tcW w:w="1071" w:type="dxa"/>
            <w:tcBorders>
              <w:top w:val="nil"/>
              <w:left w:val="nil"/>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ind w:left="-103" w:right="-73"/>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34.470,8</w:t>
            </w:r>
          </w:p>
        </w:tc>
        <w:tc>
          <w:tcPr>
            <w:tcW w:w="1162" w:type="dxa"/>
            <w:tcBorders>
              <w:top w:val="nil"/>
              <w:left w:val="nil"/>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ind w:left="-114"/>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 </w:t>
            </w:r>
          </w:p>
        </w:tc>
        <w:tc>
          <w:tcPr>
            <w:tcW w:w="1139" w:type="dxa"/>
            <w:tcBorders>
              <w:top w:val="nil"/>
              <w:left w:val="nil"/>
              <w:bottom w:val="single" w:sz="4" w:space="0" w:color="auto"/>
              <w:right w:val="nil"/>
            </w:tcBorders>
            <w:shd w:val="clear" w:color="auto" w:fill="auto"/>
            <w:noWrap/>
            <w:vAlign w:val="center"/>
            <w:hideMark/>
          </w:tcPr>
          <w:p w:rsidR="002751E2" w:rsidRPr="00F55BA6" w:rsidRDefault="002751E2"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38.543,2</w:t>
            </w:r>
          </w:p>
        </w:tc>
        <w:tc>
          <w:tcPr>
            <w:tcW w:w="1024" w:type="dxa"/>
            <w:tcBorders>
              <w:top w:val="nil"/>
              <w:left w:val="single" w:sz="8" w:space="0" w:color="auto"/>
              <w:bottom w:val="single" w:sz="4" w:space="0" w:color="auto"/>
              <w:right w:val="single" w:sz="4" w:space="0" w:color="auto"/>
            </w:tcBorders>
            <w:shd w:val="clear" w:color="000000" w:fill="FFE699"/>
            <w:noWrap/>
            <w:vAlign w:val="center"/>
            <w:hideMark/>
          </w:tcPr>
          <w:p w:rsidR="002751E2" w:rsidRPr="00F55BA6" w:rsidRDefault="002751E2"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12.043,2</w:t>
            </w:r>
          </w:p>
        </w:tc>
        <w:tc>
          <w:tcPr>
            <w:tcW w:w="945" w:type="dxa"/>
            <w:tcBorders>
              <w:top w:val="nil"/>
              <w:left w:val="nil"/>
              <w:bottom w:val="single" w:sz="4" w:space="0" w:color="auto"/>
              <w:right w:val="single" w:sz="8" w:space="0" w:color="auto"/>
            </w:tcBorders>
            <w:shd w:val="clear" w:color="000000" w:fill="FFE699"/>
            <w:noWrap/>
            <w:vAlign w:val="center"/>
            <w:hideMark/>
          </w:tcPr>
          <w:p w:rsidR="002751E2" w:rsidRPr="00F55BA6" w:rsidRDefault="002751E2"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45,4</w:t>
            </w:r>
          </w:p>
        </w:tc>
      </w:tr>
      <w:tr w:rsidR="002751E2" w:rsidRPr="00E4517B" w:rsidTr="00B51730">
        <w:trPr>
          <w:trHeight w:val="804"/>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13</w:t>
            </w:r>
          </w:p>
        </w:tc>
        <w:tc>
          <w:tcPr>
            <w:tcW w:w="2456" w:type="dxa"/>
            <w:tcBorders>
              <w:top w:val="nil"/>
              <w:left w:val="nil"/>
              <w:bottom w:val="single" w:sz="4" w:space="0" w:color="auto"/>
              <w:right w:val="single" w:sz="4" w:space="0" w:color="auto"/>
            </w:tcBorders>
            <w:shd w:val="clear" w:color="auto" w:fill="auto"/>
            <w:vAlign w:val="center"/>
            <w:hideMark/>
          </w:tcPr>
          <w:p w:rsidR="002751E2" w:rsidRPr="00F55BA6" w:rsidRDefault="002751E2" w:rsidP="00B51730">
            <w:pPr>
              <w:spacing w:after="0" w:line="240" w:lineRule="auto"/>
              <w:ind w:left="-60" w:right="-115"/>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Reconstrucția și modernizarea clădirilor Centrului de Excelență în Energetică și Electronică, str. Melestiu nr.12, municipiul Chișinău</w:t>
            </w:r>
          </w:p>
        </w:tc>
        <w:tc>
          <w:tcPr>
            <w:tcW w:w="707" w:type="dxa"/>
            <w:tcBorders>
              <w:top w:val="nil"/>
              <w:left w:val="nil"/>
              <w:bottom w:val="single" w:sz="4" w:space="0" w:color="auto"/>
              <w:right w:val="single" w:sz="4" w:space="0" w:color="auto"/>
            </w:tcBorders>
            <w:shd w:val="clear" w:color="auto" w:fill="auto"/>
            <w:vAlign w:val="center"/>
            <w:hideMark/>
          </w:tcPr>
          <w:p w:rsidR="002751E2" w:rsidRPr="00F55BA6" w:rsidRDefault="002751E2"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2016</w:t>
            </w:r>
          </w:p>
        </w:tc>
        <w:tc>
          <w:tcPr>
            <w:tcW w:w="951" w:type="dxa"/>
            <w:tcBorders>
              <w:top w:val="nil"/>
              <w:left w:val="nil"/>
              <w:bottom w:val="single" w:sz="4" w:space="0" w:color="auto"/>
              <w:right w:val="single" w:sz="4" w:space="0" w:color="auto"/>
            </w:tcBorders>
            <w:shd w:val="clear" w:color="000000" w:fill="FFFFFF"/>
            <w:vAlign w:val="center"/>
            <w:hideMark/>
          </w:tcPr>
          <w:p w:rsidR="002751E2" w:rsidRPr="00F55BA6" w:rsidRDefault="002751E2" w:rsidP="00B51730">
            <w:pPr>
              <w:spacing w:after="0" w:line="240" w:lineRule="auto"/>
              <w:ind w:left="-77" w:right="-111"/>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res. generale</w:t>
            </w:r>
          </w:p>
        </w:tc>
        <w:tc>
          <w:tcPr>
            <w:tcW w:w="1144" w:type="dxa"/>
            <w:tcBorders>
              <w:top w:val="nil"/>
              <w:left w:val="nil"/>
              <w:bottom w:val="single" w:sz="4" w:space="0" w:color="auto"/>
              <w:right w:val="single" w:sz="4" w:space="0" w:color="auto"/>
            </w:tcBorders>
            <w:shd w:val="clear" w:color="000000" w:fill="F2F2F2"/>
            <w:noWrap/>
            <w:vAlign w:val="center"/>
            <w:hideMark/>
          </w:tcPr>
          <w:p w:rsidR="002751E2" w:rsidRPr="00F55BA6" w:rsidRDefault="002751E2" w:rsidP="00B51730">
            <w:pPr>
              <w:spacing w:after="0" w:line="240" w:lineRule="auto"/>
              <w:ind w:left="-30" w:right="-1"/>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24.800,0</w:t>
            </w:r>
          </w:p>
        </w:tc>
        <w:tc>
          <w:tcPr>
            <w:tcW w:w="831" w:type="dxa"/>
            <w:tcBorders>
              <w:top w:val="nil"/>
              <w:left w:val="nil"/>
              <w:bottom w:val="single" w:sz="4" w:space="0" w:color="auto"/>
              <w:right w:val="single" w:sz="4" w:space="0" w:color="auto"/>
            </w:tcBorders>
            <w:shd w:val="clear" w:color="auto" w:fill="auto"/>
            <w:noWrap/>
            <w:vAlign w:val="bottom"/>
            <w:hideMark/>
          </w:tcPr>
          <w:p w:rsidR="002751E2" w:rsidRPr="00F55BA6" w:rsidRDefault="002751E2"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 </w:t>
            </w:r>
          </w:p>
        </w:tc>
        <w:tc>
          <w:tcPr>
            <w:tcW w:w="1073" w:type="dxa"/>
            <w:tcBorders>
              <w:top w:val="nil"/>
              <w:left w:val="nil"/>
              <w:bottom w:val="single" w:sz="4" w:space="0" w:color="auto"/>
              <w:right w:val="single" w:sz="4" w:space="0" w:color="auto"/>
            </w:tcBorders>
            <w:shd w:val="clear" w:color="auto" w:fill="auto"/>
            <w:noWrap/>
            <w:vAlign w:val="bottom"/>
            <w:hideMark/>
          </w:tcPr>
          <w:p w:rsidR="002751E2" w:rsidRPr="00F55BA6" w:rsidRDefault="002751E2"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 </w:t>
            </w:r>
          </w:p>
        </w:tc>
        <w:tc>
          <w:tcPr>
            <w:tcW w:w="1127" w:type="dxa"/>
            <w:tcBorders>
              <w:top w:val="nil"/>
              <w:left w:val="nil"/>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ind w:left="-47"/>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24.800,0</w:t>
            </w:r>
          </w:p>
        </w:tc>
        <w:tc>
          <w:tcPr>
            <w:tcW w:w="1107" w:type="dxa"/>
            <w:tcBorders>
              <w:top w:val="nil"/>
              <w:left w:val="nil"/>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ind w:left="-209"/>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20.600,0</w:t>
            </w:r>
          </w:p>
        </w:tc>
        <w:tc>
          <w:tcPr>
            <w:tcW w:w="1071" w:type="dxa"/>
            <w:tcBorders>
              <w:top w:val="nil"/>
              <w:left w:val="nil"/>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ind w:left="-103" w:right="-73"/>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40.000,0</w:t>
            </w:r>
          </w:p>
        </w:tc>
        <w:tc>
          <w:tcPr>
            <w:tcW w:w="1162" w:type="dxa"/>
            <w:tcBorders>
              <w:top w:val="nil"/>
              <w:left w:val="nil"/>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ind w:left="-114"/>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43.900,0</w:t>
            </w:r>
          </w:p>
        </w:tc>
        <w:tc>
          <w:tcPr>
            <w:tcW w:w="1139" w:type="dxa"/>
            <w:tcBorders>
              <w:top w:val="nil"/>
              <w:left w:val="nil"/>
              <w:bottom w:val="single" w:sz="4" w:space="0" w:color="auto"/>
              <w:right w:val="nil"/>
            </w:tcBorders>
            <w:shd w:val="clear" w:color="auto" w:fill="auto"/>
            <w:noWrap/>
            <w:vAlign w:val="center"/>
            <w:hideMark/>
          </w:tcPr>
          <w:p w:rsidR="002751E2" w:rsidRPr="00F55BA6" w:rsidRDefault="002751E2"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43.900,0</w:t>
            </w:r>
          </w:p>
        </w:tc>
        <w:tc>
          <w:tcPr>
            <w:tcW w:w="1024" w:type="dxa"/>
            <w:tcBorders>
              <w:top w:val="nil"/>
              <w:left w:val="single" w:sz="8" w:space="0" w:color="auto"/>
              <w:bottom w:val="single" w:sz="4" w:space="0" w:color="auto"/>
              <w:right w:val="single" w:sz="4" w:space="0" w:color="auto"/>
            </w:tcBorders>
            <w:shd w:val="clear" w:color="000000" w:fill="FFE699"/>
            <w:noWrap/>
            <w:vAlign w:val="center"/>
            <w:hideMark/>
          </w:tcPr>
          <w:p w:rsidR="002751E2" w:rsidRPr="00F55BA6" w:rsidRDefault="002751E2"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19.100,0</w:t>
            </w:r>
          </w:p>
        </w:tc>
        <w:tc>
          <w:tcPr>
            <w:tcW w:w="945" w:type="dxa"/>
            <w:tcBorders>
              <w:top w:val="nil"/>
              <w:left w:val="nil"/>
              <w:bottom w:val="single" w:sz="4" w:space="0" w:color="auto"/>
              <w:right w:val="single" w:sz="8" w:space="0" w:color="auto"/>
            </w:tcBorders>
            <w:shd w:val="clear" w:color="000000" w:fill="FFE699"/>
            <w:noWrap/>
            <w:vAlign w:val="center"/>
            <w:hideMark/>
          </w:tcPr>
          <w:p w:rsidR="002751E2" w:rsidRPr="00F55BA6" w:rsidRDefault="002751E2"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77,0</w:t>
            </w:r>
          </w:p>
        </w:tc>
      </w:tr>
      <w:tr w:rsidR="002751E2" w:rsidRPr="00E4517B" w:rsidTr="00B51730">
        <w:trPr>
          <w:trHeight w:val="5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14</w:t>
            </w:r>
          </w:p>
        </w:tc>
        <w:tc>
          <w:tcPr>
            <w:tcW w:w="2456" w:type="dxa"/>
            <w:tcBorders>
              <w:top w:val="nil"/>
              <w:left w:val="nil"/>
              <w:bottom w:val="single" w:sz="4" w:space="0" w:color="auto"/>
              <w:right w:val="single" w:sz="4" w:space="0" w:color="auto"/>
            </w:tcBorders>
            <w:shd w:val="clear" w:color="auto" w:fill="auto"/>
            <w:vAlign w:val="center"/>
            <w:hideMark/>
          </w:tcPr>
          <w:p w:rsidR="002751E2" w:rsidRPr="00F55BA6" w:rsidRDefault="002751E2" w:rsidP="00B51730">
            <w:pPr>
              <w:spacing w:after="0" w:line="240" w:lineRule="auto"/>
              <w:ind w:left="-60" w:right="-115"/>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Reconstrucția și modernizarea clădirilor Centrului de Excelență în Economie și Finanțe, str. Miron Costin nr.26/2, municipiul Chișinău</w:t>
            </w:r>
          </w:p>
        </w:tc>
        <w:tc>
          <w:tcPr>
            <w:tcW w:w="707" w:type="dxa"/>
            <w:tcBorders>
              <w:top w:val="nil"/>
              <w:left w:val="nil"/>
              <w:bottom w:val="single" w:sz="4" w:space="0" w:color="auto"/>
              <w:right w:val="single" w:sz="4" w:space="0" w:color="auto"/>
            </w:tcBorders>
            <w:shd w:val="clear" w:color="auto" w:fill="auto"/>
            <w:vAlign w:val="center"/>
            <w:hideMark/>
          </w:tcPr>
          <w:p w:rsidR="002751E2" w:rsidRPr="00F55BA6" w:rsidRDefault="002751E2"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2016</w:t>
            </w:r>
          </w:p>
        </w:tc>
        <w:tc>
          <w:tcPr>
            <w:tcW w:w="951" w:type="dxa"/>
            <w:tcBorders>
              <w:top w:val="nil"/>
              <w:left w:val="nil"/>
              <w:bottom w:val="single" w:sz="4" w:space="0" w:color="auto"/>
              <w:right w:val="single" w:sz="4" w:space="0" w:color="auto"/>
            </w:tcBorders>
            <w:shd w:val="clear" w:color="000000" w:fill="FFFFFF"/>
            <w:vAlign w:val="center"/>
            <w:hideMark/>
          </w:tcPr>
          <w:p w:rsidR="002751E2" w:rsidRPr="00F55BA6" w:rsidRDefault="002751E2" w:rsidP="00B51730">
            <w:pPr>
              <w:spacing w:after="0" w:line="240" w:lineRule="auto"/>
              <w:ind w:left="-77" w:right="-111"/>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res. generale</w:t>
            </w:r>
          </w:p>
        </w:tc>
        <w:tc>
          <w:tcPr>
            <w:tcW w:w="1144" w:type="dxa"/>
            <w:tcBorders>
              <w:top w:val="nil"/>
              <w:left w:val="nil"/>
              <w:bottom w:val="single" w:sz="4" w:space="0" w:color="auto"/>
              <w:right w:val="single" w:sz="4" w:space="0" w:color="auto"/>
            </w:tcBorders>
            <w:shd w:val="clear" w:color="000000" w:fill="F2F2F2"/>
            <w:noWrap/>
            <w:vAlign w:val="center"/>
            <w:hideMark/>
          </w:tcPr>
          <w:p w:rsidR="002751E2" w:rsidRPr="00F55BA6" w:rsidRDefault="002751E2" w:rsidP="00B51730">
            <w:pPr>
              <w:spacing w:after="0" w:line="240" w:lineRule="auto"/>
              <w:ind w:left="-30" w:right="-1"/>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24.000,0</w:t>
            </w:r>
          </w:p>
        </w:tc>
        <w:tc>
          <w:tcPr>
            <w:tcW w:w="831" w:type="dxa"/>
            <w:tcBorders>
              <w:top w:val="nil"/>
              <w:left w:val="nil"/>
              <w:bottom w:val="single" w:sz="4" w:space="0" w:color="auto"/>
              <w:right w:val="single" w:sz="4" w:space="0" w:color="auto"/>
            </w:tcBorders>
            <w:shd w:val="clear" w:color="auto" w:fill="auto"/>
            <w:noWrap/>
            <w:vAlign w:val="bottom"/>
            <w:hideMark/>
          </w:tcPr>
          <w:p w:rsidR="002751E2" w:rsidRPr="00F55BA6" w:rsidRDefault="002751E2"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 </w:t>
            </w:r>
          </w:p>
        </w:tc>
        <w:tc>
          <w:tcPr>
            <w:tcW w:w="1073" w:type="dxa"/>
            <w:tcBorders>
              <w:top w:val="nil"/>
              <w:left w:val="nil"/>
              <w:bottom w:val="single" w:sz="4" w:space="0" w:color="auto"/>
              <w:right w:val="single" w:sz="4" w:space="0" w:color="auto"/>
            </w:tcBorders>
            <w:shd w:val="clear" w:color="auto" w:fill="auto"/>
            <w:noWrap/>
            <w:vAlign w:val="bottom"/>
            <w:hideMark/>
          </w:tcPr>
          <w:p w:rsidR="002751E2" w:rsidRPr="00F55BA6" w:rsidRDefault="002751E2"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 </w:t>
            </w:r>
          </w:p>
        </w:tc>
        <w:tc>
          <w:tcPr>
            <w:tcW w:w="1127" w:type="dxa"/>
            <w:tcBorders>
              <w:top w:val="nil"/>
              <w:left w:val="nil"/>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ind w:left="-47"/>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24.000,0</w:t>
            </w:r>
          </w:p>
        </w:tc>
        <w:tc>
          <w:tcPr>
            <w:tcW w:w="1107" w:type="dxa"/>
            <w:tcBorders>
              <w:top w:val="nil"/>
              <w:left w:val="nil"/>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ind w:left="-209"/>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20.000,0</w:t>
            </w:r>
          </w:p>
        </w:tc>
        <w:tc>
          <w:tcPr>
            <w:tcW w:w="1071" w:type="dxa"/>
            <w:tcBorders>
              <w:top w:val="nil"/>
              <w:left w:val="nil"/>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ind w:left="-103" w:right="-73"/>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32.050,0</w:t>
            </w:r>
          </w:p>
        </w:tc>
        <w:tc>
          <w:tcPr>
            <w:tcW w:w="1162" w:type="dxa"/>
            <w:tcBorders>
              <w:top w:val="nil"/>
              <w:left w:val="nil"/>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ind w:left="-114"/>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33.816,0</w:t>
            </w:r>
          </w:p>
        </w:tc>
        <w:tc>
          <w:tcPr>
            <w:tcW w:w="1139" w:type="dxa"/>
            <w:tcBorders>
              <w:top w:val="nil"/>
              <w:left w:val="nil"/>
              <w:bottom w:val="single" w:sz="4" w:space="0" w:color="auto"/>
              <w:right w:val="nil"/>
            </w:tcBorders>
            <w:shd w:val="clear" w:color="auto" w:fill="auto"/>
            <w:noWrap/>
            <w:vAlign w:val="center"/>
            <w:hideMark/>
          </w:tcPr>
          <w:p w:rsidR="002751E2" w:rsidRPr="00F55BA6" w:rsidRDefault="002751E2"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33.816,0</w:t>
            </w:r>
          </w:p>
        </w:tc>
        <w:tc>
          <w:tcPr>
            <w:tcW w:w="1024" w:type="dxa"/>
            <w:tcBorders>
              <w:top w:val="nil"/>
              <w:left w:val="single" w:sz="8" w:space="0" w:color="auto"/>
              <w:bottom w:val="single" w:sz="4" w:space="0" w:color="auto"/>
              <w:right w:val="single" w:sz="4" w:space="0" w:color="auto"/>
            </w:tcBorders>
            <w:shd w:val="clear" w:color="000000" w:fill="FFE699"/>
            <w:noWrap/>
            <w:vAlign w:val="center"/>
            <w:hideMark/>
          </w:tcPr>
          <w:p w:rsidR="002751E2" w:rsidRPr="00F55BA6" w:rsidRDefault="002751E2"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9.816,0</w:t>
            </w:r>
          </w:p>
        </w:tc>
        <w:tc>
          <w:tcPr>
            <w:tcW w:w="945" w:type="dxa"/>
            <w:tcBorders>
              <w:top w:val="nil"/>
              <w:left w:val="nil"/>
              <w:bottom w:val="single" w:sz="4" w:space="0" w:color="auto"/>
              <w:right w:val="single" w:sz="8" w:space="0" w:color="auto"/>
            </w:tcBorders>
            <w:shd w:val="clear" w:color="000000" w:fill="FFE699"/>
            <w:noWrap/>
            <w:vAlign w:val="center"/>
            <w:hideMark/>
          </w:tcPr>
          <w:p w:rsidR="002751E2" w:rsidRPr="00F55BA6" w:rsidRDefault="002751E2"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40,9</w:t>
            </w:r>
          </w:p>
        </w:tc>
      </w:tr>
      <w:tr w:rsidR="002751E2" w:rsidRPr="00E4517B" w:rsidTr="00B51730">
        <w:trPr>
          <w:trHeight w:val="276"/>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15</w:t>
            </w:r>
          </w:p>
        </w:tc>
        <w:tc>
          <w:tcPr>
            <w:tcW w:w="2456" w:type="dxa"/>
            <w:tcBorders>
              <w:top w:val="nil"/>
              <w:left w:val="nil"/>
              <w:bottom w:val="single" w:sz="4" w:space="0" w:color="auto"/>
              <w:right w:val="single" w:sz="4" w:space="0" w:color="auto"/>
            </w:tcBorders>
            <w:shd w:val="clear" w:color="auto" w:fill="auto"/>
            <w:vAlign w:val="center"/>
            <w:hideMark/>
          </w:tcPr>
          <w:p w:rsidR="002751E2" w:rsidRPr="00F55BA6" w:rsidRDefault="002751E2" w:rsidP="00B51730">
            <w:pPr>
              <w:spacing w:after="0" w:line="240" w:lineRule="auto"/>
              <w:ind w:left="-60" w:right="-115"/>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 xml:space="preserve">Reconstrucția și modernizarea clădirii Centrului de Excelență în Energetică și Electronică, str. </w:t>
            </w:r>
            <w:r w:rsidRPr="00F55BA6">
              <w:rPr>
                <w:rFonts w:asciiTheme="majorHAnsi" w:eastAsia="Times New Roman" w:hAnsiTheme="majorHAnsi" w:cstheme="majorHAnsi"/>
                <w:color w:val="000000"/>
                <w:sz w:val="20"/>
                <w:szCs w:val="20"/>
                <w:lang w:val="ro-RO"/>
              </w:rPr>
              <w:lastRenderedPageBreak/>
              <w:t>Mihail Sadoveanu nr.40/2, municipiul Chișinău</w:t>
            </w:r>
          </w:p>
        </w:tc>
        <w:tc>
          <w:tcPr>
            <w:tcW w:w="707" w:type="dxa"/>
            <w:tcBorders>
              <w:top w:val="nil"/>
              <w:left w:val="nil"/>
              <w:bottom w:val="single" w:sz="4" w:space="0" w:color="auto"/>
              <w:right w:val="single" w:sz="4" w:space="0" w:color="auto"/>
            </w:tcBorders>
            <w:shd w:val="clear" w:color="auto" w:fill="auto"/>
            <w:vAlign w:val="center"/>
            <w:hideMark/>
          </w:tcPr>
          <w:p w:rsidR="002751E2" w:rsidRPr="00F55BA6" w:rsidRDefault="002751E2"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lastRenderedPageBreak/>
              <w:t>2016</w:t>
            </w:r>
          </w:p>
        </w:tc>
        <w:tc>
          <w:tcPr>
            <w:tcW w:w="951" w:type="dxa"/>
            <w:tcBorders>
              <w:top w:val="nil"/>
              <w:left w:val="nil"/>
              <w:bottom w:val="single" w:sz="4" w:space="0" w:color="auto"/>
              <w:right w:val="single" w:sz="4" w:space="0" w:color="auto"/>
            </w:tcBorders>
            <w:shd w:val="clear" w:color="000000" w:fill="FFFFFF"/>
            <w:vAlign w:val="center"/>
            <w:hideMark/>
          </w:tcPr>
          <w:p w:rsidR="002751E2" w:rsidRPr="00F55BA6" w:rsidRDefault="002751E2" w:rsidP="00B51730">
            <w:pPr>
              <w:spacing w:after="0" w:line="240" w:lineRule="auto"/>
              <w:ind w:left="-77" w:right="-111"/>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res. generale</w:t>
            </w:r>
          </w:p>
        </w:tc>
        <w:tc>
          <w:tcPr>
            <w:tcW w:w="1144" w:type="dxa"/>
            <w:tcBorders>
              <w:top w:val="nil"/>
              <w:left w:val="nil"/>
              <w:bottom w:val="single" w:sz="4" w:space="0" w:color="auto"/>
              <w:right w:val="single" w:sz="4" w:space="0" w:color="auto"/>
            </w:tcBorders>
            <w:shd w:val="clear" w:color="000000" w:fill="F2F2F2"/>
            <w:noWrap/>
            <w:vAlign w:val="center"/>
            <w:hideMark/>
          </w:tcPr>
          <w:p w:rsidR="002751E2" w:rsidRPr="00F55BA6" w:rsidRDefault="002751E2" w:rsidP="00B51730">
            <w:pPr>
              <w:spacing w:after="0" w:line="240" w:lineRule="auto"/>
              <w:ind w:left="-30" w:right="-1"/>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24.000,0</w:t>
            </w:r>
          </w:p>
        </w:tc>
        <w:tc>
          <w:tcPr>
            <w:tcW w:w="831" w:type="dxa"/>
            <w:tcBorders>
              <w:top w:val="nil"/>
              <w:left w:val="nil"/>
              <w:bottom w:val="single" w:sz="4" w:space="0" w:color="auto"/>
              <w:right w:val="single" w:sz="4" w:space="0" w:color="auto"/>
            </w:tcBorders>
            <w:shd w:val="clear" w:color="auto" w:fill="auto"/>
            <w:noWrap/>
            <w:vAlign w:val="bottom"/>
            <w:hideMark/>
          </w:tcPr>
          <w:p w:rsidR="002751E2" w:rsidRPr="00F55BA6" w:rsidRDefault="002751E2"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 </w:t>
            </w:r>
          </w:p>
        </w:tc>
        <w:tc>
          <w:tcPr>
            <w:tcW w:w="1073" w:type="dxa"/>
            <w:tcBorders>
              <w:top w:val="nil"/>
              <w:left w:val="nil"/>
              <w:bottom w:val="single" w:sz="4" w:space="0" w:color="auto"/>
              <w:right w:val="single" w:sz="4" w:space="0" w:color="auto"/>
            </w:tcBorders>
            <w:shd w:val="clear" w:color="auto" w:fill="auto"/>
            <w:noWrap/>
            <w:vAlign w:val="bottom"/>
            <w:hideMark/>
          </w:tcPr>
          <w:p w:rsidR="002751E2" w:rsidRPr="00F55BA6" w:rsidRDefault="002751E2"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 </w:t>
            </w:r>
          </w:p>
        </w:tc>
        <w:tc>
          <w:tcPr>
            <w:tcW w:w="1127" w:type="dxa"/>
            <w:tcBorders>
              <w:top w:val="nil"/>
              <w:left w:val="nil"/>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ind w:left="-47"/>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24.000,0</w:t>
            </w:r>
          </w:p>
        </w:tc>
        <w:tc>
          <w:tcPr>
            <w:tcW w:w="1107" w:type="dxa"/>
            <w:tcBorders>
              <w:top w:val="nil"/>
              <w:left w:val="nil"/>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ind w:left="-209"/>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20.000,0</w:t>
            </w:r>
          </w:p>
        </w:tc>
        <w:tc>
          <w:tcPr>
            <w:tcW w:w="1071" w:type="dxa"/>
            <w:tcBorders>
              <w:top w:val="nil"/>
              <w:left w:val="nil"/>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ind w:left="-103" w:right="-73"/>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31.126,2</w:t>
            </w:r>
          </w:p>
        </w:tc>
        <w:tc>
          <w:tcPr>
            <w:tcW w:w="1162" w:type="dxa"/>
            <w:tcBorders>
              <w:top w:val="nil"/>
              <w:left w:val="nil"/>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ind w:left="-114"/>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32.566,3</w:t>
            </w:r>
          </w:p>
        </w:tc>
        <w:tc>
          <w:tcPr>
            <w:tcW w:w="1139" w:type="dxa"/>
            <w:tcBorders>
              <w:top w:val="nil"/>
              <w:left w:val="nil"/>
              <w:bottom w:val="single" w:sz="4" w:space="0" w:color="auto"/>
              <w:right w:val="nil"/>
            </w:tcBorders>
            <w:shd w:val="clear" w:color="auto" w:fill="auto"/>
            <w:noWrap/>
            <w:vAlign w:val="center"/>
            <w:hideMark/>
          </w:tcPr>
          <w:p w:rsidR="002751E2" w:rsidRPr="00F55BA6" w:rsidRDefault="002751E2"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32.518,2</w:t>
            </w:r>
          </w:p>
        </w:tc>
        <w:tc>
          <w:tcPr>
            <w:tcW w:w="1024" w:type="dxa"/>
            <w:tcBorders>
              <w:top w:val="nil"/>
              <w:left w:val="single" w:sz="8" w:space="0" w:color="auto"/>
              <w:bottom w:val="single" w:sz="4" w:space="0" w:color="auto"/>
              <w:right w:val="single" w:sz="4" w:space="0" w:color="auto"/>
            </w:tcBorders>
            <w:shd w:val="clear" w:color="000000" w:fill="FFE699"/>
            <w:noWrap/>
            <w:vAlign w:val="center"/>
            <w:hideMark/>
          </w:tcPr>
          <w:p w:rsidR="002751E2" w:rsidRPr="00F55BA6" w:rsidRDefault="002751E2"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8.518,2</w:t>
            </w:r>
          </w:p>
        </w:tc>
        <w:tc>
          <w:tcPr>
            <w:tcW w:w="945" w:type="dxa"/>
            <w:tcBorders>
              <w:top w:val="nil"/>
              <w:left w:val="nil"/>
              <w:bottom w:val="single" w:sz="4" w:space="0" w:color="auto"/>
              <w:right w:val="single" w:sz="8" w:space="0" w:color="auto"/>
            </w:tcBorders>
            <w:shd w:val="clear" w:color="000000" w:fill="FFE699"/>
            <w:noWrap/>
            <w:vAlign w:val="center"/>
            <w:hideMark/>
          </w:tcPr>
          <w:p w:rsidR="002751E2" w:rsidRPr="00F55BA6" w:rsidRDefault="002751E2"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35,5</w:t>
            </w:r>
          </w:p>
        </w:tc>
      </w:tr>
      <w:tr w:rsidR="002751E2" w:rsidRPr="00E4517B" w:rsidTr="00B51730">
        <w:trPr>
          <w:trHeight w:val="814"/>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16</w:t>
            </w:r>
          </w:p>
        </w:tc>
        <w:tc>
          <w:tcPr>
            <w:tcW w:w="2456" w:type="dxa"/>
            <w:tcBorders>
              <w:top w:val="nil"/>
              <w:left w:val="nil"/>
              <w:bottom w:val="single" w:sz="4" w:space="0" w:color="auto"/>
              <w:right w:val="single" w:sz="4" w:space="0" w:color="auto"/>
            </w:tcBorders>
            <w:shd w:val="clear" w:color="auto" w:fill="auto"/>
            <w:vAlign w:val="center"/>
            <w:hideMark/>
          </w:tcPr>
          <w:p w:rsidR="002751E2" w:rsidRPr="00F55BA6" w:rsidRDefault="002751E2" w:rsidP="00B51730">
            <w:pPr>
              <w:spacing w:after="0" w:line="240" w:lineRule="auto"/>
              <w:ind w:left="-60" w:right="-115"/>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Reconstrucția și modernizarea clădirilor Centrului de Excelență în Transporturi, str. Sarmizegetusa nr.31, municipiul Chișinău</w:t>
            </w:r>
          </w:p>
        </w:tc>
        <w:tc>
          <w:tcPr>
            <w:tcW w:w="707" w:type="dxa"/>
            <w:tcBorders>
              <w:top w:val="nil"/>
              <w:left w:val="nil"/>
              <w:bottom w:val="single" w:sz="4" w:space="0" w:color="auto"/>
              <w:right w:val="single" w:sz="4" w:space="0" w:color="auto"/>
            </w:tcBorders>
            <w:shd w:val="clear" w:color="auto" w:fill="auto"/>
            <w:vAlign w:val="center"/>
            <w:hideMark/>
          </w:tcPr>
          <w:p w:rsidR="002751E2" w:rsidRPr="00F55BA6" w:rsidRDefault="002751E2"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2016</w:t>
            </w:r>
          </w:p>
        </w:tc>
        <w:tc>
          <w:tcPr>
            <w:tcW w:w="951" w:type="dxa"/>
            <w:tcBorders>
              <w:top w:val="nil"/>
              <w:left w:val="nil"/>
              <w:bottom w:val="single" w:sz="4" w:space="0" w:color="auto"/>
              <w:right w:val="single" w:sz="4" w:space="0" w:color="auto"/>
            </w:tcBorders>
            <w:shd w:val="clear" w:color="000000" w:fill="FFFFFF"/>
            <w:vAlign w:val="center"/>
            <w:hideMark/>
          </w:tcPr>
          <w:p w:rsidR="002751E2" w:rsidRPr="00F55BA6" w:rsidRDefault="002751E2" w:rsidP="00B51730">
            <w:pPr>
              <w:spacing w:after="0" w:line="240" w:lineRule="auto"/>
              <w:ind w:left="-77" w:right="-111"/>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res. generale</w:t>
            </w:r>
          </w:p>
        </w:tc>
        <w:tc>
          <w:tcPr>
            <w:tcW w:w="1144" w:type="dxa"/>
            <w:tcBorders>
              <w:top w:val="nil"/>
              <w:left w:val="nil"/>
              <w:bottom w:val="single" w:sz="4" w:space="0" w:color="auto"/>
              <w:right w:val="single" w:sz="4" w:space="0" w:color="auto"/>
            </w:tcBorders>
            <w:shd w:val="clear" w:color="000000" w:fill="F2F2F2"/>
            <w:noWrap/>
            <w:vAlign w:val="center"/>
            <w:hideMark/>
          </w:tcPr>
          <w:p w:rsidR="002751E2" w:rsidRPr="00F55BA6" w:rsidRDefault="002751E2" w:rsidP="00B51730">
            <w:pPr>
              <w:spacing w:after="0" w:line="240" w:lineRule="auto"/>
              <w:ind w:left="-30" w:right="-1"/>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27.500,0</w:t>
            </w:r>
          </w:p>
        </w:tc>
        <w:tc>
          <w:tcPr>
            <w:tcW w:w="831" w:type="dxa"/>
            <w:tcBorders>
              <w:top w:val="nil"/>
              <w:left w:val="nil"/>
              <w:bottom w:val="single" w:sz="4" w:space="0" w:color="auto"/>
              <w:right w:val="single" w:sz="4" w:space="0" w:color="auto"/>
            </w:tcBorders>
            <w:shd w:val="clear" w:color="auto" w:fill="auto"/>
            <w:noWrap/>
            <w:vAlign w:val="bottom"/>
            <w:hideMark/>
          </w:tcPr>
          <w:p w:rsidR="002751E2" w:rsidRPr="00F55BA6" w:rsidRDefault="002751E2"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 </w:t>
            </w:r>
          </w:p>
        </w:tc>
        <w:tc>
          <w:tcPr>
            <w:tcW w:w="1073" w:type="dxa"/>
            <w:tcBorders>
              <w:top w:val="nil"/>
              <w:left w:val="nil"/>
              <w:bottom w:val="single" w:sz="4" w:space="0" w:color="auto"/>
              <w:right w:val="single" w:sz="4" w:space="0" w:color="auto"/>
            </w:tcBorders>
            <w:shd w:val="clear" w:color="auto" w:fill="auto"/>
            <w:noWrap/>
            <w:vAlign w:val="bottom"/>
            <w:hideMark/>
          </w:tcPr>
          <w:p w:rsidR="002751E2" w:rsidRPr="00F55BA6" w:rsidRDefault="002751E2"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 </w:t>
            </w:r>
          </w:p>
        </w:tc>
        <w:tc>
          <w:tcPr>
            <w:tcW w:w="1127" w:type="dxa"/>
            <w:tcBorders>
              <w:top w:val="nil"/>
              <w:left w:val="nil"/>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ind w:left="-47"/>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27.500,0</w:t>
            </w:r>
          </w:p>
        </w:tc>
        <w:tc>
          <w:tcPr>
            <w:tcW w:w="1107" w:type="dxa"/>
            <w:tcBorders>
              <w:top w:val="nil"/>
              <w:left w:val="nil"/>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ind w:left="-209"/>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21.000,0</w:t>
            </w:r>
          </w:p>
        </w:tc>
        <w:tc>
          <w:tcPr>
            <w:tcW w:w="1071" w:type="dxa"/>
            <w:tcBorders>
              <w:top w:val="nil"/>
              <w:left w:val="nil"/>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ind w:left="-103" w:right="-73"/>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38.230,0</w:t>
            </w:r>
          </w:p>
        </w:tc>
        <w:tc>
          <w:tcPr>
            <w:tcW w:w="1162" w:type="dxa"/>
            <w:tcBorders>
              <w:top w:val="nil"/>
              <w:left w:val="nil"/>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ind w:left="-114"/>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38.464,9</w:t>
            </w:r>
          </w:p>
        </w:tc>
        <w:tc>
          <w:tcPr>
            <w:tcW w:w="1139" w:type="dxa"/>
            <w:tcBorders>
              <w:top w:val="nil"/>
              <w:left w:val="nil"/>
              <w:bottom w:val="single" w:sz="4" w:space="0" w:color="auto"/>
              <w:right w:val="nil"/>
            </w:tcBorders>
            <w:shd w:val="clear" w:color="auto" w:fill="auto"/>
            <w:noWrap/>
            <w:vAlign w:val="center"/>
            <w:hideMark/>
          </w:tcPr>
          <w:p w:rsidR="002751E2" w:rsidRPr="00F55BA6" w:rsidRDefault="002751E2"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37.878,7</w:t>
            </w:r>
          </w:p>
        </w:tc>
        <w:tc>
          <w:tcPr>
            <w:tcW w:w="1024" w:type="dxa"/>
            <w:tcBorders>
              <w:top w:val="nil"/>
              <w:left w:val="single" w:sz="8" w:space="0" w:color="auto"/>
              <w:bottom w:val="single" w:sz="4" w:space="0" w:color="auto"/>
              <w:right w:val="single" w:sz="4" w:space="0" w:color="auto"/>
            </w:tcBorders>
            <w:shd w:val="clear" w:color="000000" w:fill="FFE699"/>
            <w:noWrap/>
            <w:vAlign w:val="center"/>
            <w:hideMark/>
          </w:tcPr>
          <w:p w:rsidR="002751E2" w:rsidRPr="00F55BA6" w:rsidRDefault="002751E2"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10.378,7</w:t>
            </w:r>
          </w:p>
        </w:tc>
        <w:tc>
          <w:tcPr>
            <w:tcW w:w="945" w:type="dxa"/>
            <w:tcBorders>
              <w:top w:val="nil"/>
              <w:left w:val="nil"/>
              <w:bottom w:val="single" w:sz="4" w:space="0" w:color="auto"/>
              <w:right w:val="single" w:sz="8" w:space="0" w:color="auto"/>
            </w:tcBorders>
            <w:shd w:val="clear" w:color="000000" w:fill="FFE699"/>
            <w:noWrap/>
            <w:vAlign w:val="center"/>
            <w:hideMark/>
          </w:tcPr>
          <w:p w:rsidR="002751E2" w:rsidRPr="00F55BA6" w:rsidRDefault="002751E2"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37,7</w:t>
            </w:r>
          </w:p>
        </w:tc>
      </w:tr>
      <w:tr w:rsidR="002751E2" w:rsidRPr="00E4517B" w:rsidTr="00B51730">
        <w:trPr>
          <w:trHeight w:val="102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17</w:t>
            </w:r>
          </w:p>
        </w:tc>
        <w:tc>
          <w:tcPr>
            <w:tcW w:w="2456" w:type="dxa"/>
            <w:tcBorders>
              <w:top w:val="nil"/>
              <w:left w:val="nil"/>
              <w:bottom w:val="single" w:sz="4" w:space="0" w:color="auto"/>
              <w:right w:val="single" w:sz="4" w:space="0" w:color="auto"/>
            </w:tcBorders>
            <w:shd w:val="clear" w:color="auto" w:fill="auto"/>
            <w:vAlign w:val="center"/>
            <w:hideMark/>
          </w:tcPr>
          <w:p w:rsidR="002751E2" w:rsidRPr="00F55BA6" w:rsidRDefault="002751E2" w:rsidP="00B51730">
            <w:pPr>
              <w:spacing w:after="0" w:line="240" w:lineRule="auto"/>
              <w:ind w:left="-60" w:right="-115"/>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Reconstrucția și modernizarea clădirilor Centrului de Excelență în Educație Artistică  „Ștefan Neaga”, str. Hristo Botev nr.4, municipiul Chișinău</w:t>
            </w:r>
          </w:p>
        </w:tc>
        <w:tc>
          <w:tcPr>
            <w:tcW w:w="707" w:type="dxa"/>
            <w:tcBorders>
              <w:top w:val="nil"/>
              <w:left w:val="nil"/>
              <w:bottom w:val="single" w:sz="4" w:space="0" w:color="auto"/>
              <w:right w:val="single" w:sz="4" w:space="0" w:color="auto"/>
            </w:tcBorders>
            <w:shd w:val="clear" w:color="auto" w:fill="auto"/>
            <w:vAlign w:val="center"/>
            <w:hideMark/>
          </w:tcPr>
          <w:p w:rsidR="002751E2" w:rsidRPr="00F55BA6" w:rsidRDefault="002751E2"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2017</w:t>
            </w:r>
          </w:p>
        </w:tc>
        <w:tc>
          <w:tcPr>
            <w:tcW w:w="951" w:type="dxa"/>
            <w:tcBorders>
              <w:top w:val="nil"/>
              <w:left w:val="nil"/>
              <w:bottom w:val="single" w:sz="4" w:space="0" w:color="auto"/>
              <w:right w:val="single" w:sz="4" w:space="0" w:color="auto"/>
            </w:tcBorders>
            <w:shd w:val="clear" w:color="000000" w:fill="FFFFFF"/>
            <w:vAlign w:val="center"/>
            <w:hideMark/>
          </w:tcPr>
          <w:p w:rsidR="002751E2" w:rsidRPr="00F55BA6" w:rsidRDefault="002751E2" w:rsidP="00B51730">
            <w:pPr>
              <w:spacing w:after="0" w:line="240" w:lineRule="auto"/>
              <w:ind w:left="-77" w:right="-111"/>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res. generale</w:t>
            </w:r>
          </w:p>
        </w:tc>
        <w:tc>
          <w:tcPr>
            <w:tcW w:w="1144" w:type="dxa"/>
            <w:tcBorders>
              <w:top w:val="nil"/>
              <w:left w:val="nil"/>
              <w:bottom w:val="single" w:sz="4" w:space="0" w:color="auto"/>
              <w:right w:val="single" w:sz="4" w:space="0" w:color="auto"/>
            </w:tcBorders>
            <w:shd w:val="clear" w:color="000000" w:fill="F2F2F2"/>
            <w:noWrap/>
            <w:vAlign w:val="center"/>
            <w:hideMark/>
          </w:tcPr>
          <w:p w:rsidR="002751E2" w:rsidRPr="00F55BA6" w:rsidRDefault="002751E2" w:rsidP="00B51730">
            <w:pPr>
              <w:spacing w:after="0" w:line="240" w:lineRule="auto"/>
              <w:ind w:left="-30" w:right="-1"/>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33.000,0</w:t>
            </w:r>
          </w:p>
        </w:tc>
        <w:tc>
          <w:tcPr>
            <w:tcW w:w="831" w:type="dxa"/>
            <w:tcBorders>
              <w:top w:val="nil"/>
              <w:left w:val="nil"/>
              <w:bottom w:val="single" w:sz="4" w:space="0" w:color="auto"/>
              <w:right w:val="single" w:sz="4" w:space="0" w:color="auto"/>
            </w:tcBorders>
            <w:shd w:val="clear" w:color="auto" w:fill="auto"/>
            <w:noWrap/>
            <w:vAlign w:val="bottom"/>
            <w:hideMark/>
          </w:tcPr>
          <w:p w:rsidR="002751E2" w:rsidRPr="00F55BA6" w:rsidRDefault="002751E2"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 </w:t>
            </w:r>
          </w:p>
        </w:tc>
        <w:tc>
          <w:tcPr>
            <w:tcW w:w="1073" w:type="dxa"/>
            <w:tcBorders>
              <w:top w:val="nil"/>
              <w:left w:val="nil"/>
              <w:bottom w:val="single" w:sz="4" w:space="0" w:color="auto"/>
              <w:right w:val="single" w:sz="4" w:space="0" w:color="auto"/>
            </w:tcBorders>
            <w:shd w:val="clear" w:color="auto" w:fill="auto"/>
            <w:noWrap/>
            <w:vAlign w:val="bottom"/>
            <w:hideMark/>
          </w:tcPr>
          <w:p w:rsidR="002751E2" w:rsidRPr="00F55BA6" w:rsidRDefault="002751E2"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 </w:t>
            </w:r>
          </w:p>
        </w:tc>
        <w:tc>
          <w:tcPr>
            <w:tcW w:w="1127" w:type="dxa"/>
            <w:tcBorders>
              <w:top w:val="nil"/>
              <w:left w:val="nil"/>
              <w:bottom w:val="single" w:sz="4" w:space="0" w:color="auto"/>
              <w:right w:val="single" w:sz="4" w:space="0" w:color="auto"/>
            </w:tcBorders>
            <w:shd w:val="clear" w:color="auto" w:fill="auto"/>
            <w:noWrap/>
            <w:vAlign w:val="bottom"/>
            <w:hideMark/>
          </w:tcPr>
          <w:p w:rsidR="002751E2" w:rsidRPr="00F55BA6" w:rsidRDefault="002751E2"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 </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ind w:left="-209"/>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33.000,0</w:t>
            </w:r>
          </w:p>
        </w:tc>
        <w:tc>
          <w:tcPr>
            <w:tcW w:w="1071" w:type="dxa"/>
            <w:tcBorders>
              <w:top w:val="nil"/>
              <w:left w:val="single" w:sz="4" w:space="0" w:color="auto"/>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ind w:left="-103" w:right="-73"/>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33.000,0</w:t>
            </w:r>
          </w:p>
        </w:tc>
        <w:tc>
          <w:tcPr>
            <w:tcW w:w="1162" w:type="dxa"/>
            <w:tcBorders>
              <w:top w:val="nil"/>
              <w:left w:val="nil"/>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ind w:left="-114"/>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50.125,2</w:t>
            </w:r>
          </w:p>
        </w:tc>
        <w:tc>
          <w:tcPr>
            <w:tcW w:w="1139" w:type="dxa"/>
            <w:tcBorders>
              <w:top w:val="nil"/>
              <w:left w:val="nil"/>
              <w:bottom w:val="single" w:sz="4" w:space="0" w:color="auto"/>
              <w:right w:val="nil"/>
            </w:tcBorders>
            <w:shd w:val="clear" w:color="auto" w:fill="auto"/>
            <w:noWrap/>
            <w:vAlign w:val="center"/>
            <w:hideMark/>
          </w:tcPr>
          <w:p w:rsidR="002751E2" w:rsidRPr="00F55BA6" w:rsidRDefault="002751E2"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50.125,2</w:t>
            </w:r>
          </w:p>
        </w:tc>
        <w:tc>
          <w:tcPr>
            <w:tcW w:w="1024" w:type="dxa"/>
            <w:tcBorders>
              <w:top w:val="nil"/>
              <w:left w:val="single" w:sz="8" w:space="0" w:color="auto"/>
              <w:bottom w:val="single" w:sz="4" w:space="0" w:color="auto"/>
              <w:right w:val="single" w:sz="4" w:space="0" w:color="auto"/>
            </w:tcBorders>
            <w:shd w:val="clear" w:color="000000" w:fill="FFE699"/>
            <w:noWrap/>
            <w:vAlign w:val="center"/>
            <w:hideMark/>
          </w:tcPr>
          <w:p w:rsidR="002751E2" w:rsidRPr="00F55BA6" w:rsidRDefault="002751E2"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17.125,2</w:t>
            </w:r>
          </w:p>
        </w:tc>
        <w:tc>
          <w:tcPr>
            <w:tcW w:w="945" w:type="dxa"/>
            <w:tcBorders>
              <w:top w:val="nil"/>
              <w:left w:val="nil"/>
              <w:bottom w:val="single" w:sz="4" w:space="0" w:color="auto"/>
              <w:right w:val="single" w:sz="8" w:space="0" w:color="auto"/>
            </w:tcBorders>
            <w:shd w:val="clear" w:color="000000" w:fill="FFE699"/>
            <w:noWrap/>
            <w:vAlign w:val="center"/>
            <w:hideMark/>
          </w:tcPr>
          <w:p w:rsidR="002751E2" w:rsidRPr="00F55BA6" w:rsidRDefault="002751E2"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51,9</w:t>
            </w:r>
          </w:p>
        </w:tc>
      </w:tr>
      <w:tr w:rsidR="002751E2" w:rsidRPr="00E4517B" w:rsidTr="00B51730">
        <w:trPr>
          <w:trHeight w:val="765"/>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18</w:t>
            </w:r>
          </w:p>
        </w:tc>
        <w:tc>
          <w:tcPr>
            <w:tcW w:w="2456" w:type="dxa"/>
            <w:tcBorders>
              <w:top w:val="nil"/>
              <w:left w:val="nil"/>
              <w:bottom w:val="single" w:sz="4" w:space="0" w:color="auto"/>
              <w:right w:val="single" w:sz="4" w:space="0" w:color="auto"/>
            </w:tcBorders>
            <w:shd w:val="clear" w:color="auto" w:fill="auto"/>
            <w:hideMark/>
          </w:tcPr>
          <w:p w:rsidR="002751E2" w:rsidRPr="00F55BA6" w:rsidRDefault="002751E2" w:rsidP="00B51730">
            <w:pPr>
              <w:spacing w:after="0" w:line="240" w:lineRule="auto"/>
              <w:ind w:left="-60" w:right="-115"/>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 xml:space="preserve">Construcția magistralei de comunicații și operaționalizarea Centrului de Cooperare Transfrontalieră Lipcani, raionul Briceni </w:t>
            </w:r>
          </w:p>
        </w:tc>
        <w:tc>
          <w:tcPr>
            <w:tcW w:w="707" w:type="dxa"/>
            <w:tcBorders>
              <w:top w:val="nil"/>
              <w:left w:val="nil"/>
              <w:bottom w:val="single" w:sz="4" w:space="0" w:color="auto"/>
              <w:right w:val="single" w:sz="4" w:space="0" w:color="auto"/>
            </w:tcBorders>
            <w:shd w:val="clear" w:color="auto" w:fill="auto"/>
            <w:vAlign w:val="center"/>
            <w:hideMark/>
          </w:tcPr>
          <w:p w:rsidR="002751E2" w:rsidRPr="00F55BA6" w:rsidRDefault="002751E2"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2017</w:t>
            </w:r>
          </w:p>
        </w:tc>
        <w:tc>
          <w:tcPr>
            <w:tcW w:w="951" w:type="dxa"/>
            <w:tcBorders>
              <w:top w:val="nil"/>
              <w:left w:val="nil"/>
              <w:bottom w:val="single" w:sz="4" w:space="0" w:color="auto"/>
              <w:right w:val="single" w:sz="4" w:space="0" w:color="auto"/>
            </w:tcBorders>
            <w:shd w:val="clear" w:color="000000" w:fill="FFFFFF"/>
            <w:vAlign w:val="center"/>
            <w:hideMark/>
          </w:tcPr>
          <w:p w:rsidR="002751E2" w:rsidRPr="00F55BA6" w:rsidRDefault="002751E2" w:rsidP="00B51730">
            <w:pPr>
              <w:spacing w:after="0" w:line="240" w:lineRule="auto"/>
              <w:ind w:left="-77" w:right="-111"/>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res. generale și PFSE</w:t>
            </w:r>
          </w:p>
        </w:tc>
        <w:tc>
          <w:tcPr>
            <w:tcW w:w="1144" w:type="dxa"/>
            <w:tcBorders>
              <w:top w:val="nil"/>
              <w:left w:val="nil"/>
              <w:bottom w:val="single" w:sz="4" w:space="0" w:color="auto"/>
              <w:right w:val="single" w:sz="4" w:space="0" w:color="auto"/>
            </w:tcBorders>
            <w:shd w:val="clear" w:color="000000" w:fill="F2F2F2"/>
            <w:noWrap/>
            <w:vAlign w:val="center"/>
            <w:hideMark/>
          </w:tcPr>
          <w:p w:rsidR="002751E2" w:rsidRPr="00F55BA6" w:rsidRDefault="002751E2" w:rsidP="00B51730">
            <w:pPr>
              <w:spacing w:after="0" w:line="240" w:lineRule="auto"/>
              <w:ind w:left="-30" w:right="-1"/>
              <w:jc w:val="right"/>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74.150,4</w:t>
            </w:r>
          </w:p>
        </w:tc>
        <w:tc>
          <w:tcPr>
            <w:tcW w:w="831" w:type="dxa"/>
            <w:tcBorders>
              <w:top w:val="nil"/>
              <w:left w:val="nil"/>
              <w:bottom w:val="single" w:sz="4" w:space="0" w:color="auto"/>
              <w:right w:val="single" w:sz="4" w:space="0" w:color="auto"/>
            </w:tcBorders>
            <w:shd w:val="clear" w:color="auto" w:fill="auto"/>
            <w:noWrap/>
            <w:vAlign w:val="bottom"/>
            <w:hideMark/>
          </w:tcPr>
          <w:p w:rsidR="002751E2" w:rsidRPr="00F55BA6" w:rsidRDefault="002751E2"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 </w:t>
            </w:r>
          </w:p>
        </w:tc>
        <w:tc>
          <w:tcPr>
            <w:tcW w:w="1073" w:type="dxa"/>
            <w:tcBorders>
              <w:top w:val="nil"/>
              <w:left w:val="nil"/>
              <w:bottom w:val="single" w:sz="4" w:space="0" w:color="auto"/>
              <w:right w:val="single" w:sz="4" w:space="0" w:color="auto"/>
            </w:tcBorders>
            <w:shd w:val="clear" w:color="auto" w:fill="auto"/>
            <w:noWrap/>
            <w:vAlign w:val="bottom"/>
            <w:hideMark/>
          </w:tcPr>
          <w:p w:rsidR="002751E2" w:rsidRPr="00F55BA6" w:rsidRDefault="002751E2"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 </w:t>
            </w:r>
          </w:p>
        </w:tc>
        <w:tc>
          <w:tcPr>
            <w:tcW w:w="1127" w:type="dxa"/>
            <w:tcBorders>
              <w:top w:val="nil"/>
              <w:left w:val="nil"/>
              <w:bottom w:val="single" w:sz="4" w:space="0" w:color="auto"/>
              <w:right w:val="single" w:sz="4" w:space="0" w:color="auto"/>
            </w:tcBorders>
            <w:shd w:val="clear" w:color="auto" w:fill="auto"/>
            <w:noWrap/>
            <w:vAlign w:val="bottom"/>
            <w:hideMark/>
          </w:tcPr>
          <w:p w:rsidR="002751E2" w:rsidRPr="00F55BA6" w:rsidRDefault="002751E2"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 </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2751E2" w:rsidRPr="00F55BA6" w:rsidRDefault="002751E2"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 </w:t>
            </w:r>
          </w:p>
        </w:tc>
        <w:tc>
          <w:tcPr>
            <w:tcW w:w="1071" w:type="dxa"/>
            <w:tcBorders>
              <w:top w:val="nil"/>
              <w:left w:val="nil"/>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ind w:left="-103" w:right="-73"/>
              <w:jc w:val="right"/>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74.150,4</w:t>
            </w:r>
          </w:p>
        </w:tc>
        <w:tc>
          <w:tcPr>
            <w:tcW w:w="1162" w:type="dxa"/>
            <w:tcBorders>
              <w:top w:val="nil"/>
              <w:left w:val="nil"/>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ind w:left="-114"/>
              <w:jc w:val="right"/>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73.808,0</w:t>
            </w:r>
          </w:p>
        </w:tc>
        <w:tc>
          <w:tcPr>
            <w:tcW w:w="1139" w:type="dxa"/>
            <w:tcBorders>
              <w:top w:val="nil"/>
              <w:left w:val="nil"/>
              <w:bottom w:val="single" w:sz="4" w:space="0" w:color="auto"/>
              <w:right w:val="nil"/>
            </w:tcBorders>
            <w:shd w:val="clear" w:color="auto" w:fill="auto"/>
            <w:noWrap/>
            <w:vAlign w:val="center"/>
            <w:hideMark/>
          </w:tcPr>
          <w:p w:rsidR="002751E2" w:rsidRPr="00F55BA6" w:rsidRDefault="002751E2" w:rsidP="00B51730">
            <w:pPr>
              <w:spacing w:after="0" w:line="240" w:lineRule="auto"/>
              <w:jc w:val="right"/>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86.090,7</w:t>
            </w:r>
          </w:p>
        </w:tc>
        <w:tc>
          <w:tcPr>
            <w:tcW w:w="1024" w:type="dxa"/>
            <w:tcBorders>
              <w:top w:val="nil"/>
              <w:left w:val="single" w:sz="8" w:space="0" w:color="auto"/>
              <w:bottom w:val="single" w:sz="4" w:space="0" w:color="auto"/>
              <w:right w:val="single" w:sz="4" w:space="0" w:color="auto"/>
            </w:tcBorders>
            <w:shd w:val="clear" w:color="000000" w:fill="FFE699"/>
            <w:noWrap/>
            <w:vAlign w:val="center"/>
            <w:hideMark/>
          </w:tcPr>
          <w:p w:rsidR="002751E2" w:rsidRPr="00F55BA6" w:rsidRDefault="002751E2"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11.940,3</w:t>
            </w:r>
          </w:p>
        </w:tc>
        <w:tc>
          <w:tcPr>
            <w:tcW w:w="945" w:type="dxa"/>
            <w:tcBorders>
              <w:top w:val="nil"/>
              <w:left w:val="nil"/>
              <w:bottom w:val="single" w:sz="4" w:space="0" w:color="auto"/>
              <w:right w:val="single" w:sz="8" w:space="0" w:color="auto"/>
            </w:tcBorders>
            <w:shd w:val="clear" w:color="000000" w:fill="FFE699"/>
            <w:noWrap/>
            <w:vAlign w:val="center"/>
            <w:hideMark/>
          </w:tcPr>
          <w:p w:rsidR="002751E2" w:rsidRPr="00F55BA6" w:rsidRDefault="002751E2"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16,1</w:t>
            </w:r>
          </w:p>
        </w:tc>
      </w:tr>
      <w:tr w:rsidR="002751E2" w:rsidRPr="00E4517B" w:rsidTr="00B51730">
        <w:trPr>
          <w:trHeight w:val="51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19</w:t>
            </w:r>
          </w:p>
        </w:tc>
        <w:tc>
          <w:tcPr>
            <w:tcW w:w="2456" w:type="dxa"/>
            <w:tcBorders>
              <w:top w:val="nil"/>
              <w:left w:val="nil"/>
              <w:bottom w:val="single" w:sz="4" w:space="0" w:color="auto"/>
              <w:right w:val="single" w:sz="4" w:space="0" w:color="auto"/>
            </w:tcBorders>
            <w:shd w:val="clear" w:color="auto" w:fill="auto"/>
            <w:vAlign w:val="center"/>
            <w:hideMark/>
          </w:tcPr>
          <w:p w:rsidR="002751E2" w:rsidRPr="00F55BA6" w:rsidRDefault="002751E2" w:rsidP="00B51730">
            <w:pPr>
              <w:spacing w:after="0" w:line="240" w:lineRule="auto"/>
              <w:ind w:left="-60" w:right="-115"/>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 xml:space="preserve">Reconstrucția sediului Sectorului Poliției de Frontieră Brânza, raionul Cahul </w:t>
            </w:r>
          </w:p>
        </w:tc>
        <w:tc>
          <w:tcPr>
            <w:tcW w:w="707" w:type="dxa"/>
            <w:tcBorders>
              <w:top w:val="nil"/>
              <w:left w:val="nil"/>
              <w:bottom w:val="single" w:sz="4" w:space="0" w:color="auto"/>
              <w:right w:val="single" w:sz="4" w:space="0" w:color="auto"/>
            </w:tcBorders>
            <w:shd w:val="clear" w:color="auto" w:fill="auto"/>
            <w:vAlign w:val="center"/>
            <w:hideMark/>
          </w:tcPr>
          <w:p w:rsidR="002751E2" w:rsidRPr="00F55BA6" w:rsidRDefault="002751E2"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2017</w:t>
            </w:r>
          </w:p>
        </w:tc>
        <w:tc>
          <w:tcPr>
            <w:tcW w:w="951" w:type="dxa"/>
            <w:tcBorders>
              <w:top w:val="nil"/>
              <w:left w:val="nil"/>
              <w:bottom w:val="single" w:sz="4" w:space="0" w:color="auto"/>
              <w:right w:val="single" w:sz="4" w:space="0" w:color="auto"/>
            </w:tcBorders>
            <w:shd w:val="clear" w:color="000000" w:fill="FFFFFF"/>
            <w:vAlign w:val="center"/>
            <w:hideMark/>
          </w:tcPr>
          <w:p w:rsidR="002751E2" w:rsidRPr="00F55BA6" w:rsidRDefault="002751E2" w:rsidP="00B51730">
            <w:pPr>
              <w:spacing w:after="0" w:line="240" w:lineRule="auto"/>
              <w:ind w:left="-77" w:right="-111"/>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res. generale și PFSE</w:t>
            </w:r>
          </w:p>
        </w:tc>
        <w:tc>
          <w:tcPr>
            <w:tcW w:w="1144" w:type="dxa"/>
            <w:tcBorders>
              <w:top w:val="nil"/>
              <w:left w:val="nil"/>
              <w:bottom w:val="single" w:sz="4" w:space="0" w:color="auto"/>
              <w:right w:val="single" w:sz="4" w:space="0" w:color="auto"/>
            </w:tcBorders>
            <w:shd w:val="clear" w:color="000000" w:fill="F2F2F2"/>
            <w:noWrap/>
            <w:vAlign w:val="center"/>
            <w:hideMark/>
          </w:tcPr>
          <w:p w:rsidR="002751E2" w:rsidRPr="00F55BA6" w:rsidRDefault="002751E2" w:rsidP="00B51730">
            <w:pPr>
              <w:spacing w:after="0" w:line="240" w:lineRule="auto"/>
              <w:ind w:left="-30" w:right="-1"/>
              <w:jc w:val="right"/>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8.482,8</w:t>
            </w:r>
          </w:p>
        </w:tc>
        <w:tc>
          <w:tcPr>
            <w:tcW w:w="831" w:type="dxa"/>
            <w:tcBorders>
              <w:top w:val="nil"/>
              <w:left w:val="nil"/>
              <w:bottom w:val="single" w:sz="4" w:space="0" w:color="auto"/>
              <w:right w:val="single" w:sz="4" w:space="0" w:color="auto"/>
            </w:tcBorders>
            <w:shd w:val="clear" w:color="auto" w:fill="auto"/>
            <w:noWrap/>
            <w:vAlign w:val="bottom"/>
            <w:hideMark/>
          </w:tcPr>
          <w:p w:rsidR="002751E2" w:rsidRPr="00F55BA6" w:rsidRDefault="002751E2"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 </w:t>
            </w:r>
          </w:p>
        </w:tc>
        <w:tc>
          <w:tcPr>
            <w:tcW w:w="1073" w:type="dxa"/>
            <w:tcBorders>
              <w:top w:val="nil"/>
              <w:left w:val="nil"/>
              <w:bottom w:val="single" w:sz="4" w:space="0" w:color="auto"/>
              <w:right w:val="single" w:sz="4" w:space="0" w:color="auto"/>
            </w:tcBorders>
            <w:shd w:val="clear" w:color="auto" w:fill="auto"/>
            <w:noWrap/>
            <w:vAlign w:val="bottom"/>
            <w:hideMark/>
          </w:tcPr>
          <w:p w:rsidR="002751E2" w:rsidRPr="00F55BA6" w:rsidRDefault="002751E2"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 </w:t>
            </w:r>
          </w:p>
        </w:tc>
        <w:tc>
          <w:tcPr>
            <w:tcW w:w="1127" w:type="dxa"/>
            <w:tcBorders>
              <w:top w:val="nil"/>
              <w:left w:val="nil"/>
              <w:bottom w:val="single" w:sz="4" w:space="0" w:color="auto"/>
              <w:right w:val="single" w:sz="4" w:space="0" w:color="auto"/>
            </w:tcBorders>
            <w:shd w:val="clear" w:color="auto" w:fill="auto"/>
            <w:noWrap/>
            <w:vAlign w:val="bottom"/>
            <w:hideMark/>
          </w:tcPr>
          <w:p w:rsidR="002751E2" w:rsidRPr="00F55BA6" w:rsidRDefault="002751E2"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 </w:t>
            </w:r>
          </w:p>
        </w:tc>
        <w:tc>
          <w:tcPr>
            <w:tcW w:w="1107" w:type="dxa"/>
            <w:tcBorders>
              <w:top w:val="nil"/>
              <w:left w:val="nil"/>
              <w:bottom w:val="single" w:sz="4" w:space="0" w:color="auto"/>
              <w:right w:val="single" w:sz="4" w:space="0" w:color="auto"/>
            </w:tcBorders>
            <w:shd w:val="clear" w:color="auto" w:fill="auto"/>
            <w:noWrap/>
            <w:vAlign w:val="bottom"/>
            <w:hideMark/>
          </w:tcPr>
          <w:p w:rsidR="002751E2" w:rsidRPr="00F55BA6" w:rsidRDefault="002751E2"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 </w:t>
            </w:r>
          </w:p>
        </w:tc>
        <w:tc>
          <w:tcPr>
            <w:tcW w:w="1071" w:type="dxa"/>
            <w:tcBorders>
              <w:top w:val="nil"/>
              <w:left w:val="nil"/>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ind w:left="-103" w:right="-73"/>
              <w:jc w:val="right"/>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8.482,8</w:t>
            </w:r>
          </w:p>
        </w:tc>
        <w:tc>
          <w:tcPr>
            <w:tcW w:w="1162" w:type="dxa"/>
            <w:tcBorders>
              <w:top w:val="nil"/>
              <w:left w:val="nil"/>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ind w:left="-114"/>
              <w:jc w:val="right"/>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8.474,2</w:t>
            </w:r>
          </w:p>
        </w:tc>
        <w:tc>
          <w:tcPr>
            <w:tcW w:w="1139" w:type="dxa"/>
            <w:tcBorders>
              <w:top w:val="nil"/>
              <w:left w:val="nil"/>
              <w:bottom w:val="single" w:sz="4" w:space="0" w:color="auto"/>
              <w:right w:val="nil"/>
            </w:tcBorders>
            <w:shd w:val="clear" w:color="auto" w:fill="auto"/>
            <w:noWrap/>
            <w:vAlign w:val="center"/>
            <w:hideMark/>
          </w:tcPr>
          <w:p w:rsidR="002751E2" w:rsidRPr="00F55BA6" w:rsidRDefault="002751E2" w:rsidP="00B51730">
            <w:pPr>
              <w:spacing w:after="0" w:line="240" w:lineRule="auto"/>
              <w:jc w:val="right"/>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11.703,8</w:t>
            </w:r>
          </w:p>
        </w:tc>
        <w:tc>
          <w:tcPr>
            <w:tcW w:w="1024" w:type="dxa"/>
            <w:tcBorders>
              <w:top w:val="nil"/>
              <w:left w:val="single" w:sz="8" w:space="0" w:color="auto"/>
              <w:bottom w:val="single" w:sz="4" w:space="0" w:color="auto"/>
              <w:right w:val="single" w:sz="4" w:space="0" w:color="auto"/>
            </w:tcBorders>
            <w:shd w:val="clear" w:color="000000" w:fill="FFE699"/>
            <w:noWrap/>
            <w:vAlign w:val="center"/>
            <w:hideMark/>
          </w:tcPr>
          <w:p w:rsidR="002751E2" w:rsidRPr="00F55BA6" w:rsidRDefault="002751E2"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3.221,0</w:t>
            </w:r>
          </w:p>
        </w:tc>
        <w:tc>
          <w:tcPr>
            <w:tcW w:w="945" w:type="dxa"/>
            <w:tcBorders>
              <w:top w:val="nil"/>
              <w:left w:val="nil"/>
              <w:bottom w:val="single" w:sz="4" w:space="0" w:color="auto"/>
              <w:right w:val="single" w:sz="8" w:space="0" w:color="auto"/>
            </w:tcBorders>
            <w:shd w:val="clear" w:color="000000" w:fill="FFE699"/>
            <w:noWrap/>
            <w:vAlign w:val="center"/>
            <w:hideMark/>
          </w:tcPr>
          <w:p w:rsidR="002751E2" w:rsidRPr="00F55BA6" w:rsidRDefault="002751E2"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38,0</w:t>
            </w:r>
          </w:p>
        </w:tc>
      </w:tr>
      <w:tr w:rsidR="002751E2" w:rsidRPr="00E4517B" w:rsidTr="00B51730">
        <w:trPr>
          <w:trHeight w:val="468"/>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20</w:t>
            </w:r>
          </w:p>
        </w:tc>
        <w:tc>
          <w:tcPr>
            <w:tcW w:w="2456" w:type="dxa"/>
            <w:tcBorders>
              <w:top w:val="nil"/>
              <w:left w:val="nil"/>
              <w:bottom w:val="single" w:sz="4" w:space="0" w:color="auto"/>
              <w:right w:val="single" w:sz="4" w:space="0" w:color="auto"/>
            </w:tcBorders>
            <w:shd w:val="clear" w:color="auto" w:fill="auto"/>
            <w:vAlign w:val="center"/>
            <w:hideMark/>
          </w:tcPr>
          <w:p w:rsidR="002751E2" w:rsidRPr="00F55BA6" w:rsidRDefault="002751E2" w:rsidP="00B51730">
            <w:pPr>
              <w:spacing w:after="0" w:line="240" w:lineRule="auto"/>
              <w:ind w:left="-60" w:right="-115"/>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 xml:space="preserve">Reconstrucția sediului Sectorului Poliției de Frontieră Stoianovca, raionul Cantemir </w:t>
            </w:r>
          </w:p>
        </w:tc>
        <w:tc>
          <w:tcPr>
            <w:tcW w:w="707" w:type="dxa"/>
            <w:tcBorders>
              <w:top w:val="nil"/>
              <w:left w:val="nil"/>
              <w:bottom w:val="single" w:sz="4" w:space="0" w:color="auto"/>
              <w:right w:val="single" w:sz="4" w:space="0" w:color="auto"/>
            </w:tcBorders>
            <w:shd w:val="clear" w:color="auto" w:fill="auto"/>
            <w:vAlign w:val="center"/>
            <w:hideMark/>
          </w:tcPr>
          <w:p w:rsidR="002751E2" w:rsidRPr="00F55BA6" w:rsidRDefault="002751E2"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2017</w:t>
            </w:r>
          </w:p>
        </w:tc>
        <w:tc>
          <w:tcPr>
            <w:tcW w:w="951" w:type="dxa"/>
            <w:tcBorders>
              <w:top w:val="nil"/>
              <w:left w:val="nil"/>
              <w:bottom w:val="single" w:sz="4" w:space="0" w:color="auto"/>
              <w:right w:val="single" w:sz="4" w:space="0" w:color="auto"/>
            </w:tcBorders>
            <w:shd w:val="clear" w:color="000000" w:fill="FFFFFF"/>
            <w:vAlign w:val="center"/>
            <w:hideMark/>
          </w:tcPr>
          <w:p w:rsidR="002751E2" w:rsidRPr="00F55BA6" w:rsidRDefault="002751E2" w:rsidP="00B51730">
            <w:pPr>
              <w:spacing w:after="0" w:line="240" w:lineRule="auto"/>
              <w:ind w:left="-77" w:right="-111"/>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res. generale și PFSE</w:t>
            </w:r>
          </w:p>
        </w:tc>
        <w:tc>
          <w:tcPr>
            <w:tcW w:w="1144" w:type="dxa"/>
            <w:tcBorders>
              <w:top w:val="nil"/>
              <w:left w:val="nil"/>
              <w:bottom w:val="single" w:sz="4" w:space="0" w:color="auto"/>
              <w:right w:val="single" w:sz="4" w:space="0" w:color="auto"/>
            </w:tcBorders>
            <w:shd w:val="clear" w:color="000000" w:fill="F2F2F2"/>
            <w:noWrap/>
            <w:vAlign w:val="center"/>
            <w:hideMark/>
          </w:tcPr>
          <w:p w:rsidR="002751E2" w:rsidRPr="00F55BA6" w:rsidRDefault="002751E2" w:rsidP="00B51730">
            <w:pPr>
              <w:spacing w:after="0" w:line="240" w:lineRule="auto"/>
              <w:ind w:left="-30" w:right="-1"/>
              <w:jc w:val="right"/>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8.482,8</w:t>
            </w:r>
          </w:p>
        </w:tc>
        <w:tc>
          <w:tcPr>
            <w:tcW w:w="831" w:type="dxa"/>
            <w:tcBorders>
              <w:top w:val="nil"/>
              <w:left w:val="nil"/>
              <w:bottom w:val="single" w:sz="4" w:space="0" w:color="auto"/>
              <w:right w:val="single" w:sz="4" w:space="0" w:color="auto"/>
            </w:tcBorders>
            <w:shd w:val="clear" w:color="auto" w:fill="auto"/>
            <w:noWrap/>
            <w:vAlign w:val="bottom"/>
            <w:hideMark/>
          </w:tcPr>
          <w:p w:rsidR="002751E2" w:rsidRPr="00F55BA6" w:rsidRDefault="002751E2"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 </w:t>
            </w:r>
          </w:p>
        </w:tc>
        <w:tc>
          <w:tcPr>
            <w:tcW w:w="1073" w:type="dxa"/>
            <w:tcBorders>
              <w:top w:val="nil"/>
              <w:left w:val="nil"/>
              <w:bottom w:val="single" w:sz="4" w:space="0" w:color="auto"/>
              <w:right w:val="single" w:sz="4" w:space="0" w:color="auto"/>
            </w:tcBorders>
            <w:shd w:val="clear" w:color="auto" w:fill="auto"/>
            <w:noWrap/>
            <w:vAlign w:val="bottom"/>
            <w:hideMark/>
          </w:tcPr>
          <w:p w:rsidR="002751E2" w:rsidRPr="00F55BA6" w:rsidRDefault="002751E2"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 </w:t>
            </w:r>
          </w:p>
        </w:tc>
        <w:tc>
          <w:tcPr>
            <w:tcW w:w="1127" w:type="dxa"/>
            <w:tcBorders>
              <w:top w:val="nil"/>
              <w:left w:val="nil"/>
              <w:bottom w:val="single" w:sz="4" w:space="0" w:color="auto"/>
              <w:right w:val="single" w:sz="4" w:space="0" w:color="auto"/>
            </w:tcBorders>
            <w:shd w:val="clear" w:color="auto" w:fill="auto"/>
            <w:noWrap/>
            <w:vAlign w:val="bottom"/>
            <w:hideMark/>
          </w:tcPr>
          <w:p w:rsidR="002751E2" w:rsidRPr="00F55BA6" w:rsidRDefault="002751E2"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 </w:t>
            </w:r>
          </w:p>
        </w:tc>
        <w:tc>
          <w:tcPr>
            <w:tcW w:w="1107" w:type="dxa"/>
            <w:tcBorders>
              <w:top w:val="nil"/>
              <w:left w:val="nil"/>
              <w:bottom w:val="single" w:sz="4" w:space="0" w:color="auto"/>
              <w:right w:val="single" w:sz="4" w:space="0" w:color="auto"/>
            </w:tcBorders>
            <w:shd w:val="clear" w:color="auto" w:fill="auto"/>
            <w:noWrap/>
            <w:vAlign w:val="bottom"/>
            <w:hideMark/>
          </w:tcPr>
          <w:p w:rsidR="002751E2" w:rsidRPr="00F55BA6" w:rsidRDefault="002751E2"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 </w:t>
            </w:r>
          </w:p>
        </w:tc>
        <w:tc>
          <w:tcPr>
            <w:tcW w:w="1071" w:type="dxa"/>
            <w:tcBorders>
              <w:top w:val="nil"/>
              <w:left w:val="nil"/>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ind w:left="-103" w:right="-73"/>
              <w:jc w:val="right"/>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8.482,8</w:t>
            </w:r>
          </w:p>
        </w:tc>
        <w:tc>
          <w:tcPr>
            <w:tcW w:w="1162" w:type="dxa"/>
            <w:tcBorders>
              <w:top w:val="nil"/>
              <w:left w:val="nil"/>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ind w:left="-114"/>
              <w:jc w:val="right"/>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8.474,2</w:t>
            </w:r>
          </w:p>
        </w:tc>
        <w:tc>
          <w:tcPr>
            <w:tcW w:w="1139" w:type="dxa"/>
            <w:tcBorders>
              <w:top w:val="nil"/>
              <w:left w:val="nil"/>
              <w:bottom w:val="single" w:sz="4" w:space="0" w:color="auto"/>
              <w:right w:val="nil"/>
            </w:tcBorders>
            <w:shd w:val="clear" w:color="auto" w:fill="auto"/>
            <w:noWrap/>
            <w:vAlign w:val="center"/>
            <w:hideMark/>
          </w:tcPr>
          <w:p w:rsidR="002751E2" w:rsidRPr="00F55BA6" w:rsidRDefault="002751E2" w:rsidP="00B51730">
            <w:pPr>
              <w:spacing w:after="0" w:line="240" w:lineRule="auto"/>
              <w:jc w:val="right"/>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11.237,3</w:t>
            </w:r>
          </w:p>
        </w:tc>
        <w:tc>
          <w:tcPr>
            <w:tcW w:w="1024" w:type="dxa"/>
            <w:tcBorders>
              <w:top w:val="nil"/>
              <w:left w:val="single" w:sz="8" w:space="0" w:color="auto"/>
              <w:bottom w:val="single" w:sz="4" w:space="0" w:color="auto"/>
              <w:right w:val="single" w:sz="4" w:space="0" w:color="auto"/>
            </w:tcBorders>
            <w:shd w:val="clear" w:color="000000" w:fill="FFE699"/>
            <w:noWrap/>
            <w:vAlign w:val="center"/>
            <w:hideMark/>
          </w:tcPr>
          <w:p w:rsidR="002751E2" w:rsidRPr="00F55BA6" w:rsidRDefault="002751E2"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2.754,5</w:t>
            </w:r>
          </w:p>
        </w:tc>
        <w:tc>
          <w:tcPr>
            <w:tcW w:w="945" w:type="dxa"/>
            <w:tcBorders>
              <w:top w:val="nil"/>
              <w:left w:val="nil"/>
              <w:bottom w:val="single" w:sz="4" w:space="0" w:color="auto"/>
              <w:right w:val="single" w:sz="8" w:space="0" w:color="auto"/>
            </w:tcBorders>
            <w:shd w:val="clear" w:color="000000" w:fill="FFE699"/>
            <w:noWrap/>
            <w:vAlign w:val="center"/>
            <w:hideMark/>
          </w:tcPr>
          <w:p w:rsidR="002751E2" w:rsidRPr="00F55BA6" w:rsidRDefault="002751E2"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32,5</w:t>
            </w:r>
          </w:p>
        </w:tc>
      </w:tr>
      <w:tr w:rsidR="002751E2" w:rsidRPr="00E4517B" w:rsidTr="00B51730">
        <w:trPr>
          <w:trHeight w:val="51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21</w:t>
            </w:r>
          </w:p>
        </w:tc>
        <w:tc>
          <w:tcPr>
            <w:tcW w:w="2456" w:type="dxa"/>
            <w:tcBorders>
              <w:top w:val="nil"/>
              <w:left w:val="nil"/>
              <w:bottom w:val="single" w:sz="4" w:space="0" w:color="auto"/>
              <w:right w:val="single" w:sz="4" w:space="0" w:color="auto"/>
            </w:tcBorders>
            <w:shd w:val="clear" w:color="auto" w:fill="auto"/>
            <w:vAlign w:val="center"/>
            <w:hideMark/>
          </w:tcPr>
          <w:p w:rsidR="002751E2" w:rsidRPr="00F55BA6" w:rsidRDefault="002751E2" w:rsidP="00B51730">
            <w:pPr>
              <w:spacing w:after="0" w:line="240" w:lineRule="auto"/>
              <w:ind w:left="-60" w:right="-115"/>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 xml:space="preserve">Reconstrucția sediului Sectorului Poliției de Frontieră Toceni, raionul Cantemir </w:t>
            </w:r>
          </w:p>
        </w:tc>
        <w:tc>
          <w:tcPr>
            <w:tcW w:w="707" w:type="dxa"/>
            <w:tcBorders>
              <w:top w:val="nil"/>
              <w:left w:val="nil"/>
              <w:bottom w:val="single" w:sz="4" w:space="0" w:color="auto"/>
              <w:right w:val="single" w:sz="4" w:space="0" w:color="auto"/>
            </w:tcBorders>
            <w:shd w:val="clear" w:color="auto" w:fill="auto"/>
            <w:vAlign w:val="center"/>
            <w:hideMark/>
          </w:tcPr>
          <w:p w:rsidR="002751E2" w:rsidRPr="00F55BA6" w:rsidRDefault="002751E2"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2017</w:t>
            </w:r>
          </w:p>
        </w:tc>
        <w:tc>
          <w:tcPr>
            <w:tcW w:w="951" w:type="dxa"/>
            <w:tcBorders>
              <w:top w:val="nil"/>
              <w:left w:val="nil"/>
              <w:bottom w:val="single" w:sz="4" w:space="0" w:color="auto"/>
              <w:right w:val="single" w:sz="4" w:space="0" w:color="auto"/>
            </w:tcBorders>
            <w:shd w:val="clear" w:color="000000" w:fill="FFFFFF"/>
            <w:vAlign w:val="center"/>
            <w:hideMark/>
          </w:tcPr>
          <w:p w:rsidR="002751E2" w:rsidRPr="00F55BA6" w:rsidRDefault="002751E2" w:rsidP="00B51730">
            <w:pPr>
              <w:spacing w:after="0" w:line="240" w:lineRule="auto"/>
              <w:ind w:left="-77" w:right="-111"/>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res. generale și PFSE</w:t>
            </w:r>
          </w:p>
        </w:tc>
        <w:tc>
          <w:tcPr>
            <w:tcW w:w="1144" w:type="dxa"/>
            <w:tcBorders>
              <w:top w:val="nil"/>
              <w:left w:val="nil"/>
              <w:bottom w:val="single" w:sz="4" w:space="0" w:color="auto"/>
              <w:right w:val="single" w:sz="4" w:space="0" w:color="auto"/>
            </w:tcBorders>
            <w:shd w:val="clear" w:color="000000" w:fill="F2F2F2"/>
            <w:noWrap/>
            <w:vAlign w:val="center"/>
            <w:hideMark/>
          </w:tcPr>
          <w:p w:rsidR="002751E2" w:rsidRPr="00F55BA6" w:rsidRDefault="002751E2" w:rsidP="00B51730">
            <w:pPr>
              <w:spacing w:after="0" w:line="240" w:lineRule="auto"/>
              <w:ind w:left="-30" w:right="-1"/>
              <w:jc w:val="right"/>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8.482,8</w:t>
            </w:r>
          </w:p>
        </w:tc>
        <w:tc>
          <w:tcPr>
            <w:tcW w:w="831" w:type="dxa"/>
            <w:tcBorders>
              <w:top w:val="nil"/>
              <w:left w:val="nil"/>
              <w:bottom w:val="single" w:sz="4" w:space="0" w:color="auto"/>
              <w:right w:val="single" w:sz="4" w:space="0" w:color="auto"/>
            </w:tcBorders>
            <w:shd w:val="clear" w:color="auto" w:fill="auto"/>
            <w:noWrap/>
            <w:vAlign w:val="bottom"/>
            <w:hideMark/>
          </w:tcPr>
          <w:p w:rsidR="002751E2" w:rsidRPr="00F55BA6" w:rsidRDefault="002751E2"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 </w:t>
            </w:r>
          </w:p>
        </w:tc>
        <w:tc>
          <w:tcPr>
            <w:tcW w:w="1073" w:type="dxa"/>
            <w:tcBorders>
              <w:top w:val="nil"/>
              <w:left w:val="nil"/>
              <w:bottom w:val="single" w:sz="4" w:space="0" w:color="auto"/>
              <w:right w:val="single" w:sz="4" w:space="0" w:color="auto"/>
            </w:tcBorders>
            <w:shd w:val="clear" w:color="auto" w:fill="auto"/>
            <w:noWrap/>
            <w:vAlign w:val="bottom"/>
            <w:hideMark/>
          </w:tcPr>
          <w:p w:rsidR="002751E2" w:rsidRPr="00F55BA6" w:rsidRDefault="002751E2"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 </w:t>
            </w:r>
          </w:p>
        </w:tc>
        <w:tc>
          <w:tcPr>
            <w:tcW w:w="1127" w:type="dxa"/>
            <w:tcBorders>
              <w:top w:val="nil"/>
              <w:left w:val="nil"/>
              <w:bottom w:val="single" w:sz="4" w:space="0" w:color="auto"/>
              <w:right w:val="single" w:sz="4" w:space="0" w:color="auto"/>
            </w:tcBorders>
            <w:shd w:val="clear" w:color="auto" w:fill="auto"/>
            <w:noWrap/>
            <w:vAlign w:val="bottom"/>
            <w:hideMark/>
          </w:tcPr>
          <w:p w:rsidR="002751E2" w:rsidRPr="00F55BA6" w:rsidRDefault="002751E2"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 </w:t>
            </w:r>
          </w:p>
        </w:tc>
        <w:tc>
          <w:tcPr>
            <w:tcW w:w="1107" w:type="dxa"/>
            <w:tcBorders>
              <w:top w:val="nil"/>
              <w:left w:val="nil"/>
              <w:bottom w:val="single" w:sz="4" w:space="0" w:color="auto"/>
              <w:right w:val="single" w:sz="4" w:space="0" w:color="auto"/>
            </w:tcBorders>
            <w:shd w:val="clear" w:color="auto" w:fill="auto"/>
            <w:noWrap/>
            <w:vAlign w:val="bottom"/>
            <w:hideMark/>
          </w:tcPr>
          <w:p w:rsidR="002751E2" w:rsidRPr="00F55BA6" w:rsidRDefault="002751E2"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 </w:t>
            </w:r>
          </w:p>
        </w:tc>
        <w:tc>
          <w:tcPr>
            <w:tcW w:w="1071" w:type="dxa"/>
            <w:tcBorders>
              <w:top w:val="nil"/>
              <w:left w:val="nil"/>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ind w:left="-103" w:right="-73"/>
              <w:jc w:val="right"/>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8.482,8</w:t>
            </w:r>
          </w:p>
        </w:tc>
        <w:tc>
          <w:tcPr>
            <w:tcW w:w="1162" w:type="dxa"/>
            <w:tcBorders>
              <w:top w:val="nil"/>
              <w:left w:val="nil"/>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ind w:left="-114"/>
              <w:jc w:val="right"/>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8.474,2</w:t>
            </w:r>
          </w:p>
        </w:tc>
        <w:tc>
          <w:tcPr>
            <w:tcW w:w="1139" w:type="dxa"/>
            <w:tcBorders>
              <w:top w:val="nil"/>
              <w:left w:val="nil"/>
              <w:bottom w:val="single" w:sz="4" w:space="0" w:color="auto"/>
              <w:right w:val="nil"/>
            </w:tcBorders>
            <w:shd w:val="clear" w:color="auto" w:fill="auto"/>
            <w:noWrap/>
            <w:vAlign w:val="center"/>
            <w:hideMark/>
          </w:tcPr>
          <w:p w:rsidR="002751E2" w:rsidRPr="00F55BA6" w:rsidRDefault="002751E2" w:rsidP="00B51730">
            <w:pPr>
              <w:spacing w:after="0" w:line="240" w:lineRule="auto"/>
              <w:jc w:val="right"/>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10.782,9</w:t>
            </w:r>
          </w:p>
        </w:tc>
        <w:tc>
          <w:tcPr>
            <w:tcW w:w="1024" w:type="dxa"/>
            <w:tcBorders>
              <w:top w:val="nil"/>
              <w:left w:val="single" w:sz="8" w:space="0" w:color="auto"/>
              <w:bottom w:val="single" w:sz="4" w:space="0" w:color="auto"/>
              <w:right w:val="single" w:sz="4" w:space="0" w:color="auto"/>
            </w:tcBorders>
            <w:shd w:val="clear" w:color="000000" w:fill="FFE699"/>
            <w:noWrap/>
            <w:vAlign w:val="center"/>
            <w:hideMark/>
          </w:tcPr>
          <w:p w:rsidR="002751E2" w:rsidRPr="00F55BA6" w:rsidRDefault="002751E2"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2.300,1</w:t>
            </w:r>
          </w:p>
        </w:tc>
        <w:tc>
          <w:tcPr>
            <w:tcW w:w="945" w:type="dxa"/>
            <w:tcBorders>
              <w:top w:val="nil"/>
              <w:left w:val="nil"/>
              <w:bottom w:val="single" w:sz="4" w:space="0" w:color="auto"/>
              <w:right w:val="single" w:sz="8" w:space="0" w:color="auto"/>
            </w:tcBorders>
            <w:shd w:val="clear" w:color="000000" w:fill="FFE699"/>
            <w:noWrap/>
            <w:vAlign w:val="center"/>
            <w:hideMark/>
          </w:tcPr>
          <w:p w:rsidR="002751E2" w:rsidRPr="00F55BA6" w:rsidRDefault="002751E2"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27,1</w:t>
            </w:r>
          </w:p>
        </w:tc>
      </w:tr>
      <w:tr w:rsidR="002751E2" w:rsidRPr="00E4517B" w:rsidTr="00B51730">
        <w:trPr>
          <w:trHeight w:val="51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22</w:t>
            </w:r>
          </w:p>
        </w:tc>
        <w:tc>
          <w:tcPr>
            <w:tcW w:w="2456" w:type="dxa"/>
            <w:tcBorders>
              <w:top w:val="nil"/>
              <w:left w:val="nil"/>
              <w:bottom w:val="single" w:sz="4" w:space="0" w:color="auto"/>
              <w:right w:val="single" w:sz="4" w:space="0" w:color="auto"/>
            </w:tcBorders>
            <w:shd w:val="clear" w:color="auto" w:fill="auto"/>
            <w:vAlign w:val="center"/>
            <w:hideMark/>
          </w:tcPr>
          <w:p w:rsidR="002751E2" w:rsidRPr="00F55BA6" w:rsidRDefault="002751E2" w:rsidP="00B51730">
            <w:pPr>
              <w:spacing w:after="0" w:line="240" w:lineRule="auto"/>
              <w:ind w:left="-60" w:right="-115"/>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 xml:space="preserve">Reconstrucția sediului Sectorului Poliției de Frontieră Valea Mare, raionul Ungheni </w:t>
            </w:r>
          </w:p>
        </w:tc>
        <w:tc>
          <w:tcPr>
            <w:tcW w:w="707" w:type="dxa"/>
            <w:tcBorders>
              <w:top w:val="nil"/>
              <w:left w:val="nil"/>
              <w:bottom w:val="single" w:sz="4" w:space="0" w:color="auto"/>
              <w:right w:val="single" w:sz="4" w:space="0" w:color="auto"/>
            </w:tcBorders>
            <w:shd w:val="clear" w:color="auto" w:fill="auto"/>
            <w:vAlign w:val="center"/>
            <w:hideMark/>
          </w:tcPr>
          <w:p w:rsidR="002751E2" w:rsidRPr="00F55BA6" w:rsidRDefault="002751E2"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2017</w:t>
            </w:r>
          </w:p>
        </w:tc>
        <w:tc>
          <w:tcPr>
            <w:tcW w:w="951" w:type="dxa"/>
            <w:tcBorders>
              <w:top w:val="nil"/>
              <w:left w:val="nil"/>
              <w:bottom w:val="single" w:sz="4" w:space="0" w:color="auto"/>
              <w:right w:val="single" w:sz="4" w:space="0" w:color="auto"/>
            </w:tcBorders>
            <w:shd w:val="clear" w:color="000000" w:fill="FFFFFF"/>
            <w:vAlign w:val="center"/>
            <w:hideMark/>
          </w:tcPr>
          <w:p w:rsidR="002751E2" w:rsidRPr="00F55BA6" w:rsidRDefault="002751E2" w:rsidP="00B51730">
            <w:pPr>
              <w:spacing w:after="0" w:line="240" w:lineRule="auto"/>
              <w:ind w:left="-77" w:right="-111"/>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res. generale și PFSE</w:t>
            </w:r>
          </w:p>
        </w:tc>
        <w:tc>
          <w:tcPr>
            <w:tcW w:w="1144" w:type="dxa"/>
            <w:tcBorders>
              <w:top w:val="nil"/>
              <w:left w:val="nil"/>
              <w:bottom w:val="single" w:sz="4" w:space="0" w:color="auto"/>
              <w:right w:val="single" w:sz="4" w:space="0" w:color="auto"/>
            </w:tcBorders>
            <w:shd w:val="clear" w:color="000000" w:fill="F2F2F2"/>
            <w:noWrap/>
            <w:vAlign w:val="center"/>
            <w:hideMark/>
          </w:tcPr>
          <w:p w:rsidR="002751E2" w:rsidRPr="00F55BA6" w:rsidRDefault="002751E2" w:rsidP="00B51730">
            <w:pPr>
              <w:spacing w:after="0" w:line="240" w:lineRule="auto"/>
              <w:ind w:left="-30" w:right="-1"/>
              <w:jc w:val="right"/>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8.482,8</w:t>
            </w:r>
          </w:p>
        </w:tc>
        <w:tc>
          <w:tcPr>
            <w:tcW w:w="831" w:type="dxa"/>
            <w:tcBorders>
              <w:top w:val="nil"/>
              <w:left w:val="nil"/>
              <w:bottom w:val="single" w:sz="4" w:space="0" w:color="auto"/>
              <w:right w:val="single" w:sz="4" w:space="0" w:color="auto"/>
            </w:tcBorders>
            <w:shd w:val="clear" w:color="auto" w:fill="auto"/>
            <w:noWrap/>
            <w:vAlign w:val="bottom"/>
            <w:hideMark/>
          </w:tcPr>
          <w:p w:rsidR="002751E2" w:rsidRPr="00F55BA6" w:rsidRDefault="002751E2"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 </w:t>
            </w:r>
          </w:p>
        </w:tc>
        <w:tc>
          <w:tcPr>
            <w:tcW w:w="1073" w:type="dxa"/>
            <w:tcBorders>
              <w:top w:val="nil"/>
              <w:left w:val="nil"/>
              <w:bottom w:val="single" w:sz="4" w:space="0" w:color="auto"/>
              <w:right w:val="single" w:sz="4" w:space="0" w:color="auto"/>
            </w:tcBorders>
            <w:shd w:val="clear" w:color="auto" w:fill="auto"/>
            <w:noWrap/>
            <w:vAlign w:val="bottom"/>
            <w:hideMark/>
          </w:tcPr>
          <w:p w:rsidR="002751E2" w:rsidRPr="00F55BA6" w:rsidRDefault="002751E2"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 </w:t>
            </w:r>
          </w:p>
        </w:tc>
        <w:tc>
          <w:tcPr>
            <w:tcW w:w="1127" w:type="dxa"/>
            <w:tcBorders>
              <w:top w:val="nil"/>
              <w:left w:val="nil"/>
              <w:bottom w:val="single" w:sz="4" w:space="0" w:color="auto"/>
              <w:right w:val="single" w:sz="4" w:space="0" w:color="auto"/>
            </w:tcBorders>
            <w:shd w:val="clear" w:color="auto" w:fill="auto"/>
            <w:noWrap/>
            <w:vAlign w:val="bottom"/>
            <w:hideMark/>
          </w:tcPr>
          <w:p w:rsidR="002751E2" w:rsidRPr="00F55BA6" w:rsidRDefault="002751E2"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 </w:t>
            </w:r>
          </w:p>
        </w:tc>
        <w:tc>
          <w:tcPr>
            <w:tcW w:w="1107" w:type="dxa"/>
            <w:tcBorders>
              <w:top w:val="nil"/>
              <w:left w:val="nil"/>
              <w:bottom w:val="single" w:sz="4" w:space="0" w:color="auto"/>
              <w:right w:val="single" w:sz="4" w:space="0" w:color="auto"/>
            </w:tcBorders>
            <w:shd w:val="clear" w:color="auto" w:fill="auto"/>
            <w:noWrap/>
            <w:vAlign w:val="bottom"/>
            <w:hideMark/>
          </w:tcPr>
          <w:p w:rsidR="002751E2" w:rsidRPr="00F55BA6" w:rsidRDefault="002751E2"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 </w:t>
            </w:r>
          </w:p>
        </w:tc>
        <w:tc>
          <w:tcPr>
            <w:tcW w:w="1071" w:type="dxa"/>
            <w:tcBorders>
              <w:top w:val="nil"/>
              <w:left w:val="nil"/>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ind w:left="-103" w:right="-73"/>
              <w:jc w:val="right"/>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8.482,8</w:t>
            </w:r>
          </w:p>
        </w:tc>
        <w:tc>
          <w:tcPr>
            <w:tcW w:w="1162" w:type="dxa"/>
            <w:tcBorders>
              <w:top w:val="nil"/>
              <w:left w:val="nil"/>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ind w:left="-114"/>
              <w:jc w:val="right"/>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8.474,2</w:t>
            </w:r>
          </w:p>
        </w:tc>
        <w:tc>
          <w:tcPr>
            <w:tcW w:w="1139" w:type="dxa"/>
            <w:tcBorders>
              <w:top w:val="nil"/>
              <w:left w:val="nil"/>
              <w:bottom w:val="single" w:sz="4" w:space="0" w:color="auto"/>
              <w:right w:val="nil"/>
            </w:tcBorders>
            <w:shd w:val="clear" w:color="auto" w:fill="auto"/>
            <w:noWrap/>
            <w:vAlign w:val="center"/>
            <w:hideMark/>
          </w:tcPr>
          <w:p w:rsidR="002751E2" w:rsidRPr="00F55BA6" w:rsidRDefault="002751E2" w:rsidP="00B51730">
            <w:pPr>
              <w:spacing w:after="0" w:line="240" w:lineRule="auto"/>
              <w:jc w:val="right"/>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11.104,0</w:t>
            </w:r>
          </w:p>
        </w:tc>
        <w:tc>
          <w:tcPr>
            <w:tcW w:w="1024" w:type="dxa"/>
            <w:tcBorders>
              <w:top w:val="nil"/>
              <w:left w:val="single" w:sz="8" w:space="0" w:color="auto"/>
              <w:bottom w:val="single" w:sz="4" w:space="0" w:color="auto"/>
              <w:right w:val="single" w:sz="4" w:space="0" w:color="auto"/>
            </w:tcBorders>
            <w:shd w:val="clear" w:color="000000" w:fill="FFE699"/>
            <w:noWrap/>
            <w:vAlign w:val="center"/>
            <w:hideMark/>
          </w:tcPr>
          <w:p w:rsidR="002751E2" w:rsidRPr="00F55BA6" w:rsidRDefault="002751E2"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2.621,2</w:t>
            </w:r>
          </w:p>
        </w:tc>
        <w:tc>
          <w:tcPr>
            <w:tcW w:w="945" w:type="dxa"/>
            <w:tcBorders>
              <w:top w:val="nil"/>
              <w:left w:val="nil"/>
              <w:bottom w:val="single" w:sz="4" w:space="0" w:color="auto"/>
              <w:right w:val="single" w:sz="8" w:space="0" w:color="auto"/>
            </w:tcBorders>
            <w:shd w:val="clear" w:color="000000" w:fill="FFE699"/>
            <w:noWrap/>
            <w:vAlign w:val="center"/>
            <w:hideMark/>
          </w:tcPr>
          <w:p w:rsidR="002751E2" w:rsidRPr="00F55BA6" w:rsidRDefault="002751E2"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30,9</w:t>
            </w:r>
          </w:p>
        </w:tc>
      </w:tr>
      <w:tr w:rsidR="002751E2" w:rsidRPr="00E4517B" w:rsidTr="00B51730">
        <w:trPr>
          <w:trHeight w:val="765"/>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23</w:t>
            </w:r>
          </w:p>
        </w:tc>
        <w:tc>
          <w:tcPr>
            <w:tcW w:w="2456" w:type="dxa"/>
            <w:tcBorders>
              <w:top w:val="nil"/>
              <w:left w:val="nil"/>
              <w:bottom w:val="single" w:sz="4" w:space="0" w:color="auto"/>
              <w:right w:val="single" w:sz="4" w:space="0" w:color="auto"/>
            </w:tcBorders>
            <w:shd w:val="clear" w:color="auto" w:fill="auto"/>
            <w:vAlign w:val="center"/>
            <w:hideMark/>
          </w:tcPr>
          <w:p w:rsidR="002751E2" w:rsidRPr="00F55BA6" w:rsidRDefault="002751E2" w:rsidP="00B51730">
            <w:pPr>
              <w:spacing w:after="0" w:line="240" w:lineRule="auto"/>
              <w:ind w:left="-60" w:right="-115"/>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Construcția Centrului integrat de pregătire pentru aplicarea legii, str. Nicolai Dimo nr. 30, municipiul Chișinău</w:t>
            </w:r>
          </w:p>
        </w:tc>
        <w:tc>
          <w:tcPr>
            <w:tcW w:w="707" w:type="dxa"/>
            <w:tcBorders>
              <w:top w:val="nil"/>
              <w:left w:val="nil"/>
              <w:bottom w:val="single" w:sz="4" w:space="0" w:color="auto"/>
              <w:right w:val="single" w:sz="4" w:space="0" w:color="auto"/>
            </w:tcBorders>
            <w:shd w:val="clear" w:color="auto" w:fill="auto"/>
            <w:vAlign w:val="center"/>
            <w:hideMark/>
          </w:tcPr>
          <w:p w:rsidR="002751E2" w:rsidRPr="00F55BA6" w:rsidRDefault="002751E2"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2017</w:t>
            </w:r>
          </w:p>
        </w:tc>
        <w:tc>
          <w:tcPr>
            <w:tcW w:w="951" w:type="dxa"/>
            <w:tcBorders>
              <w:top w:val="nil"/>
              <w:left w:val="nil"/>
              <w:bottom w:val="single" w:sz="4" w:space="0" w:color="auto"/>
              <w:right w:val="single" w:sz="4" w:space="0" w:color="auto"/>
            </w:tcBorders>
            <w:shd w:val="clear" w:color="000000" w:fill="FFFFFF"/>
            <w:vAlign w:val="center"/>
            <w:hideMark/>
          </w:tcPr>
          <w:p w:rsidR="002751E2" w:rsidRPr="00F55BA6" w:rsidRDefault="002751E2" w:rsidP="00B51730">
            <w:pPr>
              <w:spacing w:after="0" w:line="240" w:lineRule="auto"/>
              <w:ind w:left="-77" w:right="-111"/>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res. generale</w:t>
            </w:r>
          </w:p>
        </w:tc>
        <w:tc>
          <w:tcPr>
            <w:tcW w:w="1144" w:type="dxa"/>
            <w:tcBorders>
              <w:top w:val="nil"/>
              <w:left w:val="nil"/>
              <w:bottom w:val="single" w:sz="4" w:space="0" w:color="auto"/>
              <w:right w:val="single" w:sz="4" w:space="0" w:color="auto"/>
            </w:tcBorders>
            <w:shd w:val="clear" w:color="000000" w:fill="F2F2F2"/>
            <w:noWrap/>
            <w:vAlign w:val="center"/>
            <w:hideMark/>
          </w:tcPr>
          <w:p w:rsidR="002751E2" w:rsidRPr="00F55BA6" w:rsidRDefault="002751E2" w:rsidP="00B51730">
            <w:pPr>
              <w:spacing w:after="0" w:line="240" w:lineRule="auto"/>
              <w:ind w:left="-30" w:right="-1"/>
              <w:jc w:val="right"/>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177.055,0</w:t>
            </w:r>
          </w:p>
        </w:tc>
        <w:tc>
          <w:tcPr>
            <w:tcW w:w="831" w:type="dxa"/>
            <w:tcBorders>
              <w:top w:val="nil"/>
              <w:left w:val="nil"/>
              <w:bottom w:val="single" w:sz="4" w:space="0" w:color="auto"/>
              <w:right w:val="single" w:sz="4" w:space="0" w:color="auto"/>
            </w:tcBorders>
            <w:shd w:val="clear" w:color="auto" w:fill="auto"/>
            <w:noWrap/>
            <w:vAlign w:val="bottom"/>
            <w:hideMark/>
          </w:tcPr>
          <w:p w:rsidR="002751E2" w:rsidRPr="00F55BA6" w:rsidRDefault="002751E2"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 </w:t>
            </w:r>
          </w:p>
        </w:tc>
        <w:tc>
          <w:tcPr>
            <w:tcW w:w="1073" w:type="dxa"/>
            <w:tcBorders>
              <w:top w:val="nil"/>
              <w:left w:val="nil"/>
              <w:bottom w:val="nil"/>
              <w:right w:val="nil"/>
            </w:tcBorders>
            <w:shd w:val="clear" w:color="auto" w:fill="auto"/>
            <w:noWrap/>
            <w:vAlign w:val="bottom"/>
            <w:hideMark/>
          </w:tcPr>
          <w:p w:rsidR="002751E2" w:rsidRPr="00F55BA6" w:rsidRDefault="002751E2" w:rsidP="00B51730">
            <w:pPr>
              <w:spacing w:after="0" w:line="240" w:lineRule="auto"/>
              <w:jc w:val="left"/>
              <w:rPr>
                <w:rFonts w:asciiTheme="majorHAnsi" w:eastAsia="Times New Roman" w:hAnsiTheme="majorHAnsi" w:cstheme="majorHAnsi"/>
                <w:color w:val="000000"/>
                <w:sz w:val="20"/>
                <w:szCs w:val="20"/>
                <w:lang w:val="ro-RO"/>
              </w:rPr>
            </w:pP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2751E2" w:rsidRPr="00F55BA6" w:rsidRDefault="002751E2"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 </w:t>
            </w:r>
          </w:p>
        </w:tc>
        <w:tc>
          <w:tcPr>
            <w:tcW w:w="1107" w:type="dxa"/>
            <w:tcBorders>
              <w:top w:val="nil"/>
              <w:left w:val="nil"/>
              <w:bottom w:val="single" w:sz="4" w:space="0" w:color="auto"/>
              <w:right w:val="single" w:sz="4" w:space="0" w:color="auto"/>
            </w:tcBorders>
            <w:shd w:val="clear" w:color="auto" w:fill="auto"/>
            <w:noWrap/>
            <w:vAlign w:val="bottom"/>
            <w:hideMark/>
          </w:tcPr>
          <w:p w:rsidR="002751E2" w:rsidRPr="00F55BA6" w:rsidRDefault="002751E2"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 </w:t>
            </w:r>
          </w:p>
        </w:tc>
        <w:tc>
          <w:tcPr>
            <w:tcW w:w="1071" w:type="dxa"/>
            <w:tcBorders>
              <w:top w:val="nil"/>
              <w:left w:val="nil"/>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ind w:left="-103" w:right="-73"/>
              <w:jc w:val="right"/>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208.100,0</w:t>
            </w:r>
          </w:p>
        </w:tc>
        <w:tc>
          <w:tcPr>
            <w:tcW w:w="1162" w:type="dxa"/>
            <w:tcBorders>
              <w:top w:val="nil"/>
              <w:left w:val="nil"/>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ind w:left="-114"/>
              <w:jc w:val="right"/>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206.700,0</w:t>
            </w:r>
          </w:p>
        </w:tc>
        <w:tc>
          <w:tcPr>
            <w:tcW w:w="1139" w:type="dxa"/>
            <w:tcBorders>
              <w:top w:val="nil"/>
              <w:left w:val="nil"/>
              <w:bottom w:val="single" w:sz="4" w:space="0" w:color="auto"/>
              <w:right w:val="nil"/>
            </w:tcBorders>
            <w:shd w:val="clear" w:color="auto" w:fill="auto"/>
            <w:noWrap/>
            <w:vAlign w:val="center"/>
            <w:hideMark/>
          </w:tcPr>
          <w:p w:rsidR="002751E2" w:rsidRPr="00F55BA6" w:rsidRDefault="002751E2" w:rsidP="00B51730">
            <w:pPr>
              <w:spacing w:after="0" w:line="240" w:lineRule="auto"/>
              <w:jc w:val="right"/>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220.000,0</w:t>
            </w:r>
          </w:p>
        </w:tc>
        <w:tc>
          <w:tcPr>
            <w:tcW w:w="1024" w:type="dxa"/>
            <w:tcBorders>
              <w:top w:val="nil"/>
              <w:left w:val="single" w:sz="8" w:space="0" w:color="auto"/>
              <w:bottom w:val="single" w:sz="4" w:space="0" w:color="auto"/>
              <w:right w:val="single" w:sz="4" w:space="0" w:color="auto"/>
            </w:tcBorders>
            <w:shd w:val="clear" w:color="000000" w:fill="FFE699"/>
            <w:noWrap/>
            <w:vAlign w:val="center"/>
            <w:hideMark/>
          </w:tcPr>
          <w:p w:rsidR="002751E2" w:rsidRPr="00F55BA6" w:rsidRDefault="002751E2"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42.945,0</w:t>
            </w:r>
          </w:p>
        </w:tc>
        <w:tc>
          <w:tcPr>
            <w:tcW w:w="945" w:type="dxa"/>
            <w:tcBorders>
              <w:top w:val="nil"/>
              <w:left w:val="nil"/>
              <w:bottom w:val="single" w:sz="4" w:space="0" w:color="auto"/>
              <w:right w:val="single" w:sz="8" w:space="0" w:color="auto"/>
            </w:tcBorders>
            <w:shd w:val="clear" w:color="000000" w:fill="FFE699"/>
            <w:noWrap/>
            <w:vAlign w:val="center"/>
            <w:hideMark/>
          </w:tcPr>
          <w:p w:rsidR="002751E2" w:rsidRPr="00F55BA6" w:rsidRDefault="002751E2"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24,3</w:t>
            </w:r>
          </w:p>
        </w:tc>
      </w:tr>
      <w:tr w:rsidR="002751E2" w:rsidRPr="00E4517B" w:rsidTr="00B51730">
        <w:trPr>
          <w:trHeight w:val="765"/>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lastRenderedPageBreak/>
              <w:t>24</w:t>
            </w:r>
          </w:p>
        </w:tc>
        <w:tc>
          <w:tcPr>
            <w:tcW w:w="2456" w:type="dxa"/>
            <w:tcBorders>
              <w:top w:val="nil"/>
              <w:left w:val="nil"/>
              <w:bottom w:val="single" w:sz="4" w:space="0" w:color="auto"/>
              <w:right w:val="single" w:sz="4" w:space="0" w:color="auto"/>
            </w:tcBorders>
            <w:shd w:val="clear" w:color="auto" w:fill="auto"/>
            <w:vAlign w:val="center"/>
            <w:hideMark/>
          </w:tcPr>
          <w:p w:rsidR="002751E2" w:rsidRPr="00F55BA6" w:rsidRDefault="002751E2" w:rsidP="00B51730">
            <w:pPr>
              <w:spacing w:after="0" w:line="240" w:lineRule="auto"/>
              <w:ind w:left="-60" w:right="-115"/>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Reconstrucția bazinului Clubului Sportiv Central „Dinamo”, str. Gheorghe Asachi nr.23, municipiul Chișinău</w:t>
            </w:r>
          </w:p>
        </w:tc>
        <w:tc>
          <w:tcPr>
            <w:tcW w:w="707" w:type="dxa"/>
            <w:tcBorders>
              <w:top w:val="nil"/>
              <w:left w:val="nil"/>
              <w:bottom w:val="single" w:sz="4" w:space="0" w:color="auto"/>
              <w:right w:val="single" w:sz="4" w:space="0" w:color="auto"/>
            </w:tcBorders>
            <w:shd w:val="clear" w:color="auto" w:fill="auto"/>
            <w:vAlign w:val="center"/>
            <w:hideMark/>
          </w:tcPr>
          <w:p w:rsidR="002751E2" w:rsidRPr="00F55BA6" w:rsidRDefault="002751E2"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2018</w:t>
            </w:r>
          </w:p>
        </w:tc>
        <w:tc>
          <w:tcPr>
            <w:tcW w:w="951" w:type="dxa"/>
            <w:tcBorders>
              <w:top w:val="nil"/>
              <w:left w:val="nil"/>
              <w:bottom w:val="single" w:sz="4" w:space="0" w:color="auto"/>
              <w:right w:val="single" w:sz="4" w:space="0" w:color="auto"/>
            </w:tcBorders>
            <w:shd w:val="clear" w:color="000000" w:fill="FFFFFF"/>
            <w:vAlign w:val="center"/>
            <w:hideMark/>
          </w:tcPr>
          <w:p w:rsidR="002751E2" w:rsidRPr="00F55BA6" w:rsidRDefault="002751E2" w:rsidP="00B51730">
            <w:pPr>
              <w:spacing w:after="0" w:line="240" w:lineRule="auto"/>
              <w:ind w:left="-77" w:right="-111"/>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res. generale</w:t>
            </w:r>
          </w:p>
        </w:tc>
        <w:tc>
          <w:tcPr>
            <w:tcW w:w="1144" w:type="dxa"/>
            <w:tcBorders>
              <w:top w:val="nil"/>
              <w:left w:val="nil"/>
              <w:bottom w:val="single" w:sz="4" w:space="0" w:color="auto"/>
              <w:right w:val="single" w:sz="4" w:space="0" w:color="auto"/>
            </w:tcBorders>
            <w:shd w:val="clear" w:color="000000" w:fill="F2F2F2"/>
            <w:noWrap/>
            <w:vAlign w:val="center"/>
            <w:hideMark/>
          </w:tcPr>
          <w:p w:rsidR="002751E2" w:rsidRPr="00F55BA6" w:rsidRDefault="002751E2" w:rsidP="00B51730">
            <w:pPr>
              <w:spacing w:after="0" w:line="240" w:lineRule="auto"/>
              <w:ind w:left="-30" w:right="-1"/>
              <w:jc w:val="right"/>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18.776,4</w:t>
            </w:r>
          </w:p>
        </w:tc>
        <w:tc>
          <w:tcPr>
            <w:tcW w:w="831" w:type="dxa"/>
            <w:tcBorders>
              <w:top w:val="nil"/>
              <w:left w:val="nil"/>
              <w:bottom w:val="single" w:sz="4" w:space="0" w:color="auto"/>
              <w:right w:val="single" w:sz="4" w:space="0" w:color="auto"/>
            </w:tcBorders>
            <w:shd w:val="clear" w:color="auto" w:fill="auto"/>
            <w:noWrap/>
            <w:vAlign w:val="bottom"/>
            <w:hideMark/>
          </w:tcPr>
          <w:p w:rsidR="002751E2" w:rsidRPr="00F55BA6" w:rsidRDefault="002751E2"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 </w:t>
            </w:r>
          </w:p>
        </w:tc>
        <w:tc>
          <w:tcPr>
            <w:tcW w:w="1073" w:type="dxa"/>
            <w:tcBorders>
              <w:top w:val="single" w:sz="4" w:space="0" w:color="auto"/>
              <w:left w:val="nil"/>
              <w:bottom w:val="single" w:sz="4" w:space="0" w:color="auto"/>
              <w:right w:val="single" w:sz="4" w:space="0" w:color="auto"/>
            </w:tcBorders>
            <w:shd w:val="clear" w:color="auto" w:fill="auto"/>
            <w:noWrap/>
            <w:vAlign w:val="bottom"/>
            <w:hideMark/>
          </w:tcPr>
          <w:p w:rsidR="002751E2" w:rsidRPr="00F55BA6" w:rsidRDefault="002751E2"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 </w:t>
            </w:r>
          </w:p>
        </w:tc>
        <w:tc>
          <w:tcPr>
            <w:tcW w:w="1127" w:type="dxa"/>
            <w:tcBorders>
              <w:top w:val="nil"/>
              <w:left w:val="nil"/>
              <w:bottom w:val="single" w:sz="4" w:space="0" w:color="auto"/>
              <w:right w:val="single" w:sz="4" w:space="0" w:color="auto"/>
            </w:tcBorders>
            <w:shd w:val="clear" w:color="auto" w:fill="auto"/>
            <w:noWrap/>
            <w:vAlign w:val="bottom"/>
            <w:hideMark/>
          </w:tcPr>
          <w:p w:rsidR="002751E2" w:rsidRPr="00F55BA6" w:rsidRDefault="002751E2"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 </w:t>
            </w:r>
          </w:p>
        </w:tc>
        <w:tc>
          <w:tcPr>
            <w:tcW w:w="1107" w:type="dxa"/>
            <w:tcBorders>
              <w:top w:val="nil"/>
              <w:left w:val="nil"/>
              <w:bottom w:val="single" w:sz="4" w:space="0" w:color="auto"/>
              <w:right w:val="single" w:sz="4" w:space="0" w:color="auto"/>
            </w:tcBorders>
            <w:shd w:val="clear" w:color="auto" w:fill="auto"/>
            <w:noWrap/>
            <w:vAlign w:val="bottom"/>
            <w:hideMark/>
          </w:tcPr>
          <w:p w:rsidR="002751E2" w:rsidRPr="00F55BA6" w:rsidRDefault="002751E2"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 </w:t>
            </w:r>
          </w:p>
        </w:tc>
        <w:tc>
          <w:tcPr>
            <w:tcW w:w="1071" w:type="dxa"/>
            <w:tcBorders>
              <w:top w:val="nil"/>
              <w:left w:val="nil"/>
              <w:bottom w:val="single" w:sz="4" w:space="0" w:color="auto"/>
              <w:right w:val="single" w:sz="4" w:space="0" w:color="auto"/>
            </w:tcBorders>
            <w:shd w:val="clear" w:color="auto" w:fill="auto"/>
            <w:noWrap/>
            <w:vAlign w:val="bottom"/>
            <w:hideMark/>
          </w:tcPr>
          <w:p w:rsidR="002751E2" w:rsidRPr="00F55BA6" w:rsidRDefault="002751E2" w:rsidP="00B51730">
            <w:pPr>
              <w:spacing w:after="0" w:line="240" w:lineRule="auto"/>
              <w:ind w:left="-103" w:right="-73"/>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 </w:t>
            </w:r>
          </w:p>
        </w:tc>
        <w:tc>
          <w:tcPr>
            <w:tcW w:w="1162" w:type="dxa"/>
            <w:tcBorders>
              <w:top w:val="nil"/>
              <w:left w:val="nil"/>
              <w:bottom w:val="single" w:sz="4" w:space="0" w:color="auto"/>
              <w:right w:val="single" w:sz="4" w:space="0" w:color="auto"/>
            </w:tcBorders>
            <w:shd w:val="clear" w:color="auto" w:fill="auto"/>
            <w:noWrap/>
            <w:vAlign w:val="bottom"/>
            <w:hideMark/>
          </w:tcPr>
          <w:p w:rsidR="002751E2" w:rsidRPr="00F55BA6" w:rsidRDefault="002751E2" w:rsidP="00B51730">
            <w:pPr>
              <w:spacing w:after="0" w:line="240" w:lineRule="auto"/>
              <w:ind w:left="-114"/>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 </w:t>
            </w:r>
          </w:p>
        </w:tc>
        <w:tc>
          <w:tcPr>
            <w:tcW w:w="1139" w:type="dxa"/>
            <w:tcBorders>
              <w:top w:val="nil"/>
              <w:left w:val="nil"/>
              <w:bottom w:val="single" w:sz="4" w:space="0" w:color="auto"/>
              <w:right w:val="nil"/>
            </w:tcBorders>
            <w:shd w:val="clear" w:color="auto" w:fill="auto"/>
            <w:noWrap/>
            <w:vAlign w:val="center"/>
            <w:hideMark/>
          </w:tcPr>
          <w:p w:rsidR="002751E2" w:rsidRPr="00F55BA6" w:rsidRDefault="002751E2" w:rsidP="00B51730">
            <w:pPr>
              <w:spacing w:after="0" w:line="240" w:lineRule="auto"/>
              <w:jc w:val="right"/>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26.495,8</w:t>
            </w:r>
          </w:p>
        </w:tc>
        <w:tc>
          <w:tcPr>
            <w:tcW w:w="1024" w:type="dxa"/>
            <w:tcBorders>
              <w:top w:val="nil"/>
              <w:left w:val="single" w:sz="8" w:space="0" w:color="auto"/>
              <w:bottom w:val="single" w:sz="4" w:space="0" w:color="auto"/>
              <w:right w:val="single" w:sz="4" w:space="0" w:color="auto"/>
            </w:tcBorders>
            <w:shd w:val="clear" w:color="000000" w:fill="FFE699"/>
            <w:noWrap/>
            <w:vAlign w:val="center"/>
            <w:hideMark/>
          </w:tcPr>
          <w:p w:rsidR="002751E2" w:rsidRPr="00F55BA6" w:rsidRDefault="002751E2"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7.719,4</w:t>
            </w:r>
          </w:p>
        </w:tc>
        <w:tc>
          <w:tcPr>
            <w:tcW w:w="945" w:type="dxa"/>
            <w:tcBorders>
              <w:top w:val="nil"/>
              <w:left w:val="nil"/>
              <w:bottom w:val="single" w:sz="4" w:space="0" w:color="auto"/>
              <w:right w:val="single" w:sz="8" w:space="0" w:color="auto"/>
            </w:tcBorders>
            <w:shd w:val="clear" w:color="000000" w:fill="FFE699"/>
            <w:noWrap/>
            <w:vAlign w:val="center"/>
            <w:hideMark/>
          </w:tcPr>
          <w:p w:rsidR="002751E2" w:rsidRPr="00F55BA6" w:rsidRDefault="002751E2"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41,1</w:t>
            </w:r>
          </w:p>
        </w:tc>
      </w:tr>
      <w:tr w:rsidR="002751E2" w:rsidRPr="00E4517B" w:rsidTr="00B51730">
        <w:trPr>
          <w:trHeight w:val="499"/>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25</w:t>
            </w:r>
          </w:p>
        </w:tc>
        <w:tc>
          <w:tcPr>
            <w:tcW w:w="2456" w:type="dxa"/>
            <w:tcBorders>
              <w:top w:val="nil"/>
              <w:left w:val="nil"/>
              <w:bottom w:val="single" w:sz="4" w:space="0" w:color="auto"/>
              <w:right w:val="single" w:sz="4" w:space="0" w:color="auto"/>
            </w:tcBorders>
            <w:shd w:val="clear" w:color="auto" w:fill="auto"/>
            <w:vAlign w:val="center"/>
            <w:hideMark/>
          </w:tcPr>
          <w:p w:rsidR="002751E2" w:rsidRPr="00F55BA6" w:rsidRDefault="002751E2" w:rsidP="00B51730">
            <w:pPr>
              <w:spacing w:after="0" w:line="240" w:lineRule="auto"/>
              <w:ind w:left="-60" w:right="-115"/>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Construcția Unității de primiri urgente a Institutului de Medicină Urgentă, str. Toma Ciorbă nr.1, municipiul Chișinău</w:t>
            </w:r>
          </w:p>
        </w:tc>
        <w:tc>
          <w:tcPr>
            <w:tcW w:w="707" w:type="dxa"/>
            <w:tcBorders>
              <w:top w:val="nil"/>
              <w:left w:val="nil"/>
              <w:bottom w:val="single" w:sz="4" w:space="0" w:color="auto"/>
              <w:right w:val="single" w:sz="4" w:space="0" w:color="auto"/>
            </w:tcBorders>
            <w:shd w:val="clear" w:color="auto" w:fill="auto"/>
            <w:vAlign w:val="center"/>
            <w:hideMark/>
          </w:tcPr>
          <w:p w:rsidR="002751E2" w:rsidRPr="00F55BA6" w:rsidRDefault="002751E2"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2018</w:t>
            </w:r>
          </w:p>
        </w:tc>
        <w:tc>
          <w:tcPr>
            <w:tcW w:w="951" w:type="dxa"/>
            <w:tcBorders>
              <w:top w:val="nil"/>
              <w:left w:val="nil"/>
              <w:bottom w:val="single" w:sz="4" w:space="0" w:color="auto"/>
              <w:right w:val="single" w:sz="4" w:space="0" w:color="auto"/>
            </w:tcBorders>
            <w:shd w:val="clear" w:color="000000" w:fill="FFFFFF"/>
            <w:vAlign w:val="center"/>
            <w:hideMark/>
          </w:tcPr>
          <w:p w:rsidR="002751E2" w:rsidRPr="00F55BA6" w:rsidRDefault="002751E2" w:rsidP="00B51730">
            <w:pPr>
              <w:spacing w:after="0" w:line="240" w:lineRule="auto"/>
              <w:ind w:left="-77" w:right="-111"/>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res. generale și PFSE</w:t>
            </w:r>
          </w:p>
        </w:tc>
        <w:tc>
          <w:tcPr>
            <w:tcW w:w="1144" w:type="dxa"/>
            <w:tcBorders>
              <w:top w:val="nil"/>
              <w:left w:val="nil"/>
              <w:bottom w:val="single" w:sz="4" w:space="0" w:color="auto"/>
              <w:right w:val="single" w:sz="4" w:space="0" w:color="auto"/>
            </w:tcBorders>
            <w:shd w:val="clear" w:color="000000" w:fill="F2F2F2"/>
            <w:noWrap/>
            <w:vAlign w:val="center"/>
            <w:hideMark/>
          </w:tcPr>
          <w:p w:rsidR="002751E2" w:rsidRPr="00F55BA6" w:rsidRDefault="002751E2" w:rsidP="00B51730">
            <w:pPr>
              <w:spacing w:after="0" w:line="240" w:lineRule="auto"/>
              <w:ind w:left="-30" w:right="-1"/>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29.802,2</w:t>
            </w:r>
          </w:p>
        </w:tc>
        <w:tc>
          <w:tcPr>
            <w:tcW w:w="831" w:type="dxa"/>
            <w:tcBorders>
              <w:top w:val="nil"/>
              <w:left w:val="nil"/>
              <w:bottom w:val="single" w:sz="4" w:space="0" w:color="auto"/>
              <w:right w:val="single" w:sz="4" w:space="0" w:color="auto"/>
            </w:tcBorders>
            <w:shd w:val="clear" w:color="auto" w:fill="auto"/>
            <w:noWrap/>
            <w:vAlign w:val="bottom"/>
            <w:hideMark/>
          </w:tcPr>
          <w:p w:rsidR="002751E2" w:rsidRPr="00F55BA6" w:rsidRDefault="002751E2"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 </w:t>
            </w:r>
          </w:p>
        </w:tc>
        <w:tc>
          <w:tcPr>
            <w:tcW w:w="1073" w:type="dxa"/>
            <w:tcBorders>
              <w:top w:val="nil"/>
              <w:left w:val="nil"/>
              <w:bottom w:val="single" w:sz="4" w:space="0" w:color="auto"/>
              <w:right w:val="single" w:sz="4" w:space="0" w:color="auto"/>
            </w:tcBorders>
            <w:shd w:val="clear" w:color="auto" w:fill="auto"/>
            <w:noWrap/>
            <w:vAlign w:val="bottom"/>
            <w:hideMark/>
          </w:tcPr>
          <w:p w:rsidR="002751E2" w:rsidRPr="00F55BA6" w:rsidRDefault="002751E2"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 </w:t>
            </w:r>
          </w:p>
        </w:tc>
        <w:tc>
          <w:tcPr>
            <w:tcW w:w="1127" w:type="dxa"/>
            <w:tcBorders>
              <w:top w:val="nil"/>
              <w:left w:val="nil"/>
              <w:bottom w:val="single" w:sz="4" w:space="0" w:color="auto"/>
              <w:right w:val="single" w:sz="4" w:space="0" w:color="auto"/>
            </w:tcBorders>
            <w:shd w:val="clear" w:color="auto" w:fill="auto"/>
            <w:noWrap/>
            <w:vAlign w:val="bottom"/>
            <w:hideMark/>
          </w:tcPr>
          <w:p w:rsidR="002751E2" w:rsidRPr="00F55BA6" w:rsidRDefault="002751E2"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 </w:t>
            </w:r>
          </w:p>
        </w:tc>
        <w:tc>
          <w:tcPr>
            <w:tcW w:w="1107" w:type="dxa"/>
            <w:tcBorders>
              <w:top w:val="nil"/>
              <w:left w:val="nil"/>
              <w:bottom w:val="single" w:sz="4" w:space="0" w:color="auto"/>
              <w:right w:val="single" w:sz="4" w:space="0" w:color="auto"/>
            </w:tcBorders>
            <w:shd w:val="clear" w:color="auto" w:fill="auto"/>
            <w:noWrap/>
            <w:vAlign w:val="bottom"/>
            <w:hideMark/>
          </w:tcPr>
          <w:p w:rsidR="002751E2" w:rsidRPr="00F55BA6" w:rsidRDefault="002751E2"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 </w:t>
            </w:r>
          </w:p>
        </w:tc>
        <w:tc>
          <w:tcPr>
            <w:tcW w:w="1071" w:type="dxa"/>
            <w:tcBorders>
              <w:top w:val="nil"/>
              <w:left w:val="nil"/>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ind w:left="-103" w:right="-73"/>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32.005,0</w:t>
            </w:r>
          </w:p>
        </w:tc>
        <w:tc>
          <w:tcPr>
            <w:tcW w:w="1162" w:type="dxa"/>
            <w:tcBorders>
              <w:top w:val="nil"/>
              <w:left w:val="nil"/>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ind w:left="-114"/>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29.607,8</w:t>
            </w:r>
          </w:p>
        </w:tc>
        <w:tc>
          <w:tcPr>
            <w:tcW w:w="1139" w:type="dxa"/>
            <w:tcBorders>
              <w:top w:val="nil"/>
              <w:left w:val="nil"/>
              <w:bottom w:val="single" w:sz="4" w:space="0" w:color="auto"/>
              <w:right w:val="nil"/>
            </w:tcBorders>
            <w:shd w:val="clear" w:color="auto" w:fill="auto"/>
            <w:noWrap/>
            <w:vAlign w:val="center"/>
            <w:hideMark/>
          </w:tcPr>
          <w:p w:rsidR="002751E2" w:rsidRPr="00F55BA6" w:rsidRDefault="002751E2"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50.597,5</w:t>
            </w:r>
          </w:p>
        </w:tc>
        <w:tc>
          <w:tcPr>
            <w:tcW w:w="1024" w:type="dxa"/>
            <w:tcBorders>
              <w:top w:val="nil"/>
              <w:left w:val="single" w:sz="8" w:space="0" w:color="auto"/>
              <w:bottom w:val="single" w:sz="4" w:space="0" w:color="auto"/>
              <w:right w:val="single" w:sz="4" w:space="0" w:color="auto"/>
            </w:tcBorders>
            <w:shd w:val="clear" w:color="000000" w:fill="FFE699"/>
            <w:noWrap/>
            <w:vAlign w:val="center"/>
            <w:hideMark/>
          </w:tcPr>
          <w:p w:rsidR="002751E2" w:rsidRPr="00F55BA6" w:rsidRDefault="002751E2"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20.795,3</w:t>
            </w:r>
          </w:p>
        </w:tc>
        <w:tc>
          <w:tcPr>
            <w:tcW w:w="945" w:type="dxa"/>
            <w:tcBorders>
              <w:top w:val="nil"/>
              <w:left w:val="nil"/>
              <w:bottom w:val="single" w:sz="4" w:space="0" w:color="auto"/>
              <w:right w:val="single" w:sz="8" w:space="0" w:color="auto"/>
            </w:tcBorders>
            <w:shd w:val="clear" w:color="000000" w:fill="FFE699"/>
            <w:noWrap/>
            <w:vAlign w:val="center"/>
            <w:hideMark/>
          </w:tcPr>
          <w:p w:rsidR="002751E2" w:rsidRPr="00F55BA6" w:rsidRDefault="002751E2"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69,8</w:t>
            </w:r>
          </w:p>
        </w:tc>
      </w:tr>
      <w:tr w:rsidR="002751E2" w:rsidRPr="00E4517B" w:rsidTr="00B51730">
        <w:trPr>
          <w:trHeight w:val="7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26</w:t>
            </w:r>
          </w:p>
        </w:tc>
        <w:tc>
          <w:tcPr>
            <w:tcW w:w="2456" w:type="dxa"/>
            <w:tcBorders>
              <w:top w:val="nil"/>
              <w:left w:val="nil"/>
              <w:bottom w:val="single" w:sz="4" w:space="0" w:color="auto"/>
              <w:right w:val="single" w:sz="4" w:space="0" w:color="auto"/>
            </w:tcBorders>
            <w:shd w:val="clear" w:color="auto" w:fill="auto"/>
            <w:vAlign w:val="center"/>
            <w:hideMark/>
          </w:tcPr>
          <w:p w:rsidR="002751E2" w:rsidRPr="00F55BA6" w:rsidRDefault="002751E2" w:rsidP="00B51730">
            <w:pPr>
              <w:spacing w:after="0" w:line="240" w:lineRule="auto"/>
              <w:ind w:left="-60" w:right="-115"/>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Proiectul „Reabilitarea drumurilor cu suportul Republicii Belarus”</w:t>
            </w:r>
          </w:p>
        </w:tc>
        <w:tc>
          <w:tcPr>
            <w:tcW w:w="707" w:type="dxa"/>
            <w:tcBorders>
              <w:top w:val="nil"/>
              <w:left w:val="nil"/>
              <w:bottom w:val="single" w:sz="4" w:space="0" w:color="auto"/>
              <w:right w:val="single" w:sz="4" w:space="0" w:color="auto"/>
            </w:tcBorders>
            <w:shd w:val="clear" w:color="auto" w:fill="auto"/>
            <w:vAlign w:val="center"/>
            <w:hideMark/>
          </w:tcPr>
          <w:p w:rsidR="002751E2" w:rsidRPr="00F55BA6" w:rsidRDefault="002751E2"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2019</w:t>
            </w:r>
          </w:p>
        </w:tc>
        <w:tc>
          <w:tcPr>
            <w:tcW w:w="951" w:type="dxa"/>
            <w:tcBorders>
              <w:top w:val="nil"/>
              <w:left w:val="nil"/>
              <w:bottom w:val="single" w:sz="4" w:space="0" w:color="auto"/>
              <w:right w:val="single" w:sz="4" w:space="0" w:color="auto"/>
            </w:tcBorders>
            <w:shd w:val="clear" w:color="000000" w:fill="FFFFFF"/>
            <w:vAlign w:val="center"/>
            <w:hideMark/>
          </w:tcPr>
          <w:p w:rsidR="002751E2" w:rsidRPr="00F55BA6" w:rsidRDefault="002751E2" w:rsidP="00B51730">
            <w:pPr>
              <w:spacing w:after="0" w:line="240" w:lineRule="auto"/>
              <w:ind w:left="-77" w:right="-111"/>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res. generale și PFSE</w:t>
            </w:r>
          </w:p>
        </w:tc>
        <w:tc>
          <w:tcPr>
            <w:tcW w:w="1144" w:type="dxa"/>
            <w:tcBorders>
              <w:top w:val="nil"/>
              <w:left w:val="nil"/>
              <w:bottom w:val="single" w:sz="4" w:space="0" w:color="auto"/>
              <w:right w:val="single" w:sz="4" w:space="0" w:color="auto"/>
            </w:tcBorders>
            <w:shd w:val="clear" w:color="000000" w:fill="F2F2F2"/>
            <w:noWrap/>
            <w:vAlign w:val="center"/>
            <w:hideMark/>
          </w:tcPr>
          <w:p w:rsidR="002751E2" w:rsidRPr="00F55BA6" w:rsidRDefault="002751E2" w:rsidP="00B51730">
            <w:pPr>
              <w:spacing w:after="0" w:line="240" w:lineRule="auto"/>
              <w:ind w:left="-30" w:right="-1"/>
              <w:jc w:val="right"/>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300.000,0</w:t>
            </w:r>
          </w:p>
        </w:tc>
        <w:tc>
          <w:tcPr>
            <w:tcW w:w="831" w:type="dxa"/>
            <w:tcBorders>
              <w:top w:val="nil"/>
              <w:left w:val="nil"/>
              <w:bottom w:val="single" w:sz="4" w:space="0" w:color="auto"/>
              <w:right w:val="single" w:sz="4" w:space="0" w:color="auto"/>
            </w:tcBorders>
            <w:shd w:val="clear" w:color="auto" w:fill="auto"/>
            <w:noWrap/>
            <w:vAlign w:val="bottom"/>
            <w:hideMark/>
          </w:tcPr>
          <w:p w:rsidR="002751E2" w:rsidRPr="00F55BA6" w:rsidRDefault="002751E2"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 </w:t>
            </w:r>
          </w:p>
        </w:tc>
        <w:tc>
          <w:tcPr>
            <w:tcW w:w="1073" w:type="dxa"/>
            <w:tcBorders>
              <w:top w:val="nil"/>
              <w:left w:val="nil"/>
              <w:bottom w:val="single" w:sz="4" w:space="0" w:color="auto"/>
              <w:right w:val="single" w:sz="4" w:space="0" w:color="auto"/>
            </w:tcBorders>
            <w:shd w:val="clear" w:color="auto" w:fill="auto"/>
            <w:noWrap/>
            <w:vAlign w:val="bottom"/>
            <w:hideMark/>
          </w:tcPr>
          <w:p w:rsidR="002751E2" w:rsidRPr="00F55BA6" w:rsidRDefault="002751E2"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 </w:t>
            </w:r>
          </w:p>
        </w:tc>
        <w:tc>
          <w:tcPr>
            <w:tcW w:w="1127" w:type="dxa"/>
            <w:tcBorders>
              <w:top w:val="nil"/>
              <w:left w:val="nil"/>
              <w:bottom w:val="single" w:sz="4" w:space="0" w:color="auto"/>
              <w:right w:val="single" w:sz="4" w:space="0" w:color="auto"/>
            </w:tcBorders>
            <w:shd w:val="clear" w:color="auto" w:fill="auto"/>
            <w:noWrap/>
            <w:vAlign w:val="bottom"/>
            <w:hideMark/>
          </w:tcPr>
          <w:p w:rsidR="002751E2" w:rsidRPr="00F55BA6" w:rsidRDefault="002751E2"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 </w:t>
            </w:r>
          </w:p>
        </w:tc>
        <w:tc>
          <w:tcPr>
            <w:tcW w:w="1107" w:type="dxa"/>
            <w:tcBorders>
              <w:top w:val="nil"/>
              <w:left w:val="nil"/>
              <w:bottom w:val="single" w:sz="4" w:space="0" w:color="auto"/>
              <w:right w:val="single" w:sz="4" w:space="0" w:color="auto"/>
            </w:tcBorders>
            <w:shd w:val="clear" w:color="auto" w:fill="auto"/>
            <w:noWrap/>
            <w:vAlign w:val="bottom"/>
            <w:hideMark/>
          </w:tcPr>
          <w:p w:rsidR="002751E2" w:rsidRPr="00F55BA6" w:rsidRDefault="002751E2"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 </w:t>
            </w:r>
          </w:p>
        </w:tc>
        <w:tc>
          <w:tcPr>
            <w:tcW w:w="1071" w:type="dxa"/>
            <w:tcBorders>
              <w:top w:val="nil"/>
              <w:left w:val="nil"/>
              <w:bottom w:val="single" w:sz="4" w:space="0" w:color="auto"/>
              <w:right w:val="single" w:sz="4" w:space="0" w:color="auto"/>
            </w:tcBorders>
            <w:shd w:val="clear" w:color="auto" w:fill="auto"/>
            <w:noWrap/>
            <w:vAlign w:val="bottom"/>
            <w:hideMark/>
          </w:tcPr>
          <w:p w:rsidR="002751E2" w:rsidRPr="00F55BA6" w:rsidRDefault="002751E2"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 </w:t>
            </w:r>
          </w:p>
        </w:tc>
        <w:tc>
          <w:tcPr>
            <w:tcW w:w="1162" w:type="dxa"/>
            <w:tcBorders>
              <w:top w:val="nil"/>
              <w:left w:val="nil"/>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ind w:left="-114"/>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300.000,0</w:t>
            </w:r>
          </w:p>
        </w:tc>
        <w:tc>
          <w:tcPr>
            <w:tcW w:w="1139" w:type="dxa"/>
            <w:tcBorders>
              <w:top w:val="nil"/>
              <w:left w:val="nil"/>
              <w:bottom w:val="single" w:sz="4" w:space="0" w:color="auto"/>
              <w:right w:val="nil"/>
            </w:tcBorders>
            <w:shd w:val="clear" w:color="auto" w:fill="auto"/>
            <w:noWrap/>
            <w:vAlign w:val="center"/>
            <w:hideMark/>
          </w:tcPr>
          <w:p w:rsidR="002751E2" w:rsidRPr="00F55BA6" w:rsidRDefault="002751E2"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805.300,3</w:t>
            </w:r>
          </w:p>
        </w:tc>
        <w:tc>
          <w:tcPr>
            <w:tcW w:w="1024" w:type="dxa"/>
            <w:tcBorders>
              <w:top w:val="nil"/>
              <w:left w:val="single" w:sz="8" w:space="0" w:color="auto"/>
              <w:bottom w:val="single" w:sz="4" w:space="0" w:color="auto"/>
              <w:right w:val="single" w:sz="4" w:space="0" w:color="auto"/>
            </w:tcBorders>
            <w:shd w:val="clear" w:color="000000" w:fill="FFE699"/>
            <w:noWrap/>
            <w:vAlign w:val="center"/>
            <w:hideMark/>
          </w:tcPr>
          <w:p w:rsidR="002751E2" w:rsidRPr="00F55BA6" w:rsidRDefault="002751E2"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505.300,3</w:t>
            </w:r>
          </w:p>
        </w:tc>
        <w:tc>
          <w:tcPr>
            <w:tcW w:w="945" w:type="dxa"/>
            <w:tcBorders>
              <w:top w:val="nil"/>
              <w:left w:val="nil"/>
              <w:bottom w:val="single" w:sz="4" w:space="0" w:color="auto"/>
              <w:right w:val="single" w:sz="8" w:space="0" w:color="auto"/>
            </w:tcBorders>
            <w:shd w:val="clear" w:color="000000" w:fill="FFE699"/>
            <w:noWrap/>
            <w:vAlign w:val="center"/>
            <w:hideMark/>
          </w:tcPr>
          <w:p w:rsidR="002751E2" w:rsidRPr="00F55BA6" w:rsidRDefault="002751E2"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168,4</w:t>
            </w:r>
          </w:p>
        </w:tc>
      </w:tr>
      <w:tr w:rsidR="002751E2" w:rsidRPr="00E4517B" w:rsidTr="00B51730">
        <w:trPr>
          <w:trHeight w:val="389"/>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jc w:val="center"/>
              <w:rPr>
                <w:rFonts w:asciiTheme="majorHAnsi" w:eastAsia="Times New Roman" w:hAnsiTheme="majorHAnsi" w:cstheme="majorHAnsi"/>
                <w:b/>
                <w:bCs/>
                <w:color w:val="000000"/>
                <w:sz w:val="20"/>
                <w:szCs w:val="20"/>
                <w:lang w:val="ro-RO"/>
              </w:rPr>
            </w:pPr>
            <w:r w:rsidRPr="00F55BA6">
              <w:rPr>
                <w:rFonts w:asciiTheme="majorHAnsi" w:eastAsia="Times New Roman" w:hAnsiTheme="majorHAnsi" w:cstheme="majorHAnsi"/>
                <w:b/>
                <w:bCs/>
                <w:color w:val="000000"/>
                <w:sz w:val="20"/>
                <w:szCs w:val="20"/>
                <w:lang w:val="ro-RO"/>
              </w:rPr>
              <w:t>27</w:t>
            </w:r>
          </w:p>
        </w:tc>
        <w:tc>
          <w:tcPr>
            <w:tcW w:w="2456" w:type="dxa"/>
            <w:tcBorders>
              <w:top w:val="nil"/>
              <w:left w:val="nil"/>
              <w:bottom w:val="single" w:sz="4" w:space="0" w:color="auto"/>
              <w:right w:val="single" w:sz="4" w:space="0" w:color="auto"/>
            </w:tcBorders>
            <w:shd w:val="clear" w:color="auto" w:fill="auto"/>
            <w:vAlign w:val="center"/>
            <w:hideMark/>
          </w:tcPr>
          <w:p w:rsidR="002751E2" w:rsidRPr="00F55BA6" w:rsidRDefault="002751E2" w:rsidP="00B51730">
            <w:pPr>
              <w:spacing w:after="0" w:line="240" w:lineRule="auto"/>
              <w:ind w:left="-60" w:right="-115"/>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Renovarea clădirii și a teritoriului adiacent ale Spitalului de Stat, str. Drumul Viilor nr.34, municipiul Chișinău</w:t>
            </w:r>
          </w:p>
        </w:tc>
        <w:tc>
          <w:tcPr>
            <w:tcW w:w="707" w:type="dxa"/>
            <w:tcBorders>
              <w:top w:val="nil"/>
              <w:left w:val="nil"/>
              <w:bottom w:val="single" w:sz="4" w:space="0" w:color="auto"/>
              <w:right w:val="single" w:sz="4" w:space="0" w:color="auto"/>
            </w:tcBorders>
            <w:shd w:val="clear" w:color="auto" w:fill="auto"/>
            <w:vAlign w:val="center"/>
            <w:hideMark/>
          </w:tcPr>
          <w:p w:rsidR="002751E2" w:rsidRPr="00F55BA6" w:rsidRDefault="002751E2"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2019</w:t>
            </w:r>
          </w:p>
        </w:tc>
        <w:tc>
          <w:tcPr>
            <w:tcW w:w="951" w:type="dxa"/>
            <w:tcBorders>
              <w:top w:val="nil"/>
              <w:left w:val="nil"/>
              <w:bottom w:val="single" w:sz="4" w:space="0" w:color="auto"/>
              <w:right w:val="single" w:sz="4" w:space="0" w:color="auto"/>
            </w:tcBorders>
            <w:shd w:val="clear" w:color="000000" w:fill="FFFFFF"/>
            <w:vAlign w:val="center"/>
            <w:hideMark/>
          </w:tcPr>
          <w:p w:rsidR="002751E2" w:rsidRPr="00F55BA6" w:rsidRDefault="002751E2" w:rsidP="00B51730">
            <w:pPr>
              <w:spacing w:after="0" w:line="240" w:lineRule="auto"/>
              <w:ind w:left="-77" w:right="-111"/>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res. generale</w:t>
            </w:r>
          </w:p>
        </w:tc>
        <w:tc>
          <w:tcPr>
            <w:tcW w:w="1144" w:type="dxa"/>
            <w:tcBorders>
              <w:top w:val="nil"/>
              <w:left w:val="nil"/>
              <w:bottom w:val="single" w:sz="4" w:space="0" w:color="auto"/>
              <w:right w:val="single" w:sz="4" w:space="0" w:color="auto"/>
            </w:tcBorders>
            <w:shd w:val="clear" w:color="000000" w:fill="F2F2F2"/>
            <w:noWrap/>
            <w:vAlign w:val="center"/>
            <w:hideMark/>
          </w:tcPr>
          <w:p w:rsidR="002751E2" w:rsidRPr="00F55BA6" w:rsidRDefault="002751E2" w:rsidP="00B51730">
            <w:pPr>
              <w:spacing w:after="0" w:line="240" w:lineRule="auto"/>
              <w:ind w:left="-30" w:right="-1"/>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6.000,0</w:t>
            </w:r>
          </w:p>
        </w:tc>
        <w:tc>
          <w:tcPr>
            <w:tcW w:w="831" w:type="dxa"/>
            <w:tcBorders>
              <w:top w:val="nil"/>
              <w:left w:val="nil"/>
              <w:bottom w:val="single" w:sz="4" w:space="0" w:color="auto"/>
              <w:right w:val="single" w:sz="4" w:space="0" w:color="auto"/>
            </w:tcBorders>
            <w:shd w:val="clear" w:color="auto" w:fill="auto"/>
            <w:noWrap/>
            <w:vAlign w:val="bottom"/>
            <w:hideMark/>
          </w:tcPr>
          <w:p w:rsidR="002751E2" w:rsidRPr="00F55BA6" w:rsidRDefault="002751E2"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 </w:t>
            </w:r>
          </w:p>
        </w:tc>
        <w:tc>
          <w:tcPr>
            <w:tcW w:w="1073" w:type="dxa"/>
            <w:tcBorders>
              <w:top w:val="nil"/>
              <w:left w:val="nil"/>
              <w:bottom w:val="single" w:sz="4" w:space="0" w:color="auto"/>
              <w:right w:val="single" w:sz="4" w:space="0" w:color="auto"/>
            </w:tcBorders>
            <w:shd w:val="clear" w:color="auto" w:fill="auto"/>
            <w:noWrap/>
            <w:vAlign w:val="bottom"/>
            <w:hideMark/>
          </w:tcPr>
          <w:p w:rsidR="002751E2" w:rsidRPr="00F55BA6" w:rsidRDefault="002751E2"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 </w:t>
            </w:r>
          </w:p>
        </w:tc>
        <w:tc>
          <w:tcPr>
            <w:tcW w:w="1127" w:type="dxa"/>
            <w:tcBorders>
              <w:top w:val="nil"/>
              <w:left w:val="nil"/>
              <w:bottom w:val="single" w:sz="4" w:space="0" w:color="auto"/>
              <w:right w:val="single" w:sz="4" w:space="0" w:color="auto"/>
            </w:tcBorders>
            <w:shd w:val="clear" w:color="auto" w:fill="auto"/>
            <w:noWrap/>
            <w:vAlign w:val="bottom"/>
            <w:hideMark/>
          </w:tcPr>
          <w:p w:rsidR="002751E2" w:rsidRPr="00F55BA6" w:rsidRDefault="002751E2"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 </w:t>
            </w:r>
          </w:p>
        </w:tc>
        <w:tc>
          <w:tcPr>
            <w:tcW w:w="1107" w:type="dxa"/>
            <w:tcBorders>
              <w:top w:val="nil"/>
              <w:left w:val="nil"/>
              <w:bottom w:val="single" w:sz="4" w:space="0" w:color="auto"/>
              <w:right w:val="single" w:sz="4" w:space="0" w:color="auto"/>
            </w:tcBorders>
            <w:shd w:val="clear" w:color="auto" w:fill="auto"/>
            <w:noWrap/>
            <w:vAlign w:val="bottom"/>
            <w:hideMark/>
          </w:tcPr>
          <w:p w:rsidR="002751E2" w:rsidRPr="00F55BA6" w:rsidRDefault="002751E2"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 </w:t>
            </w:r>
          </w:p>
        </w:tc>
        <w:tc>
          <w:tcPr>
            <w:tcW w:w="1071" w:type="dxa"/>
            <w:tcBorders>
              <w:top w:val="nil"/>
              <w:left w:val="nil"/>
              <w:bottom w:val="single" w:sz="4" w:space="0" w:color="auto"/>
              <w:right w:val="single" w:sz="4" w:space="0" w:color="auto"/>
            </w:tcBorders>
            <w:shd w:val="clear" w:color="auto" w:fill="auto"/>
            <w:noWrap/>
            <w:vAlign w:val="bottom"/>
            <w:hideMark/>
          </w:tcPr>
          <w:p w:rsidR="002751E2" w:rsidRPr="00F55BA6" w:rsidRDefault="002751E2" w:rsidP="00B51730">
            <w:pPr>
              <w:spacing w:after="0" w:line="240" w:lineRule="auto"/>
              <w:jc w:val="lef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 </w:t>
            </w:r>
          </w:p>
        </w:tc>
        <w:tc>
          <w:tcPr>
            <w:tcW w:w="1162" w:type="dxa"/>
            <w:tcBorders>
              <w:top w:val="nil"/>
              <w:left w:val="nil"/>
              <w:bottom w:val="single" w:sz="4" w:space="0" w:color="auto"/>
              <w:right w:val="single" w:sz="4" w:space="0" w:color="auto"/>
            </w:tcBorders>
            <w:shd w:val="clear" w:color="auto" w:fill="auto"/>
            <w:noWrap/>
            <w:vAlign w:val="center"/>
            <w:hideMark/>
          </w:tcPr>
          <w:p w:rsidR="002751E2" w:rsidRPr="00F55BA6" w:rsidRDefault="002751E2" w:rsidP="00B51730">
            <w:pPr>
              <w:spacing w:after="0" w:line="240" w:lineRule="auto"/>
              <w:ind w:left="-114"/>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38.464,9</w:t>
            </w:r>
          </w:p>
        </w:tc>
        <w:tc>
          <w:tcPr>
            <w:tcW w:w="1139" w:type="dxa"/>
            <w:tcBorders>
              <w:top w:val="nil"/>
              <w:left w:val="nil"/>
              <w:bottom w:val="single" w:sz="4" w:space="0" w:color="auto"/>
              <w:right w:val="nil"/>
            </w:tcBorders>
            <w:shd w:val="clear" w:color="auto" w:fill="auto"/>
            <w:noWrap/>
            <w:vAlign w:val="center"/>
            <w:hideMark/>
          </w:tcPr>
          <w:p w:rsidR="002751E2" w:rsidRPr="00F55BA6" w:rsidRDefault="002751E2" w:rsidP="00B51730">
            <w:pPr>
              <w:spacing w:after="0" w:line="240" w:lineRule="auto"/>
              <w:jc w:val="right"/>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10.206,2</w:t>
            </w:r>
          </w:p>
        </w:tc>
        <w:tc>
          <w:tcPr>
            <w:tcW w:w="1024" w:type="dxa"/>
            <w:tcBorders>
              <w:top w:val="nil"/>
              <w:left w:val="single" w:sz="8" w:space="0" w:color="auto"/>
              <w:bottom w:val="single" w:sz="4" w:space="0" w:color="auto"/>
              <w:right w:val="single" w:sz="4" w:space="0" w:color="auto"/>
            </w:tcBorders>
            <w:shd w:val="clear" w:color="000000" w:fill="FFE699"/>
            <w:noWrap/>
            <w:vAlign w:val="center"/>
            <w:hideMark/>
          </w:tcPr>
          <w:p w:rsidR="002751E2" w:rsidRPr="00F55BA6" w:rsidRDefault="002751E2"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4.206,2</w:t>
            </w:r>
          </w:p>
        </w:tc>
        <w:tc>
          <w:tcPr>
            <w:tcW w:w="945" w:type="dxa"/>
            <w:tcBorders>
              <w:top w:val="nil"/>
              <w:left w:val="nil"/>
              <w:bottom w:val="single" w:sz="4" w:space="0" w:color="auto"/>
              <w:right w:val="single" w:sz="8" w:space="0" w:color="auto"/>
            </w:tcBorders>
            <w:shd w:val="clear" w:color="000000" w:fill="FFE699"/>
            <w:noWrap/>
            <w:vAlign w:val="center"/>
            <w:hideMark/>
          </w:tcPr>
          <w:p w:rsidR="002751E2" w:rsidRPr="00F55BA6" w:rsidRDefault="002751E2" w:rsidP="00B51730">
            <w:pPr>
              <w:spacing w:after="0" w:line="240" w:lineRule="auto"/>
              <w:jc w:val="center"/>
              <w:rPr>
                <w:rFonts w:asciiTheme="majorHAnsi" w:eastAsia="Times New Roman" w:hAnsiTheme="majorHAnsi" w:cstheme="majorHAnsi"/>
                <w:color w:val="000000"/>
                <w:sz w:val="20"/>
                <w:szCs w:val="20"/>
                <w:lang w:val="ro-RO"/>
              </w:rPr>
            </w:pPr>
            <w:r w:rsidRPr="00F55BA6">
              <w:rPr>
                <w:rFonts w:asciiTheme="majorHAnsi" w:eastAsia="Times New Roman" w:hAnsiTheme="majorHAnsi" w:cstheme="majorHAnsi"/>
                <w:color w:val="000000"/>
                <w:sz w:val="20"/>
                <w:szCs w:val="20"/>
                <w:lang w:val="ro-RO"/>
              </w:rPr>
              <w:t>70,1</w:t>
            </w:r>
          </w:p>
        </w:tc>
      </w:tr>
    </w:tbl>
    <w:p w:rsidR="00424F4D" w:rsidRPr="00F55BA6" w:rsidRDefault="002751E2" w:rsidP="00EE602B">
      <w:pPr>
        <w:jc w:val="left"/>
        <w:rPr>
          <w:rFonts w:asciiTheme="majorHAnsi" w:hAnsiTheme="majorHAnsi" w:cstheme="majorHAnsi"/>
          <w:b/>
          <w:i/>
          <w:sz w:val="20"/>
          <w:szCs w:val="20"/>
          <w:lang w:val="ro-RO"/>
        </w:rPr>
      </w:pPr>
      <w:r w:rsidRPr="00E4517B">
        <w:rPr>
          <w:rFonts w:asciiTheme="majorHAnsi" w:hAnsiTheme="majorHAnsi" w:cstheme="majorHAnsi"/>
          <w:b/>
          <w:i/>
          <w:sz w:val="20"/>
          <w:szCs w:val="20"/>
          <w:lang w:val="ro-RO"/>
        </w:rPr>
        <w:t xml:space="preserve">Sursă: </w:t>
      </w:r>
      <w:r w:rsidRPr="00F55BA6">
        <w:rPr>
          <w:rFonts w:asciiTheme="majorHAnsi" w:hAnsiTheme="majorHAnsi" w:cstheme="majorHAnsi"/>
          <w:bCs/>
          <w:i/>
          <w:sz w:val="20"/>
          <w:szCs w:val="20"/>
          <w:lang w:val="ro-RO"/>
        </w:rPr>
        <w:t>Notele informative la proiectul Legii BS pentru anii 2014 -2020.</w:t>
      </w:r>
    </w:p>
    <w:p w:rsidR="00424F4D" w:rsidRPr="00F55BA6" w:rsidRDefault="00424F4D" w:rsidP="00C37226">
      <w:pPr>
        <w:spacing w:after="0"/>
        <w:jc w:val="right"/>
        <w:rPr>
          <w:rFonts w:asciiTheme="majorHAnsi" w:hAnsiTheme="majorHAnsi" w:cstheme="majorHAnsi"/>
          <w:b/>
          <w:sz w:val="24"/>
          <w:szCs w:val="24"/>
          <w:lang w:val="ro-RO"/>
        </w:rPr>
      </w:pPr>
    </w:p>
    <w:p w:rsidR="004D6726" w:rsidRPr="00973E5B" w:rsidRDefault="008E47D2" w:rsidP="004D6726">
      <w:pPr>
        <w:shd w:val="clear" w:color="auto" w:fill="FFFFFF" w:themeFill="background1"/>
        <w:tabs>
          <w:tab w:val="left" w:pos="284"/>
          <w:tab w:val="left" w:pos="993"/>
          <w:tab w:val="left" w:pos="6663"/>
        </w:tabs>
        <w:spacing w:after="0" w:line="276" w:lineRule="auto"/>
        <w:jc w:val="right"/>
        <w:rPr>
          <w:rFonts w:asciiTheme="majorHAnsi" w:eastAsia="Times New Roman" w:hAnsiTheme="majorHAnsi" w:cstheme="majorHAnsi"/>
          <w:b/>
          <w:sz w:val="24"/>
          <w:szCs w:val="24"/>
          <w:lang w:val="ro-RO"/>
        </w:rPr>
      </w:pPr>
      <w:r w:rsidRPr="00E4517B">
        <w:rPr>
          <w:rFonts w:asciiTheme="majorHAnsi" w:eastAsia="Times New Roman" w:hAnsiTheme="majorHAnsi" w:cstheme="majorHAnsi"/>
          <w:b/>
          <w:sz w:val="24"/>
          <w:szCs w:val="24"/>
          <w:lang w:val="ro-RO"/>
        </w:rPr>
        <w:t>Anexa nr.9</w:t>
      </w:r>
    </w:p>
    <w:p w:rsidR="004D6726" w:rsidRPr="00E4517B" w:rsidRDefault="004D6726" w:rsidP="004D6726">
      <w:pPr>
        <w:jc w:val="center"/>
        <w:rPr>
          <w:rFonts w:asciiTheme="majorHAnsi" w:hAnsiTheme="majorHAnsi" w:cstheme="majorHAnsi"/>
          <w:b/>
          <w:sz w:val="24"/>
          <w:szCs w:val="24"/>
          <w:lang w:val="ro-RO"/>
        </w:rPr>
      </w:pPr>
      <w:r w:rsidRPr="00F55BA6">
        <w:rPr>
          <w:rFonts w:asciiTheme="majorHAnsi" w:eastAsia="Times New Roman" w:hAnsiTheme="majorHAnsi" w:cstheme="majorHAnsi"/>
          <w:b/>
          <w:bCs/>
          <w:color w:val="000000"/>
          <w:sz w:val="24"/>
          <w:szCs w:val="24"/>
          <w:lang w:val="ro-RO"/>
        </w:rPr>
        <w:t>Analiza modificărilor operate la Legea bugetului de stat pentru anul 2020</w:t>
      </w:r>
    </w:p>
    <w:tbl>
      <w:tblPr>
        <w:tblW w:w="13745" w:type="dxa"/>
        <w:tblInd w:w="-5" w:type="dxa"/>
        <w:tblLook w:val="04A0" w:firstRow="1" w:lastRow="0" w:firstColumn="1" w:lastColumn="0" w:noHBand="0" w:noVBand="1"/>
      </w:tblPr>
      <w:tblGrid>
        <w:gridCol w:w="3402"/>
        <w:gridCol w:w="1200"/>
        <w:gridCol w:w="1205"/>
        <w:gridCol w:w="1125"/>
        <w:gridCol w:w="1125"/>
        <w:gridCol w:w="1125"/>
        <w:gridCol w:w="1161"/>
        <w:gridCol w:w="1151"/>
        <w:gridCol w:w="1120"/>
        <w:gridCol w:w="1131"/>
      </w:tblGrid>
      <w:tr w:rsidR="004D6726" w:rsidRPr="00E4517B" w:rsidTr="00B51730">
        <w:trPr>
          <w:trHeight w:val="315"/>
        </w:trPr>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center"/>
              <w:rPr>
                <w:rFonts w:ascii="Calibri Light" w:eastAsia="Times New Roman" w:hAnsi="Calibri Light" w:cs="Calibri Light"/>
                <w:b/>
                <w:bCs/>
                <w:color w:val="000000"/>
                <w:sz w:val="20"/>
                <w:szCs w:val="20"/>
                <w:lang w:val="ro-RO"/>
              </w:rPr>
            </w:pPr>
            <w:r w:rsidRPr="00F55BA6">
              <w:rPr>
                <w:rFonts w:ascii="Calibri Light" w:eastAsia="Times New Roman" w:hAnsi="Calibri Light" w:cs="Calibri Light"/>
                <w:b/>
                <w:bCs/>
                <w:color w:val="000000"/>
                <w:sz w:val="20"/>
                <w:szCs w:val="20"/>
                <w:lang w:val="ro-RO"/>
              </w:rPr>
              <w:t>Indicatori</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center"/>
              <w:rPr>
                <w:rFonts w:ascii="Calibri Light" w:eastAsia="Times New Roman" w:hAnsi="Calibri Light" w:cs="Calibri Light"/>
                <w:b/>
                <w:bCs/>
                <w:color w:val="000000"/>
                <w:sz w:val="20"/>
                <w:szCs w:val="20"/>
                <w:lang w:val="ro-RO"/>
              </w:rPr>
            </w:pPr>
            <w:r w:rsidRPr="00F55BA6">
              <w:rPr>
                <w:rFonts w:ascii="Calibri Light" w:eastAsia="Times New Roman" w:hAnsi="Calibri Light" w:cs="Calibri Light"/>
                <w:b/>
                <w:bCs/>
                <w:color w:val="000000"/>
                <w:sz w:val="20"/>
                <w:szCs w:val="20"/>
                <w:lang w:val="ro-RO"/>
              </w:rPr>
              <w:t>Aprobat</w:t>
            </w:r>
          </w:p>
        </w:tc>
        <w:tc>
          <w:tcPr>
            <w:tcW w:w="4580" w:type="dxa"/>
            <w:gridSpan w:val="4"/>
            <w:tcBorders>
              <w:top w:val="single" w:sz="4" w:space="0" w:color="auto"/>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center"/>
              <w:rPr>
                <w:rFonts w:ascii="Calibri Light" w:eastAsia="Times New Roman" w:hAnsi="Calibri Light" w:cs="Calibri Light"/>
                <w:b/>
                <w:bCs/>
                <w:color w:val="000000"/>
                <w:sz w:val="20"/>
                <w:szCs w:val="20"/>
                <w:lang w:val="ro-RO"/>
              </w:rPr>
            </w:pPr>
            <w:r w:rsidRPr="00F55BA6">
              <w:rPr>
                <w:rFonts w:ascii="Calibri Light" w:eastAsia="Times New Roman" w:hAnsi="Calibri Light" w:cs="Calibri Light"/>
                <w:b/>
                <w:bCs/>
                <w:color w:val="000000"/>
                <w:sz w:val="20"/>
                <w:szCs w:val="20"/>
                <w:lang w:val="ro-RO"/>
              </w:rPr>
              <w:t>Modificări operate de Parlament</w:t>
            </w:r>
          </w:p>
        </w:tc>
        <w:tc>
          <w:tcPr>
            <w:tcW w:w="1161" w:type="dxa"/>
            <w:vMerge w:val="restart"/>
            <w:tcBorders>
              <w:top w:val="single" w:sz="4" w:space="0" w:color="auto"/>
              <w:left w:val="single" w:sz="4" w:space="0" w:color="auto"/>
              <w:right w:val="single" w:sz="4" w:space="0" w:color="auto"/>
            </w:tcBorders>
            <w:shd w:val="clear" w:color="auto" w:fill="auto"/>
            <w:vAlign w:val="center"/>
            <w:hideMark/>
          </w:tcPr>
          <w:p w:rsidR="004D6726" w:rsidRPr="00F55BA6" w:rsidRDefault="004D6726" w:rsidP="00B51730">
            <w:pPr>
              <w:spacing w:after="0" w:line="240" w:lineRule="auto"/>
              <w:jc w:val="center"/>
              <w:rPr>
                <w:rFonts w:ascii="Calibri Light" w:eastAsia="Times New Roman" w:hAnsi="Calibri Light" w:cs="Calibri Light"/>
                <w:b/>
                <w:bCs/>
                <w:color w:val="000000"/>
                <w:sz w:val="20"/>
                <w:szCs w:val="20"/>
                <w:lang w:val="ro-RO"/>
              </w:rPr>
            </w:pPr>
            <w:r w:rsidRPr="00F55BA6">
              <w:rPr>
                <w:rFonts w:ascii="Calibri Light" w:eastAsia="Times New Roman" w:hAnsi="Calibri Light" w:cs="Calibri Light"/>
                <w:b/>
                <w:bCs/>
                <w:color w:val="000000"/>
                <w:sz w:val="20"/>
                <w:szCs w:val="20"/>
                <w:lang w:val="ro-RO"/>
              </w:rPr>
              <w:t>Definitivat în temeiul art.18</w:t>
            </w:r>
          </w:p>
        </w:tc>
        <w:tc>
          <w:tcPr>
            <w:tcW w:w="3402" w:type="dxa"/>
            <w:gridSpan w:val="3"/>
            <w:tcBorders>
              <w:top w:val="single" w:sz="4" w:space="0" w:color="auto"/>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center"/>
              <w:rPr>
                <w:rFonts w:ascii="Calibri Light" w:eastAsia="Times New Roman" w:hAnsi="Calibri Light" w:cs="Calibri Light"/>
                <w:b/>
                <w:bCs/>
                <w:color w:val="000000"/>
                <w:sz w:val="20"/>
                <w:szCs w:val="20"/>
                <w:lang w:val="ro-RO"/>
              </w:rPr>
            </w:pPr>
            <w:r w:rsidRPr="00F55BA6">
              <w:rPr>
                <w:rFonts w:ascii="Calibri Light" w:eastAsia="Times New Roman" w:hAnsi="Calibri Light" w:cs="Calibri Light"/>
                <w:b/>
                <w:bCs/>
                <w:color w:val="000000"/>
                <w:sz w:val="20"/>
                <w:szCs w:val="20"/>
                <w:lang w:val="ro-RO"/>
              </w:rPr>
              <w:t>Devieri (+/-)</w:t>
            </w:r>
          </w:p>
        </w:tc>
      </w:tr>
      <w:tr w:rsidR="004D6726" w:rsidRPr="00E4517B" w:rsidTr="00B51730">
        <w:trPr>
          <w:trHeight w:val="765"/>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4D6726" w:rsidRPr="00F55BA6" w:rsidRDefault="004D6726" w:rsidP="00B51730">
            <w:pPr>
              <w:spacing w:after="0" w:line="240" w:lineRule="auto"/>
              <w:jc w:val="left"/>
              <w:rPr>
                <w:rFonts w:ascii="Calibri Light" w:eastAsia="Times New Roman" w:hAnsi="Calibri Light" w:cs="Calibri Light"/>
                <w:b/>
                <w:bCs/>
                <w:color w:val="000000"/>
                <w:sz w:val="20"/>
                <w:szCs w:val="20"/>
                <w:lang w:val="ro-RO"/>
              </w:rPr>
            </w:pPr>
          </w:p>
        </w:tc>
        <w:tc>
          <w:tcPr>
            <w:tcW w:w="1200" w:type="dxa"/>
            <w:tcBorders>
              <w:top w:val="nil"/>
              <w:left w:val="nil"/>
              <w:bottom w:val="single" w:sz="4" w:space="0" w:color="auto"/>
              <w:right w:val="single" w:sz="4" w:space="0" w:color="auto"/>
            </w:tcBorders>
            <w:shd w:val="clear" w:color="auto" w:fill="auto"/>
            <w:vAlign w:val="center"/>
            <w:hideMark/>
          </w:tcPr>
          <w:p w:rsidR="004D6726" w:rsidRPr="00F55BA6" w:rsidRDefault="004D6726" w:rsidP="00B51730">
            <w:pPr>
              <w:spacing w:after="0" w:line="240" w:lineRule="auto"/>
              <w:jc w:val="center"/>
              <w:rPr>
                <w:rFonts w:ascii="Calibri Light" w:eastAsia="Times New Roman" w:hAnsi="Calibri Light" w:cs="Calibri Light"/>
                <w:i/>
                <w:iCs/>
                <w:color w:val="000000"/>
                <w:sz w:val="20"/>
                <w:szCs w:val="20"/>
                <w:lang w:val="ro-RO"/>
              </w:rPr>
            </w:pPr>
            <w:r w:rsidRPr="00F55BA6">
              <w:rPr>
                <w:rFonts w:ascii="Calibri Light" w:eastAsia="Times New Roman" w:hAnsi="Calibri Light" w:cs="Calibri Light"/>
                <w:i/>
                <w:iCs/>
                <w:color w:val="000000"/>
                <w:sz w:val="20"/>
                <w:szCs w:val="20"/>
                <w:lang w:val="ro-RO"/>
              </w:rPr>
              <w:t>Legea nr.172 din 19.12.2019</w:t>
            </w:r>
          </w:p>
        </w:tc>
        <w:tc>
          <w:tcPr>
            <w:tcW w:w="1205" w:type="dxa"/>
            <w:tcBorders>
              <w:top w:val="nil"/>
              <w:left w:val="nil"/>
              <w:bottom w:val="single" w:sz="4" w:space="0" w:color="auto"/>
              <w:right w:val="single" w:sz="4" w:space="0" w:color="auto"/>
            </w:tcBorders>
            <w:shd w:val="clear" w:color="auto" w:fill="auto"/>
            <w:vAlign w:val="center"/>
            <w:hideMark/>
          </w:tcPr>
          <w:p w:rsidR="004D6726" w:rsidRPr="00F55BA6" w:rsidRDefault="004D6726" w:rsidP="00B51730">
            <w:pPr>
              <w:spacing w:after="0" w:line="240" w:lineRule="auto"/>
              <w:jc w:val="center"/>
              <w:rPr>
                <w:rFonts w:ascii="Calibri Light" w:eastAsia="Times New Roman" w:hAnsi="Calibri Light" w:cs="Calibri Light"/>
                <w:i/>
                <w:iCs/>
                <w:color w:val="000000"/>
                <w:sz w:val="20"/>
                <w:szCs w:val="20"/>
                <w:lang w:val="ro-RO"/>
              </w:rPr>
            </w:pPr>
            <w:r w:rsidRPr="00F55BA6">
              <w:rPr>
                <w:rFonts w:ascii="Calibri Light" w:eastAsia="Times New Roman" w:hAnsi="Calibri Light" w:cs="Calibri Light"/>
                <w:i/>
                <w:iCs/>
                <w:color w:val="000000"/>
                <w:sz w:val="20"/>
                <w:szCs w:val="20"/>
                <w:lang w:val="ro-RO"/>
              </w:rPr>
              <w:t>Legea nr.61 din 23.04.2020</w:t>
            </w:r>
          </w:p>
        </w:tc>
        <w:tc>
          <w:tcPr>
            <w:tcW w:w="1125" w:type="dxa"/>
            <w:tcBorders>
              <w:top w:val="nil"/>
              <w:left w:val="nil"/>
              <w:bottom w:val="single" w:sz="4" w:space="0" w:color="auto"/>
              <w:right w:val="single" w:sz="4" w:space="0" w:color="auto"/>
            </w:tcBorders>
            <w:shd w:val="clear" w:color="auto" w:fill="auto"/>
            <w:vAlign w:val="center"/>
            <w:hideMark/>
          </w:tcPr>
          <w:p w:rsidR="004D6726" w:rsidRPr="00F55BA6" w:rsidRDefault="004D6726" w:rsidP="00B51730">
            <w:pPr>
              <w:spacing w:after="0" w:line="240" w:lineRule="auto"/>
              <w:jc w:val="center"/>
              <w:rPr>
                <w:rFonts w:ascii="Calibri Light" w:eastAsia="Times New Roman" w:hAnsi="Calibri Light" w:cs="Calibri Light"/>
                <w:i/>
                <w:iCs/>
                <w:color w:val="000000"/>
                <w:sz w:val="20"/>
                <w:szCs w:val="20"/>
                <w:lang w:val="ro-RO"/>
              </w:rPr>
            </w:pPr>
            <w:r w:rsidRPr="00F55BA6">
              <w:rPr>
                <w:rFonts w:ascii="Calibri Light" w:eastAsia="Times New Roman" w:hAnsi="Calibri Light" w:cs="Calibri Light"/>
                <w:i/>
                <w:iCs/>
                <w:color w:val="000000"/>
                <w:sz w:val="20"/>
                <w:szCs w:val="20"/>
                <w:lang w:val="ro-RO"/>
              </w:rPr>
              <w:t>Legea nr.131 din 12.07.2020</w:t>
            </w:r>
          </w:p>
        </w:tc>
        <w:tc>
          <w:tcPr>
            <w:tcW w:w="1125" w:type="dxa"/>
            <w:tcBorders>
              <w:top w:val="nil"/>
              <w:left w:val="nil"/>
              <w:bottom w:val="single" w:sz="4" w:space="0" w:color="auto"/>
              <w:right w:val="single" w:sz="4" w:space="0" w:color="auto"/>
            </w:tcBorders>
            <w:shd w:val="clear" w:color="000000" w:fill="FFFFFF"/>
            <w:vAlign w:val="center"/>
            <w:hideMark/>
          </w:tcPr>
          <w:p w:rsidR="004D6726" w:rsidRPr="00F55BA6" w:rsidRDefault="004D6726" w:rsidP="00B51730">
            <w:pPr>
              <w:spacing w:after="0" w:line="240" w:lineRule="auto"/>
              <w:jc w:val="center"/>
              <w:rPr>
                <w:rFonts w:ascii="Calibri Light" w:eastAsia="Times New Roman" w:hAnsi="Calibri Light" w:cs="Calibri Light"/>
                <w:i/>
                <w:iCs/>
                <w:color w:val="000000"/>
                <w:sz w:val="20"/>
                <w:szCs w:val="20"/>
                <w:lang w:val="ro-RO"/>
              </w:rPr>
            </w:pPr>
            <w:r w:rsidRPr="00F55BA6">
              <w:rPr>
                <w:rFonts w:ascii="Calibri Light" w:eastAsia="Times New Roman" w:hAnsi="Calibri Light" w:cs="Calibri Light"/>
                <w:i/>
                <w:iCs/>
                <w:color w:val="000000"/>
                <w:sz w:val="20"/>
                <w:szCs w:val="20"/>
                <w:lang w:val="ro-RO"/>
              </w:rPr>
              <w:t>Legea nr.144 din 16.07.2020</w:t>
            </w:r>
          </w:p>
        </w:tc>
        <w:tc>
          <w:tcPr>
            <w:tcW w:w="1125" w:type="dxa"/>
            <w:tcBorders>
              <w:top w:val="nil"/>
              <w:left w:val="nil"/>
              <w:bottom w:val="single" w:sz="4" w:space="0" w:color="auto"/>
              <w:right w:val="single" w:sz="4" w:space="0" w:color="auto"/>
            </w:tcBorders>
            <w:shd w:val="clear" w:color="auto" w:fill="auto"/>
            <w:vAlign w:val="center"/>
            <w:hideMark/>
          </w:tcPr>
          <w:p w:rsidR="004D6726" w:rsidRPr="00F55BA6" w:rsidRDefault="004D6726" w:rsidP="00B51730">
            <w:pPr>
              <w:spacing w:after="0" w:line="240" w:lineRule="auto"/>
              <w:jc w:val="center"/>
              <w:rPr>
                <w:rFonts w:ascii="Calibri Light" w:eastAsia="Times New Roman" w:hAnsi="Calibri Light" w:cs="Calibri Light"/>
                <w:i/>
                <w:iCs/>
                <w:color w:val="000000"/>
                <w:sz w:val="20"/>
                <w:szCs w:val="20"/>
                <w:lang w:val="ro-RO"/>
              </w:rPr>
            </w:pPr>
            <w:r w:rsidRPr="00F55BA6">
              <w:rPr>
                <w:rFonts w:ascii="Calibri Light" w:eastAsia="Times New Roman" w:hAnsi="Calibri Light" w:cs="Calibri Light"/>
                <w:i/>
                <w:iCs/>
                <w:color w:val="000000"/>
                <w:sz w:val="20"/>
                <w:szCs w:val="20"/>
                <w:lang w:val="ro-RO"/>
              </w:rPr>
              <w:t>Legea nr.173 din 11.09.2020</w:t>
            </w:r>
          </w:p>
        </w:tc>
        <w:tc>
          <w:tcPr>
            <w:tcW w:w="1161" w:type="dxa"/>
            <w:vMerge/>
            <w:tcBorders>
              <w:left w:val="single" w:sz="4" w:space="0" w:color="auto"/>
              <w:bottom w:val="single" w:sz="4" w:space="0" w:color="auto"/>
              <w:right w:val="single" w:sz="4" w:space="0" w:color="auto"/>
            </w:tcBorders>
            <w:vAlign w:val="center"/>
            <w:hideMark/>
          </w:tcPr>
          <w:p w:rsidR="004D6726" w:rsidRPr="00F55BA6" w:rsidRDefault="004D6726" w:rsidP="00B51730">
            <w:pPr>
              <w:spacing w:after="0" w:line="240" w:lineRule="auto"/>
              <w:jc w:val="left"/>
              <w:rPr>
                <w:rFonts w:ascii="Calibri Light" w:eastAsia="Times New Roman" w:hAnsi="Calibri Light" w:cs="Calibri Light"/>
                <w:b/>
                <w:bCs/>
                <w:color w:val="000000"/>
                <w:sz w:val="20"/>
                <w:szCs w:val="20"/>
                <w:lang w:val="ro-RO"/>
              </w:rPr>
            </w:pPr>
          </w:p>
        </w:tc>
        <w:tc>
          <w:tcPr>
            <w:tcW w:w="1151" w:type="dxa"/>
            <w:tcBorders>
              <w:top w:val="nil"/>
              <w:left w:val="nil"/>
              <w:bottom w:val="single" w:sz="4" w:space="0" w:color="auto"/>
              <w:right w:val="single" w:sz="4" w:space="0" w:color="auto"/>
            </w:tcBorders>
            <w:shd w:val="clear" w:color="auto" w:fill="auto"/>
            <w:vAlign w:val="center"/>
            <w:hideMark/>
          </w:tcPr>
          <w:p w:rsidR="004D6726" w:rsidRPr="00F55BA6" w:rsidRDefault="005F5FE6" w:rsidP="00B51730">
            <w:pPr>
              <w:spacing w:after="0" w:line="240" w:lineRule="auto"/>
              <w:jc w:val="center"/>
              <w:rPr>
                <w:rFonts w:ascii="Calibri Light" w:eastAsia="Times New Roman" w:hAnsi="Calibri Light" w:cs="Calibri Light"/>
                <w:b/>
                <w:bCs/>
                <w:color w:val="000000"/>
                <w:sz w:val="20"/>
                <w:szCs w:val="20"/>
                <w:lang w:val="ro-RO"/>
              </w:rPr>
            </w:pPr>
            <w:r w:rsidRPr="005F5FE6">
              <w:rPr>
                <w:rFonts w:ascii="Calibri Light" w:eastAsia="Times New Roman" w:hAnsi="Calibri Light" w:cs="Calibri Light"/>
                <w:b/>
                <w:bCs/>
                <w:color w:val="000000"/>
                <w:sz w:val="20"/>
                <w:szCs w:val="20"/>
                <w:lang w:val="ro-RO"/>
              </w:rPr>
              <w:t>ultima modificare/ aprobat</w:t>
            </w:r>
          </w:p>
        </w:tc>
        <w:tc>
          <w:tcPr>
            <w:tcW w:w="1120" w:type="dxa"/>
            <w:tcBorders>
              <w:top w:val="nil"/>
              <w:left w:val="nil"/>
              <w:bottom w:val="single" w:sz="4" w:space="0" w:color="auto"/>
              <w:right w:val="single" w:sz="4" w:space="0" w:color="auto"/>
            </w:tcBorders>
            <w:shd w:val="clear" w:color="auto" w:fill="auto"/>
            <w:vAlign w:val="center"/>
            <w:hideMark/>
          </w:tcPr>
          <w:p w:rsidR="004D6726" w:rsidRPr="00F55BA6" w:rsidRDefault="005F5FE6" w:rsidP="00B51730">
            <w:pPr>
              <w:spacing w:after="0" w:line="240" w:lineRule="auto"/>
              <w:jc w:val="center"/>
              <w:rPr>
                <w:rFonts w:ascii="Calibri Light" w:eastAsia="Times New Roman" w:hAnsi="Calibri Light" w:cs="Calibri Light"/>
                <w:b/>
                <w:bCs/>
                <w:color w:val="000000"/>
                <w:sz w:val="20"/>
                <w:szCs w:val="20"/>
                <w:lang w:val="ro-RO"/>
              </w:rPr>
            </w:pPr>
            <w:r w:rsidRPr="005F5FE6">
              <w:rPr>
                <w:rFonts w:ascii="Calibri Light" w:eastAsia="Times New Roman" w:hAnsi="Calibri Light" w:cs="Calibri Light"/>
                <w:b/>
                <w:bCs/>
                <w:color w:val="000000"/>
                <w:sz w:val="20"/>
                <w:szCs w:val="20"/>
                <w:lang w:val="ro-RO"/>
              </w:rPr>
              <w:t>definitivat/ ultima modificare</w:t>
            </w:r>
          </w:p>
        </w:tc>
        <w:tc>
          <w:tcPr>
            <w:tcW w:w="1131" w:type="dxa"/>
            <w:tcBorders>
              <w:top w:val="nil"/>
              <w:left w:val="nil"/>
              <w:bottom w:val="single" w:sz="4" w:space="0" w:color="auto"/>
              <w:right w:val="single" w:sz="4" w:space="0" w:color="auto"/>
            </w:tcBorders>
            <w:shd w:val="clear" w:color="auto" w:fill="auto"/>
            <w:vAlign w:val="center"/>
            <w:hideMark/>
          </w:tcPr>
          <w:p w:rsidR="004D6726" w:rsidRPr="00F55BA6" w:rsidRDefault="005F5FE6" w:rsidP="00B51730">
            <w:pPr>
              <w:spacing w:after="0" w:line="240" w:lineRule="auto"/>
              <w:jc w:val="center"/>
              <w:rPr>
                <w:rFonts w:ascii="Calibri Light" w:eastAsia="Times New Roman" w:hAnsi="Calibri Light" w:cs="Calibri Light"/>
                <w:b/>
                <w:bCs/>
                <w:color w:val="000000"/>
                <w:sz w:val="20"/>
                <w:szCs w:val="20"/>
                <w:lang w:val="ro-RO"/>
              </w:rPr>
            </w:pPr>
            <w:r w:rsidRPr="005F5FE6">
              <w:rPr>
                <w:rFonts w:ascii="Calibri Light" w:eastAsia="Times New Roman" w:hAnsi="Calibri Light" w:cs="Calibri Light"/>
                <w:b/>
                <w:bCs/>
                <w:color w:val="000000"/>
                <w:sz w:val="20"/>
                <w:szCs w:val="20"/>
                <w:lang w:val="ro-RO"/>
              </w:rPr>
              <w:t>definitivat/ aprobat</w:t>
            </w:r>
          </w:p>
        </w:tc>
      </w:tr>
      <w:tr w:rsidR="004D6726" w:rsidRPr="00E4517B" w:rsidTr="00B51730">
        <w:trPr>
          <w:trHeight w:val="30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center"/>
              <w:rPr>
                <w:rFonts w:ascii="Calibri Light" w:eastAsia="Times New Roman" w:hAnsi="Calibri Light" w:cs="Calibri Light"/>
                <w:i/>
                <w:iCs/>
                <w:color w:val="000000"/>
                <w:sz w:val="16"/>
                <w:szCs w:val="16"/>
                <w:lang w:val="ro-RO"/>
              </w:rPr>
            </w:pPr>
            <w:r w:rsidRPr="00F55BA6">
              <w:rPr>
                <w:rFonts w:ascii="Calibri Light" w:eastAsia="Times New Roman" w:hAnsi="Calibri Light" w:cs="Calibri Light"/>
                <w:i/>
                <w:iCs/>
                <w:color w:val="000000"/>
                <w:sz w:val="16"/>
                <w:szCs w:val="16"/>
                <w:lang w:val="ro-RO"/>
              </w:rPr>
              <w:t>1</w:t>
            </w:r>
          </w:p>
        </w:tc>
        <w:tc>
          <w:tcPr>
            <w:tcW w:w="1200" w:type="dxa"/>
            <w:tcBorders>
              <w:top w:val="nil"/>
              <w:left w:val="nil"/>
              <w:bottom w:val="single" w:sz="4" w:space="0" w:color="auto"/>
              <w:right w:val="single" w:sz="4" w:space="0" w:color="auto"/>
            </w:tcBorders>
            <w:shd w:val="clear" w:color="auto" w:fill="auto"/>
            <w:vAlign w:val="center"/>
            <w:hideMark/>
          </w:tcPr>
          <w:p w:rsidR="004D6726" w:rsidRPr="00F55BA6" w:rsidRDefault="004D6726" w:rsidP="00B51730">
            <w:pPr>
              <w:spacing w:after="0" w:line="240" w:lineRule="auto"/>
              <w:jc w:val="center"/>
              <w:rPr>
                <w:rFonts w:ascii="Calibri Light" w:eastAsia="Times New Roman" w:hAnsi="Calibri Light" w:cs="Calibri Light"/>
                <w:i/>
                <w:iCs/>
                <w:color w:val="000000"/>
                <w:sz w:val="16"/>
                <w:szCs w:val="16"/>
                <w:lang w:val="ro-RO"/>
              </w:rPr>
            </w:pPr>
            <w:r w:rsidRPr="00F55BA6">
              <w:rPr>
                <w:rFonts w:ascii="Calibri Light" w:eastAsia="Times New Roman" w:hAnsi="Calibri Light" w:cs="Calibri Light"/>
                <w:i/>
                <w:iCs/>
                <w:color w:val="000000"/>
                <w:sz w:val="16"/>
                <w:szCs w:val="16"/>
                <w:lang w:val="ro-RO"/>
              </w:rPr>
              <w:t>2</w:t>
            </w:r>
          </w:p>
        </w:tc>
        <w:tc>
          <w:tcPr>
            <w:tcW w:w="1205" w:type="dxa"/>
            <w:tcBorders>
              <w:top w:val="nil"/>
              <w:left w:val="nil"/>
              <w:bottom w:val="single" w:sz="4" w:space="0" w:color="auto"/>
              <w:right w:val="single" w:sz="4" w:space="0" w:color="auto"/>
            </w:tcBorders>
            <w:shd w:val="clear" w:color="auto" w:fill="auto"/>
            <w:vAlign w:val="center"/>
            <w:hideMark/>
          </w:tcPr>
          <w:p w:rsidR="004D6726" w:rsidRPr="00F55BA6" w:rsidRDefault="004D6726" w:rsidP="00B51730">
            <w:pPr>
              <w:spacing w:after="0" w:line="240" w:lineRule="auto"/>
              <w:jc w:val="center"/>
              <w:rPr>
                <w:rFonts w:ascii="Calibri Light" w:eastAsia="Times New Roman" w:hAnsi="Calibri Light" w:cs="Calibri Light"/>
                <w:i/>
                <w:iCs/>
                <w:color w:val="000000"/>
                <w:sz w:val="16"/>
                <w:szCs w:val="16"/>
                <w:lang w:val="ro-RO"/>
              </w:rPr>
            </w:pPr>
            <w:r w:rsidRPr="00F55BA6">
              <w:rPr>
                <w:rFonts w:ascii="Calibri Light" w:eastAsia="Times New Roman" w:hAnsi="Calibri Light" w:cs="Calibri Light"/>
                <w:i/>
                <w:iCs/>
                <w:color w:val="000000"/>
                <w:sz w:val="16"/>
                <w:szCs w:val="16"/>
                <w:lang w:val="ro-RO"/>
              </w:rPr>
              <w:t>3</w:t>
            </w:r>
          </w:p>
        </w:tc>
        <w:tc>
          <w:tcPr>
            <w:tcW w:w="1125" w:type="dxa"/>
            <w:tcBorders>
              <w:top w:val="nil"/>
              <w:left w:val="nil"/>
              <w:bottom w:val="single" w:sz="4" w:space="0" w:color="auto"/>
              <w:right w:val="single" w:sz="4" w:space="0" w:color="auto"/>
            </w:tcBorders>
            <w:shd w:val="clear" w:color="auto" w:fill="auto"/>
            <w:vAlign w:val="center"/>
            <w:hideMark/>
          </w:tcPr>
          <w:p w:rsidR="004D6726" w:rsidRPr="00F55BA6" w:rsidRDefault="004D6726" w:rsidP="00B51730">
            <w:pPr>
              <w:spacing w:after="0" w:line="240" w:lineRule="auto"/>
              <w:jc w:val="center"/>
              <w:rPr>
                <w:rFonts w:ascii="Calibri Light" w:eastAsia="Times New Roman" w:hAnsi="Calibri Light" w:cs="Calibri Light"/>
                <w:i/>
                <w:iCs/>
                <w:color w:val="000000"/>
                <w:sz w:val="16"/>
                <w:szCs w:val="16"/>
                <w:lang w:val="ro-RO"/>
              </w:rPr>
            </w:pPr>
            <w:r w:rsidRPr="00F55BA6">
              <w:rPr>
                <w:rFonts w:ascii="Calibri Light" w:eastAsia="Times New Roman" w:hAnsi="Calibri Light" w:cs="Calibri Light"/>
                <w:i/>
                <w:iCs/>
                <w:color w:val="000000"/>
                <w:sz w:val="16"/>
                <w:szCs w:val="16"/>
                <w:lang w:val="ro-RO"/>
              </w:rPr>
              <w:t>4</w:t>
            </w:r>
          </w:p>
        </w:tc>
        <w:tc>
          <w:tcPr>
            <w:tcW w:w="1125" w:type="dxa"/>
            <w:tcBorders>
              <w:top w:val="nil"/>
              <w:left w:val="nil"/>
              <w:bottom w:val="single" w:sz="4" w:space="0" w:color="auto"/>
              <w:right w:val="single" w:sz="4" w:space="0" w:color="auto"/>
            </w:tcBorders>
            <w:shd w:val="clear" w:color="auto" w:fill="auto"/>
            <w:vAlign w:val="center"/>
            <w:hideMark/>
          </w:tcPr>
          <w:p w:rsidR="004D6726" w:rsidRPr="00F55BA6" w:rsidRDefault="004D6726" w:rsidP="00B51730">
            <w:pPr>
              <w:spacing w:after="0" w:line="240" w:lineRule="auto"/>
              <w:jc w:val="center"/>
              <w:rPr>
                <w:rFonts w:ascii="Calibri Light" w:eastAsia="Times New Roman" w:hAnsi="Calibri Light" w:cs="Calibri Light"/>
                <w:i/>
                <w:iCs/>
                <w:color w:val="000000"/>
                <w:sz w:val="16"/>
                <w:szCs w:val="16"/>
                <w:lang w:val="ro-RO"/>
              </w:rPr>
            </w:pPr>
            <w:r w:rsidRPr="00F55BA6">
              <w:rPr>
                <w:rFonts w:ascii="Calibri Light" w:eastAsia="Times New Roman" w:hAnsi="Calibri Light" w:cs="Calibri Light"/>
                <w:i/>
                <w:iCs/>
                <w:color w:val="000000"/>
                <w:sz w:val="16"/>
                <w:szCs w:val="16"/>
                <w:lang w:val="ro-RO"/>
              </w:rPr>
              <w:t>5</w:t>
            </w:r>
          </w:p>
        </w:tc>
        <w:tc>
          <w:tcPr>
            <w:tcW w:w="1125" w:type="dxa"/>
            <w:tcBorders>
              <w:top w:val="nil"/>
              <w:left w:val="nil"/>
              <w:bottom w:val="single" w:sz="4" w:space="0" w:color="auto"/>
              <w:right w:val="single" w:sz="4" w:space="0" w:color="auto"/>
            </w:tcBorders>
            <w:shd w:val="clear" w:color="auto" w:fill="auto"/>
            <w:vAlign w:val="center"/>
            <w:hideMark/>
          </w:tcPr>
          <w:p w:rsidR="004D6726" w:rsidRPr="00F55BA6" w:rsidRDefault="004D6726" w:rsidP="00B51730">
            <w:pPr>
              <w:spacing w:after="0" w:line="240" w:lineRule="auto"/>
              <w:jc w:val="center"/>
              <w:rPr>
                <w:rFonts w:ascii="Calibri Light" w:eastAsia="Times New Roman" w:hAnsi="Calibri Light" w:cs="Calibri Light"/>
                <w:i/>
                <w:iCs/>
                <w:color w:val="000000"/>
                <w:sz w:val="16"/>
                <w:szCs w:val="16"/>
                <w:lang w:val="ro-RO"/>
              </w:rPr>
            </w:pPr>
            <w:r w:rsidRPr="00F55BA6">
              <w:rPr>
                <w:rFonts w:ascii="Calibri Light" w:eastAsia="Times New Roman" w:hAnsi="Calibri Light" w:cs="Calibri Light"/>
                <w:i/>
                <w:iCs/>
                <w:color w:val="000000"/>
                <w:sz w:val="16"/>
                <w:szCs w:val="16"/>
                <w:lang w:val="ro-RO"/>
              </w:rPr>
              <w:t>6</w:t>
            </w:r>
          </w:p>
        </w:tc>
        <w:tc>
          <w:tcPr>
            <w:tcW w:w="1161" w:type="dxa"/>
            <w:tcBorders>
              <w:top w:val="nil"/>
              <w:left w:val="nil"/>
              <w:bottom w:val="single" w:sz="4" w:space="0" w:color="auto"/>
              <w:right w:val="single" w:sz="4" w:space="0" w:color="auto"/>
            </w:tcBorders>
            <w:shd w:val="clear" w:color="auto" w:fill="auto"/>
            <w:vAlign w:val="center"/>
            <w:hideMark/>
          </w:tcPr>
          <w:p w:rsidR="004D6726" w:rsidRPr="00F55BA6" w:rsidRDefault="004D6726" w:rsidP="00B51730">
            <w:pPr>
              <w:spacing w:after="0" w:line="240" w:lineRule="auto"/>
              <w:jc w:val="center"/>
              <w:rPr>
                <w:rFonts w:ascii="Calibri Light" w:eastAsia="Times New Roman" w:hAnsi="Calibri Light" w:cs="Calibri Light"/>
                <w:i/>
                <w:iCs/>
                <w:color w:val="000000"/>
                <w:sz w:val="16"/>
                <w:szCs w:val="16"/>
                <w:lang w:val="ro-RO"/>
              </w:rPr>
            </w:pPr>
            <w:r w:rsidRPr="00F55BA6">
              <w:rPr>
                <w:rFonts w:ascii="Calibri Light" w:eastAsia="Times New Roman" w:hAnsi="Calibri Light" w:cs="Calibri Light"/>
                <w:i/>
                <w:iCs/>
                <w:color w:val="000000"/>
                <w:sz w:val="16"/>
                <w:szCs w:val="16"/>
                <w:lang w:val="ro-RO"/>
              </w:rPr>
              <w:t>7</w:t>
            </w:r>
          </w:p>
        </w:tc>
        <w:tc>
          <w:tcPr>
            <w:tcW w:w="1151"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center"/>
              <w:rPr>
                <w:rFonts w:ascii="Calibri Light" w:eastAsia="Times New Roman" w:hAnsi="Calibri Light" w:cs="Calibri Light"/>
                <w:i/>
                <w:iCs/>
                <w:color w:val="000000"/>
                <w:sz w:val="16"/>
                <w:szCs w:val="16"/>
                <w:lang w:val="ro-RO"/>
              </w:rPr>
            </w:pPr>
            <w:r w:rsidRPr="00F55BA6">
              <w:rPr>
                <w:rFonts w:ascii="Calibri Light" w:eastAsia="Times New Roman" w:hAnsi="Calibri Light" w:cs="Calibri Light"/>
                <w:i/>
                <w:iCs/>
                <w:color w:val="000000"/>
                <w:sz w:val="16"/>
                <w:szCs w:val="16"/>
                <w:lang w:val="ro-RO"/>
              </w:rPr>
              <w:t>8=6-2</w:t>
            </w:r>
          </w:p>
        </w:tc>
        <w:tc>
          <w:tcPr>
            <w:tcW w:w="1120"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center"/>
              <w:rPr>
                <w:rFonts w:ascii="Calibri Light" w:eastAsia="Times New Roman" w:hAnsi="Calibri Light" w:cs="Calibri Light"/>
                <w:i/>
                <w:iCs/>
                <w:color w:val="000000"/>
                <w:sz w:val="16"/>
                <w:szCs w:val="16"/>
                <w:lang w:val="ro-RO"/>
              </w:rPr>
            </w:pPr>
            <w:r w:rsidRPr="00F55BA6">
              <w:rPr>
                <w:rFonts w:ascii="Calibri Light" w:eastAsia="Times New Roman" w:hAnsi="Calibri Light" w:cs="Calibri Light"/>
                <w:i/>
                <w:iCs/>
                <w:color w:val="000000"/>
                <w:sz w:val="16"/>
                <w:szCs w:val="16"/>
                <w:lang w:val="ro-RO"/>
              </w:rPr>
              <w:t>9=7-6</w:t>
            </w:r>
          </w:p>
        </w:tc>
        <w:tc>
          <w:tcPr>
            <w:tcW w:w="1131"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center"/>
              <w:rPr>
                <w:rFonts w:ascii="Calibri Light" w:eastAsia="Times New Roman" w:hAnsi="Calibri Light" w:cs="Calibri Light"/>
                <w:i/>
                <w:iCs/>
                <w:color w:val="000000"/>
                <w:sz w:val="16"/>
                <w:szCs w:val="16"/>
                <w:lang w:val="ro-RO"/>
              </w:rPr>
            </w:pPr>
            <w:r w:rsidRPr="00F55BA6">
              <w:rPr>
                <w:rFonts w:ascii="Calibri Light" w:eastAsia="Times New Roman" w:hAnsi="Calibri Light" w:cs="Calibri Light"/>
                <w:i/>
                <w:iCs/>
                <w:color w:val="000000"/>
                <w:sz w:val="16"/>
                <w:szCs w:val="16"/>
                <w:lang w:val="ro-RO"/>
              </w:rPr>
              <w:t>10=7-2</w:t>
            </w:r>
          </w:p>
        </w:tc>
      </w:tr>
      <w:tr w:rsidR="004D6726" w:rsidRPr="00E4517B" w:rsidTr="00B51730">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D6726" w:rsidRPr="00F55BA6" w:rsidRDefault="004D6726" w:rsidP="00B51730">
            <w:pPr>
              <w:spacing w:after="0" w:line="240" w:lineRule="auto"/>
              <w:jc w:val="left"/>
              <w:rPr>
                <w:rFonts w:ascii="Calibri Light" w:eastAsia="Times New Roman" w:hAnsi="Calibri Light" w:cs="Calibri Light"/>
                <w:b/>
                <w:bCs/>
                <w:color w:val="000000"/>
                <w:sz w:val="20"/>
                <w:szCs w:val="20"/>
                <w:lang w:val="ro-RO"/>
              </w:rPr>
            </w:pPr>
            <w:r w:rsidRPr="00F55BA6">
              <w:rPr>
                <w:rFonts w:ascii="Calibri Light" w:eastAsia="Times New Roman" w:hAnsi="Calibri Light" w:cs="Calibri Light"/>
                <w:b/>
                <w:bCs/>
                <w:color w:val="000000"/>
                <w:sz w:val="20"/>
                <w:szCs w:val="20"/>
                <w:lang w:val="ro-RO"/>
              </w:rPr>
              <w:t>I. Venituri,</w:t>
            </w:r>
            <w:r w:rsidRPr="00F55BA6">
              <w:rPr>
                <w:rFonts w:ascii="Calibri Light" w:eastAsia="Times New Roman" w:hAnsi="Calibri Light" w:cs="Calibri Light"/>
                <w:i/>
                <w:iCs/>
                <w:color w:val="000000"/>
                <w:sz w:val="20"/>
                <w:szCs w:val="20"/>
                <w:lang w:val="ro-RO"/>
              </w:rPr>
              <w:t xml:space="preserve"> inclusiv:</w:t>
            </w:r>
          </w:p>
        </w:tc>
        <w:tc>
          <w:tcPr>
            <w:tcW w:w="1200"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b/>
                <w:bCs/>
                <w:color w:val="000000"/>
                <w:sz w:val="20"/>
                <w:szCs w:val="20"/>
                <w:lang w:val="ro-RO"/>
              </w:rPr>
            </w:pPr>
            <w:r w:rsidRPr="00F55BA6">
              <w:rPr>
                <w:rFonts w:ascii="Calibri Light" w:eastAsia="Times New Roman" w:hAnsi="Calibri Light" w:cs="Calibri Light"/>
                <w:b/>
                <w:bCs/>
                <w:color w:val="000000"/>
                <w:sz w:val="20"/>
                <w:szCs w:val="20"/>
                <w:lang w:val="ro-RO"/>
              </w:rPr>
              <w:t>44.136,6</w:t>
            </w:r>
          </w:p>
        </w:tc>
        <w:tc>
          <w:tcPr>
            <w:tcW w:w="1205"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b/>
                <w:bCs/>
                <w:color w:val="000000"/>
                <w:sz w:val="20"/>
                <w:szCs w:val="20"/>
                <w:lang w:val="ro-RO"/>
              </w:rPr>
            </w:pPr>
            <w:r w:rsidRPr="00F55BA6">
              <w:rPr>
                <w:rFonts w:ascii="Calibri Light" w:eastAsia="Times New Roman" w:hAnsi="Calibri Light" w:cs="Calibri Light"/>
                <w:b/>
                <w:bCs/>
                <w:color w:val="000000"/>
                <w:sz w:val="20"/>
                <w:szCs w:val="20"/>
                <w:lang w:val="ro-RO"/>
              </w:rPr>
              <w:t>37.798,6</w:t>
            </w:r>
          </w:p>
        </w:tc>
        <w:tc>
          <w:tcPr>
            <w:tcW w:w="1125"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b/>
                <w:bCs/>
                <w:color w:val="000000"/>
                <w:sz w:val="20"/>
                <w:szCs w:val="20"/>
                <w:lang w:val="ro-RO"/>
              </w:rPr>
            </w:pPr>
            <w:r w:rsidRPr="00F55BA6">
              <w:rPr>
                <w:rFonts w:ascii="Calibri Light" w:eastAsia="Times New Roman" w:hAnsi="Calibri Light" w:cs="Calibri Light"/>
                <w:b/>
                <w:bCs/>
                <w:color w:val="000000"/>
                <w:sz w:val="20"/>
                <w:szCs w:val="20"/>
                <w:lang w:val="ro-RO"/>
              </w:rPr>
              <w:t>37.851,0</w:t>
            </w:r>
          </w:p>
        </w:tc>
        <w:tc>
          <w:tcPr>
            <w:tcW w:w="1125"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b/>
                <w:bCs/>
                <w:color w:val="000000"/>
                <w:sz w:val="20"/>
                <w:szCs w:val="20"/>
                <w:lang w:val="ro-RO"/>
              </w:rPr>
            </w:pPr>
            <w:r w:rsidRPr="00F55BA6">
              <w:rPr>
                <w:rFonts w:ascii="Calibri Light" w:eastAsia="Times New Roman" w:hAnsi="Calibri Light" w:cs="Calibri Light"/>
                <w:b/>
                <w:bCs/>
                <w:color w:val="000000"/>
                <w:sz w:val="20"/>
                <w:szCs w:val="20"/>
                <w:lang w:val="ro-RO"/>
              </w:rPr>
              <w:t>37.851,0</w:t>
            </w:r>
          </w:p>
        </w:tc>
        <w:tc>
          <w:tcPr>
            <w:tcW w:w="1125"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b/>
                <w:bCs/>
                <w:color w:val="000000"/>
                <w:sz w:val="20"/>
                <w:szCs w:val="20"/>
                <w:lang w:val="ro-RO"/>
              </w:rPr>
            </w:pPr>
            <w:r w:rsidRPr="00F55BA6">
              <w:rPr>
                <w:rFonts w:ascii="Calibri Light" w:eastAsia="Times New Roman" w:hAnsi="Calibri Light" w:cs="Calibri Light"/>
                <w:b/>
                <w:bCs/>
                <w:color w:val="000000"/>
                <w:sz w:val="20"/>
                <w:szCs w:val="20"/>
                <w:lang w:val="ro-RO"/>
              </w:rPr>
              <w:t>37.201,5</w:t>
            </w:r>
          </w:p>
        </w:tc>
        <w:tc>
          <w:tcPr>
            <w:tcW w:w="1161"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b/>
                <w:bCs/>
                <w:color w:val="000000"/>
                <w:sz w:val="20"/>
                <w:szCs w:val="20"/>
                <w:lang w:val="ro-RO"/>
              </w:rPr>
            </w:pPr>
            <w:r w:rsidRPr="00F55BA6">
              <w:rPr>
                <w:rFonts w:ascii="Calibri Light" w:eastAsia="Times New Roman" w:hAnsi="Calibri Light" w:cs="Calibri Light"/>
                <w:b/>
                <w:bCs/>
                <w:color w:val="000000"/>
                <w:sz w:val="20"/>
                <w:szCs w:val="20"/>
                <w:lang w:val="ro-RO"/>
              </w:rPr>
              <w:t>37.281,2</w:t>
            </w:r>
          </w:p>
        </w:tc>
        <w:tc>
          <w:tcPr>
            <w:tcW w:w="1151"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b/>
                <w:bCs/>
                <w:color w:val="000000"/>
                <w:sz w:val="20"/>
                <w:szCs w:val="20"/>
                <w:lang w:val="ro-RO"/>
              </w:rPr>
            </w:pPr>
            <w:r w:rsidRPr="00F55BA6">
              <w:rPr>
                <w:rFonts w:ascii="Calibri Light" w:eastAsia="Times New Roman" w:hAnsi="Calibri Light" w:cs="Calibri Light"/>
                <w:b/>
                <w:bCs/>
                <w:color w:val="000000"/>
                <w:sz w:val="20"/>
                <w:szCs w:val="20"/>
                <w:lang w:val="ro-RO"/>
              </w:rPr>
              <w:t>-6.935,1</w:t>
            </w:r>
          </w:p>
        </w:tc>
        <w:tc>
          <w:tcPr>
            <w:tcW w:w="1120"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b/>
                <w:bCs/>
                <w:color w:val="000000"/>
                <w:sz w:val="20"/>
                <w:szCs w:val="20"/>
                <w:lang w:val="ro-RO"/>
              </w:rPr>
            </w:pPr>
            <w:r w:rsidRPr="00F55BA6">
              <w:rPr>
                <w:rFonts w:ascii="Calibri Light" w:eastAsia="Times New Roman" w:hAnsi="Calibri Light" w:cs="Calibri Light"/>
                <w:b/>
                <w:bCs/>
                <w:color w:val="000000"/>
                <w:sz w:val="20"/>
                <w:szCs w:val="20"/>
                <w:lang w:val="ro-RO"/>
              </w:rPr>
              <w:t>79,7</w:t>
            </w:r>
          </w:p>
        </w:tc>
        <w:tc>
          <w:tcPr>
            <w:tcW w:w="1131"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b/>
                <w:bCs/>
                <w:color w:val="000000"/>
                <w:sz w:val="20"/>
                <w:szCs w:val="20"/>
                <w:lang w:val="ro-RO"/>
              </w:rPr>
            </w:pPr>
            <w:r w:rsidRPr="00F55BA6">
              <w:rPr>
                <w:rFonts w:ascii="Calibri Light" w:eastAsia="Times New Roman" w:hAnsi="Calibri Light" w:cs="Calibri Light"/>
                <w:b/>
                <w:bCs/>
                <w:color w:val="000000"/>
                <w:sz w:val="20"/>
                <w:szCs w:val="20"/>
                <w:lang w:val="ro-RO"/>
              </w:rPr>
              <w:t>-6.855,4</w:t>
            </w:r>
          </w:p>
        </w:tc>
      </w:tr>
      <w:tr w:rsidR="004D6726" w:rsidRPr="00E4517B" w:rsidTr="00B51730">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D6726" w:rsidRPr="00F55BA6" w:rsidRDefault="004D6726" w:rsidP="00B51730">
            <w:pPr>
              <w:spacing w:after="0" w:line="240" w:lineRule="auto"/>
              <w:jc w:val="left"/>
              <w:rPr>
                <w:rFonts w:ascii="Calibri Light" w:eastAsia="Times New Roman" w:hAnsi="Calibri Light" w:cs="Calibri Light"/>
                <w:color w:val="000000"/>
                <w:sz w:val="20"/>
                <w:szCs w:val="20"/>
                <w:lang w:val="ro-RO"/>
              </w:rPr>
            </w:pPr>
            <w:r w:rsidRPr="00F55BA6">
              <w:rPr>
                <w:rFonts w:ascii="Calibri Light" w:eastAsia="Times New Roman" w:hAnsi="Calibri Light" w:cs="Calibri Light"/>
                <w:color w:val="000000"/>
                <w:sz w:val="20"/>
                <w:szCs w:val="20"/>
                <w:lang w:val="ro-RO"/>
              </w:rPr>
              <w:t>impozite și taxe</w:t>
            </w:r>
          </w:p>
        </w:tc>
        <w:tc>
          <w:tcPr>
            <w:tcW w:w="1200"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color w:val="000000"/>
                <w:sz w:val="20"/>
                <w:szCs w:val="20"/>
                <w:lang w:val="ro-RO"/>
              </w:rPr>
            </w:pPr>
            <w:r w:rsidRPr="00F55BA6">
              <w:rPr>
                <w:rFonts w:ascii="Calibri Light" w:eastAsia="Times New Roman" w:hAnsi="Calibri Light" w:cs="Calibri Light"/>
                <w:color w:val="000000"/>
                <w:sz w:val="20"/>
                <w:szCs w:val="20"/>
                <w:lang w:val="ro-RO"/>
              </w:rPr>
              <w:t>40.536,2</w:t>
            </w:r>
          </w:p>
        </w:tc>
        <w:tc>
          <w:tcPr>
            <w:tcW w:w="1205"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color w:val="000000"/>
                <w:sz w:val="20"/>
                <w:szCs w:val="20"/>
                <w:lang w:val="ro-RO"/>
              </w:rPr>
            </w:pPr>
            <w:r w:rsidRPr="00F55BA6">
              <w:rPr>
                <w:rFonts w:ascii="Calibri Light" w:eastAsia="Times New Roman" w:hAnsi="Calibri Light" w:cs="Calibri Light"/>
                <w:color w:val="000000"/>
                <w:sz w:val="20"/>
                <w:szCs w:val="20"/>
                <w:lang w:val="ro-RO"/>
              </w:rPr>
              <w:t>34.657,3</w:t>
            </w:r>
          </w:p>
        </w:tc>
        <w:tc>
          <w:tcPr>
            <w:tcW w:w="1125"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color w:val="000000"/>
                <w:sz w:val="20"/>
                <w:szCs w:val="20"/>
                <w:lang w:val="ro-RO"/>
              </w:rPr>
            </w:pPr>
            <w:r w:rsidRPr="00F55BA6">
              <w:rPr>
                <w:rFonts w:ascii="Calibri Light" w:eastAsia="Times New Roman" w:hAnsi="Calibri Light" w:cs="Calibri Light"/>
                <w:color w:val="000000"/>
                <w:sz w:val="20"/>
                <w:szCs w:val="20"/>
                <w:lang w:val="ro-RO"/>
              </w:rPr>
              <w:t>34.657,3</w:t>
            </w:r>
          </w:p>
        </w:tc>
        <w:tc>
          <w:tcPr>
            <w:tcW w:w="1125"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color w:val="000000"/>
                <w:sz w:val="20"/>
                <w:szCs w:val="20"/>
                <w:lang w:val="ro-RO"/>
              </w:rPr>
            </w:pPr>
            <w:r w:rsidRPr="00F55BA6">
              <w:rPr>
                <w:rFonts w:ascii="Calibri Light" w:eastAsia="Times New Roman" w:hAnsi="Calibri Light" w:cs="Calibri Light"/>
                <w:color w:val="000000"/>
                <w:sz w:val="20"/>
                <w:szCs w:val="20"/>
                <w:lang w:val="ro-RO"/>
              </w:rPr>
              <w:t>34.657,3</w:t>
            </w:r>
          </w:p>
        </w:tc>
        <w:tc>
          <w:tcPr>
            <w:tcW w:w="1125"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color w:val="000000"/>
                <w:sz w:val="20"/>
                <w:szCs w:val="20"/>
                <w:lang w:val="ro-RO"/>
              </w:rPr>
            </w:pPr>
            <w:r w:rsidRPr="00F55BA6">
              <w:rPr>
                <w:rFonts w:ascii="Calibri Light" w:eastAsia="Times New Roman" w:hAnsi="Calibri Light" w:cs="Calibri Light"/>
                <w:color w:val="000000"/>
                <w:sz w:val="20"/>
                <w:szCs w:val="20"/>
                <w:lang w:val="ro-RO"/>
              </w:rPr>
              <w:t>34.226,7</w:t>
            </w:r>
          </w:p>
        </w:tc>
        <w:tc>
          <w:tcPr>
            <w:tcW w:w="1161"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color w:val="000000"/>
                <w:sz w:val="20"/>
                <w:szCs w:val="20"/>
                <w:lang w:val="ro-RO"/>
              </w:rPr>
            </w:pPr>
            <w:r w:rsidRPr="00F55BA6">
              <w:rPr>
                <w:rFonts w:ascii="Calibri Light" w:eastAsia="Times New Roman" w:hAnsi="Calibri Light" w:cs="Calibri Light"/>
                <w:color w:val="000000"/>
                <w:sz w:val="20"/>
                <w:szCs w:val="20"/>
                <w:lang w:val="ro-RO"/>
              </w:rPr>
              <w:t>34.226,7</w:t>
            </w:r>
          </w:p>
        </w:tc>
        <w:tc>
          <w:tcPr>
            <w:tcW w:w="1151"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color w:val="000000"/>
                <w:sz w:val="20"/>
                <w:szCs w:val="20"/>
                <w:lang w:val="ro-RO"/>
              </w:rPr>
            </w:pPr>
            <w:r w:rsidRPr="00E4517B">
              <w:rPr>
                <w:rFonts w:ascii="Calibri Light" w:eastAsia="Times New Roman" w:hAnsi="Calibri Light" w:cs="Calibri Light"/>
                <w:color w:val="000000"/>
                <w:sz w:val="20"/>
                <w:szCs w:val="20"/>
                <w:lang w:val="ro-RO"/>
              </w:rPr>
              <w:t>-6.309,5</w:t>
            </w:r>
          </w:p>
        </w:tc>
        <w:tc>
          <w:tcPr>
            <w:tcW w:w="1120"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color w:val="000000"/>
                <w:sz w:val="20"/>
                <w:szCs w:val="20"/>
                <w:lang w:val="ro-RO"/>
              </w:rPr>
            </w:pPr>
            <w:r w:rsidRPr="00E4517B">
              <w:rPr>
                <w:rFonts w:ascii="Calibri Light" w:eastAsia="Times New Roman" w:hAnsi="Calibri Light" w:cs="Calibri Light"/>
                <w:color w:val="000000"/>
                <w:sz w:val="20"/>
                <w:szCs w:val="20"/>
                <w:lang w:val="ro-RO"/>
              </w:rPr>
              <w:t>0,0</w:t>
            </w:r>
          </w:p>
        </w:tc>
        <w:tc>
          <w:tcPr>
            <w:tcW w:w="1131"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color w:val="000000"/>
                <w:sz w:val="20"/>
                <w:szCs w:val="20"/>
                <w:lang w:val="ro-RO"/>
              </w:rPr>
            </w:pPr>
            <w:r w:rsidRPr="00E4517B">
              <w:rPr>
                <w:rFonts w:ascii="Calibri Light" w:eastAsia="Times New Roman" w:hAnsi="Calibri Light" w:cs="Calibri Light"/>
                <w:color w:val="000000"/>
                <w:sz w:val="20"/>
                <w:szCs w:val="20"/>
                <w:lang w:val="ro-RO"/>
              </w:rPr>
              <w:t>-6.309,5</w:t>
            </w:r>
          </w:p>
        </w:tc>
      </w:tr>
      <w:tr w:rsidR="004D6726" w:rsidRPr="00E4517B" w:rsidTr="00B51730">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D6726" w:rsidRPr="00F55BA6" w:rsidRDefault="004D6726" w:rsidP="00B51730">
            <w:pPr>
              <w:spacing w:after="0" w:line="240" w:lineRule="auto"/>
              <w:jc w:val="left"/>
              <w:rPr>
                <w:rFonts w:ascii="Calibri Light" w:eastAsia="Times New Roman" w:hAnsi="Calibri Light" w:cs="Calibri Light"/>
                <w:color w:val="000000"/>
                <w:sz w:val="20"/>
                <w:szCs w:val="20"/>
                <w:lang w:val="ro-RO"/>
              </w:rPr>
            </w:pPr>
            <w:r w:rsidRPr="00F55BA6">
              <w:rPr>
                <w:rFonts w:ascii="Calibri Light" w:eastAsia="Times New Roman" w:hAnsi="Calibri Light" w:cs="Calibri Light"/>
                <w:color w:val="000000"/>
                <w:sz w:val="20"/>
                <w:szCs w:val="20"/>
                <w:lang w:val="ro-RO"/>
              </w:rPr>
              <w:t>granturi primite</w:t>
            </w:r>
          </w:p>
        </w:tc>
        <w:tc>
          <w:tcPr>
            <w:tcW w:w="1200"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color w:val="000000"/>
                <w:sz w:val="20"/>
                <w:szCs w:val="20"/>
                <w:lang w:val="ro-RO"/>
              </w:rPr>
            </w:pPr>
            <w:r w:rsidRPr="00F55BA6">
              <w:rPr>
                <w:rFonts w:ascii="Calibri Light" w:eastAsia="Times New Roman" w:hAnsi="Calibri Light" w:cs="Calibri Light"/>
                <w:color w:val="000000"/>
                <w:sz w:val="20"/>
                <w:szCs w:val="20"/>
                <w:lang w:val="ro-RO"/>
              </w:rPr>
              <w:t>1.773,5</w:t>
            </w:r>
          </w:p>
        </w:tc>
        <w:tc>
          <w:tcPr>
            <w:tcW w:w="1205"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color w:val="000000"/>
                <w:sz w:val="20"/>
                <w:szCs w:val="20"/>
                <w:lang w:val="ro-RO"/>
              </w:rPr>
            </w:pPr>
            <w:r w:rsidRPr="00F55BA6">
              <w:rPr>
                <w:rFonts w:ascii="Calibri Light" w:eastAsia="Times New Roman" w:hAnsi="Calibri Light" w:cs="Calibri Light"/>
                <w:color w:val="000000"/>
                <w:sz w:val="20"/>
                <w:szCs w:val="20"/>
                <w:lang w:val="ro-RO"/>
              </w:rPr>
              <w:t>1.154,7</w:t>
            </w:r>
          </w:p>
        </w:tc>
        <w:tc>
          <w:tcPr>
            <w:tcW w:w="1125"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color w:val="000000"/>
                <w:sz w:val="20"/>
                <w:szCs w:val="20"/>
                <w:lang w:val="ro-RO"/>
              </w:rPr>
            </w:pPr>
            <w:r w:rsidRPr="00F55BA6">
              <w:rPr>
                <w:rFonts w:ascii="Calibri Light" w:eastAsia="Times New Roman" w:hAnsi="Calibri Light" w:cs="Calibri Light"/>
                <w:color w:val="000000"/>
                <w:sz w:val="20"/>
                <w:szCs w:val="20"/>
                <w:lang w:val="ro-RO"/>
              </w:rPr>
              <w:t>1.155,1</w:t>
            </w:r>
          </w:p>
        </w:tc>
        <w:tc>
          <w:tcPr>
            <w:tcW w:w="1125"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color w:val="000000"/>
                <w:sz w:val="20"/>
                <w:szCs w:val="20"/>
                <w:lang w:val="ro-RO"/>
              </w:rPr>
            </w:pPr>
            <w:r w:rsidRPr="00F55BA6">
              <w:rPr>
                <w:rFonts w:ascii="Calibri Light" w:eastAsia="Times New Roman" w:hAnsi="Calibri Light" w:cs="Calibri Light"/>
                <w:color w:val="000000"/>
                <w:sz w:val="20"/>
                <w:szCs w:val="20"/>
                <w:lang w:val="ro-RO"/>
              </w:rPr>
              <w:t>1.155,1</w:t>
            </w:r>
          </w:p>
        </w:tc>
        <w:tc>
          <w:tcPr>
            <w:tcW w:w="1125"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color w:val="000000"/>
                <w:sz w:val="20"/>
                <w:szCs w:val="20"/>
                <w:lang w:val="ro-RO"/>
              </w:rPr>
            </w:pPr>
            <w:r w:rsidRPr="00F55BA6">
              <w:rPr>
                <w:rFonts w:ascii="Calibri Light" w:eastAsia="Times New Roman" w:hAnsi="Calibri Light" w:cs="Calibri Light"/>
                <w:color w:val="000000"/>
                <w:sz w:val="20"/>
                <w:szCs w:val="20"/>
                <w:lang w:val="ro-RO"/>
              </w:rPr>
              <w:t>933,4</w:t>
            </w:r>
          </w:p>
        </w:tc>
        <w:tc>
          <w:tcPr>
            <w:tcW w:w="1161"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color w:val="000000"/>
                <w:sz w:val="20"/>
                <w:szCs w:val="20"/>
                <w:lang w:val="ro-RO"/>
              </w:rPr>
            </w:pPr>
            <w:r w:rsidRPr="00F55BA6">
              <w:rPr>
                <w:rFonts w:ascii="Calibri Light" w:eastAsia="Times New Roman" w:hAnsi="Calibri Light" w:cs="Calibri Light"/>
                <w:color w:val="000000"/>
                <w:sz w:val="20"/>
                <w:szCs w:val="20"/>
                <w:lang w:val="ro-RO"/>
              </w:rPr>
              <w:t>952,1</w:t>
            </w:r>
          </w:p>
        </w:tc>
        <w:tc>
          <w:tcPr>
            <w:tcW w:w="1151"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color w:val="000000"/>
                <w:sz w:val="20"/>
                <w:szCs w:val="20"/>
                <w:lang w:val="ro-RO"/>
              </w:rPr>
            </w:pPr>
            <w:r w:rsidRPr="00E4517B">
              <w:rPr>
                <w:rFonts w:ascii="Calibri Light" w:eastAsia="Times New Roman" w:hAnsi="Calibri Light" w:cs="Calibri Light"/>
                <w:color w:val="000000"/>
                <w:sz w:val="20"/>
                <w:szCs w:val="20"/>
                <w:lang w:val="ro-RO"/>
              </w:rPr>
              <w:t>-840,1</w:t>
            </w:r>
          </w:p>
        </w:tc>
        <w:tc>
          <w:tcPr>
            <w:tcW w:w="1120"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color w:val="000000"/>
                <w:sz w:val="20"/>
                <w:szCs w:val="20"/>
                <w:lang w:val="ro-RO"/>
              </w:rPr>
            </w:pPr>
            <w:r w:rsidRPr="00E4517B">
              <w:rPr>
                <w:rFonts w:ascii="Calibri Light" w:eastAsia="Times New Roman" w:hAnsi="Calibri Light" w:cs="Calibri Light"/>
                <w:color w:val="000000"/>
                <w:sz w:val="20"/>
                <w:szCs w:val="20"/>
                <w:lang w:val="ro-RO"/>
              </w:rPr>
              <w:t>18,7</w:t>
            </w:r>
          </w:p>
        </w:tc>
        <w:tc>
          <w:tcPr>
            <w:tcW w:w="1131"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color w:val="000000"/>
                <w:sz w:val="20"/>
                <w:szCs w:val="20"/>
                <w:lang w:val="ro-RO"/>
              </w:rPr>
            </w:pPr>
            <w:r w:rsidRPr="00E4517B">
              <w:rPr>
                <w:rFonts w:ascii="Calibri Light" w:eastAsia="Times New Roman" w:hAnsi="Calibri Light" w:cs="Calibri Light"/>
                <w:color w:val="000000"/>
                <w:sz w:val="20"/>
                <w:szCs w:val="20"/>
                <w:lang w:val="ro-RO"/>
              </w:rPr>
              <w:t>-821,4</w:t>
            </w:r>
          </w:p>
        </w:tc>
      </w:tr>
      <w:tr w:rsidR="004D6726" w:rsidRPr="00E4517B" w:rsidTr="00B51730">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D6726" w:rsidRPr="00F55BA6" w:rsidRDefault="004D6726" w:rsidP="00B51730">
            <w:pPr>
              <w:spacing w:after="0" w:line="240" w:lineRule="auto"/>
              <w:jc w:val="left"/>
              <w:rPr>
                <w:rFonts w:ascii="Calibri Light" w:eastAsia="Times New Roman" w:hAnsi="Calibri Light" w:cs="Calibri Light"/>
                <w:color w:val="000000"/>
                <w:sz w:val="20"/>
                <w:szCs w:val="20"/>
                <w:lang w:val="ro-RO"/>
              </w:rPr>
            </w:pPr>
            <w:r w:rsidRPr="00F55BA6">
              <w:rPr>
                <w:rFonts w:ascii="Calibri Light" w:eastAsia="Times New Roman" w:hAnsi="Calibri Light" w:cs="Calibri Light"/>
                <w:color w:val="000000"/>
                <w:sz w:val="20"/>
                <w:szCs w:val="20"/>
                <w:lang w:val="ro-RO"/>
              </w:rPr>
              <w:t>alte venituri</w:t>
            </w:r>
          </w:p>
        </w:tc>
        <w:tc>
          <w:tcPr>
            <w:tcW w:w="1200"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color w:val="000000"/>
                <w:sz w:val="20"/>
                <w:szCs w:val="20"/>
                <w:lang w:val="ro-RO"/>
              </w:rPr>
            </w:pPr>
            <w:r w:rsidRPr="00F55BA6">
              <w:rPr>
                <w:rFonts w:ascii="Calibri Light" w:eastAsia="Times New Roman" w:hAnsi="Calibri Light" w:cs="Calibri Light"/>
                <w:color w:val="000000"/>
                <w:sz w:val="20"/>
                <w:szCs w:val="20"/>
                <w:lang w:val="ro-RO"/>
              </w:rPr>
              <w:t>1.800,3</w:t>
            </w:r>
          </w:p>
        </w:tc>
        <w:tc>
          <w:tcPr>
            <w:tcW w:w="1205"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color w:val="000000"/>
                <w:sz w:val="20"/>
                <w:szCs w:val="20"/>
                <w:lang w:val="ro-RO"/>
              </w:rPr>
            </w:pPr>
            <w:r w:rsidRPr="00F55BA6">
              <w:rPr>
                <w:rFonts w:ascii="Calibri Light" w:eastAsia="Times New Roman" w:hAnsi="Calibri Light" w:cs="Calibri Light"/>
                <w:color w:val="000000"/>
                <w:sz w:val="20"/>
                <w:szCs w:val="20"/>
                <w:lang w:val="ro-RO"/>
              </w:rPr>
              <w:t>1.957,9</w:t>
            </w:r>
          </w:p>
        </w:tc>
        <w:tc>
          <w:tcPr>
            <w:tcW w:w="1125"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color w:val="000000"/>
                <w:sz w:val="20"/>
                <w:szCs w:val="20"/>
                <w:lang w:val="ro-RO"/>
              </w:rPr>
            </w:pPr>
            <w:r w:rsidRPr="00F55BA6">
              <w:rPr>
                <w:rFonts w:ascii="Calibri Light" w:eastAsia="Times New Roman" w:hAnsi="Calibri Light" w:cs="Calibri Light"/>
                <w:color w:val="000000"/>
                <w:sz w:val="20"/>
                <w:szCs w:val="20"/>
                <w:lang w:val="ro-RO"/>
              </w:rPr>
              <w:t>2.009,9</w:t>
            </w:r>
          </w:p>
        </w:tc>
        <w:tc>
          <w:tcPr>
            <w:tcW w:w="1125"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color w:val="000000"/>
                <w:sz w:val="20"/>
                <w:szCs w:val="20"/>
                <w:lang w:val="ro-RO"/>
              </w:rPr>
            </w:pPr>
            <w:r w:rsidRPr="00F55BA6">
              <w:rPr>
                <w:rFonts w:ascii="Calibri Light" w:eastAsia="Times New Roman" w:hAnsi="Calibri Light" w:cs="Calibri Light"/>
                <w:color w:val="000000"/>
                <w:sz w:val="20"/>
                <w:szCs w:val="20"/>
                <w:lang w:val="ro-RO"/>
              </w:rPr>
              <w:t>2.009,9</w:t>
            </w:r>
          </w:p>
        </w:tc>
        <w:tc>
          <w:tcPr>
            <w:tcW w:w="1125"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color w:val="000000"/>
                <w:sz w:val="20"/>
                <w:szCs w:val="20"/>
                <w:lang w:val="ro-RO"/>
              </w:rPr>
            </w:pPr>
            <w:r w:rsidRPr="00F55BA6">
              <w:rPr>
                <w:rFonts w:ascii="Calibri Light" w:eastAsia="Times New Roman" w:hAnsi="Calibri Light" w:cs="Calibri Light"/>
                <w:color w:val="000000"/>
                <w:sz w:val="20"/>
                <w:szCs w:val="20"/>
                <w:lang w:val="ro-RO"/>
              </w:rPr>
              <w:t>2.023,7</w:t>
            </w:r>
          </w:p>
        </w:tc>
        <w:tc>
          <w:tcPr>
            <w:tcW w:w="1161"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color w:val="000000"/>
                <w:sz w:val="20"/>
                <w:szCs w:val="20"/>
                <w:lang w:val="ro-RO"/>
              </w:rPr>
            </w:pPr>
            <w:r w:rsidRPr="00F55BA6">
              <w:rPr>
                <w:rFonts w:ascii="Calibri Light" w:eastAsia="Times New Roman" w:hAnsi="Calibri Light" w:cs="Calibri Light"/>
                <w:color w:val="000000"/>
                <w:sz w:val="20"/>
                <w:szCs w:val="20"/>
                <w:lang w:val="ro-RO"/>
              </w:rPr>
              <w:t>2.084,6</w:t>
            </w:r>
          </w:p>
        </w:tc>
        <w:tc>
          <w:tcPr>
            <w:tcW w:w="1151"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color w:val="000000"/>
                <w:sz w:val="20"/>
                <w:szCs w:val="20"/>
                <w:lang w:val="ro-RO"/>
              </w:rPr>
            </w:pPr>
            <w:r w:rsidRPr="00E4517B">
              <w:rPr>
                <w:rFonts w:ascii="Calibri Light" w:eastAsia="Times New Roman" w:hAnsi="Calibri Light" w:cs="Calibri Light"/>
                <w:color w:val="000000"/>
                <w:sz w:val="20"/>
                <w:szCs w:val="20"/>
                <w:lang w:val="ro-RO"/>
              </w:rPr>
              <w:t>223,4</w:t>
            </w:r>
          </w:p>
        </w:tc>
        <w:tc>
          <w:tcPr>
            <w:tcW w:w="1120"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color w:val="000000"/>
                <w:sz w:val="20"/>
                <w:szCs w:val="20"/>
                <w:lang w:val="ro-RO"/>
              </w:rPr>
            </w:pPr>
            <w:r w:rsidRPr="00E4517B">
              <w:rPr>
                <w:rFonts w:ascii="Calibri Light" w:eastAsia="Times New Roman" w:hAnsi="Calibri Light" w:cs="Calibri Light"/>
                <w:color w:val="000000"/>
                <w:sz w:val="20"/>
                <w:szCs w:val="20"/>
                <w:lang w:val="ro-RO"/>
              </w:rPr>
              <w:t>60,9</w:t>
            </w:r>
          </w:p>
        </w:tc>
        <w:tc>
          <w:tcPr>
            <w:tcW w:w="1131"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color w:val="000000"/>
                <w:sz w:val="20"/>
                <w:szCs w:val="20"/>
                <w:lang w:val="ro-RO"/>
              </w:rPr>
            </w:pPr>
            <w:r w:rsidRPr="00E4517B">
              <w:rPr>
                <w:rFonts w:ascii="Calibri Light" w:eastAsia="Times New Roman" w:hAnsi="Calibri Light" w:cs="Calibri Light"/>
                <w:color w:val="000000"/>
                <w:sz w:val="20"/>
                <w:szCs w:val="20"/>
                <w:lang w:val="ro-RO"/>
              </w:rPr>
              <w:t>284,3</w:t>
            </w:r>
          </w:p>
        </w:tc>
      </w:tr>
      <w:tr w:rsidR="004D6726" w:rsidRPr="00E4517B" w:rsidTr="00B51730">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D6726" w:rsidRPr="00F55BA6" w:rsidRDefault="004D6726" w:rsidP="00B51730">
            <w:pPr>
              <w:spacing w:after="0" w:line="240" w:lineRule="auto"/>
              <w:jc w:val="left"/>
              <w:rPr>
                <w:rFonts w:ascii="Calibri Light" w:eastAsia="Times New Roman" w:hAnsi="Calibri Light" w:cs="Calibri Light"/>
                <w:color w:val="000000"/>
                <w:sz w:val="20"/>
                <w:szCs w:val="20"/>
                <w:lang w:val="ro-RO"/>
              </w:rPr>
            </w:pPr>
            <w:r w:rsidRPr="00F55BA6">
              <w:rPr>
                <w:rFonts w:ascii="Calibri Light" w:eastAsia="Times New Roman" w:hAnsi="Calibri Light" w:cs="Calibri Light"/>
                <w:color w:val="000000"/>
                <w:sz w:val="20"/>
                <w:szCs w:val="20"/>
                <w:lang w:val="ro-RO"/>
              </w:rPr>
              <w:t>Transferuri primite în cadrul BPN</w:t>
            </w:r>
          </w:p>
        </w:tc>
        <w:tc>
          <w:tcPr>
            <w:tcW w:w="1200"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color w:val="000000"/>
                <w:sz w:val="20"/>
                <w:szCs w:val="20"/>
                <w:lang w:val="ro-RO"/>
              </w:rPr>
            </w:pPr>
            <w:r w:rsidRPr="00F55BA6">
              <w:rPr>
                <w:rFonts w:ascii="Calibri Light" w:eastAsia="Times New Roman" w:hAnsi="Calibri Light" w:cs="Calibri Light"/>
                <w:color w:val="000000"/>
                <w:sz w:val="20"/>
                <w:szCs w:val="20"/>
                <w:lang w:val="ro-RO"/>
              </w:rPr>
              <w:t>26,7</w:t>
            </w:r>
          </w:p>
        </w:tc>
        <w:tc>
          <w:tcPr>
            <w:tcW w:w="1205"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color w:val="000000"/>
                <w:sz w:val="20"/>
                <w:szCs w:val="20"/>
                <w:lang w:val="ro-RO"/>
              </w:rPr>
            </w:pPr>
            <w:r w:rsidRPr="00F55BA6">
              <w:rPr>
                <w:rFonts w:ascii="Calibri Light" w:eastAsia="Times New Roman" w:hAnsi="Calibri Light" w:cs="Calibri Light"/>
                <w:color w:val="000000"/>
                <w:sz w:val="20"/>
                <w:szCs w:val="20"/>
                <w:lang w:val="ro-RO"/>
              </w:rPr>
              <w:t>28,7</w:t>
            </w:r>
          </w:p>
        </w:tc>
        <w:tc>
          <w:tcPr>
            <w:tcW w:w="1125"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color w:val="000000"/>
                <w:sz w:val="20"/>
                <w:szCs w:val="20"/>
                <w:lang w:val="ro-RO"/>
              </w:rPr>
            </w:pPr>
            <w:r w:rsidRPr="00F55BA6">
              <w:rPr>
                <w:rFonts w:ascii="Calibri Light" w:eastAsia="Times New Roman" w:hAnsi="Calibri Light" w:cs="Calibri Light"/>
                <w:color w:val="000000"/>
                <w:sz w:val="20"/>
                <w:szCs w:val="20"/>
                <w:lang w:val="ro-RO"/>
              </w:rPr>
              <w:t>28,7</w:t>
            </w:r>
          </w:p>
        </w:tc>
        <w:tc>
          <w:tcPr>
            <w:tcW w:w="1125"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color w:val="000000"/>
                <w:sz w:val="20"/>
                <w:szCs w:val="20"/>
                <w:lang w:val="ro-RO"/>
              </w:rPr>
            </w:pPr>
            <w:r w:rsidRPr="00F55BA6">
              <w:rPr>
                <w:rFonts w:ascii="Calibri Light" w:eastAsia="Times New Roman" w:hAnsi="Calibri Light" w:cs="Calibri Light"/>
                <w:color w:val="000000"/>
                <w:sz w:val="20"/>
                <w:szCs w:val="20"/>
                <w:lang w:val="ro-RO"/>
              </w:rPr>
              <w:t>28,7</w:t>
            </w:r>
          </w:p>
        </w:tc>
        <w:tc>
          <w:tcPr>
            <w:tcW w:w="1125"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color w:val="000000"/>
                <w:sz w:val="20"/>
                <w:szCs w:val="20"/>
                <w:lang w:val="ro-RO"/>
              </w:rPr>
            </w:pPr>
            <w:r w:rsidRPr="00F55BA6">
              <w:rPr>
                <w:rFonts w:ascii="Calibri Light" w:eastAsia="Times New Roman" w:hAnsi="Calibri Light" w:cs="Calibri Light"/>
                <w:color w:val="000000"/>
                <w:sz w:val="20"/>
                <w:szCs w:val="20"/>
                <w:lang w:val="ro-RO"/>
              </w:rPr>
              <w:t>17,8</w:t>
            </w:r>
          </w:p>
        </w:tc>
        <w:tc>
          <w:tcPr>
            <w:tcW w:w="1161"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color w:val="000000"/>
                <w:sz w:val="20"/>
                <w:szCs w:val="20"/>
                <w:lang w:val="ro-RO"/>
              </w:rPr>
            </w:pPr>
            <w:r w:rsidRPr="00F55BA6">
              <w:rPr>
                <w:rFonts w:ascii="Calibri Light" w:eastAsia="Times New Roman" w:hAnsi="Calibri Light" w:cs="Calibri Light"/>
                <w:color w:val="000000"/>
                <w:sz w:val="20"/>
                <w:szCs w:val="20"/>
                <w:lang w:val="ro-RO"/>
              </w:rPr>
              <w:t>17,8</w:t>
            </w:r>
          </w:p>
        </w:tc>
        <w:tc>
          <w:tcPr>
            <w:tcW w:w="1151"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color w:val="000000"/>
                <w:sz w:val="20"/>
                <w:szCs w:val="20"/>
                <w:lang w:val="ro-RO"/>
              </w:rPr>
            </w:pPr>
            <w:r w:rsidRPr="00E4517B">
              <w:rPr>
                <w:rFonts w:ascii="Calibri Light" w:eastAsia="Times New Roman" w:hAnsi="Calibri Light" w:cs="Calibri Light"/>
                <w:color w:val="000000"/>
                <w:sz w:val="20"/>
                <w:szCs w:val="20"/>
                <w:lang w:val="ro-RO"/>
              </w:rPr>
              <w:t>-8,9</w:t>
            </w:r>
          </w:p>
        </w:tc>
        <w:tc>
          <w:tcPr>
            <w:tcW w:w="1120"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color w:val="000000"/>
                <w:sz w:val="20"/>
                <w:szCs w:val="20"/>
                <w:lang w:val="ro-RO"/>
              </w:rPr>
            </w:pPr>
            <w:r w:rsidRPr="00E4517B">
              <w:rPr>
                <w:rFonts w:ascii="Calibri Light" w:eastAsia="Times New Roman" w:hAnsi="Calibri Light" w:cs="Calibri Light"/>
                <w:color w:val="000000"/>
                <w:sz w:val="20"/>
                <w:szCs w:val="20"/>
                <w:lang w:val="ro-RO"/>
              </w:rPr>
              <w:t>0,0</w:t>
            </w:r>
          </w:p>
        </w:tc>
        <w:tc>
          <w:tcPr>
            <w:tcW w:w="1131"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color w:val="000000"/>
                <w:sz w:val="20"/>
                <w:szCs w:val="20"/>
                <w:lang w:val="ro-RO"/>
              </w:rPr>
            </w:pPr>
            <w:r w:rsidRPr="00E4517B">
              <w:rPr>
                <w:rFonts w:ascii="Calibri Light" w:eastAsia="Times New Roman" w:hAnsi="Calibri Light" w:cs="Calibri Light"/>
                <w:color w:val="000000"/>
                <w:sz w:val="20"/>
                <w:szCs w:val="20"/>
                <w:lang w:val="ro-RO"/>
              </w:rPr>
              <w:t>-8,9</w:t>
            </w:r>
          </w:p>
        </w:tc>
      </w:tr>
      <w:tr w:rsidR="004D6726" w:rsidRPr="00E4517B" w:rsidTr="00B51730">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D6726" w:rsidRPr="00F55BA6" w:rsidRDefault="004D6726" w:rsidP="00B51730">
            <w:pPr>
              <w:spacing w:after="0" w:line="240" w:lineRule="auto"/>
              <w:jc w:val="left"/>
              <w:rPr>
                <w:rFonts w:ascii="Calibri Light" w:eastAsia="Times New Roman" w:hAnsi="Calibri Light" w:cs="Calibri Light"/>
                <w:b/>
                <w:bCs/>
                <w:color w:val="000000"/>
                <w:sz w:val="20"/>
                <w:szCs w:val="20"/>
                <w:lang w:val="ro-RO"/>
              </w:rPr>
            </w:pPr>
            <w:r w:rsidRPr="00F55BA6">
              <w:rPr>
                <w:rFonts w:ascii="Calibri Light" w:eastAsia="Times New Roman" w:hAnsi="Calibri Light" w:cs="Calibri Light"/>
                <w:b/>
                <w:bCs/>
                <w:color w:val="000000"/>
                <w:sz w:val="20"/>
                <w:szCs w:val="20"/>
                <w:lang w:val="ro-RO"/>
              </w:rPr>
              <w:t>II. Cheltuieli și active nefinanciare, total,</w:t>
            </w:r>
            <w:r w:rsidRPr="00F55BA6">
              <w:rPr>
                <w:rFonts w:ascii="Calibri Light" w:eastAsia="Times New Roman" w:hAnsi="Calibri Light" w:cs="Calibri Light"/>
                <w:i/>
                <w:iCs/>
                <w:color w:val="000000"/>
                <w:sz w:val="20"/>
                <w:szCs w:val="20"/>
                <w:lang w:val="ro-RO"/>
              </w:rPr>
              <w:t xml:space="preserve"> inclusiv:</w:t>
            </w:r>
          </w:p>
        </w:tc>
        <w:tc>
          <w:tcPr>
            <w:tcW w:w="1200"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b/>
                <w:bCs/>
                <w:color w:val="000000"/>
                <w:sz w:val="20"/>
                <w:szCs w:val="20"/>
                <w:lang w:val="ro-RO"/>
              </w:rPr>
            </w:pPr>
            <w:r w:rsidRPr="00F55BA6">
              <w:rPr>
                <w:rFonts w:ascii="Calibri Light" w:eastAsia="Times New Roman" w:hAnsi="Calibri Light" w:cs="Calibri Light"/>
                <w:b/>
                <w:bCs/>
                <w:color w:val="000000"/>
                <w:sz w:val="20"/>
                <w:szCs w:val="20"/>
                <w:lang w:val="ro-RO"/>
              </w:rPr>
              <w:t>51.551,9</w:t>
            </w:r>
          </w:p>
        </w:tc>
        <w:tc>
          <w:tcPr>
            <w:tcW w:w="1205"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b/>
                <w:bCs/>
                <w:color w:val="000000"/>
                <w:sz w:val="20"/>
                <w:szCs w:val="20"/>
                <w:lang w:val="ro-RO"/>
              </w:rPr>
            </w:pPr>
            <w:r w:rsidRPr="00F55BA6">
              <w:rPr>
                <w:rFonts w:ascii="Calibri Light" w:eastAsia="Times New Roman" w:hAnsi="Calibri Light" w:cs="Calibri Light"/>
                <w:b/>
                <w:bCs/>
                <w:color w:val="000000"/>
                <w:sz w:val="20"/>
                <w:szCs w:val="20"/>
                <w:lang w:val="ro-RO"/>
              </w:rPr>
              <w:t>53.773,8</w:t>
            </w:r>
          </w:p>
        </w:tc>
        <w:tc>
          <w:tcPr>
            <w:tcW w:w="1125"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b/>
                <w:bCs/>
                <w:color w:val="000000"/>
                <w:sz w:val="20"/>
                <w:szCs w:val="20"/>
                <w:lang w:val="ro-RO"/>
              </w:rPr>
            </w:pPr>
            <w:r w:rsidRPr="00F55BA6">
              <w:rPr>
                <w:rFonts w:ascii="Calibri Light" w:eastAsia="Times New Roman" w:hAnsi="Calibri Light" w:cs="Calibri Light"/>
                <w:b/>
                <w:bCs/>
                <w:color w:val="000000"/>
                <w:sz w:val="20"/>
                <w:szCs w:val="20"/>
                <w:lang w:val="ro-RO"/>
              </w:rPr>
              <w:t>55.057,6</w:t>
            </w:r>
          </w:p>
        </w:tc>
        <w:tc>
          <w:tcPr>
            <w:tcW w:w="1125"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b/>
                <w:bCs/>
                <w:color w:val="000000"/>
                <w:sz w:val="20"/>
                <w:szCs w:val="20"/>
                <w:lang w:val="ro-RO"/>
              </w:rPr>
            </w:pPr>
            <w:r w:rsidRPr="00F55BA6">
              <w:rPr>
                <w:rFonts w:ascii="Calibri Light" w:eastAsia="Times New Roman" w:hAnsi="Calibri Light" w:cs="Calibri Light"/>
                <w:b/>
                <w:bCs/>
                <w:color w:val="000000"/>
                <w:sz w:val="20"/>
                <w:szCs w:val="20"/>
                <w:lang w:val="ro-RO"/>
              </w:rPr>
              <w:t>55.057,6</w:t>
            </w:r>
          </w:p>
        </w:tc>
        <w:tc>
          <w:tcPr>
            <w:tcW w:w="1125"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b/>
                <w:bCs/>
                <w:color w:val="000000"/>
                <w:sz w:val="20"/>
                <w:szCs w:val="20"/>
                <w:lang w:val="ro-RO"/>
              </w:rPr>
            </w:pPr>
            <w:r w:rsidRPr="00F55BA6">
              <w:rPr>
                <w:rFonts w:ascii="Calibri Light" w:eastAsia="Times New Roman" w:hAnsi="Calibri Light" w:cs="Calibri Light"/>
                <w:b/>
                <w:bCs/>
                <w:color w:val="000000"/>
                <w:sz w:val="20"/>
                <w:szCs w:val="20"/>
                <w:lang w:val="ro-RO"/>
              </w:rPr>
              <w:t>53.200,9</w:t>
            </w:r>
          </w:p>
        </w:tc>
        <w:tc>
          <w:tcPr>
            <w:tcW w:w="1161"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b/>
                <w:bCs/>
                <w:color w:val="000000"/>
                <w:sz w:val="20"/>
                <w:szCs w:val="20"/>
                <w:lang w:val="ro-RO"/>
              </w:rPr>
            </w:pPr>
            <w:r w:rsidRPr="00F55BA6">
              <w:rPr>
                <w:rFonts w:ascii="Calibri Light" w:eastAsia="Times New Roman" w:hAnsi="Calibri Light" w:cs="Calibri Light"/>
                <w:b/>
                <w:bCs/>
                <w:color w:val="000000"/>
                <w:sz w:val="20"/>
                <w:szCs w:val="20"/>
                <w:lang w:val="ro-RO"/>
              </w:rPr>
              <w:t>53.280,6</w:t>
            </w:r>
          </w:p>
        </w:tc>
        <w:tc>
          <w:tcPr>
            <w:tcW w:w="1151"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b/>
                <w:bCs/>
                <w:color w:val="000000"/>
                <w:sz w:val="20"/>
                <w:szCs w:val="20"/>
                <w:lang w:val="ro-RO"/>
              </w:rPr>
            </w:pPr>
            <w:r w:rsidRPr="00E4517B">
              <w:rPr>
                <w:rFonts w:ascii="Calibri Light" w:eastAsia="Times New Roman" w:hAnsi="Calibri Light" w:cs="Calibri Light"/>
                <w:b/>
                <w:bCs/>
                <w:color w:val="000000"/>
                <w:sz w:val="20"/>
                <w:szCs w:val="20"/>
                <w:lang w:val="ro-RO"/>
              </w:rPr>
              <w:t>1.649,0</w:t>
            </w:r>
          </w:p>
        </w:tc>
        <w:tc>
          <w:tcPr>
            <w:tcW w:w="1120"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b/>
                <w:bCs/>
                <w:color w:val="000000"/>
                <w:sz w:val="20"/>
                <w:szCs w:val="20"/>
                <w:lang w:val="ro-RO"/>
              </w:rPr>
            </w:pPr>
            <w:r w:rsidRPr="00E4517B">
              <w:rPr>
                <w:rFonts w:ascii="Calibri Light" w:eastAsia="Times New Roman" w:hAnsi="Calibri Light" w:cs="Calibri Light"/>
                <w:b/>
                <w:bCs/>
                <w:color w:val="000000"/>
                <w:sz w:val="20"/>
                <w:szCs w:val="20"/>
                <w:lang w:val="ro-RO"/>
              </w:rPr>
              <w:t>79,7</w:t>
            </w:r>
          </w:p>
        </w:tc>
        <w:tc>
          <w:tcPr>
            <w:tcW w:w="1131"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b/>
                <w:bCs/>
                <w:color w:val="000000"/>
                <w:sz w:val="20"/>
                <w:szCs w:val="20"/>
                <w:lang w:val="ro-RO"/>
              </w:rPr>
            </w:pPr>
            <w:r w:rsidRPr="00E4517B">
              <w:rPr>
                <w:rFonts w:ascii="Calibri Light" w:eastAsia="Times New Roman" w:hAnsi="Calibri Light" w:cs="Calibri Light"/>
                <w:b/>
                <w:bCs/>
                <w:color w:val="000000"/>
                <w:sz w:val="20"/>
                <w:szCs w:val="20"/>
                <w:lang w:val="ro-RO"/>
              </w:rPr>
              <w:t>1.728,7</w:t>
            </w:r>
          </w:p>
        </w:tc>
      </w:tr>
      <w:tr w:rsidR="004D6726" w:rsidRPr="00E4517B" w:rsidTr="00B51730">
        <w:trPr>
          <w:trHeight w:val="30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4D6726" w:rsidRPr="00F55BA6" w:rsidRDefault="004D6726" w:rsidP="00B51730">
            <w:pPr>
              <w:spacing w:after="0" w:line="240" w:lineRule="auto"/>
              <w:jc w:val="left"/>
              <w:rPr>
                <w:rFonts w:ascii="Calibri Light" w:eastAsia="Times New Roman" w:hAnsi="Calibri Light" w:cs="Calibri Light"/>
                <w:color w:val="000000"/>
                <w:sz w:val="20"/>
                <w:szCs w:val="20"/>
                <w:lang w:val="ro-RO"/>
              </w:rPr>
            </w:pPr>
            <w:r w:rsidRPr="00F55BA6">
              <w:rPr>
                <w:rFonts w:ascii="Calibri Light" w:eastAsia="Times New Roman" w:hAnsi="Calibri Light" w:cs="Calibri Light"/>
                <w:color w:val="000000"/>
                <w:sz w:val="20"/>
                <w:szCs w:val="20"/>
                <w:lang w:val="ro-RO"/>
              </w:rPr>
              <w:t>cheltuieli de personal</w:t>
            </w:r>
          </w:p>
        </w:tc>
        <w:tc>
          <w:tcPr>
            <w:tcW w:w="1200" w:type="dxa"/>
            <w:tcBorders>
              <w:top w:val="nil"/>
              <w:left w:val="nil"/>
              <w:bottom w:val="single" w:sz="4" w:space="0" w:color="auto"/>
              <w:right w:val="single" w:sz="4" w:space="0" w:color="auto"/>
            </w:tcBorders>
            <w:shd w:val="clear" w:color="000000" w:fill="FFFFFF"/>
            <w:noWrap/>
            <w:vAlign w:val="center"/>
            <w:hideMark/>
          </w:tcPr>
          <w:p w:rsidR="004D6726" w:rsidRPr="00F55BA6" w:rsidRDefault="004D6726" w:rsidP="00B51730">
            <w:pPr>
              <w:spacing w:after="0" w:line="240" w:lineRule="auto"/>
              <w:jc w:val="right"/>
              <w:rPr>
                <w:rFonts w:ascii="Calibri Light" w:eastAsia="Times New Roman" w:hAnsi="Calibri Light" w:cs="Calibri Light"/>
                <w:color w:val="000000"/>
                <w:sz w:val="20"/>
                <w:szCs w:val="20"/>
                <w:lang w:val="ro-RO"/>
              </w:rPr>
            </w:pPr>
            <w:r w:rsidRPr="00F55BA6">
              <w:rPr>
                <w:rFonts w:ascii="Calibri Light" w:eastAsia="Times New Roman" w:hAnsi="Calibri Light" w:cs="Calibri Light"/>
                <w:color w:val="000000"/>
                <w:sz w:val="20"/>
                <w:szCs w:val="20"/>
                <w:lang w:val="ro-RO"/>
              </w:rPr>
              <w:t>7.010,0</w:t>
            </w:r>
          </w:p>
        </w:tc>
        <w:tc>
          <w:tcPr>
            <w:tcW w:w="1205" w:type="dxa"/>
            <w:tcBorders>
              <w:top w:val="nil"/>
              <w:left w:val="nil"/>
              <w:bottom w:val="single" w:sz="4" w:space="0" w:color="auto"/>
              <w:right w:val="single" w:sz="4" w:space="0" w:color="auto"/>
            </w:tcBorders>
            <w:shd w:val="clear" w:color="000000" w:fill="FFFFFF"/>
            <w:noWrap/>
            <w:vAlign w:val="center"/>
            <w:hideMark/>
          </w:tcPr>
          <w:p w:rsidR="004D6726" w:rsidRPr="00F55BA6" w:rsidRDefault="004D6726" w:rsidP="00B51730">
            <w:pPr>
              <w:spacing w:after="0" w:line="240" w:lineRule="auto"/>
              <w:jc w:val="right"/>
              <w:rPr>
                <w:rFonts w:ascii="Calibri Light" w:eastAsia="Times New Roman" w:hAnsi="Calibri Light" w:cs="Calibri Light"/>
                <w:color w:val="000000"/>
                <w:sz w:val="20"/>
                <w:szCs w:val="20"/>
                <w:lang w:val="ro-RO"/>
              </w:rPr>
            </w:pPr>
            <w:r w:rsidRPr="00F55BA6">
              <w:rPr>
                <w:rFonts w:ascii="Calibri Light" w:eastAsia="Times New Roman" w:hAnsi="Calibri Light" w:cs="Calibri Light"/>
                <w:color w:val="000000"/>
                <w:sz w:val="20"/>
                <w:szCs w:val="20"/>
                <w:lang w:val="ro-RO"/>
              </w:rPr>
              <w:t>7.149,0</w:t>
            </w:r>
          </w:p>
        </w:tc>
        <w:tc>
          <w:tcPr>
            <w:tcW w:w="1125" w:type="dxa"/>
            <w:tcBorders>
              <w:top w:val="nil"/>
              <w:left w:val="nil"/>
              <w:bottom w:val="single" w:sz="4" w:space="0" w:color="auto"/>
              <w:right w:val="single" w:sz="4" w:space="0" w:color="auto"/>
            </w:tcBorders>
            <w:shd w:val="clear" w:color="000000" w:fill="FFFFFF"/>
            <w:noWrap/>
            <w:vAlign w:val="center"/>
            <w:hideMark/>
          </w:tcPr>
          <w:p w:rsidR="004D6726" w:rsidRPr="00F55BA6" w:rsidRDefault="004D6726" w:rsidP="00B51730">
            <w:pPr>
              <w:spacing w:after="0" w:line="240" w:lineRule="auto"/>
              <w:jc w:val="right"/>
              <w:rPr>
                <w:rFonts w:ascii="Calibri Light" w:eastAsia="Times New Roman" w:hAnsi="Calibri Light" w:cs="Calibri Light"/>
                <w:color w:val="000000"/>
                <w:sz w:val="20"/>
                <w:szCs w:val="20"/>
                <w:lang w:val="ro-RO"/>
              </w:rPr>
            </w:pPr>
            <w:r w:rsidRPr="00F55BA6">
              <w:rPr>
                <w:rFonts w:ascii="Calibri Light" w:eastAsia="Times New Roman" w:hAnsi="Calibri Light" w:cs="Calibri Light"/>
                <w:color w:val="000000"/>
                <w:sz w:val="20"/>
                <w:szCs w:val="20"/>
                <w:lang w:val="ro-RO"/>
              </w:rPr>
              <w:t>7.322,4</w:t>
            </w:r>
          </w:p>
        </w:tc>
        <w:tc>
          <w:tcPr>
            <w:tcW w:w="1125" w:type="dxa"/>
            <w:tcBorders>
              <w:top w:val="nil"/>
              <w:left w:val="nil"/>
              <w:bottom w:val="single" w:sz="4" w:space="0" w:color="auto"/>
              <w:right w:val="single" w:sz="4" w:space="0" w:color="auto"/>
            </w:tcBorders>
            <w:shd w:val="clear" w:color="000000" w:fill="FFFFFF"/>
            <w:noWrap/>
            <w:vAlign w:val="center"/>
            <w:hideMark/>
          </w:tcPr>
          <w:p w:rsidR="004D6726" w:rsidRPr="00F55BA6" w:rsidRDefault="004D6726" w:rsidP="00B51730">
            <w:pPr>
              <w:spacing w:after="0" w:line="240" w:lineRule="auto"/>
              <w:jc w:val="right"/>
              <w:rPr>
                <w:rFonts w:ascii="Calibri Light" w:eastAsia="Times New Roman" w:hAnsi="Calibri Light" w:cs="Calibri Light"/>
                <w:color w:val="000000"/>
                <w:sz w:val="20"/>
                <w:szCs w:val="20"/>
                <w:lang w:val="ro-RO"/>
              </w:rPr>
            </w:pPr>
            <w:r w:rsidRPr="00F55BA6">
              <w:rPr>
                <w:rFonts w:ascii="Calibri Light" w:eastAsia="Times New Roman" w:hAnsi="Calibri Light" w:cs="Calibri Light"/>
                <w:color w:val="000000"/>
                <w:sz w:val="20"/>
                <w:szCs w:val="20"/>
                <w:lang w:val="ro-RO"/>
              </w:rPr>
              <w:t>7.322,4</w:t>
            </w:r>
          </w:p>
        </w:tc>
        <w:tc>
          <w:tcPr>
            <w:tcW w:w="1125" w:type="dxa"/>
            <w:tcBorders>
              <w:top w:val="nil"/>
              <w:left w:val="nil"/>
              <w:bottom w:val="single" w:sz="4" w:space="0" w:color="auto"/>
              <w:right w:val="single" w:sz="4" w:space="0" w:color="auto"/>
            </w:tcBorders>
            <w:shd w:val="clear" w:color="000000" w:fill="FFFFFF"/>
            <w:noWrap/>
            <w:vAlign w:val="center"/>
            <w:hideMark/>
          </w:tcPr>
          <w:p w:rsidR="004D6726" w:rsidRPr="00F55BA6" w:rsidRDefault="004D6726" w:rsidP="00B51730">
            <w:pPr>
              <w:spacing w:after="0" w:line="240" w:lineRule="auto"/>
              <w:jc w:val="right"/>
              <w:rPr>
                <w:rFonts w:ascii="Calibri Light" w:eastAsia="Times New Roman" w:hAnsi="Calibri Light" w:cs="Calibri Light"/>
                <w:color w:val="000000"/>
                <w:sz w:val="20"/>
                <w:szCs w:val="20"/>
                <w:lang w:val="ro-RO"/>
              </w:rPr>
            </w:pPr>
            <w:r w:rsidRPr="00F55BA6">
              <w:rPr>
                <w:rFonts w:ascii="Calibri Light" w:eastAsia="Times New Roman" w:hAnsi="Calibri Light" w:cs="Calibri Light"/>
                <w:color w:val="000000"/>
                <w:sz w:val="20"/>
                <w:szCs w:val="20"/>
                <w:lang w:val="ro-RO"/>
              </w:rPr>
              <w:t>7.389,4</w:t>
            </w:r>
          </w:p>
        </w:tc>
        <w:tc>
          <w:tcPr>
            <w:tcW w:w="1161" w:type="dxa"/>
            <w:tcBorders>
              <w:top w:val="nil"/>
              <w:left w:val="nil"/>
              <w:bottom w:val="single" w:sz="4" w:space="0" w:color="auto"/>
              <w:right w:val="single" w:sz="4" w:space="0" w:color="auto"/>
            </w:tcBorders>
            <w:shd w:val="clear" w:color="000000" w:fill="FFFFFF"/>
            <w:noWrap/>
            <w:vAlign w:val="center"/>
            <w:hideMark/>
          </w:tcPr>
          <w:p w:rsidR="004D6726" w:rsidRPr="00F55BA6" w:rsidRDefault="004D6726" w:rsidP="00B51730">
            <w:pPr>
              <w:spacing w:after="0" w:line="240" w:lineRule="auto"/>
              <w:jc w:val="right"/>
              <w:rPr>
                <w:rFonts w:ascii="Calibri Light" w:eastAsia="Times New Roman" w:hAnsi="Calibri Light" w:cs="Calibri Light"/>
                <w:color w:val="000000"/>
                <w:sz w:val="20"/>
                <w:szCs w:val="20"/>
                <w:lang w:val="ro-RO"/>
              </w:rPr>
            </w:pPr>
            <w:r w:rsidRPr="00F55BA6">
              <w:rPr>
                <w:rFonts w:ascii="Calibri Light" w:eastAsia="Times New Roman" w:hAnsi="Calibri Light" w:cs="Calibri Light"/>
                <w:color w:val="000000"/>
                <w:sz w:val="20"/>
                <w:szCs w:val="20"/>
                <w:lang w:val="ro-RO"/>
              </w:rPr>
              <w:t>7.347,8</w:t>
            </w:r>
          </w:p>
        </w:tc>
        <w:tc>
          <w:tcPr>
            <w:tcW w:w="1151"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color w:val="000000"/>
                <w:sz w:val="20"/>
                <w:szCs w:val="20"/>
                <w:lang w:val="ro-RO"/>
              </w:rPr>
            </w:pPr>
            <w:r w:rsidRPr="00E4517B">
              <w:rPr>
                <w:rFonts w:ascii="Calibri Light" w:eastAsia="Times New Roman" w:hAnsi="Calibri Light" w:cs="Calibri Light"/>
                <w:color w:val="000000"/>
                <w:sz w:val="20"/>
                <w:szCs w:val="20"/>
                <w:lang w:val="ro-RO"/>
              </w:rPr>
              <w:t>379,4</w:t>
            </w:r>
          </w:p>
        </w:tc>
        <w:tc>
          <w:tcPr>
            <w:tcW w:w="1120"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color w:val="000000"/>
                <w:sz w:val="20"/>
                <w:szCs w:val="20"/>
                <w:lang w:val="ro-RO"/>
              </w:rPr>
            </w:pPr>
            <w:r w:rsidRPr="00E4517B">
              <w:rPr>
                <w:rFonts w:ascii="Calibri Light" w:eastAsia="Times New Roman" w:hAnsi="Calibri Light" w:cs="Calibri Light"/>
                <w:color w:val="000000"/>
                <w:sz w:val="20"/>
                <w:szCs w:val="20"/>
                <w:lang w:val="ro-RO"/>
              </w:rPr>
              <w:t>-41,6</w:t>
            </w:r>
          </w:p>
        </w:tc>
        <w:tc>
          <w:tcPr>
            <w:tcW w:w="1131"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color w:val="000000"/>
                <w:sz w:val="20"/>
                <w:szCs w:val="20"/>
                <w:lang w:val="ro-RO"/>
              </w:rPr>
            </w:pPr>
            <w:r w:rsidRPr="00E4517B">
              <w:rPr>
                <w:rFonts w:ascii="Calibri Light" w:eastAsia="Times New Roman" w:hAnsi="Calibri Light" w:cs="Calibri Light"/>
                <w:color w:val="000000"/>
                <w:sz w:val="20"/>
                <w:szCs w:val="20"/>
                <w:lang w:val="ro-RO"/>
              </w:rPr>
              <w:t>337,8</w:t>
            </w:r>
          </w:p>
        </w:tc>
      </w:tr>
      <w:tr w:rsidR="004D6726" w:rsidRPr="00E4517B" w:rsidTr="00B51730">
        <w:trPr>
          <w:trHeight w:val="30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4D6726" w:rsidRPr="00F55BA6" w:rsidRDefault="004D6726" w:rsidP="00B51730">
            <w:pPr>
              <w:spacing w:after="0" w:line="240" w:lineRule="auto"/>
              <w:jc w:val="left"/>
              <w:rPr>
                <w:rFonts w:ascii="Calibri Light" w:eastAsia="Times New Roman" w:hAnsi="Calibri Light" w:cs="Calibri Light"/>
                <w:color w:val="000000"/>
                <w:sz w:val="20"/>
                <w:szCs w:val="20"/>
                <w:lang w:val="ro-RO"/>
              </w:rPr>
            </w:pPr>
            <w:r w:rsidRPr="00F55BA6">
              <w:rPr>
                <w:rFonts w:ascii="Calibri Light" w:eastAsia="Times New Roman" w:hAnsi="Calibri Light" w:cs="Calibri Light"/>
                <w:color w:val="000000"/>
                <w:sz w:val="20"/>
                <w:szCs w:val="20"/>
                <w:lang w:val="ro-RO"/>
              </w:rPr>
              <w:lastRenderedPageBreak/>
              <w:t>transferuri acordate în cadrul BPN</w:t>
            </w:r>
          </w:p>
        </w:tc>
        <w:tc>
          <w:tcPr>
            <w:tcW w:w="1200" w:type="dxa"/>
            <w:tcBorders>
              <w:top w:val="nil"/>
              <w:left w:val="nil"/>
              <w:bottom w:val="single" w:sz="4" w:space="0" w:color="auto"/>
              <w:right w:val="single" w:sz="4" w:space="0" w:color="auto"/>
            </w:tcBorders>
            <w:shd w:val="clear" w:color="000000" w:fill="FFFFFF"/>
            <w:noWrap/>
            <w:vAlign w:val="center"/>
            <w:hideMark/>
          </w:tcPr>
          <w:p w:rsidR="004D6726" w:rsidRPr="00F55BA6" w:rsidRDefault="004D6726" w:rsidP="00B51730">
            <w:pPr>
              <w:spacing w:after="0" w:line="240" w:lineRule="auto"/>
              <w:jc w:val="right"/>
              <w:rPr>
                <w:rFonts w:ascii="Calibri Light" w:eastAsia="Times New Roman" w:hAnsi="Calibri Light" w:cs="Calibri Light"/>
                <w:color w:val="000000"/>
                <w:sz w:val="20"/>
                <w:szCs w:val="20"/>
                <w:lang w:val="ro-RO"/>
              </w:rPr>
            </w:pPr>
            <w:r w:rsidRPr="00F55BA6">
              <w:rPr>
                <w:rFonts w:ascii="Calibri Light" w:eastAsia="Times New Roman" w:hAnsi="Calibri Light" w:cs="Calibri Light"/>
                <w:color w:val="000000"/>
                <w:sz w:val="20"/>
                <w:szCs w:val="20"/>
                <w:lang w:val="ro-RO"/>
              </w:rPr>
              <w:t>24.847,2</w:t>
            </w:r>
          </w:p>
        </w:tc>
        <w:tc>
          <w:tcPr>
            <w:tcW w:w="1205" w:type="dxa"/>
            <w:tcBorders>
              <w:top w:val="nil"/>
              <w:left w:val="nil"/>
              <w:bottom w:val="single" w:sz="4" w:space="0" w:color="auto"/>
              <w:right w:val="single" w:sz="4" w:space="0" w:color="auto"/>
            </w:tcBorders>
            <w:shd w:val="clear" w:color="000000" w:fill="FFFFFF"/>
            <w:noWrap/>
            <w:vAlign w:val="center"/>
            <w:hideMark/>
          </w:tcPr>
          <w:p w:rsidR="004D6726" w:rsidRPr="00F55BA6" w:rsidRDefault="004D6726" w:rsidP="00B51730">
            <w:pPr>
              <w:spacing w:after="0" w:line="240" w:lineRule="auto"/>
              <w:jc w:val="right"/>
              <w:rPr>
                <w:rFonts w:ascii="Calibri Light" w:eastAsia="Times New Roman" w:hAnsi="Calibri Light" w:cs="Calibri Light"/>
                <w:color w:val="000000"/>
                <w:sz w:val="20"/>
                <w:szCs w:val="20"/>
                <w:lang w:val="ro-RO"/>
              </w:rPr>
            </w:pPr>
            <w:r w:rsidRPr="00F55BA6">
              <w:rPr>
                <w:rFonts w:ascii="Calibri Light" w:eastAsia="Times New Roman" w:hAnsi="Calibri Light" w:cs="Calibri Light"/>
                <w:color w:val="000000"/>
                <w:sz w:val="20"/>
                <w:szCs w:val="20"/>
                <w:lang w:val="ro-RO"/>
              </w:rPr>
              <w:t>26.178,5</w:t>
            </w:r>
          </w:p>
        </w:tc>
        <w:tc>
          <w:tcPr>
            <w:tcW w:w="1125" w:type="dxa"/>
            <w:tcBorders>
              <w:top w:val="nil"/>
              <w:left w:val="nil"/>
              <w:bottom w:val="single" w:sz="4" w:space="0" w:color="auto"/>
              <w:right w:val="single" w:sz="4" w:space="0" w:color="auto"/>
            </w:tcBorders>
            <w:shd w:val="clear" w:color="000000" w:fill="FFFFFF"/>
            <w:noWrap/>
            <w:vAlign w:val="center"/>
            <w:hideMark/>
          </w:tcPr>
          <w:p w:rsidR="004D6726" w:rsidRPr="00F55BA6" w:rsidRDefault="004D6726" w:rsidP="00B51730">
            <w:pPr>
              <w:spacing w:after="0" w:line="240" w:lineRule="auto"/>
              <w:jc w:val="right"/>
              <w:rPr>
                <w:rFonts w:ascii="Calibri Light" w:eastAsia="Times New Roman" w:hAnsi="Calibri Light" w:cs="Calibri Light"/>
                <w:color w:val="000000"/>
                <w:sz w:val="20"/>
                <w:szCs w:val="20"/>
                <w:lang w:val="ro-RO"/>
              </w:rPr>
            </w:pPr>
            <w:r w:rsidRPr="00F55BA6">
              <w:rPr>
                <w:rFonts w:ascii="Calibri Light" w:eastAsia="Times New Roman" w:hAnsi="Calibri Light" w:cs="Calibri Light"/>
                <w:color w:val="000000"/>
                <w:sz w:val="20"/>
                <w:szCs w:val="20"/>
                <w:lang w:val="ro-RO"/>
              </w:rPr>
              <w:t>27.076,0</w:t>
            </w:r>
          </w:p>
        </w:tc>
        <w:tc>
          <w:tcPr>
            <w:tcW w:w="1125" w:type="dxa"/>
            <w:tcBorders>
              <w:top w:val="nil"/>
              <w:left w:val="nil"/>
              <w:bottom w:val="single" w:sz="4" w:space="0" w:color="auto"/>
              <w:right w:val="single" w:sz="4" w:space="0" w:color="auto"/>
            </w:tcBorders>
            <w:shd w:val="clear" w:color="000000" w:fill="FFFFFF"/>
            <w:noWrap/>
            <w:vAlign w:val="center"/>
            <w:hideMark/>
          </w:tcPr>
          <w:p w:rsidR="004D6726" w:rsidRPr="00F55BA6" w:rsidRDefault="004D6726" w:rsidP="00B51730">
            <w:pPr>
              <w:spacing w:after="0" w:line="240" w:lineRule="auto"/>
              <w:jc w:val="right"/>
              <w:rPr>
                <w:rFonts w:ascii="Calibri Light" w:eastAsia="Times New Roman" w:hAnsi="Calibri Light" w:cs="Calibri Light"/>
                <w:color w:val="000000"/>
                <w:sz w:val="20"/>
                <w:szCs w:val="20"/>
                <w:lang w:val="ro-RO"/>
              </w:rPr>
            </w:pPr>
            <w:r w:rsidRPr="00F55BA6">
              <w:rPr>
                <w:rFonts w:ascii="Calibri Light" w:eastAsia="Times New Roman" w:hAnsi="Calibri Light" w:cs="Calibri Light"/>
                <w:color w:val="000000"/>
                <w:sz w:val="20"/>
                <w:szCs w:val="20"/>
                <w:lang w:val="ro-RO"/>
              </w:rPr>
              <w:t>27.076,0</w:t>
            </w:r>
          </w:p>
        </w:tc>
        <w:tc>
          <w:tcPr>
            <w:tcW w:w="1125" w:type="dxa"/>
            <w:tcBorders>
              <w:top w:val="nil"/>
              <w:left w:val="nil"/>
              <w:bottom w:val="single" w:sz="4" w:space="0" w:color="auto"/>
              <w:right w:val="single" w:sz="4" w:space="0" w:color="auto"/>
            </w:tcBorders>
            <w:shd w:val="clear" w:color="000000" w:fill="FFFFFF"/>
            <w:noWrap/>
            <w:vAlign w:val="center"/>
            <w:hideMark/>
          </w:tcPr>
          <w:p w:rsidR="004D6726" w:rsidRPr="00F55BA6" w:rsidRDefault="004D6726" w:rsidP="00B51730">
            <w:pPr>
              <w:spacing w:after="0" w:line="240" w:lineRule="auto"/>
              <w:jc w:val="right"/>
              <w:rPr>
                <w:rFonts w:ascii="Calibri Light" w:eastAsia="Times New Roman" w:hAnsi="Calibri Light" w:cs="Calibri Light"/>
                <w:color w:val="000000"/>
                <w:sz w:val="20"/>
                <w:szCs w:val="20"/>
                <w:lang w:val="ro-RO"/>
              </w:rPr>
            </w:pPr>
            <w:r w:rsidRPr="00F55BA6">
              <w:rPr>
                <w:rFonts w:ascii="Calibri Light" w:eastAsia="Times New Roman" w:hAnsi="Calibri Light" w:cs="Calibri Light"/>
                <w:color w:val="000000"/>
                <w:sz w:val="20"/>
                <w:szCs w:val="20"/>
                <w:lang w:val="ro-RO"/>
              </w:rPr>
              <w:t>27.484,4</w:t>
            </w:r>
          </w:p>
        </w:tc>
        <w:tc>
          <w:tcPr>
            <w:tcW w:w="1161" w:type="dxa"/>
            <w:tcBorders>
              <w:top w:val="nil"/>
              <w:left w:val="nil"/>
              <w:bottom w:val="single" w:sz="4" w:space="0" w:color="auto"/>
              <w:right w:val="single" w:sz="4" w:space="0" w:color="auto"/>
            </w:tcBorders>
            <w:shd w:val="clear" w:color="000000" w:fill="FFFFFF"/>
            <w:noWrap/>
            <w:vAlign w:val="center"/>
            <w:hideMark/>
          </w:tcPr>
          <w:p w:rsidR="004D6726" w:rsidRPr="00F55BA6" w:rsidRDefault="004D6726" w:rsidP="00B51730">
            <w:pPr>
              <w:spacing w:after="0" w:line="240" w:lineRule="auto"/>
              <w:jc w:val="right"/>
              <w:rPr>
                <w:rFonts w:ascii="Calibri Light" w:eastAsia="Times New Roman" w:hAnsi="Calibri Light" w:cs="Calibri Light"/>
                <w:color w:val="000000"/>
                <w:sz w:val="20"/>
                <w:szCs w:val="20"/>
                <w:lang w:val="ro-RO"/>
              </w:rPr>
            </w:pPr>
            <w:r w:rsidRPr="00F55BA6">
              <w:rPr>
                <w:rFonts w:ascii="Calibri Light" w:eastAsia="Times New Roman" w:hAnsi="Calibri Light" w:cs="Calibri Light"/>
                <w:color w:val="000000"/>
                <w:sz w:val="20"/>
                <w:szCs w:val="20"/>
                <w:lang w:val="ro-RO"/>
              </w:rPr>
              <w:t>27.941,0</w:t>
            </w:r>
          </w:p>
        </w:tc>
        <w:tc>
          <w:tcPr>
            <w:tcW w:w="1151"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color w:val="000000"/>
                <w:sz w:val="20"/>
                <w:szCs w:val="20"/>
                <w:lang w:val="ro-RO"/>
              </w:rPr>
            </w:pPr>
            <w:r w:rsidRPr="00E4517B">
              <w:rPr>
                <w:rFonts w:ascii="Calibri Light" w:eastAsia="Times New Roman" w:hAnsi="Calibri Light" w:cs="Calibri Light"/>
                <w:color w:val="000000"/>
                <w:sz w:val="20"/>
                <w:szCs w:val="20"/>
                <w:lang w:val="ro-RO"/>
              </w:rPr>
              <w:t>2.637,2</w:t>
            </w:r>
          </w:p>
        </w:tc>
        <w:tc>
          <w:tcPr>
            <w:tcW w:w="1120"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color w:val="000000"/>
                <w:sz w:val="20"/>
                <w:szCs w:val="20"/>
                <w:lang w:val="ro-RO"/>
              </w:rPr>
            </w:pPr>
            <w:r w:rsidRPr="00E4517B">
              <w:rPr>
                <w:rFonts w:ascii="Calibri Light" w:eastAsia="Times New Roman" w:hAnsi="Calibri Light" w:cs="Calibri Light"/>
                <w:color w:val="000000"/>
                <w:sz w:val="20"/>
                <w:szCs w:val="20"/>
                <w:lang w:val="ro-RO"/>
              </w:rPr>
              <w:t>456,6</w:t>
            </w:r>
          </w:p>
        </w:tc>
        <w:tc>
          <w:tcPr>
            <w:tcW w:w="1131"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color w:val="000000"/>
                <w:sz w:val="20"/>
                <w:szCs w:val="20"/>
                <w:lang w:val="ro-RO"/>
              </w:rPr>
            </w:pPr>
            <w:r w:rsidRPr="00E4517B">
              <w:rPr>
                <w:rFonts w:ascii="Calibri Light" w:eastAsia="Times New Roman" w:hAnsi="Calibri Light" w:cs="Calibri Light"/>
                <w:color w:val="000000"/>
                <w:sz w:val="20"/>
                <w:szCs w:val="20"/>
                <w:lang w:val="ro-RO"/>
              </w:rPr>
              <w:t>3.093,8</w:t>
            </w:r>
          </w:p>
        </w:tc>
      </w:tr>
      <w:tr w:rsidR="004D6726" w:rsidRPr="00E4517B" w:rsidTr="00B51730">
        <w:trPr>
          <w:trHeight w:val="51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4D6726" w:rsidRPr="00F55BA6" w:rsidRDefault="004D6726" w:rsidP="00B51730">
            <w:pPr>
              <w:spacing w:after="0" w:line="240" w:lineRule="auto"/>
              <w:jc w:val="left"/>
              <w:rPr>
                <w:rFonts w:ascii="Calibri Light" w:eastAsia="Times New Roman" w:hAnsi="Calibri Light" w:cs="Calibri Light"/>
                <w:color w:val="000000"/>
                <w:sz w:val="20"/>
                <w:szCs w:val="20"/>
                <w:lang w:val="ro-RO"/>
              </w:rPr>
            </w:pPr>
            <w:r w:rsidRPr="00F55BA6">
              <w:rPr>
                <w:rFonts w:ascii="Calibri Light" w:eastAsia="Times New Roman" w:hAnsi="Calibri Light" w:cs="Calibri Light"/>
                <w:color w:val="000000"/>
                <w:sz w:val="20"/>
                <w:szCs w:val="20"/>
                <w:lang w:val="ro-RO"/>
              </w:rPr>
              <w:t>investiții capitale în active materiale în curs de execuție</w:t>
            </w:r>
          </w:p>
        </w:tc>
        <w:tc>
          <w:tcPr>
            <w:tcW w:w="1200" w:type="dxa"/>
            <w:tcBorders>
              <w:top w:val="nil"/>
              <w:left w:val="nil"/>
              <w:bottom w:val="single" w:sz="4" w:space="0" w:color="auto"/>
              <w:right w:val="single" w:sz="4" w:space="0" w:color="auto"/>
            </w:tcBorders>
            <w:shd w:val="clear" w:color="000000" w:fill="FFFFFF"/>
            <w:noWrap/>
            <w:vAlign w:val="center"/>
            <w:hideMark/>
          </w:tcPr>
          <w:p w:rsidR="004D6726" w:rsidRPr="00F55BA6" w:rsidRDefault="004D6726" w:rsidP="00B51730">
            <w:pPr>
              <w:spacing w:after="0" w:line="240" w:lineRule="auto"/>
              <w:jc w:val="right"/>
              <w:rPr>
                <w:rFonts w:ascii="Calibri Light" w:eastAsia="Times New Roman" w:hAnsi="Calibri Light" w:cs="Calibri Light"/>
                <w:color w:val="000000"/>
                <w:sz w:val="20"/>
                <w:szCs w:val="20"/>
                <w:lang w:val="ro-RO"/>
              </w:rPr>
            </w:pPr>
            <w:r w:rsidRPr="00F55BA6">
              <w:rPr>
                <w:rFonts w:ascii="Calibri Light" w:eastAsia="Times New Roman" w:hAnsi="Calibri Light" w:cs="Calibri Light"/>
                <w:color w:val="000000"/>
                <w:sz w:val="20"/>
                <w:szCs w:val="20"/>
                <w:lang w:val="ro-RO"/>
              </w:rPr>
              <w:t>4.133,4</w:t>
            </w:r>
          </w:p>
        </w:tc>
        <w:tc>
          <w:tcPr>
            <w:tcW w:w="1205" w:type="dxa"/>
            <w:tcBorders>
              <w:top w:val="nil"/>
              <w:left w:val="nil"/>
              <w:bottom w:val="single" w:sz="4" w:space="0" w:color="auto"/>
              <w:right w:val="single" w:sz="4" w:space="0" w:color="auto"/>
            </w:tcBorders>
            <w:shd w:val="clear" w:color="000000" w:fill="FFFFFF"/>
            <w:noWrap/>
            <w:vAlign w:val="center"/>
            <w:hideMark/>
          </w:tcPr>
          <w:p w:rsidR="004D6726" w:rsidRPr="00F55BA6" w:rsidRDefault="004D6726" w:rsidP="00B51730">
            <w:pPr>
              <w:spacing w:after="0" w:line="240" w:lineRule="auto"/>
              <w:jc w:val="right"/>
              <w:rPr>
                <w:rFonts w:ascii="Calibri Light" w:eastAsia="Times New Roman" w:hAnsi="Calibri Light" w:cs="Calibri Light"/>
                <w:color w:val="000000"/>
                <w:sz w:val="20"/>
                <w:szCs w:val="20"/>
                <w:lang w:val="ro-RO"/>
              </w:rPr>
            </w:pPr>
            <w:r w:rsidRPr="00F55BA6">
              <w:rPr>
                <w:rFonts w:ascii="Calibri Light" w:eastAsia="Times New Roman" w:hAnsi="Calibri Light" w:cs="Calibri Light"/>
                <w:color w:val="000000"/>
                <w:sz w:val="20"/>
                <w:szCs w:val="20"/>
                <w:lang w:val="ro-RO"/>
              </w:rPr>
              <w:t>1.866,6</w:t>
            </w:r>
          </w:p>
        </w:tc>
        <w:tc>
          <w:tcPr>
            <w:tcW w:w="1125" w:type="dxa"/>
            <w:tcBorders>
              <w:top w:val="nil"/>
              <w:left w:val="nil"/>
              <w:bottom w:val="single" w:sz="4" w:space="0" w:color="auto"/>
              <w:right w:val="single" w:sz="4" w:space="0" w:color="auto"/>
            </w:tcBorders>
            <w:shd w:val="clear" w:color="000000" w:fill="FFFFFF"/>
            <w:noWrap/>
            <w:vAlign w:val="center"/>
            <w:hideMark/>
          </w:tcPr>
          <w:p w:rsidR="004D6726" w:rsidRPr="00F55BA6" w:rsidRDefault="004D6726" w:rsidP="00B51730">
            <w:pPr>
              <w:spacing w:after="0" w:line="240" w:lineRule="auto"/>
              <w:jc w:val="right"/>
              <w:rPr>
                <w:rFonts w:ascii="Calibri Light" w:eastAsia="Times New Roman" w:hAnsi="Calibri Light" w:cs="Calibri Light"/>
                <w:color w:val="000000"/>
                <w:sz w:val="20"/>
                <w:szCs w:val="20"/>
                <w:lang w:val="ro-RO"/>
              </w:rPr>
            </w:pPr>
            <w:r w:rsidRPr="00F55BA6">
              <w:rPr>
                <w:rFonts w:ascii="Calibri Light" w:eastAsia="Times New Roman" w:hAnsi="Calibri Light" w:cs="Calibri Light"/>
                <w:color w:val="000000"/>
                <w:sz w:val="20"/>
                <w:szCs w:val="20"/>
                <w:lang w:val="ro-RO"/>
              </w:rPr>
              <w:t>1.868,1</w:t>
            </w:r>
          </w:p>
        </w:tc>
        <w:tc>
          <w:tcPr>
            <w:tcW w:w="1125" w:type="dxa"/>
            <w:tcBorders>
              <w:top w:val="nil"/>
              <w:left w:val="nil"/>
              <w:bottom w:val="single" w:sz="4" w:space="0" w:color="auto"/>
              <w:right w:val="single" w:sz="4" w:space="0" w:color="auto"/>
            </w:tcBorders>
            <w:shd w:val="clear" w:color="000000" w:fill="FFFFFF"/>
            <w:noWrap/>
            <w:vAlign w:val="center"/>
            <w:hideMark/>
          </w:tcPr>
          <w:p w:rsidR="004D6726" w:rsidRPr="00F55BA6" w:rsidRDefault="004D6726" w:rsidP="00B51730">
            <w:pPr>
              <w:spacing w:after="0" w:line="240" w:lineRule="auto"/>
              <w:jc w:val="right"/>
              <w:rPr>
                <w:rFonts w:ascii="Calibri Light" w:eastAsia="Times New Roman" w:hAnsi="Calibri Light" w:cs="Calibri Light"/>
                <w:color w:val="000000"/>
                <w:sz w:val="20"/>
                <w:szCs w:val="20"/>
                <w:lang w:val="ro-RO"/>
              </w:rPr>
            </w:pPr>
            <w:r w:rsidRPr="00F55BA6">
              <w:rPr>
                <w:rFonts w:ascii="Calibri Light" w:eastAsia="Times New Roman" w:hAnsi="Calibri Light" w:cs="Calibri Light"/>
                <w:color w:val="000000"/>
                <w:sz w:val="20"/>
                <w:szCs w:val="20"/>
                <w:lang w:val="ro-RO"/>
              </w:rPr>
              <w:t>1.868,1</w:t>
            </w:r>
          </w:p>
        </w:tc>
        <w:tc>
          <w:tcPr>
            <w:tcW w:w="1125" w:type="dxa"/>
            <w:tcBorders>
              <w:top w:val="nil"/>
              <w:left w:val="nil"/>
              <w:bottom w:val="single" w:sz="4" w:space="0" w:color="auto"/>
              <w:right w:val="single" w:sz="4" w:space="0" w:color="auto"/>
            </w:tcBorders>
            <w:shd w:val="clear" w:color="000000" w:fill="FFFFFF"/>
            <w:noWrap/>
            <w:vAlign w:val="center"/>
            <w:hideMark/>
          </w:tcPr>
          <w:p w:rsidR="004D6726" w:rsidRPr="00F55BA6" w:rsidRDefault="004D6726" w:rsidP="00B51730">
            <w:pPr>
              <w:spacing w:after="0" w:line="240" w:lineRule="auto"/>
              <w:jc w:val="right"/>
              <w:rPr>
                <w:rFonts w:ascii="Calibri Light" w:eastAsia="Times New Roman" w:hAnsi="Calibri Light" w:cs="Calibri Light"/>
                <w:color w:val="000000"/>
                <w:sz w:val="20"/>
                <w:szCs w:val="20"/>
                <w:lang w:val="ro-RO"/>
              </w:rPr>
            </w:pPr>
            <w:r w:rsidRPr="00F55BA6">
              <w:rPr>
                <w:rFonts w:ascii="Calibri Light" w:eastAsia="Times New Roman" w:hAnsi="Calibri Light" w:cs="Calibri Light"/>
                <w:color w:val="000000"/>
                <w:sz w:val="20"/>
                <w:szCs w:val="20"/>
                <w:lang w:val="ro-RO"/>
              </w:rPr>
              <w:t>1.598,7</w:t>
            </w:r>
          </w:p>
        </w:tc>
        <w:tc>
          <w:tcPr>
            <w:tcW w:w="1161" w:type="dxa"/>
            <w:tcBorders>
              <w:top w:val="nil"/>
              <w:left w:val="nil"/>
              <w:bottom w:val="single" w:sz="4" w:space="0" w:color="auto"/>
              <w:right w:val="single" w:sz="4" w:space="0" w:color="auto"/>
            </w:tcBorders>
            <w:shd w:val="clear" w:color="000000" w:fill="FFFFFF"/>
            <w:noWrap/>
            <w:vAlign w:val="center"/>
            <w:hideMark/>
          </w:tcPr>
          <w:p w:rsidR="004D6726" w:rsidRPr="00F55BA6" w:rsidRDefault="004D6726" w:rsidP="00B51730">
            <w:pPr>
              <w:spacing w:after="0" w:line="240" w:lineRule="auto"/>
              <w:jc w:val="right"/>
              <w:rPr>
                <w:rFonts w:ascii="Calibri Light" w:eastAsia="Times New Roman" w:hAnsi="Calibri Light" w:cs="Calibri Light"/>
                <w:color w:val="000000"/>
                <w:sz w:val="20"/>
                <w:szCs w:val="20"/>
                <w:lang w:val="ro-RO"/>
              </w:rPr>
            </w:pPr>
            <w:r w:rsidRPr="00F55BA6">
              <w:rPr>
                <w:rFonts w:ascii="Calibri Light" w:eastAsia="Times New Roman" w:hAnsi="Calibri Light" w:cs="Calibri Light"/>
                <w:color w:val="000000"/>
                <w:sz w:val="20"/>
                <w:szCs w:val="20"/>
                <w:lang w:val="ro-RO"/>
              </w:rPr>
              <w:t>1.598,7</w:t>
            </w:r>
          </w:p>
        </w:tc>
        <w:tc>
          <w:tcPr>
            <w:tcW w:w="1151"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color w:val="000000"/>
                <w:sz w:val="20"/>
                <w:szCs w:val="20"/>
                <w:lang w:val="ro-RO"/>
              </w:rPr>
            </w:pPr>
            <w:r w:rsidRPr="00E4517B">
              <w:rPr>
                <w:rFonts w:ascii="Calibri Light" w:eastAsia="Times New Roman" w:hAnsi="Calibri Light" w:cs="Calibri Light"/>
                <w:color w:val="000000"/>
                <w:sz w:val="20"/>
                <w:szCs w:val="20"/>
                <w:lang w:val="ro-RO"/>
              </w:rPr>
              <w:t>-2.534,7</w:t>
            </w:r>
          </w:p>
        </w:tc>
        <w:tc>
          <w:tcPr>
            <w:tcW w:w="1120"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color w:val="000000"/>
                <w:sz w:val="20"/>
                <w:szCs w:val="20"/>
                <w:lang w:val="ro-RO"/>
              </w:rPr>
            </w:pPr>
            <w:r w:rsidRPr="00E4517B">
              <w:rPr>
                <w:rFonts w:ascii="Calibri Light" w:eastAsia="Times New Roman" w:hAnsi="Calibri Light" w:cs="Calibri Light"/>
                <w:color w:val="000000"/>
                <w:sz w:val="20"/>
                <w:szCs w:val="20"/>
                <w:lang w:val="ro-RO"/>
              </w:rPr>
              <w:t>0,0</w:t>
            </w:r>
          </w:p>
        </w:tc>
        <w:tc>
          <w:tcPr>
            <w:tcW w:w="1131"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color w:val="000000"/>
                <w:sz w:val="20"/>
                <w:szCs w:val="20"/>
                <w:lang w:val="ro-RO"/>
              </w:rPr>
            </w:pPr>
            <w:r w:rsidRPr="00E4517B">
              <w:rPr>
                <w:rFonts w:ascii="Calibri Light" w:eastAsia="Times New Roman" w:hAnsi="Calibri Light" w:cs="Calibri Light"/>
                <w:color w:val="000000"/>
                <w:sz w:val="20"/>
                <w:szCs w:val="20"/>
                <w:lang w:val="ro-RO"/>
              </w:rPr>
              <w:t>-2.534,7</w:t>
            </w:r>
          </w:p>
        </w:tc>
      </w:tr>
      <w:tr w:rsidR="004D6726" w:rsidRPr="00E4517B" w:rsidTr="00B51730">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D6726" w:rsidRPr="00F55BA6" w:rsidRDefault="004D6726" w:rsidP="00B51730">
            <w:pPr>
              <w:spacing w:after="0" w:line="240" w:lineRule="auto"/>
              <w:jc w:val="left"/>
              <w:rPr>
                <w:rFonts w:ascii="Calibri Light" w:eastAsia="Times New Roman" w:hAnsi="Calibri Light" w:cs="Calibri Light"/>
                <w:b/>
                <w:bCs/>
                <w:color w:val="000000"/>
                <w:sz w:val="20"/>
                <w:szCs w:val="20"/>
                <w:lang w:val="ro-RO"/>
              </w:rPr>
            </w:pPr>
            <w:r w:rsidRPr="00F55BA6">
              <w:rPr>
                <w:rFonts w:ascii="Calibri Light" w:eastAsia="Times New Roman" w:hAnsi="Calibri Light" w:cs="Calibri Light"/>
                <w:b/>
                <w:bCs/>
                <w:color w:val="000000"/>
                <w:sz w:val="20"/>
                <w:szCs w:val="20"/>
                <w:lang w:val="ro-RO"/>
              </w:rPr>
              <w:t>III. Sold bugetar</w:t>
            </w:r>
          </w:p>
        </w:tc>
        <w:tc>
          <w:tcPr>
            <w:tcW w:w="1200"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b/>
                <w:bCs/>
                <w:color w:val="000000"/>
                <w:sz w:val="20"/>
                <w:szCs w:val="20"/>
                <w:lang w:val="ro-RO"/>
              </w:rPr>
            </w:pPr>
            <w:r w:rsidRPr="00F55BA6">
              <w:rPr>
                <w:rFonts w:ascii="Calibri Light" w:eastAsia="Times New Roman" w:hAnsi="Calibri Light" w:cs="Calibri Light"/>
                <w:b/>
                <w:bCs/>
                <w:color w:val="000000"/>
                <w:sz w:val="20"/>
                <w:szCs w:val="20"/>
                <w:lang w:val="ro-RO"/>
              </w:rPr>
              <w:t>-7.415,3</w:t>
            </w:r>
          </w:p>
        </w:tc>
        <w:tc>
          <w:tcPr>
            <w:tcW w:w="1205"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b/>
                <w:bCs/>
                <w:color w:val="000000"/>
                <w:sz w:val="20"/>
                <w:szCs w:val="20"/>
                <w:lang w:val="ro-RO"/>
              </w:rPr>
            </w:pPr>
            <w:r w:rsidRPr="00F55BA6">
              <w:rPr>
                <w:rFonts w:ascii="Calibri Light" w:eastAsia="Times New Roman" w:hAnsi="Calibri Light" w:cs="Calibri Light"/>
                <w:b/>
                <w:bCs/>
                <w:color w:val="000000"/>
                <w:sz w:val="20"/>
                <w:szCs w:val="20"/>
                <w:lang w:val="ro-RO"/>
              </w:rPr>
              <w:t>-15.975,2</w:t>
            </w:r>
          </w:p>
        </w:tc>
        <w:tc>
          <w:tcPr>
            <w:tcW w:w="1125"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b/>
                <w:bCs/>
                <w:color w:val="000000"/>
                <w:sz w:val="20"/>
                <w:szCs w:val="20"/>
                <w:lang w:val="ro-RO"/>
              </w:rPr>
            </w:pPr>
            <w:r w:rsidRPr="00F55BA6">
              <w:rPr>
                <w:rFonts w:ascii="Calibri Light" w:eastAsia="Times New Roman" w:hAnsi="Calibri Light" w:cs="Calibri Light"/>
                <w:b/>
                <w:bCs/>
                <w:color w:val="000000"/>
                <w:sz w:val="20"/>
                <w:szCs w:val="20"/>
                <w:lang w:val="ro-RO"/>
              </w:rPr>
              <w:t>-17.206,6</w:t>
            </w:r>
          </w:p>
        </w:tc>
        <w:tc>
          <w:tcPr>
            <w:tcW w:w="1125"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b/>
                <w:bCs/>
                <w:color w:val="000000"/>
                <w:sz w:val="20"/>
                <w:szCs w:val="20"/>
                <w:lang w:val="ro-RO"/>
              </w:rPr>
            </w:pPr>
            <w:r w:rsidRPr="00F55BA6">
              <w:rPr>
                <w:rFonts w:ascii="Calibri Light" w:eastAsia="Times New Roman" w:hAnsi="Calibri Light" w:cs="Calibri Light"/>
                <w:b/>
                <w:bCs/>
                <w:color w:val="000000"/>
                <w:sz w:val="20"/>
                <w:szCs w:val="20"/>
                <w:lang w:val="ro-RO"/>
              </w:rPr>
              <w:t>-17.206,6</w:t>
            </w:r>
          </w:p>
        </w:tc>
        <w:tc>
          <w:tcPr>
            <w:tcW w:w="1125"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b/>
                <w:bCs/>
                <w:color w:val="000000"/>
                <w:sz w:val="20"/>
                <w:szCs w:val="20"/>
                <w:lang w:val="ro-RO"/>
              </w:rPr>
            </w:pPr>
            <w:r w:rsidRPr="00F55BA6">
              <w:rPr>
                <w:rFonts w:ascii="Calibri Light" w:eastAsia="Times New Roman" w:hAnsi="Calibri Light" w:cs="Calibri Light"/>
                <w:b/>
                <w:bCs/>
                <w:color w:val="000000"/>
                <w:sz w:val="20"/>
                <w:szCs w:val="20"/>
                <w:lang w:val="ro-RO"/>
              </w:rPr>
              <w:t>-15.999,4</w:t>
            </w:r>
          </w:p>
        </w:tc>
        <w:tc>
          <w:tcPr>
            <w:tcW w:w="1161"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b/>
                <w:bCs/>
                <w:color w:val="000000"/>
                <w:sz w:val="20"/>
                <w:szCs w:val="20"/>
                <w:lang w:val="ro-RO"/>
              </w:rPr>
            </w:pPr>
            <w:r w:rsidRPr="00F55BA6">
              <w:rPr>
                <w:rFonts w:ascii="Calibri Light" w:eastAsia="Times New Roman" w:hAnsi="Calibri Light" w:cs="Calibri Light"/>
                <w:b/>
                <w:bCs/>
                <w:color w:val="000000"/>
                <w:sz w:val="20"/>
                <w:szCs w:val="20"/>
                <w:lang w:val="ro-RO"/>
              </w:rPr>
              <w:t>-15.999,4</w:t>
            </w:r>
          </w:p>
        </w:tc>
        <w:tc>
          <w:tcPr>
            <w:tcW w:w="1151"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b/>
                <w:bCs/>
                <w:color w:val="000000"/>
                <w:sz w:val="20"/>
                <w:szCs w:val="20"/>
                <w:lang w:val="ro-RO"/>
              </w:rPr>
            </w:pPr>
            <w:r w:rsidRPr="00E4517B">
              <w:rPr>
                <w:rFonts w:ascii="Calibri Light" w:eastAsia="Times New Roman" w:hAnsi="Calibri Light" w:cs="Calibri Light"/>
                <w:b/>
                <w:bCs/>
                <w:color w:val="000000"/>
                <w:sz w:val="20"/>
                <w:szCs w:val="20"/>
                <w:lang w:val="ro-RO"/>
              </w:rPr>
              <w:t>-8.584,1</w:t>
            </w:r>
          </w:p>
        </w:tc>
        <w:tc>
          <w:tcPr>
            <w:tcW w:w="1120"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b/>
                <w:bCs/>
                <w:color w:val="000000"/>
                <w:sz w:val="20"/>
                <w:szCs w:val="20"/>
                <w:lang w:val="ro-RO"/>
              </w:rPr>
            </w:pPr>
            <w:r w:rsidRPr="00E4517B">
              <w:rPr>
                <w:rFonts w:ascii="Calibri Light" w:eastAsia="Times New Roman" w:hAnsi="Calibri Light" w:cs="Calibri Light"/>
                <w:b/>
                <w:bCs/>
                <w:color w:val="000000"/>
                <w:sz w:val="20"/>
                <w:szCs w:val="20"/>
                <w:lang w:val="ro-RO"/>
              </w:rPr>
              <w:t>0,0</w:t>
            </w:r>
          </w:p>
        </w:tc>
        <w:tc>
          <w:tcPr>
            <w:tcW w:w="1131"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b/>
                <w:bCs/>
                <w:color w:val="000000"/>
                <w:sz w:val="20"/>
                <w:szCs w:val="20"/>
                <w:lang w:val="ro-RO"/>
              </w:rPr>
            </w:pPr>
            <w:r w:rsidRPr="00E4517B">
              <w:rPr>
                <w:rFonts w:ascii="Calibri Light" w:eastAsia="Times New Roman" w:hAnsi="Calibri Light" w:cs="Calibri Light"/>
                <w:b/>
                <w:bCs/>
                <w:color w:val="000000"/>
                <w:sz w:val="20"/>
                <w:szCs w:val="20"/>
                <w:lang w:val="ro-RO"/>
              </w:rPr>
              <w:t>-8.584,1</w:t>
            </w:r>
          </w:p>
        </w:tc>
      </w:tr>
      <w:tr w:rsidR="004D6726" w:rsidRPr="00E4517B" w:rsidTr="00B51730">
        <w:trPr>
          <w:trHeight w:val="334"/>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D6726" w:rsidRPr="00F55BA6" w:rsidRDefault="004D6726" w:rsidP="00B51730">
            <w:pPr>
              <w:spacing w:after="0" w:line="240" w:lineRule="auto"/>
              <w:jc w:val="left"/>
              <w:rPr>
                <w:rFonts w:ascii="Calibri Light" w:eastAsia="Times New Roman" w:hAnsi="Calibri Light" w:cs="Calibri Light"/>
                <w:b/>
                <w:bCs/>
                <w:color w:val="000000"/>
                <w:sz w:val="20"/>
                <w:szCs w:val="20"/>
                <w:lang w:val="ro-RO"/>
              </w:rPr>
            </w:pPr>
            <w:r w:rsidRPr="00F55BA6">
              <w:rPr>
                <w:rFonts w:ascii="Calibri Light" w:eastAsia="Times New Roman" w:hAnsi="Calibri Light" w:cs="Calibri Light"/>
                <w:b/>
                <w:bCs/>
                <w:color w:val="000000"/>
                <w:sz w:val="20"/>
                <w:szCs w:val="20"/>
                <w:lang w:val="ro-RO"/>
              </w:rPr>
              <w:t xml:space="preserve">IV. Sursele de finanțare, </w:t>
            </w:r>
            <w:r w:rsidRPr="00F55BA6">
              <w:rPr>
                <w:rFonts w:ascii="Calibri Light" w:eastAsia="Times New Roman" w:hAnsi="Calibri Light" w:cs="Calibri Light"/>
                <w:i/>
                <w:iCs/>
                <w:color w:val="000000"/>
                <w:sz w:val="20"/>
                <w:szCs w:val="20"/>
                <w:lang w:val="ro-RO"/>
              </w:rPr>
              <w:t>inclusiv:</w:t>
            </w:r>
          </w:p>
        </w:tc>
        <w:tc>
          <w:tcPr>
            <w:tcW w:w="1200"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b/>
                <w:bCs/>
                <w:color w:val="000000"/>
                <w:sz w:val="20"/>
                <w:szCs w:val="20"/>
                <w:lang w:val="ro-RO"/>
              </w:rPr>
            </w:pPr>
            <w:r w:rsidRPr="00F55BA6">
              <w:rPr>
                <w:rFonts w:ascii="Calibri Light" w:eastAsia="Times New Roman" w:hAnsi="Calibri Light" w:cs="Calibri Light"/>
                <w:b/>
                <w:bCs/>
                <w:color w:val="000000"/>
                <w:sz w:val="20"/>
                <w:szCs w:val="20"/>
                <w:lang w:val="ro-RO"/>
              </w:rPr>
              <w:t>7.415,3</w:t>
            </w:r>
          </w:p>
        </w:tc>
        <w:tc>
          <w:tcPr>
            <w:tcW w:w="1205"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b/>
                <w:bCs/>
                <w:color w:val="000000"/>
                <w:sz w:val="20"/>
                <w:szCs w:val="20"/>
                <w:lang w:val="ro-RO"/>
              </w:rPr>
            </w:pPr>
            <w:r w:rsidRPr="00F55BA6">
              <w:rPr>
                <w:rFonts w:ascii="Calibri Light" w:eastAsia="Times New Roman" w:hAnsi="Calibri Light" w:cs="Calibri Light"/>
                <w:b/>
                <w:bCs/>
                <w:color w:val="000000"/>
                <w:sz w:val="20"/>
                <w:szCs w:val="20"/>
                <w:lang w:val="ro-RO"/>
              </w:rPr>
              <w:t>15.975,2</w:t>
            </w:r>
          </w:p>
        </w:tc>
        <w:tc>
          <w:tcPr>
            <w:tcW w:w="1125"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b/>
                <w:bCs/>
                <w:color w:val="000000"/>
                <w:sz w:val="20"/>
                <w:szCs w:val="20"/>
                <w:lang w:val="ro-RO"/>
              </w:rPr>
            </w:pPr>
            <w:r w:rsidRPr="00F55BA6">
              <w:rPr>
                <w:rFonts w:ascii="Calibri Light" w:eastAsia="Times New Roman" w:hAnsi="Calibri Light" w:cs="Calibri Light"/>
                <w:b/>
                <w:bCs/>
                <w:color w:val="000000"/>
                <w:sz w:val="20"/>
                <w:szCs w:val="20"/>
                <w:lang w:val="ro-RO"/>
              </w:rPr>
              <w:t>17.206,6</w:t>
            </w:r>
          </w:p>
        </w:tc>
        <w:tc>
          <w:tcPr>
            <w:tcW w:w="1125"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b/>
                <w:bCs/>
                <w:color w:val="000000"/>
                <w:sz w:val="20"/>
                <w:szCs w:val="20"/>
                <w:lang w:val="ro-RO"/>
              </w:rPr>
            </w:pPr>
            <w:r w:rsidRPr="00F55BA6">
              <w:rPr>
                <w:rFonts w:ascii="Calibri Light" w:eastAsia="Times New Roman" w:hAnsi="Calibri Light" w:cs="Calibri Light"/>
                <w:b/>
                <w:bCs/>
                <w:color w:val="000000"/>
                <w:sz w:val="20"/>
                <w:szCs w:val="20"/>
                <w:lang w:val="ro-RO"/>
              </w:rPr>
              <w:t>17.206,6</w:t>
            </w:r>
          </w:p>
        </w:tc>
        <w:tc>
          <w:tcPr>
            <w:tcW w:w="1125"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b/>
                <w:bCs/>
                <w:color w:val="000000"/>
                <w:sz w:val="20"/>
                <w:szCs w:val="20"/>
                <w:lang w:val="ro-RO"/>
              </w:rPr>
            </w:pPr>
            <w:r w:rsidRPr="00F55BA6">
              <w:rPr>
                <w:rFonts w:ascii="Calibri Light" w:eastAsia="Times New Roman" w:hAnsi="Calibri Light" w:cs="Calibri Light"/>
                <w:b/>
                <w:bCs/>
                <w:color w:val="000000"/>
                <w:sz w:val="20"/>
                <w:szCs w:val="20"/>
                <w:lang w:val="ro-RO"/>
              </w:rPr>
              <w:t>15.999,4</w:t>
            </w:r>
          </w:p>
        </w:tc>
        <w:tc>
          <w:tcPr>
            <w:tcW w:w="1161"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b/>
                <w:bCs/>
                <w:color w:val="000000"/>
                <w:sz w:val="20"/>
                <w:szCs w:val="20"/>
                <w:lang w:val="ro-RO"/>
              </w:rPr>
            </w:pPr>
            <w:r w:rsidRPr="00F55BA6">
              <w:rPr>
                <w:rFonts w:ascii="Calibri Light" w:eastAsia="Times New Roman" w:hAnsi="Calibri Light" w:cs="Calibri Light"/>
                <w:b/>
                <w:bCs/>
                <w:color w:val="000000"/>
                <w:sz w:val="20"/>
                <w:szCs w:val="20"/>
                <w:lang w:val="ro-RO"/>
              </w:rPr>
              <w:t>15.999,4</w:t>
            </w:r>
          </w:p>
        </w:tc>
        <w:tc>
          <w:tcPr>
            <w:tcW w:w="1151"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b/>
                <w:bCs/>
                <w:color w:val="000000"/>
                <w:sz w:val="20"/>
                <w:szCs w:val="20"/>
                <w:lang w:val="ro-RO"/>
              </w:rPr>
            </w:pPr>
            <w:r w:rsidRPr="00E4517B">
              <w:rPr>
                <w:rFonts w:ascii="Calibri Light" w:eastAsia="Times New Roman" w:hAnsi="Calibri Light" w:cs="Calibri Light"/>
                <w:b/>
                <w:bCs/>
                <w:color w:val="000000"/>
                <w:sz w:val="20"/>
                <w:szCs w:val="20"/>
                <w:lang w:val="ro-RO"/>
              </w:rPr>
              <w:t>8.584,1</w:t>
            </w:r>
          </w:p>
        </w:tc>
        <w:tc>
          <w:tcPr>
            <w:tcW w:w="1120"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b/>
                <w:bCs/>
                <w:color w:val="000000"/>
                <w:sz w:val="20"/>
                <w:szCs w:val="20"/>
                <w:lang w:val="ro-RO"/>
              </w:rPr>
            </w:pPr>
            <w:r w:rsidRPr="00E4517B">
              <w:rPr>
                <w:rFonts w:ascii="Calibri Light" w:eastAsia="Times New Roman" w:hAnsi="Calibri Light" w:cs="Calibri Light"/>
                <w:b/>
                <w:bCs/>
                <w:color w:val="000000"/>
                <w:sz w:val="20"/>
                <w:szCs w:val="20"/>
                <w:lang w:val="ro-RO"/>
              </w:rPr>
              <w:t>0,0</w:t>
            </w:r>
          </w:p>
        </w:tc>
        <w:tc>
          <w:tcPr>
            <w:tcW w:w="1131"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b/>
                <w:bCs/>
                <w:color w:val="000000"/>
                <w:sz w:val="20"/>
                <w:szCs w:val="20"/>
                <w:lang w:val="ro-RO"/>
              </w:rPr>
            </w:pPr>
            <w:r w:rsidRPr="00E4517B">
              <w:rPr>
                <w:rFonts w:ascii="Calibri Light" w:eastAsia="Times New Roman" w:hAnsi="Calibri Light" w:cs="Calibri Light"/>
                <w:b/>
                <w:bCs/>
                <w:color w:val="000000"/>
                <w:sz w:val="20"/>
                <w:szCs w:val="20"/>
                <w:lang w:val="ro-RO"/>
              </w:rPr>
              <w:t>8.584,1</w:t>
            </w:r>
          </w:p>
        </w:tc>
      </w:tr>
      <w:tr w:rsidR="004D6726" w:rsidRPr="00E4517B" w:rsidTr="00B51730">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D6726" w:rsidRPr="00F55BA6" w:rsidRDefault="004D6726" w:rsidP="00B51730">
            <w:pPr>
              <w:spacing w:after="0" w:line="240" w:lineRule="auto"/>
              <w:jc w:val="left"/>
              <w:rPr>
                <w:rFonts w:ascii="Calibri Light" w:eastAsia="Times New Roman" w:hAnsi="Calibri Light" w:cs="Calibri Light"/>
                <w:color w:val="000000"/>
                <w:sz w:val="20"/>
                <w:szCs w:val="20"/>
                <w:lang w:val="ro-RO"/>
              </w:rPr>
            </w:pPr>
            <w:r w:rsidRPr="00F55BA6">
              <w:rPr>
                <w:rFonts w:ascii="Calibri Light" w:eastAsia="Times New Roman" w:hAnsi="Calibri Light" w:cs="Calibri Light"/>
                <w:color w:val="000000"/>
                <w:sz w:val="20"/>
                <w:szCs w:val="20"/>
                <w:lang w:val="ro-RO"/>
              </w:rPr>
              <w:t>creanțe interne</w:t>
            </w:r>
          </w:p>
        </w:tc>
        <w:tc>
          <w:tcPr>
            <w:tcW w:w="1200"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color w:val="000000"/>
                <w:sz w:val="20"/>
                <w:szCs w:val="20"/>
                <w:lang w:val="ro-RO"/>
              </w:rPr>
            </w:pPr>
            <w:r w:rsidRPr="00F55BA6">
              <w:rPr>
                <w:rFonts w:ascii="Calibri Light" w:eastAsia="Times New Roman" w:hAnsi="Calibri Light" w:cs="Calibri Light"/>
                <w:color w:val="000000"/>
                <w:sz w:val="20"/>
                <w:szCs w:val="20"/>
                <w:lang w:val="ro-RO"/>
              </w:rPr>
              <w:t>411,1</w:t>
            </w:r>
          </w:p>
        </w:tc>
        <w:tc>
          <w:tcPr>
            <w:tcW w:w="1205"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color w:val="000000"/>
                <w:sz w:val="20"/>
                <w:szCs w:val="20"/>
                <w:lang w:val="ro-RO"/>
              </w:rPr>
            </w:pPr>
            <w:r w:rsidRPr="00F55BA6">
              <w:rPr>
                <w:rFonts w:ascii="Calibri Light" w:eastAsia="Times New Roman" w:hAnsi="Calibri Light" w:cs="Calibri Light"/>
                <w:color w:val="000000"/>
                <w:sz w:val="20"/>
                <w:szCs w:val="20"/>
                <w:lang w:val="ro-RO"/>
              </w:rPr>
              <w:t>525,1</w:t>
            </w:r>
          </w:p>
        </w:tc>
        <w:tc>
          <w:tcPr>
            <w:tcW w:w="1125"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color w:val="000000"/>
                <w:sz w:val="20"/>
                <w:szCs w:val="20"/>
                <w:lang w:val="ro-RO"/>
              </w:rPr>
            </w:pPr>
            <w:r w:rsidRPr="00F55BA6">
              <w:rPr>
                <w:rFonts w:ascii="Calibri Light" w:eastAsia="Times New Roman" w:hAnsi="Calibri Light" w:cs="Calibri Light"/>
                <w:color w:val="000000"/>
                <w:sz w:val="20"/>
                <w:szCs w:val="20"/>
                <w:lang w:val="ro-RO"/>
              </w:rPr>
              <w:t>514,9</w:t>
            </w:r>
          </w:p>
        </w:tc>
        <w:tc>
          <w:tcPr>
            <w:tcW w:w="1125"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color w:val="000000"/>
                <w:sz w:val="20"/>
                <w:szCs w:val="20"/>
                <w:lang w:val="ro-RO"/>
              </w:rPr>
            </w:pPr>
            <w:r w:rsidRPr="00F55BA6">
              <w:rPr>
                <w:rFonts w:ascii="Calibri Light" w:eastAsia="Times New Roman" w:hAnsi="Calibri Light" w:cs="Calibri Light"/>
                <w:color w:val="000000"/>
                <w:sz w:val="20"/>
                <w:szCs w:val="20"/>
                <w:lang w:val="ro-RO"/>
              </w:rPr>
              <w:t>514,9</w:t>
            </w:r>
          </w:p>
        </w:tc>
        <w:tc>
          <w:tcPr>
            <w:tcW w:w="1125"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color w:val="000000"/>
                <w:sz w:val="20"/>
                <w:szCs w:val="20"/>
                <w:lang w:val="ro-RO"/>
              </w:rPr>
            </w:pPr>
            <w:r w:rsidRPr="00F55BA6">
              <w:rPr>
                <w:rFonts w:ascii="Calibri Light" w:eastAsia="Times New Roman" w:hAnsi="Calibri Light" w:cs="Calibri Light"/>
                <w:color w:val="000000"/>
                <w:sz w:val="20"/>
                <w:szCs w:val="20"/>
                <w:lang w:val="ro-RO"/>
              </w:rPr>
              <w:t>518,1</w:t>
            </w:r>
          </w:p>
        </w:tc>
        <w:tc>
          <w:tcPr>
            <w:tcW w:w="1161"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color w:val="000000"/>
                <w:sz w:val="20"/>
                <w:szCs w:val="20"/>
                <w:lang w:val="ro-RO"/>
              </w:rPr>
            </w:pPr>
            <w:r w:rsidRPr="00F55BA6">
              <w:rPr>
                <w:rFonts w:ascii="Calibri Light" w:eastAsia="Times New Roman" w:hAnsi="Calibri Light" w:cs="Calibri Light"/>
                <w:color w:val="000000"/>
                <w:sz w:val="20"/>
                <w:szCs w:val="20"/>
                <w:lang w:val="ro-RO"/>
              </w:rPr>
              <w:t>518,1</w:t>
            </w:r>
          </w:p>
        </w:tc>
        <w:tc>
          <w:tcPr>
            <w:tcW w:w="1151"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color w:val="000000"/>
                <w:sz w:val="20"/>
                <w:szCs w:val="20"/>
                <w:lang w:val="ro-RO"/>
              </w:rPr>
            </w:pPr>
            <w:r w:rsidRPr="00E4517B">
              <w:rPr>
                <w:rFonts w:ascii="Calibri Light" w:eastAsia="Times New Roman" w:hAnsi="Calibri Light" w:cs="Calibri Light"/>
                <w:color w:val="000000"/>
                <w:sz w:val="20"/>
                <w:szCs w:val="20"/>
                <w:lang w:val="ro-RO"/>
              </w:rPr>
              <w:t>107,0</w:t>
            </w:r>
          </w:p>
        </w:tc>
        <w:tc>
          <w:tcPr>
            <w:tcW w:w="1120"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color w:val="000000"/>
                <w:sz w:val="20"/>
                <w:szCs w:val="20"/>
                <w:lang w:val="ro-RO"/>
              </w:rPr>
            </w:pPr>
            <w:r w:rsidRPr="00E4517B">
              <w:rPr>
                <w:rFonts w:ascii="Calibri Light" w:eastAsia="Times New Roman" w:hAnsi="Calibri Light" w:cs="Calibri Light"/>
                <w:color w:val="000000"/>
                <w:sz w:val="20"/>
                <w:szCs w:val="20"/>
                <w:lang w:val="ro-RO"/>
              </w:rPr>
              <w:t>0,0</w:t>
            </w:r>
          </w:p>
        </w:tc>
        <w:tc>
          <w:tcPr>
            <w:tcW w:w="1131"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color w:val="000000"/>
                <w:sz w:val="20"/>
                <w:szCs w:val="20"/>
                <w:lang w:val="ro-RO"/>
              </w:rPr>
            </w:pPr>
            <w:r w:rsidRPr="00E4517B">
              <w:rPr>
                <w:rFonts w:ascii="Calibri Light" w:eastAsia="Times New Roman" w:hAnsi="Calibri Light" w:cs="Calibri Light"/>
                <w:color w:val="000000"/>
                <w:sz w:val="20"/>
                <w:szCs w:val="20"/>
                <w:lang w:val="ro-RO"/>
              </w:rPr>
              <w:t>107,0</w:t>
            </w:r>
          </w:p>
        </w:tc>
      </w:tr>
      <w:tr w:rsidR="004D6726" w:rsidRPr="00E4517B" w:rsidTr="00B51730">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D6726" w:rsidRPr="00F55BA6" w:rsidRDefault="004D6726" w:rsidP="00B51730">
            <w:pPr>
              <w:spacing w:after="0" w:line="240" w:lineRule="auto"/>
              <w:jc w:val="left"/>
              <w:rPr>
                <w:rFonts w:ascii="Calibri Light" w:eastAsia="Times New Roman" w:hAnsi="Calibri Light" w:cs="Calibri Light"/>
                <w:color w:val="000000"/>
                <w:sz w:val="20"/>
                <w:szCs w:val="20"/>
                <w:lang w:val="ro-RO"/>
              </w:rPr>
            </w:pPr>
            <w:r w:rsidRPr="00F55BA6">
              <w:rPr>
                <w:rFonts w:ascii="Calibri Light" w:eastAsia="Times New Roman" w:hAnsi="Calibri Light" w:cs="Calibri Light"/>
                <w:color w:val="000000"/>
                <w:sz w:val="20"/>
                <w:szCs w:val="20"/>
                <w:lang w:val="ro-RO"/>
              </w:rPr>
              <w:t>Datorii</w:t>
            </w:r>
          </w:p>
        </w:tc>
        <w:tc>
          <w:tcPr>
            <w:tcW w:w="1200"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color w:val="000000"/>
                <w:sz w:val="20"/>
                <w:szCs w:val="20"/>
                <w:lang w:val="ro-RO"/>
              </w:rPr>
            </w:pPr>
            <w:r w:rsidRPr="00F55BA6">
              <w:rPr>
                <w:rFonts w:ascii="Calibri Light" w:eastAsia="Times New Roman" w:hAnsi="Calibri Light" w:cs="Calibri Light"/>
                <w:color w:val="000000"/>
                <w:sz w:val="20"/>
                <w:szCs w:val="20"/>
                <w:lang w:val="ro-RO"/>
              </w:rPr>
              <w:t>7.984,5</w:t>
            </w:r>
          </w:p>
        </w:tc>
        <w:tc>
          <w:tcPr>
            <w:tcW w:w="1205"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color w:val="000000"/>
                <w:sz w:val="20"/>
                <w:szCs w:val="20"/>
                <w:lang w:val="ro-RO"/>
              </w:rPr>
            </w:pPr>
            <w:r w:rsidRPr="00F55BA6">
              <w:rPr>
                <w:rFonts w:ascii="Calibri Light" w:eastAsia="Times New Roman" w:hAnsi="Calibri Light" w:cs="Calibri Light"/>
                <w:color w:val="000000"/>
                <w:sz w:val="20"/>
                <w:szCs w:val="20"/>
                <w:lang w:val="ro-RO"/>
              </w:rPr>
              <w:t>17.850,3</w:t>
            </w:r>
          </w:p>
        </w:tc>
        <w:tc>
          <w:tcPr>
            <w:tcW w:w="1125"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color w:val="000000"/>
                <w:sz w:val="20"/>
                <w:szCs w:val="20"/>
                <w:lang w:val="ro-RO"/>
              </w:rPr>
            </w:pPr>
            <w:r w:rsidRPr="00F55BA6">
              <w:rPr>
                <w:rFonts w:ascii="Calibri Light" w:eastAsia="Times New Roman" w:hAnsi="Calibri Light" w:cs="Calibri Light"/>
                <w:color w:val="000000"/>
                <w:sz w:val="20"/>
                <w:szCs w:val="20"/>
                <w:lang w:val="ro-RO"/>
              </w:rPr>
              <w:t>21.930,3</w:t>
            </w:r>
          </w:p>
        </w:tc>
        <w:tc>
          <w:tcPr>
            <w:tcW w:w="1125"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color w:val="000000"/>
                <w:sz w:val="20"/>
                <w:szCs w:val="20"/>
                <w:lang w:val="ro-RO"/>
              </w:rPr>
            </w:pPr>
            <w:r w:rsidRPr="00F55BA6">
              <w:rPr>
                <w:rFonts w:ascii="Calibri Light" w:eastAsia="Times New Roman" w:hAnsi="Calibri Light" w:cs="Calibri Light"/>
                <w:color w:val="000000"/>
                <w:sz w:val="20"/>
                <w:szCs w:val="20"/>
                <w:lang w:val="ro-RO"/>
              </w:rPr>
              <w:t>21.930,3</w:t>
            </w:r>
          </w:p>
        </w:tc>
        <w:tc>
          <w:tcPr>
            <w:tcW w:w="1125"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color w:val="000000"/>
                <w:sz w:val="20"/>
                <w:szCs w:val="20"/>
                <w:lang w:val="ro-RO"/>
              </w:rPr>
            </w:pPr>
            <w:r w:rsidRPr="00F55BA6">
              <w:rPr>
                <w:rFonts w:ascii="Calibri Light" w:eastAsia="Times New Roman" w:hAnsi="Calibri Light" w:cs="Calibri Light"/>
                <w:color w:val="000000"/>
                <w:sz w:val="20"/>
                <w:szCs w:val="20"/>
                <w:lang w:val="ro-RO"/>
              </w:rPr>
              <w:t>19.860,1</w:t>
            </w:r>
          </w:p>
        </w:tc>
        <w:tc>
          <w:tcPr>
            <w:tcW w:w="1161"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color w:val="000000"/>
                <w:sz w:val="20"/>
                <w:szCs w:val="20"/>
                <w:lang w:val="ro-RO"/>
              </w:rPr>
            </w:pPr>
            <w:r w:rsidRPr="00F55BA6">
              <w:rPr>
                <w:rFonts w:ascii="Calibri Light" w:eastAsia="Times New Roman" w:hAnsi="Calibri Light" w:cs="Calibri Light"/>
                <w:color w:val="000000"/>
                <w:sz w:val="20"/>
                <w:szCs w:val="20"/>
                <w:lang w:val="ro-RO"/>
              </w:rPr>
              <w:t>19.860,1</w:t>
            </w:r>
          </w:p>
        </w:tc>
        <w:tc>
          <w:tcPr>
            <w:tcW w:w="1151"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color w:val="000000"/>
                <w:sz w:val="20"/>
                <w:szCs w:val="20"/>
                <w:lang w:val="ro-RO"/>
              </w:rPr>
            </w:pPr>
            <w:r w:rsidRPr="00E4517B">
              <w:rPr>
                <w:rFonts w:ascii="Calibri Light" w:eastAsia="Times New Roman" w:hAnsi="Calibri Light" w:cs="Calibri Light"/>
                <w:color w:val="000000"/>
                <w:sz w:val="20"/>
                <w:szCs w:val="20"/>
                <w:lang w:val="ro-RO"/>
              </w:rPr>
              <w:t>11.875,7</w:t>
            </w:r>
          </w:p>
        </w:tc>
        <w:tc>
          <w:tcPr>
            <w:tcW w:w="1120"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color w:val="000000"/>
                <w:sz w:val="20"/>
                <w:szCs w:val="20"/>
                <w:lang w:val="ro-RO"/>
              </w:rPr>
            </w:pPr>
            <w:r w:rsidRPr="00E4517B">
              <w:rPr>
                <w:rFonts w:ascii="Calibri Light" w:eastAsia="Times New Roman" w:hAnsi="Calibri Light" w:cs="Calibri Light"/>
                <w:color w:val="000000"/>
                <w:sz w:val="20"/>
                <w:szCs w:val="20"/>
                <w:lang w:val="ro-RO"/>
              </w:rPr>
              <w:t>0,0</w:t>
            </w:r>
          </w:p>
        </w:tc>
        <w:tc>
          <w:tcPr>
            <w:tcW w:w="1131"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color w:val="000000"/>
                <w:sz w:val="20"/>
                <w:szCs w:val="20"/>
                <w:lang w:val="ro-RO"/>
              </w:rPr>
            </w:pPr>
            <w:r w:rsidRPr="00E4517B">
              <w:rPr>
                <w:rFonts w:ascii="Calibri Light" w:eastAsia="Times New Roman" w:hAnsi="Calibri Light" w:cs="Calibri Light"/>
                <w:color w:val="000000"/>
                <w:sz w:val="20"/>
                <w:szCs w:val="20"/>
                <w:lang w:val="ro-RO"/>
              </w:rPr>
              <w:t>11.875,7</w:t>
            </w:r>
          </w:p>
        </w:tc>
      </w:tr>
      <w:tr w:rsidR="004D6726" w:rsidRPr="00E4517B" w:rsidTr="00B51730">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D6726" w:rsidRPr="00F55BA6" w:rsidRDefault="004D6726" w:rsidP="00B51730">
            <w:pPr>
              <w:spacing w:after="0" w:line="240" w:lineRule="auto"/>
              <w:jc w:val="left"/>
              <w:rPr>
                <w:rFonts w:ascii="Calibri Light" w:eastAsia="Times New Roman" w:hAnsi="Calibri Light" w:cs="Calibri Light"/>
                <w:b/>
                <w:bCs/>
                <w:color w:val="000000"/>
                <w:sz w:val="20"/>
                <w:szCs w:val="20"/>
                <w:lang w:val="ro-RO"/>
              </w:rPr>
            </w:pPr>
            <w:r w:rsidRPr="00F55BA6">
              <w:rPr>
                <w:rFonts w:ascii="Calibri Light" w:eastAsia="Times New Roman" w:hAnsi="Calibri Light" w:cs="Calibri Light"/>
                <w:b/>
                <w:bCs/>
                <w:color w:val="000000"/>
                <w:sz w:val="20"/>
                <w:szCs w:val="20"/>
                <w:lang w:val="ro-RO"/>
              </w:rPr>
              <w:t>modificarea soldului de mijloace bănești</w:t>
            </w:r>
          </w:p>
        </w:tc>
        <w:tc>
          <w:tcPr>
            <w:tcW w:w="1200"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b/>
                <w:bCs/>
                <w:color w:val="000000"/>
                <w:sz w:val="20"/>
                <w:szCs w:val="20"/>
                <w:lang w:val="ro-RO"/>
              </w:rPr>
            </w:pPr>
            <w:r w:rsidRPr="00F55BA6">
              <w:rPr>
                <w:rFonts w:ascii="Calibri Light" w:eastAsia="Times New Roman" w:hAnsi="Calibri Light" w:cs="Calibri Light"/>
                <w:b/>
                <w:bCs/>
                <w:color w:val="000000"/>
                <w:sz w:val="20"/>
                <w:szCs w:val="20"/>
                <w:lang w:val="ro-RO"/>
              </w:rPr>
              <w:t>886,1</w:t>
            </w:r>
          </w:p>
        </w:tc>
        <w:tc>
          <w:tcPr>
            <w:tcW w:w="1205"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b/>
                <w:bCs/>
                <w:color w:val="000000"/>
                <w:sz w:val="20"/>
                <w:szCs w:val="20"/>
                <w:lang w:val="ro-RO"/>
              </w:rPr>
            </w:pPr>
            <w:r w:rsidRPr="00F55BA6">
              <w:rPr>
                <w:rFonts w:ascii="Calibri Light" w:eastAsia="Times New Roman" w:hAnsi="Calibri Light" w:cs="Calibri Light"/>
                <w:b/>
                <w:bCs/>
                <w:color w:val="000000"/>
                <w:sz w:val="20"/>
                <w:szCs w:val="20"/>
                <w:lang w:val="ro-RO"/>
              </w:rPr>
              <w:t>-784,9</w:t>
            </w:r>
          </w:p>
        </w:tc>
        <w:tc>
          <w:tcPr>
            <w:tcW w:w="1125"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b/>
                <w:bCs/>
                <w:color w:val="000000"/>
                <w:sz w:val="20"/>
                <w:szCs w:val="20"/>
                <w:lang w:val="ro-RO"/>
              </w:rPr>
            </w:pPr>
            <w:r w:rsidRPr="00F55BA6">
              <w:rPr>
                <w:rFonts w:ascii="Calibri Light" w:eastAsia="Times New Roman" w:hAnsi="Calibri Light" w:cs="Calibri Light"/>
                <w:b/>
                <w:bCs/>
                <w:color w:val="000000"/>
                <w:sz w:val="20"/>
                <w:szCs w:val="20"/>
                <w:lang w:val="ro-RO"/>
              </w:rPr>
              <w:t>-3.623,3</w:t>
            </w:r>
          </w:p>
        </w:tc>
        <w:tc>
          <w:tcPr>
            <w:tcW w:w="1125"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b/>
                <w:bCs/>
                <w:color w:val="000000"/>
                <w:sz w:val="20"/>
                <w:szCs w:val="20"/>
                <w:lang w:val="ro-RO"/>
              </w:rPr>
            </w:pPr>
            <w:r w:rsidRPr="00F55BA6">
              <w:rPr>
                <w:rFonts w:ascii="Calibri Light" w:eastAsia="Times New Roman" w:hAnsi="Calibri Light" w:cs="Calibri Light"/>
                <w:b/>
                <w:bCs/>
                <w:color w:val="000000"/>
                <w:sz w:val="20"/>
                <w:szCs w:val="20"/>
                <w:lang w:val="ro-RO"/>
              </w:rPr>
              <w:t>-3.623,3</w:t>
            </w:r>
          </w:p>
        </w:tc>
        <w:tc>
          <w:tcPr>
            <w:tcW w:w="1125"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b/>
                <w:bCs/>
                <w:color w:val="000000"/>
                <w:sz w:val="20"/>
                <w:szCs w:val="20"/>
                <w:lang w:val="ro-RO"/>
              </w:rPr>
            </w:pPr>
            <w:r w:rsidRPr="00F55BA6">
              <w:rPr>
                <w:rFonts w:ascii="Calibri Light" w:eastAsia="Times New Roman" w:hAnsi="Calibri Light" w:cs="Calibri Light"/>
                <w:b/>
                <w:bCs/>
                <w:color w:val="000000"/>
                <w:sz w:val="20"/>
                <w:szCs w:val="20"/>
                <w:lang w:val="ro-RO"/>
              </w:rPr>
              <w:t>-3.037,7</w:t>
            </w:r>
          </w:p>
        </w:tc>
        <w:tc>
          <w:tcPr>
            <w:tcW w:w="1161"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b/>
                <w:bCs/>
                <w:color w:val="000000"/>
                <w:sz w:val="20"/>
                <w:szCs w:val="20"/>
                <w:lang w:val="ro-RO"/>
              </w:rPr>
            </w:pPr>
            <w:r w:rsidRPr="00F55BA6">
              <w:rPr>
                <w:rFonts w:ascii="Calibri Light" w:eastAsia="Times New Roman" w:hAnsi="Calibri Light" w:cs="Calibri Light"/>
                <w:b/>
                <w:bCs/>
                <w:color w:val="000000"/>
                <w:sz w:val="20"/>
                <w:szCs w:val="20"/>
                <w:lang w:val="ro-RO"/>
              </w:rPr>
              <w:t>-3.037,7</w:t>
            </w:r>
          </w:p>
        </w:tc>
        <w:tc>
          <w:tcPr>
            <w:tcW w:w="1151"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b/>
                <w:bCs/>
                <w:color w:val="000000"/>
                <w:sz w:val="20"/>
                <w:szCs w:val="20"/>
                <w:lang w:val="ro-RO"/>
              </w:rPr>
            </w:pPr>
            <w:r w:rsidRPr="00E4517B">
              <w:rPr>
                <w:rFonts w:ascii="Calibri Light" w:eastAsia="Times New Roman" w:hAnsi="Calibri Light" w:cs="Calibri Light"/>
                <w:b/>
                <w:bCs/>
                <w:color w:val="000000"/>
                <w:sz w:val="20"/>
                <w:szCs w:val="20"/>
                <w:lang w:val="ro-RO"/>
              </w:rPr>
              <w:t>-3.923,8</w:t>
            </w:r>
          </w:p>
        </w:tc>
        <w:tc>
          <w:tcPr>
            <w:tcW w:w="1120"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b/>
                <w:bCs/>
                <w:color w:val="000000"/>
                <w:sz w:val="20"/>
                <w:szCs w:val="20"/>
                <w:lang w:val="ro-RO"/>
              </w:rPr>
            </w:pPr>
            <w:r w:rsidRPr="00E4517B">
              <w:rPr>
                <w:rFonts w:ascii="Calibri Light" w:eastAsia="Times New Roman" w:hAnsi="Calibri Light" w:cs="Calibri Light"/>
                <w:b/>
                <w:bCs/>
                <w:color w:val="000000"/>
                <w:sz w:val="20"/>
                <w:szCs w:val="20"/>
                <w:lang w:val="ro-RO"/>
              </w:rPr>
              <w:t>0,0</w:t>
            </w:r>
          </w:p>
        </w:tc>
        <w:tc>
          <w:tcPr>
            <w:tcW w:w="1131" w:type="dxa"/>
            <w:tcBorders>
              <w:top w:val="nil"/>
              <w:left w:val="nil"/>
              <w:bottom w:val="single" w:sz="4" w:space="0" w:color="auto"/>
              <w:right w:val="single" w:sz="4" w:space="0" w:color="auto"/>
            </w:tcBorders>
            <w:shd w:val="clear" w:color="auto" w:fill="auto"/>
            <w:noWrap/>
            <w:vAlign w:val="center"/>
            <w:hideMark/>
          </w:tcPr>
          <w:p w:rsidR="004D6726" w:rsidRPr="00F55BA6" w:rsidRDefault="004D6726" w:rsidP="00B51730">
            <w:pPr>
              <w:spacing w:after="0" w:line="240" w:lineRule="auto"/>
              <w:jc w:val="right"/>
              <w:rPr>
                <w:rFonts w:ascii="Calibri Light" w:eastAsia="Times New Roman" w:hAnsi="Calibri Light" w:cs="Calibri Light"/>
                <w:b/>
                <w:bCs/>
                <w:color w:val="000000"/>
                <w:sz w:val="20"/>
                <w:szCs w:val="20"/>
                <w:lang w:val="ro-RO"/>
              </w:rPr>
            </w:pPr>
            <w:r w:rsidRPr="00E4517B">
              <w:rPr>
                <w:rFonts w:ascii="Calibri Light" w:eastAsia="Times New Roman" w:hAnsi="Calibri Light" w:cs="Calibri Light"/>
                <w:b/>
                <w:bCs/>
                <w:color w:val="000000"/>
                <w:sz w:val="20"/>
                <w:szCs w:val="20"/>
                <w:lang w:val="ro-RO"/>
              </w:rPr>
              <w:t>-3.923,8</w:t>
            </w:r>
          </w:p>
        </w:tc>
      </w:tr>
    </w:tbl>
    <w:p w:rsidR="00C37226" w:rsidRPr="00F55BA6" w:rsidRDefault="004D6726" w:rsidP="004D6726">
      <w:pPr>
        <w:jc w:val="left"/>
        <w:rPr>
          <w:rFonts w:asciiTheme="majorHAnsi" w:hAnsiTheme="majorHAnsi" w:cstheme="majorHAnsi"/>
          <w:b/>
          <w:sz w:val="24"/>
          <w:szCs w:val="24"/>
          <w:lang w:val="ro-RO"/>
        </w:rPr>
      </w:pPr>
      <w:r w:rsidRPr="00F55BA6">
        <w:rPr>
          <w:rFonts w:asciiTheme="majorHAnsi" w:eastAsia="Times New Roman" w:hAnsiTheme="majorHAnsi" w:cstheme="majorHAnsi"/>
          <w:b/>
          <w:bCs/>
          <w:i/>
          <w:iCs/>
          <w:color w:val="000000"/>
          <w:sz w:val="20"/>
          <w:szCs w:val="20"/>
          <w:lang w:val="ro-RO"/>
        </w:rPr>
        <w:t>Sursă:</w:t>
      </w:r>
      <w:r w:rsidRPr="00F55BA6">
        <w:rPr>
          <w:rFonts w:asciiTheme="majorHAnsi" w:eastAsia="Times New Roman" w:hAnsiTheme="majorHAnsi" w:cstheme="majorHAnsi"/>
          <w:i/>
          <w:iCs/>
          <w:color w:val="000000"/>
          <w:sz w:val="20"/>
          <w:szCs w:val="20"/>
          <w:lang w:val="ro-RO"/>
        </w:rPr>
        <w:t xml:space="preserve"> Legea bugetului de stat pentru anul 2020, Raportul privind executarea bugetului de stat conform clasificației economice la situația din 31.12.2020.</w:t>
      </w:r>
    </w:p>
    <w:p w:rsidR="001A250F" w:rsidRPr="00E4517B" w:rsidRDefault="001A250F" w:rsidP="00740087">
      <w:pPr>
        <w:spacing w:after="0" w:line="276" w:lineRule="auto"/>
        <w:jc w:val="right"/>
        <w:rPr>
          <w:rFonts w:asciiTheme="majorHAnsi" w:eastAsia="Times New Roman" w:hAnsiTheme="majorHAnsi" w:cstheme="majorHAnsi"/>
          <w:b/>
          <w:sz w:val="24"/>
          <w:szCs w:val="24"/>
          <w:lang w:val="ro-RO" w:eastAsia="ru-RU"/>
        </w:rPr>
      </w:pPr>
    </w:p>
    <w:p w:rsidR="006E5228" w:rsidRPr="00207634" w:rsidRDefault="008E47D2" w:rsidP="00740087">
      <w:pPr>
        <w:spacing w:after="0" w:line="276" w:lineRule="auto"/>
        <w:jc w:val="right"/>
        <w:rPr>
          <w:rFonts w:asciiTheme="majorHAnsi" w:eastAsia="Times New Roman" w:hAnsiTheme="majorHAnsi" w:cstheme="majorHAnsi"/>
          <w:b/>
          <w:sz w:val="24"/>
          <w:szCs w:val="24"/>
          <w:lang w:val="ro-RO" w:eastAsia="ru-RU"/>
        </w:rPr>
      </w:pPr>
      <w:r w:rsidRPr="00973E5B">
        <w:rPr>
          <w:rFonts w:asciiTheme="majorHAnsi" w:eastAsia="Times New Roman" w:hAnsiTheme="majorHAnsi" w:cstheme="majorHAnsi"/>
          <w:b/>
          <w:sz w:val="24"/>
          <w:szCs w:val="24"/>
          <w:lang w:val="ro-RO" w:eastAsia="ru-RU"/>
        </w:rPr>
        <w:t>Anexa nr.10</w:t>
      </w:r>
    </w:p>
    <w:p w:rsidR="008952D2" w:rsidRPr="00E4517B" w:rsidRDefault="008952D2" w:rsidP="008952D2">
      <w:pPr>
        <w:spacing w:after="0" w:line="276" w:lineRule="auto"/>
        <w:jc w:val="center"/>
        <w:rPr>
          <w:rFonts w:asciiTheme="majorHAnsi" w:eastAsia="Times New Roman" w:hAnsiTheme="majorHAnsi" w:cstheme="majorHAnsi"/>
          <w:b/>
          <w:sz w:val="24"/>
          <w:szCs w:val="24"/>
          <w:lang w:val="ro-RO" w:eastAsia="ru-RU"/>
        </w:rPr>
      </w:pPr>
      <w:r w:rsidRPr="009131CF">
        <w:rPr>
          <w:rFonts w:asciiTheme="majorHAnsi" w:eastAsia="Times New Roman" w:hAnsiTheme="majorHAnsi" w:cstheme="majorHAnsi"/>
          <w:b/>
          <w:sz w:val="24"/>
          <w:szCs w:val="24"/>
          <w:lang w:val="ro-RO" w:eastAsia="ru-RU"/>
        </w:rPr>
        <w:t>Analiza executării cheltuielilor bugetului de stat în as</w:t>
      </w:r>
      <w:r w:rsidRPr="00E4517B">
        <w:rPr>
          <w:rFonts w:asciiTheme="majorHAnsi" w:eastAsia="Times New Roman" w:hAnsiTheme="majorHAnsi" w:cstheme="majorHAnsi"/>
          <w:b/>
          <w:sz w:val="24"/>
          <w:szCs w:val="24"/>
          <w:lang w:val="ro-RO" w:eastAsia="ru-RU"/>
        </w:rPr>
        <w:t>pectul clas</w:t>
      </w:r>
      <w:r w:rsidR="004C41FB" w:rsidRPr="00E4517B">
        <w:rPr>
          <w:rFonts w:asciiTheme="majorHAnsi" w:eastAsia="Times New Roman" w:hAnsiTheme="majorHAnsi" w:cstheme="majorHAnsi"/>
          <w:b/>
          <w:sz w:val="24"/>
          <w:szCs w:val="24"/>
          <w:lang w:val="ro-RO" w:eastAsia="ru-RU"/>
        </w:rPr>
        <w:t>ificației economice pe anul 2020, comparativ cu anul 2019</w:t>
      </w:r>
    </w:p>
    <w:p w:rsidR="008952D2" w:rsidRPr="00E4517B" w:rsidRDefault="008952D2" w:rsidP="00740087">
      <w:pPr>
        <w:spacing w:after="0" w:line="276" w:lineRule="auto"/>
        <w:ind w:right="1664"/>
        <w:jc w:val="right"/>
        <w:rPr>
          <w:rFonts w:asciiTheme="majorHAnsi" w:eastAsia="Times New Roman" w:hAnsiTheme="majorHAnsi" w:cstheme="majorHAnsi"/>
          <w:b/>
          <w:sz w:val="24"/>
          <w:szCs w:val="24"/>
          <w:lang w:val="ro-RO" w:eastAsia="ru-RU"/>
        </w:rPr>
      </w:pPr>
      <w:r w:rsidRPr="00E4517B">
        <w:rPr>
          <w:rFonts w:asciiTheme="majorHAnsi" w:eastAsia="Times New Roman" w:hAnsiTheme="majorHAnsi" w:cstheme="majorHAnsi"/>
          <w:b/>
          <w:sz w:val="24"/>
          <w:szCs w:val="24"/>
          <w:lang w:val="ro-RO" w:eastAsia="ru-RU"/>
        </w:rPr>
        <w:t>(mil. lei)</w:t>
      </w:r>
    </w:p>
    <w:tbl>
      <w:tblPr>
        <w:tblStyle w:val="GridTable1Light12"/>
        <w:tblW w:w="12185" w:type="dxa"/>
        <w:jc w:val="center"/>
        <w:tblLayout w:type="fixed"/>
        <w:tblLook w:val="04A0" w:firstRow="1" w:lastRow="0" w:firstColumn="1" w:lastColumn="0" w:noHBand="0" w:noVBand="1"/>
      </w:tblPr>
      <w:tblGrid>
        <w:gridCol w:w="3964"/>
        <w:gridCol w:w="993"/>
        <w:gridCol w:w="992"/>
        <w:gridCol w:w="992"/>
        <w:gridCol w:w="993"/>
        <w:gridCol w:w="1133"/>
        <w:gridCol w:w="985"/>
        <w:gridCol w:w="7"/>
        <w:gridCol w:w="992"/>
        <w:gridCol w:w="1127"/>
        <w:gridCol w:w="7"/>
      </w:tblGrid>
      <w:tr w:rsidR="00BF41EC" w:rsidRPr="00E4517B" w:rsidTr="00B51730">
        <w:trPr>
          <w:gridAfter w:val="1"/>
          <w:cnfStyle w:val="100000000000" w:firstRow="1" w:lastRow="0" w:firstColumn="0" w:lastColumn="0" w:oddVBand="0" w:evenVBand="0" w:oddHBand="0" w:evenHBand="0" w:firstRowFirstColumn="0" w:firstRowLastColumn="0" w:lastRowFirstColumn="0" w:lastRowLastColumn="0"/>
          <w:wAfter w:w="7" w:type="dxa"/>
          <w:jc w:val="center"/>
        </w:trPr>
        <w:tc>
          <w:tcPr>
            <w:cnfStyle w:val="001000000000" w:firstRow="0" w:lastRow="0" w:firstColumn="1" w:lastColumn="0" w:oddVBand="0" w:evenVBand="0" w:oddHBand="0" w:evenHBand="0" w:firstRowFirstColumn="0" w:firstRowLastColumn="0" w:lastRowFirstColumn="0" w:lastRowLastColumn="0"/>
            <w:tcW w:w="3964" w:type="dxa"/>
            <w:vMerge w:val="restart"/>
            <w:vAlign w:val="center"/>
          </w:tcPr>
          <w:p w:rsidR="00BF41EC" w:rsidRPr="00E4517B" w:rsidRDefault="00BF41EC" w:rsidP="00B51730">
            <w:pPr>
              <w:jc w:val="center"/>
              <w:rPr>
                <w:rFonts w:asciiTheme="majorHAnsi" w:eastAsia="Times New Roman" w:hAnsiTheme="majorHAnsi" w:cstheme="majorHAnsi"/>
                <w:sz w:val="20"/>
                <w:szCs w:val="20"/>
                <w:lang w:val="ro-RO" w:eastAsia="ru-RU"/>
              </w:rPr>
            </w:pPr>
            <w:r w:rsidRPr="00E4517B">
              <w:rPr>
                <w:rFonts w:asciiTheme="majorHAnsi" w:eastAsia="Times New Roman" w:hAnsiTheme="majorHAnsi" w:cstheme="majorHAnsi"/>
                <w:sz w:val="20"/>
                <w:szCs w:val="20"/>
                <w:lang w:val="ro-RO" w:eastAsia="ru-RU"/>
              </w:rPr>
              <w:t>Cheltuieli</w:t>
            </w:r>
          </w:p>
        </w:tc>
        <w:tc>
          <w:tcPr>
            <w:tcW w:w="993" w:type="dxa"/>
            <w:vMerge w:val="restart"/>
            <w:vAlign w:val="center"/>
          </w:tcPr>
          <w:p w:rsidR="00BF41EC" w:rsidRPr="00E4517B" w:rsidRDefault="00BF41EC" w:rsidP="00B51730">
            <w:pPr>
              <w:ind w:left="-11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u-RU"/>
              </w:rPr>
            </w:pPr>
            <w:r w:rsidRPr="00E4517B">
              <w:rPr>
                <w:rFonts w:asciiTheme="majorHAnsi" w:eastAsia="Times New Roman" w:hAnsiTheme="majorHAnsi" w:cstheme="majorHAnsi"/>
                <w:sz w:val="20"/>
                <w:szCs w:val="20"/>
                <w:lang w:val="ro-RO" w:eastAsia="ru-RU"/>
              </w:rPr>
              <w:t>Aprobat pe an</w:t>
            </w:r>
          </w:p>
        </w:tc>
        <w:tc>
          <w:tcPr>
            <w:tcW w:w="992" w:type="dxa"/>
            <w:vMerge w:val="restart"/>
            <w:vAlign w:val="center"/>
          </w:tcPr>
          <w:p w:rsidR="00BF41EC" w:rsidRPr="00E4517B" w:rsidRDefault="00BF41EC" w:rsidP="00B51730">
            <w:pPr>
              <w:ind w:left="-108" w:right="-111"/>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u-RU"/>
              </w:rPr>
            </w:pPr>
            <w:r w:rsidRPr="00E4517B">
              <w:rPr>
                <w:rFonts w:asciiTheme="majorHAnsi" w:eastAsia="Times New Roman" w:hAnsiTheme="majorHAnsi" w:cstheme="majorHAnsi"/>
                <w:sz w:val="20"/>
                <w:szCs w:val="20"/>
                <w:lang w:val="ro-RO" w:eastAsia="ru-RU"/>
              </w:rPr>
              <w:t>Precizat pe an</w:t>
            </w:r>
          </w:p>
        </w:tc>
        <w:tc>
          <w:tcPr>
            <w:tcW w:w="992" w:type="dxa"/>
            <w:vMerge w:val="restart"/>
            <w:vAlign w:val="center"/>
          </w:tcPr>
          <w:p w:rsidR="00BF41EC" w:rsidRPr="00E4517B" w:rsidRDefault="00BF41EC" w:rsidP="00B51730">
            <w:pPr>
              <w:ind w:left="-117" w:right="-124"/>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u-RU"/>
              </w:rPr>
            </w:pPr>
            <w:r w:rsidRPr="00E4517B">
              <w:rPr>
                <w:rFonts w:asciiTheme="majorHAnsi" w:eastAsia="Times New Roman" w:hAnsiTheme="majorHAnsi" w:cstheme="majorHAnsi"/>
                <w:sz w:val="20"/>
                <w:szCs w:val="20"/>
                <w:lang w:val="ro-RO" w:eastAsia="ru-RU"/>
              </w:rPr>
              <w:t>Executat în anul 2020</w:t>
            </w:r>
          </w:p>
        </w:tc>
        <w:tc>
          <w:tcPr>
            <w:tcW w:w="2126" w:type="dxa"/>
            <w:gridSpan w:val="2"/>
            <w:vAlign w:val="center"/>
          </w:tcPr>
          <w:p w:rsidR="00BF41EC" w:rsidRPr="00E4517B" w:rsidRDefault="00BF41EC" w:rsidP="00B51730">
            <w:pPr>
              <w:ind w:left="-80" w:right="-106"/>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u-RU"/>
              </w:rPr>
            </w:pPr>
            <w:r w:rsidRPr="00E4517B">
              <w:rPr>
                <w:rFonts w:asciiTheme="majorHAnsi" w:eastAsia="Times New Roman" w:hAnsiTheme="majorHAnsi" w:cstheme="majorHAnsi"/>
                <w:sz w:val="20"/>
                <w:szCs w:val="20"/>
                <w:lang w:val="ro-RO" w:eastAsia="ru-RU"/>
              </w:rPr>
              <w:t>Executat față de precizat pe an</w:t>
            </w:r>
          </w:p>
        </w:tc>
        <w:tc>
          <w:tcPr>
            <w:tcW w:w="985" w:type="dxa"/>
            <w:vAlign w:val="center"/>
          </w:tcPr>
          <w:p w:rsidR="00BF41EC" w:rsidRPr="00E4517B" w:rsidRDefault="00BF41EC" w:rsidP="00B51730">
            <w:pPr>
              <w:ind w:left="-98" w:right="-114"/>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u-RU"/>
              </w:rPr>
            </w:pPr>
            <w:r w:rsidRPr="00E4517B">
              <w:rPr>
                <w:rFonts w:asciiTheme="majorHAnsi" w:eastAsia="Times New Roman" w:hAnsiTheme="majorHAnsi" w:cstheme="majorHAnsi"/>
                <w:sz w:val="20"/>
                <w:szCs w:val="20"/>
                <w:lang w:val="ro-RO" w:eastAsia="ru-RU"/>
              </w:rPr>
              <w:t>Executat în anul 2019</w:t>
            </w:r>
          </w:p>
        </w:tc>
        <w:tc>
          <w:tcPr>
            <w:tcW w:w="2126" w:type="dxa"/>
            <w:gridSpan w:val="3"/>
            <w:vAlign w:val="center"/>
          </w:tcPr>
          <w:p w:rsidR="00BF41EC" w:rsidRPr="00E4517B" w:rsidRDefault="00BF41EC" w:rsidP="00B51730">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u-RU"/>
              </w:rPr>
            </w:pPr>
            <w:r w:rsidRPr="00E4517B">
              <w:rPr>
                <w:rFonts w:asciiTheme="majorHAnsi" w:eastAsia="Times New Roman" w:hAnsiTheme="majorHAnsi" w:cstheme="majorHAnsi"/>
                <w:sz w:val="20"/>
                <w:szCs w:val="20"/>
                <w:lang w:val="ro-RO" w:eastAsia="ru-RU"/>
              </w:rPr>
              <w:t>Executat anul curent față de precedent</w:t>
            </w:r>
          </w:p>
        </w:tc>
      </w:tr>
      <w:tr w:rsidR="00BF41EC" w:rsidRPr="00E4517B" w:rsidTr="00B51730">
        <w:trPr>
          <w:jc w:val="center"/>
        </w:trPr>
        <w:tc>
          <w:tcPr>
            <w:cnfStyle w:val="001000000000" w:firstRow="0" w:lastRow="0" w:firstColumn="1" w:lastColumn="0" w:oddVBand="0" w:evenVBand="0" w:oddHBand="0" w:evenHBand="0" w:firstRowFirstColumn="0" w:firstRowLastColumn="0" w:lastRowFirstColumn="0" w:lastRowLastColumn="0"/>
            <w:tcW w:w="3964" w:type="dxa"/>
            <w:vMerge/>
            <w:vAlign w:val="center"/>
          </w:tcPr>
          <w:p w:rsidR="00BF41EC" w:rsidRPr="00E4517B" w:rsidRDefault="00BF41EC" w:rsidP="00B51730">
            <w:pPr>
              <w:jc w:val="center"/>
              <w:rPr>
                <w:rFonts w:asciiTheme="majorHAnsi" w:eastAsia="Times New Roman" w:hAnsiTheme="majorHAnsi" w:cstheme="majorHAnsi"/>
                <w:sz w:val="20"/>
                <w:szCs w:val="20"/>
                <w:lang w:val="ro-RO" w:eastAsia="ru-RU"/>
              </w:rPr>
            </w:pPr>
          </w:p>
        </w:tc>
        <w:tc>
          <w:tcPr>
            <w:tcW w:w="993" w:type="dxa"/>
            <w:vMerge/>
            <w:vAlign w:val="center"/>
          </w:tcPr>
          <w:p w:rsidR="00BF41EC" w:rsidRPr="00E4517B" w:rsidRDefault="00BF41EC" w:rsidP="00B5173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RO" w:eastAsia="ru-RU"/>
              </w:rPr>
            </w:pPr>
          </w:p>
        </w:tc>
        <w:tc>
          <w:tcPr>
            <w:tcW w:w="992" w:type="dxa"/>
            <w:vMerge/>
            <w:vAlign w:val="center"/>
          </w:tcPr>
          <w:p w:rsidR="00BF41EC" w:rsidRPr="00E4517B" w:rsidRDefault="00BF41EC" w:rsidP="00B5173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RO" w:eastAsia="ru-RU"/>
              </w:rPr>
            </w:pPr>
          </w:p>
        </w:tc>
        <w:tc>
          <w:tcPr>
            <w:tcW w:w="992" w:type="dxa"/>
            <w:vMerge/>
            <w:vAlign w:val="center"/>
          </w:tcPr>
          <w:p w:rsidR="00BF41EC" w:rsidRPr="00E4517B" w:rsidRDefault="00BF41EC" w:rsidP="00B5173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RO" w:eastAsia="ru-RU"/>
              </w:rPr>
            </w:pPr>
          </w:p>
        </w:tc>
        <w:tc>
          <w:tcPr>
            <w:tcW w:w="993" w:type="dxa"/>
            <w:vAlign w:val="center"/>
          </w:tcPr>
          <w:p w:rsidR="00BF41EC" w:rsidRPr="00E4517B" w:rsidRDefault="00BF41EC" w:rsidP="00B51730">
            <w:pPr>
              <w:ind w:left="-113" w:right="-113"/>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RO" w:eastAsia="ru-RU"/>
              </w:rPr>
            </w:pPr>
            <w:r w:rsidRPr="00E4517B">
              <w:rPr>
                <w:rFonts w:asciiTheme="majorHAnsi" w:eastAsia="Times New Roman" w:hAnsiTheme="majorHAnsi" w:cstheme="majorHAnsi"/>
                <w:b/>
                <w:sz w:val="20"/>
                <w:szCs w:val="20"/>
                <w:lang w:val="ro-RO" w:eastAsia="ru-RU"/>
              </w:rPr>
              <w:t>devieri (+/-)</w:t>
            </w:r>
          </w:p>
        </w:tc>
        <w:tc>
          <w:tcPr>
            <w:tcW w:w="1133" w:type="dxa"/>
            <w:vAlign w:val="center"/>
          </w:tcPr>
          <w:p w:rsidR="00BF41EC" w:rsidRPr="00E4517B" w:rsidRDefault="00BF41EC" w:rsidP="00B5173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RO" w:eastAsia="ru-RU"/>
              </w:rPr>
            </w:pPr>
            <w:r w:rsidRPr="00E4517B">
              <w:rPr>
                <w:rFonts w:asciiTheme="majorHAnsi" w:eastAsia="Times New Roman" w:hAnsiTheme="majorHAnsi" w:cstheme="majorHAnsi"/>
                <w:b/>
                <w:sz w:val="20"/>
                <w:szCs w:val="20"/>
                <w:lang w:val="ro-RO" w:eastAsia="ru-RU"/>
              </w:rPr>
              <w:t>în %</w:t>
            </w:r>
          </w:p>
        </w:tc>
        <w:tc>
          <w:tcPr>
            <w:tcW w:w="992" w:type="dxa"/>
            <w:gridSpan w:val="2"/>
            <w:vAlign w:val="center"/>
          </w:tcPr>
          <w:p w:rsidR="00BF41EC" w:rsidRPr="00E4517B" w:rsidRDefault="00BF41EC" w:rsidP="00B51730">
            <w:pPr>
              <w:ind w:left="-113" w:right="-113"/>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RO" w:eastAsia="ru-RU"/>
              </w:rPr>
            </w:pPr>
          </w:p>
        </w:tc>
        <w:tc>
          <w:tcPr>
            <w:tcW w:w="992" w:type="dxa"/>
            <w:vAlign w:val="center"/>
          </w:tcPr>
          <w:p w:rsidR="00BF41EC" w:rsidRPr="00E4517B" w:rsidRDefault="00BF41EC" w:rsidP="00B51730">
            <w:pPr>
              <w:ind w:left="-113" w:right="-113"/>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RO" w:eastAsia="ru-RU"/>
              </w:rPr>
            </w:pPr>
            <w:r w:rsidRPr="00E4517B">
              <w:rPr>
                <w:rFonts w:asciiTheme="majorHAnsi" w:eastAsia="Times New Roman" w:hAnsiTheme="majorHAnsi" w:cstheme="majorHAnsi"/>
                <w:b/>
                <w:sz w:val="20"/>
                <w:szCs w:val="20"/>
                <w:lang w:val="ro-RO" w:eastAsia="ru-RU"/>
              </w:rPr>
              <w:t>devieri (+/-)</w:t>
            </w:r>
          </w:p>
        </w:tc>
        <w:tc>
          <w:tcPr>
            <w:tcW w:w="1134" w:type="dxa"/>
            <w:gridSpan w:val="2"/>
            <w:vAlign w:val="center"/>
          </w:tcPr>
          <w:p w:rsidR="00BF41EC" w:rsidRPr="00E4517B" w:rsidRDefault="00BF41EC" w:rsidP="00B5173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RO" w:eastAsia="ru-RU"/>
              </w:rPr>
            </w:pPr>
            <w:r w:rsidRPr="00E4517B">
              <w:rPr>
                <w:rFonts w:asciiTheme="majorHAnsi" w:eastAsia="Times New Roman" w:hAnsiTheme="majorHAnsi" w:cstheme="majorHAnsi"/>
                <w:b/>
                <w:sz w:val="20"/>
                <w:szCs w:val="20"/>
                <w:lang w:val="ro-RO" w:eastAsia="ru-RU"/>
              </w:rPr>
              <w:t>în %</w:t>
            </w:r>
          </w:p>
        </w:tc>
      </w:tr>
      <w:tr w:rsidR="00BF41EC" w:rsidRPr="00E4517B" w:rsidTr="00B51730">
        <w:trPr>
          <w:jc w:val="center"/>
        </w:trPr>
        <w:tc>
          <w:tcPr>
            <w:cnfStyle w:val="001000000000" w:firstRow="0" w:lastRow="0" w:firstColumn="1" w:lastColumn="0" w:oddVBand="0" w:evenVBand="0" w:oddHBand="0" w:evenHBand="0" w:firstRowFirstColumn="0" w:firstRowLastColumn="0" w:lastRowFirstColumn="0" w:lastRowLastColumn="0"/>
            <w:tcW w:w="3964" w:type="dxa"/>
          </w:tcPr>
          <w:p w:rsidR="00BF41EC" w:rsidRPr="00E4517B" w:rsidRDefault="00BF41EC" w:rsidP="00B51730">
            <w:pPr>
              <w:ind w:right="-105"/>
              <w:jc w:val="center"/>
              <w:rPr>
                <w:rFonts w:asciiTheme="majorHAnsi" w:eastAsia="Times New Roman" w:hAnsiTheme="majorHAnsi" w:cstheme="majorHAnsi"/>
                <w:b w:val="0"/>
                <w:i/>
                <w:sz w:val="16"/>
                <w:szCs w:val="16"/>
                <w:lang w:val="ro-RO" w:eastAsia="ru-RU"/>
              </w:rPr>
            </w:pPr>
            <w:r w:rsidRPr="00E4517B">
              <w:rPr>
                <w:rFonts w:asciiTheme="majorHAnsi" w:eastAsia="Times New Roman" w:hAnsiTheme="majorHAnsi" w:cstheme="majorHAnsi"/>
                <w:b w:val="0"/>
                <w:i/>
                <w:sz w:val="16"/>
                <w:szCs w:val="16"/>
                <w:lang w:val="ro-RO" w:eastAsia="ru-RU"/>
              </w:rPr>
              <w:t>1</w:t>
            </w:r>
          </w:p>
        </w:tc>
        <w:tc>
          <w:tcPr>
            <w:tcW w:w="993" w:type="dxa"/>
          </w:tcPr>
          <w:p w:rsidR="00BF41EC" w:rsidRPr="00973E5B" w:rsidRDefault="00BF41EC" w:rsidP="00B5173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16"/>
                <w:szCs w:val="16"/>
                <w:lang w:val="ro-RO" w:eastAsia="ru-RU"/>
              </w:rPr>
            </w:pPr>
            <w:r w:rsidRPr="00973E5B">
              <w:rPr>
                <w:rFonts w:asciiTheme="majorHAnsi" w:eastAsia="Times New Roman" w:hAnsiTheme="majorHAnsi" w:cstheme="majorHAnsi"/>
                <w:i/>
                <w:sz w:val="16"/>
                <w:szCs w:val="16"/>
                <w:lang w:val="ro-RO" w:eastAsia="ru-RU"/>
              </w:rPr>
              <w:t>2</w:t>
            </w:r>
          </w:p>
        </w:tc>
        <w:tc>
          <w:tcPr>
            <w:tcW w:w="992" w:type="dxa"/>
          </w:tcPr>
          <w:p w:rsidR="00BF41EC" w:rsidRPr="00F55BA6" w:rsidRDefault="00BF41EC" w:rsidP="00B5173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16"/>
                <w:szCs w:val="16"/>
                <w:lang w:val="ro-RO"/>
              </w:rPr>
            </w:pPr>
            <w:r w:rsidRPr="00F55BA6">
              <w:rPr>
                <w:rFonts w:asciiTheme="majorHAnsi" w:eastAsia="Times New Roman" w:hAnsiTheme="majorHAnsi" w:cstheme="majorHAnsi"/>
                <w:i/>
                <w:color w:val="000000"/>
                <w:sz w:val="16"/>
                <w:szCs w:val="16"/>
                <w:lang w:val="ro-RO"/>
              </w:rPr>
              <w:t>3</w:t>
            </w:r>
          </w:p>
        </w:tc>
        <w:tc>
          <w:tcPr>
            <w:tcW w:w="992" w:type="dxa"/>
          </w:tcPr>
          <w:p w:rsidR="00BF41EC" w:rsidRPr="00E4517B" w:rsidRDefault="00BF41EC" w:rsidP="00B5173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16"/>
                <w:szCs w:val="16"/>
                <w:lang w:val="ro-RO" w:eastAsia="ru-RU"/>
              </w:rPr>
            </w:pPr>
            <w:r w:rsidRPr="00E4517B">
              <w:rPr>
                <w:rFonts w:asciiTheme="majorHAnsi" w:eastAsia="Times New Roman" w:hAnsiTheme="majorHAnsi" w:cstheme="majorHAnsi"/>
                <w:i/>
                <w:sz w:val="16"/>
                <w:szCs w:val="16"/>
                <w:lang w:val="ro-RO" w:eastAsia="ru-RU"/>
              </w:rPr>
              <w:t>4</w:t>
            </w:r>
          </w:p>
        </w:tc>
        <w:tc>
          <w:tcPr>
            <w:tcW w:w="993" w:type="dxa"/>
          </w:tcPr>
          <w:p w:rsidR="00BF41EC" w:rsidRPr="00F55BA6" w:rsidRDefault="00BF41EC" w:rsidP="00B51730">
            <w:pPr>
              <w:ind w:left="-97" w:right="-3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color w:val="000000"/>
                <w:sz w:val="16"/>
                <w:szCs w:val="16"/>
                <w:lang w:val="ro-RO"/>
              </w:rPr>
            </w:pPr>
            <w:r w:rsidRPr="00F55BA6">
              <w:rPr>
                <w:rFonts w:asciiTheme="majorHAnsi" w:eastAsia="Times New Roman" w:hAnsiTheme="majorHAnsi" w:cstheme="majorHAnsi"/>
                <w:bCs/>
                <w:i/>
                <w:color w:val="000000"/>
                <w:sz w:val="16"/>
                <w:szCs w:val="16"/>
                <w:lang w:val="ro-RO"/>
              </w:rPr>
              <w:t>5=4-3</w:t>
            </w:r>
          </w:p>
        </w:tc>
        <w:tc>
          <w:tcPr>
            <w:tcW w:w="1133" w:type="dxa"/>
          </w:tcPr>
          <w:p w:rsidR="00BF41EC" w:rsidRPr="00E4517B" w:rsidRDefault="00BF41EC" w:rsidP="00B5173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lang w:val="ro-RO"/>
              </w:rPr>
            </w:pPr>
            <w:r w:rsidRPr="00E4517B">
              <w:rPr>
                <w:rFonts w:asciiTheme="majorHAnsi" w:hAnsiTheme="majorHAnsi" w:cstheme="majorHAnsi"/>
                <w:i/>
                <w:sz w:val="16"/>
                <w:szCs w:val="16"/>
                <w:lang w:val="ro-RO"/>
              </w:rPr>
              <w:t>6=4/3*100</w:t>
            </w:r>
          </w:p>
        </w:tc>
        <w:tc>
          <w:tcPr>
            <w:tcW w:w="992" w:type="dxa"/>
            <w:gridSpan w:val="2"/>
          </w:tcPr>
          <w:p w:rsidR="00BF41EC" w:rsidRPr="00973E5B" w:rsidRDefault="00BF41EC" w:rsidP="00B51730">
            <w:pPr>
              <w:ind w:left="-113" w:right="-113"/>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lang w:val="ro-RO"/>
              </w:rPr>
            </w:pPr>
            <w:r w:rsidRPr="00973E5B">
              <w:rPr>
                <w:rFonts w:asciiTheme="majorHAnsi" w:hAnsiTheme="majorHAnsi" w:cstheme="majorHAnsi"/>
                <w:i/>
                <w:sz w:val="16"/>
                <w:szCs w:val="16"/>
                <w:lang w:val="ro-RO"/>
              </w:rPr>
              <w:t>7</w:t>
            </w:r>
          </w:p>
        </w:tc>
        <w:tc>
          <w:tcPr>
            <w:tcW w:w="992" w:type="dxa"/>
          </w:tcPr>
          <w:p w:rsidR="00BF41EC" w:rsidRPr="009131CF" w:rsidRDefault="00BF41EC" w:rsidP="00B51730">
            <w:pPr>
              <w:ind w:left="-113" w:right="-113"/>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lang w:val="ro-RO"/>
              </w:rPr>
            </w:pPr>
            <w:r w:rsidRPr="009131CF">
              <w:rPr>
                <w:rFonts w:asciiTheme="majorHAnsi" w:hAnsiTheme="majorHAnsi" w:cstheme="majorHAnsi"/>
                <w:i/>
                <w:sz w:val="16"/>
                <w:szCs w:val="16"/>
                <w:lang w:val="ro-RO"/>
              </w:rPr>
              <w:t>8=4-7</w:t>
            </w:r>
          </w:p>
        </w:tc>
        <w:tc>
          <w:tcPr>
            <w:tcW w:w="1134" w:type="dxa"/>
            <w:gridSpan w:val="2"/>
          </w:tcPr>
          <w:p w:rsidR="00BF41EC" w:rsidRPr="00E4517B" w:rsidRDefault="00BF41EC" w:rsidP="00B5173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lang w:val="ro-RO"/>
              </w:rPr>
            </w:pPr>
            <w:r w:rsidRPr="00E4517B">
              <w:rPr>
                <w:rFonts w:asciiTheme="majorHAnsi" w:hAnsiTheme="majorHAnsi" w:cstheme="majorHAnsi"/>
                <w:i/>
                <w:sz w:val="16"/>
                <w:szCs w:val="16"/>
                <w:lang w:val="ro-RO"/>
              </w:rPr>
              <w:t>9=4/7*100</w:t>
            </w:r>
          </w:p>
        </w:tc>
      </w:tr>
      <w:tr w:rsidR="00BF41EC" w:rsidRPr="00E4517B" w:rsidTr="00B51730">
        <w:trPr>
          <w:jc w:val="center"/>
        </w:trPr>
        <w:tc>
          <w:tcPr>
            <w:cnfStyle w:val="001000000000" w:firstRow="0" w:lastRow="0" w:firstColumn="1" w:lastColumn="0" w:oddVBand="0" w:evenVBand="0" w:oddHBand="0" w:evenHBand="0" w:firstRowFirstColumn="0" w:firstRowLastColumn="0" w:lastRowFirstColumn="0" w:lastRowLastColumn="0"/>
            <w:tcW w:w="3964" w:type="dxa"/>
          </w:tcPr>
          <w:p w:rsidR="00BF41EC" w:rsidRPr="00973E5B" w:rsidRDefault="00BF41EC" w:rsidP="00B51730">
            <w:pPr>
              <w:ind w:right="-105"/>
              <w:jc w:val="left"/>
              <w:rPr>
                <w:rFonts w:asciiTheme="majorHAnsi" w:eastAsia="Times New Roman" w:hAnsiTheme="majorHAnsi" w:cstheme="majorHAnsi"/>
                <w:sz w:val="20"/>
                <w:szCs w:val="20"/>
                <w:lang w:val="ro-RO" w:eastAsia="ru-RU"/>
              </w:rPr>
            </w:pPr>
            <w:r w:rsidRPr="00E4517B">
              <w:rPr>
                <w:rFonts w:asciiTheme="majorHAnsi" w:eastAsia="Times New Roman" w:hAnsiTheme="majorHAnsi" w:cstheme="majorHAnsi"/>
                <w:sz w:val="20"/>
                <w:szCs w:val="20"/>
                <w:lang w:val="ro-RO" w:eastAsia="ru-RU"/>
              </w:rPr>
              <w:t>CHELTUIELI</w:t>
            </w:r>
            <w:r w:rsidRPr="00973E5B">
              <w:rPr>
                <w:rFonts w:asciiTheme="majorHAnsi" w:eastAsia="Times New Roman" w:hAnsiTheme="majorHAnsi" w:cstheme="majorHAnsi"/>
                <w:sz w:val="20"/>
                <w:szCs w:val="20"/>
                <w:lang w:val="ro-RO" w:eastAsia="ru-RU"/>
              </w:rPr>
              <w:t xml:space="preserve"> ȘI ACTIVE NEFINANCIARE, total:</w:t>
            </w:r>
          </w:p>
        </w:tc>
        <w:tc>
          <w:tcPr>
            <w:tcW w:w="993" w:type="dxa"/>
            <w:tcBorders>
              <w:top w:val="nil"/>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0000"/>
                <w:sz w:val="20"/>
                <w:szCs w:val="20"/>
                <w:lang w:val="ro-RO"/>
              </w:rPr>
            </w:pPr>
            <w:r w:rsidRPr="00F55BA6">
              <w:rPr>
                <w:rFonts w:ascii="Calibri Light" w:hAnsi="Calibri Light" w:cs="Calibri Light"/>
                <w:b/>
                <w:bCs/>
                <w:color w:val="000000"/>
                <w:sz w:val="20"/>
                <w:szCs w:val="20"/>
                <w:lang w:val="ro-RO"/>
              </w:rPr>
              <w:t>51.551,9</w:t>
            </w:r>
          </w:p>
        </w:tc>
        <w:tc>
          <w:tcPr>
            <w:tcW w:w="992" w:type="dxa"/>
            <w:tcBorders>
              <w:top w:val="nil"/>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0000"/>
                <w:sz w:val="20"/>
                <w:szCs w:val="20"/>
                <w:lang w:val="ro-RO"/>
              </w:rPr>
            </w:pPr>
            <w:r w:rsidRPr="00E4517B">
              <w:rPr>
                <w:rFonts w:ascii="Calibri Light" w:hAnsi="Calibri Light" w:cs="Calibri Light"/>
                <w:b/>
                <w:bCs/>
                <w:color w:val="000000"/>
                <w:sz w:val="20"/>
                <w:szCs w:val="20"/>
                <w:lang w:val="ro-RO"/>
              </w:rPr>
              <w:t>53.280,6</w:t>
            </w:r>
          </w:p>
        </w:tc>
        <w:tc>
          <w:tcPr>
            <w:tcW w:w="992" w:type="dxa"/>
            <w:tcBorders>
              <w:top w:val="nil"/>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0000"/>
                <w:sz w:val="20"/>
                <w:szCs w:val="20"/>
                <w:lang w:val="ro-RO"/>
              </w:rPr>
            </w:pPr>
            <w:r w:rsidRPr="00E4517B">
              <w:rPr>
                <w:rFonts w:ascii="Calibri Light" w:hAnsi="Calibri Light" w:cs="Calibri Light"/>
                <w:b/>
                <w:bCs/>
                <w:color w:val="000000"/>
                <w:sz w:val="20"/>
                <w:szCs w:val="20"/>
                <w:lang w:val="ro-RO"/>
              </w:rPr>
              <w:t>49.635,4</w:t>
            </w:r>
          </w:p>
        </w:tc>
        <w:tc>
          <w:tcPr>
            <w:tcW w:w="993" w:type="dxa"/>
            <w:tcBorders>
              <w:top w:val="nil"/>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0000"/>
                <w:sz w:val="20"/>
                <w:szCs w:val="20"/>
                <w:lang w:val="ro-RO"/>
              </w:rPr>
            </w:pPr>
            <w:r w:rsidRPr="00F55BA6">
              <w:rPr>
                <w:rFonts w:ascii="Calibri Light" w:hAnsi="Calibri Light" w:cs="Calibri Light"/>
                <w:b/>
                <w:bCs/>
                <w:color w:val="000000"/>
                <w:sz w:val="20"/>
                <w:szCs w:val="20"/>
                <w:lang w:val="ro-RO"/>
              </w:rPr>
              <w:t>-3.645,2</w:t>
            </w:r>
          </w:p>
        </w:tc>
        <w:tc>
          <w:tcPr>
            <w:tcW w:w="1133" w:type="dxa"/>
            <w:tcBorders>
              <w:top w:val="nil"/>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0000"/>
                <w:sz w:val="20"/>
                <w:szCs w:val="20"/>
                <w:lang w:val="ro-RO"/>
              </w:rPr>
            </w:pPr>
            <w:r w:rsidRPr="00E4517B">
              <w:rPr>
                <w:rFonts w:ascii="Calibri Light" w:hAnsi="Calibri Light" w:cs="Calibri Light"/>
                <w:b/>
                <w:bCs/>
                <w:color w:val="000000"/>
                <w:sz w:val="20"/>
                <w:szCs w:val="20"/>
                <w:lang w:val="ro-RO"/>
              </w:rPr>
              <w:t>93,2</w:t>
            </w:r>
          </w:p>
        </w:tc>
        <w:tc>
          <w:tcPr>
            <w:tcW w:w="992" w:type="dxa"/>
            <w:gridSpan w:val="2"/>
            <w:tcBorders>
              <w:top w:val="single" w:sz="8" w:space="0" w:color="999999"/>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0000"/>
                <w:sz w:val="20"/>
                <w:szCs w:val="20"/>
                <w:lang w:val="ro-RO"/>
              </w:rPr>
            </w:pPr>
            <w:r w:rsidRPr="00F55BA6">
              <w:rPr>
                <w:rFonts w:ascii="Calibri Light" w:hAnsi="Calibri Light" w:cs="Calibri Light"/>
                <w:b/>
                <w:bCs/>
                <w:color w:val="000000"/>
                <w:sz w:val="20"/>
                <w:szCs w:val="20"/>
                <w:lang w:val="ro-RO"/>
              </w:rPr>
              <w:t>43.073,9</w:t>
            </w:r>
          </w:p>
        </w:tc>
        <w:tc>
          <w:tcPr>
            <w:tcW w:w="992" w:type="dxa"/>
            <w:tcBorders>
              <w:top w:val="nil"/>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0000"/>
                <w:sz w:val="20"/>
                <w:szCs w:val="20"/>
                <w:lang w:val="ro-RO"/>
              </w:rPr>
            </w:pPr>
            <w:r w:rsidRPr="00F55BA6">
              <w:rPr>
                <w:rFonts w:ascii="Calibri Light" w:hAnsi="Calibri Light" w:cs="Calibri Light"/>
                <w:b/>
                <w:bCs/>
                <w:color w:val="000000"/>
                <w:sz w:val="20"/>
                <w:szCs w:val="20"/>
                <w:lang w:val="ro-RO"/>
              </w:rPr>
              <w:t>6.561,5</w:t>
            </w:r>
          </w:p>
        </w:tc>
        <w:tc>
          <w:tcPr>
            <w:tcW w:w="1134" w:type="dxa"/>
            <w:gridSpan w:val="2"/>
            <w:tcBorders>
              <w:top w:val="nil"/>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0000"/>
                <w:sz w:val="20"/>
                <w:szCs w:val="20"/>
                <w:lang w:val="ro-RO"/>
              </w:rPr>
            </w:pPr>
            <w:r w:rsidRPr="00E4517B">
              <w:rPr>
                <w:rFonts w:ascii="Calibri Light" w:hAnsi="Calibri Light" w:cs="Calibri Light"/>
                <w:b/>
                <w:bCs/>
                <w:color w:val="000000"/>
                <w:sz w:val="20"/>
                <w:szCs w:val="20"/>
                <w:lang w:val="ro-RO"/>
              </w:rPr>
              <w:t>115,2</w:t>
            </w:r>
          </w:p>
        </w:tc>
      </w:tr>
      <w:tr w:rsidR="00BF41EC" w:rsidRPr="00E4517B" w:rsidTr="00B51730">
        <w:trPr>
          <w:jc w:val="center"/>
        </w:trPr>
        <w:tc>
          <w:tcPr>
            <w:cnfStyle w:val="001000000000" w:firstRow="0" w:lastRow="0" w:firstColumn="1" w:lastColumn="0" w:oddVBand="0" w:evenVBand="0" w:oddHBand="0" w:evenHBand="0" w:firstRowFirstColumn="0" w:firstRowLastColumn="0" w:lastRowFirstColumn="0" w:lastRowLastColumn="0"/>
            <w:tcW w:w="3964" w:type="dxa"/>
          </w:tcPr>
          <w:p w:rsidR="00BF41EC" w:rsidRPr="00207634" w:rsidRDefault="00BF41EC" w:rsidP="00B51730">
            <w:pPr>
              <w:ind w:right="-105"/>
              <w:jc w:val="left"/>
              <w:rPr>
                <w:rFonts w:asciiTheme="majorHAnsi" w:eastAsia="Times New Roman" w:hAnsiTheme="majorHAnsi" w:cstheme="majorHAnsi"/>
                <w:sz w:val="20"/>
                <w:szCs w:val="20"/>
                <w:lang w:val="ro-RO" w:eastAsia="ru-RU"/>
              </w:rPr>
            </w:pPr>
            <w:r w:rsidRPr="00E4517B">
              <w:rPr>
                <w:rFonts w:asciiTheme="majorHAnsi" w:eastAsia="Times New Roman" w:hAnsiTheme="majorHAnsi" w:cstheme="majorHAnsi"/>
                <w:sz w:val="20"/>
                <w:szCs w:val="20"/>
                <w:lang w:val="ro-RO" w:eastAsia="ru-RU"/>
              </w:rPr>
              <w:t xml:space="preserve">CHELTUIELI, total, </w:t>
            </w:r>
            <w:r w:rsidRPr="00973E5B">
              <w:rPr>
                <w:rFonts w:asciiTheme="majorHAnsi" w:eastAsia="Times New Roman" w:hAnsiTheme="majorHAnsi" w:cstheme="majorHAnsi"/>
                <w:i/>
                <w:sz w:val="20"/>
                <w:szCs w:val="20"/>
                <w:lang w:val="ro-RO" w:eastAsia="ru-RU"/>
              </w:rPr>
              <w:t>din care:</w:t>
            </w:r>
          </w:p>
        </w:tc>
        <w:tc>
          <w:tcPr>
            <w:tcW w:w="993" w:type="dxa"/>
            <w:tcBorders>
              <w:top w:val="nil"/>
              <w:left w:val="single" w:sz="8" w:space="0" w:color="999999"/>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0000"/>
                <w:sz w:val="20"/>
                <w:szCs w:val="20"/>
                <w:lang w:val="ro-RO"/>
              </w:rPr>
            </w:pPr>
            <w:r w:rsidRPr="00F55BA6">
              <w:rPr>
                <w:rFonts w:ascii="Calibri Light" w:hAnsi="Calibri Light" w:cs="Calibri Light"/>
                <w:b/>
                <w:bCs/>
                <w:color w:val="000000"/>
                <w:sz w:val="20"/>
                <w:szCs w:val="20"/>
                <w:lang w:val="ro-RO"/>
              </w:rPr>
              <w:t>44.931,5</w:t>
            </w:r>
          </w:p>
        </w:tc>
        <w:tc>
          <w:tcPr>
            <w:tcW w:w="992" w:type="dxa"/>
            <w:tcBorders>
              <w:top w:val="nil"/>
              <w:left w:val="single" w:sz="8" w:space="0" w:color="999999"/>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0000"/>
                <w:sz w:val="20"/>
                <w:szCs w:val="20"/>
                <w:lang w:val="ro-RO"/>
              </w:rPr>
            </w:pPr>
            <w:r w:rsidRPr="00E4517B">
              <w:rPr>
                <w:rFonts w:ascii="Calibri Light" w:hAnsi="Calibri Light" w:cs="Calibri Light"/>
                <w:b/>
                <w:bCs/>
                <w:color w:val="000000"/>
                <w:sz w:val="20"/>
                <w:szCs w:val="20"/>
                <w:lang w:val="ro-RO"/>
              </w:rPr>
              <w:t>49.023,8</w:t>
            </w:r>
          </w:p>
        </w:tc>
        <w:tc>
          <w:tcPr>
            <w:tcW w:w="992" w:type="dxa"/>
            <w:tcBorders>
              <w:top w:val="nil"/>
              <w:left w:val="single" w:sz="8" w:space="0" w:color="999999"/>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0000"/>
                <w:sz w:val="20"/>
                <w:szCs w:val="20"/>
                <w:lang w:val="ro-RO"/>
              </w:rPr>
            </w:pPr>
            <w:r w:rsidRPr="00E4517B">
              <w:rPr>
                <w:rFonts w:ascii="Calibri Light" w:hAnsi="Calibri Light" w:cs="Calibri Light"/>
                <w:b/>
                <w:bCs/>
                <w:color w:val="000000"/>
                <w:sz w:val="20"/>
                <w:szCs w:val="20"/>
                <w:lang w:val="ro-RO"/>
              </w:rPr>
              <w:t>46.077,9</w:t>
            </w:r>
          </w:p>
        </w:tc>
        <w:tc>
          <w:tcPr>
            <w:tcW w:w="993" w:type="dxa"/>
            <w:tcBorders>
              <w:top w:val="nil"/>
              <w:left w:val="single" w:sz="8" w:space="0" w:color="999999"/>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0000"/>
                <w:sz w:val="20"/>
                <w:szCs w:val="20"/>
                <w:lang w:val="ro-RO"/>
              </w:rPr>
            </w:pPr>
            <w:r w:rsidRPr="00E4517B">
              <w:rPr>
                <w:rFonts w:ascii="Calibri Light" w:hAnsi="Calibri Light" w:cs="Calibri Light"/>
                <w:b/>
                <w:bCs/>
                <w:color w:val="000000"/>
                <w:sz w:val="20"/>
                <w:szCs w:val="20"/>
                <w:lang w:val="ro-RO"/>
              </w:rPr>
              <w:t>-2.945,8</w:t>
            </w:r>
          </w:p>
        </w:tc>
        <w:tc>
          <w:tcPr>
            <w:tcW w:w="1133" w:type="dxa"/>
            <w:tcBorders>
              <w:top w:val="nil"/>
              <w:left w:val="single" w:sz="8" w:space="0" w:color="999999"/>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0000"/>
                <w:sz w:val="20"/>
                <w:szCs w:val="20"/>
                <w:lang w:val="ro-RO"/>
              </w:rPr>
            </w:pPr>
            <w:r w:rsidRPr="00E4517B">
              <w:rPr>
                <w:rFonts w:ascii="Calibri Light" w:hAnsi="Calibri Light" w:cs="Calibri Light"/>
                <w:b/>
                <w:bCs/>
                <w:color w:val="000000"/>
                <w:sz w:val="20"/>
                <w:szCs w:val="20"/>
                <w:lang w:val="ro-RO"/>
              </w:rPr>
              <w:t>94,0</w:t>
            </w:r>
          </w:p>
        </w:tc>
        <w:tc>
          <w:tcPr>
            <w:tcW w:w="992" w:type="dxa"/>
            <w:gridSpan w:val="2"/>
            <w:tcBorders>
              <w:top w:val="single" w:sz="8" w:space="0" w:color="999999"/>
              <w:left w:val="nil"/>
              <w:bottom w:val="nil"/>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0000"/>
                <w:sz w:val="20"/>
                <w:szCs w:val="20"/>
                <w:lang w:val="ro-RO"/>
              </w:rPr>
            </w:pPr>
            <w:r w:rsidRPr="00F55BA6">
              <w:rPr>
                <w:rFonts w:ascii="Calibri Light" w:hAnsi="Calibri Light" w:cs="Calibri Light"/>
                <w:b/>
                <w:bCs/>
                <w:color w:val="000000"/>
                <w:sz w:val="20"/>
                <w:szCs w:val="20"/>
                <w:lang w:val="ro-RO"/>
              </w:rPr>
              <w:t>40.060,2</w:t>
            </w:r>
          </w:p>
        </w:tc>
        <w:tc>
          <w:tcPr>
            <w:tcW w:w="992" w:type="dxa"/>
            <w:tcBorders>
              <w:top w:val="nil"/>
              <w:left w:val="single" w:sz="8" w:space="0" w:color="999999"/>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0000"/>
                <w:sz w:val="20"/>
                <w:szCs w:val="20"/>
                <w:lang w:val="ro-RO"/>
              </w:rPr>
            </w:pPr>
            <w:r w:rsidRPr="00E4517B">
              <w:rPr>
                <w:rFonts w:ascii="Calibri Light" w:hAnsi="Calibri Light" w:cs="Calibri Light"/>
                <w:b/>
                <w:bCs/>
                <w:color w:val="000000"/>
                <w:sz w:val="20"/>
                <w:szCs w:val="20"/>
                <w:lang w:val="ro-RO"/>
              </w:rPr>
              <w:t>6.0</w:t>
            </w:r>
            <w:r w:rsidRPr="00973E5B">
              <w:rPr>
                <w:rFonts w:ascii="Calibri Light" w:hAnsi="Calibri Light" w:cs="Calibri Light"/>
                <w:b/>
                <w:bCs/>
                <w:color w:val="000000"/>
                <w:sz w:val="20"/>
                <w:szCs w:val="20"/>
                <w:lang w:val="ro-RO"/>
              </w:rPr>
              <w:t>17,7</w:t>
            </w:r>
          </w:p>
        </w:tc>
        <w:tc>
          <w:tcPr>
            <w:tcW w:w="1134" w:type="dxa"/>
            <w:gridSpan w:val="2"/>
            <w:tcBorders>
              <w:top w:val="nil"/>
              <w:left w:val="single" w:sz="8" w:space="0" w:color="999999"/>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0000"/>
                <w:sz w:val="20"/>
                <w:szCs w:val="20"/>
                <w:lang w:val="ro-RO"/>
              </w:rPr>
            </w:pPr>
            <w:r w:rsidRPr="00E4517B">
              <w:rPr>
                <w:rFonts w:ascii="Calibri Light" w:hAnsi="Calibri Light" w:cs="Calibri Light"/>
                <w:b/>
                <w:bCs/>
                <w:color w:val="000000"/>
                <w:sz w:val="20"/>
                <w:szCs w:val="20"/>
                <w:lang w:val="ro-RO"/>
              </w:rPr>
              <w:t>115,0</w:t>
            </w:r>
          </w:p>
        </w:tc>
      </w:tr>
      <w:tr w:rsidR="00BF41EC" w:rsidRPr="00E4517B" w:rsidTr="00B51730">
        <w:trPr>
          <w:jc w:val="center"/>
        </w:trPr>
        <w:tc>
          <w:tcPr>
            <w:cnfStyle w:val="001000000000" w:firstRow="0" w:lastRow="0" w:firstColumn="1" w:lastColumn="0" w:oddVBand="0" w:evenVBand="0" w:oddHBand="0" w:evenHBand="0" w:firstRowFirstColumn="0" w:firstRowLastColumn="0" w:lastRowFirstColumn="0" w:lastRowLastColumn="0"/>
            <w:tcW w:w="3964" w:type="dxa"/>
          </w:tcPr>
          <w:p w:rsidR="00BF41EC" w:rsidRPr="00E4517B" w:rsidRDefault="00BF41EC" w:rsidP="00B51730">
            <w:pPr>
              <w:jc w:val="left"/>
              <w:rPr>
                <w:rFonts w:asciiTheme="majorHAnsi" w:eastAsia="Times New Roman" w:hAnsiTheme="majorHAnsi" w:cstheme="majorHAnsi"/>
                <w:sz w:val="20"/>
                <w:szCs w:val="20"/>
                <w:lang w:val="ro-RO" w:eastAsia="ru-RU"/>
              </w:rPr>
            </w:pPr>
            <w:r w:rsidRPr="00E4517B">
              <w:rPr>
                <w:rFonts w:asciiTheme="majorHAnsi" w:eastAsia="Times New Roman" w:hAnsiTheme="majorHAnsi" w:cstheme="majorHAnsi"/>
                <w:sz w:val="20"/>
                <w:szCs w:val="20"/>
                <w:lang w:val="ro-RO" w:eastAsia="ru-RU"/>
              </w:rPr>
              <w:t>Cheltuieli de personal</w:t>
            </w:r>
          </w:p>
        </w:tc>
        <w:tc>
          <w:tcPr>
            <w:tcW w:w="993" w:type="dxa"/>
            <w:tcBorders>
              <w:top w:val="nil"/>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F55BA6">
              <w:rPr>
                <w:rFonts w:ascii="Calibri Light" w:hAnsi="Calibri Light" w:cs="Calibri Light"/>
                <w:color w:val="000000"/>
                <w:sz w:val="20"/>
                <w:szCs w:val="20"/>
                <w:lang w:val="ro-RO"/>
              </w:rPr>
              <w:t>7.010,0</w:t>
            </w:r>
          </w:p>
        </w:tc>
        <w:tc>
          <w:tcPr>
            <w:tcW w:w="992" w:type="dxa"/>
            <w:tcBorders>
              <w:top w:val="nil"/>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7.347,8</w:t>
            </w:r>
          </w:p>
        </w:tc>
        <w:tc>
          <w:tcPr>
            <w:tcW w:w="992" w:type="dxa"/>
            <w:tcBorders>
              <w:top w:val="nil"/>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7.040,6</w:t>
            </w:r>
          </w:p>
        </w:tc>
        <w:tc>
          <w:tcPr>
            <w:tcW w:w="993" w:type="dxa"/>
            <w:tcBorders>
              <w:top w:val="nil"/>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-307,2</w:t>
            </w:r>
          </w:p>
        </w:tc>
        <w:tc>
          <w:tcPr>
            <w:tcW w:w="1133" w:type="dxa"/>
            <w:tcBorders>
              <w:top w:val="nil"/>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95,8</w:t>
            </w:r>
          </w:p>
        </w:tc>
        <w:tc>
          <w:tcPr>
            <w:tcW w:w="992" w:type="dxa"/>
            <w:gridSpan w:val="2"/>
            <w:tcBorders>
              <w:top w:val="single" w:sz="8" w:space="0" w:color="999999"/>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F55BA6">
              <w:rPr>
                <w:rFonts w:ascii="Calibri Light" w:hAnsi="Calibri Light" w:cs="Calibri Light"/>
                <w:color w:val="000000"/>
                <w:sz w:val="20"/>
                <w:szCs w:val="20"/>
                <w:lang w:val="ro-RO"/>
              </w:rPr>
              <w:t>6.465,3</w:t>
            </w:r>
          </w:p>
        </w:tc>
        <w:tc>
          <w:tcPr>
            <w:tcW w:w="992" w:type="dxa"/>
            <w:tcBorders>
              <w:top w:val="nil"/>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575,3</w:t>
            </w:r>
          </w:p>
        </w:tc>
        <w:tc>
          <w:tcPr>
            <w:tcW w:w="1134" w:type="dxa"/>
            <w:gridSpan w:val="2"/>
            <w:tcBorders>
              <w:top w:val="nil"/>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108,9</w:t>
            </w:r>
          </w:p>
        </w:tc>
      </w:tr>
      <w:tr w:rsidR="00BF41EC" w:rsidRPr="00E4517B" w:rsidTr="00B51730">
        <w:trPr>
          <w:jc w:val="center"/>
        </w:trPr>
        <w:tc>
          <w:tcPr>
            <w:cnfStyle w:val="001000000000" w:firstRow="0" w:lastRow="0" w:firstColumn="1" w:lastColumn="0" w:oddVBand="0" w:evenVBand="0" w:oddHBand="0" w:evenHBand="0" w:firstRowFirstColumn="0" w:firstRowLastColumn="0" w:lastRowFirstColumn="0" w:lastRowLastColumn="0"/>
            <w:tcW w:w="3964" w:type="dxa"/>
          </w:tcPr>
          <w:p w:rsidR="00BF41EC" w:rsidRPr="00E4517B" w:rsidRDefault="00BF41EC" w:rsidP="00B51730">
            <w:pPr>
              <w:jc w:val="left"/>
              <w:rPr>
                <w:rFonts w:asciiTheme="majorHAnsi" w:eastAsia="Times New Roman" w:hAnsiTheme="majorHAnsi" w:cstheme="majorHAnsi"/>
                <w:sz w:val="20"/>
                <w:szCs w:val="20"/>
                <w:lang w:val="ro-RO" w:eastAsia="ru-RU"/>
              </w:rPr>
            </w:pPr>
            <w:r w:rsidRPr="00E4517B">
              <w:rPr>
                <w:rFonts w:asciiTheme="majorHAnsi" w:eastAsia="Times New Roman" w:hAnsiTheme="majorHAnsi" w:cstheme="majorHAnsi"/>
                <w:sz w:val="20"/>
                <w:szCs w:val="20"/>
                <w:lang w:val="ro-RO" w:eastAsia="ru-RU"/>
              </w:rPr>
              <w:t>Bunuri și servicii</w:t>
            </w:r>
          </w:p>
        </w:tc>
        <w:tc>
          <w:tcPr>
            <w:tcW w:w="993" w:type="dxa"/>
            <w:tcBorders>
              <w:top w:val="nil"/>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F55BA6">
              <w:rPr>
                <w:rFonts w:ascii="Calibri Light" w:hAnsi="Calibri Light" w:cs="Calibri Light"/>
                <w:color w:val="000000"/>
                <w:sz w:val="20"/>
                <w:szCs w:val="20"/>
                <w:lang w:val="ro-RO"/>
              </w:rPr>
              <w:t>2.509,8</w:t>
            </w:r>
          </w:p>
        </w:tc>
        <w:tc>
          <w:tcPr>
            <w:tcW w:w="992" w:type="dxa"/>
            <w:tcBorders>
              <w:top w:val="nil"/>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2.106,1</w:t>
            </w:r>
          </w:p>
        </w:tc>
        <w:tc>
          <w:tcPr>
            <w:tcW w:w="992" w:type="dxa"/>
            <w:tcBorders>
              <w:top w:val="nil"/>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1.666,3</w:t>
            </w:r>
          </w:p>
        </w:tc>
        <w:tc>
          <w:tcPr>
            <w:tcW w:w="993" w:type="dxa"/>
            <w:tcBorders>
              <w:top w:val="nil"/>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-439,8</w:t>
            </w:r>
          </w:p>
        </w:tc>
        <w:tc>
          <w:tcPr>
            <w:tcW w:w="1133" w:type="dxa"/>
            <w:tcBorders>
              <w:top w:val="nil"/>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79,1</w:t>
            </w:r>
          </w:p>
        </w:tc>
        <w:tc>
          <w:tcPr>
            <w:tcW w:w="992" w:type="dxa"/>
            <w:gridSpan w:val="2"/>
            <w:tcBorders>
              <w:top w:val="single" w:sz="8" w:space="0" w:color="999999"/>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F55BA6">
              <w:rPr>
                <w:rFonts w:ascii="Calibri Light" w:hAnsi="Calibri Light" w:cs="Calibri Light"/>
                <w:color w:val="000000"/>
                <w:sz w:val="20"/>
                <w:szCs w:val="20"/>
                <w:lang w:val="ro-RO"/>
              </w:rPr>
              <w:t>1.725,2</w:t>
            </w:r>
          </w:p>
        </w:tc>
        <w:tc>
          <w:tcPr>
            <w:tcW w:w="992" w:type="dxa"/>
            <w:tcBorders>
              <w:top w:val="nil"/>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-58,9</w:t>
            </w:r>
          </w:p>
        </w:tc>
        <w:tc>
          <w:tcPr>
            <w:tcW w:w="1134" w:type="dxa"/>
            <w:gridSpan w:val="2"/>
            <w:tcBorders>
              <w:top w:val="nil"/>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96,6</w:t>
            </w:r>
          </w:p>
        </w:tc>
      </w:tr>
      <w:tr w:rsidR="00BF41EC" w:rsidRPr="00E4517B" w:rsidTr="00B51730">
        <w:trPr>
          <w:jc w:val="center"/>
        </w:trPr>
        <w:tc>
          <w:tcPr>
            <w:cnfStyle w:val="001000000000" w:firstRow="0" w:lastRow="0" w:firstColumn="1" w:lastColumn="0" w:oddVBand="0" w:evenVBand="0" w:oddHBand="0" w:evenHBand="0" w:firstRowFirstColumn="0" w:firstRowLastColumn="0" w:lastRowFirstColumn="0" w:lastRowLastColumn="0"/>
            <w:tcW w:w="3964" w:type="dxa"/>
          </w:tcPr>
          <w:p w:rsidR="00BF41EC" w:rsidRPr="00E4517B" w:rsidRDefault="00BF41EC" w:rsidP="00B51730">
            <w:pPr>
              <w:jc w:val="left"/>
              <w:rPr>
                <w:rFonts w:asciiTheme="majorHAnsi" w:eastAsia="Times New Roman" w:hAnsiTheme="majorHAnsi" w:cstheme="majorHAnsi"/>
                <w:sz w:val="20"/>
                <w:szCs w:val="20"/>
                <w:lang w:val="ro-RO" w:eastAsia="ru-RU"/>
              </w:rPr>
            </w:pPr>
            <w:r w:rsidRPr="00E4517B">
              <w:rPr>
                <w:rFonts w:asciiTheme="majorHAnsi" w:eastAsia="Times New Roman" w:hAnsiTheme="majorHAnsi" w:cstheme="majorHAnsi"/>
                <w:sz w:val="20"/>
                <w:szCs w:val="20"/>
                <w:lang w:val="ro-RO" w:eastAsia="ru-RU"/>
              </w:rPr>
              <w:t>Dobânzi</w:t>
            </w:r>
          </w:p>
        </w:tc>
        <w:tc>
          <w:tcPr>
            <w:tcW w:w="993" w:type="dxa"/>
            <w:tcBorders>
              <w:top w:val="nil"/>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F55BA6">
              <w:rPr>
                <w:rFonts w:ascii="Calibri Light" w:hAnsi="Calibri Light" w:cs="Calibri Light"/>
                <w:color w:val="000000"/>
                <w:sz w:val="20"/>
                <w:szCs w:val="20"/>
                <w:lang w:val="ro-RO"/>
              </w:rPr>
              <w:t>1.947,5</w:t>
            </w:r>
          </w:p>
        </w:tc>
        <w:tc>
          <w:tcPr>
            <w:tcW w:w="992" w:type="dxa"/>
            <w:tcBorders>
              <w:top w:val="nil"/>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1.765,6</w:t>
            </w:r>
          </w:p>
        </w:tc>
        <w:tc>
          <w:tcPr>
            <w:tcW w:w="992" w:type="dxa"/>
            <w:tcBorders>
              <w:top w:val="nil"/>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1.684,2</w:t>
            </w:r>
          </w:p>
        </w:tc>
        <w:tc>
          <w:tcPr>
            <w:tcW w:w="993" w:type="dxa"/>
            <w:tcBorders>
              <w:top w:val="nil"/>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-81,4</w:t>
            </w:r>
          </w:p>
        </w:tc>
        <w:tc>
          <w:tcPr>
            <w:tcW w:w="1133" w:type="dxa"/>
            <w:tcBorders>
              <w:top w:val="nil"/>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95,4</w:t>
            </w:r>
          </w:p>
        </w:tc>
        <w:tc>
          <w:tcPr>
            <w:tcW w:w="992" w:type="dxa"/>
            <w:gridSpan w:val="2"/>
            <w:tcBorders>
              <w:top w:val="single" w:sz="8" w:space="0" w:color="999999"/>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F55BA6">
              <w:rPr>
                <w:rFonts w:ascii="Calibri Light" w:hAnsi="Calibri Light" w:cs="Calibri Light"/>
                <w:color w:val="000000"/>
                <w:sz w:val="20"/>
                <w:szCs w:val="20"/>
                <w:lang w:val="ro-RO"/>
              </w:rPr>
              <w:t>1.619,6</w:t>
            </w:r>
          </w:p>
        </w:tc>
        <w:tc>
          <w:tcPr>
            <w:tcW w:w="992" w:type="dxa"/>
            <w:tcBorders>
              <w:top w:val="nil"/>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64,6</w:t>
            </w:r>
          </w:p>
        </w:tc>
        <w:tc>
          <w:tcPr>
            <w:tcW w:w="1134" w:type="dxa"/>
            <w:gridSpan w:val="2"/>
            <w:tcBorders>
              <w:top w:val="nil"/>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104,0</w:t>
            </w:r>
          </w:p>
        </w:tc>
      </w:tr>
      <w:tr w:rsidR="00BF41EC" w:rsidRPr="00E4517B" w:rsidTr="00B51730">
        <w:trPr>
          <w:jc w:val="center"/>
        </w:trPr>
        <w:tc>
          <w:tcPr>
            <w:cnfStyle w:val="001000000000" w:firstRow="0" w:lastRow="0" w:firstColumn="1" w:lastColumn="0" w:oddVBand="0" w:evenVBand="0" w:oddHBand="0" w:evenHBand="0" w:firstRowFirstColumn="0" w:firstRowLastColumn="0" w:lastRowFirstColumn="0" w:lastRowLastColumn="0"/>
            <w:tcW w:w="3964" w:type="dxa"/>
          </w:tcPr>
          <w:p w:rsidR="00BF41EC" w:rsidRPr="00973E5B" w:rsidRDefault="00BF41EC" w:rsidP="00B51730">
            <w:pPr>
              <w:jc w:val="left"/>
              <w:rPr>
                <w:rFonts w:asciiTheme="majorHAnsi" w:eastAsia="Times New Roman" w:hAnsiTheme="majorHAnsi" w:cstheme="majorHAnsi"/>
                <w:sz w:val="20"/>
                <w:szCs w:val="20"/>
                <w:lang w:val="ro-RO" w:eastAsia="ru-RU"/>
              </w:rPr>
            </w:pPr>
            <w:r w:rsidRPr="00E4517B">
              <w:rPr>
                <w:rFonts w:asciiTheme="majorHAnsi" w:eastAsia="Times New Roman" w:hAnsiTheme="majorHAnsi" w:cstheme="majorHAnsi"/>
                <w:sz w:val="20"/>
                <w:szCs w:val="20"/>
                <w:lang w:val="ro-RO" w:eastAsia="ru-RU"/>
              </w:rPr>
              <w:t>Subvenții</w:t>
            </w:r>
          </w:p>
        </w:tc>
        <w:tc>
          <w:tcPr>
            <w:tcW w:w="993" w:type="dxa"/>
            <w:tcBorders>
              <w:top w:val="nil"/>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F55BA6">
              <w:rPr>
                <w:rFonts w:ascii="Calibri Light" w:hAnsi="Calibri Light" w:cs="Calibri Light"/>
                <w:color w:val="000000"/>
                <w:sz w:val="20"/>
                <w:szCs w:val="20"/>
                <w:lang w:val="ro-RO"/>
              </w:rPr>
              <w:t>3.964,9</w:t>
            </w:r>
          </w:p>
        </w:tc>
        <w:tc>
          <w:tcPr>
            <w:tcW w:w="992" w:type="dxa"/>
            <w:tcBorders>
              <w:top w:val="nil"/>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5.453,0</w:t>
            </w:r>
          </w:p>
        </w:tc>
        <w:tc>
          <w:tcPr>
            <w:tcW w:w="992" w:type="dxa"/>
            <w:tcBorders>
              <w:top w:val="nil"/>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5.102,1</w:t>
            </w:r>
          </w:p>
        </w:tc>
        <w:tc>
          <w:tcPr>
            <w:tcW w:w="993" w:type="dxa"/>
            <w:tcBorders>
              <w:top w:val="nil"/>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-350,9</w:t>
            </w:r>
          </w:p>
        </w:tc>
        <w:tc>
          <w:tcPr>
            <w:tcW w:w="1133" w:type="dxa"/>
            <w:tcBorders>
              <w:top w:val="nil"/>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93,6</w:t>
            </w:r>
          </w:p>
        </w:tc>
        <w:tc>
          <w:tcPr>
            <w:tcW w:w="992" w:type="dxa"/>
            <w:gridSpan w:val="2"/>
            <w:tcBorders>
              <w:top w:val="single" w:sz="8" w:space="0" w:color="999999"/>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F55BA6">
              <w:rPr>
                <w:rFonts w:ascii="Calibri Light" w:hAnsi="Calibri Light" w:cs="Calibri Light"/>
                <w:color w:val="000000"/>
                <w:sz w:val="20"/>
                <w:szCs w:val="20"/>
                <w:lang w:val="ro-RO"/>
              </w:rPr>
              <w:t>3.895,0</w:t>
            </w:r>
          </w:p>
        </w:tc>
        <w:tc>
          <w:tcPr>
            <w:tcW w:w="992" w:type="dxa"/>
            <w:tcBorders>
              <w:top w:val="nil"/>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1.207,2</w:t>
            </w:r>
          </w:p>
        </w:tc>
        <w:tc>
          <w:tcPr>
            <w:tcW w:w="1134" w:type="dxa"/>
            <w:gridSpan w:val="2"/>
            <w:tcBorders>
              <w:top w:val="nil"/>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131,0</w:t>
            </w:r>
          </w:p>
        </w:tc>
      </w:tr>
      <w:tr w:rsidR="00BF41EC" w:rsidRPr="00E4517B" w:rsidTr="00B51730">
        <w:trPr>
          <w:jc w:val="center"/>
        </w:trPr>
        <w:tc>
          <w:tcPr>
            <w:cnfStyle w:val="001000000000" w:firstRow="0" w:lastRow="0" w:firstColumn="1" w:lastColumn="0" w:oddVBand="0" w:evenVBand="0" w:oddHBand="0" w:evenHBand="0" w:firstRowFirstColumn="0" w:firstRowLastColumn="0" w:lastRowFirstColumn="0" w:lastRowLastColumn="0"/>
            <w:tcW w:w="3964" w:type="dxa"/>
          </w:tcPr>
          <w:p w:rsidR="00BF41EC" w:rsidRPr="00E4517B" w:rsidRDefault="00BF41EC" w:rsidP="00B51730">
            <w:pPr>
              <w:jc w:val="left"/>
              <w:rPr>
                <w:rFonts w:asciiTheme="majorHAnsi" w:eastAsia="Times New Roman" w:hAnsiTheme="majorHAnsi" w:cstheme="majorHAnsi"/>
                <w:sz w:val="20"/>
                <w:szCs w:val="20"/>
                <w:lang w:val="ro-RO" w:eastAsia="ru-RU"/>
              </w:rPr>
            </w:pPr>
            <w:r w:rsidRPr="00E4517B">
              <w:rPr>
                <w:rFonts w:asciiTheme="majorHAnsi" w:eastAsia="Times New Roman" w:hAnsiTheme="majorHAnsi" w:cstheme="majorHAnsi"/>
                <w:sz w:val="20"/>
                <w:szCs w:val="20"/>
                <w:lang w:val="ro-RO" w:eastAsia="ru-RU"/>
              </w:rPr>
              <w:t>Granturi acordate</w:t>
            </w:r>
          </w:p>
        </w:tc>
        <w:tc>
          <w:tcPr>
            <w:tcW w:w="993" w:type="dxa"/>
            <w:tcBorders>
              <w:top w:val="nil"/>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F55BA6">
              <w:rPr>
                <w:rFonts w:ascii="Calibri Light" w:hAnsi="Calibri Light" w:cs="Calibri Light"/>
                <w:color w:val="000000"/>
                <w:sz w:val="20"/>
                <w:szCs w:val="20"/>
                <w:lang w:val="ro-RO"/>
              </w:rPr>
              <w:t>54,2</w:t>
            </w:r>
          </w:p>
        </w:tc>
        <w:tc>
          <w:tcPr>
            <w:tcW w:w="992" w:type="dxa"/>
            <w:tcBorders>
              <w:top w:val="nil"/>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312,7</w:t>
            </w:r>
          </w:p>
        </w:tc>
        <w:tc>
          <w:tcPr>
            <w:tcW w:w="992" w:type="dxa"/>
            <w:tcBorders>
              <w:top w:val="nil"/>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248,5</w:t>
            </w:r>
          </w:p>
        </w:tc>
        <w:tc>
          <w:tcPr>
            <w:tcW w:w="993" w:type="dxa"/>
            <w:tcBorders>
              <w:top w:val="nil"/>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-64,2</w:t>
            </w:r>
          </w:p>
        </w:tc>
        <w:tc>
          <w:tcPr>
            <w:tcW w:w="1133" w:type="dxa"/>
            <w:tcBorders>
              <w:top w:val="nil"/>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79,5</w:t>
            </w:r>
          </w:p>
        </w:tc>
        <w:tc>
          <w:tcPr>
            <w:tcW w:w="992" w:type="dxa"/>
            <w:gridSpan w:val="2"/>
            <w:tcBorders>
              <w:top w:val="single" w:sz="8" w:space="0" w:color="999999"/>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F55BA6">
              <w:rPr>
                <w:rFonts w:ascii="Calibri Light" w:hAnsi="Calibri Light" w:cs="Calibri Light"/>
                <w:color w:val="000000"/>
                <w:sz w:val="20"/>
                <w:szCs w:val="20"/>
                <w:lang w:val="ro-RO"/>
              </w:rPr>
              <w:t>32,9</w:t>
            </w:r>
          </w:p>
        </w:tc>
        <w:tc>
          <w:tcPr>
            <w:tcW w:w="992" w:type="dxa"/>
            <w:tcBorders>
              <w:top w:val="nil"/>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215,6</w:t>
            </w:r>
          </w:p>
        </w:tc>
        <w:tc>
          <w:tcPr>
            <w:tcW w:w="1134" w:type="dxa"/>
            <w:gridSpan w:val="2"/>
            <w:tcBorders>
              <w:top w:val="nil"/>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755,4</w:t>
            </w:r>
          </w:p>
        </w:tc>
      </w:tr>
      <w:tr w:rsidR="00BF41EC" w:rsidRPr="00E4517B" w:rsidTr="00B51730">
        <w:trPr>
          <w:jc w:val="center"/>
        </w:trPr>
        <w:tc>
          <w:tcPr>
            <w:cnfStyle w:val="001000000000" w:firstRow="0" w:lastRow="0" w:firstColumn="1" w:lastColumn="0" w:oddVBand="0" w:evenVBand="0" w:oddHBand="0" w:evenHBand="0" w:firstRowFirstColumn="0" w:firstRowLastColumn="0" w:lastRowFirstColumn="0" w:lastRowLastColumn="0"/>
            <w:tcW w:w="3964" w:type="dxa"/>
          </w:tcPr>
          <w:p w:rsidR="00BF41EC" w:rsidRPr="00E4517B" w:rsidRDefault="00BF41EC" w:rsidP="00B51730">
            <w:pPr>
              <w:jc w:val="left"/>
              <w:rPr>
                <w:rFonts w:asciiTheme="majorHAnsi" w:eastAsia="Times New Roman" w:hAnsiTheme="majorHAnsi" w:cstheme="majorHAnsi"/>
                <w:sz w:val="20"/>
                <w:szCs w:val="20"/>
                <w:lang w:val="ro-RO" w:eastAsia="ru-RU"/>
              </w:rPr>
            </w:pPr>
            <w:r w:rsidRPr="00E4517B">
              <w:rPr>
                <w:rFonts w:asciiTheme="majorHAnsi" w:eastAsia="Times New Roman" w:hAnsiTheme="majorHAnsi" w:cstheme="majorHAnsi"/>
                <w:sz w:val="20"/>
                <w:szCs w:val="20"/>
                <w:lang w:val="ro-RO" w:eastAsia="ru-RU"/>
              </w:rPr>
              <w:t>Prestații sociale</w:t>
            </w:r>
          </w:p>
        </w:tc>
        <w:tc>
          <w:tcPr>
            <w:tcW w:w="993" w:type="dxa"/>
            <w:tcBorders>
              <w:top w:val="nil"/>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F55BA6">
              <w:rPr>
                <w:rFonts w:ascii="Calibri Light" w:hAnsi="Calibri Light" w:cs="Calibri Light"/>
                <w:color w:val="000000"/>
                <w:sz w:val="20"/>
                <w:szCs w:val="20"/>
                <w:lang w:val="ro-RO"/>
              </w:rPr>
              <w:t>496,4</w:t>
            </w:r>
          </w:p>
        </w:tc>
        <w:tc>
          <w:tcPr>
            <w:tcW w:w="992" w:type="dxa"/>
            <w:tcBorders>
              <w:top w:val="nil"/>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594,3</w:t>
            </w:r>
          </w:p>
        </w:tc>
        <w:tc>
          <w:tcPr>
            <w:tcW w:w="992" w:type="dxa"/>
            <w:tcBorders>
              <w:top w:val="nil"/>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518,7</w:t>
            </w:r>
          </w:p>
        </w:tc>
        <w:tc>
          <w:tcPr>
            <w:tcW w:w="993" w:type="dxa"/>
            <w:tcBorders>
              <w:top w:val="nil"/>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-75,6</w:t>
            </w:r>
          </w:p>
        </w:tc>
        <w:tc>
          <w:tcPr>
            <w:tcW w:w="1133" w:type="dxa"/>
            <w:tcBorders>
              <w:top w:val="nil"/>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87,3</w:t>
            </w:r>
          </w:p>
        </w:tc>
        <w:tc>
          <w:tcPr>
            <w:tcW w:w="992" w:type="dxa"/>
            <w:gridSpan w:val="2"/>
            <w:tcBorders>
              <w:top w:val="single" w:sz="8" w:space="0" w:color="999999"/>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F55BA6">
              <w:rPr>
                <w:rFonts w:ascii="Calibri Light" w:hAnsi="Calibri Light" w:cs="Calibri Light"/>
                <w:color w:val="000000"/>
                <w:sz w:val="20"/>
                <w:szCs w:val="20"/>
                <w:lang w:val="ro-RO"/>
              </w:rPr>
              <w:t>399,3</w:t>
            </w:r>
          </w:p>
        </w:tc>
        <w:tc>
          <w:tcPr>
            <w:tcW w:w="992" w:type="dxa"/>
            <w:tcBorders>
              <w:top w:val="nil"/>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119,4</w:t>
            </w:r>
          </w:p>
        </w:tc>
        <w:tc>
          <w:tcPr>
            <w:tcW w:w="1134" w:type="dxa"/>
            <w:gridSpan w:val="2"/>
            <w:tcBorders>
              <w:top w:val="nil"/>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129,9</w:t>
            </w:r>
          </w:p>
        </w:tc>
      </w:tr>
      <w:tr w:rsidR="00BF41EC" w:rsidRPr="00E4517B" w:rsidTr="00B51730">
        <w:trPr>
          <w:jc w:val="center"/>
        </w:trPr>
        <w:tc>
          <w:tcPr>
            <w:cnfStyle w:val="001000000000" w:firstRow="0" w:lastRow="0" w:firstColumn="1" w:lastColumn="0" w:oddVBand="0" w:evenVBand="0" w:oddHBand="0" w:evenHBand="0" w:firstRowFirstColumn="0" w:firstRowLastColumn="0" w:lastRowFirstColumn="0" w:lastRowLastColumn="0"/>
            <w:tcW w:w="3964" w:type="dxa"/>
          </w:tcPr>
          <w:p w:rsidR="00BF41EC" w:rsidRPr="00E4517B" w:rsidRDefault="00BF41EC" w:rsidP="00B51730">
            <w:pPr>
              <w:jc w:val="left"/>
              <w:rPr>
                <w:rFonts w:asciiTheme="majorHAnsi" w:eastAsia="Times New Roman" w:hAnsiTheme="majorHAnsi" w:cstheme="majorHAnsi"/>
                <w:sz w:val="20"/>
                <w:szCs w:val="20"/>
                <w:lang w:val="ro-RO" w:eastAsia="ru-RU"/>
              </w:rPr>
            </w:pPr>
            <w:r w:rsidRPr="00E4517B">
              <w:rPr>
                <w:rFonts w:asciiTheme="majorHAnsi" w:eastAsia="Times New Roman" w:hAnsiTheme="majorHAnsi" w:cstheme="majorHAnsi"/>
                <w:sz w:val="20"/>
                <w:szCs w:val="20"/>
                <w:lang w:val="ro-RO" w:eastAsia="ru-RU"/>
              </w:rPr>
              <w:t>Alte cheltuieli</w:t>
            </w:r>
          </w:p>
        </w:tc>
        <w:tc>
          <w:tcPr>
            <w:tcW w:w="993" w:type="dxa"/>
            <w:tcBorders>
              <w:top w:val="nil"/>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F55BA6">
              <w:rPr>
                <w:rFonts w:ascii="Calibri Light" w:hAnsi="Calibri Light" w:cs="Calibri Light"/>
                <w:color w:val="000000"/>
                <w:sz w:val="20"/>
                <w:szCs w:val="20"/>
                <w:lang w:val="ro-RO"/>
              </w:rPr>
              <w:t>4.101,6</w:t>
            </w:r>
          </w:p>
        </w:tc>
        <w:tc>
          <w:tcPr>
            <w:tcW w:w="992" w:type="dxa"/>
            <w:tcBorders>
              <w:top w:val="nil"/>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3.503,3</w:t>
            </w:r>
          </w:p>
        </w:tc>
        <w:tc>
          <w:tcPr>
            <w:tcW w:w="992" w:type="dxa"/>
            <w:tcBorders>
              <w:top w:val="nil"/>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2.896,6</w:t>
            </w:r>
          </w:p>
        </w:tc>
        <w:tc>
          <w:tcPr>
            <w:tcW w:w="993" w:type="dxa"/>
            <w:tcBorders>
              <w:top w:val="nil"/>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-606,7</w:t>
            </w:r>
          </w:p>
        </w:tc>
        <w:tc>
          <w:tcPr>
            <w:tcW w:w="1133" w:type="dxa"/>
            <w:tcBorders>
              <w:top w:val="nil"/>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82,7</w:t>
            </w:r>
          </w:p>
        </w:tc>
        <w:tc>
          <w:tcPr>
            <w:tcW w:w="992" w:type="dxa"/>
            <w:gridSpan w:val="2"/>
            <w:tcBorders>
              <w:top w:val="single" w:sz="8" w:space="0" w:color="999999"/>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F55BA6">
              <w:rPr>
                <w:rFonts w:ascii="Calibri Light" w:hAnsi="Calibri Light" w:cs="Calibri Light"/>
                <w:color w:val="000000"/>
                <w:sz w:val="20"/>
                <w:szCs w:val="20"/>
                <w:lang w:val="ro-RO"/>
              </w:rPr>
              <w:t>2.824,2</w:t>
            </w:r>
          </w:p>
        </w:tc>
        <w:tc>
          <w:tcPr>
            <w:tcW w:w="992" w:type="dxa"/>
            <w:tcBorders>
              <w:top w:val="nil"/>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72,4</w:t>
            </w:r>
          </w:p>
        </w:tc>
        <w:tc>
          <w:tcPr>
            <w:tcW w:w="1134" w:type="dxa"/>
            <w:gridSpan w:val="2"/>
            <w:tcBorders>
              <w:top w:val="nil"/>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102,6</w:t>
            </w:r>
          </w:p>
        </w:tc>
      </w:tr>
      <w:tr w:rsidR="00BF41EC" w:rsidRPr="00E4517B" w:rsidTr="00B51730">
        <w:trPr>
          <w:jc w:val="center"/>
        </w:trPr>
        <w:tc>
          <w:tcPr>
            <w:cnfStyle w:val="001000000000" w:firstRow="0" w:lastRow="0" w:firstColumn="1" w:lastColumn="0" w:oddVBand="0" w:evenVBand="0" w:oddHBand="0" w:evenHBand="0" w:firstRowFirstColumn="0" w:firstRowLastColumn="0" w:lastRowFirstColumn="0" w:lastRowLastColumn="0"/>
            <w:tcW w:w="3964" w:type="dxa"/>
          </w:tcPr>
          <w:p w:rsidR="00BF41EC" w:rsidRPr="00973E5B" w:rsidRDefault="00BF41EC" w:rsidP="00B51730">
            <w:pPr>
              <w:jc w:val="left"/>
              <w:rPr>
                <w:rFonts w:asciiTheme="majorHAnsi" w:eastAsia="Times New Roman" w:hAnsiTheme="majorHAnsi" w:cstheme="majorHAnsi"/>
                <w:sz w:val="20"/>
                <w:szCs w:val="20"/>
                <w:lang w:val="ro-RO" w:eastAsia="ru-RU"/>
              </w:rPr>
            </w:pPr>
            <w:r w:rsidRPr="00E4517B">
              <w:rPr>
                <w:rFonts w:asciiTheme="majorHAnsi" w:eastAsia="Times New Roman" w:hAnsiTheme="majorHAnsi" w:cstheme="majorHAnsi"/>
                <w:sz w:val="20"/>
                <w:szCs w:val="20"/>
                <w:lang w:val="ro-RO" w:eastAsia="ru-RU"/>
              </w:rPr>
              <w:t>Transferuri</w:t>
            </w:r>
            <w:r w:rsidRPr="00973E5B">
              <w:rPr>
                <w:rFonts w:asciiTheme="majorHAnsi" w:eastAsia="Times New Roman" w:hAnsiTheme="majorHAnsi" w:cstheme="majorHAnsi"/>
                <w:sz w:val="20"/>
                <w:szCs w:val="20"/>
                <w:lang w:val="ro-RO" w:eastAsia="ru-RU"/>
              </w:rPr>
              <w:t xml:space="preserve"> acordate în cadrul BPN</w:t>
            </w:r>
          </w:p>
        </w:tc>
        <w:tc>
          <w:tcPr>
            <w:tcW w:w="993" w:type="dxa"/>
            <w:tcBorders>
              <w:top w:val="nil"/>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F55BA6">
              <w:rPr>
                <w:rFonts w:ascii="Calibri Light" w:hAnsi="Calibri Light" w:cs="Calibri Light"/>
                <w:color w:val="000000"/>
                <w:sz w:val="20"/>
                <w:szCs w:val="20"/>
                <w:lang w:val="ro-RO"/>
              </w:rPr>
              <w:t>24.847,2</w:t>
            </w:r>
          </w:p>
        </w:tc>
        <w:tc>
          <w:tcPr>
            <w:tcW w:w="992" w:type="dxa"/>
            <w:tcBorders>
              <w:top w:val="nil"/>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27.941,0</w:t>
            </w:r>
          </w:p>
        </w:tc>
        <w:tc>
          <w:tcPr>
            <w:tcW w:w="992" w:type="dxa"/>
            <w:tcBorders>
              <w:top w:val="nil"/>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26.921,0</w:t>
            </w:r>
          </w:p>
        </w:tc>
        <w:tc>
          <w:tcPr>
            <w:tcW w:w="993" w:type="dxa"/>
            <w:tcBorders>
              <w:top w:val="nil"/>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-1.020,0</w:t>
            </w:r>
          </w:p>
        </w:tc>
        <w:tc>
          <w:tcPr>
            <w:tcW w:w="1133" w:type="dxa"/>
            <w:tcBorders>
              <w:top w:val="nil"/>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96,3</w:t>
            </w:r>
          </w:p>
        </w:tc>
        <w:tc>
          <w:tcPr>
            <w:tcW w:w="992" w:type="dxa"/>
            <w:gridSpan w:val="2"/>
            <w:tcBorders>
              <w:top w:val="single" w:sz="8" w:space="0" w:color="999999"/>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F55BA6">
              <w:rPr>
                <w:rFonts w:ascii="Calibri Light" w:hAnsi="Calibri Light" w:cs="Calibri Light"/>
                <w:color w:val="000000"/>
                <w:sz w:val="20"/>
                <w:szCs w:val="20"/>
                <w:lang w:val="ro-RO"/>
              </w:rPr>
              <w:t>23.098,8</w:t>
            </w:r>
          </w:p>
        </w:tc>
        <w:tc>
          <w:tcPr>
            <w:tcW w:w="992" w:type="dxa"/>
            <w:tcBorders>
              <w:top w:val="nil"/>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3.822,2</w:t>
            </w:r>
          </w:p>
        </w:tc>
        <w:tc>
          <w:tcPr>
            <w:tcW w:w="1134" w:type="dxa"/>
            <w:gridSpan w:val="2"/>
            <w:tcBorders>
              <w:top w:val="nil"/>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116,5</w:t>
            </w:r>
          </w:p>
        </w:tc>
      </w:tr>
      <w:tr w:rsidR="00BF41EC" w:rsidRPr="00E4517B" w:rsidTr="00B51730">
        <w:trPr>
          <w:jc w:val="center"/>
        </w:trPr>
        <w:tc>
          <w:tcPr>
            <w:cnfStyle w:val="001000000000" w:firstRow="0" w:lastRow="0" w:firstColumn="1" w:lastColumn="0" w:oddVBand="0" w:evenVBand="0" w:oddHBand="0" w:evenHBand="0" w:firstRowFirstColumn="0" w:firstRowLastColumn="0" w:lastRowFirstColumn="0" w:lastRowLastColumn="0"/>
            <w:tcW w:w="3964" w:type="dxa"/>
          </w:tcPr>
          <w:p w:rsidR="00BF41EC" w:rsidRPr="00E4517B" w:rsidRDefault="00BF41EC" w:rsidP="00B51730">
            <w:pPr>
              <w:ind w:right="-115"/>
              <w:jc w:val="left"/>
              <w:rPr>
                <w:rFonts w:asciiTheme="majorHAnsi" w:eastAsia="Times New Roman" w:hAnsiTheme="majorHAnsi" w:cstheme="majorHAnsi"/>
                <w:sz w:val="20"/>
                <w:szCs w:val="20"/>
                <w:lang w:val="ro-RO" w:eastAsia="ru-RU"/>
              </w:rPr>
            </w:pPr>
            <w:r w:rsidRPr="00E4517B">
              <w:rPr>
                <w:rFonts w:asciiTheme="majorHAnsi" w:eastAsia="Times New Roman" w:hAnsiTheme="majorHAnsi" w:cstheme="majorHAnsi"/>
                <w:sz w:val="20"/>
                <w:szCs w:val="20"/>
                <w:lang w:val="ro-RO" w:eastAsia="ru-RU"/>
              </w:rPr>
              <w:t xml:space="preserve">ACTIVE NEFINANCIARE, </w:t>
            </w:r>
          </w:p>
          <w:p w:rsidR="00BF41EC" w:rsidRPr="00973E5B" w:rsidRDefault="00BF41EC" w:rsidP="00B51730">
            <w:pPr>
              <w:ind w:right="-115"/>
              <w:jc w:val="left"/>
              <w:rPr>
                <w:rFonts w:asciiTheme="majorHAnsi" w:eastAsia="Times New Roman" w:hAnsiTheme="majorHAnsi" w:cstheme="majorHAnsi"/>
                <w:i/>
                <w:sz w:val="20"/>
                <w:szCs w:val="20"/>
                <w:lang w:val="ro-RO" w:eastAsia="ru-RU"/>
              </w:rPr>
            </w:pPr>
            <w:r w:rsidRPr="00973E5B">
              <w:rPr>
                <w:rFonts w:asciiTheme="majorHAnsi" w:eastAsia="Times New Roman" w:hAnsiTheme="majorHAnsi" w:cstheme="majorHAnsi"/>
                <w:i/>
                <w:sz w:val="20"/>
                <w:szCs w:val="20"/>
                <w:lang w:val="ro-RO" w:eastAsia="ru-RU"/>
              </w:rPr>
              <w:t>din care:</w:t>
            </w:r>
          </w:p>
        </w:tc>
        <w:tc>
          <w:tcPr>
            <w:tcW w:w="993" w:type="dxa"/>
            <w:tcBorders>
              <w:top w:val="single" w:sz="8" w:space="0" w:color="999999"/>
              <w:left w:val="single" w:sz="8" w:space="0" w:color="999999"/>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0000"/>
                <w:sz w:val="20"/>
                <w:szCs w:val="20"/>
                <w:lang w:val="ro-RO"/>
              </w:rPr>
            </w:pPr>
            <w:r w:rsidRPr="00F55BA6">
              <w:rPr>
                <w:rFonts w:ascii="Calibri Light" w:hAnsi="Calibri Light" w:cs="Calibri Light"/>
                <w:b/>
                <w:bCs/>
                <w:color w:val="000000"/>
                <w:sz w:val="20"/>
                <w:szCs w:val="20"/>
                <w:lang w:val="ro-RO"/>
              </w:rPr>
              <w:t>6.620,4</w:t>
            </w:r>
          </w:p>
        </w:tc>
        <w:tc>
          <w:tcPr>
            <w:tcW w:w="992" w:type="dxa"/>
            <w:tcBorders>
              <w:top w:val="single" w:sz="8" w:space="0" w:color="999999"/>
              <w:left w:val="single" w:sz="8" w:space="0" w:color="999999"/>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0000"/>
                <w:sz w:val="20"/>
                <w:szCs w:val="20"/>
                <w:lang w:val="ro-RO"/>
              </w:rPr>
            </w:pPr>
            <w:r w:rsidRPr="00E4517B">
              <w:rPr>
                <w:rFonts w:ascii="Calibri Light" w:hAnsi="Calibri Light" w:cs="Calibri Light"/>
                <w:b/>
                <w:bCs/>
                <w:color w:val="000000"/>
                <w:sz w:val="20"/>
                <w:szCs w:val="20"/>
                <w:lang w:val="ro-RO"/>
              </w:rPr>
              <w:t>4.256,8</w:t>
            </w:r>
          </w:p>
        </w:tc>
        <w:tc>
          <w:tcPr>
            <w:tcW w:w="992" w:type="dxa"/>
            <w:tcBorders>
              <w:top w:val="single" w:sz="8" w:space="0" w:color="999999"/>
              <w:left w:val="single" w:sz="8" w:space="0" w:color="999999"/>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0000"/>
                <w:sz w:val="20"/>
                <w:szCs w:val="20"/>
                <w:lang w:val="ro-RO"/>
              </w:rPr>
            </w:pPr>
            <w:r w:rsidRPr="00E4517B">
              <w:rPr>
                <w:rFonts w:ascii="Calibri Light" w:hAnsi="Calibri Light" w:cs="Calibri Light"/>
                <w:b/>
                <w:bCs/>
                <w:color w:val="000000"/>
                <w:sz w:val="20"/>
                <w:szCs w:val="20"/>
                <w:lang w:val="ro-RO"/>
              </w:rPr>
              <w:t>3.557,5</w:t>
            </w:r>
          </w:p>
        </w:tc>
        <w:tc>
          <w:tcPr>
            <w:tcW w:w="993" w:type="dxa"/>
            <w:tcBorders>
              <w:top w:val="single" w:sz="8" w:space="0" w:color="999999"/>
              <w:left w:val="single" w:sz="8" w:space="0" w:color="999999"/>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0000"/>
                <w:sz w:val="20"/>
                <w:szCs w:val="20"/>
                <w:lang w:val="ro-RO"/>
              </w:rPr>
            </w:pPr>
            <w:r w:rsidRPr="00F55BA6">
              <w:rPr>
                <w:rFonts w:ascii="Calibri Light" w:hAnsi="Calibri Light" w:cs="Calibri Light"/>
                <w:b/>
                <w:bCs/>
                <w:color w:val="000000"/>
                <w:sz w:val="20"/>
                <w:szCs w:val="20"/>
                <w:lang w:val="ro-RO"/>
              </w:rPr>
              <w:t>-699,3</w:t>
            </w:r>
          </w:p>
        </w:tc>
        <w:tc>
          <w:tcPr>
            <w:tcW w:w="1133" w:type="dxa"/>
            <w:tcBorders>
              <w:top w:val="single" w:sz="8" w:space="0" w:color="999999"/>
              <w:left w:val="single" w:sz="8" w:space="0" w:color="999999"/>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0000"/>
                <w:sz w:val="20"/>
                <w:szCs w:val="20"/>
                <w:lang w:val="ro-RO"/>
              </w:rPr>
            </w:pPr>
            <w:r w:rsidRPr="00E4517B">
              <w:rPr>
                <w:rFonts w:ascii="Calibri Light" w:hAnsi="Calibri Light" w:cs="Calibri Light"/>
                <w:b/>
                <w:bCs/>
                <w:color w:val="000000"/>
                <w:sz w:val="20"/>
                <w:szCs w:val="20"/>
                <w:lang w:val="ro-RO"/>
              </w:rPr>
              <w:t>83,6</w:t>
            </w:r>
          </w:p>
        </w:tc>
        <w:tc>
          <w:tcPr>
            <w:tcW w:w="992" w:type="dxa"/>
            <w:gridSpan w:val="2"/>
            <w:tcBorders>
              <w:top w:val="single" w:sz="8" w:space="0" w:color="999999"/>
              <w:left w:val="nil"/>
              <w:bottom w:val="nil"/>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0000"/>
                <w:sz w:val="20"/>
                <w:szCs w:val="20"/>
                <w:lang w:val="ro-RO"/>
              </w:rPr>
            </w:pPr>
            <w:r w:rsidRPr="00F55BA6">
              <w:rPr>
                <w:rFonts w:ascii="Calibri Light" w:hAnsi="Calibri Light" w:cs="Calibri Light"/>
                <w:b/>
                <w:bCs/>
                <w:color w:val="000000"/>
                <w:sz w:val="20"/>
                <w:szCs w:val="20"/>
                <w:lang w:val="ro-RO"/>
              </w:rPr>
              <w:t>3.013,7</w:t>
            </w:r>
          </w:p>
        </w:tc>
        <w:tc>
          <w:tcPr>
            <w:tcW w:w="992" w:type="dxa"/>
            <w:tcBorders>
              <w:top w:val="single" w:sz="8" w:space="0" w:color="999999"/>
              <w:left w:val="single" w:sz="8" w:space="0" w:color="999999"/>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0000"/>
                <w:sz w:val="20"/>
                <w:szCs w:val="20"/>
                <w:lang w:val="ro-RO"/>
              </w:rPr>
            </w:pPr>
            <w:r w:rsidRPr="00E4517B">
              <w:rPr>
                <w:rFonts w:ascii="Calibri Light" w:hAnsi="Calibri Light" w:cs="Calibri Light"/>
                <w:b/>
                <w:bCs/>
                <w:color w:val="000000"/>
                <w:sz w:val="20"/>
                <w:szCs w:val="20"/>
                <w:lang w:val="ro-RO"/>
              </w:rPr>
              <w:t>543,8</w:t>
            </w:r>
          </w:p>
        </w:tc>
        <w:tc>
          <w:tcPr>
            <w:tcW w:w="1134" w:type="dxa"/>
            <w:gridSpan w:val="2"/>
            <w:tcBorders>
              <w:top w:val="single" w:sz="8" w:space="0" w:color="999999"/>
              <w:left w:val="single" w:sz="8" w:space="0" w:color="999999"/>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0000"/>
                <w:sz w:val="20"/>
                <w:szCs w:val="20"/>
                <w:lang w:val="ro-RO"/>
              </w:rPr>
            </w:pPr>
            <w:r w:rsidRPr="00E4517B">
              <w:rPr>
                <w:rFonts w:ascii="Calibri Light" w:hAnsi="Calibri Light" w:cs="Calibri Light"/>
                <w:b/>
                <w:bCs/>
                <w:color w:val="000000"/>
                <w:sz w:val="20"/>
                <w:szCs w:val="20"/>
                <w:lang w:val="ro-RO"/>
              </w:rPr>
              <w:t>118,0</w:t>
            </w:r>
          </w:p>
        </w:tc>
      </w:tr>
      <w:tr w:rsidR="00BF41EC" w:rsidRPr="00E4517B" w:rsidTr="00B51730">
        <w:trPr>
          <w:jc w:val="center"/>
        </w:trPr>
        <w:tc>
          <w:tcPr>
            <w:cnfStyle w:val="001000000000" w:firstRow="0" w:lastRow="0" w:firstColumn="1" w:lastColumn="0" w:oddVBand="0" w:evenVBand="0" w:oddHBand="0" w:evenHBand="0" w:firstRowFirstColumn="0" w:firstRowLastColumn="0" w:lastRowFirstColumn="0" w:lastRowLastColumn="0"/>
            <w:tcW w:w="3964" w:type="dxa"/>
          </w:tcPr>
          <w:p w:rsidR="00BF41EC" w:rsidRPr="00207634" w:rsidRDefault="00BF41EC" w:rsidP="00B51730">
            <w:pPr>
              <w:jc w:val="left"/>
              <w:rPr>
                <w:rFonts w:asciiTheme="majorHAnsi" w:eastAsia="Times New Roman" w:hAnsiTheme="majorHAnsi" w:cstheme="majorHAnsi"/>
                <w:sz w:val="20"/>
                <w:szCs w:val="20"/>
                <w:lang w:val="ro-RO" w:eastAsia="ru-RU"/>
              </w:rPr>
            </w:pPr>
            <w:r w:rsidRPr="00E4517B">
              <w:rPr>
                <w:rFonts w:asciiTheme="majorHAnsi" w:eastAsia="Times New Roman" w:hAnsiTheme="majorHAnsi" w:cstheme="majorHAnsi"/>
                <w:sz w:val="20"/>
                <w:szCs w:val="20"/>
                <w:lang w:val="ro-RO" w:eastAsia="ru-RU"/>
              </w:rPr>
              <w:t xml:space="preserve">Mijloace fixe, </w:t>
            </w:r>
            <w:r w:rsidRPr="00973E5B">
              <w:rPr>
                <w:rFonts w:asciiTheme="majorHAnsi" w:eastAsia="Times New Roman" w:hAnsiTheme="majorHAnsi" w:cstheme="majorHAnsi"/>
                <w:i/>
                <w:sz w:val="20"/>
                <w:szCs w:val="20"/>
                <w:lang w:val="ro-RO" w:eastAsia="ru-RU"/>
              </w:rPr>
              <w:t>inclusiv:</w:t>
            </w:r>
          </w:p>
        </w:tc>
        <w:tc>
          <w:tcPr>
            <w:tcW w:w="993" w:type="dxa"/>
            <w:tcBorders>
              <w:top w:val="nil"/>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0000"/>
                <w:sz w:val="20"/>
                <w:szCs w:val="20"/>
                <w:lang w:val="ro-RO"/>
              </w:rPr>
            </w:pPr>
            <w:r w:rsidRPr="00F55BA6">
              <w:rPr>
                <w:rFonts w:ascii="Calibri Light" w:hAnsi="Calibri Light" w:cs="Calibri Light"/>
                <w:b/>
                <w:bCs/>
                <w:color w:val="000000"/>
                <w:sz w:val="20"/>
                <w:szCs w:val="20"/>
                <w:lang w:val="ro-RO"/>
              </w:rPr>
              <w:t>5.599,5</w:t>
            </w:r>
          </w:p>
        </w:tc>
        <w:tc>
          <w:tcPr>
            <w:tcW w:w="992" w:type="dxa"/>
            <w:tcBorders>
              <w:top w:val="nil"/>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0000"/>
                <w:sz w:val="20"/>
                <w:szCs w:val="20"/>
                <w:lang w:val="ro-RO"/>
              </w:rPr>
            </w:pPr>
            <w:r w:rsidRPr="00E4517B">
              <w:rPr>
                <w:rFonts w:ascii="Calibri Light" w:hAnsi="Calibri Light" w:cs="Calibri Light"/>
                <w:b/>
                <w:bCs/>
                <w:color w:val="000000"/>
                <w:sz w:val="20"/>
                <w:szCs w:val="20"/>
                <w:lang w:val="ro-RO"/>
              </w:rPr>
              <w:t>3.069,8</w:t>
            </w:r>
          </w:p>
        </w:tc>
        <w:tc>
          <w:tcPr>
            <w:tcW w:w="992" w:type="dxa"/>
            <w:tcBorders>
              <w:top w:val="nil"/>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0000"/>
                <w:sz w:val="20"/>
                <w:szCs w:val="20"/>
                <w:lang w:val="ro-RO"/>
              </w:rPr>
            </w:pPr>
            <w:r w:rsidRPr="00E4517B">
              <w:rPr>
                <w:rFonts w:ascii="Calibri Light" w:hAnsi="Calibri Light" w:cs="Calibri Light"/>
                <w:b/>
                <w:bCs/>
                <w:color w:val="000000"/>
                <w:sz w:val="20"/>
                <w:szCs w:val="20"/>
                <w:lang w:val="ro-RO"/>
              </w:rPr>
              <w:t>2.647,3</w:t>
            </w:r>
          </w:p>
        </w:tc>
        <w:tc>
          <w:tcPr>
            <w:tcW w:w="993" w:type="dxa"/>
            <w:tcBorders>
              <w:top w:val="nil"/>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0000"/>
                <w:sz w:val="20"/>
                <w:szCs w:val="20"/>
                <w:lang w:val="ro-RO"/>
              </w:rPr>
            </w:pPr>
            <w:r w:rsidRPr="00E4517B">
              <w:rPr>
                <w:rFonts w:ascii="Calibri Light" w:hAnsi="Calibri Light" w:cs="Calibri Light"/>
                <w:b/>
                <w:bCs/>
                <w:color w:val="000000"/>
                <w:sz w:val="20"/>
                <w:szCs w:val="20"/>
                <w:lang w:val="ro-RO"/>
              </w:rPr>
              <w:t>-422,6</w:t>
            </w:r>
          </w:p>
        </w:tc>
        <w:tc>
          <w:tcPr>
            <w:tcW w:w="1133" w:type="dxa"/>
            <w:tcBorders>
              <w:top w:val="nil"/>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0000"/>
                <w:sz w:val="20"/>
                <w:szCs w:val="20"/>
                <w:lang w:val="ro-RO"/>
              </w:rPr>
            </w:pPr>
            <w:r w:rsidRPr="00E4517B">
              <w:rPr>
                <w:rFonts w:ascii="Calibri Light" w:hAnsi="Calibri Light" w:cs="Calibri Light"/>
                <w:b/>
                <w:bCs/>
                <w:color w:val="000000"/>
                <w:sz w:val="20"/>
                <w:szCs w:val="20"/>
                <w:lang w:val="ro-RO"/>
              </w:rPr>
              <w:t>86,2</w:t>
            </w:r>
          </w:p>
        </w:tc>
        <w:tc>
          <w:tcPr>
            <w:tcW w:w="992" w:type="dxa"/>
            <w:gridSpan w:val="2"/>
            <w:tcBorders>
              <w:top w:val="single" w:sz="8" w:space="0" w:color="999999"/>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0000"/>
                <w:sz w:val="20"/>
                <w:szCs w:val="20"/>
                <w:lang w:val="ro-RO"/>
              </w:rPr>
            </w:pPr>
            <w:r w:rsidRPr="00F55BA6">
              <w:rPr>
                <w:rFonts w:ascii="Calibri Light" w:hAnsi="Calibri Light" w:cs="Calibri Light"/>
                <w:b/>
                <w:bCs/>
                <w:color w:val="000000"/>
                <w:sz w:val="20"/>
                <w:szCs w:val="20"/>
                <w:lang w:val="ro-RO"/>
              </w:rPr>
              <w:t>2.114,8</w:t>
            </w:r>
          </w:p>
        </w:tc>
        <w:tc>
          <w:tcPr>
            <w:tcW w:w="992" w:type="dxa"/>
            <w:tcBorders>
              <w:top w:val="nil"/>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0000"/>
                <w:sz w:val="20"/>
                <w:szCs w:val="20"/>
                <w:lang w:val="ro-RO"/>
              </w:rPr>
            </w:pPr>
            <w:r w:rsidRPr="00E4517B">
              <w:rPr>
                <w:rFonts w:ascii="Calibri Light" w:hAnsi="Calibri Light" w:cs="Calibri Light"/>
                <w:b/>
                <w:bCs/>
                <w:color w:val="000000"/>
                <w:sz w:val="20"/>
                <w:szCs w:val="20"/>
                <w:lang w:val="ro-RO"/>
              </w:rPr>
              <w:t>532,5</w:t>
            </w:r>
          </w:p>
        </w:tc>
        <w:tc>
          <w:tcPr>
            <w:tcW w:w="1134" w:type="dxa"/>
            <w:gridSpan w:val="2"/>
            <w:tcBorders>
              <w:top w:val="nil"/>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0000"/>
                <w:sz w:val="20"/>
                <w:szCs w:val="20"/>
                <w:lang w:val="ro-RO"/>
              </w:rPr>
            </w:pPr>
            <w:r w:rsidRPr="00E4517B">
              <w:rPr>
                <w:rFonts w:ascii="Calibri Light" w:hAnsi="Calibri Light" w:cs="Calibri Light"/>
                <w:b/>
                <w:bCs/>
                <w:color w:val="000000"/>
                <w:sz w:val="20"/>
                <w:szCs w:val="20"/>
                <w:lang w:val="ro-RO"/>
              </w:rPr>
              <w:t>125</w:t>
            </w:r>
            <w:r w:rsidRPr="00973E5B">
              <w:rPr>
                <w:rFonts w:ascii="Calibri Light" w:hAnsi="Calibri Light" w:cs="Calibri Light"/>
                <w:b/>
                <w:bCs/>
                <w:color w:val="000000"/>
                <w:sz w:val="20"/>
                <w:szCs w:val="20"/>
                <w:lang w:val="ro-RO"/>
              </w:rPr>
              <w:t>,2</w:t>
            </w:r>
          </w:p>
        </w:tc>
      </w:tr>
      <w:tr w:rsidR="00BF41EC" w:rsidRPr="00E4517B" w:rsidTr="00B51730">
        <w:trPr>
          <w:jc w:val="center"/>
        </w:trPr>
        <w:tc>
          <w:tcPr>
            <w:cnfStyle w:val="001000000000" w:firstRow="0" w:lastRow="0" w:firstColumn="1" w:lastColumn="0" w:oddVBand="0" w:evenVBand="0" w:oddHBand="0" w:evenHBand="0" w:firstRowFirstColumn="0" w:firstRowLastColumn="0" w:lastRowFirstColumn="0" w:lastRowLastColumn="0"/>
            <w:tcW w:w="3964" w:type="dxa"/>
          </w:tcPr>
          <w:p w:rsidR="00BF41EC" w:rsidRPr="00E4517B" w:rsidRDefault="00BF41EC" w:rsidP="00B51730">
            <w:pPr>
              <w:ind w:left="456" w:right="-114"/>
              <w:jc w:val="left"/>
              <w:rPr>
                <w:rFonts w:asciiTheme="majorHAnsi" w:eastAsia="Times New Roman" w:hAnsiTheme="majorHAnsi" w:cstheme="majorHAnsi"/>
                <w:i/>
                <w:sz w:val="20"/>
                <w:szCs w:val="20"/>
                <w:lang w:val="ro-RO" w:eastAsia="ru-RU"/>
              </w:rPr>
            </w:pPr>
            <w:r w:rsidRPr="00E4517B">
              <w:rPr>
                <w:rFonts w:asciiTheme="majorHAnsi" w:eastAsia="Times New Roman" w:hAnsiTheme="majorHAnsi" w:cstheme="majorHAnsi"/>
                <w:i/>
                <w:sz w:val="20"/>
                <w:szCs w:val="20"/>
                <w:lang w:val="ro-RO" w:eastAsia="ru-RU"/>
              </w:rPr>
              <w:t>investiții capitale în active în curs de execuție</w:t>
            </w:r>
          </w:p>
        </w:tc>
        <w:tc>
          <w:tcPr>
            <w:tcW w:w="993" w:type="dxa"/>
            <w:tcBorders>
              <w:top w:val="nil"/>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F55BA6">
              <w:rPr>
                <w:rFonts w:ascii="Calibri Light" w:hAnsi="Calibri Light" w:cs="Calibri Light"/>
                <w:color w:val="000000"/>
                <w:sz w:val="20"/>
                <w:szCs w:val="20"/>
                <w:lang w:val="ro-RO"/>
              </w:rPr>
              <w:t>4.133,4</w:t>
            </w:r>
          </w:p>
        </w:tc>
        <w:tc>
          <w:tcPr>
            <w:tcW w:w="992" w:type="dxa"/>
            <w:tcBorders>
              <w:top w:val="nil"/>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1.598,7</w:t>
            </w:r>
          </w:p>
        </w:tc>
        <w:tc>
          <w:tcPr>
            <w:tcW w:w="992" w:type="dxa"/>
            <w:tcBorders>
              <w:top w:val="nil"/>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1.524,2</w:t>
            </w:r>
          </w:p>
        </w:tc>
        <w:tc>
          <w:tcPr>
            <w:tcW w:w="993" w:type="dxa"/>
            <w:tcBorders>
              <w:top w:val="nil"/>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-74,5</w:t>
            </w:r>
          </w:p>
        </w:tc>
        <w:tc>
          <w:tcPr>
            <w:tcW w:w="1133" w:type="dxa"/>
            <w:tcBorders>
              <w:top w:val="nil"/>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95,3</w:t>
            </w:r>
          </w:p>
        </w:tc>
        <w:tc>
          <w:tcPr>
            <w:tcW w:w="992" w:type="dxa"/>
            <w:gridSpan w:val="2"/>
            <w:tcBorders>
              <w:top w:val="single" w:sz="8" w:space="0" w:color="999999"/>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iCs/>
                <w:color w:val="000000"/>
                <w:sz w:val="20"/>
                <w:szCs w:val="20"/>
                <w:lang w:val="ro-RO"/>
              </w:rPr>
            </w:pPr>
            <w:r w:rsidRPr="00F55BA6">
              <w:rPr>
                <w:rFonts w:ascii="Calibri Light" w:hAnsi="Calibri Light" w:cs="Calibri Light"/>
                <w:i/>
                <w:iCs/>
                <w:color w:val="000000"/>
                <w:sz w:val="20"/>
                <w:szCs w:val="20"/>
                <w:lang w:val="ro-RO"/>
              </w:rPr>
              <w:t>1.278,7</w:t>
            </w:r>
          </w:p>
        </w:tc>
        <w:tc>
          <w:tcPr>
            <w:tcW w:w="992" w:type="dxa"/>
            <w:tcBorders>
              <w:top w:val="nil"/>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245,5</w:t>
            </w:r>
          </w:p>
        </w:tc>
        <w:tc>
          <w:tcPr>
            <w:tcW w:w="1134" w:type="dxa"/>
            <w:gridSpan w:val="2"/>
            <w:tcBorders>
              <w:top w:val="nil"/>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119,2</w:t>
            </w:r>
          </w:p>
        </w:tc>
      </w:tr>
      <w:tr w:rsidR="00BF41EC" w:rsidRPr="00E4517B" w:rsidTr="00B51730">
        <w:trPr>
          <w:jc w:val="center"/>
        </w:trPr>
        <w:tc>
          <w:tcPr>
            <w:cnfStyle w:val="001000000000" w:firstRow="0" w:lastRow="0" w:firstColumn="1" w:lastColumn="0" w:oddVBand="0" w:evenVBand="0" w:oddHBand="0" w:evenHBand="0" w:firstRowFirstColumn="0" w:firstRowLastColumn="0" w:lastRowFirstColumn="0" w:lastRowLastColumn="0"/>
            <w:tcW w:w="3964" w:type="dxa"/>
          </w:tcPr>
          <w:p w:rsidR="00BF41EC" w:rsidRPr="00973E5B" w:rsidRDefault="00BF41EC" w:rsidP="00B51730">
            <w:pPr>
              <w:jc w:val="left"/>
              <w:rPr>
                <w:rFonts w:asciiTheme="majorHAnsi" w:eastAsia="Times New Roman" w:hAnsiTheme="majorHAnsi" w:cstheme="majorHAnsi"/>
                <w:sz w:val="20"/>
                <w:szCs w:val="20"/>
                <w:lang w:val="ro-RO" w:eastAsia="ru-RU"/>
              </w:rPr>
            </w:pPr>
            <w:r w:rsidRPr="00E4517B">
              <w:rPr>
                <w:rFonts w:asciiTheme="majorHAnsi" w:eastAsia="Times New Roman" w:hAnsiTheme="majorHAnsi" w:cstheme="majorHAnsi"/>
                <w:sz w:val="20"/>
                <w:szCs w:val="20"/>
                <w:lang w:val="ro-RO" w:eastAsia="ru-RU"/>
              </w:rPr>
              <w:t>Stocuri de materiale circulante</w:t>
            </w:r>
          </w:p>
        </w:tc>
        <w:tc>
          <w:tcPr>
            <w:tcW w:w="993" w:type="dxa"/>
            <w:tcBorders>
              <w:top w:val="nil"/>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F55BA6">
              <w:rPr>
                <w:rFonts w:ascii="Calibri Light" w:hAnsi="Calibri Light" w:cs="Calibri Light"/>
                <w:color w:val="000000"/>
                <w:sz w:val="20"/>
                <w:szCs w:val="20"/>
                <w:lang w:val="ro-RO"/>
              </w:rPr>
              <w:t>993,1</w:t>
            </w:r>
          </w:p>
        </w:tc>
        <w:tc>
          <w:tcPr>
            <w:tcW w:w="992" w:type="dxa"/>
            <w:tcBorders>
              <w:top w:val="nil"/>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1.160,7</w:t>
            </w:r>
          </w:p>
        </w:tc>
        <w:tc>
          <w:tcPr>
            <w:tcW w:w="992" w:type="dxa"/>
            <w:tcBorders>
              <w:top w:val="nil"/>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895,9</w:t>
            </w:r>
          </w:p>
        </w:tc>
        <w:tc>
          <w:tcPr>
            <w:tcW w:w="993" w:type="dxa"/>
            <w:tcBorders>
              <w:top w:val="nil"/>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-264,8</w:t>
            </w:r>
          </w:p>
        </w:tc>
        <w:tc>
          <w:tcPr>
            <w:tcW w:w="1133" w:type="dxa"/>
            <w:tcBorders>
              <w:top w:val="nil"/>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77,2</w:t>
            </w:r>
          </w:p>
        </w:tc>
        <w:tc>
          <w:tcPr>
            <w:tcW w:w="992" w:type="dxa"/>
            <w:gridSpan w:val="2"/>
            <w:tcBorders>
              <w:top w:val="single" w:sz="8" w:space="0" w:color="999999"/>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F55BA6">
              <w:rPr>
                <w:rFonts w:ascii="Calibri Light" w:hAnsi="Calibri Light" w:cs="Calibri Light"/>
                <w:color w:val="000000"/>
                <w:sz w:val="20"/>
                <w:szCs w:val="20"/>
                <w:lang w:val="ro-RO"/>
              </w:rPr>
              <w:t>867,1</w:t>
            </w:r>
          </w:p>
        </w:tc>
        <w:tc>
          <w:tcPr>
            <w:tcW w:w="992" w:type="dxa"/>
            <w:tcBorders>
              <w:top w:val="nil"/>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28,8</w:t>
            </w:r>
          </w:p>
        </w:tc>
        <w:tc>
          <w:tcPr>
            <w:tcW w:w="1134" w:type="dxa"/>
            <w:gridSpan w:val="2"/>
            <w:tcBorders>
              <w:top w:val="nil"/>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103,3</w:t>
            </w:r>
          </w:p>
        </w:tc>
      </w:tr>
      <w:tr w:rsidR="00BF41EC" w:rsidRPr="00E4517B" w:rsidTr="00B51730">
        <w:trPr>
          <w:jc w:val="center"/>
        </w:trPr>
        <w:tc>
          <w:tcPr>
            <w:cnfStyle w:val="001000000000" w:firstRow="0" w:lastRow="0" w:firstColumn="1" w:lastColumn="0" w:oddVBand="0" w:evenVBand="0" w:oddHBand="0" w:evenHBand="0" w:firstRowFirstColumn="0" w:firstRowLastColumn="0" w:lastRowFirstColumn="0" w:lastRowLastColumn="0"/>
            <w:tcW w:w="3964" w:type="dxa"/>
          </w:tcPr>
          <w:p w:rsidR="00BF41EC" w:rsidRPr="00973E5B" w:rsidRDefault="00BF41EC" w:rsidP="00B51730">
            <w:pPr>
              <w:jc w:val="left"/>
              <w:rPr>
                <w:rFonts w:asciiTheme="majorHAnsi" w:eastAsia="Times New Roman" w:hAnsiTheme="majorHAnsi" w:cstheme="majorHAnsi"/>
                <w:sz w:val="20"/>
                <w:szCs w:val="20"/>
                <w:lang w:val="ro-RO" w:eastAsia="ru-RU"/>
              </w:rPr>
            </w:pPr>
            <w:r w:rsidRPr="00E4517B">
              <w:rPr>
                <w:rFonts w:asciiTheme="majorHAnsi" w:eastAsia="Times New Roman" w:hAnsiTheme="majorHAnsi" w:cstheme="majorHAnsi"/>
                <w:sz w:val="20"/>
                <w:szCs w:val="20"/>
                <w:lang w:val="ro-RO" w:eastAsia="ru-RU"/>
              </w:rPr>
              <w:lastRenderedPageBreak/>
              <w:t>Producție în curs de execuție, produse și producție finită, anim</w:t>
            </w:r>
            <w:r w:rsidRPr="00973E5B">
              <w:rPr>
                <w:rFonts w:asciiTheme="majorHAnsi" w:eastAsia="Times New Roman" w:hAnsiTheme="majorHAnsi" w:cstheme="majorHAnsi"/>
                <w:sz w:val="20"/>
                <w:szCs w:val="20"/>
                <w:lang w:val="ro-RO" w:eastAsia="ru-RU"/>
              </w:rPr>
              <w:t>ale tinere de îngrășat</w:t>
            </w:r>
          </w:p>
        </w:tc>
        <w:tc>
          <w:tcPr>
            <w:tcW w:w="993" w:type="dxa"/>
            <w:tcBorders>
              <w:top w:val="nil"/>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F55BA6">
              <w:rPr>
                <w:rFonts w:ascii="Calibri Light" w:hAnsi="Calibri Light" w:cs="Calibri Light"/>
                <w:color w:val="000000"/>
                <w:sz w:val="20"/>
                <w:szCs w:val="20"/>
                <w:lang w:val="ro-RO"/>
              </w:rPr>
              <w:t>-4,2</w:t>
            </w:r>
          </w:p>
        </w:tc>
        <w:tc>
          <w:tcPr>
            <w:tcW w:w="992" w:type="dxa"/>
            <w:tcBorders>
              <w:top w:val="nil"/>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-4,0</w:t>
            </w:r>
          </w:p>
        </w:tc>
        <w:tc>
          <w:tcPr>
            <w:tcW w:w="992" w:type="dxa"/>
            <w:tcBorders>
              <w:top w:val="nil"/>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-4,8</w:t>
            </w:r>
          </w:p>
        </w:tc>
        <w:tc>
          <w:tcPr>
            <w:tcW w:w="993" w:type="dxa"/>
            <w:tcBorders>
              <w:top w:val="nil"/>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-0,8</w:t>
            </w:r>
          </w:p>
        </w:tc>
        <w:tc>
          <w:tcPr>
            <w:tcW w:w="1133" w:type="dxa"/>
            <w:tcBorders>
              <w:top w:val="nil"/>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119,7</w:t>
            </w:r>
          </w:p>
        </w:tc>
        <w:tc>
          <w:tcPr>
            <w:tcW w:w="992" w:type="dxa"/>
            <w:gridSpan w:val="2"/>
            <w:tcBorders>
              <w:top w:val="single" w:sz="8" w:space="0" w:color="999999"/>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F55BA6">
              <w:rPr>
                <w:rFonts w:ascii="Calibri Light" w:hAnsi="Calibri Light" w:cs="Calibri Light"/>
                <w:color w:val="000000"/>
                <w:sz w:val="20"/>
                <w:szCs w:val="20"/>
                <w:lang w:val="ro-RO"/>
              </w:rPr>
              <w:t>-4,6</w:t>
            </w:r>
          </w:p>
        </w:tc>
        <w:tc>
          <w:tcPr>
            <w:tcW w:w="992" w:type="dxa"/>
            <w:tcBorders>
              <w:top w:val="nil"/>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-0,2</w:t>
            </w:r>
          </w:p>
        </w:tc>
        <w:tc>
          <w:tcPr>
            <w:tcW w:w="1134" w:type="dxa"/>
            <w:gridSpan w:val="2"/>
            <w:tcBorders>
              <w:top w:val="nil"/>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104,2</w:t>
            </w:r>
          </w:p>
        </w:tc>
      </w:tr>
      <w:tr w:rsidR="00BF41EC" w:rsidRPr="00E4517B" w:rsidTr="00B51730">
        <w:trPr>
          <w:jc w:val="center"/>
        </w:trPr>
        <w:tc>
          <w:tcPr>
            <w:cnfStyle w:val="001000000000" w:firstRow="0" w:lastRow="0" w:firstColumn="1" w:lastColumn="0" w:oddVBand="0" w:evenVBand="0" w:oddHBand="0" w:evenHBand="0" w:firstRowFirstColumn="0" w:firstRowLastColumn="0" w:lastRowFirstColumn="0" w:lastRowLastColumn="0"/>
            <w:tcW w:w="3964" w:type="dxa"/>
          </w:tcPr>
          <w:p w:rsidR="00BF41EC" w:rsidRPr="00E4517B" w:rsidRDefault="00BF41EC" w:rsidP="00B51730">
            <w:pPr>
              <w:jc w:val="left"/>
              <w:rPr>
                <w:rFonts w:asciiTheme="majorHAnsi" w:eastAsia="Times New Roman" w:hAnsiTheme="majorHAnsi" w:cstheme="majorHAnsi"/>
                <w:sz w:val="20"/>
                <w:szCs w:val="20"/>
                <w:lang w:val="ro-RO" w:eastAsia="ru-RU"/>
              </w:rPr>
            </w:pPr>
            <w:r w:rsidRPr="00E4517B">
              <w:rPr>
                <w:rFonts w:asciiTheme="majorHAnsi" w:eastAsia="Times New Roman" w:hAnsiTheme="majorHAnsi" w:cstheme="majorHAnsi"/>
                <w:sz w:val="20"/>
                <w:szCs w:val="20"/>
                <w:lang w:val="ro-RO" w:eastAsia="ru-RU"/>
              </w:rPr>
              <w:t>Mărfuri</w:t>
            </w:r>
          </w:p>
        </w:tc>
        <w:tc>
          <w:tcPr>
            <w:tcW w:w="993" w:type="dxa"/>
            <w:tcBorders>
              <w:top w:val="nil"/>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F55BA6">
              <w:rPr>
                <w:rFonts w:ascii="Calibri Light" w:hAnsi="Calibri Light" w:cs="Calibri Light"/>
                <w:color w:val="000000"/>
                <w:sz w:val="20"/>
                <w:szCs w:val="20"/>
                <w:lang w:val="ro-RO"/>
              </w:rPr>
              <w:t>32,0</w:t>
            </w:r>
          </w:p>
        </w:tc>
        <w:tc>
          <w:tcPr>
            <w:tcW w:w="992" w:type="dxa"/>
            <w:tcBorders>
              <w:top w:val="nil"/>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30,2</w:t>
            </w:r>
          </w:p>
        </w:tc>
        <w:tc>
          <w:tcPr>
            <w:tcW w:w="992" w:type="dxa"/>
            <w:tcBorders>
              <w:top w:val="nil"/>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19,0</w:t>
            </w:r>
          </w:p>
        </w:tc>
        <w:tc>
          <w:tcPr>
            <w:tcW w:w="993" w:type="dxa"/>
            <w:tcBorders>
              <w:top w:val="nil"/>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-11,2</w:t>
            </w:r>
          </w:p>
        </w:tc>
        <w:tc>
          <w:tcPr>
            <w:tcW w:w="1133" w:type="dxa"/>
            <w:tcBorders>
              <w:top w:val="nil"/>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63,0</w:t>
            </w:r>
          </w:p>
        </w:tc>
        <w:tc>
          <w:tcPr>
            <w:tcW w:w="992" w:type="dxa"/>
            <w:gridSpan w:val="2"/>
            <w:tcBorders>
              <w:top w:val="single" w:sz="8" w:space="0" w:color="999999"/>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F55BA6">
              <w:rPr>
                <w:rFonts w:ascii="Calibri Light" w:hAnsi="Calibri Light" w:cs="Calibri Light"/>
                <w:color w:val="000000"/>
                <w:sz w:val="20"/>
                <w:szCs w:val="20"/>
                <w:lang w:val="ro-RO"/>
              </w:rPr>
              <w:t>36,4</w:t>
            </w:r>
          </w:p>
        </w:tc>
        <w:tc>
          <w:tcPr>
            <w:tcW w:w="992" w:type="dxa"/>
            <w:tcBorders>
              <w:top w:val="nil"/>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-17,3</w:t>
            </w:r>
          </w:p>
        </w:tc>
        <w:tc>
          <w:tcPr>
            <w:tcW w:w="1134" w:type="dxa"/>
            <w:gridSpan w:val="2"/>
            <w:tcBorders>
              <w:top w:val="nil"/>
              <w:left w:val="nil"/>
              <w:bottom w:val="single" w:sz="8" w:space="0" w:color="999999"/>
              <w:right w:val="single" w:sz="8" w:space="0" w:color="999999"/>
            </w:tcBorders>
            <w:shd w:val="clear" w:color="auto" w:fill="auto"/>
            <w:vAlign w:val="center"/>
          </w:tcPr>
          <w:p w:rsidR="00BF41EC" w:rsidRPr="00F55BA6" w:rsidRDefault="00BF41EC" w:rsidP="00B5173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52,3</w:t>
            </w:r>
          </w:p>
        </w:tc>
      </w:tr>
    </w:tbl>
    <w:p w:rsidR="008952D2" w:rsidRPr="00207634" w:rsidRDefault="008952D2" w:rsidP="00BF41EC">
      <w:pPr>
        <w:spacing w:after="0" w:line="276" w:lineRule="auto"/>
        <w:ind w:left="993"/>
        <w:rPr>
          <w:rFonts w:asciiTheme="majorHAnsi" w:eastAsia="Times New Roman" w:hAnsiTheme="majorHAnsi" w:cstheme="majorHAnsi"/>
          <w:i/>
          <w:sz w:val="20"/>
          <w:szCs w:val="24"/>
          <w:lang w:val="ro-RO" w:eastAsia="ru-RU"/>
        </w:rPr>
      </w:pPr>
      <w:r w:rsidRPr="00E4517B">
        <w:rPr>
          <w:rFonts w:asciiTheme="majorHAnsi" w:eastAsia="Times New Roman" w:hAnsiTheme="majorHAnsi" w:cstheme="majorHAnsi"/>
          <w:b/>
          <w:i/>
          <w:sz w:val="20"/>
          <w:szCs w:val="24"/>
          <w:lang w:val="ro-RO" w:eastAsia="ru-RU"/>
        </w:rPr>
        <w:t>Sursă:</w:t>
      </w:r>
      <w:r w:rsidRPr="00973E5B">
        <w:rPr>
          <w:rFonts w:asciiTheme="majorHAnsi" w:eastAsia="Times New Roman" w:hAnsiTheme="majorHAnsi" w:cstheme="majorHAnsi"/>
          <w:i/>
          <w:sz w:val="20"/>
          <w:szCs w:val="24"/>
          <w:lang w:val="ro-RO" w:eastAsia="ru-RU"/>
        </w:rPr>
        <w:t xml:space="preserve"> Date generalizate de echipa de audit conform Raportului privind executare</w:t>
      </w:r>
      <w:r w:rsidR="005E7A9C" w:rsidRPr="00207634">
        <w:rPr>
          <w:rFonts w:asciiTheme="majorHAnsi" w:eastAsia="Times New Roman" w:hAnsiTheme="majorHAnsi" w:cstheme="majorHAnsi"/>
          <w:i/>
          <w:sz w:val="20"/>
          <w:szCs w:val="24"/>
          <w:lang w:val="ro-RO" w:eastAsia="ru-RU"/>
        </w:rPr>
        <w:t>a bugetului de stat pe anul 2020</w:t>
      </w:r>
      <w:r w:rsidRPr="00207634">
        <w:rPr>
          <w:rFonts w:asciiTheme="majorHAnsi" w:eastAsia="Times New Roman" w:hAnsiTheme="majorHAnsi" w:cstheme="majorHAnsi"/>
          <w:i/>
          <w:sz w:val="20"/>
          <w:szCs w:val="24"/>
          <w:lang w:val="ro-RO" w:eastAsia="ru-RU"/>
        </w:rPr>
        <w:t>, Formularul nr.8.</w:t>
      </w:r>
    </w:p>
    <w:p w:rsidR="00171267" w:rsidRPr="009131CF" w:rsidRDefault="00171267" w:rsidP="008952D2">
      <w:pPr>
        <w:spacing w:after="0" w:line="276" w:lineRule="auto"/>
        <w:rPr>
          <w:rFonts w:asciiTheme="majorHAnsi" w:eastAsia="Times New Roman" w:hAnsiTheme="majorHAnsi" w:cstheme="majorHAnsi"/>
          <w:i/>
          <w:sz w:val="20"/>
          <w:szCs w:val="24"/>
          <w:lang w:val="ro-RO" w:eastAsia="ru-RU"/>
        </w:rPr>
      </w:pPr>
    </w:p>
    <w:p w:rsidR="00301403" w:rsidRPr="00F55BA6" w:rsidRDefault="00301403" w:rsidP="00352FD0">
      <w:pPr>
        <w:spacing w:after="0" w:line="240" w:lineRule="auto"/>
        <w:rPr>
          <w:rFonts w:asciiTheme="majorHAnsi" w:eastAsia="Times New Roman" w:hAnsiTheme="majorHAnsi" w:cstheme="majorHAnsi"/>
          <w:b/>
          <w:sz w:val="24"/>
          <w:szCs w:val="24"/>
          <w:lang w:val="ro-RO"/>
        </w:rPr>
      </w:pPr>
    </w:p>
    <w:p w:rsidR="00301403" w:rsidRPr="00207634" w:rsidRDefault="00301403" w:rsidP="00301403">
      <w:pPr>
        <w:shd w:val="clear" w:color="auto" w:fill="FFFFFF" w:themeFill="background1"/>
        <w:tabs>
          <w:tab w:val="left" w:pos="284"/>
          <w:tab w:val="left" w:pos="993"/>
          <w:tab w:val="left" w:pos="6663"/>
        </w:tabs>
        <w:spacing w:after="0" w:line="276" w:lineRule="auto"/>
        <w:ind w:left="1440"/>
        <w:contextualSpacing/>
        <w:jc w:val="right"/>
        <w:rPr>
          <w:rFonts w:asciiTheme="majorHAnsi" w:eastAsia="Times New Roman" w:hAnsiTheme="majorHAnsi" w:cstheme="majorHAnsi"/>
          <w:b/>
          <w:sz w:val="24"/>
          <w:szCs w:val="24"/>
          <w:lang w:val="ro-RO"/>
        </w:rPr>
      </w:pPr>
      <w:r w:rsidRPr="00E4517B">
        <w:rPr>
          <w:rFonts w:asciiTheme="majorHAnsi" w:eastAsia="Times New Roman" w:hAnsiTheme="majorHAnsi" w:cstheme="majorHAnsi"/>
          <w:b/>
          <w:sz w:val="24"/>
          <w:szCs w:val="24"/>
          <w:lang w:val="ro-RO"/>
        </w:rPr>
        <w:t>Anexa</w:t>
      </w:r>
      <w:r w:rsidR="008E47D2" w:rsidRPr="00973E5B">
        <w:rPr>
          <w:rFonts w:asciiTheme="majorHAnsi" w:eastAsia="Times New Roman" w:hAnsiTheme="majorHAnsi" w:cstheme="majorHAnsi"/>
          <w:b/>
          <w:sz w:val="24"/>
          <w:szCs w:val="24"/>
          <w:lang w:val="ro-RO"/>
        </w:rPr>
        <w:t xml:space="preserve"> </w:t>
      </w:r>
      <w:r w:rsidR="008E47D2" w:rsidRPr="00207634">
        <w:rPr>
          <w:rFonts w:asciiTheme="majorHAnsi" w:eastAsia="Times New Roman" w:hAnsiTheme="majorHAnsi" w:cstheme="majorHAnsi"/>
          <w:b/>
          <w:sz w:val="24"/>
          <w:szCs w:val="24"/>
          <w:lang w:val="ro-RO"/>
        </w:rPr>
        <w:t>nr.11</w:t>
      </w:r>
    </w:p>
    <w:p w:rsidR="00301403" w:rsidRPr="009131CF" w:rsidRDefault="00301403" w:rsidP="00301403">
      <w:pPr>
        <w:spacing w:after="0" w:line="276" w:lineRule="auto"/>
        <w:jc w:val="center"/>
        <w:rPr>
          <w:rFonts w:asciiTheme="majorHAnsi" w:eastAsia="Times New Roman" w:hAnsiTheme="majorHAnsi" w:cstheme="majorHAnsi"/>
          <w:b/>
          <w:sz w:val="24"/>
          <w:szCs w:val="24"/>
          <w:lang w:val="ro-RO" w:eastAsia="ru-RU"/>
        </w:rPr>
      </w:pPr>
      <w:r w:rsidRPr="009131CF">
        <w:rPr>
          <w:rFonts w:asciiTheme="majorHAnsi" w:eastAsia="Times New Roman" w:hAnsiTheme="majorHAnsi" w:cstheme="majorHAnsi"/>
          <w:b/>
          <w:sz w:val="24"/>
          <w:szCs w:val="24"/>
          <w:lang w:val="ro-RO" w:eastAsia="ru-RU"/>
        </w:rPr>
        <w:t xml:space="preserve">Analiza executării cheltuielilor bugetului de stat conform clasificației funcționale pe anul 2020, </w:t>
      </w:r>
    </w:p>
    <w:p w:rsidR="00301403" w:rsidRPr="00E4517B" w:rsidRDefault="00301403" w:rsidP="00301403">
      <w:pPr>
        <w:spacing w:after="0" w:line="276" w:lineRule="auto"/>
        <w:jc w:val="center"/>
        <w:rPr>
          <w:rFonts w:asciiTheme="majorHAnsi" w:eastAsia="Times New Roman" w:hAnsiTheme="majorHAnsi" w:cstheme="majorHAnsi"/>
          <w:b/>
          <w:sz w:val="24"/>
          <w:szCs w:val="24"/>
          <w:lang w:val="ro-RO" w:eastAsia="ru-RU"/>
        </w:rPr>
      </w:pPr>
      <w:r w:rsidRPr="00E4517B">
        <w:rPr>
          <w:rFonts w:asciiTheme="majorHAnsi" w:eastAsia="Times New Roman" w:hAnsiTheme="majorHAnsi" w:cstheme="majorHAnsi"/>
          <w:b/>
          <w:sz w:val="24"/>
          <w:szCs w:val="24"/>
          <w:lang w:val="ro-RO" w:eastAsia="ru-RU"/>
        </w:rPr>
        <w:t>comparativ cu anul 2019</w:t>
      </w:r>
    </w:p>
    <w:p w:rsidR="00301403" w:rsidRPr="00E4517B" w:rsidRDefault="00301403" w:rsidP="00301403">
      <w:pPr>
        <w:spacing w:after="0" w:line="276" w:lineRule="auto"/>
        <w:jc w:val="right"/>
        <w:rPr>
          <w:rFonts w:asciiTheme="majorHAnsi" w:eastAsia="Times New Roman" w:hAnsiTheme="majorHAnsi" w:cstheme="majorHAnsi"/>
          <w:b/>
          <w:sz w:val="24"/>
          <w:szCs w:val="24"/>
          <w:lang w:val="ro-RO" w:eastAsia="ru-RU"/>
        </w:rPr>
      </w:pPr>
      <w:r w:rsidRPr="00E4517B">
        <w:rPr>
          <w:rFonts w:asciiTheme="majorHAnsi" w:eastAsia="Times New Roman" w:hAnsiTheme="majorHAnsi" w:cstheme="majorHAnsi"/>
          <w:b/>
          <w:sz w:val="24"/>
          <w:szCs w:val="24"/>
          <w:lang w:val="ro-RO" w:eastAsia="ru-RU"/>
        </w:rPr>
        <w:t>(mil. lei)</w:t>
      </w:r>
    </w:p>
    <w:tbl>
      <w:tblPr>
        <w:tblStyle w:val="GridTable1Light12"/>
        <w:tblW w:w="13183" w:type="dxa"/>
        <w:tblInd w:w="279" w:type="dxa"/>
        <w:tblLayout w:type="fixed"/>
        <w:tblLook w:val="04A0" w:firstRow="1" w:lastRow="0" w:firstColumn="1" w:lastColumn="0" w:noHBand="0" w:noVBand="1"/>
      </w:tblPr>
      <w:tblGrid>
        <w:gridCol w:w="3969"/>
        <w:gridCol w:w="1002"/>
        <w:gridCol w:w="982"/>
        <w:gridCol w:w="1276"/>
        <w:gridCol w:w="864"/>
        <w:gridCol w:w="979"/>
        <w:gridCol w:w="853"/>
        <w:gridCol w:w="1134"/>
        <w:gridCol w:w="992"/>
        <w:gridCol w:w="1132"/>
      </w:tblGrid>
      <w:tr w:rsidR="006507D9" w:rsidRPr="00E4517B" w:rsidTr="004D67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vMerge w:val="restart"/>
            <w:vAlign w:val="center"/>
          </w:tcPr>
          <w:p w:rsidR="006507D9" w:rsidRPr="00E4517B" w:rsidRDefault="006507D9" w:rsidP="00301403">
            <w:pPr>
              <w:jc w:val="center"/>
              <w:rPr>
                <w:rFonts w:asciiTheme="majorHAnsi" w:eastAsia="Times New Roman" w:hAnsiTheme="majorHAnsi" w:cstheme="majorHAnsi"/>
                <w:sz w:val="20"/>
                <w:szCs w:val="20"/>
                <w:lang w:val="ro-RO" w:eastAsia="ru-RU"/>
              </w:rPr>
            </w:pPr>
            <w:r w:rsidRPr="00E4517B">
              <w:rPr>
                <w:rFonts w:asciiTheme="majorHAnsi" w:eastAsia="Times New Roman" w:hAnsiTheme="majorHAnsi" w:cstheme="majorHAnsi"/>
                <w:sz w:val="20"/>
                <w:szCs w:val="20"/>
                <w:lang w:val="ro-RO" w:eastAsia="ru-RU"/>
              </w:rPr>
              <w:br w:type="page"/>
              <w:t>Indicatori</w:t>
            </w:r>
          </w:p>
        </w:tc>
        <w:tc>
          <w:tcPr>
            <w:tcW w:w="1002" w:type="dxa"/>
            <w:vMerge w:val="restart"/>
            <w:vAlign w:val="center"/>
          </w:tcPr>
          <w:p w:rsidR="006507D9" w:rsidRPr="00E4517B" w:rsidRDefault="006507D9" w:rsidP="00301403">
            <w:pPr>
              <w:ind w:left="-108" w:right="-111"/>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u-RU"/>
              </w:rPr>
            </w:pPr>
            <w:r w:rsidRPr="00E4517B">
              <w:rPr>
                <w:rFonts w:asciiTheme="majorHAnsi" w:eastAsia="Times New Roman" w:hAnsiTheme="majorHAnsi" w:cstheme="majorHAnsi"/>
                <w:sz w:val="20"/>
                <w:szCs w:val="20"/>
                <w:lang w:val="ro-RO" w:eastAsia="ru-RU"/>
              </w:rPr>
              <w:t>Aprobat</w:t>
            </w:r>
          </w:p>
        </w:tc>
        <w:tc>
          <w:tcPr>
            <w:tcW w:w="982" w:type="dxa"/>
            <w:vMerge w:val="restart"/>
            <w:vAlign w:val="center"/>
          </w:tcPr>
          <w:p w:rsidR="006507D9" w:rsidRPr="00E4517B" w:rsidRDefault="006507D9" w:rsidP="00301403">
            <w:pPr>
              <w:ind w:left="-108" w:right="-111"/>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u-RU"/>
              </w:rPr>
            </w:pPr>
            <w:r w:rsidRPr="00E4517B">
              <w:rPr>
                <w:rFonts w:asciiTheme="majorHAnsi" w:eastAsia="Times New Roman" w:hAnsiTheme="majorHAnsi" w:cstheme="majorHAnsi"/>
                <w:sz w:val="20"/>
                <w:szCs w:val="20"/>
                <w:lang w:val="ro-RO" w:eastAsia="ru-RU"/>
              </w:rPr>
              <w:t xml:space="preserve">Precizat </w:t>
            </w:r>
          </w:p>
        </w:tc>
        <w:tc>
          <w:tcPr>
            <w:tcW w:w="1276" w:type="dxa"/>
            <w:vMerge w:val="restart"/>
            <w:vAlign w:val="center"/>
          </w:tcPr>
          <w:p w:rsidR="006507D9" w:rsidRPr="00E4517B" w:rsidRDefault="006507D9" w:rsidP="00301403">
            <w:pPr>
              <w:ind w:left="-117" w:right="-124"/>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u-RU"/>
              </w:rPr>
            </w:pPr>
            <w:r w:rsidRPr="00E4517B">
              <w:rPr>
                <w:rFonts w:asciiTheme="majorHAnsi" w:eastAsia="Times New Roman" w:hAnsiTheme="majorHAnsi" w:cstheme="majorHAnsi"/>
                <w:sz w:val="20"/>
                <w:szCs w:val="20"/>
                <w:lang w:val="ro-RO" w:eastAsia="ru-RU"/>
              </w:rPr>
              <w:t>Executat anul 2020</w:t>
            </w:r>
          </w:p>
        </w:tc>
        <w:tc>
          <w:tcPr>
            <w:tcW w:w="864" w:type="dxa"/>
            <w:vMerge w:val="restart"/>
            <w:vAlign w:val="center"/>
          </w:tcPr>
          <w:p w:rsidR="006507D9" w:rsidRPr="00E4517B" w:rsidRDefault="006507D9" w:rsidP="00301403">
            <w:pPr>
              <w:ind w:left="-80" w:right="-106"/>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u-RU"/>
              </w:rPr>
            </w:pPr>
            <w:r w:rsidRPr="00E4517B">
              <w:rPr>
                <w:rFonts w:asciiTheme="majorHAnsi" w:eastAsia="Times New Roman" w:hAnsiTheme="majorHAnsi" w:cstheme="majorHAnsi"/>
                <w:sz w:val="20"/>
                <w:szCs w:val="20"/>
                <w:lang w:val="ro-RO" w:eastAsia="ru-RU"/>
              </w:rPr>
              <w:t>Ponderea în total cheltuieli</w:t>
            </w:r>
          </w:p>
        </w:tc>
        <w:tc>
          <w:tcPr>
            <w:tcW w:w="1832" w:type="dxa"/>
            <w:gridSpan w:val="2"/>
            <w:vAlign w:val="center"/>
          </w:tcPr>
          <w:p w:rsidR="006507D9" w:rsidRPr="00E4517B" w:rsidRDefault="006507D9" w:rsidP="00301403">
            <w:pPr>
              <w:ind w:left="-8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u-RU"/>
              </w:rPr>
            </w:pPr>
            <w:r w:rsidRPr="00E4517B">
              <w:rPr>
                <w:rFonts w:asciiTheme="majorHAnsi" w:eastAsia="Times New Roman" w:hAnsiTheme="majorHAnsi" w:cstheme="majorHAnsi"/>
                <w:sz w:val="20"/>
                <w:szCs w:val="20"/>
                <w:lang w:val="ro-RO" w:eastAsia="ru-RU"/>
              </w:rPr>
              <w:t>Executat față de precizat pe an</w:t>
            </w:r>
          </w:p>
        </w:tc>
        <w:tc>
          <w:tcPr>
            <w:tcW w:w="1134" w:type="dxa"/>
            <w:vMerge w:val="restart"/>
            <w:vAlign w:val="center"/>
          </w:tcPr>
          <w:p w:rsidR="006507D9" w:rsidRPr="00E4517B" w:rsidRDefault="006507D9" w:rsidP="00301403">
            <w:pPr>
              <w:ind w:left="-98"/>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u-RU"/>
              </w:rPr>
            </w:pPr>
            <w:r w:rsidRPr="00E4517B">
              <w:rPr>
                <w:rFonts w:asciiTheme="majorHAnsi" w:eastAsia="Times New Roman" w:hAnsiTheme="majorHAnsi" w:cstheme="majorHAnsi"/>
                <w:sz w:val="20"/>
                <w:szCs w:val="20"/>
                <w:lang w:val="ro-RO" w:eastAsia="ru-RU"/>
              </w:rPr>
              <w:t xml:space="preserve">Executat </w:t>
            </w:r>
          </w:p>
          <w:p w:rsidR="006507D9" w:rsidRPr="00E4517B" w:rsidRDefault="006507D9" w:rsidP="00301403">
            <w:pPr>
              <w:ind w:left="-98"/>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u-RU"/>
              </w:rPr>
            </w:pPr>
            <w:r w:rsidRPr="00E4517B">
              <w:rPr>
                <w:rFonts w:asciiTheme="majorHAnsi" w:eastAsia="Times New Roman" w:hAnsiTheme="majorHAnsi" w:cstheme="majorHAnsi"/>
                <w:sz w:val="20"/>
                <w:szCs w:val="20"/>
                <w:lang w:val="ro-RO" w:eastAsia="ru-RU"/>
              </w:rPr>
              <w:t>în anul 2019</w:t>
            </w:r>
          </w:p>
        </w:tc>
        <w:tc>
          <w:tcPr>
            <w:tcW w:w="2124" w:type="dxa"/>
            <w:gridSpan w:val="2"/>
            <w:vAlign w:val="center"/>
          </w:tcPr>
          <w:p w:rsidR="006507D9" w:rsidRPr="00E4517B" w:rsidRDefault="006507D9" w:rsidP="00301403">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u-RU"/>
              </w:rPr>
            </w:pPr>
            <w:r w:rsidRPr="00E4517B">
              <w:rPr>
                <w:rFonts w:asciiTheme="majorHAnsi" w:eastAsia="Times New Roman" w:hAnsiTheme="majorHAnsi" w:cstheme="majorHAnsi"/>
                <w:sz w:val="20"/>
                <w:szCs w:val="20"/>
                <w:lang w:val="ro-RO" w:eastAsia="ru-RU"/>
              </w:rPr>
              <w:t>Executat anul curent față de precedent</w:t>
            </w:r>
          </w:p>
        </w:tc>
      </w:tr>
      <w:tr w:rsidR="006507D9" w:rsidRPr="00E4517B" w:rsidTr="004D6726">
        <w:tc>
          <w:tcPr>
            <w:cnfStyle w:val="001000000000" w:firstRow="0" w:lastRow="0" w:firstColumn="1" w:lastColumn="0" w:oddVBand="0" w:evenVBand="0" w:oddHBand="0" w:evenHBand="0" w:firstRowFirstColumn="0" w:firstRowLastColumn="0" w:lastRowFirstColumn="0" w:lastRowLastColumn="0"/>
            <w:tcW w:w="3969" w:type="dxa"/>
            <w:vMerge/>
            <w:vAlign w:val="center"/>
          </w:tcPr>
          <w:p w:rsidR="006507D9" w:rsidRPr="00E4517B" w:rsidRDefault="006507D9" w:rsidP="00301403">
            <w:pPr>
              <w:jc w:val="center"/>
              <w:rPr>
                <w:rFonts w:asciiTheme="majorHAnsi" w:eastAsia="Times New Roman" w:hAnsiTheme="majorHAnsi" w:cstheme="majorHAnsi"/>
                <w:sz w:val="20"/>
                <w:szCs w:val="20"/>
                <w:lang w:val="ro-RO" w:eastAsia="ru-RU"/>
              </w:rPr>
            </w:pPr>
          </w:p>
        </w:tc>
        <w:tc>
          <w:tcPr>
            <w:tcW w:w="1002" w:type="dxa"/>
            <w:vMerge/>
            <w:vAlign w:val="center"/>
          </w:tcPr>
          <w:p w:rsidR="006507D9" w:rsidRPr="00E4517B" w:rsidRDefault="006507D9" w:rsidP="003014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RO" w:eastAsia="ru-RU"/>
              </w:rPr>
            </w:pPr>
          </w:p>
        </w:tc>
        <w:tc>
          <w:tcPr>
            <w:tcW w:w="982" w:type="dxa"/>
            <w:vMerge/>
            <w:vAlign w:val="center"/>
          </w:tcPr>
          <w:p w:rsidR="006507D9" w:rsidRPr="00E4517B" w:rsidRDefault="006507D9" w:rsidP="003014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RO" w:eastAsia="ru-RU"/>
              </w:rPr>
            </w:pPr>
          </w:p>
        </w:tc>
        <w:tc>
          <w:tcPr>
            <w:tcW w:w="1276" w:type="dxa"/>
            <w:vMerge/>
            <w:vAlign w:val="center"/>
          </w:tcPr>
          <w:p w:rsidR="006507D9" w:rsidRPr="00E4517B" w:rsidRDefault="006507D9" w:rsidP="003014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RO" w:eastAsia="ru-RU"/>
              </w:rPr>
            </w:pPr>
          </w:p>
        </w:tc>
        <w:tc>
          <w:tcPr>
            <w:tcW w:w="864" w:type="dxa"/>
            <w:vMerge/>
          </w:tcPr>
          <w:p w:rsidR="006507D9" w:rsidRPr="00E4517B" w:rsidRDefault="006507D9" w:rsidP="00301403">
            <w:pPr>
              <w:ind w:left="-113" w:right="-113"/>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RO" w:eastAsia="ru-RU"/>
              </w:rPr>
            </w:pPr>
          </w:p>
        </w:tc>
        <w:tc>
          <w:tcPr>
            <w:tcW w:w="979" w:type="dxa"/>
            <w:vAlign w:val="center"/>
          </w:tcPr>
          <w:p w:rsidR="006507D9" w:rsidRPr="00E4517B" w:rsidRDefault="006507D9" w:rsidP="00301403">
            <w:pPr>
              <w:ind w:left="-113" w:right="-113"/>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RO" w:eastAsia="ru-RU"/>
              </w:rPr>
            </w:pPr>
            <w:r w:rsidRPr="00E4517B">
              <w:rPr>
                <w:rFonts w:asciiTheme="majorHAnsi" w:eastAsia="Times New Roman" w:hAnsiTheme="majorHAnsi" w:cstheme="majorHAnsi"/>
                <w:b/>
                <w:sz w:val="20"/>
                <w:szCs w:val="20"/>
                <w:lang w:val="ro-RO" w:eastAsia="ru-RU"/>
              </w:rPr>
              <w:t>devieri (+/-)</w:t>
            </w:r>
          </w:p>
        </w:tc>
        <w:tc>
          <w:tcPr>
            <w:tcW w:w="853" w:type="dxa"/>
            <w:vAlign w:val="center"/>
          </w:tcPr>
          <w:p w:rsidR="006507D9" w:rsidRPr="00E4517B" w:rsidRDefault="006507D9" w:rsidP="003014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RO" w:eastAsia="ru-RU"/>
              </w:rPr>
            </w:pPr>
            <w:r w:rsidRPr="00E4517B">
              <w:rPr>
                <w:rFonts w:asciiTheme="majorHAnsi" w:eastAsia="Times New Roman" w:hAnsiTheme="majorHAnsi" w:cstheme="majorHAnsi"/>
                <w:b/>
                <w:sz w:val="20"/>
                <w:szCs w:val="20"/>
                <w:lang w:val="ro-RO" w:eastAsia="ru-RU"/>
              </w:rPr>
              <w:t>în %</w:t>
            </w:r>
          </w:p>
        </w:tc>
        <w:tc>
          <w:tcPr>
            <w:tcW w:w="1134" w:type="dxa"/>
            <w:vMerge/>
            <w:vAlign w:val="center"/>
          </w:tcPr>
          <w:p w:rsidR="006507D9" w:rsidRPr="00E4517B" w:rsidRDefault="006507D9" w:rsidP="00301403">
            <w:pPr>
              <w:ind w:left="-113" w:right="-113"/>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RO" w:eastAsia="ru-RU"/>
              </w:rPr>
            </w:pPr>
          </w:p>
        </w:tc>
        <w:tc>
          <w:tcPr>
            <w:tcW w:w="992" w:type="dxa"/>
            <w:vAlign w:val="center"/>
          </w:tcPr>
          <w:p w:rsidR="006507D9" w:rsidRPr="00E4517B" w:rsidRDefault="006507D9" w:rsidP="00301403">
            <w:pPr>
              <w:ind w:left="-113" w:right="-113"/>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RO" w:eastAsia="ru-RU"/>
              </w:rPr>
            </w:pPr>
            <w:r w:rsidRPr="00E4517B">
              <w:rPr>
                <w:rFonts w:asciiTheme="majorHAnsi" w:eastAsia="Times New Roman" w:hAnsiTheme="majorHAnsi" w:cstheme="majorHAnsi"/>
                <w:b/>
                <w:sz w:val="20"/>
                <w:szCs w:val="20"/>
                <w:lang w:val="ro-RO" w:eastAsia="ru-RU"/>
              </w:rPr>
              <w:t>devieri (+/-)</w:t>
            </w:r>
          </w:p>
        </w:tc>
        <w:tc>
          <w:tcPr>
            <w:tcW w:w="1132" w:type="dxa"/>
            <w:vAlign w:val="center"/>
          </w:tcPr>
          <w:p w:rsidR="006507D9" w:rsidRPr="00E4517B" w:rsidRDefault="006507D9" w:rsidP="003014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RO" w:eastAsia="ru-RU"/>
              </w:rPr>
            </w:pPr>
            <w:r w:rsidRPr="00E4517B">
              <w:rPr>
                <w:rFonts w:asciiTheme="majorHAnsi" w:eastAsia="Times New Roman" w:hAnsiTheme="majorHAnsi" w:cstheme="majorHAnsi"/>
                <w:b/>
                <w:sz w:val="20"/>
                <w:szCs w:val="20"/>
                <w:lang w:val="ro-RO" w:eastAsia="ru-RU"/>
              </w:rPr>
              <w:t>în %</w:t>
            </w:r>
          </w:p>
        </w:tc>
      </w:tr>
      <w:tr w:rsidR="00301403" w:rsidRPr="00E4517B" w:rsidTr="004D6726">
        <w:tc>
          <w:tcPr>
            <w:cnfStyle w:val="001000000000" w:firstRow="0" w:lastRow="0" w:firstColumn="1" w:lastColumn="0" w:oddVBand="0" w:evenVBand="0" w:oddHBand="0" w:evenHBand="0" w:firstRowFirstColumn="0" w:firstRowLastColumn="0" w:lastRowFirstColumn="0" w:lastRowLastColumn="0"/>
            <w:tcW w:w="3969" w:type="dxa"/>
          </w:tcPr>
          <w:p w:rsidR="00301403" w:rsidRPr="00E4517B" w:rsidRDefault="00301403" w:rsidP="00301403">
            <w:pPr>
              <w:ind w:right="-105"/>
              <w:jc w:val="center"/>
              <w:rPr>
                <w:rFonts w:asciiTheme="majorHAnsi" w:eastAsia="Times New Roman" w:hAnsiTheme="majorHAnsi" w:cstheme="majorHAnsi"/>
                <w:b w:val="0"/>
                <w:i/>
                <w:sz w:val="16"/>
                <w:szCs w:val="16"/>
                <w:lang w:val="ro-RO" w:eastAsia="ru-RU"/>
              </w:rPr>
            </w:pPr>
            <w:r w:rsidRPr="00E4517B">
              <w:rPr>
                <w:rFonts w:asciiTheme="majorHAnsi" w:eastAsia="Times New Roman" w:hAnsiTheme="majorHAnsi" w:cstheme="majorHAnsi"/>
                <w:b w:val="0"/>
                <w:i/>
                <w:sz w:val="16"/>
                <w:szCs w:val="16"/>
                <w:lang w:val="ro-RO" w:eastAsia="ru-RU"/>
              </w:rPr>
              <w:t>1</w:t>
            </w:r>
          </w:p>
        </w:tc>
        <w:tc>
          <w:tcPr>
            <w:tcW w:w="1002" w:type="dxa"/>
          </w:tcPr>
          <w:p w:rsidR="00301403" w:rsidRPr="00F55BA6" w:rsidRDefault="00301403" w:rsidP="003014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16"/>
                <w:szCs w:val="16"/>
                <w:lang w:val="ro-RO"/>
              </w:rPr>
            </w:pPr>
            <w:r w:rsidRPr="00F55BA6">
              <w:rPr>
                <w:rFonts w:asciiTheme="majorHAnsi" w:eastAsia="Times New Roman" w:hAnsiTheme="majorHAnsi" w:cstheme="majorHAnsi"/>
                <w:i/>
                <w:color w:val="000000"/>
                <w:sz w:val="16"/>
                <w:szCs w:val="16"/>
                <w:lang w:val="ro-RO"/>
              </w:rPr>
              <w:t>2</w:t>
            </w:r>
          </w:p>
        </w:tc>
        <w:tc>
          <w:tcPr>
            <w:tcW w:w="982" w:type="dxa"/>
          </w:tcPr>
          <w:p w:rsidR="00301403" w:rsidRPr="00F55BA6" w:rsidRDefault="00301403" w:rsidP="003014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16"/>
                <w:szCs w:val="16"/>
                <w:lang w:val="ro-RO"/>
              </w:rPr>
            </w:pPr>
            <w:r w:rsidRPr="00F55BA6">
              <w:rPr>
                <w:rFonts w:asciiTheme="majorHAnsi" w:eastAsia="Times New Roman" w:hAnsiTheme="majorHAnsi" w:cstheme="majorHAnsi"/>
                <w:i/>
                <w:color w:val="000000"/>
                <w:sz w:val="16"/>
                <w:szCs w:val="16"/>
                <w:lang w:val="ro-RO"/>
              </w:rPr>
              <w:t>3</w:t>
            </w:r>
          </w:p>
        </w:tc>
        <w:tc>
          <w:tcPr>
            <w:tcW w:w="1276" w:type="dxa"/>
          </w:tcPr>
          <w:p w:rsidR="00301403" w:rsidRPr="00E4517B" w:rsidRDefault="00301403" w:rsidP="003014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16"/>
                <w:szCs w:val="16"/>
                <w:lang w:val="ro-RO" w:eastAsia="ru-RU"/>
              </w:rPr>
            </w:pPr>
            <w:r w:rsidRPr="00E4517B">
              <w:rPr>
                <w:rFonts w:asciiTheme="majorHAnsi" w:eastAsia="Times New Roman" w:hAnsiTheme="majorHAnsi" w:cstheme="majorHAnsi"/>
                <w:i/>
                <w:sz w:val="16"/>
                <w:szCs w:val="16"/>
                <w:lang w:val="ro-RO" w:eastAsia="ru-RU"/>
              </w:rPr>
              <w:t>4</w:t>
            </w:r>
          </w:p>
        </w:tc>
        <w:tc>
          <w:tcPr>
            <w:tcW w:w="864" w:type="dxa"/>
          </w:tcPr>
          <w:p w:rsidR="00301403" w:rsidRPr="00F55BA6" w:rsidRDefault="00301403" w:rsidP="00301403">
            <w:pPr>
              <w:ind w:left="47" w:right="-3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color w:val="000000"/>
                <w:sz w:val="16"/>
                <w:szCs w:val="16"/>
                <w:lang w:val="ro-RO"/>
              </w:rPr>
            </w:pPr>
            <w:r w:rsidRPr="00F55BA6">
              <w:rPr>
                <w:rFonts w:asciiTheme="majorHAnsi" w:eastAsia="Times New Roman" w:hAnsiTheme="majorHAnsi" w:cstheme="majorHAnsi"/>
                <w:bCs/>
                <w:i/>
                <w:color w:val="000000"/>
                <w:sz w:val="16"/>
                <w:szCs w:val="16"/>
                <w:lang w:val="ro-RO"/>
              </w:rPr>
              <w:t>5</w:t>
            </w:r>
          </w:p>
        </w:tc>
        <w:tc>
          <w:tcPr>
            <w:tcW w:w="979" w:type="dxa"/>
          </w:tcPr>
          <w:p w:rsidR="00301403" w:rsidRPr="00F55BA6" w:rsidRDefault="00301403" w:rsidP="00301403">
            <w:pPr>
              <w:ind w:left="-97" w:right="-3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color w:val="000000"/>
                <w:sz w:val="16"/>
                <w:szCs w:val="16"/>
                <w:lang w:val="ro-RO"/>
              </w:rPr>
            </w:pPr>
            <w:r w:rsidRPr="00F55BA6">
              <w:rPr>
                <w:rFonts w:asciiTheme="majorHAnsi" w:eastAsia="Times New Roman" w:hAnsiTheme="majorHAnsi" w:cstheme="majorHAnsi"/>
                <w:bCs/>
                <w:i/>
                <w:color w:val="000000"/>
                <w:sz w:val="16"/>
                <w:szCs w:val="16"/>
                <w:lang w:val="ro-RO"/>
              </w:rPr>
              <w:t>6=4-3</w:t>
            </w:r>
          </w:p>
        </w:tc>
        <w:tc>
          <w:tcPr>
            <w:tcW w:w="853" w:type="dxa"/>
          </w:tcPr>
          <w:p w:rsidR="00301403" w:rsidRPr="00E4517B" w:rsidRDefault="00301403" w:rsidP="00301403">
            <w:pPr>
              <w:ind w:left="-107" w:right="-11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lang w:val="ro-RO"/>
              </w:rPr>
            </w:pPr>
            <w:r w:rsidRPr="00E4517B">
              <w:rPr>
                <w:rFonts w:asciiTheme="majorHAnsi" w:hAnsiTheme="majorHAnsi" w:cstheme="majorHAnsi"/>
                <w:i/>
                <w:sz w:val="16"/>
                <w:szCs w:val="16"/>
                <w:lang w:val="ro-RO"/>
              </w:rPr>
              <w:t>7=4/3*100</w:t>
            </w:r>
          </w:p>
        </w:tc>
        <w:tc>
          <w:tcPr>
            <w:tcW w:w="1134" w:type="dxa"/>
          </w:tcPr>
          <w:p w:rsidR="00301403" w:rsidRPr="00973E5B" w:rsidRDefault="00301403" w:rsidP="00301403">
            <w:pPr>
              <w:ind w:left="-113" w:right="-113"/>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lang w:val="ro-RO"/>
              </w:rPr>
            </w:pPr>
            <w:r w:rsidRPr="00973E5B">
              <w:rPr>
                <w:rFonts w:asciiTheme="majorHAnsi" w:hAnsiTheme="majorHAnsi" w:cstheme="majorHAnsi"/>
                <w:i/>
                <w:sz w:val="16"/>
                <w:szCs w:val="16"/>
                <w:lang w:val="ro-RO"/>
              </w:rPr>
              <w:t>8</w:t>
            </w:r>
          </w:p>
        </w:tc>
        <w:tc>
          <w:tcPr>
            <w:tcW w:w="992" w:type="dxa"/>
          </w:tcPr>
          <w:p w:rsidR="00301403" w:rsidRPr="009131CF" w:rsidRDefault="00301403" w:rsidP="00301403">
            <w:pPr>
              <w:ind w:left="-113" w:right="-113"/>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lang w:val="ro-RO"/>
              </w:rPr>
            </w:pPr>
            <w:r w:rsidRPr="009131CF">
              <w:rPr>
                <w:rFonts w:asciiTheme="majorHAnsi" w:hAnsiTheme="majorHAnsi" w:cstheme="majorHAnsi"/>
                <w:i/>
                <w:sz w:val="16"/>
                <w:szCs w:val="16"/>
                <w:lang w:val="ro-RO"/>
              </w:rPr>
              <w:t>9=4-8</w:t>
            </w:r>
          </w:p>
        </w:tc>
        <w:tc>
          <w:tcPr>
            <w:tcW w:w="1132" w:type="dxa"/>
          </w:tcPr>
          <w:p w:rsidR="00301403" w:rsidRPr="00E4517B" w:rsidRDefault="00301403" w:rsidP="0030140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lang w:val="ro-RO"/>
              </w:rPr>
            </w:pPr>
            <w:r w:rsidRPr="00E4517B">
              <w:rPr>
                <w:rFonts w:asciiTheme="majorHAnsi" w:hAnsiTheme="majorHAnsi" w:cstheme="majorHAnsi"/>
                <w:i/>
                <w:sz w:val="16"/>
                <w:szCs w:val="16"/>
                <w:lang w:val="ro-RO"/>
              </w:rPr>
              <w:t>10=4/8*100</w:t>
            </w:r>
          </w:p>
        </w:tc>
      </w:tr>
      <w:tr w:rsidR="00301403" w:rsidRPr="00E4517B" w:rsidTr="004D6726">
        <w:tc>
          <w:tcPr>
            <w:cnfStyle w:val="001000000000" w:firstRow="0" w:lastRow="0" w:firstColumn="1" w:lastColumn="0" w:oddVBand="0" w:evenVBand="0" w:oddHBand="0" w:evenHBand="0" w:firstRowFirstColumn="0" w:firstRowLastColumn="0" w:lastRowFirstColumn="0" w:lastRowLastColumn="0"/>
            <w:tcW w:w="3969" w:type="dxa"/>
          </w:tcPr>
          <w:p w:rsidR="00301403" w:rsidRPr="00E4517B" w:rsidRDefault="00301403" w:rsidP="00301403">
            <w:pPr>
              <w:ind w:right="-105"/>
              <w:jc w:val="left"/>
              <w:rPr>
                <w:rFonts w:asciiTheme="majorHAnsi" w:eastAsia="Times New Roman" w:hAnsiTheme="majorHAnsi" w:cstheme="majorHAnsi"/>
                <w:sz w:val="20"/>
                <w:szCs w:val="20"/>
                <w:lang w:val="ro-RO" w:eastAsia="ru-RU"/>
              </w:rPr>
            </w:pPr>
            <w:r w:rsidRPr="00E4517B">
              <w:rPr>
                <w:rFonts w:asciiTheme="majorHAnsi" w:eastAsia="Times New Roman" w:hAnsiTheme="majorHAnsi" w:cstheme="majorHAnsi"/>
                <w:sz w:val="20"/>
                <w:szCs w:val="20"/>
                <w:lang w:val="ro-RO" w:eastAsia="ru-RU"/>
              </w:rPr>
              <w:t>CHELTUIELI, total:</w:t>
            </w:r>
          </w:p>
        </w:tc>
        <w:tc>
          <w:tcPr>
            <w:tcW w:w="1002" w:type="dxa"/>
            <w:vAlign w:val="center"/>
          </w:tcPr>
          <w:p w:rsidR="00301403" w:rsidRPr="00F55BA6" w:rsidRDefault="00301403" w:rsidP="0030140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lang w:val="ro-RO"/>
              </w:rPr>
            </w:pPr>
            <w:r w:rsidRPr="00F55BA6">
              <w:rPr>
                <w:rFonts w:asciiTheme="majorHAnsi" w:hAnsiTheme="majorHAnsi" w:cstheme="majorHAnsi"/>
                <w:b/>
                <w:bCs/>
                <w:sz w:val="20"/>
                <w:szCs w:val="20"/>
                <w:lang w:val="ro-RO"/>
              </w:rPr>
              <w:t>51.551,9</w:t>
            </w:r>
          </w:p>
        </w:tc>
        <w:tc>
          <w:tcPr>
            <w:tcW w:w="982" w:type="dxa"/>
            <w:vAlign w:val="center"/>
          </w:tcPr>
          <w:p w:rsidR="00301403" w:rsidRPr="00E4517B" w:rsidRDefault="00301403" w:rsidP="0030140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lang w:val="ro-RO"/>
              </w:rPr>
            </w:pPr>
            <w:r w:rsidRPr="00E4517B">
              <w:rPr>
                <w:rFonts w:asciiTheme="majorHAnsi" w:hAnsiTheme="majorHAnsi" w:cstheme="majorHAnsi"/>
                <w:b/>
                <w:bCs/>
                <w:sz w:val="20"/>
                <w:szCs w:val="20"/>
                <w:lang w:val="ro-RO"/>
              </w:rPr>
              <w:t>53.280,6</w:t>
            </w:r>
          </w:p>
        </w:tc>
        <w:tc>
          <w:tcPr>
            <w:tcW w:w="1276" w:type="dxa"/>
            <w:vAlign w:val="center"/>
          </w:tcPr>
          <w:p w:rsidR="00301403" w:rsidRPr="00973E5B" w:rsidRDefault="00301403" w:rsidP="0030140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lang w:val="ro-RO"/>
              </w:rPr>
            </w:pPr>
            <w:r w:rsidRPr="00973E5B">
              <w:rPr>
                <w:rFonts w:asciiTheme="majorHAnsi" w:hAnsiTheme="majorHAnsi" w:cstheme="majorHAnsi"/>
                <w:b/>
                <w:bCs/>
                <w:sz w:val="20"/>
                <w:szCs w:val="20"/>
                <w:lang w:val="ro-RO"/>
              </w:rPr>
              <w:t>49.635,4</w:t>
            </w:r>
          </w:p>
        </w:tc>
        <w:tc>
          <w:tcPr>
            <w:tcW w:w="864" w:type="dxa"/>
          </w:tcPr>
          <w:p w:rsidR="00301403" w:rsidRPr="009131CF" w:rsidRDefault="00301403" w:rsidP="0030140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0"/>
                <w:szCs w:val="20"/>
                <w:lang w:val="ro-RO"/>
              </w:rPr>
            </w:pPr>
            <w:r w:rsidRPr="009131CF">
              <w:rPr>
                <w:rFonts w:asciiTheme="majorHAnsi" w:hAnsiTheme="majorHAnsi" w:cstheme="majorHAnsi"/>
                <w:b/>
                <w:bCs/>
                <w:color w:val="000000"/>
                <w:sz w:val="20"/>
                <w:szCs w:val="20"/>
                <w:lang w:val="ro-RO"/>
              </w:rPr>
              <w:t>100%</w:t>
            </w:r>
          </w:p>
        </w:tc>
        <w:tc>
          <w:tcPr>
            <w:tcW w:w="979" w:type="dxa"/>
            <w:vAlign w:val="center"/>
          </w:tcPr>
          <w:p w:rsidR="00301403" w:rsidRPr="00F55BA6" w:rsidRDefault="00301403" w:rsidP="0030140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0000"/>
                <w:sz w:val="20"/>
                <w:szCs w:val="20"/>
                <w:lang w:val="ro-RO"/>
              </w:rPr>
            </w:pPr>
            <w:r w:rsidRPr="00E4517B">
              <w:rPr>
                <w:rFonts w:ascii="Calibri Light" w:hAnsi="Calibri Light" w:cs="Calibri Light"/>
                <w:b/>
                <w:bCs/>
                <w:color w:val="000000"/>
                <w:sz w:val="20"/>
                <w:szCs w:val="20"/>
                <w:lang w:val="ro-RO"/>
              </w:rPr>
              <w:t>-3.645,2</w:t>
            </w:r>
          </w:p>
        </w:tc>
        <w:tc>
          <w:tcPr>
            <w:tcW w:w="853" w:type="dxa"/>
            <w:tcBorders>
              <w:top w:val="nil"/>
              <w:left w:val="nil"/>
              <w:bottom w:val="single" w:sz="8" w:space="0" w:color="999999"/>
              <w:right w:val="single" w:sz="8" w:space="0" w:color="999999"/>
            </w:tcBorders>
            <w:shd w:val="clear" w:color="auto" w:fill="auto"/>
            <w:vAlign w:val="center"/>
          </w:tcPr>
          <w:p w:rsidR="00301403" w:rsidRPr="00F55BA6" w:rsidRDefault="00301403" w:rsidP="0030140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0000"/>
                <w:sz w:val="20"/>
                <w:szCs w:val="20"/>
                <w:lang w:val="ro-RO"/>
              </w:rPr>
            </w:pPr>
            <w:r w:rsidRPr="00E4517B">
              <w:rPr>
                <w:rFonts w:ascii="Calibri Light" w:hAnsi="Calibri Light" w:cs="Calibri Light"/>
                <w:b/>
                <w:bCs/>
                <w:color w:val="000000"/>
                <w:sz w:val="20"/>
                <w:szCs w:val="20"/>
                <w:lang w:val="ro-RO"/>
              </w:rPr>
              <w:t>93,2</w:t>
            </w:r>
          </w:p>
        </w:tc>
        <w:tc>
          <w:tcPr>
            <w:tcW w:w="1134" w:type="dxa"/>
            <w:vAlign w:val="center"/>
          </w:tcPr>
          <w:p w:rsidR="00301403" w:rsidRPr="00E4517B" w:rsidRDefault="00301403" w:rsidP="0030140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lang w:val="ro-RO"/>
              </w:rPr>
            </w:pPr>
            <w:r w:rsidRPr="00E4517B">
              <w:rPr>
                <w:rFonts w:asciiTheme="majorHAnsi" w:hAnsiTheme="majorHAnsi" w:cstheme="majorHAnsi"/>
                <w:b/>
                <w:bCs/>
                <w:sz w:val="20"/>
                <w:szCs w:val="20"/>
                <w:lang w:val="ro-RO"/>
              </w:rPr>
              <w:t>43.073,9</w:t>
            </w:r>
          </w:p>
        </w:tc>
        <w:tc>
          <w:tcPr>
            <w:tcW w:w="992" w:type="dxa"/>
            <w:tcBorders>
              <w:top w:val="single" w:sz="8" w:space="0" w:color="999999"/>
              <w:left w:val="single" w:sz="8" w:space="0" w:color="999999"/>
              <w:bottom w:val="single" w:sz="8" w:space="0" w:color="999999"/>
              <w:right w:val="single" w:sz="8" w:space="0" w:color="999999"/>
            </w:tcBorders>
            <w:shd w:val="clear" w:color="auto" w:fill="auto"/>
            <w:vAlign w:val="center"/>
          </w:tcPr>
          <w:p w:rsidR="00301403" w:rsidRPr="00F55BA6" w:rsidRDefault="00301403" w:rsidP="0030140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0000"/>
                <w:sz w:val="20"/>
                <w:szCs w:val="20"/>
                <w:lang w:val="ro-RO"/>
              </w:rPr>
            </w:pPr>
            <w:r w:rsidRPr="00973E5B">
              <w:rPr>
                <w:rFonts w:ascii="Calibri Light" w:hAnsi="Calibri Light" w:cs="Calibri Light"/>
                <w:b/>
                <w:bCs/>
                <w:color w:val="000000"/>
                <w:sz w:val="20"/>
                <w:szCs w:val="20"/>
                <w:lang w:val="ro-RO"/>
              </w:rPr>
              <w:t>6.561,50</w:t>
            </w:r>
          </w:p>
        </w:tc>
        <w:tc>
          <w:tcPr>
            <w:tcW w:w="1132" w:type="dxa"/>
            <w:tcBorders>
              <w:top w:val="nil"/>
              <w:left w:val="nil"/>
              <w:bottom w:val="single" w:sz="8" w:space="0" w:color="999999"/>
              <w:right w:val="single" w:sz="8" w:space="0" w:color="999999"/>
            </w:tcBorders>
            <w:shd w:val="clear" w:color="auto" w:fill="auto"/>
            <w:vAlign w:val="center"/>
          </w:tcPr>
          <w:p w:rsidR="00301403" w:rsidRPr="00F55BA6" w:rsidRDefault="00301403" w:rsidP="0030140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0000"/>
                <w:sz w:val="20"/>
                <w:szCs w:val="20"/>
                <w:lang w:val="ro-RO"/>
              </w:rPr>
            </w:pPr>
            <w:r w:rsidRPr="00E4517B">
              <w:rPr>
                <w:rFonts w:ascii="Calibri Light" w:hAnsi="Calibri Light" w:cs="Calibri Light"/>
                <w:b/>
                <w:bCs/>
                <w:color w:val="000000"/>
                <w:sz w:val="20"/>
                <w:szCs w:val="20"/>
                <w:lang w:val="ro-RO"/>
              </w:rPr>
              <w:t>115,2</w:t>
            </w:r>
          </w:p>
        </w:tc>
      </w:tr>
      <w:tr w:rsidR="00301403" w:rsidRPr="00E4517B" w:rsidTr="004D6726">
        <w:tc>
          <w:tcPr>
            <w:cnfStyle w:val="001000000000" w:firstRow="0" w:lastRow="0" w:firstColumn="1" w:lastColumn="0" w:oddVBand="0" w:evenVBand="0" w:oddHBand="0" w:evenHBand="0" w:firstRowFirstColumn="0" w:firstRowLastColumn="0" w:lastRowFirstColumn="0" w:lastRowLastColumn="0"/>
            <w:tcW w:w="3969" w:type="dxa"/>
          </w:tcPr>
          <w:p w:rsidR="00301403" w:rsidRPr="00973E5B" w:rsidRDefault="00301403" w:rsidP="00301403">
            <w:pPr>
              <w:ind w:right="37"/>
              <w:jc w:val="left"/>
              <w:rPr>
                <w:rFonts w:asciiTheme="majorHAnsi" w:eastAsia="Times New Roman" w:hAnsiTheme="majorHAnsi" w:cstheme="majorHAnsi"/>
                <w:sz w:val="20"/>
                <w:szCs w:val="20"/>
                <w:lang w:val="ro-RO" w:eastAsia="ru-RU"/>
              </w:rPr>
            </w:pPr>
            <w:r w:rsidRPr="00E4517B">
              <w:rPr>
                <w:rFonts w:asciiTheme="majorHAnsi" w:eastAsia="Times New Roman" w:hAnsiTheme="majorHAnsi" w:cstheme="majorHAnsi"/>
                <w:sz w:val="20"/>
                <w:szCs w:val="20"/>
                <w:lang w:val="ro-RO" w:eastAsia="ru-RU"/>
              </w:rPr>
              <w:t xml:space="preserve">Servicii de stat </w:t>
            </w:r>
            <w:r w:rsidRPr="00973E5B">
              <w:rPr>
                <w:rFonts w:asciiTheme="majorHAnsi" w:eastAsia="Times New Roman" w:hAnsiTheme="majorHAnsi" w:cstheme="majorHAnsi"/>
                <w:sz w:val="20"/>
                <w:szCs w:val="20"/>
                <w:lang w:val="ro-RO" w:eastAsia="ru-RU"/>
              </w:rPr>
              <w:t>cu destinație generală</w:t>
            </w:r>
          </w:p>
        </w:tc>
        <w:tc>
          <w:tcPr>
            <w:tcW w:w="1002" w:type="dxa"/>
            <w:vAlign w:val="center"/>
          </w:tcPr>
          <w:p w:rsidR="00301403" w:rsidRPr="00F55BA6" w:rsidRDefault="00301403" w:rsidP="0030140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lang w:val="ro-RO"/>
              </w:rPr>
            </w:pPr>
            <w:r w:rsidRPr="00F55BA6">
              <w:rPr>
                <w:rFonts w:asciiTheme="majorHAnsi" w:hAnsiTheme="majorHAnsi" w:cstheme="majorHAnsi"/>
                <w:bCs/>
                <w:sz w:val="20"/>
                <w:szCs w:val="20"/>
                <w:lang w:val="ro-RO"/>
              </w:rPr>
              <w:t>7.965,6</w:t>
            </w:r>
          </w:p>
        </w:tc>
        <w:tc>
          <w:tcPr>
            <w:tcW w:w="982" w:type="dxa"/>
            <w:vAlign w:val="center"/>
          </w:tcPr>
          <w:p w:rsidR="00301403" w:rsidRPr="00E4517B" w:rsidRDefault="00301403" w:rsidP="0030140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lang w:val="ro-RO"/>
              </w:rPr>
            </w:pPr>
            <w:r w:rsidRPr="00E4517B">
              <w:rPr>
                <w:rFonts w:asciiTheme="majorHAnsi" w:hAnsiTheme="majorHAnsi" w:cstheme="majorHAnsi"/>
                <w:bCs/>
                <w:sz w:val="20"/>
                <w:szCs w:val="20"/>
                <w:lang w:val="ro-RO"/>
              </w:rPr>
              <w:t>8.290,8</w:t>
            </w:r>
          </w:p>
        </w:tc>
        <w:tc>
          <w:tcPr>
            <w:tcW w:w="1276" w:type="dxa"/>
            <w:vAlign w:val="center"/>
          </w:tcPr>
          <w:p w:rsidR="00301403" w:rsidRPr="00973E5B" w:rsidRDefault="00301403" w:rsidP="0030140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lang w:val="ro-RO"/>
              </w:rPr>
            </w:pPr>
            <w:r w:rsidRPr="00973E5B">
              <w:rPr>
                <w:rFonts w:asciiTheme="majorHAnsi" w:hAnsiTheme="majorHAnsi" w:cstheme="majorHAnsi"/>
                <w:bCs/>
                <w:sz w:val="20"/>
                <w:szCs w:val="20"/>
                <w:lang w:val="ro-RO"/>
              </w:rPr>
              <w:t>7.622,5</w:t>
            </w:r>
          </w:p>
        </w:tc>
        <w:tc>
          <w:tcPr>
            <w:tcW w:w="864" w:type="dxa"/>
            <w:tcBorders>
              <w:top w:val="nil"/>
              <w:left w:val="nil"/>
              <w:bottom w:val="single" w:sz="8" w:space="0" w:color="999999"/>
              <w:right w:val="single" w:sz="8" w:space="0" w:color="999999"/>
            </w:tcBorders>
            <w:shd w:val="clear" w:color="auto" w:fill="auto"/>
            <w:vAlign w:val="center"/>
          </w:tcPr>
          <w:p w:rsidR="00301403" w:rsidRPr="00F55BA6" w:rsidRDefault="00301403" w:rsidP="0030140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207634">
              <w:rPr>
                <w:rFonts w:ascii="Calibri Light" w:hAnsi="Calibri Light" w:cs="Calibri Light"/>
                <w:color w:val="000000"/>
                <w:sz w:val="20"/>
                <w:szCs w:val="20"/>
                <w:lang w:val="ro-RO"/>
              </w:rPr>
              <w:t>15,4</w:t>
            </w:r>
          </w:p>
        </w:tc>
        <w:tc>
          <w:tcPr>
            <w:tcW w:w="979" w:type="dxa"/>
            <w:tcBorders>
              <w:top w:val="nil"/>
              <w:left w:val="nil"/>
              <w:bottom w:val="single" w:sz="8" w:space="0" w:color="999999"/>
              <w:right w:val="single" w:sz="8" w:space="0" w:color="999999"/>
            </w:tcBorders>
            <w:shd w:val="clear" w:color="auto" w:fill="auto"/>
            <w:vAlign w:val="center"/>
          </w:tcPr>
          <w:p w:rsidR="00301403" w:rsidRPr="00F55BA6" w:rsidRDefault="00301403" w:rsidP="0030140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-668,3</w:t>
            </w:r>
          </w:p>
        </w:tc>
        <w:tc>
          <w:tcPr>
            <w:tcW w:w="853" w:type="dxa"/>
            <w:tcBorders>
              <w:top w:val="nil"/>
              <w:left w:val="nil"/>
              <w:bottom w:val="single" w:sz="8" w:space="0" w:color="999999"/>
              <w:right w:val="single" w:sz="8" w:space="0" w:color="999999"/>
            </w:tcBorders>
            <w:shd w:val="clear" w:color="auto" w:fill="auto"/>
            <w:vAlign w:val="center"/>
          </w:tcPr>
          <w:p w:rsidR="00301403" w:rsidRPr="00E4517B" w:rsidRDefault="00301403" w:rsidP="0030140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91,9</w:t>
            </w:r>
          </w:p>
        </w:tc>
        <w:tc>
          <w:tcPr>
            <w:tcW w:w="1134" w:type="dxa"/>
            <w:vAlign w:val="center"/>
          </w:tcPr>
          <w:p w:rsidR="00301403" w:rsidRPr="00973E5B" w:rsidRDefault="00301403" w:rsidP="0030140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lang w:val="ro-RO"/>
              </w:rPr>
            </w:pPr>
            <w:r w:rsidRPr="00973E5B">
              <w:rPr>
                <w:rFonts w:asciiTheme="majorHAnsi" w:hAnsiTheme="majorHAnsi" w:cstheme="majorHAnsi"/>
                <w:bCs/>
                <w:sz w:val="20"/>
                <w:szCs w:val="20"/>
                <w:lang w:val="ro-RO"/>
              </w:rPr>
              <w:t>7.147,8</w:t>
            </w:r>
          </w:p>
        </w:tc>
        <w:tc>
          <w:tcPr>
            <w:tcW w:w="992" w:type="dxa"/>
            <w:tcBorders>
              <w:top w:val="single" w:sz="8" w:space="0" w:color="999999"/>
              <w:left w:val="single" w:sz="8" w:space="0" w:color="999999"/>
              <w:bottom w:val="single" w:sz="8" w:space="0" w:color="999999"/>
              <w:right w:val="single" w:sz="8" w:space="0" w:color="999999"/>
            </w:tcBorders>
            <w:shd w:val="clear" w:color="auto" w:fill="auto"/>
            <w:vAlign w:val="center"/>
          </w:tcPr>
          <w:p w:rsidR="00301403" w:rsidRPr="009131CF" w:rsidRDefault="00301403" w:rsidP="0030140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9131CF">
              <w:rPr>
                <w:rFonts w:ascii="Calibri Light" w:hAnsi="Calibri Light" w:cs="Calibri Light"/>
                <w:color w:val="000000"/>
                <w:sz w:val="20"/>
                <w:szCs w:val="20"/>
                <w:lang w:val="ro-RO"/>
              </w:rPr>
              <w:t>474,7</w:t>
            </w:r>
          </w:p>
        </w:tc>
        <w:tc>
          <w:tcPr>
            <w:tcW w:w="1132" w:type="dxa"/>
            <w:tcBorders>
              <w:top w:val="nil"/>
              <w:left w:val="nil"/>
              <w:bottom w:val="single" w:sz="8" w:space="0" w:color="999999"/>
              <w:right w:val="single" w:sz="8" w:space="0" w:color="999999"/>
            </w:tcBorders>
            <w:shd w:val="clear" w:color="auto" w:fill="auto"/>
            <w:vAlign w:val="center"/>
          </w:tcPr>
          <w:p w:rsidR="00301403" w:rsidRPr="00E4517B" w:rsidRDefault="00301403" w:rsidP="0030140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106,6</w:t>
            </w:r>
          </w:p>
        </w:tc>
      </w:tr>
      <w:tr w:rsidR="00301403" w:rsidRPr="00E4517B" w:rsidTr="004D6726">
        <w:tc>
          <w:tcPr>
            <w:cnfStyle w:val="001000000000" w:firstRow="0" w:lastRow="0" w:firstColumn="1" w:lastColumn="0" w:oddVBand="0" w:evenVBand="0" w:oddHBand="0" w:evenHBand="0" w:firstRowFirstColumn="0" w:firstRowLastColumn="0" w:lastRowFirstColumn="0" w:lastRowLastColumn="0"/>
            <w:tcW w:w="3969" w:type="dxa"/>
          </w:tcPr>
          <w:p w:rsidR="00301403" w:rsidRPr="00E4517B" w:rsidRDefault="00301403" w:rsidP="00301403">
            <w:pPr>
              <w:jc w:val="left"/>
              <w:rPr>
                <w:rFonts w:asciiTheme="majorHAnsi" w:eastAsia="Times New Roman" w:hAnsiTheme="majorHAnsi" w:cstheme="majorHAnsi"/>
                <w:sz w:val="20"/>
                <w:szCs w:val="20"/>
                <w:lang w:val="ro-RO" w:eastAsia="ru-RU"/>
              </w:rPr>
            </w:pPr>
            <w:r w:rsidRPr="00E4517B">
              <w:rPr>
                <w:rFonts w:asciiTheme="majorHAnsi" w:eastAsia="Times New Roman" w:hAnsiTheme="majorHAnsi" w:cstheme="majorHAnsi"/>
                <w:sz w:val="20"/>
                <w:szCs w:val="20"/>
                <w:lang w:val="ro-RO" w:eastAsia="ru-RU"/>
              </w:rPr>
              <w:t>Apărare națională</w:t>
            </w:r>
          </w:p>
        </w:tc>
        <w:tc>
          <w:tcPr>
            <w:tcW w:w="1002" w:type="dxa"/>
            <w:vAlign w:val="center"/>
          </w:tcPr>
          <w:p w:rsidR="00301403" w:rsidRPr="00F55BA6" w:rsidRDefault="00301403" w:rsidP="0030140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lang w:val="ro-RO"/>
              </w:rPr>
            </w:pPr>
            <w:r w:rsidRPr="00F55BA6">
              <w:rPr>
                <w:rFonts w:asciiTheme="majorHAnsi" w:hAnsiTheme="majorHAnsi" w:cstheme="majorHAnsi"/>
                <w:bCs/>
                <w:sz w:val="20"/>
                <w:szCs w:val="20"/>
                <w:lang w:val="ro-RO"/>
              </w:rPr>
              <w:t>650,1</w:t>
            </w:r>
          </w:p>
        </w:tc>
        <w:tc>
          <w:tcPr>
            <w:tcW w:w="982" w:type="dxa"/>
            <w:vAlign w:val="center"/>
          </w:tcPr>
          <w:p w:rsidR="00301403" w:rsidRPr="00E4517B" w:rsidRDefault="00301403" w:rsidP="0030140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lang w:val="ro-RO"/>
              </w:rPr>
            </w:pPr>
            <w:r w:rsidRPr="00E4517B">
              <w:rPr>
                <w:rFonts w:asciiTheme="majorHAnsi" w:hAnsiTheme="majorHAnsi" w:cstheme="majorHAnsi"/>
                <w:bCs/>
                <w:sz w:val="20"/>
                <w:szCs w:val="20"/>
                <w:lang w:val="ro-RO"/>
              </w:rPr>
              <w:t>641,9</w:t>
            </w:r>
          </w:p>
        </w:tc>
        <w:tc>
          <w:tcPr>
            <w:tcW w:w="1276" w:type="dxa"/>
            <w:vAlign w:val="center"/>
          </w:tcPr>
          <w:p w:rsidR="00301403" w:rsidRPr="00973E5B" w:rsidRDefault="00301403" w:rsidP="0030140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lang w:val="ro-RO"/>
              </w:rPr>
            </w:pPr>
            <w:r w:rsidRPr="00973E5B">
              <w:rPr>
                <w:rFonts w:asciiTheme="majorHAnsi" w:hAnsiTheme="majorHAnsi" w:cstheme="majorHAnsi"/>
                <w:bCs/>
                <w:sz w:val="20"/>
                <w:szCs w:val="20"/>
                <w:lang w:val="ro-RO"/>
              </w:rPr>
              <w:t>637,4</w:t>
            </w:r>
          </w:p>
        </w:tc>
        <w:tc>
          <w:tcPr>
            <w:tcW w:w="864" w:type="dxa"/>
            <w:tcBorders>
              <w:top w:val="nil"/>
              <w:left w:val="nil"/>
              <w:bottom w:val="single" w:sz="8" w:space="0" w:color="999999"/>
              <w:right w:val="single" w:sz="8" w:space="0" w:color="999999"/>
            </w:tcBorders>
            <w:shd w:val="clear" w:color="auto" w:fill="auto"/>
            <w:vAlign w:val="center"/>
          </w:tcPr>
          <w:p w:rsidR="00301403" w:rsidRPr="009131CF" w:rsidRDefault="00301403" w:rsidP="0030140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9131CF">
              <w:rPr>
                <w:rFonts w:ascii="Calibri Light" w:hAnsi="Calibri Light" w:cs="Calibri Light"/>
                <w:color w:val="000000"/>
                <w:sz w:val="20"/>
                <w:szCs w:val="20"/>
                <w:lang w:val="ro-RO"/>
              </w:rPr>
              <w:t>1,3</w:t>
            </w:r>
          </w:p>
        </w:tc>
        <w:tc>
          <w:tcPr>
            <w:tcW w:w="979" w:type="dxa"/>
            <w:tcBorders>
              <w:top w:val="nil"/>
              <w:left w:val="nil"/>
              <w:bottom w:val="single" w:sz="8" w:space="0" w:color="999999"/>
              <w:right w:val="single" w:sz="8" w:space="0" w:color="999999"/>
            </w:tcBorders>
            <w:shd w:val="clear" w:color="auto" w:fill="auto"/>
            <w:vAlign w:val="center"/>
          </w:tcPr>
          <w:p w:rsidR="00301403" w:rsidRPr="00E4517B" w:rsidRDefault="00301403" w:rsidP="0030140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-4,5</w:t>
            </w:r>
          </w:p>
        </w:tc>
        <w:tc>
          <w:tcPr>
            <w:tcW w:w="853" w:type="dxa"/>
            <w:tcBorders>
              <w:top w:val="nil"/>
              <w:left w:val="nil"/>
              <w:bottom w:val="single" w:sz="8" w:space="0" w:color="999999"/>
              <w:right w:val="single" w:sz="8" w:space="0" w:color="999999"/>
            </w:tcBorders>
            <w:shd w:val="clear" w:color="auto" w:fill="auto"/>
            <w:vAlign w:val="center"/>
          </w:tcPr>
          <w:p w:rsidR="00301403" w:rsidRPr="00E4517B" w:rsidRDefault="00301403" w:rsidP="0030140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99,3</w:t>
            </w:r>
          </w:p>
        </w:tc>
        <w:tc>
          <w:tcPr>
            <w:tcW w:w="1134" w:type="dxa"/>
            <w:vAlign w:val="center"/>
          </w:tcPr>
          <w:p w:rsidR="00301403" w:rsidRPr="00E4517B" w:rsidRDefault="00301403" w:rsidP="0030140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lang w:val="ro-RO"/>
              </w:rPr>
            </w:pPr>
            <w:r w:rsidRPr="00E4517B">
              <w:rPr>
                <w:rFonts w:asciiTheme="majorHAnsi" w:hAnsiTheme="majorHAnsi" w:cstheme="majorHAnsi"/>
                <w:bCs/>
                <w:sz w:val="20"/>
                <w:szCs w:val="20"/>
                <w:lang w:val="ro-RO"/>
              </w:rPr>
              <w:t>598,5</w:t>
            </w:r>
          </w:p>
        </w:tc>
        <w:tc>
          <w:tcPr>
            <w:tcW w:w="992" w:type="dxa"/>
            <w:tcBorders>
              <w:top w:val="single" w:sz="8" w:space="0" w:color="999999"/>
              <w:left w:val="single" w:sz="8" w:space="0" w:color="999999"/>
              <w:bottom w:val="single" w:sz="8" w:space="0" w:color="999999"/>
              <w:right w:val="single" w:sz="8" w:space="0" w:color="999999"/>
            </w:tcBorders>
            <w:shd w:val="clear" w:color="auto" w:fill="auto"/>
            <w:vAlign w:val="center"/>
          </w:tcPr>
          <w:p w:rsidR="00301403" w:rsidRPr="00E4517B" w:rsidRDefault="00301403" w:rsidP="0030140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38,9</w:t>
            </w:r>
          </w:p>
        </w:tc>
        <w:tc>
          <w:tcPr>
            <w:tcW w:w="1132" w:type="dxa"/>
            <w:tcBorders>
              <w:top w:val="nil"/>
              <w:left w:val="nil"/>
              <w:bottom w:val="single" w:sz="8" w:space="0" w:color="999999"/>
              <w:right w:val="single" w:sz="8" w:space="0" w:color="999999"/>
            </w:tcBorders>
            <w:shd w:val="clear" w:color="auto" w:fill="auto"/>
            <w:vAlign w:val="center"/>
          </w:tcPr>
          <w:p w:rsidR="00301403" w:rsidRPr="00E4517B" w:rsidRDefault="00301403" w:rsidP="0030140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106,5</w:t>
            </w:r>
          </w:p>
        </w:tc>
      </w:tr>
      <w:tr w:rsidR="00301403" w:rsidRPr="00E4517B" w:rsidTr="004D6726">
        <w:tc>
          <w:tcPr>
            <w:cnfStyle w:val="001000000000" w:firstRow="0" w:lastRow="0" w:firstColumn="1" w:lastColumn="0" w:oddVBand="0" w:evenVBand="0" w:oddHBand="0" w:evenHBand="0" w:firstRowFirstColumn="0" w:firstRowLastColumn="0" w:lastRowFirstColumn="0" w:lastRowLastColumn="0"/>
            <w:tcW w:w="3969" w:type="dxa"/>
          </w:tcPr>
          <w:p w:rsidR="00301403" w:rsidRPr="00E4517B" w:rsidRDefault="00301403" w:rsidP="00301403">
            <w:pPr>
              <w:jc w:val="left"/>
              <w:rPr>
                <w:rFonts w:asciiTheme="majorHAnsi" w:eastAsia="Times New Roman" w:hAnsiTheme="majorHAnsi" w:cstheme="majorHAnsi"/>
                <w:sz w:val="20"/>
                <w:szCs w:val="20"/>
                <w:lang w:val="ro-RO" w:eastAsia="ru-RU"/>
              </w:rPr>
            </w:pPr>
            <w:r w:rsidRPr="00E4517B">
              <w:rPr>
                <w:rFonts w:asciiTheme="majorHAnsi" w:eastAsia="Times New Roman" w:hAnsiTheme="majorHAnsi" w:cstheme="majorHAnsi"/>
                <w:sz w:val="20"/>
                <w:szCs w:val="20"/>
                <w:lang w:val="ro-RO" w:eastAsia="ru-RU"/>
              </w:rPr>
              <w:t>Ordine publică și securitate națională</w:t>
            </w:r>
          </w:p>
        </w:tc>
        <w:tc>
          <w:tcPr>
            <w:tcW w:w="1002" w:type="dxa"/>
            <w:vAlign w:val="center"/>
          </w:tcPr>
          <w:p w:rsidR="00301403" w:rsidRPr="00F55BA6" w:rsidRDefault="00301403" w:rsidP="0030140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lang w:val="ro-RO"/>
              </w:rPr>
            </w:pPr>
            <w:r w:rsidRPr="00F55BA6">
              <w:rPr>
                <w:rFonts w:asciiTheme="majorHAnsi" w:hAnsiTheme="majorHAnsi" w:cstheme="majorHAnsi"/>
                <w:bCs/>
                <w:sz w:val="20"/>
                <w:szCs w:val="20"/>
                <w:lang w:val="ro-RO"/>
              </w:rPr>
              <w:t>5.256,1</w:t>
            </w:r>
          </w:p>
        </w:tc>
        <w:tc>
          <w:tcPr>
            <w:tcW w:w="982" w:type="dxa"/>
            <w:vAlign w:val="center"/>
          </w:tcPr>
          <w:p w:rsidR="00301403" w:rsidRPr="00E4517B" w:rsidRDefault="00301403" w:rsidP="0030140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lang w:val="ro-RO"/>
              </w:rPr>
            </w:pPr>
            <w:r w:rsidRPr="00E4517B">
              <w:rPr>
                <w:rFonts w:asciiTheme="majorHAnsi" w:hAnsiTheme="majorHAnsi" w:cstheme="majorHAnsi"/>
                <w:bCs/>
                <w:sz w:val="20"/>
                <w:szCs w:val="20"/>
                <w:lang w:val="ro-RO"/>
              </w:rPr>
              <w:t>4.906,7</w:t>
            </w:r>
          </w:p>
        </w:tc>
        <w:tc>
          <w:tcPr>
            <w:tcW w:w="1276" w:type="dxa"/>
            <w:vAlign w:val="center"/>
          </w:tcPr>
          <w:p w:rsidR="00301403" w:rsidRPr="00973E5B" w:rsidRDefault="00301403" w:rsidP="0030140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lang w:val="ro-RO"/>
              </w:rPr>
            </w:pPr>
            <w:r w:rsidRPr="00973E5B">
              <w:rPr>
                <w:rFonts w:asciiTheme="majorHAnsi" w:hAnsiTheme="majorHAnsi" w:cstheme="majorHAnsi"/>
                <w:bCs/>
                <w:sz w:val="20"/>
                <w:szCs w:val="20"/>
                <w:lang w:val="ro-RO"/>
              </w:rPr>
              <w:t>4.750,4</w:t>
            </w:r>
          </w:p>
        </w:tc>
        <w:tc>
          <w:tcPr>
            <w:tcW w:w="864" w:type="dxa"/>
            <w:tcBorders>
              <w:top w:val="nil"/>
              <w:left w:val="nil"/>
              <w:bottom w:val="single" w:sz="8" w:space="0" w:color="999999"/>
              <w:right w:val="single" w:sz="8" w:space="0" w:color="999999"/>
            </w:tcBorders>
            <w:shd w:val="clear" w:color="auto" w:fill="auto"/>
            <w:vAlign w:val="center"/>
          </w:tcPr>
          <w:p w:rsidR="00301403" w:rsidRPr="009131CF" w:rsidRDefault="00301403" w:rsidP="0030140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9131CF">
              <w:rPr>
                <w:rFonts w:ascii="Calibri Light" w:hAnsi="Calibri Light" w:cs="Calibri Light"/>
                <w:color w:val="000000"/>
                <w:sz w:val="20"/>
                <w:szCs w:val="20"/>
                <w:lang w:val="ro-RO"/>
              </w:rPr>
              <w:t>9,6</w:t>
            </w:r>
          </w:p>
        </w:tc>
        <w:tc>
          <w:tcPr>
            <w:tcW w:w="979" w:type="dxa"/>
            <w:tcBorders>
              <w:top w:val="nil"/>
              <w:left w:val="nil"/>
              <w:bottom w:val="single" w:sz="8" w:space="0" w:color="999999"/>
              <w:right w:val="single" w:sz="8" w:space="0" w:color="999999"/>
            </w:tcBorders>
            <w:shd w:val="clear" w:color="auto" w:fill="auto"/>
            <w:vAlign w:val="center"/>
          </w:tcPr>
          <w:p w:rsidR="00301403" w:rsidRPr="00E4517B" w:rsidRDefault="00301403" w:rsidP="0030140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-156,3</w:t>
            </w:r>
          </w:p>
        </w:tc>
        <w:tc>
          <w:tcPr>
            <w:tcW w:w="853" w:type="dxa"/>
            <w:tcBorders>
              <w:top w:val="nil"/>
              <w:left w:val="nil"/>
              <w:bottom w:val="single" w:sz="8" w:space="0" w:color="999999"/>
              <w:right w:val="single" w:sz="8" w:space="0" w:color="999999"/>
            </w:tcBorders>
            <w:shd w:val="clear" w:color="auto" w:fill="auto"/>
            <w:vAlign w:val="center"/>
          </w:tcPr>
          <w:p w:rsidR="00301403" w:rsidRPr="00E4517B" w:rsidRDefault="00301403" w:rsidP="0030140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96,8</w:t>
            </w:r>
          </w:p>
        </w:tc>
        <w:tc>
          <w:tcPr>
            <w:tcW w:w="1134" w:type="dxa"/>
            <w:vAlign w:val="center"/>
          </w:tcPr>
          <w:p w:rsidR="00301403" w:rsidRPr="00E4517B" w:rsidRDefault="00301403" w:rsidP="0030140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lang w:val="ro-RO"/>
              </w:rPr>
            </w:pPr>
            <w:r w:rsidRPr="00E4517B">
              <w:rPr>
                <w:rFonts w:asciiTheme="majorHAnsi" w:hAnsiTheme="majorHAnsi" w:cstheme="majorHAnsi"/>
                <w:bCs/>
                <w:sz w:val="20"/>
                <w:szCs w:val="20"/>
                <w:lang w:val="ro-RO"/>
              </w:rPr>
              <w:t>4.304,6</w:t>
            </w:r>
          </w:p>
        </w:tc>
        <w:tc>
          <w:tcPr>
            <w:tcW w:w="992" w:type="dxa"/>
            <w:tcBorders>
              <w:top w:val="single" w:sz="8" w:space="0" w:color="999999"/>
              <w:left w:val="single" w:sz="8" w:space="0" w:color="999999"/>
              <w:bottom w:val="single" w:sz="8" w:space="0" w:color="999999"/>
              <w:right w:val="single" w:sz="8" w:space="0" w:color="999999"/>
            </w:tcBorders>
            <w:shd w:val="clear" w:color="auto" w:fill="auto"/>
            <w:vAlign w:val="center"/>
          </w:tcPr>
          <w:p w:rsidR="00301403" w:rsidRPr="00E4517B" w:rsidRDefault="00301403" w:rsidP="0030140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445,8</w:t>
            </w:r>
          </w:p>
        </w:tc>
        <w:tc>
          <w:tcPr>
            <w:tcW w:w="1132" w:type="dxa"/>
            <w:tcBorders>
              <w:top w:val="nil"/>
              <w:left w:val="nil"/>
              <w:bottom w:val="single" w:sz="8" w:space="0" w:color="999999"/>
              <w:right w:val="single" w:sz="8" w:space="0" w:color="999999"/>
            </w:tcBorders>
            <w:shd w:val="clear" w:color="auto" w:fill="auto"/>
            <w:vAlign w:val="center"/>
          </w:tcPr>
          <w:p w:rsidR="00301403" w:rsidRPr="00E4517B" w:rsidRDefault="00301403" w:rsidP="0030140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110,4</w:t>
            </w:r>
          </w:p>
        </w:tc>
      </w:tr>
      <w:tr w:rsidR="00301403" w:rsidRPr="00E4517B" w:rsidTr="004D6726">
        <w:tc>
          <w:tcPr>
            <w:cnfStyle w:val="001000000000" w:firstRow="0" w:lastRow="0" w:firstColumn="1" w:lastColumn="0" w:oddVBand="0" w:evenVBand="0" w:oddHBand="0" w:evenHBand="0" w:firstRowFirstColumn="0" w:firstRowLastColumn="0" w:lastRowFirstColumn="0" w:lastRowLastColumn="0"/>
            <w:tcW w:w="3969" w:type="dxa"/>
          </w:tcPr>
          <w:p w:rsidR="00301403" w:rsidRPr="00973E5B" w:rsidRDefault="00301403" w:rsidP="00301403">
            <w:pPr>
              <w:jc w:val="left"/>
              <w:rPr>
                <w:rFonts w:asciiTheme="majorHAnsi" w:eastAsia="Times New Roman" w:hAnsiTheme="majorHAnsi" w:cstheme="majorHAnsi"/>
                <w:sz w:val="20"/>
                <w:szCs w:val="20"/>
                <w:lang w:val="ro-RO" w:eastAsia="ru-RU"/>
              </w:rPr>
            </w:pPr>
            <w:r w:rsidRPr="00E4517B">
              <w:rPr>
                <w:rFonts w:asciiTheme="majorHAnsi" w:eastAsia="Times New Roman" w:hAnsiTheme="majorHAnsi" w:cstheme="majorHAnsi"/>
                <w:sz w:val="20"/>
                <w:szCs w:val="20"/>
                <w:lang w:val="ro-RO" w:eastAsia="ru-RU"/>
              </w:rPr>
              <w:t>Ser</w:t>
            </w:r>
            <w:r w:rsidRPr="00973E5B">
              <w:rPr>
                <w:rFonts w:asciiTheme="majorHAnsi" w:eastAsia="Times New Roman" w:hAnsiTheme="majorHAnsi" w:cstheme="majorHAnsi"/>
                <w:sz w:val="20"/>
                <w:szCs w:val="20"/>
                <w:lang w:val="ro-RO" w:eastAsia="ru-RU"/>
              </w:rPr>
              <w:t>vicii în domeniul economiei</w:t>
            </w:r>
          </w:p>
        </w:tc>
        <w:tc>
          <w:tcPr>
            <w:tcW w:w="1002" w:type="dxa"/>
            <w:vAlign w:val="center"/>
          </w:tcPr>
          <w:p w:rsidR="00301403" w:rsidRPr="00F55BA6" w:rsidRDefault="00301403" w:rsidP="0030140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lang w:val="ro-RO"/>
              </w:rPr>
            </w:pPr>
            <w:r w:rsidRPr="00F55BA6">
              <w:rPr>
                <w:rFonts w:asciiTheme="majorHAnsi" w:hAnsiTheme="majorHAnsi" w:cstheme="majorHAnsi"/>
                <w:bCs/>
                <w:sz w:val="20"/>
                <w:szCs w:val="20"/>
                <w:lang w:val="ro-RO"/>
              </w:rPr>
              <w:t>9.635,2</w:t>
            </w:r>
          </w:p>
        </w:tc>
        <w:tc>
          <w:tcPr>
            <w:tcW w:w="982" w:type="dxa"/>
            <w:vAlign w:val="center"/>
          </w:tcPr>
          <w:p w:rsidR="00301403" w:rsidRPr="00E4517B" w:rsidRDefault="00301403" w:rsidP="0030140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lang w:val="ro-RO"/>
              </w:rPr>
            </w:pPr>
            <w:r w:rsidRPr="00E4517B">
              <w:rPr>
                <w:rFonts w:asciiTheme="majorHAnsi" w:hAnsiTheme="majorHAnsi" w:cstheme="majorHAnsi"/>
                <w:bCs/>
                <w:sz w:val="20"/>
                <w:szCs w:val="20"/>
                <w:lang w:val="ro-RO"/>
              </w:rPr>
              <w:t>8.467,7</w:t>
            </w:r>
          </w:p>
        </w:tc>
        <w:tc>
          <w:tcPr>
            <w:tcW w:w="1276" w:type="dxa"/>
            <w:vAlign w:val="center"/>
          </w:tcPr>
          <w:p w:rsidR="00301403" w:rsidRPr="00973E5B" w:rsidRDefault="00301403" w:rsidP="0030140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lang w:val="ro-RO"/>
              </w:rPr>
            </w:pPr>
            <w:r w:rsidRPr="00973E5B">
              <w:rPr>
                <w:rFonts w:asciiTheme="majorHAnsi" w:hAnsiTheme="majorHAnsi" w:cstheme="majorHAnsi"/>
                <w:bCs/>
                <w:sz w:val="20"/>
                <w:szCs w:val="20"/>
                <w:lang w:val="ro-RO"/>
              </w:rPr>
              <w:t>7.831,7</w:t>
            </w:r>
          </w:p>
        </w:tc>
        <w:tc>
          <w:tcPr>
            <w:tcW w:w="864" w:type="dxa"/>
            <w:tcBorders>
              <w:top w:val="nil"/>
              <w:left w:val="nil"/>
              <w:bottom w:val="single" w:sz="8" w:space="0" w:color="999999"/>
              <w:right w:val="single" w:sz="8" w:space="0" w:color="999999"/>
            </w:tcBorders>
            <w:shd w:val="clear" w:color="auto" w:fill="auto"/>
            <w:vAlign w:val="center"/>
          </w:tcPr>
          <w:p w:rsidR="00301403" w:rsidRPr="009131CF" w:rsidRDefault="00301403" w:rsidP="0030140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9131CF">
              <w:rPr>
                <w:rFonts w:ascii="Calibri Light" w:hAnsi="Calibri Light" w:cs="Calibri Light"/>
                <w:color w:val="000000"/>
                <w:sz w:val="20"/>
                <w:szCs w:val="20"/>
                <w:lang w:val="ro-RO"/>
              </w:rPr>
              <w:t>15,8</w:t>
            </w:r>
          </w:p>
        </w:tc>
        <w:tc>
          <w:tcPr>
            <w:tcW w:w="979" w:type="dxa"/>
            <w:tcBorders>
              <w:top w:val="nil"/>
              <w:left w:val="nil"/>
              <w:bottom w:val="single" w:sz="8" w:space="0" w:color="999999"/>
              <w:right w:val="single" w:sz="8" w:space="0" w:color="999999"/>
            </w:tcBorders>
            <w:shd w:val="clear" w:color="auto" w:fill="auto"/>
            <w:vAlign w:val="center"/>
          </w:tcPr>
          <w:p w:rsidR="00301403" w:rsidRPr="00E4517B" w:rsidRDefault="00301403" w:rsidP="0030140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-636,0</w:t>
            </w:r>
          </w:p>
        </w:tc>
        <w:tc>
          <w:tcPr>
            <w:tcW w:w="853" w:type="dxa"/>
            <w:tcBorders>
              <w:top w:val="nil"/>
              <w:left w:val="nil"/>
              <w:bottom w:val="single" w:sz="8" w:space="0" w:color="999999"/>
              <w:right w:val="single" w:sz="8" w:space="0" w:color="999999"/>
            </w:tcBorders>
            <w:shd w:val="clear" w:color="auto" w:fill="auto"/>
            <w:vAlign w:val="center"/>
          </w:tcPr>
          <w:p w:rsidR="00301403" w:rsidRPr="00E4517B" w:rsidRDefault="00301403" w:rsidP="0030140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92,5</w:t>
            </w:r>
          </w:p>
        </w:tc>
        <w:tc>
          <w:tcPr>
            <w:tcW w:w="1134" w:type="dxa"/>
            <w:vAlign w:val="center"/>
          </w:tcPr>
          <w:p w:rsidR="00301403" w:rsidRPr="00E4517B" w:rsidRDefault="00301403" w:rsidP="0030140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lang w:val="ro-RO"/>
              </w:rPr>
            </w:pPr>
            <w:r w:rsidRPr="00E4517B">
              <w:rPr>
                <w:rFonts w:asciiTheme="majorHAnsi" w:hAnsiTheme="majorHAnsi" w:cstheme="majorHAnsi"/>
                <w:bCs/>
                <w:sz w:val="20"/>
                <w:szCs w:val="20"/>
                <w:lang w:val="ro-RO"/>
              </w:rPr>
              <w:t>6.192,6</w:t>
            </w:r>
          </w:p>
        </w:tc>
        <w:tc>
          <w:tcPr>
            <w:tcW w:w="992" w:type="dxa"/>
            <w:tcBorders>
              <w:top w:val="single" w:sz="8" w:space="0" w:color="999999"/>
              <w:left w:val="single" w:sz="8" w:space="0" w:color="999999"/>
              <w:bottom w:val="single" w:sz="8" w:space="0" w:color="999999"/>
              <w:right w:val="single" w:sz="8" w:space="0" w:color="999999"/>
            </w:tcBorders>
            <w:shd w:val="clear" w:color="auto" w:fill="auto"/>
            <w:vAlign w:val="center"/>
          </w:tcPr>
          <w:p w:rsidR="00301403" w:rsidRPr="00E4517B" w:rsidRDefault="00301403" w:rsidP="0030140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1.639,1</w:t>
            </w:r>
          </w:p>
        </w:tc>
        <w:tc>
          <w:tcPr>
            <w:tcW w:w="1132" w:type="dxa"/>
            <w:tcBorders>
              <w:top w:val="nil"/>
              <w:left w:val="nil"/>
              <w:bottom w:val="single" w:sz="8" w:space="0" w:color="999999"/>
              <w:right w:val="single" w:sz="8" w:space="0" w:color="999999"/>
            </w:tcBorders>
            <w:shd w:val="clear" w:color="auto" w:fill="auto"/>
            <w:vAlign w:val="center"/>
          </w:tcPr>
          <w:p w:rsidR="00301403" w:rsidRPr="00E4517B" w:rsidRDefault="00301403" w:rsidP="0030140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126,5</w:t>
            </w:r>
          </w:p>
        </w:tc>
      </w:tr>
      <w:tr w:rsidR="00301403" w:rsidRPr="00E4517B" w:rsidTr="004D6726">
        <w:tc>
          <w:tcPr>
            <w:cnfStyle w:val="001000000000" w:firstRow="0" w:lastRow="0" w:firstColumn="1" w:lastColumn="0" w:oddVBand="0" w:evenVBand="0" w:oddHBand="0" w:evenHBand="0" w:firstRowFirstColumn="0" w:firstRowLastColumn="0" w:lastRowFirstColumn="0" w:lastRowLastColumn="0"/>
            <w:tcW w:w="3969" w:type="dxa"/>
          </w:tcPr>
          <w:p w:rsidR="00301403" w:rsidRPr="00E4517B" w:rsidRDefault="00301403" w:rsidP="00301403">
            <w:pPr>
              <w:jc w:val="left"/>
              <w:rPr>
                <w:rFonts w:asciiTheme="majorHAnsi" w:eastAsia="Times New Roman" w:hAnsiTheme="majorHAnsi" w:cstheme="majorHAnsi"/>
                <w:sz w:val="20"/>
                <w:szCs w:val="20"/>
                <w:lang w:val="ro-RO" w:eastAsia="ru-RU"/>
              </w:rPr>
            </w:pPr>
            <w:r w:rsidRPr="00E4517B">
              <w:rPr>
                <w:rFonts w:asciiTheme="majorHAnsi" w:eastAsia="Times New Roman" w:hAnsiTheme="majorHAnsi" w:cstheme="majorHAnsi"/>
                <w:sz w:val="20"/>
                <w:szCs w:val="20"/>
                <w:lang w:val="ro-RO" w:eastAsia="ru-RU"/>
              </w:rPr>
              <w:t>Protecția mediului</w:t>
            </w:r>
          </w:p>
        </w:tc>
        <w:tc>
          <w:tcPr>
            <w:tcW w:w="1002" w:type="dxa"/>
            <w:vAlign w:val="center"/>
          </w:tcPr>
          <w:p w:rsidR="00301403" w:rsidRPr="00F55BA6" w:rsidRDefault="00301403" w:rsidP="0030140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lang w:val="ro-RO"/>
              </w:rPr>
            </w:pPr>
            <w:r w:rsidRPr="00F55BA6">
              <w:rPr>
                <w:rFonts w:asciiTheme="majorHAnsi" w:hAnsiTheme="majorHAnsi" w:cstheme="majorHAnsi"/>
                <w:bCs/>
                <w:sz w:val="20"/>
                <w:szCs w:val="20"/>
                <w:lang w:val="ro-RO"/>
              </w:rPr>
              <w:t>268,4</w:t>
            </w:r>
          </w:p>
        </w:tc>
        <w:tc>
          <w:tcPr>
            <w:tcW w:w="982" w:type="dxa"/>
            <w:vAlign w:val="center"/>
          </w:tcPr>
          <w:p w:rsidR="00301403" w:rsidRPr="00E4517B" w:rsidRDefault="00301403" w:rsidP="0030140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lang w:val="ro-RO"/>
              </w:rPr>
            </w:pPr>
            <w:r w:rsidRPr="00E4517B">
              <w:rPr>
                <w:rFonts w:asciiTheme="majorHAnsi" w:hAnsiTheme="majorHAnsi" w:cstheme="majorHAnsi"/>
                <w:bCs/>
                <w:sz w:val="20"/>
                <w:szCs w:val="20"/>
                <w:lang w:val="ro-RO"/>
              </w:rPr>
              <w:t>285,9</w:t>
            </w:r>
          </w:p>
        </w:tc>
        <w:tc>
          <w:tcPr>
            <w:tcW w:w="1276" w:type="dxa"/>
            <w:vAlign w:val="center"/>
          </w:tcPr>
          <w:p w:rsidR="00301403" w:rsidRPr="00973E5B" w:rsidRDefault="00301403" w:rsidP="0030140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lang w:val="ro-RO"/>
              </w:rPr>
            </w:pPr>
            <w:r w:rsidRPr="00973E5B">
              <w:rPr>
                <w:rFonts w:asciiTheme="majorHAnsi" w:hAnsiTheme="majorHAnsi" w:cstheme="majorHAnsi"/>
                <w:bCs/>
                <w:sz w:val="20"/>
                <w:szCs w:val="20"/>
                <w:lang w:val="ro-RO"/>
              </w:rPr>
              <w:t>232,3</w:t>
            </w:r>
          </w:p>
        </w:tc>
        <w:tc>
          <w:tcPr>
            <w:tcW w:w="864" w:type="dxa"/>
            <w:tcBorders>
              <w:top w:val="nil"/>
              <w:left w:val="nil"/>
              <w:bottom w:val="single" w:sz="8" w:space="0" w:color="999999"/>
              <w:right w:val="single" w:sz="8" w:space="0" w:color="999999"/>
            </w:tcBorders>
            <w:shd w:val="clear" w:color="auto" w:fill="auto"/>
            <w:vAlign w:val="center"/>
          </w:tcPr>
          <w:p w:rsidR="00301403" w:rsidRPr="009131CF" w:rsidRDefault="00301403" w:rsidP="0030140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9131CF">
              <w:rPr>
                <w:rFonts w:ascii="Calibri Light" w:hAnsi="Calibri Light" w:cs="Calibri Light"/>
                <w:color w:val="000000"/>
                <w:sz w:val="20"/>
                <w:szCs w:val="20"/>
                <w:lang w:val="ro-RO"/>
              </w:rPr>
              <w:t>0,5</w:t>
            </w:r>
          </w:p>
        </w:tc>
        <w:tc>
          <w:tcPr>
            <w:tcW w:w="979" w:type="dxa"/>
            <w:tcBorders>
              <w:top w:val="nil"/>
              <w:left w:val="nil"/>
              <w:bottom w:val="single" w:sz="8" w:space="0" w:color="999999"/>
              <w:right w:val="single" w:sz="8" w:space="0" w:color="999999"/>
            </w:tcBorders>
            <w:shd w:val="clear" w:color="auto" w:fill="auto"/>
            <w:vAlign w:val="center"/>
          </w:tcPr>
          <w:p w:rsidR="00301403" w:rsidRPr="00E4517B" w:rsidRDefault="00301403" w:rsidP="0030140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-53,6</w:t>
            </w:r>
          </w:p>
        </w:tc>
        <w:tc>
          <w:tcPr>
            <w:tcW w:w="853" w:type="dxa"/>
            <w:tcBorders>
              <w:top w:val="nil"/>
              <w:left w:val="nil"/>
              <w:bottom w:val="single" w:sz="8" w:space="0" w:color="999999"/>
              <w:right w:val="single" w:sz="8" w:space="0" w:color="999999"/>
            </w:tcBorders>
            <w:shd w:val="clear" w:color="auto" w:fill="auto"/>
            <w:vAlign w:val="center"/>
          </w:tcPr>
          <w:p w:rsidR="00301403" w:rsidRPr="00E4517B" w:rsidRDefault="00301403" w:rsidP="0030140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81,3</w:t>
            </w:r>
          </w:p>
        </w:tc>
        <w:tc>
          <w:tcPr>
            <w:tcW w:w="1134" w:type="dxa"/>
            <w:vAlign w:val="center"/>
          </w:tcPr>
          <w:p w:rsidR="00301403" w:rsidRPr="00E4517B" w:rsidRDefault="00301403" w:rsidP="0030140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lang w:val="ro-RO"/>
              </w:rPr>
            </w:pPr>
            <w:r w:rsidRPr="00E4517B">
              <w:rPr>
                <w:rFonts w:asciiTheme="majorHAnsi" w:hAnsiTheme="majorHAnsi" w:cstheme="majorHAnsi"/>
                <w:bCs/>
                <w:sz w:val="20"/>
                <w:szCs w:val="20"/>
                <w:lang w:val="ro-RO"/>
              </w:rPr>
              <w:t>133,7</w:t>
            </w:r>
          </w:p>
        </w:tc>
        <w:tc>
          <w:tcPr>
            <w:tcW w:w="992" w:type="dxa"/>
            <w:tcBorders>
              <w:top w:val="single" w:sz="8" w:space="0" w:color="999999"/>
              <w:left w:val="single" w:sz="8" w:space="0" w:color="999999"/>
              <w:bottom w:val="single" w:sz="8" w:space="0" w:color="999999"/>
              <w:right w:val="single" w:sz="8" w:space="0" w:color="999999"/>
            </w:tcBorders>
            <w:shd w:val="clear" w:color="auto" w:fill="auto"/>
            <w:vAlign w:val="center"/>
          </w:tcPr>
          <w:p w:rsidR="00301403" w:rsidRPr="00E4517B" w:rsidRDefault="00301403" w:rsidP="0030140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98,6</w:t>
            </w:r>
          </w:p>
        </w:tc>
        <w:tc>
          <w:tcPr>
            <w:tcW w:w="1132" w:type="dxa"/>
            <w:tcBorders>
              <w:top w:val="nil"/>
              <w:left w:val="nil"/>
              <w:bottom w:val="single" w:sz="8" w:space="0" w:color="999999"/>
              <w:right w:val="single" w:sz="8" w:space="0" w:color="999999"/>
            </w:tcBorders>
            <w:shd w:val="clear" w:color="auto" w:fill="auto"/>
            <w:vAlign w:val="center"/>
          </w:tcPr>
          <w:p w:rsidR="00301403" w:rsidRPr="00E4517B" w:rsidRDefault="00301403" w:rsidP="0030140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173,7</w:t>
            </w:r>
          </w:p>
        </w:tc>
      </w:tr>
      <w:tr w:rsidR="00301403" w:rsidRPr="00E4517B" w:rsidTr="004D6726">
        <w:tc>
          <w:tcPr>
            <w:cnfStyle w:val="001000000000" w:firstRow="0" w:lastRow="0" w:firstColumn="1" w:lastColumn="0" w:oddVBand="0" w:evenVBand="0" w:oddHBand="0" w:evenHBand="0" w:firstRowFirstColumn="0" w:firstRowLastColumn="0" w:lastRowFirstColumn="0" w:lastRowLastColumn="0"/>
            <w:tcW w:w="3969" w:type="dxa"/>
          </w:tcPr>
          <w:p w:rsidR="00301403" w:rsidRPr="00E4517B" w:rsidRDefault="00301403" w:rsidP="00301403">
            <w:pPr>
              <w:jc w:val="left"/>
              <w:rPr>
                <w:rFonts w:asciiTheme="majorHAnsi" w:eastAsia="Times New Roman" w:hAnsiTheme="majorHAnsi" w:cstheme="majorHAnsi"/>
                <w:sz w:val="20"/>
                <w:szCs w:val="20"/>
                <w:lang w:val="ro-RO" w:eastAsia="ru-RU"/>
              </w:rPr>
            </w:pPr>
            <w:r w:rsidRPr="00E4517B">
              <w:rPr>
                <w:rFonts w:asciiTheme="majorHAnsi" w:eastAsia="Times New Roman" w:hAnsiTheme="majorHAnsi" w:cstheme="majorHAnsi"/>
                <w:sz w:val="20"/>
                <w:szCs w:val="20"/>
                <w:lang w:val="ro-RO" w:eastAsia="ru-RU"/>
              </w:rPr>
              <w:t>Gospodăria de locuințe și gospodăria serviciilor comunale</w:t>
            </w:r>
          </w:p>
        </w:tc>
        <w:tc>
          <w:tcPr>
            <w:tcW w:w="1002" w:type="dxa"/>
            <w:vAlign w:val="center"/>
          </w:tcPr>
          <w:p w:rsidR="00301403" w:rsidRPr="00F55BA6" w:rsidRDefault="00301403" w:rsidP="0030140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lang w:val="ro-RO"/>
              </w:rPr>
            </w:pPr>
            <w:r w:rsidRPr="00F55BA6">
              <w:rPr>
                <w:rFonts w:asciiTheme="majorHAnsi" w:hAnsiTheme="majorHAnsi" w:cstheme="majorHAnsi"/>
                <w:bCs/>
                <w:sz w:val="20"/>
                <w:szCs w:val="20"/>
                <w:lang w:val="ro-RO"/>
              </w:rPr>
              <w:t>409,9</w:t>
            </w:r>
          </w:p>
        </w:tc>
        <w:tc>
          <w:tcPr>
            <w:tcW w:w="982" w:type="dxa"/>
            <w:vAlign w:val="center"/>
          </w:tcPr>
          <w:p w:rsidR="00301403" w:rsidRPr="00E4517B" w:rsidRDefault="00301403" w:rsidP="0030140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lang w:val="ro-RO"/>
              </w:rPr>
            </w:pPr>
            <w:r w:rsidRPr="00E4517B">
              <w:rPr>
                <w:rFonts w:asciiTheme="majorHAnsi" w:hAnsiTheme="majorHAnsi" w:cstheme="majorHAnsi"/>
                <w:bCs/>
                <w:sz w:val="20"/>
                <w:szCs w:val="20"/>
                <w:lang w:val="ro-RO"/>
              </w:rPr>
              <w:t>426,0</w:t>
            </w:r>
          </w:p>
        </w:tc>
        <w:tc>
          <w:tcPr>
            <w:tcW w:w="1276" w:type="dxa"/>
            <w:vAlign w:val="center"/>
          </w:tcPr>
          <w:p w:rsidR="00301403" w:rsidRPr="00973E5B" w:rsidRDefault="00301403" w:rsidP="0030140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lang w:val="ro-RO"/>
              </w:rPr>
            </w:pPr>
            <w:r w:rsidRPr="00973E5B">
              <w:rPr>
                <w:rFonts w:asciiTheme="majorHAnsi" w:hAnsiTheme="majorHAnsi" w:cstheme="majorHAnsi"/>
                <w:bCs/>
                <w:sz w:val="20"/>
                <w:szCs w:val="20"/>
                <w:lang w:val="ro-RO"/>
              </w:rPr>
              <w:t>346,5</w:t>
            </w:r>
          </w:p>
        </w:tc>
        <w:tc>
          <w:tcPr>
            <w:tcW w:w="864" w:type="dxa"/>
            <w:tcBorders>
              <w:top w:val="nil"/>
              <w:left w:val="nil"/>
              <w:bottom w:val="single" w:sz="8" w:space="0" w:color="999999"/>
              <w:right w:val="single" w:sz="8" w:space="0" w:color="999999"/>
            </w:tcBorders>
            <w:shd w:val="clear" w:color="auto" w:fill="auto"/>
            <w:vAlign w:val="center"/>
          </w:tcPr>
          <w:p w:rsidR="00301403" w:rsidRPr="009131CF" w:rsidRDefault="00301403" w:rsidP="0030140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9131CF">
              <w:rPr>
                <w:rFonts w:ascii="Calibri Light" w:hAnsi="Calibri Light" w:cs="Calibri Light"/>
                <w:color w:val="000000"/>
                <w:sz w:val="20"/>
                <w:szCs w:val="20"/>
                <w:lang w:val="ro-RO"/>
              </w:rPr>
              <w:t>0,7</w:t>
            </w:r>
          </w:p>
        </w:tc>
        <w:tc>
          <w:tcPr>
            <w:tcW w:w="979" w:type="dxa"/>
            <w:tcBorders>
              <w:top w:val="nil"/>
              <w:left w:val="nil"/>
              <w:bottom w:val="single" w:sz="8" w:space="0" w:color="999999"/>
              <w:right w:val="single" w:sz="8" w:space="0" w:color="999999"/>
            </w:tcBorders>
            <w:shd w:val="clear" w:color="auto" w:fill="auto"/>
            <w:vAlign w:val="center"/>
          </w:tcPr>
          <w:p w:rsidR="00301403" w:rsidRPr="00E4517B" w:rsidRDefault="00301403" w:rsidP="0030140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-79,5</w:t>
            </w:r>
          </w:p>
        </w:tc>
        <w:tc>
          <w:tcPr>
            <w:tcW w:w="853" w:type="dxa"/>
            <w:tcBorders>
              <w:top w:val="nil"/>
              <w:left w:val="nil"/>
              <w:bottom w:val="single" w:sz="8" w:space="0" w:color="999999"/>
              <w:right w:val="single" w:sz="8" w:space="0" w:color="999999"/>
            </w:tcBorders>
            <w:shd w:val="clear" w:color="auto" w:fill="auto"/>
            <w:vAlign w:val="center"/>
          </w:tcPr>
          <w:p w:rsidR="00301403" w:rsidRPr="00E4517B" w:rsidRDefault="00301403" w:rsidP="0030140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81,3</w:t>
            </w:r>
          </w:p>
        </w:tc>
        <w:tc>
          <w:tcPr>
            <w:tcW w:w="1134" w:type="dxa"/>
            <w:vAlign w:val="center"/>
          </w:tcPr>
          <w:p w:rsidR="00301403" w:rsidRPr="00E4517B" w:rsidRDefault="00301403" w:rsidP="0030140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lang w:val="ro-RO"/>
              </w:rPr>
            </w:pPr>
            <w:r w:rsidRPr="00E4517B">
              <w:rPr>
                <w:rFonts w:asciiTheme="majorHAnsi" w:hAnsiTheme="majorHAnsi" w:cstheme="majorHAnsi"/>
                <w:bCs/>
                <w:sz w:val="20"/>
                <w:szCs w:val="20"/>
                <w:lang w:val="ro-RO"/>
              </w:rPr>
              <w:t>292,2</w:t>
            </w:r>
          </w:p>
        </w:tc>
        <w:tc>
          <w:tcPr>
            <w:tcW w:w="992" w:type="dxa"/>
            <w:tcBorders>
              <w:top w:val="single" w:sz="8" w:space="0" w:color="999999"/>
              <w:left w:val="single" w:sz="8" w:space="0" w:color="999999"/>
              <w:bottom w:val="single" w:sz="8" w:space="0" w:color="999999"/>
              <w:right w:val="single" w:sz="8" w:space="0" w:color="999999"/>
            </w:tcBorders>
            <w:shd w:val="clear" w:color="auto" w:fill="auto"/>
            <w:vAlign w:val="center"/>
          </w:tcPr>
          <w:p w:rsidR="00301403" w:rsidRPr="00E4517B" w:rsidRDefault="00301403" w:rsidP="0030140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54,3</w:t>
            </w:r>
          </w:p>
        </w:tc>
        <w:tc>
          <w:tcPr>
            <w:tcW w:w="1132" w:type="dxa"/>
            <w:tcBorders>
              <w:top w:val="nil"/>
              <w:left w:val="nil"/>
              <w:bottom w:val="single" w:sz="8" w:space="0" w:color="999999"/>
              <w:right w:val="single" w:sz="8" w:space="0" w:color="999999"/>
            </w:tcBorders>
            <w:shd w:val="clear" w:color="auto" w:fill="auto"/>
            <w:vAlign w:val="center"/>
          </w:tcPr>
          <w:p w:rsidR="00301403" w:rsidRPr="00E4517B" w:rsidRDefault="00301403" w:rsidP="0030140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118,6</w:t>
            </w:r>
          </w:p>
        </w:tc>
      </w:tr>
      <w:tr w:rsidR="00301403" w:rsidRPr="00E4517B" w:rsidTr="004D6726">
        <w:tc>
          <w:tcPr>
            <w:cnfStyle w:val="001000000000" w:firstRow="0" w:lastRow="0" w:firstColumn="1" w:lastColumn="0" w:oddVBand="0" w:evenVBand="0" w:oddHBand="0" w:evenHBand="0" w:firstRowFirstColumn="0" w:firstRowLastColumn="0" w:lastRowFirstColumn="0" w:lastRowLastColumn="0"/>
            <w:tcW w:w="3969" w:type="dxa"/>
          </w:tcPr>
          <w:p w:rsidR="00301403" w:rsidRPr="00E4517B" w:rsidRDefault="00301403" w:rsidP="00301403">
            <w:pPr>
              <w:jc w:val="left"/>
              <w:rPr>
                <w:rFonts w:asciiTheme="majorHAnsi" w:eastAsia="Times New Roman" w:hAnsiTheme="majorHAnsi" w:cstheme="majorHAnsi"/>
                <w:sz w:val="20"/>
                <w:szCs w:val="20"/>
                <w:lang w:val="ro-RO" w:eastAsia="ru-RU"/>
              </w:rPr>
            </w:pPr>
            <w:r w:rsidRPr="00E4517B">
              <w:rPr>
                <w:rFonts w:asciiTheme="majorHAnsi" w:eastAsia="Times New Roman" w:hAnsiTheme="majorHAnsi" w:cstheme="majorHAnsi"/>
                <w:sz w:val="20"/>
                <w:szCs w:val="20"/>
                <w:lang w:val="ro-RO" w:eastAsia="ru-RU"/>
              </w:rPr>
              <w:t xml:space="preserve">Ocrotirea sănătății </w:t>
            </w:r>
          </w:p>
        </w:tc>
        <w:tc>
          <w:tcPr>
            <w:tcW w:w="1002" w:type="dxa"/>
            <w:vAlign w:val="center"/>
          </w:tcPr>
          <w:p w:rsidR="00301403" w:rsidRPr="00F55BA6" w:rsidRDefault="00301403" w:rsidP="0030140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lang w:val="ro-RO"/>
              </w:rPr>
            </w:pPr>
            <w:r w:rsidRPr="00F55BA6">
              <w:rPr>
                <w:rFonts w:asciiTheme="majorHAnsi" w:hAnsiTheme="majorHAnsi" w:cstheme="majorHAnsi"/>
                <w:bCs/>
                <w:sz w:val="20"/>
                <w:szCs w:val="20"/>
                <w:lang w:val="ro-RO"/>
              </w:rPr>
              <w:t>4.537,3</w:t>
            </w:r>
          </w:p>
        </w:tc>
        <w:tc>
          <w:tcPr>
            <w:tcW w:w="982" w:type="dxa"/>
            <w:vAlign w:val="center"/>
          </w:tcPr>
          <w:p w:rsidR="00301403" w:rsidRPr="00E4517B" w:rsidRDefault="00301403" w:rsidP="0030140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lang w:val="ro-RO"/>
              </w:rPr>
            </w:pPr>
            <w:r w:rsidRPr="00E4517B">
              <w:rPr>
                <w:rFonts w:asciiTheme="majorHAnsi" w:hAnsiTheme="majorHAnsi" w:cstheme="majorHAnsi"/>
                <w:bCs/>
                <w:sz w:val="20"/>
                <w:szCs w:val="20"/>
                <w:lang w:val="ro-RO"/>
              </w:rPr>
              <w:t>5.660,7</w:t>
            </w:r>
          </w:p>
        </w:tc>
        <w:tc>
          <w:tcPr>
            <w:tcW w:w="1276" w:type="dxa"/>
            <w:vAlign w:val="center"/>
          </w:tcPr>
          <w:p w:rsidR="00301403" w:rsidRPr="00973E5B" w:rsidRDefault="00301403" w:rsidP="0030140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lang w:val="ro-RO"/>
              </w:rPr>
            </w:pPr>
            <w:r w:rsidRPr="00973E5B">
              <w:rPr>
                <w:rFonts w:asciiTheme="majorHAnsi" w:hAnsiTheme="majorHAnsi" w:cstheme="majorHAnsi"/>
                <w:bCs/>
                <w:sz w:val="20"/>
                <w:szCs w:val="20"/>
                <w:lang w:val="ro-RO"/>
              </w:rPr>
              <w:t>4.943,3</w:t>
            </w:r>
          </w:p>
        </w:tc>
        <w:tc>
          <w:tcPr>
            <w:tcW w:w="864" w:type="dxa"/>
            <w:tcBorders>
              <w:top w:val="nil"/>
              <w:left w:val="nil"/>
              <w:bottom w:val="single" w:sz="8" w:space="0" w:color="999999"/>
              <w:right w:val="single" w:sz="8" w:space="0" w:color="999999"/>
            </w:tcBorders>
            <w:shd w:val="clear" w:color="auto" w:fill="auto"/>
            <w:vAlign w:val="center"/>
          </w:tcPr>
          <w:p w:rsidR="00301403" w:rsidRPr="009131CF" w:rsidRDefault="00301403" w:rsidP="0030140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9131CF">
              <w:rPr>
                <w:rFonts w:ascii="Calibri Light" w:hAnsi="Calibri Light" w:cs="Calibri Light"/>
                <w:color w:val="000000"/>
                <w:sz w:val="20"/>
                <w:szCs w:val="20"/>
                <w:lang w:val="ro-RO"/>
              </w:rPr>
              <w:t>10,0</w:t>
            </w:r>
          </w:p>
        </w:tc>
        <w:tc>
          <w:tcPr>
            <w:tcW w:w="979" w:type="dxa"/>
            <w:tcBorders>
              <w:top w:val="nil"/>
              <w:left w:val="nil"/>
              <w:bottom w:val="single" w:sz="8" w:space="0" w:color="999999"/>
              <w:right w:val="single" w:sz="8" w:space="0" w:color="999999"/>
            </w:tcBorders>
            <w:shd w:val="clear" w:color="auto" w:fill="auto"/>
            <w:vAlign w:val="center"/>
          </w:tcPr>
          <w:p w:rsidR="00301403" w:rsidRPr="00E4517B" w:rsidRDefault="00301403" w:rsidP="0030140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-717,4</w:t>
            </w:r>
          </w:p>
        </w:tc>
        <w:tc>
          <w:tcPr>
            <w:tcW w:w="853" w:type="dxa"/>
            <w:tcBorders>
              <w:top w:val="nil"/>
              <w:left w:val="nil"/>
              <w:bottom w:val="single" w:sz="8" w:space="0" w:color="999999"/>
              <w:right w:val="single" w:sz="8" w:space="0" w:color="999999"/>
            </w:tcBorders>
            <w:shd w:val="clear" w:color="auto" w:fill="auto"/>
            <w:vAlign w:val="center"/>
          </w:tcPr>
          <w:p w:rsidR="00301403" w:rsidRPr="00E4517B" w:rsidRDefault="00301403" w:rsidP="0030140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87,3</w:t>
            </w:r>
          </w:p>
        </w:tc>
        <w:tc>
          <w:tcPr>
            <w:tcW w:w="1134" w:type="dxa"/>
            <w:vAlign w:val="center"/>
          </w:tcPr>
          <w:p w:rsidR="00301403" w:rsidRPr="00E4517B" w:rsidRDefault="00301403" w:rsidP="0030140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lang w:val="ro-RO"/>
              </w:rPr>
            </w:pPr>
            <w:r w:rsidRPr="00E4517B">
              <w:rPr>
                <w:rFonts w:asciiTheme="majorHAnsi" w:hAnsiTheme="majorHAnsi" w:cstheme="majorHAnsi"/>
                <w:bCs/>
                <w:sz w:val="20"/>
                <w:szCs w:val="20"/>
                <w:lang w:val="ro-RO"/>
              </w:rPr>
              <w:t>3.786,7</w:t>
            </w:r>
          </w:p>
        </w:tc>
        <w:tc>
          <w:tcPr>
            <w:tcW w:w="992" w:type="dxa"/>
            <w:tcBorders>
              <w:top w:val="single" w:sz="8" w:space="0" w:color="999999"/>
              <w:left w:val="single" w:sz="8" w:space="0" w:color="999999"/>
              <w:bottom w:val="single" w:sz="8" w:space="0" w:color="999999"/>
              <w:right w:val="single" w:sz="8" w:space="0" w:color="999999"/>
            </w:tcBorders>
            <w:shd w:val="clear" w:color="auto" w:fill="auto"/>
            <w:vAlign w:val="center"/>
          </w:tcPr>
          <w:p w:rsidR="00301403" w:rsidRPr="00E4517B" w:rsidRDefault="00301403" w:rsidP="0030140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1.156,6</w:t>
            </w:r>
          </w:p>
        </w:tc>
        <w:tc>
          <w:tcPr>
            <w:tcW w:w="1132" w:type="dxa"/>
            <w:tcBorders>
              <w:top w:val="nil"/>
              <w:left w:val="nil"/>
              <w:bottom w:val="single" w:sz="8" w:space="0" w:color="999999"/>
              <w:right w:val="single" w:sz="8" w:space="0" w:color="999999"/>
            </w:tcBorders>
            <w:shd w:val="clear" w:color="auto" w:fill="auto"/>
            <w:vAlign w:val="center"/>
          </w:tcPr>
          <w:p w:rsidR="00301403" w:rsidRPr="00E4517B" w:rsidRDefault="00301403" w:rsidP="0030140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130,5</w:t>
            </w:r>
          </w:p>
        </w:tc>
      </w:tr>
      <w:tr w:rsidR="00301403" w:rsidRPr="00E4517B" w:rsidTr="004D6726">
        <w:tc>
          <w:tcPr>
            <w:cnfStyle w:val="001000000000" w:firstRow="0" w:lastRow="0" w:firstColumn="1" w:lastColumn="0" w:oddVBand="0" w:evenVBand="0" w:oddHBand="0" w:evenHBand="0" w:firstRowFirstColumn="0" w:firstRowLastColumn="0" w:lastRowFirstColumn="0" w:lastRowLastColumn="0"/>
            <w:tcW w:w="3969" w:type="dxa"/>
          </w:tcPr>
          <w:p w:rsidR="00301403" w:rsidRPr="00E4517B" w:rsidRDefault="00301403" w:rsidP="00301403">
            <w:pPr>
              <w:jc w:val="left"/>
              <w:rPr>
                <w:rFonts w:asciiTheme="majorHAnsi" w:eastAsia="Times New Roman" w:hAnsiTheme="majorHAnsi" w:cstheme="majorHAnsi"/>
                <w:sz w:val="20"/>
                <w:szCs w:val="20"/>
                <w:lang w:val="ro-RO" w:eastAsia="ru-RU"/>
              </w:rPr>
            </w:pPr>
            <w:r w:rsidRPr="00E4517B">
              <w:rPr>
                <w:rFonts w:asciiTheme="majorHAnsi" w:eastAsia="Times New Roman" w:hAnsiTheme="majorHAnsi" w:cstheme="majorHAnsi"/>
                <w:sz w:val="20"/>
                <w:szCs w:val="20"/>
                <w:lang w:val="ro-RO" w:eastAsia="ru-RU"/>
              </w:rPr>
              <w:t>Cultură, sport, tineret, culte și odihnă</w:t>
            </w:r>
          </w:p>
        </w:tc>
        <w:tc>
          <w:tcPr>
            <w:tcW w:w="1002" w:type="dxa"/>
            <w:vAlign w:val="center"/>
          </w:tcPr>
          <w:p w:rsidR="00301403" w:rsidRPr="00F55BA6" w:rsidRDefault="00301403" w:rsidP="0030140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lang w:val="ro-RO"/>
              </w:rPr>
            </w:pPr>
            <w:r w:rsidRPr="00F55BA6">
              <w:rPr>
                <w:rFonts w:asciiTheme="majorHAnsi" w:hAnsiTheme="majorHAnsi" w:cstheme="majorHAnsi"/>
                <w:bCs/>
                <w:sz w:val="20"/>
                <w:szCs w:val="20"/>
                <w:lang w:val="ro-RO"/>
              </w:rPr>
              <w:t>890,1</w:t>
            </w:r>
          </w:p>
        </w:tc>
        <w:tc>
          <w:tcPr>
            <w:tcW w:w="982" w:type="dxa"/>
            <w:vAlign w:val="center"/>
          </w:tcPr>
          <w:p w:rsidR="00301403" w:rsidRPr="00E4517B" w:rsidRDefault="00301403" w:rsidP="0030140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lang w:val="ro-RO"/>
              </w:rPr>
            </w:pPr>
            <w:r w:rsidRPr="00E4517B">
              <w:rPr>
                <w:rFonts w:asciiTheme="majorHAnsi" w:hAnsiTheme="majorHAnsi" w:cstheme="majorHAnsi"/>
                <w:bCs/>
                <w:sz w:val="20"/>
                <w:szCs w:val="20"/>
                <w:lang w:val="ro-RO"/>
              </w:rPr>
              <w:t>868,2</w:t>
            </w:r>
          </w:p>
        </w:tc>
        <w:tc>
          <w:tcPr>
            <w:tcW w:w="1276" w:type="dxa"/>
            <w:vAlign w:val="center"/>
          </w:tcPr>
          <w:p w:rsidR="00301403" w:rsidRPr="00973E5B" w:rsidRDefault="00301403" w:rsidP="0030140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lang w:val="ro-RO"/>
              </w:rPr>
            </w:pPr>
            <w:r w:rsidRPr="00973E5B">
              <w:rPr>
                <w:rFonts w:asciiTheme="majorHAnsi" w:hAnsiTheme="majorHAnsi" w:cstheme="majorHAnsi"/>
                <w:bCs/>
                <w:sz w:val="20"/>
                <w:szCs w:val="20"/>
                <w:lang w:val="ro-RO"/>
              </w:rPr>
              <w:t>825,7</w:t>
            </w:r>
          </w:p>
        </w:tc>
        <w:tc>
          <w:tcPr>
            <w:tcW w:w="864" w:type="dxa"/>
            <w:tcBorders>
              <w:top w:val="nil"/>
              <w:left w:val="nil"/>
              <w:bottom w:val="single" w:sz="8" w:space="0" w:color="999999"/>
              <w:right w:val="single" w:sz="8" w:space="0" w:color="999999"/>
            </w:tcBorders>
            <w:shd w:val="clear" w:color="auto" w:fill="auto"/>
            <w:vAlign w:val="center"/>
          </w:tcPr>
          <w:p w:rsidR="00301403" w:rsidRPr="009131CF" w:rsidRDefault="00301403" w:rsidP="0030140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9131CF">
              <w:rPr>
                <w:rFonts w:ascii="Calibri Light" w:hAnsi="Calibri Light" w:cs="Calibri Light"/>
                <w:color w:val="000000"/>
                <w:sz w:val="20"/>
                <w:szCs w:val="20"/>
                <w:lang w:val="ro-RO"/>
              </w:rPr>
              <w:t>1,7</w:t>
            </w:r>
          </w:p>
        </w:tc>
        <w:tc>
          <w:tcPr>
            <w:tcW w:w="979" w:type="dxa"/>
            <w:tcBorders>
              <w:top w:val="nil"/>
              <w:left w:val="nil"/>
              <w:bottom w:val="single" w:sz="8" w:space="0" w:color="999999"/>
              <w:right w:val="single" w:sz="8" w:space="0" w:color="999999"/>
            </w:tcBorders>
            <w:shd w:val="clear" w:color="auto" w:fill="auto"/>
            <w:vAlign w:val="center"/>
          </w:tcPr>
          <w:p w:rsidR="00301403" w:rsidRPr="00E4517B" w:rsidRDefault="00301403" w:rsidP="0030140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-42,5</w:t>
            </w:r>
          </w:p>
        </w:tc>
        <w:tc>
          <w:tcPr>
            <w:tcW w:w="853" w:type="dxa"/>
            <w:tcBorders>
              <w:top w:val="nil"/>
              <w:left w:val="nil"/>
              <w:bottom w:val="single" w:sz="8" w:space="0" w:color="999999"/>
              <w:right w:val="single" w:sz="8" w:space="0" w:color="999999"/>
            </w:tcBorders>
            <w:shd w:val="clear" w:color="auto" w:fill="auto"/>
            <w:vAlign w:val="center"/>
          </w:tcPr>
          <w:p w:rsidR="00301403" w:rsidRPr="00E4517B" w:rsidRDefault="00301403" w:rsidP="0030140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95,1</w:t>
            </w:r>
          </w:p>
        </w:tc>
        <w:tc>
          <w:tcPr>
            <w:tcW w:w="1134" w:type="dxa"/>
            <w:vAlign w:val="center"/>
          </w:tcPr>
          <w:p w:rsidR="00301403" w:rsidRPr="00E4517B" w:rsidRDefault="00301403" w:rsidP="0030140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lang w:val="ro-RO"/>
              </w:rPr>
            </w:pPr>
            <w:r w:rsidRPr="00E4517B">
              <w:rPr>
                <w:rFonts w:asciiTheme="majorHAnsi" w:hAnsiTheme="majorHAnsi" w:cstheme="majorHAnsi"/>
                <w:bCs/>
                <w:sz w:val="20"/>
                <w:szCs w:val="20"/>
                <w:lang w:val="ro-RO"/>
              </w:rPr>
              <w:t>809,5</w:t>
            </w:r>
          </w:p>
        </w:tc>
        <w:tc>
          <w:tcPr>
            <w:tcW w:w="992" w:type="dxa"/>
            <w:tcBorders>
              <w:top w:val="single" w:sz="8" w:space="0" w:color="999999"/>
              <w:left w:val="single" w:sz="8" w:space="0" w:color="999999"/>
              <w:bottom w:val="single" w:sz="8" w:space="0" w:color="999999"/>
              <w:right w:val="single" w:sz="8" w:space="0" w:color="999999"/>
            </w:tcBorders>
            <w:shd w:val="clear" w:color="auto" w:fill="auto"/>
            <w:vAlign w:val="center"/>
          </w:tcPr>
          <w:p w:rsidR="00301403" w:rsidRPr="00E4517B" w:rsidRDefault="00301403" w:rsidP="0030140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16,2</w:t>
            </w:r>
          </w:p>
        </w:tc>
        <w:tc>
          <w:tcPr>
            <w:tcW w:w="1132" w:type="dxa"/>
            <w:tcBorders>
              <w:top w:val="nil"/>
              <w:left w:val="nil"/>
              <w:bottom w:val="single" w:sz="8" w:space="0" w:color="999999"/>
              <w:right w:val="single" w:sz="8" w:space="0" w:color="999999"/>
            </w:tcBorders>
            <w:shd w:val="clear" w:color="auto" w:fill="auto"/>
            <w:vAlign w:val="center"/>
          </w:tcPr>
          <w:p w:rsidR="00301403" w:rsidRPr="00E4517B" w:rsidRDefault="00301403" w:rsidP="0030140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102,0</w:t>
            </w:r>
          </w:p>
        </w:tc>
      </w:tr>
      <w:tr w:rsidR="00301403" w:rsidRPr="00E4517B" w:rsidTr="004D6726">
        <w:tc>
          <w:tcPr>
            <w:cnfStyle w:val="001000000000" w:firstRow="0" w:lastRow="0" w:firstColumn="1" w:lastColumn="0" w:oddVBand="0" w:evenVBand="0" w:oddHBand="0" w:evenHBand="0" w:firstRowFirstColumn="0" w:firstRowLastColumn="0" w:lastRowFirstColumn="0" w:lastRowLastColumn="0"/>
            <w:tcW w:w="3969" w:type="dxa"/>
          </w:tcPr>
          <w:p w:rsidR="00301403" w:rsidRPr="00E4517B" w:rsidRDefault="00301403" w:rsidP="00301403">
            <w:pPr>
              <w:jc w:val="left"/>
              <w:rPr>
                <w:rFonts w:asciiTheme="majorHAnsi" w:eastAsia="Times New Roman" w:hAnsiTheme="majorHAnsi" w:cstheme="majorHAnsi"/>
                <w:sz w:val="20"/>
                <w:szCs w:val="20"/>
                <w:lang w:val="ro-RO" w:eastAsia="ru-RU"/>
              </w:rPr>
            </w:pPr>
            <w:r w:rsidRPr="00E4517B">
              <w:rPr>
                <w:rFonts w:asciiTheme="majorHAnsi" w:eastAsia="Times New Roman" w:hAnsiTheme="majorHAnsi" w:cstheme="majorHAnsi"/>
                <w:sz w:val="20"/>
                <w:szCs w:val="20"/>
                <w:lang w:val="ro-RO" w:eastAsia="ru-RU"/>
              </w:rPr>
              <w:t>Învățământ</w:t>
            </w:r>
          </w:p>
        </w:tc>
        <w:tc>
          <w:tcPr>
            <w:tcW w:w="1002" w:type="dxa"/>
            <w:vAlign w:val="center"/>
          </w:tcPr>
          <w:p w:rsidR="00301403" w:rsidRPr="00F55BA6" w:rsidRDefault="00301403" w:rsidP="0030140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lang w:val="ro-RO"/>
              </w:rPr>
            </w:pPr>
            <w:r w:rsidRPr="00F55BA6">
              <w:rPr>
                <w:rFonts w:asciiTheme="majorHAnsi" w:hAnsiTheme="majorHAnsi" w:cstheme="majorHAnsi"/>
                <w:bCs/>
                <w:sz w:val="20"/>
                <w:szCs w:val="20"/>
                <w:lang w:val="ro-RO"/>
              </w:rPr>
              <w:t>12.362,2</w:t>
            </w:r>
          </w:p>
        </w:tc>
        <w:tc>
          <w:tcPr>
            <w:tcW w:w="982" w:type="dxa"/>
            <w:vAlign w:val="center"/>
          </w:tcPr>
          <w:p w:rsidR="00301403" w:rsidRPr="00E4517B" w:rsidRDefault="00301403" w:rsidP="0030140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lang w:val="ro-RO"/>
              </w:rPr>
            </w:pPr>
            <w:r w:rsidRPr="00E4517B">
              <w:rPr>
                <w:rFonts w:asciiTheme="majorHAnsi" w:hAnsiTheme="majorHAnsi" w:cstheme="majorHAnsi"/>
                <w:bCs/>
                <w:sz w:val="20"/>
                <w:szCs w:val="20"/>
                <w:lang w:val="ro-RO"/>
              </w:rPr>
              <w:t>12.365,3</w:t>
            </w:r>
          </w:p>
        </w:tc>
        <w:tc>
          <w:tcPr>
            <w:tcW w:w="1276" w:type="dxa"/>
            <w:vAlign w:val="center"/>
          </w:tcPr>
          <w:p w:rsidR="00301403" w:rsidRPr="00973E5B" w:rsidRDefault="00301403" w:rsidP="0030140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lang w:val="ro-RO"/>
              </w:rPr>
            </w:pPr>
            <w:r w:rsidRPr="00973E5B">
              <w:rPr>
                <w:rFonts w:asciiTheme="majorHAnsi" w:hAnsiTheme="majorHAnsi" w:cstheme="majorHAnsi"/>
                <w:bCs/>
                <w:sz w:val="20"/>
                <w:szCs w:val="20"/>
                <w:lang w:val="ro-RO"/>
              </w:rPr>
              <w:t>11.887,0</w:t>
            </w:r>
          </w:p>
        </w:tc>
        <w:tc>
          <w:tcPr>
            <w:tcW w:w="864" w:type="dxa"/>
            <w:tcBorders>
              <w:top w:val="nil"/>
              <w:left w:val="nil"/>
              <w:bottom w:val="single" w:sz="8" w:space="0" w:color="999999"/>
              <w:right w:val="single" w:sz="8" w:space="0" w:color="999999"/>
            </w:tcBorders>
            <w:shd w:val="clear" w:color="auto" w:fill="auto"/>
            <w:vAlign w:val="center"/>
          </w:tcPr>
          <w:p w:rsidR="00301403" w:rsidRPr="009131CF" w:rsidRDefault="00301403" w:rsidP="0030140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9131CF">
              <w:rPr>
                <w:rFonts w:ascii="Calibri Light" w:hAnsi="Calibri Light" w:cs="Calibri Light"/>
                <w:color w:val="000000"/>
                <w:sz w:val="20"/>
                <w:szCs w:val="20"/>
                <w:lang w:val="ro-RO"/>
              </w:rPr>
              <w:t>23,9</w:t>
            </w:r>
          </w:p>
        </w:tc>
        <w:tc>
          <w:tcPr>
            <w:tcW w:w="979" w:type="dxa"/>
            <w:tcBorders>
              <w:top w:val="nil"/>
              <w:left w:val="nil"/>
              <w:bottom w:val="single" w:sz="8" w:space="0" w:color="999999"/>
              <w:right w:val="single" w:sz="8" w:space="0" w:color="999999"/>
            </w:tcBorders>
            <w:shd w:val="clear" w:color="auto" w:fill="auto"/>
            <w:vAlign w:val="center"/>
          </w:tcPr>
          <w:p w:rsidR="00301403" w:rsidRPr="00E4517B" w:rsidRDefault="00301403" w:rsidP="0030140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-478,3</w:t>
            </w:r>
          </w:p>
        </w:tc>
        <w:tc>
          <w:tcPr>
            <w:tcW w:w="853" w:type="dxa"/>
            <w:tcBorders>
              <w:top w:val="nil"/>
              <w:left w:val="nil"/>
              <w:bottom w:val="single" w:sz="8" w:space="0" w:color="999999"/>
              <w:right w:val="single" w:sz="8" w:space="0" w:color="999999"/>
            </w:tcBorders>
            <w:shd w:val="clear" w:color="auto" w:fill="auto"/>
            <w:vAlign w:val="center"/>
          </w:tcPr>
          <w:p w:rsidR="00301403" w:rsidRPr="00E4517B" w:rsidRDefault="00301403" w:rsidP="0030140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96,1</w:t>
            </w:r>
          </w:p>
        </w:tc>
        <w:tc>
          <w:tcPr>
            <w:tcW w:w="1134" w:type="dxa"/>
            <w:vAlign w:val="center"/>
          </w:tcPr>
          <w:p w:rsidR="00301403" w:rsidRPr="00E4517B" w:rsidRDefault="00301403" w:rsidP="0030140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lang w:val="ro-RO"/>
              </w:rPr>
            </w:pPr>
            <w:r w:rsidRPr="00E4517B">
              <w:rPr>
                <w:rFonts w:asciiTheme="majorHAnsi" w:hAnsiTheme="majorHAnsi" w:cstheme="majorHAnsi"/>
                <w:bCs/>
                <w:sz w:val="20"/>
                <w:szCs w:val="20"/>
                <w:lang w:val="ro-RO"/>
              </w:rPr>
              <w:t>11.045,6</w:t>
            </w:r>
          </w:p>
        </w:tc>
        <w:tc>
          <w:tcPr>
            <w:tcW w:w="992" w:type="dxa"/>
            <w:tcBorders>
              <w:top w:val="single" w:sz="8" w:space="0" w:color="999999"/>
              <w:left w:val="single" w:sz="8" w:space="0" w:color="999999"/>
              <w:bottom w:val="single" w:sz="8" w:space="0" w:color="999999"/>
              <w:right w:val="single" w:sz="8" w:space="0" w:color="999999"/>
            </w:tcBorders>
            <w:shd w:val="clear" w:color="auto" w:fill="auto"/>
            <w:vAlign w:val="center"/>
          </w:tcPr>
          <w:p w:rsidR="00301403" w:rsidRPr="00E4517B" w:rsidRDefault="00301403" w:rsidP="0030140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841,4</w:t>
            </w:r>
          </w:p>
        </w:tc>
        <w:tc>
          <w:tcPr>
            <w:tcW w:w="1132" w:type="dxa"/>
            <w:tcBorders>
              <w:top w:val="nil"/>
              <w:left w:val="nil"/>
              <w:bottom w:val="single" w:sz="8" w:space="0" w:color="999999"/>
              <w:right w:val="single" w:sz="8" w:space="0" w:color="999999"/>
            </w:tcBorders>
            <w:shd w:val="clear" w:color="auto" w:fill="auto"/>
            <w:vAlign w:val="center"/>
          </w:tcPr>
          <w:p w:rsidR="00301403" w:rsidRPr="00E4517B" w:rsidRDefault="00301403" w:rsidP="0030140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107,6</w:t>
            </w:r>
          </w:p>
        </w:tc>
      </w:tr>
      <w:tr w:rsidR="00301403" w:rsidRPr="00E4517B" w:rsidTr="004D6726">
        <w:tc>
          <w:tcPr>
            <w:cnfStyle w:val="001000000000" w:firstRow="0" w:lastRow="0" w:firstColumn="1" w:lastColumn="0" w:oddVBand="0" w:evenVBand="0" w:oddHBand="0" w:evenHBand="0" w:firstRowFirstColumn="0" w:firstRowLastColumn="0" w:lastRowFirstColumn="0" w:lastRowLastColumn="0"/>
            <w:tcW w:w="3969" w:type="dxa"/>
          </w:tcPr>
          <w:p w:rsidR="00301403" w:rsidRPr="00E4517B" w:rsidRDefault="00301403" w:rsidP="00301403">
            <w:pPr>
              <w:jc w:val="left"/>
              <w:rPr>
                <w:rFonts w:asciiTheme="majorHAnsi" w:eastAsia="Times New Roman" w:hAnsiTheme="majorHAnsi" w:cstheme="majorHAnsi"/>
                <w:sz w:val="20"/>
                <w:szCs w:val="20"/>
                <w:lang w:val="ro-RO" w:eastAsia="ru-RU"/>
              </w:rPr>
            </w:pPr>
            <w:r w:rsidRPr="00E4517B">
              <w:rPr>
                <w:rFonts w:asciiTheme="majorHAnsi" w:eastAsia="Times New Roman" w:hAnsiTheme="majorHAnsi" w:cstheme="majorHAnsi"/>
                <w:sz w:val="20"/>
                <w:szCs w:val="20"/>
                <w:lang w:val="ro-RO" w:eastAsia="ru-RU"/>
              </w:rPr>
              <w:t>Protecție socială</w:t>
            </w:r>
          </w:p>
        </w:tc>
        <w:tc>
          <w:tcPr>
            <w:tcW w:w="1002" w:type="dxa"/>
            <w:vAlign w:val="center"/>
          </w:tcPr>
          <w:p w:rsidR="00301403" w:rsidRPr="00F55BA6" w:rsidRDefault="00301403" w:rsidP="0030140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lang w:val="ro-RO"/>
              </w:rPr>
            </w:pPr>
            <w:r w:rsidRPr="00F55BA6">
              <w:rPr>
                <w:rFonts w:asciiTheme="majorHAnsi" w:hAnsiTheme="majorHAnsi" w:cstheme="majorHAnsi"/>
                <w:bCs/>
                <w:sz w:val="20"/>
                <w:szCs w:val="20"/>
                <w:lang w:val="ro-RO"/>
              </w:rPr>
              <w:t>9.577,0</w:t>
            </w:r>
          </w:p>
        </w:tc>
        <w:tc>
          <w:tcPr>
            <w:tcW w:w="982" w:type="dxa"/>
            <w:vAlign w:val="center"/>
          </w:tcPr>
          <w:p w:rsidR="00301403" w:rsidRPr="00E4517B" w:rsidRDefault="00301403" w:rsidP="0030140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lang w:val="ro-RO"/>
              </w:rPr>
            </w:pPr>
            <w:r w:rsidRPr="00E4517B">
              <w:rPr>
                <w:rFonts w:asciiTheme="majorHAnsi" w:hAnsiTheme="majorHAnsi" w:cstheme="majorHAnsi"/>
                <w:bCs/>
                <w:sz w:val="20"/>
                <w:szCs w:val="20"/>
                <w:lang w:val="ro-RO"/>
              </w:rPr>
              <w:t>11.367,4</w:t>
            </w:r>
          </w:p>
        </w:tc>
        <w:tc>
          <w:tcPr>
            <w:tcW w:w="1276" w:type="dxa"/>
            <w:vAlign w:val="center"/>
          </w:tcPr>
          <w:p w:rsidR="00301403" w:rsidRPr="00973E5B" w:rsidRDefault="00301403" w:rsidP="0030140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lang w:val="ro-RO"/>
              </w:rPr>
            </w:pPr>
            <w:r w:rsidRPr="00973E5B">
              <w:rPr>
                <w:rFonts w:asciiTheme="majorHAnsi" w:hAnsiTheme="majorHAnsi" w:cstheme="majorHAnsi"/>
                <w:bCs/>
                <w:sz w:val="20"/>
                <w:szCs w:val="20"/>
                <w:lang w:val="ro-RO"/>
              </w:rPr>
              <w:t>10.558,6</w:t>
            </w:r>
          </w:p>
        </w:tc>
        <w:tc>
          <w:tcPr>
            <w:tcW w:w="864" w:type="dxa"/>
            <w:tcBorders>
              <w:top w:val="nil"/>
              <w:left w:val="nil"/>
              <w:bottom w:val="single" w:sz="8" w:space="0" w:color="999999"/>
              <w:right w:val="single" w:sz="8" w:space="0" w:color="999999"/>
            </w:tcBorders>
            <w:shd w:val="clear" w:color="auto" w:fill="auto"/>
            <w:vAlign w:val="center"/>
          </w:tcPr>
          <w:p w:rsidR="00301403" w:rsidRPr="009131CF" w:rsidRDefault="00301403" w:rsidP="0030140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9131CF">
              <w:rPr>
                <w:rFonts w:ascii="Calibri Light" w:hAnsi="Calibri Light" w:cs="Calibri Light"/>
                <w:color w:val="000000"/>
                <w:sz w:val="20"/>
                <w:szCs w:val="20"/>
                <w:lang w:val="ro-RO"/>
              </w:rPr>
              <w:t>21,3</w:t>
            </w:r>
          </w:p>
        </w:tc>
        <w:tc>
          <w:tcPr>
            <w:tcW w:w="979" w:type="dxa"/>
            <w:tcBorders>
              <w:top w:val="nil"/>
              <w:left w:val="nil"/>
              <w:bottom w:val="single" w:sz="8" w:space="0" w:color="999999"/>
              <w:right w:val="single" w:sz="8" w:space="0" w:color="999999"/>
            </w:tcBorders>
            <w:shd w:val="clear" w:color="auto" w:fill="auto"/>
            <w:vAlign w:val="center"/>
          </w:tcPr>
          <w:p w:rsidR="00301403" w:rsidRPr="00E4517B" w:rsidRDefault="00301403" w:rsidP="0030140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-808,8</w:t>
            </w:r>
          </w:p>
        </w:tc>
        <w:tc>
          <w:tcPr>
            <w:tcW w:w="853" w:type="dxa"/>
            <w:tcBorders>
              <w:top w:val="nil"/>
              <w:left w:val="nil"/>
              <w:bottom w:val="single" w:sz="8" w:space="0" w:color="999999"/>
              <w:right w:val="single" w:sz="8" w:space="0" w:color="999999"/>
            </w:tcBorders>
            <w:shd w:val="clear" w:color="auto" w:fill="auto"/>
            <w:vAlign w:val="center"/>
          </w:tcPr>
          <w:p w:rsidR="00301403" w:rsidRPr="00E4517B" w:rsidRDefault="00301403" w:rsidP="0030140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92,9</w:t>
            </w:r>
          </w:p>
        </w:tc>
        <w:tc>
          <w:tcPr>
            <w:tcW w:w="1134" w:type="dxa"/>
            <w:vAlign w:val="center"/>
          </w:tcPr>
          <w:p w:rsidR="00301403" w:rsidRPr="00E4517B" w:rsidRDefault="00301403" w:rsidP="0030140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lang w:val="ro-RO"/>
              </w:rPr>
            </w:pPr>
            <w:r w:rsidRPr="00E4517B">
              <w:rPr>
                <w:rFonts w:asciiTheme="majorHAnsi" w:hAnsiTheme="majorHAnsi" w:cstheme="majorHAnsi"/>
                <w:bCs/>
                <w:sz w:val="20"/>
                <w:szCs w:val="20"/>
                <w:lang w:val="ro-RO"/>
              </w:rPr>
              <w:t>8.762,7</w:t>
            </w:r>
          </w:p>
        </w:tc>
        <w:tc>
          <w:tcPr>
            <w:tcW w:w="992" w:type="dxa"/>
            <w:tcBorders>
              <w:top w:val="single" w:sz="8" w:space="0" w:color="999999"/>
              <w:left w:val="single" w:sz="8" w:space="0" w:color="999999"/>
              <w:bottom w:val="single" w:sz="8" w:space="0" w:color="999999"/>
              <w:right w:val="single" w:sz="8" w:space="0" w:color="999999"/>
            </w:tcBorders>
            <w:shd w:val="clear" w:color="auto" w:fill="auto"/>
            <w:vAlign w:val="center"/>
          </w:tcPr>
          <w:p w:rsidR="00301403" w:rsidRPr="00E4517B" w:rsidRDefault="00301403" w:rsidP="0030140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1.795,9</w:t>
            </w:r>
          </w:p>
        </w:tc>
        <w:tc>
          <w:tcPr>
            <w:tcW w:w="1132" w:type="dxa"/>
            <w:tcBorders>
              <w:top w:val="nil"/>
              <w:left w:val="nil"/>
              <w:bottom w:val="single" w:sz="8" w:space="0" w:color="999999"/>
              <w:right w:val="single" w:sz="8" w:space="0" w:color="999999"/>
            </w:tcBorders>
            <w:shd w:val="clear" w:color="auto" w:fill="auto"/>
            <w:vAlign w:val="center"/>
          </w:tcPr>
          <w:p w:rsidR="00301403" w:rsidRPr="00E4517B" w:rsidRDefault="00301403" w:rsidP="0030140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120,5</w:t>
            </w:r>
          </w:p>
        </w:tc>
      </w:tr>
    </w:tbl>
    <w:p w:rsidR="008556F4" w:rsidRPr="00207634" w:rsidRDefault="00301403" w:rsidP="004D6726">
      <w:pPr>
        <w:spacing w:after="0" w:line="240" w:lineRule="auto"/>
        <w:ind w:left="1134" w:right="-660"/>
        <w:rPr>
          <w:rFonts w:asciiTheme="majorHAnsi" w:eastAsia="Times New Roman" w:hAnsiTheme="majorHAnsi" w:cstheme="majorHAnsi"/>
          <w:i/>
          <w:sz w:val="20"/>
          <w:szCs w:val="24"/>
          <w:lang w:val="ro-RO" w:eastAsia="ru-RU"/>
        </w:rPr>
      </w:pPr>
      <w:r w:rsidRPr="00E4517B">
        <w:rPr>
          <w:rFonts w:asciiTheme="majorHAnsi" w:eastAsia="Times New Roman" w:hAnsiTheme="majorHAnsi" w:cstheme="majorHAnsi"/>
          <w:b/>
          <w:i/>
          <w:sz w:val="20"/>
          <w:szCs w:val="24"/>
          <w:lang w:val="ro-RO" w:eastAsia="ru-RU"/>
        </w:rPr>
        <w:t>Sursă:</w:t>
      </w:r>
      <w:r w:rsidRPr="00973E5B">
        <w:rPr>
          <w:rFonts w:asciiTheme="majorHAnsi" w:eastAsia="Times New Roman" w:hAnsiTheme="majorHAnsi" w:cstheme="majorHAnsi"/>
          <w:i/>
          <w:sz w:val="20"/>
          <w:szCs w:val="24"/>
          <w:lang w:val="ro-RO" w:eastAsia="ru-RU"/>
        </w:rPr>
        <w:t xml:space="preserve"> Informații generalizate de echipa de audit conform </w:t>
      </w:r>
      <w:r w:rsidR="005F5FE6">
        <w:rPr>
          <w:rFonts w:asciiTheme="majorHAnsi" w:eastAsia="Times New Roman" w:hAnsiTheme="majorHAnsi" w:cstheme="majorHAnsi"/>
          <w:i/>
          <w:sz w:val="20"/>
          <w:szCs w:val="24"/>
          <w:lang w:val="ro-RO" w:eastAsia="ru-RU"/>
        </w:rPr>
        <w:t>Rapoartelor</w:t>
      </w:r>
      <w:r w:rsidR="005F5FE6" w:rsidRPr="00973E5B">
        <w:rPr>
          <w:rFonts w:asciiTheme="majorHAnsi" w:eastAsia="Times New Roman" w:hAnsiTheme="majorHAnsi" w:cstheme="majorHAnsi"/>
          <w:i/>
          <w:sz w:val="20"/>
          <w:szCs w:val="24"/>
          <w:lang w:val="ro-RO" w:eastAsia="ru-RU"/>
        </w:rPr>
        <w:t xml:space="preserve"> </w:t>
      </w:r>
      <w:r w:rsidRPr="00973E5B">
        <w:rPr>
          <w:rFonts w:asciiTheme="majorHAnsi" w:eastAsia="Times New Roman" w:hAnsiTheme="majorHAnsi" w:cstheme="majorHAnsi"/>
          <w:i/>
          <w:sz w:val="20"/>
          <w:szCs w:val="24"/>
          <w:lang w:val="ro-RO" w:eastAsia="ru-RU"/>
        </w:rPr>
        <w:t>privind executarea bugetului de stat pentru an</w:t>
      </w:r>
      <w:r w:rsidR="005F5FE6">
        <w:rPr>
          <w:rFonts w:asciiTheme="majorHAnsi" w:eastAsia="Times New Roman" w:hAnsiTheme="majorHAnsi" w:cstheme="majorHAnsi"/>
          <w:i/>
          <w:sz w:val="20"/>
          <w:szCs w:val="24"/>
          <w:lang w:val="ro-RO" w:eastAsia="ru-RU"/>
        </w:rPr>
        <w:t>ii 2019-</w:t>
      </w:r>
      <w:r w:rsidRPr="00973E5B">
        <w:rPr>
          <w:rFonts w:asciiTheme="majorHAnsi" w:eastAsia="Times New Roman" w:hAnsiTheme="majorHAnsi" w:cstheme="majorHAnsi"/>
          <w:i/>
          <w:sz w:val="20"/>
          <w:szCs w:val="24"/>
          <w:lang w:val="ro-RO" w:eastAsia="ru-RU"/>
        </w:rPr>
        <w:t>2020, Formularul nr.4</w:t>
      </w:r>
      <w:r w:rsidRPr="00207634">
        <w:rPr>
          <w:rFonts w:asciiTheme="majorHAnsi" w:eastAsia="Times New Roman" w:hAnsiTheme="majorHAnsi" w:cstheme="majorHAnsi"/>
          <w:i/>
          <w:sz w:val="20"/>
          <w:szCs w:val="24"/>
          <w:lang w:val="ro-RO" w:eastAsia="ru-RU"/>
        </w:rPr>
        <w:t>.</w:t>
      </w:r>
    </w:p>
    <w:p w:rsidR="008556F4" w:rsidRPr="009131CF" w:rsidRDefault="008556F4" w:rsidP="005B0934">
      <w:pPr>
        <w:shd w:val="clear" w:color="auto" w:fill="FFFFFF" w:themeFill="background1"/>
        <w:tabs>
          <w:tab w:val="left" w:pos="284"/>
          <w:tab w:val="left" w:pos="993"/>
          <w:tab w:val="left" w:pos="6663"/>
        </w:tabs>
        <w:spacing w:after="0" w:line="276" w:lineRule="auto"/>
        <w:jc w:val="right"/>
        <w:rPr>
          <w:rFonts w:asciiTheme="majorHAnsi" w:eastAsia="Times New Roman" w:hAnsiTheme="majorHAnsi" w:cstheme="majorHAnsi"/>
          <w:b/>
          <w:sz w:val="24"/>
          <w:szCs w:val="24"/>
          <w:lang w:val="ro-RO"/>
        </w:rPr>
      </w:pPr>
    </w:p>
    <w:p w:rsidR="00281CBE" w:rsidRPr="00F55BA6" w:rsidRDefault="008E47D2" w:rsidP="00281CBE">
      <w:pPr>
        <w:spacing w:line="276" w:lineRule="auto"/>
        <w:jc w:val="right"/>
        <w:rPr>
          <w:rFonts w:asciiTheme="majorHAnsi" w:eastAsia="Times New Roman" w:hAnsiTheme="majorHAnsi" w:cstheme="majorHAnsi"/>
          <w:b/>
          <w:sz w:val="24"/>
          <w:szCs w:val="24"/>
          <w:lang w:val="ro-RO"/>
        </w:rPr>
      </w:pPr>
      <w:r w:rsidRPr="00F55BA6">
        <w:rPr>
          <w:rFonts w:asciiTheme="majorHAnsi" w:eastAsia="Times New Roman" w:hAnsiTheme="majorHAnsi" w:cstheme="majorHAnsi"/>
          <w:b/>
          <w:sz w:val="24"/>
          <w:szCs w:val="24"/>
          <w:lang w:val="ro-RO"/>
        </w:rPr>
        <w:t>Anexa nr.12</w:t>
      </w:r>
    </w:p>
    <w:p w:rsidR="00281CBE" w:rsidRPr="00F55BA6" w:rsidRDefault="00281CBE" w:rsidP="00281CBE">
      <w:pPr>
        <w:spacing w:after="0" w:line="276" w:lineRule="auto"/>
        <w:ind w:right="1"/>
        <w:jc w:val="center"/>
        <w:rPr>
          <w:rFonts w:asciiTheme="majorHAnsi" w:eastAsia="MS Mincho" w:hAnsiTheme="majorHAnsi" w:cstheme="majorHAnsi"/>
          <w:b/>
          <w:sz w:val="24"/>
          <w:szCs w:val="24"/>
          <w:lang w:val="ro-RO" w:eastAsia="ja-JP"/>
        </w:rPr>
      </w:pPr>
      <w:r w:rsidRPr="00F55BA6">
        <w:rPr>
          <w:rFonts w:asciiTheme="majorHAnsi" w:eastAsia="MS Mincho" w:hAnsiTheme="majorHAnsi" w:cstheme="majorHAnsi"/>
          <w:b/>
          <w:sz w:val="24"/>
          <w:szCs w:val="24"/>
          <w:lang w:val="ro-RO" w:eastAsia="ja-JP"/>
        </w:rPr>
        <w:t>Sinteza executării transferurilor cu destinație specială de la BS către BUAT în anul 2020</w:t>
      </w:r>
    </w:p>
    <w:p w:rsidR="00281CBE" w:rsidRPr="00F55BA6" w:rsidRDefault="00281CBE" w:rsidP="00281CBE">
      <w:pPr>
        <w:spacing w:after="0" w:line="276" w:lineRule="auto"/>
        <w:ind w:right="-37"/>
        <w:jc w:val="right"/>
        <w:rPr>
          <w:rFonts w:asciiTheme="majorHAnsi" w:eastAsia="MS Mincho" w:hAnsiTheme="majorHAnsi" w:cstheme="majorHAnsi"/>
          <w:b/>
          <w:sz w:val="24"/>
          <w:szCs w:val="24"/>
          <w:lang w:val="ro-RO" w:eastAsia="ja-JP"/>
        </w:rPr>
      </w:pPr>
      <w:r w:rsidRPr="00F55BA6">
        <w:rPr>
          <w:rFonts w:asciiTheme="majorHAnsi" w:eastAsia="MS Mincho" w:hAnsiTheme="majorHAnsi" w:cstheme="majorHAnsi"/>
          <w:b/>
          <w:sz w:val="24"/>
          <w:szCs w:val="24"/>
          <w:lang w:val="ro-RO" w:eastAsia="ja-JP"/>
        </w:rPr>
        <w:t>(mil. lei)</w:t>
      </w:r>
    </w:p>
    <w:tbl>
      <w:tblPr>
        <w:tblStyle w:val="GridTable1Light1"/>
        <w:tblW w:w="13750" w:type="dxa"/>
        <w:tblInd w:w="-147" w:type="dxa"/>
        <w:tblLayout w:type="fixed"/>
        <w:tblLook w:val="04A0" w:firstRow="1" w:lastRow="0" w:firstColumn="1" w:lastColumn="0" w:noHBand="0" w:noVBand="1"/>
      </w:tblPr>
      <w:tblGrid>
        <w:gridCol w:w="6804"/>
        <w:gridCol w:w="851"/>
        <w:gridCol w:w="850"/>
        <w:gridCol w:w="850"/>
        <w:gridCol w:w="850"/>
        <w:gridCol w:w="851"/>
        <w:gridCol w:w="851"/>
        <w:gridCol w:w="851"/>
        <w:gridCol w:w="992"/>
      </w:tblGrid>
      <w:tr w:rsidR="00281CBE" w:rsidRPr="00E4517B" w:rsidTr="008E47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81CBE" w:rsidRPr="00F55BA6" w:rsidRDefault="00281CBE" w:rsidP="00B51730">
            <w:pPr>
              <w:ind w:right="1"/>
              <w:jc w:val="center"/>
              <w:rPr>
                <w:rFonts w:asciiTheme="majorHAnsi" w:eastAsia="MS Mincho" w:hAnsiTheme="majorHAnsi" w:cstheme="majorHAnsi"/>
                <w:sz w:val="20"/>
                <w:szCs w:val="20"/>
                <w:lang w:val="ro-RO"/>
              </w:rPr>
            </w:pPr>
            <w:r w:rsidRPr="00F55BA6">
              <w:rPr>
                <w:rFonts w:asciiTheme="majorHAnsi" w:eastAsia="MS Mincho" w:hAnsiTheme="majorHAnsi" w:cstheme="majorHAnsi"/>
                <w:sz w:val="20"/>
                <w:szCs w:val="20"/>
                <w:lang w:val="ro-RO"/>
              </w:rPr>
              <w:t>Transferuri</w:t>
            </w:r>
          </w:p>
        </w:tc>
        <w:tc>
          <w:tcPr>
            <w:tcW w:w="851" w:type="dxa"/>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81CBE" w:rsidRPr="00F55BA6" w:rsidRDefault="00281CBE" w:rsidP="00B51730">
            <w:pPr>
              <w:spacing w:line="254" w:lineRule="auto"/>
              <w:ind w:left="-104" w:right="1"/>
              <w:jc w:val="center"/>
              <w:cnfStyle w:val="100000000000" w:firstRow="1" w:lastRow="0" w:firstColumn="0" w:lastColumn="0" w:oddVBand="0" w:evenVBand="0" w:oddHBand="0" w:evenHBand="0" w:firstRowFirstColumn="0" w:firstRowLastColumn="0" w:lastRowFirstColumn="0" w:lastRowLastColumn="0"/>
              <w:rPr>
                <w:rFonts w:asciiTheme="majorHAnsi" w:eastAsia="MS Mincho" w:hAnsiTheme="majorHAnsi" w:cstheme="majorHAnsi"/>
                <w:sz w:val="20"/>
                <w:szCs w:val="20"/>
                <w:lang w:val="ro-RO"/>
              </w:rPr>
            </w:pPr>
            <w:r w:rsidRPr="00F55BA6">
              <w:rPr>
                <w:rFonts w:asciiTheme="majorHAnsi" w:eastAsia="MS Mincho" w:hAnsiTheme="majorHAnsi" w:cstheme="majorHAnsi"/>
                <w:sz w:val="20"/>
                <w:szCs w:val="20"/>
                <w:lang w:val="ro-RO"/>
              </w:rPr>
              <w:t xml:space="preserve">Aprobat </w:t>
            </w:r>
          </w:p>
        </w:tc>
        <w:tc>
          <w:tcPr>
            <w:tcW w:w="850" w:type="dxa"/>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81CBE" w:rsidRPr="00F55BA6" w:rsidRDefault="00281CBE" w:rsidP="00B51730">
            <w:pPr>
              <w:spacing w:line="254" w:lineRule="auto"/>
              <w:ind w:left="-108" w:right="1"/>
              <w:jc w:val="center"/>
              <w:cnfStyle w:val="100000000000" w:firstRow="1" w:lastRow="0" w:firstColumn="0" w:lastColumn="0" w:oddVBand="0" w:evenVBand="0" w:oddHBand="0" w:evenHBand="0" w:firstRowFirstColumn="0" w:firstRowLastColumn="0" w:lastRowFirstColumn="0" w:lastRowLastColumn="0"/>
              <w:rPr>
                <w:rFonts w:asciiTheme="majorHAnsi" w:eastAsia="MS Mincho" w:hAnsiTheme="majorHAnsi" w:cstheme="majorHAnsi"/>
                <w:sz w:val="20"/>
                <w:szCs w:val="20"/>
                <w:lang w:val="ro-RO"/>
              </w:rPr>
            </w:pPr>
            <w:r w:rsidRPr="00F55BA6">
              <w:rPr>
                <w:rFonts w:asciiTheme="majorHAnsi" w:eastAsia="MS Mincho" w:hAnsiTheme="majorHAnsi" w:cstheme="majorHAnsi"/>
                <w:sz w:val="20"/>
                <w:szCs w:val="20"/>
                <w:lang w:val="ro-RO"/>
              </w:rPr>
              <w:t>Precizat</w:t>
            </w:r>
          </w:p>
        </w:tc>
        <w:tc>
          <w:tcPr>
            <w:tcW w:w="850" w:type="dxa"/>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81CBE" w:rsidRPr="00F55BA6" w:rsidRDefault="00281CBE" w:rsidP="00B51730">
            <w:pPr>
              <w:ind w:left="-115" w:right="1"/>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u-RU"/>
              </w:rPr>
            </w:pPr>
            <w:r w:rsidRPr="00F55BA6">
              <w:rPr>
                <w:rFonts w:asciiTheme="majorHAnsi" w:eastAsia="Times New Roman" w:hAnsiTheme="majorHAnsi" w:cstheme="majorHAnsi"/>
                <w:sz w:val="20"/>
                <w:szCs w:val="20"/>
                <w:lang w:val="ro-RO" w:eastAsia="ru-RU"/>
              </w:rPr>
              <w:t>Executat</w:t>
            </w:r>
          </w:p>
        </w:tc>
        <w:tc>
          <w:tcPr>
            <w:tcW w:w="1701" w:type="dxa"/>
            <w:gridSpan w:val="2"/>
            <w:tcBorders>
              <w:top w:val="single" w:sz="4" w:space="0" w:color="999999" w:themeColor="text1" w:themeTint="66"/>
              <w:left w:val="single" w:sz="4" w:space="0" w:color="999999" w:themeColor="text1" w:themeTint="66"/>
              <w:bottom w:val="single" w:sz="2" w:space="0" w:color="F5F4F4" w:themeColor="background2" w:themeTint="66" w:themeShade="BF"/>
              <w:right w:val="single" w:sz="4" w:space="0" w:color="999999" w:themeColor="text1" w:themeTint="66"/>
            </w:tcBorders>
            <w:vAlign w:val="center"/>
            <w:hideMark/>
          </w:tcPr>
          <w:p w:rsidR="00281CBE" w:rsidRPr="00F55BA6" w:rsidRDefault="00281CBE" w:rsidP="00B51730">
            <w:pPr>
              <w:spacing w:line="254" w:lineRule="auto"/>
              <w:ind w:right="1"/>
              <w:jc w:val="center"/>
              <w:cnfStyle w:val="100000000000" w:firstRow="1" w:lastRow="0" w:firstColumn="0" w:lastColumn="0" w:oddVBand="0" w:evenVBand="0" w:oddHBand="0" w:evenHBand="0" w:firstRowFirstColumn="0" w:firstRowLastColumn="0" w:lastRowFirstColumn="0" w:lastRowLastColumn="0"/>
              <w:rPr>
                <w:rFonts w:asciiTheme="majorHAnsi" w:eastAsia="MS Mincho" w:hAnsiTheme="majorHAnsi" w:cstheme="majorHAnsi"/>
                <w:sz w:val="20"/>
                <w:szCs w:val="20"/>
                <w:lang w:val="ro-RO"/>
              </w:rPr>
            </w:pPr>
            <w:r w:rsidRPr="00F55BA6">
              <w:rPr>
                <w:rFonts w:asciiTheme="majorHAnsi" w:eastAsia="MS Mincho" w:hAnsiTheme="majorHAnsi" w:cstheme="majorHAnsi"/>
                <w:sz w:val="20"/>
                <w:szCs w:val="20"/>
                <w:lang w:val="ro-RO"/>
              </w:rPr>
              <w:t>Executat față</w:t>
            </w:r>
          </w:p>
          <w:p w:rsidR="00281CBE" w:rsidRPr="00F55BA6" w:rsidRDefault="00281CBE" w:rsidP="00B51730">
            <w:pPr>
              <w:spacing w:line="254" w:lineRule="auto"/>
              <w:ind w:right="1"/>
              <w:jc w:val="center"/>
              <w:cnfStyle w:val="100000000000" w:firstRow="1" w:lastRow="0" w:firstColumn="0" w:lastColumn="0" w:oddVBand="0" w:evenVBand="0" w:oddHBand="0" w:evenHBand="0" w:firstRowFirstColumn="0" w:firstRowLastColumn="0" w:lastRowFirstColumn="0" w:lastRowLastColumn="0"/>
              <w:rPr>
                <w:rFonts w:asciiTheme="majorHAnsi" w:eastAsia="MS Mincho" w:hAnsiTheme="majorHAnsi" w:cstheme="majorHAnsi"/>
                <w:sz w:val="20"/>
                <w:szCs w:val="20"/>
                <w:lang w:val="ro-RO"/>
              </w:rPr>
            </w:pPr>
            <w:r w:rsidRPr="00F55BA6">
              <w:rPr>
                <w:rFonts w:asciiTheme="majorHAnsi" w:eastAsia="MS Mincho" w:hAnsiTheme="majorHAnsi" w:cstheme="majorHAnsi"/>
                <w:sz w:val="20"/>
                <w:szCs w:val="20"/>
                <w:lang w:val="ro-RO"/>
              </w:rPr>
              <w:t>de precizat</w:t>
            </w:r>
          </w:p>
        </w:tc>
        <w:tc>
          <w:tcPr>
            <w:tcW w:w="851" w:type="dxa"/>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81CBE" w:rsidRPr="00F55BA6" w:rsidRDefault="00281CBE" w:rsidP="00B51730">
            <w:pPr>
              <w:ind w:left="-115" w:right="1"/>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u-RU"/>
              </w:rPr>
            </w:pPr>
            <w:r w:rsidRPr="00F55BA6">
              <w:rPr>
                <w:rFonts w:asciiTheme="majorHAnsi" w:eastAsia="Times New Roman" w:hAnsiTheme="majorHAnsi" w:cstheme="majorHAnsi"/>
                <w:sz w:val="20"/>
                <w:szCs w:val="20"/>
                <w:lang w:val="ro-RO" w:eastAsia="ru-RU"/>
              </w:rPr>
              <w:t>Executat în 2019</w:t>
            </w:r>
          </w:p>
        </w:tc>
        <w:tc>
          <w:tcPr>
            <w:tcW w:w="1843" w:type="dxa"/>
            <w:gridSpan w:val="2"/>
            <w:tcBorders>
              <w:top w:val="single" w:sz="4" w:space="0" w:color="999999" w:themeColor="text1" w:themeTint="66"/>
              <w:left w:val="single" w:sz="4" w:space="0" w:color="999999" w:themeColor="text1" w:themeTint="66"/>
              <w:bottom w:val="single" w:sz="2" w:space="0" w:color="F5F4F4" w:themeColor="background2" w:themeTint="66" w:themeShade="BF"/>
              <w:right w:val="single" w:sz="4" w:space="0" w:color="999999" w:themeColor="text1" w:themeTint="66"/>
            </w:tcBorders>
            <w:vAlign w:val="center"/>
            <w:hideMark/>
          </w:tcPr>
          <w:p w:rsidR="00281CBE" w:rsidRPr="00F55BA6" w:rsidRDefault="00281CBE" w:rsidP="00B51730">
            <w:pPr>
              <w:spacing w:line="254" w:lineRule="auto"/>
              <w:ind w:right="1"/>
              <w:jc w:val="center"/>
              <w:cnfStyle w:val="100000000000" w:firstRow="1" w:lastRow="0" w:firstColumn="0" w:lastColumn="0" w:oddVBand="0" w:evenVBand="0" w:oddHBand="0" w:evenHBand="0" w:firstRowFirstColumn="0" w:firstRowLastColumn="0" w:lastRowFirstColumn="0" w:lastRowLastColumn="0"/>
              <w:rPr>
                <w:rFonts w:asciiTheme="majorHAnsi" w:eastAsia="MS Mincho" w:hAnsiTheme="majorHAnsi" w:cstheme="majorHAnsi"/>
                <w:sz w:val="20"/>
                <w:szCs w:val="20"/>
                <w:lang w:val="ro-RO"/>
              </w:rPr>
            </w:pPr>
            <w:r w:rsidRPr="00F55BA6">
              <w:rPr>
                <w:rFonts w:asciiTheme="majorHAnsi" w:eastAsia="MS Mincho" w:hAnsiTheme="majorHAnsi" w:cstheme="majorHAnsi"/>
                <w:sz w:val="20"/>
                <w:szCs w:val="20"/>
                <w:lang w:val="ro-RO"/>
              </w:rPr>
              <w:t>Executat în 2020 față de anul 2019</w:t>
            </w:r>
          </w:p>
        </w:tc>
      </w:tr>
      <w:tr w:rsidR="00281CBE" w:rsidRPr="00E4517B" w:rsidTr="008E47D2">
        <w:tc>
          <w:tcPr>
            <w:cnfStyle w:val="001000000000" w:firstRow="0" w:lastRow="0" w:firstColumn="1" w:lastColumn="0" w:oddVBand="0" w:evenVBand="0" w:oddHBand="0" w:evenHBand="0" w:firstRowFirstColumn="0" w:firstRowLastColumn="0" w:lastRowFirstColumn="0" w:lastRowLastColumn="0"/>
            <w:tcW w:w="6804" w:type="dxa"/>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81CBE" w:rsidRPr="00F55BA6" w:rsidRDefault="00281CBE" w:rsidP="00B51730">
            <w:pPr>
              <w:rPr>
                <w:rFonts w:asciiTheme="majorHAnsi" w:eastAsia="MS Mincho" w:hAnsiTheme="majorHAnsi" w:cstheme="majorHAnsi"/>
                <w:sz w:val="20"/>
                <w:szCs w:val="20"/>
                <w:lang w:val="ro-RO"/>
              </w:rPr>
            </w:pPr>
          </w:p>
        </w:tc>
        <w:tc>
          <w:tcPr>
            <w:tcW w:w="851" w:type="dxa"/>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81CBE" w:rsidRPr="00F55BA6" w:rsidRDefault="00281CBE" w:rsidP="00B51730">
            <w:pP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b/>
                <w:bCs/>
                <w:sz w:val="20"/>
                <w:szCs w:val="20"/>
                <w:lang w:val="ro-RO"/>
              </w:rPr>
            </w:pPr>
          </w:p>
        </w:tc>
        <w:tc>
          <w:tcPr>
            <w:tcW w:w="850" w:type="dxa"/>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81CBE" w:rsidRPr="00F55BA6" w:rsidRDefault="00281CBE" w:rsidP="00B51730">
            <w:pP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b/>
                <w:bCs/>
                <w:sz w:val="20"/>
                <w:szCs w:val="20"/>
                <w:lang w:val="ro-RO"/>
              </w:rPr>
            </w:pPr>
          </w:p>
        </w:tc>
        <w:tc>
          <w:tcPr>
            <w:tcW w:w="850" w:type="dxa"/>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81CBE" w:rsidRPr="00F55BA6" w:rsidRDefault="00281CBE" w:rsidP="00B5173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RO" w:eastAsia="ru-RU"/>
              </w:rPr>
            </w:pPr>
          </w:p>
        </w:tc>
        <w:tc>
          <w:tcPr>
            <w:tcW w:w="850" w:type="dxa"/>
            <w:tcBorders>
              <w:top w:val="single" w:sz="2" w:space="0" w:color="F5F4F4" w:themeColor="background2" w:themeTint="66" w:themeShade="BF"/>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81CBE" w:rsidRPr="00F55BA6" w:rsidRDefault="00281CBE" w:rsidP="00B51730">
            <w:pPr>
              <w:ind w:left="-113" w:right="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themeColor="text1"/>
                <w:sz w:val="20"/>
                <w:szCs w:val="20"/>
                <w:lang w:val="ro-RO" w:eastAsia="ru-RU"/>
              </w:rPr>
            </w:pPr>
            <w:r w:rsidRPr="00F55BA6">
              <w:rPr>
                <w:rFonts w:asciiTheme="majorHAnsi" w:eastAsia="Times New Roman" w:hAnsiTheme="majorHAnsi" w:cstheme="majorHAnsi"/>
                <w:b/>
                <w:color w:val="000000" w:themeColor="text1"/>
                <w:sz w:val="20"/>
                <w:szCs w:val="20"/>
                <w:lang w:val="ro-RO" w:eastAsia="ru-RU"/>
              </w:rPr>
              <w:t>(+/-)</w:t>
            </w:r>
          </w:p>
        </w:tc>
        <w:tc>
          <w:tcPr>
            <w:tcW w:w="851" w:type="dxa"/>
            <w:tcBorders>
              <w:top w:val="single" w:sz="2" w:space="0" w:color="F5F4F4" w:themeColor="background2" w:themeTint="66" w:themeShade="BF"/>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81CBE" w:rsidRPr="00F55BA6" w:rsidRDefault="00281CBE" w:rsidP="00B51730">
            <w:pPr>
              <w:ind w:left="-113" w:right="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themeColor="text1"/>
                <w:sz w:val="20"/>
                <w:szCs w:val="20"/>
                <w:lang w:val="ro-RO" w:eastAsia="ru-RU"/>
              </w:rPr>
            </w:pPr>
            <w:r w:rsidRPr="00F55BA6">
              <w:rPr>
                <w:rFonts w:asciiTheme="majorHAnsi" w:eastAsia="Times New Roman" w:hAnsiTheme="majorHAnsi" w:cstheme="majorHAnsi"/>
                <w:b/>
                <w:color w:val="000000" w:themeColor="text1"/>
                <w:sz w:val="20"/>
                <w:szCs w:val="20"/>
                <w:lang w:val="ro-RO" w:eastAsia="ru-RU"/>
              </w:rPr>
              <w:t>(%)</w:t>
            </w:r>
          </w:p>
        </w:tc>
        <w:tc>
          <w:tcPr>
            <w:tcW w:w="851" w:type="dxa"/>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81CBE" w:rsidRPr="00F55BA6" w:rsidRDefault="00281CBE" w:rsidP="00B5173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RO" w:eastAsia="ru-RU"/>
              </w:rPr>
            </w:pPr>
          </w:p>
        </w:tc>
        <w:tc>
          <w:tcPr>
            <w:tcW w:w="851" w:type="dxa"/>
            <w:tcBorders>
              <w:top w:val="single" w:sz="2" w:space="0" w:color="F5F4F4" w:themeColor="background2" w:themeTint="66" w:themeShade="BF"/>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81CBE" w:rsidRPr="00F55BA6" w:rsidRDefault="00281CBE" w:rsidP="00B51730">
            <w:pPr>
              <w:ind w:left="-113" w:right="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themeColor="text1"/>
                <w:sz w:val="20"/>
                <w:szCs w:val="20"/>
                <w:lang w:val="ro-RO" w:eastAsia="ru-RU"/>
              </w:rPr>
            </w:pPr>
            <w:r w:rsidRPr="00F55BA6">
              <w:rPr>
                <w:rFonts w:asciiTheme="majorHAnsi" w:eastAsia="Times New Roman" w:hAnsiTheme="majorHAnsi" w:cstheme="majorHAnsi"/>
                <w:b/>
                <w:color w:val="000000" w:themeColor="text1"/>
                <w:sz w:val="20"/>
                <w:szCs w:val="20"/>
                <w:lang w:val="ro-RO" w:eastAsia="ru-RU"/>
              </w:rPr>
              <w:t>(+/-)</w:t>
            </w:r>
          </w:p>
        </w:tc>
        <w:tc>
          <w:tcPr>
            <w:tcW w:w="992" w:type="dxa"/>
            <w:tcBorders>
              <w:top w:val="single" w:sz="2" w:space="0" w:color="F5F4F4" w:themeColor="background2" w:themeTint="66" w:themeShade="BF"/>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81CBE" w:rsidRPr="00F55BA6" w:rsidRDefault="00281CBE" w:rsidP="00B51730">
            <w:pPr>
              <w:ind w:left="-113" w:right="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themeColor="text1"/>
                <w:sz w:val="20"/>
                <w:szCs w:val="20"/>
                <w:lang w:val="ro-RO" w:eastAsia="ru-RU"/>
              </w:rPr>
            </w:pPr>
            <w:r w:rsidRPr="00F55BA6">
              <w:rPr>
                <w:rFonts w:asciiTheme="majorHAnsi" w:eastAsia="Times New Roman" w:hAnsiTheme="majorHAnsi" w:cstheme="majorHAnsi"/>
                <w:b/>
                <w:color w:val="000000" w:themeColor="text1"/>
                <w:sz w:val="20"/>
                <w:szCs w:val="20"/>
                <w:lang w:val="ro-RO" w:eastAsia="ru-RU"/>
              </w:rPr>
              <w:t>(%)</w:t>
            </w:r>
          </w:p>
        </w:tc>
      </w:tr>
      <w:tr w:rsidR="00281CBE" w:rsidRPr="00E4517B" w:rsidTr="008E47D2">
        <w:tc>
          <w:tcPr>
            <w:cnfStyle w:val="001000000000" w:firstRow="0" w:lastRow="0" w:firstColumn="1" w:lastColumn="0" w:oddVBand="0" w:evenVBand="0" w:oddHBand="0" w:evenHBand="0" w:firstRowFirstColumn="0" w:firstRowLastColumn="0" w:lastRowFirstColumn="0" w:lastRowLastColumn="0"/>
            <w:tcW w:w="680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81CBE" w:rsidRPr="00F55BA6" w:rsidRDefault="00281CBE" w:rsidP="00B51730">
            <w:pPr>
              <w:ind w:right="1"/>
              <w:jc w:val="center"/>
              <w:rPr>
                <w:rFonts w:asciiTheme="majorHAnsi" w:eastAsia="MS Mincho" w:hAnsiTheme="majorHAnsi" w:cstheme="majorHAnsi"/>
                <w:b w:val="0"/>
                <w:i/>
                <w:sz w:val="16"/>
                <w:szCs w:val="20"/>
                <w:lang w:val="ro-RO"/>
              </w:rPr>
            </w:pPr>
            <w:r w:rsidRPr="00F55BA6">
              <w:rPr>
                <w:rFonts w:asciiTheme="majorHAnsi" w:eastAsia="MS Mincho" w:hAnsiTheme="majorHAnsi" w:cstheme="majorHAnsi"/>
                <w:i/>
                <w:sz w:val="16"/>
                <w:szCs w:val="20"/>
                <w:lang w:val="ro-RO"/>
              </w:rPr>
              <w:t>1</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81CBE" w:rsidRPr="00F55BA6" w:rsidRDefault="00281CBE" w:rsidP="00B51730">
            <w:pPr>
              <w:spacing w:line="254" w:lineRule="auto"/>
              <w:ind w:right="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i/>
                <w:sz w:val="16"/>
                <w:szCs w:val="20"/>
                <w:lang w:val="ro-RO"/>
              </w:rPr>
            </w:pPr>
            <w:r w:rsidRPr="00F55BA6">
              <w:rPr>
                <w:rFonts w:asciiTheme="majorHAnsi" w:eastAsia="MS Mincho" w:hAnsiTheme="majorHAnsi" w:cstheme="majorHAnsi"/>
                <w:i/>
                <w:sz w:val="16"/>
                <w:szCs w:val="20"/>
                <w:lang w:val="ro-RO"/>
              </w:rPr>
              <w:t>2</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81CBE" w:rsidRPr="00F55BA6" w:rsidRDefault="00281CBE" w:rsidP="00B51730">
            <w:pPr>
              <w:spacing w:line="254" w:lineRule="auto"/>
              <w:ind w:right="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i/>
                <w:sz w:val="16"/>
                <w:szCs w:val="20"/>
                <w:lang w:val="ro-RO"/>
              </w:rPr>
            </w:pPr>
            <w:r w:rsidRPr="00F55BA6">
              <w:rPr>
                <w:rFonts w:asciiTheme="majorHAnsi" w:eastAsia="MS Mincho" w:hAnsiTheme="majorHAnsi" w:cstheme="majorHAnsi"/>
                <w:i/>
                <w:sz w:val="16"/>
                <w:szCs w:val="20"/>
                <w:lang w:val="ro-RO"/>
              </w:rPr>
              <w:t>3</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81CBE" w:rsidRPr="00F55BA6" w:rsidRDefault="00281CBE" w:rsidP="00B51730">
            <w:pPr>
              <w:spacing w:line="254" w:lineRule="auto"/>
              <w:ind w:left="-115" w:right="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i/>
                <w:sz w:val="16"/>
                <w:szCs w:val="20"/>
                <w:lang w:val="ro-RO"/>
              </w:rPr>
            </w:pPr>
            <w:r w:rsidRPr="00F55BA6">
              <w:rPr>
                <w:rFonts w:asciiTheme="majorHAnsi" w:eastAsia="MS Mincho" w:hAnsiTheme="majorHAnsi" w:cstheme="majorHAnsi"/>
                <w:i/>
                <w:sz w:val="16"/>
                <w:szCs w:val="20"/>
                <w:lang w:val="ro-RO"/>
              </w:rPr>
              <w:t>4</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81CBE" w:rsidRPr="00F55BA6" w:rsidRDefault="00281CBE" w:rsidP="00B51730">
            <w:pPr>
              <w:spacing w:line="254" w:lineRule="auto"/>
              <w:ind w:right="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i/>
                <w:sz w:val="16"/>
                <w:szCs w:val="20"/>
                <w:lang w:val="ro-RO"/>
              </w:rPr>
            </w:pPr>
            <w:r w:rsidRPr="00F55BA6">
              <w:rPr>
                <w:rFonts w:asciiTheme="majorHAnsi" w:eastAsia="MS Mincho" w:hAnsiTheme="majorHAnsi" w:cstheme="majorHAnsi"/>
                <w:i/>
                <w:sz w:val="16"/>
                <w:szCs w:val="20"/>
                <w:lang w:val="ro-RO"/>
              </w:rPr>
              <w:t>5=4-3</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81CBE" w:rsidRPr="00F55BA6" w:rsidRDefault="00281CBE" w:rsidP="00B51730">
            <w:pPr>
              <w:spacing w:line="254" w:lineRule="auto"/>
              <w:ind w:left="-102" w:right="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i/>
                <w:sz w:val="16"/>
                <w:szCs w:val="20"/>
                <w:lang w:val="ro-RO"/>
              </w:rPr>
            </w:pPr>
            <w:r w:rsidRPr="00F55BA6">
              <w:rPr>
                <w:rFonts w:asciiTheme="majorHAnsi" w:eastAsia="MS Mincho" w:hAnsiTheme="majorHAnsi" w:cstheme="majorHAnsi"/>
                <w:i/>
                <w:sz w:val="16"/>
                <w:szCs w:val="20"/>
                <w:lang w:val="ro-RO"/>
              </w:rPr>
              <w:t>6=4/3*100</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81CBE" w:rsidRPr="00F55BA6" w:rsidRDefault="00281CBE" w:rsidP="00B51730">
            <w:pPr>
              <w:spacing w:line="254" w:lineRule="auto"/>
              <w:ind w:left="-115" w:right="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i/>
                <w:sz w:val="16"/>
                <w:szCs w:val="20"/>
                <w:lang w:val="ro-RO"/>
              </w:rPr>
            </w:pPr>
            <w:r w:rsidRPr="00F55BA6">
              <w:rPr>
                <w:rFonts w:asciiTheme="majorHAnsi" w:eastAsia="MS Mincho" w:hAnsiTheme="majorHAnsi" w:cstheme="majorHAnsi"/>
                <w:i/>
                <w:sz w:val="16"/>
                <w:szCs w:val="20"/>
                <w:lang w:val="ro-RO"/>
              </w:rPr>
              <w:t>7</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81CBE" w:rsidRPr="00F55BA6" w:rsidRDefault="00281CBE" w:rsidP="00B51730">
            <w:pPr>
              <w:spacing w:line="254" w:lineRule="auto"/>
              <w:ind w:right="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i/>
                <w:sz w:val="16"/>
                <w:szCs w:val="20"/>
                <w:lang w:val="ro-RO"/>
              </w:rPr>
            </w:pPr>
            <w:r w:rsidRPr="00F55BA6">
              <w:rPr>
                <w:rFonts w:asciiTheme="majorHAnsi" w:eastAsia="MS Mincho" w:hAnsiTheme="majorHAnsi" w:cstheme="majorHAnsi"/>
                <w:i/>
                <w:sz w:val="16"/>
                <w:szCs w:val="20"/>
                <w:lang w:val="ro-RO"/>
              </w:rPr>
              <w:t>8=4-7</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81CBE" w:rsidRPr="00F55BA6" w:rsidRDefault="00281CBE" w:rsidP="00B51730">
            <w:pPr>
              <w:spacing w:line="254" w:lineRule="auto"/>
              <w:ind w:right="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i/>
                <w:sz w:val="16"/>
                <w:szCs w:val="20"/>
                <w:lang w:val="ro-RO"/>
              </w:rPr>
            </w:pPr>
            <w:r w:rsidRPr="00F55BA6">
              <w:rPr>
                <w:rFonts w:asciiTheme="majorHAnsi" w:eastAsia="MS Mincho" w:hAnsiTheme="majorHAnsi" w:cstheme="majorHAnsi"/>
                <w:i/>
                <w:sz w:val="16"/>
                <w:szCs w:val="20"/>
                <w:lang w:val="ro-RO"/>
              </w:rPr>
              <w:t>9=4/7*100</w:t>
            </w:r>
          </w:p>
        </w:tc>
      </w:tr>
      <w:tr w:rsidR="00281CBE" w:rsidRPr="00E4517B" w:rsidTr="008E47D2">
        <w:trPr>
          <w:trHeight w:val="211"/>
        </w:trPr>
        <w:tc>
          <w:tcPr>
            <w:cnfStyle w:val="001000000000" w:firstRow="0" w:lastRow="0" w:firstColumn="1" w:lastColumn="0" w:oddVBand="0" w:evenVBand="0" w:oddHBand="0" w:evenHBand="0" w:firstRowFirstColumn="0" w:firstRowLastColumn="0" w:lastRowFirstColumn="0" w:lastRowLastColumn="0"/>
            <w:tcW w:w="680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81CBE" w:rsidRPr="00F55BA6" w:rsidRDefault="00281CBE" w:rsidP="00B51730">
            <w:pPr>
              <w:ind w:right="1"/>
              <w:rPr>
                <w:rFonts w:asciiTheme="majorHAnsi" w:eastAsia="MS Mincho" w:hAnsiTheme="majorHAnsi" w:cstheme="majorHAnsi"/>
                <w:b w:val="0"/>
                <w:sz w:val="20"/>
                <w:szCs w:val="20"/>
                <w:lang w:val="ro-RO"/>
              </w:rPr>
            </w:pPr>
            <w:r w:rsidRPr="00F55BA6">
              <w:rPr>
                <w:rFonts w:asciiTheme="majorHAnsi" w:eastAsia="MS Mincho" w:hAnsiTheme="majorHAnsi" w:cstheme="majorHAnsi"/>
                <w:i/>
                <w:sz w:val="20"/>
                <w:szCs w:val="20"/>
                <w:lang w:val="ro-RO"/>
              </w:rPr>
              <w:lastRenderedPageBreak/>
              <w:t>Total general</w:t>
            </w:r>
            <w:r w:rsidRPr="00F55BA6">
              <w:rPr>
                <w:rFonts w:asciiTheme="majorHAnsi" w:eastAsia="MS Mincho" w:hAnsiTheme="majorHAnsi" w:cstheme="majorHAnsi"/>
                <w:sz w:val="20"/>
                <w:szCs w:val="20"/>
                <w:lang w:val="ro-RO"/>
              </w:rPr>
              <w:t xml:space="preserve">, </w:t>
            </w:r>
            <w:r w:rsidRPr="00F55BA6">
              <w:rPr>
                <w:rFonts w:asciiTheme="majorHAnsi" w:eastAsia="MS Mincho" w:hAnsiTheme="majorHAnsi" w:cstheme="majorHAnsi"/>
                <w:i/>
                <w:sz w:val="20"/>
                <w:szCs w:val="20"/>
                <w:lang w:val="ro-RO"/>
              </w:rPr>
              <w:t>inclusiv pentru:</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81CBE" w:rsidRPr="00F55BA6" w:rsidRDefault="00281CBE" w:rsidP="00B51730">
            <w:pPr>
              <w:ind w:left="-104"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b/>
                <w:sz w:val="20"/>
                <w:szCs w:val="20"/>
                <w:lang w:val="ro-RO"/>
              </w:rPr>
            </w:pPr>
            <w:r w:rsidRPr="00F55BA6">
              <w:rPr>
                <w:rFonts w:asciiTheme="majorHAnsi" w:eastAsia="MS Mincho" w:hAnsiTheme="majorHAnsi" w:cstheme="majorHAnsi"/>
                <w:b/>
                <w:sz w:val="20"/>
                <w:szCs w:val="20"/>
                <w:lang w:val="ro-RO"/>
              </w:rPr>
              <w:t>11 065,1</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81CBE" w:rsidRPr="00F55BA6" w:rsidRDefault="00281CBE" w:rsidP="00B51730">
            <w:pPr>
              <w:ind w:left="-108"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b/>
                <w:sz w:val="20"/>
                <w:szCs w:val="20"/>
                <w:lang w:val="ro-RO"/>
              </w:rPr>
            </w:pPr>
            <w:r w:rsidRPr="00F55BA6">
              <w:rPr>
                <w:rFonts w:asciiTheme="majorHAnsi" w:eastAsia="MS Mincho" w:hAnsiTheme="majorHAnsi" w:cstheme="majorHAnsi"/>
                <w:b/>
                <w:sz w:val="20"/>
                <w:szCs w:val="20"/>
                <w:lang w:val="ro-RO"/>
              </w:rPr>
              <w:t>11 212,8</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81CBE" w:rsidRPr="00F55BA6" w:rsidRDefault="00281CBE" w:rsidP="00B51730">
            <w:pPr>
              <w:ind w:left="-113"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b/>
                <w:sz w:val="20"/>
                <w:szCs w:val="20"/>
                <w:lang w:val="ro-RO"/>
              </w:rPr>
            </w:pPr>
            <w:r w:rsidRPr="00F55BA6">
              <w:rPr>
                <w:rFonts w:asciiTheme="majorHAnsi" w:eastAsia="MS Mincho" w:hAnsiTheme="majorHAnsi" w:cstheme="majorHAnsi"/>
                <w:b/>
                <w:sz w:val="20"/>
                <w:szCs w:val="20"/>
                <w:lang w:val="ro-RO"/>
              </w:rPr>
              <w:t>10 770,4</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81CBE" w:rsidRPr="00F55BA6" w:rsidRDefault="00281CBE" w:rsidP="00B51730">
            <w:pPr>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b/>
                <w:sz w:val="20"/>
                <w:szCs w:val="20"/>
                <w:lang w:val="ro-RO"/>
              </w:rPr>
            </w:pPr>
            <w:r w:rsidRPr="00F55BA6">
              <w:rPr>
                <w:rFonts w:asciiTheme="majorHAnsi" w:eastAsia="MS Mincho" w:hAnsiTheme="majorHAnsi" w:cstheme="majorHAnsi"/>
                <w:b/>
                <w:sz w:val="20"/>
                <w:szCs w:val="20"/>
                <w:lang w:val="ro-RO"/>
              </w:rPr>
              <w:t>-442,4</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81CBE" w:rsidRPr="00F55BA6" w:rsidRDefault="00281CBE" w:rsidP="00B51730">
            <w:pPr>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b/>
                <w:i/>
                <w:sz w:val="20"/>
                <w:szCs w:val="20"/>
                <w:lang w:val="ro-RO"/>
              </w:rPr>
            </w:pPr>
            <w:r w:rsidRPr="00F55BA6">
              <w:rPr>
                <w:rFonts w:asciiTheme="majorHAnsi" w:eastAsia="MS Mincho" w:hAnsiTheme="majorHAnsi" w:cstheme="majorHAnsi"/>
                <w:b/>
                <w:i/>
                <w:sz w:val="20"/>
                <w:szCs w:val="20"/>
                <w:lang w:val="ro-RO"/>
              </w:rPr>
              <w:t>96,1</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81CBE" w:rsidRPr="00F55BA6" w:rsidRDefault="00281CBE" w:rsidP="00B51730">
            <w:pPr>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b/>
                <w:sz w:val="20"/>
                <w:szCs w:val="20"/>
                <w:lang w:val="ro-RO"/>
              </w:rPr>
            </w:pPr>
            <w:r w:rsidRPr="00F55BA6">
              <w:rPr>
                <w:rFonts w:asciiTheme="majorHAnsi" w:eastAsia="MS Mincho" w:hAnsiTheme="majorHAnsi" w:cstheme="majorHAnsi"/>
                <w:b/>
                <w:sz w:val="20"/>
                <w:szCs w:val="20"/>
                <w:lang w:val="ro-RO"/>
              </w:rPr>
              <w:t>9 522,4</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81CBE" w:rsidRPr="00F55BA6" w:rsidRDefault="00281CBE" w:rsidP="00B51730">
            <w:pPr>
              <w:ind w:left="-101"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b/>
                <w:sz w:val="20"/>
                <w:szCs w:val="20"/>
                <w:lang w:val="ro-RO"/>
              </w:rPr>
            </w:pPr>
            <w:r w:rsidRPr="00F55BA6">
              <w:rPr>
                <w:rFonts w:asciiTheme="majorHAnsi" w:eastAsia="MS Mincho" w:hAnsiTheme="majorHAnsi" w:cstheme="majorHAnsi"/>
                <w:b/>
                <w:sz w:val="20"/>
                <w:szCs w:val="20"/>
                <w:lang w:val="ro-RO"/>
              </w:rPr>
              <w:t>+1 248,0</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81CBE" w:rsidRPr="00F55BA6" w:rsidRDefault="00281CBE" w:rsidP="00B51730">
            <w:pPr>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b/>
                <w:i/>
                <w:sz w:val="20"/>
                <w:szCs w:val="20"/>
                <w:lang w:val="ro-RO"/>
              </w:rPr>
            </w:pPr>
            <w:r w:rsidRPr="00F55BA6">
              <w:rPr>
                <w:rFonts w:asciiTheme="majorHAnsi" w:eastAsia="MS Mincho" w:hAnsiTheme="majorHAnsi" w:cstheme="majorHAnsi"/>
                <w:b/>
                <w:i/>
                <w:sz w:val="20"/>
                <w:szCs w:val="20"/>
                <w:lang w:val="ro-RO"/>
              </w:rPr>
              <w:t>113,1</w:t>
            </w:r>
          </w:p>
        </w:tc>
      </w:tr>
      <w:tr w:rsidR="00281CBE" w:rsidRPr="00E4517B" w:rsidTr="008E47D2">
        <w:trPr>
          <w:trHeight w:val="203"/>
        </w:trPr>
        <w:tc>
          <w:tcPr>
            <w:cnfStyle w:val="001000000000" w:firstRow="0" w:lastRow="0" w:firstColumn="1" w:lastColumn="0" w:oddVBand="0" w:evenVBand="0" w:oddHBand="0" w:evenHBand="0" w:firstRowFirstColumn="0" w:firstRowLastColumn="0" w:lastRowFirstColumn="0" w:lastRowLastColumn="0"/>
            <w:tcW w:w="680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81CBE" w:rsidRPr="00F55BA6" w:rsidRDefault="00281CBE" w:rsidP="00B51730">
            <w:pPr>
              <w:ind w:right="1"/>
              <w:rPr>
                <w:rFonts w:asciiTheme="majorHAnsi" w:eastAsia="MS Mincho" w:hAnsiTheme="majorHAnsi" w:cstheme="majorHAnsi"/>
                <w:b w:val="0"/>
                <w:sz w:val="20"/>
                <w:szCs w:val="20"/>
                <w:lang w:val="ro-RO"/>
              </w:rPr>
            </w:pPr>
            <w:r w:rsidRPr="00F55BA6">
              <w:rPr>
                <w:rFonts w:asciiTheme="majorHAnsi" w:eastAsia="MS Mincho" w:hAnsiTheme="majorHAnsi" w:cstheme="majorHAnsi"/>
                <w:sz w:val="20"/>
                <w:szCs w:val="20"/>
                <w:lang w:val="ro-RO"/>
              </w:rPr>
              <w:t>Învățământul general</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81CBE" w:rsidRPr="00F55BA6" w:rsidRDefault="00281CBE" w:rsidP="00B51730">
            <w:pPr>
              <w:ind w:left="-104"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szCs w:val="20"/>
                <w:lang w:val="ro-RO"/>
              </w:rPr>
            </w:pPr>
            <w:r w:rsidRPr="00F55BA6">
              <w:rPr>
                <w:rFonts w:asciiTheme="majorHAnsi" w:eastAsia="MS Mincho" w:hAnsiTheme="majorHAnsi" w:cstheme="majorHAnsi"/>
                <w:sz w:val="20"/>
                <w:szCs w:val="20"/>
                <w:lang w:val="ro-RO"/>
              </w:rPr>
              <w:t>9 352,4</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81CBE" w:rsidRPr="00F55BA6" w:rsidRDefault="00281CBE" w:rsidP="00B51730">
            <w:pPr>
              <w:ind w:left="-108"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szCs w:val="20"/>
                <w:lang w:val="ro-RO"/>
              </w:rPr>
            </w:pPr>
            <w:r w:rsidRPr="00F55BA6">
              <w:rPr>
                <w:rFonts w:asciiTheme="majorHAnsi" w:eastAsia="MS Mincho" w:hAnsiTheme="majorHAnsi" w:cstheme="majorHAnsi"/>
                <w:sz w:val="20"/>
                <w:szCs w:val="20"/>
                <w:lang w:val="ro-RO"/>
              </w:rPr>
              <w:t>9 422,7</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81CBE" w:rsidRPr="00F55BA6" w:rsidRDefault="00281CBE" w:rsidP="00B51730">
            <w:pPr>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szCs w:val="20"/>
                <w:lang w:val="ro-RO"/>
              </w:rPr>
            </w:pPr>
            <w:r w:rsidRPr="00F55BA6">
              <w:rPr>
                <w:rFonts w:asciiTheme="majorHAnsi" w:eastAsia="MS Mincho" w:hAnsiTheme="majorHAnsi" w:cstheme="majorHAnsi"/>
                <w:sz w:val="20"/>
                <w:szCs w:val="20"/>
                <w:lang w:val="ro-RO"/>
              </w:rPr>
              <w:t>9 141,7</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81CBE" w:rsidRPr="00F55BA6" w:rsidRDefault="00281CBE" w:rsidP="00B51730">
            <w:pPr>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szCs w:val="20"/>
                <w:lang w:val="ro-RO"/>
              </w:rPr>
            </w:pPr>
            <w:r w:rsidRPr="00F55BA6">
              <w:rPr>
                <w:rFonts w:asciiTheme="majorHAnsi" w:eastAsia="MS Mincho" w:hAnsiTheme="majorHAnsi" w:cstheme="majorHAnsi"/>
                <w:sz w:val="20"/>
                <w:szCs w:val="20"/>
                <w:lang w:val="ro-RO"/>
              </w:rPr>
              <w:t>-281,0</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81CBE" w:rsidRPr="00F55BA6" w:rsidRDefault="00281CBE" w:rsidP="00B51730">
            <w:pPr>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i/>
                <w:sz w:val="20"/>
                <w:szCs w:val="20"/>
                <w:lang w:val="ro-RO"/>
              </w:rPr>
            </w:pPr>
            <w:r w:rsidRPr="00F55BA6">
              <w:rPr>
                <w:rFonts w:asciiTheme="majorHAnsi" w:eastAsia="MS Mincho" w:hAnsiTheme="majorHAnsi" w:cstheme="majorHAnsi"/>
                <w:i/>
                <w:sz w:val="20"/>
                <w:szCs w:val="20"/>
                <w:lang w:val="ro-RO"/>
              </w:rPr>
              <w:t>97,0</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81CBE" w:rsidRPr="00F55BA6" w:rsidRDefault="00281CBE" w:rsidP="00B51730">
            <w:pPr>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szCs w:val="20"/>
                <w:lang w:val="ro-RO"/>
              </w:rPr>
            </w:pPr>
            <w:r w:rsidRPr="00F55BA6">
              <w:rPr>
                <w:rFonts w:asciiTheme="majorHAnsi" w:eastAsia="MS Mincho" w:hAnsiTheme="majorHAnsi" w:cstheme="majorHAnsi"/>
                <w:sz w:val="20"/>
                <w:szCs w:val="20"/>
                <w:lang w:val="ro-RO"/>
              </w:rPr>
              <w:t>8 101,5</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81CBE" w:rsidRPr="00F55BA6" w:rsidRDefault="00281CBE" w:rsidP="00B51730">
            <w:pPr>
              <w:ind w:left="-101"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szCs w:val="20"/>
                <w:lang w:val="ro-RO"/>
              </w:rPr>
            </w:pPr>
            <w:r w:rsidRPr="00F55BA6">
              <w:rPr>
                <w:rFonts w:asciiTheme="majorHAnsi" w:eastAsia="MS Mincho" w:hAnsiTheme="majorHAnsi" w:cstheme="majorHAnsi"/>
                <w:sz w:val="20"/>
                <w:szCs w:val="20"/>
                <w:lang w:val="ro-RO"/>
              </w:rPr>
              <w:t>+1 040,2</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81CBE" w:rsidRPr="00F55BA6" w:rsidRDefault="00281CBE" w:rsidP="00B51730">
            <w:pPr>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i/>
                <w:sz w:val="20"/>
                <w:szCs w:val="20"/>
                <w:lang w:val="ro-RO"/>
              </w:rPr>
            </w:pPr>
            <w:r w:rsidRPr="00F55BA6">
              <w:rPr>
                <w:rFonts w:asciiTheme="majorHAnsi" w:eastAsia="MS Mincho" w:hAnsiTheme="majorHAnsi" w:cstheme="majorHAnsi"/>
                <w:i/>
                <w:sz w:val="20"/>
                <w:szCs w:val="20"/>
                <w:lang w:val="ro-RO"/>
              </w:rPr>
              <w:t>112,8</w:t>
            </w:r>
          </w:p>
        </w:tc>
      </w:tr>
      <w:tr w:rsidR="00281CBE" w:rsidRPr="00E4517B" w:rsidTr="008E47D2">
        <w:tc>
          <w:tcPr>
            <w:cnfStyle w:val="001000000000" w:firstRow="0" w:lastRow="0" w:firstColumn="1" w:lastColumn="0" w:oddVBand="0" w:evenVBand="0" w:oddHBand="0" w:evenHBand="0" w:firstRowFirstColumn="0" w:firstRowLastColumn="0" w:lastRowFirstColumn="0" w:lastRowLastColumn="0"/>
            <w:tcW w:w="680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81CBE" w:rsidRPr="00F55BA6" w:rsidRDefault="00281CBE" w:rsidP="00B51730">
            <w:pPr>
              <w:ind w:right="1"/>
              <w:rPr>
                <w:rFonts w:asciiTheme="majorHAnsi" w:eastAsia="MS Mincho" w:hAnsiTheme="majorHAnsi" w:cstheme="majorHAnsi"/>
                <w:b w:val="0"/>
                <w:sz w:val="20"/>
                <w:szCs w:val="20"/>
                <w:lang w:val="ro-RO"/>
              </w:rPr>
            </w:pPr>
            <w:r w:rsidRPr="00F55BA6">
              <w:rPr>
                <w:rFonts w:asciiTheme="majorHAnsi" w:eastAsia="MS Mincho" w:hAnsiTheme="majorHAnsi" w:cstheme="majorHAnsi"/>
                <w:sz w:val="20"/>
                <w:szCs w:val="20"/>
                <w:lang w:val="ro-RO"/>
              </w:rPr>
              <w:t>Procurarea utilajului școlar și mobilierului școlar și dotarea laboratoarelor în cadrul PRIM</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81CBE" w:rsidRPr="00F55BA6" w:rsidRDefault="00281CBE" w:rsidP="00B51730">
            <w:pPr>
              <w:ind w:left="-104"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szCs w:val="20"/>
                <w:lang w:val="ro-RO"/>
              </w:rPr>
            </w:pPr>
            <w:r w:rsidRPr="00F55BA6">
              <w:rPr>
                <w:rFonts w:asciiTheme="majorHAnsi" w:eastAsia="MS Mincho" w:hAnsiTheme="majorHAnsi" w:cstheme="majorHAnsi"/>
                <w:sz w:val="20"/>
                <w:szCs w:val="20"/>
                <w:lang w:val="ro-RO"/>
              </w:rPr>
              <w:t>47,0</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81CBE" w:rsidRPr="00F55BA6" w:rsidRDefault="00281CBE" w:rsidP="00B51730">
            <w:pPr>
              <w:ind w:left="-108"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szCs w:val="20"/>
                <w:lang w:val="ro-RO"/>
              </w:rPr>
            </w:pPr>
            <w:r w:rsidRPr="00F55BA6">
              <w:rPr>
                <w:rFonts w:asciiTheme="majorHAnsi" w:eastAsia="MS Mincho" w:hAnsiTheme="majorHAnsi" w:cstheme="majorHAnsi"/>
                <w:sz w:val="20"/>
                <w:szCs w:val="20"/>
                <w:lang w:val="ro-RO"/>
              </w:rPr>
              <w:t>51,5</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81CBE" w:rsidRPr="00F55BA6" w:rsidRDefault="00281CBE" w:rsidP="00B51730">
            <w:pPr>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szCs w:val="20"/>
                <w:lang w:val="ro-RO"/>
              </w:rPr>
            </w:pPr>
            <w:r w:rsidRPr="00F55BA6">
              <w:rPr>
                <w:rFonts w:asciiTheme="majorHAnsi" w:eastAsia="MS Mincho" w:hAnsiTheme="majorHAnsi" w:cstheme="majorHAnsi"/>
                <w:sz w:val="20"/>
                <w:szCs w:val="20"/>
                <w:lang w:val="ro-RO"/>
              </w:rPr>
              <w:t>41,1</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81CBE" w:rsidRPr="00F55BA6" w:rsidRDefault="00281CBE" w:rsidP="00B51730">
            <w:pPr>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szCs w:val="20"/>
                <w:lang w:val="ro-RO"/>
              </w:rPr>
            </w:pPr>
            <w:r w:rsidRPr="00F55BA6">
              <w:rPr>
                <w:rFonts w:asciiTheme="majorHAnsi" w:eastAsia="MS Mincho" w:hAnsiTheme="majorHAnsi" w:cstheme="majorHAnsi"/>
                <w:sz w:val="20"/>
                <w:szCs w:val="20"/>
                <w:lang w:val="ro-RO"/>
              </w:rPr>
              <w:t>-10,4</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81CBE" w:rsidRPr="00F55BA6" w:rsidRDefault="00281CBE" w:rsidP="00B51730">
            <w:pPr>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i/>
                <w:sz w:val="20"/>
                <w:szCs w:val="20"/>
                <w:lang w:val="ro-RO"/>
              </w:rPr>
            </w:pPr>
            <w:r w:rsidRPr="00F55BA6">
              <w:rPr>
                <w:rFonts w:asciiTheme="majorHAnsi" w:eastAsia="MS Mincho" w:hAnsiTheme="majorHAnsi" w:cstheme="majorHAnsi"/>
                <w:i/>
                <w:sz w:val="20"/>
                <w:szCs w:val="20"/>
                <w:lang w:val="ro-RO"/>
              </w:rPr>
              <w:t>79,8</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81CBE" w:rsidRPr="00F55BA6" w:rsidRDefault="00281CBE" w:rsidP="00B51730">
            <w:pPr>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szCs w:val="20"/>
                <w:lang w:val="ro-RO"/>
              </w:rPr>
            </w:pPr>
            <w:r w:rsidRPr="00F55BA6">
              <w:rPr>
                <w:rFonts w:asciiTheme="majorHAnsi" w:eastAsia="MS Mincho" w:hAnsiTheme="majorHAnsi" w:cstheme="majorHAnsi"/>
                <w:sz w:val="20"/>
                <w:szCs w:val="20"/>
                <w:lang w:val="ro-RO"/>
              </w:rPr>
              <w:t>11,8</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81CBE" w:rsidRPr="00F55BA6" w:rsidRDefault="00281CBE" w:rsidP="00B51730">
            <w:pPr>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szCs w:val="20"/>
                <w:lang w:val="ro-RO"/>
              </w:rPr>
            </w:pPr>
            <w:r w:rsidRPr="00F55BA6">
              <w:rPr>
                <w:rFonts w:asciiTheme="majorHAnsi" w:eastAsia="MS Mincho" w:hAnsiTheme="majorHAnsi" w:cstheme="majorHAnsi"/>
                <w:sz w:val="20"/>
                <w:szCs w:val="20"/>
                <w:lang w:val="ro-RO"/>
              </w:rPr>
              <w:t>+29,3</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81CBE" w:rsidRPr="00F55BA6" w:rsidRDefault="00281CBE" w:rsidP="00B51730">
            <w:pPr>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i/>
                <w:sz w:val="20"/>
                <w:szCs w:val="20"/>
                <w:lang w:val="ro-RO"/>
              </w:rPr>
            </w:pPr>
            <w:r w:rsidRPr="00F55BA6">
              <w:rPr>
                <w:rFonts w:asciiTheme="majorHAnsi" w:eastAsia="MS Mincho" w:hAnsiTheme="majorHAnsi" w:cstheme="majorHAnsi"/>
                <w:i/>
                <w:sz w:val="20"/>
                <w:szCs w:val="20"/>
                <w:lang w:val="ro-RO"/>
              </w:rPr>
              <w:t>348,3</w:t>
            </w:r>
          </w:p>
        </w:tc>
      </w:tr>
      <w:tr w:rsidR="00281CBE" w:rsidRPr="00E4517B" w:rsidTr="008E47D2">
        <w:trPr>
          <w:trHeight w:val="276"/>
        </w:trPr>
        <w:tc>
          <w:tcPr>
            <w:cnfStyle w:val="001000000000" w:firstRow="0" w:lastRow="0" w:firstColumn="1" w:lastColumn="0" w:oddVBand="0" w:evenVBand="0" w:oddHBand="0" w:evenHBand="0" w:firstRowFirstColumn="0" w:firstRowLastColumn="0" w:lastRowFirstColumn="0" w:lastRowLastColumn="0"/>
            <w:tcW w:w="680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81CBE" w:rsidRPr="00F55BA6" w:rsidRDefault="00281CBE" w:rsidP="00B51730">
            <w:pPr>
              <w:ind w:right="1"/>
              <w:rPr>
                <w:rFonts w:asciiTheme="majorHAnsi" w:eastAsia="MS Mincho" w:hAnsiTheme="majorHAnsi" w:cstheme="majorHAnsi"/>
                <w:b w:val="0"/>
                <w:sz w:val="20"/>
                <w:szCs w:val="20"/>
                <w:lang w:val="ro-RO"/>
              </w:rPr>
            </w:pPr>
            <w:r w:rsidRPr="00F55BA6">
              <w:rPr>
                <w:rFonts w:asciiTheme="majorHAnsi" w:eastAsia="MS Mincho" w:hAnsiTheme="majorHAnsi" w:cstheme="majorHAnsi"/>
                <w:sz w:val="20"/>
                <w:szCs w:val="20"/>
                <w:lang w:val="ro-RO"/>
              </w:rPr>
              <w:t>Școli sportive</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81CBE" w:rsidRPr="00F55BA6" w:rsidRDefault="00281CBE" w:rsidP="00B51730">
            <w:pPr>
              <w:ind w:left="-104"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szCs w:val="20"/>
                <w:lang w:val="ro-RO"/>
              </w:rPr>
            </w:pPr>
            <w:r w:rsidRPr="00F55BA6">
              <w:rPr>
                <w:rFonts w:asciiTheme="majorHAnsi" w:eastAsia="MS Mincho" w:hAnsiTheme="majorHAnsi" w:cstheme="majorHAnsi"/>
                <w:sz w:val="20"/>
                <w:szCs w:val="20"/>
                <w:lang w:val="ro-RO"/>
              </w:rPr>
              <w:t>215,3</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81CBE" w:rsidRPr="00F55BA6" w:rsidRDefault="00281CBE" w:rsidP="00B51730">
            <w:pPr>
              <w:ind w:left="-108"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szCs w:val="20"/>
                <w:lang w:val="ro-RO"/>
              </w:rPr>
            </w:pPr>
            <w:r w:rsidRPr="00F55BA6">
              <w:rPr>
                <w:rFonts w:asciiTheme="majorHAnsi" w:eastAsia="MS Mincho" w:hAnsiTheme="majorHAnsi" w:cstheme="majorHAnsi"/>
                <w:sz w:val="20"/>
                <w:szCs w:val="20"/>
                <w:lang w:val="ro-RO"/>
              </w:rPr>
              <w:t>216,6</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81CBE" w:rsidRPr="00F55BA6" w:rsidRDefault="00281CBE" w:rsidP="00B51730">
            <w:pPr>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szCs w:val="20"/>
                <w:lang w:val="ro-RO"/>
              </w:rPr>
            </w:pPr>
            <w:r w:rsidRPr="00F55BA6">
              <w:rPr>
                <w:rFonts w:asciiTheme="majorHAnsi" w:eastAsia="MS Mincho" w:hAnsiTheme="majorHAnsi" w:cstheme="majorHAnsi"/>
                <w:sz w:val="20"/>
                <w:szCs w:val="20"/>
                <w:lang w:val="ro-RO"/>
              </w:rPr>
              <w:t>210,8</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81CBE" w:rsidRPr="00F55BA6" w:rsidRDefault="00281CBE" w:rsidP="00B51730">
            <w:pPr>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szCs w:val="20"/>
                <w:lang w:val="ro-RO"/>
              </w:rPr>
            </w:pPr>
            <w:r w:rsidRPr="00F55BA6">
              <w:rPr>
                <w:rFonts w:asciiTheme="majorHAnsi" w:eastAsia="MS Mincho" w:hAnsiTheme="majorHAnsi" w:cstheme="majorHAnsi"/>
                <w:sz w:val="20"/>
                <w:szCs w:val="20"/>
                <w:lang w:val="ro-RO"/>
              </w:rPr>
              <w:t>-5,8</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81CBE" w:rsidRPr="00F55BA6" w:rsidRDefault="00281CBE" w:rsidP="00B51730">
            <w:pPr>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i/>
                <w:sz w:val="20"/>
                <w:szCs w:val="20"/>
                <w:lang w:val="ro-RO"/>
              </w:rPr>
            </w:pPr>
            <w:r w:rsidRPr="00F55BA6">
              <w:rPr>
                <w:rFonts w:asciiTheme="majorHAnsi" w:eastAsia="MS Mincho" w:hAnsiTheme="majorHAnsi" w:cstheme="majorHAnsi"/>
                <w:i/>
                <w:sz w:val="20"/>
                <w:szCs w:val="20"/>
                <w:lang w:val="ro-RO"/>
              </w:rPr>
              <w:t>97,3</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81CBE" w:rsidRPr="00F55BA6" w:rsidRDefault="00281CBE" w:rsidP="00B51730">
            <w:pPr>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szCs w:val="20"/>
                <w:lang w:val="ro-RO"/>
              </w:rPr>
            </w:pPr>
            <w:r w:rsidRPr="00F55BA6">
              <w:rPr>
                <w:rFonts w:asciiTheme="majorHAnsi" w:eastAsia="MS Mincho" w:hAnsiTheme="majorHAnsi" w:cstheme="majorHAnsi"/>
                <w:sz w:val="20"/>
                <w:szCs w:val="20"/>
                <w:lang w:val="ro-RO"/>
              </w:rPr>
              <w:t>199,2</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81CBE" w:rsidRPr="00F55BA6" w:rsidRDefault="00281CBE" w:rsidP="00B51730">
            <w:pPr>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szCs w:val="20"/>
                <w:lang w:val="ro-RO"/>
              </w:rPr>
            </w:pPr>
            <w:r w:rsidRPr="00F55BA6">
              <w:rPr>
                <w:rFonts w:asciiTheme="majorHAnsi" w:eastAsia="MS Mincho" w:hAnsiTheme="majorHAnsi" w:cstheme="majorHAnsi"/>
                <w:sz w:val="20"/>
                <w:szCs w:val="20"/>
                <w:lang w:val="ro-RO"/>
              </w:rPr>
              <w:t>+11,6</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81CBE" w:rsidRPr="00F55BA6" w:rsidRDefault="00281CBE" w:rsidP="00B51730">
            <w:pPr>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i/>
                <w:sz w:val="20"/>
                <w:szCs w:val="20"/>
                <w:lang w:val="ro-RO"/>
              </w:rPr>
            </w:pPr>
            <w:r w:rsidRPr="00F55BA6">
              <w:rPr>
                <w:rFonts w:asciiTheme="majorHAnsi" w:eastAsia="MS Mincho" w:hAnsiTheme="majorHAnsi" w:cstheme="majorHAnsi"/>
                <w:i/>
                <w:sz w:val="20"/>
                <w:szCs w:val="20"/>
                <w:lang w:val="ro-RO"/>
              </w:rPr>
              <w:t>105,8</w:t>
            </w:r>
          </w:p>
        </w:tc>
      </w:tr>
      <w:tr w:rsidR="00281CBE" w:rsidRPr="00E4517B" w:rsidTr="008E47D2">
        <w:tc>
          <w:tcPr>
            <w:cnfStyle w:val="001000000000" w:firstRow="0" w:lastRow="0" w:firstColumn="1" w:lastColumn="0" w:oddVBand="0" w:evenVBand="0" w:oddHBand="0" w:evenHBand="0" w:firstRowFirstColumn="0" w:firstRowLastColumn="0" w:lastRowFirstColumn="0" w:lastRowLastColumn="0"/>
            <w:tcW w:w="680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81CBE" w:rsidRPr="00F55BA6" w:rsidRDefault="00281CBE" w:rsidP="00B51730">
            <w:pPr>
              <w:ind w:right="1"/>
              <w:rPr>
                <w:rFonts w:asciiTheme="majorHAnsi" w:eastAsia="MS Mincho" w:hAnsiTheme="majorHAnsi" w:cstheme="majorHAnsi"/>
                <w:b w:val="0"/>
                <w:sz w:val="20"/>
                <w:szCs w:val="20"/>
                <w:lang w:val="ro-RO"/>
              </w:rPr>
            </w:pPr>
            <w:r w:rsidRPr="00F55BA6">
              <w:rPr>
                <w:rFonts w:asciiTheme="majorHAnsi" w:eastAsia="MS Mincho" w:hAnsiTheme="majorHAnsi" w:cstheme="majorHAnsi"/>
                <w:sz w:val="20"/>
                <w:szCs w:val="20"/>
                <w:lang w:val="ro-RO"/>
              </w:rPr>
              <w:t>Asistența socială</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81CBE" w:rsidRPr="00F55BA6" w:rsidRDefault="00281CBE" w:rsidP="00B51730">
            <w:pPr>
              <w:ind w:left="-104"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szCs w:val="20"/>
                <w:lang w:val="ro-RO"/>
              </w:rPr>
            </w:pPr>
            <w:r w:rsidRPr="00F55BA6">
              <w:rPr>
                <w:rFonts w:asciiTheme="majorHAnsi" w:eastAsia="MS Mincho" w:hAnsiTheme="majorHAnsi" w:cstheme="majorHAnsi"/>
                <w:sz w:val="20"/>
                <w:szCs w:val="20"/>
                <w:lang w:val="ro-RO"/>
              </w:rPr>
              <w:t>252,4</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81CBE" w:rsidRPr="00F55BA6" w:rsidRDefault="00281CBE" w:rsidP="00B51730">
            <w:pPr>
              <w:ind w:left="-108"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szCs w:val="20"/>
                <w:lang w:val="ro-RO"/>
              </w:rPr>
            </w:pPr>
            <w:r w:rsidRPr="00F55BA6">
              <w:rPr>
                <w:rFonts w:asciiTheme="majorHAnsi" w:eastAsia="MS Mincho" w:hAnsiTheme="majorHAnsi" w:cstheme="majorHAnsi"/>
                <w:sz w:val="20"/>
                <w:szCs w:val="20"/>
                <w:lang w:val="ro-RO"/>
              </w:rPr>
              <w:t>252,4</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81CBE" w:rsidRPr="00F55BA6" w:rsidRDefault="00281CBE" w:rsidP="00B51730">
            <w:pPr>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szCs w:val="20"/>
                <w:lang w:val="ro-RO"/>
              </w:rPr>
            </w:pPr>
            <w:r w:rsidRPr="00F55BA6">
              <w:rPr>
                <w:rFonts w:asciiTheme="majorHAnsi" w:eastAsia="MS Mincho" w:hAnsiTheme="majorHAnsi" w:cstheme="majorHAnsi"/>
                <w:sz w:val="20"/>
                <w:szCs w:val="20"/>
                <w:lang w:val="ro-RO"/>
              </w:rPr>
              <w:t>200,9</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81CBE" w:rsidRPr="00F55BA6" w:rsidRDefault="00281CBE" w:rsidP="00B51730">
            <w:pPr>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szCs w:val="20"/>
                <w:lang w:val="ro-RO"/>
              </w:rPr>
            </w:pPr>
            <w:r w:rsidRPr="00F55BA6">
              <w:rPr>
                <w:rFonts w:asciiTheme="majorHAnsi" w:eastAsia="MS Mincho" w:hAnsiTheme="majorHAnsi" w:cstheme="majorHAnsi"/>
                <w:sz w:val="20"/>
                <w:szCs w:val="20"/>
                <w:lang w:val="ro-RO"/>
              </w:rPr>
              <w:t>-51,4</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81CBE" w:rsidRPr="00F55BA6" w:rsidRDefault="00281CBE" w:rsidP="00B51730">
            <w:pPr>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i/>
                <w:sz w:val="20"/>
                <w:szCs w:val="20"/>
                <w:lang w:val="ro-RO"/>
              </w:rPr>
            </w:pPr>
            <w:r w:rsidRPr="00F55BA6">
              <w:rPr>
                <w:rFonts w:asciiTheme="majorHAnsi" w:eastAsia="MS Mincho" w:hAnsiTheme="majorHAnsi" w:cstheme="majorHAnsi"/>
                <w:i/>
                <w:sz w:val="20"/>
                <w:szCs w:val="20"/>
                <w:lang w:val="ro-RO"/>
              </w:rPr>
              <w:t>79,6</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81CBE" w:rsidRPr="00F55BA6" w:rsidRDefault="00281CBE" w:rsidP="00B51730">
            <w:pPr>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szCs w:val="20"/>
                <w:lang w:val="ro-RO"/>
              </w:rPr>
            </w:pPr>
            <w:r w:rsidRPr="00F55BA6">
              <w:rPr>
                <w:rFonts w:asciiTheme="majorHAnsi" w:eastAsia="MS Mincho" w:hAnsiTheme="majorHAnsi" w:cstheme="majorHAnsi"/>
                <w:sz w:val="20"/>
                <w:szCs w:val="20"/>
                <w:lang w:val="ro-RO"/>
              </w:rPr>
              <w:t>199,4</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81CBE" w:rsidRPr="00F55BA6" w:rsidRDefault="00281CBE" w:rsidP="00B51730">
            <w:pPr>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szCs w:val="20"/>
                <w:lang w:val="ro-RO"/>
              </w:rPr>
            </w:pPr>
            <w:r w:rsidRPr="00F55BA6">
              <w:rPr>
                <w:rFonts w:asciiTheme="majorHAnsi" w:eastAsia="MS Mincho" w:hAnsiTheme="majorHAnsi" w:cstheme="majorHAnsi"/>
                <w:sz w:val="20"/>
                <w:szCs w:val="20"/>
                <w:lang w:val="ro-RO"/>
              </w:rPr>
              <w:t>+1,5</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81CBE" w:rsidRPr="00F55BA6" w:rsidRDefault="00281CBE" w:rsidP="00B51730">
            <w:pPr>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i/>
                <w:sz w:val="20"/>
                <w:szCs w:val="20"/>
                <w:lang w:val="ro-RO"/>
              </w:rPr>
            </w:pPr>
            <w:r w:rsidRPr="00F55BA6">
              <w:rPr>
                <w:rFonts w:asciiTheme="majorHAnsi" w:eastAsia="MS Mincho" w:hAnsiTheme="majorHAnsi" w:cstheme="majorHAnsi"/>
                <w:i/>
                <w:sz w:val="20"/>
                <w:szCs w:val="20"/>
                <w:lang w:val="ro-RO"/>
              </w:rPr>
              <w:t>100,8</w:t>
            </w:r>
          </w:p>
        </w:tc>
      </w:tr>
      <w:tr w:rsidR="00281CBE" w:rsidRPr="00E4517B" w:rsidTr="008E47D2">
        <w:tc>
          <w:tcPr>
            <w:cnfStyle w:val="001000000000" w:firstRow="0" w:lastRow="0" w:firstColumn="1" w:lastColumn="0" w:oddVBand="0" w:evenVBand="0" w:oddHBand="0" w:evenHBand="0" w:firstRowFirstColumn="0" w:firstRowLastColumn="0" w:lastRowFirstColumn="0" w:lastRowLastColumn="0"/>
            <w:tcW w:w="680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81CBE" w:rsidRPr="00F55BA6" w:rsidRDefault="00281CBE" w:rsidP="005F5FE6">
            <w:pPr>
              <w:ind w:right="1"/>
              <w:rPr>
                <w:rFonts w:asciiTheme="majorHAnsi" w:eastAsia="MS Mincho" w:hAnsiTheme="majorHAnsi" w:cstheme="majorHAnsi"/>
                <w:b w:val="0"/>
                <w:sz w:val="20"/>
                <w:szCs w:val="20"/>
                <w:lang w:val="ro-RO"/>
              </w:rPr>
            </w:pPr>
            <w:r w:rsidRPr="00F55BA6">
              <w:rPr>
                <w:rFonts w:asciiTheme="majorHAnsi" w:eastAsia="MS Mincho" w:hAnsiTheme="majorHAnsi" w:cstheme="majorHAnsi"/>
                <w:sz w:val="20"/>
                <w:szCs w:val="20"/>
                <w:lang w:val="ro-RO"/>
              </w:rPr>
              <w:t>Compensarea scutirilor de la plata impozitului funciar al deținătorilor de terenuri agricole situate după traseul R</w:t>
            </w:r>
            <w:r w:rsidR="005F5FE6">
              <w:rPr>
                <w:rFonts w:asciiTheme="majorHAnsi" w:eastAsia="MS Mincho" w:hAnsiTheme="majorHAnsi" w:cstheme="majorHAnsi"/>
                <w:sz w:val="20"/>
                <w:szCs w:val="20"/>
                <w:lang w:val="ro-RO"/>
              </w:rPr>
              <w:t>â</w:t>
            </w:r>
            <w:r w:rsidRPr="00F55BA6">
              <w:rPr>
                <w:rFonts w:asciiTheme="majorHAnsi" w:eastAsia="MS Mincho" w:hAnsiTheme="majorHAnsi" w:cstheme="majorHAnsi"/>
                <w:sz w:val="20"/>
                <w:szCs w:val="20"/>
                <w:lang w:val="ro-RO"/>
              </w:rPr>
              <w:t>bnița-Tiraspol</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81CBE" w:rsidRPr="00F55BA6" w:rsidRDefault="00281CBE" w:rsidP="00B51730">
            <w:pPr>
              <w:ind w:left="-104"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szCs w:val="20"/>
                <w:lang w:val="ro-RO"/>
              </w:rPr>
            </w:pPr>
            <w:r w:rsidRPr="00F55BA6">
              <w:rPr>
                <w:rFonts w:asciiTheme="majorHAnsi" w:eastAsia="MS Mincho" w:hAnsiTheme="majorHAnsi" w:cstheme="majorHAnsi"/>
                <w:sz w:val="20"/>
                <w:szCs w:val="20"/>
                <w:lang w:val="ro-RO"/>
              </w:rPr>
              <w:t>0,6</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81CBE" w:rsidRPr="00F55BA6" w:rsidRDefault="00281CBE" w:rsidP="00B51730">
            <w:pPr>
              <w:ind w:left="-108"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szCs w:val="20"/>
                <w:lang w:val="ro-RO"/>
              </w:rPr>
            </w:pPr>
            <w:r w:rsidRPr="00F55BA6">
              <w:rPr>
                <w:rFonts w:asciiTheme="majorHAnsi" w:eastAsia="MS Mincho" w:hAnsiTheme="majorHAnsi" w:cstheme="majorHAnsi"/>
                <w:sz w:val="20"/>
                <w:szCs w:val="20"/>
                <w:lang w:val="ro-RO"/>
              </w:rPr>
              <w:t>0,6</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81CBE" w:rsidRPr="00F55BA6" w:rsidRDefault="00281CBE" w:rsidP="00B51730">
            <w:pPr>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szCs w:val="20"/>
                <w:lang w:val="ro-RO"/>
              </w:rPr>
            </w:pPr>
            <w:r w:rsidRPr="00F55BA6">
              <w:rPr>
                <w:rFonts w:asciiTheme="majorHAnsi" w:eastAsia="MS Mincho" w:hAnsiTheme="majorHAnsi" w:cstheme="majorHAnsi"/>
                <w:sz w:val="20"/>
                <w:szCs w:val="20"/>
                <w:lang w:val="ro-RO"/>
              </w:rPr>
              <w:t>0,6</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81CBE" w:rsidRPr="00F55BA6" w:rsidRDefault="00281CBE" w:rsidP="00B51730">
            <w:pPr>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szCs w:val="20"/>
                <w:lang w:val="ro-RO"/>
              </w:rPr>
            </w:pPr>
            <w:r w:rsidRPr="00F55BA6">
              <w:rPr>
                <w:rFonts w:asciiTheme="majorHAnsi" w:eastAsia="MS Mincho" w:hAnsiTheme="majorHAnsi" w:cstheme="majorHAnsi"/>
                <w:sz w:val="20"/>
                <w:szCs w:val="20"/>
                <w:lang w:val="ro-RO"/>
              </w:rPr>
              <w:t>0,0</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81CBE" w:rsidRPr="00F55BA6" w:rsidRDefault="00281CBE" w:rsidP="00B51730">
            <w:pPr>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i/>
                <w:sz w:val="20"/>
                <w:szCs w:val="20"/>
                <w:lang w:val="ro-RO"/>
              </w:rPr>
            </w:pPr>
            <w:r w:rsidRPr="00F55BA6">
              <w:rPr>
                <w:rFonts w:asciiTheme="majorHAnsi" w:eastAsia="MS Mincho" w:hAnsiTheme="majorHAnsi" w:cstheme="majorHAnsi"/>
                <w:i/>
                <w:sz w:val="20"/>
                <w:szCs w:val="20"/>
                <w:lang w:val="ro-RO"/>
              </w:rPr>
              <w:t>100,0</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81CBE" w:rsidRPr="00F55BA6" w:rsidRDefault="00281CBE" w:rsidP="00B51730">
            <w:pPr>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szCs w:val="20"/>
                <w:lang w:val="ro-RO"/>
              </w:rPr>
            </w:pPr>
            <w:r w:rsidRPr="00F55BA6">
              <w:rPr>
                <w:rFonts w:asciiTheme="majorHAnsi" w:eastAsia="MS Mincho" w:hAnsiTheme="majorHAnsi" w:cstheme="majorHAnsi"/>
                <w:sz w:val="20"/>
                <w:szCs w:val="20"/>
                <w:lang w:val="ro-RO"/>
              </w:rPr>
              <w:t>0,6</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81CBE" w:rsidRPr="00F55BA6" w:rsidRDefault="00281CBE" w:rsidP="00B51730">
            <w:pPr>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szCs w:val="20"/>
                <w:lang w:val="ro-RO"/>
              </w:rPr>
            </w:pPr>
            <w:r w:rsidRPr="00F55BA6">
              <w:rPr>
                <w:rFonts w:asciiTheme="majorHAnsi" w:eastAsia="MS Mincho" w:hAnsiTheme="majorHAnsi" w:cstheme="majorHAnsi"/>
                <w:sz w:val="20"/>
                <w:szCs w:val="20"/>
                <w:lang w:val="ro-RO"/>
              </w:rPr>
              <w:t>0,0</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81CBE" w:rsidRPr="00F55BA6" w:rsidRDefault="00281CBE" w:rsidP="00B51730">
            <w:pPr>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i/>
                <w:sz w:val="20"/>
                <w:szCs w:val="20"/>
                <w:lang w:val="ro-RO"/>
              </w:rPr>
            </w:pPr>
            <w:r w:rsidRPr="00F55BA6">
              <w:rPr>
                <w:rFonts w:asciiTheme="majorHAnsi" w:eastAsia="MS Mincho" w:hAnsiTheme="majorHAnsi" w:cstheme="majorHAnsi"/>
                <w:i/>
                <w:sz w:val="20"/>
                <w:szCs w:val="20"/>
                <w:lang w:val="ro-RO"/>
              </w:rPr>
              <w:t>100,0</w:t>
            </w:r>
          </w:p>
        </w:tc>
      </w:tr>
      <w:tr w:rsidR="00281CBE" w:rsidRPr="00E4517B" w:rsidTr="008E47D2">
        <w:tc>
          <w:tcPr>
            <w:cnfStyle w:val="001000000000" w:firstRow="0" w:lastRow="0" w:firstColumn="1" w:lastColumn="0" w:oddVBand="0" w:evenVBand="0" w:oddHBand="0" w:evenHBand="0" w:firstRowFirstColumn="0" w:firstRowLastColumn="0" w:lastRowFirstColumn="0" w:lastRowLastColumn="0"/>
            <w:tcW w:w="680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81CBE" w:rsidRPr="00F55BA6" w:rsidRDefault="00281CBE" w:rsidP="00B51730">
            <w:pPr>
              <w:ind w:right="1"/>
              <w:rPr>
                <w:rFonts w:asciiTheme="majorHAnsi" w:eastAsia="MS Mincho" w:hAnsiTheme="majorHAnsi" w:cstheme="majorHAnsi"/>
                <w:b w:val="0"/>
                <w:sz w:val="20"/>
                <w:szCs w:val="20"/>
                <w:lang w:val="ro-RO"/>
              </w:rPr>
            </w:pPr>
            <w:r w:rsidRPr="00F55BA6">
              <w:rPr>
                <w:rFonts w:asciiTheme="majorHAnsi" w:eastAsia="MS Mincho" w:hAnsiTheme="majorHAnsi" w:cstheme="majorHAnsi"/>
                <w:sz w:val="20"/>
                <w:szCs w:val="20"/>
                <w:lang w:val="ro-RO"/>
              </w:rPr>
              <w:t>Cheltuieli capitale</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81CBE" w:rsidRPr="00F55BA6" w:rsidRDefault="00281CBE" w:rsidP="00B51730">
            <w:pPr>
              <w:ind w:left="-104"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szCs w:val="20"/>
                <w:lang w:val="ro-RO"/>
              </w:rPr>
            </w:pPr>
            <w:r w:rsidRPr="00F55BA6">
              <w:rPr>
                <w:rFonts w:asciiTheme="majorHAnsi" w:eastAsia="MS Mincho" w:hAnsiTheme="majorHAnsi" w:cstheme="majorHAnsi"/>
                <w:sz w:val="20"/>
                <w:szCs w:val="20"/>
                <w:lang w:val="ro-RO"/>
              </w:rPr>
              <w:t>110,8</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81CBE" w:rsidRPr="00F55BA6" w:rsidRDefault="00281CBE" w:rsidP="00B51730">
            <w:pPr>
              <w:ind w:left="-108"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szCs w:val="20"/>
                <w:lang w:val="ro-RO"/>
              </w:rPr>
            </w:pPr>
            <w:r w:rsidRPr="00F55BA6">
              <w:rPr>
                <w:rFonts w:asciiTheme="majorHAnsi" w:eastAsia="MS Mincho" w:hAnsiTheme="majorHAnsi" w:cstheme="majorHAnsi"/>
                <w:sz w:val="20"/>
                <w:szCs w:val="20"/>
                <w:lang w:val="ro-RO"/>
              </w:rPr>
              <w:t>111,2</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81CBE" w:rsidRPr="00F55BA6" w:rsidRDefault="00281CBE" w:rsidP="00B51730">
            <w:pPr>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szCs w:val="20"/>
                <w:lang w:val="ro-RO"/>
              </w:rPr>
            </w:pPr>
            <w:r w:rsidRPr="00F55BA6">
              <w:rPr>
                <w:rFonts w:asciiTheme="majorHAnsi" w:eastAsia="MS Mincho" w:hAnsiTheme="majorHAnsi" w:cstheme="majorHAnsi"/>
                <w:sz w:val="20"/>
                <w:szCs w:val="20"/>
                <w:lang w:val="ro-RO"/>
              </w:rPr>
              <w:t>104,4</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81CBE" w:rsidRPr="00F55BA6" w:rsidRDefault="00281CBE" w:rsidP="00B51730">
            <w:pPr>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szCs w:val="20"/>
                <w:lang w:val="ro-RO"/>
              </w:rPr>
            </w:pPr>
            <w:r w:rsidRPr="00F55BA6">
              <w:rPr>
                <w:rFonts w:asciiTheme="majorHAnsi" w:eastAsia="MS Mincho" w:hAnsiTheme="majorHAnsi" w:cstheme="majorHAnsi"/>
                <w:sz w:val="20"/>
                <w:szCs w:val="20"/>
                <w:lang w:val="ro-RO"/>
              </w:rPr>
              <w:t>-6,8</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81CBE" w:rsidRPr="00F55BA6" w:rsidRDefault="00281CBE" w:rsidP="00B51730">
            <w:pPr>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i/>
                <w:sz w:val="20"/>
                <w:szCs w:val="20"/>
                <w:lang w:val="ro-RO"/>
              </w:rPr>
            </w:pPr>
            <w:r w:rsidRPr="00F55BA6">
              <w:rPr>
                <w:rFonts w:asciiTheme="majorHAnsi" w:eastAsia="MS Mincho" w:hAnsiTheme="majorHAnsi" w:cstheme="majorHAnsi"/>
                <w:i/>
                <w:sz w:val="20"/>
                <w:szCs w:val="20"/>
                <w:lang w:val="ro-RO"/>
              </w:rPr>
              <w:t>93,9</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81CBE" w:rsidRPr="00F55BA6" w:rsidRDefault="00281CBE" w:rsidP="00B51730">
            <w:pPr>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szCs w:val="20"/>
                <w:lang w:val="ro-RO"/>
              </w:rPr>
            </w:pPr>
            <w:r w:rsidRPr="00F55BA6">
              <w:rPr>
                <w:rFonts w:asciiTheme="majorHAnsi" w:eastAsia="MS Mincho" w:hAnsiTheme="majorHAnsi" w:cstheme="majorHAnsi"/>
                <w:sz w:val="20"/>
                <w:szCs w:val="20"/>
                <w:lang w:val="ro-RO"/>
              </w:rPr>
              <w:t>199,4</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81CBE" w:rsidRPr="00F55BA6" w:rsidRDefault="00281CBE" w:rsidP="00B51730">
            <w:pPr>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szCs w:val="20"/>
                <w:lang w:val="ro-RO"/>
              </w:rPr>
            </w:pPr>
            <w:r w:rsidRPr="00F55BA6">
              <w:rPr>
                <w:rFonts w:asciiTheme="majorHAnsi" w:eastAsia="MS Mincho" w:hAnsiTheme="majorHAnsi" w:cstheme="majorHAnsi"/>
                <w:sz w:val="20"/>
                <w:szCs w:val="20"/>
                <w:lang w:val="ro-RO"/>
              </w:rPr>
              <w:t>-95,0</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81CBE" w:rsidRPr="00F55BA6" w:rsidRDefault="00281CBE" w:rsidP="00B51730">
            <w:pPr>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i/>
                <w:sz w:val="20"/>
                <w:szCs w:val="20"/>
                <w:lang w:val="ro-RO"/>
              </w:rPr>
            </w:pPr>
            <w:r w:rsidRPr="00F55BA6">
              <w:rPr>
                <w:rFonts w:asciiTheme="majorHAnsi" w:eastAsia="MS Mincho" w:hAnsiTheme="majorHAnsi" w:cstheme="majorHAnsi"/>
                <w:i/>
                <w:sz w:val="20"/>
                <w:szCs w:val="20"/>
                <w:lang w:val="ro-RO"/>
              </w:rPr>
              <w:t>52,4</w:t>
            </w:r>
          </w:p>
        </w:tc>
      </w:tr>
      <w:tr w:rsidR="00281CBE" w:rsidRPr="00E4517B" w:rsidTr="008E47D2">
        <w:tc>
          <w:tcPr>
            <w:cnfStyle w:val="001000000000" w:firstRow="0" w:lastRow="0" w:firstColumn="1" w:lastColumn="0" w:oddVBand="0" w:evenVBand="0" w:oddHBand="0" w:evenHBand="0" w:firstRowFirstColumn="0" w:firstRowLastColumn="0" w:lastRowFirstColumn="0" w:lastRowLastColumn="0"/>
            <w:tcW w:w="680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81CBE" w:rsidRPr="00F55BA6" w:rsidRDefault="00281CBE" w:rsidP="00B51730">
            <w:pPr>
              <w:ind w:right="1"/>
              <w:rPr>
                <w:rFonts w:asciiTheme="majorHAnsi" w:eastAsia="MS Mincho" w:hAnsiTheme="majorHAnsi" w:cstheme="majorHAnsi"/>
                <w:b w:val="0"/>
                <w:sz w:val="20"/>
                <w:szCs w:val="20"/>
                <w:lang w:val="ro-RO"/>
              </w:rPr>
            </w:pPr>
            <w:r w:rsidRPr="00F55BA6">
              <w:rPr>
                <w:rFonts w:asciiTheme="majorHAnsi" w:eastAsia="MS Mincho" w:hAnsiTheme="majorHAnsi" w:cstheme="majorHAnsi"/>
                <w:sz w:val="20"/>
                <w:szCs w:val="20"/>
                <w:lang w:val="ro-RO"/>
              </w:rPr>
              <w:t>Infrastructura drumurilor locale</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81CBE" w:rsidRPr="00F55BA6" w:rsidRDefault="00281CBE" w:rsidP="00B51730">
            <w:pPr>
              <w:ind w:left="-104"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szCs w:val="20"/>
                <w:lang w:val="ro-RO"/>
              </w:rPr>
            </w:pPr>
            <w:r w:rsidRPr="00F55BA6">
              <w:rPr>
                <w:rFonts w:asciiTheme="majorHAnsi" w:eastAsia="MS Mincho" w:hAnsiTheme="majorHAnsi" w:cstheme="majorHAnsi"/>
                <w:sz w:val="20"/>
                <w:szCs w:val="20"/>
                <w:lang w:val="ro-RO"/>
              </w:rPr>
              <w:t>1 021, 9</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81CBE" w:rsidRPr="00F55BA6" w:rsidRDefault="00281CBE" w:rsidP="00B51730">
            <w:pPr>
              <w:ind w:left="-108"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szCs w:val="20"/>
                <w:lang w:val="ro-RO"/>
              </w:rPr>
            </w:pPr>
            <w:r w:rsidRPr="00F55BA6">
              <w:rPr>
                <w:rFonts w:asciiTheme="majorHAnsi" w:eastAsia="MS Mincho" w:hAnsiTheme="majorHAnsi" w:cstheme="majorHAnsi"/>
                <w:sz w:val="20"/>
                <w:szCs w:val="20"/>
                <w:lang w:val="ro-RO"/>
              </w:rPr>
              <w:t>1 021,9</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81CBE" w:rsidRPr="00F55BA6" w:rsidRDefault="00281CBE" w:rsidP="00B51730">
            <w:pPr>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szCs w:val="20"/>
                <w:lang w:val="ro-RO"/>
              </w:rPr>
            </w:pPr>
            <w:r w:rsidRPr="00F55BA6">
              <w:rPr>
                <w:rFonts w:asciiTheme="majorHAnsi" w:eastAsia="MS Mincho" w:hAnsiTheme="majorHAnsi" w:cstheme="majorHAnsi"/>
                <w:sz w:val="20"/>
                <w:szCs w:val="20"/>
                <w:lang w:val="ro-RO"/>
              </w:rPr>
              <w:t>988,6</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81CBE" w:rsidRPr="00F55BA6" w:rsidRDefault="00281CBE" w:rsidP="00B51730">
            <w:pPr>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szCs w:val="20"/>
                <w:lang w:val="ro-RO"/>
              </w:rPr>
            </w:pPr>
            <w:r w:rsidRPr="00F55BA6">
              <w:rPr>
                <w:rFonts w:asciiTheme="majorHAnsi" w:eastAsia="MS Mincho" w:hAnsiTheme="majorHAnsi" w:cstheme="majorHAnsi"/>
                <w:sz w:val="20"/>
                <w:szCs w:val="20"/>
                <w:lang w:val="ro-RO"/>
              </w:rPr>
              <w:t>33,3</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81CBE" w:rsidRPr="00F55BA6" w:rsidRDefault="00281CBE" w:rsidP="00B51730">
            <w:pPr>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i/>
                <w:sz w:val="20"/>
                <w:szCs w:val="20"/>
                <w:lang w:val="ro-RO"/>
              </w:rPr>
            </w:pPr>
            <w:r w:rsidRPr="00F55BA6">
              <w:rPr>
                <w:rFonts w:asciiTheme="majorHAnsi" w:eastAsia="MS Mincho" w:hAnsiTheme="majorHAnsi" w:cstheme="majorHAnsi"/>
                <w:i/>
                <w:sz w:val="20"/>
                <w:szCs w:val="20"/>
                <w:lang w:val="ro-RO"/>
              </w:rPr>
              <w:t>96,7</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81CBE" w:rsidRPr="00F55BA6" w:rsidRDefault="00281CBE" w:rsidP="00B51730">
            <w:pPr>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szCs w:val="20"/>
                <w:lang w:val="ro-RO"/>
              </w:rPr>
            </w:pPr>
            <w:r w:rsidRPr="00F55BA6">
              <w:rPr>
                <w:rFonts w:asciiTheme="majorHAnsi" w:eastAsia="MS Mincho" w:hAnsiTheme="majorHAnsi" w:cstheme="majorHAnsi"/>
                <w:sz w:val="20"/>
                <w:szCs w:val="20"/>
                <w:lang w:val="ro-RO"/>
              </w:rPr>
              <w:t>745,7</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81CBE" w:rsidRPr="00F55BA6" w:rsidRDefault="00281CBE" w:rsidP="00B51730">
            <w:pPr>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szCs w:val="20"/>
                <w:lang w:val="ro-RO"/>
              </w:rPr>
            </w:pPr>
            <w:r w:rsidRPr="00F55BA6">
              <w:rPr>
                <w:rFonts w:asciiTheme="majorHAnsi" w:eastAsia="MS Mincho" w:hAnsiTheme="majorHAnsi" w:cstheme="majorHAnsi"/>
                <w:sz w:val="20"/>
                <w:szCs w:val="20"/>
                <w:lang w:val="ro-RO"/>
              </w:rPr>
              <w:t>+242,9</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81CBE" w:rsidRPr="00F55BA6" w:rsidRDefault="00281CBE" w:rsidP="00B51730">
            <w:pPr>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i/>
                <w:sz w:val="20"/>
                <w:szCs w:val="20"/>
                <w:lang w:val="ro-RO"/>
              </w:rPr>
            </w:pPr>
            <w:r w:rsidRPr="00F55BA6">
              <w:rPr>
                <w:rFonts w:asciiTheme="majorHAnsi" w:eastAsia="MS Mincho" w:hAnsiTheme="majorHAnsi" w:cstheme="majorHAnsi"/>
                <w:i/>
                <w:sz w:val="20"/>
                <w:szCs w:val="20"/>
                <w:lang w:val="ro-RO"/>
              </w:rPr>
              <w:t>132,6</w:t>
            </w:r>
          </w:p>
        </w:tc>
      </w:tr>
      <w:tr w:rsidR="00281CBE" w:rsidRPr="00E4517B" w:rsidTr="008E47D2">
        <w:tc>
          <w:tcPr>
            <w:cnfStyle w:val="001000000000" w:firstRow="0" w:lastRow="0" w:firstColumn="1" w:lastColumn="0" w:oddVBand="0" w:evenVBand="0" w:oddHBand="0" w:evenHBand="0" w:firstRowFirstColumn="0" w:firstRowLastColumn="0" w:lastRowFirstColumn="0" w:lastRowLastColumn="0"/>
            <w:tcW w:w="680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81CBE" w:rsidRPr="00F55BA6" w:rsidRDefault="00281CBE" w:rsidP="00B51730">
            <w:pPr>
              <w:ind w:right="1"/>
              <w:rPr>
                <w:rFonts w:asciiTheme="majorHAnsi" w:eastAsia="MS Mincho" w:hAnsiTheme="majorHAnsi" w:cstheme="majorHAnsi"/>
                <w:b w:val="0"/>
                <w:sz w:val="20"/>
                <w:szCs w:val="20"/>
                <w:lang w:val="ro-RO"/>
              </w:rPr>
            </w:pPr>
            <w:r w:rsidRPr="00F55BA6">
              <w:rPr>
                <w:rFonts w:asciiTheme="majorHAnsi" w:eastAsia="MS Mincho" w:hAnsiTheme="majorHAnsi" w:cstheme="majorHAnsi"/>
                <w:sz w:val="20"/>
                <w:szCs w:val="20"/>
                <w:lang w:val="ro-RO"/>
              </w:rPr>
              <w:t>din Fondul de susținere a populației pentru pachetul minim de servicii</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81CBE" w:rsidRPr="00F55BA6" w:rsidRDefault="00281CBE" w:rsidP="00B51730">
            <w:pPr>
              <w:ind w:left="-104"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szCs w:val="20"/>
                <w:lang w:val="ro-RO"/>
              </w:rPr>
            </w:pPr>
            <w:r w:rsidRPr="00F55BA6">
              <w:rPr>
                <w:rFonts w:asciiTheme="majorHAnsi" w:eastAsia="MS Mincho" w:hAnsiTheme="majorHAnsi" w:cstheme="majorHAnsi"/>
                <w:sz w:val="20"/>
                <w:szCs w:val="20"/>
                <w:lang w:val="ro-RO"/>
              </w:rPr>
              <w:t>64,7</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81CBE" w:rsidRPr="00F55BA6" w:rsidRDefault="00281CBE" w:rsidP="00B51730">
            <w:pPr>
              <w:ind w:left="-108"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szCs w:val="20"/>
                <w:lang w:val="ro-RO"/>
              </w:rPr>
            </w:pPr>
            <w:r w:rsidRPr="00F55BA6">
              <w:rPr>
                <w:rFonts w:asciiTheme="majorHAnsi" w:eastAsia="MS Mincho" w:hAnsiTheme="majorHAnsi" w:cstheme="majorHAnsi"/>
                <w:sz w:val="20"/>
                <w:szCs w:val="20"/>
                <w:lang w:val="ro-RO"/>
              </w:rPr>
              <w:t>135,7</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81CBE" w:rsidRPr="00F55BA6" w:rsidRDefault="00281CBE" w:rsidP="00B51730">
            <w:pPr>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szCs w:val="20"/>
                <w:lang w:val="ro-RO"/>
              </w:rPr>
            </w:pPr>
            <w:r w:rsidRPr="00F55BA6">
              <w:rPr>
                <w:rFonts w:asciiTheme="majorHAnsi" w:eastAsia="MS Mincho" w:hAnsiTheme="majorHAnsi" w:cstheme="majorHAnsi"/>
                <w:sz w:val="20"/>
                <w:szCs w:val="20"/>
                <w:lang w:val="ro-RO"/>
              </w:rPr>
              <w:t>82,2</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81CBE" w:rsidRPr="00F55BA6" w:rsidRDefault="00281CBE" w:rsidP="00B51730">
            <w:pPr>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szCs w:val="20"/>
                <w:lang w:val="ro-RO"/>
              </w:rPr>
            </w:pPr>
            <w:r w:rsidRPr="00F55BA6">
              <w:rPr>
                <w:rFonts w:asciiTheme="majorHAnsi" w:eastAsia="MS Mincho" w:hAnsiTheme="majorHAnsi" w:cstheme="majorHAnsi"/>
                <w:sz w:val="20"/>
                <w:szCs w:val="20"/>
                <w:lang w:val="ro-RO"/>
              </w:rPr>
              <w:t>53,5</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81CBE" w:rsidRPr="00F55BA6" w:rsidRDefault="00281CBE" w:rsidP="00B51730">
            <w:pPr>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i/>
                <w:sz w:val="20"/>
                <w:szCs w:val="20"/>
                <w:lang w:val="ro-RO"/>
              </w:rPr>
            </w:pPr>
            <w:r w:rsidRPr="00F55BA6">
              <w:rPr>
                <w:rFonts w:asciiTheme="majorHAnsi" w:eastAsia="MS Mincho" w:hAnsiTheme="majorHAnsi" w:cstheme="majorHAnsi"/>
                <w:i/>
                <w:sz w:val="20"/>
                <w:szCs w:val="20"/>
                <w:lang w:val="ro-RO"/>
              </w:rPr>
              <w:t>60,6</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81CBE" w:rsidRPr="00F55BA6" w:rsidRDefault="00281CBE" w:rsidP="00B51730">
            <w:pPr>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szCs w:val="20"/>
                <w:lang w:val="ro-RO"/>
              </w:rPr>
            </w:pPr>
            <w:r w:rsidRPr="00F55BA6">
              <w:rPr>
                <w:rFonts w:asciiTheme="majorHAnsi" w:eastAsia="MS Mincho" w:hAnsiTheme="majorHAnsi" w:cstheme="majorHAnsi"/>
                <w:sz w:val="20"/>
                <w:szCs w:val="20"/>
                <w:lang w:val="ro-RO"/>
              </w:rPr>
              <w:t>62,0</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81CBE" w:rsidRPr="00F55BA6" w:rsidRDefault="00281CBE" w:rsidP="00B51730">
            <w:pPr>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szCs w:val="20"/>
                <w:lang w:val="ro-RO"/>
              </w:rPr>
            </w:pPr>
            <w:r w:rsidRPr="00F55BA6">
              <w:rPr>
                <w:rFonts w:asciiTheme="majorHAnsi" w:eastAsia="MS Mincho" w:hAnsiTheme="majorHAnsi" w:cstheme="majorHAnsi"/>
                <w:sz w:val="20"/>
                <w:szCs w:val="20"/>
                <w:lang w:val="ro-RO"/>
              </w:rPr>
              <w:t>+20,2</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81CBE" w:rsidRPr="00F55BA6" w:rsidRDefault="00281CBE" w:rsidP="00B51730">
            <w:pPr>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i/>
                <w:sz w:val="20"/>
                <w:szCs w:val="20"/>
                <w:lang w:val="ro-RO"/>
              </w:rPr>
            </w:pPr>
            <w:r w:rsidRPr="00F55BA6">
              <w:rPr>
                <w:rFonts w:asciiTheme="majorHAnsi" w:eastAsia="MS Mincho" w:hAnsiTheme="majorHAnsi" w:cstheme="majorHAnsi"/>
                <w:i/>
                <w:sz w:val="20"/>
                <w:szCs w:val="20"/>
                <w:lang w:val="ro-RO"/>
              </w:rPr>
              <w:t>132,6</w:t>
            </w:r>
          </w:p>
        </w:tc>
      </w:tr>
    </w:tbl>
    <w:p w:rsidR="00281CBE" w:rsidRPr="00F55BA6" w:rsidRDefault="00281CBE" w:rsidP="00281CBE">
      <w:pPr>
        <w:shd w:val="clear" w:color="auto" w:fill="FFFFFF" w:themeFill="background1"/>
        <w:spacing w:after="0" w:line="276" w:lineRule="auto"/>
        <w:ind w:left="567" w:right="-377"/>
        <w:rPr>
          <w:rFonts w:asciiTheme="majorHAnsi" w:eastAsia="MS Mincho" w:hAnsiTheme="majorHAnsi" w:cstheme="majorHAnsi"/>
          <w:sz w:val="32"/>
          <w:szCs w:val="24"/>
          <w:lang w:val="ro-RO" w:eastAsia="ja-JP"/>
        </w:rPr>
      </w:pPr>
      <w:r w:rsidRPr="00F55BA6">
        <w:rPr>
          <w:rFonts w:asciiTheme="majorHAnsi" w:eastAsia="MS Mincho" w:hAnsiTheme="majorHAnsi" w:cstheme="majorHAnsi"/>
          <w:b/>
          <w:i/>
          <w:sz w:val="20"/>
          <w:szCs w:val="20"/>
          <w:lang w:val="ro-RO" w:eastAsia="ja-JP"/>
        </w:rPr>
        <w:t>Sursă:</w:t>
      </w:r>
      <w:r w:rsidRPr="00F55BA6">
        <w:rPr>
          <w:rFonts w:asciiTheme="majorHAnsi" w:eastAsia="MS Mincho" w:hAnsiTheme="majorHAnsi" w:cstheme="majorHAnsi"/>
          <w:b/>
          <w:sz w:val="20"/>
          <w:szCs w:val="20"/>
          <w:lang w:val="ro-RO" w:eastAsia="ja-JP"/>
        </w:rPr>
        <w:t xml:space="preserve"> </w:t>
      </w:r>
      <w:r w:rsidRPr="00F55BA6">
        <w:rPr>
          <w:rFonts w:asciiTheme="majorHAnsi" w:hAnsiTheme="majorHAnsi" w:cstheme="majorHAnsi"/>
          <w:i/>
          <w:sz w:val="20"/>
          <w:szCs w:val="16"/>
          <w:lang w:val="ro-RO"/>
        </w:rPr>
        <w:t>Date generalizate de echipa de audit din Rapoartele Ministerului Finanțelor privind executarea bugetului de stat pe anii 2019-2020.</w:t>
      </w:r>
    </w:p>
    <w:p w:rsidR="00281CBE" w:rsidRPr="00F55BA6" w:rsidRDefault="00281CBE" w:rsidP="00281CBE">
      <w:pPr>
        <w:spacing w:after="0" w:line="276" w:lineRule="auto"/>
        <w:jc w:val="right"/>
        <w:rPr>
          <w:rFonts w:asciiTheme="majorHAnsi" w:eastAsia="Times New Roman" w:hAnsiTheme="majorHAnsi" w:cstheme="majorHAnsi"/>
          <w:b/>
          <w:sz w:val="24"/>
          <w:szCs w:val="24"/>
          <w:lang w:val="ro-RO"/>
        </w:rPr>
      </w:pPr>
    </w:p>
    <w:p w:rsidR="00281CBE" w:rsidRPr="00F55BA6" w:rsidRDefault="008E47D2" w:rsidP="00281CBE">
      <w:pPr>
        <w:spacing w:after="0" w:line="276" w:lineRule="auto"/>
        <w:jc w:val="right"/>
        <w:rPr>
          <w:rFonts w:asciiTheme="majorHAnsi" w:eastAsia="Times New Roman" w:hAnsiTheme="majorHAnsi" w:cstheme="majorHAnsi"/>
          <w:b/>
          <w:sz w:val="24"/>
          <w:szCs w:val="24"/>
          <w:lang w:val="ro-RO"/>
        </w:rPr>
      </w:pPr>
      <w:r w:rsidRPr="00F55BA6">
        <w:rPr>
          <w:rFonts w:asciiTheme="majorHAnsi" w:eastAsia="Times New Roman" w:hAnsiTheme="majorHAnsi" w:cstheme="majorHAnsi"/>
          <w:b/>
          <w:sz w:val="24"/>
          <w:szCs w:val="24"/>
          <w:lang w:val="ro-RO"/>
        </w:rPr>
        <w:t>Anexa nr.13</w:t>
      </w:r>
    </w:p>
    <w:p w:rsidR="00281CBE" w:rsidRPr="00E4517B" w:rsidRDefault="00281CBE" w:rsidP="00281CBE">
      <w:pPr>
        <w:shd w:val="clear" w:color="auto" w:fill="FFFFFF" w:themeFill="background1"/>
        <w:spacing w:after="0" w:line="276" w:lineRule="auto"/>
        <w:ind w:right="1" w:firstLine="709"/>
        <w:jc w:val="center"/>
        <w:rPr>
          <w:rFonts w:asciiTheme="majorHAnsi" w:eastAsia="MS Mincho" w:hAnsiTheme="majorHAnsi" w:cstheme="majorHAnsi"/>
          <w:b/>
          <w:sz w:val="24"/>
          <w:szCs w:val="24"/>
          <w:lang w:val="ro-RO" w:eastAsia="ja-JP"/>
        </w:rPr>
      </w:pPr>
      <w:r w:rsidRPr="00E4517B">
        <w:rPr>
          <w:rFonts w:asciiTheme="majorHAnsi" w:eastAsia="MS Mincho" w:hAnsiTheme="majorHAnsi" w:cstheme="majorHAnsi"/>
          <w:b/>
          <w:sz w:val="24"/>
          <w:szCs w:val="24"/>
          <w:lang w:val="ro-RO" w:eastAsia="ja-JP"/>
        </w:rPr>
        <w:t>Sinteza executării transferurilor de la bugetul de stat către alte bugete pentru anul 2020</w:t>
      </w:r>
    </w:p>
    <w:p w:rsidR="00281CBE" w:rsidRPr="00207634" w:rsidRDefault="00281CBE" w:rsidP="00281CBE">
      <w:pPr>
        <w:spacing w:after="0" w:line="276" w:lineRule="auto"/>
        <w:ind w:right="2372"/>
        <w:jc w:val="right"/>
        <w:rPr>
          <w:rFonts w:asciiTheme="majorHAnsi" w:eastAsia="Times New Roman" w:hAnsiTheme="majorHAnsi" w:cstheme="majorHAnsi"/>
          <w:b/>
          <w:strike/>
          <w:sz w:val="24"/>
          <w:szCs w:val="24"/>
          <w:highlight w:val="yellow"/>
          <w:lang w:val="ro-RO"/>
        </w:rPr>
      </w:pPr>
      <w:r w:rsidRPr="00973E5B">
        <w:rPr>
          <w:rFonts w:asciiTheme="majorHAnsi" w:eastAsia="MS Mincho" w:hAnsiTheme="majorHAnsi" w:cstheme="majorHAnsi"/>
          <w:b/>
          <w:sz w:val="24"/>
          <w:szCs w:val="24"/>
          <w:lang w:val="ro-RO" w:eastAsia="ja-JP"/>
        </w:rPr>
        <w:t>(mil. lei)</w:t>
      </w:r>
    </w:p>
    <w:tbl>
      <w:tblPr>
        <w:tblStyle w:val="-1"/>
        <w:tblW w:w="9480" w:type="dxa"/>
        <w:jc w:val="center"/>
        <w:tblLook w:val="04A0" w:firstRow="1" w:lastRow="0" w:firstColumn="1" w:lastColumn="0" w:noHBand="0" w:noVBand="1"/>
      </w:tblPr>
      <w:tblGrid>
        <w:gridCol w:w="905"/>
        <w:gridCol w:w="983"/>
        <w:gridCol w:w="966"/>
        <w:gridCol w:w="1005"/>
        <w:gridCol w:w="956"/>
        <w:gridCol w:w="992"/>
        <w:gridCol w:w="1564"/>
        <w:gridCol w:w="1012"/>
        <w:gridCol w:w="1097"/>
      </w:tblGrid>
      <w:tr w:rsidR="00281CBE" w:rsidRPr="00E4517B" w:rsidTr="00B5173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5" w:type="dxa"/>
            <w:vMerge w:val="restart"/>
            <w:vAlign w:val="center"/>
          </w:tcPr>
          <w:p w:rsidR="00281CBE" w:rsidRPr="009131CF" w:rsidRDefault="00281CBE" w:rsidP="00B51730">
            <w:pPr>
              <w:spacing w:line="276" w:lineRule="auto"/>
              <w:ind w:right="1"/>
              <w:jc w:val="center"/>
              <w:rPr>
                <w:rFonts w:asciiTheme="majorHAnsi" w:eastAsia="MS Mincho" w:hAnsiTheme="majorHAnsi" w:cstheme="majorHAnsi"/>
                <w:sz w:val="20"/>
                <w:lang w:val="ro-RO" w:eastAsia="ja-JP"/>
              </w:rPr>
            </w:pPr>
            <w:r w:rsidRPr="009131CF">
              <w:rPr>
                <w:rFonts w:asciiTheme="majorHAnsi" w:eastAsia="MS Mincho" w:hAnsiTheme="majorHAnsi" w:cstheme="majorHAnsi"/>
                <w:sz w:val="20"/>
                <w:lang w:val="ro-RO" w:eastAsia="ja-JP"/>
              </w:rPr>
              <w:t>Bugetul</w:t>
            </w:r>
          </w:p>
        </w:tc>
        <w:tc>
          <w:tcPr>
            <w:tcW w:w="983" w:type="dxa"/>
            <w:vMerge w:val="restart"/>
            <w:vAlign w:val="center"/>
          </w:tcPr>
          <w:p w:rsidR="00281CBE" w:rsidRPr="00E4517B" w:rsidRDefault="00281CBE" w:rsidP="00B51730">
            <w:pPr>
              <w:spacing w:line="276" w:lineRule="auto"/>
              <w:ind w:right="1"/>
              <w:jc w:val="center"/>
              <w:cnfStyle w:val="100000000000" w:firstRow="1" w:lastRow="0" w:firstColumn="0" w:lastColumn="0" w:oddVBand="0" w:evenVBand="0" w:oddHBand="0" w:evenHBand="0" w:firstRowFirstColumn="0" w:firstRowLastColumn="0" w:lastRowFirstColumn="0" w:lastRowLastColumn="0"/>
              <w:rPr>
                <w:rFonts w:asciiTheme="majorHAnsi" w:eastAsia="MS Mincho" w:hAnsiTheme="majorHAnsi" w:cstheme="majorHAnsi"/>
                <w:sz w:val="20"/>
                <w:lang w:val="ro-RO" w:eastAsia="ja-JP"/>
              </w:rPr>
            </w:pPr>
            <w:r w:rsidRPr="00E4517B">
              <w:rPr>
                <w:rFonts w:asciiTheme="majorHAnsi" w:eastAsia="MS Mincho" w:hAnsiTheme="majorHAnsi" w:cstheme="majorHAnsi"/>
                <w:sz w:val="20"/>
                <w:lang w:val="ro-RO" w:eastAsia="ja-JP"/>
              </w:rPr>
              <w:t>Aprobat</w:t>
            </w:r>
          </w:p>
        </w:tc>
        <w:tc>
          <w:tcPr>
            <w:tcW w:w="966" w:type="dxa"/>
            <w:vMerge w:val="restart"/>
            <w:vAlign w:val="center"/>
          </w:tcPr>
          <w:p w:rsidR="00281CBE" w:rsidRPr="00E4517B" w:rsidRDefault="00281CBE" w:rsidP="00B51730">
            <w:pPr>
              <w:spacing w:line="276" w:lineRule="auto"/>
              <w:ind w:right="1"/>
              <w:jc w:val="center"/>
              <w:cnfStyle w:val="100000000000" w:firstRow="1" w:lastRow="0" w:firstColumn="0" w:lastColumn="0" w:oddVBand="0" w:evenVBand="0" w:oddHBand="0" w:evenHBand="0" w:firstRowFirstColumn="0" w:firstRowLastColumn="0" w:lastRowFirstColumn="0" w:lastRowLastColumn="0"/>
              <w:rPr>
                <w:rFonts w:asciiTheme="majorHAnsi" w:eastAsia="MS Mincho" w:hAnsiTheme="majorHAnsi" w:cstheme="majorHAnsi"/>
                <w:sz w:val="20"/>
                <w:lang w:val="ro-RO" w:eastAsia="ja-JP"/>
              </w:rPr>
            </w:pPr>
            <w:r w:rsidRPr="00E4517B">
              <w:rPr>
                <w:rFonts w:asciiTheme="majorHAnsi" w:eastAsia="MS Mincho" w:hAnsiTheme="majorHAnsi" w:cstheme="majorHAnsi"/>
                <w:sz w:val="20"/>
                <w:lang w:val="ro-RO" w:eastAsia="ja-JP"/>
              </w:rPr>
              <w:t>Precizat</w:t>
            </w:r>
          </w:p>
        </w:tc>
        <w:tc>
          <w:tcPr>
            <w:tcW w:w="1005" w:type="dxa"/>
            <w:vMerge w:val="restart"/>
            <w:vAlign w:val="center"/>
          </w:tcPr>
          <w:p w:rsidR="00281CBE" w:rsidRPr="00E4517B" w:rsidRDefault="00281CBE" w:rsidP="00B51730">
            <w:pPr>
              <w:spacing w:line="276" w:lineRule="auto"/>
              <w:ind w:right="1"/>
              <w:jc w:val="center"/>
              <w:cnfStyle w:val="100000000000" w:firstRow="1" w:lastRow="0" w:firstColumn="0" w:lastColumn="0" w:oddVBand="0" w:evenVBand="0" w:oddHBand="0" w:evenHBand="0" w:firstRowFirstColumn="0" w:firstRowLastColumn="0" w:lastRowFirstColumn="0" w:lastRowLastColumn="0"/>
              <w:rPr>
                <w:rFonts w:asciiTheme="majorHAnsi" w:eastAsia="MS Mincho" w:hAnsiTheme="majorHAnsi" w:cstheme="majorHAnsi"/>
                <w:sz w:val="20"/>
                <w:lang w:val="ro-RO" w:eastAsia="ja-JP"/>
              </w:rPr>
            </w:pPr>
            <w:r w:rsidRPr="00E4517B">
              <w:rPr>
                <w:rFonts w:asciiTheme="majorHAnsi" w:eastAsia="MS Mincho" w:hAnsiTheme="majorHAnsi" w:cstheme="majorHAnsi"/>
                <w:sz w:val="20"/>
                <w:lang w:val="ro-RO" w:eastAsia="ja-JP"/>
              </w:rPr>
              <w:t>Executat</w:t>
            </w:r>
          </w:p>
        </w:tc>
        <w:tc>
          <w:tcPr>
            <w:tcW w:w="1948" w:type="dxa"/>
            <w:gridSpan w:val="2"/>
            <w:vAlign w:val="center"/>
          </w:tcPr>
          <w:p w:rsidR="00281CBE" w:rsidRPr="00E4517B" w:rsidRDefault="00281CBE" w:rsidP="00B51730">
            <w:pPr>
              <w:spacing w:line="276" w:lineRule="auto"/>
              <w:ind w:right="1"/>
              <w:jc w:val="center"/>
              <w:cnfStyle w:val="100000000000" w:firstRow="1" w:lastRow="0" w:firstColumn="0" w:lastColumn="0" w:oddVBand="0" w:evenVBand="0" w:oddHBand="0" w:evenHBand="0" w:firstRowFirstColumn="0" w:firstRowLastColumn="0" w:lastRowFirstColumn="0" w:lastRowLastColumn="0"/>
              <w:rPr>
                <w:rFonts w:asciiTheme="majorHAnsi" w:eastAsia="MS Mincho" w:hAnsiTheme="majorHAnsi" w:cstheme="majorHAnsi"/>
                <w:sz w:val="20"/>
                <w:lang w:val="ro-RO" w:eastAsia="ja-JP"/>
              </w:rPr>
            </w:pPr>
            <w:r w:rsidRPr="00E4517B">
              <w:rPr>
                <w:rFonts w:asciiTheme="majorHAnsi" w:eastAsia="MS Mincho" w:hAnsiTheme="majorHAnsi" w:cstheme="majorHAnsi"/>
                <w:sz w:val="20"/>
                <w:lang w:val="ro-RO" w:eastAsia="ja-JP"/>
              </w:rPr>
              <w:t>Executat față de precizat</w:t>
            </w:r>
          </w:p>
        </w:tc>
        <w:tc>
          <w:tcPr>
            <w:tcW w:w="1564" w:type="dxa"/>
            <w:vMerge w:val="restart"/>
            <w:vAlign w:val="center"/>
          </w:tcPr>
          <w:p w:rsidR="00281CBE" w:rsidRPr="00E4517B" w:rsidRDefault="00281CBE" w:rsidP="00B51730">
            <w:pPr>
              <w:spacing w:line="276" w:lineRule="auto"/>
              <w:ind w:right="1"/>
              <w:jc w:val="center"/>
              <w:cnfStyle w:val="100000000000" w:firstRow="1" w:lastRow="0" w:firstColumn="0" w:lastColumn="0" w:oddVBand="0" w:evenVBand="0" w:oddHBand="0" w:evenHBand="0" w:firstRowFirstColumn="0" w:firstRowLastColumn="0" w:lastRowFirstColumn="0" w:lastRowLastColumn="0"/>
              <w:rPr>
                <w:rFonts w:asciiTheme="majorHAnsi" w:eastAsia="MS Mincho" w:hAnsiTheme="majorHAnsi" w:cstheme="majorHAnsi"/>
                <w:sz w:val="20"/>
                <w:lang w:val="ro-RO" w:eastAsia="ja-JP"/>
              </w:rPr>
            </w:pPr>
            <w:r w:rsidRPr="00E4517B">
              <w:rPr>
                <w:rFonts w:asciiTheme="majorHAnsi" w:eastAsia="MS Mincho" w:hAnsiTheme="majorHAnsi" w:cstheme="majorHAnsi"/>
                <w:sz w:val="20"/>
                <w:lang w:val="ro-RO" w:eastAsia="ja-JP"/>
              </w:rPr>
              <w:t>Executat anul precedent</w:t>
            </w:r>
          </w:p>
        </w:tc>
        <w:tc>
          <w:tcPr>
            <w:tcW w:w="2109" w:type="dxa"/>
            <w:gridSpan w:val="2"/>
            <w:vAlign w:val="center"/>
          </w:tcPr>
          <w:p w:rsidR="00281CBE" w:rsidRPr="00E4517B" w:rsidRDefault="00281CBE" w:rsidP="00B51730">
            <w:pPr>
              <w:spacing w:line="276" w:lineRule="auto"/>
              <w:ind w:right="1"/>
              <w:jc w:val="center"/>
              <w:cnfStyle w:val="100000000000" w:firstRow="1" w:lastRow="0" w:firstColumn="0" w:lastColumn="0" w:oddVBand="0" w:evenVBand="0" w:oddHBand="0" w:evenHBand="0" w:firstRowFirstColumn="0" w:firstRowLastColumn="0" w:lastRowFirstColumn="0" w:lastRowLastColumn="0"/>
              <w:rPr>
                <w:rFonts w:asciiTheme="majorHAnsi" w:eastAsia="MS Mincho" w:hAnsiTheme="majorHAnsi" w:cstheme="majorHAnsi"/>
                <w:sz w:val="20"/>
                <w:lang w:val="ro-RO" w:eastAsia="ja-JP"/>
              </w:rPr>
            </w:pPr>
            <w:r w:rsidRPr="00E4517B">
              <w:rPr>
                <w:rFonts w:asciiTheme="majorHAnsi" w:eastAsia="MS Mincho" w:hAnsiTheme="majorHAnsi" w:cstheme="majorHAnsi"/>
                <w:sz w:val="20"/>
                <w:lang w:val="ro-RO" w:eastAsia="ja-JP"/>
              </w:rPr>
              <w:t>Executat 2020 față de anul precedent</w:t>
            </w:r>
          </w:p>
        </w:tc>
      </w:tr>
      <w:tr w:rsidR="00281CBE" w:rsidRPr="00E4517B" w:rsidTr="00B51730">
        <w:trPr>
          <w:jc w:val="center"/>
        </w:trPr>
        <w:tc>
          <w:tcPr>
            <w:cnfStyle w:val="001000000000" w:firstRow="0" w:lastRow="0" w:firstColumn="1" w:lastColumn="0" w:oddVBand="0" w:evenVBand="0" w:oddHBand="0" w:evenHBand="0" w:firstRowFirstColumn="0" w:firstRowLastColumn="0" w:lastRowFirstColumn="0" w:lastRowLastColumn="0"/>
            <w:tcW w:w="905" w:type="dxa"/>
            <w:vMerge/>
            <w:vAlign w:val="center"/>
          </w:tcPr>
          <w:p w:rsidR="00281CBE" w:rsidRPr="00E4517B" w:rsidRDefault="00281CBE" w:rsidP="00B51730">
            <w:pPr>
              <w:spacing w:line="276" w:lineRule="auto"/>
              <w:ind w:right="1"/>
              <w:jc w:val="center"/>
              <w:rPr>
                <w:rFonts w:asciiTheme="majorHAnsi" w:eastAsia="MS Mincho" w:hAnsiTheme="majorHAnsi" w:cstheme="majorHAnsi"/>
                <w:sz w:val="20"/>
                <w:lang w:val="ro-RO" w:eastAsia="ja-JP"/>
              </w:rPr>
            </w:pPr>
          </w:p>
        </w:tc>
        <w:tc>
          <w:tcPr>
            <w:tcW w:w="983" w:type="dxa"/>
            <w:vMerge/>
            <w:vAlign w:val="center"/>
          </w:tcPr>
          <w:p w:rsidR="00281CBE" w:rsidRPr="00E4517B" w:rsidRDefault="00281CBE" w:rsidP="00B51730">
            <w:pPr>
              <w:spacing w:line="276" w:lineRule="auto"/>
              <w:ind w:right="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lang w:val="ro-RO" w:eastAsia="ja-JP"/>
              </w:rPr>
            </w:pPr>
          </w:p>
        </w:tc>
        <w:tc>
          <w:tcPr>
            <w:tcW w:w="966" w:type="dxa"/>
            <w:vMerge/>
            <w:vAlign w:val="center"/>
          </w:tcPr>
          <w:p w:rsidR="00281CBE" w:rsidRPr="00E4517B" w:rsidRDefault="00281CBE" w:rsidP="00B51730">
            <w:pPr>
              <w:spacing w:line="276" w:lineRule="auto"/>
              <w:ind w:right="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lang w:val="ro-RO" w:eastAsia="ja-JP"/>
              </w:rPr>
            </w:pPr>
          </w:p>
        </w:tc>
        <w:tc>
          <w:tcPr>
            <w:tcW w:w="1005" w:type="dxa"/>
            <w:vMerge/>
            <w:vAlign w:val="center"/>
          </w:tcPr>
          <w:p w:rsidR="00281CBE" w:rsidRPr="00E4517B" w:rsidRDefault="00281CBE" w:rsidP="00B51730">
            <w:pPr>
              <w:spacing w:line="276" w:lineRule="auto"/>
              <w:ind w:right="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lang w:val="ro-RO" w:eastAsia="ja-JP"/>
              </w:rPr>
            </w:pPr>
          </w:p>
        </w:tc>
        <w:tc>
          <w:tcPr>
            <w:tcW w:w="956" w:type="dxa"/>
            <w:vAlign w:val="center"/>
          </w:tcPr>
          <w:p w:rsidR="00281CBE" w:rsidRPr="00E4517B" w:rsidRDefault="00281CBE" w:rsidP="00B51730">
            <w:pPr>
              <w:spacing w:line="276" w:lineRule="auto"/>
              <w:ind w:right="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lang w:val="ro-RO" w:eastAsia="ja-JP"/>
              </w:rPr>
            </w:pPr>
            <w:r w:rsidRPr="00E4517B">
              <w:rPr>
                <w:rFonts w:asciiTheme="majorHAnsi" w:eastAsia="MS Mincho" w:hAnsiTheme="majorHAnsi" w:cstheme="majorHAnsi"/>
                <w:sz w:val="20"/>
                <w:lang w:val="ro-RO" w:eastAsia="ja-JP"/>
              </w:rPr>
              <w:t>+/-</w:t>
            </w:r>
          </w:p>
        </w:tc>
        <w:tc>
          <w:tcPr>
            <w:tcW w:w="992" w:type="dxa"/>
            <w:vAlign w:val="center"/>
          </w:tcPr>
          <w:p w:rsidR="00281CBE" w:rsidRPr="00E4517B" w:rsidRDefault="00281CBE" w:rsidP="00B51730">
            <w:pPr>
              <w:spacing w:line="276" w:lineRule="auto"/>
              <w:ind w:right="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lang w:val="ro-RO" w:eastAsia="ja-JP"/>
              </w:rPr>
            </w:pPr>
            <w:r w:rsidRPr="00E4517B">
              <w:rPr>
                <w:rFonts w:asciiTheme="majorHAnsi" w:eastAsia="MS Mincho" w:hAnsiTheme="majorHAnsi" w:cstheme="majorHAnsi"/>
                <w:sz w:val="20"/>
                <w:lang w:val="ro-RO" w:eastAsia="ja-JP"/>
              </w:rPr>
              <w:t>%</w:t>
            </w:r>
          </w:p>
        </w:tc>
        <w:tc>
          <w:tcPr>
            <w:tcW w:w="1564" w:type="dxa"/>
            <w:vMerge/>
            <w:vAlign w:val="center"/>
          </w:tcPr>
          <w:p w:rsidR="00281CBE" w:rsidRPr="00E4517B" w:rsidRDefault="00281CBE" w:rsidP="00B51730">
            <w:pPr>
              <w:spacing w:line="276" w:lineRule="auto"/>
              <w:ind w:right="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lang w:val="ro-RO" w:eastAsia="ja-JP"/>
              </w:rPr>
            </w:pPr>
          </w:p>
        </w:tc>
        <w:tc>
          <w:tcPr>
            <w:tcW w:w="1012" w:type="dxa"/>
            <w:vAlign w:val="center"/>
          </w:tcPr>
          <w:p w:rsidR="00281CBE" w:rsidRPr="00E4517B" w:rsidRDefault="00281CBE" w:rsidP="00B51730">
            <w:pPr>
              <w:spacing w:line="276" w:lineRule="auto"/>
              <w:ind w:right="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lang w:val="ro-RO" w:eastAsia="ja-JP"/>
              </w:rPr>
            </w:pPr>
            <w:r w:rsidRPr="00E4517B">
              <w:rPr>
                <w:rFonts w:asciiTheme="majorHAnsi" w:eastAsia="MS Mincho" w:hAnsiTheme="majorHAnsi" w:cstheme="majorHAnsi"/>
                <w:sz w:val="20"/>
                <w:lang w:val="ro-RO" w:eastAsia="ja-JP"/>
              </w:rPr>
              <w:t>+/-</w:t>
            </w:r>
          </w:p>
        </w:tc>
        <w:tc>
          <w:tcPr>
            <w:tcW w:w="1097" w:type="dxa"/>
            <w:vAlign w:val="center"/>
          </w:tcPr>
          <w:p w:rsidR="00281CBE" w:rsidRPr="00E4517B" w:rsidRDefault="00281CBE" w:rsidP="00B51730">
            <w:pPr>
              <w:spacing w:line="276" w:lineRule="auto"/>
              <w:ind w:right="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lang w:val="ro-RO" w:eastAsia="ja-JP"/>
              </w:rPr>
            </w:pPr>
            <w:r w:rsidRPr="00E4517B">
              <w:rPr>
                <w:rFonts w:asciiTheme="majorHAnsi" w:eastAsia="MS Mincho" w:hAnsiTheme="majorHAnsi" w:cstheme="majorHAnsi"/>
                <w:sz w:val="20"/>
                <w:lang w:val="ro-RO" w:eastAsia="ja-JP"/>
              </w:rPr>
              <w:t>%</w:t>
            </w:r>
          </w:p>
        </w:tc>
      </w:tr>
      <w:tr w:rsidR="00281CBE" w:rsidRPr="00E4517B" w:rsidTr="00B51730">
        <w:trPr>
          <w:trHeight w:val="64"/>
          <w:jc w:val="center"/>
        </w:trPr>
        <w:tc>
          <w:tcPr>
            <w:cnfStyle w:val="001000000000" w:firstRow="0" w:lastRow="0" w:firstColumn="1" w:lastColumn="0" w:oddVBand="0" w:evenVBand="0" w:oddHBand="0" w:evenHBand="0" w:firstRowFirstColumn="0" w:firstRowLastColumn="0" w:lastRowFirstColumn="0" w:lastRowLastColumn="0"/>
            <w:tcW w:w="905" w:type="dxa"/>
          </w:tcPr>
          <w:p w:rsidR="00281CBE" w:rsidRPr="00E4517B" w:rsidRDefault="00281CBE" w:rsidP="00B51730">
            <w:pPr>
              <w:spacing w:line="276" w:lineRule="auto"/>
              <w:ind w:right="1"/>
              <w:jc w:val="center"/>
              <w:rPr>
                <w:rFonts w:asciiTheme="majorHAnsi" w:eastAsia="MS Mincho" w:hAnsiTheme="majorHAnsi" w:cstheme="majorHAnsi"/>
                <w:i/>
                <w:sz w:val="16"/>
                <w:szCs w:val="16"/>
                <w:lang w:val="ro-RO" w:eastAsia="ja-JP"/>
              </w:rPr>
            </w:pPr>
            <w:r w:rsidRPr="00E4517B">
              <w:rPr>
                <w:rFonts w:asciiTheme="majorHAnsi" w:eastAsia="MS Mincho" w:hAnsiTheme="majorHAnsi" w:cstheme="majorHAnsi"/>
                <w:i/>
                <w:sz w:val="16"/>
                <w:szCs w:val="16"/>
                <w:lang w:val="ro-RO" w:eastAsia="ja-JP"/>
              </w:rPr>
              <w:t>1</w:t>
            </w:r>
          </w:p>
        </w:tc>
        <w:tc>
          <w:tcPr>
            <w:tcW w:w="983" w:type="dxa"/>
          </w:tcPr>
          <w:p w:rsidR="00281CBE" w:rsidRPr="00F55BA6" w:rsidRDefault="00281CBE" w:rsidP="00B51730">
            <w:pPr>
              <w:spacing w:line="276" w:lineRule="auto"/>
              <w:ind w:right="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i/>
                <w:sz w:val="16"/>
                <w:szCs w:val="16"/>
                <w:lang w:val="ro-RO" w:eastAsia="ja-JP"/>
              </w:rPr>
            </w:pPr>
            <w:r w:rsidRPr="00F55BA6">
              <w:rPr>
                <w:rFonts w:asciiTheme="majorHAnsi" w:eastAsia="MS Mincho" w:hAnsiTheme="majorHAnsi" w:cstheme="majorHAnsi"/>
                <w:i/>
                <w:sz w:val="16"/>
                <w:szCs w:val="16"/>
                <w:lang w:val="ro-RO" w:eastAsia="ja-JP"/>
              </w:rPr>
              <w:t>2</w:t>
            </w:r>
          </w:p>
        </w:tc>
        <w:tc>
          <w:tcPr>
            <w:tcW w:w="966" w:type="dxa"/>
          </w:tcPr>
          <w:p w:rsidR="00281CBE" w:rsidRPr="00F55BA6" w:rsidRDefault="00281CBE" w:rsidP="00B51730">
            <w:pPr>
              <w:spacing w:line="276" w:lineRule="auto"/>
              <w:ind w:right="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i/>
                <w:sz w:val="16"/>
                <w:szCs w:val="16"/>
                <w:lang w:val="ro-RO" w:eastAsia="ja-JP"/>
              </w:rPr>
            </w:pPr>
            <w:r w:rsidRPr="00F55BA6">
              <w:rPr>
                <w:rFonts w:asciiTheme="majorHAnsi" w:eastAsia="MS Mincho" w:hAnsiTheme="majorHAnsi" w:cstheme="majorHAnsi"/>
                <w:i/>
                <w:sz w:val="16"/>
                <w:szCs w:val="16"/>
                <w:lang w:val="ro-RO" w:eastAsia="ja-JP"/>
              </w:rPr>
              <w:t>3</w:t>
            </w:r>
          </w:p>
        </w:tc>
        <w:tc>
          <w:tcPr>
            <w:tcW w:w="1005" w:type="dxa"/>
          </w:tcPr>
          <w:p w:rsidR="00281CBE" w:rsidRPr="00E4517B" w:rsidRDefault="00281CBE" w:rsidP="00B51730">
            <w:pPr>
              <w:spacing w:line="276" w:lineRule="auto"/>
              <w:ind w:right="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i/>
                <w:sz w:val="16"/>
                <w:szCs w:val="16"/>
                <w:lang w:val="ro-RO" w:eastAsia="ja-JP"/>
              </w:rPr>
            </w:pPr>
            <w:r w:rsidRPr="00E4517B">
              <w:rPr>
                <w:rFonts w:asciiTheme="majorHAnsi" w:eastAsia="MS Mincho" w:hAnsiTheme="majorHAnsi" w:cstheme="majorHAnsi"/>
                <w:i/>
                <w:sz w:val="16"/>
                <w:szCs w:val="16"/>
                <w:lang w:val="ro-RO" w:eastAsia="ja-JP"/>
              </w:rPr>
              <w:t>4</w:t>
            </w:r>
          </w:p>
        </w:tc>
        <w:tc>
          <w:tcPr>
            <w:tcW w:w="956" w:type="dxa"/>
          </w:tcPr>
          <w:p w:rsidR="00281CBE" w:rsidRPr="00973E5B" w:rsidRDefault="00281CBE" w:rsidP="00B51730">
            <w:pPr>
              <w:spacing w:line="276" w:lineRule="auto"/>
              <w:ind w:right="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i/>
                <w:sz w:val="16"/>
                <w:szCs w:val="16"/>
                <w:lang w:val="ro-RO" w:eastAsia="ja-JP"/>
              </w:rPr>
            </w:pPr>
            <w:r w:rsidRPr="00973E5B">
              <w:rPr>
                <w:rFonts w:asciiTheme="majorHAnsi" w:eastAsia="MS Mincho" w:hAnsiTheme="majorHAnsi" w:cstheme="majorHAnsi"/>
                <w:i/>
                <w:sz w:val="16"/>
                <w:szCs w:val="16"/>
                <w:lang w:val="ro-RO" w:eastAsia="ja-JP"/>
              </w:rPr>
              <w:t>5=4-3</w:t>
            </w:r>
          </w:p>
        </w:tc>
        <w:tc>
          <w:tcPr>
            <w:tcW w:w="992" w:type="dxa"/>
          </w:tcPr>
          <w:p w:rsidR="00281CBE" w:rsidRPr="009131CF" w:rsidRDefault="00281CBE" w:rsidP="00B51730">
            <w:pPr>
              <w:spacing w:line="276" w:lineRule="auto"/>
              <w:ind w:right="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i/>
                <w:sz w:val="16"/>
                <w:szCs w:val="16"/>
                <w:lang w:val="ro-RO" w:eastAsia="ja-JP"/>
              </w:rPr>
            </w:pPr>
            <w:r w:rsidRPr="009131CF">
              <w:rPr>
                <w:rFonts w:asciiTheme="majorHAnsi" w:eastAsia="MS Mincho" w:hAnsiTheme="majorHAnsi" w:cstheme="majorHAnsi"/>
                <w:i/>
                <w:sz w:val="16"/>
                <w:szCs w:val="16"/>
                <w:lang w:val="ro-RO" w:eastAsia="ja-JP"/>
              </w:rPr>
              <w:t>6=4/3*100</w:t>
            </w:r>
          </w:p>
        </w:tc>
        <w:tc>
          <w:tcPr>
            <w:tcW w:w="1564" w:type="dxa"/>
          </w:tcPr>
          <w:p w:rsidR="00281CBE" w:rsidRPr="00E4517B" w:rsidRDefault="00281CBE" w:rsidP="00B51730">
            <w:pPr>
              <w:spacing w:line="276" w:lineRule="auto"/>
              <w:ind w:right="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i/>
                <w:sz w:val="16"/>
                <w:szCs w:val="16"/>
                <w:lang w:val="ro-RO" w:eastAsia="ja-JP"/>
              </w:rPr>
            </w:pPr>
            <w:r w:rsidRPr="00E4517B">
              <w:rPr>
                <w:rFonts w:asciiTheme="majorHAnsi" w:eastAsia="MS Mincho" w:hAnsiTheme="majorHAnsi" w:cstheme="majorHAnsi"/>
                <w:i/>
                <w:sz w:val="16"/>
                <w:szCs w:val="16"/>
                <w:lang w:val="ro-RO" w:eastAsia="ja-JP"/>
              </w:rPr>
              <w:t>7</w:t>
            </w:r>
          </w:p>
        </w:tc>
        <w:tc>
          <w:tcPr>
            <w:tcW w:w="1012" w:type="dxa"/>
          </w:tcPr>
          <w:p w:rsidR="00281CBE" w:rsidRPr="00E4517B" w:rsidRDefault="00281CBE" w:rsidP="00B51730">
            <w:pPr>
              <w:spacing w:line="276" w:lineRule="auto"/>
              <w:ind w:right="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i/>
                <w:sz w:val="16"/>
                <w:szCs w:val="16"/>
                <w:lang w:val="ro-RO" w:eastAsia="ja-JP"/>
              </w:rPr>
            </w:pPr>
            <w:r w:rsidRPr="00E4517B">
              <w:rPr>
                <w:rFonts w:asciiTheme="majorHAnsi" w:eastAsia="MS Mincho" w:hAnsiTheme="majorHAnsi" w:cstheme="majorHAnsi"/>
                <w:i/>
                <w:sz w:val="16"/>
                <w:szCs w:val="16"/>
                <w:lang w:val="ro-RO" w:eastAsia="ja-JP"/>
              </w:rPr>
              <w:t>8=4-7</w:t>
            </w:r>
          </w:p>
        </w:tc>
        <w:tc>
          <w:tcPr>
            <w:tcW w:w="1097" w:type="dxa"/>
          </w:tcPr>
          <w:p w:rsidR="00281CBE" w:rsidRPr="00E4517B" w:rsidRDefault="00281CBE" w:rsidP="00B51730">
            <w:pPr>
              <w:spacing w:line="276" w:lineRule="auto"/>
              <w:ind w:right="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i/>
                <w:sz w:val="16"/>
                <w:szCs w:val="16"/>
                <w:lang w:val="ro-RO" w:eastAsia="ja-JP"/>
              </w:rPr>
            </w:pPr>
            <w:r w:rsidRPr="00E4517B">
              <w:rPr>
                <w:rFonts w:asciiTheme="majorHAnsi" w:eastAsia="MS Mincho" w:hAnsiTheme="majorHAnsi" w:cstheme="majorHAnsi"/>
                <w:i/>
                <w:sz w:val="16"/>
                <w:szCs w:val="16"/>
                <w:lang w:val="ro-RO" w:eastAsia="ja-JP"/>
              </w:rPr>
              <w:t>9=4/7*100</w:t>
            </w:r>
          </w:p>
        </w:tc>
      </w:tr>
      <w:tr w:rsidR="00281CBE" w:rsidRPr="00E4517B" w:rsidTr="00B51730">
        <w:trPr>
          <w:jc w:val="center"/>
        </w:trPr>
        <w:tc>
          <w:tcPr>
            <w:cnfStyle w:val="001000000000" w:firstRow="0" w:lastRow="0" w:firstColumn="1" w:lastColumn="0" w:oddVBand="0" w:evenVBand="0" w:oddHBand="0" w:evenHBand="0" w:firstRowFirstColumn="0" w:firstRowLastColumn="0" w:lastRowFirstColumn="0" w:lastRowLastColumn="0"/>
            <w:tcW w:w="905" w:type="dxa"/>
          </w:tcPr>
          <w:p w:rsidR="00281CBE" w:rsidRPr="00E4517B" w:rsidRDefault="00281CBE" w:rsidP="00B51730">
            <w:pPr>
              <w:spacing w:line="276" w:lineRule="auto"/>
              <w:ind w:right="1"/>
              <w:jc w:val="center"/>
              <w:rPr>
                <w:rFonts w:asciiTheme="majorHAnsi" w:eastAsia="MS Mincho" w:hAnsiTheme="majorHAnsi" w:cstheme="majorHAnsi"/>
                <w:sz w:val="20"/>
                <w:lang w:val="ro-RO" w:eastAsia="ja-JP"/>
              </w:rPr>
            </w:pPr>
            <w:r w:rsidRPr="00E4517B">
              <w:rPr>
                <w:rFonts w:asciiTheme="majorHAnsi" w:eastAsia="MS Mincho" w:hAnsiTheme="majorHAnsi" w:cstheme="majorHAnsi"/>
                <w:sz w:val="20"/>
                <w:lang w:val="ro-RO" w:eastAsia="ja-JP"/>
              </w:rPr>
              <w:t>BASS</w:t>
            </w:r>
          </w:p>
        </w:tc>
        <w:tc>
          <w:tcPr>
            <w:tcW w:w="983" w:type="dxa"/>
          </w:tcPr>
          <w:p w:rsidR="00281CBE" w:rsidRPr="00973E5B" w:rsidRDefault="00281CBE" w:rsidP="00B51730">
            <w:pPr>
              <w:spacing w:line="276" w:lineRule="auto"/>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lang w:val="ro-RO" w:eastAsia="ja-JP"/>
              </w:rPr>
            </w:pPr>
            <w:r w:rsidRPr="00973E5B">
              <w:rPr>
                <w:rFonts w:asciiTheme="majorHAnsi" w:eastAsia="MS Mincho" w:hAnsiTheme="majorHAnsi" w:cstheme="majorHAnsi"/>
                <w:sz w:val="20"/>
                <w:lang w:val="ro-RO" w:eastAsia="ja-JP"/>
              </w:rPr>
              <w:t>8 560,5</w:t>
            </w:r>
          </w:p>
        </w:tc>
        <w:tc>
          <w:tcPr>
            <w:tcW w:w="966" w:type="dxa"/>
          </w:tcPr>
          <w:p w:rsidR="00281CBE" w:rsidRPr="009131CF" w:rsidRDefault="00281CBE" w:rsidP="00B51730">
            <w:pPr>
              <w:spacing w:line="276" w:lineRule="auto"/>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lang w:val="ro-RO" w:eastAsia="ja-JP"/>
              </w:rPr>
            </w:pPr>
            <w:r w:rsidRPr="009131CF">
              <w:rPr>
                <w:rFonts w:asciiTheme="majorHAnsi" w:eastAsia="MS Mincho" w:hAnsiTheme="majorHAnsi" w:cstheme="majorHAnsi"/>
                <w:sz w:val="20"/>
                <w:lang w:val="ro-RO" w:eastAsia="ja-JP"/>
              </w:rPr>
              <w:t>10 323,9</w:t>
            </w:r>
          </w:p>
        </w:tc>
        <w:tc>
          <w:tcPr>
            <w:tcW w:w="1005" w:type="dxa"/>
          </w:tcPr>
          <w:p w:rsidR="00281CBE" w:rsidRPr="00E4517B" w:rsidRDefault="00281CBE" w:rsidP="00B51730">
            <w:pPr>
              <w:spacing w:line="276" w:lineRule="auto"/>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lang w:val="ro-RO" w:eastAsia="ja-JP"/>
              </w:rPr>
            </w:pPr>
            <w:r w:rsidRPr="00E4517B">
              <w:rPr>
                <w:rFonts w:asciiTheme="majorHAnsi" w:eastAsia="MS Mincho" w:hAnsiTheme="majorHAnsi" w:cstheme="majorHAnsi"/>
                <w:sz w:val="20"/>
                <w:lang w:val="ro-RO" w:eastAsia="ja-JP"/>
              </w:rPr>
              <w:t>9 769,4</w:t>
            </w:r>
          </w:p>
        </w:tc>
        <w:tc>
          <w:tcPr>
            <w:tcW w:w="956" w:type="dxa"/>
          </w:tcPr>
          <w:p w:rsidR="00281CBE" w:rsidRPr="00E4517B" w:rsidRDefault="00281CBE" w:rsidP="00B51730">
            <w:pPr>
              <w:spacing w:line="276" w:lineRule="auto"/>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lang w:val="ro-RO" w:eastAsia="ja-JP"/>
              </w:rPr>
            </w:pPr>
            <w:r w:rsidRPr="00E4517B">
              <w:rPr>
                <w:rFonts w:asciiTheme="majorHAnsi" w:eastAsia="MS Mincho" w:hAnsiTheme="majorHAnsi" w:cstheme="majorHAnsi"/>
                <w:sz w:val="20"/>
                <w:lang w:val="ro-RO" w:eastAsia="ja-JP"/>
              </w:rPr>
              <w:t>-554,5</w:t>
            </w:r>
          </w:p>
        </w:tc>
        <w:tc>
          <w:tcPr>
            <w:tcW w:w="992" w:type="dxa"/>
          </w:tcPr>
          <w:p w:rsidR="00281CBE" w:rsidRPr="00E4517B" w:rsidRDefault="00281CBE" w:rsidP="00B51730">
            <w:pPr>
              <w:spacing w:line="276" w:lineRule="auto"/>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lang w:val="ro-RO" w:eastAsia="ja-JP"/>
              </w:rPr>
            </w:pPr>
            <w:r w:rsidRPr="00E4517B">
              <w:rPr>
                <w:rFonts w:asciiTheme="majorHAnsi" w:eastAsia="MS Mincho" w:hAnsiTheme="majorHAnsi" w:cstheme="majorHAnsi"/>
                <w:sz w:val="20"/>
                <w:lang w:val="ro-RO" w:eastAsia="ja-JP"/>
              </w:rPr>
              <w:t>94,6</w:t>
            </w:r>
          </w:p>
        </w:tc>
        <w:tc>
          <w:tcPr>
            <w:tcW w:w="1564" w:type="dxa"/>
          </w:tcPr>
          <w:p w:rsidR="00281CBE" w:rsidRPr="00E4517B" w:rsidRDefault="00281CBE" w:rsidP="00B51730">
            <w:pPr>
              <w:spacing w:line="276" w:lineRule="auto"/>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lang w:val="ro-RO" w:eastAsia="ja-JP"/>
              </w:rPr>
            </w:pPr>
            <w:r w:rsidRPr="00E4517B">
              <w:rPr>
                <w:rFonts w:asciiTheme="majorHAnsi" w:eastAsia="MS Mincho" w:hAnsiTheme="majorHAnsi" w:cstheme="majorHAnsi"/>
                <w:sz w:val="20"/>
                <w:lang w:val="ro-RO" w:eastAsia="ja-JP"/>
              </w:rPr>
              <w:t>7 957,0</w:t>
            </w:r>
          </w:p>
        </w:tc>
        <w:tc>
          <w:tcPr>
            <w:tcW w:w="1012" w:type="dxa"/>
          </w:tcPr>
          <w:p w:rsidR="00281CBE" w:rsidRPr="00E4517B" w:rsidRDefault="00281CBE" w:rsidP="00B51730">
            <w:pPr>
              <w:spacing w:line="276" w:lineRule="auto"/>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lang w:val="ro-RO" w:eastAsia="ja-JP"/>
              </w:rPr>
            </w:pPr>
            <w:r w:rsidRPr="00E4517B">
              <w:rPr>
                <w:rFonts w:asciiTheme="majorHAnsi" w:eastAsia="MS Mincho" w:hAnsiTheme="majorHAnsi" w:cstheme="majorHAnsi"/>
                <w:sz w:val="20"/>
                <w:lang w:val="ro-RO" w:eastAsia="ja-JP"/>
              </w:rPr>
              <w:t>+1 812,4</w:t>
            </w:r>
          </w:p>
        </w:tc>
        <w:tc>
          <w:tcPr>
            <w:tcW w:w="1097" w:type="dxa"/>
          </w:tcPr>
          <w:p w:rsidR="00281CBE" w:rsidRPr="00E4517B" w:rsidRDefault="00281CBE" w:rsidP="00B51730">
            <w:pPr>
              <w:spacing w:line="276" w:lineRule="auto"/>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lang w:val="ro-RO" w:eastAsia="ja-JP"/>
              </w:rPr>
            </w:pPr>
            <w:r w:rsidRPr="00E4517B">
              <w:rPr>
                <w:rFonts w:asciiTheme="majorHAnsi" w:eastAsia="MS Mincho" w:hAnsiTheme="majorHAnsi" w:cstheme="majorHAnsi"/>
                <w:sz w:val="20"/>
                <w:lang w:val="ro-RO" w:eastAsia="ja-JP"/>
              </w:rPr>
              <w:t>122,8</w:t>
            </w:r>
          </w:p>
        </w:tc>
      </w:tr>
      <w:tr w:rsidR="00281CBE" w:rsidRPr="00E4517B" w:rsidTr="00B51730">
        <w:trPr>
          <w:jc w:val="center"/>
        </w:trPr>
        <w:tc>
          <w:tcPr>
            <w:cnfStyle w:val="001000000000" w:firstRow="0" w:lastRow="0" w:firstColumn="1" w:lastColumn="0" w:oddVBand="0" w:evenVBand="0" w:oddHBand="0" w:evenHBand="0" w:firstRowFirstColumn="0" w:firstRowLastColumn="0" w:lastRowFirstColumn="0" w:lastRowLastColumn="0"/>
            <w:tcW w:w="905" w:type="dxa"/>
          </w:tcPr>
          <w:p w:rsidR="00281CBE" w:rsidRPr="00E4517B" w:rsidRDefault="00281CBE" w:rsidP="00B51730">
            <w:pPr>
              <w:spacing w:line="276" w:lineRule="auto"/>
              <w:ind w:right="1"/>
              <w:jc w:val="center"/>
              <w:rPr>
                <w:rFonts w:asciiTheme="majorHAnsi" w:eastAsia="MS Mincho" w:hAnsiTheme="majorHAnsi" w:cstheme="majorHAnsi"/>
                <w:sz w:val="20"/>
                <w:lang w:val="ro-RO" w:eastAsia="ja-JP"/>
              </w:rPr>
            </w:pPr>
            <w:r w:rsidRPr="00E4517B">
              <w:rPr>
                <w:rFonts w:asciiTheme="majorHAnsi" w:eastAsia="MS Mincho" w:hAnsiTheme="majorHAnsi" w:cstheme="majorHAnsi"/>
                <w:sz w:val="20"/>
                <w:lang w:val="ro-RO" w:eastAsia="ja-JP"/>
              </w:rPr>
              <w:t>FAOAM</w:t>
            </w:r>
          </w:p>
        </w:tc>
        <w:tc>
          <w:tcPr>
            <w:tcW w:w="983" w:type="dxa"/>
          </w:tcPr>
          <w:p w:rsidR="00281CBE" w:rsidRPr="00973E5B" w:rsidRDefault="00281CBE" w:rsidP="00B51730">
            <w:pPr>
              <w:spacing w:line="276" w:lineRule="auto"/>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lang w:val="ro-RO" w:eastAsia="ja-JP"/>
              </w:rPr>
            </w:pPr>
            <w:r w:rsidRPr="00973E5B">
              <w:rPr>
                <w:rFonts w:asciiTheme="majorHAnsi" w:eastAsia="MS Mincho" w:hAnsiTheme="majorHAnsi" w:cstheme="majorHAnsi"/>
                <w:sz w:val="20"/>
                <w:lang w:val="ro-RO" w:eastAsia="ja-JP"/>
              </w:rPr>
              <w:t>3 005,7</w:t>
            </w:r>
          </w:p>
        </w:tc>
        <w:tc>
          <w:tcPr>
            <w:tcW w:w="966" w:type="dxa"/>
          </w:tcPr>
          <w:p w:rsidR="00281CBE" w:rsidRPr="009131CF" w:rsidRDefault="00281CBE" w:rsidP="00B51730">
            <w:pPr>
              <w:spacing w:line="276" w:lineRule="auto"/>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lang w:val="ro-RO" w:eastAsia="ja-JP"/>
              </w:rPr>
            </w:pPr>
            <w:r w:rsidRPr="009131CF">
              <w:rPr>
                <w:rFonts w:asciiTheme="majorHAnsi" w:eastAsia="MS Mincho" w:hAnsiTheme="majorHAnsi" w:cstheme="majorHAnsi"/>
                <w:sz w:val="20"/>
                <w:lang w:val="ro-RO" w:eastAsia="ja-JP"/>
              </w:rPr>
              <w:t>3 533,7</w:t>
            </w:r>
          </w:p>
        </w:tc>
        <w:tc>
          <w:tcPr>
            <w:tcW w:w="1005" w:type="dxa"/>
          </w:tcPr>
          <w:p w:rsidR="00281CBE" w:rsidRPr="00E4517B" w:rsidRDefault="00281CBE" w:rsidP="00B51730">
            <w:pPr>
              <w:spacing w:line="276" w:lineRule="auto"/>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lang w:val="ro-RO" w:eastAsia="ja-JP"/>
              </w:rPr>
            </w:pPr>
            <w:r w:rsidRPr="00E4517B">
              <w:rPr>
                <w:rFonts w:asciiTheme="majorHAnsi" w:eastAsia="MS Mincho" w:hAnsiTheme="majorHAnsi" w:cstheme="majorHAnsi"/>
                <w:sz w:val="20"/>
                <w:lang w:val="ro-RO" w:eastAsia="ja-JP"/>
              </w:rPr>
              <w:t>3 533,7</w:t>
            </w:r>
          </w:p>
        </w:tc>
        <w:tc>
          <w:tcPr>
            <w:tcW w:w="956" w:type="dxa"/>
          </w:tcPr>
          <w:p w:rsidR="00281CBE" w:rsidRPr="00E4517B" w:rsidRDefault="00281CBE" w:rsidP="00B51730">
            <w:pPr>
              <w:spacing w:line="276" w:lineRule="auto"/>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lang w:val="ro-RO" w:eastAsia="ja-JP"/>
              </w:rPr>
            </w:pPr>
            <w:r w:rsidRPr="00E4517B">
              <w:rPr>
                <w:rFonts w:asciiTheme="majorHAnsi" w:eastAsia="MS Mincho" w:hAnsiTheme="majorHAnsi" w:cstheme="majorHAnsi"/>
                <w:sz w:val="20"/>
                <w:lang w:val="ro-RO" w:eastAsia="ja-JP"/>
              </w:rPr>
              <w:t>0,0</w:t>
            </w:r>
          </w:p>
        </w:tc>
        <w:tc>
          <w:tcPr>
            <w:tcW w:w="992" w:type="dxa"/>
          </w:tcPr>
          <w:p w:rsidR="00281CBE" w:rsidRPr="00E4517B" w:rsidRDefault="00281CBE" w:rsidP="00B51730">
            <w:pPr>
              <w:spacing w:line="276" w:lineRule="auto"/>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lang w:val="ro-RO" w:eastAsia="ja-JP"/>
              </w:rPr>
            </w:pPr>
            <w:r w:rsidRPr="00E4517B">
              <w:rPr>
                <w:rFonts w:asciiTheme="majorHAnsi" w:eastAsia="MS Mincho" w:hAnsiTheme="majorHAnsi" w:cstheme="majorHAnsi"/>
                <w:sz w:val="20"/>
                <w:lang w:val="ro-RO" w:eastAsia="ja-JP"/>
              </w:rPr>
              <w:t>100,0</w:t>
            </w:r>
          </w:p>
        </w:tc>
        <w:tc>
          <w:tcPr>
            <w:tcW w:w="1564" w:type="dxa"/>
          </w:tcPr>
          <w:p w:rsidR="00281CBE" w:rsidRPr="00E4517B" w:rsidRDefault="00281CBE" w:rsidP="00B51730">
            <w:pPr>
              <w:spacing w:line="276" w:lineRule="auto"/>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lang w:val="ro-RO" w:eastAsia="ja-JP"/>
              </w:rPr>
            </w:pPr>
            <w:r w:rsidRPr="00E4517B">
              <w:rPr>
                <w:rFonts w:asciiTheme="majorHAnsi" w:eastAsia="MS Mincho" w:hAnsiTheme="majorHAnsi" w:cstheme="majorHAnsi"/>
                <w:sz w:val="20"/>
                <w:lang w:val="ro-RO" w:eastAsia="ja-JP"/>
              </w:rPr>
              <w:t>2 813,6</w:t>
            </w:r>
          </w:p>
        </w:tc>
        <w:tc>
          <w:tcPr>
            <w:tcW w:w="1012" w:type="dxa"/>
          </w:tcPr>
          <w:p w:rsidR="00281CBE" w:rsidRPr="00E4517B" w:rsidRDefault="00281CBE" w:rsidP="00B51730">
            <w:pPr>
              <w:spacing w:line="276" w:lineRule="auto"/>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lang w:val="ro-RO" w:eastAsia="ja-JP"/>
              </w:rPr>
            </w:pPr>
            <w:r w:rsidRPr="00E4517B">
              <w:rPr>
                <w:rFonts w:asciiTheme="majorHAnsi" w:eastAsia="MS Mincho" w:hAnsiTheme="majorHAnsi" w:cstheme="majorHAnsi"/>
                <w:sz w:val="20"/>
                <w:lang w:val="ro-RO" w:eastAsia="ja-JP"/>
              </w:rPr>
              <w:t>+720,1</w:t>
            </w:r>
          </w:p>
        </w:tc>
        <w:tc>
          <w:tcPr>
            <w:tcW w:w="1097" w:type="dxa"/>
          </w:tcPr>
          <w:p w:rsidR="00281CBE" w:rsidRPr="00E4517B" w:rsidRDefault="00281CBE" w:rsidP="00B51730">
            <w:pPr>
              <w:spacing w:line="276" w:lineRule="auto"/>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lang w:val="ro-RO" w:eastAsia="ja-JP"/>
              </w:rPr>
            </w:pPr>
            <w:r w:rsidRPr="00E4517B">
              <w:rPr>
                <w:rFonts w:asciiTheme="majorHAnsi" w:eastAsia="MS Mincho" w:hAnsiTheme="majorHAnsi" w:cstheme="majorHAnsi"/>
                <w:sz w:val="20"/>
                <w:lang w:val="ro-RO" w:eastAsia="ja-JP"/>
              </w:rPr>
              <w:t>125,6</w:t>
            </w:r>
          </w:p>
        </w:tc>
      </w:tr>
      <w:tr w:rsidR="00281CBE" w:rsidRPr="00E4517B" w:rsidTr="00B51730">
        <w:trPr>
          <w:jc w:val="center"/>
        </w:trPr>
        <w:tc>
          <w:tcPr>
            <w:cnfStyle w:val="001000000000" w:firstRow="0" w:lastRow="0" w:firstColumn="1" w:lastColumn="0" w:oddVBand="0" w:evenVBand="0" w:oddHBand="0" w:evenHBand="0" w:firstRowFirstColumn="0" w:firstRowLastColumn="0" w:lastRowFirstColumn="0" w:lastRowLastColumn="0"/>
            <w:tcW w:w="905" w:type="dxa"/>
          </w:tcPr>
          <w:p w:rsidR="00281CBE" w:rsidRPr="00E4517B" w:rsidRDefault="00281CBE" w:rsidP="00B51730">
            <w:pPr>
              <w:spacing w:line="276" w:lineRule="auto"/>
              <w:ind w:right="1"/>
              <w:jc w:val="center"/>
              <w:rPr>
                <w:rFonts w:asciiTheme="majorHAnsi" w:eastAsia="MS Mincho" w:hAnsiTheme="majorHAnsi" w:cstheme="majorHAnsi"/>
                <w:sz w:val="20"/>
                <w:lang w:val="ro-RO" w:eastAsia="ja-JP"/>
              </w:rPr>
            </w:pPr>
            <w:r w:rsidRPr="00E4517B">
              <w:rPr>
                <w:rFonts w:asciiTheme="majorHAnsi" w:eastAsia="MS Mincho" w:hAnsiTheme="majorHAnsi" w:cstheme="majorHAnsi"/>
                <w:sz w:val="20"/>
                <w:lang w:val="ro-RO" w:eastAsia="ja-JP"/>
              </w:rPr>
              <w:t>BUAT</w:t>
            </w:r>
          </w:p>
        </w:tc>
        <w:tc>
          <w:tcPr>
            <w:tcW w:w="983" w:type="dxa"/>
          </w:tcPr>
          <w:p w:rsidR="00281CBE" w:rsidRPr="00973E5B" w:rsidRDefault="00281CBE" w:rsidP="00B51730">
            <w:pPr>
              <w:spacing w:line="276" w:lineRule="auto"/>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lang w:val="ro-RO" w:eastAsia="ja-JP"/>
              </w:rPr>
            </w:pPr>
            <w:r w:rsidRPr="00973E5B">
              <w:rPr>
                <w:rFonts w:asciiTheme="majorHAnsi" w:eastAsia="MS Mincho" w:hAnsiTheme="majorHAnsi" w:cstheme="majorHAnsi"/>
                <w:sz w:val="20"/>
                <w:lang w:val="ro-RO" w:eastAsia="ja-JP"/>
              </w:rPr>
              <w:t>13 281,1</w:t>
            </w:r>
          </w:p>
        </w:tc>
        <w:tc>
          <w:tcPr>
            <w:tcW w:w="966" w:type="dxa"/>
          </w:tcPr>
          <w:p w:rsidR="00281CBE" w:rsidRPr="009131CF" w:rsidRDefault="00281CBE" w:rsidP="00B51730">
            <w:pPr>
              <w:spacing w:line="276" w:lineRule="auto"/>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lang w:val="ro-RO" w:eastAsia="ja-JP"/>
              </w:rPr>
            </w:pPr>
            <w:r w:rsidRPr="009131CF">
              <w:rPr>
                <w:rFonts w:asciiTheme="majorHAnsi" w:eastAsia="MS Mincho" w:hAnsiTheme="majorHAnsi" w:cstheme="majorHAnsi"/>
                <w:sz w:val="20"/>
                <w:lang w:val="ro-RO" w:eastAsia="ja-JP"/>
              </w:rPr>
              <w:t>14 083,4</w:t>
            </w:r>
          </w:p>
        </w:tc>
        <w:tc>
          <w:tcPr>
            <w:tcW w:w="1005" w:type="dxa"/>
          </w:tcPr>
          <w:p w:rsidR="00281CBE" w:rsidRPr="00E4517B" w:rsidRDefault="00281CBE" w:rsidP="00B51730">
            <w:pPr>
              <w:spacing w:line="276" w:lineRule="auto"/>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lang w:val="ro-RO" w:eastAsia="ja-JP"/>
              </w:rPr>
            </w:pPr>
            <w:r w:rsidRPr="00E4517B">
              <w:rPr>
                <w:rFonts w:asciiTheme="majorHAnsi" w:eastAsia="MS Mincho" w:hAnsiTheme="majorHAnsi" w:cstheme="majorHAnsi"/>
                <w:sz w:val="20"/>
                <w:lang w:val="ro-RO" w:eastAsia="ja-JP"/>
              </w:rPr>
              <w:t>13 617,9</w:t>
            </w:r>
          </w:p>
        </w:tc>
        <w:tc>
          <w:tcPr>
            <w:tcW w:w="956" w:type="dxa"/>
          </w:tcPr>
          <w:p w:rsidR="00281CBE" w:rsidRPr="00E4517B" w:rsidRDefault="00281CBE" w:rsidP="00B51730">
            <w:pPr>
              <w:spacing w:line="276" w:lineRule="auto"/>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lang w:val="ro-RO" w:eastAsia="ja-JP"/>
              </w:rPr>
            </w:pPr>
            <w:r w:rsidRPr="00E4517B">
              <w:rPr>
                <w:rFonts w:asciiTheme="majorHAnsi" w:eastAsia="MS Mincho" w:hAnsiTheme="majorHAnsi" w:cstheme="majorHAnsi"/>
                <w:sz w:val="20"/>
                <w:lang w:val="ro-RO" w:eastAsia="ja-JP"/>
              </w:rPr>
              <w:t>-465,5</w:t>
            </w:r>
          </w:p>
        </w:tc>
        <w:tc>
          <w:tcPr>
            <w:tcW w:w="992" w:type="dxa"/>
          </w:tcPr>
          <w:p w:rsidR="00281CBE" w:rsidRPr="00E4517B" w:rsidRDefault="00281CBE" w:rsidP="00B51730">
            <w:pPr>
              <w:spacing w:line="276" w:lineRule="auto"/>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lang w:val="ro-RO" w:eastAsia="ja-JP"/>
              </w:rPr>
            </w:pPr>
            <w:r w:rsidRPr="00E4517B">
              <w:rPr>
                <w:rFonts w:asciiTheme="majorHAnsi" w:eastAsia="MS Mincho" w:hAnsiTheme="majorHAnsi" w:cstheme="majorHAnsi"/>
                <w:sz w:val="20"/>
                <w:lang w:val="ro-RO" w:eastAsia="ja-JP"/>
              </w:rPr>
              <w:t>96,7</w:t>
            </w:r>
          </w:p>
        </w:tc>
        <w:tc>
          <w:tcPr>
            <w:tcW w:w="1564" w:type="dxa"/>
          </w:tcPr>
          <w:p w:rsidR="00281CBE" w:rsidRPr="00E4517B" w:rsidRDefault="00281CBE" w:rsidP="00B51730">
            <w:pPr>
              <w:spacing w:line="276" w:lineRule="auto"/>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lang w:val="ro-RO" w:eastAsia="ja-JP"/>
              </w:rPr>
            </w:pPr>
            <w:r w:rsidRPr="00E4517B">
              <w:rPr>
                <w:rFonts w:asciiTheme="majorHAnsi" w:eastAsia="MS Mincho" w:hAnsiTheme="majorHAnsi" w:cstheme="majorHAnsi"/>
                <w:sz w:val="20"/>
                <w:lang w:val="ro-RO" w:eastAsia="ja-JP"/>
              </w:rPr>
              <w:t>12 328,2</w:t>
            </w:r>
          </w:p>
        </w:tc>
        <w:tc>
          <w:tcPr>
            <w:tcW w:w="1012" w:type="dxa"/>
          </w:tcPr>
          <w:p w:rsidR="00281CBE" w:rsidRPr="00E4517B" w:rsidRDefault="00281CBE" w:rsidP="00B51730">
            <w:pPr>
              <w:spacing w:line="276" w:lineRule="auto"/>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lang w:val="ro-RO" w:eastAsia="ja-JP"/>
              </w:rPr>
            </w:pPr>
            <w:r w:rsidRPr="00E4517B">
              <w:rPr>
                <w:rFonts w:asciiTheme="majorHAnsi" w:eastAsia="MS Mincho" w:hAnsiTheme="majorHAnsi" w:cstheme="majorHAnsi"/>
                <w:sz w:val="20"/>
                <w:lang w:val="ro-RO" w:eastAsia="ja-JP"/>
              </w:rPr>
              <w:t>+1 289,7</w:t>
            </w:r>
          </w:p>
        </w:tc>
        <w:tc>
          <w:tcPr>
            <w:tcW w:w="1097" w:type="dxa"/>
          </w:tcPr>
          <w:p w:rsidR="00281CBE" w:rsidRPr="00E4517B" w:rsidRDefault="00281CBE" w:rsidP="00B51730">
            <w:pPr>
              <w:spacing w:line="276" w:lineRule="auto"/>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lang w:val="ro-RO" w:eastAsia="ja-JP"/>
              </w:rPr>
            </w:pPr>
            <w:r w:rsidRPr="00E4517B">
              <w:rPr>
                <w:rFonts w:asciiTheme="majorHAnsi" w:eastAsia="MS Mincho" w:hAnsiTheme="majorHAnsi" w:cstheme="majorHAnsi"/>
                <w:sz w:val="20"/>
                <w:lang w:val="ro-RO" w:eastAsia="ja-JP"/>
              </w:rPr>
              <w:t>110,5</w:t>
            </w:r>
          </w:p>
        </w:tc>
      </w:tr>
      <w:tr w:rsidR="00281CBE" w:rsidRPr="00E4517B" w:rsidTr="00B51730">
        <w:trPr>
          <w:jc w:val="center"/>
        </w:trPr>
        <w:tc>
          <w:tcPr>
            <w:cnfStyle w:val="001000000000" w:firstRow="0" w:lastRow="0" w:firstColumn="1" w:lastColumn="0" w:oddVBand="0" w:evenVBand="0" w:oddHBand="0" w:evenHBand="0" w:firstRowFirstColumn="0" w:firstRowLastColumn="0" w:lastRowFirstColumn="0" w:lastRowLastColumn="0"/>
            <w:tcW w:w="905" w:type="dxa"/>
          </w:tcPr>
          <w:p w:rsidR="00281CBE" w:rsidRPr="00E4517B" w:rsidRDefault="00281CBE" w:rsidP="00B51730">
            <w:pPr>
              <w:spacing w:line="276" w:lineRule="auto"/>
              <w:ind w:right="1"/>
              <w:jc w:val="center"/>
              <w:rPr>
                <w:rFonts w:asciiTheme="majorHAnsi" w:eastAsia="MS Mincho" w:hAnsiTheme="majorHAnsi" w:cstheme="majorHAnsi"/>
                <w:sz w:val="20"/>
                <w:lang w:val="ro-RO" w:eastAsia="ja-JP"/>
              </w:rPr>
            </w:pPr>
            <w:r w:rsidRPr="00E4517B">
              <w:rPr>
                <w:rFonts w:asciiTheme="majorHAnsi" w:eastAsia="MS Mincho" w:hAnsiTheme="majorHAnsi" w:cstheme="majorHAnsi"/>
                <w:sz w:val="20"/>
                <w:lang w:val="ro-RO" w:eastAsia="ja-JP"/>
              </w:rPr>
              <w:t>Total</w:t>
            </w:r>
          </w:p>
        </w:tc>
        <w:tc>
          <w:tcPr>
            <w:tcW w:w="983" w:type="dxa"/>
          </w:tcPr>
          <w:p w:rsidR="00281CBE" w:rsidRPr="00973E5B" w:rsidRDefault="00281CBE" w:rsidP="00B51730">
            <w:pPr>
              <w:spacing w:line="276" w:lineRule="auto"/>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b/>
                <w:sz w:val="20"/>
                <w:lang w:val="ro-RO" w:eastAsia="ja-JP"/>
              </w:rPr>
            </w:pPr>
            <w:r w:rsidRPr="00973E5B">
              <w:rPr>
                <w:rFonts w:asciiTheme="majorHAnsi" w:eastAsia="MS Mincho" w:hAnsiTheme="majorHAnsi" w:cstheme="majorHAnsi"/>
                <w:b/>
                <w:sz w:val="20"/>
                <w:lang w:val="ro-RO" w:eastAsia="ja-JP"/>
              </w:rPr>
              <w:t>24 847,3</w:t>
            </w:r>
          </w:p>
        </w:tc>
        <w:tc>
          <w:tcPr>
            <w:tcW w:w="966" w:type="dxa"/>
          </w:tcPr>
          <w:p w:rsidR="00281CBE" w:rsidRPr="009131CF" w:rsidRDefault="00281CBE" w:rsidP="00B51730">
            <w:pPr>
              <w:spacing w:line="276" w:lineRule="auto"/>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b/>
                <w:sz w:val="20"/>
                <w:lang w:val="ro-RO" w:eastAsia="ja-JP"/>
              </w:rPr>
            </w:pPr>
            <w:r w:rsidRPr="009131CF">
              <w:rPr>
                <w:rFonts w:asciiTheme="majorHAnsi" w:eastAsia="MS Mincho" w:hAnsiTheme="majorHAnsi" w:cstheme="majorHAnsi"/>
                <w:b/>
                <w:sz w:val="20"/>
                <w:lang w:val="ro-RO" w:eastAsia="ja-JP"/>
              </w:rPr>
              <w:t>27 941,0</w:t>
            </w:r>
          </w:p>
        </w:tc>
        <w:tc>
          <w:tcPr>
            <w:tcW w:w="1005" w:type="dxa"/>
          </w:tcPr>
          <w:p w:rsidR="00281CBE" w:rsidRPr="00E4517B" w:rsidRDefault="00281CBE" w:rsidP="00B51730">
            <w:pPr>
              <w:spacing w:line="276" w:lineRule="auto"/>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b/>
                <w:sz w:val="20"/>
                <w:lang w:val="ro-RO" w:eastAsia="ja-JP"/>
              </w:rPr>
            </w:pPr>
            <w:r w:rsidRPr="00E4517B">
              <w:rPr>
                <w:rFonts w:asciiTheme="majorHAnsi" w:eastAsia="MS Mincho" w:hAnsiTheme="majorHAnsi" w:cstheme="majorHAnsi"/>
                <w:b/>
                <w:sz w:val="20"/>
                <w:lang w:val="ro-RO" w:eastAsia="ja-JP"/>
              </w:rPr>
              <w:t>26 921,0</w:t>
            </w:r>
          </w:p>
        </w:tc>
        <w:tc>
          <w:tcPr>
            <w:tcW w:w="956" w:type="dxa"/>
          </w:tcPr>
          <w:p w:rsidR="00281CBE" w:rsidRPr="00E4517B" w:rsidRDefault="00281CBE" w:rsidP="00B51730">
            <w:pPr>
              <w:spacing w:line="276" w:lineRule="auto"/>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b/>
                <w:sz w:val="20"/>
                <w:lang w:val="ro-RO" w:eastAsia="ja-JP"/>
              </w:rPr>
            </w:pPr>
            <w:r w:rsidRPr="00E4517B">
              <w:rPr>
                <w:rFonts w:asciiTheme="majorHAnsi" w:eastAsia="MS Mincho" w:hAnsiTheme="majorHAnsi" w:cstheme="majorHAnsi"/>
                <w:b/>
                <w:sz w:val="20"/>
                <w:lang w:val="ro-RO" w:eastAsia="ja-JP"/>
              </w:rPr>
              <w:t>-1020,0</w:t>
            </w:r>
          </w:p>
        </w:tc>
        <w:tc>
          <w:tcPr>
            <w:tcW w:w="992" w:type="dxa"/>
          </w:tcPr>
          <w:p w:rsidR="00281CBE" w:rsidRPr="00E4517B" w:rsidRDefault="00281CBE" w:rsidP="00B51730">
            <w:pPr>
              <w:spacing w:line="276" w:lineRule="auto"/>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b/>
                <w:sz w:val="20"/>
                <w:lang w:val="ro-RO" w:eastAsia="ja-JP"/>
              </w:rPr>
            </w:pPr>
            <w:r w:rsidRPr="00E4517B">
              <w:rPr>
                <w:rFonts w:asciiTheme="majorHAnsi" w:eastAsia="MS Mincho" w:hAnsiTheme="majorHAnsi" w:cstheme="majorHAnsi"/>
                <w:b/>
                <w:sz w:val="20"/>
                <w:lang w:val="ro-RO" w:eastAsia="ja-JP"/>
              </w:rPr>
              <w:t>96,3</w:t>
            </w:r>
          </w:p>
        </w:tc>
        <w:tc>
          <w:tcPr>
            <w:tcW w:w="1564" w:type="dxa"/>
          </w:tcPr>
          <w:p w:rsidR="00281CBE" w:rsidRPr="00E4517B" w:rsidRDefault="00281CBE" w:rsidP="00B51730">
            <w:pPr>
              <w:spacing w:line="276" w:lineRule="auto"/>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b/>
                <w:sz w:val="20"/>
                <w:lang w:val="ro-RO" w:eastAsia="ja-JP"/>
              </w:rPr>
            </w:pPr>
            <w:r w:rsidRPr="00E4517B">
              <w:rPr>
                <w:rFonts w:asciiTheme="majorHAnsi" w:eastAsia="MS Mincho" w:hAnsiTheme="majorHAnsi" w:cstheme="majorHAnsi"/>
                <w:b/>
                <w:sz w:val="20"/>
                <w:lang w:val="ro-RO" w:eastAsia="ja-JP"/>
              </w:rPr>
              <w:t>23 098,8</w:t>
            </w:r>
          </w:p>
        </w:tc>
        <w:tc>
          <w:tcPr>
            <w:tcW w:w="1012" w:type="dxa"/>
          </w:tcPr>
          <w:p w:rsidR="00281CBE" w:rsidRPr="00E4517B" w:rsidRDefault="00281CBE" w:rsidP="00B51730">
            <w:pPr>
              <w:spacing w:line="276" w:lineRule="auto"/>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b/>
                <w:sz w:val="20"/>
                <w:lang w:val="ro-RO" w:eastAsia="ja-JP"/>
              </w:rPr>
            </w:pPr>
            <w:r w:rsidRPr="00E4517B">
              <w:rPr>
                <w:rFonts w:asciiTheme="majorHAnsi" w:eastAsia="MS Mincho" w:hAnsiTheme="majorHAnsi" w:cstheme="majorHAnsi"/>
                <w:b/>
                <w:sz w:val="20"/>
                <w:lang w:val="ro-RO" w:eastAsia="ja-JP"/>
              </w:rPr>
              <w:t>+3 822,2</w:t>
            </w:r>
          </w:p>
        </w:tc>
        <w:tc>
          <w:tcPr>
            <w:tcW w:w="1097" w:type="dxa"/>
          </w:tcPr>
          <w:p w:rsidR="00281CBE" w:rsidRPr="00E4517B" w:rsidRDefault="00281CBE" w:rsidP="00B51730">
            <w:pPr>
              <w:spacing w:line="276" w:lineRule="auto"/>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b/>
                <w:sz w:val="20"/>
                <w:lang w:val="ro-RO" w:eastAsia="ja-JP"/>
              </w:rPr>
            </w:pPr>
            <w:r w:rsidRPr="00E4517B">
              <w:rPr>
                <w:rFonts w:asciiTheme="majorHAnsi" w:eastAsia="MS Mincho" w:hAnsiTheme="majorHAnsi" w:cstheme="majorHAnsi"/>
                <w:b/>
                <w:sz w:val="20"/>
                <w:lang w:val="ro-RO" w:eastAsia="ja-JP"/>
              </w:rPr>
              <w:t>116,5</w:t>
            </w:r>
          </w:p>
        </w:tc>
      </w:tr>
    </w:tbl>
    <w:p w:rsidR="00281CBE" w:rsidRPr="00B76309" w:rsidRDefault="00281CBE" w:rsidP="00B76309">
      <w:pPr>
        <w:spacing w:after="120" w:line="276" w:lineRule="auto"/>
        <w:ind w:left="2268" w:right="1"/>
        <w:rPr>
          <w:rFonts w:asciiTheme="majorHAnsi" w:eastAsia="MS Mincho" w:hAnsiTheme="majorHAnsi" w:cstheme="majorHAnsi"/>
          <w:i/>
          <w:sz w:val="20"/>
          <w:szCs w:val="20"/>
          <w:lang w:val="ro-RO" w:eastAsia="ja-JP"/>
        </w:rPr>
      </w:pPr>
      <w:r w:rsidRPr="00E4517B">
        <w:rPr>
          <w:rFonts w:asciiTheme="majorHAnsi" w:eastAsia="MS Mincho" w:hAnsiTheme="majorHAnsi" w:cstheme="majorHAnsi"/>
          <w:b/>
          <w:i/>
          <w:sz w:val="20"/>
          <w:szCs w:val="20"/>
          <w:lang w:val="ro-RO" w:eastAsia="ja-JP"/>
        </w:rPr>
        <w:t>Sursă:</w:t>
      </w:r>
      <w:r w:rsidRPr="00973E5B">
        <w:rPr>
          <w:rFonts w:asciiTheme="majorHAnsi" w:eastAsia="MS Mincho" w:hAnsiTheme="majorHAnsi" w:cstheme="majorHAnsi"/>
          <w:b/>
          <w:sz w:val="20"/>
          <w:szCs w:val="20"/>
          <w:lang w:val="ro-RO" w:eastAsia="ja-JP"/>
        </w:rPr>
        <w:t xml:space="preserve"> </w:t>
      </w:r>
      <w:r w:rsidRPr="00207634">
        <w:rPr>
          <w:rFonts w:asciiTheme="majorHAnsi" w:eastAsia="MS Mincho" w:hAnsiTheme="majorHAnsi" w:cstheme="majorHAnsi"/>
          <w:i/>
          <w:sz w:val="20"/>
          <w:szCs w:val="20"/>
          <w:lang w:val="ro-RO" w:eastAsia="ja-JP"/>
        </w:rPr>
        <w:t>Informații generalizate de echipa de audit în baza datelor prezentate de Ministerul Finanțelor.</w:t>
      </w:r>
    </w:p>
    <w:p w:rsidR="009F7CB6" w:rsidRPr="00E4517B" w:rsidRDefault="001A250F" w:rsidP="005B0934">
      <w:pPr>
        <w:shd w:val="clear" w:color="auto" w:fill="FFFFFF" w:themeFill="background1"/>
        <w:tabs>
          <w:tab w:val="left" w:pos="284"/>
          <w:tab w:val="left" w:pos="993"/>
          <w:tab w:val="left" w:pos="6663"/>
        </w:tabs>
        <w:spacing w:after="0" w:line="276" w:lineRule="auto"/>
        <w:jc w:val="right"/>
        <w:rPr>
          <w:rFonts w:asciiTheme="majorHAnsi" w:eastAsia="Times New Roman" w:hAnsiTheme="majorHAnsi" w:cstheme="majorHAnsi"/>
          <w:b/>
          <w:sz w:val="24"/>
          <w:szCs w:val="24"/>
          <w:lang w:val="ro-RO"/>
        </w:rPr>
      </w:pPr>
      <w:r w:rsidRPr="00E4517B">
        <w:rPr>
          <w:rFonts w:asciiTheme="majorHAnsi" w:eastAsia="Times New Roman" w:hAnsiTheme="majorHAnsi" w:cstheme="majorHAnsi"/>
          <w:b/>
          <w:sz w:val="24"/>
          <w:szCs w:val="24"/>
          <w:lang w:val="ro-RO"/>
        </w:rPr>
        <w:t>Anexa nr.14</w:t>
      </w:r>
    </w:p>
    <w:tbl>
      <w:tblPr>
        <w:tblW w:w="15139" w:type="dxa"/>
        <w:jc w:val="center"/>
        <w:tblLayout w:type="fixed"/>
        <w:tblLook w:val="04A0" w:firstRow="1" w:lastRow="0" w:firstColumn="1" w:lastColumn="0" w:noHBand="0" w:noVBand="1"/>
      </w:tblPr>
      <w:tblGrid>
        <w:gridCol w:w="12804"/>
        <w:gridCol w:w="2335"/>
      </w:tblGrid>
      <w:tr w:rsidR="005B0934" w:rsidRPr="00E4517B" w:rsidTr="00692C6E">
        <w:trPr>
          <w:trHeight w:val="210"/>
          <w:jc w:val="center"/>
        </w:trPr>
        <w:tc>
          <w:tcPr>
            <w:tcW w:w="12804" w:type="dxa"/>
            <w:tcBorders>
              <w:top w:val="nil"/>
              <w:left w:val="nil"/>
              <w:bottom w:val="single" w:sz="2" w:space="0" w:color="FFFFFF" w:themeColor="background1"/>
              <w:right w:val="nil"/>
            </w:tcBorders>
            <w:noWrap/>
            <w:vAlign w:val="bottom"/>
          </w:tcPr>
          <w:p w:rsidR="005B0934" w:rsidRPr="00F55BA6" w:rsidRDefault="005B0934" w:rsidP="00525D97">
            <w:pPr>
              <w:spacing w:after="0" w:line="240" w:lineRule="auto"/>
              <w:rPr>
                <w:rFonts w:ascii="Calibri" w:eastAsia="Times New Roman" w:hAnsi="Calibri" w:cs="Calibri"/>
                <w:b/>
                <w:bCs/>
                <w:color w:val="000000"/>
                <w:sz w:val="22"/>
                <w:lang w:val="ro-RO" w:eastAsia="ru-RU"/>
              </w:rPr>
            </w:pPr>
          </w:p>
        </w:tc>
        <w:tc>
          <w:tcPr>
            <w:tcW w:w="2335" w:type="dxa"/>
            <w:tcBorders>
              <w:top w:val="nil"/>
              <w:left w:val="nil"/>
              <w:bottom w:val="single" w:sz="2" w:space="0" w:color="FFFFFF" w:themeColor="background1"/>
              <w:right w:val="nil"/>
            </w:tcBorders>
            <w:noWrap/>
            <w:vAlign w:val="bottom"/>
            <w:hideMark/>
          </w:tcPr>
          <w:p w:rsidR="005B0934" w:rsidRPr="00E4517B" w:rsidRDefault="005B0934" w:rsidP="005B0934">
            <w:pPr>
              <w:spacing w:after="0" w:line="240" w:lineRule="auto"/>
              <w:jc w:val="left"/>
              <w:rPr>
                <w:rFonts w:ascii="Calibri" w:eastAsia="Times New Roman" w:hAnsi="Calibri" w:cs="Calibri"/>
                <w:b/>
                <w:bCs/>
                <w:color w:val="000000"/>
                <w:sz w:val="22"/>
                <w:lang w:val="ro-RO" w:eastAsia="ru-RU"/>
              </w:rPr>
            </w:pPr>
          </w:p>
        </w:tc>
      </w:tr>
    </w:tbl>
    <w:p w:rsidR="005B0934" w:rsidRPr="00973E5B" w:rsidRDefault="005B0934" w:rsidP="005B0934">
      <w:pPr>
        <w:spacing w:after="0" w:line="240" w:lineRule="auto"/>
        <w:jc w:val="center"/>
        <w:rPr>
          <w:rFonts w:asciiTheme="majorHAnsi" w:hAnsiTheme="majorHAnsi" w:cstheme="majorHAnsi"/>
          <w:b/>
          <w:sz w:val="24"/>
          <w:szCs w:val="24"/>
          <w:lang w:val="ro-RO"/>
        </w:rPr>
      </w:pPr>
      <w:r w:rsidRPr="00E4517B">
        <w:rPr>
          <w:rFonts w:asciiTheme="majorHAnsi" w:hAnsiTheme="majorHAnsi" w:cstheme="majorHAnsi"/>
          <w:b/>
          <w:sz w:val="24"/>
          <w:szCs w:val="24"/>
          <w:lang w:val="ro-RO"/>
        </w:rPr>
        <w:t xml:space="preserve">Executarea principalilor indicatori ai BPN pe </w:t>
      </w:r>
      <w:r w:rsidRPr="00973E5B">
        <w:rPr>
          <w:rFonts w:asciiTheme="majorHAnsi" w:hAnsiTheme="majorHAnsi" w:cstheme="majorHAnsi"/>
          <w:b/>
          <w:sz w:val="24"/>
          <w:szCs w:val="24"/>
          <w:lang w:val="ro-RO"/>
        </w:rPr>
        <w:t>anul 2020, comparativ cu anul 2019,</w:t>
      </w:r>
    </w:p>
    <w:p w:rsidR="005B0934" w:rsidRPr="00E4517B" w:rsidRDefault="005B0934" w:rsidP="005B0934">
      <w:pPr>
        <w:spacing w:after="0" w:line="240" w:lineRule="auto"/>
        <w:jc w:val="center"/>
        <w:rPr>
          <w:rFonts w:asciiTheme="majorHAnsi" w:hAnsiTheme="majorHAnsi" w:cstheme="majorHAnsi"/>
          <w:b/>
          <w:sz w:val="24"/>
          <w:szCs w:val="24"/>
          <w:lang w:val="ro-RO"/>
        </w:rPr>
      </w:pPr>
      <w:r w:rsidRPr="009131CF">
        <w:rPr>
          <w:rFonts w:asciiTheme="majorHAnsi" w:hAnsiTheme="majorHAnsi" w:cstheme="majorHAnsi"/>
          <w:b/>
          <w:sz w:val="24"/>
          <w:szCs w:val="24"/>
          <w:lang w:val="ro-RO"/>
        </w:rPr>
        <w:t>ș</w:t>
      </w:r>
      <w:r w:rsidRPr="00E4517B">
        <w:rPr>
          <w:rFonts w:asciiTheme="majorHAnsi" w:hAnsiTheme="majorHAnsi" w:cstheme="majorHAnsi"/>
          <w:b/>
          <w:sz w:val="24"/>
          <w:szCs w:val="24"/>
          <w:lang w:val="ro-RO"/>
        </w:rPr>
        <w:t>i ponderea acestora în PIB</w:t>
      </w:r>
    </w:p>
    <w:p w:rsidR="005B0934" w:rsidRPr="00E4517B" w:rsidRDefault="005B0934" w:rsidP="005B0934">
      <w:pPr>
        <w:tabs>
          <w:tab w:val="left" w:pos="9639"/>
        </w:tabs>
        <w:spacing w:after="0" w:line="240" w:lineRule="auto"/>
        <w:ind w:right="814"/>
        <w:jc w:val="right"/>
        <w:rPr>
          <w:rFonts w:asciiTheme="majorHAnsi" w:eastAsia="Times New Roman" w:hAnsiTheme="majorHAnsi" w:cstheme="majorHAnsi"/>
          <w:b/>
          <w:iCs/>
          <w:color w:val="000000"/>
          <w:spacing w:val="2"/>
          <w:sz w:val="24"/>
          <w:szCs w:val="24"/>
          <w:lang w:val="ro-RO" w:eastAsia="ru-RU"/>
        </w:rPr>
      </w:pPr>
      <w:r w:rsidRPr="00E4517B">
        <w:rPr>
          <w:rFonts w:asciiTheme="majorHAnsi" w:hAnsiTheme="majorHAnsi" w:cstheme="majorHAnsi"/>
          <w:b/>
          <w:sz w:val="24"/>
          <w:szCs w:val="24"/>
          <w:lang w:val="ro-RO"/>
        </w:rPr>
        <w:t xml:space="preserve">                                                         </w:t>
      </w:r>
      <w:r w:rsidRPr="00E4517B">
        <w:rPr>
          <w:rFonts w:asciiTheme="majorHAnsi" w:eastAsia="Times New Roman" w:hAnsiTheme="majorHAnsi" w:cstheme="majorHAnsi"/>
          <w:b/>
          <w:iCs/>
          <w:color w:val="000000"/>
          <w:spacing w:val="2"/>
          <w:sz w:val="24"/>
          <w:szCs w:val="24"/>
          <w:lang w:val="ro-RO" w:eastAsia="ru-RU"/>
        </w:rPr>
        <w:t xml:space="preserve"> (</w:t>
      </w:r>
      <w:r w:rsidRPr="00E4517B">
        <w:rPr>
          <w:rFonts w:asciiTheme="majorHAnsi" w:eastAsia="Times New Roman" w:hAnsiTheme="majorHAnsi" w:cstheme="majorHAnsi"/>
          <w:b/>
          <w:bCs/>
          <w:color w:val="000000"/>
          <w:spacing w:val="-3"/>
          <w:sz w:val="24"/>
          <w:szCs w:val="24"/>
          <w:lang w:val="ro-RO" w:eastAsia="ru-RU"/>
        </w:rPr>
        <w:t xml:space="preserve">mil. lei) </w:t>
      </w:r>
    </w:p>
    <w:tbl>
      <w:tblPr>
        <w:tblStyle w:val="GridTable1Light12"/>
        <w:tblW w:w="12186" w:type="dxa"/>
        <w:jc w:val="center"/>
        <w:tblLayout w:type="fixed"/>
        <w:tblLook w:val="04A0" w:firstRow="1" w:lastRow="0" w:firstColumn="1" w:lastColumn="0" w:noHBand="0" w:noVBand="1"/>
      </w:tblPr>
      <w:tblGrid>
        <w:gridCol w:w="1980"/>
        <w:gridCol w:w="992"/>
        <w:gridCol w:w="993"/>
        <w:gridCol w:w="1131"/>
        <w:gridCol w:w="989"/>
        <w:gridCol w:w="10"/>
        <w:gridCol w:w="988"/>
        <w:gridCol w:w="1089"/>
        <w:gridCol w:w="997"/>
        <w:gridCol w:w="1599"/>
        <w:gridCol w:w="1418"/>
      </w:tblGrid>
      <w:tr w:rsidR="005B0934" w:rsidRPr="00E4517B" w:rsidTr="00692C6E">
        <w:trPr>
          <w:cnfStyle w:val="100000000000" w:firstRow="1" w:lastRow="0" w:firstColumn="0" w:lastColumn="0" w:oddVBand="0" w:evenVBand="0" w:oddHBand="0"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1980" w:type="dxa"/>
            <w:vMerge w:val="restart"/>
            <w:vAlign w:val="center"/>
            <w:hideMark/>
          </w:tcPr>
          <w:p w:rsidR="005B0934" w:rsidRPr="00F55BA6" w:rsidRDefault="005B0934" w:rsidP="005B0934">
            <w:pPr>
              <w:ind w:left="-120"/>
              <w:jc w:val="center"/>
              <w:rPr>
                <w:rFonts w:asciiTheme="majorHAnsi" w:eastAsia="Times New Roman" w:hAnsiTheme="majorHAnsi" w:cstheme="majorHAnsi"/>
                <w:sz w:val="20"/>
                <w:szCs w:val="20"/>
                <w:lang w:val="ro-RO" w:eastAsia="ru-RU"/>
              </w:rPr>
            </w:pPr>
            <w:r w:rsidRPr="00E4517B">
              <w:rPr>
                <w:rFonts w:asciiTheme="majorHAnsi" w:eastAsia="Times New Roman" w:hAnsiTheme="majorHAnsi" w:cstheme="majorHAnsi"/>
                <w:sz w:val="20"/>
                <w:szCs w:val="20"/>
                <w:lang w:val="ro-RO" w:eastAsia="ru-RU"/>
              </w:rPr>
              <w:t>Indicatori</w:t>
            </w:r>
          </w:p>
        </w:tc>
        <w:tc>
          <w:tcPr>
            <w:tcW w:w="992" w:type="dxa"/>
            <w:vMerge w:val="restart"/>
            <w:vAlign w:val="center"/>
          </w:tcPr>
          <w:p w:rsidR="005B0934" w:rsidRPr="00E4517B" w:rsidRDefault="005B0934" w:rsidP="005B0934">
            <w:pPr>
              <w:ind w:left="-148" w:right="-115"/>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u-RU"/>
              </w:rPr>
            </w:pPr>
            <w:r w:rsidRPr="00E4517B">
              <w:rPr>
                <w:rFonts w:asciiTheme="majorHAnsi" w:eastAsia="Times New Roman" w:hAnsiTheme="majorHAnsi" w:cstheme="majorHAnsi"/>
                <w:sz w:val="20"/>
                <w:szCs w:val="20"/>
                <w:lang w:val="ro-RO" w:eastAsia="ru-RU"/>
              </w:rPr>
              <w:t xml:space="preserve">Precizat </w:t>
            </w:r>
          </w:p>
          <w:p w:rsidR="005B0934" w:rsidRPr="00973E5B" w:rsidRDefault="005B0934" w:rsidP="005B0934">
            <w:pPr>
              <w:ind w:left="-148" w:right="-115"/>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u-RU"/>
              </w:rPr>
            </w:pPr>
            <w:r w:rsidRPr="00973E5B">
              <w:rPr>
                <w:rFonts w:asciiTheme="majorHAnsi" w:eastAsia="Times New Roman" w:hAnsiTheme="majorHAnsi" w:cstheme="majorHAnsi"/>
                <w:sz w:val="20"/>
                <w:szCs w:val="20"/>
                <w:lang w:val="ro-RO" w:eastAsia="ru-RU"/>
              </w:rPr>
              <w:t>pe an</w:t>
            </w:r>
          </w:p>
        </w:tc>
        <w:tc>
          <w:tcPr>
            <w:tcW w:w="993" w:type="dxa"/>
            <w:vMerge w:val="restart"/>
            <w:vAlign w:val="center"/>
          </w:tcPr>
          <w:p w:rsidR="005B0934" w:rsidRPr="009131CF" w:rsidRDefault="005B0934" w:rsidP="005B0934">
            <w:pPr>
              <w:ind w:left="-101" w:right="-102"/>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u-RU"/>
              </w:rPr>
            </w:pPr>
            <w:r w:rsidRPr="009131CF">
              <w:rPr>
                <w:rFonts w:asciiTheme="majorHAnsi" w:eastAsia="Times New Roman" w:hAnsiTheme="majorHAnsi" w:cstheme="majorHAnsi"/>
                <w:sz w:val="20"/>
                <w:szCs w:val="20"/>
                <w:lang w:val="ro-RO" w:eastAsia="ru-RU"/>
              </w:rPr>
              <w:t>Executat în anul 2020</w:t>
            </w:r>
          </w:p>
        </w:tc>
        <w:tc>
          <w:tcPr>
            <w:tcW w:w="2130" w:type="dxa"/>
            <w:gridSpan w:val="3"/>
            <w:vAlign w:val="center"/>
          </w:tcPr>
          <w:p w:rsidR="005B0934" w:rsidRPr="00E4517B" w:rsidRDefault="005B0934" w:rsidP="005B0934">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u-RU"/>
              </w:rPr>
            </w:pPr>
            <w:r w:rsidRPr="00E4517B">
              <w:rPr>
                <w:rFonts w:asciiTheme="majorHAnsi" w:eastAsia="Times New Roman" w:hAnsiTheme="majorHAnsi" w:cstheme="majorHAnsi"/>
                <w:sz w:val="20"/>
                <w:szCs w:val="20"/>
                <w:lang w:val="ro-RO" w:eastAsia="ru-RU"/>
              </w:rPr>
              <w:t>Executat față de precizat</w:t>
            </w:r>
          </w:p>
        </w:tc>
        <w:tc>
          <w:tcPr>
            <w:tcW w:w="988" w:type="dxa"/>
            <w:vAlign w:val="center"/>
            <w:hideMark/>
          </w:tcPr>
          <w:p w:rsidR="005B0934" w:rsidRPr="00E4517B" w:rsidRDefault="005B0934" w:rsidP="005B0934">
            <w:pPr>
              <w:ind w:left="-94" w:right="-109"/>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u-RU"/>
              </w:rPr>
            </w:pPr>
            <w:r w:rsidRPr="00E4517B">
              <w:rPr>
                <w:rFonts w:asciiTheme="majorHAnsi" w:eastAsia="Times New Roman" w:hAnsiTheme="majorHAnsi" w:cstheme="majorHAnsi"/>
                <w:sz w:val="20"/>
                <w:szCs w:val="20"/>
                <w:lang w:val="ro-RO" w:eastAsia="ru-RU"/>
              </w:rPr>
              <w:t>Executat în</w:t>
            </w:r>
          </w:p>
          <w:p w:rsidR="005B0934" w:rsidRPr="00E4517B" w:rsidRDefault="005B0934" w:rsidP="005B0934">
            <w:pPr>
              <w:ind w:left="-94" w:right="-109"/>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u-RU"/>
              </w:rPr>
            </w:pPr>
            <w:r w:rsidRPr="00E4517B">
              <w:rPr>
                <w:rFonts w:asciiTheme="majorHAnsi" w:eastAsia="Times New Roman" w:hAnsiTheme="majorHAnsi" w:cstheme="majorHAnsi"/>
                <w:sz w:val="20"/>
                <w:szCs w:val="20"/>
                <w:lang w:val="ro-RO" w:eastAsia="ru-RU"/>
              </w:rPr>
              <w:t>anul 2019</w:t>
            </w:r>
          </w:p>
        </w:tc>
        <w:tc>
          <w:tcPr>
            <w:tcW w:w="2086" w:type="dxa"/>
            <w:gridSpan w:val="2"/>
            <w:vAlign w:val="center"/>
            <w:hideMark/>
          </w:tcPr>
          <w:p w:rsidR="005B0934" w:rsidRPr="00E4517B" w:rsidRDefault="005B0934" w:rsidP="005B0934">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u-RU"/>
              </w:rPr>
            </w:pPr>
            <w:r w:rsidRPr="00E4517B">
              <w:rPr>
                <w:rFonts w:asciiTheme="majorHAnsi" w:eastAsia="Times New Roman" w:hAnsiTheme="majorHAnsi" w:cstheme="majorHAnsi"/>
                <w:sz w:val="20"/>
                <w:szCs w:val="20"/>
                <w:lang w:val="ro-RO" w:eastAsia="ru-RU"/>
              </w:rPr>
              <w:t>Executat în anul 2020 față de anul 2019</w:t>
            </w:r>
          </w:p>
        </w:tc>
        <w:tc>
          <w:tcPr>
            <w:tcW w:w="3017" w:type="dxa"/>
            <w:gridSpan w:val="2"/>
            <w:vAlign w:val="center"/>
            <w:hideMark/>
          </w:tcPr>
          <w:p w:rsidR="005B0934" w:rsidRPr="00E4517B" w:rsidRDefault="005B0934" w:rsidP="005B0934">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u-RU"/>
              </w:rPr>
            </w:pPr>
            <w:r w:rsidRPr="00E4517B">
              <w:rPr>
                <w:rFonts w:asciiTheme="majorHAnsi" w:eastAsia="Times New Roman" w:hAnsiTheme="majorHAnsi" w:cstheme="majorHAnsi"/>
                <w:sz w:val="20"/>
                <w:szCs w:val="20"/>
                <w:lang w:val="ro-RO" w:eastAsia="ru-RU"/>
              </w:rPr>
              <w:t>Ponderea în PIB (%)</w:t>
            </w:r>
          </w:p>
        </w:tc>
      </w:tr>
      <w:tr w:rsidR="005B0934" w:rsidRPr="00E4517B" w:rsidTr="00692C6E">
        <w:trPr>
          <w:trHeight w:val="256"/>
          <w:jc w:val="center"/>
        </w:trPr>
        <w:tc>
          <w:tcPr>
            <w:cnfStyle w:val="001000000000" w:firstRow="0" w:lastRow="0" w:firstColumn="1" w:lastColumn="0" w:oddVBand="0" w:evenVBand="0" w:oddHBand="0" w:evenHBand="0" w:firstRowFirstColumn="0" w:firstRowLastColumn="0" w:lastRowFirstColumn="0" w:lastRowLastColumn="0"/>
            <w:tcW w:w="1980" w:type="dxa"/>
            <w:vMerge/>
            <w:vAlign w:val="center"/>
            <w:hideMark/>
          </w:tcPr>
          <w:p w:rsidR="005B0934" w:rsidRPr="00E4517B" w:rsidRDefault="005B0934" w:rsidP="005B0934">
            <w:pPr>
              <w:jc w:val="left"/>
              <w:rPr>
                <w:rFonts w:asciiTheme="majorHAnsi" w:eastAsia="Times New Roman" w:hAnsiTheme="majorHAnsi" w:cstheme="majorHAnsi"/>
                <w:sz w:val="20"/>
                <w:szCs w:val="20"/>
                <w:lang w:val="ro-RO" w:eastAsia="ru-RU"/>
              </w:rPr>
            </w:pPr>
          </w:p>
        </w:tc>
        <w:tc>
          <w:tcPr>
            <w:tcW w:w="992" w:type="dxa"/>
            <w:vMerge/>
            <w:vAlign w:val="center"/>
          </w:tcPr>
          <w:p w:rsidR="005B0934" w:rsidRPr="00E4517B" w:rsidRDefault="005B0934" w:rsidP="005B093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RO" w:eastAsia="ru-RU"/>
              </w:rPr>
            </w:pPr>
          </w:p>
        </w:tc>
        <w:tc>
          <w:tcPr>
            <w:tcW w:w="993" w:type="dxa"/>
            <w:vMerge/>
            <w:vAlign w:val="center"/>
          </w:tcPr>
          <w:p w:rsidR="005B0934" w:rsidRPr="00E4517B" w:rsidRDefault="005B0934" w:rsidP="005B093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RO" w:eastAsia="ru-RU"/>
              </w:rPr>
            </w:pPr>
          </w:p>
        </w:tc>
        <w:tc>
          <w:tcPr>
            <w:tcW w:w="1131" w:type="dxa"/>
            <w:vAlign w:val="center"/>
          </w:tcPr>
          <w:p w:rsidR="005B0934" w:rsidRPr="00E4517B" w:rsidRDefault="005B0934" w:rsidP="005B093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RO" w:eastAsia="ru-RU"/>
              </w:rPr>
            </w:pPr>
            <w:r w:rsidRPr="00E4517B">
              <w:rPr>
                <w:rFonts w:asciiTheme="majorHAnsi" w:eastAsia="Times New Roman" w:hAnsiTheme="majorHAnsi" w:cstheme="majorHAnsi"/>
                <w:b/>
                <w:bCs/>
                <w:sz w:val="20"/>
                <w:szCs w:val="20"/>
                <w:lang w:val="ro-RO" w:eastAsia="ru-RU"/>
              </w:rPr>
              <w:t>suma (+/-)</w:t>
            </w:r>
          </w:p>
        </w:tc>
        <w:tc>
          <w:tcPr>
            <w:tcW w:w="989" w:type="dxa"/>
            <w:vAlign w:val="center"/>
          </w:tcPr>
          <w:p w:rsidR="005B0934" w:rsidRPr="00E4517B" w:rsidRDefault="005B0934" w:rsidP="005B093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RO" w:eastAsia="ru-RU"/>
              </w:rPr>
            </w:pPr>
            <w:r w:rsidRPr="00E4517B">
              <w:rPr>
                <w:rFonts w:asciiTheme="majorHAnsi" w:eastAsia="Times New Roman" w:hAnsiTheme="majorHAnsi" w:cstheme="majorHAnsi"/>
                <w:b/>
                <w:bCs/>
                <w:sz w:val="20"/>
                <w:szCs w:val="20"/>
                <w:lang w:val="ro-RO" w:eastAsia="ru-RU"/>
              </w:rPr>
              <w:t>%</w:t>
            </w:r>
          </w:p>
        </w:tc>
        <w:tc>
          <w:tcPr>
            <w:tcW w:w="998" w:type="dxa"/>
            <w:gridSpan w:val="2"/>
            <w:vAlign w:val="center"/>
            <w:hideMark/>
          </w:tcPr>
          <w:p w:rsidR="005B0934" w:rsidRPr="00E4517B" w:rsidRDefault="005B0934" w:rsidP="005B093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RO" w:eastAsia="ru-RU"/>
              </w:rPr>
            </w:pPr>
          </w:p>
        </w:tc>
        <w:tc>
          <w:tcPr>
            <w:tcW w:w="1089" w:type="dxa"/>
            <w:vAlign w:val="center"/>
            <w:hideMark/>
          </w:tcPr>
          <w:p w:rsidR="005B0934" w:rsidRPr="00E4517B" w:rsidRDefault="005B0934" w:rsidP="005B093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RO" w:eastAsia="ru-RU"/>
              </w:rPr>
            </w:pPr>
            <w:r w:rsidRPr="00E4517B">
              <w:rPr>
                <w:rFonts w:asciiTheme="majorHAnsi" w:eastAsia="Times New Roman" w:hAnsiTheme="majorHAnsi" w:cstheme="majorHAnsi"/>
                <w:b/>
                <w:bCs/>
                <w:sz w:val="20"/>
                <w:szCs w:val="20"/>
                <w:lang w:val="ro-RO" w:eastAsia="ru-RU"/>
              </w:rPr>
              <w:t>suma (+/-)</w:t>
            </w:r>
          </w:p>
        </w:tc>
        <w:tc>
          <w:tcPr>
            <w:tcW w:w="997" w:type="dxa"/>
            <w:vAlign w:val="center"/>
            <w:hideMark/>
          </w:tcPr>
          <w:p w:rsidR="005B0934" w:rsidRPr="00E4517B" w:rsidRDefault="005B0934" w:rsidP="005B0934">
            <w:pPr>
              <w:ind w:left="-104" w:right="-107"/>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RO" w:eastAsia="ru-RU"/>
              </w:rPr>
            </w:pPr>
            <w:r w:rsidRPr="00E4517B">
              <w:rPr>
                <w:rFonts w:asciiTheme="majorHAnsi" w:eastAsia="Times New Roman" w:hAnsiTheme="majorHAnsi" w:cstheme="majorHAnsi"/>
                <w:b/>
                <w:bCs/>
                <w:sz w:val="20"/>
                <w:szCs w:val="20"/>
                <w:lang w:val="ro-RO" w:eastAsia="ru-RU"/>
              </w:rPr>
              <w:t>%</w:t>
            </w:r>
          </w:p>
        </w:tc>
        <w:tc>
          <w:tcPr>
            <w:tcW w:w="1599" w:type="dxa"/>
            <w:vAlign w:val="center"/>
            <w:hideMark/>
          </w:tcPr>
          <w:p w:rsidR="005B0934" w:rsidRPr="00E4517B" w:rsidRDefault="005B0934" w:rsidP="005B0934">
            <w:pPr>
              <w:ind w:left="-83"/>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RO" w:eastAsia="ru-RU"/>
              </w:rPr>
            </w:pPr>
            <w:r w:rsidRPr="00E4517B">
              <w:rPr>
                <w:rFonts w:asciiTheme="majorHAnsi" w:eastAsia="Times New Roman" w:hAnsiTheme="majorHAnsi" w:cstheme="majorHAnsi"/>
                <w:b/>
                <w:bCs/>
                <w:sz w:val="20"/>
                <w:szCs w:val="20"/>
                <w:lang w:val="ro-RO" w:eastAsia="ru-RU"/>
              </w:rPr>
              <w:t>2019*</w:t>
            </w:r>
          </w:p>
        </w:tc>
        <w:tc>
          <w:tcPr>
            <w:tcW w:w="1418" w:type="dxa"/>
            <w:vAlign w:val="center"/>
            <w:hideMark/>
          </w:tcPr>
          <w:p w:rsidR="005B0934" w:rsidRPr="00E4517B" w:rsidRDefault="005B0934" w:rsidP="005B0934">
            <w:pPr>
              <w:ind w:left="-107" w:right="-112"/>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RO" w:eastAsia="ru-RU"/>
              </w:rPr>
            </w:pPr>
            <w:r w:rsidRPr="00E4517B">
              <w:rPr>
                <w:rFonts w:asciiTheme="majorHAnsi" w:eastAsia="Times New Roman" w:hAnsiTheme="majorHAnsi" w:cstheme="majorHAnsi"/>
                <w:b/>
                <w:bCs/>
                <w:sz w:val="20"/>
                <w:szCs w:val="20"/>
                <w:lang w:val="ro-RO" w:eastAsia="ru-RU"/>
              </w:rPr>
              <w:t>2020**</w:t>
            </w:r>
          </w:p>
        </w:tc>
      </w:tr>
      <w:tr w:rsidR="005B0934" w:rsidRPr="00E4517B" w:rsidTr="00692C6E">
        <w:trPr>
          <w:trHeight w:val="256"/>
          <w:jc w:val="center"/>
        </w:trPr>
        <w:tc>
          <w:tcPr>
            <w:cnfStyle w:val="001000000000" w:firstRow="0" w:lastRow="0" w:firstColumn="1" w:lastColumn="0" w:oddVBand="0" w:evenVBand="0" w:oddHBand="0" w:evenHBand="0" w:firstRowFirstColumn="0" w:firstRowLastColumn="0" w:lastRowFirstColumn="0" w:lastRowLastColumn="0"/>
            <w:tcW w:w="1980" w:type="dxa"/>
          </w:tcPr>
          <w:p w:rsidR="005B0934" w:rsidRPr="00E4517B" w:rsidRDefault="005B0934" w:rsidP="005B0934">
            <w:pPr>
              <w:jc w:val="center"/>
              <w:rPr>
                <w:rFonts w:asciiTheme="majorHAnsi" w:eastAsia="Times New Roman" w:hAnsiTheme="majorHAnsi" w:cstheme="majorHAnsi"/>
                <w:i/>
                <w:sz w:val="14"/>
                <w:szCs w:val="14"/>
                <w:lang w:val="ro-RO" w:eastAsia="ru-RU"/>
              </w:rPr>
            </w:pPr>
            <w:r w:rsidRPr="00E4517B">
              <w:rPr>
                <w:rFonts w:asciiTheme="majorHAnsi" w:eastAsia="Times New Roman" w:hAnsiTheme="majorHAnsi" w:cstheme="majorHAnsi"/>
                <w:i/>
                <w:sz w:val="14"/>
                <w:szCs w:val="14"/>
                <w:lang w:val="ro-RO" w:eastAsia="ru-RU"/>
              </w:rPr>
              <w:t>1</w:t>
            </w:r>
          </w:p>
        </w:tc>
        <w:tc>
          <w:tcPr>
            <w:tcW w:w="992" w:type="dxa"/>
          </w:tcPr>
          <w:p w:rsidR="005B0934" w:rsidRPr="00973E5B" w:rsidRDefault="005B0934" w:rsidP="005B093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14"/>
                <w:szCs w:val="14"/>
                <w:lang w:val="ro-RO" w:eastAsia="ru-RU"/>
              </w:rPr>
            </w:pPr>
            <w:r w:rsidRPr="00973E5B">
              <w:rPr>
                <w:rFonts w:asciiTheme="majorHAnsi" w:eastAsia="Times New Roman" w:hAnsiTheme="majorHAnsi" w:cstheme="majorHAnsi"/>
                <w:bCs/>
                <w:i/>
                <w:sz w:val="14"/>
                <w:szCs w:val="14"/>
                <w:lang w:val="ro-RO" w:eastAsia="ru-RU"/>
              </w:rPr>
              <w:t>2</w:t>
            </w:r>
          </w:p>
        </w:tc>
        <w:tc>
          <w:tcPr>
            <w:tcW w:w="993" w:type="dxa"/>
          </w:tcPr>
          <w:p w:rsidR="005B0934" w:rsidRPr="009131CF" w:rsidRDefault="005B0934" w:rsidP="005B093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14"/>
                <w:szCs w:val="14"/>
                <w:lang w:val="ro-RO" w:eastAsia="ru-RU"/>
              </w:rPr>
            </w:pPr>
            <w:r w:rsidRPr="009131CF">
              <w:rPr>
                <w:rFonts w:asciiTheme="majorHAnsi" w:eastAsia="Times New Roman" w:hAnsiTheme="majorHAnsi" w:cstheme="majorHAnsi"/>
                <w:bCs/>
                <w:i/>
                <w:sz w:val="14"/>
                <w:szCs w:val="14"/>
                <w:lang w:val="ro-RO" w:eastAsia="ru-RU"/>
              </w:rPr>
              <w:t>3</w:t>
            </w:r>
          </w:p>
        </w:tc>
        <w:tc>
          <w:tcPr>
            <w:tcW w:w="1131" w:type="dxa"/>
          </w:tcPr>
          <w:p w:rsidR="005B0934" w:rsidRPr="00E4517B" w:rsidRDefault="005B0934" w:rsidP="005B093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14"/>
                <w:szCs w:val="14"/>
                <w:lang w:val="ro-RO" w:eastAsia="ru-RU"/>
              </w:rPr>
            </w:pPr>
            <w:r w:rsidRPr="00E4517B">
              <w:rPr>
                <w:rFonts w:asciiTheme="majorHAnsi" w:eastAsia="Times New Roman" w:hAnsiTheme="majorHAnsi" w:cstheme="majorHAnsi"/>
                <w:bCs/>
                <w:i/>
                <w:sz w:val="14"/>
                <w:szCs w:val="14"/>
                <w:lang w:val="ro-RO" w:eastAsia="ru-RU"/>
              </w:rPr>
              <w:t>4=3-2</w:t>
            </w:r>
          </w:p>
        </w:tc>
        <w:tc>
          <w:tcPr>
            <w:tcW w:w="989" w:type="dxa"/>
          </w:tcPr>
          <w:p w:rsidR="005B0934" w:rsidRPr="00E4517B" w:rsidRDefault="005B0934" w:rsidP="005B0934">
            <w:pPr>
              <w:ind w:left="-104" w:right="-107"/>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14"/>
                <w:szCs w:val="14"/>
                <w:lang w:val="ro-RO" w:eastAsia="ru-RU"/>
              </w:rPr>
            </w:pPr>
            <w:r w:rsidRPr="00E4517B">
              <w:rPr>
                <w:rFonts w:asciiTheme="majorHAnsi" w:eastAsia="Times New Roman" w:hAnsiTheme="majorHAnsi" w:cstheme="majorHAnsi"/>
                <w:bCs/>
                <w:i/>
                <w:sz w:val="14"/>
                <w:szCs w:val="14"/>
                <w:lang w:val="ro-RO" w:eastAsia="ru-RU"/>
              </w:rPr>
              <w:t>5=3/2*100</w:t>
            </w:r>
          </w:p>
        </w:tc>
        <w:tc>
          <w:tcPr>
            <w:tcW w:w="998" w:type="dxa"/>
            <w:gridSpan w:val="2"/>
          </w:tcPr>
          <w:p w:rsidR="005B0934" w:rsidRPr="00E4517B" w:rsidRDefault="005B0934" w:rsidP="005B093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14"/>
                <w:szCs w:val="14"/>
                <w:lang w:val="ro-RO" w:eastAsia="ru-RU"/>
              </w:rPr>
            </w:pPr>
            <w:r w:rsidRPr="00E4517B">
              <w:rPr>
                <w:rFonts w:asciiTheme="majorHAnsi" w:eastAsia="Times New Roman" w:hAnsiTheme="majorHAnsi" w:cstheme="majorHAnsi"/>
                <w:bCs/>
                <w:i/>
                <w:sz w:val="14"/>
                <w:szCs w:val="14"/>
                <w:lang w:val="ro-RO" w:eastAsia="ru-RU"/>
              </w:rPr>
              <w:t>6</w:t>
            </w:r>
          </w:p>
        </w:tc>
        <w:tc>
          <w:tcPr>
            <w:tcW w:w="1089" w:type="dxa"/>
          </w:tcPr>
          <w:p w:rsidR="005B0934" w:rsidRPr="00E4517B" w:rsidRDefault="005B0934" w:rsidP="005B093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14"/>
                <w:szCs w:val="14"/>
                <w:lang w:val="ro-RO" w:eastAsia="ru-RU"/>
              </w:rPr>
            </w:pPr>
            <w:r w:rsidRPr="00E4517B">
              <w:rPr>
                <w:rFonts w:asciiTheme="majorHAnsi" w:eastAsia="Times New Roman" w:hAnsiTheme="majorHAnsi" w:cstheme="majorHAnsi"/>
                <w:bCs/>
                <w:i/>
                <w:sz w:val="14"/>
                <w:szCs w:val="14"/>
                <w:lang w:val="ro-RO" w:eastAsia="ru-RU"/>
              </w:rPr>
              <w:t>7=3-6</w:t>
            </w:r>
          </w:p>
        </w:tc>
        <w:tc>
          <w:tcPr>
            <w:tcW w:w="997" w:type="dxa"/>
          </w:tcPr>
          <w:p w:rsidR="005B0934" w:rsidRPr="00E4517B" w:rsidRDefault="005B0934" w:rsidP="005B0934">
            <w:pPr>
              <w:ind w:left="-104" w:right="-107"/>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14"/>
                <w:szCs w:val="14"/>
                <w:lang w:val="ro-RO" w:eastAsia="ru-RU"/>
              </w:rPr>
            </w:pPr>
            <w:r w:rsidRPr="00E4517B">
              <w:rPr>
                <w:rFonts w:asciiTheme="majorHAnsi" w:eastAsia="Times New Roman" w:hAnsiTheme="majorHAnsi" w:cstheme="majorHAnsi"/>
                <w:bCs/>
                <w:i/>
                <w:sz w:val="14"/>
                <w:szCs w:val="14"/>
                <w:lang w:val="ro-RO" w:eastAsia="ru-RU"/>
              </w:rPr>
              <w:t>8=3/6*100</w:t>
            </w:r>
          </w:p>
        </w:tc>
        <w:tc>
          <w:tcPr>
            <w:tcW w:w="1599" w:type="dxa"/>
          </w:tcPr>
          <w:p w:rsidR="005B0934" w:rsidRPr="00E4517B" w:rsidRDefault="005B0934" w:rsidP="005B0934">
            <w:pPr>
              <w:ind w:left="-102"/>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14"/>
                <w:szCs w:val="14"/>
                <w:lang w:val="ro-RO" w:eastAsia="ru-RU"/>
              </w:rPr>
            </w:pPr>
            <w:r w:rsidRPr="00E4517B">
              <w:rPr>
                <w:rFonts w:asciiTheme="majorHAnsi" w:eastAsia="Times New Roman" w:hAnsiTheme="majorHAnsi" w:cstheme="majorHAnsi"/>
                <w:bCs/>
                <w:i/>
                <w:sz w:val="14"/>
                <w:szCs w:val="14"/>
                <w:lang w:val="ro-RO" w:eastAsia="ru-RU"/>
              </w:rPr>
              <w:t>9=6/PIB*100</w:t>
            </w:r>
          </w:p>
        </w:tc>
        <w:tc>
          <w:tcPr>
            <w:tcW w:w="1418" w:type="dxa"/>
          </w:tcPr>
          <w:p w:rsidR="005B0934" w:rsidRPr="00E4517B" w:rsidRDefault="005B0934" w:rsidP="005B0934">
            <w:pPr>
              <w:ind w:left="-107" w:right="-15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14"/>
                <w:szCs w:val="14"/>
                <w:lang w:val="ro-RO" w:eastAsia="ru-RU"/>
              </w:rPr>
            </w:pPr>
            <w:r w:rsidRPr="00E4517B">
              <w:rPr>
                <w:rFonts w:asciiTheme="majorHAnsi" w:eastAsia="Times New Roman" w:hAnsiTheme="majorHAnsi" w:cstheme="majorHAnsi"/>
                <w:bCs/>
                <w:i/>
                <w:sz w:val="14"/>
                <w:szCs w:val="14"/>
                <w:lang w:val="ro-RO" w:eastAsia="ru-RU"/>
              </w:rPr>
              <w:t>10=3/PIB*100</w:t>
            </w:r>
          </w:p>
        </w:tc>
      </w:tr>
      <w:tr w:rsidR="005B0934" w:rsidRPr="00E4517B" w:rsidTr="00692C6E">
        <w:trPr>
          <w:trHeight w:val="256"/>
          <w:jc w:val="center"/>
        </w:trPr>
        <w:tc>
          <w:tcPr>
            <w:cnfStyle w:val="001000000000" w:firstRow="0" w:lastRow="0" w:firstColumn="1" w:lastColumn="0" w:oddVBand="0" w:evenVBand="0" w:oddHBand="0" w:evenHBand="0" w:firstRowFirstColumn="0" w:firstRowLastColumn="0" w:lastRowFirstColumn="0" w:lastRowLastColumn="0"/>
            <w:tcW w:w="12186" w:type="dxa"/>
            <w:gridSpan w:val="11"/>
          </w:tcPr>
          <w:p w:rsidR="005B0934" w:rsidRPr="00E4517B" w:rsidRDefault="005B0934" w:rsidP="005B0934">
            <w:pPr>
              <w:jc w:val="center"/>
              <w:rPr>
                <w:rFonts w:asciiTheme="majorHAnsi" w:eastAsia="Times New Roman" w:hAnsiTheme="majorHAnsi" w:cstheme="majorHAnsi"/>
                <w:sz w:val="24"/>
                <w:szCs w:val="24"/>
                <w:lang w:val="ro-RO" w:eastAsia="ru-RU"/>
              </w:rPr>
            </w:pPr>
            <w:r w:rsidRPr="00E4517B">
              <w:rPr>
                <w:rFonts w:asciiTheme="majorHAnsi" w:eastAsia="Times New Roman" w:hAnsiTheme="majorHAnsi" w:cstheme="majorHAnsi"/>
                <w:sz w:val="24"/>
                <w:szCs w:val="24"/>
                <w:lang w:val="ro-RO" w:eastAsia="ru-RU"/>
              </w:rPr>
              <w:t>Venituri</w:t>
            </w:r>
          </w:p>
        </w:tc>
      </w:tr>
      <w:tr w:rsidR="005B0934" w:rsidRPr="00E4517B" w:rsidTr="00692C6E">
        <w:trPr>
          <w:trHeight w:val="490"/>
          <w:jc w:val="center"/>
        </w:trPr>
        <w:tc>
          <w:tcPr>
            <w:cnfStyle w:val="001000000000" w:firstRow="0" w:lastRow="0" w:firstColumn="1" w:lastColumn="0" w:oddVBand="0" w:evenVBand="0" w:oddHBand="0" w:evenHBand="0" w:firstRowFirstColumn="0" w:firstRowLastColumn="0" w:lastRowFirstColumn="0" w:lastRowLastColumn="0"/>
            <w:tcW w:w="1980" w:type="dxa"/>
            <w:hideMark/>
          </w:tcPr>
          <w:p w:rsidR="005B0934" w:rsidRPr="00207634" w:rsidRDefault="005B0934" w:rsidP="005B0934">
            <w:pPr>
              <w:rPr>
                <w:rFonts w:asciiTheme="majorHAnsi" w:eastAsia="Times New Roman" w:hAnsiTheme="majorHAnsi" w:cstheme="majorHAnsi"/>
                <w:sz w:val="20"/>
                <w:szCs w:val="20"/>
                <w:lang w:val="ro-RO" w:eastAsia="ru-RU"/>
              </w:rPr>
            </w:pPr>
            <w:r w:rsidRPr="00E4517B">
              <w:rPr>
                <w:rFonts w:asciiTheme="majorHAnsi" w:eastAsia="Times New Roman" w:hAnsiTheme="majorHAnsi" w:cstheme="majorHAnsi"/>
                <w:sz w:val="20"/>
                <w:szCs w:val="20"/>
                <w:lang w:val="ro-RO" w:eastAsia="ru-RU"/>
              </w:rPr>
              <w:lastRenderedPageBreak/>
              <w:t xml:space="preserve">BPN, </w:t>
            </w:r>
            <w:r w:rsidRPr="00973E5B">
              <w:rPr>
                <w:rFonts w:asciiTheme="majorHAnsi" w:eastAsia="Times New Roman" w:hAnsiTheme="majorHAnsi" w:cstheme="majorHAnsi"/>
                <w:i/>
                <w:iCs/>
                <w:sz w:val="20"/>
                <w:szCs w:val="20"/>
                <w:lang w:val="ro-RO" w:eastAsia="ru-RU"/>
              </w:rPr>
              <w:t>inclusiv:</w:t>
            </w:r>
          </w:p>
        </w:tc>
        <w:tc>
          <w:tcPr>
            <w:tcW w:w="992" w:type="dxa"/>
            <w:vAlign w:val="center"/>
          </w:tcPr>
          <w:p w:rsidR="005B0934" w:rsidRPr="009131CF" w:rsidRDefault="005B0934" w:rsidP="005B0934">
            <w:pPr>
              <w:ind w:left="2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RO" w:eastAsia="ru-RU"/>
              </w:rPr>
            </w:pPr>
            <w:r w:rsidRPr="009131CF">
              <w:rPr>
                <w:rFonts w:asciiTheme="majorHAnsi" w:eastAsia="Times New Roman" w:hAnsiTheme="majorHAnsi" w:cstheme="majorHAnsi"/>
                <w:b/>
                <w:bCs/>
                <w:sz w:val="20"/>
                <w:szCs w:val="20"/>
                <w:lang w:val="ro-RO" w:eastAsia="ru-RU"/>
              </w:rPr>
              <w:t>61.227,1</w:t>
            </w:r>
          </w:p>
        </w:tc>
        <w:tc>
          <w:tcPr>
            <w:tcW w:w="993" w:type="dxa"/>
            <w:vAlign w:val="center"/>
          </w:tcPr>
          <w:p w:rsidR="005B0934" w:rsidRPr="00E4517B" w:rsidRDefault="005B0934" w:rsidP="005B0934">
            <w:pPr>
              <w:ind w:left="-10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RO" w:eastAsia="ru-RU"/>
              </w:rPr>
            </w:pPr>
            <w:r w:rsidRPr="00E4517B">
              <w:rPr>
                <w:rFonts w:asciiTheme="majorHAnsi" w:eastAsia="Times New Roman" w:hAnsiTheme="majorHAnsi" w:cstheme="majorHAnsi"/>
                <w:b/>
                <w:bCs/>
                <w:sz w:val="20"/>
                <w:szCs w:val="20"/>
                <w:lang w:val="ro-RO" w:eastAsia="ru-RU"/>
              </w:rPr>
              <w:t>62.650,0</w:t>
            </w:r>
          </w:p>
        </w:tc>
        <w:tc>
          <w:tcPr>
            <w:tcW w:w="1131" w:type="dxa"/>
            <w:vAlign w:val="center"/>
          </w:tcPr>
          <w:p w:rsidR="005B0934" w:rsidRPr="00E4517B" w:rsidRDefault="005B0934" w:rsidP="005B093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RO" w:eastAsia="ru-RU"/>
              </w:rPr>
            </w:pPr>
            <w:r w:rsidRPr="00E4517B">
              <w:rPr>
                <w:rFonts w:asciiTheme="majorHAnsi" w:eastAsia="Times New Roman" w:hAnsiTheme="majorHAnsi" w:cstheme="majorHAnsi"/>
                <w:b/>
                <w:bCs/>
                <w:sz w:val="20"/>
                <w:szCs w:val="20"/>
                <w:lang w:val="ro-RO" w:eastAsia="ru-RU"/>
              </w:rPr>
              <w:t>1.422,9</w:t>
            </w:r>
          </w:p>
        </w:tc>
        <w:tc>
          <w:tcPr>
            <w:tcW w:w="989" w:type="dxa"/>
            <w:vAlign w:val="center"/>
          </w:tcPr>
          <w:p w:rsidR="005B0934" w:rsidRPr="00E4517B" w:rsidRDefault="005B0934" w:rsidP="005B093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RO" w:eastAsia="ru-RU"/>
              </w:rPr>
            </w:pPr>
            <w:r w:rsidRPr="00E4517B">
              <w:rPr>
                <w:rFonts w:asciiTheme="majorHAnsi" w:eastAsia="Times New Roman" w:hAnsiTheme="majorHAnsi" w:cstheme="majorHAnsi"/>
                <w:b/>
                <w:bCs/>
                <w:sz w:val="20"/>
                <w:szCs w:val="20"/>
                <w:lang w:val="ro-RO" w:eastAsia="ru-RU"/>
              </w:rPr>
              <w:t>102,3%</w:t>
            </w:r>
          </w:p>
        </w:tc>
        <w:tc>
          <w:tcPr>
            <w:tcW w:w="998" w:type="dxa"/>
            <w:gridSpan w:val="2"/>
            <w:vAlign w:val="center"/>
          </w:tcPr>
          <w:p w:rsidR="005B0934" w:rsidRPr="00E4517B" w:rsidRDefault="005B0934" w:rsidP="005B0934">
            <w:pPr>
              <w:ind w:left="-10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RO" w:eastAsia="ru-RU"/>
              </w:rPr>
            </w:pPr>
            <w:r w:rsidRPr="00E4517B">
              <w:rPr>
                <w:rFonts w:asciiTheme="majorHAnsi" w:eastAsia="Times New Roman" w:hAnsiTheme="majorHAnsi" w:cstheme="majorHAnsi"/>
                <w:b/>
                <w:bCs/>
                <w:sz w:val="20"/>
                <w:szCs w:val="20"/>
                <w:lang w:val="ro-RO" w:eastAsia="ru-RU"/>
              </w:rPr>
              <w:t>62.949,2</w:t>
            </w:r>
          </w:p>
        </w:tc>
        <w:tc>
          <w:tcPr>
            <w:tcW w:w="1089" w:type="dxa"/>
            <w:vAlign w:val="center"/>
          </w:tcPr>
          <w:p w:rsidR="005B0934" w:rsidRPr="00E4517B" w:rsidRDefault="005B0934" w:rsidP="005B093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RO" w:eastAsia="ru-RU"/>
              </w:rPr>
            </w:pPr>
            <w:r w:rsidRPr="00E4517B">
              <w:rPr>
                <w:rFonts w:asciiTheme="majorHAnsi" w:eastAsia="Times New Roman" w:hAnsiTheme="majorHAnsi" w:cstheme="majorHAnsi"/>
                <w:b/>
                <w:bCs/>
                <w:sz w:val="20"/>
                <w:szCs w:val="20"/>
                <w:lang w:val="ro-RO" w:eastAsia="ru-RU"/>
              </w:rPr>
              <w:t>-299,2</w:t>
            </w:r>
          </w:p>
        </w:tc>
        <w:tc>
          <w:tcPr>
            <w:tcW w:w="997" w:type="dxa"/>
            <w:vAlign w:val="center"/>
          </w:tcPr>
          <w:p w:rsidR="005B0934" w:rsidRPr="00E4517B" w:rsidRDefault="005B0934" w:rsidP="005B093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RO" w:eastAsia="ru-RU"/>
              </w:rPr>
            </w:pPr>
            <w:r w:rsidRPr="00E4517B">
              <w:rPr>
                <w:rFonts w:asciiTheme="majorHAnsi" w:eastAsia="Times New Roman" w:hAnsiTheme="majorHAnsi" w:cstheme="majorHAnsi"/>
                <w:b/>
                <w:bCs/>
                <w:sz w:val="20"/>
                <w:szCs w:val="20"/>
                <w:lang w:val="ro-RO" w:eastAsia="ru-RU"/>
              </w:rPr>
              <w:t>99,5%</w:t>
            </w:r>
          </w:p>
        </w:tc>
        <w:tc>
          <w:tcPr>
            <w:tcW w:w="1599" w:type="dxa"/>
            <w:vAlign w:val="center"/>
          </w:tcPr>
          <w:p w:rsidR="005B0934" w:rsidRPr="00E4517B" w:rsidRDefault="005B0934" w:rsidP="005B093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RO" w:eastAsia="ru-RU"/>
              </w:rPr>
            </w:pPr>
            <w:r w:rsidRPr="00E4517B">
              <w:rPr>
                <w:rFonts w:asciiTheme="majorHAnsi" w:eastAsia="Times New Roman" w:hAnsiTheme="majorHAnsi" w:cstheme="majorHAnsi"/>
                <w:b/>
                <w:bCs/>
                <w:sz w:val="20"/>
                <w:szCs w:val="20"/>
                <w:lang w:val="ro-RO" w:eastAsia="ru-RU"/>
              </w:rPr>
              <w:t>29,9</w:t>
            </w:r>
          </w:p>
        </w:tc>
        <w:tc>
          <w:tcPr>
            <w:tcW w:w="1418" w:type="dxa"/>
            <w:vAlign w:val="center"/>
          </w:tcPr>
          <w:p w:rsidR="005B0934" w:rsidRPr="00E4517B" w:rsidRDefault="005B0934" w:rsidP="005B093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RO" w:eastAsia="ru-RU"/>
              </w:rPr>
            </w:pPr>
            <w:r w:rsidRPr="00E4517B">
              <w:rPr>
                <w:rFonts w:asciiTheme="majorHAnsi" w:eastAsia="Times New Roman" w:hAnsiTheme="majorHAnsi" w:cstheme="majorHAnsi"/>
                <w:b/>
                <w:bCs/>
                <w:sz w:val="20"/>
                <w:szCs w:val="20"/>
                <w:lang w:val="ro-RO" w:eastAsia="ru-RU"/>
              </w:rPr>
              <w:t>30,4</w:t>
            </w:r>
          </w:p>
        </w:tc>
      </w:tr>
      <w:tr w:rsidR="005B0934" w:rsidRPr="00E4517B" w:rsidTr="00692C6E">
        <w:trPr>
          <w:trHeight w:val="256"/>
          <w:jc w:val="center"/>
        </w:trPr>
        <w:tc>
          <w:tcPr>
            <w:cnfStyle w:val="001000000000" w:firstRow="0" w:lastRow="0" w:firstColumn="1" w:lastColumn="0" w:oddVBand="0" w:evenVBand="0" w:oddHBand="0" w:evenHBand="0" w:firstRowFirstColumn="0" w:firstRowLastColumn="0" w:lastRowFirstColumn="0" w:lastRowLastColumn="0"/>
            <w:tcW w:w="1980" w:type="dxa"/>
            <w:hideMark/>
          </w:tcPr>
          <w:p w:rsidR="005B0934" w:rsidRPr="00E4517B" w:rsidRDefault="005B0934" w:rsidP="005B0934">
            <w:pPr>
              <w:rPr>
                <w:rFonts w:asciiTheme="majorHAnsi" w:eastAsia="Times New Roman" w:hAnsiTheme="majorHAnsi" w:cstheme="majorHAnsi"/>
                <w:i/>
                <w:iCs/>
                <w:sz w:val="20"/>
                <w:szCs w:val="20"/>
                <w:lang w:val="ro-RO" w:eastAsia="ru-RU"/>
              </w:rPr>
            </w:pPr>
            <w:r w:rsidRPr="00E4517B">
              <w:rPr>
                <w:rFonts w:asciiTheme="majorHAnsi" w:eastAsia="Times New Roman" w:hAnsiTheme="majorHAnsi" w:cstheme="majorHAnsi"/>
                <w:i/>
                <w:iCs/>
                <w:sz w:val="20"/>
                <w:szCs w:val="20"/>
                <w:lang w:val="ro-RO" w:eastAsia="ru-RU"/>
              </w:rPr>
              <w:t>BS</w:t>
            </w:r>
          </w:p>
        </w:tc>
        <w:tc>
          <w:tcPr>
            <w:tcW w:w="992" w:type="dxa"/>
            <w:vAlign w:val="center"/>
          </w:tcPr>
          <w:p w:rsidR="005B0934" w:rsidRPr="00973E5B" w:rsidRDefault="005B0934" w:rsidP="005B0934">
            <w:pPr>
              <w:ind w:left="2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sidRPr="00973E5B">
              <w:rPr>
                <w:rFonts w:asciiTheme="majorHAnsi" w:eastAsia="Times New Roman" w:hAnsiTheme="majorHAnsi" w:cstheme="majorHAnsi"/>
                <w:iCs/>
                <w:sz w:val="20"/>
                <w:szCs w:val="20"/>
                <w:lang w:val="ro-RO" w:eastAsia="ru-RU"/>
              </w:rPr>
              <w:t>37.281,2</w:t>
            </w:r>
          </w:p>
        </w:tc>
        <w:tc>
          <w:tcPr>
            <w:tcW w:w="993" w:type="dxa"/>
            <w:vAlign w:val="center"/>
          </w:tcPr>
          <w:p w:rsidR="005B0934" w:rsidRPr="00F55BA6" w:rsidRDefault="005B0934" w:rsidP="005B0934">
            <w:pPr>
              <w:ind w:left="-10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sidRPr="00F55BA6">
              <w:rPr>
                <w:rFonts w:asciiTheme="majorHAnsi" w:eastAsia="Times New Roman" w:hAnsiTheme="majorHAnsi" w:cstheme="majorHAnsi"/>
                <w:iCs/>
                <w:sz w:val="20"/>
                <w:szCs w:val="20"/>
                <w:lang w:val="ro-RO" w:eastAsia="ru-RU"/>
              </w:rPr>
              <w:t>38.500,5</w:t>
            </w:r>
          </w:p>
        </w:tc>
        <w:tc>
          <w:tcPr>
            <w:tcW w:w="1131" w:type="dxa"/>
            <w:vAlign w:val="center"/>
          </w:tcPr>
          <w:p w:rsidR="005B0934" w:rsidRPr="00E4517B" w:rsidRDefault="005B0934" w:rsidP="005B093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sidRPr="00E4517B">
              <w:rPr>
                <w:rFonts w:asciiTheme="majorHAnsi" w:eastAsia="Times New Roman" w:hAnsiTheme="majorHAnsi" w:cstheme="majorHAnsi"/>
                <w:iCs/>
                <w:sz w:val="20"/>
                <w:szCs w:val="20"/>
                <w:lang w:val="ro-RO" w:eastAsia="ru-RU"/>
              </w:rPr>
              <w:t>1.219,3</w:t>
            </w:r>
          </w:p>
        </w:tc>
        <w:tc>
          <w:tcPr>
            <w:tcW w:w="989" w:type="dxa"/>
            <w:vAlign w:val="center"/>
          </w:tcPr>
          <w:p w:rsidR="005B0934" w:rsidRPr="00973E5B" w:rsidRDefault="005B0934" w:rsidP="005B093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sidRPr="00973E5B">
              <w:rPr>
                <w:rFonts w:asciiTheme="majorHAnsi" w:eastAsia="Times New Roman" w:hAnsiTheme="majorHAnsi" w:cstheme="majorHAnsi"/>
                <w:iCs/>
                <w:sz w:val="20"/>
                <w:szCs w:val="20"/>
                <w:lang w:val="ro-RO" w:eastAsia="ru-RU"/>
              </w:rPr>
              <w:t>103,3%</w:t>
            </w:r>
          </w:p>
        </w:tc>
        <w:tc>
          <w:tcPr>
            <w:tcW w:w="998" w:type="dxa"/>
            <w:gridSpan w:val="2"/>
            <w:vAlign w:val="center"/>
          </w:tcPr>
          <w:p w:rsidR="005B0934" w:rsidRPr="00F55BA6" w:rsidRDefault="005B0934" w:rsidP="005B0934">
            <w:pPr>
              <w:ind w:left="-10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sidRPr="00F55BA6">
              <w:rPr>
                <w:rFonts w:asciiTheme="majorHAnsi" w:eastAsia="Times New Roman" w:hAnsiTheme="majorHAnsi" w:cstheme="majorHAnsi"/>
                <w:iCs/>
                <w:sz w:val="20"/>
                <w:szCs w:val="20"/>
                <w:lang w:val="ro-RO" w:eastAsia="ru-RU"/>
              </w:rPr>
              <w:t>39.967,9</w:t>
            </w:r>
          </w:p>
        </w:tc>
        <w:tc>
          <w:tcPr>
            <w:tcW w:w="1089" w:type="dxa"/>
            <w:vAlign w:val="center"/>
          </w:tcPr>
          <w:p w:rsidR="005B0934" w:rsidRPr="00E4517B" w:rsidRDefault="005B0934" w:rsidP="005B093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sidRPr="00E4517B">
              <w:rPr>
                <w:rFonts w:asciiTheme="majorHAnsi" w:eastAsia="Times New Roman" w:hAnsiTheme="majorHAnsi" w:cstheme="majorHAnsi"/>
                <w:iCs/>
                <w:sz w:val="20"/>
                <w:szCs w:val="20"/>
                <w:lang w:val="ro-RO" w:eastAsia="ru-RU"/>
              </w:rPr>
              <w:t>-1467,4</w:t>
            </w:r>
          </w:p>
        </w:tc>
        <w:tc>
          <w:tcPr>
            <w:tcW w:w="997" w:type="dxa"/>
            <w:vAlign w:val="center"/>
          </w:tcPr>
          <w:p w:rsidR="005B0934" w:rsidRPr="00973E5B" w:rsidRDefault="005B0934" w:rsidP="005B093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sidRPr="00973E5B">
              <w:rPr>
                <w:rFonts w:asciiTheme="majorHAnsi" w:eastAsia="Times New Roman" w:hAnsiTheme="majorHAnsi" w:cstheme="majorHAnsi"/>
                <w:iCs/>
                <w:sz w:val="20"/>
                <w:szCs w:val="20"/>
                <w:lang w:val="ro-RO" w:eastAsia="ru-RU"/>
              </w:rPr>
              <w:t>96,3%</w:t>
            </w:r>
          </w:p>
        </w:tc>
        <w:tc>
          <w:tcPr>
            <w:tcW w:w="1599" w:type="dxa"/>
            <w:vAlign w:val="center"/>
          </w:tcPr>
          <w:p w:rsidR="005B0934" w:rsidRPr="009131CF" w:rsidRDefault="005B0934" w:rsidP="005B093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sidRPr="009131CF">
              <w:rPr>
                <w:rFonts w:asciiTheme="majorHAnsi" w:eastAsia="Times New Roman" w:hAnsiTheme="majorHAnsi" w:cstheme="majorHAnsi"/>
                <w:iCs/>
                <w:sz w:val="20"/>
                <w:szCs w:val="20"/>
                <w:lang w:val="ro-RO" w:eastAsia="ru-RU"/>
              </w:rPr>
              <w:t>19,0</w:t>
            </w:r>
          </w:p>
        </w:tc>
        <w:tc>
          <w:tcPr>
            <w:tcW w:w="1418" w:type="dxa"/>
            <w:vAlign w:val="center"/>
          </w:tcPr>
          <w:p w:rsidR="005B0934" w:rsidRPr="00E4517B" w:rsidRDefault="005B0934" w:rsidP="005B093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sidRPr="00E4517B">
              <w:rPr>
                <w:rFonts w:asciiTheme="majorHAnsi" w:eastAsia="Times New Roman" w:hAnsiTheme="majorHAnsi" w:cstheme="majorHAnsi"/>
                <w:iCs/>
                <w:sz w:val="20"/>
                <w:szCs w:val="20"/>
                <w:lang w:val="ro-RO" w:eastAsia="ru-RU"/>
              </w:rPr>
              <w:t>18,7</w:t>
            </w:r>
          </w:p>
        </w:tc>
      </w:tr>
      <w:tr w:rsidR="005B0934" w:rsidRPr="00E4517B" w:rsidTr="00692C6E">
        <w:trPr>
          <w:trHeight w:val="256"/>
          <w:jc w:val="center"/>
        </w:trPr>
        <w:tc>
          <w:tcPr>
            <w:cnfStyle w:val="001000000000" w:firstRow="0" w:lastRow="0" w:firstColumn="1" w:lastColumn="0" w:oddVBand="0" w:evenVBand="0" w:oddHBand="0" w:evenHBand="0" w:firstRowFirstColumn="0" w:firstRowLastColumn="0" w:lastRowFirstColumn="0" w:lastRowLastColumn="0"/>
            <w:tcW w:w="1980" w:type="dxa"/>
            <w:hideMark/>
          </w:tcPr>
          <w:p w:rsidR="005B0934" w:rsidRPr="00E4517B" w:rsidRDefault="005B0934" w:rsidP="005B0934">
            <w:pPr>
              <w:rPr>
                <w:rFonts w:asciiTheme="majorHAnsi" w:eastAsia="Times New Roman" w:hAnsiTheme="majorHAnsi" w:cstheme="majorHAnsi"/>
                <w:i/>
                <w:iCs/>
                <w:sz w:val="20"/>
                <w:szCs w:val="20"/>
                <w:lang w:val="ro-RO" w:eastAsia="ru-RU"/>
              </w:rPr>
            </w:pPr>
            <w:r w:rsidRPr="00E4517B">
              <w:rPr>
                <w:rFonts w:asciiTheme="majorHAnsi" w:eastAsia="Times New Roman" w:hAnsiTheme="majorHAnsi" w:cstheme="majorHAnsi"/>
                <w:i/>
                <w:iCs/>
                <w:sz w:val="20"/>
                <w:szCs w:val="20"/>
                <w:lang w:val="ro-RO" w:eastAsia="ru-RU"/>
              </w:rPr>
              <w:t>BASS</w:t>
            </w:r>
          </w:p>
        </w:tc>
        <w:tc>
          <w:tcPr>
            <w:tcW w:w="992" w:type="dxa"/>
            <w:vAlign w:val="center"/>
          </w:tcPr>
          <w:p w:rsidR="005B0934" w:rsidRPr="00973E5B" w:rsidRDefault="005B0934" w:rsidP="005B0934">
            <w:pPr>
              <w:ind w:left="2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sidRPr="00973E5B">
              <w:rPr>
                <w:rFonts w:asciiTheme="majorHAnsi" w:eastAsia="Times New Roman" w:hAnsiTheme="majorHAnsi" w:cstheme="majorHAnsi"/>
                <w:iCs/>
                <w:sz w:val="20"/>
                <w:szCs w:val="20"/>
                <w:lang w:val="ro-RO" w:eastAsia="ru-RU"/>
              </w:rPr>
              <w:t>24.572,1</w:t>
            </w:r>
          </w:p>
        </w:tc>
        <w:tc>
          <w:tcPr>
            <w:tcW w:w="993" w:type="dxa"/>
            <w:vAlign w:val="center"/>
          </w:tcPr>
          <w:p w:rsidR="005B0934" w:rsidRPr="009131CF" w:rsidRDefault="005B0934" w:rsidP="005B0934">
            <w:pPr>
              <w:ind w:left="-10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sidRPr="009131CF">
              <w:rPr>
                <w:rFonts w:asciiTheme="majorHAnsi" w:eastAsia="Times New Roman" w:hAnsiTheme="majorHAnsi" w:cstheme="majorHAnsi"/>
                <w:iCs/>
                <w:sz w:val="20"/>
                <w:szCs w:val="20"/>
                <w:lang w:val="ro-RO" w:eastAsia="ru-RU"/>
              </w:rPr>
              <w:t>24.285,6</w:t>
            </w:r>
          </w:p>
        </w:tc>
        <w:tc>
          <w:tcPr>
            <w:tcW w:w="1131" w:type="dxa"/>
            <w:vAlign w:val="center"/>
          </w:tcPr>
          <w:p w:rsidR="005B0934" w:rsidRPr="00E4517B" w:rsidRDefault="005B0934" w:rsidP="005B093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sidRPr="00E4517B">
              <w:rPr>
                <w:rFonts w:asciiTheme="majorHAnsi" w:eastAsia="Times New Roman" w:hAnsiTheme="majorHAnsi" w:cstheme="majorHAnsi"/>
                <w:iCs/>
                <w:sz w:val="20"/>
                <w:szCs w:val="20"/>
                <w:lang w:val="ro-RO" w:eastAsia="ru-RU"/>
              </w:rPr>
              <w:t>-286,5</w:t>
            </w:r>
          </w:p>
        </w:tc>
        <w:tc>
          <w:tcPr>
            <w:tcW w:w="989" w:type="dxa"/>
            <w:vAlign w:val="center"/>
          </w:tcPr>
          <w:p w:rsidR="005B0934" w:rsidRPr="00E4517B" w:rsidRDefault="005B0934" w:rsidP="005B093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sidRPr="00E4517B">
              <w:rPr>
                <w:rFonts w:asciiTheme="majorHAnsi" w:eastAsia="Times New Roman" w:hAnsiTheme="majorHAnsi" w:cstheme="majorHAnsi"/>
                <w:iCs/>
                <w:sz w:val="20"/>
                <w:szCs w:val="20"/>
                <w:lang w:val="ro-RO" w:eastAsia="ru-RU"/>
              </w:rPr>
              <w:t>98,8%</w:t>
            </w:r>
          </w:p>
        </w:tc>
        <w:tc>
          <w:tcPr>
            <w:tcW w:w="998" w:type="dxa"/>
            <w:gridSpan w:val="2"/>
            <w:vAlign w:val="center"/>
          </w:tcPr>
          <w:p w:rsidR="005B0934" w:rsidRPr="00E4517B" w:rsidRDefault="005B0934" w:rsidP="005B0934">
            <w:pPr>
              <w:ind w:left="-10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sidRPr="00E4517B">
              <w:rPr>
                <w:rFonts w:asciiTheme="majorHAnsi" w:eastAsia="Times New Roman" w:hAnsiTheme="majorHAnsi" w:cstheme="majorHAnsi"/>
                <w:iCs/>
                <w:sz w:val="20"/>
                <w:szCs w:val="20"/>
                <w:lang w:val="ro-RO" w:eastAsia="ru-RU"/>
              </w:rPr>
              <w:t>21.748,3</w:t>
            </w:r>
          </w:p>
        </w:tc>
        <w:tc>
          <w:tcPr>
            <w:tcW w:w="1089" w:type="dxa"/>
            <w:vAlign w:val="center"/>
          </w:tcPr>
          <w:p w:rsidR="005B0934" w:rsidRPr="00E4517B" w:rsidRDefault="005B0934" w:rsidP="005B093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sidRPr="00E4517B">
              <w:rPr>
                <w:rFonts w:asciiTheme="majorHAnsi" w:eastAsia="Times New Roman" w:hAnsiTheme="majorHAnsi" w:cstheme="majorHAnsi"/>
                <w:iCs/>
                <w:sz w:val="20"/>
                <w:szCs w:val="20"/>
                <w:lang w:val="ro-RO" w:eastAsia="ru-RU"/>
              </w:rPr>
              <w:t>2.537,3</w:t>
            </w:r>
          </w:p>
        </w:tc>
        <w:tc>
          <w:tcPr>
            <w:tcW w:w="997" w:type="dxa"/>
            <w:vAlign w:val="center"/>
          </w:tcPr>
          <w:p w:rsidR="005B0934" w:rsidRPr="00E4517B" w:rsidRDefault="005B0934" w:rsidP="005B093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sidRPr="00E4517B">
              <w:rPr>
                <w:rFonts w:asciiTheme="majorHAnsi" w:eastAsia="Times New Roman" w:hAnsiTheme="majorHAnsi" w:cstheme="majorHAnsi"/>
                <w:iCs/>
                <w:sz w:val="20"/>
                <w:szCs w:val="20"/>
                <w:lang w:val="ro-RO" w:eastAsia="ru-RU"/>
              </w:rPr>
              <w:t>111,7%</w:t>
            </w:r>
          </w:p>
        </w:tc>
        <w:tc>
          <w:tcPr>
            <w:tcW w:w="1599" w:type="dxa"/>
            <w:vAlign w:val="center"/>
          </w:tcPr>
          <w:p w:rsidR="005B0934" w:rsidRPr="00E4517B" w:rsidRDefault="005B0934" w:rsidP="005B093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sidRPr="00E4517B">
              <w:rPr>
                <w:rFonts w:asciiTheme="majorHAnsi" w:eastAsia="Times New Roman" w:hAnsiTheme="majorHAnsi" w:cstheme="majorHAnsi"/>
                <w:iCs/>
                <w:sz w:val="20"/>
                <w:szCs w:val="20"/>
                <w:lang w:val="ro-RO" w:eastAsia="ru-RU"/>
              </w:rPr>
              <w:t>10,3</w:t>
            </w:r>
          </w:p>
        </w:tc>
        <w:tc>
          <w:tcPr>
            <w:tcW w:w="1418" w:type="dxa"/>
            <w:vAlign w:val="center"/>
          </w:tcPr>
          <w:p w:rsidR="005B0934" w:rsidRPr="00E4517B" w:rsidRDefault="005B0934" w:rsidP="005B093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sidRPr="00E4517B">
              <w:rPr>
                <w:rFonts w:asciiTheme="majorHAnsi" w:eastAsia="Times New Roman" w:hAnsiTheme="majorHAnsi" w:cstheme="majorHAnsi"/>
                <w:iCs/>
                <w:sz w:val="20"/>
                <w:szCs w:val="20"/>
                <w:lang w:val="ro-RO" w:eastAsia="ru-RU"/>
              </w:rPr>
              <w:t>11,8</w:t>
            </w:r>
          </w:p>
        </w:tc>
      </w:tr>
      <w:tr w:rsidR="005B0934" w:rsidRPr="00E4517B" w:rsidTr="00692C6E">
        <w:trPr>
          <w:trHeight w:val="256"/>
          <w:jc w:val="center"/>
        </w:trPr>
        <w:tc>
          <w:tcPr>
            <w:cnfStyle w:val="001000000000" w:firstRow="0" w:lastRow="0" w:firstColumn="1" w:lastColumn="0" w:oddVBand="0" w:evenVBand="0" w:oddHBand="0" w:evenHBand="0" w:firstRowFirstColumn="0" w:firstRowLastColumn="0" w:lastRowFirstColumn="0" w:lastRowLastColumn="0"/>
            <w:tcW w:w="1980" w:type="dxa"/>
            <w:hideMark/>
          </w:tcPr>
          <w:p w:rsidR="005B0934" w:rsidRPr="00E4517B" w:rsidRDefault="005B0934" w:rsidP="005B0934">
            <w:pPr>
              <w:rPr>
                <w:rFonts w:asciiTheme="majorHAnsi" w:eastAsia="Times New Roman" w:hAnsiTheme="majorHAnsi" w:cstheme="majorHAnsi"/>
                <w:i/>
                <w:iCs/>
                <w:sz w:val="20"/>
                <w:szCs w:val="20"/>
                <w:lang w:val="ro-RO" w:eastAsia="ru-RU"/>
              </w:rPr>
            </w:pPr>
            <w:r w:rsidRPr="00E4517B">
              <w:rPr>
                <w:rFonts w:asciiTheme="majorHAnsi" w:eastAsia="Times New Roman" w:hAnsiTheme="majorHAnsi" w:cstheme="majorHAnsi"/>
                <w:i/>
                <w:iCs/>
                <w:sz w:val="20"/>
                <w:szCs w:val="20"/>
                <w:lang w:val="ro-RO" w:eastAsia="ru-RU"/>
              </w:rPr>
              <w:t>FAOAM</w:t>
            </w:r>
          </w:p>
        </w:tc>
        <w:tc>
          <w:tcPr>
            <w:tcW w:w="992" w:type="dxa"/>
            <w:vAlign w:val="center"/>
          </w:tcPr>
          <w:p w:rsidR="005B0934" w:rsidRPr="00973E5B" w:rsidRDefault="005B0934" w:rsidP="005B0934">
            <w:pPr>
              <w:ind w:left="2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sidRPr="00973E5B">
              <w:rPr>
                <w:rFonts w:asciiTheme="majorHAnsi" w:eastAsia="Times New Roman" w:hAnsiTheme="majorHAnsi" w:cstheme="majorHAnsi"/>
                <w:iCs/>
                <w:sz w:val="20"/>
                <w:szCs w:val="20"/>
                <w:lang w:val="ro-RO" w:eastAsia="ru-RU"/>
              </w:rPr>
              <w:t>8.500,8</w:t>
            </w:r>
          </w:p>
        </w:tc>
        <w:tc>
          <w:tcPr>
            <w:tcW w:w="993" w:type="dxa"/>
            <w:vAlign w:val="center"/>
          </w:tcPr>
          <w:p w:rsidR="005B0934" w:rsidRPr="009131CF" w:rsidRDefault="005B0934" w:rsidP="005B0934">
            <w:pPr>
              <w:ind w:left="-10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sidRPr="009131CF">
              <w:rPr>
                <w:rFonts w:asciiTheme="majorHAnsi" w:eastAsia="Times New Roman" w:hAnsiTheme="majorHAnsi" w:cstheme="majorHAnsi"/>
                <w:iCs/>
                <w:sz w:val="20"/>
                <w:szCs w:val="20"/>
                <w:lang w:val="ro-RO" w:eastAsia="ru-RU"/>
              </w:rPr>
              <w:t>8.542,5</w:t>
            </w:r>
          </w:p>
        </w:tc>
        <w:tc>
          <w:tcPr>
            <w:tcW w:w="1131" w:type="dxa"/>
            <w:vAlign w:val="center"/>
          </w:tcPr>
          <w:p w:rsidR="005B0934" w:rsidRPr="00E4517B" w:rsidRDefault="005B0934" w:rsidP="005B093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sidRPr="00E4517B">
              <w:rPr>
                <w:rFonts w:asciiTheme="majorHAnsi" w:eastAsia="Times New Roman" w:hAnsiTheme="majorHAnsi" w:cstheme="majorHAnsi"/>
                <w:iCs/>
                <w:sz w:val="20"/>
                <w:szCs w:val="20"/>
                <w:lang w:val="ro-RO" w:eastAsia="ru-RU"/>
              </w:rPr>
              <w:t>41,7</w:t>
            </w:r>
          </w:p>
        </w:tc>
        <w:tc>
          <w:tcPr>
            <w:tcW w:w="989" w:type="dxa"/>
            <w:vAlign w:val="center"/>
          </w:tcPr>
          <w:p w:rsidR="005B0934" w:rsidRPr="00E4517B" w:rsidRDefault="005B0934" w:rsidP="005B093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sidRPr="00E4517B">
              <w:rPr>
                <w:rFonts w:asciiTheme="majorHAnsi" w:eastAsia="Times New Roman" w:hAnsiTheme="majorHAnsi" w:cstheme="majorHAnsi"/>
                <w:iCs/>
                <w:sz w:val="20"/>
                <w:szCs w:val="20"/>
                <w:lang w:val="ro-RO" w:eastAsia="ru-RU"/>
              </w:rPr>
              <w:t>100,5%</w:t>
            </w:r>
          </w:p>
        </w:tc>
        <w:tc>
          <w:tcPr>
            <w:tcW w:w="998" w:type="dxa"/>
            <w:gridSpan w:val="2"/>
            <w:vAlign w:val="center"/>
          </w:tcPr>
          <w:p w:rsidR="005B0934" w:rsidRPr="00E4517B" w:rsidRDefault="005B0934" w:rsidP="005B0934">
            <w:pPr>
              <w:ind w:left="-10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sidRPr="00E4517B">
              <w:rPr>
                <w:rFonts w:asciiTheme="majorHAnsi" w:eastAsia="Times New Roman" w:hAnsiTheme="majorHAnsi" w:cstheme="majorHAnsi"/>
                <w:iCs/>
                <w:sz w:val="20"/>
                <w:szCs w:val="20"/>
                <w:lang w:val="ro-RO" w:eastAsia="ru-RU"/>
              </w:rPr>
              <w:t>7.636,3</w:t>
            </w:r>
          </w:p>
        </w:tc>
        <w:tc>
          <w:tcPr>
            <w:tcW w:w="1089" w:type="dxa"/>
            <w:vAlign w:val="center"/>
          </w:tcPr>
          <w:p w:rsidR="005B0934" w:rsidRPr="00E4517B" w:rsidRDefault="005B0934" w:rsidP="005B093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sidRPr="00E4517B">
              <w:rPr>
                <w:rFonts w:asciiTheme="majorHAnsi" w:eastAsia="Times New Roman" w:hAnsiTheme="majorHAnsi" w:cstheme="majorHAnsi"/>
                <w:iCs/>
                <w:sz w:val="20"/>
                <w:szCs w:val="20"/>
                <w:lang w:val="ro-RO" w:eastAsia="ru-RU"/>
              </w:rPr>
              <w:t>906,2</w:t>
            </w:r>
          </w:p>
        </w:tc>
        <w:tc>
          <w:tcPr>
            <w:tcW w:w="997" w:type="dxa"/>
            <w:vAlign w:val="center"/>
          </w:tcPr>
          <w:p w:rsidR="005B0934" w:rsidRPr="00E4517B" w:rsidRDefault="005B0934" w:rsidP="005B093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sidRPr="00E4517B">
              <w:rPr>
                <w:rFonts w:asciiTheme="majorHAnsi" w:eastAsia="Times New Roman" w:hAnsiTheme="majorHAnsi" w:cstheme="majorHAnsi"/>
                <w:iCs/>
                <w:sz w:val="20"/>
                <w:szCs w:val="20"/>
                <w:lang w:val="ro-RO" w:eastAsia="ru-RU"/>
              </w:rPr>
              <w:t>111,9%</w:t>
            </w:r>
          </w:p>
        </w:tc>
        <w:tc>
          <w:tcPr>
            <w:tcW w:w="1599" w:type="dxa"/>
            <w:vAlign w:val="center"/>
          </w:tcPr>
          <w:p w:rsidR="005B0934" w:rsidRPr="00E4517B" w:rsidRDefault="005B0934" w:rsidP="005B093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sidRPr="00E4517B">
              <w:rPr>
                <w:rFonts w:asciiTheme="majorHAnsi" w:eastAsia="Times New Roman" w:hAnsiTheme="majorHAnsi" w:cstheme="majorHAnsi"/>
                <w:iCs/>
                <w:sz w:val="20"/>
                <w:szCs w:val="20"/>
                <w:lang w:val="ro-RO" w:eastAsia="ru-RU"/>
              </w:rPr>
              <w:t>3,6</w:t>
            </w:r>
          </w:p>
        </w:tc>
        <w:tc>
          <w:tcPr>
            <w:tcW w:w="1418" w:type="dxa"/>
            <w:vAlign w:val="center"/>
          </w:tcPr>
          <w:p w:rsidR="005B0934" w:rsidRPr="00E4517B" w:rsidRDefault="005B0934" w:rsidP="005B093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sidRPr="00E4517B">
              <w:rPr>
                <w:rFonts w:asciiTheme="majorHAnsi" w:eastAsia="Times New Roman" w:hAnsiTheme="majorHAnsi" w:cstheme="majorHAnsi"/>
                <w:iCs/>
                <w:sz w:val="20"/>
                <w:szCs w:val="20"/>
                <w:lang w:val="ro-RO" w:eastAsia="ru-RU"/>
              </w:rPr>
              <w:t>4,1</w:t>
            </w:r>
          </w:p>
        </w:tc>
      </w:tr>
      <w:tr w:rsidR="005B0934" w:rsidRPr="00E4517B" w:rsidTr="00692C6E">
        <w:trPr>
          <w:trHeight w:val="256"/>
          <w:jc w:val="center"/>
        </w:trPr>
        <w:tc>
          <w:tcPr>
            <w:cnfStyle w:val="001000000000" w:firstRow="0" w:lastRow="0" w:firstColumn="1" w:lastColumn="0" w:oddVBand="0" w:evenVBand="0" w:oddHBand="0" w:evenHBand="0" w:firstRowFirstColumn="0" w:firstRowLastColumn="0" w:lastRowFirstColumn="0" w:lastRowLastColumn="0"/>
            <w:tcW w:w="1980" w:type="dxa"/>
            <w:hideMark/>
          </w:tcPr>
          <w:p w:rsidR="005B0934" w:rsidRPr="00E4517B" w:rsidRDefault="005B0934" w:rsidP="005B0934">
            <w:pPr>
              <w:rPr>
                <w:rFonts w:asciiTheme="majorHAnsi" w:eastAsia="Times New Roman" w:hAnsiTheme="majorHAnsi" w:cstheme="majorHAnsi"/>
                <w:i/>
                <w:iCs/>
                <w:sz w:val="20"/>
                <w:szCs w:val="20"/>
                <w:lang w:val="ro-RO" w:eastAsia="ru-RU"/>
              </w:rPr>
            </w:pPr>
            <w:r w:rsidRPr="00E4517B">
              <w:rPr>
                <w:rFonts w:asciiTheme="majorHAnsi" w:eastAsia="Times New Roman" w:hAnsiTheme="majorHAnsi" w:cstheme="majorHAnsi"/>
                <w:i/>
                <w:iCs/>
                <w:sz w:val="20"/>
                <w:szCs w:val="20"/>
                <w:lang w:val="ro-RO" w:eastAsia="ru-RU"/>
              </w:rPr>
              <w:t>BUAT</w:t>
            </w:r>
          </w:p>
        </w:tc>
        <w:tc>
          <w:tcPr>
            <w:tcW w:w="992" w:type="dxa"/>
            <w:vAlign w:val="center"/>
          </w:tcPr>
          <w:p w:rsidR="005B0934" w:rsidRPr="00973E5B" w:rsidRDefault="005B0934" w:rsidP="005B0934">
            <w:pPr>
              <w:ind w:left="2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sidRPr="00973E5B">
              <w:rPr>
                <w:rFonts w:asciiTheme="majorHAnsi" w:eastAsia="Times New Roman" w:hAnsiTheme="majorHAnsi" w:cstheme="majorHAnsi"/>
                <w:iCs/>
                <w:sz w:val="20"/>
                <w:szCs w:val="20"/>
                <w:lang w:val="ro-RO" w:eastAsia="ru-RU"/>
              </w:rPr>
              <w:t>18.837,3</w:t>
            </w:r>
          </w:p>
        </w:tc>
        <w:tc>
          <w:tcPr>
            <w:tcW w:w="993" w:type="dxa"/>
            <w:vAlign w:val="center"/>
          </w:tcPr>
          <w:p w:rsidR="005B0934" w:rsidRPr="009131CF" w:rsidRDefault="005B0934" w:rsidP="005B0934">
            <w:pPr>
              <w:ind w:left="-10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sidRPr="009131CF">
              <w:rPr>
                <w:rFonts w:asciiTheme="majorHAnsi" w:eastAsia="Times New Roman" w:hAnsiTheme="majorHAnsi" w:cstheme="majorHAnsi"/>
                <w:iCs/>
                <w:sz w:val="20"/>
                <w:szCs w:val="20"/>
                <w:lang w:val="ro-RO" w:eastAsia="ru-RU"/>
              </w:rPr>
              <w:t>18.264,3</w:t>
            </w:r>
          </w:p>
        </w:tc>
        <w:tc>
          <w:tcPr>
            <w:tcW w:w="1131" w:type="dxa"/>
            <w:vAlign w:val="center"/>
          </w:tcPr>
          <w:p w:rsidR="005B0934" w:rsidRPr="00E4517B" w:rsidRDefault="005B0934" w:rsidP="005B093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sidRPr="00E4517B">
              <w:rPr>
                <w:rFonts w:asciiTheme="majorHAnsi" w:eastAsia="Times New Roman" w:hAnsiTheme="majorHAnsi" w:cstheme="majorHAnsi"/>
                <w:iCs/>
                <w:sz w:val="20"/>
                <w:szCs w:val="20"/>
                <w:lang w:val="ro-RO" w:eastAsia="ru-RU"/>
              </w:rPr>
              <w:t>-573,0</w:t>
            </w:r>
          </w:p>
        </w:tc>
        <w:tc>
          <w:tcPr>
            <w:tcW w:w="989" w:type="dxa"/>
            <w:vAlign w:val="center"/>
          </w:tcPr>
          <w:p w:rsidR="005B0934" w:rsidRPr="00E4517B" w:rsidRDefault="005B0934" w:rsidP="005B093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sidRPr="00E4517B">
              <w:rPr>
                <w:rFonts w:asciiTheme="majorHAnsi" w:eastAsia="Times New Roman" w:hAnsiTheme="majorHAnsi" w:cstheme="majorHAnsi"/>
                <w:iCs/>
                <w:sz w:val="20"/>
                <w:szCs w:val="20"/>
                <w:lang w:val="ro-RO" w:eastAsia="ru-RU"/>
              </w:rPr>
              <w:t>97,0%</w:t>
            </w:r>
          </w:p>
        </w:tc>
        <w:tc>
          <w:tcPr>
            <w:tcW w:w="998" w:type="dxa"/>
            <w:gridSpan w:val="2"/>
            <w:vAlign w:val="center"/>
          </w:tcPr>
          <w:p w:rsidR="005B0934" w:rsidRPr="00E4517B" w:rsidRDefault="005B0934" w:rsidP="005B0934">
            <w:pPr>
              <w:ind w:left="-10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sidRPr="00E4517B">
              <w:rPr>
                <w:rFonts w:asciiTheme="majorHAnsi" w:eastAsia="Times New Roman" w:hAnsiTheme="majorHAnsi" w:cstheme="majorHAnsi"/>
                <w:iCs/>
                <w:sz w:val="20"/>
                <w:szCs w:val="20"/>
                <w:lang w:val="ro-RO" w:eastAsia="ru-RU"/>
              </w:rPr>
              <w:t>16.724,4</w:t>
            </w:r>
          </w:p>
        </w:tc>
        <w:tc>
          <w:tcPr>
            <w:tcW w:w="1089" w:type="dxa"/>
            <w:vAlign w:val="center"/>
          </w:tcPr>
          <w:p w:rsidR="005B0934" w:rsidRPr="00E4517B" w:rsidRDefault="005B0934" w:rsidP="005B093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sidRPr="00E4517B">
              <w:rPr>
                <w:rFonts w:asciiTheme="majorHAnsi" w:eastAsia="Times New Roman" w:hAnsiTheme="majorHAnsi" w:cstheme="majorHAnsi"/>
                <w:iCs/>
                <w:sz w:val="20"/>
                <w:szCs w:val="20"/>
                <w:lang w:val="ro-RO" w:eastAsia="ru-RU"/>
              </w:rPr>
              <w:t>1.539,9</w:t>
            </w:r>
          </w:p>
        </w:tc>
        <w:tc>
          <w:tcPr>
            <w:tcW w:w="997" w:type="dxa"/>
            <w:vAlign w:val="center"/>
          </w:tcPr>
          <w:p w:rsidR="005B0934" w:rsidRPr="00E4517B" w:rsidRDefault="005B0934" w:rsidP="005B093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sidRPr="00E4517B">
              <w:rPr>
                <w:rFonts w:asciiTheme="majorHAnsi" w:eastAsia="Times New Roman" w:hAnsiTheme="majorHAnsi" w:cstheme="majorHAnsi"/>
                <w:iCs/>
                <w:sz w:val="20"/>
                <w:szCs w:val="20"/>
                <w:lang w:val="ro-RO" w:eastAsia="ru-RU"/>
              </w:rPr>
              <w:t>109,2%</w:t>
            </w:r>
          </w:p>
        </w:tc>
        <w:tc>
          <w:tcPr>
            <w:tcW w:w="1599" w:type="dxa"/>
            <w:vAlign w:val="center"/>
          </w:tcPr>
          <w:p w:rsidR="005B0934" w:rsidRPr="00E4517B" w:rsidRDefault="005B0934" w:rsidP="005B093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sidRPr="00E4517B">
              <w:rPr>
                <w:rFonts w:asciiTheme="majorHAnsi" w:eastAsia="Times New Roman" w:hAnsiTheme="majorHAnsi" w:cstheme="majorHAnsi"/>
                <w:iCs/>
                <w:sz w:val="20"/>
                <w:szCs w:val="20"/>
                <w:lang w:val="ro-RO" w:eastAsia="ru-RU"/>
              </w:rPr>
              <w:t>7,9</w:t>
            </w:r>
          </w:p>
        </w:tc>
        <w:tc>
          <w:tcPr>
            <w:tcW w:w="1418" w:type="dxa"/>
            <w:vAlign w:val="center"/>
          </w:tcPr>
          <w:p w:rsidR="005B0934" w:rsidRPr="00E4517B" w:rsidRDefault="005B0934" w:rsidP="005B093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sidRPr="00E4517B">
              <w:rPr>
                <w:rFonts w:asciiTheme="majorHAnsi" w:eastAsia="Times New Roman" w:hAnsiTheme="majorHAnsi" w:cstheme="majorHAnsi"/>
                <w:iCs/>
                <w:sz w:val="20"/>
                <w:szCs w:val="20"/>
                <w:lang w:val="ro-RO" w:eastAsia="ru-RU"/>
              </w:rPr>
              <w:t>8,9</w:t>
            </w:r>
          </w:p>
        </w:tc>
      </w:tr>
      <w:tr w:rsidR="005B0934" w:rsidRPr="00E4517B" w:rsidTr="00692C6E">
        <w:trPr>
          <w:trHeight w:val="256"/>
          <w:jc w:val="center"/>
        </w:trPr>
        <w:tc>
          <w:tcPr>
            <w:cnfStyle w:val="001000000000" w:firstRow="0" w:lastRow="0" w:firstColumn="1" w:lastColumn="0" w:oddVBand="0" w:evenVBand="0" w:oddHBand="0" w:evenHBand="0" w:firstRowFirstColumn="0" w:firstRowLastColumn="0" w:lastRowFirstColumn="0" w:lastRowLastColumn="0"/>
            <w:tcW w:w="12186" w:type="dxa"/>
            <w:gridSpan w:val="11"/>
          </w:tcPr>
          <w:p w:rsidR="005B0934" w:rsidRPr="00973E5B" w:rsidRDefault="005B0934" w:rsidP="005B0934">
            <w:pPr>
              <w:jc w:val="center"/>
              <w:rPr>
                <w:rFonts w:asciiTheme="majorHAnsi" w:eastAsia="Times New Roman" w:hAnsiTheme="majorHAnsi" w:cstheme="majorHAnsi"/>
                <w:sz w:val="24"/>
                <w:szCs w:val="24"/>
                <w:lang w:val="ro-RO" w:eastAsia="ru-RU"/>
              </w:rPr>
            </w:pPr>
            <w:r w:rsidRPr="00E4517B">
              <w:rPr>
                <w:rFonts w:asciiTheme="majorHAnsi" w:eastAsia="Times New Roman" w:hAnsiTheme="majorHAnsi" w:cstheme="majorHAnsi"/>
                <w:sz w:val="24"/>
                <w:szCs w:val="24"/>
                <w:lang w:val="ro-RO" w:eastAsia="ru-RU"/>
              </w:rPr>
              <w:t>C</w:t>
            </w:r>
            <w:r w:rsidRPr="00973E5B">
              <w:rPr>
                <w:rFonts w:asciiTheme="majorHAnsi" w:eastAsia="Times New Roman" w:hAnsiTheme="majorHAnsi" w:cstheme="majorHAnsi"/>
                <w:sz w:val="24"/>
                <w:szCs w:val="24"/>
                <w:lang w:val="ro-RO" w:eastAsia="ru-RU"/>
              </w:rPr>
              <w:t>heltuieli</w:t>
            </w:r>
          </w:p>
        </w:tc>
      </w:tr>
      <w:tr w:rsidR="005B0934" w:rsidRPr="00E4517B" w:rsidTr="00692C6E">
        <w:trPr>
          <w:trHeight w:val="490"/>
          <w:jc w:val="center"/>
        </w:trPr>
        <w:tc>
          <w:tcPr>
            <w:cnfStyle w:val="001000000000" w:firstRow="0" w:lastRow="0" w:firstColumn="1" w:lastColumn="0" w:oddVBand="0" w:evenVBand="0" w:oddHBand="0" w:evenHBand="0" w:firstRowFirstColumn="0" w:firstRowLastColumn="0" w:lastRowFirstColumn="0" w:lastRowLastColumn="0"/>
            <w:tcW w:w="1980" w:type="dxa"/>
            <w:hideMark/>
          </w:tcPr>
          <w:p w:rsidR="005B0934" w:rsidRPr="00207634" w:rsidRDefault="005B0934" w:rsidP="005B0934">
            <w:pPr>
              <w:rPr>
                <w:rFonts w:asciiTheme="majorHAnsi" w:eastAsia="Times New Roman" w:hAnsiTheme="majorHAnsi" w:cstheme="majorHAnsi"/>
                <w:sz w:val="20"/>
                <w:szCs w:val="20"/>
                <w:lang w:val="ro-RO" w:eastAsia="ru-RU"/>
              </w:rPr>
            </w:pPr>
            <w:r w:rsidRPr="00E4517B">
              <w:rPr>
                <w:rFonts w:asciiTheme="majorHAnsi" w:eastAsia="Times New Roman" w:hAnsiTheme="majorHAnsi" w:cstheme="majorHAnsi"/>
                <w:sz w:val="20"/>
                <w:szCs w:val="20"/>
                <w:lang w:val="ro-RO" w:eastAsia="ru-RU"/>
              </w:rPr>
              <w:t xml:space="preserve">BPN, </w:t>
            </w:r>
            <w:r w:rsidRPr="00973E5B">
              <w:rPr>
                <w:rFonts w:asciiTheme="majorHAnsi" w:eastAsia="Times New Roman" w:hAnsiTheme="majorHAnsi" w:cstheme="majorHAnsi"/>
                <w:i/>
                <w:iCs/>
                <w:sz w:val="20"/>
                <w:szCs w:val="20"/>
                <w:lang w:val="ro-RO" w:eastAsia="ru-RU"/>
              </w:rPr>
              <w:t>inclusiv:</w:t>
            </w:r>
          </w:p>
        </w:tc>
        <w:tc>
          <w:tcPr>
            <w:tcW w:w="992" w:type="dxa"/>
            <w:vAlign w:val="center"/>
          </w:tcPr>
          <w:p w:rsidR="005B0934" w:rsidRPr="009131CF" w:rsidRDefault="005B0934" w:rsidP="005B0934">
            <w:pPr>
              <w:ind w:left="2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RO" w:eastAsia="ru-RU"/>
              </w:rPr>
            </w:pPr>
            <w:r w:rsidRPr="009131CF">
              <w:rPr>
                <w:rFonts w:asciiTheme="majorHAnsi" w:eastAsia="Times New Roman" w:hAnsiTheme="majorHAnsi" w:cstheme="majorHAnsi"/>
                <w:b/>
                <w:bCs/>
                <w:sz w:val="20"/>
                <w:szCs w:val="20"/>
                <w:lang w:val="ro-RO" w:eastAsia="ru-RU"/>
              </w:rPr>
              <w:t>78.750,1</w:t>
            </w:r>
          </w:p>
        </w:tc>
        <w:tc>
          <w:tcPr>
            <w:tcW w:w="993" w:type="dxa"/>
            <w:vAlign w:val="center"/>
          </w:tcPr>
          <w:p w:rsidR="005B0934" w:rsidRPr="00E4517B" w:rsidRDefault="005B0934" w:rsidP="005B0934">
            <w:pPr>
              <w:ind w:left="-10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RO" w:eastAsia="ru-RU"/>
              </w:rPr>
            </w:pPr>
            <w:r w:rsidRPr="00E4517B">
              <w:rPr>
                <w:rFonts w:asciiTheme="majorHAnsi" w:eastAsia="Times New Roman" w:hAnsiTheme="majorHAnsi" w:cstheme="majorHAnsi"/>
                <w:b/>
                <w:bCs/>
                <w:sz w:val="20"/>
                <w:szCs w:val="20"/>
                <w:lang w:val="ro-RO" w:eastAsia="ru-RU"/>
              </w:rPr>
              <w:t>73.269,8</w:t>
            </w:r>
          </w:p>
        </w:tc>
        <w:tc>
          <w:tcPr>
            <w:tcW w:w="1131" w:type="dxa"/>
            <w:vAlign w:val="center"/>
          </w:tcPr>
          <w:p w:rsidR="005B0934" w:rsidRPr="00E4517B" w:rsidRDefault="005B0934" w:rsidP="005B093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RO" w:eastAsia="ru-RU"/>
              </w:rPr>
            </w:pPr>
            <w:r w:rsidRPr="00E4517B">
              <w:rPr>
                <w:rFonts w:asciiTheme="majorHAnsi" w:eastAsia="Times New Roman" w:hAnsiTheme="majorHAnsi" w:cstheme="majorHAnsi"/>
                <w:b/>
                <w:bCs/>
                <w:sz w:val="20"/>
                <w:szCs w:val="20"/>
                <w:lang w:val="ro-RO" w:eastAsia="ru-RU"/>
              </w:rPr>
              <w:t>-5.480,3</w:t>
            </w:r>
          </w:p>
        </w:tc>
        <w:tc>
          <w:tcPr>
            <w:tcW w:w="989" w:type="dxa"/>
            <w:vAlign w:val="center"/>
          </w:tcPr>
          <w:p w:rsidR="005B0934" w:rsidRPr="00E4517B" w:rsidRDefault="005B0934" w:rsidP="005B093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RO" w:eastAsia="ru-RU"/>
              </w:rPr>
            </w:pPr>
            <w:r w:rsidRPr="00E4517B">
              <w:rPr>
                <w:rFonts w:asciiTheme="majorHAnsi" w:eastAsia="Times New Roman" w:hAnsiTheme="majorHAnsi" w:cstheme="majorHAnsi"/>
                <w:b/>
                <w:bCs/>
                <w:sz w:val="20"/>
                <w:szCs w:val="20"/>
                <w:lang w:val="ro-RO" w:eastAsia="ru-RU"/>
              </w:rPr>
              <w:t>93,0%</w:t>
            </w:r>
          </w:p>
        </w:tc>
        <w:tc>
          <w:tcPr>
            <w:tcW w:w="998" w:type="dxa"/>
            <w:gridSpan w:val="2"/>
            <w:vAlign w:val="center"/>
          </w:tcPr>
          <w:p w:rsidR="005B0934" w:rsidRPr="00E4517B" w:rsidRDefault="005B0934" w:rsidP="005B0934">
            <w:pPr>
              <w:ind w:left="-10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RO" w:eastAsia="ru-RU"/>
              </w:rPr>
            </w:pPr>
            <w:r w:rsidRPr="00E4517B">
              <w:rPr>
                <w:rFonts w:asciiTheme="majorHAnsi" w:eastAsia="Times New Roman" w:hAnsiTheme="majorHAnsi" w:cstheme="majorHAnsi"/>
                <w:b/>
                <w:bCs/>
                <w:sz w:val="20"/>
                <w:szCs w:val="20"/>
                <w:lang w:val="ro-RO" w:eastAsia="ru-RU"/>
              </w:rPr>
              <w:t>65.975,6</w:t>
            </w:r>
          </w:p>
        </w:tc>
        <w:tc>
          <w:tcPr>
            <w:tcW w:w="1089" w:type="dxa"/>
            <w:vAlign w:val="center"/>
          </w:tcPr>
          <w:p w:rsidR="005B0934" w:rsidRPr="00E4517B" w:rsidRDefault="005B0934" w:rsidP="005B093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RO" w:eastAsia="ru-RU"/>
              </w:rPr>
            </w:pPr>
            <w:r w:rsidRPr="00E4517B">
              <w:rPr>
                <w:rFonts w:asciiTheme="majorHAnsi" w:eastAsia="Times New Roman" w:hAnsiTheme="majorHAnsi" w:cstheme="majorHAnsi"/>
                <w:b/>
                <w:bCs/>
                <w:sz w:val="20"/>
                <w:szCs w:val="20"/>
                <w:lang w:val="ro-RO" w:eastAsia="ru-RU"/>
              </w:rPr>
              <w:t>7.294,2</w:t>
            </w:r>
          </w:p>
        </w:tc>
        <w:tc>
          <w:tcPr>
            <w:tcW w:w="997" w:type="dxa"/>
            <w:vAlign w:val="center"/>
          </w:tcPr>
          <w:p w:rsidR="005B0934" w:rsidRPr="00E4517B" w:rsidRDefault="005B0934" w:rsidP="005B093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RO" w:eastAsia="ru-RU"/>
              </w:rPr>
            </w:pPr>
            <w:r w:rsidRPr="00E4517B">
              <w:rPr>
                <w:rFonts w:asciiTheme="majorHAnsi" w:eastAsia="Times New Roman" w:hAnsiTheme="majorHAnsi" w:cstheme="majorHAnsi"/>
                <w:b/>
                <w:bCs/>
                <w:sz w:val="20"/>
                <w:szCs w:val="20"/>
                <w:lang w:val="ro-RO" w:eastAsia="ru-RU"/>
              </w:rPr>
              <w:t>111,1%</w:t>
            </w:r>
          </w:p>
        </w:tc>
        <w:tc>
          <w:tcPr>
            <w:tcW w:w="1599" w:type="dxa"/>
            <w:vAlign w:val="center"/>
          </w:tcPr>
          <w:p w:rsidR="005B0934" w:rsidRPr="00E4517B" w:rsidRDefault="005B0934" w:rsidP="005B093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RO" w:eastAsia="ru-RU"/>
              </w:rPr>
            </w:pPr>
            <w:r w:rsidRPr="00E4517B">
              <w:rPr>
                <w:rFonts w:asciiTheme="majorHAnsi" w:eastAsia="Times New Roman" w:hAnsiTheme="majorHAnsi" w:cstheme="majorHAnsi"/>
                <w:b/>
                <w:bCs/>
                <w:sz w:val="20"/>
                <w:szCs w:val="20"/>
                <w:lang w:val="ro-RO" w:eastAsia="ru-RU"/>
              </w:rPr>
              <w:t>31,4</w:t>
            </w:r>
          </w:p>
        </w:tc>
        <w:tc>
          <w:tcPr>
            <w:tcW w:w="1418" w:type="dxa"/>
            <w:vAlign w:val="center"/>
          </w:tcPr>
          <w:p w:rsidR="005B0934" w:rsidRPr="00E4517B" w:rsidRDefault="005B0934" w:rsidP="005B093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RO" w:eastAsia="ru-RU"/>
              </w:rPr>
            </w:pPr>
            <w:r w:rsidRPr="00E4517B">
              <w:rPr>
                <w:rFonts w:asciiTheme="majorHAnsi" w:eastAsia="Times New Roman" w:hAnsiTheme="majorHAnsi" w:cstheme="majorHAnsi"/>
                <w:b/>
                <w:bCs/>
                <w:sz w:val="20"/>
                <w:szCs w:val="20"/>
                <w:lang w:val="ro-RO" w:eastAsia="ru-RU"/>
              </w:rPr>
              <w:t>35,5</w:t>
            </w:r>
          </w:p>
        </w:tc>
      </w:tr>
      <w:tr w:rsidR="005B0934" w:rsidRPr="00E4517B" w:rsidTr="00692C6E">
        <w:trPr>
          <w:trHeight w:val="256"/>
          <w:jc w:val="center"/>
        </w:trPr>
        <w:tc>
          <w:tcPr>
            <w:cnfStyle w:val="001000000000" w:firstRow="0" w:lastRow="0" w:firstColumn="1" w:lastColumn="0" w:oddVBand="0" w:evenVBand="0" w:oddHBand="0" w:evenHBand="0" w:firstRowFirstColumn="0" w:firstRowLastColumn="0" w:lastRowFirstColumn="0" w:lastRowLastColumn="0"/>
            <w:tcW w:w="1980" w:type="dxa"/>
            <w:hideMark/>
          </w:tcPr>
          <w:p w:rsidR="005B0934" w:rsidRPr="00E4517B" w:rsidRDefault="005B0934" w:rsidP="005B0934">
            <w:pPr>
              <w:rPr>
                <w:rFonts w:asciiTheme="majorHAnsi" w:eastAsia="Times New Roman" w:hAnsiTheme="majorHAnsi" w:cstheme="majorHAnsi"/>
                <w:i/>
                <w:iCs/>
                <w:sz w:val="20"/>
                <w:szCs w:val="20"/>
                <w:lang w:val="ro-RO" w:eastAsia="ru-RU"/>
              </w:rPr>
            </w:pPr>
            <w:r w:rsidRPr="00E4517B">
              <w:rPr>
                <w:rFonts w:asciiTheme="majorHAnsi" w:eastAsia="Times New Roman" w:hAnsiTheme="majorHAnsi" w:cstheme="majorHAnsi"/>
                <w:i/>
                <w:iCs/>
                <w:sz w:val="20"/>
                <w:szCs w:val="20"/>
                <w:lang w:val="ro-RO" w:eastAsia="ru-RU"/>
              </w:rPr>
              <w:t>BS</w:t>
            </w:r>
          </w:p>
        </w:tc>
        <w:tc>
          <w:tcPr>
            <w:tcW w:w="992" w:type="dxa"/>
            <w:vAlign w:val="center"/>
          </w:tcPr>
          <w:p w:rsidR="005B0934" w:rsidRPr="00973E5B" w:rsidRDefault="005B0934" w:rsidP="005B0934">
            <w:pPr>
              <w:ind w:left="2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RO" w:eastAsia="ru-RU"/>
              </w:rPr>
            </w:pPr>
            <w:r w:rsidRPr="00973E5B">
              <w:rPr>
                <w:rFonts w:asciiTheme="majorHAnsi" w:eastAsia="Times New Roman" w:hAnsiTheme="majorHAnsi" w:cstheme="majorHAnsi"/>
                <w:bCs/>
                <w:sz w:val="20"/>
                <w:szCs w:val="20"/>
                <w:lang w:val="ro-RO" w:eastAsia="ru-RU"/>
              </w:rPr>
              <w:t>53.280,6</w:t>
            </w:r>
          </w:p>
        </w:tc>
        <w:tc>
          <w:tcPr>
            <w:tcW w:w="993" w:type="dxa"/>
            <w:vAlign w:val="center"/>
          </w:tcPr>
          <w:p w:rsidR="005B0934" w:rsidRPr="009131CF" w:rsidRDefault="005B0934" w:rsidP="005B0934">
            <w:pPr>
              <w:ind w:left="-10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sidRPr="009131CF">
              <w:rPr>
                <w:rFonts w:asciiTheme="majorHAnsi" w:eastAsia="Times New Roman" w:hAnsiTheme="majorHAnsi" w:cstheme="majorHAnsi"/>
                <w:iCs/>
                <w:sz w:val="20"/>
                <w:szCs w:val="20"/>
                <w:lang w:val="ro-RO" w:eastAsia="ru-RU"/>
              </w:rPr>
              <w:t>49.635,4</w:t>
            </w:r>
          </w:p>
        </w:tc>
        <w:tc>
          <w:tcPr>
            <w:tcW w:w="1131" w:type="dxa"/>
            <w:vAlign w:val="center"/>
          </w:tcPr>
          <w:p w:rsidR="005B0934" w:rsidRPr="00E4517B" w:rsidRDefault="005B0934" w:rsidP="005B093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sidRPr="00E4517B">
              <w:rPr>
                <w:rFonts w:asciiTheme="majorHAnsi" w:eastAsia="Times New Roman" w:hAnsiTheme="majorHAnsi" w:cstheme="majorHAnsi"/>
                <w:iCs/>
                <w:sz w:val="20"/>
                <w:szCs w:val="20"/>
                <w:lang w:val="ro-RO" w:eastAsia="ru-RU"/>
              </w:rPr>
              <w:t>-3.645,2</w:t>
            </w:r>
          </w:p>
        </w:tc>
        <w:tc>
          <w:tcPr>
            <w:tcW w:w="989" w:type="dxa"/>
            <w:vAlign w:val="center"/>
          </w:tcPr>
          <w:p w:rsidR="005B0934" w:rsidRPr="00E4517B" w:rsidRDefault="005B0934" w:rsidP="005B093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sidRPr="00E4517B">
              <w:rPr>
                <w:rFonts w:asciiTheme="majorHAnsi" w:eastAsia="Times New Roman" w:hAnsiTheme="majorHAnsi" w:cstheme="majorHAnsi"/>
                <w:iCs/>
                <w:sz w:val="20"/>
                <w:szCs w:val="20"/>
                <w:lang w:val="ro-RO" w:eastAsia="ru-RU"/>
              </w:rPr>
              <w:t>93,2%</w:t>
            </w:r>
          </w:p>
        </w:tc>
        <w:tc>
          <w:tcPr>
            <w:tcW w:w="998" w:type="dxa"/>
            <w:gridSpan w:val="2"/>
            <w:vAlign w:val="center"/>
          </w:tcPr>
          <w:p w:rsidR="005B0934" w:rsidRPr="00E4517B" w:rsidRDefault="005B0934" w:rsidP="005B0934">
            <w:pPr>
              <w:ind w:left="-10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sidRPr="00E4517B">
              <w:rPr>
                <w:rFonts w:asciiTheme="majorHAnsi" w:eastAsia="Times New Roman" w:hAnsiTheme="majorHAnsi" w:cstheme="majorHAnsi"/>
                <w:iCs/>
                <w:sz w:val="20"/>
                <w:szCs w:val="20"/>
                <w:lang w:val="ro-RO" w:eastAsia="ru-RU"/>
              </w:rPr>
              <w:t>43.073,9</w:t>
            </w:r>
          </w:p>
        </w:tc>
        <w:tc>
          <w:tcPr>
            <w:tcW w:w="1089" w:type="dxa"/>
            <w:vAlign w:val="center"/>
          </w:tcPr>
          <w:p w:rsidR="005B0934" w:rsidRPr="00E4517B" w:rsidRDefault="005B0934" w:rsidP="005B093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sidRPr="00E4517B">
              <w:rPr>
                <w:rFonts w:asciiTheme="majorHAnsi" w:eastAsia="Times New Roman" w:hAnsiTheme="majorHAnsi" w:cstheme="majorHAnsi"/>
                <w:iCs/>
                <w:sz w:val="20"/>
                <w:szCs w:val="20"/>
                <w:lang w:val="ro-RO" w:eastAsia="ru-RU"/>
              </w:rPr>
              <w:t>6.561,5</w:t>
            </w:r>
          </w:p>
        </w:tc>
        <w:tc>
          <w:tcPr>
            <w:tcW w:w="997" w:type="dxa"/>
            <w:vAlign w:val="center"/>
          </w:tcPr>
          <w:p w:rsidR="005B0934" w:rsidRPr="00E4517B" w:rsidRDefault="005B0934" w:rsidP="005B093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sidRPr="00E4517B">
              <w:rPr>
                <w:rFonts w:asciiTheme="majorHAnsi" w:eastAsia="Times New Roman" w:hAnsiTheme="majorHAnsi" w:cstheme="majorHAnsi"/>
                <w:iCs/>
                <w:sz w:val="20"/>
                <w:szCs w:val="20"/>
                <w:lang w:val="ro-RO" w:eastAsia="ru-RU"/>
              </w:rPr>
              <w:t>115,2%</w:t>
            </w:r>
          </w:p>
        </w:tc>
        <w:tc>
          <w:tcPr>
            <w:tcW w:w="1599" w:type="dxa"/>
            <w:vAlign w:val="center"/>
          </w:tcPr>
          <w:p w:rsidR="005B0934" w:rsidRPr="00E4517B" w:rsidRDefault="005B0934" w:rsidP="005B093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sidRPr="00E4517B">
              <w:rPr>
                <w:rFonts w:asciiTheme="majorHAnsi" w:eastAsia="Times New Roman" w:hAnsiTheme="majorHAnsi" w:cstheme="majorHAnsi"/>
                <w:iCs/>
                <w:sz w:val="20"/>
                <w:szCs w:val="20"/>
                <w:lang w:val="ro-RO" w:eastAsia="ru-RU"/>
              </w:rPr>
              <w:t>20,5</w:t>
            </w:r>
          </w:p>
        </w:tc>
        <w:tc>
          <w:tcPr>
            <w:tcW w:w="1418" w:type="dxa"/>
            <w:vAlign w:val="center"/>
          </w:tcPr>
          <w:p w:rsidR="005B0934" w:rsidRPr="00E4517B" w:rsidRDefault="005B0934" w:rsidP="005B093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sidRPr="00E4517B">
              <w:rPr>
                <w:rFonts w:asciiTheme="majorHAnsi" w:eastAsia="Times New Roman" w:hAnsiTheme="majorHAnsi" w:cstheme="majorHAnsi"/>
                <w:iCs/>
                <w:sz w:val="20"/>
                <w:szCs w:val="20"/>
                <w:lang w:val="ro-RO" w:eastAsia="ru-RU"/>
              </w:rPr>
              <w:t>24,1</w:t>
            </w:r>
          </w:p>
        </w:tc>
      </w:tr>
      <w:tr w:rsidR="005B0934" w:rsidRPr="00E4517B" w:rsidTr="00692C6E">
        <w:trPr>
          <w:trHeight w:val="256"/>
          <w:jc w:val="center"/>
        </w:trPr>
        <w:tc>
          <w:tcPr>
            <w:cnfStyle w:val="001000000000" w:firstRow="0" w:lastRow="0" w:firstColumn="1" w:lastColumn="0" w:oddVBand="0" w:evenVBand="0" w:oddHBand="0" w:evenHBand="0" w:firstRowFirstColumn="0" w:firstRowLastColumn="0" w:lastRowFirstColumn="0" w:lastRowLastColumn="0"/>
            <w:tcW w:w="1980" w:type="dxa"/>
            <w:hideMark/>
          </w:tcPr>
          <w:p w:rsidR="005B0934" w:rsidRPr="00E4517B" w:rsidRDefault="005B0934" w:rsidP="005B0934">
            <w:pPr>
              <w:rPr>
                <w:rFonts w:asciiTheme="majorHAnsi" w:eastAsia="Times New Roman" w:hAnsiTheme="majorHAnsi" w:cstheme="majorHAnsi"/>
                <w:i/>
                <w:iCs/>
                <w:sz w:val="20"/>
                <w:szCs w:val="20"/>
                <w:lang w:val="ro-RO" w:eastAsia="ru-RU"/>
              </w:rPr>
            </w:pPr>
            <w:r w:rsidRPr="00E4517B">
              <w:rPr>
                <w:rFonts w:asciiTheme="majorHAnsi" w:eastAsia="Times New Roman" w:hAnsiTheme="majorHAnsi" w:cstheme="majorHAnsi"/>
                <w:i/>
                <w:iCs/>
                <w:sz w:val="20"/>
                <w:szCs w:val="20"/>
                <w:lang w:val="ro-RO" w:eastAsia="ru-RU"/>
              </w:rPr>
              <w:t>BASS</w:t>
            </w:r>
          </w:p>
        </w:tc>
        <w:tc>
          <w:tcPr>
            <w:tcW w:w="992" w:type="dxa"/>
            <w:vAlign w:val="center"/>
          </w:tcPr>
          <w:p w:rsidR="005B0934" w:rsidRPr="00973E5B" w:rsidRDefault="005B0934" w:rsidP="005B0934">
            <w:pPr>
              <w:ind w:left="2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sidRPr="00973E5B">
              <w:rPr>
                <w:rFonts w:asciiTheme="majorHAnsi" w:eastAsia="Times New Roman" w:hAnsiTheme="majorHAnsi" w:cstheme="majorHAnsi"/>
                <w:iCs/>
                <w:sz w:val="20"/>
                <w:szCs w:val="20"/>
                <w:lang w:val="ro-RO" w:eastAsia="ru-RU"/>
              </w:rPr>
              <w:t>24.572,1</w:t>
            </w:r>
          </w:p>
        </w:tc>
        <w:tc>
          <w:tcPr>
            <w:tcW w:w="993" w:type="dxa"/>
            <w:vAlign w:val="center"/>
          </w:tcPr>
          <w:p w:rsidR="005B0934" w:rsidRPr="009131CF" w:rsidRDefault="005B0934" w:rsidP="005B0934">
            <w:pPr>
              <w:ind w:left="-10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sidRPr="009131CF">
              <w:rPr>
                <w:rFonts w:asciiTheme="majorHAnsi" w:eastAsia="Times New Roman" w:hAnsiTheme="majorHAnsi" w:cstheme="majorHAnsi"/>
                <w:iCs/>
                <w:sz w:val="20"/>
                <w:szCs w:val="20"/>
                <w:lang w:val="ro-RO" w:eastAsia="ru-RU"/>
              </w:rPr>
              <w:t>24.244,4</w:t>
            </w:r>
          </w:p>
        </w:tc>
        <w:tc>
          <w:tcPr>
            <w:tcW w:w="1131" w:type="dxa"/>
            <w:vAlign w:val="center"/>
          </w:tcPr>
          <w:p w:rsidR="005B0934" w:rsidRPr="00E4517B" w:rsidRDefault="005B0934" w:rsidP="005B093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sidRPr="00E4517B">
              <w:rPr>
                <w:rFonts w:asciiTheme="majorHAnsi" w:eastAsia="Times New Roman" w:hAnsiTheme="majorHAnsi" w:cstheme="majorHAnsi"/>
                <w:iCs/>
                <w:sz w:val="20"/>
                <w:szCs w:val="20"/>
                <w:lang w:val="ro-RO" w:eastAsia="ru-RU"/>
              </w:rPr>
              <w:t>-327,7</w:t>
            </w:r>
          </w:p>
        </w:tc>
        <w:tc>
          <w:tcPr>
            <w:tcW w:w="989" w:type="dxa"/>
            <w:vAlign w:val="center"/>
          </w:tcPr>
          <w:p w:rsidR="005B0934" w:rsidRPr="00E4517B" w:rsidRDefault="005B0934" w:rsidP="005B093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sidRPr="00E4517B">
              <w:rPr>
                <w:rFonts w:asciiTheme="majorHAnsi" w:eastAsia="Times New Roman" w:hAnsiTheme="majorHAnsi" w:cstheme="majorHAnsi"/>
                <w:iCs/>
                <w:sz w:val="20"/>
                <w:szCs w:val="20"/>
                <w:lang w:val="ro-RO" w:eastAsia="ru-RU"/>
              </w:rPr>
              <w:t>98,7%</w:t>
            </w:r>
          </w:p>
        </w:tc>
        <w:tc>
          <w:tcPr>
            <w:tcW w:w="998" w:type="dxa"/>
            <w:gridSpan w:val="2"/>
            <w:vAlign w:val="center"/>
          </w:tcPr>
          <w:p w:rsidR="005B0934" w:rsidRPr="00E4517B" w:rsidRDefault="005B0934" w:rsidP="005B0934">
            <w:pPr>
              <w:ind w:left="-10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sidRPr="00E4517B">
              <w:rPr>
                <w:rFonts w:asciiTheme="majorHAnsi" w:eastAsia="Times New Roman" w:hAnsiTheme="majorHAnsi" w:cstheme="majorHAnsi"/>
                <w:iCs/>
                <w:sz w:val="20"/>
                <w:szCs w:val="20"/>
                <w:lang w:val="ro-RO" w:eastAsia="ru-RU"/>
              </w:rPr>
              <w:t>21.602,3</w:t>
            </w:r>
          </w:p>
        </w:tc>
        <w:tc>
          <w:tcPr>
            <w:tcW w:w="1089" w:type="dxa"/>
            <w:vAlign w:val="center"/>
          </w:tcPr>
          <w:p w:rsidR="005B0934" w:rsidRPr="00E4517B" w:rsidRDefault="005B0934" w:rsidP="005B093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sidRPr="00E4517B">
              <w:rPr>
                <w:rFonts w:asciiTheme="majorHAnsi" w:eastAsia="Times New Roman" w:hAnsiTheme="majorHAnsi" w:cstheme="majorHAnsi"/>
                <w:iCs/>
                <w:sz w:val="20"/>
                <w:szCs w:val="20"/>
                <w:lang w:val="ro-RO" w:eastAsia="ru-RU"/>
              </w:rPr>
              <w:t>2.642,1</w:t>
            </w:r>
          </w:p>
        </w:tc>
        <w:tc>
          <w:tcPr>
            <w:tcW w:w="997" w:type="dxa"/>
            <w:vAlign w:val="center"/>
          </w:tcPr>
          <w:p w:rsidR="005B0934" w:rsidRPr="00E4517B" w:rsidRDefault="005B0934" w:rsidP="005B093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sidRPr="00E4517B">
              <w:rPr>
                <w:rFonts w:asciiTheme="majorHAnsi" w:eastAsia="Times New Roman" w:hAnsiTheme="majorHAnsi" w:cstheme="majorHAnsi"/>
                <w:iCs/>
                <w:sz w:val="20"/>
                <w:szCs w:val="20"/>
                <w:lang w:val="ro-RO" w:eastAsia="ru-RU"/>
              </w:rPr>
              <w:t>112,2%</w:t>
            </w:r>
          </w:p>
        </w:tc>
        <w:tc>
          <w:tcPr>
            <w:tcW w:w="1599" w:type="dxa"/>
            <w:vAlign w:val="center"/>
          </w:tcPr>
          <w:p w:rsidR="005B0934" w:rsidRPr="00E4517B" w:rsidRDefault="005B0934" w:rsidP="005B093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sidRPr="00E4517B">
              <w:rPr>
                <w:rFonts w:asciiTheme="majorHAnsi" w:eastAsia="Times New Roman" w:hAnsiTheme="majorHAnsi" w:cstheme="majorHAnsi"/>
                <w:iCs/>
                <w:sz w:val="20"/>
                <w:szCs w:val="20"/>
                <w:lang w:val="ro-RO" w:eastAsia="ru-RU"/>
              </w:rPr>
              <w:t>10,3</w:t>
            </w:r>
          </w:p>
        </w:tc>
        <w:tc>
          <w:tcPr>
            <w:tcW w:w="1418" w:type="dxa"/>
            <w:vAlign w:val="center"/>
          </w:tcPr>
          <w:p w:rsidR="005B0934" w:rsidRPr="00E4517B" w:rsidRDefault="005B0934" w:rsidP="005B093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sidRPr="00E4517B">
              <w:rPr>
                <w:rFonts w:asciiTheme="majorHAnsi" w:eastAsia="Times New Roman" w:hAnsiTheme="majorHAnsi" w:cstheme="majorHAnsi"/>
                <w:iCs/>
                <w:sz w:val="20"/>
                <w:szCs w:val="20"/>
                <w:lang w:val="ro-RO" w:eastAsia="ru-RU"/>
              </w:rPr>
              <w:t>11,7</w:t>
            </w:r>
          </w:p>
        </w:tc>
      </w:tr>
      <w:tr w:rsidR="005B0934" w:rsidRPr="00E4517B" w:rsidTr="00692C6E">
        <w:trPr>
          <w:trHeight w:val="256"/>
          <w:jc w:val="center"/>
        </w:trPr>
        <w:tc>
          <w:tcPr>
            <w:cnfStyle w:val="001000000000" w:firstRow="0" w:lastRow="0" w:firstColumn="1" w:lastColumn="0" w:oddVBand="0" w:evenVBand="0" w:oddHBand="0" w:evenHBand="0" w:firstRowFirstColumn="0" w:firstRowLastColumn="0" w:lastRowFirstColumn="0" w:lastRowLastColumn="0"/>
            <w:tcW w:w="1980" w:type="dxa"/>
            <w:hideMark/>
          </w:tcPr>
          <w:p w:rsidR="005B0934" w:rsidRPr="00E4517B" w:rsidRDefault="005B0934" w:rsidP="005B0934">
            <w:pPr>
              <w:rPr>
                <w:rFonts w:asciiTheme="majorHAnsi" w:eastAsia="Times New Roman" w:hAnsiTheme="majorHAnsi" w:cstheme="majorHAnsi"/>
                <w:i/>
                <w:iCs/>
                <w:sz w:val="20"/>
                <w:szCs w:val="20"/>
                <w:lang w:val="ro-RO" w:eastAsia="ru-RU"/>
              </w:rPr>
            </w:pPr>
            <w:r w:rsidRPr="00E4517B">
              <w:rPr>
                <w:rFonts w:asciiTheme="majorHAnsi" w:eastAsia="Times New Roman" w:hAnsiTheme="majorHAnsi" w:cstheme="majorHAnsi"/>
                <w:i/>
                <w:iCs/>
                <w:sz w:val="20"/>
                <w:szCs w:val="20"/>
                <w:lang w:val="ro-RO" w:eastAsia="ru-RU"/>
              </w:rPr>
              <w:t>FAOAM</w:t>
            </w:r>
          </w:p>
        </w:tc>
        <w:tc>
          <w:tcPr>
            <w:tcW w:w="992" w:type="dxa"/>
            <w:vAlign w:val="center"/>
          </w:tcPr>
          <w:p w:rsidR="005B0934" w:rsidRPr="00973E5B" w:rsidRDefault="005B0934" w:rsidP="005B0934">
            <w:pPr>
              <w:ind w:left="2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sidRPr="00973E5B">
              <w:rPr>
                <w:rFonts w:asciiTheme="majorHAnsi" w:eastAsia="Times New Roman" w:hAnsiTheme="majorHAnsi" w:cstheme="majorHAnsi"/>
                <w:iCs/>
                <w:sz w:val="20"/>
                <w:szCs w:val="20"/>
                <w:lang w:val="ro-RO" w:eastAsia="ru-RU"/>
              </w:rPr>
              <w:t>8.917,4</w:t>
            </w:r>
          </w:p>
        </w:tc>
        <w:tc>
          <w:tcPr>
            <w:tcW w:w="993" w:type="dxa"/>
            <w:vAlign w:val="center"/>
          </w:tcPr>
          <w:p w:rsidR="005B0934" w:rsidRPr="00E4517B" w:rsidRDefault="005B0934" w:rsidP="005B0934">
            <w:pPr>
              <w:ind w:left="-10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sidRPr="009131CF">
              <w:rPr>
                <w:rFonts w:asciiTheme="majorHAnsi" w:eastAsia="Times New Roman" w:hAnsiTheme="majorHAnsi" w:cstheme="majorHAnsi"/>
                <w:iCs/>
                <w:sz w:val="20"/>
                <w:szCs w:val="20"/>
                <w:lang w:val="ro-RO" w:eastAsia="ru-RU"/>
              </w:rPr>
              <w:t>8.405,</w:t>
            </w:r>
            <w:r w:rsidRPr="00E4517B">
              <w:rPr>
                <w:rFonts w:asciiTheme="majorHAnsi" w:eastAsia="Times New Roman" w:hAnsiTheme="majorHAnsi" w:cstheme="majorHAnsi"/>
                <w:iCs/>
                <w:sz w:val="20"/>
                <w:szCs w:val="20"/>
                <w:lang w:val="ro-RO" w:eastAsia="ru-RU"/>
              </w:rPr>
              <w:t>5</w:t>
            </w:r>
          </w:p>
        </w:tc>
        <w:tc>
          <w:tcPr>
            <w:tcW w:w="1131" w:type="dxa"/>
            <w:vAlign w:val="center"/>
          </w:tcPr>
          <w:p w:rsidR="005B0934" w:rsidRPr="00E4517B" w:rsidRDefault="005B0934" w:rsidP="005B093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sidRPr="00E4517B">
              <w:rPr>
                <w:rFonts w:asciiTheme="majorHAnsi" w:eastAsia="Times New Roman" w:hAnsiTheme="majorHAnsi" w:cstheme="majorHAnsi"/>
                <w:iCs/>
                <w:sz w:val="20"/>
                <w:szCs w:val="20"/>
                <w:lang w:val="ro-RO" w:eastAsia="ru-RU"/>
              </w:rPr>
              <w:t>-511,9</w:t>
            </w:r>
          </w:p>
        </w:tc>
        <w:tc>
          <w:tcPr>
            <w:tcW w:w="989" w:type="dxa"/>
            <w:vAlign w:val="center"/>
          </w:tcPr>
          <w:p w:rsidR="005B0934" w:rsidRPr="00E4517B" w:rsidRDefault="005B0934" w:rsidP="005B093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sidRPr="00E4517B">
              <w:rPr>
                <w:rFonts w:asciiTheme="majorHAnsi" w:eastAsia="Times New Roman" w:hAnsiTheme="majorHAnsi" w:cstheme="majorHAnsi"/>
                <w:iCs/>
                <w:sz w:val="20"/>
                <w:szCs w:val="20"/>
                <w:lang w:val="ro-RO" w:eastAsia="ru-RU"/>
              </w:rPr>
              <w:t>94,3%</w:t>
            </w:r>
          </w:p>
        </w:tc>
        <w:tc>
          <w:tcPr>
            <w:tcW w:w="998" w:type="dxa"/>
            <w:gridSpan w:val="2"/>
            <w:vAlign w:val="center"/>
          </w:tcPr>
          <w:p w:rsidR="005B0934" w:rsidRPr="00E4517B" w:rsidRDefault="005B0934" w:rsidP="005B0934">
            <w:pPr>
              <w:ind w:left="-10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sidRPr="00E4517B">
              <w:rPr>
                <w:rFonts w:asciiTheme="majorHAnsi" w:eastAsia="Times New Roman" w:hAnsiTheme="majorHAnsi" w:cstheme="majorHAnsi"/>
                <w:iCs/>
                <w:sz w:val="20"/>
                <w:szCs w:val="20"/>
                <w:lang w:val="ro-RO" w:eastAsia="ru-RU"/>
              </w:rPr>
              <w:t>7.489,6</w:t>
            </w:r>
          </w:p>
        </w:tc>
        <w:tc>
          <w:tcPr>
            <w:tcW w:w="1089" w:type="dxa"/>
            <w:vAlign w:val="center"/>
          </w:tcPr>
          <w:p w:rsidR="005B0934" w:rsidRPr="00E4517B" w:rsidRDefault="005B0934" w:rsidP="005B093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sidRPr="00E4517B">
              <w:rPr>
                <w:rFonts w:asciiTheme="majorHAnsi" w:eastAsia="Times New Roman" w:hAnsiTheme="majorHAnsi" w:cstheme="majorHAnsi"/>
                <w:iCs/>
                <w:sz w:val="20"/>
                <w:szCs w:val="20"/>
                <w:lang w:val="ro-RO" w:eastAsia="ru-RU"/>
              </w:rPr>
              <w:t>915,9</w:t>
            </w:r>
          </w:p>
        </w:tc>
        <w:tc>
          <w:tcPr>
            <w:tcW w:w="997" w:type="dxa"/>
            <w:vAlign w:val="center"/>
          </w:tcPr>
          <w:p w:rsidR="005B0934" w:rsidRPr="00E4517B" w:rsidRDefault="005B0934" w:rsidP="005B093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sidRPr="00E4517B">
              <w:rPr>
                <w:rFonts w:asciiTheme="majorHAnsi" w:eastAsia="Times New Roman" w:hAnsiTheme="majorHAnsi" w:cstheme="majorHAnsi"/>
                <w:iCs/>
                <w:sz w:val="20"/>
                <w:szCs w:val="20"/>
                <w:lang w:val="ro-RO" w:eastAsia="ru-RU"/>
              </w:rPr>
              <w:t>112,2%</w:t>
            </w:r>
          </w:p>
        </w:tc>
        <w:tc>
          <w:tcPr>
            <w:tcW w:w="1599" w:type="dxa"/>
            <w:vAlign w:val="center"/>
          </w:tcPr>
          <w:p w:rsidR="005B0934" w:rsidRPr="00E4517B" w:rsidRDefault="005B0934" w:rsidP="005B093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sidRPr="00E4517B">
              <w:rPr>
                <w:rFonts w:asciiTheme="majorHAnsi" w:eastAsia="Times New Roman" w:hAnsiTheme="majorHAnsi" w:cstheme="majorHAnsi"/>
                <w:iCs/>
                <w:sz w:val="20"/>
                <w:szCs w:val="20"/>
                <w:lang w:val="ro-RO" w:eastAsia="ru-RU"/>
              </w:rPr>
              <w:t>3,6</w:t>
            </w:r>
          </w:p>
        </w:tc>
        <w:tc>
          <w:tcPr>
            <w:tcW w:w="1418" w:type="dxa"/>
            <w:vAlign w:val="center"/>
          </w:tcPr>
          <w:p w:rsidR="005B0934" w:rsidRPr="00E4517B" w:rsidRDefault="005B0934" w:rsidP="005B093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sidRPr="00E4517B">
              <w:rPr>
                <w:rFonts w:asciiTheme="majorHAnsi" w:eastAsia="Times New Roman" w:hAnsiTheme="majorHAnsi" w:cstheme="majorHAnsi"/>
                <w:iCs/>
                <w:sz w:val="20"/>
                <w:szCs w:val="20"/>
                <w:lang w:val="ro-RO" w:eastAsia="ru-RU"/>
              </w:rPr>
              <w:t>4,1</w:t>
            </w:r>
          </w:p>
        </w:tc>
      </w:tr>
      <w:tr w:rsidR="005B0934" w:rsidRPr="00E4517B" w:rsidTr="00692C6E">
        <w:trPr>
          <w:trHeight w:val="256"/>
          <w:jc w:val="center"/>
        </w:trPr>
        <w:tc>
          <w:tcPr>
            <w:cnfStyle w:val="001000000000" w:firstRow="0" w:lastRow="0" w:firstColumn="1" w:lastColumn="0" w:oddVBand="0" w:evenVBand="0" w:oddHBand="0" w:evenHBand="0" w:firstRowFirstColumn="0" w:firstRowLastColumn="0" w:lastRowFirstColumn="0" w:lastRowLastColumn="0"/>
            <w:tcW w:w="1980" w:type="dxa"/>
            <w:hideMark/>
          </w:tcPr>
          <w:p w:rsidR="005B0934" w:rsidRPr="00E4517B" w:rsidRDefault="005B0934" w:rsidP="005B0934">
            <w:pPr>
              <w:rPr>
                <w:rFonts w:asciiTheme="majorHAnsi" w:eastAsia="Times New Roman" w:hAnsiTheme="majorHAnsi" w:cstheme="majorHAnsi"/>
                <w:i/>
                <w:iCs/>
                <w:sz w:val="20"/>
                <w:szCs w:val="20"/>
                <w:lang w:val="ro-RO" w:eastAsia="ru-RU"/>
              </w:rPr>
            </w:pPr>
            <w:r w:rsidRPr="00E4517B">
              <w:rPr>
                <w:rFonts w:asciiTheme="majorHAnsi" w:eastAsia="Times New Roman" w:hAnsiTheme="majorHAnsi" w:cstheme="majorHAnsi"/>
                <w:i/>
                <w:iCs/>
                <w:sz w:val="20"/>
                <w:szCs w:val="20"/>
                <w:lang w:val="ro-RO" w:eastAsia="ru-RU"/>
              </w:rPr>
              <w:t>BUAT</w:t>
            </w:r>
          </w:p>
        </w:tc>
        <w:tc>
          <w:tcPr>
            <w:tcW w:w="992" w:type="dxa"/>
            <w:vAlign w:val="center"/>
          </w:tcPr>
          <w:p w:rsidR="005B0934" w:rsidRPr="00973E5B" w:rsidRDefault="005B0934" w:rsidP="005B0934">
            <w:pPr>
              <w:ind w:left="2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sidRPr="00973E5B">
              <w:rPr>
                <w:rFonts w:asciiTheme="majorHAnsi" w:eastAsia="Times New Roman" w:hAnsiTheme="majorHAnsi" w:cstheme="majorHAnsi"/>
                <w:iCs/>
                <w:sz w:val="20"/>
                <w:szCs w:val="20"/>
                <w:lang w:val="ro-RO" w:eastAsia="ru-RU"/>
              </w:rPr>
              <w:t>19.944,3</w:t>
            </w:r>
          </w:p>
        </w:tc>
        <w:tc>
          <w:tcPr>
            <w:tcW w:w="993" w:type="dxa"/>
            <w:vAlign w:val="center"/>
          </w:tcPr>
          <w:p w:rsidR="005B0934" w:rsidRPr="009131CF" w:rsidRDefault="005B0934" w:rsidP="005B0934">
            <w:pPr>
              <w:ind w:left="-10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sidRPr="009131CF">
              <w:rPr>
                <w:rFonts w:asciiTheme="majorHAnsi" w:eastAsia="Times New Roman" w:hAnsiTheme="majorHAnsi" w:cstheme="majorHAnsi"/>
                <w:iCs/>
                <w:sz w:val="20"/>
                <w:szCs w:val="20"/>
                <w:lang w:val="ro-RO" w:eastAsia="ru-RU"/>
              </w:rPr>
              <w:t>17.927,4</w:t>
            </w:r>
          </w:p>
        </w:tc>
        <w:tc>
          <w:tcPr>
            <w:tcW w:w="1131" w:type="dxa"/>
            <w:vAlign w:val="center"/>
          </w:tcPr>
          <w:p w:rsidR="005B0934" w:rsidRPr="00E4517B" w:rsidRDefault="005B0934" w:rsidP="005B093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sidRPr="00E4517B">
              <w:rPr>
                <w:rFonts w:asciiTheme="majorHAnsi" w:eastAsia="Times New Roman" w:hAnsiTheme="majorHAnsi" w:cstheme="majorHAnsi"/>
                <w:iCs/>
                <w:sz w:val="20"/>
                <w:szCs w:val="20"/>
                <w:lang w:val="ro-RO" w:eastAsia="ru-RU"/>
              </w:rPr>
              <w:t>-2.016,9</w:t>
            </w:r>
          </w:p>
        </w:tc>
        <w:tc>
          <w:tcPr>
            <w:tcW w:w="989" w:type="dxa"/>
            <w:vAlign w:val="center"/>
          </w:tcPr>
          <w:p w:rsidR="005B0934" w:rsidRPr="00E4517B" w:rsidRDefault="005B0934" w:rsidP="005B093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sidRPr="00E4517B">
              <w:rPr>
                <w:rFonts w:asciiTheme="majorHAnsi" w:eastAsia="Times New Roman" w:hAnsiTheme="majorHAnsi" w:cstheme="majorHAnsi"/>
                <w:iCs/>
                <w:sz w:val="20"/>
                <w:szCs w:val="20"/>
                <w:lang w:val="ro-RO" w:eastAsia="ru-RU"/>
              </w:rPr>
              <w:t>89,9%</w:t>
            </w:r>
          </w:p>
        </w:tc>
        <w:tc>
          <w:tcPr>
            <w:tcW w:w="998" w:type="dxa"/>
            <w:gridSpan w:val="2"/>
            <w:vAlign w:val="center"/>
          </w:tcPr>
          <w:p w:rsidR="005B0934" w:rsidRPr="00E4517B" w:rsidRDefault="005B0934" w:rsidP="005B0934">
            <w:pPr>
              <w:ind w:left="-10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sidRPr="00E4517B">
              <w:rPr>
                <w:rFonts w:asciiTheme="majorHAnsi" w:eastAsia="Times New Roman" w:hAnsiTheme="majorHAnsi" w:cstheme="majorHAnsi"/>
                <w:iCs/>
                <w:sz w:val="20"/>
                <w:szCs w:val="20"/>
                <w:lang w:val="ro-RO" w:eastAsia="ru-RU"/>
              </w:rPr>
              <w:t>16.937,5</w:t>
            </w:r>
          </w:p>
        </w:tc>
        <w:tc>
          <w:tcPr>
            <w:tcW w:w="1089" w:type="dxa"/>
            <w:vAlign w:val="center"/>
          </w:tcPr>
          <w:p w:rsidR="005B0934" w:rsidRPr="00E4517B" w:rsidRDefault="005B0934" w:rsidP="005B093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sidRPr="00E4517B">
              <w:rPr>
                <w:rFonts w:asciiTheme="majorHAnsi" w:eastAsia="Times New Roman" w:hAnsiTheme="majorHAnsi" w:cstheme="majorHAnsi"/>
                <w:iCs/>
                <w:sz w:val="20"/>
                <w:szCs w:val="20"/>
                <w:lang w:val="ro-RO" w:eastAsia="ru-RU"/>
              </w:rPr>
              <w:t>989,9</w:t>
            </w:r>
          </w:p>
        </w:tc>
        <w:tc>
          <w:tcPr>
            <w:tcW w:w="997" w:type="dxa"/>
            <w:vAlign w:val="center"/>
          </w:tcPr>
          <w:p w:rsidR="005B0934" w:rsidRPr="00E4517B" w:rsidRDefault="005B0934" w:rsidP="005B093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sidRPr="00E4517B">
              <w:rPr>
                <w:rFonts w:asciiTheme="majorHAnsi" w:eastAsia="Times New Roman" w:hAnsiTheme="majorHAnsi" w:cstheme="majorHAnsi"/>
                <w:iCs/>
                <w:sz w:val="20"/>
                <w:szCs w:val="20"/>
                <w:lang w:val="ro-RO" w:eastAsia="ru-RU"/>
              </w:rPr>
              <w:t>105,8 %</w:t>
            </w:r>
          </w:p>
        </w:tc>
        <w:tc>
          <w:tcPr>
            <w:tcW w:w="1599" w:type="dxa"/>
            <w:vAlign w:val="center"/>
          </w:tcPr>
          <w:p w:rsidR="005B0934" w:rsidRPr="00E4517B" w:rsidRDefault="005B0934" w:rsidP="005B093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sidRPr="00E4517B">
              <w:rPr>
                <w:rFonts w:asciiTheme="majorHAnsi" w:eastAsia="Times New Roman" w:hAnsiTheme="majorHAnsi" w:cstheme="majorHAnsi"/>
                <w:iCs/>
                <w:sz w:val="20"/>
                <w:szCs w:val="20"/>
                <w:lang w:val="ro-RO" w:eastAsia="ru-RU"/>
              </w:rPr>
              <w:t>8,1</w:t>
            </w:r>
          </w:p>
        </w:tc>
        <w:tc>
          <w:tcPr>
            <w:tcW w:w="1418" w:type="dxa"/>
            <w:vAlign w:val="center"/>
          </w:tcPr>
          <w:p w:rsidR="005B0934" w:rsidRPr="00E4517B" w:rsidRDefault="005B0934" w:rsidP="005B093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sidRPr="00E4517B">
              <w:rPr>
                <w:rFonts w:asciiTheme="majorHAnsi" w:eastAsia="Times New Roman" w:hAnsiTheme="majorHAnsi" w:cstheme="majorHAnsi"/>
                <w:iCs/>
                <w:sz w:val="20"/>
                <w:szCs w:val="20"/>
                <w:lang w:val="ro-RO" w:eastAsia="ru-RU"/>
              </w:rPr>
              <w:t>8,7</w:t>
            </w:r>
          </w:p>
        </w:tc>
      </w:tr>
      <w:tr w:rsidR="005B0934" w:rsidRPr="00E4517B" w:rsidTr="00692C6E">
        <w:trPr>
          <w:trHeight w:val="256"/>
          <w:jc w:val="center"/>
        </w:trPr>
        <w:tc>
          <w:tcPr>
            <w:cnfStyle w:val="001000000000" w:firstRow="0" w:lastRow="0" w:firstColumn="1" w:lastColumn="0" w:oddVBand="0" w:evenVBand="0" w:oddHBand="0" w:evenHBand="0" w:firstRowFirstColumn="0" w:firstRowLastColumn="0" w:lastRowFirstColumn="0" w:lastRowLastColumn="0"/>
            <w:tcW w:w="12186" w:type="dxa"/>
            <w:gridSpan w:val="11"/>
          </w:tcPr>
          <w:p w:rsidR="005B0934" w:rsidRPr="00E4517B" w:rsidRDefault="005B0934" w:rsidP="005B0934">
            <w:pPr>
              <w:jc w:val="center"/>
              <w:rPr>
                <w:rFonts w:asciiTheme="majorHAnsi" w:eastAsia="Times New Roman" w:hAnsiTheme="majorHAnsi" w:cstheme="majorHAnsi"/>
                <w:sz w:val="24"/>
                <w:szCs w:val="24"/>
                <w:lang w:val="ro-RO" w:eastAsia="ru-RU"/>
              </w:rPr>
            </w:pPr>
            <w:r w:rsidRPr="00E4517B">
              <w:rPr>
                <w:rFonts w:asciiTheme="majorHAnsi" w:eastAsia="Times New Roman" w:hAnsiTheme="majorHAnsi" w:cstheme="majorHAnsi"/>
                <w:sz w:val="24"/>
                <w:szCs w:val="24"/>
                <w:lang w:val="ro-RO" w:eastAsia="ru-RU"/>
              </w:rPr>
              <w:t>Deficit (-) / Excedent (+)</w:t>
            </w:r>
          </w:p>
        </w:tc>
      </w:tr>
      <w:tr w:rsidR="005B0934" w:rsidRPr="00E4517B" w:rsidTr="00692C6E">
        <w:trPr>
          <w:trHeight w:val="490"/>
          <w:jc w:val="center"/>
        </w:trPr>
        <w:tc>
          <w:tcPr>
            <w:cnfStyle w:val="001000000000" w:firstRow="0" w:lastRow="0" w:firstColumn="1" w:lastColumn="0" w:oddVBand="0" w:evenVBand="0" w:oddHBand="0" w:evenHBand="0" w:firstRowFirstColumn="0" w:firstRowLastColumn="0" w:lastRowFirstColumn="0" w:lastRowLastColumn="0"/>
            <w:tcW w:w="1980" w:type="dxa"/>
            <w:hideMark/>
          </w:tcPr>
          <w:p w:rsidR="005B0934" w:rsidRPr="00207634" w:rsidRDefault="005B0934" w:rsidP="005B0934">
            <w:pPr>
              <w:rPr>
                <w:rFonts w:asciiTheme="majorHAnsi" w:eastAsia="Times New Roman" w:hAnsiTheme="majorHAnsi" w:cstheme="majorHAnsi"/>
                <w:sz w:val="20"/>
                <w:szCs w:val="20"/>
                <w:lang w:val="ro-RO" w:eastAsia="ru-RU"/>
              </w:rPr>
            </w:pPr>
            <w:r w:rsidRPr="00E4517B">
              <w:rPr>
                <w:rFonts w:asciiTheme="majorHAnsi" w:eastAsia="Times New Roman" w:hAnsiTheme="majorHAnsi" w:cstheme="majorHAnsi"/>
                <w:sz w:val="20"/>
                <w:szCs w:val="20"/>
                <w:lang w:val="ro-RO" w:eastAsia="ru-RU"/>
              </w:rPr>
              <w:t xml:space="preserve">BPN, </w:t>
            </w:r>
            <w:r w:rsidRPr="00973E5B">
              <w:rPr>
                <w:rFonts w:asciiTheme="majorHAnsi" w:eastAsia="Times New Roman" w:hAnsiTheme="majorHAnsi" w:cstheme="majorHAnsi"/>
                <w:i/>
                <w:iCs/>
                <w:sz w:val="20"/>
                <w:szCs w:val="20"/>
                <w:lang w:val="ro-RO" w:eastAsia="ru-RU"/>
              </w:rPr>
              <w:t>inclusiv:</w:t>
            </w:r>
          </w:p>
        </w:tc>
        <w:tc>
          <w:tcPr>
            <w:tcW w:w="992" w:type="dxa"/>
            <w:vAlign w:val="center"/>
          </w:tcPr>
          <w:p w:rsidR="005B0934" w:rsidRPr="009131CF" w:rsidRDefault="005B0934" w:rsidP="005B0934">
            <w:pPr>
              <w:ind w:left="-114" w:right="-112"/>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RO" w:eastAsia="ru-RU"/>
              </w:rPr>
            </w:pPr>
            <w:r w:rsidRPr="009131CF">
              <w:rPr>
                <w:rFonts w:asciiTheme="majorHAnsi" w:eastAsia="Times New Roman" w:hAnsiTheme="majorHAnsi" w:cstheme="majorHAnsi"/>
                <w:b/>
                <w:bCs/>
                <w:sz w:val="20"/>
                <w:szCs w:val="20"/>
                <w:lang w:val="ro-RO" w:eastAsia="ru-RU"/>
              </w:rPr>
              <w:t>(-17.523,0)</w:t>
            </w:r>
          </w:p>
        </w:tc>
        <w:tc>
          <w:tcPr>
            <w:tcW w:w="993" w:type="dxa"/>
            <w:vAlign w:val="center"/>
          </w:tcPr>
          <w:p w:rsidR="005B0934" w:rsidRPr="00E4517B" w:rsidRDefault="005B0934" w:rsidP="005B0934">
            <w:pPr>
              <w:ind w:left="-101" w:right="-114"/>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RO" w:eastAsia="ru-RU"/>
              </w:rPr>
            </w:pPr>
            <w:r w:rsidRPr="00E4517B">
              <w:rPr>
                <w:rFonts w:asciiTheme="majorHAnsi" w:eastAsia="Times New Roman" w:hAnsiTheme="majorHAnsi" w:cstheme="majorHAnsi"/>
                <w:b/>
                <w:bCs/>
                <w:sz w:val="20"/>
                <w:szCs w:val="20"/>
                <w:lang w:val="ro-RO" w:eastAsia="ru-RU"/>
              </w:rPr>
              <w:t>(-10.619,8)</w:t>
            </w:r>
          </w:p>
        </w:tc>
        <w:tc>
          <w:tcPr>
            <w:tcW w:w="1131" w:type="dxa"/>
            <w:vAlign w:val="center"/>
          </w:tcPr>
          <w:p w:rsidR="005B0934" w:rsidRPr="00E4517B" w:rsidRDefault="005B0934" w:rsidP="005B093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RO" w:eastAsia="ru-RU"/>
              </w:rPr>
            </w:pPr>
            <w:r w:rsidRPr="00E4517B">
              <w:rPr>
                <w:rFonts w:asciiTheme="majorHAnsi" w:eastAsia="Times New Roman" w:hAnsiTheme="majorHAnsi" w:cstheme="majorHAnsi"/>
                <w:b/>
                <w:bCs/>
                <w:sz w:val="20"/>
                <w:szCs w:val="20"/>
                <w:lang w:val="ro-RO" w:eastAsia="ru-RU"/>
              </w:rPr>
              <w:t>6.903,2</w:t>
            </w:r>
          </w:p>
        </w:tc>
        <w:tc>
          <w:tcPr>
            <w:tcW w:w="989" w:type="dxa"/>
            <w:vAlign w:val="center"/>
          </w:tcPr>
          <w:p w:rsidR="005B0934" w:rsidRPr="00E4517B" w:rsidRDefault="005B0934" w:rsidP="005B093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RO" w:eastAsia="ru-RU"/>
              </w:rPr>
            </w:pPr>
            <w:r w:rsidRPr="00E4517B">
              <w:rPr>
                <w:rFonts w:asciiTheme="majorHAnsi" w:eastAsia="Times New Roman" w:hAnsiTheme="majorHAnsi" w:cstheme="majorHAnsi"/>
                <w:b/>
                <w:bCs/>
                <w:sz w:val="20"/>
                <w:szCs w:val="20"/>
                <w:lang w:val="ro-RO" w:eastAsia="ru-RU"/>
              </w:rPr>
              <w:t>60,6%</w:t>
            </w:r>
          </w:p>
        </w:tc>
        <w:tc>
          <w:tcPr>
            <w:tcW w:w="998" w:type="dxa"/>
            <w:gridSpan w:val="2"/>
            <w:shd w:val="clear" w:color="auto" w:fill="auto"/>
            <w:vAlign w:val="center"/>
          </w:tcPr>
          <w:p w:rsidR="005B0934" w:rsidRPr="00E4517B" w:rsidRDefault="005B0934" w:rsidP="005B0934">
            <w:pPr>
              <w:ind w:left="-10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RO" w:eastAsia="ru-RU"/>
              </w:rPr>
            </w:pPr>
            <w:r w:rsidRPr="00E4517B">
              <w:rPr>
                <w:rFonts w:asciiTheme="majorHAnsi" w:eastAsia="Times New Roman" w:hAnsiTheme="majorHAnsi" w:cstheme="majorHAnsi"/>
                <w:b/>
                <w:bCs/>
                <w:sz w:val="20"/>
                <w:szCs w:val="20"/>
                <w:lang w:val="ro-RO" w:eastAsia="ru-RU"/>
              </w:rPr>
              <w:t>(-3.026,4)</w:t>
            </w:r>
          </w:p>
        </w:tc>
        <w:tc>
          <w:tcPr>
            <w:tcW w:w="1089" w:type="dxa"/>
            <w:vAlign w:val="center"/>
          </w:tcPr>
          <w:p w:rsidR="005B0934" w:rsidRPr="00E4517B" w:rsidRDefault="005B0934" w:rsidP="005B093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RO" w:eastAsia="ru-RU"/>
              </w:rPr>
            </w:pPr>
            <w:r w:rsidRPr="00E4517B">
              <w:rPr>
                <w:rFonts w:asciiTheme="majorHAnsi" w:eastAsia="Times New Roman" w:hAnsiTheme="majorHAnsi" w:cstheme="majorHAnsi"/>
                <w:b/>
                <w:bCs/>
                <w:sz w:val="20"/>
                <w:szCs w:val="20"/>
                <w:lang w:val="ro-RO" w:eastAsia="ru-RU"/>
              </w:rPr>
              <w:t>(-7.593,4)</w:t>
            </w:r>
          </w:p>
        </w:tc>
        <w:tc>
          <w:tcPr>
            <w:tcW w:w="997" w:type="dxa"/>
            <w:vAlign w:val="center"/>
          </w:tcPr>
          <w:p w:rsidR="005B0934" w:rsidRPr="00E4517B" w:rsidRDefault="005B0934" w:rsidP="005B093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RO" w:eastAsia="ru-RU"/>
              </w:rPr>
            </w:pPr>
            <w:r w:rsidRPr="00E4517B">
              <w:rPr>
                <w:rFonts w:asciiTheme="majorHAnsi" w:eastAsia="Times New Roman" w:hAnsiTheme="majorHAnsi" w:cstheme="majorHAnsi"/>
                <w:b/>
                <w:bCs/>
                <w:sz w:val="20"/>
                <w:szCs w:val="20"/>
                <w:lang w:val="ro-RO" w:eastAsia="ru-RU"/>
              </w:rPr>
              <w:t>350,9%</w:t>
            </w:r>
          </w:p>
        </w:tc>
        <w:tc>
          <w:tcPr>
            <w:tcW w:w="1599" w:type="dxa"/>
            <w:vAlign w:val="center"/>
          </w:tcPr>
          <w:p w:rsidR="005B0934" w:rsidRPr="00E4517B" w:rsidRDefault="005B0934" w:rsidP="005B093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RO" w:eastAsia="ru-RU"/>
              </w:rPr>
            </w:pPr>
            <w:r w:rsidRPr="00E4517B">
              <w:rPr>
                <w:rFonts w:asciiTheme="majorHAnsi" w:eastAsia="Times New Roman" w:hAnsiTheme="majorHAnsi" w:cstheme="majorHAnsi"/>
                <w:b/>
                <w:bCs/>
                <w:sz w:val="20"/>
                <w:szCs w:val="20"/>
                <w:lang w:val="ro-RO" w:eastAsia="ru-RU"/>
              </w:rPr>
              <w:t>-1,4</w:t>
            </w:r>
          </w:p>
        </w:tc>
        <w:tc>
          <w:tcPr>
            <w:tcW w:w="1418" w:type="dxa"/>
            <w:vAlign w:val="center"/>
          </w:tcPr>
          <w:p w:rsidR="005B0934" w:rsidRPr="00E4517B" w:rsidRDefault="005B0934" w:rsidP="005B093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RO" w:eastAsia="ru-RU"/>
              </w:rPr>
            </w:pPr>
            <w:r w:rsidRPr="00E4517B">
              <w:rPr>
                <w:rFonts w:asciiTheme="majorHAnsi" w:eastAsia="Times New Roman" w:hAnsiTheme="majorHAnsi" w:cstheme="majorHAnsi"/>
                <w:b/>
                <w:bCs/>
                <w:sz w:val="20"/>
                <w:szCs w:val="20"/>
                <w:lang w:val="ro-RO" w:eastAsia="ru-RU"/>
              </w:rPr>
              <w:t>-5,1</w:t>
            </w:r>
          </w:p>
        </w:tc>
      </w:tr>
      <w:tr w:rsidR="005B0934" w:rsidRPr="00E4517B" w:rsidTr="00692C6E">
        <w:trPr>
          <w:trHeight w:val="256"/>
          <w:jc w:val="center"/>
        </w:trPr>
        <w:tc>
          <w:tcPr>
            <w:cnfStyle w:val="001000000000" w:firstRow="0" w:lastRow="0" w:firstColumn="1" w:lastColumn="0" w:oddVBand="0" w:evenVBand="0" w:oddHBand="0" w:evenHBand="0" w:firstRowFirstColumn="0" w:firstRowLastColumn="0" w:lastRowFirstColumn="0" w:lastRowLastColumn="0"/>
            <w:tcW w:w="1980" w:type="dxa"/>
            <w:hideMark/>
          </w:tcPr>
          <w:p w:rsidR="005B0934" w:rsidRPr="00E4517B" w:rsidRDefault="005B0934" w:rsidP="005B0934">
            <w:pPr>
              <w:rPr>
                <w:rFonts w:asciiTheme="majorHAnsi" w:eastAsia="Times New Roman" w:hAnsiTheme="majorHAnsi" w:cstheme="majorHAnsi"/>
                <w:i/>
                <w:iCs/>
                <w:sz w:val="20"/>
                <w:szCs w:val="20"/>
                <w:lang w:val="ro-RO" w:eastAsia="ru-RU"/>
              </w:rPr>
            </w:pPr>
            <w:r w:rsidRPr="00E4517B">
              <w:rPr>
                <w:rFonts w:asciiTheme="majorHAnsi" w:eastAsia="Times New Roman" w:hAnsiTheme="majorHAnsi" w:cstheme="majorHAnsi"/>
                <w:i/>
                <w:iCs/>
                <w:sz w:val="20"/>
                <w:szCs w:val="20"/>
                <w:lang w:val="ro-RO" w:eastAsia="ru-RU"/>
              </w:rPr>
              <w:t>BS</w:t>
            </w:r>
          </w:p>
        </w:tc>
        <w:tc>
          <w:tcPr>
            <w:tcW w:w="992" w:type="dxa"/>
            <w:vAlign w:val="center"/>
          </w:tcPr>
          <w:p w:rsidR="005B0934" w:rsidRPr="00973E5B" w:rsidRDefault="005B0934" w:rsidP="005B0934">
            <w:pPr>
              <w:ind w:left="-114" w:right="-112"/>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sidRPr="00973E5B">
              <w:rPr>
                <w:rFonts w:asciiTheme="majorHAnsi" w:eastAsia="Times New Roman" w:hAnsiTheme="majorHAnsi" w:cstheme="majorHAnsi"/>
                <w:iCs/>
                <w:sz w:val="20"/>
                <w:szCs w:val="20"/>
                <w:lang w:val="ro-RO" w:eastAsia="ru-RU"/>
              </w:rPr>
              <w:t>(-15.999,4)</w:t>
            </w:r>
          </w:p>
        </w:tc>
        <w:tc>
          <w:tcPr>
            <w:tcW w:w="993" w:type="dxa"/>
            <w:vAlign w:val="center"/>
          </w:tcPr>
          <w:p w:rsidR="005B0934" w:rsidRPr="00E4517B" w:rsidRDefault="005B0934" w:rsidP="005B0934">
            <w:pPr>
              <w:ind w:left="-101" w:right="-114"/>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sidRPr="009131CF">
              <w:rPr>
                <w:rFonts w:asciiTheme="majorHAnsi" w:eastAsia="Times New Roman" w:hAnsiTheme="majorHAnsi" w:cstheme="majorHAnsi"/>
                <w:iCs/>
                <w:sz w:val="20"/>
                <w:szCs w:val="20"/>
                <w:lang w:val="ro-RO" w:eastAsia="ru-RU"/>
              </w:rPr>
              <w:t>(-11.</w:t>
            </w:r>
            <w:r w:rsidRPr="00E4517B">
              <w:rPr>
                <w:rFonts w:asciiTheme="majorHAnsi" w:eastAsia="Times New Roman" w:hAnsiTheme="majorHAnsi" w:cstheme="majorHAnsi"/>
                <w:iCs/>
                <w:sz w:val="20"/>
                <w:szCs w:val="20"/>
                <w:lang w:val="ro-RO" w:eastAsia="ru-RU"/>
              </w:rPr>
              <w:t>134,9)</w:t>
            </w:r>
          </w:p>
        </w:tc>
        <w:tc>
          <w:tcPr>
            <w:tcW w:w="1131" w:type="dxa"/>
            <w:vAlign w:val="center"/>
          </w:tcPr>
          <w:p w:rsidR="005B0934" w:rsidRPr="00E4517B" w:rsidRDefault="005B0934" w:rsidP="005B093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sidRPr="00E4517B">
              <w:rPr>
                <w:rFonts w:asciiTheme="majorHAnsi" w:eastAsia="Times New Roman" w:hAnsiTheme="majorHAnsi" w:cstheme="majorHAnsi"/>
                <w:iCs/>
                <w:sz w:val="20"/>
                <w:szCs w:val="20"/>
                <w:lang w:val="ro-RO" w:eastAsia="ru-RU"/>
              </w:rPr>
              <w:t>4.864,5</w:t>
            </w:r>
          </w:p>
        </w:tc>
        <w:tc>
          <w:tcPr>
            <w:tcW w:w="989" w:type="dxa"/>
            <w:vAlign w:val="center"/>
          </w:tcPr>
          <w:p w:rsidR="005B0934" w:rsidRPr="00E4517B" w:rsidRDefault="005B0934" w:rsidP="005B093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sidRPr="00E4517B">
              <w:rPr>
                <w:rFonts w:asciiTheme="majorHAnsi" w:eastAsia="Times New Roman" w:hAnsiTheme="majorHAnsi" w:cstheme="majorHAnsi"/>
                <w:iCs/>
                <w:sz w:val="20"/>
                <w:szCs w:val="20"/>
                <w:lang w:val="ro-RO" w:eastAsia="ru-RU"/>
              </w:rPr>
              <w:t>69,6%</w:t>
            </w:r>
          </w:p>
        </w:tc>
        <w:tc>
          <w:tcPr>
            <w:tcW w:w="998" w:type="dxa"/>
            <w:gridSpan w:val="2"/>
            <w:shd w:val="clear" w:color="auto" w:fill="auto"/>
            <w:vAlign w:val="center"/>
          </w:tcPr>
          <w:p w:rsidR="005B0934" w:rsidRPr="00E4517B" w:rsidRDefault="005B0934" w:rsidP="005B0934">
            <w:pPr>
              <w:ind w:left="-10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sidRPr="00E4517B">
              <w:rPr>
                <w:rFonts w:asciiTheme="majorHAnsi" w:eastAsia="Times New Roman" w:hAnsiTheme="majorHAnsi" w:cstheme="majorHAnsi"/>
                <w:iCs/>
                <w:sz w:val="20"/>
                <w:szCs w:val="20"/>
                <w:lang w:val="ro-RO" w:eastAsia="ru-RU"/>
              </w:rPr>
              <w:t>(-3.106,0)</w:t>
            </w:r>
          </w:p>
        </w:tc>
        <w:tc>
          <w:tcPr>
            <w:tcW w:w="1089" w:type="dxa"/>
            <w:vAlign w:val="center"/>
          </w:tcPr>
          <w:p w:rsidR="005B0934" w:rsidRPr="00E4517B" w:rsidRDefault="005B0934" w:rsidP="005B093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sidRPr="00E4517B">
              <w:rPr>
                <w:rFonts w:asciiTheme="majorHAnsi" w:eastAsia="Times New Roman" w:hAnsiTheme="majorHAnsi" w:cstheme="majorHAnsi"/>
                <w:iCs/>
                <w:sz w:val="20"/>
                <w:szCs w:val="20"/>
                <w:lang w:val="ro-RO" w:eastAsia="ru-RU"/>
              </w:rPr>
              <w:t>(-8.028,9)</w:t>
            </w:r>
          </w:p>
        </w:tc>
        <w:tc>
          <w:tcPr>
            <w:tcW w:w="997" w:type="dxa"/>
            <w:vAlign w:val="center"/>
          </w:tcPr>
          <w:p w:rsidR="005B0934" w:rsidRPr="00E4517B" w:rsidRDefault="00FA4727" w:rsidP="005B093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Pr>
                <w:rFonts w:asciiTheme="majorHAnsi" w:eastAsia="Times New Roman" w:hAnsiTheme="majorHAnsi" w:cstheme="majorHAnsi"/>
                <w:iCs/>
                <w:sz w:val="20"/>
                <w:szCs w:val="20"/>
                <w:lang w:val="ro-RO" w:eastAsia="ru-RU"/>
              </w:rPr>
              <w:t>358,5</w:t>
            </w:r>
            <w:r w:rsidR="005B0934" w:rsidRPr="00E4517B">
              <w:rPr>
                <w:rFonts w:asciiTheme="majorHAnsi" w:eastAsia="Times New Roman" w:hAnsiTheme="majorHAnsi" w:cstheme="majorHAnsi"/>
                <w:iCs/>
                <w:sz w:val="20"/>
                <w:szCs w:val="20"/>
                <w:lang w:val="ro-RO" w:eastAsia="ru-RU"/>
              </w:rPr>
              <w:t>%</w:t>
            </w:r>
          </w:p>
        </w:tc>
        <w:tc>
          <w:tcPr>
            <w:tcW w:w="1599" w:type="dxa"/>
            <w:vAlign w:val="center"/>
          </w:tcPr>
          <w:p w:rsidR="005B0934" w:rsidRPr="00E4517B" w:rsidRDefault="005B0934" w:rsidP="005B093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sidRPr="00E4517B">
              <w:rPr>
                <w:rFonts w:asciiTheme="majorHAnsi" w:eastAsia="Times New Roman" w:hAnsiTheme="majorHAnsi" w:cstheme="majorHAnsi"/>
                <w:iCs/>
                <w:sz w:val="20"/>
                <w:szCs w:val="20"/>
                <w:lang w:val="ro-RO" w:eastAsia="ru-RU"/>
              </w:rPr>
              <w:t>-1,5</w:t>
            </w:r>
          </w:p>
        </w:tc>
        <w:tc>
          <w:tcPr>
            <w:tcW w:w="1418" w:type="dxa"/>
            <w:vAlign w:val="center"/>
          </w:tcPr>
          <w:p w:rsidR="005B0934" w:rsidRPr="00E4517B" w:rsidRDefault="005B0934" w:rsidP="005B093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sidRPr="00E4517B">
              <w:rPr>
                <w:rFonts w:asciiTheme="majorHAnsi" w:eastAsia="Times New Roman" w:hAnsiTheme="majorHAnsi" w:cstheme="majorHAnsi"/>
                <w:iCs/>
                <w:sz w:val="20"/>
                <w:szCs w:val="20"/>
                <w:lang w:val="ro-RO" w:eastAsia="ru-RU"/>
              </w:rPr>
              <w:t>-5,4</w:t>
            </w:r>
          </w:p>
        </w:tc>
      </w:tr>
      <w:tr w:rsidR="005B0934" w:rsidRPr="00E4517B" w:rsidTr="00692C6E">
        <w:trPr>
          <w:trHeight w:val="256"/>
          <w:jc w:val="center"/>
        </w:trPr>
        <w:tc>
          <w:tcPr>
            <w:cnfStyle w:val="001000000000" w:firstRow="0" w:lastRow="0" w:firstColumn="1" w:lastColumn="0" w:oddVBand="0" w:evenVBand="0" w:oddHBand="0" w:evenHBand="0" w:firstRowFirstColumn="0" w:firstRowLastColumn="0" w:lastRowFirstColumn="0" w:lastRowLastColumn="0"/>
            <w:tcW w:w="1980" w:type="dxa"/>
            <w:hideMark/>
          </w:tcPr>
          <w:p w:rsidR="005B0934" w:rsidRPr="00E4517B" w:rsidRDefault="005B0934" w:rsidP="005B0934">
            <w:pPr>
              <w:rPr>
                <w:rFonts w:asciiTheme="majorHAnsi" w:eastAsia="Times New Roman" w:hAnsiTheme="majorHAnsi" w:cstheme="majorHAnsi"/>
                <w:i/>
                <w:iCs/>
                <w:sz w:val="20"/>
                <w:szCs w:val="20"/>
                <w:lang w:val="ro-RO" w:eastAsia="ru-RU"/>
              </w:rPr>
            </w:pPr>
            <w:r w:rsidRPr="00E4517B">
              <w:rPr>
                <w:rFonts w:asciiTheme="majorHAnsi" w:eastAsia="Times New Roman" w:hAnsiTheme="majorHAnsi" w:cstheme="majorHAnsi"/>
                <w:i/>
                <w:iCs/>
                <w:sz w:val="20"/>
                <w:szCs w:val="20"/>
                <w:lang w:val="ro-RO" w:eastAsia="ru-RU"/>
              </w:rPr>
              <w:t>BASS</w:t>
            </w:r>
          </w:p>
        </w:tc>
        <w:tc>
          <w:tcPr>
            <w:tcW w:w="992" w:type="dxa"/>
            <w:vAlign w:val="center"/>
          </w:tcPr>
          <w:p w:rsidR="005B0934" w:rsidRPr="00973E5B" w:rsidRDefault="005B0934" w:rsidP="005B0934">
            <w:pPr>
              <w:ind w:left="-39"/>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sidRPr="00973E5B">
              <w:rPr>
                <w:rFonts w:asciiTheme="majorHAnsi" w:eastAsia="Times New Roman" w:hAnsiTheme="majorHAnsi" w:cstheme="majorHAnsi"/>
                <w:iCs/>
                <w:sz w:val="20"/>
                <w:szCs w:val="20"/>
                <w:lang w:val="ro-RO" w:eastAsia="ru-RU"/>
              </w:rPr>
              <w:t>0,0</w:t>
            </w:r>
          </w:p>
        </w:tc>
        <w:tc>
          <w:tcPr>
            <w:tcW w:w="993" w:type="dxa"/>
            <w:vAlign w:val="center"/>
          </w:tcPr>
          <w:p w:rsidR="005B0934" w:rsidRPr="009131CF" w:rsidRDefault="005B0934" w:rsidP="005B0934">
            <w:pPr>
              <w:ind w:left="-10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sidRPr="009131CF">
              <w:rPr>
                <w:rFonts w:asciiTheme="majorHAnsi" w:eastAsia="Times New Roman" w:hAnsiTheme="majorHAnsi" w:cstheme="majorHAnsi"/>
                <w:iCs/>
                <w:sz w:val="20"/>
                <w:szCs w:val="20"/>
                <w:lang w:val="ro-RO" w:eastAsia="ru-RU"/>
              </w:rPr>
              <w:t>+41,2</w:t>
            </w:r>
          </w:p>
        </w:tc>
        <w:tc>
          <w:tcPr>
            <w:tcW w:w="1131" w:type="dxa"/>
            <w:vAlign w:val="center"/>
          </w:tcPr>
          <w:p w:rsidR="005B0934" w:rsidRPr="00E4517B" w:rsidRDefault="005B0934" w:rsidP="005B093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sidRPr="00E4517B">
              <w:rPr>
                <w:rFonts w:asciiTheme="majorHAnsi" w:eastAsia="Times New Roman" w:hAnsiTheme="majorHAnsi" w:cstheme="majorHAnsi"/>
                <w:iCs/>
                <w:sz w:val="20"/>
                <w:szCs w:val="20"/>
                <w:lang w:val="ro-RO" w:eastAsia="ru-RU"/>
              </w:rPr>
              <w:t>41,2</w:t>
            </w:r>
          </w:p>
        </w:tc>
        <w:tc>
          <w:tcPr>
            <w:tcW w:w="989" w:type="dxa"/>
            <w:vAlign w:val="center"/>
          </w:tcPr>
          <w:p w:rsidR="005B0934" w:rsidRPr="00E4517B" w:rsidRDefault="005B0934" w:rsidP="005B093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sidRPr="00E4517B">
              <w:rPr>
                <w:rFonts w:asciiTheme="majorHAnsi" w:eastAsia="Times New Roman" w:hAnsiTheme="majorHAnsi" w:cstheme="majorHAnsi"/>
                <w:iCs/>
                <w:sz w:val="20"/>
                <w:szCs w:val="20"/>
                <w:lang w:val="ro-RO" w:eastAsia="ru-RU"/>
              </w:rPr>
              <w:t>-</w:t>
            </w:r>
          </w:p>
        </w:tc>
        <w:tc>
          <w:tcPr>
            <w:tcW w:w="998" w:type="dxa"/>
            <w:gridSpan w:val="2"/>
            <w:shd w:val="clear" w:color="auto" w:fill="auto"/>
            <w:vAlign w:val="center"/>
          </w:tcPr>
          <w:p w:rsidR="005B0934" w:rsidRPr="00E4517B" w:rsidRDefault="005B0934" w:rsidP="005B0934">
            <w:pPr>
              <w:ind w:left="-10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sidRPr="00E4517B">
              <w:rPr>
                <w:rFonts w:asciiTheme="majorHAnsi" w:eastAsia="Times New Roman" w:hAnsiTheme="majorHAnsi" w:cstheme="majorHAnsi"/>
                <w:iCs/>
                <w:sz w:val="20"/>
                <w:szCs w:val="20"/>
                <w:lang w:val="ro-RO" w:eastAsia="ru-RU"/>
              </w:rPr>
              <w:t>+146,0</w:t>
            </w:r>
          </w:p>
        </w:tc>
        <w:tc>
          <w:tcPr>
            <w:tcW w:w="1089" w:type="dxa"/>
            <w:vAlign w:val="center"/>
          </w:tcPr>
          <w:p w:rsidR="005B0934" w:rsidRPr="00E4517B" w:rsidRDefault="005B0934" w:rsidP="005B093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sidRPr="00E4517B">
              <w:rPr>
                <w:rFonts w:asciiTheme="majorHAnsi" w:eastAsia="Times New Roman" w:hAnsiTheme="majorHAnsi" w:cstheme="majorHAnsi"/>
                <w:iCs/>
                <w:sz w:val="20"/>
                <w:szCs w:val="20"/>
                <w:lang w:val="ro-RO" w:eastAsia="ru-RU"/>
              </w:rPr>
              <w:t>(-104,8)</w:t>
            </w:r>
          </w:p>
        </w:tc>
        <w:tc>
          <w:tcPr>
            <w:tcW w:w="997" w:type="dxa"/>
            <w:vAlign w:val="center"/>
          </w:tcPr>
          <w:p w:rsidR="005B0934" w:rsidRPr="00E4517B" w:rsidRDefault="00FA4727" w:rsidP="005B093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Pr>
                <w:rFonts w:asciiTheme="majorHAnsi" w:eastAsia="Times New Roman" w:hAnsiTheme="majorHAnsi" w:cstheme="majorHAnsi"/>
                <w:iCs/>
                <w:sz w:val="20"/>
                <w:szCs w:val="20"/>
                <w:lang w:val="ro-RO" w:eastAsia="ru-RU"/>
              </w:rPr>
              <w:t>28,2</w:t>
            </w:r>
            <w:r w:rsidR="005B0934" w:rsidRPr="00E4517B">
              <w:rPr>
                <w:rFonts w:asciiTheme="majorHAnsi" w:eastAsia="Times New Roman" w:hAnsiTheme="majorHAnsi" w:cstheme="majorHAnsi"/>
                <w:iCs/>
                <w:sz w:val="20"/>
                <w:szCs w:val="20"/>
                <w:lang w:val="ro-RO" w:eastAsia="ru-RU"/>
              </w:rPr>
              <w:t>%</w:t>
            </w:r>
          </w:p>
        </w:tc>
        <w:tc>
          <w:tcPr>
            <w:tcW w:w="1599" w:type="dxa"/>
            <w:vAlign w:val="center"/>
          </w:tcPr>
          <w:p w:rsidR="005B0934" w:rsidRPr="00E4517B" w:rsidRDefault="005B0934" w:rsidP="005B093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sidRPr="00E4517B">
              <w:rPr>
                <w:rFonts w:asciiTheme="majorHAnsi" w:eastAsia="Times New Roman" w:hAnsiTheme="majorHAnsi" w:cstheme="majorHAnsi"/>
                <w:iCs/>
                <w:sz w:val="20"/>
                <w:szCs w:val="20"/>
                <w:lang w:val="ro-RO" w:eastAsia="ru-RU"/>
              </w:rPr>
              <w:t>0,1</w:t>
            </w:r>
          </w:p>
        </w:tc>
        <w:tc>
          <w:tcPr>
            <w:tcW w:w="1418" w:type="dxa"/>
            <w:vAlign w:val="center"/>
          </w:tcPr>
          <w:p w:rsidR="005B0934" w:rsidRPr="00E4517B" w:rsidRDefault="005B0934" w:rsidP="005B093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sidRPr="00E4517B">
              <w:rPr>
                <w:rFonts w:asciiTheme="majorHAnsi" w:eastAsia="Times New Roman" w:hAnsiTheme="majorHAnsi" w:cstheme="majorHAnsi"/>
                <w:iCs/>
                <w:sz w:val="20"/>
                <w:szCs w:val="20"/>
                <w:lang w:val="ro-RO" w:eastAsia="ru-RU"/>
              </w:rPr>
              <w:t>-</w:t>
            </w:r>
          </w:p>
        </w:tc>
      </w:tr>
      <w:tr w:rsidR="005B0934" w:rsidRPr="00E4517B" w:rsidTr="00692C6E">
        <w:trPr>
          <w:trHeight w:val="256"/>
          <w:jc w:val="center"/>
        </w:trPr>
        <w:tc>
          <w:tcPr>
            <w:cnfStyle w:val="001000000000" w:firstRow="0" w:lastRow="0" w:firstColumn="1" w:lastColumn="0" w:oddVBand="0" w:evenVBand="0" w:oddHBand="0" w:evenHBand="0" w:firstRowFirstColumn="0" w:firstRowLastColumn="0" w:lastRowFirstColumn="0" w:lastRowLastColumn="0"/>
            <w:tcW w:w="1980" w:type="dxa"/>
            <w:hideMark/>
          </w:tcPr>
          <w:p w:rsidR="005B0934" w:rsidRPr="00E4517B" w:rsidRDefault="005B0934" w:rsidP="005B0934">
            <w:pPr>
              <w:rPr>
                <w:rFonts w:asciiTheme="majorHAnsi" w:eastAsia="Times New Roman" w:hAnsiTheme="majorHAnsi" w:cstheme="majorHAnsi"/>
                <w:i/>
                <w:iCs/>
                <w:sz w:val="20"/>
                <w:szCs w:val="20"/>
                <w:lang w:val="ro-RO" w:eastAsia="ru-RU"/>
              </w:rPr>
            </w:pPr>
            <w:r w:rsidRPr="00E4517B">
              <w:rPr>
                <w:rFonts w:asciiTheme="majorHAnsi" w:eastAsia="Times New Roman" w:hAnsiTheme="majorHAnsi" w:cstheme="majorHAnsi"/>
                <w:i/>
                <w:iCs/>
                <w:sz w:val="20"/>
                <w:szCs w:val="20"/>
                <w:lang w:val="ro-RO" w:eastAsia="ru-RU"/>
              </w:rPr>
              <w:t>FAOAM</w:t>
            </w:r>
          </w:p>
        </w:tc>
        <w:tc>
          <w:tcPr>
            <w:tcW w:w="992" w:type="dxa"/>
            <w:vAlign w:val="center"/>
          </w:tcPr>
          <w:p w:rsidR="005B0934" w:rsidRPr="00973E5B" w:rsidRDefault="005B0934" w:rsidP="005B0934">
            <w:pPr>
              <w:ind w:left="-39"/>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sidRPr="00973E5B">
              <w:rPr>
                <w:rFonts w:asciiTheme="majorHAnsi" w:eastAsia="Times New Roman" w:hAnsiTheme="majorHAnsi" w:cstheme="majorHAnsi"/>
                <w:iCs/>
                <w:sz w:val="20"/>
                <w:szCs w:val="20"/>
                <w:lang w:val="ro-RO" w:eastAsia="ru-RU"/>
              </w:rPr>
              <w:t>(-416,6)</w:t>
            </w:r>
          </w:p>
        </w:tc>
        <w:tc>
          <w:tcPr>
            <w:tcW w:w="993" w:type="dxa"/>
            <w:vAlign w:val="center"/>
          </w:tcPr>
          <w:p w:rsidR="005B0934" w:rsidRPr="009131CF" w:rsidRDefault="005B0934" w:rsidP="005B0934">
            <w:pPr>
              <w:ind w:left="-10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sidRPr="009131CF">
              <w:rPr>
                <w:rFonts w:asciiTheme="majorHAnsi" w:eastAsia="Times New Roman" w:hAnsiTheme="majorHAnsi" w:cstheme="majorHAnsi"/>
                <w:iCs/>
                <w:sz w:val="20"/>
                <w:szCs w:val="20"/>
                <w:lang w:val="ro-RO" w:eastAsia="ru-RU"/>
              </w:rPr>
              <w:t>+137,0</w:t>
            </w:r>
          </w:p>
        </w:tc>
        <w:tc>
          <w:tcPr>
            <w:tcW w:w="1131" w:type="dxa"/>
            <w:vAlign w:val="center"/>
          </w:tcPr>
          <w:p w:rsidR="005B0934" w:rsidRPr="00E4517B" w:rsidRDefault="005B0934" w:rsidP="005B093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sidRPr="00E4517B">
              <w:rPr>
                <w:rFonts w:asciiTheme="majorHAnsi" w:eastAsia="Times New Roman" w:hAnsiTheme="majorHAnsi" w:cstheme="majorHAnsi"/>
                <w:iCs/>
                <w:sz w:val="20"/>
                <w:szCs w:val="20"/>
                <w:lang w:val="ro-RO" w:eastAsia="ru-RU"/>
              </w:rPr>
              <w:t>553,6</w:t>
            </w:r>
          </w:p>
        </w:tc>
        <w:tc>
          <w:tcPr>
            <w:tcW w:w="989" w:type="dxa"/>
            <w:vAlign w:val="center"/>
          </w:tcPr>
          <w:p w:rsidR="005B0934" w:rsidRPr="00E4517B" w:rsidRDefault="005B0934" w:rsidP="005B093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sidRPr="00E4517B">
              <w:rPr>
                <w:rFonts w:asciiTheme="majorHAnsi" w:eastAsia="Times New Roman" w:hAnsiTheme="majorHAnsi" w:cstheme="majorHAnsi"/>
                <w:iCs/>
                <w:sz w:val="20"/>
                <w:szCs w:val="20"/>
                <w:lang w:val="ro-RO" w:eastAsia="ru-RU"/>
              </w:rPr>
              <w:t>-</w:t>
            </w:r>
          </w:p>
        </w:tc>
        <w:tc>
          <w:tcPr>
            <w:tcW w:w="998" w:type="dxa"/>
            <w:gridSpan w:val="2"/>
            <w:shd w:val="clear" w:color="auto" w:fill="auto"/>
            <w:vAlign w:val="center"/>
          </w:tcPr>
          <w:p w:rsidR="005B0934" w:rsidRPr="00E4517B" w:rsidRDefault="005B0934" w:rsidP="005B0934">
            <w:pPr>
              <w:ind w:left="-10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sidRPr="00E4517B">
              <w:rPr>
                <w:rFonts w:asciiTheme="majorHAnsi" w:eastAsia="Times New Roman" w:hAnsiTheme="majorHAnsi" w:cstheme="majorHAnsi"/>
                <w:iCs/>
                <w:sz w:val="20"/>
                <w:szCs w:val="20"/>
                <w:lang w:val="ro-RO" w:eastAsia="ru-RU"/>
              </w:rPr>
              <w:t>+146,7</w:t>
            </w:r>
          </w:p>
        </w:tc>
        <w:tc>
          <w:tcPr>
            <w:tcW w:w="1089" w:type="dxa"/>
            <w:vAlign w:val="center"/>
          </w:tcPr>
          <w:p w:rsidR="005B0934" w:rsidRPr="00E4517B" w:rsidRDefault="005B0934" w:rsidP="005B093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sidRPr="00E4517B">
              <w:rPr>
                <w:rFonts w:asciiTheme="majorHAnsi" w:eastAsia="Times New Roman" w:hAnsiTheme="majorHAnsi" w:cstheme="majorHAnsi"/>
                <w:iCs/>
                <w:sz w:val="20"/>
                <w:szCs w:val="20"/>
                <w:lang w:val="ro-RO" w:eastAsia="ru-RU"/>
              </w:rPr>
              <w:t>(-9,7)</w:t>
            </w:r>
          </w:p>
        </w:tc>
        <w:tc>
          <w:tcPr>
            <w:tcW w:w="997" w:type="dxa"/>
            <w:vAlign w:val="center"/>
          </w:tcPr>
          <w:p w:rsidR="005B0934" w:rsidRPr="00E4517B" w:rsidRDefault="00FA4727" w:rsidP="005B093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Pr>
                <w:rFonts w:asciiTheme="majorHAnsi" w:eastAsia="Times New Roman" w:hAnsiTheme="majorHAnsi" w:cstheme="majorHAnsi"/>
                <w:iCs/>
                <w:sz w:val="20"/>
                <w:szCs w:val="20"/>
                <w:lang w:val="ro-RO" w:eastAsia="ru-RU"/>
              </w:rPr>
              <w:t>93,4</w:t>
            </w:r>
            <w:r w:rsidR="005B0934" w:rsidRPr="00E4517B">
              <w:rPr>
                <w:rFonts w:asciiTheme="majorHAnsi" w:eastAsia="Times New Roman" w:hAnsiTheme="majorHAnsi" w:cstheme="majorHAnsi"/>
                <w:iCs/>
                <w:sz w:val="20"/>
                <w:szCs w:val="20"/>
                <w:lang w:val="ro-RO" w:eastAsia="ru-RU"/>
              </w:rPr>
              <w:t>%</w:t>
            </w:r>
          </w:p>
        </w:tc>
        <w:tc>
          <w:tcPr>
            <w:tcW w:w="1599" w:type="dxa"/>
            <w:vAlign w:val="center"/>
          </w:tcPr>
          <w:p w:rsidR="005B0934" w:rsidRPr="00E4517B" w:rsidRDefault="005B0934" w:rsidP="005B093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sidRPr="00E4517B">
              <w:rPr>
                <w:rFonts w:asciiTheme="majorHAnsi" w:eastAsia="Times New Roman" w:hAnsiTheme="majorHAnsi" w:cstheme="majorHAnsi"/>
                <w:iCs/>
                <w:sz w:val="20"/>
                <w:szCs w:val="20"/>
                <w:lang w:val="ro-RO" w:eastAsia="ru-RU"/>
              </w:rPr>
              <w:t>0,1</w:t>
            </w:r>
          </w:p>
        </w:tc>
        <w:tc>
          <w:tcPr>
            <w:tcW w:w="1418" w:type="dxa"/>
            <w:vAlign w:val="center"/>
          </w:tcPr>
          <w:p w:rsidR="005B0934" w:rsidRPr="00E4517B" w:rsidRDefault="005B0934" w:rsidP="005B093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sidRPr="00E4517B">
              <w:rPr>
                <w:rFonts w:asciiTheme="majorHAnsi" w:eastAsia="Times New Roman" w:hAnsiTheme="majorHAnsi" w:cstheme="majorHAnsi"/>
                <w:iCs/>
                <w:sz w:val="20"/>
                <w:szCs w:val="20"/>
                <w:lang w:val="ro-RO" w:eastAsia="ru-RU"/>
              </w:rPr>
              <w:t>0,1</w:t>
            </w:r>
          </w:p>
        </w:tc>
      </w:tr>
      <w:tr w:rsidR="005B0934" w:rsidRPr="00E4517B" w:rsidTr="00692C6E">
        <w:trPr>
          <w:trHeight w:val="256"/>
          <w:jc w:val="center"/>
        </w:trPr>
        <w:tc>
          <w:tcPr>
            <w:cnfStyle w:val="001000000000" w:firstRow="0" w:lastRow="0" w:firstColumn="1" w:lastColumn="0" w:oddVBand="0" w:evenVBand="0" w:oddHBand="0" w:evenHBand="0" w:firstRowFirstColumn="0" w:firstRowLastColumn="0" w:lastRowFirstColumn="0" w:lastRowLastColumn="0"/>
            <w:tcW w:w="1980" w:type="dxa"/>
            <w:noWrap/>
            <w:hideMark/>
          </w:tcPr>
          <w:p w:rsidR="005B0934" w:rsidRPr="00E4517B" w:rsidRDefault="005B0934" w:rsidP="005B0934">
            <w:pPr>
              <w:jc w:val="left"/>
              <w:rPr>
                <w:rFonts w:asciiTheme="majorHAnsi" w:eastAsia="Times New Roman" w:hAnsiTheme="majorHAnsi" w:cstheme="majorHAnsi"/>
                <w:i/>
                <w:iCs/>
                <w:sz w:val="20"/>
                <w:szCs w:val="20"/>
                <w:lang w:val="ro-RO" w:eastAsia="ru-RU"/>
              </w:rPr>
            </w:pPr>
            <w:r w:rsidRPr="00E4517B">
              <w:rPr>
                <w:rFonts w:asciiTheme="majorHAnsi" w:eastAsia="Times New Roman" w:hAnsiTheme="majorHAnsi" w:cstheme="majorHAnsi"/>
                <w:i/>
                <w:iCs/>
                <w:sz w:val="20"/>
                <w:szCs w:val="20"/>
                <w:lang w:val="ro-RO" w:eastAsia="ru-RU"/>
              </w:rPr>
              <w:t>BUAT</w:t>
            </w:r>
          </w:p>
        </w:tc>
        <w:tc>
          <w:tcPr>
            <w:tcW w:w="992" w:type="dxa"/>
            <w:vAlign w:val="center"/>
          </w:tcPr>
          <w:p w:rsidR="005B0934" w:rsidRPr="00973E5B" w:rsidRDefault="005B0934" w:rsidP="005B0934">
            <w:pPr>
              <w:ind w:left="-39"/>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sidRPr="00973E5B">
              <w:rPr>
                <w:rFonts w:asciiTheme="majorHAnsi" w:eastAsia="Times New Roman" w:hAnsiTheme="majorHAnsi" w:cstheme="majorHAnsi"/>
                <w:iCs/>
                <w:sz w:val="20"/>
                <w:szCs w:val="20"/>
                <w:lang w:val="ro-RO" w:eastAsia="ru-RU"/>
              </w:rPr>
              <w:t>(-1.107,0)</w:t>
            </w:r>
          </w:p>
        </w:tc>
        <w:tc>
          <w:tcPr>
            <w:tcW w:w="993" w:type="dxa"/>
            <w:vAlign w:val="center"/>
          </w:tcPr>
          <w:p w:rsidR="005B0934" w:rsidRPr="009131CF" w:rsidRDefault="005B0934" w:rsidP="005B0934">
            <w:pPr>
              <w:ind w:left="-10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sidRPr="009131CF">
              <w:rPr>
                <w:rFonts w:asciiTheme="majorHAnsi" w:eastAsia="Times New Roman" w:hAnsiTheme="majorHAnsi" w:cstheme="majorHAnsi"/>
                <w:iCs/>
                <w:sz w:val="20"/>
                <w:szCs w:val="20"/>
                <w:lang w:val="ro-RO" w:eastAsia="ru-RU"/>
              </w:rPr>
              <w:t>+336,9</w:t>
            </w:r>
          </w:p>
        </w:tc>
        <w:tc>
          <w:tcPr>
            <w:tcW w:w="1131" w:type="dxa"/>
            <w:vAlign w:val="center"/>
          </w:tcPr>
          <w:p w:rsidR="005B0934" w:rsidRPr="00E4517B" w:rsidRDefault="005B0934" w:rsidP="005B093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sidRPr="00E4517B">
              <w:rPr>
                <w:rFonts w:asciiTheme="majorHAnsi" w:eastAsia="Times New Roman" w:hAnsiTheme="majorHAnsi" w:cstheme="majorHAnsi"/>
                <w:iCs/>
                <w:sz w:val="20"/>
                <w:szCs w:val="20"/>
                <w:lang w:val="ro-RO" w:eastAsia="ru-RU"/>
              </w:rPr>
              <w:t>1.443,9</w:t>
            </w:r>
          </w:p>
        </w:tc>
        <w:tc>
          <w:tcPr>
            <w:tcW w:w="989" w:type="dxa"/>
            <w:vAlign w:val="center"/>
          </w:tcPr>
          <w:p w:rsidR="005B0934" w:rsidRPr="00E4517B" w:rsidRDefault="005B0934" w:rsidP="005B093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sidRPr="00E4517B">
              <w:rPr>
                <w:rFonts w:asciiTheme="majorHAnsi" w:eastAsia="Times New Roman" w:hAnsiTheme="majorHAnsi" w:cstheme="majorHAnsi"/>
                <w:iCs/>
                <w:sz w:val="20"/>
                <w:szCs w:val="20"/>
                <w:lang w:val="ro-RO" w:eastAsia="ru-RU"/>
              </w:rPr>
              <w:t>-30,4%</w:t>
            </w:r>
          </w:p>
        </w:tc>
        <w:tc>
          <w:tcPr>
            <w:tcW w:w="998" w:type="dxa"/>
            <w:gridSpan w:val="2"/>
            <w:shd w:val="clear" w:color="auto" w:fill="auto"/>
            <w:vAlign w:val="center"/>
          </w:tcPr>
          <w:p w:rsidR="005B0934" w:rsidRPr="00E4517B" w:rsidRDefault="005B0934" w:rsidP="005B0934">
            <w:pPr>
              <w:ind w:left="-10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sidRPr="00E4517B">
              <w:rPr>
                <w:rFonts w:asciiTheme="majorHAnsi" w:eastAsia="Times New Roman" w:hAnsiTheme="majorHAnsi" w:cstheme="majorHAnsi"/>
                <w:iCs/>
                <w:sz w:val="20"/>
                <w:szCs w:val="20"/>
                <w:lang w:val="ro-RO" w:eastAsia="ru-RU"/>
              </w:rPr>
              <w:t>(-213,1)</w:t>
            </w:r>
          </w:p>
        </w:tc>
        <w:tc>
          <w:tcPr>
            <w:tcW w:w="1089" w:type="dxa"/>
            <w:vAlign w:val="center"/>
          </w:tcPr>
          <w:p w:rsidR="005B0934" w:rsidRPr="00E4517B" w:rsidRDefault="005B0934" w:rsidP="005B093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sidRPr="00E4517B">
              <w:rPr>
                <w:rFonts w:asciiTheme="majorHAnsi" w:eastAsia="Times New Roman" w:hAnsiTheme="majorHAnsi" w:cstheme="majorHAnsi"/>
                <w:iCs/>
                <w:sz w:val="20"/>
                <w:szCs w:val="20"/>
                <w:lang w:val="ro-RO" w:eastAsia="ru-RU"/>
              </w:rPr>
              <w:t>+550,0</w:t>
            </w:r>
          </w:p>
        </w:tc>
        <w:tc>
          <w:tcPr>
            <w:tcW w:w="997" w:type="dxa"/>
            <w:vAlign w:val="center"/>
          </w:tcPr>
          <w:p w:rsidR="005B0934" w:rsidRPr="00E4517B" w:rsidRDefault="00FA4727" w:rsidP="005B093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Pr>
                <w:rFonts w:asciiTheme="majorHAnsi" w:eastAsia="Times New Roman" w:hAnsiTheme="majorHAnsi" w:cstheme="majorHAnsi"/>
                <w:iCs/>
                <w:sz w:val="20"/>
                <w:szCs w:val="20"/>
                <w:lang w:val="ro-RO" w:eastAsia="ru-RU"/>
              </w:rPr>
              <w:t>158,1</w:t>
            </w:r>
            <w:r w:rsidR="005B0934" w:rsidRPr="00E4517B">
              <w:rPr>
                <w:rFonts w:asciiTheme="majorHAnsi" w:eastAsia="Times New Roman" w:hAnsiTheme="majorHAnsi" w:cstheme="majorHAnsi"/>
                <w:iCs/>
                <w:sz w:val="20"/>
                <w:szCs w:val="20"/>
                <w:lang w:val="ro-RO" w:eastAsia="ru-RU"/>
              </w:rPr>
              <w:t>%</w:t>
            </w:r>
          </w:p>
        </w:tc>
        <w:tc>
          <w:tcPr>
            <w:tcW w:w="1599" w:type="dxa"/>
            <w:vAlign w:val="center"/>
          </w:tcPr>
          <w:p w:rsidR="005B0934" w:rsidRPr="00E4517B" w:rsidRDefault="005B0934" w:rsidP="005B093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sidRPr="00E4517B">
              <w:rPr>
                <w:rFonts w:asciiTheme="majorHAnsi" w:eastAsia="Times New Roman" w:hAnsiTheme="majorHAnsi" w:cstheme="majorHAnsi"/>
                <w:iCs/>
                <w:sz w:val="20"/>
                <w:szCs w:val="20"/>
                <w:lang w:val="ro-RO" w:eastAsia="ru-RU"/>
              </w:rPr>
              <w:t>-0,1</w:t>
            </w:r>
          </w:p>
        </w:tc>
        <w:tc>
          <w:tcPr>
            <w:tcW w:w="1418" w:type="dxa"/>
            <w:vAlign w:val="center"/>
          </w:tcPr>
          <w:p w:rsidR="005B0934" w:rsidRPr="00E4517B" w:rsidRDefault="005B0934" w:rsidP="005B093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o-RO" w:eastAsia="ru-RU"/>
              </w:rPr>
            </w:pPr>
            <w:r w:rsidRPr="00E4517B">
              <w:rPr>
                <w:rFonts w:asciiTheme="majorHAnsi" w:eastAsia="Times New Roman" w:hAnsiTheme="majorHAnsi" w:cstheme="majorHAnsi"/>
                <w:iCs/>
                <w:sz w:val="20"/>
                <w:szCs w:val="20"/>
                <w:lang w:val="ro-RO" w:eastAsia="ru-RU"/>
              </w:rPr>
              <w:t>0,2</w:t>
            </w:r>
          </w:p>
        </w:tc>
      </w:tr>
      <w:tr w:rsidR="005B0934" w:rsidRPr="00E4517B" w:rsidTr="00692C6E">
        <w:trPr>
          <w:trHeight w:val="256"/>
          <w:jc w:val="center"/>
        </w:trPr>
        <w:tc>
          <w:tcPr>
            <w:cnfStyle w:val="001000000000" w:firstRow="0" w:lastRow="0" w:firstColumn="1" w:lastColumn="0" w:oddVBand="0" w:evenVBand="0" w:oddHBand="0" w:evenHBand="0" w:firstRowFirstColumn="0" w:firstRowLastColumn="0" w:lastRowFirstColumn="0" w:lastRowLastColumn="0"/>
            <w:tcW w:w="12186" w:type="dxa"/>
            <w:gridSpan w:val="11"/>
          </w:tcPr>
          <w:p w:rsidR="005B0934" w:rsidRPr="00973E5B" w:rsidRDefault="005B0934" w:rsidP="005B0934">
            <w:pPr>
              <w:ind w:left="23"/>
              <w:rPr>
                <w:rFonts w:asciiTheme="majorHAnsi" w:eastAsia="Times New Roman" w:hAnsiTheme="majorHAnsi" w:cstheme="majorHAnsi"/>
                <w:sz w:val="20"/>
                <w:szCs w:val="20"/>
                <w:lang w:val="ro-RO" w:eastAsia="ru-RU"/>
              </w:rPr>
            </w:pPr>
            <w:r w:rsidRPr="00E4517B">
              <w:rPr>
                <w:rFonts w:asciiTheme="majorHAnsi" w:eastAsia="Times New Roman" w:hAnsiTheme="majorHAnsi" w:cstheme="majorHAnsi"/>
                <w:sz w:val="20"/>
                <w:szCs w:val="20"/>
                <w:lang w:val="ro-RO" w:eastAsia="ru-RU"/>
              </w:rPr>
              <w:t>* Produsul int</w:t>
            </w:r>
            <w:r w:rsidRPr="00973E5B">
              <w:rPr>
                <w:rFonts w:asciiTheme="majorHAnsi" w:eastAsia="Times New Roman" w:hAnsiTheme="majorHAnsi" w:cstheme="majorHAnsi"/>
                <w:sz w:val="20"/>
                <w:szCs w:val="20"/>
                <w:lang w:val="ro-RO" w:eastAsia="ru-RU"/>
              </w:rPr>
              <w:t>ern brut luat în calcul pentru anul 2019, conform datelor BNS, este de  210 378 mil. lei (actualizat).</w:t>
            </w:r>
          </w:p>
          <w:p w:rsidR="005B0934" w:rsidRPr="00E4517B" w:rsidRDefault="005B0934" w:rsidP="005B0934">
            <w:pPr>
              <w:rPr>
                <w:rFonts w:asciiTheme="majorHAnsi" w:eastAsia="Times New Roman" w:hAnsiTheme="majorHAnsi" w:cstheme="majorHAnsi"/>
                <w:iCs/>
                <w:sz w:val="22"/>
                <w:lang w:val="ro-RO" w:eastAsia="ru-RU"/>
              </w:rPr>
            </w:pPr>
            <w:r w:rsidRPr="009131CF">
              <w:rPr>
                <w:rFonts w:asciiTheme="majorHAnsi" w:eastAsia="Times New Roman" w:hAnsiTheme="majorHAnsi" w:cstheme="majorHAnsi"/>
                <w:sz w:val="20"/>
                <w:szCs w:val="20"/>
                <w:lang w:val="ro-RO" w:eastAsia="ru-RU"/>
              </w:rPr>
              <w:t>** Produsul intern brut luat în calcul pentru anul 2019, conform datelor preliminare ale BNS, este de 206 352 mil. lei.</w:t>
            </w:r>
          </w:p>
        </w:tc>
      </w:tr>
    </w:tbl>
    <w:p w:rsidR="005B0934" w:rsidRPr="00207634" w:rsidRDefault="005B0934" w:rsidP="005B0934">
      <w:pPr>
        <w:spacing w:after="0"/>
        <w:ind w:firstLine="426"/>
        <w:rPr>
          <w:rFonts w:asciiTheme="majorHAnsi" w:hAnsiTheme="majorHAnsi" w:cstheme="majorHAnsi"/>
          <w:i/>
          <w:sz w:val="20"/>
          <w:szCs w:val="20"/>
          <w:lang w:val="ro-RO"/>
        </w:rPr>
      </w:pPr>
      <w:r w:rsidRPr="00E4517B">
        <w:rPr>
          <w:rFonts w:asciiTheme="majorHAnsi" w:hAnsiTheme="majorHAnsi" w:cstheme="majorHAnsi"/>
          <w:b/>
          <w:i/>
          <w:sz w:val="20"/>
          <w:szCs w:val="20"/>
          <w:lang w:val="ro-RO"/>
        </w:rPr>
        <w:t>Notă:</w:t>
      </w:r>
      <w:r w:rsidRPr="00973E5B">
        <w:rPr>
          <w:rFonts w:asciiTheme="majorHAnsi" w:hAnsiTheme="majorHAnsi" w:cstheme="majorHAnsi"/>
          <w:b/>
          <w:sz w:val="20"/>
          <w:szCs w:val="20"/>
          <w:lang w:val="ro-RO"/>
        </w:rPr>
        <w:t xml:space="preserve"> </w:t>
      </w:r>
      <w:r w:rsidRPr="00207634">
        <w:rPr>
          <w:rFonts w:asciiTheme="majorHAnsi" w:hAnsiTheme="majorHAnsi" w:cstheme="majorHAnsi"/>
          <w:i/>
          <w:sz w:val="20"/>
          <w:szCs w:val="20"/>
          <w:lang w:val="ro-RO"/>
        </w:rPr>
        <w:t>Datele referitor la venituri și cheltuieli ale componentelor BPN sunt prezentate cu transferurile între bugete.</w:t>
      </w:r>
    </w:p>
    <w:p w:rsidR="005B0934" w:rsidRPr="00E4517B" w:rsidRDefault="005B0934" w:rsidP="008E47D2">
      <w:pPr>
        <w:spacing w:after="0" w:line="276" w:lineRule="auto"/>
        <w:ind w:firstLine="426"/>
        <w:rPr>
          <w:rFonts w:asciiTheme="majorHAnsi" w:hAnsiTheme="majorHAnsi" w:cstheme="majorHAnsi"/>
          <w:i/>
          <w:sz w:val="20"/>
          <w:szCs w:val="20"/>
          <w:lang w:val="ro-RO"/>
        </w:rPr>
      </w:pPr>
      <w:r w:rsidRPr="009131CF">
        <w:rPr>
          <w:rFonts w:asciiTheme="majorHAnsi" w:hAnsiTheme="majorHAnsi" w:cstheme="majorHAnsi"/>
          <w:b/>
          <w:i/>
          <w:sz w:val="20"/>
          <w:szCs w:val="20"/>
          <w:lang w:val="ro-RO"/>
        </w:rPr>
        <w:t>Sursă:</w:t>
      </w:r>
      <w:r w:rsidRPr="00E4517B">
        <w:rPr>
          <w:rFonts w:asciiTheme="majorHAnsi" w:hAnsiTheme="majorHAnsi" w:cstheme="majorHAnsi"/>
          <w:sz w:val="20"/>
          <w:szCs w:val="20"/>
          <w:lang w:val="ro-RO"/>
        </w:rPr>
        <w:t xml:space="preserve"> </w:t>
      </w:r>
      <w:r w:rsidRPr="00E4517B">
        <w:rPr>
          <w:rFonts w:asciiTheme="majorHAnsi" w:hAnsiTheme="majorHAnsi" w:cstheme="majorHAnsi"/>
          <w:i/>
          <w:sz w:val="20"/>
          <w:szCs w:val="20"/>
          <w:lang w:val="ro-RO"/>
        </w:rPr>
        <w:t>Raportul privind executarea bugetului de stat pentru anul 2020 și pentru anul 2019.</w:t>
      </w:r>
    </w:p>
    <w:p w:rsidR="00C56888" w:rsidRDefault="005B0934" w:rsidP="00C56888">
      <w:pPr>
        <w:spacing w:after="0" w:line="276" w:lineRule="auto"/>
        <w:rPr>
          <w:rFonts w:asciiTheme="majorHAnsi" w:hAnsiTheme="majorHAnsi" w:cstheme="majorHAnsi"/>
          <w:iCs/>
          <w:sz w:val="24"/>
          <w:szCs w:val="24"/>
          <w:lang w:val="ro-RO"/>
        </w:rPr>
      </w:pPr>
      <w:r w:rsidRPr="00E4517B">
        <w:rPr>
          <w:rFonts w:asciiTheme="majorHAnsi" w:hAnsiTheme="majorHAnsi" w:cstheme="majorHAnsi"/>
          <w:sz w:val="20"/>
          <w:szCs w:val="20"/>
          <w:lang w:val="ro-RO"/>
        </w:rPr>
        <w:t>Auditul relevă că, potrivit datelor Raportului, încasarea veniturilor la BPN s-a realizat peste nivelul precizat cu 1.422,9 mil. lei, inclusiv: la BS - cu 1219,3 mil. lei și la FAOAM – cu 41,7 mil. lei, iar veniturile la BASS și BUAT au fost încasate sub nivelul precizat: cu (-286,5 mil. lei) la BASS și, respecti</w:t>
      </w:r>
      <w:r w:rsidR="001175DB">
        <w:rPr>
          <w:rFonts w:asciiTheme="majorHAnsi" w:hAnsiTheme="majorHAnsi" w:cstheme="majorHAnsi"/>
          <w:sz w:val="20"/>
          <w:szCs w:val="20"/>
          <w:lang w:val="ro-RO"/>
        </w:rPr>
        <w:t>v, cu (-573,0 mil. lei) la BUAT</w:t>
      </w:r>
      <w:bookmarkStart w:id="3" w:name="_GoBack"/>
      <w:bookmarkEnd w:id="3"/>
      <w:r w:rsidRPr="00E4517B">
        <w:rPr>
          <w:rFonts w:asciiTheme="majorHAnsi" w:hAnsiTheme="majorHAnsi" w:cstheme="majorHAnsi"/>
          <w:sz w:val="20"/>
          <w:szCs w:val="20"/>
          <w:lang w:val="ro-RO"/>
        </w:rPr>
        <w:t xml:space="preserve">. Totodată, cel mai scăzut nivel de executare a cheltuielilor bugetelor componente ale BPN față de cheltuielile precizate a fost raportat de BUAT – 89,9%, urmate fiind de BS – 93,2%. Totodată, cheltuielile la FAOAM au înregistrat un nivel de execuție de 94,3% și, respectiv, la BASS - de 98,7%. </w:t>
      </w:r>
      <w:r w:rsidR="00C56888" w:rsidRPr="00F55BA6">
        <w:rPr>
          <w:rFonts w:asciiTheme="majorHAnsi" w:hAnsiTheme="majorHAnsi" w:cstheme="majorHAnsi"/>
          <w:iCs/>
          <w:sz w:val="24"/>
          <w:szCs w:val="24"/>
          <w:lang w:val="ro-RO"/>
        </w:rPr>
        <w:t xml:space="preserve"> </w:t>
      </w:r>
    </w:p>
    <w:p w:rsidR="006E3824" w:rsidRPr="00E4517B" w:rsidRDefault="006E3824" w:rsidP="00C56888">
      <w:pPr>
        <w:spacing w:after="0" w:line="276" w:lineRule="auto"/>
        <w:rPr>
          <w:rFonts w:asciiTheme="majorHAnsi" w:hAnsiTheme="majorHAnsi" w:cstheme="majorHAnsi"/>
          <w:sz w:val="20"/>
          <w:szCs w:val="20"/>
          <w:lang w:val="ro-RO"/>
        </w:rPr>
      </w:pPr>
    </w:p>
    <w:p w:rsidR="00191C4E" w:rsidRPr="00F55BA6" w:rsidRDefault="00191C4E" w:rsidP="00191C4E">
      <w:pPr>
        <w:tabs>
          <w:tab w:val="left" w:pos="720"/>
        </w:tabs>
        <w:spacing w:after="0" w:line="276" w:lineRule="auto"/>
        <w:jc w:val="center"/>
        <w:rPr>
          <w:rFonts w:asciiTheme="majorHAnsi" w:eastAsia="Times New Roman" w:hAnsiTheme="majorHAnsi" w:cs="Times New Roman"/>
          <w:b/>
          <w:bCs/>
          <w:szCs w:val="28"/>
          <w:lang w:val="ro-RO"/>
        </w:rPr>
      </w:pPr>
      <w:r w:rsidRPr="00F55BA6">
        <w:rPr>
          <w:rFonts w:asciiTheme="majorHAnsi" w:eastAsia="Times New Roman" w:hAnsiTheme="majorHAnsi" w:cs="Times New Roman"/>
          <w:b/>
          <w:bCs/>
          <w:szCs w:val="28"/>
          <w:lang w:val="ro-RO"/>
        </w:rPr>
        <w:t>Lista acronimelor</w:t>
      </w:r>
    </w:p>
    <w:tbl>
      <w:tblPr>
        <w:tblStyle w:val="-1"/>
        <w:tblW w:w="0" w:type="auto"/>
        <w:jc w:val="center"/>
        <w:tblLook w:val="04A0" w:firstRow="1" w:lastRow="0" w:firstColumn="1" w:lastColumn="0" w:noHBand="0" w:noVBand="1"/>
      </w:tblPr>
      <w:tblGrid>
        <w:gridCol w:w="1555"/>
        <w:gridCol w:w="7229"/>
      </w:tblGrid>
      <w:tr w:rsidR="006E3824" w:rsidRPr="009E2B4F" w:rsidTr="009D709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tcPr>
          <w:p w:rsidR="006E3824" w:rsidRPr="009E2B4F" w:rsidRDefault="006E3824" w:rsidP="009D7095">
            <w:pPr>
              <w:tabs>
                <w:tab w:val="left" w:pos="720"/>
              </w:tabs>
              <w:spacing w:line="276" w:lineRule="auto"/>
              <w:jc w:val="center"/>
              <w:rPr>
                <w:rFonts w:asciiTheme="majorHAnsi" w:eastAsia="Times New Roman" w:hAnsiTheme="majorHAnsi" w:cs="Times New Roman"/>
                <w:sz w:val="20"/>
                <w:szCs w:val="20"/>
                <w:lang w:val="ro-MD"/>
              </w:rPr>
            </w:pPr>
            <w:r w:rsidRPr="009E2B4F">
              <w:rPr>
                <w:rFonts w:asciiTheme="majorHAnsi" w:eastAsia="Times New Roman" w:hAnsiTheme="majorHAnsi" w:cs="Times New Roman"/>
                <w:sz w:val="20"/>
                <w:szCs w:val="20"/>
                <w:lang w:val="ro-MD"/>
              </w:rPr>
              <w:t>Acronimul</w:t>
            </w:r>
          </w:p>
        </w:tc>
        <w:tc>
          <w:tcPr>
            <w:tcW w:w="7229" w:type="dxa"/>
          </w:tcPr>
          <w:p w:rsidR="006E3824" w:rsidRPr="009E2B4F" w:rsidRDefault="006E3824" w:rsidP="009D7095">
            <w:pPr>
              <w:tabs>
                <w:tab w:val="left" w:pos="720"/>
              </w:tabs>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ro-MD"/>
              </w:rPr>
            </w:pPr>
            <w:r w:rsidRPr="009E2B4F">
              <w:rPr>
                <w:rFonts w:asciiTheme="majorHAnsi" w:eastAsia="Times New Roman" w:hAnsiTheme="majorHAnsi" w:cs="Times New Roman"/>
                <w:sz w:val="20"/>
                <w:szCs w:val="20"/>
                <w:lang w:val="ro-MD"/>
              </w:rPr>
              <w:t>Termenul abreviat</w:t>
            </w:r>
          </w:p>
        </w:tc>
      </w:tr>
      <w:tr w:rsidR="006E3824" w:rsidRPr="009E2B4F" w:rsidTr="009D7095">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E3824" w:rsidRPr="009E2B4F" w:rsidRDefault="006E3824" w:rsidP="009D7095">
            <w:pPr>
              <w:tabs>
                <w:tab w:val="left" w:pos="720"/>
              </w:tabs>
              <w:spacing w:line="276" w:lineRule="auto"/>
              <w:jc w:val="center"/>
              <w:rPr>
                <w:rFonts w:asciiTheme="majorHAnsi" w:eastAsia="Times New Roman" w:hAnsiTheme="majorHAnsi" w:cs="Times New Roman"/>
                <w:sz w:val="20"/>
                <w:szCs w:val="20"/>
                <w:lang w:val="ro-MD"/>
              </w:rPr>
            </w:pPr>
            <w:r>
              <w:rPr>
                <w:rFonts w:asciiTheme="majorHAnsi" w:eastAsia="Times New Roman" w:hAnsiTheme="majorHAnsi" w:cs="Times New Roman"/>
                <w:sz w:val="20"/>
                <w:szCs w:val="20"/>
                <w:lang w:val="ro-MD"/>
              </w:rPr>
              <w:t>ANI</w:t>
            </w:r>
          </w:p>
        </w:tc>
        <w:tc>
          <w:tcPr>
            <w:tcW w:w="7229" w:type="dxa"/>
          </w:tcPr>
          <w:p w:rsidR="006E3824" w:rsidRPr="009E2B4F" w:rsidRDefault="006E3824" w:rsidP="009D7095">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0"/>
                <w:szCs w:val="20"/>
                <w:lang w:val="ro-MD"/>
              </w:rPr>
            </w:pPr>
            <w:r>
              <w:rPr>
                <w:rFonts w:asciiTheme="majorHAnsi" w:eastAsia="Times New Roman" w:hAnsiTheme="majorHAnsi" w:cs="Times New Roman"/>
                <w:bCs/>
                <w:sz w:val="20"/>
                <w:szCs w:val="20"/>
                <w:lang w:val="ro-MD"/>
              </w:rPr>
              <w:t>Autoritatea Națională de Integritate</w:t>
            </w:r>
          </w:p>
        </w:tc>
      </w:tr>
      <w:tr w:rsidR="006E3824" w:rsidRPr="009E2B4F" w:rsidTr="009D7095">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E3824" w:rsidRPr="009E2B4F" w:rsidRDefault="006E3824" w:rsidP="009D7095">
            <w:pPr>
              <w:tabs>
                <w:tab w:val="left" w:pos="720"/>
              </w:tabs>
              <w:spacing w:line="276" w:lineRule="auto"/>
              <w:jc w:val="center"/>
              <w:rPr>
                <w:rFonts w:asciiTheme="majorHAnsi" w:eastAsia="Times New Roman" w:hAnsiTheme="majorHAnsi" w:cs="Times New Roman"/>
                <w:sz w:val="20"/>
                <w:szCs w:val="20"/>
                <w:lang w:val="ro-MD"/>
              </w:rPr>
            </w:pPr>
            <w:r w:rsidRPr="009E2B4F">
              <w:rPr>
                <w:rFonts w:asciiTheme="majorHAnsi" w:eastAsia="Times New Roman" w:hAnsiTheme="majorHAnsi" w:cs="Times New Roman"/>
                <w:sz w:val="20"/>
                <w:szCs w:val="20"/>
                <w:lang w:val="ro-MD"/>
              </w:rPr>
              <w:t>APC</w:t>
            </w:r>
          </w:p>
        </w:tc>
        <w:tc>
          <w:tcPr>
            <w:tcW w:w="7229" w:type="dxa"/>
          </w:tcPr>
          <w:p w:rsidR="006E3824" w:rsidRPr="009E2B4F" w:rsidRDefault="006E3824" w:rsidP="009D7095">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0"/>
                <w:szCs w:val="20"/>
                <w:lang w:val="ro-MD"/>
              </w:rPr>
            </w:pPr>
            <w:r w:rsidRPr="009E2B4F">
              <w:rPr>
                <w:rFonts w:asciiTheme="majorHAnsi" w:eastAsia="Times New Roman" w:hAnsiTheme="majorHAnsi" w:cs="Times New Roman"/>
                <w:bCs/>
                <w:sz w:val="20"/>
                <w:szCs w:val="20"/>
                <w:lang w:val="ro-MD"/>
              </w:rPr>
              <w:t>Administrația publică centrală</w:t>
            </w:r>
          </w:p>
        </w:tc>
      </w:tr>
      <w:tr w:rsidR="006E3824" w:rsidRPr="009E2B4F" w:rsidTr="009D7095">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E3824" w:rsidRPr="009E2B4F" w:rsidRDefault="006E3824" w:rsidP="009D7095">
            <w:pPr>
              <w:tabs>
                <w:tab w:val="left" w:pos="720"/>
              </w:tabs>
              <w:spacing w:line="276" w:lineRule="auto"/>
              <w:jc w:val="center"/>
              <w:rPr>
                <w:rFonts w:asciiTheme="majorHAnsi" w:eastAsia="Times New Roman" w:hAnsiTheme="majorHAnsi" w:cs="Times New Roman"/>
                <w:sz w:val="20"/>
                <w:szCs w:val="20"/>
                <w:lang w:val="ro-MD"/>
              </w:rPr>
            </w:pPr>
            <w:r w:rsidRPr="009E2B4F">
              <w:rPr>
                <w:rFonts w:asciiTheme="majorHAnsi" w:eastAsia="Times New Roman" w:hAnsiTheme="majorHAnsi" w:cs="Times New Roman"/>
                <w:sz w:val="20"/>
                <w:szCs w:val="20"/>
                <w:lang w:val="ro-MD"/>
              </w:rPr>
              <w:t>APL</w:t>
            </w:r>
          </w:p>
        </w:tc>
        <w:tc>
          <w:tcPr>
            <w:tcW w:w="7229" w:type="dxa"/>
          </w:tcPr>
          <w:p w:rsidR="006E3824" w:rsidRPr="009E2B4F" w:rsidRDefault="006E3824" w:rsidP="009D7095">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0"/>
                <w:szCs w:val="20"/>
                <w:lang w:val="ro-MD"/>
              </w:rPr>
            </w:pPr>
            <w:r w:rsidRPr="009E2B4F">
              <w:rPr>
                <w:rFonts w:asciiTheme="majorHAnsi" w:eastAsia="Times New Roman" w:hAnsiTheme="majorHAnsi" w:cs="Times New Roman"/>
                <w:bCs/>
                <w:sz w:val="20"/>
                <w:szCs w:val="20"/>
                <w:lang w:val="ro-MD"/>
              </w:rPr>
              <w:t>Administrația publică locală</w:t>
            </w:r>
          </w:p>
        </w:tc>
      </w:tr>
      <w:tr w:rsidR="006E3824" w:rsidRPr="009E2B4F" w:rsidTr="009D7095">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E3824" w:rsidRPr="009E2B4F" w:rsidRDefault="006E3824" w:rsidP="009D7095">
            <w:pPr>
              <w:tabs>
                <w:tab w:val="left" w:pos="720"/>
              </w:tabs>
              <w:spacing w:line="276" w:lineRule="auto"/>
              <w:jc w:val="center"/>
              <w:rPr>
                <w:rFonts w:asciiTheme="majorHAnsi" w:eastAsia="Times New Roman" w:hAnsiTheme="majorHAnsi" w:cs="Times New Roman"/>
                <w:sz w:val="20"/>
                <w:szCs w:val="20"/>
                <w:lang w:val="ro-MD"/>
              </w:rPr>
            </w:pPr>
            <w:r w:rsidRPr="009E2B4F">
              <w:rPr>
                <w:rFonts w:asciiTheme="majorHAnsi" w:eastAsia="Times New Roman" w:hAnsiTheme="majorHAnsi" w:cs="Times New Roman"/>
                <w:sz w:val="20"/>
                <w:szCs w:val="20"/>
                <w:lang w:val="ro-MD"/>
              </w:rPr>
              <w:t>APP</w:t>
            </w:r>
          </w:p>
        </w:tc>
        <w:tc>
          <w:tcPr>
            <w:tcW w:w="7229" w:type="dxa"/>
          </w:tcPr>
          <w:p w:rsidR="006E3824" w:rsidRPr="009E2B4F" w:rsidRDefault="006E3824" w:rsidP="009D7095">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0"/>
                <w:szCs w:val="20"/>
                <w:lang w:val="ro-MD"/>
              </w:rPr>
            </w:pPr>
            <w:r w:rsidRPr="009E2B4F">
              <w:rPr>
                <w:rFonts w:asciiTheme="majorHAnsi" w:eastAsia="Times New Roman" w:hAnsiTheme="majorHAnsi" w:cs="Times New Roman"/>
                <w:bCs/>
                <w:sz w:val="20"/>
                <w:szCs w:val="20"/>
                <w:lang w:val="ro-MD"/>
              </w:rPr>
              <w:t>Agenția Proprietății Publice</w:t>
            </w:r>
          </w:p>
        </w:tc>
      </w:tr>
      <w:tr w:rsidR="006E3824" w:rsidRPr="009E2B4F" w:rsidTr="009D7095">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E3824" w:rsidRPr="009E2B4F" w:rsidRDefault="006E3824" w:rsidP="009D7095">
            <w:pPr>
              <w:tabs>
                <w:tab w:val="left" w:pos="720"/>
              </w:tabs>
              <w:spacing w:line="276" w:lineRule="auto"/>
              <w:jc w:val="center"/>
              <w:rPr>
                <w:rFonts w:asciiTheme="majorHAnsi" w:eastAsia="Times New Roman" w:hAnsiTheme="majorHAnsi" w:cs="Times New Roman"/>
                <w:sz w:val="20"/>
                <w:szCs w:val="20"/>
                <w:lang w:val="ro-MD"/>
              </w:rPr>
            </w:pPr>
            <w:r w:rsidRPr="009E2B4F">
              <w:rPr>
                <w:rFonts w:asciiTheme="majorHAnsi" w:eastAsia="Times New Roman" w:hAnsiTheme="majorHAnsi" w:cs="Times New Roman"/>
                <w:sz w:val="20"/>
                <w:szCs w:val="20"/>
                <w:lang w:val="ro-MD"/>
              </w:rPr>
              <w:t>BASS</w:t>
            </w:r>
          </w:p>
        </w:tc>
        <w:tc>
          <w:tcPr>
            <w:tcW w:w="7229" w:type="dxa"/>
          </w:tcPr>
          <w:p w:rsidR="006E3824" w:rsidRPr="009E2B4F" w:rsidRDefault="006E3824" w:rsidP="009D7095">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0"/>
                <w:szCs w:val="20"/>
                <w:lang w:val="ro-MD"/>
              </w:rPr>
            </w:pPr>
            <w:r w:rsidRPr="009E2B4F">
              <w:rPr>
                <w:rFonts w:asciiTheme="majorHAnsi" w:eastAsia="Times New Roman" w:hAnsiTheme="majorHAnsi" w:cs="Times New Roman"/>
                <w:bCs/>
                <w:sz w:val="20"/>
                <w:szCs w:val="20"/>
                <w:lang w:val="ro-MD"/>
              </w:rPr>
              <w:t>Bugetul asigurărilor sociale de stat</w:t>
            </w:r>
          </w:p>
        </w:tc>
      </w:tr>
      <w:tr w:rsidR="006E3824" w:rsidRPr="009E2B4F" w:rsidTr="009D7095">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E3824" w:rsidRPr="009E2B4F" w:rsidRDefault="006E3824" w:rsidP="009D7095">
            <w:pPr>
              <w:tabs>
                <w:tab w:val="left" w:pos="720"/>
              </w:tabs>
              <w:spacing w:line="276" w:lineRule="auto"/>
              <w:jc w:val="center"/>
              <w:rPr>
                <w:rFonts w:asciiTheme="majorHAnsi" w:eastAsia="Times New Roman" w:hAnsiTheme="majorHAnsi" w:cs="Times New Roman"/>
                <w:sz w:val="20"/>
                <w:szCs w:val="20"/>
                <w:lang w:val="ro-MD"/>
              </w:rPr>
            </w:pPr>
            <w:r>
              <w:rPr>
                <w:rFonts w:asciiTheme="majorHAnsi" w:eastAsia="Times New Roman" w:hAnsiTheme="majorHAnsi" w:cs="Times New Roman"/>
                <w:sz w:val="20"/>
                <w:szCs w:val="20"/>
                <w:lang w:val="ro-MD"/>
              </w:rPr>
              <w:lastRenderedPageBreak/>
              <w:t>BL</w:t>
            </w:r>
          </w:p>
        </w:tc>
        <w:tc>
          <w:tcPr>
            <w:tcW w:w="7229" w:type="dxa"/>
          </w:tcPr>
          <w:p w:rsidR="006E3824" w:rsidRPr="009E2B4F" w:rsidRDefault="006E3824" w:rsidP="009D7095">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0"/>
                <w:szCs w:val="20"/>
                <w:lang w:val="ro-MD"/>
              </w:rPr>
            </w:pPr>
            <w:r>
              <w:rPr>
                <w:rFonts w:asciiTheme="majorHAnsi" w:eastAsia="Times New Roman" w:hAnsiTheme="majorHAnsi" w:cs="Times New Roman"/>
                <w:bCs/>
                <w:sz w:val="20"/>
                <w:szCs w:val="20"/>
                <w:lang w:val="ro-MD"/>
              </w:rPr>
              <w:t>Bugetul local</w:t>
            </w:r>
          </w:p>
        </w:tc>
      </w:tr>
      <w:tr w:rsidR="006E3824" w:rsidRPr="009E2B4F" w:rsidTr="009D7095">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E3824" w:rsidRPr="009E2B4F" w:rsidRDefault="006E3824" w:rsidP="009D7095">
            <w:pPr>
              <w:tabs>
                <w:tab w:val="left" w:pos="720"/>
              </w:tabs>
              <w:spacing w:line="276" w:lineRule="auto"/>
              <w:jc w:val="center"/>
              <w:rPr>
                <w:rFonts w:asciiTheme="majorHAnsi" w:eastAsia="Times New Roman" w:hAnsiTheme="majorHAnsi" w:cs="Times New Roman"/>
                <w:sz w:val="20"/>
                <w:szCs w:val="20"/>
                <w:lang w:val="ro-MD"/>
              </w:rPr>
            </w:pPr>
            <w:r w:rsidRPr="009E2B4F">
              <w:rPr>
                <w:rFonts w:asciiTheme="majorHAnsi" w:eastAsia="Times New Roman" w:hAnsiTheme="majorHAnsi" w:cs="Times New Roman"/>
                <w:sz w:val="20"/>
                <w:szCs w:val="20"/>
                <w:lang w:val="ro-MD"/>
              </w:rPr>
              <w:t>BNM</w:t>
            </w:r>
          </w:p>
        </w:tc>
        <w:tc>
          <w:tcPr>
            <w:tcW w:w="7229" w:type="dxa"/>
          </w:tcPr>
          <w:p w:rsidR="006E3824" w:rsidRPr="009E2B4F" w:rsidRDefault="006E3824" w:rsidP="009D7095">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0"/>
                <w:szCs w:val="20"/>
                <w:lang w:val="ro-MD"/>
              </w:rPr>
            </w:pPr>
            <w:r w:rsidRPr="009E2B4F">
              <w:rPr>
                <w:rFonts w:asciiTheme="majorHAnsi" w:eastAsia="Times New Roman" w:hAnsiTheme="majorHAnsi" w:cs="Times New Roman"/>
                <w:bCs/>
                <w:sz w:val="20"/>
                <w:szCs w:val="20"/>
                <w:lang w:val="ro-MD"/>
              </w:rPr>
              <w:t>Banca Națională a Moldovei</w:t>
            </w:r>
          </w:p>
        </w:tc>
      </w:tr>
      <w:tr w:rsidR="006E3824" w:rsidRPr="009E2B4F" w:rsidTr="009D7095">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E3824" w:rsidRPr="009E2B4F" w:rsidRDefault="006E3824" w:rsidP="009D7095">
            <w:pPr>
              <w:tabs>
                <w:tab w:val="left" w:pos="720"/>
              </w:tabs>
              <w:spacing w:line="276" w:lineRule="auto"/>
              <w:jc w:val="center"/>
              <w:rPr>
                <w:rFonts w:asciiTheme="majorHAnsi" w:eastAsia="Times New Roman" w:hAnsiTheme="majorHAnsi" w:cs="Times New Roman"/>
                <w:sz w:val="20"/>
                <w:szCs w:val="20"/>
                <w:lang w:val="ro-MD"/>
              </w:rPr>
            </w:pPr>
            <w:r w:rsidRPr="009E2B4F">
              <w:rPr>
                <w:rFonts w:asciiTheme="majorHAnsi" w:eastAsia="Times New Roman" w:hAnsiTheme="majorHAnsi" w:cs="Times New Roman"/>
                <w:sz w:val="20"/>
                <w:szCs w:val="20"/>
                <w:lang w:val="ro-MD"/>
              </w:rPr>
              <w:t>BPN</w:t>
            </w:r>
          </w:p>
        </w:tc>
        <w:tc>
          <w:tcPr>
            <w:tcW w:w="7229" w:type="dxa"/>
          </w:tcPr>
          <w:p w:rsidR="006E3824" w:rsidRPr="009E2B4F" w:rsidRDefault="006E3824" w:rsidP="009D7095">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0"/>
                <w:szCs w:val="20"/>
                <w:lang w:val="ro-MD"/>
              </w:rPr>
            </w:pPr>
            <w:r w:rsidRPr="009E2B4F">
              <w:rPr>
                <w:rFonts w:asciiTheme="majorHAnsi" w:eastAsia="Times New Roman" w:hAnsiTheme="majorHAnsi" w:cs="Times New Roman"/>
                <w:bCs/>
                <w:sz w:val="20"/>
                <w:szCs w:val="20"/>
                <w:lang w:val="ro-MD"/>
              </w:rPr>
              <w:t xml:space="preserve">Bugetul </w:t>
            </w:r>
            <w:r>
              <w:rPr>
                <w:rFonts w:asciiTheme="majorHAnsi" w:eastAsia="Times New Roman" w:hAnsiTheme="majorHAnsi" w:cs="Times New Roman"/>
                <w:bCs/>
                <w:sz w:val="20"/>
                <w:szCs w:val="20"/>
                <w:lang w:val="ro-MD"/>
              </w:rPr>
              <w:t>p</w:t>
            </w:r>
            <w:r w:rsidRPr="009E2B4F">
              <w:rPr>
                <w:rFonts w:asciiTheme="majorHAnsi" w:eastAsia="Times New Roman" w:hAnsiTheme="majorHAnsi" w:cs="Times New Roman"/>
                <w:bCs/>
                <w:sz w:val="20"/>
                <w:szCs w:val="20"/>
                <w:lang w:val="ro-MD"/>
              </w:rPr>
              <w:t xml:space="preserve">ublic </w:t>
            </w:r>
            <w:r>
              <w:rPr>
                <w:rFonts w:asciiTheme="majorHAnsi" w:eastAsia="Times New Roman" w:hAnsiTheme="majorHAnsi" w:cs="Times New Roman"/>
                <w:bCs/>
                <w:sz w:val="20"/>
                <w:szCs w:val="20"/>
                <w:lang w:val="ro-MD"/>
              </w:rPr>
              <w:t>n</w:t>
            </w:r>
            <w:r w:rsidRPr="009E2B4F">
              <w:rPr>
                <w:rFonts w:asciiTheme="majorHAnsi" w:eastAsia="Times New Roman" w:hAnsiTheme="majorHAnsi" w:cs="Times New Roman"/>
                <w:bCs/>
                <w:sz w:val="20"/>
                <w:szCs w:val="20"/>
                <w:lang w:val="ro-MD"/>
              </w:rPr>
              <w:t>ațional</w:t>
            </w:r>
          </w:p>
        </w:tc>
      </w:tr>
      <w:tr w:rsidR="006E3824" w:rsidRPr="009E2B4F" w:rsidTr="009D7095">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E3824" w:rsidRPr="009E2B4F" w:rsidRDefault="006E3824" w:rsidP="009D7095">
            <w:pPr>
              <w:tabs>
                <w:tab w:val="left" w:pos="720"/>
              </w:tabs>
              <w:spacing w:line="276" w:lineRule="auto"/>
              <w:jc w:val="center"/>
              <w:rPr>
                <w:rFonts w:asciiTheme="majorHAnsi" w:eastAsia="Times New Roman" w:hAnsiTheme="majorHAnsi" w:cs="Times New Roman"/>
                <w:sz w:val="20"/>
                <w:szCs w:val="20"/>
                <w:lang w:val="ro-MD"/>
              </w:rPr>
            </w:pPr>
            <w:r w:rsidRPr="009E2B4F">
              <w:rPr>
                <w:rFonts w:asciiTheme="majorHAnsi" w:eastAsia="Times New Roman" w:hAnsiTheme="majorHAnsi" w:cs="Times New Roman"/>
                <w:sz w:val="20"/>
                <w:szCs w:val="20"/>
                <w:lang w:val="ro-MD"/>
              </w:rPr>
              <w:t>BNS</w:t>
            </w:r>
          </w:p>
        </w:tc>
        <w:tc>
          <w:tcPr>
            <w:tcW w:w="7229" w:type="dxa"/>
          </w:tcPr>
          <w:p w:rsidR="006E3824" w:rsidRPr="009E2B4F" w:rsidRDefault="006E3824" w:rsidP="009D7095">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0"/>
                <w:szCs w:val="20"/>
                <w:lang w:val="ro-MD"/>
              </w:rPr>
            </w:pPr>
            <w:r w:rsidRPr="009E2B4F">
              <w:rPr>
                <w:rFonts w:asciiTheme="majorHAnsi" w:eastAsia="Times New Roman" w:hAnsiTheme="majorHAnsi" w:cs="Times New Roman"/>
                <w:bCs/>
                <w:sz w:val="20"/>
                <w:szCs w:val="20"/>
                <w:lang w:val="ro-MD"/>
              </w:rPr>
              <w:t>Biroul Național de Statistică</w:t>
            </w:r>
          </w:p>
        </w:tc>
      </w:tr>
      <w:tr w:rsidR="006E3824" w:rsidRPr="009E2B4F" w:rsidTr="009D7095">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E3824" w:rsidRPr="009E2B4F" w:rsidRDefault="006E3824" w:rsidP="009D7095">
            <w:pPr>
              <w:tabs>
                <w:tab w:val="left" w:pos="720"/>
              </w:tabs>
              <w:spacing w:line="276" w:lineRule="auto"/>
              <w:jc w:val="center"/>
              <w:rPr>
                <w:rFonts w:asciiTheme="majorHAnsi" w:eastAsia="Times New Roman" w:hAnsiTheme="majorHAnsi" w:cs="Times New Roman"/>
                <w:sz w:val="20"/>
                <w:szCs w:val="20"/>
                <w:lang w:val="ro-MD"/>
              </w:rPr>
            </w:pPr>
            <w:r w:rsidRPr="009E2B4F">
              <w:rPr>
                <w:rFonts w:asciiTheme="majorHAnsi" w:eastAsia="Times New Roman" w:hAnsiTheme="majorHAnsi" w:cs="Times New Roman"/>
                <w:sz w:val="20"/>
                <w:szCs w:val="20"/>
                <w:lang w:val="ro-MD"/>
              </w:rPr>
              <w:t>BUAT</w:t>
            </w:r>
          </w:p>
        </w:tc>
        <w:tc>
          <w:tcPr>
            <w:tcW w:w="7229" w:type="dxa"/>
          </w:tcPr>
          <w:p w:rsidR="006E3824" w:rsidRPr="009E2B4F" w:rsidRDefault="006E3824" w:rsidP="009D7095">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0"/>
                <w:szCs w:val="20"/>
                <w:lang w:val="ro-MD"/>
              </w:rPr>
            </w:pPr>
            <w:r w:rsidRPr="009E2B4F">
              <w:rPr>
                <w:rFonts w:asciiTheme="majorHAnsi" w:eastAsia="Times New Roman" w:hAnsiTheme="majorHAnsi" w:cs="Times New Roman"/>
                <w:bCs/>
                <w:sz w:val="20"/>
                <w:szCs w:val="20"/>
                <w:lang w:val="ro-MD"/>
              </w:rPr>
              <w:t>Bugetul unităților administrativ-teritoriale</w:t>
            </w:r>
          </w:p>
        </w:tc>
      </w:tr>
      <w:tr w:rsidR="006E3824" w:rsidRPr="009E2B4F" w:rsidTr="009D7095">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E3824" w:rsidRPr="009E2B4F" w:rsidRDefault="006E3824" w:rsidP="009D7095">
            <w:pPr>
              <w:tabs>
                <w:tab w:val="left" w:pos="720"/>
              </w:tabs>
              <w:spacing w:line="276" w:lineRule="auto"/>
              <w:jc w:val="center"/>
              <w:rPr>
                <w:rFonts w:asciiTheme="majorHAnsi" w:eastAsia="Times New Roman" w:hAnsiTheme="majorHAnsi" w:cs="Times New Roman"/>
                <w:sz w:val="20"/>
                <w:szCs w:val="20"/>
                <w:lang w:val="ro-MD"/>
              </w:rPr>
            </w:pPr>
            <w:r w:rsidRPr="009E2B4F">
              <w:rPr>
                <w:rFonts w:asciiTheme="majorHAnsi" w:eastAsia="Times New Roman" w:hAnsiTheme="majorHAnsi" w:cs="Times New Roman"/>
                <w:sz w:val="20"/>
                <w:szCs w:val="20"/>
                <w:lang w:val="ro-MD"/>
              </w:rPr>
              <w:t>BS</w:t>
            </w:r>
          </w:p>
        </w:tc>
        <w:tc>
          <w:tcPr>
            <w:tcW w:w="7229" w:type="dxa"/>
          </w:tcPr>
          <w:p w:rsidR="006E3824" w:rsidRPr="009E2B4F" w:rsidRDefault="006E3824" w:rsidP="009D7095">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0"/>
                <w:szCs w:val="20"/>
                <w:lang w:val="ro-MD"/>
              </w:rPr>
            </w:pPr>
            <w:r w:rsidRPr="009E2B4F">
              <w:rPr>
                <w:rFonts w:asciiTheme="majorHAnsi" w:eastAsia="Times New Roman" w:hAnsiTheme="majorHAnsi" w:cs="Times New Roman"/>
                <w:bCs/>
                <w:sz w:val="20"/>
                <w:szCs w:val="20"/>
                <w:lang w:val="ro-MD"/>
              </w:rPr>
              <w:t>Bugetul de stat</w:t>
            </w:r>
          </w:p>
        </w:tc>
      </w:tr>
      <w:tr w:rsidR="006E3824" w:rsidRPr="009E2B4F" w:rsidTr="009D7095">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E3824" w:rsidRPr="009E2B4F" w:rsidRDefault="006E3824" w:rsidP="009D7095">
            <w:pPr>
              <w:tabs>
                <w:tab w:val="left" w:pos="720"/>
              </w:tabs>
              <w:spacing w:line="276" w:lineRule="auto"/>
              <w:jc w:val="center"/>
              <w:rPr>
                <w:rFonts w:asciiTheme="majorHAnsi" w:eastAsia="Times New Roman" w:hAnsiTheme="majorHAnsi" w:cs="Times New Roman"/>
                <w:sz w:val="20"/>
                <w:szCs w:val="20"/>
                <w:lang w:val="ro-MD"/>
              </w:rPr>
            </w:pPr>
            <w:r w:rsidRPr="009E2B4F">
              <w:rPr>
                <w:rFonts w:asciiTheme="majorHAnsi" w:eastAsia="Times New Roman" w:hAnsiTheme="majorHAnsi" w:cs="Times New Roman"/>
                <w:sz w:val="20"/>
                <w:szCs w:val="20"/>
                <w:lang w:val="ro-MD"/>
              </w:rPr>
              <w:t>CBTM</w:t>
            </w:r>
          </w:p>
        </w:tc>
        <w:tc>
          <w:tcPr>
            <w:tcW w:w="7229" w:type="dxa"/>
          </w:tcPr>
          <w:p w:rsidR="006E3824" w:rsidRPr="009E2B4F" w:rsidRDefault="006E3824" w:rsidP="009D7095">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0"/>
                <w:szCs w:val="20"/>
                <w:lang w:val="ro-MD"/>
              </w:rPr>
            </w:pPr>
            <w:r w:rsidRPr="009E2B4F">
              <w:rPr>
                <w:rFonts w:asciiTheme="majorHAnsi" w:eastAsia="Times New Roman" w:hAnsiTheme="majorHAnsi" w:cs="Times New Roman"/>
                <w:bCs/>
                <w:sz w:val="20"/>
                <w:szCs w:val="20"/>
                <w:lang w:val="ro-MD"/>
              </w:rPr>
              <w:t>Cadrul bugetar pe termen mediu</w:t>
            </w:r>
          </w:p>
        </w:tc>
      </w:tr>
      <w:tr w:rsidR="006E3824" w:rsidRPr="009E2B4F" w:rsidTr="009D7095">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E3824" w:rsidRPr="009E2B4F" w:rsidRDefault="006E3824" w:rsidP="009D7095">
            <w:pPr>
              <w:tabs>
                <w:tab w:val="left" w:pos="720"/>
              </w:tabs>
              <w:spacing w:line="276" w:lineRule="auto"/>
              <w:jc w:val="center"/>
              <w:rPr>
                <w:rFonts w:asciiTheme="majorHAnsi" w:eastAsia="Times New Roman" w:hAnsiTheme="majorHAnsi" w:cs="Times New Roman"/>
                <w:sz w:val="20"/>
                <w:szCs w:val="20"/>
                <w:lang w:val="ro-MD"/>
              </w:rPr>
            </w:pPr>
            <w:r w:rsidRPr="009E2B4F">
              <w:rPr>
                <w:rFonts w:asciiTheme="majorHAnsi" w:eastAsia="Times New Roman" w:hAnsiTheme="majorHAnsi" w:cs="Times New Roman"/>
                <w:sz w:val="20"/>
                <w:szCs w:val="20"/>
                <w:lang w:val="ro-MD"/>
              </w:rPr>
              <w:t>CEC</w:t>
            </w:r>
          </w:p>
        </w:tc>
        <w:tc>
          <w:tcPr>
            <w:tcW w:w="7229" w:type="dxa"/>
          </w:tcPr>
          <w:p w:rsidR="006E3824" w:rsidRPr="009E2B4F" w:rsidRDefault="006E3824" w:rsidP="009D7095">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0"/>
                <w:szCs w:val="20"/>
                <w:lang w:val="ro-MD"/>
              </w:rPr>
            </w:pPr>
            <w:r w:rsidRPr="009E2B4F">
              <w:rPr>
                <w:rFonts w:asciiTheme="majorHAnsi" w:eastAsia="Times New Roman" w:hAnsiTheme="majorHAnsi" w:cs="Times New Roman"/>
                <w:bCs/>
                <w:sz w:val="20"/>
                <w:szCs w:val="20"/>
                <w:lang w:val="ro-MD"/>
              </w:rPr>
              <w:t>Comisia Electorală Centrală</w:t>
            </w:r>
          </w:p>
        </w:tc>
      </w:tr>
      <w:tr w:rsidR="006E3824" w:rsidRPr="009E2B4F" w:rsidTr="009D7095">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E3824" w:rsidRPr="009E2B4F" w:rsidRDefault="006E3824" w:rsidP="009D7095">
            <w:pPr>
              <w:tabs>
                <w:tab w:val="left" w:pos="720"/>
              </w:tabs>
              <w:spacing w:line="276" w:lineRule="auto"/>
              <w:jc w:val="center"/>
              <w:rPr>
                <w:rFonts w:asciiTheme="majorHAnsi" w:eastAsia="Times New Roman" w:hAnsiTheme="majorHAnsi" w:cs="Times New Roman"/>
                <w:sz w:val="20"/>
                <w:szCs w:val="20"/>
                <w:lang w:val="ro-MD"/>
              </w:rPr>
            </w:pPr>
            <w:r w:rsidRPr="009E2B4F">
              <w:rPr>
                <w:rFonts w:asciiTheme="majorHAnsi" w:eastAsia="Times New Roman" w:hAnsiTheme="majorHAnsi" w:cs="Times New Roman"/>
                <w:sz w:val="20"/>
                <w:szCs w:val="20"/>
                <w:lang w:val="ro-MD"/>
              </w:rPr>
              <w:t>CEDO</w:t>
            </w:r>
          </w:p>
        </w:tc>
        <w:tc>
          <w:tcPr>
            <w:tcW w:w="7229" w:type="dxa"/>
          </w:tcPr>
          <w:p w:rsidR="006E3824" w:rsidRPr="009E2B4F" w:rsidRDefault="006E3824" w:rsidP="009D7095">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0"/>
                <w:szCs w:val="20"/>
                <w:lang w:val="ro-MD"/>
              </w:rPr>
            </w:pPr>
            <w:r w:rsidRPr="009E2B4F">
              <w:rPr>
                <w:rFonts w:asciiTheme="majorHAnsi" w:eastAsia="Times New Roman" w:hAnsiTheme="majorHAnsi" w:cs="Times New Roman"/>
                <w:sz w:val="20"/>
                <w:szCs w:val="20"/>
                <w:lang w:val="ro-MD"/>
              </w:rPr>
              <w:t>Curtea Europeană a Drepturilor Omului</w:t>
            </w:r>
          </w:p>
        </w:tc>
      </w:tr>
      <w:tr w:rsidR="006E3824" w:rsidRPr="009E2B4F" w:rsidTr="009D7095">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E3824" w:rsidRPr="009E2B4F" w:rsidRDefault="006E3824" w:rsidP="009D7095">
            <w:pPr>
              <w:tabs>
                <w:tab w:val="left" w:pos="720"/>
              </w:tabs>
              <w:spacing w:line="276" w:lineRule="auto"/>
              <w:jc w:val="center"/>
              <w:rPr>
                <w:rFonts w:asciiTheme="majorHAnsi" w:eastAsia="Times New Roman" w:hAnsiTheme="majorHAnsi" w:cs="Times New Roman"/>
                <w:sz w:val="20"/>
                <w:szCs w:val="20"/>
                <w:lang w:val="ro-MD"/>
              </w:rPr>
            </w:pPr>
            <w:r>
              <w:rPr>
                <w:rFonts w:asciiTheme="majorHAnsi" w:eastAsia="Times New Roman" w:hAnsiTheme="majorHAnsi" w:cs="Times New Roman"/>
                <w:sz w:val="20"/>
                <w:szCs w:val="20"/>
                <w:lang w:val="ro-MD"/>
              </w:rPr>
              <w:t>CIM</w:t>
            </w:r>
          </w:p>
        </w:tc>
        <w:tc>
          <w:tcPr>
            <w:tcW w:w="7229" w:type="dxa"/>
          </w:tcPr>
          <w:p w:rsidR="006E3824" w:rsidRPr="009E2B4F" w:rsidRDefault="006E3824" w:rsidP="009D7095">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ro-MD"/>
              </w:rPr>
            </w:pPr>
            <w:r>
              <w:rPr>
                <w:rFonts w:asciiTheme="majorHAnsi" w:eastAsia="Times New Roman" w:hAnsiTheme="majorHAnsi" w:cs="Times New Roman"/>
                <w:sz w:val="20"/>
                <w:szCs w:val="20"/>
                <w:lang w:val="ro-MD"/>
              </w:rPr>
              <w:t>C</w:t>
            </w:r>
            <w:r w:rsidRPr="009E1858">
              <w:rPr>
                <w:rFonts w:asciiTheme="majorHAnsi" w:eastAsia="Times New Roman" w:hAnsiTheme="majorHAnsi" w:cs="Times New Roman"/>
                <w:sz w:val="20"/>
                <w:szCs w:val="20"/>
                <w:lang w:val="ro-MD"/>
              </w:rPr>
              <w:t>ontrol intern managerial</w:t>
            </w:r>
          </w:p>
        </w:tc>
      </w:tr>
      <w:tr w:rsidR="006E3824" w:rsidRPr="009E2B4F" w:rsidTr="009D7095">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E3824" w:rsidRDefault="006E3824" w:rsidP="009D7095">
            <w:pPr>
              <w:tabs>
                <w:tab w:val="left" w:pos="720"/>
              </w:tabs>
              <w:spacing w:line="276" w:lineRule="auto"/>
              <w:jc w:val="center"/>
              <w:rPr>
                <w:rFonts w:asciiTheme="majorHAnsi" w:eastAsia="Times New Roman" w:hAnsiTheme="majorHAnsi" w:cs="Times New Roman"/>
                <w:sz w:val="20"/>
                <w:szCs w:val="20"/>
                <w:lang w:val="ro-MD"/>
              </w:rPr>
            </w:pPr>
            <w:r>
              <w:rPr>
                <w:rFonts w:asciiTheme="majorHAnsi" w:eastAsia="Times New Roman" w:hAnsiTheme="majorHAnsi" w:cs="Times New Roman"/>
                <w:sz w:val="20"/>
                <w:szCs w:val="20"/>
                <w:lang w:val="ro-MD"/>
              </w:rPr>
              <w:t>CNA</w:t>
            </w:r>
          </w:p>
        </w:tc>
        <w:tc>
          <w:tcPr>
            <w:tcW w:w="7229" w:type="dxa"/>
          </w:tcPr>
          <w:p w:rsidR="006E3824" w:rsidRDefault="006E3824" w:rsidP="009D7095">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ro-MD"/>
              </w:rPr>
            </w:pPr>
            <w:r w:rsidRPr="009C77F4">
              <w:rPr>
                <w:rFonts w:asciiTheme="majorHAnsi" w:eastAsia="Times New Roman" w:hAnsiTheme="majorHAnsi" w:cs="Times New Roman"/>
                <w:sz w:val="20"/>
                <w:szCs w:val="20"/>
                <w:lang w:val="ro-MD"/>
              </w:rPr>
              <w:t>Centrul Național Anticorupție</w:t>
            </w:r>
          </w:p>
        </w:tc>
      </w:tr>
      <w:tr w:rsidR="006E3824" w:rsidRPr="009E2B4F" w:rsidTr="009D7095">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E3824" w:rsidRPr="009E2B4F" w:rsidRDefault="006E3824" w:rsidP="009D7095">
            <w:pPr>
              <w:tabs>
                <w:tab w:val="left" w:pos="720"/>
              </w:tabs>
              <w:spacing w:line="276" w:lineRule="auto"/>
              <w:jc w:val="center"/>
              <w:rPr>
                <w:rFonts w:asciiTheme="majorHAnsi" w:eastAsia="Times New Roman" w:hAnsiTheme="majorHAnsi" w:cs="Times New Roman"/>
                <w:sz w:val="20"/>
                <w:szCs w:val="20"/>
                <w:lang w:val="ro-MD"/>
              </w:rPr>
            </w:pPr>
            <w:r>
              <w:rPr>
                <w:rFonts w:asciiTheme="majorHAnsi" w:eastAsia="Times New Roman" w:hAnsiTheme="majorHAnsi" w:cs="Times New Roman"/>
                <w:sz w:val="20"/>
                <w:szCs w:val="20"/>
                <w:lang w:val="ro-MD"/>
              </w:rPr>
              <w:t>CNAS</w:t>
            </w:r>
          </w:p>
        </w:tc>
        <w:tc>
          <w:tcPr>
            <w:tcW w:w="7229" w:type="dxa"/>
          </w:tcPr>
          <w:p w:rsidR="006E3824" w:rsidRPr="009E2B4F" w:rsidRDefault="006E3824" w:rsidP="009D7095">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ro-MD"/>
              </w:rPr>
            </w:pPr>
            <w:r>
              <w:rPr>
                <w:rFonts w:asciiTheme="majorHAnsi" w:eastAsia="Times New Roman" w:hAnsiTheme="majorHAnsi" w:cs="Times New Roman"/>
                <w:sz w:val="20"/>
                <w:szCs w:val="20"/>
                <w:lang w:val="ro-MD"/>
              </w:rPr>
              <w:t>Casa Națională de Asigurări Sociale</w:t>
            </w:r>
          </w:p>
        </w:tc>
      </w:tr>
      <w:tr w:rsidR="006E3824" w:rsidRPr="009E2B4F" w:rsidTr="009D7095">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E3824" w:rsidRPr="009E2B4F" w:rsidRDefault="006E3824" w:rsidP="009D7095">
            <w:pPr>
              <w:tabs>
                <w:tab w:val="left" w:pos="720"/>
              </w:tabs>
              <w:spacing w:line="276" w:lineRule="auto"/>
              <w:jc w:val="center"/>
              <w:rPr>
                <w:rFonts w:asciiTheme="majorHAnsi" w:eastAsia="Times New Roman" w:hAnsiTheme="majorHAnsi" w:cs="Times New Roman"/>
                <w:sz w:val="20"/>
                <w:szCs w:val="20"/>
                <w:lang w:val="ro-MD"/>
              </w:rPr>
            </w:pPr>
            <w:r w:rsidRPr="009E2B4F">
              <w:rPr>
                <w:rFonts w:asciiTheme="majorHAnsi" w:eastAsia="Times New Roman" w:hAnsiTheme="majorHAnsi" w:cs="Times New Roman"/>
                <w:sz w:val="20"/>
                <w:szCs w:val="20"/>
                <w:lang w:val="ro-MD"/>
              </w:rPr>
              <w:t>Cod ECO</w:t>
            </w:r>
          </w:p>
        </w:tc>
        <w:tc>
          <w:tcPr>
            <w:tcW w:w="7229" w:type="dxa"/>
          </w:tcPr>
          <w:p w:rsidR="006E3824" w:rsidRPr="009E2B4F" w:rsidRDefault="006E3824" w:rsidP="009D7095">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0"/>
                <w:szCs w:val="20"/>
                <w:lang w:val="ro-MD"/>
              </w:rPr>
            </w:pPr>
            <w:r w:rsidRPr="009E2B4F">
              <w:rPr>
                <w:rFonts w:asciiTheme="majorHAnsi" w:eastAsia="Times New Roman" w:hAnsiTheme="majorHAnsi" w:cs="Times New Roman"/>
                <w:bCs/>
                <w:sz w:val="20"/>
                <w:szCs w:val="20"/>
                <w:lang w:val="ro-MD"/>
              </w:rPr>
              <w:t>Cod economic</w:t>
            </w:r>
          </w:p>
        </w:tc>
      </w:tr>
      <w:tr w:rsidR="006E3824" w:rsidRPr="009E2B4F" w:rsidTr="009D7095">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E3824" w:rsidRPr="009E2B4F" w:rsidRDefault="006E3824" w:rsidP="009D7095">
            <w:pPr>
              <w:tabs>
                <w:tab w:val="left" w:pos="720"/>
              </w:tabs>
              <w:spacing w:line="276" w:lineRule="auto"/>
              <w:jc w:val="center"/>
              <w:rPr>
                <w:rFonts w:asciiTheme="majorHAnsi" w:eastAsia="Times New Roman" w:hAnsiTheme="majorHAnsi" w:cs="Times New Roman"/>
                <w:sz w:val="20"/>
                <w:szCs w:val="20"/>
                <w:lang w:val="ro-MD"/>
              </w:rPr>
            </w:pPr>
            <w:r w:rsidRPr="009E2B4F">
              <w:rPr>
                <w:rFonts w:asciiTheme="majorHAnsi" w:eastAsia="Times New Roman" w:hAnsiTheme="majorHAnsi" w:cs="Times New Roman"/>
                <w:sz w:val="20"/>
                <w:szCs w:val="20"/>
                <w:lang w:val="ro-MD"/>
              </w:rPr>
              <w:t>CUT</w:t>
            </w:r>
          </w:p>
        </w:tc>
        <w:tc>
          <w:tcPr>
            <w:tcW w:w="7229" w:type="dxa"/>
          </w:tcPr>
          <w:p w:rsidR="006E3824" w:rsidRPr="009E2B4F" w:rsidRDefault="006E3824" w:rsidP="009D7095">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0"/>
                <w:szCs w:val="20"/>
                <w:lang w:val="ro-MD"/>
              </w:rPr>
            </w:pPr>
            <w:r w:rsidRPr="009E2B4F">
              <w:rPr>
                <w:rFonts w:asciiTheme="majorHAnsi" w:eastAsia="Times New Roman" w:hAnsiTheme="majorHAnsi" w:cs="Times New Roman"/>
                <w:bCs/>
                <w:sz w:val="20"/>
                <w:szCs w:val="20"/>
                <w:lang w:val="ro-MD"/>
              </w:rPr>
              <w:t>Cont unic Trezorerial</w:t>
            </w:r>
          </w:p>
        </w:tc>
      </w:tr>
      <w:tr w:rsidR="006E3824" w:rsidRPr="009E2B4F" w:rsidTr="009D7095">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E3824" w:rsidRPr="009E2B4F" w:rsidRDefault="006E3824" w:rsidP="009D7095">
            <w:pPr>
              <w:tabs>
                <w:tab w:val="left" w:pos="720"/>
              </w:tabs>
              <w:spacing w:line="276" w:lineRule="auto"/>
              <w:jc w:val="center"/>
              <w:rPr>
                <w:rFonts w:asciiTheme="majorHAnsi" w:eastAsia="Times New Roman" w:hAnsiTheme="majorHAnsi" w:cs="Times New Roman"/>
                <w:sz w:val="20"/>
                <w:szCs w:val="20"/>
                <w:lang w:val="ro-MD"/>
              </w:rPr>
            </w:pPr>
            <w:r w:rsidRPr="009E2B4F">
              <w:rPr>
                <w:rFonts w:asciiTheme="majorHAnsi" w:eastAsia="Times New Roman" w:hAnsiTheme="majorHAnsi" w:cs="Times New Roman"/>
                <w:sz w:val="20"/>
                <w:szCs w:val="20"/>
                <w:lang w:val="ro-MD"/>
              </w:rPr>
              <w:t>FAOAM</w:t>
            </w:r>
          </w:p>
        </w:tc>
        <w:tc>
          <w:tcPr>
            <w:tcW w:w="7229" w:type="dxa"/>
          </w:tcPr>
          <w:p w:rsidR="006E3824" w:rsidRPr="009E2B4F" w:rsidRDefault="006E3824" w:rsidP="009D7095">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0"/>
                <w:szCs w:val="20"/>
                <w:lang w:val="ro-MD"/>
              </w:rPr>
            </w:pPr>
            <w:r w:rsidRPr="009E2B4F">
              <w:rPr>
                <w:rFonts w:asciiTheme="majorHAnsi" w:eastAsia="Times New Roman" w:hAnsiTheme="majorHAnsi" w:cs="Times New Roman"/>
                <w:bCs/>
                <w:sz w:val="20"/>
                <w:szCs w:val="20"/>
                <w:lang w:val="ro-MD"/>
              </w:rPr>
              <w:t>Fondurile asigurării obligatorii de asistență medicală</w:t>
            </w:r>
          </w:p>
        </w:tc>
      </w:tr>
      <w:tr w:rsidR="006E3824" w:rsidRPr="009E2B4F" w:rsidTr="009D7095">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E3824" w:rsidRPr="009E2B4F" w:rsidRDefault="006E3824" w:rsidP="009D7095">
            <w:pPr>
              <w:tabs>
                <w:tab w:val="left" w:pos="720"/>
              </w:tabs>
              <w:spacing w:line="276" w:lineRule="auto"/>
              <w:jc w:val="center"/>
              <w:rPr>
                <w:rFonts w:asciiTheme="majorHAnsi" w:eastAsia="Times New Roman" w:hAnsiTheme="majorHAnsi" w:cs="Times New Roman"/>
                <w:sz w:val="20"/>
                <w:szCs w:val="20"/>
                <w:lang w:val="ro-MD"/>
              </w:rPr>
            </w:pPr>
            <w:r>
              <w:rPr>
                <w:rFonts w:asciiTheme="majorHAnsi" w:eastAsia="Times New Roman" w:hAnsiTheme="majorHAnsi" w:cs="Times New Roman"/>
                <w:sz w:val="20"/>
                <w:szCs w:val="20"/>
                <w:lang w:val="ro-MD"/>
              </w:rPr>
              <w:t>FISM</w:t>
            </w:r>
          </w:p>
        </w:tc>
        <w:tc>
          <w:tcPr>
            <w:tcW w:w="7229" w:type="dxa"/>
          </w:tcPr>
          <w:p w:rsidR="006E3824" w:rsidRPr="009E2B4F" w:rsidRDefault="006E3824" w:rsidP="009D7095">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0"/>
                <w:szCs w:val="20"/>
                <w:lang w:val="ro-MD"/>
              </w:rPr>
            </w:pPr>
            <w:r w:rsidRPr="00CD5C4F">
              <w:rPr>
                <w:rFonts w:asciiTheme="majorHAnsi" w:eastAsia="Times New Roman" w:hAnsiTheme="majorHAnsi" w:cs="Times New Roman"/>
                <w:bCs/>
                <w:sz w:val="20"/>
                <w:szCs w:val="20"/>
                <w:lang w:val="ro-MD"/>
              </w:rPr>
              <w:t>Fondul de Investiții Sociale din Moldova</w:t>
            </w:r>
          </w:p>
        </w:tc>
      </w:tr>
      <w:tr w:rsidR="006E3824" w:rsidRPr="009E2B4F" w:rsidTr="009D7095">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E3824" w:rsidRPr="009E2B4F" w:rsidRDefault="006E3824" w:rsidP="009D7095">
            <w:pPr>
              <w:tabs>
                <w:tab w:val="left" w:pos="720"/>
              </w:tabs>
              <w:spacing w:line="276" w:lineRule="auto"/>
              <w:jc w:val="center"/>
              <w:rPr>
                <w:rFonts w:asciiTheme="majorHAnsi" w:eastAsia="Times New Roman" w:hAnsiTheme="majorHAnsi" w:cs="Times New Roman"/>
                <w:sz w:val="20"/>
                <w:szCs w:val="20"/>
                <w:lang w:val="ro-MD"/>
              </w:rPr>
            </w:pPr>
            <w:r w:rsidRPr="009E2B4F">
              <w:rPr>
                <w:rFonts w:asciiTheme="majorHAnsi" w:eastAsia="Times New Roman" w:hAnsiTheme="majorHAnsi" w:cs="Times New Roman"/>
                <w:sz w:val="20"/>
                <w:szCs w:val="20"/>
                <w:lang w:val="ro-MD"/>
              </w:rPr>
              <w:t>HG</w:t>
            </w:r>
          </w:p>
        </w:tc>
        <w:tc>
          <w:tcPr>
            <w:tcW w:w="7229" w:type="dxa"/>
          </w:tcPr>
          <w:p w:rsidR="006E3824" w:rsidRPr="009E2B4F" w:rsidRDefault="006E3824" w:rsidP="009D7095">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0"/>
                <w:szCs w:val="20"/>
                <w:lang w:val="ro-MD"/>
              </w:rPr>
            </w:pPr>
            <w:r w:rsidRPr="009E2B4F">
              <w:rPr>
                <w:rFonts w:asciiTheme="majorHAnsi" w:eastAsia="Times New Roman" w:hAnsiTheme="majorHAnsi" w:cs="Times New Roman"/>
                <w:bCs/>
                <w:sz w:val="20"/>
                <w:szCs w:val="20"/>
                <w:lang w:val="ro-MD"/>
              </w:rPr>
              <w:t>Hotărâre de Guvern</w:t>
            </w:r>
          </w:p>
        </w:tc>
      </w:tr>
      <w:tr w:rsidR="006E3824" w:rsidRPr="009E2B4F" w:rsidTr="009D7095">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E3824" w:rsidRPr="009E2B4F" w:rsidRDefault="006E3824" w:rsidP="009D7095">
            <w:pPr>
              <w:tabs>
                <w:tab w:val="left" w:pos="720"/>
              </w:tabs>
              <w:spacing w:line="276" w:lineRule="auto"/>
              <w:jc w:val="center"/>
              <w:rPr>
                <w:rFonts w:asciiTheme="majorHAnsi" w:eastAsia="Times New Roman" w:hAnsiTheme="majorHAnsi" w:cs="Times New Roman"/>
                <w:sz w:val="20"/>
                <w:szCs w:val="20"/>
                <w:lang w:val="ro-MD"/>
              </w:rPr>
            </w:pPr>
            <w:r w:rsidRPr="009E2B4F">
              <w:rPr>
                <w:rFonts w:asciiTheme="majorHAnsi" w:eastAsia="Times New Roman" w:hAnsiTheme="majorHAnsi" w:cs="Times New Roman"/>
                <w:sz w:val="20"/>
                <w:szCs w:val="20"/>
                <w:lang w:val="ro-MD"/>
              </w:rPr>
              <w:t>HCC</w:t>
            </w:r>
          </w:p>
        </w:tc>
        <w:tc>
          <w:tcPr>
            <w:tcW w:w="7229" w:type="dxa"/>
          </w:tcPr>
          <w:p w:rsidR="006E3824" w:rsidRPr="009E2B4F" w:rsidRDefault="006E3824" w:rsidP="009D7095">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0"/>
                <w:szCs w:val="20"/>
                <w:lang w:val="ro-MD"/>
              </w:rPr>
            </w:pPr>
            <w:r w:rsidRPr="009E2B4F">
              <w:rPr>
                <w:rFonts w:asciiTheme="majorHAnsi" w:eastAsia="Times New Roman" w:hAnsiTheme="majorHAnsi" w:cs="Times New Roman"/>
                <w:bCs/>
                <w:sz w:val="20"/>
                <w:szCs w:val="20"/>
                <w:lang w:val="ro-MD"/>
              </w:rPr>
              <w:t>Hotărârea Curții de Conturi</w:t>
            </w:r>
          </w:p>
        </w:tc>
      </w:tr>
      <w:tr w:rsidR="006E3824" w:rsidRPr="009E2B4F" w:rsidTr="009D7095">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E3824" w:rsidRPr="009E2B4F" w:rsidRDefault="006E3824" w:rsidP="009D7095">
            <w:pPr>
              <w:tabs>
                <w:tab w:val="left" w:pos="720"/>
              </w:tabs>
              <w:spacing w:line="276" w:lineRule="auto"/>
              <w:jc w:val="center"/>
              <w:rPr>
                <w:rFonts w:asciiTheme="majorHAnsi" w:eastAsia="Times New Roman" w:hAnsiTheme="majorHAnsi" w:cs="Times New Roman"/>
                <w:sz w:val="20"/>
                <w:szCs w:val="20"/>
                <w:lang w:val="ro-MD"/>
              </w:rPr>
            </w:pPr>
            <w:r>
              <w:rPr>
                <w:rFonts w:asciiTheme="majorHAnsi" w:eastAsia="Times New Roman" w:hAnsiTheme="majorHAnsi" w:cs="Times New Roman"/>
                <w:sz w:val="20"/>
                <w:szCs w:val="20"/>
                <w:lang w:val="ro-MD"/>
              </w:rPr>
              <w:t>IP</w:t>
            </w:r>
          </w:p>
        </w:tc>
        <w:tc>
          <w:tcPr>
            <w:tcW w:w="7229" w:type="dxa"/>
          </w:tcPr>
          <w:p w:rsidR="006E3824" w:rsidRPr="009E2B4F" w:rsidRDefault="006E3824" w:rsidP="009D7095">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0"/>
                <w:szCs w:val="20"/>
                <w:lang w:val="ro-MD"/>
              </w:rPr>
            </w:pPr>
            <w:r>
              <w:rPr>
                <w:rFonts w:asciiTheme="majorHAnsi" w:eastAsia="Times New Roman" w:hAnsiTheme="majorHAnsi" w:cs="Times New Roman"/>
                <w:bCs/>
                <w:sz w:val="20"/>
                <w:szCs w:val="20"/>
                <w:lang w:val="ro-MD"/>
              </w:rPr>
              <w:t>Instituția publică</w:t>
            </w:r>
          </w:p>
        </w:tc>
      </w:tr>
      <w:tr w:rsidR="006E3824" w:rsidRPr="009E2B4F" w:rsidTr="009D7095">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E3824" w:rsidRPr="009E2B4F" w:rsidRDefault="006E3824" w:rsidP="009D7095">
            <w:pPr>
              <w:tabs>
                <w:tab w:val="left" w:pos="720"/>
              </w:tabs>
              <w:spacing w:line="276" w:lineRule="auto"/>
              <w:jc w:val="center"/>
              <w:rPr>
                <w:rFonts w:asciiTheme="majorHAnsi" w:eastAsia="Times New Roman" w:hAnsiTheme="majorHAnsi" w:cs="Times New Roman"/>
                <w:sz w:val="20"/>
                <w:szCs w:val="20"/>
                <w:lang w:val="ro-MD"/>
              </w:rPr>
            </w:pPr>
            <w:r w:rsidRPr="009E2B4F">
              <w:rPr>
                <w:rFonts w:asciiTheme="majorHAnsi" w:eastAsia="Times New Roman" w:hAnsiTheme="majorHAnsi" w:cs="Times New Roman"/>
                <w:sz w:val="20"/>
                <w:szCs w:val="20"/>
                <w:lang w:val="ro-MD"/>
              </w:rPr>
              <w:t>ÎS</w:t>
            </w:r>
          </w:p>
        </w:tc>
        <w:tc>
          <w:tcPr>
            <w:tcW w:w="7229" w:type="dxa"/>
          </w:tcPr>
          <w:p w:rsidR="006E3824" w:rsidRPr="009E2B4F" w:rsidRDefault="006E3824" w:rsidP="009D7095">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0"/>
                <w:szCs w:val="20"/>
                <w:lang w:val="ro-MD"/>
              </w:rPr>
            </w:pPr>
            <w:r w:rsidRPr="009E2B4F">
              <w:rPr>
                <w:rFonts w:asciiTheme="majorHAnsi" w:eastAsia="Times New Roman" w:hAnsiTheme="majorHAnsi" w:cs="Times New Roman"/>
                <w:bCs/>
                <w:sz w:val="20"/>
                <w:szCs w:val="20"/>
                <w:lang w:val="ro-MD"/>
              </w:rPr>
              <w:t>Întreprindere de Stat</w:t>
            </w:r>
          </w:p>
        </w:tc>
      </w:tr>
      <w:tr w:rsidR="006E3824" w:rsidRPr="009E2B4F" w:rsidTr="009D7095">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E3824" w:rsidRPr="009E2B4F" w:rsidRDefault="006E3824" w:rsidP="009D7095">
            <w:pPr>
              <w:tabs>
                <w:tab w:val="left" w:pos="720"/>
              </w:tabs>
              <w:spacing w:line="276" w:lineRule="auto"/>
              <w:jc w:val="center"/>
              <w:rPr>
                <w:rFonts w:asciiTheme="majorHAnsi" w:eastAsia="Times New Roman" w:hAnsiTheme="majorHAnsi" w:cs="Times New Roman"/>
                <w:sz w:val="20"/>
                <w:szCs w:val="20"/>
                <w:lang w:val="ro-MD"/>
              </w:rPr>
            </w:pPr>
            <w:r w:rsidRPr="009E2B4F">
              <w:rPr>
                <w:rFonts w:asciiTheme="majorHAnsi" w:eastAsia="Times New Roman" w:hAnsiTheme="majorHAnsi" w:cs="Times New Roman"/>
                <w:sz w:val="20"/>
                <w:szCs w:val="20"/>
                <w:lang w:val="ro-MD"/>
              </w:rPr>
              <w:t>MA</w:t>
            </w:r>
          </w:p>
        </w:tc>
        <w:tc>
          <w:tcPr>
            <w:tcW w:w="7229" w:type="dxa"/>
          </w:tcPr>
          <w:p w:rsidR="006E3824" w:rsidRPr="009E2B4F" w:rsidRDefault="006E3824" w:rsidP="009D7095">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0"/>
                <w:szCs w:val="20"/>
                <w:lang w:val="ro-MD"/>
              </w:rPr>
            </w:pPr>
            <w:r w:rsidRPr="009E2B4F">
              <w:rPr>
                <w:rFonts w:asciiTheme="majorHAnsi" w:eastAsia="Times New Roman" w:hAnsiTheme="majorHAnsi" w:cs="Times New Roman"/>
                <w:bCs/>
                <w:sz w:val="20"/>
                <w:szCs w:val="20"/>
                <w:lang w:val="ro-MD"/>
              </w:rPr>
              <w:t>Ministerul Apărării</w:t>
            </w:r>
          </w:p>
        </w:tc>
      </w:tr>
      <w:tr w:rsidR="006E3824" w:rsidRPr="009E2B4F" w:rsidTr="009D7095">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E3824" w:rsidRPr="009E2B4F" w:rsidRDefault="006E3824" w:rsidP="009D7095">
            <w:pPr>
              <w:tabs>
                <w:tab w:val="left" w:pos="720"/>
              </w:tabs>
              <w:spacing w:line="276" w:lineRule="auto"/>
              <w:jc w:val="center"/>
              <w:rPr>
                <w:rFonts w:asciiTheme="majorHAnsi" w:eastAsia="Times New Roman" w:hAnsiTheme="majorHAnsi" w:cs="Times New Roman"/>
                <w:sz w:val="20"/>
                <w:szCs w:val="20"/>
                <w:lang w:val="ro-MD"/>
              </w:rPr>
            </w:pPr>
            <w:r w:rsidRPr="009E2B4F">
              <w:rPr>
                <w:rFonts w:asciiTheme="majorHAnsi" w:hAnsiTheme="majorHAnsi" w:cstheme="majorHAnsi"/>
                <w:color w:val="212121"/>
                <w:sz w:val="20"/>
                <w:szCs w:val="20"/>
                <w:lang w:val="ro-MD"/>
              </w:rPr>
              <w:t>MAEIE</w:t>
            </w:r>
          </w:p>
        </w:tc>
        <w:tc>
          <w:tcPr>
            <w:tcW w:w="7229" w:type="dxa"/>
          </w:tcPr>
          <w:p w:rsidR="006E3824" w:rsidRPr="009E2B4F" w:rsidRDefault="006E3824" w:rsidP="009D7095">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0"/>
                <w:szCs w:val="20"/>
                <w:lang w:val="ro-MD"/>
              </w:rPr>
            </w:pPr>
            <w:r w:rsidRPr="009E2B4F">
              <w:rPr>
                <w:rFonts w:asciiTheme="majorHAnsi" w:eastAsia="Times New Roman" w:hAnsiTheme="majorHAnsi" w:cs="Times New Roman"/>
                <w:bCs/>
                <w:sz w:val="20"/>
                <w:szCs w:val="20"/>
                <w:lang w:val="ro-MD"/>
              </w:rPr>
              <w:t>Ministerul Afacerilor Externe și Integrării Europene</w:t>
            </w:r>
          </w:p>
        </w:tc>
      </w:tr>
      <w:tr w:rsidR="006E3824" w:rsidRPr="009E2B4F" w:rsidTr="009D7095">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E3824" w:rsidRPr="009E2B4F" w:rsidRDefault="006E3824" w:rsidP="009D7095">
            <w:pPr>
              <w:tabs>
                <w:tab w:val="left" w:pos="720"/>
              </w:tabs>
              <w:spacing w:line="276" w:lineRule="auto"/>
              <w:jc w:val="center"/>
              <w:rPr>
                <w:rFonts w:asciiTheme="majorHAnsi" w:eastAsia="Times New Roman" w:hAnsiTheme="majorHAnsi" w:cs="Times New Roman"/>
                <w:sz w:val="20"/>
                <w:szCs w:val="20"/>
                <w:lang w:val="ro-MD"/>
              </w:rPr>
            </w:pPr>
            <w:r w:rsidRPr="009E2B4F">
              <w:rPr>
                <w:rFonts w:asciiTheme="majorHAnsi" w:eastAsia="Times New Roman" w:hAnsiTheme="majorHAnsi" w:cs="Times New Roman"/>
                <w:sz w:val="20"/>
                <w:szCs w:val="20"/>
                <w:lang w:val="ro-MD"/>
              </w:rPr>
              <w:t>MADRM</w:t>
            </w:r>
          </w:p>
        </w:tc>
        <w:tc>
          <w:tcPr>
            <w:tcW w:w="7229" w:type="dxa"/>
          </w:tcPr>
          <w:p w:rsidR="006E3824" w:rsidRPr="009E2B4F" w:rsidRDefault="006E3824" w:rsidP="009D7095">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0"/>
                <w:szCs w:val="20"/>
                <w:lang w:val="ro-MD"/>
              </w:rPr>
            </w:pPr>
            <w:r w:rsidRPr="009E2B4F">
              <w:rPr>
                <w:rFonts w:asciiTheme="majorHAnsi" w:eastAsia="Times New Roman" w:hAnsiTheme="majorHAnsi" w:cs="Times New Roman"/>
                <w:bCs/>
                <w:sz w:val="20"/>
                <w:szCs w:val="20"/>
                <w:lang w:val="ro-MD"/>
              </w:rPr>
              <w:t>Ministerul Agriculturii, Dezvoltării Regionale și Mediului</w:t>
            </w:r>
          </w:p>
        </w:tc>
      </w:tr>
      <w:tr w:rsidR="006E3824" w:rsidRPr="009E2B4F" w:rsidTr="009D7095">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E3824" w:rsidRPr="009E2B4F" w:rsidRDefault="006E3824" w:rsidP="009D7095">
            <w:pPr>
              <w:tabs>
                <w:tab w:val="left" w:pos="720"/>
              </w:tabs>
              <w:spacing w:line="276" w:lineRule="auto"/>
              <w:jc w:val="center"/>
              <w:rPr>
                <w:rFonts w:asciiTheme="majorHAnsi" w:eastAsia="Times New Roman" w:hAnsiTheme="majorHAnsi" w:cs="Times New Roman"/>
                <w:sz w:val="20"/>
                <w:szCs w:val="20"/>
                <w:lang w:val="ro-MD"/>
              </w:rPr>
            </w:pPr>
            <w:r w:rsidRPr="009E2B4F">
              <w:rPr>
                <w:rFonts w:asciiTheme="majorHAnsi" w:eastAsia="Times New Roman" w:hAnsiTheme="majorHAnsi" w:cs="Times New Roman"/>
                <w:sz w:val="20"/>
                <w:szCs w:val="20"/>
                <w:lang w:val="ro-MD"/>
              </w:rPr>
              <w:t>MAI</w:t>
            </w:r>
          </w:p>
        </w:tc>
        <w:tc>
          <w:tcPr>
            <w:tcW w:w="7229" w:type="dxa"/>
          </w:tcPr>
          <w:p w:rsidR="006E3824" w:rsidRPr="009E2B4F" w:rsidRDefault="006E3824" w:rsidP="009D7095">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0"/>
                <w:szCs w:val="20"/>
                <w:lang w:val="ro-MD"/>
              </w:rPr>
            </w:pPr>
            <w:r w:rsidRPr="009E2B4F">
              <w:rPr>
                <w:rFonts w:asciiTheme="majorHAnsi" w:eastAsia="Times New Roman" w:hAnsiTheme="majorHAnsi" w:cs="Times New Roman"/>
                <w:bCs/>
                <w:sz w:val="20"/>
                <w:szCs w:val="20"/>
                <w:lang w:val="ro-MD"/>
              </w:rPr>
              <w:t>Ministerul Afacerilor Interne</w:t>
            </w:r>
          </w:p>
        </w:tc>
      </w:tr>
      <w:tr w:rsidR="006E3824" w:rsidRPr="009E2B4F" w:rsidTr="009D7095">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E3824" w:rsidRPr="009E2B4F" w:rsidRDefault="006E3824" w:rsidP="009D7095">
            <w:pPr>
              <w:tabs>
                <w:tab w:val="left" w:pos="720"/>
              </w:tabs>
              <w:spacing w:line="276" w:lineRule="auto"/>
              <w:jc w:val="center"/>
              <w:rPr>
                <w:rFonts w:asciiTheme="majorHAnsi" w:eastAsia="Times New Roman" w:hAnsiTheme="majorHAnsi" w:cs="Times New Roman"/>
                <w:sz w:val="20"/>
                <w:szCs w:val="20"/>
                <w:lang w:val="ro-MD"/>
              </w:rPr>
            </w:pPr>
            <w:r w:rsidRPr="009E2B4F">
              <w:rPr>
                <w:rFonts w:asciiTheme="majorHAnsi" w:eastAsia="Times New Roman" w:hAnsiTheme="majorHAnsi" w:cs="Times New Roman"/>
                <w:sz w:val="20"/>
                <w:szCs w:val="20"/>
                <w:lang w:val="ro-MD"/>
              </w:rPr>
              <w:t>MECC</w:t>
            </w:r>
          </w:p>
        </w:tc>
        <w:tc>
          <w:tcPr>
            <w:tcW w:w="7229" w:type="dxa"/>
          </w:tcPr>
          <w:p w:rsidR="006E3824" w:rsidRPr="009E2B4F" w:rsidRDefault="006E3824" w:rsidP="009D7095">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0"/>
                <w:szCs w:val="20"/>
                <w:lang w:val="ro-MD"/>
              </w:rPr>
            </w:pPr>
            <w:r w:rsidRPr="009E2B4F">
              <w:rPr>
                <w:rFonts w:asciiTheme="majorHAnsi" w:eastAsia="Times New Roman" w:hAnsiTheme="majorHAnsi" w:cs="Times New Roman"/>
                <w:bCs/>
                <w:sz w:val="20"/>
                <w:szCs w:val="20"/>
                <w:lang w:val="ro-MD"/>
              </w:rPr>
              <w:t>Ministerul Educației, Culturii și Cercetării</w:t>
            </w:r>
          </w:p>
        </w:tc>
      </w:tr>
      <w:tr w:rsidR="006E3824" w:rsidRPr="009E2B4F" w:rsidTr="009D7095">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E3824" w:rsidRPr="009E2B4F" w:rsidRDefault="006E3824" w:rsidP="009D7095">
            <w:pPr>
              <w:tabs>
                <w:tab w:val="left" w:pos="720"/>
              </w:tabs>
              <w:spacing w:line="276" w:lineRule="auto"/>
              <w:jc w:val="center"/>
              <w:rPr>
                <w:rFonts w:asciiTheme="majorHAnsi" w:eastAsia="Times New Roman" w:hAnsiTheme="majorHAnsi" w:cs="Times New Roman"/>
                <w:sz w:val="20"/>
                <w:szCs w:val="20"/>
                <w:lang w:val="ro-MD"/>
              </w:rPr>
            </w:pPr>
            <w:r w:rsidRPr="009E2B4F">
              <w:rPr>
                <w:rFonts w:asciiTheme="majorHAnsi" w:eastAsia="Times New Roman" w:hAnsiTheme="majorHAnsi" w:cs="Times New Roman"/>
                <w:sz w:val="20"/>
                <w:szCs w:val="20"/>
                <w:lang w:val="ro-MD"/>
              </w:rPr>
              <w:t>MEI</w:t>
            </w:r>
          </w:p>
        </w:tc>
        <w:tc>
          <w:tcPr>
            <w:tcW w:w="7229" w:type="dxa"/>
          </w:tcPr>
          <w:p w:rsidR="006E3824" w:rsidRPr="009E2B4F" w:rsidRDefault="006E3824" w:rsidP="009D7095">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0"/>
                <w:szCs w:val="20"/>
                <w:lang w:val="ro-MD"/>
              </w:rPr>
            </w:pPr>
            <w:r w:rsidRPr="009E2B4F">
              <w:rPr>
                <w:rFonts w:asciiTheme="majorHAnsi" w:eastAsia="Times New Roman" w:hAnsiTheme="majorHAnsi" w:cs="Times New Roman"/>
                <w:bCs/>
                <w:sz w:val="20"/>
                <w:szCs w:val="20"/>
                <w:lang w:val="ro-MD"/>
              </w:rPr>
              <w:t>Ministerul Economiei și Infrastructurii</w:t>
            </w:r>
          </w:p>
        </w:tc>
      </w:tr>
      <w:tr w:rsidR="006E3824" w:rsidRPr="009E2B4F" w:rsidTr="009D7095">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E3824" w:rsidRPr="009E2B4F" w:rsidRDefault="006E3824" w:rsidP="009D7095">
            <w:pPr>
              <w:tabs>
                <w:tab w:val="left" w:pos="720"/>
              </w:tabs>
              <w:spacing w:line="276" w:lineRule="auto"/>
              <w:jc w:val="center"/>
              <w:rPr>
                <w:rFonts w:asciiTheme="majorHAnsi" w:eastAsia="Times New Roman" w:hAnsiTheme="majorHAnsi" w:cs="Times New Roman"/>
                <w:sz w:val="20"/>
                <w:szCs w:val="20"/>
                <w:lang w:val="ro-MD"/>
              </w:rPr>
            </w:pPr>
            <w:r w:rsidRPr="009E2B4F">
              <w:rPr>
                <w:rFonts w:asciiTheme="majorHAnsi" w:eastAsia="Times New Roman" w:hAnsiTheme="majorHAnsi" w:cs="Times New Roman"/>
                <w:sz w:val="20"/>
                <w:szCs w:val="20"/>
                <w:lang w:val="ro-MD"/>
              </w:rPr>
              <w:t>MF</w:t>
            </w:r>
          </w:p>
        </w:tc>
        <w:tc>
          <w:tcPr>
            <w:tcW w:w="7229" w:type="dxa"/>
          </w:tcPr>
          <w:p w:rsidR="006E3824" w:rsidRPr="009E2B4F" w:rsidRDefault="006E3824" w:rsidP="009D7095">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0"/>
                <w:szCs w:val="20"/>
                <w:lang w:val="ro-MD"/>
              </w:rPr>
            </w:pPr>
            <w:r w:rsidRPr="009E2B4F">
              <w:rPr>
                <w:rFonts w:asciiTheme="majorHAnsi" w:eastAsia="Times New Roman" w:hAnsiTheme="majorHAnsi" w:cs="Times New Roman"/>
                <w:bCs/>
                <w:sz w:val="20"/>
                <w:szCs w:val="20"/>
                <w:lang w:val="ro-MD"/>
              </w:rPr>
              <w:t>Ministerul Finanțelor</w:t>
            </w:r>
          </w:p>
        </w:tc>
      </w:tr>
      <w:tr w:rsidR="006E3824" w:rsidRPr="009E2B4F" w:rsidTr="009D7095">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E3824" w:rsidRPr="009E2B4F" w:rsidRDefault="006E3824" w:rsidP="009D7095">
            <w:pPr>
              <w:tabs>
                <w:tab w:val="left" w:pos="720"/>
              </w:tabs>
              <w:spacing w:line="276" w:lineRule="auto"/>
              <w:jc w:val="center"/>
              <w:rPr>
                <w:rFonts w:asciiTheme="majorHAnsi" w:eastAsia="Times New Roman" w:hAnsiTheme="majorHAnsi" w:cs="Times New Roman"/>
                <w:sz w:val="20"/>
                <w:szCs w:val="20"/>
                <w:lang w:val="ro-MD"/>
              </w:rPr>
            </w:pPr>
            <w:r>
              <w:rPr>
                <w:rFonts w:asciiTheme="majorHAnsi" w:eastAsia="Times New Roman" w:hAnsiTheme="majorHAnsi" w:cs="Times New Roman"/>
                <w:sz w:val="20"/>
                <w:szCs w:val="20"/>
                <w:lang w:val="ro-MD"/>
              </w:rPr>
              <w:t>MJ</w:t>
            </w:r>
          </w:p>
        </w:tc>
        <w:tc>
          <w:tcPr>
            <w:tcW w:w="7229" w:type="dxa"/>
          </w:tcPr>
          <w:p w:rsidR="006E3824" w:rsidRPr="009E2B4F" w:rsidRDefault="006E3824" w:rsidP="009D7095">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0"/>
                <w:szCs w:val="20"/>
                <w:lang w:val="ro-MD"/>
              </w:rPr>
            </w:pPr>
            <w:r w:rsidRPr="009E2B4F">
              <w:rPr>
                <w:rFonts w:asciiTheme="majorHAnsi" w:eastAsia="Times New Roman" w:hAnsiTheme="majorHAnsi" w:cs="Times New Roman"/>
                <w:bCs/>
                <w:sz w:val="20"/>
                <w:szCs w:val="20"/>
                <w:lang w:val="ro-MD"/>
              </w:rPr>
              <w:t xml:space="preserve">Ministerul </w:t>
            </w:r>
            <w:r>
              <w:rPr>
                <w:rFonts w:asciiTheme="majorHAnsi" w:eastAsia="Times New Roman" w:hAnsiTheme="majorHAnsi" w:cs="Times New Roman"/>
                <w:bCs/>
                <w:sz w:val="20"/>
                <w:szCs w:val="20"/>
                <w:lang w:val="ro-MD"/>
              </w:rPr>
              <w:t>Justiției</w:t>
            </w:r>
          </w:p>
        </w:tc>
      </w:tr>
      <w:tr w:rsidR="006E3824" w:rsidRPr="009E2B4F" w:rsidTr="009D7095">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E3824" w:rsidRPr="009E2B4F" w:rsidRDefault="006E3824" w:rsidP="009D7095">
            <w:pPr>
              <w:tabs>
                <w:tab w:val="left" w:pos="720"/>
              </w:tabs>
              <w:spacing w:line="276" w:lineRule="auto"/>
              <w:jc w:val="center"/>
              <w:rPr>
                <w:rFonts w:asciiTheme="majorHAnsi" w:eastAsia="Times New Roman" w:hAnsiTheme="majorHAnsi" w:cs="Times New Roman"/>
                <w:sz w:val="20"/>
                <w:szCs w:val="20"/>
                <w:lang w:val="ro-MD"/>
              </w:rPr>
            </w:pPr>
            <w:r w:rsidRPr="009E2B4F">
              <w:rPr>
                <w:rFonts w:asciiTheme="majorHAnsi" w:eastAsia="Times New Roman" w:hAnsiTheme="majorHAnsi" w:cs="Times New Roman"/>
                <w:sz w:val="20"/>
                <w:szCs w:val="20"/>
                <w:lang w:val="ro-MD"/>
              </w:rPr>
              <w:t>MSMPS</w:t>
            </w:r>
          </w:p>
        </w:tc>
        <w:tc>
          <w:tcPr>
            <w:tcW w:w="7229" w:type="dxa"/>
          </w:tcPr>
          <w:p w:rsidR="006E3824" w:rsidRPr="009E2B4F" w:rsidRDefault="006E3824" w:rsidP="009D7095">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0"/>
                <w:szCs w:val="20"/>
                <w:lang w:val="ro-MD"/>
              </w:rPr>
            </w:pPr>
            <w:r w:rsidRPr="009E2B4F">
              <w:rPr>
                <w:rFonts w:asciiTheme="majorHAnsi" w:eastAsia="Times New Roman" w:hAnsiTheme="majorHAnsi" w:cs="Times New Roman"/>
                <w:bCs/>
                <w:sz w:val="20"/>
                <w:szCs w:val="20"/>
                <w:lang w:val="ro-MD"/>
              </w:rPr>
              <w:t>Ministerul Sănătății, Muncii și Protecției Sociale</w:t>
            </w:r>
          </w:p>
        </w:tc>
      </w:tr>
      <w:tr w:rsidR="006E3824" w:rsidRPr="009E2B4F" w:rsidTr="009D7095">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E3824" w:rsidRPr="009E2B4F" w:rsidRDefault="006E3824" w:rsidP="009D7095">
            <w:pPr>
              <w:tabs>
                <w:tab w:val="left" w:pos="720"/>
              </w:tabs>
              <w:spacing w:line="276" w:lineRule="auto"/>
              <w:jc w:val="center"/>
              <w:rPr>
                <w:rFonts w:asciiTheme="majorHAnsi" w:eastAsia="Times New Roman" w:hAnsiTheme="majorHAnsi" w:cs="Times New Roman"/>
                <w:sz w:val="20"/>
                <w:szCs w:val="20"/>
                <w:lang w:val="ro-MD"/>
              </w:rPr>
            </w:pPr>
            <w:r w:rsidRPr="009E2B4F">
              <w:rPr>
                <w:rFonts w:asciiTheme="majorHAnsi" w:eastAsia="Times New Roman" w:hAnsiTheme="majorHAnsi" w:cs="Times New Roman"/>
                <w:sz w:val="20"/>
                <w:szCs w:val="20"/>
                <w:lang w:val="ro-MD"/>
              </w:rPr>
              <w:t>ODIMM</w:t>
            </w:r>
          </w:p>
        </w:tc>
        <w:tc>
          <w:tcPr>
            <w:tcW w:w="7229" w:type="dxa"/>
          </w:tcPr>
          <w:p w:rsidR="006E3824" w:rsidRPr="009E2B4F" w:rsidRDefault="006E3824" w:rsidP="009D7095">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0"/>
                <w:szCs w:val="20"/>
                <w:lang w:val="ro-MD"/>
              </w:rPr>
            </w:pPr>
            <w:r w:rsidRPr="009E2B4F">
              <w:rPr>
                <w:rFonts w:asciiTheme="majorHAnsi" w:hAnsiTheme="majorHAnsi" w:cstheme="majorHAnsi"/>
                <w:sz w:val="20"/>
                <w:szCs w:val="20"/>
                <w:lang w:val="ro-RO"/>
              </w:rPr>
              <w:t xml:space="preserve">Organizația pentru Dezvoltarea Sectorului Întreprinderilor Mici și Mijlocii </w:t>
            </w:r>
          </w:p>
        </w:tc>
      </w:tr>
      <w:tr w:rsidR="006E3824" w:rsidRPr="009E2B4F" w:rsidTr="009D7095">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E3824" w:rsidRPr="009E2B4F" w:rsidRDefault="006E3824" w:rsidP="009D7095">
            <w:pPr>
              <w:tabs>
                <w:tab w:val="left" w:pos="720"/>
              </w:tabs>
              <w:spacing w:line="276" w:lineRule="auto"/>
              <w:jc w:val="center"/>
              <w:rPr>
                <w:rFonts w:asciiTheme="majorHAnsi" w:eastAsia="Times New Roman" w:hAnsiTheme="majorHAnsi" w:cs="Times New Roman"/>
                <w:sz w:val="20"/>
                <w:szCs w:val="20"/>
                <w:lang w:val="ro-MD"/>
              </w:rPr>
            </w:pPr>
            <w:r w:rsidRPr="009E2B4F">
              <w:rPr>
                <w:rFonts w:asciiTheme="majorHAnsi" w:eastAsia="Times New Roman" w:hAnsiTheme="majorHAnsi" w:cs="Times New Roman"/>
                <w:sz w:val="20"/>
                <w:szCs w:val="20"/>
                <w:lang w:val="ro-MD"/>
              </w:rPr>
              <w:t>PIB</w:t>
            </w:r>
          </w:p>
        </w:tc>
        <w:tc>
          <w:tcPr>
            <w:tcW w:w="7229" w:type="dxa"/>
          </w:tcPr>
          <w:p w:rsidR="006E3824" w:rsidRPr="009E2B4F" w:rsidRDefault="006E3824" w:rsidP="009D7095">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0"/>
                <w:szCs w:val="20"/>
                <w:lang w:val="ro-MD"/>
              </w:rPr>
            </w:pPr>
            <w:r w:rsidRPr="009E2B4F">
              <w:rPr>
                <w:rFonts w:asciiTheme="majorHAnsi" w:eastAsia="Times New Roman" w:hAnsiTheme="majorHAnsi" w:cs="Times New Roman"/>
                <w:bCs/>
                <w:sz w:val="20"/>
                <w:szCs w:val="20"/>
                <w:lang w:val="ro-MD"/>
              </w:rPr>
              <w:t>Produsul Intern Brut</w:t>
            </w:r>
          </w:p>
        </w:tc>
      </w:tr>
      <w:tr w:rsidR="006E3824" w:rsidRPr="009E2B4F" w:rsidTr="009D7095">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E3824" w:rsidRPr="009E2B4F" w:rsidRDefault="006E3824" w:rsidP="009D7095">
            <w:pPr>
              <w:tabs>
                <w:tab w:val="left" w:pos="720"/>
              </w:tabs>
              <w:spacing w:line="276" w:lineRule="auto"/>
              <w:jc w:val="center"/>
              <w:rPr>
                <w:rFonts w:asciiTheme="majorHAnsi" w:eastAsia="Times New Roman" w:hAnsiTheme="majorHAnsi" w:cs="Times New Roman"/>
                <w:sz w:val="20"/>
                <w:szCs w:val="20"/>
                <w:lang w:val="ro-MD"/>
              </w:rPr>
            </w:pPr>
            <w:r w:rsidRPr="009E2B4F">
              <w:rPr>
                <w:rFonts w:asciiTheme="majorHAnsi" w:eastAsia="Times New Roman" w:hAnsiTheme="majorHAnsi" w:cs="Times New Roman"/>
                <w:sz w:val="20"/>
                <w:szCs w:val="20"/>
                <w:lang w:val="ro-MD"/>
              </w:rPr>
              <w:t>PNUD</w:t>
            </w:r>
          </w:p>
        </w:tc>
        <w:tc>
          <w:tcPr>
            <w:tcW w:w="7229" w:type="dxa"/>
          </w:tcPr>
          <w:p w:rsidR="006E3824" w:rsidRPr="009E2B4F" w:rsidRDefault="006E3824" w:rsidP="009D7095">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0"/>
                <w:szCs w:val="20"/>
                <w:lang w:val="ro-MD"/>
              </w:rPr>
            </w:pPr>
            <w:r w:rsidRPr="009E2B4F">
              <w:rPr>
                <w:rFonts w:asciiTheme="majorHAnsi" w:eastAsia="Times New Roman" w:hAnsiTheme="majorHAnsi" w:cs="Times New Roman"/>
                <w:bCs/>
                <w:sz w:val="20"/>
                <w:szCs w:val="20"/>
                <w:lang w:val="ro-MD"/>
              </w:rPr>
              <w:t>Proiectul Națiunilor Unite pentru Dezvoltare</w:t>
            </w:r>
          </w:p>
        </w:tc>
      </w:tr>
      <w:tr w:rsidR="006E3824" w:rsidRPr="009E2B4F" w:rsidTr="009D7095">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E3824" w:rsidRPr="009E2B4F" w:rsidRDefault="006E3824" w:rsidP="009D7095">
            <w:pPr>
              <w:tabs>
                <w:tab w:val="left" w:pos="720"/>
              </w:tabs>
              <w:spacing w:line="276" w:lineRule="auto"/>
              <w:jc w:val="center"/>
              <w:rPr>
                <w:rFonts w:asciiTheme="majorHAnsi" w:eastAsia="Times New Roman" w:hAnsiTheme="majorHAnsi" w:cs="Times New Roman"/>
                <w:sz w:val="20"/>
                <w:szCs w:val="20"/>
                <w:lang w:val="ro-MD"/>
              </w:rPr>
            </w:pPr>
            <w:r w:rsidRPr="009E2B4F">
              <w:rPr>
                <w:rFonts w:asciiTheme="majorHAnsi" w:eastAsia="Times New Roman" w:hAnsiTheme="majorHAnsi" w:cs="Times New Roman"/>
                <w:sz w:val="20"/>
                <w:szCs w:val="20"/>
                <w:lang w:val="ro-MD"/>
              </w:rPr>
              <w:t>RM</w:t>
            </w:r>
          </w:p>
        </w:tc>
        <w:tc>
          <w:tcPr>
            <w:tcW w:w="7229" w:type="dxa"/>
          </w:tcPr>
          <w:p w:rsidR="006E3824" w:rsidRPr="009E2B4F" w:rsidRDefault="006E3824" w:rsidP="009D7095">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0"/>
                <w:szCs w:val="20"/>
                <w:lang w:val="ro-MD"/>
              </w:rPr>
            </w:pPr>
            <w:r w:rsidRPr="009E2B4F">
              <w:rPr>
                <w:rFonts w:asciiTheme="majorHAnsi" w:eastAsia="Times New Roman" w:hAnsiTheme="majorHAnsi" w:cs="Times New Roman"/>
                <w:bCs/>
                <w:sz w:val="20"/>
                <w:szCs w:val="20"/>
                <w:lang w:val="ro-MD"/>
              </w:rPr>
              <w:t>Republica Moldova</w:t>
            </w:r>
          </w:p>
        </w:tc>
      </w:tr>
      <w:tr w:rsidR="006E3824" w:rsidRPr="009E2B4F" w:rsidTr="009D7095">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E3824" w:rsidRPr="009E2B4F" w:rsidRDefault="006E3824" w:rsidP="009D7095">
            <w:pPr>
              <w:tabs>
                <w:tab w:val="left" w:pos="720"/>
              </w:tabs>
              <w:spacing w:line="276" w:lineRule="auto"/>
              <w:jc w:val="center"/>
              <w:rPr>
                <w:rFonts w:asciiTheme="majorHAnsi" w:eastAsia="Times New Roman" w:hAnsiTheme="majorHAnsi" w:cs="Times New Roman"/>
                <w:sz w:val="20"/>
                <w:szCs w:val="20"/>
                <w:lang w:val="ro-MD"/>
              </w:rPr>
            </w:pPr>
            <w:r w:rsidRPr="009E2B4F">
              <w:rPr>
                <w:rFonts w:asciiTheme="majorHAnsi" w:eastAsia="Times New Roman" w:hAnsiTheme="majorHAnsi" w:cs="Times New Roman"/>
                <w:sz w:val="20"/>
                <w:szCs w:val="20"/>
                <w:lang w:val="ro-MD"/>
              </w:rPr>
              <w:t>SA</w:t>
            </w:r>
          </w:p>
        </w:tc>
        <w:tc>
          <w:tcPr>
            <w:tcW w:w="7229" w:type="dxa"/>
          </w:tcPr>
          <w:p w:rsidR="006E3824" w:rsidRPr="009E2B4F" w:rsidRDefault="006E3824" w:rsidP="009D7095">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0"/>
                <w:szCs w:val="20"/>
                <w:lang w:val="ro-MD"/>
              </w:rPr>
            </w:pPr>
            <w:r w:rsidRPr="009E2B4F">
              <w:rPr>
                <w:rFonts w:asciiTheme="majorHAnsi" w:eastAsia="Times New Roman" w:hAnsiTheme="majorHAnsi" w:cs="Times New Roman"/>
                <w:bCs/>
                <w:sz w:val="20"/>
                <w:szCs w:val="20"/>
                <w:lang w:val="ro-MD"/>
              </w:rPr>
              <w:t>Societate pe acțiuni</w:t>
            </w:r>
          </w:p>
        </w:tc>
      </w:tr>
      <w:tr w:rsidR="006E3824" w:rsidRPr="009E2B4F" w:rsidTr="009D7095">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E3824" w:rsidRPr="009E2B4F" w:rsidRDefault="006E3824" w:rsidP="009D7095">
            <w:pPr>
              <w:tabs>
                <w:tab w:val="left" w:pos="720"/>
              </w:tabs>
              <w:spacing w:line="276" w:lineRule="auto"/>
              <w:jc w:val="center"/>
              <w:rPr>
                <w:rFonts w:asciiTheme="majorHAnsi" w:eastAsia="Times New Roman" w:hAnsiTheme="majorHAnsi" w:cs="Times New Roman"/>
                <w:sz w:val="20"/>
                <w:szCs w:val="20"/>
                <w:lang w:val="ro-MD"/>
              </w:rPr>
            </w:pPr>
            <w:r>
              <w:rPr>
                <w:rFonts w:asciiTheme="majorHAnsi" w:eastAsia="Times New Roman" w:hAnsiTheme="majorHAnsi" w:cs="Times New Roman"/>
                <w:sz w:val="20"/>
                <w:szCs w:val="20"/>
                <w:lang w:val="ro-MD"/>
              </w:rPr>
              <w:lastRenderedPageBreak/>
              <w:t>SAI</w:t>
            </w:r>
          </w:p>
        </w:tc>
        <w:tc>
          <w:tcPr>
            <w:tcW w:w="7229" w:type="dxa"/>
          </w:tcPr>
          <w:p w:rsidR="006E3824" w:rsidRPr="009E2B4F" w:rsidRDefault="006E3824" w:rsidP="009D7095">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0"/>
                <w:szCs w:val="20"/>
                <w:lang w:val="ro-MD"/>
              </w:rPr>
            </w:pPr>
            <w:r>
              <w:rPr>
                <w:rFonts w:asciiTheme="majorHAnsi" w:eastAsia="Times New Roman" w:hAnsiTheme="majorHAnsi" w:cs="Times New Roman"/>
                <w:bCs/>
                <w:sz w:val="20"/>
                <w:szCs w:val="20"/>
                <w:lang w:val="ro-MD"/>
              </w:rPr>
              <w:t>Serviciul audit intern</w:t>
            </w:r>
          </w:p>
        </w:tc>
      </w:tr>
      <w:tr w:rsidR="006E3824" w:rsidRPr="009E2B4F" w:rsidTr="009D7095">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E3824" w:rsidRPr="009E2B4F" w:rsidRDefault="006E3824" w:rsidP="009D7095">
            <w:pPr>
              <w:tabs>
                <w:tab w:val="left" w:pos="720"/>
              </w:tabs>
              <w:spacing w:line="276" w:lineRule="auto"/>
              <w:jc w:val="center"/>
              <w:rPr>
                <w:rFonts w:asciiTheme="majorHAnsi" w:eastAsia="Times New Roman" w:hAnsiTheme="majorHAnsi" w:cs="Times New Roman"/>
                <w:sz w:val="20"/>
                <w:szCs w:val="20"/>
                <w:lang w:val="ro-MD"/>
              </w:rPr>
            </w:pPr>
            <w:r w:rsidRPr="009E2B4F">
              <w:rPr>
                <w:rFonts w:asciiTheme="majorHAnsi" w:eastAsia="Times New Roman" w:hAnsiTheme="majorHAnsi" w:cs="Times New Roman"/>
                <w:sz w:val="20"/>
                <w:szCs w:val="20"/>
                <w:lang w:val="ro-MD"/>
              </w:rPr>
              <w:t>SI</w:t>
            </w:r>
          </w:p>
        </w:tc>
        <w:tc>
          <w:tcPr>
            <w:tcW w:w="7229" w:type="dxa"/>
          </w:tcPr>
          <w:p w:rsidR="006E3824" w:rsidRPr="009E2B4F" w:rsidRDefault="006E3824" w:rsidP="009D7095">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0"/>
                <w:szCs w:val="20"/>
                <w:lang w:val="ro-MD"/>
              </w:rPr>
            </w:pPr>
            <w:r w:rsidRPr="009E2B4F">
              <w:rPr>
                <w:rFonts w:asciiTheme="majorHAnsi" w:eastAsia="Times New Roman" w:hAnsiTheme="majorHAnsi" w:cs="Times New Roman"/>
                <w:bCs/>
                <w:sz w:val="20"/>
                <w:szCs w:val="20"/>
                <w:lang w:val="ro-MD"/>
              </w:rPr>
              <w:t>Sistem informațional</w:t>
            </w:r>
          </w:p>
        </w:tc>
      </w:tr>
      <w:tr w:rsidR="006E3824" w:rsidRPr="009E2B4F" w:rsidTr="009D7095">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E3824" w:rsidRPr="009E2B4F" w:rsidRDefault="006E3824" w:rsidP="009D7095">
            <w:pPr>
              <w:tabs>
                <w:tab w:val="left" w:pos="720"/>
              </w:tabs>
              <w:spacing w:line="276" w:lineRule="auto"/>
              <w:jc w:val="center"/>
              <w:rPr>
                <w:rFonts w:asciiTheme="majorHAnsi" w:eastAsia="Times New Roman" w:hAnsiTheme="majorHAnsi" w:cs="Times New Roman"/>
                <w:sz w:val="20"/>
                <w:szCs w:val="20"/>
                <w:lang w:val="ro-MD"/>
              </w:rPr>
            </w:pPr>
            <w:r>
              <w:rPr>
                <w:rFonts w:asciiTheme="majorHAnsi" w:eastAsia="Times New Roman" w:hAnsiTheme="majorHAnsi" w:cs="Times New Roman"/>
                <w:sz w:val="20"/>
                <w:szCs w:val="20"/>
                <w:lang w:val="ro-MD"/>
              </w:rPr>
              <w:t>SIS</w:t>
            </w:r>
          </w:p>
        </w:tc>
        <w:tc>
          <w:tcPr>
            <w:tcW w:w="7229" w:type="dxa"/>
          </w:tcPr>
          <w:p w:rsidR="006E3824" w:rsidRPr="009E2B4F" w:rsidRDefault="006E3824" w:rsidP="009D7095">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0"/>
                <w:szCs w:val="20"/>
                <w:lang w:val="ro-MD"/>
              </w:rPr>
            </w:pPr>
            <w:r>
              <w:rPr>
                <w:rFonts w:asciiTheme="majorHAnsi" w:eastAsia="Times New Roman" w:hAnsiTheme="majorHAnsi" w:cs="Times New Roman"/>
                <w:bCs/>
                <w:sz w:val="20"/>
                <w:szCs w:val="20"/>
                <w:lang w:val="ro-MD"/>
              </w:rPr>
              <w:t>Serviciul de Informații și Securitate</w:t>
            </w:r>
          </w:p>
        </w:tc>
      </w:tr>
      <w:tr w:rsidR="006E3824" w:rsidRPr="009E2B4F" w:rsidTr="009D7095">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E3824" w:rsidRPr="009E2B4F" w:rsidRDefault="006E3824" w:rsidP="009D7095">
            <w:pPr>
              <w:tabs>
                <w:tab w:val="left" w:pos="720"/>
              </w:tabs>
              <w:spacing w:line="276" w:lineRule="auto"/>
              <w:jc w:val="center"/>
              <w:rPr>
                <w:rFonts w:asciiTheme="majorHAnsi" w:eastAsia="Times New Roman" w:hAnsiTheme="majorHAnsi" w:cs="Times New Roman"/>
                <w:sz w:val="20"/>
                <w:szCs w:val="20"/>
                <w:lang w:val="ro-MD"/>
              </w:rPr>
            </w:pPr>
            <w:r w:rsidRPr="009E2B4F">
              <w:rPr>
                <w:rFonts w:asciiTheme="majorHAnsi" w:eastAsia="Times New Roman" w:hAnsiTheme="majorHAnsi" w:cs="Times New Roman"/>
                <w:sz w:val="20"/>
                <w:szCs w:val="20"/>
                <w:lang w:val="ro-MD"/>
              </w:rPr>
              <w:t>SFS</w:t>
            </w:r>
          </w:p>
        </w:tc>
        <w:tc>
          <w:tcPr>
            <w:tcW w:w="7229" w:type="dxa"/>
          </w:tcPr>
          <w:p w:rsidR="006E3824" w:rsidRPr="009E2B4F" w:rsidRDefault="006E3824" w:rsidP="009D7095">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0"/>
                <w:szCs w:val="20"/>
                <w:lang w:val="ro-MD"/>
              </w:rPr>
            </w:pPr>
            <w:r w:rsidRPr="009E2B4F">
              <w:rPr>
                <w:rFonts w:asciiTheme="majorHAnsi" w:eastAsia="Times New Roman" w:hAnsiTheme="majorHAnsi" w:cs="Times New Roman"/>
                <w:bCs/>
                <w:sz w:val="20"/>
                <w:szCs w:val="20"/>
                <w:lang w:val="ro-MD"/>
              </w:rPr>
              <w:t>Serviciul Fiscal de Stat</w:t>
            </w:r>
          </w:p>
        </w:tc>
      </w:tr>
      <w:tr w:rsidR="006E3824" w:rsidRPr="009E2B4F" w:rsidTr="009D7095">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E3824" w:rsidRPr="009E2B4F" w:rsidRDefault="006E3824" w:rsidP="009D7095">
            <w:pPr>
              <w:tabs>
                <w:tab w:val="left" w:pos="720"/>
              </w:tabs>
              <w:spacing w:line="276" w:lineRule="auto"/>
              <w:jc w:val="center"/>
              <w:rPr>
                <w:rFonts w:asciiTheme="majorHAnsi" w:eastAsia="Times New Roman" w:hAnsiTheme="majorHAnsi" w:cs="Times New Roman"/>
                <w:sz w:val="20"/>
                <w:szCs w:val="20"/>
                <w:lang w:val="ro-MD"/>
              </w:rPr>
            </w:pPr>
            <w:r w:rsidRPr="009E2B4F">
              <w:rPr>
                <w:rFonts w:asciiTheme="majorHAnsi" w:eastAsia="Times New Roman" w:hAnsiTheme="majorHAnsi" w:cs="Times New Roman"/>
                <w:sz w:val="20"/>
                <w:szCs w:val="20"/>
                <w:lang w:val="ro-MD"/>
              </w:rPr>
              <w:t>SV</w:t>
            </w:r>
          </w:p>
        </w:tc>
        <w:tc>
          <w:tcPr>
            <w:tcW w:w="7229" w:type="dxa"/>
          </w:tcPr>
          <w:p w:rsidR="006E3824" w:rsidRPr="009E2B4F" w:rsidRDefault="006E3824" w:rsidP="009D7095">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0"/>
                <w:szCs w:val="20"/>
                <w:lang w:val="ro-MD"/>
              </w:rPr>
            </w:pPr>
            <w:r w:rsidRPr="009E2B4F">
              <w:rPr>
                <w:rFonts w:asciiTheme="majorHAnsi" w:eastAsia="Times New Roman" w:hAnsiTheme="majorHAnsi" w:cs="Times New Roman"/>
                <w:bCs/>
                <w:sz w:val="20"/>
                <w:szCs w:val="20"/>
                <w:lang w:val="ro-MD"/>
              </w:rPr>
              <w:t>Serviciul Vamal</w:t>
            </w:r>
          </w:p>
        </w:tc>
      </w:tr>
      <w:tr w:rsidR="006E3824" w:rsidRPr="009E2B4F" w:rsidTr="009D7095">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E3824" w:rsidRPr="009E2B4F" w:rsidRDefault="006E3824" w:rsidP="009D7095">
            <w:pPr>
              <w:tabs>
                <w:tab w:val="left" w:pos="720"/>
              </w:tabs>
              <w:spacing w:line="276" w:lineRule="auto"/>
              <w:jc w:val="center"/>
              <w:rPr>
                <w:rFonts w:asciiTheme="majorHAnsi" w:eastAsia="Times New Roman" w:hAnsiTheme="majorHAnsi" w:cs="Times New Roman"/>
                <w:sz w:val="20"/>
                <w:szCs w:val="20"/>
                <w:lang w:val="ro-MD"/>
              </w:rPr>
            </w:pPr>
            <w:r w:rsidRPr="009E2B4F">
              <w:rPr>
                <w:rFonts w:asciiTheme="majorHAnsi" w:eastAsia="Times New Roman" w:hAnsiTheme="majorHAnsi" w:cs="Times New Roman"/>
                <w:sz w:val="20"/>
                <w:szCs w:val="20"/>
                <w:lang w:val="ro-MD"/>
              </w:rPr>
              <w:t>SRL</w:t>
            </w:r>
          </w:p>
        </w:tc>
        <w:tc>
          <w:tcPr>
            <w:tcW w:w="7229" w:type="dxa"/>
          </w:tcPr>
          <w:p w:rsidR="006E3824" w:rsidRPr="009E2B4F" w:rsidRDefault="006E3824" w:rsidP="009D7095">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0"/>
                <w:szCs w:val="20"/>
                <w:lang w:val="ro-MD"/>
              </w:rPr>
            </w:pPr>
            <w:r w:rsidRPr="009E2B4F">
              <w:rPr>
                <w:rFonts w:asciiTheme="majorHAnsi" w:eastAsia="Times New Roman" w:hAnsiTheme="majorHAnsi" w:cs="Times New Roman"/>
                <w:bCs/>
                <w:sz w:val="20"/>
                <w:szCs w:val="20"/>
                <w:lang w:val="ro-MD"/>
              </w:rPr>
              <w:t>Societate cu răspundere limitată</w:t>
            </w:r>
          </w:p>
        </w:tc>
      </w:tr>
      <w:tr w:rsidR="006E3824" w:rsidRPr="009E2B4F" w:rsidTr="009D7095">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E3824" w:rsidRPr="009E2B4F" w:rsidRDefault="006E3824" w:rsidP="009D7095">
            <w:pPr>
              <w:tabs>
                <w:tab w:val="left" w:pos="720"/>
              </w:tabs>
              <w:spacing w:line="276" w:lineRule="auto"/>
              <w:jc w:val="center"/>
              <w:rPr>
                <w:rFonts w:asciiTheme="majorHAnsi" w:eastAsia="Times New Roman" w:hAnsiTheme="majorHAnsi" w:cs="Times New Roman"/>
                <w:sz w:val="20"/>
                <w:szCs w:val="20"/>
                <w:lang w:val="ro-MD"/>
              </w:rPr>
            </w:pPr>
            <w:r w:rsidRPr="009E2B4F">
              <w:rPr>
                <w:rFonts w:asciiTheme="majorHAnsi" w:eastAsia="Times New Roman" w:hAnsiTheme="majorHAnsi" w:cs="Times New Roman"/>
                <w:sz w:val="20"/>
                <w:szCs w:val="20"/>
                <w:lang w:val="ro-MD"/>
              </w:rPr>
              <w:t>TVA</w:t>
            </w:r>
          </w:p>
        </w:tc>
        <w:tc>
          <w:tcPr>
            <w:tcW w:w="7229" w:type="dxa"/>
          </w:tcPr>
          <w:p w:rsidR="006E3824" w:rsidRPr="009E2B4F" w:rsidRDefault="006E3824" w:rsidP="009D7095">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0"/>
                <w:szCs w:val="20"/>
                <w:lang w:val="ro-MD"/>
              </w:rPr>
            </w:pPr>
            <w:r w:rsidRPr="009E2B4F">
              <w:rPr>
                <w:rFonts w:asciiTheme="majorHAnsi" w:eastAsia="Times New Roman" w:hAnsiTheme="majorHAnsi" w:cs="Times New Roman"/>
                <w:bCs/>
                <w:sz w:val="20"/>
                <w:szCs w:val="20"/>
                <w:lang w:val="ro-MD"/>
              </w:rPr>
              <w:t>Taxa pe valoarea adăugată</w:t>
            </w:r>
          </w:p>
        </w:tc>
      </w:tr>
      <w:tr w:rsidR="006E3824" w:rsidRPr="009E2B4F" w:rsidTr="009D7095">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E3824" w:rsidRPr="009E2B4F" w:rsidRDefault="006E3824" w:rsidP="009D7095">
            <w:pPr>
              <w:tabs>
                <w:tab w:val="left" w:pos="720"/>
              </w:tabs>
              <w:spacing w:line="276" w:lineRule="auto"/>
              <w:jc w:val="center"/>
              <w:rPr>
                <w:rFonts w:asciiTheme="majorHAnsi" w:eastAsia="Times New Roman" w:hAnsiTheme="majorHAnsi" w:cs="Times New Roman"/>
                <w:sz w:val="20"/>
                <w:szCs w:val="20"/>
                <w:lang w:val="ro-MD"/>
              </w:rPr>
            </w:pPr>
            <w:r w:rsidRPr="009E2B4F">
              <w:rPr>
                <w:rFonts w:asciiTheme="majorHAnsi" w:eastAsia="Times New Roman" w:hAnsiTheme="majorHAnsi" w:cs="Times New Roman"/>
                <w:sz w:val="20"/>
                <w:szCs w:val="20"/>
                <w:lang w:val="ro-MD"/>
              </w:rPr>
              <w:t>TI</w:t>
            </w:r>
          </w:p>
        </w:tc>
        <w:tc>
          <w:tcPr>
            <w:tcW w:w="7229" w:type="dxa"/>
          </w:tcPr>
          <w:p w:rsidR="006E3824" w:rsidRPr="009E2B4F" w:rsidRDefault="006E3824" w:rsidP="009D7095">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0"/>
                <w:szCs w:val="20"/>
                <w:lang w:val="ro-MD"/>
              </w:rPr>
            </w:pPr>
            <w:r w:rsidRPr="009E2B4F">
              <w:rPr>
                <w:rFonts w:asciiTheme="majorHAnsi" w:eastAsia="Times New Roman" w:hAnsiTheme="majorHAnsi" w:cs="Times New Roman"/>
                <w:bCs/>
                <w:sz w:val="20"/>
                <w:szCs w:val="20"/>
                <w:lang w:val="ro-MD"/>
              </w:rPr>
              <w:t>Tehnologii informaționale</w:t>
            </w:r>
          </w:p>
        </w:tc>
      </w:tr>
      <w:tr w:rsidR="006E3824" w:rsidRPr="009E2B4F" w:rsidTr="009D7095">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E3824" w:rsidRPr="009E2B4F" w:rsidRDefault="006E3824" w:rsidP="009D7095">
            <w:pPr>
              <w:tabs>
                <w:tab w:val="left" w:pos="720"/>
              </w:tabs>
              <w:spacing w:line="276" w:lineRule="auto"/>
              <w:jc w:val="center"/>
              <w:rPr>
                <w:rFonts w:asciiTheme="majorHAnsi" w:eastAsia="Times New Roman" w:hAnsiTheme="majorHAnsi" w:cs="Times New Roman"/>
                <w:sz w:val="20"/>
                <w:szCs w:val="20"/>
                <w:lang w:val="ro-MD"/>
              </w:rPr>
            </w:pPr>
            <w:r w:rsidRPr="009E2B4F">
              <w:rPr>
                <w:rFonts w:asciiTheme="majorHAnsi" w:eastAsia="Times New Roman" w:hAnsiTheme="majorHAnsi" w:cs="Times New Roman"/>
                <w:sz w:val="20"/>
                <w:szCs w:val="20"/>
                <w:lang w:val="ro-MD"/>
              </w:rPr>
              <w:t>TDS</w:t>
            </w:r>
          </w:p>
        </w:tc>
        <w:tc>
          <w:tcPr>
            <w:tcW w:w="7229" w:type="dxa"/>
          </w:tcPr>
          <w:p w:rsidR="006E3824" w:rsidRPr="009E2B4F" w:rsidRDefault="006E3824" w:rsidP="009D7095">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0"/>
                <w:szCs w:val="20"/>
                <w:lang w:val="ro-MD"/>
              </w:rPr>
            </w:pPr>
            <w:r w:rsidRPr="009E2B4F">
              <w:rPr>
                <w:rFonts w:asciiTheme="majorHAnsi" w:eastAsia="Times New Roman" w:hAnsiTheme="majorHAnsi" w:cs="Times New Roman"/>
                <w:bCs/>
                <w:sz w:val="20"/>
                <w:szCs w:val="20"/>
                <w:lang w:val="ro-MD"/>
              </w:rPr>
              <w:t>Transferuri cu destinație specială</w:t>
            </w:r>
          </w:p>
        </w:tc>
      </w:tr>
      <w:tr w:rsidR="006E3824" w:rsidRPr="009E2B4F" w:rsidTr="009D7095">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E3824" w:rsidRPr="009E2B4F" w:rsidRDefault="006E3824" w:rsidP="009D7095">
            <w:pPr>
              <w:tabs>
                <w:tab w:val="left" w:pos="720"/>
              </w:tabs>
              <w:spacing w:line="276" w:lineRule="auto"/>
              <w:jc w:val="center"/>
              <w:rPr>
                <w:rFonts w:asciiTheme="majorHAnsi" w:eastAsia="Times New Roman" w:hAnsiTheme="majorHAnsi" w:cs="Times New Roman"/>
                <w:sz w:val="20"/>
                <w:szCs w:val="20"/>
                <w:lang w:val="ro-MD"/>
              </w:rPr>
            </w:pPr>
            <w:r w:rsidRPr="009E2B4F">
              <w:rPr>
                <w:rFonts w:asciiTheme="majorHAnsi" w:eastAsia="Times New Roman" w:hAnsiTheme="majorHAnsi" w:cs="Times New Roman"/>
                <w:sz w:val="20"/>
                <w:szCs w:val="20"/>
                <w:lang w:val="ro-MD"/>
              </w:rPr>
              <w:t>TS</w:t>
            </w:r>
          </w:p>
        </w:tc>
        <w:tc>
          <w:tcPr>
            <w:tcW w:w="7229" w:type="dxa"/>
          </w:tcPr>
          <w:p w:rsidR="006E3824" w:rsidRPr="009E2B4F" w:rsidRDefault="006E3824" w:rsidP="009D7095">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0"/>
                <w:szCs w:val="20"/>
                <w:lang w:val="ro-MD"/>
              </w:rPr>
            </w:pPr>
            <w:r w:rsidRPr="009E2B4F">
              <w:rPr>
                <w:rFonts w:asciiTheme="majorHAnsi" w:eastAsia="Times New Roman" w:hAnsiTheme="majorHAnsi" w:cs="Times New Roman"/>
                <w:bCs/>
                <w:sz w:val="20"/>
                <w:szCs w:val="20"/>
                <w:lang w:val="ro-MD"/>
              </w:rPr>
              <w:t>Trezoreria de Stat</w:t>
            </w:r>
          </w:p>
        </w:tc>
      </w:tr>
      <w:tr w:rsidR="006E3824" w:rsidRPr="009E2B4F" w:rsidTr="009D7095">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E3824" w:rsidRPr="009E2B4F" w:rsidRDefault="006E3824" w:rsidP="009D7095">
            <w:pPr>
              <w:tabs>
                <w:tab w:val="left" w:pos="720"/>
              </w:tabs>
              <w:spacing w:line="276" w:lineRule="auto"/>
              <w:jc w:val="center"/>
              <w:rPr>
                <w:rFonts w:asciiTheme="majorHAnsi" w:eastAsia="Times New Roman" w:hAnsiTheme="majorHAnsi" w:cs="Times New Roman"/>
                <w:sz w:val="20"/>
                <w:szCs w:val="20"/>
                <w:lang w:val="ro-MD"/>
              </w:rPr>
            </w:pPr>
            <w:r>
              <w:rPr>
                <w:rFonts w:asciiTheme="majorHAnsi" w:eastAsia="Times New Roman" w:hAnsiTheme="majorHAnsi" w:cs="Times New Roman"/>
                <w:sz w:val="20"/>
                <w:szCs w:val="20"/>
                <w:lang w:val="ro-MD"/>
              </w:rPr>
              <w:t>UAT</w:t>
            </w:r>
          </w:p>
        </w:tc>
        <w:tc>
          <w:tcPr>
            <w:tcW w:w="7229" w:type="dxa"/>
          </w:tcPr>
          <w:p w:rsidR="006E3824" w:rsidRPr="009E2B4F" w:rsidRDefault="006E3824" w:rsidP="009D7095">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0"/>
                <w:szCs w:val="20"/>
                <w:lang w:val="ro-MD"/>
              </w:rPr>
            </w:pPr>
            <w:r>
              <w:rPr>
                <w:rFonts w:asciiTheme="majorHAnsi" w:eastAsia="Times New Roman" w:hAnsiTheme="majorHAnsi" w:cs="Times New Roman"/>
                <w:bCs/>
                <w:sz w:val="20"/>
                <w:szCs w:val="20"/>
                <w:lang w:val="ro-MD"/>
              </w:rPr>
              <w:t>Unitățile administrativ teritoriale</w:t>
            </w:r>
          </w:p>
        </w:tc>
      </w:tr>
      <w:tr w:rsidR="006E3824" w:rsidRPr="009E2B4F" w:rsidTr="009D7095">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E3824" w:rsidRDefault="006E3824" w:rsidP="009D7095">
            <w:pPr>
              <w:tabs>
                <w:tab w:val="left" w:pos="720"/>
              </w:tabs>
              <w:spacing w:line="276" w:lineRule="auto"/>
              <w:jc w:val="center"/>
              <w:rPr>
                <w:rFonts w:asciiTheme="majorHAnsi" w:eastAsia="Times New Roman" w:hAnsiTheme="majorHAnsi" w:cs="Times New Roman"/>
                <w:sz w:val="20"/>
                <w:szCs w:val="20"/>
                <w:lang w:val="ro-MD"/>
              </w:rPr>
            </w:pPr>
            <w:r>
              <w:rPr>
                <w:rFonts w:asciiTheme="majorHAnsi" w:eastAsia="Times New Roman" w:hAnsiTheme="majorHAnsi" w:cs="Times New Roman"/>
                <w:sz w:val="20"/>
                <w:szCs w:val="20"/>
                <w:lang w:val="ro-MD"/>
              </w:rPr>
              <w:t>VMS</w:t>
            </w:r>
          </w:p>
        </w:tc>
        <w:tc>
          <w:tcPr>
            <w:tcW w:w="7229" w:type="dxa"/>
          </w:tcPr>
          <w:p w:rsidR="006E3824" w:rsidRDefault="006E3824" w:rsidP="009D7095">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0"/>
                <w:szCs w:val="20"/>
                <w:lang w:val="ro-MD"/>
              </w:rPr>
            </w:pPr>
            <w:r>
              <w:rPr>
                <w:rFonts w:asciiTheme="majorHAnsi" w:eastAsia="Times New Roman" w:hAnsiTheme="majorHAnsi" w:cs="Times New Roman"/>
                <w:bCs/>
                <w:sz w:val="20"/>
                <w:szCs w:val="20"/>
                <w:lang w:val="ro-MD"/>
              </w:rPr>
              <w:t>Valori mobiliare de stat</w:t>
            </w:r>
          </w:p>
        </w:tc>
      </w:tr>
    </w:tbl>
    <w:p w:rsidR="00AF3268" w:rsidRPr="00F55BA6" w:rsidRDefault="00AF3268" w:rsidP="00E1037B">
      <w:pPr>
        <w:pStyle w:val="af0"/>
        <w:ind w:left="1440"/>
        <w:jc w:val="left"/>
        <w:rPr>
          <w:rFonts w:asciiTheme="majorHAnsi" w:hAnsiTheme="majorHAnsi" w:cstheme="majorHAnsi"/>
          <w:b/>
          <w:sz w:val="24"/>
          <w:szCs w:val="24"/>
          <w:lang w:val="ro-RO"/>
        </w:rPr>
      </w:pPr>
    </w:p>
    <w:sectPr w:rsidR="00AF3268" w:rsidRPr="00F55BA6" w:rsidSect="00454BDF">
      <w:pgSz w:w="15840" w:h="12240" w:orient="landscape"/>
      <w:pgMar w:top="851" w:right="851" w:bottom="851"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3E1" w:rsidRDefault="00D053E1" w:rsidP="00AC503D">
      <w:pPr>
        <w:spacing w:after="0" w:line="240" w:lineRule="auto"/>
      </w:pPr>
      <w:r>
        <w:separator/>
      </w:r>
    </w:p>
  </w:endnote>
  <w:endnote w:type="continuationSeparator" w:id="0">
    <w:p w:rsidR="00D053E1" w:rsidRDefault="00D053E1" w:rsidP="00AC5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CC"/>
    <w:family w:val="swiss"/>
    <w:pitch w:val="variable"/>
    <w:sig w:usb0="A00002EF" w:usb1="4000207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4475075"/>
      <w:docPartObj>
        <w:docPartGallery w:val="Page Numbers (Bottom of Page)"/>
        <w:docPartUnique/>
      </w:docPartObj>
    </w:sdtPr>
    <w:sdtEndPr>
      <w:rPr>
        <w:noProof/>
      </w:rPr>
    </w:sdtEndPr>
    <w:sdtContent>
      <w:p w:rsidR="00642DC1" w:rsidRDefault="00642DC1">
        <w:pPr>
          <w:pStyle w:val="a6"/>
          <w:jc w:val="right"/>
        </w:pPr>
        <w:r>
          <w:fldChar w:fldCharType="begin"/>
        </w:r>
        <w:r>
          <w:instrText xml:space="preserve"> PAGE   \* MERGEFORMAT </w:instrText>
        </w:r>
        <w:r>
          <w:fldChar w:fldCharType="separate"/>
        </w:r>
        <w:r w:rsidR="002927AF">
          <w:rPr>
            <w:noProof/>
          </w:rPr>
          <w:t>37</w:t>
        </w:r>
        <w:r>
          <w:rPr>
            <w:noProof/>
          </w:rPr>
          <w:fldChar w:fldCharType="end"/>
        </w:r>
      </w:p>
    </w:sdtContent>
  </w:sdt>
  <w:p w:rsidR="00642DC1" w:rsidRDefault="00642DC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2459331"/>
      <w:docPartObj>
        <w:docPartGallery w:val="Page Numbers (Bottom of Page)"/>
        <w:docPartUnique/>
      </w:docPartObj>
    </w:sdtPr>
    <w:sdtEndPr>
      <w:rPr>
        <w:noProof/>
      </w:rPr>
    </w:sdtEndPr>
    <w:sdtContent>
      <w:p w:rsidR="00642DC1" w:rsidRDefault="00642DC1">
        <w:pPr>
          <w:pStyle w:val="a6"/>
          <w:jc w:val="right"/>
        </w:pPr>
        <w:r>
          <w:fldChar w:fldCharType="begin"/>
        </w:r>
        <w:r>
          <w:instrText xml:space="preserve"> PAGE   \* MERGEFORMAT </w:instrText>
        </w:r>
        <w:r>
          <w:fldChar w:fldCharType="separate"/>
        </w:r>
        <w:r w:rsidR="002927AF">
          <w:rPr>
            <w:noProof/>
          </w:rPr>
          <w:t>44</w:t>
        </w:r>
        <w:r>
          <w:rPr>
            <w:noProof/>
          </w:rPr>
          <w:fldChar w:fldCharType="end"/>
        </w:r>
      </w:p>
    </w:sdtContent>
  </w:sdt>
  <w:p w:rsidR="00642DC1" w:rsidRDefault="00642DC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3E1" w:rsidRDefault="00D053E1" w:rsidP="00AC503D">
      <w:pPr>
        <w:spacing w:after="0" w:line="240" w:lineRule="auto"/>
      </w:pPr>
      <w:r>
        <w:separator/>
      </w:r>
    </w:p>
  </w:footnote>
  <w:footnote w:type="continuationSeparator" w:id="0">
    <w:p w:rsidR="00D053E1" w:rsidRDefault="00D053E1" w:rsidP="00AC503D">
      <w:pPr>
        <w:spacing w:after="0" w:line="240" w:lineRule="auto"/>
      </w:pPr>
      <w:r>
        <w:continuationSeparator/>
      </w:r>
    </w:p>
  </w:footnote>
  <w:footnote w:id="1">
    <w:p w:rsidR="00642DC1" w:rsidRPr="00F55BA6" w:rsidRDefault="00642DC1" w:rsidP="00F218BC">
      <w:pPr>
        <w:pStyle w:val="aa"/>
        <w:jc w:val="both"/>
        <w:rPr>
          <w:rFonts w:asciiTheme="majorHAnsi" w:hAnsiTheme="majorHAnsi" w:cstheme="majorHAnsi"/>
          <w:sz w:val="16"/>
          <w:szCs w:val="16"/>
          <w:lang w:val="ro-RO"/>
        </w:rPr>
      </w:pPr>
      <w:r w:rsidRPr="00F55BA6">
        <w:rPr>
          <w:rStyle w:val="ac"/>
          <w:rFonts w:asciiTheme="majorHAnsi" w:hAnsiTheme="majorHAnsi" w:cstheme="majorHAnsi"/>
          <w:sz w:val="16"/>
          <w:szCs w:val="16"/>
          <w:lang w:val="ro-RO"/>
        </w:rPr>
        <w:footnoteRef/>
      </w:r>
      <w:r w:rsidRPr="00F55BA6">
        <w:rPr>
          <w:rFonts w:asciiTheme="majorHAnsi" w:hAnsiTheme="majorHAnsi" w:cstheme="majorHAnsi"/>
          <w:sz w:val="16"/>
          <w:szCs w:val="16"/>
          <w:lang w:val="ro-RO"/>
        </w:rPr>
        <w:t xml:space="preserve"> </w:t>
      </w:r>
      <w:r w:rsidRPr="00AF60E3">
        <w:rPr>
          <w:rFonts w:asciiTheme="majorHAnsi" w:hAnsiTheme="majorHAnsi" w:cstheme="majorHAnsi"/>
          <w:sz w:val="16"/>
          <w:szCs w:val="16"/>
          <w:lang w:val="ro-RO"/>
        </w:rPr>
        <w:t>Componența și denumirea completă a formularelor se prezintă în Anexa nr.1 la prezentul Raport de audit</w:t>
      </w:r>
      <w:r>
        <w:rPr>
          <w:rFonts w:asciiTheme="majorHAnsi" w:hAnsiTheme="majorHAnsi" w:cstheme="majorHAnsi"/>
          <w:sz w:val="16"/>
          <w:szCs w:val="16"/>
          <w:lang w:val="ro-RO"/>
        </w:rPr>
        <w:t xml:space="preserve"> și</w:t>
      </w:r>
      <w:r w:rsidRPr="00AF60E3">
        <w:rPr>
          <w:rFonts w:asciiTheme="majorHAnsi" w:hAnsiTheme="majorHAnsi" w:cstheme="majorHAnsi"/>
          <w:sz w:val="16"/>
          <w:szCs w:val="16"/>
          <w:lang w:val="ro-RO"/>
        </w:rPr>
        <w:t xml:space="preserve"> sunt </w:t>
      </w:r>
      <w:r>
        <w:rPr>
          <w:rFonts w:asciiTheme="majorHAnsi" w:hAnsiTheme="majorHAnsi" w:cstheme="majorHAnsi"/>
          <w:sz w:val="16"/>
          <w:szCs w:val="16"/>
          <w:lang w:val="ro-RO"/>
        </w:rPr>
        <w:t xml:space="preserve">plasate </w:t>
      </w:r>
      <w:r w:rsidRPr="00AF60E3">
        <w:rPr>
          <w:rFonts w:asciiTheme="majorHAnsi" w:hAnsiTheme="majorHAnsi" w:cstheme="majorHAnsi"/>
          <w:sz w:val="16"/>
          <w:szCs w:val="16"/>
          <w:lang w:val="ro-RO"/>
        </w:rPr>
        <w:t>pe pagina oficială a Ministerului Finanțelor.</w:t>
      </w:r>
    </w:p>
  </w:footnote>
  <w:footnote w:id="2">
    <w:p w:rsidR="00642DC1" w:rsidRPr="00F55BA6" w:rsidRDefault="00642DC1" w:rsidP="00F218BC">
      <w:pPr>
        <w:pStyle w:val="aa"/>
        <w:jc w:val="both"/>
        <w:rPr>
          <w:rFonts w:asciiTheme="majorHAnsi" w:hAnsiTheme="majorHAnsi" w:cstheme="majorHAnsi"/>
          <w:sz w:val="16"/>
          <w:szCs w:val="16"/>
          <w:lang w:val="ro-RO"/>
        </w:rPr>
      </w:pPr>
      <w:r w:rsidRPr="00F55BA6">
        <w:rPr>
          <w:rStyle w:val="ac"/>
          <w:rFonts w:asciiTheme="majorHAnsi" w:hAnsiTheme="majorHAnsi" w:cstheme="majorHAnsi"/>
          <w:sz w:val="16"/>
          <w:szCs w:val="16"/>
          <w:lang w:val="ro-RO"/>
        </w:rPr>
        <w:footnoteRef/>
      </w:r>
      <w:r w:rsidRPr="00F55BA6">
        <w:rPr>
          <w:rFonts w:asciiTheme="majorHAnsi" w:hAnsiTheme="majorHAnsi" w:cstheme="majorHAnsi"/>
          <w:sz w:val="16"/>
          <w:szCs w:val="16"/>
          <w:lang w:val="ro-RO"/>
        </w:rPr>
        <w:t xml:space="preserve"> Art.31 din Legea finanțelor publice și responsabilității bugetar-fiscale nr.181 din 25.07.2014.</w:t>
      </w:r>
    </w:p>
  </w:footnote>
  <w:footnote w:id="3">
    <w:p w:rsidR="00642DC1" w:rsidRPr="00F55BA6" w:rsidRDefault="00642DC1" w:rsidP="00F218BC">
      <w:pPr>
        <w:pStyle w:val="aa"/>
        <w:jc w:val="both"/>
        <w:rPr>
          <w:rFonts w:asciiTheme="majorHAnsi" w:hAnsiTheme="majorHAnsi" w:cstheme="majorHAnsi"/>
          <w:sz w:val="16"/>
          <w:szCs w:val="16"/>
          <w:lang w:val="ro-RO"/>
        </w:rPr>
      </w:pPr>
      <w:r w:rsidRPr="00F55BA6">
        <w:rPr>
          <w:rStyle w:val="ac"/>
          <w:rFonts w:asciiTheme="majorHAnsi" w:hAnsiTheme="majorHAnsi" w:cstheme="majorHAnsi"/>
          <w:sz w:val="16"/>
          <w:szCs w:val="16"/>
          <w:lang w:val="ro-RO"/>
        </w:rPr>
        <w:footnoteRef/>
      </w:r>
      <w:r w:rsidRPr="00F55BA6">
        <w:rPr>
          <w:rFonts w:asciiTheme="majorHAnsi" w:hAnsiTheme="majorHAnsi" w:cstheme="majorHAnsi"/>
          <w:sz w:val="16"/>
          <w:szCs w:val="16"/>
          <w:lang w:val="ro-RO"/>
        </w:rPr>
        <w:t xml:space="preserve"> </w:t>
      </w:r>
      <w:r w:rsidRPr="00AF60E3">
        <w:rPr>
          <w:rFonts w:asciiTheme="majorHAnsi" w:hAnsiTheme="majorHAnsi" w:cstheme="majorHAnsi"/>
          <w:sz w:val="16"/>
          <w:szCs w:val="16"/>
          <w:lang w:val="ro-RO"/>
        </w:rPr>
        <w:t>Hotărârea Curții de Conturi nr.2 din 24.01.2020 „Cu privire la Cadrul Declarațiilor Profesionale ale INTOSAI”.</w:t>
      </w:r>
    </w:p>
  </w:footnote>
  <w:footnote w:id="4">
    <w:p w:rsidR="00642DC1" w:rsidRPr="00F55BA6" w:rsidRDefault="00642DC1" w:rsidP="00F218BC">
      <w:pPr>
        <w:pStyle w:val="aa"/>
        <w:jc w:val="both"/>
        <w:rPr>
          <w:rFonts w:asciiTheme="majorHAnsi" w:hAnsiTheme="majorHAnsi" w:cstheme="majorHAnsi"/>
          <w:sz w:val="16"/>
          <w:szCs w:val="16"/>
          <w:lang w:val="ro-RO"/>
        </w:rPr>
      </w:pPr>
      <w:r w:rsidRPr="00F55BA6">
        <w:rPr>
          <w:rStyle w:val="ac"/>
          <w:rFonts w:asciiTheme="majorHAnsi" w:hAnsiTheme="majorHAnsi" w:cstheme="majorHAnsi"/>
          <w:sz w:val="16"/>
          <w:szCs w:val="16"/>
          <w:lang w:val="ro-RO"/>
        </w:rPr>
        <w:footnoteRef/>
      </w:r>
      <w:r w:rsidRPr="00F55BA6">
        <w:rPr>
          <w:rFonts w:asciiTheme="majorHAnsi" w:hAnsiTheme="majorHAnsi" w:cstheme="majorHAnsi"/>
          <w:sz w:val="16"/>
          <w:szCs w:val="16"/>
          <w:lang w:val="ro-RO"/>
        </w:rPr>
        <w:t xml:space="preserve"> </w:t>
      </w:r>
      <w:r w:rsidRPr="00F55BA6">
        <w:rPr>
          <w:rFonts w:asciiTheme="majorHAnsi" w:hAnsiTheme="majorHAnsi" w:cstheme="majorHAnsi"/>
          <w:bCs/>
          <w:iCs/>
          <w:sz w:val="16"/>
          <w:szCs w:val="16"/>
          <w:lang w:val="ro-RO"/>
        </w:rPr>
        <w:t>C</w:t>
      </w:r>
      <w:r w:rsidRPr="00F55BA6">
        <w:rPr>
          <w:rFonts w:asciiTheme="majorHAnsi" w:hAnsiTheme="majorHAnsi" w:cstheme="majorHAnsi"/>
          <w:sz w:val="16"/>
          <w:szCs w:val="16"/>
          <w:lang w:val="ro-RO"/>
        </w:rPr>
        <w:t xml:space="preserve">onform Ordinului MF nr.208 din 24.12.2015 </w:t>
      </w:r>
      <w:r>
        <w:rPr>
          <w:rFonts w:asciiTheme="majorHAnsi" w:hAnsiTheme="majorHAnsi" w:cstheme="majorHAnsi"/>
          <w:sz w:val="16"/>
          <w:szCs w:val="16"/>
          <w:lang w:val="ro-RO"/>
        </w:rPr>
        <w:t>„P</w:t>
      </w:r>
      <w:r w:rsidRPr="00F55BA6">
        <w:rPr>
          <w:rFonts w:asciiTheme="majorHAnsi" w:hAnsiTheme="majorHAnsi" w:cstheme="majorHAnsi"/>
          <w:sz w:val="16"/>
          <w:szCs w:val="16"/>
          <w:lang w:val="ro-RO"/>
        </w:rPr>
        <w:t>rivind Clasificația bugetară”</w:t>
      </w:r>
      <w:r>
        <w:rPr>
          <w:rFonts w:asciiTheme="majorHAnsi" w:hAnsiTheme="majorHAnsi" w:cstheme="majorHAnsi"/>
          <w:sz w:val="16"/>
          <w:szCs w:val="16"/>
          <w:lang w:val="ro-RO"/>
        </w:rPr>
        <w:t>,</w:t>
      </w:r>
      <w:r w:rsidRPr="00F55BA6">
        <w:rPr>
          <w:rFonts w:asciiTheme="majorHAnsi" w:hAnsiTheme="majorHAnsi" w:cstheme="majorHAnsi"/>
          <w:sz w:val="16"/>
          <w:szCs w:val="16"/>
          <w:lang w:val="ro-RO"/>
        </w:rPr>
        <w:t xml:space="preserve"> în fiecare buget – component al BPN, este un Org2 „Acțiuni generale”, subordonat Org1 „Acțiuni generale” – în cazul BS</w:t>
      </w:r>
      <w:r>
        <w:rPr>
          <w:rFonts w:asciiTheme="majorHAnsi" w:hAnsiTheme="majorHAnsi" w:cstheme="majorHAnsi"/>
          <w:sz w:val="16"/>
          <w:szCs w:val="16"/>
          <w:lang w:val="ro-RO"/>
        </w:rPr>
        <w:t>,</w:t>
      </w:r>
      <w:r w:rsidRPr="00F55BA6">
        <w:rPr>
          <w:rFonts w:asciiTheme="majorHAnsi" w:hAnsiTheme="majorHAnsi" w:cstheme="majorHAnsi"/>
          <w:sz w:val="16"/>
          <w:szCs w:val="16"/>
          <w:lang w:val="ro-RO"/>
        </w:rPr>
        <w:t xml:space="preserve"> sau Org1 – în cazul bugetelor locale, BASS și FAOAM, </w:t>
      </w:r>
      <w:r>
        <w:rPr>
          <w:rFonts w:asciiTheme="majorHAnsi" w:hAnsiTheme="majorHAnsi" w:cstheme="majorHAnsi"/>
          <w:sz w:val="16"/>
          <w:szCs w:val="16"/>
          <w:lang w:val="ro-RO"/>
        </w:rPr>
        <w:t>în</w:t>
      </w:r>
      <w:r w:rsidRPr="00F55BA6">
        <w:rPr>
          <w:rFonts w:asciiTheme="majorHAnsi" w:hAnsiTheme="majorHAnsi" w:cstheme="majorHAnsi"/>
          <w:sz w:val="16"/>
          <w:szCs w:val="16"/>
          <w:lang w:val="ro-RO"/>
        </w:rPr>
        <w:t xml:space="preserve"> care se reflectă resursele generale și cheltuielile generale care nu pot fi atribuite unor autorități/instituții bugetare concrete.</w:t>
      </w:r>
    </w:p>
    <w:p w:rsidR="00642DC1" w:rsidRPr="00F55BA6" w:rsidRDefault="00642DC1">
      <w:pPr>
        <w:pStyle w:val="aa"/>
        <w:rPr>
          <w:lang w:val="ro-RO"/>
        </w:rPr>
      </w:pPr>
    </w:p>
  </w:footnote>
  <w:footnote w:id="5">
    <w:p w:rsidR="00642DC1" w:rsidRPr="00382C27" w:rsidRDefault="00642DC1" w:rsidP="003B4CB0">
      <w:pPr>
        <w:pStyle w:val="aa"/>
        <w:jc w:val="both"/>
        <w:rPr>
          <w:rFonts w:asciiTheme="majorHAnsi" w:hAnsiTheme="majorHAnsi" w:cstheme="majorHAnsi"/>
          <w:sz w:val="16"/>
          <w:szCs w:val="16"/>
          <w:lang w:val="ro-MD"/>
        </w:rPr>
      </w:pPr>
      <w:r w:rsidRPr="00382C27">
        <w:rPr>
          <w:rStyle w:val="ac"/>
          <w:rFonts w:asciiTheme="majorHAnsi" w:hAnsiTheme="majorHAnsi" w:cstheme="majorHAnsi"/>
          <w:sz w:val="16"/>
          <w:szCs w:val="16"/>
          <w:lang w:val="ro-MD"/>
        </w:rPr>
        <w:footnoteRef/>
      </w:r>
      <w:r w:rsidRPr="00382C27">
        <w:rPr>
          <w:rFonts w:asciiTheme="majorHAnsi" w:hAnsiTheme="majorHAnsi" w:cstheme="majorHAnsi"/>
          <w:sz w:val="16"/>
          <w:szCs w:val="16"/>
          <w:lang w:val="ro-MD"/>
        </w:rPr>
        <w:t xml:space="preserve"> HG nr.1145 din 20.12.2017 </w:t>
      </w:r>
      <w:r>
        <w:rPr>
          <w:rFonts w:asciiTheme="majorHAnsi" w:hAnsiTheme="majorHAnsi" w:cstheme="majorHAnsi"/>
          <w:sz w:val="16"/>
          <w:szCs w:val="16"/>
          <w:lang w:val="ro-MD"/>
        </w:rPr>
        <w:t>„P</w:t>
      </w:r>
      <w:r w:rsidRPr="00382C27">
        <w:rPr>
          <w:rFonts w:asciiTheme="majorHAnsi" w:hAnsiTheme="majorHAnsi" w:cstheme="majorHAnsi"/>
          <w:sz w:val="16"/>
          <w:szCs w:val="16"/>
          <w:lang w:val="ro-MD"/>
        </w:rPr>
        <w:t>entru aprobarea Regulamentului privind subvenționarea creării locurilor de muncă”</w:t>
      </w:r>
      <w:r>
        <w:rPr>
          <w:rFonts w:asciiTheme="majorHAnsi" w:hAnsiTheme="majorHAnsi" w:cstheme="majorHAnsi"/>
          <w:sz w:val="16"/>
          <w:szCs w:val="16"/>
          <w:lang w:val="ro-MD"/>
        </w:rPr>
        <w:t xml:space="preserve"> (în continuare – </w:t>
      </w:r>
      <w:r w:rsidRPr="00382C27">
        <w:rPr>
          <w:rFonts w:asciiTheme="majorHAnsi" w:hAnsiTheme="majorHAnsi" w:cstheme="majorHAnsi"/>
          <w:sz w:val="16"/>
          <w:szCs w:val="16"/>
          <w:lang w:val="ro-MD"/>
        </w:rPr>
        <w:t>HG nr.1145 din 20.12.2017</w:t>
      </w:r>
      <w:r>
        <w:rPr>
          <w:rFonts w:asciiTheme="majorHAnsi" w:hAnsiTheme="majorHAnsi" w:cstheme="majorHAnsi"/>
          <w:sz w:val="16"/>
          <w:szCs w:val="16"/>
          <w:lang w:val="ro-MD"/>
        </w:rPr>
        <w:t>).</w:t>
      </w:r>
    </w:p>
  </w:footnote>
  <w:footnote w:id="6">
    <w:p w:rsidR="00642DC1" w:rsidRPr="00382C27" w:rsidRDefault="00642DC1" w:rsidP="003B4CB0">
      <w:pPr>
        <w:pStyle w:val="aa"/>
        <w:jc w:val="both"/>
        <w:rPr>
          <w:rFonts w:asciiTheme="majorHAnsi" w:hAnsiTheme="majorHAnsi" w:cstheme="majorHAnsi"/>
          <w:sz w:val="16"/>
          <w:szCs w:val="16"/>
          <w:lang w:val="ro-MD"/>
        </w:rPr>
      </w:pPr>
      <w:r w:rsidRPr="00B43C6F">
        <w:rPr>
          <w:rStyle w:val="ac"/>
          <w:rFonts w:asciiTheme="majorHAnsi" w:hAnsiTheme="majorHAnsi" w:cstheme="majorHAnsi"/>
          <w:sz w:val="16"/>
          <w:szCs w:val="16"/>
          <w:lang w:val="ro-MD"/>
        </w:rPr>
        <w:footnoteRef/>
      </w:r>
      <w:r w:rsidRPr="00B43C6F">
        <w:rPr>
          <w:rFonts w:asciiTheme="majorHAnsi" w:hAnsiTheme="majorHAnsi" w:cstheme="majorHAnsi"/>
          <w:sz w:val="16"/>
          <w:szCs w:val="16"/>
          <w:lang w:val="ro-MD"/>
        </w:rPr>
        <w:t xml:space="preserve"> Subvenții acordate pentru crearea locurilor de mu</w:t>
      </w:r>
      <w:r>
        <w:rPr>
          <w:rFonts w:asciiTheme="majorHAnsi" w:hAnsiTheme="majorHAnsi" w:cstheme="majorHAnsi"/>
          <w:sz w:val="16"/>
          <w:szCs w:val="16"/>
          <w:lang w:val="ro-MD"/>
        </w:rPr>
        <w:t>ncă; HG nr.1145 din 20.12.2017; C</w:t>
      </w:r>
      <w:r w:rsidRPr="00B43C6F">
        <w:rPr>
          <w:rFonts w:asciiTheme="majorHAnsi" w:hAnsiTheme="majorHAnsi" w:cstheme="majorHAnsi"/>
          <w:sz w:val="16"/>
          <w:szCs w:val="16"/>
          <w:lang w:val="ro-MD"/>
        </w:rPr>
        <w:t>ontract</w:t>
      </w:r>
      <w:r>
        <w:rPr>
          <w:rFonts w:asciiTheme="majorHAnsi" w:hAnsiTheme="majorHAnsi" w:cstheme="majorHAnsi"/>
          <w:sz w:val="16"/>
          <w:szCs w:val="16"/>
          <w:lang w:val="ro-MD"/>
        </w:rPr>
        <w:t>ul</w:t>
      </w:r>
      <w:r w:rsidRPr="00B43C6F">
        <w:rPr>
          <w:rFonts w:asciiTheme="majorHAnsi" w:hAnsiTheme="majorHAnsi" w:cstheme="majorHAnsi"/>
          <w:sz w:val="16"/>
          <w:szCs w:val="16"/>
          <w:lang w:val="ro-MD"/>
        </w:rPr>
        <w:t xml:space="preserve"> nr.</w:t>
      </w:r>
      <w:r>
        <w:rPr>
          <w:rFonts w:asciiTheme="majorHAnsi" w:hAnsiTheme="majorHAnsi" w:cstheme="majorHAnsi"/>
          <w:sz w:val="16"/>
          <w:szCs w:val="16"/>
          <w:lang w:val="ro-MD"/>
        </w:rPr>
        <w:t>1 din 31.12.2019 (a 2-a tranșă),</w:t>
      </w:r>
      <w:r w:rsidRPr="00B43C6F">
        <w:rPr>
          <w:rFonts w:asciiTheme="majorHAnsi" w:hAnsiTheme="majorHAnsi" w:cstheme="majorHAnsi"/>
          <w:sz w:val="16"/>
          <w:szCs w:val="16"/>
          <w:lang w:val="ro-MD"/>
        </w:rPr>
        <w:t xml:space="preserve"> Ordinul de</w:t>
      </w:r>
      <w:r>
        <w:rPr>
          <w:rFonts w:asciiTheme="majorHAnsi" w:hAnsiTheme="majorHAnsi" w:cstheme="majorHAnsi"/>
          <w:sz w:val="16"/>
          <w:szCs w:val="16"/>
          <w:lang w:val="ro-MD"/>
        </w:rPr>
        <w:t xml:space="preserve"> plată nr.689375 din 29.12.2020.</w:t>
      </w:r>
    </w:p>
  </w:footnote>
  <w:footnote w:id="7">
    <w:p w:rsidR="00642DC1" w:rsidRPr="00382C27" w:rsidRDefault="00642DC1" w:rsidP="003B4CB0">
      <w:pPr>
        <w:pStyle w:val="aa"/>
        <w:jc w:val="both"/>
        <w:rPr>
          <w:rFonts w:asciiTheme="majorHAnsi" w:hAnsiTheme="majorHAnsi" w:cstheme="majorHAnsi"/>
          <w:sz w:val="16"/>
          <w:szCs w:val="16"/>
          <w:lang w:val="ro-MD"/>
        </w:rPr>
      </w:pPr>
      <w:r w:rsidRPr="00382C27">
        <w:rPr>
          <w:rStyle w:val="ac"/>
          <w:rFonts w:asciiTheme="majorHAnsi" w:hAnsiTheme="majorHAnsi" w:cstheme="majorHAnsi"/>
          <w:sz w:val="16"/>
          <w:szCs w:val="16"/>
          <w:lang w:val="ro-MD"/>
        </w:rPr>
        <w:footnoteRef/>
      </w:r>
      <w:r w:rsidRPr="00382C27">
        <w:rPr>
          <w:rFonts w:asciiTheme="majorHAnsi" w:hAnsiTheme="majorHAnsi" w:cstheme="majorHAnsi"/>
          <w:sz w:val="16"/>
          <w:szCs w:val="16"/>
          <w:lang w:val="ro-MD"/>
        </w:rPr>
        <w:t xml:space="preserve"> </w:t>
      </w:r>
      <w:r w:rsidRPr="00382C27">
        <w:rPr>
          <w:rFonts w:asciiTheme="majorHAnsi" w:eastAsia="Times New Roman" w:hAnsiTheme="majorHAnsi" w:cstheme="majorHAnsi"/>
          <w:sz w:val="16"/>
          <w:szCs w:val="16"/>
          <w:lang w:val="ro-MD"/>
        </w:rPr>
        <w:t xml:space="preserve">Aceste mijloace fiind </w:t>
      </w:r>
      <w:r>
        <w:rPr>
          <w:rFonts w:asciiTheme="majorHAnsi" w:eastAsia="Times New Roman" w:hAnsiTheme="majorHAnsi" w:cstheme="majorHAnsi"/>
          <w:sz w:val="16"/>
          <w:szCs w:val="16"/>
          <w:lang w:val="ro-MD"/>
        </w:rPr>
        <w:t xml:space="preserve">din </w:t>
      </w:r>
      <w:r w:rsidRPr="00382C27">
        <w:rPr>
          <w:rFonts w:asciiTheme="majorHAnsi" w:eastAsia="Times New Roman" w:hAnsiTheme="majorHAnsi" w:cstheme="majorHAnsi"/>
          <w:sz w:val="16"/>
          <w:szCs w:val="16"/>
          <w:lang w:val="ro-MD"/>
        </w:rPr>
        <w:t>a 2</w:t>
      </w:r>
      <w:r>
        <w:rPr>
          <w:rFonts w:asciiTheme="majorHAnsi" w:eastAsia="Times New Roman" w:hAnsiTheme="majorHAnsi" w:cstheme="majorHAnsi"/>
          <w:sz w:val="16"/>
          <w:szCs w:val="16"/>
          <w:lang w:val="ro-MD"/>
        </w:rPr>
        <w:t>-a</w:t>
      </w:r>
      <w:r w:rsidRPr="00382C27">
        <w:rPr>
          <w:rFonts w:asciiTheme="majorHAnsi" w:eastAsia="Times New Roman" w:hAnsiTheme="majorHAnsi" w:cstheme="majorHAnsi"/>
          <w:sz w:val="16"/>
          <w:szCs w:val="16"/>
          <w:lang w:val="ro-MD"/>
        </w:rPr>
        <w:t xml:space="preserve"> tranșă conform contractului încheiat în anul 2019 (</w:t>
      </w:r>
      <w:r w:rsidRPr="00382C27">
        <w:rPr>
          <w:rFonts w:asciiTheme="majorHAnsi" w:hAnsiTheme="majorHAnsi" w:cstheme="majorHAnsi"/>
          <w:sz w:val="16"/>
          <w:szCs w:val="16"/>
          <w:lang w:val="ro-MD" w:eastAsia="ru-RU"/>
        </w:rPr>
        <w:t>l</w:t>
      </w:r>
      <w:r w:rsidRPr="00382C27">
        <w:rPr>
          <w:rFonts w:asciiTheme="majorHAnsi" w:hAnsiTheme="majorHAnsi" w:cstheme="majorHAnsi"/>
          <w:sz w:val="16"/>
          <w:szCs w:val="16"/>
          <w:lang w:val="ro-MD"/>
        </w:rPr>
        <w:t>a 31.12.2019 a fost achitată prima tranșă în sumă de 21,2 mil. lei).</w:t>
      </w:r>
    </w:p>
  </w:footnote>
  <w:footnote w:id="8">
    <w:p w:rsidR="00642DC1" w:rsidRPr="00382C27" w:rsidRDefault="00642DC1" w:rsidP="003B4CB0">
      <w:pPr>
        <w:pStyle w:val="aa"/>
        <w:jc w:val="both"/>
        <w:rPr>
          <w:rFonts w:asciiTheme="majorHAnsi" w:hAnsiTheme="majorHAnsi" w:cstheme="majorHAnsi"/>
          <w:sz w:val="16"/>
          <w:szCs w:val="16"/>
          <w:lang w:val="ro-MD"/>
        </w:rPr>
      </w:pPr>
      <w:r w:rsidRPr="00382C27">
        <w:rPr>
          <w:rStyle w:val="ac"/>
          <w:rFonts w:asciiTheme="majorHAnsi" w:hAnsiTheme="majorHAnsi" w:cstheme="majorHAnsi"/>
          <w:sz w:val="16"/>
          <w:szCs w:val="16"/>
          <w:lang w:val="ro-MD"/>
        </w:rPr>
        <w:footnoteRef/>
      </w:r>
      <w:r w:rsidRPr="00382C27">
        <w:rPr>
          <w:rFonts w:asciiTheme="majorHAnsi" w:hAnsiTheme="majorHAnsi" w:cstheme="majorHAnsi"/>
          <w:sz w:val="16"/>
          <w:szCs w:val="16"/>
          <w:lang w:val="ro-MD"/>
        </w:rPr>
        <w:t xml:space="preserve"> Scrisoarea SFS nr.26-05/2-10/575/75982 din 23.12.2020.</w:t>
      </w:r>
    </w:p>
  </w:footnote>
  <w:footnote w:id="9">
    <w:p w:rsidR="00642DC1" w:rsidRPr="00382C27" w:rsidRDefault="00642DC1" w:rsidP="003B4CB0">
      <w:pPr>
        <w:pStyle w:val="aa"/>
        <w:jc w:val="both"/>
        <w:rPr>
          <w:rFonts w:asciiTheme="majorHAnsi" w:hAnsiTheme="majorHAnsi" w:cstheme="majorHAnsi"/>
          <w:sz w:val="16"/>
          <w:szCs w:val="16"/>
          <w:lang w:val="ro-MD"/>
        </w:rPr>
      </w:pPr>
      <w:r w:rsidRPr="00382C27">
        <w:rPr>
          <w:rStyle w:val="ac"/>
          <w:rFonts w:asciiTheme="majorHAnsi" w:hAnsiTheme="majorHAnsi" w:cstheme="majorHAnsi"/>
          <w:sz w:val="16"/>
          <w:szCs w:val="16"/>
          <w:lang w:val="ro-MD"/>
        </w:rPr>
        <w:footnoteRef/>
      </w:r>
      <w:r w:rsidRPr="00382C27">
        <w:rPr>
          <w:rFonts w:asciiTheme="majorHAnsi" w:hAnsiTheme="majorHAnsi" w:cstheme="majorHAnsi"/>
          <w:sz w:val="16"/>
          <w:szCs w:val="16"/>
          <w:lang w:val="ro-MD"/>
        </w:rPr>
        <w:t xml:space="preserve"> HG nr.940 din 22.12.2020 </w:t>
      </w:r>
      <w:r>
        <w:rPr>
          <w:rFonts w:asciiTheme="majorHAnsi" w:hAnsiTheme="majorHAnsi" w:cstheme="majorHAnsi"/>
          <w:sz w:val="16"/>
          <w:szCs w:val="16"/>
          <w:lang w:val="ro-MD"/>
        </w:rPr>
        <w:t>„C</w:t>
      </w:r>
      <w:r w:rsidRPr="00382C27">
        <w:rPr>
          <w:rFonts w:asciiTheme="majorHAnsi" w:hAnsiTheme="majorHAnsi" w:cstheme="majorHAnsi"/>
          <w:sz w:val="16"/>
          <w:szCs w:val="16"/>
          <w:lang w:val="ro-MD"/>
        </w:rPr>
        <w:t>u privire la modificarea unor hotărâri ale Guvernului”</w:t>
      </w:r>
      <w:r>
        <w:rPr>
          <w:rFonts w:asciiTheme="majorHAnsi" w:hAnsiTheme="majorHAnsi" w:cstheme="majorHAnsi"/>
          <w:sz w:val="16"/>
          <w:szCs w:val="16"/>
          <w:lang w:val="ro-MD"/>
        </w:rPr>
        <w:t>.</w:t>
      </w:r>
    </w:p>
  </w:footnote>
  <w:footnote w:id="10">
    <w:p w:rsidR="00642DC1" w:rsidRPr="00720513" w:rsidRDefault="00642DC1" w:rsidP="00041A2F">
      <w:pPr>
        <w:pStyle w:val="aa"/>
        <w:jc w:val="both"/>
        <w:rPr>
          <w:rFonts w:asciiTheme="majorHAnsi" w:hAnsiTheme="majorHAnsi" w:cstheme="majorHAnsi"/>
          <w:sz w:val="16"/>
          <w:szCs w:val="16"/>
        </w:rPr>
      </w:pPr>
      <w:r w:rsidRPr="00382C27">
        <w:rPr>
          <w:rStyle w:val="ac"/>
          <w:rFonts w:asciiTheme="majorHAnsi" w:hAnsiTheme="majorHAnsi" w:cstheme="majorHAnsi"/>
          <w:sz w:val="16"/>
          <w:szCs w:val="16"/>
          <w:lang w:val="ro-MD"/>
        </w:rPr>
        <w:footnoteRef/>
      </w:r>
      <w:r w:rsidRPr="00382C27">
        <w:rPr>
          <w:rFonts w:asciiTheme="majorHAnsi" w:hAnsiTheme="majorHAnsi" w:cstheme="majorHAnsi"/>
          <w:sz w:val="16"/>
          <w:szCs w:val="16"/>
          <w:lang w:val="ro-MD"/>
        </w:rPr>
        <w:t xml:space="preserve"> Ordinul MF nr.58 din 29.04.2020 </w:t>
      </w:r>
      <w:r>
        <w:rPr>
          <w:rFonts w:asciiTheme="majorHAnsi" w:hAnsiTheme="majorHAnsi" w:cstheme="majorHAnsi"/>
          <w:sz w:val="16"/>
          <w:szCs w:val="16"/>
          <w:lang w:val="ro-MD"/>
        </w:rPr>
        <w:t>„C</w:t>
      </w:r>
      <w:r w:rsidRPr="00382C27">
        <w:rPr>
          <w:rFonts w:asciiTheme="majorHAnsi" w:hAnsiTheme="majorHAnsi" w:cstheme="majorHAnsi"/>
          <w:sz w:val="16"/>
          <w:szCs w:val="16"/>
          <w:lang w:val="ro-MD"/>
        </w:rPr>
        <w:t>u privire la aprobarea Regulamentului privind subvenționarea întreprinderilor și organizațiilor necomerciale, rezidente ale RM, care au instituit șomaj tehnic și/sau staționare urmare a situației epidemiologice (COVID-19)</w:t>
      </w:r>
      <w:r>
        <w:rPr>
          <w:rFonts w:asciiTheme="majorHAnsi" w:hAnsiTheme="majorHAnsi" w:cstheme="majorHAnsi"/>
          <w:sz w:val="16"/>
          <w:szCs w:val="16"/>
          <w:lang w:val="ro-MD"/>
        </w:rPr>
        <w:t>”</w:t>
      </w:r>
      <w:r w:rsidRPr="00382C27">
        <w:rPr>
          <w:rFonts w:asciiTheme="majorHAnsi" w:hAnsiTheme="majorHAnsi" w:cstheme="majorHAnsi"/>
          <w:sz w:val="16"/>
          <w:szCs w:val="16"/>
          <w:lang w:val="ro-MD"/>
        </w:rPr>
        <w:t>.</w:t>
      </w:r>
    </w:p>
  </w:footnote>
  <w:footnote w:id="11">
    <w:p w:rsidR="00642DC1" w:rsidRPr="00F55BA6" w:rsidRDefault="00642DC1" w:rsidP="008A5413">
      <w:pPr>
        <w:pStyle w:val="aa"/>
        <w:jc w:val="both"/>
        <w:rPr>
          <w:rFonts w:asciiTheme="majorHAnsi" w:hAnsiTheme="majorHAnsi" w:cstheme="majorHAnsi"/>
          <w:sz w:val="16"/>
          <w:szCs w:val="16"/>
          <w:lang w:val="ro-RO"/>
        </w:rPr>
      </w:pPr>
      <w:r w:rsidRPr="00F55BA6">
        <w:rPr>
          <w:rStyle w:val="ac"/>
          <w:rFonts w:asciiTheme="majorHAnsi" w:hAnsiTheme="majorHAnsi" w:cstheme="majorHAnsi"/>
          <w:sz w:val="16"/>
          <w:szCs w:val="16"/>
          <w:lang w:val="ro-RO"/>
        </w:rPr>
        <w:footnoteRef/>
      </w:r>
      <w:r w:rsidRPr="00F55BA6">
        <w:rPr>
          <w:rFonts w:asciiTheme="majorHAnsi" w:hAnsiTheme="majorHAnsi" w:cstheme="majorHAnsi"/>
          <w:sz w:val="16"/>
          <w:szCs w:val="16"/>
          <w:lang w:val="ro-RO"/>
        </w:rPr>
        <w:t xml:space="preserve"> Conform Dispoziției nr.16/2020 a Comisiei pentru Situații Excepționale și Legii nr.69/2020 cu privire la instituirea unor măsuri pe perioada stării de urgență în sănătate publică și modificarea unor acte normative, precum și subvenționarea dobânzilor, conform Legii nr.60/2020 privind instituirea unor măsuri de susținere a activității de întreprinzător și modificarea unor acte normative, conform art.3 lit. f) din Legea BS pentru anul 2020.</w:t>
      </w:r>
    </w:p>
  </w:footnote>
  <w:footnote w:id="12">
    <w:p w:rsidR="00642DC1" w:rsidRPr="00F55BA6" w:rsidRDefault="00642DC1" w:rsidP="00480254">
      <w:pPr>
        <w:pStyle w:val="aa"/>
        <w:jc w:val="both"/>
        <w:rPr>
          <w:rFonts w:asciiTheme="majorHAnsi" w:hAnsiTheme="majorHAnsi" w:cstheme="majorHAnsi"/>
          <w:sz w:val="16"/>
          <w:szCs w:val="16"/>
          <w:lang w:val="ro-RO"/>
        </w:rPr>
      </w:pPr>
      <w:r w:rsidRPr="00F55BA6">
        <w:rPr>
          <w:rStyle w:val="ac"/>
          <w:rFonts w:asciiTheme="majorHAnsi" w:hAnsiTheme="majorHAnsi" w:cstheme="majorHAnsi"/>
          <w:sz w:val="16"/>
          <w:szCs w:val="16"/>
          <w:lang w:val="ro-RO"/>
        </w:rPr>
        <w:footnoteRef/>
      </w:r>
      <w:r w:rsidRPr="00F55BA6">
        <w:rPr>
          <w:rFonts w:asciiTheme="majorHAnsi" w:hAnsiTheme="majorHAnsi" w:cstheme="majorHAnsi"/>
          <w:sz w:val="16"/>
          <w:szCs w:val="16"/>
          <w:lang w:val="ro-RO"/>
        </w:rPr>
        <w:t xml:space="preserve"> Ordinul MF nr.66 din 20.05.2020 </w:t>
      </w:r>
      <w:r>
        <w:rPr>
          <w:rFonts w:asciiTheme="majorHAnsi" w:hAnsiTheme="majorHAnsi" w:cstheme="majorHAnsi"/>
          <w:sz w:val="16"/>
          <w:szCs w:val="16"/>
          <w:lang w:val="ro-RO"/>
        </w:rPr>
        <w:t>„C</w:t>
      </w:r>
      <w:r w:rsidRPr="00F55BA6">
        <w:rPr>
          <w:rFonts w:asciiTheme="majorHAnsi" w:hAnsiTheme="majorHAnsi" w:cstheme="majorHAnsi"/>
          <w:sz w:val="16"/>
          <w:szCs w:val="16"/>
          <w:lang w:val="ro-RO"/>
        </w:rPr>
        <w:t>u privire la aprobarea Regulamentului privind modul de subvenționare a dobânzilor la creditele bancare și/sau nebancare contractate în perioada 1 mai 2020 – 31 decembrie 2020</w:t>
      </w:r>
      <w:r>
        <w:rPr>
          <w:rFonts w:asciiTheme="majorHAnsi" w:hAnsiTheme="majorHAnsi" w:cstheme="majorHAnsi"/>
          <w:sz w:val="16"/>
          <w:szCs w:val="16"/>
          <w:lang w:val="ro-RO"/>
        </w:rPr>
        <w:t>”</w:t>
      </w:r>
      <w:r w:rsidRPr="00F55BA6">
        <w:rPr>
          <w:rFonts w:asciiTheme="majorHAnsi" w:hAnsiTheme="majorHAnsi" w:cstheme="majorHAnsi"/>
          <w:sz w:val="16"/>
          <w:szCs w:val="16"/>
          <w:lang w:val="ro-RO"/>
        </w:rPr>
        <w:t>.</w:t>
      </w:r>
    </w:p>
  </w:footnote>
  <w:footnote w:id="13">
    <w:p w:rsidR="00642DC1" w:rsidRPr="00F55BA6" w:rsidRDefault="00642DC1" w:rsidP="00985859">
      <w:pPr>
        <w:pStyle w:val="aa"/>
        <w:jc w:val="both"/>
        <w:rPr>
          <w:rFonts w:asciiTheme="majorHAnsi" w:hAnsiTheme="majorHAnsi" w:cstheme="majorHAnsi"/>
          <w:sz w:val="16"/>
          <w:szCs w:val="16"/>
          <w:lang w:val="ro-RO"/>
        </w:rPr>
      </w:pPr>
      <w:r w:rsidRPr="00F55BA6">
        <w:rPr>
          <w:rStyle w:val="ac"/>
          <w:rFonts w:asciiTheme="majorHAnsi" w:hAnsiTheme="majorHAnsi" w:cstheme="majorHAnsi"/>
          <w:sz w:val="16"/>
          <w:szCs w:val="16"/>
          <w:lang w:val="ro-RO"/>
        </w:rPr>
        <w:footnoteRef/>
      </w:r>
      <w:r w:rsidRPr="00F55BA6">
        <w:rPr>
          <w:rFonts w:asciiTheme="majorHAnsi" w:hAnsiTheme="majorHAnsi" w:cstheme="majorHAnsi"/>
          <w:sz w:val="16"/>
          <w:szCs w:val="16"/>
          <w:lang w:val="ro-RO"/>
        </w:rPr>
        <w:t xml:space="preserve"> Ordinul MF nr.58 din 29.04.2020 </w:t>
      </w:r>
      <w:r>
        <w:rPr>
          <w:rFonts w:asciiTheme="majorHAnsi" w:hAnsiTheme="majorHAnsi" w:cstheme="majorHAnsi"/>
          <w:sz w:val="16"/>
          <w:szCs w:val="16"/>
          <w:lang w:val="ro-RO"/>
        </w:rPr>
        <w:t>„C</w:t>
      </w:r>
      <w:r w:rsidRPr="00F55BA6">
        <w:rPr>
          <w:rFonts w:asciiTheme="majorHAnsi" w:hAnsiTheme="majorHAnsi" w:cstheme="majorHAnsi"/>
          <w:sz w:val="16"/>
          <w:szCs w:val="16"/>
          <w:lang w:val="ro-RO"/>
        </w:rPr>
        <w:t>u privire la aprobarea Regulamentului privind subvenționarea întreprinderilor și organizațiilor necomerciale, rezidente ale RM, care au instituit șomaj tehnic și/sau staționare urmare a situației epidemiologice (COVID-19)</w:t>
      </w:r>
      <w:r>
        <w:rPr>
          <w:rFonts w:asciiTheme="majorHAnsi" w:hAnsiTheme="majorHAnsi" w:cstheme="majorHAnsi"/>
          <w:sz w:val="16"/>
          <w:szCs w:val="16"/>
          <w:lang w:val="ro-RO"/>
        </w:rPr>
        <w:t>”</w:t>
      </w:r>
      <w:r w:rsidRPr="00F55BA6">
        <w:rPr>
          <w:rFonts w:asciiTheme="majorHAnsi" w:hAnsiTheme="majorHAnsi" w:cstheme="majorHAnsi"/>
          <w:sz w:val="16"/>
          <w:szCs w:val="16"/>
          <w:lang w:val="ro-RO"/>
        </w:rPr>
        <w:t>.</w:t>
      </w:r>
    </w:p>
  </w:footnote>
  <w:footnote w:id="14">
    <w:p w:rsidR="00642DC1" w:rsidRPr="00660259" w:rsidRDefault="00642DC1" w:rsidP="00985859">
      <w:pPr>
        <w:pStyle w:val="aa"/>
        <w:jc w:val="both"/>
        <w:rPr>
          <w:lang w:val="ro-RO"/>
        </w:rPr>
      </w:pPr>
      <w:r w:rsidRPr="00F55BA6">
        <w:rPr>
          <w:rStyle w:val="ac"/>
          <w:rFonts w:asciiTheme="majorHAnsi" w:hAnsiTheme="majorHAnsi" w:cstheme="majorHAnsi"/>
          <w:sz w:val="16"/>
          <w:szCs w:val="16"/>
          <w:lang w:val="ro-RO"/>
        </w:rPr>
        <w:footnoteRef/>
      </w:r>
      <w:r w:rsidRPr="00F55BA6">
        <w:rPr>
          <w:rFonts w:asciiTheme="majorHAnsi" w:hAnsiTheme="majorHAnsi" w:cstheme="majorHAnsi"/>
          <w:sz w:val="16"/>
          <w:szCs w:val="16"/>
          <w:lang w:val="ro-RO"/>
        </w:rPr>
        <w:t xml:space="preserve"> </w:t>
      </w:r>
      <w:r w:rsidRPr="00FC4F1A">
        <w:rPr>
          <w:rFonts w:asciiTheme="majorHAnsi" w:eastAsia="Times New Roman" w:hAnsiTheme="majorHAnsi" w:cstheme="majorHAnsi"/>
          <w:color w:val="000000"/>
          <w:sz w:val="16"/>
          <w:szCs w:val="16"/>
          <w:lang w:val="ro-RO" w:eastAsia="ro-RO" w:bidi="ro-RO"/>
        </w:rPr>
        <w:t>Ordinul MF nr.86 din 13.07.</w:t>
      </w:r>
      <w:r w:rsidRPr="00660259">
        <w:rPr>
          <w:rFonts w:asciiTheme="majorHAnsi" w:eastAsia="Times New Roman" w:hAnsiTheme="majorHAnsi" w:cstheme="majorHAnsi"/>
          <w:color w:val="000000"/>
          <w:sz w:val="16"/>
          <w:szCs w:val="16"/>
          <w:lang w:val="ro-RO" w:eastAsia="ro-RO" w:bidi="ro-RO"/>
        </w:rPr>
        <w:t xml:space="preserve">2020 </w:t>
      </w:r>
      <w:r w:rsidRPr="00D95182">
        <w:rPr>
          <w:rFonts w:asciiTheme="majorHAnsi" w:eastAsia="Times New Roman" w:hAnsiTheme="majorHAnsi" w:cstheme="majorHAnsi"/>
          <w:iCs/>
          <w:color w:val="000000"/>
          <w:sz w:val="16"/>
          <w:szCs w:val="16"/>
          <w:lang w:val="ro-RO" w:eastAsia="ro-RO" w:bidi="ro-RO"/>
        </w:rPr>
        <w:t>„Cu privire la aprobarea Regulamentului privind subvenționarea sumei contribuțiilor de asigurări sociale de stat obligatorii în sumă fixă pentru persoanele fizice indicate la pozițiile 1.7 şi 1.8 din anexa nr.1 a Legii nr. 489/1999 privind sistemul public de asigurări sociale, aferente perioadei sistării activității în conformitate cu deciziile Comisiei naționale extraordinare de sănătate publică şi/sau cu dispozițiile Comisiei pentru Situații Excepționale a RM”.</w:t>
      </w:r>
    </w:p>
  </w:footnote>
  <w:footnote w:id="15">
    <w:p w:rsidR="00642DC1" w:rsidRPr="00F55BA6" w:rsidRDefault="00642DC1" w:rsidP="004E5FA3">
      <w:pPr>
        <w:pStyle w:val="aa"/>
        <w:jc w:val="both"/>
        <w:rPr>
          <w:rFonts w:asciiTheme="majorHAnsi" w:hAnsiTheme="majorHAnsi" w:cstheme="majorHAnsi"/>
          <w:sz w:val="16"/>
          <w:szCs w:val="16"/>
          <w:lang w:val="ro-RO"/>
        </w:rPr>
      </w:pPr>
      <w:r w:rsidRPr="00F55BA6">
        <w:rPr>
          <w:rStyle w:val="ac"/>
          <w:rFonts w:asciiTheme="majorHAnsi" w:hAnsiTheme="majorHAnsi" w:cstheme="majorHAnsi"/>
          <w:sz w:val="16"/>
          <w:szCs w:val="16"/>
          <w:lang w:val="ro-RO"/>
        </w:rPr>
        <w:footnoteRef/>
      </w:r>
      <w:r w:rsidRPr="00F55BA6">
        <w:rPr>
          <w:rFonts w:asciiTheme="majorHAnsi" w:hAnsiTheme="majorHAnsi" w:cstheme="majorHAnsi"/>
          <w:sz w:val="16"/>
          <w:szCs w:val="16"/>
          <w:lang w:val="ro-RO"/>
        </w:rPr>
        <w:t xml:space="preserve"> Ordinul MF nr.8 din 15.01.2020 „Cu privire la modificarea Normelor metodologice privind executarea de casă a bugetelor componente ale bugetului public național și a mijloacelor extrabugetare prin sistemul trezorerial al Ministerului Finanțelor”.</w:t>
      </w:r>
    </w:p>
  </w:footnote>
  <w:footnote w:id="16">
    <w:p w:rsidR="00642DC1" w:rsidRPr="003B1004" w:rsidRDefault="00642DC1" w:rsidP="003B1004">
      <w:pPr>
        <w:pStyle w:val="aa"/>
        <w:jc w:val="both"/>
        <w:rPr>
          <w:rFonts w:asciiTheme="majorHAnsi" w:hAnsiTheme="majorHAnsi" w:cstheme="majorHAnsi"/>
          <w:sz w:val="16"/>
          <w:szCs w:val="16"/>
        </w:rPr>
      </w:pPr>
      <w:r w:rsidRPr="003B1004">
        <w:rPr>
          <w:rStyle w:val="ac"/>
          <w:rFonts w:asciiTheme="majorHAnsi" w:hAnsiTheme="majorHAnsi" w:cstheme="majorHAnsi"/>
          <w:sz w:val="16"/>
          <w:szCs w:val="16"/>
        </w:rPr>
        <w:footnoteRef/>
      </w:r>
      <w:r w:rsidRPr="003B1004">
        <w:rPr>
          <w:rFonts w:asciiTheme="majorHAnsi" w:hAnsiTheme="majorHAnsi" w:cstheme="majorHAnsi"/>
          <w:sz w:val="16"/>
          <w:szCs w:val="16"/>
        </w:rPr>
        <w:t xml:space="preserve"> </w:t>
      </w:r>
      <w:r w:rsidRPr="003B1004">
        <w:rPr>
          <w:rFonts w:asciiTheme="majorHAnsi" w:hAnsiTheme="majorHAnsi" w:cstheme="majorHAnsi"/>
          <w:sz w:val="16"/>
          <w:szCs w:val="16"/>
          <w:lang w:val="ro-MD"/>
        </w:rPr>
        <w:t xml:space="preserve">Hotărârea </w:t>
      </w:r>
      <w:r>
        <w:rPr>
          <w:rFonts w:asciiTheme="majorHAnsi" w:hAnsiTheme="majorHAnsi" w:cstheme="majorHAnsi"/>
          <w:sz w:val="16"/>
          <w:szCs w:val="16"/>
          <w:lang w:val="ro-MD"/>
        </w:rPr>
        <w:t xml:space="preserve">Curții de Conturi </w:t>
      </w:r>
      <w:r w:rsidRPr="003B1004">
        <w:rPr>
          <w:rFonts w:asciiTheme="majorHAnsi" w:hAnsiTheme="majorHAnsi" w:cstheme="majorHAnsi"/>
          <w:sz w:val="16"/>
          <w:szCs w:val="16"/>
          <w:lang w:val="ro-MD"/>
        </w:rPr>
        <w:t>nr. 23 din 10</w:t>
      </w:r>
      <w:r>
        <w:rPr>
          <w:rFonts w:asciiTheme="majorHAnsi" w:hAnsiTheme="majorHAnsi" w:cstheme="majorHAnsi"/>
          <w:sz w:val="16"/>
          <w:szCs w:val="16"/>
          <w:lang w:val="ro-MD"/>
        </w:rPr>
        <w:t>.06.</w:t>
      </w:r>
      <w:r w:rsidRPr="003B1004">
        <w:rPr>
          <w:rFonts w:asciiTheme="majorHAnsi" w:hAnsiTheme="majorHAnsi" w:cstheme="majorHAnsi"/>
          <w:sz w:val="16"/>
          <w:szCs w:val="16"/>
          <w:lang w:val="ro-MD"/>
        </w:rPr>
        <w:t xml:space="preserve">2021 </w:t>
      </w:r>
      <w:r>
        <w:rPr>
          <w:rFonts w:asciiTheme="majorHAnsi" w:hAnsiTheme="majorHAnsi" w:cstheme="majorHAnsi"/>
          <w:sz w:val="16"/>
          <w:szCs w:val="16"/>
          <w:lang w:val="ro-MD"/>
        </w:rPr>
        <w:t>„C</w:t>
      </w:r>
      <w:r w:rsidRPr="003B1004">
        <w:rPr>
          <w:rFonts w:asciiTheme="majorHAnsi" w:hAnsiTheme="majorHAnsi" w:cstheme="majorHAnsi"/>
          <w:sz w:val="16"/>
          <w:szCs w:val="16"/>
          <w:lang w:val="ro-MD"/>
        </w:rPr>
        <w:t>u privire la Raportul auditului asupra rapoartelor financiare consolidate ale Ministerului Finanțelor încheiate la 31 decembrie 2020</w:t>
      </w:r>
      <w:r>
        <w:rPr>
          <w:rFonts w:asciiTheme="majorHAnsi" w:hAnsiTheme="majorHAnsi" w:cstheme="majorHAnsi"/>
          <w:sz w:val="16"/>
          <w:szCs w:val="16"/>
          <w:lang w:val="ro-MD"/>
        </w:rPr>
        <w:t>”</w:t>
      </w:r>
      <w:r w:rsidRPr="003B1004">
        <w:rPr>
          <w:rFonts w:asciiTheme="majorHAnsi" w:hAnsiTheme="majorHAnsi" w:cstheme="majorHAnsi"/>
          <w:sz w:val="16"/>
          <w:szCs w:val="16"/>
          <w:lang w:val="ro-MD"/>
        </w:rPr>
        <w:t>.</w:t>
      </w:r>
    </w:p>
  </w:footnote>
  <w:footnote w:id="17">
    <w:p w:rsidR="00642DC1" w:rsidRPr="00235768" w:rsidRDefault="00642DC1" w:rsidP="00541BF1">
      <w:pPr>
        <w:pStyle w:val="4"/>
        <w:shd w:val="clear" w:color="auto" w:fill="FFFFFF"/>
        <w:spacing w:before="0" w:line="240" w:lineRule="auto"/>
        <w:jc w:val="both"/>
        <w:rPr>
          <w:rFonts w:cstheme="majorHAnsi"/>
          <w:color w:val="000000" w:themeColor="text1"/>
          <w:sz w:val="16"/>
          <w:szCs w:val="16"/>
          <w:lang w:val="ro-MD"/>
        </w:rPr>
      </w:pPr>
      <w:r w:rsidRPr="00235768">
        <w:rPr>
          <w:rStyle w:val="ac"/>
          <w:rFonts w:cstheme="majorHAnsi"/>
          <w:i w:val="0"/>
          <w:color w:val="000000" w:themeColor="text1"/>
          <w:sz w:val="16"/>
          <w:szCs w:val="16"/>
          <w:lang w:val="ro-MD"/>
        </w:rPr>
        <w:footnoteRef/>
      </w:r>
      <w:r w:rsidRPr="00235768">
        <w:rPr>
          <w:rFonts w:cstheme="majorHAnsi"/>
          <w:i w:val="0"/>
          <w:color w:val="000000" w:themeColor="text1"/>
          <w:sz w:val="16"/>
          <w:szCs w:val="16"/>
          <w:lang w:val="ro-MD"/>
        </w:rPr>
        <w:t xml:space="preserve"> Ordinul </w:t>
      </w:r>
      <w:r>
        <w:rPr>
          <w:rFonts w:cstheme="majorHAnsi"/>
          <w:i w:val="0"/>
          <w:color w:val="000000" w:themeColor="text1"/>
          <w:sz w:val="16"/>
          <w:szCs w:val="16"/>
          <w:lang w:val="ro-MD"/>
        </w:rPr>
        <w:t>m</w:t>
      </w:r>
      <w:r w:rsidRPr="00235768">
        <w:rPr>
          <w:rFonts w:cstheme="majorHAnsi"/>
          <w:i w:val="0"/>
          <w:color w:val="000000" w:themeColor="text1"/>
          <w:sz w:val="16"/>
          <w:szCs w:val="16"/>
          <w:lang w:val="ro-MD"/>
        </w:rPr>
        <w:t xml:space="preserve">inistrului Finanțelor nr.76 din 16.06.2020 </w:t>
      </w:r>
      <w:r>
        <w:rPr>
          <w:rFonts w:cstheme="majorHAnsi"/>
          <w:i w:val="0"/>
          <w:color w:val="000000" w:themeColor="text1"/>
          <w:sz w:val="16"/>
          <w:szCs w:val="16"/>
          <w:lang w:val="ro-MD"/>
        </w:rPr>
        <w:t>„C</w:t>
      </w:r>
      <w:r w:rsidRPr="00235768">
        <w:rPr>
          <w:rFonts w:cstheme="majorHAnsi"/>
          <w:i w:val="0"/>
          <w:color w:val="000000" w:themeColor="text1"/>
          <w:sz w:val="16"/>
          <w:szCs w:val="16"/>
          <w:lang w:val="ro-MD"/>
        </w:rPr>
        <w:t xml:space="preserve">u privire la aprobarea </w:t>
      </w:r>
      <w:r w:rsidRPr="00235768">
        <w:rPr>
          <w:rFonts w:eastAsia="Times New Roman" w:cstheme="majorHAnsi"/>
          <w:bCs/>
          <w:i w:val="0"/>
          <w:iCs w:val="0"/>
          <w:color w:val="000000" w:themeColor="text1"/>
          <w:sz w:val="16"/>
          <w:szCs w:val="16"/>
          <w:lang w:eastAsia="ro-RO"/>
        </w:rPr>
        <w:t>Regulamentului privind rambursarea TVA întreprinderilor care sunt înregistrate în calitate de contribuabili ai TVA și înregistrează sume TVA spre deducere în perioada ulterioară</w:t>
      </w:r>
      <w:r>
        <w:rPr>
          <w:rFonts w:eastAsia="Times New Roman" w:cstheme="majorHAnsi"/>
          <w:bCs/>
          <w:i w:val="0"/>
          <w:iCs w:val="0"/>
          <w:color w:val="000000" w:themeColor="text1"/>
          <w:sz w:val="16"/>
          <w:szCs w:val="16"/>
          <w:lang w:eastAsia="ro-RO"/>
        </w:rPr>
        <w:t>”</w:t>
      </w:r>
      <w:r w:rsidRPr="00235768">
        <w:rPr>
          <w:rFonts w:eastAsia="Times New Roman" w:cstheme="majorHAnsi"/>
          <w:bCs/>
          <w:i w:val="0"/>
          <w:iCs w:val="0"/>
          <w:color w:val="000000" w:themeColor="text1"/>
          <w:sz w:val="16"/>
          <w:szCs w:val="16"/>
          <w:lang w:eastAsia="ro-RO"/>
        </w:rPr>
        <w:t>.</w:t>
      </w:r>
      <w:r w:rsidRPr="00235768">
        <w:rPr>
          <w:rFonts w:eastAsia="Times New Roman" w:cstheme="majorHAnsi"/>
          <w:b/>
          <w:bCs/>
          <w:i w:val="0"/>
          <w:iCs w:val="0"/>
          <w:color w:val="000000" w:themeColor="text1"/>
          <w:sz w:val="16"/>
          <w:szCs w:val="16"/>
          <w:lang w:eastAsia="ro-RO"/>
        </w:rPr>
        <w:t xml:space="preserve"> </w:t>
      </w:r>
    </w:p>
  </w:footnote>
  <w:footnote w:id="18">
    <w:p w:rsidR="00642DC1" w:rsidRPr="00CA7086" w:rsidRDefault="00642DC1" w:rsidP="006E2E6A">
      <w:pPr>
        <w:tabs>
          <w:tab w:val="left" w:pos="4662"/>
        </w:tabs>
        <w:spacing w:after="0"/>
        <w:rPr>
          <w:rFonts w:asciiTheme="majorHAnsi" w:hAnsiTheme="majorHAnsi" w:cstheme="majorHAnsi"/>
          <w:color w:val="000000" w:themeColor="text1"/>
          <w:sz w:val="16"/>
          <w:szCs w:val="16"/>
        </w:rPr>
      </w:pPr>
      <w:r w:rsidRPr="00235768">
        <w:rPr>
          <w:rStyle w:val="ac"/>
          <w:rFonts w:asciiTheme="majorHAnsi" w:hAnsiTheme="majorHAnsi" w:cstheme="majorHAnsi"/>
          <w:color w:val="000000" w:themeColor="text1"/>
          <w:sz w:val="16"/>
          <w:szCs w:val="16"/>
          <w:lang w:val="ro-MD"/>
        </w:rPr>
        <w:footnoteRef/>
      </w:r>
      <w:r w:rsidRPr="00235768">
        <w:rPr>
          <w:rFonts w:asciiTheme="majorHAnsi" w:hAnsiTheme="majorHAnsi" w:cstheme="majorHAnsi"/>
          <w:color w:val="000000" w:themeColor="text1"/>
          <w:sz w:val="16"/>
          <w:szCs w:val="16"/>
          <w:lang w:val="ro-MD"/>
        </w:rPr>
        <w:t xml:space="preserve"> Nota informativă a SFS nr. </w:t>
      </w:r>
      <w:r w:rsidRPr="00235768">
        <w:rPr>
          <w:rFonts w:asciiTheme="majorHAnsi" w:hAnsiTheme="majorHAnsi" w:cstheme="majorHAnsi"/>
          <w:color w:val="000000" w:themeColor="text1"/>
          <w:sz w:val="16"/>
          <w:szCs w:val="16"/>
          <w:lang w:val="ro-MD" w:eastAsia="ro-RO" w:bidi="ro-RO"/>
        </w:rPr>
        <w:t>26</w:t>
      </w:r>
      <w:r w:rsidRPr="00CA7086">
        <w:rPr>
          <w:rFonts w:asciiTheme="majorHAnsi" w:hAnsiTheme="majorHAnsi" w:cstheme="majorHAnsi"/>
          <w:color w:val="000000" w:themeColor="text1"/>
          <w:sz w:val="16"/>
          <w:szCs w:val="16"/>
          <w:lang w:val="ro-MD" w:eastAsia="ro-RO" w:bidi="ro-RO"/>
        </w:rPr>
        <w:t>-07/2-13</w:t>
      </w:r>
      <w:r w:rsidRPr="00BC4F64">
        <w:rPr>
          <w:rFonts w:asciiTheme="majorHAnsi" w:hAnsiTheme="majorHAnsi" w:cstheme="majorHAnsi"/>
          <w:b/>
          <w:color w:val="000000" w:themeColor="text1"/>
          <w:sz w:val="16"/>
          <w:szCs w:val="16"/>
          <w:lang w:val="ro-MD" w:eastAsia="ro-RO" w:bidi="ro-RO"/>
        </w:rPr>
        <w:t xml:space="preserve">- </w:t>
      </w:r>
      <w:r w:rsidRPr="00BC4F64">
        <w:rPr>
          <w:rStyle w:val="Bodytext2995pt"/>
          <w:rFonts w:asciiTheme="majorHAnsi" w:eastAsiaTheme="minorHAnsi" w:hAnsiTheme="majorHAnsi" w:cstheme="majorHAnsi"/>
          <w:b w:val="0"/>
          <w:color w:val="000000" w:themeColor="text1"/>
          <w:sz w:val="16"/>
          <w:szCs w:val="16"/>
          <w:lang w:val="ro-MD"/>
        </w:rPr>
        <w:t>J/18 din 11.05.2021.</w:t>
      </w:r>
    </w:p>
  </w:footnote>
  <w:footnote w:id="19">
    <w:p w:rsidR="00642DC1" w:rsidRPr="0043647A" w:rsidRDefault="00642DC1" w:rsidP="0043647A">
      <w:pPr>
        <w:pStyle w:val="aa"/>
        <w:jc w:val="both"/>
        <w:rPr>
          <w:rFonts w:asciiTheme="majorHAnsi" w:hAnsiTheme="majorHAnsi" w:cstheme="majorHAnsi"/>
          <w:sz w:val="16"/>
          <w:szCs w:val="16"/>
          <w:lang w:val="ro-MD"/>
        </w:rPr>
      </w:pPr>
      <w:r w:rsidRPr="0043647A">
        <w:rPr>
          <w:rStyle w:val="ac"/>
          <w:rFonts w:asciiTheme="majorHAnsi" w:hAnsiTheme="majorHAnsi" w:cstheme="majorHAnsi"/>
          <w:sz w:val="16"/>
          <w:szCs w:val="16"/>
          <w:lang w:val="ro-MD"/>
        </w:rPr>
        <w:footnoteRef/>
      </w:r>
      <w:r w:rsidRPr="0043647A">
        <w:rPr>
          <w:rFonts w:asciiTheme="majorHAnsi" w:hAnsiTheme="majorHAnsi" w:cstheme="majorHAnsi"/>
          <w:sz w:val="16"/>
          <w:szCs w:val="16"/>
          <w:lang w:val="ro-MD"/>
        </w:rPr>
        <w:t xml:space="preserve"> Legea nr.229 din 23.09.2010 privind controlul financiar public intern.</w:t>
      </w:r>
    </w:p>
  </w:footnote>
  <w:footnote w:id="20">
    <w:p w:rsidR="00642DC1" w:rsidRPr="00815B7D" w:rsidRDefault="00642DC1" w:rsidP="001F53F6">
      <w:pPr>
        <w:pStyle w:val="aa"/>
        <w:jc w:val="both"/>
        <w:rPr>
          <w:rFonts w:asciiTheme="majorHAnsi" w:hAnsiTheme="majorHAnsi" w:cstheme="majorHAnsi"/>
          <w:sz w:val="16"/>
          <w:szCs w:val="16"/>
          <w:lang w:val="ro-MD"/>
        </w:rPr>
      </w:pPr>
      <w:r w:rsidRPr="00815B7D">
        <w:rPr>
          <w:rStyle w:val="ac"/>
          <w:rFonts w:asciiTheme="majorHAnsi" w:hAnsiTheme="majorHAnsi" w:cstheme="majorHAnsi"/>
          <w:sz w:val="16"/>
          <w:szCs w:val="16"/>
          <w:lang w:val="ro-MD"/>
        </w:rPr>
        <w:footnoteRef/>
      </w:r>
      <w:r w:rsidRPr="00815B7D">
        <w:rPr>
          <w:rFonts w:asciiTheme="majorHAnsi" w:hAnsiTheme="majorHAnsi" w:cstheme="majorHAnsi"/>
          <w:sz w:val="16"/>
          <w:szCs w:val="16"/>
          <w:lang w:val="ro-MD"/>
        </w:rPr>
        <w:t xml:space="preserve"> Pct.3.9.1 din Normele metodologice privind executarea de casă a bugetelor componente ale bugetului public național prin sistemul trezorerial al Ministerului Finanțelor, aprobate prin Ordinul ministrului </w:t>
      </w:r>
      <w:r>
        <w:rPr>
          <w:rFonts w:asciiTheme="majorHAnsi" w:hAnsiTheme="majorHAnsi" w:cstheme="majorHAnsi"/>
          <w:sz w:val="16"/>
          <w:szCs w:val="16"/>
          <w:lang w:val="ro-MD"/>
        </w:rPr>
        <w:t>F</w:t>
      </w:r>
      <w:r w:rsidRPr="00815B7D">
        <w:rPr>
          <w:rFonts w:asciiTheme="majorHAnsi" w:hAnsiTheme="majorHAnsi" w:cstheme="majorHAnsi"/>
          <w:sz w:val="16"/>
          <w:szCs w:val="16"/>
          <w:lang w:val="ro-MD"/>
        </w:rPr>
        <w:t>inanțelor nr.215 din 28.12.2015</w:t>
      </w:r>
      <w:r>
        <w:rPr>
          <w:rFonts w:asciiTheme="majorHAnsi" w:hAnsiTheme="majorHAnsi" w:cstheme="majorHAnsi"/>
          <w:sz w:val="16"/>
          <w:szCs w:val="16"/>
          <w:lang w:val="ro-MD"/>
        </w:rPr>
        <w:t>:</w:t>
      </w:r>
      <w:r w:rsidRPr="00815B7D">
        <w:rPr>
          <w:rFonts w:asciiTheme="majorHAnsi" w:hAnsiTheme="majorHAnsi" w:cstheme="majorHAnsi"/>
          <w:sz w:val="16"/>
          <w:szCs w:val="16"/>
          <w:lang w:val="ro-MD"/>
        </w:rPr>
        <w:t xml:space="preserve"> </w:t>
      </w:r>
      <w:r>
        <w:rPr>
          <w:rFonts w:asciiTheme="majorHAnsi" w:hAnsiTheme="majorHAnsi" w:cstheme="majorHAnsi"/>
          <w:i/>
          <w:sz w:val="16"/>
          <w:szCs w:val="16"/>
          <w:lang w:val="ro-MD"/>
        </w:rPr>
        <w:t>„</w:t>
      </w:r>
      <w:r w:rsidRPr="00815B7D">
        <w:rPr>
          <w:rFonts w:asciiTheme="majorHAnsi" w:hAnsiTheme="majorHAnsi" w:cstheme="majorHAnsi"/>
          <w:i/>
          <w:sz w:val="16"/>
          <w:szCs w:val="16"/>
          <w:lang w:val="ro-MD"/>
        </w:rPr>
        <w:t>În scopul corectitudinii întocmirii rapoartelor lunare privind executarea bugetului de stat, Direcția Trezoreria de Stat şi Trezoreriile Regionale ale Ministerului Finanțelor prezintă administratorilor de venit în a zecea zi a lunii următoare perioadei de gestiune în format electronic scanat Registrul veniturilor bugetului de stat (Forma FI-006) semnat de persoanele împuternicite, cu aplicare ştampilei. Registrul menționat se perfectează cumulativ de la începutul anului.”</w:t>
      </w:r>
      <w:r>
        <w:rPr>
          <w:rFonts w:asciiTheme="majorHAnsi" w:hAnsiTheme="majorHAnsi" w:cstheme="majorHAnsi"/>
          <w:i/>
          <w:sz w:val="16"/>
          <w:szCs w:val="16"/>
          <w:lang w:val="ro-MD"/>
        </w:rPr>
        <w:t>.</w:t>
      </w:r>
    </w:p>
  </w:footnote>
  <w:footnote w:id="21">
    <w:p w:rsidR="00642DC1" w:rsidRPr="002A1425" w:rsidRDefault="00642DC1" w:rsidP="0043647A">
      <w:pPr>
        <w:pStyle w:val="aa"/>
        <w:rPr>
          <w:rFonts w:ascii="Times New Roman" w:hAnsi="Times New Roman" w:cs="Times New Roman"/>
        </w:rPr>
      </w:pPr>
      <w:r w:rsidRPr="0043647A">
        <w:rPr>
          <w:rStyle w:val="ac"/>
          <w:rFonts w:asciiTheme="majorHAnsi" w:hAnsiTheme="majorHAnsi" w:cstheme="majorHAnsi"/>
          <w:sz w:val="16"/>
          <w:szCs w:val="16"/>
          <w:lang w:val="ro-MD"/>
        </w:rPr>
        <w:footnoteRef/>
      </w:r>
      <w:r w:rsidRPr="0043647A">
        <w:rPr>
          <w:rFonts w:asciiTheme="majorHAnsi" w:hAnsiTheme="majorHAnsi" w:cstheme="majorHAnsi"/>
          <w:sz w:val="16"/>
          <w:szCs w:val="16"/>
          <w:lang w:val="ro-MD"/>
        </w:rPr>
        <w:t xml:space="preserve"> Contractul nr.050 din 25.02.2020 de prestare a serviciilor informatice, în sumă de 18,5 mil. lei cu TVA pentru anul 2020.</w:t>
      </w:r>
    </w:p>
  </w:footnote>
  <w:footnote w:id="22">
    <w:p w:rsidR="00642DC1" w:rsidRPr="00F55BA6" w:rsidRDefault="00642DC1">
      <w:pPr>
        <w:pStyle w:val="aa"/>
        <w:rPr>
          <w:rFonts w:asciiTheme="majorHAnsi" w:hAnsiTheme="majorHAnsi" w:cstheme="majorHAnsi"/>
          <w:sz w:val="16"/>
          <w:szCs w:val="16"/>
          <w:lang w:val="ro-MD"/>
        </w:rPr>
      </w:pPr>
      <w:r w:rsidRPr="00F55BA6">
        <w:rPr>
          <w:rStyle w:val="ac"/>
          <w:rFonts w:asciiTheme="majorHAnsi" w:hAnsiTheme="majorHAnsi" w:cstheme="majorHAnsi"/>
          <w:sz w:val="16"/>
          <w:szCs w:val="16"/>
          <w:lang w:val="ro-MD"/>
        </w:rPr>
        <w:footnoteRef/>
      </w:r>
      <w:r w:rsidRPr="00F55BA6">
        <w:rPr>
          <w:rFonts w:asciiTheme="majorHAnsi" w:hAnsiTheme="majorHAnsi" w:cstheme="majorHAnsi"/>
          <w:sz w:val="16"/>
          <w:szCs w:val="16"/>
          <w:lang w:val="ro-MD"/>
        </w:rPr>
        <w:t xml:space="preserve"> </w:t>
      </w:r>
      <w:r>
        <w:rPr>
          <w:rFonts w:asciiTheme="majorHAnsi" w:hAnsiTheme="majorHAnsi" w:cstheme="majorHAnsi"/>
          <w:sz w:val="16"/>
          <w:szCs w:val="16"/>
          <w:lang w:val="ro-MD"/>
        </w:rPr>
        <w:t>„</w:t>
      </w:r>
      <w:r w:rsidRPr="00863540">
        <w:rPr>
          <w:rFonts w:asciiTheme="majorHAnsi" w:hAnsiTheme="majorHAnsi" w:cstheme="majorHAnsi"/>
          <w:sz w:val="16"/>
          <w:szCs w:val="16"/>
          <w:lang w:val="ro-MD"/>
        </w:rPr>
        <w:t>Obiectivul  strategic privind evaluarea sistemului de planificare, monitorizare, analiză și raportare a finanțelor publice”.</w:t>
      </w:r>
    </w:p>
  </w:footnote>
  <w:footnote w:id="23">
    <w:p w:rsidR="00642DC1" w:rsidRPr="00F55BA6" w:rsidRDefault="00642DC1" w:rsidP="00987C22">
      <w:pPr>
        <w:spacing w:after="0" w:line="240" w:lineRule="auto"/>
        <w:rPr>
          <w:rFonts w:asciiTheme="majorHAnsi" w:eastAsia="Times New Roman" w:hAnsiTheme="majorHAnsi" w:cstheme="majorHAnsi"/>
          <w:bCs/>
          <w:sz w:val="16"/>
          <w:szCs w:val="16"/>
          <w:lang w:val="ro-MD"/>
        </w:rPr>
      </w:pPr>
      <w:r w:rsidRPr="00F55BA6">
        <w:rPr>
          <w:rStyle w:val="ac"/>
          <w:rFonts w:asciiTheme="majorHAnsi" w:hAnsiTheme="majorHAnsi" w:cstheme="majorHAnsi"/>
          <w:sz w:val="16"/>
          <w:szCs w:val="16"/>
          <w:lang w:val="ro-MD"/>
        </w:rPr>
        <w:footnoteRef/>
      </w:r>
      <w:r w:rsidRPr="00F55BA6">
        <w:rPr>
          <w:rFonts w:asciiTheme="majorHAnsi" w:hAnsiTheme="majorHAnsi" w:cstheme="majorHAnsi"/>
          <w:sz w:val="16"/>
          <w:szCs w:val="16"/>
          <w:lang w:val="ro-MD"/>
        </w:rPr>
        <w:t xml:space="preserve"> </w:t>
      </w:r>
      <w:r w:rsidRPr="00F55BA6">
        <w:rPr>
          <w:rFonts w:asciiTheme="majorHAnsi" w:eastAsia="Times New Roman" w:hAnsiTheme="majorHAnsi" w:cstheme="majorHAnsi"/>
          <w:bCs/>
          <w:sz w:val="16"/>
          <w:szCs w:val="16"/>
          <w:lang w:val="ro-MD"/>
        </w:rPr>
        <w:t>Hotărârea Curții de Conturi nr.38 din 28</w:t>
      </w:r>
      <w:r>
        <w:rPr>
          <w:rFonts w:asciiTheme="majorHAnsi" w:eastAsia="Times New Roman" w:hAnsiTheme="majorHAnsi" w:cstheme="majorHAnsi"/>
          <w:bCs/>
          <w:sz w:val="16"/>
          <w:szCs w:val="16"/>
          <w:lang w:val="ro-MD"/>
        </w:rPr>
        <w:t>.07.</w:t>
      </w:r>
      <w:r w:rsidRPr="00F55BA6">
        <w:rPr>
          <w:rFonts w:asciiTheme="majorHAnsi" w:eastAsia="Times New Roman" w:hAnsiTheme="majorHAnsi" w:cstheme="majorHAnsi"/>
          <w:bCs/>
          <w:sz w:val="16"/>
          <w:szCs w:val="16"/>
          <w:lang w:val="ro-MD"/>
        </w:rPr>
        <w:t xml:space="preserve">2020 </w:t>
      </w:r>
      <w:r>
        <w:rPr>
          <w:rFonts w:asciiTheme="majorHAnsi" w:eastAsia="Times New Roman" w:hAnsiTheme="majorHAnsi" w:cstheme="majorHAnsi"/>
          <w:bCs/>
          <w:sz w:val="16"/>
          <w:szCs w:val="16"/>
          <w:lang w:val="ro-MD"/>
        </w:rPr>
        <w:t>„C</w:t>
      </w:r>
      <w:r w:rsidRPr="00F55BA6">
        <w:rPr>
          <w:rFonts w:asciiTheme="majorHAnsi" w:eastAsia="Times New Roman" w:hAnsiTheme="majorHAnsi" w:cstheme="majorHAnsi"/>
          <w:bCs/>
          <w:sz w:val="16"/>
          <w:szCs w:val="16"/>
          <w:lang w:val="ro-MD"/>
        </w:rPr>
        <w:t>u privire la Raportul auditului financiar asupra Raportului Guvernului privind executarea bugetului de stat pe anul 2019”.</w:t>
      </w:r>
    </w:p>
  </w:footnote>
  <w:footnote w:id="24">
    <w:p w:rsidR="00642DC1" w:rsidRPr="00581850" w:rsidRDefault="00642DC1" w:rsidP="00513638">
      <w:pPr>
        <w:spacing w:after="0" w:line="276" w:lineRule="auto"/>
        <w:rPr>
          <w:rFonts w:asciiTheme="majorHAnsi" w:eastAsia="Times New Roman" w:hAnsiTheme="majorHAnsi" w:cstheme="majorHAnsi"/>
          <w:sz w:val="16"/>
          <w:szCs w:val="16"/>
          <w:lang w:val="ro-MD"/>
        </w:rPr>
      </w:pPr>
      <w:r w:rsidRPr="00F55BA6">
        <w:rPr>
          <w:rStyle w:val="ac"/>
          <w:rFonts w:asciiTheme="majorHAnsi" w:hAnsiTheme="majorHAnsi" w:cstheme="majorHAnsi"/>
          <w:sz w:val="16"/>
          <w:szCs w:val="16"/>
          <w:lang w:val="ro-MD"/>
        </w:rPr>
        <w:footnoteRef/>
      </w:r>
      <w:r w:rsidRPr="00F55BA6">
        <w:rPr>
          <w:rFonts w:asciiTheme="majorHAnsi" w:hAnsiTheme="majorHAnsi" w:cstheme="majorHAnsi"/>
          <w:sz w:val="16"/>
          <w:szCs w:val="16"/>
          <w:lang w:val="ro-MD"/>
        </w:rPr>
        <w:t xml:space="preserve"> </w:t>
      </w:r>
      <w:r w:rsidRPr="00F55BA6">
        <w:rPr>
          <w:rFonts w:asciiTheme="majorHAnsi" w:eastAsia="Times New Roman" w:hAnsiTheme="majorHAnsi" w:cstheme="majorHAnsi"/>
          <w:bCs/>
          <w:sz w:val="16"/>
          <w:szCs w:val="16"/>
          <w:lang w:val="ro-MD"/>
        </w:rPr>
        <w:t>Hotărârea Curții de Conturi</w:t>
      </w:r>
      <w:r w:rsidRPr="00863540">
        <w:rPr>
          <w:rFonts w:asciiTheme="majorHAnsi" w:eastAsia="Times New Roman" w:hAnsiTheme="majorHAnsi" w:cstheme="majorHAnsi"/>
          <w:bCs/>
          <w:sz w:val="16"/>
          <w:szCs w:val="16"/>
          <w:lang w:val="ro-MD"/>
        </w:rPr>
        <w:t xml:space="preserve"> nr.24 din 28.05.2018</w:t>
      </w:r>
      <w:r w:rsidRPr="00863540">
        <w:rPr>
          <w:rFonts w:asciiTheme="majorHAnsi" w:eastAsia="Times New Roman" w:hAnsiTheme="majorHAnsi" w:cstheme="majorHAnsi"/>
          <w:sz w:val="16"/>
          <w:szCs w:val="16"/>
          <w:lang w:val="ro-MD"/>
        </w:rPr>
        <w:t xml:space="preserve"> </w:t>
      </w:r>
      <w:r>
        <w:rPr>
          <w:rFonts w:asciiTheme="majorHAnsi" w:eastAsia="Times New Roman" w:hAnsiTheme="majorHAnsi" w:cstheme="majorHAnsi"/>
          <w:sz w:val="16"/>
          <w:szCs w:val="16"/>
          <w:lang w:val="ro-MD"/>
        </w:rPr>
        <w:t>„C</w:t>
      </w:r>
      <w:r w:rsidRPr="00863540">
        <w:rPr>
          <w:rFonts w:asciiTheme="majorHAnsi" w:eastAsia="Times New Roman" w:hAnsiTheme="majorHAnsi" w:cstheme="majorHAnsi"/>
          <w:sz w:val="16"/>
          <w:szCs w:val="16"/>
          <w:lang w:val="ro-MD"/>
        </w:rPr>
        <w:t xml:space="preserve">u privire la Raportul auditului financiar al Raportului Guvernului privind executarea </w:t>
      </w:r>
      <w:r>
        <w:rPr>
          <w:rFonts w:asciiTheme="majorHAnsi" w:eastAsia="Times New Roman" w:hAnsiTheme="majorHAnsi" w:cstheme="majorHAnsi"/>
          <w:sz w:val="16"/>
          <w:szCs w:val="16"/>
          <w:lang w:val="ro-MD"/>
        </w:rPr>
        <w:t>bugetului de stat</w:t>
      </w:r>
      <w:r w:rsidRPr="00863540">
        <w:rPr>
          <w:rFonts w:asciiTheme="majorHAnsi" w:eastAsia="Times New Roman" w:hAnsiTheme="majorHAnsi" w:cstheme="majorHAnsi"/>
          <w:sz w:val="16"/>
          <w:szCs w:val="16"/>
          <w:lang w:val="ro-MD"/>
        </w:rPr>
        <w:t xml:space="preserve"> pe anul 2017”</w:t>
      </w:r>
      <w:r>
        <w:rPr>
          <w:rFonts w:asciiTheme="majorHAnsi" w:eastAsia="Times New Roman" w:hAnsiTheme="majorHAnsi" w:cstheme="majorHAnsi"/>
          <w:sz w:val="16"/>
          <w:szCs w:val="16"/>
          <w:lang w:val="ro-MD"/>
        </w:rPr>
        <w:t>.</w:t>
      </w:r>
    </w:p>
  </w:footnote>
  <w:footnote w:id="25">
    <w:p w:rsidR="00642DC1" w:rsidRPr="004A0ABF" w:rsidRDefault="00642DC1" w:rsidP="00DA6DF8">
      <w:pPr>
        <w:pStyle w:val="aa"/>
        <w:ind w:right="59"/>
        <w:jc w:val="both"/>
        <w:rPr>
          <w:rFonts w:asciiTheme="majorHAnsi" w:hAnsiTheme="majorHAnsi" w:cstheme="majorHAnsi"/>
          <w:sz w:val="16"/>
          <w:szCs w:val="16"/>
          <w:lang w:val="ro-MD"/>
        </w:rPr>
      </w:pPr>
      <w:r w:rsidRPr="004A0ABF">
        <w:rPr>
          <w:rStyle w:val="ac"/>
          <w:rFonts w:asciiTheme="majorHAnsi" w:hAnsiTheme="majorHAnsi" w:cstheme="majorHAnsi"/>
          <w:sz w:val="16"/>
          <w:szCs w:val="16"/>
          <w:lang w:val="ro-MD"/>
        </w:rPr>
        <w:footnoteRef/>
      </w:r>
      <w:r w:rsidRPr="004A0ABF">
        <w:rPr>
          <w:rFonts w:asciiTheme="majorHAnsi" w:hAnsiTheme="majorHAnsi" w:cstheme="majorHAnsi"/>
          <w:sz w:val="16"/>
          <w:szCs w:val="16"/>
          <w:lang w:val="ro-MD"/>
        </w:rPr>
        <w:t xml:space="preserve"> Ordinul ministrului </w:t>
      </w:r>
      <w:r>
        <w:rPr>
          <w:rFonts w:asciiTheme="majorHAnsi" w:hAnsiTheme="majorHAnsi" w:cstheme="majorHAnsi"/>
          <w:sz w:val="16"/>
          <w:szCs w:val="16"/>
          <w:lang w:val="ro-MD"/>
        </w:rPr>
        <w:t>F</w:t>
      </w:r>
      <w:r w:rsidRPr="004A0ABF">
        <w:rPr>
          <w:rFonts w:asciiTheme="majorHAnsi" w:hAnsiTheme="majorHAnsi" w:cstheme="majorHAnsi"/>
          <w:sz w:val="16"/>
          <w:szCs w:val="16"/>
          <w:lang w:val="ro-MD"/>
        </w:rPr>
        <w:t xml:space="preserve">inanțelor nr.216 din 28.12.2015, NCM L.01.03.2015 </w:t>
      </w:r>
      <w:r>
        <w:rPr>
          <w:rFonts w:asciiTheme="majorHAnsi" w:hAnsiTheme="majorHAnsi" w:cstheme="majorHAnsi"/>
          <w:sz w:val="16"/>
          <w:szCs w:val="16"/>
          <w:lang w:val="ro-MD"/>
        </w:rPr>
        <w:t>„</w:t>
      </w:r>
      <w:r w:rsidRPr="004A0ABF">
        <w:rPr>
          <w:rFonts w:asciiTheme="majorHAnsi" w:hAnsiTheme="majorHAnsi" w:cstheme="majorHAnsi"/>
          <w:sz w:val="16"/>
          <w:szCs w:val="16"/>
          <w:lang w:val="ro-MD"/>
        </w:rPr>
        <w:t xml:space="preserve">Norme metodice și clasificatorul lucrărilor de reparație a clădirilor și obiectelor din domeniile economiei naționale”, aprobate prin Ordinul </w:t>
      </w:r>
      <w:r>
        <w:rPr>
          <w:rFonts w:asciiTheme="majorHAnsi" w:hAnsiTheme="majorHAnsi" w:cstheme="majorHAnsi"/>
          <w:sz w:val="16"/>
          <w:szCs w:val="16"/>
          <w:lang w:val="ro-MD"/>
        </w:rPr>
        <w:t>m</w:t>
      </w:r>
      <w:r w:rsidRPr="004A0ABF">
        <w:rPr>
          <w:rFonts w:asciiTheme="majorHAnsi" w:hAnsiTheme="majorHAnsi" w:cstheme="majorHAnsi"/>
          <w:sz w:val="16"/>
          <w:szCs w:val="16"/>
          <w:lang w:val="ro-MD"/>
        </w:rPr>
        <w:t>inistrului Dezvoltării Regionale și Construcțiilor nr.101 din 14.09.2015.</w:t>
      </w:r>
    </w:p>
  </w:footnote>
  <w:footnote w:id="26">
    <w:p w:rsidR="00642DC1" w:rsidRPr="004A0ABF" w:rsidRDefault="00642DC1" w:rsidP="00DA6DF8">
      <w:pPr>
        <w:pStyle w:val="aa"/>
        <w:ind w:right="59"/>
        <w:jc w:val="both"/>
        <w:rPr>
          <w:rFonts w:asciiTheme="majorHAnsi" w:hAnsiTheme="majorHAnsi" w:cstheme="majorHAnsi"/>
          <w:sz w:val="16"/>
          <w:szCs w:val="16"/>
          <w:lang w:val="ro-MD"/>
        </w:rPr>
      </w:pPr>
      <w:r w:rsidRPr="004A0ABF">
        <w:rPr>
          <w:rStyle w:val="ac"/>
          <w:rFonts w:asciiTheme="majorHAnsi" w:hAnsiTheme="majorHAnsi" w:cstheme="majorHAnsi"/>
          <w:sz w:val="16"/>
          <w:szCs w:val="16"/>
          <w:lang w:val="ro-MD"/>
        </w:rPr>
        <w:footnoteRef/>
      </w:r>
      <w:r w:rsidRPr="004A0ABF">
        <w:rPr>
          <w:rFonts w:asciiTheme="majorHAnsi" w:hAnsiTheme="majorHAnsi" w:cstheme="majorHAnsi"/>
          <w:sz w:val="16"/>
          <w:szCs w:val="16"/>
          <w:lang w:val="ro-MD"/>
        </w:rPr>
        <w:t xml:space="preserve"> Penitenciarul nr.2  Lipcani, Penitenciarul nr.3 Leova, Penitenciarul nr.4 Cricova, Penitenciarul nr.5 Cahul, </w:t>
      </w:r>
      <w:r w:rsidRPr="001545F9">
        <w:rPr>
          <w:rFonts w:asciiTheme="majorHAnsi" w:hAnsiTheme="majorHAnsi" w:cstheme="majorHAnsi"/>
          <w:sz w:val="16"/>
          <w:szCs w:val="16"/>
          <w:lang w:val="ro-MD"/>
        </w:rPr>
        <w:t>Penitenciarul nr.9 Pruncul, Penitenciarul nr.11 Bălți, Penitenciarul nr.12 Bender, Penitenciarul nr.13 Chișinău, Penitenciarul nr.15 Cricova, Penitenciarul nr.16 Pruncul, Penitenciarul</w:t>
      </w:r>
      <w:r w:rsidRPr="004A0ABF">
        <w:rPr>
          <w:rFonts w:asciiTheme="majorHAnsi" w:hAnsiTheme="majorHAnsi" w:cstheme="majorHAnsi"/>
          <w:sz w:val="16"/>
          <w:szCs w:val="16"/>
          <w:lang w:val="ro-MD"/>
        </w:rPr>
        <w:t xml:space="preserve"> nr.17 Rezina, Penitenciarul nr.18 Brănești.</w:t>
      </w:r>
    </w:p>
  </w:footnote>
  <w:footnote w:id="27">
    <w:p w:rsidR="00642DC1" w:rsidRPr="004A0ABF" w:rsidRDefault="00642DC1" w:rsidP="00DA6DF8">
      <w:pPr>
        <w:shd w:val="clear" w:color="auto" w:fill="FFFFFF" w:themeFill="background1"/>
        <w:spacing w:after="0" w:line="240" w:lineRule="auto"/>
        <w:contextualSpacing/>
        <w:rPr>
          <w:rFonts w:asciiTheme="majorHAnsi" w:hAnsiTheme="majorHAnsi" w:cstheme="majorHAnsi"/>
          <w:sz w:val="16"/>
          <w:szCs w:val="16"/>
          <w:lang w:val="ro-MD"/>
        </w:rPr>
      </w:pPr>
      <w:r w:rsidRPr="004A0ABF">
        <w:rPr>
          <w:rStyle w:val="ac"/>
          <w:rFonts w:asciiTheme="majorHAnsi" w:hAnsiTheme="majorHAnsi" w:cstheme="majorHAnsi"/>
          <w:sz w:val="16"/>
          <w:szCs w:val="16"/>
          <w:lang w:val="ro-MD"/>
        </w:rPr>
        <w:footnoteRef/>
      </w:r>
      <w:r w:rsidRPr="004A0ABF">
        <w:rPr>
          <w:rFonts w:asciiTheme="majorHAnsi" w:hAnsiTheme="majorHAnsi" w:cstheme="majorHAnsi"/>
          <w:sz w:val="16"/>
          <w:szCs w:val="16"/>
          <w:lang w:val="ro-MD"/>
        </w:rPr>
        <w:t xml:space="preserve"> CBTM este documentul principal în baza căruia se elaborează bugetul</w:t>
      </w:r>
      <w:r w:rsidRPr="004A0ABF">
        <w:rPr>
          <w:rFonts w:asciiTheme="majorHAnsi" w:eastAsia="Times New Roman" w:hAnsiTheme="majorHAnsi" w:cstheme="majorHAnsi"/>
          <w:sz w:val="16"/>
          <w:szCs w:val="16"/>
          <w:lang w:val="ro-MD" w:eastAsia="ru-RU"/>
        </w:rPr>
        <w:t xml:space="preserve"> și care </w:t>
      </w:r>
      <w:r w:rsidRPr="004A0ABF">
        <w:rPr>
          <w:rFonts w:asciiTheme="majorHAnsi" w:eastAsia="Times New Roman" w:hAnsiTheme="majorHAnsi" w:cstheme="majorHAnsi"/>
          <w:color w:val="000000" w:themeColor="text1"/>
          <w:sz w:val="16"/>
          <w:szCs w:val="16"/>
          <w:lang w:val="ro-MD"/>
        </w:rPr>
        <w:t>reprezintă instrumentul ce asigură corelarea alocării resurselor cu prioritățile de politici</w:t>
      </w:r>
      <w:r w:rsidRPr="004A0ABF">
        <w:rPr>
          <w:rFonts w:asciiTheme="majorHAnsi" w:hAnsiTheme="majorHAnsi" w:cstheme="majorHAnsi"/>
          <w:sz w:val="16"/>
          <w:szCs w:val="16"/>
          <w:lang w:val="ro-MD"/>
        </w:rPr>
        <w:t xml:space="preserve">. </w:t>
      </w:r>
    </w:p>
  </w:footnote>
  <w:footnote w:id="28">
    <w:p w:rsidR="00642DC1" w:rsidRPr="004A0ABF" w:rsidRDefault="00642DC1" w:rsidP="00DA6DF8">
      <w:pPr>
        <w:pStyle w:val="aa"/>
        <w:jc w:val="both"/>
        <w:rPr>
          <w:lang w:val="ro-MD"/>
        </w:rPr>
      </w:pPr>
      <w:r w:rsidRPr="004A0ABF">
        <w:rPr>
          <w:rStyle w:val="ac"/>
          <w:rFonts w:asciiTheme="majorHAnsi" w:hAnsiTheme="majorHAnsi" w:cstheme="majorHAnsi"/>
          <w:sz w:val="16"/>
          <w:szCs w:val="16"/>
          <w:lang w:val="ro-MD"/>
        </w:rPr>
        <w:footnoteRef/>
      </w:r>
      <w:r w:rsidRPr="004A0ABF">
        <w:rPr>
          <w:rFonts w:asciiTheme="majorHAnsi" w:hAnsiTheme="majorHAnsi" w:cstheme="majorHAnsi"/>
          <w:sz w:val="16"/>
          <w:szCs w:val="16"/>
          <w:lang w:val="ro-MD"/>
        </w:rPr>
        <w:t xml:space="preserve"> Art.20 alin. (1) lit. c) din Legea finanțelor publice și responsabilității bugetar-fiscale</w:t>
      </w:r>
      <w:r>
        <w:rPr>
          <w:rFonts w:asciiTheme="majorHAnsi" w:hAnsiTheme="majorHAnsi" w:cstheme="majorHAnsi"/>
          <w:sz w:val="16"/>
          <w:szCs w:val="16"/>
          <w:lang w:val="ro-MD"/>
        </w:rPr>
        <w:t xml:space="preserve"> </w:t>
      </w:r>
      <w:r w:rsidRPr="004A0ABF">
        <w:rPr>
          <w:rFonts w:asciiTheme="majorHAnsi" w:hAnsiTheme="majorHAnsi" w:cstheme="majorHAnsi"/>
          <w:sz w:val="16"/>
          <w:szCs w:val="16"/>
          <w:lang w:val="ro-MD"/>
        </w:rPr>
        <w:t>nr.181 din 25.07.2014.</w:t>
      </w:r>
    </w:p>
  </w:footnote>
  <w:footnote w:id="29">
    <w:p w:rsidR="00642DC1" w:rsidRPr="003B0F64" w:rsidRDefault="00642DC1" w:rsidP="00DA6DF8">
      <w:pPr>
        <w:pStyle w:val="aa"/>
        <w:jc w:val="both"/>
        <w:rPr>
          <w:rFonts w:asciiTheme="majorHAnsi" w:hAnsiTheme="majorHAnsi" w:cstheme="majorHAnsi"/>
          <w:sz w:val="16"/>
          <w:szCs w:val="16"/>
        </w:rPr>
      </w:pPr>
      <w:r w:rsidRPr="004A0ABF">
        <w:rPr>
          <w:rStyle w:val="ac"/>
          <w:rFonts w:asciiTheme="majorHAnsi" w:hAnsiTheme="majorHAnsi" w:cstheme="majorHAnsi"/>
          <w:sz w:val="16"/>
          <w:szCs w:val="16"/>
          <w:lang w:val="ro-MD"/>
        </w:rPr>
        <w:footnoteRef/>
      </w:r>
      <w:r w:rsidRPr="004A0ABF">
        <w:rPr>
          <w:rFonts w:asciiTheme="majorHAnsi" w:hAnsiTheme="majorHAnsi" w:cstheme="majorHAnsi"/>
          <w:sz w:val="16"/>
          <w:szCs w:val="16"/>
          <w:lang w:val="ro-MD"/>
        </w:rPr>
        <w:t xml:space="preserve"> Art.19 lit. d) și art.48 din Legea</w:t>
      </w:r>
      <w:r>
        <w:rPr>
          <w:rFonts w:asciiTheme="majorHAnsi" w:hAnsiTheme="majorHAnsi" w:cstheme="majorHAnsi"/>
          <w:sz w:val="16"/>
          <w:szCs w:val="16"/>
          <w:lang w:val="ro-MD"/>
        </w:rPr>
        <w:t xml:space="preserve"> </w:t>
      </w:r>
      <w:r w:rsidRPr="004A0ABF">
        <w:rPr>
          <w:rFonts w:asciiTheme="majorHAnsi" w:hAnsiTheme="majorHAnsi" w:cstheme="majorHAnsi"/>
          <w:sz w:val="16"/>
          <w:szCs w:val="16"/>
          <w:lang w:val="ro-MD"/>
        </w:rPr>
        <w:t>finanțelor publice și responsabilității bugetar-fiscale</w:t>
      </w:r>
      <w:r>
        <w:rPr>
          <w:rFonts w:asciiTheme="majorHAnsi" w:hAnsiTheme="majorHAnsi" w:cstheme="majorHAnsi"/>
          <w:sz w:val="16"/>
          <w:szCs w:val="16"/>
          <w:lang w:val="ro-MD"/>
        </w:rPr>
        <w:t xml:space="preserve"> </w:t>
      </w:r>
      <w:r w:rsidRPr="004A0ABF">
        <w:rPr>
          <w:rFonts w:asciiTheme="majorHAnsi" w:hAnsiTheme="majorHAnsi" w:cstheme="majorHAnsi"/>
          <w:sz w:val="16"/>
          <w:szCs w:val="16"/>
          <w:lang w:val="ro-MD"/>
        </w:rPr>
        <w:t>nr.181 din 25.07.2014</w:t>
      </w:r>
      <w:r>
        <w:rPr>
          <w:rFonts w:asciiTheme="majorHAnsi" w:hAnsiTheme="majorHAnsi" w:cstheme="majorHAnsi"/>
          <w:sz w:val="16"/>
          <w:szCs w:val="16"/>
          <w:lang w:val="ro-MD"/>
        </w:rPr>
        <w:t>.</w:t>
      </w:r>
    </w:p>
  </w:footnote>
  <w:footnote w:id="30">
    <w:p w:rsidR="00642DC1" w:rsidRPr="0024166D" w:rsidRDefault="00642DC1" w:rsidP="00325584">
      <w:pPr>
        <w:pStyle w:val="aa"/>
        <w:jc w:val="both"/>
        <w:rPr>
          <w:rFonts w:asciiTheme="majorHAnsi" w:hAnsiTheme="majorHAnsi" w:cstheme="majorHAnsi"/>
          <w:sz w:val="16"/>
          <w:szCs w:val="16"/>
          <w:lang w:val="ro-MD"/>
        </w:rPr>
      </w:pPr>
      <w:r w:rsidRPr="0024166D">
        <w:rPr>
          <w:rStyle w:val="ac"/>
          <w:rFonts w:asciiTheme="majorHAnsi" w:hAnsiTheme="majorHAnsi" w:cstheme="majorHAnsi"/>
          <w:sz w:val="16"/>
          <w:szCs w:val="16"/>
          <w:lang w:val="ro-MD"/>
        </w:rPr>
        <w:footnoteRef/>
      </w:r>
      <w:r>
        <w:rPr>
          <w:rFonts w:asciiTheme="majorHAnsi" w:hAnsiTheme="majorHAnsi" w:cstheme="majorHAnsi"/>
          <w:sz w:val="16"/>
          <w:szCs w:val="16"/>
          <w:lang w:val="ro-MD"/>
        </w:rPr>
        <w:t xml:space="preserve"> HG nr.574</w:t>
      </w:r>
      <w:r w:rsidRPr="0024166D">
        <w:rPr>
          <w:rFonts w:asciiTheme="majorHAnsi" w:hAnsiTheme="majorHAnsi" w:cstheme="majorHAnsi"/>
          <w:sz w:val="16"/>
          <w:szCs w:val="16"/>
          <w:lang w:val="ro-MD"/>
        </w:rPr>
        <w:t xml:space="preserve"> din </w:t>
      </w:r>
      <w:r>
        <w:rPr>
          <w:rFonts w:asciiTheme="majorHAnsi" w:hAnsiTheme="majorHAnsi" w:cstheme="majorHAnsi"/>
          <w:sz w:val="16"/>
          <w:szCs w:val="16"/>
          <w:lang w:val="ro-MD"/>
        </w:rPr>
        <w:t>27.11.2019</w:t>
      </w:r>
      <w:r w:rsidRPr="0024166D">
        <w:rPr>
          <w:rFonts w:asciiTheme="majorHAnsi" w:hAnsiTheme="majorHAnsi" w:cstheme="majorHAnsi"/>
          <w:sz w:val="16"/>
          <w:szCs w:val="16"/>
          <w:lang w:val="ro-MD"/>
        </w:rPr>
        <w:t xml:space="preserve"> „</w:t>
      </w:r>
      <w:r>
        <w:rPr>
          <w:rFonts w:asciiTheme="majorHAnsi" w:hAnsiTheme="majorHAnsi" w:cstheme="majorHAnsi"/>
          <w:sz w:val="16"/>
          <w:szCs w:val="16"/>
          <w:lang w:val="ro-MD"/>
        </w:rPr>
        <w:t>P</w:t>
      </w:r>
      <w:r w:rsidRPr="0024166D">
        <w:rPr>
          <w:rFonts w:asciiTheme="majorHAnsi" w:hAnsiTheme="majorHAnsi" w:cstheme="majorHAnsi"/>
          <w:sz w:val="16"/>
          <w:szCs w:val="16"/>
          <w:lang w:val="ro-MD"/>
        </w:rPr>
        <w:t xml:space="preserve">rivind aprobarea proiectului legii bugetului de stat pentru anul </w:t>
      </w:r>
      <w:r>
        <w:rPr>
          <w:rFonts w:asciiTheme="majorHAnsi" w:hAnsiTheme="majorHAnsi" w:cstheme="majorHAnsi"/>
          <w:sz w:val="16"/>
          <w:szCs w:val="16"/>
          <w:lang w:val="ro-MD"/>
        </w:rPr>
        <w:t>2020</w:t>
      </w:r>
      <w:r w:rsidRPr="0024166D">
        <w:rPr>
          <w:rFonts w:asciiTheme="majorHAnsi" w:hAnsiTheme="majorHAnsi" w:cstheme="majorHAnsi"/>
          <w:sz w:val="16"/>
          <w:szCs w:val="16"/>
          <w:lang w:val="ro-MD"/>
        </w:rPr>
        <w:t>” (prezenta</w:t>
      </w:r>
      <w:r>
        <w:rPr>
          <w:rFonts w:asciiTheme="majorHAnsi" w:hAnsiTheme="majorHAnsi" w:cstheme="majorHAnsi"/>
          <w:sz w:val="16"/>
          <w:szCs w:val="16"/>
          <w:lang w:val="ro-MD"/>
        </w:rPr>
        <w:t>t</w:t>
      </w:r>
      <w:r w:rsidRPr="0024166D">
        <w:rPr>
          <w:rFonts w:asciiTheme="majorHAnsi" w:hAnsiTheme="majorHAnsi" w:cstheme="majorHAnsi"/>
          <w:sz w:val="16"/>
          <w:szCs w:val="16"/>
          <w:lang w:val="ro-MD"/>
        </w:rPr>
        <w:t xml:space="preserve"> de către MF la Guvern </w:t>
      </w:r>
      <w:r>
        <w:rPr>
          <w:rFonts w:asciiTheme="majorHAnsi" w:hAnsiTheme="majorHAnsi" w:cstheme="majorHAnsi"/>
          <w:sz w:val="16"/>
          <w:szCs w:val="16"/>
          <w:lang w:val="ro-MD"/>
        </w:rPr>
        <w:t xml:space="preserve">la </w:t>
      </w:r>
      <w:r w:rsidRPr="0024166D">
        <w:rPr>
          <w:rFonts w:asciiTheme="majorHAnsi" w:hAnsiTheme="majorHAnsi" w:cstheme="majorHAnsi"/>
          <w:sz w:val="16"/>
          <w:szCs w:val="16"/>
          <w:lang w:val="ro-MD"/>
        </w:rPr>
        <w:t>15 septembrie, prezenta</w:t>
      </w:r>
      <w:r>
        <w:rPr>
          <w:rFonts w:asciiTheme="majorHAnsi" w:hAnsiTheme="majorHAnsi" w:cstheme="majorHAnsi"/>
          <w:sz w:val="16"/>
          <w:szCs w:val="16"/>
          <w:lang w:val="ro-MD"/>
        </w:rPr>
        <w:t>t</w:t>
      </w:r>
      <w:r w:rsidRPr="0024166D">
        <w:rPr>
          <w:rFonts w:asciiTheme="majorHAnsi" w:hAnsiTheme="majorHAnsi" w:cstheme="majorHAnsi"/>
          <w:sz w:val="16"/>
          <w:szCs w:val="16"/>
          <w:lang w:val="ro-MD"/>
        </w:rPr>
        <w:t xml:space="preserve"> de către Guvern la Parlament </w:t>
      </w:r>
      <w:r>
        <w:rPr>
          <w:rFonts w:asciiTheme="majorHAnsi" w:hAnsiTheme="majorHAnsi" w:cstheme="majorHAnsi"/>
          <w:sz w:val="16"/>
          <w:szCs w:val="16"/>
          <w:lang w:val="ro-MD"/>
        </w:rPr>
        <w:t>la</w:t>
      </w:r>
      <w:r w:rsidRPr="0024166D">
        <w:rPr>
          <w:rFonts w:asciiTheme="majorHAnsi" w:hAnsiTheme="majorHAnsi" w:cstheme="majorHAnsi"/>
          <w:sz w:val="16"/>
          <w:szCs w:val="16"/>
          <w:lang w:val="ro-MD"/>
        </w:rPr>
        <w:t xml:space="preserve"> 15 octombrie)</w:t>
      </w:r>
      <w:r>
        <w:rPr>
          <w:rFonts w:asciiTheme="majorHAnsi" w:hAnsiTheme="majorHAnsi" w:cstheme="majorHAnsi"/>
          <w:sz w:val="16"/>
          <w:szCs w:val="16"/>
          <w:lang w:val="ro-MD"/>
        </w:rPr>
        <w:t>.</w:t>
      </w:r>
    </w:p>
  </w:footnote>
  <w:footnote w:id="31">
    <w:p w:rsidR="00642DC1" w:rsidRPr="0024166D" w:rsidRDefault="00642DC1" w:rsidP="00325584">
      <w:pPr>
        <w:pStyle w:val="aa"/>
        <w:jc w:val="both"/>
        <w:rPr>
          <w:rFonts w:asciiTheme="majorHAnsi" w:hAnsiTheme="majorHAnsi" w:cstheme="majorHAnsi"/>
          <w:sz w:val="16"/>
          <w:szCs w:val="16"/>
          <w:lang w:val="ro-MD"/>
        </w:rPr>
      </w:pPr>
      <w:r w:rsidRPr="0024166D">
        <w:rPr>
          <w:rStyle w:val="ac"/>
          <w:rFonts w:asciiTheme="majorHAnsi" w:hAnsiTheme="majorHAnsi" w:cstheme="majorHAnsi"/>
          <w:sz w:val="16"/>
          <w:szCs w:val="16"/>
          <w:lang w:val="ro-MD"/>
        </w:rPr>
        <w:footnoteRef/>
      </w:r>
      <w:r w:rsidRPr="0024166D">
        <w:rPr>
          <w:rFonts w:asciiTheme="majorHAnsi" w:hAnsiTheme="majorHAnsi" w:cstheme="majorHAnsi"/>
          <w:sz w:val="16"/>
          <w:szCs w:val="16"/>
          <w:lang w:val="ro-MD"/>
        </w:rPr>
        <w:t xml:space="preserve"> Legea bu</w:t>
      </w:r>
      <w:r>
        <w:rPr>
          <w:rFonts w:asciiTheme="majorHAnsi" w:hAnsiTheme="majorHAnsi" w:cstheme="majorHAnsi"/>
          <w:sz w:val="16"/>
          <w:szCs w:val="16"/>
          <w:lang w:val="ro-MD"/>
        </w:rPr>
        <w:t>getului de stat pentru anul 2020 nr.172 din 19.12.2019</w:t>
      </w:r>
      <w:r w:rsidRPr="0024166D">
        <w:rPr>
          <w:rFonts w:asciiTheme="majorHAnsi" w:hAnsiTheme="majorHAnsi" w:cstheme="majorHAnsi"/>
          <w:sz w:val="16"/>
          <w:szCs w:val="16"/>
          <w:lang w:val="ro-MD"/>
        </w:rPr>
        <w:t>.</w:t>
      </w:r>
    </w:p>
  </w:footnote>
  <w:footnote w:id="32">
    <w:p w:rsidR="00642DC1" w:rsidRPr="0022036D" w:rsidRDefault="00642DC1" w:rsidP="00325584">
      <w:pPr>
        <w:pStyle w:val="aa"/>
        <w:rPr>
          <w:rFonts w:asciiTheme="majorHAnsi" w:hAnsiTheme="majorHAnsi" w:cstheme="majorHAnsi"/>
          <w:sz w:val="16"/>
          <w:szCs w:val="16"/>
          <w:lang w:val="ro-MD"/>
        </w:rPr>
      </w:pPr>
      <w:r w:rsidRPr="0022036D">
        <w:rPr>
          <w:rStyle w:val="ac"/>
          <w:rFonts w:asciiTheme="majorHAnsi" w:hAnsiTheme="majorHAnsi" w:cstheme="majorHAnsi"/>
          <w:sz w:val="16"/>
          <w:szCs w:val="16"/>
          <w:lang w:val="ro-MD"/>
        </w:rPr>
        <w:footnoteRef/>
      </w:r>
      <w:r w:rsidRPr="0022036D">
        <w:rPr>
          <w:rFonts w:asciiTheme="majorHAnsi" w:hAnsiTheme="majorHAnsi" w:cstheme="majorHAnsi"/>
          <w:sz w:val="16"/>
          <w:szCs w:val="16"/>
          <w:lang w:val="ro-MD"/>
        </w:rPr>
        <w:t xml:space="preserve"> Art.61 alin. (5) din Legea nr.181 din 25.07.2014.</w:t>
      </w:r>
    </w:p>
  </w:footnote>
  <w:footnote w:id="33">
    <w:p w:rsidR="00642DC1" w:rsidRPr="00A74616" w:rsidRDefault="00642DC1" w:rsidP="00325584">
      <w:pPr>
        <w:pStyle w:val="aa"/>
        <w:jc w:val="both"/>
        <w:rPr>
          <w:rFonts w:asciiTheme="majorHAnsi" w:hAnsiTheme="majorHAnsi" w:cstheme="majorHAnsi"/>
          <w:sz w:val="16"/>
          <w:szCs w:val="16"/>
          <w:lang w:val="ro-MD"/>
        </w:rPr>
      </w:pPr>
      <w:r w:rsidRPr="008E0268">
        <w:rPr>
          <w:rStyle w:val="ac"/>
          <w:rFonts w:asciiTheme="majorHAnsi" w:hAnsiTheme="majorHAnsi" w:cstheme="majorHAnsi"/>
          <w:sz w:val="16"/>
          <w:szCs w:val="16"/>
        </w:rPr>
        <w:footnoteRef/>
      </w:r>
      <w:r w:rsidRPr="008E0268">
        <w:rPr>
          <w:rFonts w:asciiTheme="majorHAnsi" w:hAnsiTheme="majorHAnsi" w:cstheme="majorHAnsi"/>
          <w:sz w:val="16"/>
          <w:szCs w:val="16"/>
        </w:rPr>
        <w:t xml:space="preserve"> </w:t>
      </w:r>
      <w:r w:rsidRPr="00F55BA6">
        <w:rPr>
          <w:rFonts w:asciiTheme="majorHAnsi" w:hAnsiTheme="majorHAnsi" w:cstheme="majorHAnsi"/>
          <w:sz w:val="16"/>
          <w:szCs w:val="16"/>
          <w:lang w:val="ro-MD"/>
        </w:rPr>
        <w:t xml:space="preserve">Ordinul MF nr.209 din 24.12.2015 </w:t>
      </w:r>
      <w:r>
        <w:rPr>
          <w:rFonts w:asciiTheme="majorHAnsi" w:hAnsiTheme="majorHAnsi" w:cstheme="majorHAnsi"/>
          <w:sz w:val="16"/>
          <w:szCs w:val="16"/>
          <w:lang w:val="ro-MD"/>
        </w:rPr>
        <w:t>„</w:t>
      </w:r>
      <w:r w:rsidRPr="00A74616">
        <w:rPr>
          <w:rFonts w:asciiTheme="majorHAnsi" w:hAnsiTheme="majorHAnsi" w:cstheme="majorHAnsi"/>
          <w:sz w:val="16"/>
          <w:szCs w:val="16"/>
          <w:lang w:val="ro-MD"/>
        </w:rPr>
        <w:t>Cu privire la aprobarea Setului metodologic privind elaborarea, aprobarea și modificarea bugetului”</w:t>
      </w:r>
      <w:r>
        <w:rPr>
          <w:rFonts w:asciiTheme="majorHAnsi" w:hAnsiTheme="majorHAnsi" w:cstheme="majorHAnsi"/>
          <w:sz w:val="16"/>
          <w:szCs w:val="16"/>
          <w:lang w:val="ro-MD"/>
        </w:rPr>
        <w:t>.</w:t>
      </w:r>
    </w:p>
  </w:footnote>
  <w:footnote w:id="34">
    <w:p w:rsidR="00642DC1" w:rsidRPr="00F55BA6" w:rsidRDefault="00642DC1" w:rsidP="0059639C">
      <w:pPr>
        <w:pStyle w:val="aa"/>
        <w:jc w:val="both"/>
        <w:rPr>
          <w:rFonts w:asciiTheme="majorHAnsi" w:eastAsia="Calibri" w:hAnsiTheme="majorHAnsi" w:cstheme="majorHAnsi"/>
          <w:sz w:val="16"/>
          <w:szCs w:val="16"/>
          <w:lang w:val="ro-MD"/>
        </w:rPr>
      </w:pPr>
      <w:r w:rsidRPr="00F55BA6">
        <w:rPr>
          <w:rStyle w:val="ac"/>
          <w:rFonts w:asciiTheme="majorHAnsi" w:eastAsia="Calibri" w:hAnsiTheme="majorHAnsi" w:cstheme="majorHAnsi"/>
          <w:sz w:val="16"/>
          <w:szCs w:val="16"/>
          <w:lang w:val="ro-MD"/>
        </w:rPr>
        <w:footnoteRef/>
      </w:r>
      <w:r w:rsidRPr="00F55BA6">
        <w:rPr>
          <w:rFonts w:asciiTheme="majorHAnsi" w:eastAsia="Calibri" w:hAnsiTheme="majorHAnsi" w:cstheme="majorHAnsi"/>
          <w:sz w:val="16"/>
          <w:szCs w:val="16"/>
          <w:lang w:val="ro-MD"/>
        </w:rPr>
        <w:t xml:space="preserve"> HG nr.696 din 30.08.2017 „Cu privire la organizarea și funcționarea Ministerului Finanțelor”.</w:t>
      </w:r>
    </w:p>
  </w:footnote>
  <w:footnote w:id="35">
    <w:p w:rsidR="00642DC1" w:rsidRPr="003979A9" w:rsidRDefault="00642DC1" w:rsidP="00ED1629">
      <w:pPr>
        <w:pStyle w:val="aa"/>
        <w:rPr>
          <w:rFonts w:asciiTheme="majorHAnsi" w:hAnsiTheme="majorHAnsi" w:cstheme="majorHAnsi"/>
          <w:sz w:val="16"/>
          <w:szCs w:val="16"/>
          <w:lang w:val="ro-MD"/>
        </w:rPr>
      </w:pPr>
      <w:r w:rsidRPr="003979A9">
        <w:rPr>
          <w:rStyle w:val="ac"/>
          <w:rFonts w:asciiTheme="majorHAnsi" w:hAnsiTheme="majorHAnsi" w:cstheme="majorHAnsi"/>
          <w:sz w:val="16"/>
          <w:szCs w:val="16"/>
          <w:lang w:val="ro-MD"/>
        </w:rPr>
        <w:footnoteRef/>
      </w:r>
      <w:r w:rsidRPr="003979A9">
        <w:rPr>
          <w:rFonts w:asciiTheme="majorHAnsi" w:hAnsiTheme="majorHAnsi" w:cstheme="majorHAnsi"/>
          <w:sz w:val="16"/>
          <w:szCs w:val="16"/>
          <w:lang w:val="ro-MD"/>
        </w:rPr>
        <w:t xml:space="preserve"> Ordinul MF nr.215 din 28.12.2015.</w:t>
      </w:r>
    </w:p>
  </w:footnote>
  <w:footnote w:id="36">
    <w:p w:rsidR="00642DC1" w:rsidRPr="00A650E4" w:rsidRDefault="00642DC1" w:rsidP="006E2E6A">
      <w:pPr>
        <w:pStyle w:val="aa"/>
        <w:rPr>
          <w:rFonts w:asciiTheme="majorHAnsi" w:hAnsiTheme="majorHAnsi" w:cstheme="majorHAnsi"/>
          <w:sz w:val="16"/>
          <w:szCs w:val="16"/>
        </w:rPr>
      </w:pPr>
      <w:r w:rsidRPr="00A650E4">
        <w:rPr>
          <w:rStyle w:val="ac"/>
          <w:rFonts w:asciiTheme="majorHAnsi" w:hAnsiTheme="majorHAnsi" w:cstheme="majorHAnsi"/>
          <w:sz w:val="16"/>
          <w:szCs w:val="16"/>
        </w:rPr>
        <w:footnoteRef/>
      </w:r>
      <w:r w:rsidRPr="00A650E4">
        <w:rPr>
          <w:rFonts w:asciiTheme="majorHAnsi" w:hAnsiTheme="majorHAnsi" w:cstheme="majorHAnsi"/>
          <w:sz w:val="16"/>
          <w:szCs w:val="16"/>
        </w:rPr>
        <w:t xml:space="preserve"> </w:t>
      </w:r>
      <w:r w:rsidRPr="00A650E4">
        <w:rPr>
          <w:rFonts w:asciiTheme="majorHAnsi" w:hAnsiTheme="majorHAnsi" w:cstheme="majorHAnsi"/>
          <w:sz w:val="16"/>
          <w:szCs w:val="16"/>
          <w:lang w:val="ro-MD"/>
        </w:rPr>
        <w:t>Cancelaria de Stat, MF, MJ, MAI, MEI, MADRM, MECC, MSMPS, CEC, A</w:t>
      </w:r>
      <w:r>
        <w:rPr>
          <w:rFonts w:asciiTheme="majorHAnsi" w:hAnsiTheme="majorHAnsi" w:cstheme="majorHAnsi"/>
          <w:sz w:val="16"/>
          <w:szCs w:val="16"/>
          <w:lang w:val="ro-MD"/>
        </w:rPr>
        <w:t>ȘM</w:t>
      </w:r>
      <w:r w:rsidRPr="00A650E4">
        <w:rPr>
          <w:rFonts w:asciiTheme="majorHAnsi" w:hAnsiTheme="majorHAnsi" w:cstheme="majorHAnsi"/>
          <w:sz w:val="16"/>
          <w:szCs w:val="16"/>
          <w:lang w:val="ro-MD"/>
        </w:rPr>
        <w:t>.</w:t>
      </w:r>
    </w:p>
  </w:footnote>
  <w:footnote w:id="37">
    <w:p w:rsidR="00642DC1" w:rsidRPr="00A650E4" w:rsidRDefault="00642DC1" w:rsidP="006E2E6A">
      <w:pPr>
        <w:pStyle w:val="aa"/>
        <w:jc w:val="both"/>
        <w:rPr>
          <w:rFonts w:asciiTheme="majorHAnsi" w:hAnsiTheme="majorHAnsi" w:cstheme="majorHAnsi"/>
          <w:sz w:val="16"/>
          <w:szCs w:val="16"/>
          <w:lang w:val="ro-MD"/>
        </w:rPr>
      </w:pPr>
      <w:r w:rsidRPr="00A650E4">
        <w:rPr>
          <w:rStyle w:val="ac"/>
          <w:rFonts w:asciiTheme="majorHAnsi" w:hAnsiTheme="majorHAnsi" w:cstheme="majorHAnsi"/>
          <w:sz w:val="16"/>
          <w:szCs w:val="16"/>
        </w:rPr>
        <w:footnoteRef/>
      </w:r>
      <w:r w:rsidRPr="00A650E4">
        <w:rPr>
          <w:rFonts w:asciiTheme="majorHAnsi" w:hAnsiTheme="majorHAnsi" w:cstheme="majorHAnsi"/>
          <w:sz w:val="16"/>
          <w:szCs w:val="16"/>
        </w:rPr>
        <w:t xml:space="preserve"> </w:t>
      </w:r>
      <w:r w:rsidRPr="00A650E4">
        <w:rPr>
          <w:rFonts w:asciiTheme="majorHAnsi" w:hAnsiTheme="majorHAnsi" w:cstheme="majorHAnsi"/>
          <w:i/>
          <w:sz w:val="16"/>
          <w:szCs w:val="16"/>
          <w:lang w:val="ro-MD"/>
        </w:rPr>
        <w:t xml:space="preserve">Proiectul </w:t>
      </w:r>
      <w:r>
        <w:rPr>
          <w:rFonts w:asciiTheme="majorHAnsi" w:hAnsiTheme="majorHAnsi" w:cstheme="majorHAnsi"/>
          <w:i/>
          <w:sz w:val="16"/>
          <w:szCs w:val="16"/>
          <w:lang w:val="ro-MD"/>
        </w:rPr>
        <w:t>„</w:t>
      </w:r>
      <w:r w:rsidRPr="00A650E4">
        <w:rPr>
          <w:rFonts w:asciiTheme="majorHAnsi" w:hAnsiTheme="majorHAnsi" w:cstheme="majorHAnsi"/>
          <w:i/>
          <w:sz w:val="16"/>
          <w:szCs w:val="16"/>
          <w:lang w:val="ro-MD"/>
        </w:rPr>
        <w:t>Răspuns de urgență la COVID-19”</w:t>
      </w:r>
      <w:r>
        <w:rPr>
          <w:rFonts w:asciiTheme="majorHAnsi" w:hAnsiTheme="majorHAnsi" w:cstheme="majorHAnsi"/>
          <w:i/>
          <w:sz w:val="16"/>
          <w:szCs w:val="16"/>
          <w:lang w:val="ro-MD"/>
        </w:rPr>
        <w:t>:</w:t>
      </w:r>
      <w:r w:rsidRPr="00A650E4">
        <w:rPr>
          <w:rFonts w:asciiTheme="majorHAnsi" w:hAnsiTheme="majorHAnsi" w:cstheme="majorHAnsi"/>
          <w:sz w:val="16"/>
          <w:szCs w:val="16"/>
          <w:lang w:val="ro-MD"/>
        </w:rPr>
        <w:t xml:space="preserve"> din contul împrumutului acordat de Banca Mondială</w:t>
      </w:r>
      <w:r>
        <w:rPr>
          <w:rFonts w:asciiTheme="majorHAnsi" w:hAnsiTheme="majorHAnsi" w:cstheme="majorHAnsi"/>
          <w:sz w:val="16"/>
          <w:szCs w:val="16"/>
          <w:lang w:val="ro-MD"/>
        </w:rPr>
        <w:t>,</w:t>
      </w:r>
      <w:r w:rsidRPr="00A650E4">
        <w:rPr>
          <w:rFonts w:asciiTheme="majorHAnsi" w:hAnsiTheme="majorHAnsi" w:cstheme="majorHAnsi"/>
          <w:sz w:val="16"/>
          <w:szCs w:val="16"/>
          <w:lang w:val="ro-MD"/>
        </w:rPr>
        <w:t xml:space="preserve"> MSMPS a debursat mijloace în sumă de 306,4 mil. lei</w:t>
      </w:r>
      <w:r>
        <w:rPr>
          <w:rFonts w:asciiTheme="majorHAnsi" w:hAnsiTheme="majorHAnsi" w:cstheme="majorHAnsi"/>
          <w:sz w:val="16"/>
          <w:szCs w:val="16"/>
          <w:lang w:val="ro-MD"/>
        </w:rPr>
        <w:t>,</w:t>
      </w:r>
      <w:r w:rsidRPr="00A650E4">
        <w:rPr>
          <w:rFonts w:asciiTheme="majorHAnsi" w:hAnsiTheme="majorHAnsi" w:cstheme="majorHAnsi"/>
          <w:sz w:val="16"/>
          <w:szCs w:val="16"/>
          <w:lang w:val="ro-MD"/>
        </w:rPr>
        <w:t xml:space="preserve"> din care au fost executate cheltuieli în sumă de 192,0 mil. lei</w:t>
      </w:r>
      <w:r>
        <w:rPr>
          <w:rFonts w:asciiTheme="majorHAnsi" w:hAnsiTheme="majorHAnsi" w:cstheme="majorHAnsi"/>
          <w:sz w:val="16"/>
          <w:szCs w:val="16"/>
          <w:lang w:val="ro-MD"/>
        </w:rPr>
        <w:t>,</w:t>
      </w:r>
      <w:r w:rsidRPr="00A650E4">
        <w:rPr>
          <w:rFonts w:asciiTheme="majorHAnsi" w:hAnsiTheme="majorHAnsi" w:cstheme="majorHAnsi"/>
          <w:sz w:val="16"/>
          <w:szCs w:val="16"/>
          <w:lang w:val="ro-MD"/>
        </w:rPr>
        <w:t xml:space="preserve"> sau 62,3%, înregistrând </w:t>
      </w:r>
      <w:r>
        <w:rPr>
          <w:rFonts w:asciiTheme="majorHAnsi" w:hAnsiTheme="majorHAnsi" w:cstheme="majorHAnsi"/>
          <w:sz w:val="16"/>
          <w:szCs w:val="16"/>
          <w:lang w:val="ro-MD"/>
        </w:rPr>
        <w:t xml:space="preserve">un </w:t>
      </w:r>
      <w:r w:rsidRPr="00A650E4">
        <w:rPr>
          <w:rFonts w:asciiTheme="majorHAnsi" w:hAnsiTheme="majorHAnsi" w:cstheme="majorHAnsi"/>
          <w:sz w:val="16"/>
          <w:szCs w:val="16"/>
          <w:lang w:val="ro-MD"/>
        </w:rPr>
        <w:t xml:space="preserve">sold de mijloace bănești la sfârșitul anului 2020 în sumă de 114,4 mil. lei din </w:t>
      </w:r>
      <w:r>
        <w:rPr>
          <w:rFonts w:asciiTheme="majorHAnsi" w:hAnsiTheme="majorHAnsi" w:cstheme="majorHAnsi"/>
          <w:sz w:val="16"/>
          <w:szCs w:val="16"/>
          <w:lang w:val="ro-MD"/>
        </w:rPr>
        <w:t>cauza</w:t>
      </w:r>
      <w:r w:rsidRPr="00A650E4">
        <w:rPr>
          <w:rFonts w:asciiTheme="majorHAnsi" w:hAnsiTheme="majorHAnsi" w:cstheme="majorHAnsi"/>
          <w:sz w:val="16"/>
          <w:szCs w:val="16"/>
          <w:lang w:val="ro-MD"/>
        </w:rPr>
        <w:t xml:space="preserve"> extinderii termenului de livrare a bunurilor. </w:t>
      </w:r>
    </w:p>
    <w:p w:rsidR="00642DC1" w:rsidRPr="00D236A7" w:rsidRDefault="00642DC1" w:rsidP="006E2E6A">
      <w:pPr>
        <w:pStyle w:val="aa"/>
        <w:jc w:val="both"/>
      </w:pPr>
      <w:r w:rsidRPr="00D236A7">
        <w:rPr>
          <w:rFonts w:asciiTheme="majorHAnsi" w:hAnsiTheme="majorHAnsi" w:cstheme="majorHAnsi"/>
          <w:i/>
          <w:sz w:val="16"/>
          <w:szCs w:val="16"/>
          <w:lang w:val="ro-MD"/>
        </w:rPr>
        <w:t>Proiectul „Răspuns de urgență la COVID-19 și suport pentru întreprinderile mici și mijlocii”</w:t>
      </w:r>
      <w:r>
        <w:rPr>
          <w:rFonts w:asciiTheme="majorHAnsi" w:hAnsiTheme="majorHAnsi" w:cstheme="majorHAnsi"/>
          <w:i/>
          <w:sz w:val="16"/>
          <w:szCs w:val="16"/>
          <w:lang w:val="ro-MD"/>
        </w:rPr>
        <w:t>:</w:t>
      </w:r>
      <w:r w:rsidRPr="00D236A7">
        <w:rPr>
          <w:rFonts w:asciiTheme="majorHAnsi" w:hAnsiTheme="majorHAnsi" w:cstheme="majorHAnsi"/>
          <w:sz w:val="16"/>
          <w:szCs w:val="16"/>
          <w:lang w:val="ro-MD"/>
        </w:rPr>
        <w:t xml:space="preserve"> din contul împrumutului extern de la Banca de Dezvoltare a Consiliului Europei, MSMPS </w:t>
      </w:r>
      <w:r>
        <w:rPr>
          <w:rFonts w:asciiTheme="majorHAnsi" w:hAnsiTheme="majorHAnsi" w:cstheme="majorHAnsi"/>
          <w:sz w:val="16"/>
          <w:szCs w:val="16"/>
          <w:lang w:val="ro-MD"/>
        </w:rPr>
        <w:t>i-</w:t>
      </w:r>
      <w:r w:rsidRPr="00D236A7">
        <w:rPr>
          <w:rFonts w:asciiTheme="majorHAnsi" w:hAnsiTheme="majorHAnsi" w:cstheme="majorHAnsi"/>
          <w:sz w:val="16"/>
          <w:szCs w:val="16"/>
          <w:lang w:val="ro-MD"/>
        </w:rPr>
        <w:t>au fost aprobate mijloace în sumă de 100,0 mil. lei</w:t>
      </w:r>
      <w:r>
        <w:rPr>
          <w:rFonts w:asciiTheme="majorHAnsi" w:hAnsiTheme="majorHAnsi" w:cstheme="majorHAnsi"/>
          <w:sz w:val="16"/>
          <w:szCs w:val="16"/>
          <w:lang w:val="ro-MD"/>
        </w:rPr>
        <w:t>,</w:t>
      </w:r>
      <w:r w:rsidRPr="00D236A7">
        <w:rPr>
          <w:rFonts w:asciiTheme="majorHAnsi" w:hAnsiTheme="majorHAnsi" w:cstheme="majorHAnsi"/>
          <w:sz w:val="16"/>
          <w:szCs w:val="16"/>
          <w:lang w:val="ro-MD"/>
        </w:rPr>
        <w:t xml:space="preserve"> din care nu au fost executate cheltuieli pe parcursul anului. Motivând că pe parcursul anului 2020 nu s-a reușit semnarea contractului de finanțare a acestui proiect, cheltuielile pentru implementarea Componentei Sănătate au fost replanificate pentru anii 2021-2022. Totodată, MF a debursat mijloace în sumă de 204,1 mil. lei</w:t>
      </w:r>
      <w:r>
        <w:rPr>
          <w:rFonts w:asciiTheme="majorHAnsi" w:hAnsiTheme="majorHAnsi" w:cstheme="majorHAnsi"/>
          <w:sz w:val="16"/>
          <w:szCs w:val="16"/>
          <w:lang w:val="ro-MD"/>
        </w:rPr>
        <w:t>,</w:t>
      </w:r>
      <w:r w:rsidRPr="00D236A7">
        <w:rPr>
          <w:rFonts w:asciiTheme="majorHAnsi" w:hAnsiTheme="majorHAnsi" w:cstheme="majorHAnsi"/>
          <w:sz w:val="16"/>
          <w:szCs w:val="16"/>
          <w:lang w:val="ro-MD"/>
        </w:rPr>
        <w:t xml:space="preserve"> din care au fost recreditate instituțiilor financiare în sumă de 4,2 mil. lei, înregistrând </w:t>
      </w:r>
      <w:r>
        <w:rPr>
          <w:rFonts w:asciiTheme="majorHAnsi" w:hAnsiTheme="majorHAnsi" w:cstheme="majorHAnsi"/>
          <w:sz w:val="16"/>
          <w:szCs w:val="16"/>
          <w:lang w:val="ro-MD"/>
        </w:rPr>
        <w:t xml:space="preserve">un </w:t>
      </w:r>
      <w:r w:rsidRPr="00D236A7">
        <w:rPr>
          <w:rFonts w:asciiTheme="majorHAnsi" w:hAnsiTheme="majorHAnsi" w:cstheme="majorHAnsi"/>
          <w:sz w:val="16"/>
          <w:szCs w:val="16"/>
          <w:lang w:val="ro-MD"/>
        </w:rPr>
        <w:t>sold de mijloace bănești la sfârșitul anului 2020 din contul împrumutului</w:t>
      </w:r>
      <w:r>
        <w:rPr>
          <w:rFonts w:asciiTheme="majorHAnsi" w:hAnsiTheme="majorHAnsi" w:cstheme="majorHAnsi"/>
          <w:sz w:val="16"/>
          <w:szCs w:val="16"/>
          <w:lang w:val="ro-MD"/>
        </w:rPr>
        <w:t>,</w:t>
      </w:r>
      <w:r w:rsidRPr="00D236A7">
        <w:rPr>
          <w:rFonts w:asciiTheme="majorHAnsi" w:hAnsiTheme="majorHAnsi" w:cstheme="majorHAnsi"/>
          <w:sz w:val="16"/>
          <w:szCs w:val="16"/>
          <w:lang w:val="ro-MD"/>
        </w:rPr>
        <w:t xml:space="preserve"> în sumă de 199,9 mil. lei.</w:t>
      </w:r>
    </w:p>
  </w:footnote>
  <w:footnote w:id="38">
    <w:p w:rsidR="00642DC1" w:rsidRPr="000C32A8" w:rsidRDefault="00642DC1" w:rsidP="00AC6703">
      <w:pPr>
        <w:pStyle w:val="aa"/>
        <w:jc w:val="both"/>
        <w:rPr>
          <w:rFonts w:asciiTheme="majorHAnsi" w:hAnsiTheme="majorHAnsi" w:cstheme="majorHAnsi"/>
          <w:sz w:val="16"/>
          <w:szCs w:val="16"/>
          <w:lang w:val="ro-MD"/>
        </w:rPr>
      </w:pPr>
      <w:r w:rsidRPr="000C32A8">
        <w:rPr>
          <w:rStyle w:val="ac"/>
          <w:rFonts w:asciiTheme="majorHAnsi" w:hAnsiTheme="majorHAnsi" w:cstheme="majorHAnsi"/>
          <w:sz w:val="16"/>
          <w:szCs w:val="16"/>
          <w:lang w:val="ro-MD"/>
        </w:rPr>
        <w:footnoteRef/>
      </w:r>
      <w:r w:rsidRPr="000C32A8">
        <w:rPr>
          <w:rFonts w:asciiTheme="majorHAnsi" w:hAnsiTheme="majorHAnsi" w:cstheme="majorHAnsi"/>
          <w:sz w:val="16"/>
          <w:szCs w:val="16"/>
          <w:lang w:val="ro-MD"/>
        </w:rPr>
        <w:t xml:space="preserve"> HG nr.</w:t>
      </w:r>
      <w:r w:rsidRPr="009A72FC">
        <w:rPr>
          <w:rFonts w:asciiTheme="majorHAnsi" w:hAnsiTheme="majorHAnsi" w:cstheme="majorHAnsi"/>
          <w:sz w:val="16"/>
          <w:szCs w:val="16"/>
          <w:lang w:val="ro-MD"/>
        </w:rPr>
        <w:t>811 din 11.11.2020 „</w:t>
      </w:r>
      <w:r w:rsidRPr="009A72FC">
        <w:rPr>
          <w:rFonts w:asciiTheme="majorHAnsi" w:eastAsia="Times New Roman" w:hAnsiTheme="majorHAnsi" w:cstheme="majorHAnsi"/>
          <w:sz w:val="16"/>
          <w:szCs w:val="16"/>
          <w:lang w:val="ro-MD"/>
        </w:rPr>
        <w:t>Privind acordarea premiului anual personalului din unitățile bugetare pentru rezul</w:t>
      </w:r>
      <w:r>
        <w:rPr>
          <w:rFonts w:asciiTheme="majorHAnsi" w:eastAsia="Times New Roman" w:hAnsiTheme="majorHAnsi" w:cstheme="majorHAnsi"/>
          <w:sz w:val="16"/>
          <w:szCs w:val="16"/>
          <w:lang w:val="ro-MD"/>
        </w:rPr>
        <w:t>tatele activității în anul 2019.</w:t>
      </w:r>
    </w:p>
  </w:footnote>
  <w:footnote w:id="39">
    <w:p w:rsidR="00642DC1" w:rsidRPr="00D266C5" w:rsidRDefault="00642DC1" w:rsidP="00AC6703">
      <w:pPr>
        <w:pStyle w:val="aa"/>
        <w:jc w:val="both"/>
        <w:rPr>
          <w:rFonts w:asciiTheme="majorHAnsi" w:hAnsiTheme="majorHAnsi" w:cstheme="majorHAnsi"/>
          <w:sz w:val="16"/>
          <w:szCs w:val="16"/>
          <w:lang w:val="ro-MD"/>
        </w:rPr>
      </w:pPr>
      <w:r w:rsidRPr="00D266C5">
        <w:rPr>
          <w:rStyle w:val="ac"/>
          <w:rFonts w:asciiTheme="majorHAnsi" w:hAnsiTheme="majorHAnsi" w:cstheme="majorHAnsi"/>
          <w:sz w:val="16"/>
          <w:szCs w:val="16"/>
          <w:lang w:val="ro-MD"/>
        </w:rPr>
        <w:footnoteRef/>
      </w:r>
      <w:r w:rsidRPr="00D266C5">
        <w:rPr>
          <w:rFonts w:asciiTheme="majorHAnsi" w:hAnsiTheme="majorHAnsi" w:cstheme="majorHAnsi"/>
          <w:sz w:val="16"/>
          <w:szCs w:val="16"/>
          <w:lang w:val="ro-MD"/>
        </w:rPr>
        <w:t xml:space="preserve"> HG nr.854 din 30.11.2020 </w:t>
      </w:r>
      <w:r>
        <w:rPr>
          <w:rFonts w:asciiTheme="majorHAnsi" w:hAnsiTheme="majorHAnsi" w:cstheme="majorHAnsi"/>
          <w:sz w:val="16"/>
          <w:szCs w:val="16"/>
          <w:lang w:val="ro-MD"/>
        </w:rPr>
        <w:t>„</w:t>
      </w:r>
      <w:r>
        <w:rPr>
          <w:rFonts w:asciiTheme="majorHAnsi" w:eastAsia="Times New Roman" w:hAnsiTheme="majorHAnsi" w:cstheme="majorHAnsi"/>
          <w:sz w:val="16"/>
          <w:szCs w:val="16"/>
          <w:lang w:val="ro-MD"/>
        </w:rPr>
        <w:t>P</w:t>
      </w:r>
      <w:r w:rsidRPr="00D266C5">
        <w:rPr>
          <w:rFonts w:asciiTheme="majorHAnsi" w:eastAsia="Times New Roman" w:hAnsiTheme="majorHAnsi" w:cstheme="majorHAnsi"/>
          <w:sz w:val="16"/>
          <w:szCs w:val="16"/>
          <w:lang w:val="ro-MD"/>
        </w:rPr>
        <w:t>rivind repartizarea și redistribuirea unor alocații aprobate în Legea bugetului de stat pentr</w:t>
      </w:r>
      <w:r>
        <w:rPr>
          <w:rFonts w:asciiTheme="majorHAnsi" w:eastAsia="Times New Roman" w:hAnsiTheme="majorHAnsi" w:cstheme="majorHAnsi"/>
          <w:sz w:val="16"/>
          <w:szCs w:val="16"/>
          <w:lang w:val="ro-MD"/>
        </w:rPr>
        <w:t xml:space="preserve">u anul 2020 nr.172/2019”, </w:t>
      </w:r>
      <w:r w:rsidRPr="00D266C5">
        <w:rPr>
          <w:rFonts w:asciiTheme="majorHAnsi" w:eastAsia="Times New Roman" w:hAnsiTheme="majorHAnsi" w:cstheme="majorHAnsi"/>
          <w:sz w:val="16"/>
          <w:szCs w:val="16"/>
          <w:lang w:val="ro-MD"/>
        </w:rPr>
        <w:t xml:space="preserve">HG nr.896 din 14.12.2020 </w:t>
      </w:r>
      <w:r>
        <w:rPr>
          <w:rFonts w:asciiTheme="majorHAnsi" w:eastAsia="Times New Roman" w:hAnsiTheme="majorHAnsi" w:cstheme="majorHAnsi"/>
          <w:sz w:val="16"/>
          <w:szCs w:val="16"/>
          <w:lang w:val="ro-MD"/>
        </w:rPr>
        <w:t>„P</w:t>
      </w:r>
      <w:r w:rsidRPr="00D266C5">
        <w:rPr>
          <w:rFonts w:asciiTheme="majorHAnsi" w:eastAsia="Times New Roman" w:hAnsiTheme="majorHAnsi" w:cstheme="majorHAnsi"/>
          <w:sz w:val="16"/>
          <w:szCs w:val="16"/>
          <w:lang w:val="ro-MD"/>
        </w:rPr>
        <w:t>rivind repartizarea și redistribuirea unor alocații aprobate în Legea bugetului de stat pentru anul 2020 nr.172/2019</w:t>
      </w:r>
      <w:r>
        <w:rPr>
          <w:rFonts w:asciiTheme="majorHAnsi" w:eastAsia="Times New Roman" w:hAnsiTheme="majorHAnsi" w:cstheme="majorHAnsi"/>
          <w:sz w:val="16"/>
          <w:szCs w:val="16"/>
          <w:lang w:val="ro-MD"/>
        </w:rPr>
        <w:t>” și HG nr.619 din 12.08.2020 „Privind repartizarea unor alocații aprobate prin Legea bugetului de stat pentru anul 2020 nr.172/2019”.</w:t>
      </w:r>
    </w:p>
  </w:footnote>
  <w:footnote w:id="40">
    <w:p w:rsidR="00642DC1" w:rsidRPr="00FA4E0E" w:rsidRDefault="00642DC1" w:rsidP="00AC6703">
      <w:pPr>
        <w:pStyle w:val="aa"/>
        <w:jc w:val="both"/>
        <w:rPr>
          <w:rFonts w:asciiTheme="majorHAnsi" w:hAnsiTheme="majorHAnsi" w:cstheme="majorHAnsi"/>
          <w:sz w:val="16"/>
          <w:szCs w:val="16"/>
          <w:lang w:val="ro-MD"/>
        </w:rPr>
      </w:pPr>
      <w:r w:rsidRPr="00FA4E0E">
        <w:rPr>
          <w:rStyle w:val="ac"/>
          <w:rFonts w:asciiTheme="majorHAnsi" w:hAnsiTheme="majorHAnsi" w:cstheme="majorHAnsi"/>
          <w:sz w:val="16"/>
          <w:szCs w:val="16"/>
          <w:lang w:val="ro-MD"/>
        </w:rPr>
        <w:footnoteRef/>
      </w:r>
      <w:r w:rsidRPr="00FA4E0E">
        <w:rPr>
          <w:rFonts w:asciiTheme="majorHAnsi" w:hAnsiTheme="majorHAnsi" w:cstheme="majorHAnsi"/>
          <w:sz w:val="16"/>
          <w:szCs w:val="16"/>
          <w:lang w:val="ro-MD"/>
        </w:rPr>
        <w:t xml:space="preserve"> HG nr.672 din 17.12.2019 </w:t>
      </w:r>
      <w:r>
        <w:rPr>
          <w:rFonts w:asciiTheme="majorHAnsi" w:hAnsiTheme="majorHAnsi" w:cstheme="majorHAnsi"/>
          <w:sz w:val="16"/>
          <w:szCs w:val="16"/>
          <w:lang w:val="ro-MD"/>
        </w:rPr>
        <w:t>„</w:t>
      </w:r>
      <w:r>
        <w:rPr>
          <w:rFonts w:asciiTheme="majorHAnsi" w:eastAsia="Times New Roman" w:hAnsiTheme="majorHAnsi" w:cstheme="majorHAnsi"/>
          <w:sz w:val="16"/>
          <w:szCs w:val="16"/>
          <w:lang w:val="ro-MD"/>
        </w:rPr>
        <w:t>P</w:t>
      </w:r>
      <w:r w:rsidRPr="00FA4E0E">
        <w:rPr>
          <w:rFonts w:asciiTheme="majorHAnsi" w:eastAsia="Times New Roman" w:hAnsiTheme="majorHAnsi" w:cstheme="majorHAnsi"/>
          <w:sz w:val="16"/>
          <w:szCs w:val="16"/>
          <w:lang w:val="ro-MD"/>
        </w:rPr>
        <w:t>entru stabilirea moratoriului temporar privind încadrarea personalului din sectorul bugetar în funcțiile vacante înregistrate”.</w:t>
      </w:r>
    </w:p>
  </w:footnote>
  <w:footnote w:id="41">
    <w:p w:rsidR="00642DC1" w:rsidRPr="00035D52" w:rsidRDefault="00642DC1" w:rsidP="00AC6703">
      <w:pPr>
        <w:pStyle w:val="aa"/>
        <w:jc w:val="both"/>
        <w:rPr>
          <w:rFonts w:asciiTheme="majorHAnsi" w:hAnsiTheme="majorHAnsi" w:cstheme="majorHAnsi"/>
          <w:sz w:val="16"/>
          <w:szCs w:val="16"/>
          <w:lang w:val="ro-MD"/>
        </w:rPr>
      </w:pPr>
      <w:r w:rsidRPr="00035D52">
        <w:rPr>
          <w:rStyle w:val="ac"/>
          <w:rFonts w:asciiTheme="majorHAnsi" w:hAnsiTheme="majorHAnsi" w:cstheme="majorHAnsi"/>
          <w:sz w:val="16"/>
          <w:szCs w:val="16"/>
          <w:lang w:val="ro-MD"/>
        </w:rPr>
        <w:footnoteRef/>
      </w:r>
      <w:r w:rsidRPr="00035D52">
        <w:rPr>
          <w:rFonts w:asciiTheme="majorHAnsi" w:hAnsiTheme="majorHAnsi" w:cstheme="majorHAnsi"/>
          <w:sz w:val="16"/>
          <w:szCs w:val="16"/>
          <w:lang w:val="ro-MD"/>
        </w:rPr>
        <w:t xml:space="preserve"> </w:t>
      </w:r>
      <w:r>
        <w:rPr>
          <w:rFonts w:asciiTheme="majorHAnsi" w:hAnsiTheme="majorHAnsi" w:cstheme="majorHAnsi"/>
          <w:sz w:val="16"/>
          <w:szCs w:val="16"/>
          <w:lang w:val="ro-MD"/>
        </w:rPr>
        <w:t xml:space="preserve">MECC (+10 000,0 mii lei), </w:t>
      </w:r>
      <w:r w:rsidRPr="00035D52">
        <w:rPr>
          <w:rFonts w:asciiTheme="majorHAnsi" w:hAnsiTheme="majorHAnsi" w:cstheme="majorHAnsi"/>
          <w:sz w:val="16"/>
          <w:szCs w:val="16"/>
          <w:lang w:val="ro-MD"/>
        </w:rPr>
        <w:t xml:space="preserve">MADRM (+1 338,6 mii lei), MSMPS (+1 845,3 mii lei), CEC (+11,43 mii lei), IP Națională a Audiovizualului Compania </w:t>
      </w:r>
      <w:r>
        <w:rPr>
          <w:rFonts w:asciiTheme="majorHAnsi" w:hAnsiTheme="majorHAnsi" w:cstheme="majorHAnsi"/>
          <w:sz w:val="16"/>
          <w:szCs w:val="16"/>
          <w:lang w:val="ro-MD"/>
        </w:rPr>
        <w:t>„</w:t>
      </w:r>
      <w:r w:rsidRPr="00035D52">
        <w:rPr>
          <w:rFonts w:asciiTheme="majorHAnsi" w:hAnsiTheme="majorHAnsi" w:cstheme="majorHAnsi"/>
          <w:sz w:val="16"/>
          <w:szCs w:val="16"/>
          <w:lang w:val="ro-MD"/>
        </w:rPr>
        <w:t>Teleradio Moldova” (5 193,85 mii lei), MEI (-99,6 mii lei).</w:t>
      </w:r>
    </w:p>
  </w:footnote>
  <w:footnote w:id="42">
    <w:p w:rsidR="00642DC1" w:rsidRPr="00B3784A" w:rsidRDefault="00642DC1" w:rsidP="00AC6703">
      <w:pPr>
        <w:pStyle w:val="aa"/>
        <w:jc w:val="both"/>
        <w:rPr>
          <w:rFonts w:asciiTheme="majorHAnsi" w:hAnsiTheme="majorHAnsi" w:cstheme="majorHAnsi"/>
          <w:sz w:val="16"/>
          <w:szCs w:val="16"/>
          <w:lang w:val="ro-MD"/>
        </w:rPr>
      </w:pPr>
      <w:r w:rsidRPr="00B3784A">
        <w:rPr>
          <w:rStyle w:val="ac"/>
          <w:rFonts w:asciiTheme="majorHAnsi" w:hAnsiTheme="majorHAnsi" w:cstheme="majorHAnsi"/>
          <w:sz w:val="16"/>
          <w:szCs w:val="16"/>
        </w:rPr>
        <w:footnoteRef/>
      </w:r>
      <w:r w:rsidRPr="00B3784A">
        <w:rPr>
          <w:rFonts w:asciiTheme="majorHAnsi" w:hAnsiTheme="majorHAnsi" w:cstheme="majorHAnsi"/>
          <w:sz w:val="16"/>
          <w:szCs w:val="16"/>
        </w:rPr>
        <w:t xml:space="preserve"> </w:t>
      </w:r>
      <w:r>
        <w:rPr>
          <w:rFonts w:asciiTheme="majorHAnsi" w:hAnsiTheme="majorHAnsi" w:cstheme="majorHAnsi"/>
          <w:sz w:val="16"/>
          <w:szCs w:val="16"/>
        </w:rPr>
        <w:t>G</w:t>
      </w:r>
      <w:r w:rsidRPr="00B3784A">
        <w:rPr>
          <w:rFonts w:asciiTheme="majorHAnsi" w:hAnsiTheme="majorHAnsi" w:cstheme="majorHAnsi"/>
          <w:sz w:val="16"/>
          <w:szCs w:val="16"/>
          <w:lang w:val="ro-MD"/>
        </w:rPr>
        <w:t xml:space="preserve">ranturile reprezintă transferuri pentru anumite scopuri către guvernele altor state, organizații internaționale, transferuri către instituții publice la autogestiune prin intermediul autorităților publice fondatoare ale acestora în temeiul prevederilor actelor normative, precum şi transferuri către alți beneficiari. </w:t>
      </w:r>
    </w:p>
  </w:footnote>
  <w:footnote w:id="43">
    <w:p w:rsidR="00642DC1" w:rsidRPr="00DD70EA" w:rsidRDefault="00642DC1" w:rsidP="00AC6703">
      <w:pPr>
        <w:pStyle w:val="aa"/>
        <w:jc w:val="both"/>
        <w:rPr>
          <w:rFonts w:asciiTheme="majorHAnsi" w:hAnsiTheme="majorHAnsi" w:cstheme="majorHAnsi"/>
          <w:sz w:val="16"/>
          <w:szCs w:val="16"/>
          <w:lang w:val="ro-MD"/>
        </w:rPr>
      </w:pPr>
      <w:r w:rsidRPr="00DD70EA">
        <w:rPr>
          <w:rStyle w:val="ac"/>
          <w:rFonts w:asciiTheme="majorHAnsi" w:hAnsiTheme="majorHAnsi" w:cstheme="majorHAnsi"/>
          <w:sz w:val="16"/>
          <w:szCs w:val="16"/>
          <w:lang w:val="ro-MD"/>
        </w:rPr>
        <w:footnoteRef/>
      </w:r>
      <w:r w:rsidRPr="00DD70EA">
        <w:rPr>
          <w:rFonts w:asciiTheme="majorHAnsi" w:hAnsiTheme="majorHAnsi" w:cstheme="majorHAnsi"/>
          <w:sz w:val="16"/>
          <w:szCs w:val="16"/>
          <w:lang w:val="ro-MD"/>
        </w:rPr>
        <w:t xml:space="preserve"> Legea bugetului de stat pentru anul 2020 nr.172 din 19.12.2019.</w:t>
      </w:r>
    </w:p>
  </w:footnote>
  <w:footnote w:id="44">
    <w:p w:rsidR="00642DC1" w:rsidRPr="00BB3134" w:rsidRDefault="00642DC1" w:rsidP="00AC6703">
      <w:pPr>
        <w:pStyle w:val="aa"/>
        <w:jc w:val="both"/>
        <w:rPr>
          <w:rFonts w:asciiTheme="majorHAnsi" w:hAnsiTheme="majorHAnsi" w:cstheme="majorHAnsi"/>
          <w:sz w:val="16"/>
          <w:szCs w:val="16"/>
          <w:lang w:val="ro-MD"/>
        </w:rPr>
      </w:pPr>
      <w:r w:rsidRPr="00DD70EA">
        <w:rPr>
          <w:rStyle w:val="ac"/>
          <w:rFonts w:asciiTheme="majorHAnsi" w:hAnsiTheme="majorHAnsi" w:cstheme="majorHAnsi"/>
          <w:sz w:val="16"/>
          <w:szCs w:val="16"/>
          <w:lang w:val="ro-MD"/>
        </w:rPr>
        <w:footnoteRef/>
      </w:r>
      <w:r w:rsidRPr="00DD70EA">
        <w:rPr>
          <w:rFonts w:asciiTheme="majorHAnsi" w:hAnsiTheme="majorHAnsi" w:cstheme="majorHAnsi"/>
          <w:sz w:val="16"/>
          <w:szCs w:val="16"/>
          <w:lang w:val="ro-MD"/>
        </w:rPr>
        <w:t xml:space="preserve"> Legea nr.61 din 23.04.2020 privind modificarea Legii bugetului de stat pentru anul 2020 nr.172/2019; Legea nr.131 din 12.07.2020 privind modificarea Legii bugetului de stat pentru anul 2020 nr.172/2019; Legea nr.173 din 11.09.2020 privind modificarea Legii bugetului de stat pentru anul 2020 nr.172/2019.</w:t>
      </w:r>
    </w:p>
  </w:footnote>
  <w:footnote w:id="45">
    <w:p w:rsidR="00642DC1" w:rsidRPr="008B70B2" w:rsidRDefault="00642DC1" w:rsidP="00AC6703">
      <w:pPr>
        <w:pStyle w:val="aa"/>
        <w:jc w:val="both"/>
        <w:rPr>
          <w:rFonts w:asciiTheme="majorHAnsi" w:hAnsiTheme="majorHAnsi" w:cstheme="majorHAnsi"/>
          <w:sz w:val="16"/>
          <w:szCs w:val="16"/>
          <w:lang w:val="ro-MD"/>
        </w:rPr>
      </w:pPr>
      <w:r w:rsidRPr="008B70B2">
        <w:rPr>
          <w:rStyle w:val="ac"/>
          <w:rFonts w:asciiTheme="majorHAnsi" w:hAnsiTheme="majorHAnsi" w:cstheme="majorHAnsi"/>
          <w:sz w:val="16"/>
          <w:szCs w:val="16"/>
          <w:lang w:val="ro-MD"/>
        </w:rPr>
        <w:footnoteRef/>
      </w:r>
      <w:r w:rsidRPr="008B70B2">
        <w:rPr>
          <w:rFonts w:asciiTheme="majorHAnsi" w:hAnsiTheme="majorHAnsi" w:cstheme="majorHAnsi"/>
          <w:sz w:val="16"/>
          <w:szCs w:val="16"/>
          <w:lang w:val="ro-MD"/>
        </w:rPr>
        <w:t xml:space="preserve"> Ministerul Afacerilor Interne - 3 proiecte (4,3 mil.lei), Ministerul Educației, Culturii și Cercetării - 2 proiecte (1,4 mil.lei)</w:t>
      </w:r>
      <w:r>
        <w:rPr>
          <w:rFonts w:asciiTheme="majorHAnsi" w:hAnsiTheme="majorHAnsi" w:cstheme="majorHAnsi"/>
          <w:sz w:val="16"/>
          <w:szCs w:val="16"/>
          <w:lang w:val="ro-MD"/>
        </w:rPr>
        <w:t>.</w:t>
      </w:r>
    </w:p>
  </w:footnote>
  <w:footnote w:id="46">
    <w:p w:rsidR="00642DC1" w:rsidRPr="008B70B2" w:rsidRDefault="00642DC1" w:rsidP="00AC6703">
      <w:pPr>
        <w:pStyle w:val="aa"/>
        <w:jc w:val="both"/>
        <w:rPr>
          <w:rFonts w:asciiTheme="majorHAnsi" w:hAnsiTheme="majorHAnsi" w:cstheme="majorHAnsi"/>
          <w:sz w:val="16"/>
          <w:szCs w:val="16"/>
          <w:lang w:val="ro-MD"/>
        </w:rPr>
      </w:pPr>
      <w:r w:rsidRPr="008B70B2">
        <w:rPr>
          <w:rStyle w:val="ac"/>
          <w:rFonts w:asciiTheme="majorHAnsi" w:hAnsiTheme="majorHAnsi" w:cstheme="majorHAnsi"/>
          <w:sz w:val="16"/>
          <w:szCs w:val="16"/>
          <w:lang w:val="ro-MD"/>
        </w:rPr>
        <w:footnoteRef/>
      </w:r>
      <w:r w:rsidRPr="008B70B2">
        <w:rPr>
          <w:rFonts w:asciiTheme="majorHAnsi" w:hAnsiTheme="majorHAnsi" w:cstheme="majorHAnsi"/>
          <w:sz w:val="16"/>
          <w:szCs w:val="16"/>
          <w:lang w:val="ro-MD"/>
        </w:rPr>
        <w:t xml:space="preserve"> </w:t>
      </w:r>
      <w:r>
        <w:rPr>
          <w:rFonts w:asciiTheme="majorHAnsi" w:hAnsiTheme="majorHAnsi" w:cstheme="majorHAnsi"/>
          <w:sz w:val="16"/>
          <w:szCs w:val="16"/>
          <w:lang w:val="ro-MD"/>
        </w:rPr>
        <w:t>„</w:t>
      </w:r>
      <w:r w:rsidRPr="008B70B2">
        <w:rPr>
          <w:rFonts w:asciiTheme="majorHAnsi" w:hAnsiTheme="majorHAnsi" w:cstheme="majorHAnsi"/>
          <w:sz w:val="16"/>
          <w:szCs w:val="16"/>
          <w:lang w:val="ro-MD"/>
        </w:rPr>
        <w:t xml:space="preserve">Construcția heliportului pentru elicoptere medicale, str. Nicolae Testemițanu nr.29, mun. Chișinău”, </w:t>
      </w:r>
      <w:r>
        <w:rPr>
          <w:rFonts w:asciiTheme="majorHAnsi" w:hAnsiTheme="majorHAnsi" w:cstheme="majorHAnsi"/>
          <w:sz w:val="16"/>
          <w:szCs w:val="16"/>
          <w:lang w:val="ro-MD"/>
        </w:rPr>
        <w:t>„</w:t>
      </w:r>
      <w:r w:rsidRPr="008B70B2">
        <w:rPr>
          <w:rFonts w:asciiTheme="majorHAnsi" w:hAnsiTheme="majorHAnsi" w:cstheme="majorHAnsi"/>
          <w:sz w:val="16"/>
          <w:szCs w:val="16"/>
          <w:lang w:val="ro-MD"/>
        </w:rPr>
        <w:t xml:space="preserve">Construcția heliportului pentru elicoptere medicale, str. Poamei nr.21, mun. Chișinău”, </w:t>
      </w:r>
      <w:r>
        <w:rPr>
          <w:rFonts w:asciiTheme="majorHAnsi" w:hAnsiTheme="majorHAnsi" w:cstheme="majorHAnsi"/>
          <w:sz w:val="16"/>
          <w:szCs w:val="16"/>
          <w:lang w:val="ro-MD"/>
        </w:rPr>
        <w:t>„</w:t>
      </w:r>
      <w:r w:rsidRPr="008B70B2">
        <w:rPr>
          <w:rFonts w:asciiTheme="majorHAnsi" w:hAnsiTheme="majorHAnsi" w:cstheme="majorHAnsi"/>
          <w:sz w:val="16"/>
          <w:szCs w:val="16"/>
          <w:lang w:val="ro-MD"/>
        </w:rPr>
        <w:t>Construcția heliportului pentru elicoptere medicale, mun.</w:t>
      </w:r>
      <w:r>
        <w:rPr>
          <w:rFonts w:asciiTheme="majorHAnsi" w:hAnsiTheme="majorHAnsi" w:cstheme="majorHAnsi"/>
          <w:sz w:val="16"/>
          <w:szCs w:val="16"/>
          <w:lang w:val="ro-MD"/>
        </w:rPr>
        <w:t xml:space="preserve"> </w:t>
      </w:r>
      <w:r w:rsidRPr="008B70B2">
        <w:rPr>
          <w:rFonts w:asciiTheme="majorHAnsi" w:hAnsiTheme="majorHAnsi" w:cstheme="majorHAnsi"/>
          <w:sz w:val="16"/>
          <w:szCs w:val="16"/>
          <w:lang w:val="ro-MD"/>
        </w:rPr>
        <w:t>Bălți”.</w:t>
      </w:r>
    </w:p>
  </w:footnote>
  <w:footnote w:id="47">
    <w:p w:rsidR="00642DC1" w:rsidRPr="008B70B2" w:rsidRDefault="00642DC1" w:rsidP="00AC6703">
      <w:pPr>
        <w:pStyle w:val="aa"/>
        <w:jc w:val="both"/>
        <w:rPr>
          <w:rFonts w:asciiTheme="majorHAnsi" w:hAnsiTheme="majorHAnsi" w:cstheme="majorHAnsi"/>
          <w:sz w:val="16"/>
          <w:szCs w:val="16"/>
          <w:lang w:val="ro-MD"/>
        </w:rPr>
      </w:pPr>
      <w:r w:rsidRPr="008B70B2">
        <w:rPr>
          <w:rStyle w:val="ac"/>
          <w:rFonts w:asciiTheme="majorHAnsi" w:hAnsiTheme="majorHAnsi" w:cstheme="majorHAnsi"/>
          <w:sz w:val="16"/>
          <w:szCs w:val="16"/>
          <w:lang w:val="ro-MD"/>
        </w:rPr>
        <w:footnoteRef/>
      </w:r>
      <w:r w:rsidRPr="008B70B2">
        <w:rPr>
          <w:rFonts w:asciiTheme="majorHAnsi" w:hAnsiTheme="majorHAnsi" w:cstheme="majorHAnsi"/>
          <w:sz w:val="16"/>
          <w:szCs w:val="16"/>
          <w:lang w:val="ro-MD"/>
        </w:rPr>
        <w:t xml:space="preserve"> </w:t>
      </w:r>
      <w:r>
        <w:rPr>
          <w:rFonts w:asciiTheme="majorHAnsi" w:hAnsiTheme="majorHAnsi" w:cstheme="majorHAnsi"/>
          <w:sz w:val="16"/>
          <w:szCs w:val="16"/>
          <w:lang w:val="ro-MD"/>
        </w:rPr>
        <w:t>„</w:t>
      </w:r>
      <w:r w:rsidRPr="008B70B2">
        <w:rPr>
          <w:rFonts w:asciiTheme="majorHAnsi" w:hAnsiTheme="majorHAnsi" w:cstheme="majorHAnsi"/>
          <w:sz w:val="16"/>
          <w:szCs w:val="16"/>
          <w:lang w:val="ro-MD"/>
        </w:rPr>
        <w:t>Reconstrucția sediului Muzeului de Istorie a Evreilor din RM, mun. Chișinău”</w:t>
      </w:r>
      <w:r>
        <w:rPr>
          <w:rFonts w:asciiTheme="majorHAnsi" w:hAnsiTheme="majorHAnsi" w:cstheme="majorHAnsi"/>
          <w:sz w:val="16"/>
          <w:szCs w:val="16"/>
          <w:lang w:val="ro-MD"/>
        </w:rPr>
        <w:t>.</w:t>
      </w:r>
    </w:p>
  </w:footnote>
  <w:footnote w:id="48">
    <w:p w:rsidR="00642DC1" w:rsidRPr="008B70B2" w:rsidRDefault="00642DC1" w:rsidP="00AC6703">
      <w:pPr>
        <w:pStyle w:val="aa"/>
        <w:jc w:val="both"/>
        <w:rPr>
          <w:rFonts w:asciiTheme="majorHAnsi" w:hAnsiTheme="majorHAnsi" w:cstheme="majorHAnsi"/>
          <w:sz w:val="16"/>
          <w:szCs w:val="16"/>
          <w:lang w:val="ro-MD"/>
        </w:rPr>
      </w:pPr>
      <w:r w:rsidRPr="008B70B2">
        <w:rPr>
          <w:rStyle w:val="ac"/>
          <w:rFonts w:asciiTheme="majorHAnsi" w:hAnsiTheme="majorHAnsi" w:cstheme="majorHAnsi"/>
          <w:sz w:val="16"/>
          <w:szCs w:val="16"/>
          <w:lang w:val="ro-MD"/>
        </w:rPr>
        <w:footnoteRef/>
      </w:r>
      <w:r w:rsidRPr="008B70B2">
        <w:rPr>
          <w:rFonts w:asciiTheme="majorHAnsi" w:hAnsiTheme="majorHAnsi" w:cstheme="majorHAnsi"/>
          <w:sz w:val="16"/>
          <w:szCs w:val="16"/>
          <w:lang w:val="ro-MD"/>
        </w:rPr>
        <w:t xml:space="preserve"> </w:t>
      </w:r>
      <w:r>
        <w:rPr>
          <w:rFonts w:asciiTheme="majorHAnsi" w:hAnsiTheme="majorHAnsi" w:cstheme="majorHAnsi"/>
          <w:sz w:val="16"/>
          <w:szCs w:val="16"/>
          <w:lang w:val="ro-MD"/>
        </w:rPr>
        <w:t>„</w:t>
      </w:r>
      <w:r w:rsidRPr="008B70B2">
        <w:rPr>
          <w:rFonts w:asciiTheme="majorHAnsi" w:hAnsiTheme="majorHAnsi" w:cstheme="majorHAnsi"/>
          <w:sz w:val="16"/>
          <w:szCs w:val="16"/>
          <w:lang w:val="ro-MD"/>
        </w:rPr>
        <w:t xml:space="preserve">Restaurarea Casei-muzeu </w:t>
      </w:r>
      <w:r>
        <w:rPr>
          <w:rFonts w:asciiTheme="majorHAnsi" w:hAnsiTheme="majorHAnsi" w:cstheme="majorHAnsi"/>
          <w:sz w:val="16"/>
          <w:szCs w:val="16"/>
          <w:lang w:val="ro-MD"/>
        </w:rPr>
        <w:t>„</w:t>
      </w:r>
      <w:r w:rsidRPr="008B70B2">
        <w:rPr>
          <w:rFonts w:asciiTheme="majorHAnsi" w:hAnsiTheme="majorHAnsi" w:cstheme="majorHAnsi"/>
          <w:sz w:val="16"/>
          <w:szCs w:val="16"/>
          <w:lang w:val="ro-MD"/>
        </w:rPr>
        <w:t>Alexandr Pușkin”</w:t>
      </w:r>
      <w:r>
        <w:rPr>
          <w:rFonts w:asciiTheme="majorHAnsi" w:hAnsiTheme="majorHAnsi" w:cstheme="majorHAnsi"/>
          <w:sz w:val="16"/>
          <w:szCs w:val="16"/>
          <w:lang w:val="ro-MD"/>
        </w:rPr>
        <w:t>,</w:t>
      </w:r>
      <w:r w:rsidRPr="008B70B2">
        <w:rPr>
          <w:rFonts w:asciiTheme="majorHAnsi" w:hAnsiTheme="majorHAnsi" w:cstheme="majorHAnsi"/>
          <w:sz w:val="16"/>
          <w:szCs w:val="16"/>
          <w:lang w:val="ro-MD"/>
        </w:rPr>
        <w:t xml:space="preserve"> str. Anton Pann nr.19, mun. Chișinău”.</w:t>
      </w:r>
    </w:p>
  </w:footnote>
  <w:footnote w:id="49">
    <w:p w:rsidR="00642DC1" w:rsidRPr="00517EAB" w:rsidRDefault="00642DC1" w:rsidP="00AC6703">
      <w:pPr>
        <w:pStyle w:val="aa"/>
        <w:jc w:val="both"/>
        <w:rPr>
          <w:rFonts w:asciiTheme="majorHAnsi" w:hAnsiTheme="majorHAnsi" w:cstheme="majorHAnsi"/>
          <w:sz w:val="16"/>
          <w:szCs w:val="16"/>
          <w:lang w:val="ro-MD"/>
        </w:rPr>
      </w:pPr>
      <w:r w:rsidRPr="00517EAB">
        <w:rPr>
          <w:rStyle w:val="ac"/>
          <w:rFonts w:asciiTheme="majorHAnsi" w:hAnsiTheme="majorHAnsi" w:cstheme="majorHAnsi"/>
          <w:sz w:val="16"/>
          <w:szCs w:val="16"/>
          <w:lang w:val="ro-MD"/>
        </w:rPr>
        <w:footnoteRef/>
      </w:r>
      <w:r w:rsidRPr="00517EAB">
        <w:rPr>
          <w:rFonts w:asciiTheme="majorHAnsi" w:hAnsiTheme="majorHAnsi" w:cstheme="majorHAnsi"/>
          <w:sz w:val="16"/>
          <w:szCs w:val="16"/>
          <w:lang w:val="ro-MD"/>
        </w:rPr>
        <w:t xml:space="preserve"> </w:t>
      </w:r>
      <w:r>
        <w:rPr>
          <w:rFonts w:asciiTheme="majorHAnsi" w:hAnsiTheme="majorHAnsi" w:cstheme="majorHAnsi"/>
          <w:sz w:val="16"/>
          <w:szCs w:val="16"/>
          <w:lang w:val="ro-MD"/>
        </w:rPr>
        <w:t>„</w:t>
      </w:r>
      <w:r w:rsidRPr="00517EAB">
        <w:rPr>
          <w:rFonts w:asciiTheme="majorHAnsi" w:hAnsiTheme="majorHAnsi" w:cstheme="majorHAnsi"/>
          <w:sz w:val="16"/>
          <w:szCs w:val="16"/>
          <w:lang w:val="ro-MD"/>
        </w:rPr>
        <w:t>Reconstrucția și modernizarea clădirilor Centrului de Excelență în Construcții, str. Gheorghe Asachi nr.71, mun. Chișinău”.</w:t>
      </w:r>
    </w:p>
  </w:footnote>
  <w:footnote w:id="50">
    <w:p w:rsidR="00642DC1" w:rsidRPr="000D3CB1" w:rsidRDefault="00642DC1" w:rsidP="00AC6703">
      <w:pPr>
        <w:pStyle w:val="aa"/>
        <w:jc w:val="both"/>
        <w:rPr>
          <w:rFonts w:asciiTheme="majorHAnsi" w:hAnsiTheme="majorHAnsi" w:cstheme="majorHAnsi"/>
          <w:sz w:val="16"/>
          <w:szCs w:val="16"/>
          <w:lang w:val="ro-MD"/>
        </w:rPr>
      </w:pPr>
      <w:r w:rsidRPr="000D3CB1">
        <w:rPr>
          <w:rStyle w:val="ac"/>
          <w:rFonts w:asciiTheme="majorHAnsi" w:hAnsiTheme="majorHAnsi" w:cstheme="majorHAnsi"/>
          <w:sz w:val="16"/>
          <w:szCs w:val="16"/>
          <w:lang w:val="ro-MD"/>
        </w:rPr>
        <w:footnoteRef/>
      </w:r>
      <w:r w:rsidRPr="000D3CB1">
        <w:rPr>
          <w:rFonts w:asciiTheme="majorHAnsi" w:hAnsiTheme="majorHAnsi" w:cstheme="majorHAnsi"/>
          <w:sz w:val="16"/>
          <w:szCs w:val="16"/>
          <w:lang w:val="ro-MD"/>
        </w:rPr>
        <w:t xml:space="preserve"> </w:t>
      </w:r>
      <w:r>
        <w:rPr>
          <w:rFonts w:asciiTheme="majorHAnsi" w:hAnsiTheme="majorHAnsi" w:cstheme="majorHAnsi"/>
          <w:sz w:val="16"/>
          <w:szCs w:val="16"/>
          <w:lang w:val="ro-MD"/>
        </w:rPr>
        <w:t>„</w:t>
      </w:r>
      <w:r w:rsidRPr="000D3CB1">
        <w:rPr>
          <w:rFonts w:asciiTheme="majorHAnsi" w:hAnsiTheme="majorHAnsi" w:cstheme="majorHAnsi"/>
          <w:sz w:val="16"/>
          <w:szCs w:val="16"/>
          <w:lang w:val="ro-MD"/>
        </w:rPr>
        <w:t>Construcția sediului pentru trei subdiviziuni operative ale Inspectoratului Național de Investigații, str. Bucuriei nr.14, mun. Chișinău”.</w:t>
      </w:r>
    </w:p>
  </w:footnote>
  <w:footnote w:id="51">
    <w:p w:rsidR="00642DC1" w:rsidRPr="000D3CB1" w:rsidRDefault="00642DC1" w:rsidP="00AC6703">
      <w:pPr>
        <w:pStyle w:val="aa"/>
        <w:jc w:val="both"/>
        <w:rPr>
          <w:rFonts w:asciiTheme="majorHAnsi" w:hAnsiTheme="majorHAnsi" w:cstheme="majorHAnsi"/>
          <w:sz w:val="16"/>
          <w:szCs w:val="16"/>
          <w:lang w:val="ro-MD"/>
        </w:rPr>
      </w:pPr>
      <w:r w:rsidRPr="000D3CB1">
        <w:rPr>
          <w:rStyle w:val="ac"/>
          <w:rFonts w:asciiTheme="majorHAnsi" w:hAnsiTheme="majorHAnsi" w:cstheme="majorHAnsi"/>
          <w:sz w:val="16"/>
          <w:szCs w:val="16"/>
          <w:lang w:val="ro-MD"/>
        </w:rPr>
        <w:footnoteRef/>
      </w:r>
      <w:r w:rsidRPr="000D3CB1">
        <w:rPr>
          <w:rFonts w:asciiTheme="majorHAnsi" w:hAnsiTheme="majorHAnsi" w:cstheme="majorHAnsi"/>
          <w:sz w:val="16"/>
          <w:szCs w:val="16"/>
          <w:lang w:val="ro-MD"/>
        </w:rPr>
        <w:t xml:space="preserve"> </w:t>
      </w:r>
      <w:r>
        <w:rPr>
          <w:rFonts w:asciiTheme="majorHAnsi" w:hAnsiTheme="majorHAnsi" w:cstheme="majorHAnsi"/>
          <w:sz w:val="16"/>
          <w:szCs w:val="16"/>
          <w:lang w:val="ro-MD"/>
        </w:rPr>
        <w:t>„</w:t>
      </w:r>
      <w:r w:rsidRPr="000D3CB1">
        <w:rPr>
          <w:rFonts w:asciiTheme="majorHAnsi" w:hAnsiTheme="majorHAnsi" w:cstheme="majorHAnsi"/>
          <w:sz w:val="16"/>
          <w:szCs w:val="16"/>
          <w:lang w:val="ro-MD"/>
        </w:rPr>
        <w:t>Reconstrucția clădirii cu anexarea sălii polivalente a școlii sportive specializate de box din s. Grimăncăuți, r-</w:t>
      </w:r>
      <w:r>
        <w:rPr>
          <w:rFonts w:asciiTheme="majorHAnsi" w:hAnsiTheme="majorHAnsi" w:cstheme="majorHAnsi"/>
          <w:sz w:val="16"/>
          <w:szCs w:val="16"/>
          <w:lang w:val="ro-MD"/>
        </w:rPr>
        <w:t>n</w:t>
      </w:r>
      <w:r w:rsidRPr="000D3CB1">
        <w:rPr>
          <w:rFonts w:asciiTheme="majorHAnsi" w:hAnsiTheme="majorHAnsi" w:cstheme="majorHAnsi"/>
          <w:sz w:val="16"/>
          <w:szCs w:val="16"/>
          <w:lang w:val="ro-MD"/>
        </w:rPr>
        <w:t>ul Briceni”</w:t>
      </w:r>
      <w:r>
        <w:rPr>
          <w:rFonts w:asciiTheme="majorHAnsi" w:hAnsiTheme="majorHAnsi" w:cstheme="majorHAnsi"/>
          <w:sz w:val="16"/>
          <w:szCs w:val="16"/>
          <w:lang w:val="ro-MD"/>
        </w:rPr>
        <w:t>.</w:t>
      </w:r>
    </w:p>
  </w:footnote>
  <w:footnote w:id="52">
    <w:p w:rsidR="00642DC1" w:rsidRPr="000D3CB1" w:rsidRDefault="00642DC1" w:rsidP="00AC6703">
      <w:pPr>
        <w:pStyle w:val="aa"/>
        <w:rPr>
          <w:lang w:val="ro-MD"/>
        </w:rPr>
      </w:pPr>
      <w:r w:rsidRPr="000D3CB1">
        <w:rPr>
          <w:rStyle w:val="ac"/>
          <w:rFonts w:asciiTheme="majorHAnsi" w:hAnsiTheme="majorHAnsi" w:cstheme="majorHAnsi"/>
          <w:sz w:val="16"/>
          <w:szCs w:val="16"/>
        </w:rPr>
        <w:footnoteRef/>
      </w:r>
      <w:r w:rsidRPr="000D3CB1">
        <w:rPr>
          <w:rFonts w:asciiTheme="majorHAnsi" w:hAnsiTheme="majorHAnsi" w:cstheme="majorHAnsi"/>
          <w:sz w:val="16"/>
          <w:szCs w:val="16"/>
        </w:rPr>
        <w:t xml:space="preserve"> </w:t>
      </w:r>
      <w:r>
        <w:rPr>
          <w:rFonts w:asciiTheme="majorHAnsi" w:hAnsiTheme="majorHAnsi" w:cstheme="majorHAnsi"/>
          <w:sz w:val="16"/>
          <w:szCs w:val="16"/>
          <w:lang w:val="ro-MD"/>
        </w:rPr>
        <w:t>„</w:t>
      </w:r>
      <w:r w:rsidRPr="000D3CB1">
        <w:rPr>
          <w:rFonts w:asciiTheme="majorHAnsi" w:hAnsiTheme="majorHAnsi" w:cstheme="majorHAnsi"/>
          <w:sz w:val="16"/>
          <w:szCs w:val="16"/>
          <w:lang w:val="ro-MD"/>
        </w:rPr>
        <w:t>Modernizarea infrastructurii Postului vamal Sculeni”</w:t>
      </w:r>
      <w:r>
        <w:rPr>
          <w:rFonts w:asciiTheme="majorHAnsi" w:hAnsiTheme="majorHAnsi" w:cstheme="majorHAnsi"/>
          <w:sz w:val="16"/>
          <w:szCs w:val="16"/>
          <w:lang w:val="ro-MD"/>
        </w:rPr>
        <w:t>.</w:t>
      </w:r>
    </w:p>
  </w:footnote>
  <w:footnote w:id="53">
    <w:p w:rsidR="00642DC1" w:rsidRPr="003A5D2F" w:rsidRDefault="00642DC1" w:rsidP="00AC6703">
      <w:pPr>
        <w:pStyle w:val="aa"/>
        <w:jc w:val="both"/>
        <w:rPr>
          <w:rFonts w:asciiTheme="majorHAnsi" w:hAnsiTheme="majorHAnsi" w:cstheme="majorHAnsi"/>
        </w:rPr>
      </w:pPr>
      <w:r w:rsidRPr="008B70B2">
        <w:rPr>
          <w:rStyle w:val="ac"/>
          <w:rFonts w:asciiTheme="majorHAnsi" w:hAnsiTheme="majorHAnsi" w:cstheme="majorHAnsi"/>
          <w:sz w:val="16"/>
          <w:szCs w:val="16"/>
          <w:lang w:val="ro-MD"/>
        </w:rPr>
        <w:footnoteRef/>
      </w:r>
      <w:r w:rsidRPr="008B70B2">
        <w:rPr>
          <w:rFonts w:asciiTheme="majorHAnsi" w:hAnsiTheme="majorHAnsi" w:cstheme="majorHAnsi"/>
          <w:sz w:val="16"/>
          <w:szCs w:val="16"/>
          <w:lang w:val="ro-MD"/>
        </w:rPr>
        <w:t xml:space="preserve"> Proiectul „Susținerea Programului în sectorul drumurilor”</w:t>
      </w:r>
      <w:r>
        <w:rPr>
          <w:rFonts w:asciiTheme="majorHAnsi" w:hAnsiTheme="majorHAnsi" w:cstheme="majorHAnsi"/>
          <w:sz w:val="16"/>
          <w:szCs w:val="16"/>
          <w:lang w:val="ro-MD"/>
        </w:rPr>
        <w:t>.</w:t>
      </w:r>
    </w:p>
  </w:footnote>
  <w:footnote w:id="54">
    <w:p w:rsidR="00642DC1" w:rsidRPr="008B70B2" w:rsidRDefault="00642DC1" w:rsidP="00AC6703">
      <w:pPr>
        <w:pStyle w:val="aa"/>
        <w:jc w:val="both"/>
        <w:rPr>
          <w:rFonts w:asciiTheme="majorHAnsi" w:hAnsiTheme="majorHAnsi" w:cstheme="majorHAnsi"/>
          <w:sz w:val="16"/>
          <w:szCs w:val="16"/>
          <w:lang w:val="ro-MD"/>
        </w:rPr>
      </w:pPr>
      <w:r w:rsidRPr="008B70B2">
        <w:rPr>
          <w:rStyle w:val="ac"/>
          <w:rFonts w:asciiTheme="majorHAnsi" w:hAnsiTheme="majorHAnsi" w:cstheme="majorHAnsi"/>
          <w:sz w:val="16"/>
          <w:szCs w:val="16"/>
          <w:lang w:val="ro-MD"/>
        </w:rPr>
        <w:footnoteRef/>
      </w:r>
      <w:r w:rsidRPr="008B70B2">
        <w:rPr>
          <w:rFonts w:asciiTheme="majorHAnsi" w:hAnsiTheme="majorHAnsi" w:cstheme="majorHAnsi"/>
          <w:sz w:val="16"/>
          <w:szCs w:val="16"/>
          <w:lang w:val="ro-MD"/>
        </w:rPr>
        <w:t xml:space="preserve"> Art.44 alin.(1) din Legea finanțelor publice și responsabilității bugetar-fiscale nr.181 din 25.07.2014.</w:t>
      </w:r>
    </w:p>
  </w:footnote>
  <w:footnote w:id="55">
    <w:p w:rsidR="00642DC1" w:rsidRPr="00917C6D" w:rsidRDefault="00642DC1" w:rsidP="00AC6703">
      <w:pPr>
        <w:pStyle w:val="aa"/>
        <w:jc w:val="both"/>
        <w:rPr>
          <w:rFonts w:asciiTheme="majorHAnsi" w:hAnsiTheme="majorHAnsi" w:cstheme="majorHAnsi"/>
          <w:sz w:val="16"/>
          <w:szCs w:val="16"/>
          <w:lang w:val="ro-MD"/>
        </w:rPr>
      </w:pPr>
      <w:r w:rsidRPr="00917C6D">
        <w:rPr>
          <w:rStyle w:val="ac"/>
          <w:rFonts w:asciiTheme="majorHAnsi" w:hAnsiTheme="majorHAnsi" w:cstheme="majorHAnsi"/>
          <w:sz w:val="16"/>
          <w:szCs w:val="16"/>
          <w:lang w:val="ro-MD"/>
        </w:rPr>
        <w:footnoteRef/>
      </w:r>
      <w:r w:rsidRPr="00917C6D">
        <w:rPr>
          <w:rFonts w:asciiTheme="majorHAnsi" w:hAnsiTheme="majorHAnsi" w:cstheme="majorHAnsi"/>
          <w:sz w:val="16"/>
          <w:szCs w:val="16"/>
          <w:lang w:val="ro-MD"/>
        </w:rPr>
        <w:t xml:space="preserve"> Pct.39 </w:t>
      </w:r>
      <w:r>
        <w:rPr>
          <w:rFonts w:asciiTheme="majorHAnsi" w:hAnsiTheme="majorHAnsi" w:cstheme="majorHAnsi"/>
          <w:sz w:val="16"/>
          <w:szCs w:val="16"/>
          <w:lang w:val="ro-MD"/>
        </w:rPr>
        <w:t>din</w:t>
      </w:r>
      <w:r w:rsidRPr="00917C6D">
        <w:rPr>
          <w:rFonts w:asciiTheme="majorHAnsi" w:hAnsiTheme="majorHAnsi" w:cstheme="majorHAnsi"/>
          <w:sz w:val="16"/>
          <w:szCs w:val="16"/>
          <w:lang w:val="ro-MD"/>
        </w:rPr>
        <w:t xml:space="preserve"> Regulamentul cu privire la proiectele de investiții capitale publice</w:t>
      </w:r>
      <w:r>
        <w:rPr>
          <w:rFonts w:asciiTheme="majorHAnsi" w:hAnsiTheme="majorHAnsi" w:cstheme="majorHAnsi"/>
          <w:sz w:val="16"/>
          <w:szCs w:val="16"/>
          <w:lang w:val="ro-MD"/>
        </w:rPr>
        <w:t>,</w:t>
      </w:r>
      <w:r w:rsidRPr="00917C6D">
        <w:rPr>
          <w:rFonts w:asciiTheme="majorHAnsi" w:hAnsiTheme="majorHAnsi" w:cstheme="majorHAnsi"/>
          <w:sz w:val="16"/>
          <w:szCs w:val="16"/>
          <w:lang w:val="ro-MD"/>
        </w:rPr>
        <w:t xml:space="preserve"> aprobat prin H</w:t>
      </w:r>
      <w:r>
        <w:rPr>
          <w:rFonts w:asciiTheme="majorHAnsi" w:hAnsiTheme="majorHAnsi" w:cstheme="majorHAnsi"/>
          <w:sz w:val="16"/>
          <w:szCs w:val="16"/>
          <w:lang w:val="ro-MD"/>
        </w:rPr>
        <w:t>G</w:t>
      </w:r>
      <w:r w:rsidRPr="00917C6D">
        <w:rPr>
          <w:rFonts w:asciiTheme="majorHAnsi" w:hAnsiTheme="majorHAnsi" w:cstheme="majorHAnsi"/>
          <w:sz w:val="16"/>
          <w:szCs w:val="16"/>
          <w:lang w:val="ro-MD"/>
        </w:rPr>
        <w:t xml:space="preserve"> nr.1029 din 19.12.2013 </w:t>
      </w:r>
      <w:r>
        <w:rPr>
          <w:rFonts w:asciiTheme="majorHAnsi" w:hAnsiTheme="majorHAnsi" w:cstheme="majorHAnsi"/>
          <w:sz w:val="16"/>
          <w:szCs w:val="16"/>
          <w:lang w:val="ro-MD"/>
        </w:rPr>
        <w:t>„C</w:t>
      </w:r>
      <w:r w:rsidRPr="00917C6D">
        <w:rPr>
          <w:rFonts w:asciiTheme="majorHAnsi" w:hAnsiTheme="majorHAnsi" w:cstheme="majorHAnsi"/>
          <w:sz w:val="16"/>
          <w:szCs w:val="16"/>
          <w:lang w:val="ro-MD"/>
        </w:rPr>
        <w:t>u privire la investițiile capitale publice</w:t>
      </w:r>
      <w:r>
        <w:rPr>
          <w:rFonts w:asciiTheme="majorHAnsi" w:hAnsiTheme="majorHAnsi" w:cstheme="majorHAnsi"/>
          <w:sz w:val="16"/>
          <w:szCs w:val="16"/>
          <w:lang w:val="ro-MD"/>
        </w:rPr>
        <w:t xml:space="preserve">” (în continuare – </w:t>
      </w:r>
      <w:r w:rsidRPr="00917C6D">
        <w:rPr>
          <w:rFonts w:asciiTheme="majorHAnsi" w:hAnsiTheme="majorHAnsi" w:cstheme="majorHAnsi"/>
          <w:sz w:val="16"/>
          <w:szCs w:val="16"/>
          <w:lang w:val="ro-MD"/>
        </w:rPr>
        <w:t>Regulamentul cu privire la proiectele de investiții capitale publice</w:t>
      </w:r>
      <w:r>
        <w:rPr>
          <w:rFonts w:asciiTheme="majorHAnsi" w:hAnsiTheme="majorHAnsi" w:cstheme="majorHAnsi"/>
          <w:sz w:val="16"/>
          <w:szCs w:val="16"/>
          <w:lang w:val="ro-MD"/>
        </w:rPr>
        <w:t>).</w:t>
      </w:r>
    </w:p>
  </w:footnote>
  <w:footnote w:id="56">
    <w:p w:rsidR="00642DC1" w:rsidRPr="00917C6D" w:rsidRDefault="00642DC1" w:rsidP="00AC6703">
      <w:pPr>
        <w:pStyle w:val="aa"/>
        <w:jc w:val="both"/>
        <w:rPr>
          <w:rFonts w:asciiTheme="majorHAnsi" w:hAnsiTheme="majorHAnsi" w:cstheme="majorHAnsi"/>
          <w:sz w:val="16"/>
          <w:szCs w:val="16"/>
          <w:lang w:val="ro-MD"/>
        </w:rPr>
      </w:pPr>
      <w:r w:rsidRPr="00917C6D">
        <w:rPr>
          <w:rStyle w:val="ac"/>
          <w:rFonts w:asciiTheme="majorHAnsi" w:hAnsiTheme="majorHAnsi" w:cstheme="majorHAnsi"/>
          <w:sz w:val="16"/>
          <w:szCs w:val="16"/>
          <w:lang w:val="ro-MD"/>
        </w:rPr>
        <w:footnoteRef/>
      </w:r>
      <w:r w:rsidRPr="00917C6D">
        <w:rPr>
          <w:rFonts w:asciiTheme="majorHAnsi" w:hAnsiTheme="majorHAnsi" w:cstheme="majorHAnsi"/>
          <w:sz w:val="16"/>
          <w:szCs w:val="16"/>
          <w:lang w:val="ro-MD"/>
        </w:rPr>
        <w:t xml:space="preserve"> Pct.40 </w:t>
      </w:r>
      <w:r>
        <w:rPr>
          <w:rFonts w:asciiTheme="majorHAnsi" w:hAnsiTheme="majorHAnsi" w:cstheme="majorHAnsi"/>
          <w:sz w:val="16"/>
          <w:szCs w:val="16"/>
          <w:lang w:val="ro-MD"/>
        </w:rPr>
        <w:t>din</w:t>
      </w:r>
      <w:r w:rsidRPr="00917C6D">
        <w:rPr>
          <w:rFonts w:asciiTheme="majorHAnsi" w:hAnsiTheme="majorHAnsi" w:cstheme="majorHAnsi"/>
          <w:sz w:val="16"/>
          <w:szCs w:val="16"/>
          <w:lang w:val="ro-MD"/>
        </w:rPr>
        <w:t xml:space="preserve"> Regulamentul cu privire la proiectele de investiții capitale publice</w:t>
      </w:r>
      <w:r>
        <w:rPr>
          <w:rFonts w:asciiTheme="majorHAnsi" w:hAnsiTheme="majorHAnsi" w:cstheme="majorHAnsi"/>
          <w:sz w:val="16"/>
          <w:szCs w:val="16"/>
          <w:lang w:val="ro-MD"/>
        </w:rPr>
        <w:t>.</w:t>
      </w:r>
    </w:p>
  </w:footnote>
  <w:footnote w:id="57">
    <w:p w:rsidR="00642DC1" w:rsidRPr="00F93F19" w:rsidRDefault="00642DC1" w:rsidP="00AC6703">
      <w:pPr>
        <w:pStyle w:val="aa"/>
        <w:rPr>
          <w:rFonts w:asciiTheme="majorHAnsi" w:hAnsiTheme="majorHAnsi" w:cstheme="majorHAnsi"/>
          <w:sz w:val="16"/>
          <w:szCs w:val="16"/>
          <w:lang w:val="ro-MD"/>
        </w:rPr>
      </w:pPr>
      <w:r w:rsidRPr="00F93F19">
        <w:rPr>
          <w:rStyle w:val="ac"/>
          <w:rFonts w:asciiTheme="majorHAnsi" w:hAnsiTheme="majorHAnsi" w:cstheme="majorHAnsi"/>
          <w:sz w:val="16"/>
          <w:szCs w:val="16"/>
          <w:lang w:val="ro-MD"/>
        </w:rPr>
        <w:footnoteRef/>
      </w:r>
      <w:r w:rsidRPr="00F93F19">
        <w:rPr>
          <w:rFonts w:asciiTheme="majorHAnsi" w:hAnsiTheme="majorHAnsi" w:cstheme="majorHAnsi"/>
          <w:sz w:val="16"/>
          <w:szCs w:val="16"/>
          <w:lang w:val="ro-MD"/>
        </w:rPr>
        <w:t xml:space="preserve"> Pct.53 din Regulamentul cu privire la proiectele de investiții capitale publice.</w:t>
      </w:r>
    </w:p>
  </w:footnote>
  <w:footnote w:id="58">
    <w:p w:rsidR="00642DC1" w:rsidRDefault="00642DC1" w:rsidP="00AC6703">
      <w:pPr>
        <w:pStyle w:val="aa"/>
        <w:jc w:val="both"/>
      </w:pPr>
      <w:r w:rsidRPr="00917C6D">
        <w:rPr>
          <w:rStyle w:val="ac"/>
          <w:rFonts w:asciiTheme="majorHAnsi" w:hAnsiTheme="majorHAnsi" w:cstheme="majorHAnsi"/>
          <w:sz w:val="16"/>
          <w:szCs w:val="16"/>
          <w:lang w:val="ro-MD"/>
        </w:rPr>
        <w:footnoteRef/>
      </w:r>
      <w:r w:rsidRPr="00917C6D">
        <w:rPr>
          <w:rFonts w:asciiTheme="majorHAnsi" w:hAnsiTheme="majorHAnsi" w:cstheme="majorHAnsi"/>
          <w:sz w:val="16"/>
          <w:szCs w:val="16"/>
          <w:lang w:val="ro-MD"/>
        </w:rPr>
        <w:t xml:space="preserve"> Pct.2 </w:t>
      </w:r>
      <w:r>
        <w:rPr>
          <w:rFonts w:asciiTheme="majorHAnsi" w:hAnsiTheme="majorHAnsi" w:cstheme="majorHAnsi"/>
          <w:sz w:val="16"/>
          <w:szCs w:val="16"/>
          <w:lang w:val="ro-MD"/>
        </w:rPr>
        <w:t>din</w:t>
      </w:r>
      <w:r w:rsidRPr="00917C6D">
        <w:rPr>
          <w:rFonts w:asciiTheme="majorHAnsi" w:hAnsiTheme="majorHAnsi" w:cstheme="majorHAnsi"/>
          <w:sz w:val="16"/>
          <w:szCs w:val="16"/>
          <w:lang w:val="ro-MD"/>
        </w:rPr>
        <w:t xml:space="preserve"> Regulamentul cu privire la proiectele de investiții capitale publice</w:t>
      </w:r>
      <w:r>
        <w:rPr>
          <w:rFonts w:asciiTheme="majorHAnsi" w:hAnsiTheme="majorHAnsi" w:cstheme="majorHAnsi"/>
          <w:sz w:val="16"/>
          <w:szCs w:val="16"/>
          <w:lang w:val="ro-MD"/>
        </w:rPr>
        <w:t>.</w:t>
      </w:r>
    </w:p>
  </w:footnote>
  <w:footnote w:id="59">
    <w:p w:rsidR="00642DC1" w:rsidRPr="00A90CF4" w:rsidRDefault="00642DC1" w:rsidP="00AC6703">
      <w:pPr>
        <w:pStyle w:val="aa"/>
        <w:jc w:val="both"/>
        <w:rPr>
          <w:rFonts w:asciiTheme="majorHAnsi" w:hAnsiTheme="majorHAnsi" w:cstheme="majorHAnsi"/>
          <w:sz w:val="16"/>
          <w:lang w:val="ro-RO"/>
        </w:rPr>
      </w:pPr>
      <w:r w:rsidRPr="00A90CF4">
        <w:rPr>
          <w:rStyle w:val="ac"/>
          <w:rFonts w:asciiTheme="majorHAnsi" w:hAnsiTheme="majorHAnsi" w:cstheme="majorHAnsi"/>
          <w:sz w:val="16"/>
        </w:rPr>
        <w:footnoteRef/>
      </w:r>
      <w:r w:rsidRPr="00A90CF4">
        <w:rPr>
          <w:rFonts w:asciiTheme="majorHAnsi" w:hAnsiTheme="majorHAnsi" w:cstheme="majorHAnsi"/>
          <w:sz w:val="16"/>
        </w:rPr>
        <w:t xml:space="preserve"> </w:t>
      </w:r>
      <w:r w:rsidRPr="00A90CF4">
        <w:rPr>
          <w:rFonts w:asciiTheme="majorHAnsi" w:hAnsiTheme="majorHAnsi" w:cstheme="majorHAnsi"/>
          <w:sz w:val="16"/>
          <w:lang w:val="ro-RO"/>
        </w:rPr>
        <w:t>Reconstrucția bazinului Clubului Sportiv Central „Dinamo”, str. Gheorghe Asachi nr.23, municipiul Chișinău.</w:t>
      </w:r>
    </w:p>
  </w:footnote>
  <w:footnote w:id="60">
    <w:p w:rsidR="00642DC1" w:rsidRPr="00873D40" w:rsidRDefault="00642DC1" w:rsidP="008470C7">
      <w:pPr>
        <w:pStyle w:val="aa"/>
        <w:jc w:val="both"/>
        <w:rPr>
          <w:rFonts w:asciiTheme="majorHAnsi" w:hAnsiTheme="majorHAnsi" w:cstheme="majorHAnsi"/>
          <w:lang w:val="ro-MD"/>
        </w:rPr>
      </w:pPr>
      <w:r w:rsidRPr="00873D40">
        <w:rPr>
          <w:rStyle w:val="ac"/>
          <w:rFonts w:asciiTheme="majorHAnsi" w:hAnsiTheme="majorHAnsi" w:cstheme="majorHAnsi"/>
          <w:sz w:val="16"/>
          <w:lang w:val="ro-MD"/>
        </w:rPr>
        <w:footnoteRef/>
      </w:r>
      <w:r w:rsidRPr="00873D40">
        <w:rPr>
          <w:rFonts w:asciiTheme="majorHAnsi" w:hAnsiTheme="majorHAnsi" w:cstheme="majorHAnsi"/>
          <w:sz w:val="16"/>
          <w:lang w:val="ro-MD"/>
        </w:rPr>
        <w:t xml:space="preserve"> Hotărârea </w:t>
      </w:r>
      <w:r>
        <w:rPr>
          <w:rFonts w:asciiTheme="majorHAnsi" w:hAnsiTheme="majorHAnsi" w:cstheme="majorHAnsi"/>
          <w:sz w:val="16"/>
          <w:lang w:val="ro-MD"/>
        </w:rPr>
        <w:t xml:space="preserve">Curții de Conturi </w:t>
      </w:r>
      <w:r w:rsidRPr="00873D40">
        <w:rPr>
          <w:rFonts w:asciiTheme="majorHAnsi" w:hAnsiTheme="majorHAnsi" w:cstheme="majorHAnsi"/>
          <w:sz w:val="16"/>
          <w:lang w:val="ro-MD"/>
        </w:rPr>
        <w:t>nr.16 din 29</w:t>
      </w:r>
      <w:r>
        <w:rPr>
          <w:rFonts w:asciiTheme="majorHAnsi" w:hAnsiTheme="majorHAnsi" w:cstheme="majorHAnsi"/>
          <w:sz w:val="16"/>
          <w:lang w:val="ro-MD"/>
        </w:rPr>
        <w:t>.04.</w:t>
      </w:r>
      <w:r w:rsidRPr="00873D40">
        <w:rPr>
          <w:rFonts w:asciiTheme="majorHAnsi" w:hAnsiTheme="majorHAnsi" w:cstheme="majorHAnsi"/>
          <w:sz w:val="16"/>
          <w:lang w:val="ro-MD"/>
        </w:rPr>
        <w:t xml:space="preserve">2021 </w:t>
      </w:r>
      <w:r>
        <w:rPr>
          <w:rFonts w:asciiTheme="majorHAnsi" w:hAnsiTheme="majorHAnsi" w:cstheme="majorHAnsi"/>
          <w:sz w:val="16"/>
          <w:lang w:val="ro-MD"/>
        </w:rPr>
        <w:t>„C</w:t>
      </w:r>
      <w:r w:rsidRPr="00873D40">
        <w:rPr>
          <w:rFonts w:asciiTheme="majorHAnsi" w:hAnsiTheme="majorHAnsi" w:cstheme="majorHAnsi"/>
          <w:sz w:val="16"/>
          <w:lang w:val="ro-MD"/>
        </w:rPr>
        <w:t>u privire la Raportul auditului asupra rapoartelor financiare consolidate ale Ministerului Economiei și Infrastructurii încheiate la 31 decembrie 20</w:t>
      </w:r>
      <w:r>
        <w:rPr>
          <w:rFonts w:asciiTheme="majorHAnsi" w:hAnsiTheme="majorHAnsi" w:cstheme="majorHAnsi"/>
          <w:sz w:val="16"/>
          <w:lang w:val="ro-MD"/>
        </w:rPr>
        <w:t>20”.</w:t>
      </w:r>
    </w:p>
  </w:footnote>
  <w:footnote w:id="61">
    <w:p w:rsidR="00642DC1" w:rsidRPr="008E59A8" w:rsidRDefault="00642DC1" w:rsidP="00AC6703">
      <w:pPr>
        <w:pStyle w:val="aa"/>
        <w:jc w:val="both"/>
        <w:rPr>
          <w:rFonts w:asciiTheme="majorHAnsi" w:hAnsiTheme="majorHAnsi" w:cstheme="majorHAnsi"/>
          <w:sz w:val="18"/>
          <w:szCs w:val="18"/>
          <w:lang w:val="ro-MD"/>
        </w:rPr>
      </w:pPr>
      <w:r w:rsidRPr="003979A9">
        <w:rPr>
          <w:rStyle w:val="ac"/>
          <w:rFonts w:asciiTheme="majorHAnsi" w:hAnsiTheme="majorHAnsi" w:cstheme="majorHAnsi"/>
          <w:sz w:val="16"/>
          <w:szCs w:val="16"/>
          <w:lang w:val="ro-MD"/>
        </w:rPr>
        <w:footnoteRef/>
      </w:r>
      <w:r w:rsidRPr="003979A9">
        <w:rPr>
          <w:rFonts w:asciiTheme="majorHAnsi" w:hAnsiTheme="majorHAnsi" w:cstheme="majorHAnsi"/>
          <w:sz w:val="16"/>
          <w:szCs w:val="16"/>
          <w:lang w:val="ro-MD"/>
        </w:rPr>
        <w:t xml:space="preserve"> HG nr.256 din 29.04.2020 „Cu privire la aprobarea Programului activităților de reintegrare a țării pentru anul 2020”.</w:t>
      </w:r>
    </w:p>
  </w:footnote>
  <w:footnote w:id="62">
    <w:p w:rsidR="00642DC1" w:rsidRPr="00ED2F62" w:rsidRDefault="00642DC1" w:rsidP="00AC6703">
      <w:pPr>
        <w:pStyle w:val="aa"/>
        <w:jc w:val="both"/>
        <w:rPr>
          <w:rFonts w:asciiTheme="majorHAnsi" w:hAnsiTheme="majorHAnsi" w:cstheme="majorHAnsi"/>
          <w:sz w:val="16"/>
          <w:szCs w:val="16"/>
        </w:rPr>
      </w:pPr>
      <w:r w:rsidRPr="00ED2F62">
        <w:rPr>
          <w:rStyle w:val="ac"/>
          <w:rFonts w:asciiTheme="majorHAnsi" w:hAnsiTheme="majorHAnsi" w:cstheme="majorHAnsi"/>
          <w:sz w:val="16"/>
          <w:szCs w:val="16"/>
        </w:rPr>
        <w:footnoteRef/>
      </w:r>
      <w:r w:rsidRPr="00ED2F62">
        <w:rPr>
          <w:rFonts w:asciiTheme="majorHAnsi" w:hAnsiTheme="majorHAnsi" w:cstheme="majorHAnsi"/>
          <w:sz w:val="16"/>
          <w:szCs w:val="16"/>
        </w:rPr>
        <w:t xml:space="preserve"> </w:t>
      </w:r>
      <w:r w:rsidRPr="00ED2F62">
        <w:rPr>
          <w:rFonts w:asciiTheme="majorHAnsi" w:eastAsia="Times New Roman" w:hAnsiTheme="majorHAnsi" w:cstheme="majorHAnsi"/>
          <w:sz w:val="16"/>
          <w:szCs w:val="16"/>
          <w:lang w:val="ro-MD"/>
        </w:rPr>
        <w:t xml:space="preserve">HG nr.131 din 21.02.2014 </w:t>
      </w:r>
      <w:r>
        <w:rPr>
          <w:rFonts w:asciiTheme="majorHAnsi" w:eastAsia="Times New Roman" w:hAnsiTheme="majorHAnsi" w:cstheme="majorHAnsi"/>
          <w:sz w:val="16"/>
          <w:szCs w:val="16"/>
          <w:lang w:val="ro-MD"/>
        </w:rPr>
        <w:t>„P</w:t>
      </w:r>
      <w:r w:rsidRPr="00ED2F62">
        <w:rPr>
          <w:rFonts w:asciiTheme="majorHAnsi" w:eastAsia="Times New Roman" w:hAnsiTheme="majorHAnsi" w:cstheme="majorHAnsi"/>
          <w:sz w:val="16"/>
          <w:szCs w:val="16"/>
          <w:lang w:val="ro-MD"/>
        </w:rPr>
        <w:t>entru aprobarea Regulamentului cu privire la modul de selectare şi evidență a proiectelor în cadrul Programului activităților de reintegrare a țării</w:t>
      </w:r>
      <w:r>
        <w:rPr>
          <w:rFonts w:asciiTheme="majorHAnsi" w:eastAsia="Times New Roman" w:hAnsiTheme="majorHAnsi" w:cstheme="majorHAnsi"/>
          <w:sz w:val="16"/>
          <w:szCs w:val="16"/>
          <w:lang w:val="ro-MD"/>
        </w:rPr>
        <w:t>”.</w:t>
      </w:r>
    </w:p>
  </w:footnote>
  <w:footnote w:id="63">
    <w:p w:rsidR="00642DC1" w:rsidRPr="0052157C" w:rsidRDefault="00642DC1" w:rsidP="003F528F">
      <w:pPr>
        <w:pStyle w:val="aa"/>
        <w:jc w:val="both"/>
        <w:rPr>
          <w:rFonts w:asciiTheme="majorHAnsi" w:hAnsiTheme="majorHAnsi" w:cstheme="majorHAnsi"/>
          <w:sz w:val="18"/>
          <w:szCs w:val="18"/>
          <w:lang w:val="ro-RO"/>
        </w:rPr>
      </w:pPr>
      <w:r w:rsidRPr="00420583">
        <w:rPr>
          <w:rStyle w:val="ac"/>
          <w:rFonts w:asciiTheme="majorHAnsi" w:hAnsiTheme="majorHAnsi" w:cstheme="majorHAnsi"/>
          <w:sz w:val="16"/>
          <w:szCs w:val="16"/>
        </w:rPr>
        <w:footnoteRef/>
      </w:r>
      <w:r>
        <w:rPr>
          <w:rFonts w:asciiTheme="majorHAnsi" w:hAnsiTheme="majorHAnsi" w:cstheme="majorHAnsi"/>
          <w:sz w:val="16"/>
          <w:szCs w:val="16"/>
        </w:rPr>
        <w:t xml:space="preserve"> Art.3 lit. b</w:t>
      </w:r>
      <w:r w:rsidRPr="00420583">
        <w:rPr>
          <w:rFonts w:asciiTheme="majorHAnsi" w:hAnsiTheme="majorHAnsi" w:cstheme="majorHAnsi"/>
          <w:sz w:val="16"/>
          <w:szCs w:val="16"/>
        </w:rPr>
        <w:t xml:space="preserve">) din </w:t>
      </w:r>
      <w:r w:rsidRPr="00420583">
        <w:rPr>
          <w:rFonts w:asciiTheme="majorHAnsi" w:hAnsiTheme="majorHAnsi" w:cstheme="majorHAnsi"/>
          <w:sz w:val="16"/>
          <w:szCs w:val="16"/>
          <w:lang w:val="ro-MD"/>
        </w:rPr>
        <w:t>Legea bu</w:t>
      </w:r>
      <w:r>
        <w:rPr>
          <w:rFonts w:asciiTheme="majorHAnsi" w:hAnsiTheme="majorHAnsi" w:cstheme="majorHAnsi"/>
          <w:sz w:val="16"/>
          <w:szCs w:val="16"/>
          <w:lang w:val="ro-MD"/>
        </w:rPr>
        <w:t>getului de stat pentru anul 2020</w:t>
      </w:r>
      <w:r w:rsidRPr="00420583">
        <w:rPr>
          <w:rFonts w:asciiTheme="majorHAnsi" w:hAnsiTheme="majorHAnsi" w:cstheme="majorHAnsi"/>
          <w:sz w:val="16"/>
          <w:szCs w:val="16"/>
          <w:lang w:val="ro-MD"/>
        </w:rPr>
        <w:t>.</w:t>
      </w:r>
    </w:p>
  </w:footnote>
  <w:footnote w:id="64">
    <w:p w:rsidR="00642DC1" w:rsidRPr="00F55BA6" w:rsidRDefault="00642DC1" w:rsidP="00BF22D6">
      <w:pPr>
        <w:pStyle w:val="aa"/>
        <w:jc w:val="both"/>
        <w:rPr>
          <w:rFonts w:asciiTheme="majorHAnsi" w:hAnsiTheme="majorHAnsi" w:cstheme="majorHAnsi"/>
          <w:sz w:val="16"/>
          <w:szCs w:val="16"/>
          <w:lang w:val="ro-RO"/>
        </w:rPr>
      </w:pPr>
      <w:r w:rsidRPr="00F55BA6">
        <w:rPr>
          <w:rStyle w:val="ac"/>
          <w:rFonts w:asciiTheme="majorHAnsi" w:hAnsiTheme="majorHAnsi" w:cstheme="majorHAnsi"/>
          <w:sz w:val="16"/>
          <w:szCs w:val="16"/>
          <w:lang w:val="ro-RO"/>
        </w:rPr>
        <w:footnoteRef/>
      </w:r>
      <w:r w:rsidRPr="00F55BA6">
        <w:rPr>
          <w:rFonts w:asciiTheme="majorHAnsi" w:hAnsiTheme="majorHAnsi" w:cstheme="majorHAnsi"/>
          <w:sz w:val="16"/>
          <w:szCs w:val="16"/>
          <w:lang w:val="ro-RO"/>
        </w:rPr>
        <w:t xml:space="preserve"> </w:t>
      </w:r>
      <w:r w:rsidRPr="00F55BA6">
        <w:rPr>
          <w:rFonts w:asciiTheme="majorHAnsi" w:hAnsiTheme="majorHAnsi" w:cstheme="majorHAnsi"/>
          <w:bCs/>
          <w:sz w:val="16"/>
          <w:szCs w:val="16"/>
          <w:lang w:val="ro-RO"/>
        </w:rPr>
        <w:t xml:space="preserve">HG nr.846 din 30.11.2020 </w:t>
      </w:r>
      <w:r>
        <w:rPr>
          <w:rFonts w:asciiTheme="majorHAnsi" w:hAnsiTheme="majorHAnsi" w:cstheme="majorHAnsi"/>
          <w:bCs/>
          <w:sz w:val="16"/>
          <w:szCs w:val="16"/>
          <w:lang w:val="ro-RO"/>
        </w:rPr>
        <w:t>„</w:t>
      </w:r>
      <w:r>
        <w:rPr>
          <w:rFonts w:asciiTheme="majorHAnsi" w:hAnsiTheme="majorHAnsi" w:cstheme="majorHAnsi"/>
          <w:sz w:val="16"/>
          <w:szCs w:val="16"/>
          <w:lang w:val="ro-RO"/>
        </w:rPr>
        <w:t>C</w:t>
      </w:r>
      <w:r w:rsidRPr="00F55BA6">
        <w:rPr>
          <w:rFonts w:asciiTheme="majorHAnsi" w:hAnsiTheme="majorHAnsi" w:cstheme="majorHAnsi"/>
          <w:sz w:val="16"/>
          <w:szCs w:val="16"/>
          <w:lang w:val="ro-RO"/>
        </w:rPr>
        <w:t>u privire la aprobarea Regulamentului privind stabilirea modului de acordare a ajutorului financiar din partea Guvernului Federației Ruse, destinat pentru compensarea parțială a prejudiciului cauzat de seceta din anul 2020 la cultura porumbului și pregătirea solului pentru recolta anului 2021”</w:t>
      </w:r>
      <w:r>
        <w:rPr>
          <w:rFonts w:asciiTheme="majorHAnsi" w:hAnsiTheme="majorHAnsi" w:cstheme="majorHAnsi"/>
          <w:sz w:val="16"/>
          <w:szCs w:val="16"/>
          <w:lang w:val="ro-RO"/>
        </w:rPr>
        <w:t>.</w:t>
      </w:r>
    </w:p>
  </w:footnote>
  <w:footnote w:id="65">
    <w:p w:rsidR="00642DC1" w:rsidRPr="00F55BA6" w:rsidRDefault="00642DC1" w:rsidP="007173AB">
      <w:pPr>
        <w:pStyle w:val="aa"/>
        <w:jc w:val="both"/>
        <w:rPr>
          <w:rFonts w:asciiTheme="majorHAnsi" w:hAnsiTheme="majorHAnsi" w:cstheme="majorHAnsi"/>
          <w:sz w:val="16"/>
          <w:szCs w:val="16"/>
          <w:lang w:val="ro-RO"/>
        </w:rPr>
      </w:pPr>
      <w:r w:rsidRPr="00F55BA6">
        <w:rPr>
          <w:rStyle w:val="ac"/>
          <w:rFonts w:asciiTheme="majorHAnsi" w:hAnsiTheme="majorHAnsi" w:cstheme="majorHAnsi"/>
          <w:sz w:val="16"/>
          <w:szCs w:val="16"/>
          <w:lang w:val="ro-RO"/>
        </w:rPr>
        <w:footnoteRef/>
      </w:r>
      <w:r w:rsidRPr="00F55BA6">
        <w:rPr>
          <w:rFonts w:asciiTheme="majorHAnsi" w:hAnsiTheme="majorHAnsi" w:cstheme="majorHAnsi"/>
          <w:sz w:val="16"/>
          <w:szCs w:val="16"/>
          <w:lang w:val="ro-RO"/>
        </w:rPr>
        <w:t xml:space="preserve"> Curtea Constituțională, CS, MAI, MAEIE, MADRM, MSMPS, Agenția </w:t>
      </w:r>
      <w:r>
        <w:rPr>
          <w:rFonts w:asciiTheme="majorHAnsi" w:hAnsiTheme="majorHAnsi" w:cstheme="majorHAnsi"/>
          <w:sz w:val="16"/>
          <w:szCs w:val="16"/>
          <w:lang w:val="ro-RO"/>
        </w:rPr>
        <w:t>M</w:t>
      </w:r>
      <w:r w:rsidRPr="00F55BA6">
        <w:rPr>
          <w:rFonts w:asciiTheme="majorHAnsi" w:hAnsiTheme="majorHAnsi" w:cstheme="majorHAnsi"/>
          <w:sz w:val="16"/>
          <w:szCs w:val="16"/>
          <w:lang w:val="ro-RO"/>
        </w:rPr>
        <w:t xml:space="preserve">edicamentului și </w:t>
      </w:r>
      <w:r>
        <w:rPr>
          <w:rFonts w:asciiTheme="majorHAnsi" w:hAnsiTheme="majorHAnsi" w:cstheme="majorHAnsi"/>
          <w:sz w:val="16"/>
          <w:szCs w:val="16"/>
          <w:lang w:val="ro-RO"/>
        </w:rPr>
        <w:t>D</w:t>
      </w:r>
      <w:r w:rsidRPr="00F55BA6">
        <w:rPr>
          <w:rFonts w:asciiTheme="majorHAnsi" w:hAnsiTheme="majorHAnsi" w:cstheme="majorHAnsi"/>
          <w:sz w:val="16"/>
          <w:szCs w:val="16"/>
          <w:lang w:val="ro-RO"/>
        </w:rPr>
        <w:t xml:space="preserve">ispozitivelor </w:t>
      </w:r>
      <w:r>
        <w:rPr>
          <w:rFonts w:asciiTheme="majorHAnsi" w:hAnsiTheme="majorHAnsi" w:cstheme="majorHAnsi"/>
          <w:sz w:val="16"/>
          <w:szCs w:val="16"/>
          <w:lang w:val="ro-RO"/>
        </w:rPr>
        <w:t>M</w:t>
      </w:r>
      <w:r w:rsidRPr="00F55BA6">
        <w:rPr>
          <w:rFonts w:asciiTheme="majorHAnsi" w:hAnsiTheme="majorHAnsi" w:cstheme="majorHAnsi"/>
          <w:sz w:val="16"/>
          <w:szCs w:val="16"/>
          <w:lang w:val="ro-RO"/>
        </w:rPr>
        <w:t>edicale, APP, CEC, SIS.</w:t>
      </w:r>
    </w:p>
  </w:footnote>
  <w:footnote w:id="66">
    <w:p w:rsidR="00642DC1" w:rsidRPr="00F55BA6" w:rsidRDefault="00642DC1" w:rsidP="0072282C">
      <w:pPr>
        <w:pStyle w:val="aa"/>
        <w:jc w:val="both"/>
        <w:rPr>
          <w:rFonts w:asciiTheme="majorHAnsi" w:hAnsiTheme="majorHAnsi" w:cstheme="majorHAnsi"/>
          <w:sz w:val="16"/>
          <w:szCs w:val="16"/>
          <w:lang w:val="ro-RO"/>
        </w:rPr>
      </w:pPr>
      <w:r w:rsidRPr="00F55BA6">
        <w:rPr>
          <w:rStyle w:val="ac"/>
          <w:rFonts w:asciiTheme="majorHAnsi" w:hAnsiTheme="majorHAnsi" w:cstheme="majorHAnsi"/>
          <w:sz w:val="16"/>
          <w:szCs w:val="16"/>
          <w:lang w:val="ro-RO"/>
        </w:rPr>
        <w:footnoteRef/>
      </w:r>
      <w:r w:rsidRPr="00F55BA6">
        <w:rPr>
          <w:rFonts w:asciiTheme="majorHAnsi" w:hAnsiTheme="majorHAnsi" w:cstheme="majorHAnsi"/>
          <w:sz w:val="16"/>
          <w:szCs w:val="16"/>
          <w:lang w:val="ro-RO"/>
        </w:rPr>
        <w:t xml:space="preserve"> MJ, MAI, MA, MEI, MADRM, MSMPS, ANSA, Consiliul </w:t>
      </w:r>
      <w:r>
        <w:rPr>
          <w:rFonts w:asciiTheme="majorHAnsi" w:hAnsiTheme="majorHAnsi" w:cstheme="majorHAnsi"/>
          <w:sz w:val="16"/>
          <w:szCs w:val="16"/>
          <w:lang w:val="ro-RO"/>
        </w:rPr>
        <w:t>S</w:t>
      </w:r>
      <w:r w:rsidRPr="00F55BA6">
        <w:rPr>
          <w:rFonts w:asciiTheme="majorHAnsi" w:hAnsiTheme="majorHAnsi" w:cstheme="majorHAnsi"/>
          <w:sz w:val="16"/>
          <w:szCs w:val="16"/>
          <w:lang w:val="ro-RO"/>
        </w:rPr>
        <w:t xml:space="preserve">uperior al </w:t>
      </w:r>
      <w:r>
        <w:rPr>
          <w:rFonts w:asciiTheme="majorHAnsi" w:hAnsiTheme="majorHAnsi" w:cstheme="majorHAnsi"/>
          <w:sz w:val="16"/>
          <w:szCs w:val="16"/>
          <w:lang w:val="ro-RO"/>
        </w:rPr>
        <w:t>M</w:t>
      </w:r>
      <w:r w:rsidRPr="00F55BA6">
        <w:rPr>
          <w:rFonts w:asciiTheme="majorHAnsi" w:hAnsiTheme="majorHAnsi" w:cstheme="majorHAnsi"/>
          <w:sz w:val="16"/>
          <w:szCs w:val="16"/>
          <w:lang w:val="ro-RO"/>
        </w:rPr>
        <w:t xml:space="preserve">agistraturii, Consiliul </w:t>
      </w:r>
      <w:r>
        <w:rPr>
          <w:rFonts w:asciiTheme="majorHAnsi" w:hAnsiTheme="majorHAnsi" w:cstheme="majorHAnsi"/>
          <w:sz w:val="16"/>
          <w:szCs w:val="16"/>
          <w:lang w:val="ro-RO"/>
        </w:rPr>
        <w:t>S</w:t>
      </w:r>
      <w:r w:rsidRPr="00F55BA6">
        <w:rPr>
          <w:rFonts w:asciiTheme="majorHAnsi" w:hAnsiTheme="majorHAnsi" w:cstheme="majorHAnsi"/>
          <w:sz w:val="16"/>
          <w:szCs w:val="16"/>
          <w:lang w:val="ro-RO"/>
        </w:rPr>
        <w:t xml:space="preserve">uperior al </w:t>
      </w:r>
      <w:r>
        <w:rPr>
          <w:rFonts w:asciiTheme="majorHAnsi" w:hAnsiTheme="majorHAnsi" w:cstheme="majorHAnsi"/>
          <w:sz w:val="16"/>
          <w:szCs w:val="16"/>
          <w:lang w:val="ro-RO"/>
        </w:rPr>
        <w:t>P</w:t>
      </w:r>
      <w:r w:rsidRPr="00F55BA6">
        <w:rPr>
          <w:rFonts w:asciiTheme="majorHAnsi" w:hAnsiTheme="majorHAnsi" w:cstheme="majorHAnsi"/>
          <w:sz w:val="16"/>
          <w:szCs w:val="16"/>
          <w:lang w:val="ro-RO"/>
        </w:rPr>
        <w:t xml:space="preserve">rocurorilor, Procuratura </w:t>
      </w:r>
      <w:r>
        <w:rPr>
          <w:rFonts w:asciiTheme="majorHAnsi" w:hAnsiTheme="majorHAnsi" w:cstheme="majorHAnsi"/>
          <w:sz w:val="16"/>
          <w:szCs w:val="16"/>
          <w:lang w:val="ro-RO"/>
        </w:rPr>
        <w:t>G</w:t>
      </w:r>
      <w:r w:rsidRPr="00F55BA6">
        <w:rPr>
          <w:rFonts w:asciiTheme="majorHAnsi" w:hAnsiTheme="majorHAnsi" w:cstheme="majorHAnsi"/>
          <w:sz w:val="16"/>
          <w:szCs w:val="16"/>
          <w:lang w:val="ro-RO"/>
        </w:rPr>
        <w:t xml:space="preserve">enerală, Centrul Național pentru </w:t>
      </w:r>
      <w:r>
        <w:rPr>
          <w:rFonts w:asciiTheme="majorHAnsi" w:hAnsiTheme="majorHAnsi" w:cstheme="majorHAnsi"/>
          <w:sz w:val="16"/>
          <w:szCs w:val="16"/>
          <w:lang w:val="ro-RO"/>
        </w:rPr>
        <w:t>P</w:t>
      </w:r>
      <w:r w:rsidRPr="00F55BA6">
        <w:rPr>
          <w:rFonts w:asciiTheme="majorHAnsi" w:hAnsiTheme="majorHAnsi" w:cstheme="majorHAnsi"/>
          <w:sz w:val="16"/>
          <w:szCs w:val="16"/>
          <w:lang w:val="ro-RO"/>
        </w:rPr>
        <w:t xml:space="preserve">rotecția </w:t>
      </w:r>
      <w:r>
        <w:rPr>
          <w:rFonts w:asciiTheme="majorHAnsi" w:hAnsiTheme="majorHAnsi" w:cstheme="majorHAnsi"/>
          <w:sz w:val="16"/>
          <w:szCs w:val="16"/>
          <w:lang w:val="ro-RO"/>
        </w:rPr>
        <w:t>D</w:t>
      </w:r>
      <w:r w:rsidRPr="00F55BA6">
        <w:rPr>
          <w:rFonts w:asciiTheme="majorHAnsi" w:hAnsiTheme="majorHAnsi" w:cstheme="majorHAnsi"/>
          <w:sz w:val="16"/>
          <w:szCs w:val="16"/>
          <w:lang w:val="ro-RO"/>
        </w:rPr>
        <w:t xml:space="preserve">atelor cu </w:t>
      </w:r>
      <w:r>
        <w:rPr>
          <w:rFonts w:asciiTheme="majorHAnsi" w:hAnsiTheme="majorHAnsi" w:cstheme="majorHAnsi"/>
          <w:sz w:val="16"/>
          <w:szCs w:val="16"/>
          <w:lang w:val="ro-RO"/>
        </w:rPr>
        <w:t>C</w:t>
      </w:r>
      <w:r w:rsidRPr="00F55BA6">
        <w:rPr>
          <w:rFonts w:asciiTheme="majorHAnsi" w:hAnsiTheme="majorHAnsi" w:cstheme="majorHAnsi"/>
          <w:sz w:val="16"/>
          <w:szCs w:val="16"/>
          <w:lang w:val="ro-RO"/>
        </w:rPr>
        <w:t xml:space="preserve">aracter </w:t>
      </w:r>
      <w:r>
        <w:rPr>
          <w:rFonts w:asciiTheme="majorHAnsi" w:hAnsiTheme="majorHAnsi" w:cstheme="majorHAnsi"/>
          <w:sz w:val="16"/>
          <w:szCs w:val="16"/>
          <w:lang w:val="ro-RO"/>
        </w:rPr>
        <w:t>P</w:t>
      </w:r>
      <w:r w:rsidRPr="00F55BA6">
        <w:rPr>
          <w:rFonts w:asciiTheme="majorHAnsi" w:hAnsiTheme="majorHAnsi" w:cstheme="majorHAnsi"/>
          <w:sz w:val="16"/>
          <w:szCs w:val="16"/>
          <w:lang w:val="ro-RO"/>
        </w:rPr>
        <w:t xml:space="preserve">ersonal, Serviciul </w:t>
      </w:r>
      <w:r>
        <w:rPr>
          <w:rFonts w:asciiTheme="majorHAnsi" w:hAnsiTheme="majorHAnsi" w:cstheme="majorHAnsi"/>
          <w:sz w:val="16"/>
          <w:szCs w:val="16"/>
          <w:lang w:val="ro-RO"/>
        </w:rPr>
        <w:t>P</w:t>
      </w:r>
      <w:r w:rsidRPr="00F55BA6">
        <w:rPr>
          <w:rFonts w:asciiTheme="majorHAnsi" w:hAnsiTheme="majorHAnsi" w:cstheme="majorHAnsi"/>
          <w:sz w:val="16"/>
          <w:szCs w:val="16"/>
          <w:lang w:val="ro-RO"/>
        </w:rPr>
        <w:t xml:space="preserve">rotecție și </w:t>
      </w:r>
      <w:r>
        <w:rPr>
          <w:rFonts w:asciiTheme="majorHAnsi" w:hAnsiTheme="majorHAnsi" w:cstheme="majorHAnsi"/>
          <w:sz w:val="16"/>
          <w:szCs w:val="16"/>
          <w:lang w:val="ro-RO"/>
        </w:rPr>
        <w:t>P</w:t>
      </w:r>
      <w:r w:rsidRPr="00F55BA6">
        <w:rPr>
          <w:rFonts w:asciiTheme="majorHAnsi" w:hAnsiTheme="majorHAnsi" w:cstheme="majorHAnsi"/>
          <w:sz w:val="16"/>
          <w:szCs w:val="16"/>
          <w:lang w:val="ro-RO"/>
        </w:rPr>
        <w:t xml:space="preserve">ază de </w:t>
      </w:r>
      <w:r>
        <w:rPr>
          <w:rFonts w:asciiTheme="majorHAnsi" w:hAnsiTheme="majorHAnsi" w:cstheme="majorHAnsi"/>
          <w:sz w:val="16"/>
          <w:szCs w:val="16"/>
          <w:lang w:val="ro-RO"/>
        </w:rPr>
        <w:t>S</w:t>
      </w:r>
      <w:r w:rsidRPr="00F55BA6">
        <w:rPr>
          <w:rFonts w:asciiTheme="majorHAnsi" w:hAnsiTheme="majorHAnsi" w:cstheme="majorHAnsi"/>
          <w:sz w:val="16"/>
          <w:szCs w:val="16"/>
          <w:lang w:val="ro-RO"/>
        </w:rPr>
        <w:t>tat, CNA.</w:t>
      </w:r>
    </w:p>
  </w:footnote>
  <w:footnote w:id="67">
    <w:p w:rsidR="00642DC1" w:rsidRPr="00873D40" w:rsidRDefault="00642DC1" w:rsidP="00B51730">
      <w:pPr>
        <w:pStyle w:val="aa"/>
        <w:jc w:val="both"/>
        <w:rPr>
          <w:rFonts w:asciiTheme="majorHAnsi" w:hAnsiTheme="majorHAnsi" w:cstheme="majorHAnsi"/>
        </w:rPr>
      </w:pPr>
      <w:r w:rsidRPr="00873D40">
        <w:rPr>
          <w:rStyle w:val="ac"/>
          <w:rFonts w:asciiTheme="majorHAnsi" w:hAnsiTheme="majorHAnsi" w:cstheme="majorHAnsi"/>
          <w:sz w:val="16"/>
          <w:lang w:val="ro-MD"/>
        </w:rPr>
        <w:footnoteRef/>
      </w:r>
      <w:r w:rsidRPr="00873D40">
        <w:rPr>
          <w:rFonts w:asciiTheme="majorHAnsi" w:hAnsiTheme="majorHAnsi" w:cstheme="majorHAnsi"/>
          <w:sz w:val="16"/>
          <w:lang w:val="ro-MD"/>
        </w:rPr>
        <w:t xml:space="preserve"> </w:t>
      </w:r>
      <w:r>
        <w:rPr>
          <w:rFonts w:asciiTheme="majorHAnsi" w:hAnsiTheme="majorHAnsi" w:cstheme="majorHAnsi"/>
          <w:sz w:val="16"/>
          <w:lang w:val="ro-MD"/>
        </w:rPr>
        <w:t>Hotărârea Curții de Conturi nr.</w:t>
      </w:r>
      <w:r w:rsidRPr="00873D40">
        <w:rPr>
          <w:rFonts w:asciiTheme="majorHAnsi" w:hAnsiTheme="majorHAnsi" w:cstheme="majorHAnsi"/>
          <w:sz w:val="16"/>
          <w:lang w:val="ro-MD"/>
        </w:rPr>
        <w:t xml:space="preserve">21 din </w:t>
      </w:r>
      <w:r>
        <w:rPr>
          <w:rFonts w:asciiTheme="majorHAnsi" w:hAnsiTheme="majorHAnsi" w:cstheme="majorHAnsi"/>
          <w:sz w:val="16"/>
          <w:lang w:val="ro-MD"/>
        </w:rPr>
        <w:t>0</w:t>
      </w:r>
      <w:r w:rsidRPr="00873D40">
        <w:rPr>
          <w:rFonts w:asciiTheme="majorHAnsi" w:hAnsiTheme="majorHAnsi" w:cstheme="majorHAnsi"/>
          <w:sz w:val="16"/>
          <w:lang w:val="ro-MD"/>
        </w:rPr>
        <w:t>3</w:t>
      </w:r>
      <w:r>
        <w:rPr>
          <w:rFonts w:asciiTheme="majorHAnsi" w:hAnsiTheme="majorHAnsi" w:cstheme="majorHAnsi"/>
          <w:sz w:val="16"/>
          <w:lang w:val="ro-MD"/>
        </w:rPr>
        <w:t>.06.</w:t>
      </w:r>
      <w:r w:rsidRPr="00873D40">
        <w:rPr>
          <w:rFonts w:asciiTheme="majorHAnsi" w:hAnsiTheme="majorHAnsi" w:cstheme="majorHAnsi"/>
          <w:sz w:val="16"/>
          <w:lang w:val="ro-MD"/>
        </w:rPr>
        <w:t xml:space="preserve">2021 </w:t>
      </w:r>
      <w:r>
        <w:rPr>
          <w:rFonts w:asciiTheme="majorHAnsi" w:hAnsiTheme="majorHAnsi" w:cstheme="majorHAnsi"/>
          <w:sz w:val="16"/>
          <w:lang w:val="ro-MD"/>
        </w:rPr>
        <w:t>„C</w:t>
      </w:r>
      <w:r w:rsidRPr="00873D40">
        <w:rPr>
          <w:rFonts w:asciiTheme="majorHAnsi" w:hAnsiTheme="majorHAnsi" w:cstheme="majorHAnsi"/>
          <w:sz w:val="16"/>
          <w:lang w:val="ro-MD"/>
        </w:rPr>
        <w:t>u privire la Raportul auditului asupra rapoartelor financiare consolidate ale Ministerului Afacerilor Externe și Integrării Europene încheiate la 31 decembrie 2020</w:t>
      </w:r>
      <w:r>
        <w:rPr>
          <w:rFonts w:asciiTheme="majorHAnsi" w:hAnsiTheme="majorHAnsi" w:cstheme="majorHAnsi"/>
          <w:sz w:val="16"/>
          <w:lang w:val="ro-MD"/>
        </w:rPr>
        <w:t>”.</w:t>
      </w:r>
    </w:p>
  </w:footnote>
  <w:footnote w:id="68">
    <w:p w:rsidR="00642DC1" w:rsidRPr="00AC5A89" w:rsidRDefault="00642DC1" w:rsidP="00F96A31">
      <w:pPr>
        <w:pStyle w:val="aa"/>
        <w:spacing w:line="276" w:lineRule="auto"/>
        <w:jc w:val="both"/>
        <w:rPr>
          <w:rFonts w:asciiTheme="majorHAnsi" w:hAnsiTheme="majorHAnsi" w:cstheme="majorHAnsi"/>
          <w:sz w:val="16"/>
          <w:szCs w:val="16"/>
          <w:lang w:val="ro-MD"/>
        </w:rPr>
      </w:pPr>
      <w:r w:rsidRPr="00AC5A89">
        <w:rPr>
          <w:rStyle w:val="ac"/>
          <w:rFonts w:asciiTheme="majorHAnsi" w:hAnsiTheme="majorHAnsi" w:cstheme="majorHAnsi"/>
          <w:sz w:val="16"/>
          <w:szCs w:val="16"/>
          <w:lang w:val="ro-MD"/>
        </w:rPr>
        <w:footnoteRef/>
      </w:r>
      <w:r w:rsidRPr="00AC5A89">
        <w:rPr>
          <w:rFonts w:asciiTheme="majorHAnsi" w:hAnsiTheme="majorHAnsi" w:cstheme="majorHAnsi"/>
          <w:sz w:val="16"/>
          <w:szCs w:val="16"/>
          <w:lang w:val="ro-MD"/>
        </w:rPr>
        <w:t xml:space="preserve"> Ambasada Republicii Moldova în Turcia (0,7 mil. lei), Ambasada Republicii Moldova în Republica Franceză (1,5 mil. lei), Ambasada Republicii Moldova în Statele Unite ale Americii (0,6 mil. lei), Ambasada Republicii Moldova în Regatul Spaniei (0,7 mil. lei).     </w:t>
      </w:r>
    </w:p>
  </w:footnote>
  <w:footnote w:id="69">
    <w:p w:rsidR="00642DC1" w:rsidRDefault="00642DC1" w:rsidP="00F96A31">
      <w:pPr>
        <w:pStyle w:val="aa"/>
        <w:spacing w:line="276" w:lineRule="auto"/>
        <w:jc w:val="both"/>
        <w:rPr>
          <w:rFonts w:asciiTheme="majorHAnsi" w:hAnsiTheme="majorHAnsi" w:cstheme="majorHAnsi"/>
          <w:sz w:val="16"/>
          <w:szCs w:val="16"/>
        </w:rPr>
      </w:pPr>
      <w:r w:rsidRPr="00AC5A89">
        <w:rPr>
          <w:rStyle w:val="ac"/>
          <w:rFonts w:asciiTheme="majorHAnsi" w:hAnsiTheme="majorHAnsi" w:cstheme="majorHAnsi"/>
          <w:sz w:val="16"/>
          <w:szCs w:val="16"/>
          <w:lang w:val="ro-MD"/>
        </w:rPr>
        <w:footnoteRef/>
      </w:r>
      <w:r w:rsidRPr="00AC5A89">
        <w:rPr>
          <w:rFonts w:asciiTheme="majorHAnsi" w:hAnsiTheme="majorHAnsi" w:cstheme="majorHAnsi"/>
          <w:sz w:val="16"/>
          <w:szCs w:val="16"/>
          <w:lang w:val="ro-MD"/>
        </w:rPr>
        <w:t xml:space="preserve"> Ambasada Republicii Moldova în Republica Franceză (1,5 mil. lei), Ambasada Republicii Moldova în Regatul Spaniei (0,7 mil. lei).     </w:t>
      </w:r>
    </w:p>
  </w:footnote>
  <w:footnote w:id="70">
    <w:p w:rsidR="00642DC1" w:rsidRPr="00AC10B9" w:rsidRDefault="00642DC1" w:rsidP="00C3538A">
      <w:pPr>
        <w:pStyle w:val="aa"/>
        <w:jc w:val="both"/>
        <w:rPr>
          <w:rFonts w:asciiTheme="majorHAnsi" w:hAnsiTheme="majorHAnsi" w:cstheme="majorHAnsi"/>
          <w:sz w:val="16"/>
          <w:szCs w:val="16"/>
          <w:lang w:val="ro-RO"/>
        </w:rPr>
      </w:pPr>
      <w:r w:rsidRPr="00D216E0">
        <w:rPr>
          <w:rStyle w:val="ac"/>
          <w:rFonts w:asciiTheme="majorHAnsi" w:hAnsiTheme="majorHAnsi" w:cstheme="majorHAnsi"/>
          <w:sz w:val="16"/>
          <w:szCs w:val="16"/>
          <w:lang w:val="ro-MD"/>
        </w:rPr>
        <w:footnoteRef/>
      </w:r>
      <w:r w:rsidRPr="00D216E0">
        <w:rPr>
          <w:rFonts w:asciiTheme="majorHAnsi" w:hAnsiTheme="majorHAnsi" w:cstheme="majorHAnsi"/>
          <w:sz w:val="16"/>
          <w:szCs w:val="16"/>
          <w:lang w:val="ro-MD"/>
        </w:rPr>
        <w:t xml:space="preserve"> Formularul nr.1 „Raportul privind executarea indicatorilor generali și surselor de finanțare ale bugetului de stat”, aprobat prin Ordinul MF nr.18 din 27.01.2020.</w:t>
      </w:r>
    </w:p>
  </w:footnote>
  <w:footnote w:id="71">
    <w:p w:rsidR="00642DC1" w:rsidRPr="001646B2" w:rsidRDefault="00642DC1" w:rsidP="00C3538A">
      <w:pPr>
        <w:pStyle w:val="aa"/>
        <w:jc w:val="both"/>
        <w:rPr>
          <w:rFonts w:asciiTheme="majorHAnsi" w:hAnsiTheme="majorHAnsi" w:cstheme="majorHAnsi"/>
          <w:sz w:val="16"/>
          <w:szCs w:val="16"/>
          <w:lang w:val="ro-RO"/>
        </w:rPr>
      </w:pPr>
      <w:r w:rsidRPr="009921A2">
        <w:rPr>
          <w:rStyle w:val="ac"/>
          <w:rFonts w:asciiTheme="majorHAnsi" w:hAnsiTheme="majorHAnsi" w:cstheme="majorHAnsi"/>
          <w:sz w:val="16"/>
          <w:szCs w:val="16"/>
        </w:rPr>
        <w:footnoteRef/>
      </w:r>
      <w:r w:rsidRPr="001646B2">
        <w:rPr>
          <w:rFonts w:asciiTheme="majorHAnsi" w:hAnsiTheme="majorHAnsi" w:cstheme="majorHAnsi"/>
          <w:sz w:val="16"/>
          <w:szCs w:val="16"/>
          <w:lang w:val="ro-RO"/>
        </w:rPr>
        <w:t xml:space="preserve"> </w:t>
      </w:r>
      <w:r>
        <w:rPr>
          <w:rFonts w:asciiTheme="majorHAnsi" w:hAnsiTheme="majorHAnsi" w:cstheme="majorHAnsi"/>
          <w:sz w:val="16"/>
          <w:szCs w:val="16"/>
          <w:lang w:val="ro-RO"/>
        </w:rPr>
        <w:t>Conform a</w:t>
      </w:r>
      <w:r w:rsidRPr="001646B2">
        <w:rPr>
          <w:rFonts w:asciiTheme="majorHAnsi" w:hAnsiTheme="majorHAnsi" w:cstheme="majorHAnsi"/>
          <w:sz w:val="16"/>
          <w:szCs w:val="16"/>
          <w:lang w:val="ro-RO"/>
        </w:rPr>
        <w:t>rt.30 din Legea nr.181 din 25.07.2014</w:t>
      </w:r>
      <w:r>
        <w:rPr>
          <w:rFonts w:asciiTheme="majorHAnsi" w:hAnsiTheme="majorHAnsi" w:cstheme="majorHAnsi"/>
          <w:sz w:val="16"/>
          <w:szCs w:val="16"/>
          <w:lang w:val="ro-RO"/>
        </w:rPr>
        <w:t xml:space="preserve">, </w:t>
      </w:r>
      <w:r w:rsidRPr="001646B2">
        <w:rPr>
          <w:rFonts w:asciiTheme="majorHAnsi" w:hAnsiTheme="majorHAnsi" w:cstheme="majorHAnsi"/>
          <w:sz w:val="16"/>
          <w:szCs w:val="16"/>
          <w:lang w:val="ro-RO"/>
        </w:rPr>
        <w:t xml:space="preserve">sursele de finanțare </w:t>
      </w:r>
      <w:r>
        <w:rPr>
          <w:rFonts w:asciiTheme="majorHAnsi" w:hAnsiTheme="majorHAnsi" w:cstheme="majorHAnsi"/>
          <w:sz w:val="16"/>
          <w:szCs w:val="16"/>
          <w:lang w:val="ro-RO"/>
        </w:rPr>
        <w:t>se formează din:</w:t>
      </w:r>
      <w:r w:rsidRPr="001646B2">
        <w:rPr>
          <w:rFonts w:asciiTheme="majorHAnsi" w:hAnsiTheme="majorHAnsi" w:cstheme="majorHAnsi"/>
          <w:sz w:val="16"/>
          <w:szCs w:val="16"/>
          <w:lang w:val="ro-RO"/>
        </w:rPr>
        <w:t xml:space="preserve"> operațiuni cu instrumente ale datoriei; operațiuni aferente vânzării și privatizării patrimoniului public; operațiuni cu soldurile în conturile bugetului; alte operațiuni cu activele finan</w:t>
      </w:r>
      <w:r>
        <w:rPr>
          <w:rFonts w:asciiTheme="majorHAnsi" w:hAnsiTheme="majorHAnsi" w:cstheme="majorHAnsi"/>
          <w:sz w:val="16"/>
          <w:szCs w:val="16"/>
          <w:lang w:val="ro-RO"/>
        </w:rPr>
        <w:t>ciare și cu datoriile bugetului</w:t>
      </w:r>
      <w:r w:rsidRPr="001646B2">
        <w:rPr>
          <w:rFonts w:asciiTheme="majorHAnsi" w:hAnsiTheme="majorHAnsi" w:cstheme="majorHAnsi"/>
          <w:sz w:val="16"/>
          <w:szCs w:val="16"/>
          <w:lang w:val="ro-RO"/>
        </w:rPr>
        <w:t>.</w:t>
      </w:r>
    </w:p>
  </w:footnote>
  <w:footnote w:id="72">
    <w:p w:rsidR="00642DC1" w:rsidRPr="00D5617D" w:rsidRDefault="00642DC1" w:rsidP="00C3538A">
      <w:pPr>
        <w:pStyle w:val="aa"/>
        <w:jc w:val="both"/>
        <w:rPr>
          <w:rFonts w:asciiTheme="majorHAnsi" w:hAnsiTheme="majorHAnsi" w:cstheme="majorHAnsi"/>
          <w:sz w:val="16"/>
          <w:szCs w:val="16"/>
          <w:lang w:val="ro-MD"/>
        </w:rPr>
      </w:pPr>
      <w:r w:rsidRPr="00D5617D">
        <w:rPr>
          <w:rStyle w:val="ac"/>
          <w:rFonts w:asciiTheme="majorHAnsi" w:hAnsiTheme="majorHAnsi" w:cstheme="majorHAnsi"/>
          <w:sz w:val="16"/>
          <w:szCs w:val="16"/>
          <w:lang w:val="ro-MD"/>
        </w:rPr>
        <w:footnoteRef/>
      </w:r>
      <w:r w:rsidRPr="00D5617D">
        <w:rPr>
          <w:rFonts w:asciiTheme="majorHAnsi" w:hAnsiTheme="majorHAnsi" w:cstheme="majorHAnsi"/>
          <w:sz w:val="16"/>
          <w:szCs w:val="16"/>
          <w:lang w:val="ro-MD"/>
        </w:rPr>
        <w:t xml:space="preserve"> Din contul împrumutului acordat de Banca Europeană de Investiții în cadrul Proiectului de achiziție a locomotivelor și de restructurare a infrastructurii feroviare.</w:t>
      </w:r>
    </w:p>
  </w:footnote>
  <w:footnote w:id="73">
    <w:p w:rsidR="00642DC1" w:rsidRPr="003F63EF" w:rsidRDefault="00642DC1" w:rsidP="00C3538A">
      <w:pPr>
        <w:pStyle w:val="aa"/>
        <w:jc w:val="both"/>
        <w:rPr>
          <w:rFonts w:asciiTheme="majorHAnsi" w:hAnsiTheme="majorHAnsi" w:cstheme="majorHAnsi"/>
          <w:sz w:val="16"/>
          <w:szCs w:val="16"/>
          <w:lang w:val="ro-MD"/>
        </w:rPr>
      </w:pPr>
      <w:r w:rsidRPr="003F63EF">
        <w:rPr>
          <w:rStyle w:val="ac"/>
          <w:rFonts w:asciiTheme="majorHAnsi" w:hAnsiTheme="majorHAnsi" w:cstheme="majorHAnsi"/>
          <w:sz w:val="16"/>
          <w:szCs w:val="16"/>
        </w:rPr>
        <w:footnoteRef/>
      </w:r>
      <w:r w:rsidRPr="003F63EF">
        <w:rPr>
          <w:rFonts w:asciiTheme="majorHAnsi" w:hAnsiTheme="majorHAnsi" w:cstheme="majorHAnsi"/>
          <w:sz w:val="16"/>
          <w:szCs w:val="16"/>
        </w:rPr>
        <w:t xml:space="preserve"> </w:t>
      </w:r>
      <w:r w:rsidRPr="003F63EF">
        <w:rPr>
          <w:rFonts w:asciiTheme="majorHAnsi" w:hAnsiTheme="majorHAnsi" w:cstheme="majorHAnsi"/>
          <w:sz w:val="16"/>
          <w:szCs w:val="16"/>
          <w:lang w:val="ro-MD"/>
        </w:rPr>
        <w:t>HG nr.402 din 17.06.2020 cu privire la alocarea mijloacelor financiare</w:t>
      </w:r>
      <w:r>
        <w:rPr>
          <w:rFonts w:asciiTheme="majorHAnsi" w:hAnsiTheme="majorHAnsi" w:cstheme="majorHAnsi"/>
          <w:sz w:val="16"/>
          <w:szCs w:val="16"/>
          <w:lang w:val="ro-MD"/>
        </w:rPr>
        <w:t>.</w:t>
      </w:r>
    </w:p>
  </w:footnote>
  <w:footnote w:id="74">
    <w:p w:rsidR="00642DC1" w:rsidRPr="00953A42" w:rsidRDefault="00642DC1" w:rsidP="00C3538A">
      <w:pPr>
        <w:pStyle w:val="aa"/>
        <w:jc w:val="both"/>
        <w:rPr>
          <w:rFonts w:asciiTheme="majorHAnsi" w:hAnsiTheme="majorHAnsi" w:cstheme="majorHAnsi"/>
          <w:sz w:val="16"/>
          <w:szCs w:val="16"/>
          <w:lang w:val="ro-MD"/>
        </w:rPr>
      </w:pPr>
      <w:r w:rsidRPr="00953A42">
        <w:rPr>
          <w:rStyle w:val="ac"/>
          <w:rFonts w:asciiTheme="majorHAnsi" w:hAnsiTheme="majorHAnsi" w:cstheme="majorHAnsi"/>
          <w:sz w:val="16"/>
          <w:szCs w:val="16"/>
        </w:rPr>
        <w:footnoteRef/>
      </w:r>
      <w:r w:rsidRPr="00953A42">
        <w:rPr>
          <w:rFonts w:asciiTheme="majorHAnsi" w:hAnsiTheme="majorHAnsi" w:cstheme="majorHAnsi"/>
          <w:sz w:val="16"/>
          <w:szCs w:val="16"/>
        </w:rPr>
        <w:t xml:space="preserve"> </w:t>
      </w:r>
      <w:r w:rsidRPr="00953A42">
        <w:rPr>
          <w:rFonts w:asciiTheme="majorHAnsi" w:hAnsiTheme="majorHAnsi" w:cstheme="majorHAnsi"/>
          <w:sz w:val="16"/>
          <w:szCs w:val="16"/>
          <w:lang w:val="ro-MD"/>
        </w:rPr>
        <w:t>Ordinul de plată nr.1 din 13.10.2020</w:t>
      </w:r>
      <w:r>
        <w:rPr>
          <w:rFonts w:asciiTheme="majorHAnsi" w:hAnsiTheme="majorHAnsi" w:cstheme="majorHAnsi"/>
          <w:sz w:val="16"/>
          <w:szCs w:val="16"/>
          <w:lang w:val="ro-MD"/>
        </w:rPr>
        <w:t>,</w:t>
      </w:r>
      <w:r w:rsidRPr="00953A42">
        <w:rPr>
          <w:rFonts w:asciiTheme="majorHAnsi" w:hAnsiTheme="majorHAnsi" w:cstheme="majorHAnsi"/>
          <w:sz w:val="16"/>
          <w:szCs w:val="16"/>
          <w:lang w:val="ro-MD"/>
        </w:rPr>
        <w:t xml:space="preserve"> în sumă de 267 134 036,6 lei.</w:t>
      </w:r>
    </w:p>
  </w:footnote>
  <w:footnote w:id="75">
    <w:p w:rsidR="00642DC1" w:rsidRPr="00F55BA6" w:rsidRDefault="00642DC1" w:rsidP="00C3538A">
      <w:pPr>
        <w:pStyle w:val="aa"/>
        <w:jc w:val="both"/>
        <w:rPr>
          <w:rFonts w:asciiTheme="majorHAnsi" w:hAnsiTheme="majorHAnsi" w:cstheme="majorHAnsi"/>
          <w:sz w:val="16"/>
          <w:szCs w:val="16"/>
          <w:lang w:val="ro-RO"/>
        </w:rPr>
      </w:pPr>
      <w:r w:rsidRPr="00F55BA6">
        <w:rPr>
          <w:rStyle w:val="ac"/>
          <w:rFonts w:asciiTheme="majorHAnsi" w:hAnsiTheme="majorHAnsi" w:cstheme="majorHAnsi"/>
          <w:sz w:val="16"/>
          <w:szCs w:val="16"/>
          <w:lang w:val="ro-RO"/>
        </w:rPr>
        <w:footnoteRef/>
      </w:r>
      <w:r w:rsidRPr="00F55BA6">
        <w:rPr>
          <w:rFonts w:asciiTheme="majorHAnsi" w:hAnsiTheme="majorHAnsi" w:cstheme="majorHAnsi"/>
          <w:sz w:val="16"/>
          <w:szCs w:val="16"/>
          <w:lang w:val="ro-RO"/>
        </w:rPr>
        <w:t xml:space="preserve"> Ordinul nr.38 din 18.02.2021 </w:t>
      </w:r>
      <w:r>
        <w:rPr>
          <w:rFonts w:asciiTheme="majorHAnsi" w:hAnsiTheme="majorHAnsi" w:cstheme="majorHAnsi"/>
          <w:sz w:val="16"/>
          <w:szCs w:val="16"/>
          <w:lang w:val="ro-RO"/>
        </w:rPr>
        <w:t>„C</w:t>
      </w:r>
      <w:r w:rsidRPr="00F55BA6">
        <w:rPr>
          <w:rFonts w:asciiTheme="majorHAnsi" w:hAnsiTheme="majorHAnsi" w:cstheme="majorHAnsi"/>
          <w:sz w:val="16"/>
          <w:szCs w:val="16"/>
          <w:lang w:val="ro-RO"/>
        </w:rPr>
        <w:t xml:space="preserve">u privire la operarea modificărilor în statul ÎS </w:t>
      </w:r>
      <w:r>
        <w:rPr>
          <w:rFonts w:asciiTheme="majorHAnsi" w:hAnsiTheme="majorHAnsi" w:cstheme="majorHAnsi"/>
          <w:sz w:val="16"/>
          <w:szCs w:val="16"/>
          <w:lang w:val="ro-RO"/>
        </w:rPr>
        <w:t>„</w:t>
      </w:r>
      <w:r w:rsidRPr="00F55BA6">
        <w:rPr>
          <w:rFonts w:asciiTheme="majorHAnsi" w:hAnsiTheme="majorHAnsi" w:cstheme="majorHAnsi"/>
          <w:sz w:val="16"/>
          <w:szCs w:val="16"/>
          <w:lang w:val="ro-RO"/>
        </w:rPr>
        <w:t xml:space="preserve">Calea </w:t>
      </w:r>
      <w:r>
        <w:rPr>
          <w:rFonts w:asciiTheme="majorHAnsi" w:hAnsiTheme="majorHAnsi" w:cstheme="majorHAnsi"/>
          <w:sz w:val="16"/>
          <w:szCs w:val="16"/>
          <w:lang w:val="ro-RO"/>
        </w:rPr>
        <w:t>F</w:t>
      </w:r>
      <w:r w:rsidRPr="00F55BA6">
        <w:rPr>
          <w:rFonts w:asciiTheme="majorHAnsi" w:hAnsiTheme="majorHAnsi" w:cstheme="majorHAnsi"/>
          <w:sz w:val="16"/>
          <w:szCs w:val="16"/>
          <w:lang w:val="ro-RO"/>
        </w:rPr>
        <w:t>erată din Moldova”</w:t>
      </w:r>
      <w:r>
        <w:rPr>
          <w:rFonts w:asciiTheme="majorHAnsi" w:hAnsiTheme="majorHAnsi" w:cstheme="majorHAnsi"/>
          <w:sz w:val="16"/>
          <w:szCs w:val="16"/>
          <w:lang w:val="ro-RO"/>
        </w:rPr>
        <w:t>.</w:t>
      </w:r>
    </w:p>
  </w:footnote>
  <w:footnote w:id="76">
    <w:p w:rsidR="00642DC1" w:rsidRPr="00F55BA6" w:rsidRDefault="00642DC1" w:rsidP="00C3538A">
      <w:pPr>
        <w:pStyle w:val="aa"/>
        <w:jc w:val="both"/>
        <w:rPr>
          <w:rFonts w:asciiTheme="majorHAnsi" w:hAnsiTheme="majorHAnsi" w:cstheme="majorHAnsi"/>
          <w:sz w:val="16"/>
          <w:szCs w:val="16"/>
          <w:lang w:val="ro-RO"/>
        </w:rPr>
      </w:pPr>
      <w:r w:rsidRPr="00F55BA6">
        <w:rPr>
          <w:rStyle w:val="ac"/>
          <w:rFonts w:asciiTheme="majorHAnsi" w:hAnsiTheme="majorHAnsi" w:cstheme="majorHAnsi"/>
          <w:sz w:val="16"/>
          <w:szCs w:val="16"/>
          <w:lang w:val="ro-RO"/>
        </w:rPr>
        <w:footnoteRef/>
      </w:r>
      <w:r w:rsidRPr="00F55BA6">
        <w:rPr>
          <w:rFonts w:asciiTheme="majorHAnsi" w:hAnsiTheme="majorHAnsi" w:cstheme="majorHAnsi"/>
          <w:sz w:val="16"/>
          <w:szCs w:val="16"/>
          <w:lang w:val="ro-RO"/>
        </w:rPr>
        <w:t xml:space="preserve"> HG nr.467 din 03.07.2020 </w:t>
      </w:r>
      <w:r>
        <w:rPr>
          <w:rFonts w:asciiTheme="majorHAnsi" w:hAnsiTheme="majorHAnsi" w:cstheme="majorHAnsi"/>
          <w:sz w:val="16"/>
          <w:szCs w:val="16"/>
          <w:lang w:val="ro-RO"/>
        </w:rPr>
        <w:t>„C</w:t>
      </w:r>
      <w:r w:rsidRPr="00F55BA6">
        <w:rPr>
          <w:rFonts w:asciiTheme="majorHAnsi" w:hAnsiTheme="majorHAnsi" w:cstheme="majorHAnsi"/>
          <w:sz w:val="16"/>
          <w:szCs w:val="16"/>
          <w:lang w:val="ro-RO"/>
        </w:rPr>
        <w:t>u privire la alocarea mijloacelor financiare Societății cu Răspundere Limitată „Arena Națională”</w:t>
      </w:r>
      <w:r>
        <w:rPr>
          <w:rFonts w:asciiTheme="majorHAnsi" w:hAnsiTheme="majorHAnsi" w:cstheme="majorHAnsi"/>
          <w:sz w:val="16"/>
          <w:szCs w:val="16"/>
          <w:lang w:val="ro-RO"/>
        </w:rPr>
        <w:t>”.</w:t>
      </w:r>
    </w:p>
  </w:footnote>
  <w:footnote w:id="77">
    <w:p w:rsidR="00642DC1" w:rsidRPr="00F55BA6" w:rsidRDefault="00642DC1" w:rsidP="00C3538A">
      <w:pPr>
        <w:pStyle w:val="aa"/>
        <w:jc w:val="both"/>
        <w:rPr>
          <w:rFonts w:asciiTheme="majorHAnsi" w:hAnsiTheme="majorHAnsi" w:cstheme="majorHAnsi"/>
          <w:sz w:val="16"/>
          <w:szCs w:val="16"/>
          <w:lang w:val="ro-RO"/>
        </w:rPr>
      </w:pPr>
      <w:r w:rsidRPr="00F55BA6">
        <w:rPr>
          <w:rStyle w:val="ac"/>
          <w:rFonts w:asciiTheme="majorHAnsi" w:hAnsiTheme="majorHAnsi" w:cstheme="majorHAnsi"/>
          <w:sz w:val="16"/>
          <w:szCs w:val="16"/>
          <w:lang w:val="ro-RO"/>
        </w:rPr>
        <w:footnoteRef/>
      </w:r>
      <w:r w:rsidRPr="00F55BA6">
        <w:rPr>
          <w:rFonts w:asciiTheme="majorHAnsi" w:hAnsiTheme="majorHAnsi" w:cstheme="majorHAnsi"/>
          <w:sz w:val="16"/>
          <w:szCs w:val="16"/>
          <w:lang w:val="ro-RO"/>
        </w:rPr>
        <w:t xml:space="preserve"> Ordinul de plată nr.101010 din 21.07.2020 în sumă de 71 306 200,0 lei.</w:t>
      </w:r>
    </w:p>
  </w:footnote>
  <w:footnote w:id="78">
    <w:p w:rsidR="00642DC1" w:rsidRPr="00F55BA6" w:rsidRDefault="00642DC1" w:rsidP="00C3538A">
      <w:pPr>
        <w:pStyle w:val="aa"/>
        <w:jc w:val="both"/>
        <w:rPr>
          <w:rFonts w:asciiTheme="majorHAnsi" w:hAnsiTheme="majorHAnsi" w:cstheme="majorHAnsi"/>
          <w:sz w:val="16"/>
          <w:szCs w:val="16"/>
          <w:lang w:val="ro-RO"/>
        </w:rPr>
      </w:pPr>
      <w:r w:rsidRPr="00F55BA6">
        <w:rPr>
          <w:rStyle w:val="ac"/>
          <w:rFonts w:asciiTheme="majorHAnsi" w:hAnsiTheme="majorHAnsi" w:cstheme="majorHAnsi"/>
          <w:sz w:val="16"/>
          <w:szCs w:val="16"/>
          <w:lang w:val="ro-RO"/>
        </w:rPr>
        <w:footnoteRef/>
      </w:r>
      <w:r w:rsidRPr="00F55BA6">
        <w:rPr>
          <w:rFonts w:asciiTheme="majorHAnsi" w:hAnsiTheme="majorHAnsi" w:cstheme="majorHAnsi"/>
          <w:sz w:val="16"/>
          <w:szCs w:val="16"/>
          <w:lang w:val="ro-RO"/>
        </w:rPr>
        <w:t xml:space="preserve"> Decizia nr.81/14 din 17.07.2020 a asociatului unic al </w:t>
      </w:r>
      <w:r>
        <w:rPr>
          <w:rFonts w:asciiTheme="majorHAnsi" w:hAnsiTheme="majorHAnsi" w:cstheme="majorHAnsi"/>
          <w:sz w:val="16"/>
          <w:szCs w:val="16"/>
          <w:lang w:val="ro-RO"/>
        </w:rPr>
        <w:t>„</w:t>
      </w:r>
      <w:r w:rsidRPr="00F55BA6">
        <w:rPr>
          <w:rFonts w:asciiTheme="majorHAnsi" w:hAnsiTheme="majorHAnsi" w:cstheme="majorHAnsi"/>
          <w:sz w:val="16"/>
          <w:szCs w:val="16"/>
          <w:lang w:val="ro-RO"/>
        </w:rPr>
        <w:t>Arena Națională” SRL</w:t>
      </w:r>
      <w:r>
        <w:rPr>
          <w:rFonts w:asciiTheme="majorHAnsi" w:hAnsiTheme="majorHAnsi" w:cstheme="majorHAnsi"/>
          <w:sz w:val="16"/>
          <w:szCs w:val="16"/>
          <w:lang w:val="ro-RO"/>
        </w:rPr>
        <w:t>.</w:t>
      </w:r>
      <w:r w:rsidRPr="00F55BA6">
        <w:rPr>
          <w:rFonts w:asciiTheme="majorHAnsi" w:hAnsiTheme="majorHAnsi" w:cstheme="majorHAnsi"/>
          <w:sz w:val="16"/>
          <w:szCs w:val="16"/>
          <w:lang w:val="ro-RO"/>
        </w:rPr>
        <w:t xml:space="preserve"> </w:t>
      </w:r>
    </w:p>
  </w:footnote>
  <w:footnote w:id="79">
    <w:p w:rsidR="00642DC1" w:rsidRPr="00F55BA6" w:rsidRDefault="00642DC1" w:rsidP="00C3538A">
      <w:pPr>
        <w:pStyle w:val="aa"/>
        <w:jc w:val="both"/>
        <w:rPr>
          <w:rFonts w:asciiTheme="majorHAnsi" w:hAnsiTheme="majorHAnsi" w:cstheme="majorHAnsi"/>
          <w:sz w:val="16"/>
          <w:szCs w:val="16"/>
          <w:lang w:val="ro-RO"/>
        </w:rPr>
      </w:pPr>
      <w:r w:rsidRPr="00F55BA6">
        <w:rPr>
          <w:rStyle w:val="ac"/>
          <w:rFonts w:asciiTheme="majorHAnsi" w:hAnsiTheme="majorHAnsi" w:cstheme="majorHAnsi"/>
          <w:sz w:val="16"/>
          <w:szCs w:val="16"/>
          <w:lang w:val="ro-RO"/>
        </w:rPr>
        <w:footnoteRef/>
      </w:r>
      <w:r w:rsidRPr="00F55BA6">
        <w:rPr>
          <w:rFonts w:asciiTheme="majorHAnsi" w:hAnsiTheme="majorHAnsi" w:cstheme="majorHAnsi"/>
          <w:sz w:val="16"/>
          <w:szCs w:val="16"/>
          <w:lang w:val="ro-RO"/>
        </w:rPr>
        <w:t xml:space="preserve"> Decizia privind înregistrarea modificărilor din 23.09.2020, Act adițional din 23.09.2020 </w:t>
      </w:r>
      <w:r>
        <w:rPr>
          <w:rFonts w:asciiTheme="majorHAnsi" w:hAnsiTheme="majorHAnsi" w:cstheme="majorHAnsi"/>
          <w:sz w:val="16"/>
          <w:szCs w:val="16"/>
          <w:lang w:val="ro-RO"/>
        </w:rPr>
        <w:t>„C</w:t>
      </w:r>
      <w:r w:rsidRPr="00F55BA6">
        <w:rPr>
          <w:rFonts w:asciiTheme="majorHAnsi" w:hAnsiTheme="majorHAnsi" w:cstheme="majorHAnsi"/>
          <w:sz w:val="16"/>
          <w:szCs w:val="16"/>
          <w:lang w:val="ro-RO"/>
        </w:rPr>
        <w:t xml:space="preserve">u privire la modificările și completările înscrise în Registrul de stat al persoanelor juridice și operate în Statutul SRL </w:t>
      </w:r>
      <w:r>
        <w:rPr>
          <w:rFonts w:asciiTheme="majorHAnsi" w:hAnsiTheme="majorHAnsi" w:cstheme="majorHAnsi"/>
          <w:sz w:val="16"/>
          <w:szCs w:val="16"/>
          <w:lang w:val="ro-RO"/>
        </w:rPr>
        <w:t>„</w:t>
      </w:r>
      <w:r w:rsidRPr="00F55BA6">
        <w:rPr>
          <w:rFonts w:asciiTheme="majorHAnsi" w:hAnsiTheme="majorHAnsi" w:cstheme="majorHAnsi"/>
          <w:sz w:val="16"/>
          <w:szCs w:val="16"/>
          <w:lang w:val="ro-RO"/>
        </w:rPr>
        <w:t>Arena Națională” nr.1018600026006 din 30.05.2018”</w:t>
      </w:r>
      <w:r>
        <w:rPr>
          <w:rFonts w:asciiTheme="majorHAnsi" w:hAnsiTheme="majorHAnsi" w:cstheme="majorHAnsi"/>
          <w:sz w:val="16"/>
          <w:szCs w:val="16"/>
          <w:lang w:val="ro-RO"/>
        </w:rPr>
        <w:t>.</w:t>
      </w:r>
    </w:p>
  </w:footnote>
  <w:footnote w:id="80">
    <w:p w:rsidR="00642DC1" w:rsidRPr="00396A24" w:rsidRDefault="00642DC1" w:rsidP="00C3538A">
      <w:pPr>
        <w:pStyle w:val="aa"/>
        <w:jc w:val="both"/>
        <w:rPr>
          <w:rFonts w:asciiTheme="majorHAnsi" w:hAnsiTheme="majorHAnsi" w:cstheme="majorHAnsi"/>
          <w:sz w:val="16"/>
          <w:szCs w:val="16"/>
          <w:lang w:val="ro-MD"/>
        </w:rPr>
      </w:pPr>
      <w:r w:rsidRPr="00396A24">
        <w:rPr>
          <w:rStyle w:val="ac"/>
          <w:rFonts w:asciiTheme="majorHAnsi" w:hAnsiTheme="majorHAnsi" w:cstheme="majorHAnsi"/>
          <w:sz w:val="16"/>
          <w:szCs w:val="16"/>
          <w:lang w:val="ro-MD"/>
        </w:rPr>
        <w:footnoteRef/>
      </w:r>
      <w:r w:rsidRPr="00396A24">
        <w:rPr>
          <w:rFonts w:asciiTheme="majorHAnsi" w:hAnsiTheme="majorHAnsi" w:cstheme="majorHAnsi"/>
          <w:sz w:val="16"/>
          <w:szCs w:val="16"/>
          <w:lang w:val="ro-MD"/>
        </w:rPr>
        <w:t xml:space="preserve"> HG nr.222 din 03.04.2019 </w:t>
      </w:r>
      <w:r>
        <w:rPr>
          <w:rFonts w:asciiTheme="majorHAnsi" w:hAnsiTheme="majorHAnsi" w:cstheme="majorHAnsi"/>
          <w:sz w:val="16"/>
          <w:szCs w:val="16"/>
          <w:lang w:val="ro-MD"/>
        </w:rPr>
        <w:t>„C</w:t>
      </w:r>
      <w:r w:rsidRPr="00396A24">
        <w:rPr>
          <w:rFonts w:asciiTheme="majorHAnsi" w:hAnsiTheme="majorHAnsi" w:cstheme="majorHAnsi"/>
          <w:sz w:val="16"/>
          <w:szCs w:val="16"/>
          <w:lang w:val="ro-MD"/>
        </w:rPr>
        <w:t>u privire la trecerea unor bunuri imobile din domeniul public al statului în domeniul privat al statului, schimbul de bunuri și modificarea unor anexe ale hotărârilor de Guvern”</w:t>
      </w:r>
      <w:r>
        <w:rPr>
          <w:rFonts w:asciiTheme="majorHAnsi" w:hAnsiTheme="majorHAnsi" w:cstheme="majorHAnsi"/>
          <w:sz w:val="16"/>
          <w:szCs w:val="16"/>
          <w:lang w:val="ro-MD"/>
        </w:rPr>
        <w:t>.</w:t>
      </w:r>
    </w:p>
  </w:footnote>
  <w:footnote w:id="81">
    <w:p w:rsidR="00642DC1" w:rsidRPr="00396A24" w:rsidRDefault="00642DC1" w:rsidP="00C3538A">
      <w:pPr>
        <w:pStyle w:val="aa"/>
        <w:rPr>
          <w:lang w:val="ro-MD"/>
        </w:rPr>
      </w:pPr>
      <w:r w:rsidRPr="00396A24">
        <w:rPr>
          <w:rStyle w:val="ac"/>
          <w:rFonts w:asciiTheme="majorHAnsi" w:hAnsiTheme="majorHAnsi" w:cstheme="majorHAnsi"/>
          <w:sz w:val="16"/>
          <w:szCs w:val="16"/>
        </w:rPr>
        <w:footnoteRef/>
      </w:r>
      <w:r w:rsidRPr="00396A24">
        <w:rPr>
          <w:rFonts w:asciiTheme="majorHAnsi" w:hAnsiTheme="majorHAnsi" w:cstheme="majorHAnsi"/>
          <w:sz w:val="16"/>
          <w:szCs w:val="16"/>
        </w:rPr>
        <w:t xml:space="preserve"> </w:t>
      </w:r>
      <w:r w:rsidRPr="00396A24">
        <w:rPr>
          <w:rFonts w:asciiTheme="majorHAnsi" w:hAnsiTheme="majorHAnsi" w:cstheme="majorHAnsi"/>
          <w:sz w:val="16"/>
          <w:szCs w:val="16"/>
          <w:lang w:val="ro-MD"/>
        </w:rPr>
        <w:t>Numerele cadastrale: 0100423.282, 0100108.971 și 0100103.404</w:t>
      </w:r>
      <w:r>
        <w:rPr>
          <w:rFonts w:asciiTheme="majorHAnsi" w:hAnsiTheme="majorHAnsi" w:cstheme="majorHAnsi"/>
          <w:sz w:val="16"/>
          <w:szCs w:val="16"/>
          <w:lang w:val="ro-MD"/>
        </w:rPr>
        <w:t>.</w:t>
      </w:r>
    </w:p>
  </w:footnote>
  <w:footnote w:id="82">
    <w:p w:rsidR="00642DC1" w:rsidRPr="008220B8" w:rsidRDefault="00642DC1" w:rsidP="00C3538A">
      <w:pPr>
        <w:pStyle w:val="aa"/>
        <w:jc w:val="both"/>
        <w:rPr>
          <w:rFonts w:asciiTheme="majorHAnsi" w:hAnsiTheme="majorHAnsi" w:cstheme="majorHAnsi"/>
          <w:sz w:val="16"/>
          <w:szCs w:val="16"/>
          <w:lang w:val="ro-MD"/>
        </w:rPr>
      </w:pPr>
      <w:r w:rsidRPr="008220B8">
        <w:rPr>
          <w:rStyle w:val="ac"/>
          <w:rFonts w:asciiTheme="majorHAnsi" w:hAnsiTheme="majorHAnsi" w:cstheme="majorHAnsi"/>
          <w:sz w:val="16"/>
          <w:szCs w:val="16"/>
        </w:rPr>
        <w:footnoteRef/>
      </w:r>
      <w:r w:rsidRPr="008220B8">
        <w:rPr>
          <w:rFonts w:asciiTheme="majorHAnsi" w:hAnsiTheme="majorHAnsi" w:cstheme="majorHAnsi"/>
          <w:sz w:val="16"/>
          <w:szCs w:val="16"/>
        </w:rPr>
        <w:t xml:space="preserve"> </w:t>
      </w:r>
      <w:r>
        <w:rPr>
          <w:rFonts w:asciiTheme="majorHAnsi" w:hAnsiTheme="majorHAnsi" w:cstheme="majorHAnsi"/>
          <w:sz w:val="16"/>
          <w:szCs w:val="16"/>
        </w:rPr>
        <w:t>P</w:t>
      </w:r>
      <w:r w:rsidRPr="008220B8">
        <w:rPr>
          <w:rFonts w:asciiTheme="majorHAnsi" w:hAnsiTheme="majorHAnsi" w:cstheme="majorHAnsi"/>
          <w:sz w:val="16"/>
          <w:szCs w:val="16"/>
          <w:lang w:val="ro-MD"/>
        </w:rPr>
        <w:t xml:space="preserve">otrivit Convenției de la Viena cu privire la relațiile consulare din 24.04.63, localurile consulare și reședința șefului postului consular de carieră, asupra cărora statul trimițător sau orice persoană acționând în numele acestui stat este proprietar sau locatar, sunt scutite de orice impozite şi taxe de orice fel, naționale, regionale sau comunale, cu excepția taxelor percepute ca remunerare pentru servicii special prestate. </w:t>
      </w:r>
    </w:p>
  </w:footnote>
  <w:footnote w:id="83">
    <w:p w:rsidR="00642DC1" w:rsidRPr="00237657" w:rsidRDefault="00642DC1" w:rsidP="00C3538A">
      <w:pPr>
        <w:pStyle w:val="aa"/>
        <w:jc w:val="both"/>
        <w:rPr>
          <w:rFonts w:asciiTheme="majorHAnsi" w:hAnsiTheme="majorHAnsi" w:cstheme="majorHAnsi"/>
          <w:sz w:val="16"/>
          <w:szCs w:val="16"/>
          <w:lang w:val="ro-MD"/>
        </w:rPr>
      </w:pPr>
      <w:r w:rsidRPr="00237657">
        <w:rPr>
          <w:rStyle w:val="ac"/>
          <w:rFonts w:asciiTheme="majorHAnsi" w:hAnsiTheme="majorHAnsi" w:cstheme="majorHAnsi"/>
          <w:sz w:val="16"/>
          <w:szCs w:val="16"/>
          <w:lang w:val="ro-MD"/>
        </w:rPr>
        <w:footnoteRef/>
      </w:r>
      <w:r w:rsidRPr="00237657">
        <w:rPr>
          <w:rFonts w:asciiTheme="majorHAnsi" w:hAnsiTheme="majorHAnsi" w:cstheme="majorHAnsi"/>
          <w:sz w:val="16"/>
          <w:szCs w:val="16"/>
          <w:lang w:val="ro-MD"/>
        </w:rPr>
        <w:t xml:space="preserve"> </w:t>
      </w:r>
      <w:r>
        <w:rPr>
          <w:rFonts w:asciiTheme="majorHAnsi" w:hAnsiTheme="majorHAnsi" w:cstheme="majorHAnsi"/>
          <w:sz w:val="16"/>
          <w:szCs w:val="16"/>
          <w:lang w:val="ro-MD"/>
        </w:rPr>
        <w:t>„</w:t>
      </w:r>
      <w:r w:rsidRPr="00237657">
        <w:rPr>
          <w:rFonts w:asciiTheme="majorHAnsi" w:hAnsiTheme="majorHAnsi" w:cstheme="majorHAnsi"/>
          <w:sz w:val="16"/>
          <w:szCs w:val="16"/>
          <w:lang w:val="ro-MD"/>
        </w:rPr>
        <w:t xml:space="preserve">Primirea împrumuturilor externe pentru proiecte finanțate din surse externe de la organizațiile financiare internaționale” (70096) – 160,4 mil. </w:t>
      </w:r>
      <w:r>
        <w:rPr>
          <w:rFonts w:asciiTheme="majorHAnsi" w:hAnsiTheme="majorHAnsi" w:cstheme="majorHAnsi"/>
          <w:sz w:val="16"/>
          <w:szCs w:val="16"/>
          <w:lang w:val="ro-MD"/>
        </w:rPr>
        <w:t>l</w:t>
      </w:r>
      <w:r w:rsidRPr="00237657">
        <w:rPr>
          <w:rFonts w:asciiTheme="majorHAnsi" w:hAnsiTheme="majorHAnsi" w:cstheme="majorHAnsi"/>
          <w:sz w:val="16"/>
          <w:szCs w:val="16"/>
          <w:lang w:val="ro-MD"/>
        </w:rPr>
        <w:t xml:space="preserve">ei, Proiectul </w:t>
      </w:r>
      <w:r>
        <w:rPr>
          <w:rFonts w:asciiTheme="majorHAnsi" w:hAnsiTheme="majorHAnsi" w:cstheme="majorHAnsi"/>
          <w:sz w:val="16"/>
          <w:szCs w:val="16"/>
          <w:lang w:val="ro-MD"/>
        </w:rPr>
        <w:t>„</w:t>
      </w:r>
      <w:r w:rsidRPr="00237657">
        <w:rPr>
          <w:rFonts w:asciiTheme="majorHAnsi" w:hAnsiTheme="majorHAnsi" w:cstheme="majorHAnsi"/>
          <w:sz w:val="16"/>
          <w:szCs w:val="16"/>
          <w:lang w:val="ro-MD"/>
        </w:rPr>
        <w:t xml:space="preserve">Interconectarea sistemelor electroenergetice ale Republicii Moldova </w:t>
      </w:r>
      <w:r>
        <w:rPr>
          <w:rFonts w:asciiTheme="majorHAnsi" w:hAnsiTheme="majorHAnsi" w:cstheme="majorHAnsi"/>
          <w:sz w:val="16"/>
          <w:szCs w:val="16"/>
          <w:lang w:val="ro-MD"/>
        </w:rPr>
        <w:t>ș</w:t>
      </w:r>
      <w:r w:rsidRPr="00237657">
        <w:rPr>
          <w:rFonts w:asciiTheme="majorHAnsi" w:hAnsiTheme="majorHAnsi" w:cstheme="majorHAnsi"/>
          <w:sz w:val="16"/>
          <w:szCs w:val="16"/>
          <w:lang w:val="ro-MD"/>
        </w:rPr>
        <w:t xml:space="preserve">i a României prin stația Back-to-Back si LEA 400 kV </w:t>
      </w:r>
      <w:r>
        <w:rPr>
          <w:rFonts w:asciiTheme="majorHAnsi" w:hAnsiTheme="majorHAnsi" w:cstheme="majorHAnsi"/>
          <w:sz w:val="16"/>
          <w:szCs w:val="16"/>
          <w:lang w:val="ro-MD"/>
        </w:rPr>
        <w:t>„</w:t>
      </w:r>
      <w:r w:rsidRPr="00237657">
        <w:rPr>
          <w:rFonts w:asciiTheme="majorHAnsi" w:hAnsiTheme="majorHAnsi" w:cstheme="majorHAnsi"/>
          <w:sz w:val="16"/>
          <w:szCs w:val="16"/>
          <w:lang w:val="ro-MD"/>
        </w:rPr>
        <w:t>Vulc</w:t>
      </w:r>
      <w:r>
        <w:rPr>
          <w:rFonts w:asciiTheme="majorHAnsi" w:hAnsiTheme="majorHAnsi" w:cstheme="majorHAnsi"/>
          <w:sz w:val="16"/>
          <w:szCs w:val="16"/>
          <w:lang w:val="ro-MD"/>
        </w:rPr>
        <w:t>ă</w:t>
      </w:r>
      <w:r w:rsidRPr="00237657">
        <w:rPr>
          <w:rFonts w:asciiTheme="majorHAnsi" w:hAnsiTheme="majorHAnsi" w:cstheme="majorHAnsi"/>
          <w:sz w:val="16"/>
          <w:szCs w:val="16"/>
          <w:lang w:val="ro-MD"/>
        </w:rPr>
        <w:t>ne</w:t>
      </w:r>
      <w:r>
        <w:rPr>
          <w:rFonts w:asciiTheme="majorHAnsi" w:hAnsiTheme="majorHAnsi" w:cstheme="majorHAnsi"/>
          <w:sz w:val="16"/>
          <w:szCs w:val="16"/>
          <w:lang w:val="ro-MD"/>
        </w:rPr>
        <w:t>ș</w:t>
      </w:r>
      <w:r w:rsidRPr="00237657">
        <w:rPr>
          <w:rFonts w:asciiTheme="majorHAnsi" w:hAnsiTheme="majorHAnsi" w:cstheme="majorHAnsi"/>
          <w:sz w:val="16"/>
          <w:szCs w:val="16"/>
          <w:lang w:val="ro-MD"/>
        </w:rPr>
        <w:t>ti-Chi</w:t>
      </w:r>
      <w:r>
        <w:rPr>
          <w:rFonts w:asciiTheme="majorHAnsi" w:hAnsiTheme="majorHAnsi" w:cstheme="majorHAnsi"/>
          <w:sz w:val="16"/>
          <w:szCs w:val="16"/>
          <w:lang w:val="ro-MD"/>
        </w:rPr>
        <w:t>ș</w:t>
      </w:r>
      <w:r w:rsidRPr="00237657">
        <w:rPr>
          <w:rFonts w:asciiTheme="majorHAnsi" w:hAnsiTheme="majorHAnsi" w:cstheme="majorHAnsi"/>
          <w:sz w:val="16"/>
          <w:szCs w:val="16"/>
          <w:lang w:val="ro-MD"/>
        </w:rPr>
        <w:t>in</w:t>
      </w:r>
      <w:r>
        <w:rPr>
          <w:rFonts w:asciiTheme="majorHAnsi" w:hAnsiTheme="majorHAnsi" w:cstheme="majorHAnsi"/>
          <w:sz w:val="16"/>
          <w:szCs w:val="16"/>
          <w:lang w:val="ro-MD"/>
        </w:rPr>
        <w:t>ă</w:t>
      </w:r>
      <w:r w:rsidRPr="00237657">
        <w:rPr>
          <w:rFonts w:asciiTheme="majorHAnsi" w:hAnsiTheme="majorHAnsi" w:cstheme="majorHAnsi"/>
          <w:sz w:val="16"/>
          <w:szCs w:val="16"/>
          <w:lang w:val="ro-MD"/>
        </w:rPr>
        <w:t xml:space="preserve">u” (70200) – 9,4 mil. </w:t>
      </w:r>
      <w:r>
        <w:rPr>
          <w:rFonts w:asciiTheme="majorHAnsi" w:hAnsiTheme="majorHAnsi" w:cstheme="majorHAnsi"/>
          <w:sz w:val="16"/>
          <w:szCs w:val="16"/>
          <w:lang w:val="ro-MD"/>
        </w:rPr>
        <w:t>l</w:t>
      </w:r>
      <w:r w:rsidRPr="00237657">
        <w:rPr>
          <w:rFonts w:asciiTheme="majorHAnsi" w:hAnsiTheme="majorHAnsi" w:cstheme="majorHAnsi"/>
          <w:sz w:val="16"/>
          <w:szCs w:val="16"/>
          <w:lang w:val="ro-MD"/>
        </w:rPr>
        <w:t xml:space="preserve">ei, Proiectul </w:t>
      </w:r>
      <w:r>
        <w:rPr>
          <w:rFonts w:asciiTheme="majorHAnsi" w:hAnsiTheme="majorHAnsi" w:cstheme="majorHAnsi"/>
          <w:sz w:val="16"/>
          <w:szCs w:val="16"/>
          <w:lang w:val="ro-MD"/>
        </w:rPr>
        <w:t>„</w:t>
      </w:r>
      <w:r w:rsidRPr="00237657">
        <w:rPr>
          <w:rFonts w:asciiTheme="majorHAnsi" w:hAnsiTheme="majorHAnsi" w:cstheme="majorHAnsi"/>
          <w:sz w:val="16"/>
          <w:szCs w:val="16"/>
          <w:lang w:val="ro-MD"/>
        </w:rPr>
        <w:t>Îmbunătățirea eficien</w:t>
      </w:r>
      <w:r>
        <w:rPr>
          <w:rFonts w:asciiTheme="majorHAnsi" w:hAnsiTheme="majorHAnsi" w:cstheme="majorHAnsi"/>
          <w:sz w:val="16"/>
          <w:szCs w:val="16"/>
          <w:lang w:val="ro-MD"/>
        </w:rPr>
        <w:t>ț</w:t>
      </w:r>
      <w:r w:rsidRPr="00237657">
        <w:rPr>
          <w:rFonts w:asciiTheme="majorHAnsi" w:hAnsiTheme="majorHAnsi" w:cstheme="majorHAnsi"/>
          <w:sz w:val="16"/>
          <w:szCs w:val="16"/>
          <w:lang w:val="ro-MD"/>
        </w:rPr>
        <w:t>ei sectorului de alimentare centralizat</w:t>
      </w:r>
      <w:r>
        <w:rPr>
          <w:rFonts w:asciiTheme="majorHAnsi" w:hAnsiTheme="majorHAnsi" w:cstheme="majorHAnsi"/>
          <w:sz w:val="16"/>
          <w:szCs w:val="16"/>
          <w:lang w:val="ro-MD"/>
        </w:rPr>
        <w:t>ă</w:t>
      </w:r>
      <w:r w:rsidRPr="00237657">
        <w:rPr>
          <w:rFonts w:asciiTheme="majorHAnsi" w:hAnsiTheme="majorHAnsi" w:cstheme="majorHAnsi"/>
          <w:sz w:val="16"/>
          <w:szCs w:val="16"/>
          <w:lang w:val="ro-MD"/>
        </w:rPr>
        <w:t xml:space="preserve"> cu energie termic</w:t>
      </w:r>
      <w:r>
        <w:rPr>
          <w:rFonts w:asciiTheme="majorHAnsi" w:hAnsiTheme="majorHAnsi" w:cstheme="majorHAnsi"/>
          <w:sz w:val="16"/>
          <w:szCs w:val="16"/>
          <w:lang w:val="ro-MD"/>
        </w:rPr>
        <w:t>ă</w:t>
      </w:r>
      <w:r w:rsidRPr="00237657">
        <w:rPr>
          <w:rFonts w:asciiTheme="majorHAnsi" w:hAnsiTheme="majorHAnsi" w:cstheme="majorHAnsi"/>
          <w:sz w:val="16"/>
          <w:szCs w:val="16"/>
          <w:lang w:val="ro-MD"/>
        </w:rPr>
        <w:t xml:space="preserve"> (SACET/DHEIP)" (70110) – 20,9 mil. </w:t>
      </w:r>
      <w:r>
        <w:rPr>
          <w:rFonts w:asciiTheme="majorHAnsi" w:hAnsiTheme="majorHAnsi" w:cstheme="majorHAnsi"/>
          <w:sz w:val="16"/>
          <w:szCs w:val="16"/>
          <w:lang w:val="ro-MD"/>
        </w:rPr>
        <w:t>l</w:t>
      </w:r>
      <w:r w:rsidRPr="00237657">
        <w:rPr>
          <w:rFonts w:asciiTheme="majorHAnsi" w:hAnsiTheme="majorHAnsi" w:cstheme="majorHAnsi"/>
          <w:sz w:val="16"/>
          <w:szCs w:val="16"/>
          <w:lang w:val="ro-MD"/>
        </w:rPr>
        <w:t xml:space="preserve">ei, Proiect de achiziții a locomotivelor </w:t>
      </w:r>
      <w:r>
        <w:rPr>
          <w:rFonts w:asciiTheme="majorHAnsi" w:hAnsiTheme="majorHAnsi" w:cstheme="majorHAnsi"/>
          <w:sz w:val="16"/>
          <w:szCs w:val="16"/>
          <w:lang w:val="ro-MD"/>
        </w:rPr>
        <w:t>ș</w:t>
      </w:r>
      <w:r w:rsidRPr="00237657">
        <w:rPr>
          <w:rFonts w:asciiTheme="majorHAnsi" w:hAnsiTheme="majorHAnsi" w:cstheme="majorHAnsi"/>
          <w:sz w:val="16"/>
          <w:szCs w:val="16"/>
          <w:lang w:val="ro-MD"/>
        </w:rPr>
        <w:t xml:space="preserve">i de restructurare a infrastructurii feroviare (70124) – 268,6 mil. </w:t>
      </w:r>
      <w:r>
        <w:rPr>
          <w:rFonts w:asciiTheme="majorHAnsi" w:hAnsiTheme="majorHAnsi" w:cstheme="majorHAnsi"/>
          <w:sz w:val="16"/>
          <w:szCs w:val="16"/>
          <w:lang w:val="ro-MD"/>
        </w:rPr>
        <w:t>l</w:t>
      </w:r>
      <w:r w:rsidRPr="00237657">
        <w:rPr>
          <w:rFonts w:asciiTheme="majorHAnsi" w:hAnsiTheme="majorHAnsi" w:cstheme="majorHAnsi"/>
          <w:sz w:val="16"/>
          <w:szCs w:val="16"/>
          <w:lang w:val="ro-MD"/>
        </w:rPr>
        <w:t>ei.</w:t>
      </w:r>
    </w:p>
  </w:footnote>
  <w:footnote w:id="84">
    <w:p w:rsidR="00642DC1" w:rsidRPr="00326213" w:rsidRDefault="00642DC1" w:rsidP="00C3538A">
      <w:pPr>
        <w:pStyle w:val="aa"/>
        <w:jc w:val="both"/>
        <w:rPr>
          <w:rFonts w:asciiTheme="majorHAnsi" w:hAnsiTheme="majorHAnsi" w:cstheme="majorHAnsi"/>
          <w:sz w:val="16"/>
          <w:szCs w:val="16"/>
          <w:lang w:val="ro-MD"/>
        </w:rPr>
      </w:pPr>
      <w:r w:rsidRPr="00326213">
        <w:rPr>
          <w:rStyle w:val="ac"/>
          <w:rFonts w:asciiTheme="majorHAnsi" w:hAnsiTheme="majorHAnsi" w:cstheme="majorHAnsi"/>
          <w:sz w:val="16"/>
          <w:szCs w:val="16"/>
          <w:lang w:val="ro-MD"/>
        </w:rPr>
        <w:footnoteRef/>
      </w:r>
      <w:r w:rsidRPr="00326213">
        <w:rPr>
          <w:rFonts w:asciiTheme="majorHAnsi" w:hAnsiTheme="majorHAnsi" w:cstheme="majorHAnsi"/>
          <w:sz w:val="16"/>
          <w:szCs w:val="16"/>
          <w:lang w:val="ro-MD"/>
        </w:rPr>
        <w:t xml:space="preserve"> Proiectul „Răspuns de urgen</w:t>
      </w:r>
      <w:r>
        <w:rPr>
          <w:rFonts w:asciiTheme="majorHAnsi" w:hAnsiTheme="majorHAnsi" w:cstheme="majorHAnsi"/>
          <w:sz w:val="16"/>
          <w:szCs w:val="16"/>
          <w:lang w:val="ro-MD"/>
        </w:rPr>
        <w:t>ță</w:t>
      </w:r>
      <w:r w:rsidRPr="00326213">
        <w:rPr>
          <w:rFonts w:asciiTheme="majorHAnsi" w:hAnsiTheme="majorHAnsi" w:cstheme="majorHAnsi"/>
          <w:sz w:val="16"/>
          <w:szCs w:val="16"/>
          <w:lang w:val="ro-MD"/>
        </w:rPr>
        <w:t xml:space="preserve"> la COVID-19 </w:t>
      </w:r>
      <w:r>
        <w:rPr>
          <w:rFonts w:asciiTheme="majorHAnsi" w:hAnsiTheme="majorHAnsi" w:cstheme="majorHAnsi"/>
          <w:sz w:val="16"/>
          <w:szCs w:val="16"/>
          <w:lang w:val="ro-MD"/>
        </w:rPr>
        <w:t>ș</w:t>
      </w:r>
      <w:r w:rsidRPr="00326213">
        <w:rPr>
          <w:rFonts w:asciiTheme="majorHAnsi" w:hAnsiTheme="majorHAnsi" w:cstheme="majorHAnsi"/>
          <w:sz w:val="16"/>
          <w:szCs w:val="16"/>
          <w:lang w:val="ro-MD"/>
        </w:rPr>
        <w:t xml:space="preserve">i suport pentru întreprinderile micro, mici si mijlocii” (70304) – 4,2 mil. </w:t>
      </w:r>
      <w:r>
        <w:rPr>
          <w:rFonts w:asciiTheme="majorHAnsi" w:hAnsiTheme="majorHAnsi" w:cstheme="majorHAnsi"/>
          <w:sz w:val="16"/>
          <w:szCs w:val="16"/>
          <w:lang w:val="ro-MD"/>
        </w:rPr>
        <w:t>l</w:t>
      </w:r>
      <w:r w:rsidRPr="00326213">
        <w:rPr>
          <w:rFonts w:asciiTheme="majorHAnsi" w:hAnsiTheme="majorHAnsi" w:cstheme="majorHAnsi"/>
          <w:sz w:val="16"/>
          <w:szCs w:val="16"/>
          <w:lang w:val="ro-MD"/>
        </w:rPr>
        <w:t xml:space="preserve">ei, Proiectul </w:t>
      </w:r>
      <w:r>
        <w:rPr>
          <w:rFonts w:asciiTheme="majorHAnsi" w:hAnsiTheme="majorHAnsi" w:cstheme="majorHAnsi"/>
          <w:sz w:val="16"/>
          <w:szCs w:val="16"/>
          <w:lang w:val="ro-MD"/>
        </w:rPr>
        <w:t>„</w:t>
      </w:r>
      <w:r w:rsidRPr="00326213">
        <w:rPr>
          <w:rFonts w:asciiTheme="majorHAnsi" w:hAnsiTheme="majorHAnsi" w:cstheme="majorHAnsi"/>
          <w:sz w:val="16"/>
          <w:szCs w:val="16"/>
          <w:lang w:val="ro-MD"/>
        </w:rPr>
        <w:t>Ameliorarea competitivității II" (70074) – 85,1 mil</w:t>
      </w:r>
      <w:r>
        <w:rPr>
          <w:rFonts w:asciiTheme="majorHAnsi" w:hAnsiTheme="majorHAnsi" w:cstheme="majorHAnsi"/>
          <w:sz w:val="16"/>
          <w:szCs w:val="16"/>
          <w:lang w:val="ro-MD"/>
        </w:rPr>
        <w:t>.</w:t>
      </w:r>
      <w:r w:rsidRPr="00326213">
        <w:rPr>
          <w:rFonts w:asciiTheme="majorHAnsi" w:hAnsiTheme="majorHAnsi" w:cstheme="majorHAnsi"/>
          <w:sz w:val="16"/>
          <w:szCs w:val="16"/>
          <w:lang w:val="ro-MD"/>
        </w:rPr>
        <w:t xml:space="preserve"> lei, Proiectul </w:t>
      </w:r>
      <w:r>
        <w:rPr>
          <w:rFonts w:asciiTheme="majorHAnsi" w:hAnsiTheme="majorHAnsi" w:cstheme="majorHAnsi"/>
          <w:sz w:val="16"/>
          <w:szCs w:val="16"/>
          <w:lang w:val="ro-MD"/>
        </w:rPr>
        <w:t>„</w:t>
      </w:r>
      <w:r w:rsidRPr="00326213">
        <w:rPr>
          <w:rFonts w:asciiTheme="majorHAnsi" w:hAnsiTheme="majorHAnsi" w:cstheme="majorHAnsi"/>
          <w:sz w:val="16"/>
          <w:szCs w:val="16"/>
          <w:lang w:val="ro-MD"/>
        </w:rPr>
        <w:t xml:space="preserve">Livada Moldovei" (70092) – 328,2 mil. </w:t>
      </w:r>
      <w:r>
        <w:rPr>
          <w:rFonts w:asciiTheme="majorHAnsi" w:hAnsiTheme="majorHAnsi" w:cstheme="majorHAnsi"/>
          <w:sz w:val="16"/>
          <w:szCs w:val="16"/>
          <w:lang w:val="ro-MD"/>
        </w:rPr>
        <w:t>l</w:t>
      </w:r>
      <w:r w:rsidRPr="00326213">
        <w:rPr>
          <w:rFonts w:asciiTheme="majorHAnsi" w:hAnsiTheme="majorHAnsi" w:cstheme="majorHAnsi"/>
          <w:sz w:val="16"/>
          <w:szCs w:val="16"/>
          <w:lang w:val="ro-MD"/>
        </w:rPr>
        <w:t xml:space="preserve">ei, Proiectul </w:t>
      </w:r>
      <w:r>
        <w:rPr>
          <w:rFonts w:asciiTheme="majorHAnsi" w:hAnsiTheme="majorHAnsi" w:cstheme="majorHAnsi"/>
          <w:sz w:val="16"/>
          <w:szCs w:val="16"/>
          <w:lang w:val="ro-MD"/>
        </w:rPr>
        <w:t>„</w:t>
      </w:r>
      <w:r w:rsidRPr="00326213">
        <w:rPr>
          <w:rFonts w:asciiTheme="majorHAnsi" w:hAnsiTheme="majorHAnsi" w:cstheme="majorHAnsi"/>
          <w:sz w:val="16"/>
          <w:szCs w:val="16"/>
          <w:lang w:val="ro-MD"/>
        </w:rPr>
        <w:t>Programul rural de rezilienț</w:t>
      </w:r>
      <w:r>
        <w:rPr>
          <w:rFonts w:asciiTheme="majorHAnsi" w:hAnsiTheme="majorHAnsi" w:cstheme="majorHAnsi"/>
          <w:sz w:val="16"/>
          <w:szCs w:val="16"/>
          <w:lang w:val="ro-MD"/>
        </w:rPr>
        <w:t>ă</w:t>
      </w:r>
      <w:r w:rsidRPr="00326213">
        <w:rPr>
          <w:rFonts w:asciiTheme="majorHAnsi" w:hAnsiTheme="majorHAnsi" w:cstheme="majorHAnsi"/>
          <w:sz w:val="16"/>
          <w:szCs w:val="16"/>
          <w:lang w:val="ro-MD"/>
        </w:rPr>
        <w:t xml:space="preserve"> economico-climatic</w:t>
      </w:r>
      <w:r>
        <w:rPr>
          <w:rFonts w:asciiTheme="majorHAnsi" w:hAnsiTheme="majorHAnsi" w:cstheme="majorHAnsi"/>
          <w:sz w:val="16"/>
          <w:szCs w:val="16"/>
          <w:lang w:val="ro-MD"/>
        </w:rPr>
        <w:t>ă</w:t>
      </w:r>
      <w:r w:rsidRPr="00326213">
        <w:rPr>
          <w:rFonts w:asciiTheme="majorHAnsi" w:hAnsiTheme="majorHAnsi" w:cstheme="majorHAnsi"/>
          <w:sz w:val="16"/>
          <w:szCs w:val="16"/>
          <w:lang w:val="ro-MD"/>
        </w:rPr>
        <w:t xml:space="preserve"> incluziv</w:t>
      </w:r>
      <w:r>
        <w:rPr>
          <w:rFonts w:asciiTheme="majorHAnsi" w:hAnsiTheme="majorHAnsi" w:cstheme="majorHAnsi"/>
          <w:sz w:val="16"/>
          <w:szCs w:val="16"/>
          <w:lang w:val="ro-MD"/>
        </w:rPr>
        <w:t xml:space="preserve">ă </w:t>
      </w:r>
      <w:r w:rsidRPr="00326213">
        <w:rPr>
          <w:rFonts w:asciiTheme="majorHAnsi" w:hAnsiTheme="majorHAnsi" w:cstheme="majorHAnsi"/>
          <w:sz w:val="16"/>
          <w:szCs w:val="16"/>
          <w:lang w:val="ro-MD"/>
        </w:rPr>
        <w:t xml:space="preserve">(IFAD VI)" (70104) – 23,2 mil. </w:t>
      </w:r>
      <w:r>
        <w:rPr>
          <w:rFonts w:asciiTheme="majorHAnsi" w:hAnsiTheme="majorHAnsi" w:cstheme="majorHAnsi"/>
          <w:sz w:val="16"/>
          <w:szCs w:val="16"/>
          <w:lang w:val="ro-MD"/>
        </w:rPr>
        <w:t>l</w:t>
      </w:r>
      <w:r w:rsidRPr="00326213">
        <w:rPr>
          <w:rFonts w:asciiTheme="majorHAnsi" w:hAnsiTheme="majorHAnsi" w:cstheme="majorHAnsi"/>
          <w:sz w:val="16"/>
          <w:szCs w:val="16"/>
          <w:lang w:val="ro-MD"/>
        </w:rPr>
        <w:t xml:space="preserve">ei, Proiectul </w:t>
      </w:r>
      <w:r>
        <w:rPr>
          <w:rFonts w:asciiTheme="majorHAnsi" w:hAnsiTheme="majorHAnsi" w:cstheme="majorHAnsi"/>
          <w:sz w:val="16"/>
          <w:szCs w:val="16"/>
          <w:lang w:val="ro-MD"/>
        </w:rPr>
        <w:t>„</w:t>
      </w:r>
      <w:r w:rsidRPr="00326213">
        <w:rPr>
          <w:rFonts w:asciiTheme="majorHAnsi" w:hAnsiTheme="majorHAnsi" w:cstheme="majorHAnsi"/>
          <w:sz w:val="16"/>
          <w:szCs w:val="16"/>
          <w:lang w:val="ro-MD"/>
        </w:rPr>
        <w:t>Programul de rezilienț</w:t>
      </w:r>
      <w:r>
        <w:rPr>
          <w:rFonts w:asciiTheme="majorHAnsi" w:hAnsiTheme="majorHAnsi" w:cstheme="majorHAnsi"/>
          <w:sz w:val="16"/>
          <w:szCs w:val="16"/>
          <w:lang w:val="ro-MD"/>
        </w:rPr>
        <w:t>ă</w:t>
      </w:r>
      <w:r w:rsidRPr="00326213">
        <w:rPr>
          <w:rFonts w:asciiTheme="majorHAnsi" w:hAnsiTheme="majorHAnsi" w:cstheme="majorHAnsi"/>
          <w:sz w:val="16"/>
          <w:szCs w:val="16"/>
          <w:lang w:val="ro-MD"/>
        </w:rPr>
        <w:t xml:space="preserve"> rural</w:t>
      </w:r>
      <w:r>
        <w:rPr>
          <w:rFonts w:asciiTheme="majorHAnsi" w:hAnsiTheme="majorHAnsi" w:cstheme="majorHAnsi"/>
          <w:sz w:val="16"/>
          <w:szCs w:val="16"/>
          <w:lang w:val="ro-MD"/>
        </w:rPr>
        <w:t>ă</w:t>
      </w:r>
      <w:r w:rsidRPr="00326213">
        <w:rPr>
          <w:rFonts w:asciiTheme="majorHAnsi" w:hAnsiTheme="majorHAnsi" w:cstheme="majorHAnsi"/>
          <w:sz w:val="16"/>
          <w:szCs w:val="16"/>
          <w:lang w:val="ro-MD"/>
        </w:rPr>
        <w:t xml:space="preserve"> (IFAD VII)" (70201) – 50,3 mil. </w:t>
      </w:r>
      <w:r>
        <w:rPr>
          <w:rFonts w:asciiTheme="majorHAnsi" w:hAnsiTheme="majorHAnsi" w:cstheme="majorHAnsi"/>
          <w:sz w:val="16"/>
          <w:szCs w:val="16"/>
          <w:lang w:val="ro-MD"/>
        </w:rPr>
        <w:t>l</w:t>
      </w:r>
      <w:r w:rsidRPr="00326213">
        <w:rPr>
          <w:rFonts w:asciiTheme="majorHAnsi" w:hAnsiTheme="majorHAnsi" w:cstheme="majorHAnsi"/>
          <w:sz w:val="16"/>
          <w:szCs w:val="16"/>
          <w:lang w:val="ro-MD"/>
        </w:rPr>
        <w:t>ei.</w:t>
      </w:r>
    </w:p>
  </w:footnote>
  <w:footnote w:id="85">
    <w:p w:rsidR="00642DC1" w:rsidRPr="00604BAB" w:rsidRDefault="00642DC1" w:rsidP="00C3538A">
      <w:pPr>
        <w:pStyle w:val="aa"/>
        <w:jc w:val="both"/>
        <w:rPr>
          <w:rFonts w:asciiTheme="majorHAnsi" w:hAnsiTheme="majorHAnsi" w:cstheme="majorHAnsi"/>
          <w:sz w:val="16"/>
          <w:szCs w:val="16"/>
          <w:lang w:val="ro-MD"/>
        </w:rPr>
      </w:pPr>
      <w:r w:rsidRPr="00604BAB">
        <w:rPr>
          <w:rStyle w:val="ac"/>
          <w:rFonts w:asciiTheme="majorHAnsi" w:hAnsiTheme="majorHAnsi" w:cstheme="majorHAnsi"/>
          <w:sz w:val="16"/>
          <w:szCs w:val="16"/>
          <w:lang w:val="ro-MD"/>
        </w:rPr>
        <w:footnoteRef/>
      </w:r>
      <w:r w:rsidRPr="00604BAB">
        <w:rPr>
          <w:rFonts w:asciiTheme="majorHAnsi" w:hAnsiTheme="majorHAnsi" w:cstheme="majorHAnsi"/>
          <w:sz w:val="16"/>
          <w:szCs w:val="16"/>
          <w:lang w:val="ro-MD"/>
        </w:rPr>
        <w:t xml:space="preserve"> HG nr.338 din 03.06.2020 </w:t>
      </w:r>
      <w:r>
        <w:rPr>
          <w:rFonts w:asciiTheme="majorHAnsi" w:hAnsiTheme="majorHAnsi" w:cstheme="majorHAnsi"/>
          <w:sz w:val="16"/>
          <w:szCs w:val="16"/>
          <w:lang w:val="ro-MD"/>
        </w:rPr>
        <w:t>„C</w:t>
      </w:r>
      <w:r w:rsidRPr="00604BAB">
        <w:rPr>
          <w:rFonts w:asciiTheme="majorHAnsi" w:hAnsiTheme="majorHAnsi" w:cstheme="majorHAnsi"/>
          <w:sz w:val="16"/>
          <w:szCs w:val="16"/>
          <w:lang w:val="ro-MD"/>
        </w:rPr>
        <w:t xml:space="preserve">u privire la </w:t>
      </w:r>
      <w:r w:rsidRPr="00604BAB">
        <w:rPr>
          <w:rFonts w:asciiTheme="majorHAnsi" w:eastAsia="Times New Roman" w:hAnsiTheme="majorHAnsi" w:cstheme="majorHAnsi"/>
          <w:sz w:val="16"/>
          <w:szCs w:val="16"/>
          <w:lang w:val="ro-MD"/>
        </w:rPr>
        <w:t>Oficiul de Gestionare a Programelor de Asistență Externă”.</w:t>
      </w:r>
    </w:p>
  </w:footnote>
  <w:footnote w:id="86">
    <w:p w:rsidR="00642DC1" w:rsidRPr="00B74CB3" w:rsidRDefault="00642DC1" w:rsidP="00EA3E34">
      <w:pPr>
        <w:pStyle w:val="aa"/>
        <w:rPr>
          <w:sz w:val="16"/>
          <w:szCs w:val="16"/>
          <w:lang w:val="ro-MD"/>
        </w:rPr>
      </w:pPr>
      <w:r w:rsidRPr="00B74CB3">
        <w:rPr>
          <w:rStyle w:val="ac"/>
          <w:rFonts w:asciiTheme="majorHAnsi" w:hAnsiTheme="majorHAnsi" w:cstheme="majorHAnsi"/>
          <w:sz w:val="16"/>
          <w:szCs w:val="16"/>
        </w:rPr>
        <w:footnoteRef/>
      </w:r>
      <w:r w:rsidRPr="00B74CB3">
        <w:rPr>
          <w:rFonts w:asciiTheme="majorHAnsi" w:hAnsiTheme="majorHAnsi" w:cstheme="majorHAnsi"/>
          <w:sz w:val="16"/>
          <w:szCs w:val="16"/>
        </w:rPr>
        <w:t xml:space="preserve"> </w:t>
      </w:r>
      <w:r w:rsidRPr="00B74CB3">
        <w:rPr>
          <w:rFonts w:asciiTheme="majorHAnsi" w:hAnsiTheme="majorHAnsi" w:cstheme="majorHAnsi"/>
          <w:sz w:val="16"/>
          <w:szCs w:val="16"/>
          <w:lang w:val="ro-MD"/>
        </w:rPr>
        <w:t>Legea bu</w:t>
      </w:r>
      <w:r>
        <w:rPr>
          <w:rFonts w:asciiTheme="majorHAnsi" w:hAnsiTheme="majorHAnsi" w:cstheme="majorHAnsi"/>
          <w:sz w:val="16"/>
          <w:szCs w:val="16"/>
          <w:lang w:val="ro-MD"/>
        </w:rPr>
        <w:t>getului de stat pentru anul 2020 nr.172 din 19.12.2019</w:t>
      </w:r>
      <w:r w:rsidRPr="00B74CB3">
        <w:rPr>
          <w:rFonts w:asciiTheme="majorHAnsi" w:hAnsiTheme="majorHAnsi" w:cstheme="majorHAnsi"/>
          <w:sz w:val="16"/>
          <w:szCs w:val="16"/>
          <w:lang w:val="ro-MD"/>
        </w:rPr>
        <w:t>.</w:t>
      </w:r>
    </w:p>
  </w:footnote>
  <w:footnote w:id="87">
    <w:p w:rsidR="00642DC1" w:rsidRPr="00241AAC" w:rsidRDefault="00642DC1" w:rsidP="006E2E6A">
      <w:pPr>
        <w:pStyle w:val="4"/>
        <w:shd w:val="clear" w:color="auto" w:fill="FFFFFF"/>
        <w:spacing w:before="0"/>
        <w:jc w:val="both"/>
        <w:rPr>
          <w:i w:val="0"/>
          <w:color w:val="000000" w:themeColor="text1"/>
          <w:sz w:val="16"/>
          <w:szCs w:val="16"/>
        </w:rPr>
      </w:pPr>
      <w:r w:rsidRPr="00241AAC">
        <w:rPr>
          <w:rStyle w:val="ac"/>
          <w:i w:val="0"/>
          <w:color w:val="000000" w:themeColor="text1"/>
          <w:sz w:val="16"/>
          <w:szCs w:val="16"/>
        </w:rPr>
        <w:footnoteRef/>
      </w:r>
      <w:r w:rsidRPr="00241AAC">
        <w:rPr>
          <w:i w:val="0"/>
          <w:color w:val="000000" w:themeColor="text1"/>
          <w:sz w:val="16"/>
          <w:szCs w:val="16"/>
        </w:rPr>
        <w:t xml:space="preserve"> Legea nr. 60 din 23.04.2020 privind stabilirea unor măsuri de sprijinire a antreprenorialului și modificarea unor regulamente.</w:t>
      </w:r>
    </w:p>
  </w:footnote>
  <w:footnote w:id="88">
    <w:p w:rsidR="00642DC1" w:rsidRPr="00241AAC" w:rsidRDefault="00642DC1" w:rsidP="00B15319">
      <w:pPr>
        <w:pStyle w:val="aa"/>
        <w:jc w:val="both"/>
        <w:rPr>
          <w:rFonts w:asciiTheme="majorHAnsi" w:eastAsia="Times New Roman" w:hAnsiTheme="majorHAnsi" w:cstheme="majorHAnsi"/>
          <w:color w:val="000000" w:themeColor="text1"/>
          <w:sz w:val="16"/>
          <w:szCs w:val="16"/>
          <w:lang w:val="ro-MD" w:eastAsia="ro-RO"/>
        </w:rPr>
      </w:pPr>
      <w:r w:rsidRPr="00241AAC">
        <w:rPr>
          <w:rStyle w:val="ac"/>
          <w:rFonts w:asciiTheme="majorHAnsi" w:hAnsiTheme="majorHAnsi" w:cstheme="majorHAnsi"/>
          <w:color w:val="000000" w:themeColor="text1"/>
          <w:sz w:val="16"/>
          <w:szCs w:val="16"/>
        </w:rPr>
        <w:footnoteRef/>
      </w:r>
      <w:r w:rsidRPr="00241AAC">
        <w:rPr>
          <w:rFonts w:asciiTheme="majorHAnsi" w:hAnsiTheme="majorHAnsi" w:cstheme="majorHAnsi"/>
          <w:color w:val="000000" w:themeColor="text1"/>
          <w:sz w:val="16"/>
          <w:szCs w:val="16"/>
        </w:rPr>
        <w:t xml:space="preserve"> </w:t>
      </w:r>
      <w:r w:rsidRPr="00241AAC">
        <w:rPr>
          <w:rFonts w:asciiTheme="majorHAnsi" w:eastAsia="Times New Roman" w:hAnsiTheme="majorHAnsi" w:cstheme="majorHAnsi"/>
          <w:color w:val="000000" w:themeColor="text1"/>
          <w:sz w:val="16"/>
          <w:szCs w:val="16"/>
          <w:lang w:val="ro-MD" w:eastAsia="ro-RO"/>
        </w:rPr>
        <w:t>Legea nr.178 din 19.12.2019 pentru modificarea Legii nr.397/2003 privind finanțele publice locale.</w:t>
      </w:r>
    </w:p>
  </w:footnote>
  <w:footnote w:id="89">
    <w:p w:rsidR="00642DC1" w:rsidRPr="00241AAC" w:rsidRDefault="00642DC1" w:rsidP="006E2E6A">
      <w:pPr>
        <w:pStyle w:val="aa"/>
        <w:jc w:val="both"/>
      </w:pPr>
      <w:r w:rsidRPr="00241AAC">
        <w:rPr>
          <w:rStyle w:val="ac"/>
          <w:rFonts w:asciiTheme="majorHAnsi" w:hAnsiTheme="majorHAnsi" w:cstheme="majorHAnsi"/>
          <w:color w:val="000000" w:themeColor="text1"/>
          <w:sz w:val="16"/>
          <w:szCs w:val="16"/>
        </w:rPr>
        <w:footnoteRef/>
      </w:r>
      <w:r w:rsidRPr="00241AAC">
        <w:rPr>
          <w:rFonts w:asciiTheme="majorHAnsi" w:hAnsiTheme="majorHAnsi" w:cstheme="majorHAnsi"/>
          <w:color w:val="000000" w:themeColor="text1"/>
          <w:sz w:val="16"/>
          <w:szCs w:val="16"/>
        </w:rPr>
        <w:t xml:space="preserve"> </w:t>
      </w:r>
      <w:r w:rsidRPr="00241AAC">
        <w:rPr>
          <w:rFonts w:asciiTheme="majorHAnsi" w:hAnsiTheme="majorHAnsi" w:cstheme="majorHAnsi"/>
          <w:color w:val="000000" w:themeColor="text1"/>
          <w:sz w:val="16"/>
          <w:szCs w:val="16"/>
          <w:lang w:val="ro-MD"/>
        </w:rPr>
        <w:t>Legea nr.122 din 16.08.2019 cu privire la modificarea unor acte legislative (în partea ce ține de modificările la art.33 alin. (1) din Codul fiscal).</w:t>
      </w:r>
    </w:p>
  </w:footnote>
  <w:footnote w:id="90">
    <w:p w:rsidR="00642DC1" w:rsidRPr="002C09C0" w:rsidRDefault="00642DC1" w:rsidP="006E2E6A">
      <w:pPr>
        <w:pStyle w:val="4"/>
        <w:shd w:val="clear" w:color="auto" w:fill="FFFFFF"/>
        <w:spacing w:before="0" w:line="240" w:lineRule="auto"/>
        <w:jc w:val="both"/>
        <w:rPr>
          <w:rFonts w:cstheme="majorHAnsi"/>
          <w:sz w:val="16"/>
          <w:szCs w:val="16"/>
        </w:rPr>
      </w:pPr>
      <w:r w:rsidRPr="00241AAC">
        <w:rPr>
          <w:rStyle w:val="ac"/>
          <w:rFonts w:cstheme="majorHAnsi"/>
          <w:i w:val="0"/>
          <w:color w:val="auto"/>
          <w:sz w:val="16"/>
          <w:szCs w:val="16"/>
        </w:rPr>
        <w:footnoteRef/>
      </w:r>
      <w:r w:rsidRPr="00241AAC">
        <w:rPr>
          <w:rFonts w:eastAsia="Times New Roman" w:cstheme="majorHAnsi"/>
          <w:bCs/>
          <w:i w:val="0"/>
          <w:iCs w:val="0"/>
          <w:color w:val="auto"/>
          <w:sz w:val="16"/>
          <w:szCs w:val="16"/>
          <w:lang w:eastAsia="ro-RO"/>
        </w:rPr>
        <w:t xml:space="preserve"> Art. III. din Legea nr</w:t>
      </w:r>
      <w:r w:rsidRPr="00241AAC">
        <w:rPr>
          <w:rFonts w:eastAsia="Times New Roman" w:cstheme="majorHAnsi"/>
          <w:i w:val="0"/>
          <w:iCs w:val="0"/>
          <w:color w:val="auto"/>
          <w:sz w:val="16"/>
          <w:szCs w:val="16"/>
          <w:lang w:eastAsia="ro-RO"/>
        </w:rPr>
        <w:t xml:space="preserve">.97 din 26.07.2019 </w:t>
      </w:r>
      <w:r w:rsidRPr="00241AAC">
        <w:rPr>
          <w:rFonts w:eastAsia="Times New Roman" w:cstheme="majorHAnsi"/>
          <w:bCs/>
          <w:i w:val="0"/>
          <w:color w:val="auto"/>
          <w:sz w:val="16"/>
          <w:szCs w:val="16"/>
          <w:lang w:eastAsia="ro-RO"/>
        </w:rPr>
        <w:t>pentru modificarea unor acte legislative</w:t>
      </w:r>
      <w:r w:rsidRPr="00241AAC">
        <w:rPr>
          <w:rFonts w:eastAsia="Times New Roman" w:cstheme="majorHAnsi"/>
          <w:bCs/>
          <w:i w:val="0"/>
          <w:color w:val="000000" w:themeColor="text1"/>
          <w:sz w:val="16"/>
          <w:szCs w:val="16"/>
          <w:lang w:eastAsia="ro-RO"/>
        </w:rPr>
        <w:t>.</w:t>
      </w:r>
    </w:p>
  </w:footnote>
  <w:footnote w:id="91">
    <w:p w:rsidR="00642DC1" w:rsidRPr="002C09C0" w:rsidRDefault="00642DC1" w:rsidP="006E2E6A">
      <w:pPr>
        <w:spacing w:after="0" w:line="240" w:lineRule="auto"/>
        <w:rPr>
          <w:rFonts w:asciiTheme="majorHAnsi" w:hAnsiTheme="majorHAnsi" w:cstheme="majorHAnsi"/>
          <w:sz w:val="16"/>
          <w:szCs w:val="16"/>
          <w:lang w:val="ro-RO"/>
        </w:rPr>
      </w:pPr>
      <w:r w:rsidRPr="002C09C0">
        <w:rPr>
          <w:rStyle w:val="ac"/>
          <w:rFonts w:asciiTheme="majorHAnsi" w:hAnsiTheme="majorHAnsi" w:cstheme="majorHAnsi"/>
          <w:color w:val="000000" w:themeColor="text1"/>
          <w:sz w:val="16"/>
          <w:szCs w:val="16"/>
        </w:rPr>
        <w:footnoteRef/>
      </w:r>
      <w:r w:rsidRPr="002C09C0">
        <w:rPr>
          <w:rFonts w:asciiTheme="majorHAnsi" w:eastAsia="Times New Roman" w:hAnsiTheme="majorHAnsi" w:cstheme="majorHAnsi"/>
          <w:bCs/>
          <w:color w:val="333333"/>
          <w:sz w:val="16"/>
          <w:szCs w:val="16"/>
          <w:lang w:val="ro-MD" w:eastAsia="ro-RO"/>
        </w:rPr>
        <w:t>Art.</w:t>
      </w:r>
      <w:r>
        <w:rPr>
          <w:rFonts w:asciiTheme="majorHAnsi" w:eastAsia="Times New Roman" w:hAnsiTheme="majorHAnsi" w:cstheme="majorHAnsi"/>
          <w:bCs/>
          <w:color w:val="333333"/>
          <w:sz w:val="16"/>
          <w:szCs w:val="16"/>
          <w:lang w:val="ro-MD" w:eastAsia="ro-RO"/>
        </w:rPr>
        <w:t xml:space="preserve"> </w:t>
      </w:r>
      <w:r w:rsidRPr="002C09C0">
        <w:rPr>
          <w:rFonts w:asciiTheme="majorHAnsi" w:eastAsia="Times New Roman" w:hAnsiTheme="majorHAnsi" w:cstheme="majorHAnsi"/>
          <w:bCs/>
          <w:color w:val="333333"/>
          <w:sz w:val="16"/>
          <w:szCs w:val="16"/>
          <w:lang w:val="ro-MD" w:eastAsia="ro-RO"/>
        </w:rPr>
        <w:t>I din Legea nr.</w:t>
      </w:r>
      <w:r w:rsidRPr="002C09C0">
        <w:rPr>
          <w:rFonts w:asciiTheme="majorHAnsi" w:eastAsia="Times New Roman" w:hAnsiTheme="majorHAnsi" w:cstheme="majorHAnsi"/>
          <w:color w:val="333333"/>
          <w:sz w:val="16"/>
          <w:szCs w:val="16"/>
          <w:lang w:val="ro-MD" w:eastAsia="ro-RO"/>
        </w:rPr>
        <w:t xml:space="preserve"> 171</w:t>
      </w:r>
      <w:r w:rsidRPr="002C09C0">
        <w:rPr>
          <w:rFonts w:asciiTheme="majorHAnsi" w:eastAsia="Times New Roman" w:hAnsiTheme="majorHAnsi" w:cstheme="majorHAnsi"/>
          <w:iCs/>
          <w:color w:val="333333"/>
          <w:sz w:val="16"/>
          <w:szCs w:val="16"/>
          <w:lang w:val="ro-MD" w:eastAsia="ro-RO"/>
        </w:rPr>
        <w:t xml:space="preserve"> </w:t>
      </w:r>
      <w:r w:rsidRPr="002C09C0">
        <w:rPr>
          <w:rFonts w:asciiTheme="majorHAnsi" w:eastAsia="Times New Roman" w:hAnsiTheme="majorHAnsi" w:cstheme="majorHAnsi"/>
          <w:color w:val="333333"/>
          <w:sz w:val="16"/>
          <w:szCs w:val="16"/>
          <w:lang w:val="ro-MD" w:eastAsia="ro-RO"/>
        </w:rPr>
        <w:t>din 19.12.2019</w:t>
      </w:r>
      <w:r w:rsidRPr="002C09C0">
        <w:rPr>
          <w:rFonts w:asciiTheme="majorHAnsi" w:eastAsia="Times New Roman" w:hAnsiTheme="majorHAnsi" w:cstheme="majorHAnsi"/>
          <w:iCs/>
          <w:color w:val="333333"/>
          <w:sz w:val="16"/>
          <w:szCs w:val="16"/>
          <w:lang w:val="ro-MD" w:eastAsia="ro-RO"/>
        </w:rPr>
        <w:t xml:space="preserve"> </w:t>
      </w:r>
      <w:r w:rsidRPr="002C09C0">
        <w:rPr>
          <w:rFonts w:asciiTheme="majorHAnsi" w:eastAsia="Times New Roman" w:hAnsiTheme="majorHAnsi" w:cstheme="majorHAnsi"/>
          <w:bCs/>
          <w:color w:val="333333"/>
          <w:sz w:val="16"/>
          <w:szCs w:val="16"/>
          <w:lang w:val="ro-MD" w:eastAsia="ro-RO"/>
        </w:rPr>
        <w:t>privind modificarea unor acte legislative.</w:t>
      </w:r>
    </w:p>
  </w:footnote>
  <w:footnote w:id="92">
    <w:p w:rsidR="00642DC1" w:rsidRPr="002C09C0" w:rsidRDefault="00642DC1" w:rsidP="006E2E6A">
      <w:pPr>
        <w:spacing w:after="0" w:line="240" w:lineRule="auto"/>
        <w:rPr>
          <w:rFonts w:asciiTheme="majorHAnsi" w:hAnsiTheme="majorHAnsi" w:cstheme="majorHAnsi"/>
          <w:sz w:val="16"/>
          <w:szCs w:val="16"/>
          <w:lang w:val="ro-MD"/>
        </w:rPr>
      </w:pPr>
      <w:r w:rsidRPr="002C09C0">
        <w:rPr>
          <w:rStyle w:val="ac"/>
          <w:rFonts w:asciiTheme="majorHAnsi" w:hAnsiTheme="majorHAnsi" w:cstheme="majorHAnsi"/>
          <w:sz w:val="16"/>
          <w:szCs w:val="16"/>
        </w:rPr>
        <w:footnoteRef/>
      </w:r>
      <w:r w:rsidRPr="002C09C0">
        <w:rPr>
          <w:rFonts w:asciiTheme="majorHAnsi" w:eastAsia="Times New Roman" w:hAnsiTheme="majorHAnsi" w:cstheme="majorHAnsi"/>
          <w:bCs/>
          <w:color w:val="333333"/>
          <w:sz w:val="16"/>
          <w:szCs w:val="16"/>
          <w:lang w:val="ro-MD" w:eastAsia="ro-RO"/>
        </w:rPr>
        <w:t>Legea nr.</w:t>
      </w:r>
      <w:r w:rsidRPr="002C09C0">
        <w:rPr>
          <w:rFonts w:asciiTheme="majorHAnsi" w:eastAsia="Times New Roman" w:hAnsiTheme="majorHAnsi" w:cstheme="majorHAnsi"/>
          <w:color w:val="333333"/>
          <w:sz w:val="16"/>
          <w:szCs w:val="16"/>
          <w:lang w:val="ro-MD" w:eastAsia="ro-RO"/>
        </w:rPr>
        <w:t xml:space="preserve"> 171</w:t>
      </w:r>
      <w:r w:rsidRPr="002C09C0">
        <w:rPr>
          <w:rFonts w:asciiTheme="majorHAnsi" w:eastAsia="Times New Roman" w:hAnsiTheme="majorHAnsi" w:cstheme="majorHAnsi"/>
          <w:iCs/>
          <w:color w:val="333333"/>
          <w:sz w:val="16"/>
          <w:szCs w:val="16"/>
          <w:lang w:val="ro-MD" w:eastAsia="ro-RO"/>
        </w:rPr>
        <w:t xml:space="preserve"> </w:t>
      </w:r>
      <w:r w:rsidRPr="002C09C0">
        <w:rPr>
          <w:rFonts w:asciiTheme="majorHAnsi" w:eastAsia="Times New Roman" w:hAnsiTheme="majorHAnsi" w:cstheme="majorHAnsi"/>
          <w:color w:val="333333"/>
          <w:sz w:val="16"/>
          <w:szCs w:val="16"/>
          <w:lang w:val="ro-MD" w:eastAsia="ro-RO"/>
        </w:rPr>
        <w:t>din 19.12.2019</w:t>
      </w:r>
      <w:r w:rsidRPr="002C09C0">
        <w:rPr>
          <w:rFonts w:asciiTheme="majorHAnsi" w:eastAsia="Times New Roman" w:hAnsiTheme="majorHAnsi" w:cstheme="majorHAnsi"/>
          <w:iCs/>
          <w:color w:val="333333"/>
          <w:sz w:val="16"/>
          <w:szCs w:val="16"/>
          <w:lang w:val="ro-MD" w:eastAsia="ro-RO"/>
        </w:rPr>
        <w:t xml:space="preserve"> </w:t>
      </w:r>
      <w:r w:rsidRPr="002C09C0">
        <w:rPr>
          <w:rFonts w:asciiTheme="majorHAnsi" w:eastAsia="Times New Roman" w:hAnsiTheme="majorHAnsi" w:cstheme="majorHAnsi"/>
          <w:bCs/>
          <w:color w:val="333333"/>
          <w:sz w:val="16"/>
          <w:szCs w:val="16"/>
          <w:lang w:val="ro-MD" w:eastAsia="ro-RO"/>
        </w:rPr>
        <w:t>privind modificarea unor acte legislative.</w:t>
      </w:r>
    </w:p>
  </w:footnote>
  <w:footnote w:id="93">
    <w:p w:rsidR="00642DC1" w:rsidRPr="00390A0F" w:rsidRDefault="00642DC1" w:rsidP="006E2E6A">
      <w:pPr>
        <w:pStyle w:val="aa"/>
        <w:jc w:val="both"/>
        <w:rPr>
          <w:rFonts w:asciiTheme="majorHAnsi" w:hAnsiTheme="majorHAnsi" w:cstheme="majorHAnsi"/>
          <w:sz w:val="16"/>
          <w:szCs w:val="16"/>
          <w:lang w:val="ro-RO"/>
        </w:rPr>
      </w:pPr>
      <w:r w:rsidRPr="00F55BA6">
        <w:rPr>
          <w:rStyle w:val="ac"/>
          <w:rFonts w:asciiTheme="majorHAnsi" w:hAnsiTheme="majorHAnsi" w:cstheme="majorHAnsi"/>
          <w:sz w:val="16"/>
          <w:szCs w:val="16"/>
          <w:lang w:val="ro-RO"/>
        </w:rPr>
        <w:footnoteRef/>
      </w:r>
      <w:r w:rsidRPr="00F55BA6">
        <w:rPr>
          <w:rFonts w:asciiTheme="majorHAnsi" w:hAnsiTheme="majorHAnsi" w:cstheme="majorHAnsi"/>
          <w:sz w:val="16"/>
          <w:szCs w:val="16"/>
          <w:lang w:val="ro-RO"/>
        </w:rPr>
        <w:t xml:space="preserve"> </w:t>
      </w:r>
      <w:r w:rsidRPr="00390A0F">
        <w:rPr>
          <w:rFonts w:asciiTheme="majorHAnsi" w:hAnsiTheme="majorHAnsi" w:cstheme="majorHAnsi"/>
          <w:sz w:val="16"/>
          <w:szCs w:val="16"/>
          <w:lang w:val="ro-RO"/>
        </w:rPr>
        <w:t>Legea nr.548-XIII din 21.07.1995 cu privire la Banca Națională a Moldovei, republicată în Monitorul Oficial al Republicii Moldova nr.297-300/544 din 30.10.2015.</w:t>
      </w:r>
    </w:p>
  </w:footnote>
  <w:footnote w:id="94">
    <w:p w:rsidR="00642DC1" w:rsidRPr="00F55BA6" w:rsidRDefault="00642DC1" w:rsidP="006E2E6A">
      <w:pPr>
        <w:pStyle w:val="aa"/>
        <w:jc w:val="both"/>
        <w:rPr>
          <w:rFonts w:asciiTheme="majorHAnsi" w:hAnsiTheme="majorHAnsi" w:cstheme="majorHAnsi"/>
          <w:sz w:val="16"/>
          <w:szCs w:val="16"/>
          <w:lang w:val="ro-RO"/>
        </w:rPr>
      </w:pPr>
      <w:r w:rsidRPr="00F55BA6">
        <w:rPr>
          <w:rStyle w:val="ac"/>
          <w:rFonts w:asciiTheme="majorHAnsi" w:hAnsiTheme="majorHAnsi" w:cstheme="majorHAnsi"/>
          <w:sz w:val="16"/>
          <w:szCs w:val="16"/>
          <w:lang w:val="ro-RO"/>
        </w:rPr>
        <w:footnoteRef/>
      </w:r>
      <w:r w:rsidRPr="00F55BA6">
        <w:rPr>
          <w:rFonts w:asciiTheme="majorHAnsi" w:hAnsiTheme="majorHAnsi" w:cstheme="majorHAnsi"/>
          <w:sz w:val="16"/>
          <w:szCs w:val="16"/>
          <w:lang w:val="ro-RO"/>
        </w:rPr>
        <w:t xml:space="preserve"> </w:t>
      </w:r>
      <w:r w:rsidRPr="00F55BA6">
        <w:rPr>
          <w:rFonts w:asciiTheme="majorHAnsi" w:eastAsia="Times New Roman" w:hAnsiTheme="majorHAnsi" w:cstheme="majorHAnsi"/>
          <w:bCs/>
          <w:color w:val="333333"/>
          <w:sz w:val="16"/>
          <w:szCs w:val="16"/>
          <w:shd w:val="clear" w:color="auto" w:fill="FFFFFF"/>
          <w:lang w:val="ro-RO" w:eastAsia="ro-RO"/>
        </w:rPr>
        <w:t>Art. III.</w:t>
      </w:r>
      <w:r w:rsidRPr="00F55BA6">
        <w:rPr>
          <w:rFonts w:asciiTheme="majorHAnsi" w:eastAsia="Times New Roman" w:hAnsiTheme="majorHAnsi" w:cstheme="majorHAnsi"/>
          <w:b/>
          <w:bCs/>
          <w:color w:val="333333"/>
          <w:sz w:val="16"/>
          <w:szCs w:val="16"/>
          <w:shd w:val="clear" w:color="auto" w:fill="FFFFFF"/>
          <w:lang w:val="ro-RO" w:eastAsia="ro-RO"/>
        </w:rPr>
        <w:t xml:space="preserve"> </w:t>
      </w:r>
      <w:r w:rsidRPr="00F55BA6">
        <w:rPr>
          <w:rFonts w:asciiTheme="majorHAnsi" w:eastAsia="Times New Roman" w:hAnsiTheme="majorHAnsi" w:cstheme="majorHAnsi"/>
          <w:color w:val="333333"/>
          <w:sz w:val="16"/>
          <w:szCs w:val="16"/>
          <w:shd w:val="clear" w:color="auto" w:fill="FFFFFF"/>
          <w:lang w:val="ro-RO" w:eastAsia="ro-RO"/>
        </w:rPr>
        <w:t xml:space="preserve">din </w:t>
      </w:r>
      <w:r w:rsidRPr="00F55BA6">
        <w:rPr>
          <w:rFonts w:asciiTheme="majorHAnsi" w:hAnsiTheme="majorHAnsi" w:cstheme="majorHAnsi"/>
          <w:color w:val="000000" w:themeColor="text1"/>
          <w:sz w:val="16"/>
          <w:szCs w:val="16"/>
          <w:lang w:val="ro-RO"/>
        </w:rPr>
        <w:t>Legea nr.122 din 16.08.2019 cu privire la modificarea unor acte legislative.</w:t>
      </w:r>
    </w:p>
  </w:footnote>
  <w:footnote w:id="95">
    <w:p w:rsidR="00642DC1" w:rsidRPr="00020E8B" w:rsidRDefault="00642DC1" w:rsidP="00AC6703">
      <w:pPr>
        <w:pStyle w:val="aa"/>
        <w:rPr>
          <w:rFonts w:asciiTheme="majorHAnsi" w:hAnsiTheme="majorHAnsi" w:cstheme="majorHAnsi"/>
          <w:sz w:val="16"/>
          <w:szCs w:val="16"/>
          <w:lang w:val="ro-RO"/>
        </w:rPr>
      </w:pPr>
      <w:r w:rsidRPr="00390A0F">
        <w:rPr>
          <w:rStyle w:val="ac"/>
          <w:rFonts w:asciiTheme="majorHAnsi" w:hAnsiTheme="majorHAnsi" w:cstheme="majorHAnsi"/>
          <w:sz w:val="16"/>
          <w:szCs w:val="16"/>
          <w:lang w:val="ro-RO"/>
        </w:rPr>
        <w:footnoteRef/>
      </w:r>
      <w:r w:rsidRPr="00390A0F">
        <w:rPr>
          <w:rFonts w:asciiTheme="majorHAnsi" w:hAnsiTheme="majorHAnsi" w:cstheme="majorHAnsi"/>
          <w:sz w:val="16"/>
          <w:szCs w:val="16"/>
          <w:lang w:val="ro-RO"/>
        </w:rPr>
        <w:t xml:space="preserve"> Noțiunea </w:t>
      </w:r>
      <w:r w:rsidRPr="00390A0F">
        <w:rPr>
          <w:rFonts w:asciiTheme="majorHAnsi" w:hAnsiTheme="majorHAnsi" w:cstheme="majorHAnsi"/>
          <w:i/>
          <w:sz w:val="16"/>
          <w:szCs w:val="16"/>
          <w:lang w:val="ro-RO"/>
        </w:rPr>
        <w:t>cheltuieli</w:t>
      </w:r>
      <w:r w:rsidRPr="00020E8B">
        <w:rPr>
          <w:rFonts w:asciiTheme="majorHAnsi" w:hAnsiTheme="majorHAnsi" w:cstheme="majorHAnsi"/>
          <w:sz w:val="16"/>
          <w:szCs w:val="16"/>
          <w:lang w:val="ro-RO"/>
        </w:rPr>
        <w:t xml:space="preserve"> va include totalul CBE 2 „Cheltuieli” și CBE 3 „Active financiare”.</w:t>
      </w:r>
    </w:p>
  </w:footnote>
  <w:footnote w:id="96">
    <w:p w:rsidR="00642DC1" w:rsidRPr="004A1CC0" w:rsidRDefault="00642DC1" w:rsidP="00AC6703">
      <w:pPr>
        <w:pStyle w:val="aa"/>
        <w:rPr>
          <w:rFonts w:asciiTheme="majorHAnsi" w:hAnsiTheme="majorHAnsi" w:cstheme="majorHAnsi"/>
          <w:sz w:val="16"/>
          <w:szCs w:val="16"/>
          <w:lang w:val="ro-MD"/>
        </w:rPr>
      </w:pPr>
      <w:r w:rsidRPr="004A1CC0">
        <w:rPr>
          <w:rStyle w:val="ac"/>
          <w:rFonts w:asciiTheme="majorHAnsi" w:hAnsiTheme="majorHAnsi" w:cstheme="majorHAnsi"/>
          <w:sz w:val="16"/>
          <w:szCs w:val="16"/>
          <w:lang w:val="ro-MD"/>
        </w:rPr>
        <w:footnoteRef/>
      </w:r>
      <w:r>
        <w:rPr>
          <w:rFonts w:asciiTheme="majorHAnsi" w:hAnsiTheme="majorHAnsi" w:cstheme="majorHAnsi"/>
          <w:sz w:val="16"/>
          <w:szCs w:val="16"/>
          <w:lang w:val="ro-MD"/>
        </w:rPr>
        <w:t xml:space="preserve"> </w:t>
      </w:r>
      <w:r w:rsidRPr="004A1CC0">
        <w:rPr>
          <w:rFonts w:asciiTheme="majorHAnsi" w:hAnsiTheme="majorHAnsi" w:cstheme="majorHAnsi"/>
          <w:sz w:val="16"/>
          <w:szCs w:val="16"/>
          <w:lang w:val="ro-MD"/>
        </w:rPr>
        <w:t>Scrisoarea MF nr.06/1-17/37 din 29.07.2020.</w:t>
      </w:r>
    </w:p>
  </w:footnote>
  <w:footnote w:id="97">
    <w:p w:rsidR="00642DC1" w:rsidRPr="00E669C6" w:rsidRDefault="00642DC1" w:rsidP="00D9349D">
      <w:pPr>
        <w:pStyle w:val="aa"/>
        <w:rPr>
          <w:rFonts w:asciiTheme="majorHAnsi" w:hAnsiTheme="majorHAnsi" w:cstheme="majorHAnsi"/>
          <w:sz w:val="16"/>
          <w:szCs w:val="16"/>
          <w:lang w:val="ro-MD"/>
        </w:rPr>
      </w:pPr>
      <w:r w:rsidRPr="00E669C6">
        <w:rPr>
          <w:rStyle w:val="ac"/>
          <w:rFonts w:asciiTheme="majorHAnsi" w:hAnsiTheme="majorHAnsi" w:cstheme="majorHAnsi"/>
          <w:sz w:val="16"/>
          <w:szCs w:val="16"/>
          <w:lang w:val="ro-MD"/>
        </w:rPr>
        <w:footnoteRef/>
      </w:r>
      <w:r w:rsidRPr="00E669C6">
        <w:rPr>
          <w:rFonts w:asciiTheme="majorHAnsi" w:hAnsiTheme="majorHAnsi" w:cstheme="majorHAnsi"/>
          <w:sz w:val="16"/>
          <w:szCs w:val="16"/>
          <w:lang w:val="ro-MD"/>
        </w:rPr>
        <w:t xml:space="preserve"> </w:t>
      </w:r>
      <w:r>
        <w:rPr>
          <w:rFonts w:asciiTheme="majorHAnsi" w:eastAsia="Times New Roman" w:hAnsiTheme="majorHAnsi" w:cstheme="majorHAnsi"/>
          <w:sz w:val="16"/>
          <w:szCs w:val="16"/>
          <w:lang w:val="ro-MD"/>
        </w:rPr>
        <w:t xml:space="preserve">Legea nr.419 din 22.12.2006 </w:t>
      </w:r>
      <w:r w:rsidRPr="00E669C6">
        <w:rPr>
          <w:rFonts w:asciiTheme="majorHAnsi" w:eastAsia="Times New Roman" w:hAnsiTheme="majorHAnsi" w:cstheme="majorHAnsi"/>
          <w:sz w:val="16"/>
          <w:szCs w:val="16"/>
          <w:lang w:val="ro-MD"/>
        </w:rPr>
        <w:t>cu privire la datoria sectorului public, garanțiile de stat și recreditarea de stat</w:t>
      </w:r>
      <w:r>
        <w:rPr>
          <w:rFonts w:asciiTheme="majorHAnsi" w:eastAsia="Times New Roman" w:hAnsiTheme="majorHAnsi" w:cstheme="majorHAnsi"/>
          <w:sz w:val="16"/>
          <w:szCs w:val="16"/>
          <w:lang w:val="ro-MD"/>
        </w:rPr>
        <w:t>.</w:t>
      </w:r>
    </w:p>
  </w:footnote>
  <w:footnote w:id="98">
    <w:p w:rsidR="00642DC1" w:rsidRPr="00F55BA6" w:rsidRDefault="00642DC1" w:rsidP="00E470B5">
      <w:pPr>
        <w:pStyle w:val="aa"/>
        <w:rPr>
          <w:lang w:val="ro-MD"/>
        </w:rPr>
      </w:pPr>
      <w:r w:rsidRPr="00F55BA6">
        <w:rPr>
          <w:rStyle w:val="ac"/>
          <w:rFonts w:asciiTheme="majorHAnsi" w:hAnsiTheme="majorHAnsi" w:cstheme="majorHAnsi"/>
          <w:sz w:val="16"/>
          <w:lang w:val="ro-MD"/>
        </w:rPr>
        <w:footnoteRef/>
      </w:r>
      <w:r w:rsidRPr="00F55BA6">
        <w:rPr>
          <w:rFonts w:asciiTheme="majorHAnsi" w:hAnsiTheme="majorHAnsi" w:cstheme="majorHAnsi"/>
          <w:sz w:val="16"/>
          <w:lang w:val="ro-MD"/>
        </w:rPr>
        <w:t xml:space="preserve"> </w:t>
      </w:r>
      <w:r w:rsidRPr="00F55BA6">
        <w:rPr>
          <w:rFonts w:asciiTheme="majorHAnsi" w:hAnsiTheme="majorHAnsi" w:cstheme="majorHAnsi"/>
          <w:sz w:val="16"/>
          <w:szCs w:val="16"/>
          <w:lang w:val="ro-MD"/>
        </w:rPr>
        <w:t>Art.4 al Legii bugetului de stat pentru anul 2020 nr.172 din 19</w:t>
      </w:r>
      <w:r w:rsidRPr="00F55BA6">
        <w:rPr>
          <w:rFonts w:asciiTheme="majorHAnsi" w:hAnsiTheme="majorHAnsi" w:cstheme="majorHAnsi"/>
          <w:color w:val="000000"/>
          <w:sz w:val="16"/>
          <w:szCs w:val="16"/>
          <w:lang w:val="ro-MD"/>
        </w:rPr>
        <w:t>.12.2019.</w:t>
      </w:r>
    </w:p>
  </w:footnote>
  <w:footnote w:id="99">
    <w:p w:rsidR="00642DC1" w:rsidRPr="003A30EC" w:rsidRDefault="00642DC1" w:rsidP="00E470B5">
      <w:pPr>
        <w:pStyle w:val="aa"/>
        <w:jc w:val="both"/>
        <w:rPr>
          <w:rStyle w:val="ac"/>
          <w:rFonts w:asciiTheme="majorHAnsi" w:hAnsiTheme="majorHAnsi" w:cstheme="majorHAnsi"/>
          <w:sz w:val="16"/>
          <w:szCs w:val="16"/>
          <w:lang w:val="ro-MD"/>
        </w:rPr>
      </w:pPr>
      <w:r w:rsidRPr="003A30EC">
        <w:rPr>
          <w:rStyle w:val="ac"/>
          <w:rFonts w:asciiTheme="majorHAnsi" w:hAnsiTheme="majorHAnsi" w:cstheme="majorHAnsi"/>
          <w:sz w:val="16"/>
          <w:szCs w:val="16"/>
          <w:lang w:val="ro-MD"/>
        </w:rPr>
        <w:footnoteRef/>
      </w:r>
      <w:r w:rsidRPr="003A30EC">
        <w:rPr>
          <w:rFonts w:asciiTheme="majorHAnsi" w:hAnsiTheme="majorHAnsi" w:cstheme="majorHAnsi"/>
          <w:sz w:val="16"/>
          <w:szCs w:val="16"/>
          <w:lang w:val="ro-MD"/>
        </w:rPr>
        <w:t xml:space="preserve"> Art.11 din Legea nr.397-XV din 16.10.2003 privind finanțele publice locale.</w:t>
      </w:r>
      <w:r w:rsidRPr="003A30EC">
        <w:rPr>
          <w:rStyle w:val="ac"/>
          <w:rFonts w:asciiTheme="majorHAnsi" w:hAnsiTheme="majorHAnsi" w:cstheme="majorHAnsi"/>
          <w:sz w:val="16"/>
          <w:szCs w:val="16"/>
          <w:lang w:val="ro-MD"/>
        </w:rPr>
        <w:t xml:space="preserve"> </w:t>
      </w:r>
    </w:p>
  </w:footnote>
  <w:footnote w:id="100">
    <w:p w:rsidR="00642DC1" w:rsidRPr="003A30EC" w:rsidRDefault="00642DC1" w:rsidP="00E470B5">
      <w:pPr>
        <w:pStyle w:val="aa"/>
        <w:jc w:val="both"/>
        <w:rPr>
          <w:rFonts w:asciiTheme="majorHAnsi" w:hAnsiTheme="majorHAnsi" w:cstheme="majorHAnsi"/>
          <w:sz w:val="16"/>
          <w:szCs w:val="16"/>
          <w:vertAlign w:val="superscript"/>
          <w:lang w:val="ro-MD"/>
        </w:rPr>
      </w:pPr>
      <w:r w:rsidRPr="00F55BA6">
        <w:rPr>
          <w:rStyle w:val="ac"/>
          <w:rFonts w:asciiTheme="majorHAnsi" w:hAnsiTheme="majorHAnsi" w:cstheme="majorHAnsi"/>
          <w:sz w:val="16"/>
          <w:szCs w:val="16"/>
          <w:lang w:val="ro-MD"/>
        </w:rPr>
        <w:footnoteRef/>
      </w:r>
      <w:r w:rsidRPr="00F55BA6">
        <w:rPr>
          <w:rFonts w:asciiTheme="majorHAnsi" w:hAnsiTheme="majorHAnsi" w:cstheme="majorHAnsi"/>
          <w:sz w:val="16"/>
          <w:szCs w:val="16"/>
          <w:lang w:val="ro-MD"/>
        </w:rPr>
        <w:t xml:space="preserve"> </w:t>
      </w:r>
      <w:r w:rsidRPr="003A30EC">
        <w:rPr>
          <w:rFonts w:asciiTheme="majorHAnsi" w:hAnsiTheme="majorHAnsi" w:cstheme="majorHAnsi"/>
          <w:sz w:val="16"/>
          <w:szCs w:val="16"/>
          <w:lang w:val="ro-MD"/>
        </w:rPr>
        <w:t>Art.12 din Legea nr.397-XV din 16.10.2003 privind finanțele publice locale.</w:t>
      </w:r>
      <w:r w:rsidRPr="003A30EC">
        <w:rPr>
          <w:rStyle w:val="ac"/>
          <w:rFonts w:asciiTheme="majorHAnsi" w:hAnsiTheme="majorHAnsi" w:cstheme="majorHAnsi"/>
          <w:sz w:val="16"/>
          <w:szCs w:val="16"/>
          <w:lang w:val="ro-MD"/>
        </w:rPr>
        <w:t xml:space="preserve"> </w:t>
      </w:r>
    </w:p>
  </w:footnote>
  <w:footnote w:id="101">
    <w:p w:rsidR="00642DC1" w:rsidRPr="003A30EC" w:rsidRDefault="00642DC1" w:rsidP="00E470B5">
      <w:pPr>
        <w:pStyle w:val="aa"/>
        <w:jc w:val="both"/>
        <w:rPr>
          <w:rFonts w:asciiTheme="majorHAnsi" w:hAnsiTheme="majorHAnsi" w:cstheme="majorHAnsi"/>
          <w:sz w:val="16"/>
          <w:szCs w:val="16"/>
          <w:lang w:val="ro-MD"/>
        </w:rPr>
      </w:pPr>
      <w:r w:rsidRPr="003A30EC">
        <w:rPr>
          <w:rStyle w:val="ac"/>
          <w:rFonts w:asciiTheme="majorHAnsi" w:hAnsiTheme="majorHAnsi" w:cstheme="majorHAnsi"/>
          <w:sz w:val="16"/>
          <w:szCs w:val="16"/>
          <w:lang w:val="ro-MD"/>
        </w:rPr>
        <w:footnoteRef/>
      </w:r>
      <w:r w:rsidRPr="003A30EC">
        <w:rPr>
          <w:rFonts w:asciiTheme="majorHAnsi" w:hAnsiTheme="majorHAnsi" w:cstheme="majorHAnsi"/>
          <w:sz w:val="16"/>
          <w:szCs w:val="16"/>
          <w:lang w:val="ro-MD"/>
        </w:rPr>
        <w:t xml:space="preserve"> Anexa nr.7. Volumul transferurilor de la bugetul de stat către bugetele locale la Legea bugetului de stat pentru anul 2020 nr.172/2019.</w:t>
      </w:r>
    </w:p>
  </w:footnote>
  <w:footnote w:id="102">
    <w:p w:rsidR="00642DC1" w:rsidRPr="003A30EC" w:rsidRDefault="00642DC1" w:rsidP="00E470B5">
      <w:pPr>
        <w:pStyle w:val="aa"/>
        <w:jc w:val="both"/>
        <w:rPr>
          <w:rFonts w:asciiTheme="majorHAnsi" w:hAnsiTheme="majorHAnsi" w:cstheme="majorHAnsi"/>
          <w:sz w:val="16"/>
          <w:szCs w:val="16"/>
          <w:lang w:val="ro-MD"/>
        </w:rPr>
      </w:pPr>
      <w:r w:rsidRPr="003A30EC">
        <w:rPr>
          <w:rStyle w:val="ac"/>
          <w:rFonts w:asciiTheme="majorHAnsi" w:hAnsiTheme="majorHAnsi" w:cstheme="majorHAnsi"/>
          <w:sz w:val="16"/>
          <w:szCs w:val="16"/>
          <w:lang w:val="ro-MD"/>
        </w:rPr>
        <w:footnoteRef/>
      </w:r>
      <w:r>
        <w:rPr>
          <w:rFonts w:asciiTheme="majorHAnsi" w:hAnsiTheme="majorHAnsi" w:cstheme="majorHAnsi"/>
          <w:sz w:val="16"/>
          <w:szCs w:val="16"/>
          <w:shd w:val="clear" w:color="auto" w:fill="FFFFFF"/>
          <w:lang w:val="ro-MD"/>
        </w:rPr>
        <w:t xml:space="preserve"> </w:t>
      </w:r>
      <w:r w:rsidRPr="003A30EC">
        <w:rPr>
          <w:rFonts w:asciiTheme="majorHAnsi" w:hAnsiTheme="majorHAnsi" w:cstheme="majorHAnsi"/>
          <w:sz w:val="16"/>
          <w:szCs w:val="16"/>
          <w:shd w:val="clear" w:color="auto" w:fill="FFFFFF"/>
          <w:lang w:val="ro-MD"/>
        </w:rPr>
        <w:t xml:space="preserve">Compensații persoanelor supuse represiunilor politice – 1,6 mil. lei; </w:t>
      </w:r>
      <w:r>
        <w:rPr>
          <w:rFonts w:asciiTheme="majorHAnsi" w:hAnsiTheme="majorHAnsi" w:cstheme="majorHAnsi"/>
          <w:sz w:val="16"/>
          <w:szCs w:val="16"/>
          <w:lang w:val="ro-MD"/>
        </w:rPr>
        <w:t>i</w:t>
      </w:r>
      <w:r w:rsidRPr="003A30EC">
        <w:rPr>
          <w:rFonts w:asciiTheme="majorHAnsi" w:hAnsiTheme="majorHAnsi" w:cstheme="majorHAnsi"/>
          <w:sz w:val="16"/>
          <w:szCs w:val="16"/>
          <w:lang w:val="ro-MD"/>
        </w:rPr>
        <w:t xml:space="preserve">ndemnizații unice pentru construcția sau procurarea spațiului locativ </w:t>
      </w:r>
      <w:r w:rsidRPr="003A30EC">
        <w:rPr>
          <w:rFonts w:asciiTheme="majorHAnsi" w:hAnsiTheme="majorHAnsi" w:cstheme="majorHAnsi"/>
          <w:sz w:val="16"/>
          <w:szCs w:val="16"/>
          <w:shd w:val="clear" w:color="auto" w:fill="FFFFFF"/>
          <w:lang w:val="ro-MD"/>
        </w:rPr>
        <w:t>și compensații unice pentru conectarea la conducta de gaze naturale a unor categorii de populație din mediul rural</w:t>
      </w:r>
      <w:r w:rsidRPr="003A30EC">
        <w:rPr>
          <w:rFonts w:asciiTheme="majorHAnsi" w:hAnsiTheme="majorHAnsi" w:cstheme="majorHAnsi"/>
          <w:sz w:val="16"/>
          <w:szCs w:val="16"/>
          <w:lang w:val="ro-MD"/>
        </w:rPr>
        <w:t xml:space="preserve"> – 0,7 mil. lei;</w:t>
      </w:r>
      <w:r w:rsidRPr="00F55BA6">
        <w:rPr>
          <w:lang w:val="ro-MD"/>
        </w:rPr>
        <w:t xml:space="preserve"> </w:t>
      </w:r>
      <w:r>
        <w:rPr>
          <w:rFonts w:asciiTheme="majorHAnsi" w:hAnsiTheme="majorHAnsi" w:cstheme="majorHAnsi"/>
          <w:sz w:val="16"/>
          <w:szCs w:val="16"/>
          <w:lang w:val="ro-MD"/>
        </w:rPr>
        <w:t>s</w:t>
      </w:r>
      <w:r w:rsidRPr="003A30EC">
        <w:rPr>
          <w:rFonts w:asciiTheme="majorHAnsi" w:hAnsiTheme="majorHAnsi" w:cstheme="majorHAnsi"/>
          <w:sz w:val="16"/>
          <w:szCs w:val="16"/>
          <w:lang w:val="ro-MD"/>
        </w:rPr>
        <w:t>usținerea programului de granturi pentru inițiativele tinerilor la nivel local – 0,7 mil. lei.</w:t>
      </w:r>
    </w:p>
  </w:footnote>
  <w:footnote w:id="103">
    <w:p w:rsidR="00642DC1" w:rsidRPr="00F55BA6" w:rsidRDefault="00642DC1" w:rsidP="005B3E18">
      <w:pPr>
        <w:spacing w:after="0" w:line="240" w:lineRule="auto"/>
        <w:rPr>
          <w:rFonts w:asciiTheme="majorHAnsi" w:eastAsia="Times New Roman" w:hAnsiTheme="majorHAnsi" w:cstheme="majorHAnsi"/>
          <w:color w:val="000000"/>
          <w:sz w:val="16"/>
          <w:szCs w:val="16"/>
          <w:lang w:val="ro-RO"/>
        </w:rPr>
      </w:pPr>
      <w:r w:rsidRPr="00F55BA6">
        <w:rPr>
          <w:rStyle w:val="ac"/>
          <w:rFonts w:asciiTheme="majorHAnsi" w:hAnsiTheme="majorHAnsi" w:cstheme="majorHAnsi"/>
          <w:sz w:val="16"/>
          <w:szCs w:val="16"/>
          <w:lang w:val="ro-RO"/>
        </w:rPr>
        <w:footnoteRef/>
      </w:r>
      <w:r w:rsidRPr="00F55BA6">
        <w:rPr>
          <w:rFonts w:asciiTheme="majorHAnsi" w:hAnsiTheme="majorHAnsi" w:cstheme="majorHAnsi"/>
          <w:sz w:val="16"/>
          <w:szCs w:val="16"/>
          <w:lang w:val="ro-RO"/>
        </w:rPr>
        <w:t xml:space="preserve"> </w:t>
      </w:r>
      <w:r w:rsidRPr="00F55BA6">
        <w:rPr>
          <w:rFonts w:asciiTheme="majorHAnsi" w:eastAsia="Times New Roman" w:hAnsiTheme="majorHAnsi" w:cstheme="majorHAnsi"/>
          <w:sz w:val="16"/>
          <w:szCs w:val="16"/>
          <w:lang w:val="ro-RO"/>
        </w:rPr>
        <w:t>Achitarea</w:t>
      </w:r>
      <w:r w:rsidRPr="00B0488B">
        <w:rPr>
          <w:rFonts w:asciiTheme="majorHAnsi" w:eastAsia="Times New Roman" w:hAnsiTheme="majorHAnsi" w:cstheme="majorHAnsi"/>
          <w:color w:val="000000"/>
          <w:sz w:val="16"/>
          <w:szCs w:val="16"/>
          <w:lang w:val="ro-RO"/>
        </w:rPr>
        <w:t xml:space="preserve"> documentelor executorii de către MF reprezintă</w:t>
      </w:r>
      <w:r w:rsidRPr="00F55BA6">
        <w:rPr>
          <w:rFonts w:asciiTheme="majorHAnsi" w:eastAsia="Times New Roman" w:hAnsiTheme="majorHAnsi" w:cstheme="majorHAnsi"/>
          <w:sz w:val="16"/>
          <w:szCs w:val="16"/>
          <w:lang w:val="ro-RO"/>
        </w:rPr>
        <w:t xml:space="preserve"> plata reclamanților (5 persoane fizice), care au fost lipsiți de proprietatea lor, și anume </w:t>
      </w:r>
      <w:r>
        <w:rPr>
          <w:rFonts w:asciiTheme="majorHAnsi" w:eastAsia="Times New Roman" w:hAnsiTheme="majorHAnsi" w:cstheme="majorHAnsi"/>
          <w:sz w:val="16"/>
          <w:szCs w:val="16"/>
          <w:lang w:val="ro-RO"/>
        </w:rPr>
        <w:t xml:space="preserve">de </w:t>
      </w:r>
      <w:r w:rsidRPr="00F55BA6">
        <w:rPr>
          <w:rFonts w:asciiTheme="majorHAnsi" w:eastAsia="Times New Roman" w:hAnsiTheme="majorHAnsi" w:cstheme="majorHAnsi"/>
          <w:sz w:val="16"/>
          <w:szCs w:val="16"/>
          <w:lang w:val="ro-RO"/>
        </w:rPr>
        <w:t>2385 m</w:t>
      </w:r>
      <w:r w:rsidRPr="00F55BA6">
        <w:rPr>
          <w:rFonts w:asciiTheme="majorHAnsi" w:eastAsia="Times New Roman" w:hAnsiTheme="majorHAnsi" w:cstheme="majorHAnsi"/>
          <w:sz w:val="16"/>
          <w:szCs w:val="16"/>
          <w:vertAlign w:val="superscript"/>
          <w:lang w:val="ro-RO"/>
        </w:rPr>
        <w:t>2</w:t>
      </w:r>
      <w:r w:rsidRPr="00F55BA6">
        <w:rPr>
          <w:rFonts w:asciiTheme="majorHAnsi" w:eastAsia="Times New Roman" w:hAnsiTheme="majorHAnsi" w:cstheme="majorHAnsi"/>
          <w:sz w:val="16"/>
          <w:szCs w:val="16"/>
          <w:lang w:val="ro-RO"/>
        </w:rPr>
        <w:t xml:space="preserve"> </w:t>
      </w:r>
      <w:r>
        <w:rPr>
          <w:rFonts w:asciiTheme="majorHAnsi" w:eastAsia="Times New Roman" w:hAnsiTheme="majorHAnsi" w:cstheme="majorHAnsi"/>
          <w:sz w:val="16"/>
          <w:szCs w:val="16"/>
          <w:lang w:val="ro-RO"/>
        </w:rPr>
        <w:t xml:space="preserve">spații comerciale </w:t>
      </w:r>
      <w:r w:rsidRPr="00F55BA6">
        <w:rPr>
          <w:rFonts w:asciiTheme="majorHAnsi" w:eastAsia="Times New Roman" w:hAnsiTheme="majorHAnsi" w:cstheme="majorHAnsi"/>
          <w:sz w:val="16"/>
          <w:szCs w:val="16"/>
          <w:lang w:val="ro-RO"/>
        </w:rPr>
        <w:t>din Casa de comerț „Gemeni”.</w:t>
      </w:r>
    </w:p>
  </w:footnote>
  <w:footnote w:id="104">
    <w:p w:rsidR="00642DC1" w:rsidRPr="00F55BA6" w:rsidRDefault="00642DC1" w:rsidP="00CC2842">
      <w:pPr>
        <w:pStyle w:val="aa"/>
        <w:jc w:val="both"/>
        <w:rPr>
          <w:rFonts w:asciiTheme="majorHAnsi" w:hAnsiTheme="majorHAnsi" w:cstheme="majorHAnsi"/>
          <w:sz w:val="16"/>
          <w:szCs w:val="16"/>
          <w:lang w:val="ro-MD"/>
        </w:rPr>
      </w:pPr>
      <w:r w:rsidRPr="00F55BA6">
        <w:rPr>
          <w:rStyle w:val="ac"/>
          <w:rFonts w:asciiTheme="majorHAnsi" w:hAnsiTheme="majorHAnsi" w:cstheme="majorHAnsi"/>
          <w:sz w:val="16"/>
          <w:szCs w:val="16"/>
          <w:lang w:val="ro-MD"/>
        </w:rPr>
        <w:footnoteRef/>
      </w:r>
      <w:r w:rsidRPr="00F55BA6">
        <w:rPr>
          <w:rFonts w:asciiTheme="majorHAnsi" w:hAnsiTheme="majorHAnsi" w:cstheme="majorHAnsi"/>
          <w:sz w:val="16"/>
          <w:szCs w:val="16"/>
          <w:lang w:val="ro-MD"/>
        </w:rPr>
        <w:t xml:space="preserve"> </w:t>
      </w:r>
      <w:r w:rsidRPr="00F55BA6">
        <w:rPr>
          <w:rFonts w:asciiTheme="majorHAnsi" w:hAnsiTheme="majorHAnsi" w:cstheme="majorHAnsi"/>
          <w:i/>
          <w:sz w:val="16"/>
          <w:szCs w:val="16"/>
          <w:lang w:val="ro-MD"/>
        </w:rPr>
        <w:t xml:space="preserve">BS </w:t>
      </w:r>
      <w:r>
        <w:rPr>
          <w:rFonts w:asciiTheme="majorHAnsi" w:hAnsiTheme="majorHAnsi" w:cstheme="majorHAnsi"/>
          <w:i/>
          <w:sz w:val="16"/>
          <w:szCs w:val="16"/>
          <w:lang w:val="ro-MD"/>
        </w:rPr>
        <w:t>–</w:t>
      </w:r>
      <w:r w:rsidRPr="00F55BA6">
        <w:rPr>
          <w:rFonts w:asciiTheme="majorHAnsi" w:hAnsiTheme="majorHAnsi" w:cstheme="majorHAnsi"/>
          <w:i/>
          <w:sz w:val="16"/>
          <w:szCs w:val="16"/>
          <w:lang w:val="ro-MD"/>
        </w:rPr>
        <w:t xml:space="preserve"> </w:t>
      </w:r>
      <w:r w:rsidRPr="00EF4F0F">
        <w:rPr>
          <w:rFonts w:asciiTheme="majorHAnsi" w:hAnsiTheme="majorHAnsi" w:cstheme="majorHAnsi"/>
          <w:i/>
          <w:sz w:val="16"/>
          <w:szCs w:val="16"/>
          <w:lang w:val="ro-MD"/>
        </w:rPr>
        <w:t>totalitatea veniturilor, cheltuielilor și surselor de finanțare destinate pentru realizarea funcțiilor autorităților publice centrale, cu excepția funcțiilor proprii sistemului public de asigurări sociale și sistemului de asigurări obligatorii de asistență medicală, precum și pentru stabilirea relațiilor cu alte bugete.</w:t>
      </w:r>
    </w:p>
  </w:footnote>
  <w:footnote w:id="105">
    <w:p w:rsidR="00642DC1" w:rsidRPr="00EF4F0F" w:rsidRDefault="00642DC1" w:rsidP="00CC2842">
      <w:pPr>
        <w:pStyle w:val="aa"/>
        <w:jc w:val="both"/>
        <w:rPr>
          <w:rFonts w:asciiTheme="majorHAnsi" w:hAnsiTheme="majorHAnsi" w:cstheme="majorHAnsi"/>
          <w:sz w:val="16"/>
          <w:szCs w:val="16"/>
          <w:lang w:val="ro-MD"/>
        </w:rPr>
      </w:pPr>
      <w:r w:rsidRPr="00F55BA6">
        <w:rPr>
          <w:rStyle w:val="ac"/>
          <w:rFonts w:asciiTheme="majorHAnsi" w:hAnsiTheme="majorHAnsi" w:cstheme="majorHAnsi"/>
          <w:sz w:val="16"/>
          <w:szCs w:val="16"/>
          <w:lang w:val="ro-MD"/>
        </w:rPr>
        <w:footnoteRef/>
      </w:r>
      <w:r w:rsidRPr="00F55BA6">
        <w:rPr>
          <w:rFonts w:asciiTheme="majorHAnsi" w:hAnsiTheme="majorHAnsi" w:cstheme="majorHAnsi"/>
          <w:sz w:val="16"/>
          <w:szCs w:val="16"/>
          <w:lang w:val="ro-MD"/>
        </w:rPr>
        <w:t xml:space="preserve"> </w:t>
      </w:r>
      <w:r w:rsidRPr="00EF4F0F">
        <w:rPr>
          <w:rFonts w:asciiTheme="majorHAnsi" w:hAnsiTheme="majorHAnsi" w:cstheme="majorHAnsi"/>
          <w:sz w:val="16"/>
          <w:szCs w:val="16"/>
          <w:lang w:val="ro-MD"/>
        </w:rPr>
        <w:t>Art.26 din Legea finanțelor publice și responsabilității bugetar-fiscale nr.181 din 25.07.2014.</w:t>
      </w:r>
    </w:p>
  </w:footnote>
  <w:footnote w:id="106">
    <w:p w:rsidR="00642DC1" w:rsidRPr="00F55BA6" w:rsidRDefault="00642DC1" w:rsidP="000013EB">
      <w:pPr>
        <w:pStyle w:val="aa"/>
        <w:jc w:val="both"/>
        <w:rPr>
          <w:rFonts w:ascii="Times New Roman" w:hAnsi="Times New Roman" w:cs="Times New Roman"/>
          <w:sz w:val="18"/>
          <w:szCs w:val="18"/>
          <w:lang w:val="ro-MD"/>
        </w:rPr>
      </w:pPr>
      <w:r w:rsidRPr="00F55BA6">
        <w:rPr>
          <w:rStyle w:val="ac"/>
          <w:rFonts w:asciiTheme="majorHAnsi" w:hAnsiTheme="majorHAnsi" w:cstheme="majorHAnsi"/>
          <w:sz w:val="16"/>
          <w:szCs w:val="16"/>
          <w:lang w:val="ro-MD"/>
        </w:rPr>
        <w:footnoteRef/>
      </w:r>
      <w:r w:rsidRPr="00F55BA6">
        <w:rPr>
          <w:rFonts w:asciiTheme="majorHAnsi" w:hAnsiTheme="majorHAnsi" w:cstheme="majorHAnsi"/>
          <w:sz w:val="16"/>
          <w:szCs w:val="16"/>
          <w:lang w:val="ro-MD"/>
        </w:rPr>
        <w:t xml:space="preserve"> Formularul nr.14 „Raportul privind executarea bugetului public național”, aprobat prin Ordinul MF nr.18 din 27.01.2020.</w:t>
      </w:r>
    </w:p>
  </w:footnote>
  <w:footnote w:id="107">
    <w:p w:rsidR="00642DC1" w:rsidRPr="004A1CC0" w:rsidRDefault="00642DC1" w:rsidP="00A6785F">
      <w:pPr>
        <w:pStyle w:val="a8"/>
        <w:spacing w:after="0" w:line="240" w:lineRule="auto"/>
        <w:rPr>
          <w:rFonts w:asciiTheme="majorHAnsi" w:hAnsiTheme="majorHAnsi" w:cstheme="majorHAnsi"/>
          <w:i/>
          <w:sz w:val="16"/>
          <w:szCs w:val="16"/>
          <w:lang w:val="ro-MD"/>
        </w:rPr>
      </w:pPr>
      <w:r w:rsidRPr="004A1CC0">
        <w:rPr>
          <w:rStyle w:val="ac"/>
          <w:rFonts w:asciiTheme="majorHAnsi" w:hAnsiTheme="majorHAnsi" w:cstheme="majorHAnsi"/>
          <w:sz w:val="16"/>
          <w:szCs w:val="16"/>
          <w:lang w:val="ro-MD"/>
        </w:rPr>
        <w:footnoteRef/>
      </w:r>
      <w:r w:rsidRPr="004A1CC0">
        <w:rPr>
          <w:rFonts w:asciiTheme="majorHAnsi" w:hAnsiTheme="majorHAnsi" w:cstheme="majorHAnsi"/>
          <w:sz w:val="16"/>
          <w:szCs w:val="16"/>
          <w:lang w:val="ro-MD"/>
        </w:rPr>
        <w:t xml:space="preserve"> Art.19 din </w:t>
      </w:r>
      <w:r w:rsidRPr="004A1CC0">
        <w:rPr>
          <w:rFonts w:asciiTheme="majorHAnsi" w:hAnsiTheme="majorHAnsi" w:cstheme="majorHAnsi"/>
          <w:sz w:val="16"/>
          <w:szCs w:val="16"/>
          <w:lang w:val="ro-MD" w:eastAsia="ro-RO"/>
        </w:rPr>
        <w:t xml:space="preserve">Legea </w:t>
      </w:r>
      <w:r w:rsidRPr="004A1CC0">
        <w:rPr>
          <w:rFonts w:asciiTheme="majorHAnsi" w:hAnsiTheme="majorHAnsi" w:cstheme="majorHAnsi"/>
          <w:bCs/>
          <w:sz w:val="16"/>
          <w:szCs w:val="16"/>
          <w:lang w:val="ro-MD"/>
        </w:rPr>
        <w:t>nr.181 din 25.07.2014:</w:t>
      </w:r>
      <w:r w:rsidRPr="004A1CC0">
        <w:rPr>
          <w:rFonts w:asciiTheme="majorHAnsi" w:hAnsiTheme="majorHAnsi" w:cstheme="majorHAnsi"/>
          <w:sz w:val="16"/>
          <w:szCs w:val="16"/>
          <w:lang w:val="ro-MD" w:eastAsia="ro-RO"/>
        </w:rPr>
        <w:t xml:space="preserve"> </w:t>
      </w:r>
      <w:r w:rsidRPr="004A1CC0">
        <w:rPr>
          <w:rFonts w:asciiTheme="majorHAnsi" w:hAnsiTheme="majorHAnsi" w:cstheme="majorHAnsi"/>
          <w:sz w:val="16"/>
          <w:szCs w:val="16"/>
          <w:lang w:val="ro-MD"/>
        </w:rPr>
        <w:t xml:space="preserve"> </w:t>
      </w:r>
      <w:r w:rsidRPr="004A1CC0">
        <w:rPr>
          <w:rFonts w:asciiTheme="majorHAnsi" w:hAnsiTheme="majorHAnsi" w:cstheme="majorHAnsi"/>
          <w:i/>
          <w:sz w:val="16"/>
          <w:szCs w:val="16"/>
          <w:lang w:val="ro-MD"/>
        </w:rPr>
        <w:t>„asigură durabilitatea programului de guvernare și a altor documente de politici din punct de vedere bugetar-fiscal; aprobă cadrul bugetar pe termen mediu; aprobă și prezintă Parlamentului proiectele legilor bugetare anuale, precum și proiectele de legi privind modificarea bugetelor; adoptă hotărâri privind redistribuirea alocațiilor în condițiile art.60 alin.(1) lit. a); asigură gestionarea eficientă și transparentă a fondului de rezervă și a fondului de intervenție ale Guvernului etc.”.</w:t>
      </w:r>
    </w:p>
  </w:footnote>
  <w:footnote w:id="108">
    <w:p w:rsidR="00642DC1" w:rsidRPr="004A1CC0" w:rsidRDefault="00642DC1" w:rsidP="00A6785F">
      <w:pPr>
        <w:pStyle w:val="aa"/>
        <w:jc w:val="both"/>
        <w:rPr>
          <w:rFonts w:asciiTheme="majorHAnsi" w:hAnsiTheme="majorHAnsi" w:cstheme="majorHAnsi"/>
          <w:sz w:val="16"/>
          <w:szCs w:val="16"/>
          <w:lang w:val="ro-MD"/>
        </w:rPr>
      </w:pPr>
      <w:r w:rsidRPr="004A1CC0">
        <w:rPr>
          <w:rStyle w:val="ac"/>
          <w:rFonts w:asciiTheme="majorHAnsi" w:hAnsiTheme="majorHAnsi" w:cstheme="majorHAnsi"/>
          <w:sz w:val="16"/>
          <w:szCs w:val="16"/>
          <w:lang w:val="ro-MD"/>
        </w:rPr>
        <w:footnoteRef/>
      </w:r>
      <w:r w:rsidRPr="004A1CC0">
        <w:rPr>
          <w:rFonts w:asciiTheme="majorHAnsi" w:hAnsiTheme="majorHAnsi" w:cstheme="majorHAnsi"/>
          <w:sz w:val="16"/>
          <w:szCs w:val="16"/>
          <w:lang w:val="ro-MD"/>
        </w:rPr>
        <w:t xml:space="preserve"> Art.20 din Legea nr.181 din 25.07.2014.</w:t>
      </w:r>
    </w:p>
  </w:footnote>
  <w:footnote w:id="109">
    <w:p w:rsidR="00642DC1" w:rsidRPr="00E3133E" w:rsidRDefault="00642DC1" w:rsidP="00A6785F">
      <w:pPr>
        <w:pStyle w:val="ad"/>
        <w:jc w:val="both"/>
        <w:rPr>
          <w:rFonts w:asciiTheme="majorHAnsi" w:hAnsiTheme="majorHAnsi" w:cstheme="majorHAnsi"/>
          <w:sz w:val="16"/>
          <w:szCs w:val="16"/>
          <w:lang w:val="ro-RO"/>
        </w:rPr>
      </w:pPr>
      <w:r w:rsidRPr="004A1CC0">
        <w:rPr>
          <w:rStyle w:val="ac"/>
          <w:rFonts w:asciiTheme="majorHAnsi" w:hAnsiTheme="majorHAnsi" w:cstheme="majorHAnsi"/>
          <w:sz w:val="16"/>
          <w:szCs w:val="16"/>
          <w:lang w:val="ro-MD"/>
        </w:rPr>
        <w:footnoteRef/>
      </w:r>
      <w:r w:rsidRPr="004A1CC0">
        <w:rPr>
          <w:rFonts w:asciiTheme="majorHAnsi" w:hAnsiTheme="majorHAnsi" w:cstheme="majorHAnsi"/>
          <w:sz w:val="16"/>
          <w:szCs w:val="16"/>
          <w:lang w:val="ro-MD"/>
        </w:rPr>
        <w:t xml:space="preserve"> Art.73 din </w:t>
      </w:r>
      <w:r w:rsidRPr="004A1CC0">
        <w:rPr>
          <w:rFonts w:asciiTheme="majorHAnsi" w:hAnsiTheme="majorHAnsi" w:cstheme="majorHAnsi"/>
          <w:sz w:val="16"/>
          <w:szCs w:val="16"/>
          <w:lang w:val="ro-MD" w:eastAsia="ro-RO"/>
        </w:rPr>
        <w:t xml:space="preserve">Legea </w:t>
      </w:r>
      <w:r w:rsidRPr="004A1CC0">
        <w:rPr>
          <w:rFonts w:asciiTheme="majorHAnsi" w:hAnsiTheme="majorHAnsi" w:cstheme="majorHAnsi"/>
          <w:bCs/>
          <w:sz w:val="16"/>
          <w:szCs w:val="16"/>
          <w:lang w:val="ro-MD"/>
        </w:rPr>
        <w:t>nr.181 din 25.07.2014</w:t>
      </w:r>
      <w:r w:rsidRPr="004A1CC0">
        <w:rPr>
          <w:rFonts w:asciiTheme="majorHAnsi" w:hAnsiTheme="majorHAnsi" w:cstheme="majorHAnsi"/>
          <w:sz w:val="16"/>
          <w:szCs w:val="16"/>
          <w:lang w:val="ro-MD" w:eastAsia="ro-RO"/>
        </w:rPr>
        <w:t>.</w:t>
      </w:r>
    </w:p>
  </w:footnote>
  <w:footnote w:id="110">
    <w:p w:rsidR="00642DC1" w:rsidRPr="003D55AE" w:rsidRDefault="00642DC1" w:rsidP="00E046BF">
      <w:pPr>
        <w:pStyle w:val="aa"/>
        <w:jc w:val="both"/>
        <w:rPr>
          <w:rFonts w:asciiTheme="majorHAnsi" w:hAnsiTheme="majorHAnsi" w:cstheme="majorHAnsi"/>
          <w:sz w:val="16"/>
          <w:szCs w:val="16"/>
          <w:lang w:val="ro-MD"/>
        </w:rPr>
      </w:pPr>
      <w:r w:rsidRPr="000926D9">
        <w:rPr>
          <w:rStyle w:val="ac"/>
          <w:rFonts w:asciiTheme="majorHAnsi" w:hAnsiTheme="majorHAnsi" w:cstheme="majorHAnsi"/>
          <w:sz w:val="16"/>
          <w:szCs w:val="16"/>
          <w:lang w:val="ro-MD"/>
        </w:rPr>
        <w:footnoteRef/>
      </w:r>
      <w:r w:rsidRPr="000926D9">
        <w:rPr>
          <w:rFonts w:asciiTheme="majorHAnsi" w:hAnsiTheme="majorHAnsi" w:cstheme="majorHAnsi"/>
          <w:sz w:val="16"/>
          <w:szCs w:val="16"/>
          <w:lang w:val="ro-MD"/>
        </w:rPr>
        <w:t xml:space="preserve"> Art.74 din Legea nr.181 din 25.07.2014.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348A2"/>
    <w:multiLevelType w:val="hybridMultilevel"/>
    <w:tmpl w:val="DB1C72EC"/>
    <w:lvl w:ilvl="0" w:tplc="00FE57FE">
      <w:start w:val="1"/>
      <w:numFmt w:val="decimal"/>
      <w:lvlText w:val="%1."/>
      <w:lvlJc w:val="left"/>
      <w:pPr>
        <w:ind w:left="720" w:hanging="360"/>
      </w:pPr>
      <w:rPr>
        <w:rFonts w:asciiTheme="majorHAnsi" w:eastAsia="Times New Roman" w:hAnsiTheme="majorHAnsi" w:cstheme="majorHAnsi"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8764C"/>
    <w:multiLevelType w:val="hybridMultilevel"/>
    <w:tmpl w:val="0798D4F2"/>
    <w:lvl w:ilvl="0" w:tplc="C69E140A">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571DF"/>
    <w:multiLevelType w:val="hybridMultilevel"/>
    <w:tmpl w:val="77545996"/>
    <w:lvl w:ilvl="0" w:tplc="D166B5AE">
      <w:start w:val="1"/>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275BF"/>
    <w:multiLevelType w:val="multilevel"/>
    <w:tmpl w:val="DE923E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762CE1"/>
    <w:multiLevelType w:val="hybridMultilevel"/>
    <w:tmpl w:val="6ADA8928"/>
    <w:lvl w:ilvl="0" w:tplc="4DF66E18">
      <w:numFmt w:val="bullet"/>
      <w:lvlText w:val="-"/>
      <w:lvlJc w:val="left"/>
      <w:pPr>
        <w:ind w:left="1069" w:hanging="360"/>
      </w:pPr>
      <w:rPr>
        <w:rFonts w:ascii="Calibri Light" w:eastAsiaTheme="minorHAnsi" w:hAnsi="Calibri Light" w:cs="Calibri Light"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1787591B"/>
    <w:multiLevelType w:val="hybridMultilevel"/>
    <w:tmpl w:val="6ECE614E"/>
    <w:lvl w:ilvl="0" w:tplc="84A417AA">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973AE5"/>
    <w:multiLevelType w:val="hybridMultilevel"/>
    <w:tmpl w:val="09D8E28C"/>
    <w:lvl w:ilvl="0" w:tplc="DB84FEA0">
      <w:start w:val="1"/>
      <w:numFmt w:val="low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15:restartNumberingAfterBreak="0">
    <w:nsid w:val="1B8751B8"/>
    <w:multiLevelType w:val="hybridMultilevel"/>
    <w:tmpl w:val="29027EC2"/>
    <w:lvl w:ilvl="0" w:tplc="C69E140A">
      <w:numFmt w:val="bullet"/>
      <w:lvlText w:val="-"/>
      <w:lvlJc w:val="left"/>
      <w:pPr>
        <w:ind w:left="9149" w:hanging="360"/>
      </w:pPr>
      <w:rPr>
        <w:rFonts w:ascii="Calibri Light" w:eastAsia="Times New Roman" w:hAnsi="Calibri Light" w:cs="Calibri Light" w:hint="default"/>
      </w:rPr>
    </w:lvl>
    <w:lvl w:ilvl="1" w:tplc="04090003" w:tentative="1">
      <w:start w:val="1"/>
      <w:numFmt w:val="bullet"/>
      <w:lvlText w:val="o"/>
      <w:lvlJc w:val="left"/>
      <w:pPr>
        <w:ind w:left="9869" w:hanging="360"/>
      </w:pPr>
      <w:rPr>
        <w:rFonts w:ascii="Courier New" w:hAnsi="Courier New" w:cs="Courier New" w:hint="default"/>
      </w:rPr>
    </w:lvl>
    <w:lvl w:ilvl="2" w:tplc="04090005" w:tentative="1">
      <w:start w:val="1"/>
      <w:numFmt w:val="bullet"/>
      <w:lvlText w:val=""/>
      <w:lvlJc w:val="left"/>
      <w:pPr>
        <w:ind w:left="10589" w:hanging="360"/>
      </w:pPr>
      <w:rPr>
        <w:rFonts w:ascii="Wingdings" w:hAnsi="Wingdings" w:hint="default"/>
      </w:rPr>
    </w:lvl>
    <w:lvl w:ilvl="3" w:tplc="04090001" w:tentative="1">
      <w:start w:val="1"/>
      <w:numFmt w:val="bullet"/>
      <w:lvlText w:val=""/>
      <w:lvlJc w:val="left"/>
      <w:pPr>
        <w:ind w:left="11309" w:hanging="360"/>
      </w:pPr>
      <w:rPr>
        <w:rFonts w:ascii="Symbol" w:hAnsi="Symbol" w:hint="default"/>
      </w:rPr>
    </w:lvl>
    <w:lvl w:ilvl="4" w:tplc="04090003" w:tentative="1">
      <w:start w:val="1"/>
      <w:numFmt w:val="bullet"/>
      <w:lvlText w:val="o"/>
      <w:lvlJc w:val="left"/>
      <w:pPr>
        <w:ind w:left="12029" w:hanging="360"/>
      </w:pPr>
      <w:rPr>
        <w:rFonts w:ascii="Courier New" w:hAnsi="Courier New" w:cs="Courier New" w:hint="default"/>
      </w:rPr>
    </w:lvl>
    <w:lvl w:ilvl="5" w:tplc="04090005" w:tentative="1">
      <w:start w:val="1"/>
      <w:numFmt w:val="bullet"/>
      <w:lvlText w:val=""/>
      <w:lvlJc w:val="left"/>
      <w:pPr>
        <w:ind w:left="12749" w:hanging="360"/>
      </w:pPr>
      <w:rPr>
        <w:rFonts w:ascii="Wingdings" w:hAnsi="Wingdings" w:hint="default"/>
      </w:rPr>
    </w:lvl>
    <w:lvl w:ilvl="6" w:tplc="04090001" w:tentative="1">
      <w:start w:val="1"/>
      <w:numFmt w:val="bullet"/>
      <w:lvlText w:val=""/>
      <w:lvlJc w:val="left"/>
      <w:pPr>
        <w:ind w:left="13469" w:hanging="360"/>
      </w:pPr>
      <w:rPr>
        <w:rFonts w:ascii="Symbol" w:hAnsi="Symbol" w:hint="default"/>
      </w:rPr>
    </w:lvl>
    <w:lvl w:ilvl="7" w:tplc="04090003" w:tentative="1">
      <w:start w:val="1"/>
      <w:numFmt w:val="bullet"/>
      <w:lvlText w:val="o"/>
      <w:lvlJc w:val="left"/>
      <w:pPr>
        <w:ind w:left="14189" w:hanging="360"/>
      </w:pPr>
      <w:rPr>
        <w:rFonts w:ascii="Courier New" w:hAnsi="Courier New" w:cs="Courier New" w:hint="default"/>
      </w:rPr>
    </w:lvl>
    <w:lvl w:ilvl="8" w:tplc="04090005" w:tentative="1">
      <w:start w:val="1"/>
      <w:numFmt w:val="bullet"/>
      <w:lvlText w:val=""/>
      <w:lvlJc w:val="left"/>
      <w:pPr>
        <w:ind w:left="14909" w:hanging="360"/>
      </w:pPr>
      <w:rPr>
        <w:rFonts w:ascii="Wingdings" w:hAnsi="Wingdings" w:hint="default"/>
      </w:rPr>
    </w:lvl>
  </w:abstractNum>
  <w:abstractNum w:abstractNumId="8" w15:restartNumberingAfterBreak="0">
    <w:nsid w:val="1C0E06C3"/>
    <w:multiLevelType w:val="multilevel"/>
    <w:tmpl w:val="39942D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596ADD"/>
    <w:multiLevelType w:val="hybridMultilevel"/>
    <w:tmpl w:val="9872C466"/>
    <w:lvl w:ilvl="0" w:tplc="F5C62D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E777908"/>
    <w:multiLevelType w:val="multilevel"/>
    <w:tmpl w:val="083AFD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D56C6D"/>
    <w:multiLevelType w:val="multilevel"/>
    <w:tmpl w:val="EEBC2E30"/>
    <w:lvl w:ilvl="0">
      <w:start w:val="1"/>
      <w:numFmt w:val="decimal"/>
      <w:lvlText w:val="%1."/>
      <w:lvlJc w:val="left"/>
      <w:rPr>
        <w:rFonts w:asciiTheme="majorHAnsi" w:eastAsia="Calibri" w:hAnsiTheme="majorHAnsi" w:cstheme="majorHAnsi" w:hint="default"/>
        <w:b/>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1029F0"/>
    <w:multiLevelType w:val="hybridMultilevel"/>
    <w:tmpl w:val="50B83D60"/>
    <w:lvl w:ilvl="0" w:tplc="3792523C">
      <w:start w:val="4"/>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176B0E"/>
    <w:multiLevelType w:val="hybridMultilevel"/>
    <w:tmpl w:val="E7985D46"/>
    <w:lvl w:ilvl="0" w:tplc="B72C98F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AA4AE5"/>
    <w:multiLevelType w:val="hybridMultilevel"/>
    <w:tmpl w:val="23E68E2E"/>
    <w:lvl w:ilvl="0" w:tplc="E930709C">
      <w:start w:val="1"/>
      <w:numFmt w:val="lowerRoman"/>
      <w:lvlText w:val="(%1)"/>
      <w:lvlJc w:val="left"/>
      <w:pPr>
        <w:ind w:left="1080" w:hanging="720"/>
      </w:pPr>
      <w:rPr>
        <w:rFonts w:cstheme="majorHAnsi" w:hint="default"/>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F332E0"/>
    <w:multiLevelType w:val="multilevel"/>
    <w:tmpl w:val="E06086A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F3019E"/>
    <w:multiLevelType w:val="hybridMultilevel"/>
    <w:tmpl w:val="5EE4EA9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3F205E95"/>
    <w:multiLevelType w:val="hybridMultilevel"/>
    <w:tmpl w:val="18E0981E"/>
    <w:lvl w:ilvl="0" w:tplc="04190001">
      <w:start w:val="1"/>
      <w:numFmt w:val="bullet"/>
      <w:lvlText w:val=""/>
      <w:lvlJc w:val="left"/>
      <w:pPr>
        <w:ind w:left="720" w:hanging="360"/>
      </w:pPr>
      <w:rPr>
        <w:rFonts w:ascii="Symbol" w:hAnsi="Symbol"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60A407F"/>
    <w:multiLevelType w:val="hybridMultilevel"/>
    <w:tmpl w:val="EB060668"/>
    <w:lvl w:ilvl="0" w:tplc="2E1A2AD4">
      <w:start w:val="3"/>
      <w:numFmt w:val="lowerRoman"/>
      <w:lvlText w:val="(%1)"/>
      <w:lvlJc w:val="left"/>
      <w:pPr>
        <w:ind w:left="1080" w:hanging="72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792FBB"/>
    <w:multiLevelType w:val="hybridMultilevel"/>
    <w:tmpl w:val="C592065E"/>
    <w:lvl w:ilvl="0" w:tplc="D37AA114">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52FF5792"/>
    <w:multiLevelType w:val="hybridMultilevel"/>
    <w:tmpl w:val="0E145FB4"/>
    <w:lvl w:ilvl="0" w:tplc="294E040E">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BB5BF5"/>
    <w:multiLevelType w:val="hybridMultilevel"/>
    <w:tmpl w:val="FC70D690"/>
    <w:lvl w:ilvl="0" w:tplc="D054DE6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745104"/>
    <w:multiLevelType w:val="hybridMultilevel"/>
    <w:tmpl w:val="596016AC"/>
    <w:lvl w:ilvl="0" w:tplc="02FE1A64">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5C267123"/>
    <w:multiLevelType w:val="hybridMultilevel"/>
    <w:tmpl w:val="15C205F8"/>
    <w:lvl w:ilvl="0" w:tplc="48E26764">
      <w:start w:val="1"/>
      <w:numFmt w:val="decimal"/>
      <w:lvlText w:val="%1."/>
      <w:lvlJc w:val="left"/>
      <w:pPr>
        <w:ind w:left="1429" w:hanging="360"/>
      </w:pPr>
      <w:rPr>
        <w:b/>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15:restartNumberingAfterBreak="0">
    <w:nsid w:val="5C7D6D76"/>
    <w:multiLevelType w:val="hybridMultilevel"/>
    <w:tmpl w:val="283E2588"/>
    <w:lvl w:ilvl="0" w:tplc="3D20772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091ACB"/>
    <w:multiLevelType w:val="multilevel"/>
    <w:tmpl w:val="39942D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A493F53"/>
    <w:multiLevelType w:val="hybridMultilevel"/>
    <w:tmpl w:val="1BB8B008"/>
    <w:lvl w:ilvl="0" w:tplc="D37AA1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C061DA"/>
    <w:multiLevelType w:val="hybridMultilevel"/>
    <w:tmpl w:val="C61CDA30"/>
    <w:lvl w:ilvl="0" w:tplc="00FE57FE">
      <w:start w:val="1"/>
      <w:numFmt w:val="decimal"/>
      <w:lvlText w:val="%1."/>
      <w:lvlJc w:val="left"/>
      <w:pPr>
        <w:ind w:left="720" w:hanging="360"/>
      </w:pPr>
      <w:rPr>
        <w:rFonts w:asciiTheme="majorHAnsi" w:eastAsia="Times New Roman" w:hAnsiTheme="majorHAnsi" w:cstheme="majorHAnsi"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847E48"/>
    <w:multiLevelType w:val="hybridMultilevel"/>
    <w:tmpl w:val="3E103952"/>
    <w:lvl w:ilvl="0" w:tplc="51B879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A0179B"/>
    <w:multiLevelType w:val="hybridMultilevel"/>
    <w:tmpl w:val="53ECDF58"/>
    <w:lvl w:ilvl="0" w:tplc="CD2EECC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CB7248"/>
    <w:multiLevelType w:val="multilevel"/>
    <w:tmpl w:val="68A27860"/>
    <w:lvl w:ilvl="0">
      <w:start w:val="1"/>
      <w:numFmt w:val="upperRoman"/>
      <w:lvlText w:val="%1."/>
      <w:lvlJc w:val="left"/>
      <w:pPr>
        <w:ind w:left="1080" w:hanging="720"/>
      </w:pPr>
      <w:rPr>
        <w:rFonts w:hint="default"/>
      </w:rPr>
    </w:lvl>
    <w:lvl w:ilvl="1">
      <w:start w:val="4"/>
      <w:numFmt w:val="decimal"/>
      <w:isLgl/>
      <w:lvlText w:val="%1.%2."/>
      <w:lvlJc w:val="left"/>
      <w:pPr>
        <w:ind w:left="756" w:hanging="396"/>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C7B5672"/>
    <w:multiLevelType w:val="hybridMultilevel"/>
    <w:tmpl w:val="388CB0B6"/>
    <w:lvl w:ilvl="0" w:tplc="3CF4F192">
      <w:start w:val="2"/>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473E62"/>
    <w:multiLevelType w:val="hybridMultilevel"/>
    <w:tmpl w:val="C6E60D54"/>
    <w:lvl w:ilvl="0" w:tplc="9884A01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0"/>
  </w:num>
  <w:num w:numId="2">
    <w:abstractNumId w:val="4"/>
  </w:num>
  <w:num w:numId="3">
    <w:abstractNumId w:val="29"/>
  </w:num>
  <w:num w:numId="4">
    <w:abstractNumId w:val="2"/>
  </w:num>
  <w:num w:numId="5">
    <w:abstractNumId w:val="7"/>
  </w:num>
  <w:num w:numId="6">
    <w:abstractNumId w:val="13"/>
  </w:num>
  <w:num w:numId="7">
    <w:abstractNumId w:val="26"/>
  </w:num>
  <w:num w:numId="8">
    <w:abstractNumId w:val="10"/>
  </w:num>
  <w:num w:numId="9">
    <w:abstractNumId w:val="3"/>
  </w:num>
  <w:num w:numId="10">
    <w:abstractNumId w:val="24"/>
  </w:num>
  <w:num w:numId="11">
    <w:abstractNumId w:val="1"/>
  </w:num>
  <w:num w:numId="12">
    <w:abstractNumId w:val="27"/>
  </w:num>
  <w:num w:numId="13">
    <w:abstractNumId w:val="23"/>
  </w:num>
  <w:num w:numId="14">
    <w:abstractNumId w:val="19"/>
  </w:num>
  <w:num w:numId="15">
    <w:abstractNumId w:val="32"/>
  </w:num>
  <w:num w:numId="16">
    <w:abstractNumId w:val="22"/>
  </w:num>
  <w:num w:numId="17">
    <w:abstractNumId w:val="20"/>
  </w:num>
  <w:num w:numId="18">
    <w:abstractNumId w:val="5"/>
  </w:num>
  <w:num w:numId="19">
    <w:abstractNumId w:val="0"/>
  </w:num>
  <w:num w:numId="20">
    <w:abstractNumId w:val="17"/>
  </w:num>
  <w:num w:numId="21">
    <w:abstractNumId w:val="14"/>
  </w:num>
  <w:num w:numId="22">
    <w:abstractNumId w:val="16"/>
  </w:num>
  <w:num w:numId="23">
    <w:abstractNumId w:val="12"/>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5"/>
  </w:num>
  <w:num w:numId="27">
    <w:abstractNumId w:val="21"/>
  </w:num>
  <w:num w:numId="28">
    <w:abstractNumId w:val="28"/>
  </w:num>
  <w:num w:numId="29">
    <w:abstractNumId w:val="25"/>
  </w:num>
  <w:num w:numId="30">
    <w:abstractNumId w:val="31"/>
  </w:num>
  <w:num w:numId="31">
    <w:abstractNumId w:val="18"/>
  </w:num>
  <w:num w:numId="32">
    <w:abstractNumId w:val="8"/>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83B"/>
    <w:rsid w:val="0000007F"/>
    <w:rsid w:val="000013EB"/>
    <w:rsid w:val="000024EC"/>
    <w:rsid w:val="000027B4"/>
    <w:rsid w:val="00003100"/>
    <w:rsid w:val="00003DC7"/>
    <w:rsid w:val="00003EB5"/>
    <w:rsid w:val="0000467A"/>
    <w:rsid w:val="00004DD0"/>
    <w:rsid w:val="00005092"/>
    <w:rsid w:val="000055FD"/>
    <w:rsid w:val="000073C0"/>
    <w:rsid w:val="00007515"/>
    <w:rsid w:val="00007543"/>
    <w:rsid w:val="00007DC9"/>
    <w:rsid w:val="00007FE3"/>
    <w:rsid w:val="000104B0"/>
    <w:rsid w:val="00010B66"/>
    <w:rsid w:val="00011832"/>
    <w:rsid w:val="0001262A"/>
    <w:rsid w:val="00012DD4"/>
    <w:rsid w:val="00013E3A"/>
    <w:rsid w:val="0001551B"/>
    <w:rsid w:val="00015D87"/>
    <w:rsid w:val="00016750"/>
    <w:rsid w:val="00016DF7"/>
    <w:rsid w:val="000200CB"/>
    <w:rsid w:val="00020E8B"/>
    <w:rsid w:val="00020F73"/>
    <w:rsid w:val="000210B5"/>
    <w:rsid w:val="000211AD"/>
    <w:rsid w:val="00021C0E"/>
    <w:rsid w:val="00021CEB"/>
    <w:rsid w:val="000225EF"/>
    <w:rsid w:val="00022D11"/>
    <w:rsid w:val="00024A6E"/>
    <w:rsid w:val="000253AD"/>
    <w:rsid w:val="00026A79"/>
    <w:rsid w:val="00026EA3"/>
    <w:rsid w:val="0002771A"/>
    <w:rsid w:val="00027BF3"/>
    <w:rsid w:val="00030275"/>
    <w:rsid w:val="00030AAC"/>
    <w:rsid w:val="00031B9C"/>
    <w:rsid w:val="000324A2"/>
    <w:rsid w:val="0003260D"/>
    <w:rsid w:val="00034197"/>
    <w:rsid w:val="000352D9"/>
    <w:rsid w:val="00035941"/>
    <w:rsid w:val="00035D52"/>
    <w:rsid w:val="00036096"/>
    <w:rsid w:val="000366D0"/>
    <w:rsid w:val="00036953"/>
    <w:rsid w:val="00037F41"/>
    <w:rsid w:val="000419E1"/>
    <w:rsid w:val="00041A2F"/>
    <w:rsid w:val="0004280C"/>
    <w:rsid w:val="00042B0A"/>
    <w:rsid w:val="0004459C"/>
    <w:rsid w:val="00044627"/>
    <w:rsid w:val="00044DBB"/>
    <w:rsid w:val="00045EE7"/>
    <w:rsid w:val="00046B82"/>
    <w:rsid w:val="0004717E"/>
    <w:rsid w:val="000471DC"/>
    <w:rsid w:val="00047E13"/>
    <w:rsid w:val="000501EA"/>
    <w:rsid w:val="0005026F"/>
    <w:rsid w:val="00051701"/>
    <w:rsid w:val="00051BF5"/>
    <w:rsid w:val="00051E2E"/>
    <w:rsid w:val="00052760"/>
    <w:rsid w:val="000527DD"/>
    <w:rsid w:val="00052DFD"/>
    <w:rsid w:val="0005300E"/>
    <w:rsid w:val="00053C8B"/>
    <w:rsid w:val="0005457A"/>
    <w:rsid w:val="00055740"/>
    <w:rsid w:val="00056E8C"/>
    <w:rsid w:val="00057316"/>
    <w:rsid w:val="000607D2"/>
    <w:rsid w:val="00061060"/>
    <w:rsid w:val="00061E79"/>
    <w:rsid w:val="00063777"/>
    <w:rsid w:val="000640E0"/>
    <w:rsid w:val="0006460C"/>
    <w:rsid w:val="00067A4E"/>
    <w:rsid w:val="00067F13"/>
    <w:rsid w:val="0007012D"/>
    <w:rsid w:val="00070D64"/>
    <w:rsid w:val="00070F25"/>
    <w:rsid w:val="000713D8"/>
    <w:rsid w:val="00071637"/>
    <w:rsid w:val="00073479"/>
    <w:rsid w:val="00074697"/>
    <w:rsid w:val="000751C6"/>
    <w:rsid w:val="00075416"/>
    <w:rsid w:val="00075715"/>
    <w:rsid w:val="000765FF"/>
    <w:rsid w:val="00080C94"/>
    <w:rsid w:val="00080FF0"/>
    <w:rsid w:val="000810C0"/>
    <w:rsid w:val="00081D6A"/>
    <w:rsid w:val="00082624"/>
    <w:rsid w:val="000830F8"/>
    <w:rsid w:val="00084173"/>
    <w:rsid w:val="00085593"/>
    <w:rsid w:val="0009161C"/>
    <w:rsid w:val="00091EC1"/>
    <w:rsid w:val="00092148"/>
    <w:rsid w:val="00092336"/>
    <w:rsid w:val="000926D9"/>
    <w:rsid w:val="00092A26"/>
    <w:rsid w:val="00092ACD"/>
    <w:rsid w:val="00092C13"/>
    <w:rsid w:val="00092E20"/>
    <w:rsid w:val="000933E2"/>
    <w:rsid w:val="00093F90"/>
    <w:rsid w:val="000948F1"/>
    <w:rsid w:val="00095250"/>
    <w:rsid w:val="00095A99"/>
    <w:rsid w:val="0009626F"/>
    <w:rsid w:val="000974EC"/>
    <w:rsid w:val="00097ADF"/>
    <w:rsid w:val="00097B27"/>
    <w:rsid w:val="000A291A"/>
    <w:rsid w:val="000A37AB"/>
    <w:rsid w:val="000A4C3C"/>
    <w:rsid w:val="000A4CD7"/>
    <w:rsid w:val="000A54B1"/>
    <w:rsid w:val="000A58DF"/>
    <w:rsid w:val="000A5D7F"/>
    <w:rsid w:val="000A653B"/>
    <w:rsid w:val="000A6CFF"/>
    <w:rsid w:val="000A79C4"/>
    <w:rsid w:val="000A7A49"/>
    <w:rsid w:val="000B1A33"/>
    <w:rsid w:val="000B4DA4"/>
    <w:rsid w:val="000B76B4"/>
    <w:rsid w:val="000C0C01"/>
    <w:rsid w:val="000C1186"/>
    <w:rsid w:val="000C3221"/>
    <w:rsid w:val="000C43EE"/>
    <w:rsid w:val="000C4EC9"/>
    <w:rsid w:val="000C5521"/>
    <w:rsid w:val="000C5C5D"/>
    <w:rsid w:val="000C6084"/>
    <w:rsid w:val="000C67BC"/>
    <w:rsid w:val="000C773F"/>
    <w:rsid w:val="000D047F"/>
    <w:rsid w:val="000D1169"/>
    <w:rsid w:val="000D1A8E"/>
    <w:rsid w:val="000D26EF"/>
    <w:rsid w:val="000D3CB1"/>
    <w:rsid w:val="000D443C"/>
    <w:rsid w:val="000D48DD"/>
    <w:rsid w:val="000D55C8"/>
    <w:rsid w:val="000D625D"/>
    <w:rsid w:val="000D7519"/>
    <w:rsid w:val="000D7B75"/>
    <w:rsid w:val="000D7CFB"/>
    <w:rsid w:val="000E066E"/>
    <w:rsid w:val="000E0EA3"/>
    <w:rsid w:val="000E0FBD"/>
    <w:rsid w:val="000E2BF2"/>
    <w:rsid w:val="000E2DD5"/>
    <w:rsid w:val="000E357C"/>
    <w:rsid w:val="000E3E21"/>
    <w:rsid w:val="000E40C2"/>
    <w:rsid w:val="000E4DD9"/>
    <w:rsid w:val="000E54AB"/>
    <w:rsid w:val="000E6277"/>
    <w:rsid w:val="000E729A"/>
    <w:rsid w:val="000E75DA"/>
    <w:rsid w:val="000E7854"/>
    <w:rsid w:val="000E7A06"/>
    <w:rsid w:val="000F106A"/>
    <w:rsid w:val="000F138F"/>
    <w:rsid w:val="000F2864"/>
    <w:rsid w:val="000F2FD7"/>
    <w:rsid w:val="000F3A38"/>
    <w:rsid w:val="000F47D7"/>
    <w:rsid w:val="000F5545"/>
    <w:rsid w:val="000F591F"/>
    <w:rsid w:val="000F5A80"/>
    <w:rsid w:val="000F5C6D"/>
    <w:rsid w:val="000F60C2"/>
    <w:rsid w:val="000F6762"/>
    <w:rsid w:val="000F76CD"/>
    <w:rsid w:val="00101472"/>
    <w:rsid w:val="001015F0"/>
    <w:rsid w:val="001019B4"/>
    <w:rsid w:val="00103014"/>
    <w:rsid w:val="00104015"/>
    <w:rsid w:val="001042F9"/>
    <w:rsid w:val="00105D58"/>
    <w:rsid w:val="0010732C"/>
    <w:rsid w:val="00107CF6"/>
    <w:rsid w:val="00107F2A"/>
    <w:rsid w:val="0011141A"/>
    <w:rsid w:val="0011240D"/>
    <w:rsid w:val="001128F8"/>
    <w:rsid w:val="00113E1A"/>
    <w:rsid w:val="00114A7E"/>
    <w:rsid w:val="00114E4E"/>
    <w:rsid w:val="001161E1"/>
    <w:rsid w:val="00116B0C"/>
    <w:rsid w:val="00116CC7"/>
    <w:rsid w:val="001175DB"/>
    <w:rsid w:val="00120141"/>
    <w:rsid w:val="001214E3"/>
    <w:rsid w:val="00121552"/>
    <w:rsid w:val="001229C1"/>
    <w:rsid w:val="00124B07"/>
    <w:rsid w:val="00125922"/>
    <w:rsid w:val="00125B16"/>
    <w:rsid w:val="00125C47"/>
    <w:rsid w:val="00125E27"/>
    <w:rsid w:val="00125ED5"/>
    <w:rsid w:val="00126B15"/>
    <w:rsid w:val="001276AF"/>
    <w:rsid w:val="001303E3"/>
    <w:rsid w:val="00131E8D"/>
    <w:rsid w:val="001322D4"/>
    <w:rsid w:val="00132BF1"/>
    <w:rsid w:val="00134A6E"/>
    <w:rsid w:val="00134E95"/>
    <w:rsid w:val="00135538"/>
    <w:rsid w:val="00136427"/>
    <w:rsid w:val="00136803"/>
    <w:rsid w:val="00136A14"/>
    <w:rsid w:val="00136DA7"/>
    <w:rsid w:val="001404C5"/>
    <w:rsid w:val="00140B42"/>
    <w:rsid w:val="00142DF8"/>
    <w:rsid w:val="0014315E"/>
    <w:rsid w:val="001438C0"/>
    <w:rsid w:val="001454B6"/>
    <w:rsid w:val="00146099"/>
    <w:rsid w:val="0014646A"/>
    <w:rsid w:val="00146C01"/>
    <w:rsid w:val="0014760E"/>
    <w:rsid w:val="0015120B"/>
    <w:rsid w:val="00152751"/>
    <w:rsid w:val="00152986"/>
    <w:rsid w:val="001539F0"/>
    <w:rsid w:val="001542CE"/>
    <w:rsid w:val="001545F9"/>
    <w:rsid w:val="0015475D"/>
    <w:rsid w:val="001564EC"/>
    <w:rsid w:val="00156737"/>
    <w:rsid w:val="00157962"/>
    <w:rsid w:val="00160057"/>
    <w:rsid w:val="00161422"/>
    <w:rsid w:val="00161994"/>
    <w:rsid w:val="001619CD"/>
    <w:rsid w:val="00163154"/>
    <w:rsid w:val="001642AF"/>
    <w:rsid w:val="00166EA1"/>
    <w:rsid w:val="00167508"/>
    <w:rsid w:val="0016764F"/>
    <w:rsid w:val="001676A7"/>
    <w:rsid w:val="00170368"/>
    <w:rsid w:val="0017058B"/>
    <w:rsid w:val="00171267"/>
    <w:rsid w:val="0017153E"/>
    <w:rsid w:val="00172593"/>
    <w:rsid w:val="001736E4"/>
    <w:rsid w:val="00173DFE"/>
    <w:rsid w:val="00175448"/>
    <w:rsid w:val="00175ED1"/>
    <w:rsid w:val="001760B3"/>
    <w:rsid w:val="001810FB"/>
    <w:rsid w:val="001812C0"/>
    <w:rsid w:val="00181317"/>
    <w:rsid w:val="001819E4"/>
    <w:rsid w:val="001822E2"/>
    <w:rsid w:val="00183141"/>
    <w:rsid w:val="001838DE"/>
    <w:rsid w:val="001838F0"/>
    <w:rsid w:val="00184907"/>
    <w:rsid w:val="001849F3"/>
    <w:rsid w:val="00185C38"/>
    <w:rsid w:val="00187700"/>
    <w:rsid w:val="001917E9"/>
    <w:rsid w:val="00191944"/>
    <w:rsid w:val="00191C4E"/>
    <w:rsid w:val="001921EE"/>
    <w:rsid w:val="00192394"/>
    <w:rsid w:val="0019345B"/>
    <w:rsid w:val="001948D6"/>
    <w:rsid w:val="00196BD6"/>
    <w:rsid w:val="00196D5B"/>
    <w:rsid w:val="00197215"/>
    <w:rsid w:val="001977EE"/>
    <w:rsid w:val="00197E9B"/>
    <w:rsid w:val="001A1B1E"/>
    <w:rsid w:val="001A250F"/>
    <w:rsid w:val="001A2EA9"/>
    <w:rsid w:val="001A2EFD"/>
    <w:rsid w:val="001A3D40"/>
    <w:rsid w:val="001A54BE"/>
    <w:rsid w:val="001A589E"/>
    <w:rsid w:val="001A6EFE"/>
    <w:rsid w:val="001A7BCE"/>
    <w:rsid w:val="001B0FE9"/>
    <w:rsid w:val="001B0FF4"/>
    <w:rsid w:val="001B12EC"/>
    <w:rsid w:val="001B144A"/>
    <w:rsid w:val="001B1E2D"/>
    <w:rsid w:val="001B5C72"/>
    <w:rsid w:val="001C0A59"/>
    <w:rsid w:val="001C0D46"/>
    <w:rsid w:val="001C1723"/>
    <w:rsid w:val="001C1C1B"/>
    <w:rsid w:val="001C2698"/>
    <w:rsid w:val="001C2F3C"/>
    <w:rsid w:val="001C4F7D"/>
    <w:rsid w:val="001C5403"/>
    <w:rsid w:val="001C547D"/>
    <w:rsid w:val="001C61F4"/>
    <w:rsid w:val="001D03BF"/>
    <w:rsid w:val="001D06ED"/>
    <w:rsid w:val="001D0C1B"/>
    <w:rsid w:val="001D1C4D"/>
    <w:rsid w:val="001D3107"/>
    <w:rsid w:val="001D3E6C"/>
    <w:rsid w:val="001D4016"/>
    <w:rsid w:val="001D4DA5"/>
    <w:rsid w:val="001D5AA7"/>
    <w:rsid w:val="001E00FE"/>
    <w:rsid w:val="001E01D5"/>
    <w:rsid w:val="001E115A"/>
    <w:rsid w:val="001E1CD7"/>
    <w:rsid w:val="001E2011"/>
    <w:rsid w:val="001E3037"/>
    <w:rsid w:val="001E450C"/>
    <w:rsid w:val="001E5AFF"/>
    <w:rsid w:val="001E7AF0"/>
    <w:rsid w:val="001F1229"/>
    <w:rsid w:val="001F2724"/>
    <w:rsid w:val="001F3039"/>
    <w:rsid w:val="001F31B2"/>
    <w:rsid w:val="001F49C1"/>
    <w:rsid w:val="001F4C6E"/>
    <w:rsid w:val="001F53B3"/>
    <w:rsid w:val="001F53F6"/>
    <w:rsid w:val="001F5ACA"/>
    <w:rsid w:val="001F7328"/>
    <w:rsid w:val="001F787C"/>
    <w:rsid w:val="00200AE1"/>
    <w:rsid w:val="00202503"/>
    <w:rsid w:val="00203275"/>
    <w:rsid w:val="00203860"/>
    <w:rsid w:val="002040B8"/>
    <w:rsid w:val="00204CD1"/>
    <w:rsid w:val="00205C46"/>
    <w:rsid w:val="00207634"/>
    <w:rsid w:val="002103C4"/>
    <w:rsid w:val="00210AC4"/>
    <w:rsid w:val="00210E92"/>
    <w:rsid w:val="00211A59"/>
    <w:rsid w:val="00211FB1"/>
    <w:rsid w:val="002124B1"/>
    <w:rsid w:val="002127B8"/>
    <w:rsid w:val="00212820"/>
    <w:rsid w:val="00212C0F"/>
    <w:rsid w:val="0021651D"/>
    <w:rsid w:val="00216556"/>
    <w:rsid w:val="00216B04"/>
    <w:rsid w:val="00216B69"/>
    <w:rsid w:val="00216CD8"/>
    <w:rsid w:val="00217D68"/>
    <w:rsid w:val="002217FF"/>
    <w:rsid w:val="0022215D"/>
    <w:rsid w:val="002226E0"/>
    <w:rsid w:val="00223406"/>
    <w:rsid w:val="0022544E"/>
    <w:rsid w:val="00225D60"/>
    <w:rsid w:val="0022648C"/>
    <w:rsid w:val="002270A8"/>
    <w:rsid w:val="0022770A"/>
    <w:rsid w:val="002278EE"/>
    <w:rsid w:val="002317E9"/>
    <w:rsid w:val="00233139"/>
    <w:rsid w:val="00235768"/>
    <w:rsid w:val="00236B17"/>
    <w:rsid w:val="00237657"/>
    <w:rsid w:val="002406A2"/>
    <w:rsid w:val="00240AD2"/>
    <w:rsid w:val="00240D62"/>
    <w:rsid w:val="00241AAC"/>
    <w:rsid w:val="002421FC"/>
    <w:rsid w:val="0024560D"/>
    <w:rsid w:val="00245DFE"/>
    <w:rsid w:val="00246CC6"/>
    <w:rsid w:val="00250651"/>
    <w:rsid w:val="00251F10"/>
    <w:rsid w:val="002524CD"/>
    <w:rsid w:val="00252723"/>
    <w:rsid w:val="00252A9D"/>
    <w:rsid w:val="00253150"/>
    <w:rsid w:val="0025473D"/>
    <w:rsid w:val="002547B4"/>
    <w:rsid w:val="00255291"/>
    <w:rsid w:val="00255807"/>
    <w:rsid w:val="00255864"/>
    <w:rsid w:val="002559E1"/>
    <w:rsid w:val="00257291"/>
    <w:rsid w:val="00257CE7"/>
    <w:rsid w:val="0026036B"/>
    <w:rsid w:val="00260E21"/>
    <w:rsid w:val="00261F15"/>
    <w:rsid w:val="00263158"/>
    <w:rsid w:val="002639F3"/>
    <w:rsid w:val="0026478C"/>
    <w:rsid w:val="00265026"/>
    <w:rsid w:val="0026562C"/>
    <w:rsid w:val="0026590F"/>
    <w:rsid w:val="002705E0"/>
    <w:rsid w:val="002713B5"/>
    <w:rsid w:val="002724F6"/>
    <w:rsid w:val="00274581"/>
    <w:rsid w:val="002751E2"/>
    <w:rsid w:val="00275448"/>
    <w:rsid w:val="002757B0"/>
    <w:rsid w:val="00275DC4"/>
    <w:rsid w:val="00281CBE"/>
    <w:rsid w:val="00281F85"/>
    <w:rsid w:val="00283323"/>
    <w:rsid w:val="002844D0"/>
    <w:rsid w:val="00285074"/>
    <w:rsid w:val="002857FE"/>
    <w:rsid w:val="00285B07"/>
    <w:rsid w:val="00290C8A"/>
    <w:rsid w:val="00291E51"/>
    <w:rsid w:val="00292298"/>
    <w:rsid w:val="002927AF"/>
    <w:rsid w:val="002928D5"/>
    <w:rsid w:val="00292A7B"/>
    <w:rsid w:val="00292B8B"/>
    <w:rsid w:val="00293A52"/>
    <w:rsid w:val="00293B5E"/>
    <w:rsid w:val="00294BA4"/>
    <w:rsid w:val="002950A5"/>
    <w:rsid w:val="002973FF"/>
    <w:rsid w:val="002978EC"/>
    <w:rsid w:val="002A2E1D"/>
    <w:rsid w:val="002A3FE0"/>
    <w:rsid w:val="002A419F"/>
    <w:rsid w:val="002A457D"/>
    <w:rsid w:val="002A4FD2"/>
    <w:rsid w:val="002A5BC3"/>
    <w:rsid w:val="002A6525"/>
    <w:rsid w:val="002A66B6"/>
    <w:rsid w:val="002A68A1"/>
    <w:rsid w:val="002A7E78"/>
    <w:rsid w:val="002B06E5"/>
    <w:rsid w:val="002B29E4"/>
    <w:rsid w:val="002B41D8"/>
    <w:rsid w:val="002B47AE"/>
    <w:rsid w:val="002B53CA"/>
    <w:rsid w:val="002B633F"/>
    <w:rsid w:val="002B761B"/>
    <w:rsid w:val="002B7DAC"/>
    <w:rsid w:val="002C015F"/>
    <w:rsid w:val="002C09C0"/>
    <w:rsid w:val="002C0A04"/>
    <w:rsid w:val="002C0C7A"/>
    <w:rsid w:val="002C25DA"/>
    <w:rsid w:val="002C2A3D"/>
    <w:rsid w:val="002C3786"/>
    <w:rsid w:val="002C38E3"/>
    <w:rsid w:val="002C3C33"/>
    <w:rsid w:val="002C3F93"/>
    <w:rsid w:val="002C610F"/>
    <w:rsid w:val="002C7162"/>
    <w:rsid w:val="002D18D1"/>
    <w:rsid w:val="002D3189"/>
    <w:rsid w:val="002D4F7E"/>
    <w:rsid w:val="002D5197"/>
    <w:rsid w:val="002D7642"/>
    <w:rsid w:val="002D783F"/>
    <w:rsid w:val="002D7BED"/>
    <w:rsid w:val="002D7FFA"/>
    <w:rsid w:val="002E0830"/>
    <w:rsid w:val="002E17CD"/>
    <w:rsid w:val="002E2DE1"/>
    <w:rsid w:val="002E3455"/>
    <w:rsid w:val="002E461B"/>
    <w:rsid w:val="002E5215"/>
    <w:rsid w:val="002E565C"/>
    <w:rsid w:val="002E57B2"/>
    <w:rsid w:val="002E61B8"/>
    <w:rsid w:val="002E630E"/>
    <w:rsid w:val="002E6F1F"/>
    <w:rsid w:val="002E7DA2"/>
    <w:rsid w:val="002F07A8"/>
    <w:rsid w:val="002F0CDD"/>
    <w:rsid w:val="002F234E"/>
    <w:rsid w:val="002F25C9"/>
    <w:rsid w:val="002F2826"/>
    <w:rsid w:val="002F3310"/>
    <w:rsid w:val="00300417"/>
    <w:rsid w:val="00300B19"/>
    <w:rsid w:val="00301403"/>
    <w:rsid w:val="003024D7"/>
    <w:rsid w:val="003025E6"/>
    <w:rsid w:val="00302607"/>
    <w:rsid w:val="00302CBF"/>
    <w:rsid w:val="00303253"/>
    <w:rsid w:val="0030363E"/>
    <w:rsid w:val="00304DF0"/>
    <w:rsid w:val="00305823"/>
    <w:rsid w:val="00305C76"/>
    <w:rsid w:val="00307371"/>
    <w:rsid w:val="00307B13"/>
    <w:rsid w:val="00307D41"/>
    <w:rsid w:val="003102B0"/>
    <w:rsid w:val="00310EDB"/>
    <w:rsid w:val="00310F5B"/>
    <w:rsid w:val="00313A31"/>
    <w:rsid w:val="00313D00"/>
    <w:rsid w:val="003152CC"/>
    <w:rsid w:val="0031541A"/>
    <w:rsid w:val="0031558C"/>
    <w:rsid w:val="0031744A"/>
    <w:rsid w:val="00317CB6"/>
    <w:rsid w:val="00317FA3"/>
    <w:rsid w:val="00322190"/>
    <w:rsid w:val="00323419"/>
    <w:rsid w:val="0032418E"/>
    <w:rsid w:val="0032425C"/>
    <w:rsid w:val="00324C57"/>
    <w:rsid w:val="00325584"/>
    <w:rsid w:val="003257A8"/>
    <w:rsid w:val="00326213"/>
    <w:rsid w:val="00326466"/>
    <w:rsid w:val="0032683B"/>
    <w:rsid w:val="0032690D"/>
    <w:rsid w:val="003276AD"/>
    <w:rsid w:val="00327C9A"/>
    <w:rsid w:val="003303BA"/>
    <w:rsid w:val="00333337"/>
    <w:rsid w:val="00333A3B"/>
    <w:rsid w:val="00333CE5"/>
    <w:rsid w:val="0033426A"/>
    <w:rsid w:val="0033464A"/>
    <w:rsid w:val="003349DF"/>
    <w:rsid w:val="00335349"/>
    <w:rsid w:val="00335E2F"/>
    <w:rsid w:val="003364DA"/>
    <w:rsid w:val="00340CCC"/>
    <w:rsid w:val="00343183"/>
    <w:rsid w:val="00345ACB"/>
    <w:rsid w:val="00345CD2"/>
    <w:rsid w:val="003462BF"/>
    <w:rsid w:val="00346E11"/>
    <w:rsid w:val="0034721A"/>
    <w:rsid w:val="003476C6"/>
    <w:rsid w:val="00347944"/>
    <w:rsid w:val="00347ED9"/>
    <w:rsid w:val="00350DC3"/>
    <w:rsid w:val="00351DAB"/>
    <w:rsid w:val="0035266A"/>
    <w:rsid w:val="00352FD0"/>
    <w:rsid w:val="0035496E"/>
    <w:rsid w:val="003554AC"/>
    <w:rsid w:val="00355B7B"/>
    <w:rsid w:val="003569BE"/>
    <w:rsid w:val="00362742"/>
    <w:rsid w:val="00364AFF"/>
    <w:rsid w:val="00366AB3"/>
    <w:rsid w:val="00371720"/>
    <w:rsid w:val="00373B46"/>
    <w:rsid w:val="003747BB"/>
    <w:rsid w:val="00375405"/>
    <w:rsid w:val="003762CE"/>
    <w:rsid w:val="00376AC1"/>
    <w:rsid w:val="00376D0A"/>
    <w:rsid w:val="00380A54"/>
    <w:rsid w:val="00380E49"/>
    <w:rsid w:val="003813F7"/>
    <w:rsid w:val="00382BA7"/>
    <w:rsid w:val="00382C27"/>
    <w:rsid w:val="00383709"/>
    <w:rsid w:val="00384027"/>
    <w:rsid w:val="00386EE1"/>
    <w:rsid w:val="003872F8"/>
    <w:rsid w:val="0038786F"/>
    <w:rsid w:val="00390190"/>
    <w:rsid w:val="00390A0F"/>
    <w:rsid w:val="00390C47"/>
    <w:rsid w:val="003917BA"/>
    <w:rsid w:val="00391D6B"/>
    <w:rsid w:val="0039202C"/>
    <w:rsid w:val="003920D4"/>
    <w:rsid w:val="0039325A"/>
    <w:rsid w:val="0039374B"/>
    <w:rsid w:val="00393A22"/>
    <w:rsid w:val="00394186"/>
    <w:rsid w:val="003956C6"/>
    <w:rsid w:val="00395F5F"/>
    <w:rsid w:val="00396015"/>
    <w:rsid w:val="0039613F"/>
    <w:rsid w:val="00396A3C"/>
    <w:rsid w:val="0039751A"/>
    <w:rsid w:val="0039783D"/>
    <w:rsid w:val="003979A9"/>
    <w:rsid w:val="003A12E6"/>
    <w:rsid w:val="003A243A"/>
    <w:rsid w:val="003A254A"/>
    <w:rsid w:val="003A2CF8"/>
    <w:rsid w:val="003A30EC"/>
    <w:rsid w:val="003A4303"/>
    <w:rsid w:val="003A4756"/>
    <w:rsid w:val="003A5057"/>
    <w:rsid w:val="003A5F4B"/>
    <w:rsid w:val="003A7C85"/>
    <w:rsid w:val="003B0512"/>
    <w:rsid w:val="003B0AE0"/>
    <w:rsid w:val="003B1004"/>
    <w:rsid w:val="003B1744"/>
    <w:rsid w:val="003B2326"/>
    <w:rsid w:val="003B2356"/>
    <w:rsid w:val="003B2F28"/>
    <w:rsid w:val="003B36F4"/>
    <w:rsid w:val="003B3F0B"/>
    <w:rsid w:val="003B47DF"/>
    <w:rsid w:val="003B4CB0"/>
    <w:rsid w:val="003B584D"/>
    <w:rsid w:val="003B59E6"/>
    <w:rsid w:val="003B5F88"/>
    <w:rsid w:val="003B614E"/>
    <w:rsid w:val="003B67A0"/>
    <w:rsid w:val="003B67A3"/>
    <w:rsid w:val="003B6EA8"/>
    <w:rsid w:val="003B715F"/>
    <w:rsid w:val="003B748C"/>
    <w:rsid w:val="003B779D"/>
    <w:rsid w:val="003B7EA5"/>
    <w:rsid w:val="003C0066"/>
    <w:rsid w:val="003C05AC"/>
    <w:rsid w:val="003C0703"/>
    <w:rsid w:val="003C0754"/>
    <w:rsid w:val="003C0F45"/>
    <w:rsid w:val="003C12B7"/>
    <w:rsid w:val="003C1A74"/>
    <w:rsid w:val="003C2CD8"/>
    <w:rsid w:val="003C30BB"/>
    <w:rsid w:val="003C3460"/>
    <w:rsid w:val="003C450B"/>
    <w:rsid w:val="003D0E67"/>
    <w:rsid w:val="003D200B"/>
    <w:rsid w:val="003D2BA0"/>
    <w:rsid w:val="003D3872"/>
    <w:rsid w:val="003D4BEB"/>
    <w:rsid w:val="003D5DCE"/>
    <w:rsid w:val="003D707B"/>
    <w:rsid w:val="003D72B0"/>
    <w:rsid w:val="003D73A8"/>
    <w:rsid w:val="003D7536"/>
    <w:rsid w:val="003E0673"/>
    <w:rsid w:val="003E067E"/>
    <w:rsid w:val="003E0994"/>
    <w:rsid w:val="003E0CB7"/>
    <w:rsid w:val="003E129C"/>
    <w:rsid w:val="003E1448"/>
    <w:rsid w:val="003E3A85"/>
    <w:rsid w:val="003E3D10"/>
    <w:rsid w:val="003E4C39"/>
    <w:rsid w:val="003E4CE5"/>
    <w:rsid w:val="003E7651"/>
    <w:rsid w:val="003F0AE6"/>
    <w:rsid w:val="003F0E32"/>
    <w:rsid w:val="003F211E"/>
    <w:rsid w:val="003F2121"/>
    <w:rsid w:val="003F29DE"/>
    <w:rsid w:val="003F41CC"/>
    <w:rsid w:val="003F4491"/>
    <w:rsid w:val="003F44C3"/>
    <w:rsid w:val="003F528F"/>
    <w:rsid w:val="003F58E0"/>
    <w:rsid w:val="003F5BC6"/>
    <w:rsid w:val="003F5BF6"/>
    <w:rsid w:val="003F6102"/>
    <w:rsid w:val="003F7037"/>
    <w:rsid w:val="0040099C"/>
    <w:rsid w:val="00401A30"/>
    <w:rsid w:val="004026E6"/>
    <w:rsid w:val="0040289F"/>
    <w:rsid w:val="00405551"/>
    <w:rsid w:val="00405C84"/>
    <w:rsid w:val="00406E59"/>
    <w:rsid w:val="004133E3"/>
    <w:rsid w:val="00415531"/>
    <w:rsid w:val="00415A81"/>
    <w:rsid w:val="00416D83"/>
    <w:rsid w:val="004203CF"/>
    <w:rsid w:val="0042054D"/>
    <w:rsid w:val="00422417"/>
    <w:rsid w:val="00423745"/>
    <w:rsid w:val="00424F4D"/>
    <w:rsid w:val="00425BDE"/>
    <w:rsid w:val="00425F82"/>
    <w:rsid w:val="0042718E"/>
    <w:rsid w:val="00427239"/>
    <w:rsid w:val="004273E7"/>
    <w:rsid w:val="00427875"/>
    <w:rsid w:val="00430CB3"/>
    <w:rsid w:val="00430CF8"/>
    <w:rsid w:val="00431092"/>
    <w:rsid w:val="004329D6"/>
    <w:rsid w:val="00432BDD"/>
    <w:rsid w:val="00433840"/>
    <w:rsid w:val="0043536B"/>
    <w:rsid w:val="00435FBA"/>
    <w:rsid w:val="0043647A"/>
    <w:rsid w:val="00436626"/>
    <w:rsid w:val="004367CE"/>
    <w:rsid w:val="00437B29"/>
    <w:rsid w:val="00437F05"/>
    <w:rsid w:val="0044040A"/>
    <w:rsid w:val="00441028"/>
    <w:rsid w:val="00441A64"/>
    <w:rsid w:val="00441AE2"/>
    <w:rsid w:val="00441E16"/>
    <w:rsid w:val="00441F51"/>
    <w:rsid w:val="004429FD"/>
    <w:rsid w:val="00442DF0"/>
    <w:rsid w:val="00443B05"/>
    <w:rsid w:val="00443C31"/>
    <w:rsid w:val="00445D66"/>
    <w:rsid w:val="00446193"/>
    <w:rsid w:val="00447870"/>
    <w:rsid w:val="00447D5C"/>
    <w:rsid w:val="004509FD"/>
    <w:rsid w:val="004517A9"/>
    <w:rsid w:val="00451804"/>
    <w:rsid w:val="0045250C"/>
    <w:rsid w:val="004526D1"/>
    <w:rsid w:val="00452990"/>
    <w:rsid w:val="00453938"/>
    <w:rsid w:val="00453A54"/>
    <w:rsid w:val="00454BDF"/>
    <w:rsid w:val="00454E7D"/>
    <w:rsid w:val="0045540A"/>
    <w:rsid w:val="004568E0"/>
    <w:rsid w:val="00461FCA"/>
    <w:rsid w:val="004623D8"/>
    <w:rsid w:val="00463477"/>
    <w:rsid w:val="00463FD6"/>
    <w:rsid w:val="00464583"/>
    <w:rsid w:val="00465B75"/>
    <w:rsid w:val="00465CF4"/>
    <w:rsid w:val="00466616"/>
    <w:rsid w:val="0046742D"/>
    <w:rsid w:val="00470635"/>
    <w:rsid w:val="0047199A"/>
    <w:rsid w:val="00471A9E"/>
    <w:rsid w:val="004729D3"/>
    <w:rsid w:val="004731FD"/>
    <w:rsid w:val="00473C3C"/>
    <w:rsid w:val="00473E82"/>
    <w:rsid w:val="0047479E"/>
    <w:rsid w:val="004748CD"/>
    <w:rsid w:val="00476195"/>
    <w:rsid w:val="004801BD"/>
    <w:rsid w:val="00480254"/>
    <w:rsid w:val="004807E5"/>
    <w:rsid w:val="0048173C"/>
    <w:rsid w:val="004822CE"/>
    <w:rsid w:val="00483290"/>
    <w:rsid w:val="004845ED"/>
    <w:rsid w:val="00484A36"/>
    <w:rsid w:val="004859EA"/>
    <w:rsid w:val="0048604B"/>
    <w:rsid w:val="004865C6"/>
    <w:rsid w:val="0048770C"/>
    <w:rsid w:val="00490B0B"/>
    <w:rsid w:val="00491315"/>
    <w:rsid w:val="00492057"/>
    <w:rsid w:val="004927D5"/>
    <w:rsid w:val="00492BBD"/>
    <w:rsid w:val="004930A8"/>
    <w:rsid w:val="00493404"/>
    <w:rsid w:val="00494074"/>
    <w:rsid w:val="00494452"/>
    <w:rsid w:val="004946B2"/>
    <w:rsid w:val="004952BB"/>
    <w:rsid w:val="00495F30"/>
    <w:rsid w:val="00495FD7"/>
    <w:rsid w:val="00496C42"/>
    <w:rsid w:val="004A060E"/>
    <w:rsid w:val="004A0ABF"/>
    <w:rsid w:val="004A1CC0"/>
    <w:rsid w:val="004A1F0A"/>
    <w:rsid w:val="004A24BB"/>
    <w:rsid w:val="004A3A00"/>
    <w:rsid w:val="004A3C6A"/>
    <w:rsid w:val="004A3F58"/>
    <w:rsid w:val="004A4DCE"/>
    <w:rsid w:val="004A53C9"/>
    <w:rsid w:val="004A5DC5"/>
    <w:rsid w:val="004A5EAC"/>
    <w:rsid w:val="004A6349"/>
    <w:rsid w:val="004A685A"/>
    <w:rsid w:val="004A686C"/>
    <w:rsid w:val="004B0205"/>
    <w:rsid w:val="004B1421"/>
    <w:rsid w:val="004B235C"/>
    <w:rsid w:val="004B482E"/>
    <w:rsid w:val="004B67D5"/>
    <w:rsid w:val="004B7256"/>
    <w:rsid w:val="004B74FB"/>
    <w:rsid w:val="004C0D2D"/>
    <w:rsid w:val="004C0E37"/>
    <w:rsid w:val="004C16F0"/>
    <w:rsid w:val="004C2874"/>
    <w:rsid w:val="004C40C2"/>
    <w:rsid w:val="004C41FB"/>
    <w:rsid w:val="004C5572"/>
    <w:rsid w:val="004C657F"/>
    <w:rsid w:val="004D101D"/>
    <w:rsid w:val="004D3DD7"/>
    <w:rsid w:val="004D6726"/>
    <w:rsid w:val="004D6759"/>
    <w:rsid w:val="004D7622"/>
    <w:rsid w:val="004E0177"/>
    <w:rsid w:val="004E0DCF"/>
    <w:rsid w:val="004E0EF1"/>
    <w:rsid w:val="004E159F"/>
    <w:rsid w:val="004E181E"/>
    <w:rsid w:val="004E1A31"/>
    <w:rsid w:val="004E1B73"/>
    <w:rsid w:val="004E27E2"/>
    <w:rsid w:val="004E2BF7"/>
    <w:rsid w:val="004E2E2C"/>
    <w:rsid w:val="004E5FA3"/>
    <w:rsid w:val="004F087E"/>
    <w:rsid w:val="004F135C"/>
    <w:rsid w:val="004F2A70"/>
    <w:rsid w:val="004F3459"/>
    <w:rsid w:val="004F694B"/>
    <w:rsid w:val="004F6B1F"/>
    <w:rsid w:val="004F6F69"/>
    <w:rsid w:val="0050015C"/>
    <w:rsid w:val="00502124"/>
    <w:rsid w:val="00502813"/>
    <w:rsid w:val="005030F5"/>
    <w:rsid w:val="00504112"/>
    <w:rsid w:val="00504526"/>
    <w:rsid w:val="00504699"/>
    <w:rsid w:val="0051011E"/>
    <w:rsid w:val="005111A7"/>
    <w:rsid w:val="00511866"/>
    <w:rsid w:val="0051263D"/>
    <w:rsid w:val="0051279A"/>
    <w:rsid w:val="0051286B"/>
    <w:rsid w:val="00513638"/>
    <w:rsid w:val="00513BC6"/>
    <w:rsid w:val="00514126"/>
    <w:rsid w:val="00514A15"/>
    <w:rsid w:val="0051547B"/>
    <w:rsid w:val="0051580B"/>
    <w:rsid w:val="00515CA6"/>
    <w:rsid w:val="00515E0E"/>
    <w:rsid w:val="00516940"/>
    <w:rsid w:val="00517C85"/>
    <w:rsid w:val="00517EAB"/>
    <w:rsid w:val="00517ECB"/>
    <w:rsid w:val="0052012D"/>
    <w:rsid w:val="0052084A"/>
    <w:rsid w:val="00520994"/>
    <w:rsid w:val="00521076"/>
    <w:rsid w:val="00522DA5"/>
    <w:rsid w:val="005232BD"/>
    <w:rsid w:val="00523E35"/>
    <w:rsid w:val="00524E27"/>
    <w:rsid w:val="0052560B"/>
    <w:rsid w:val="00525D97"/>
    <w:rsid w:val="00530DCD"/>
    <w:rsid w:val="00531576"/>
    <w:rsid w:val="00531623"/>
    <w:rsid w:val="00532457"/>
    <w:rsid w:val="005328EE"/>
    <w:rsid w:val="00534048"/>
    <w:rsid w:val="0053617E"/>
    <w:rsid w:val="00536DD9"/>
    <w:rsid w:val="00537C29"/>
    <w:rsid w:val="00540901"/>
    <w:rsid w:val="005416C4"/>
    <w:rsid w:val="00541793"/>
    <w:rsid w:val="00541BF1"/>
    <w:rsid w:val="00542A69"/>
    <w:rsid w:val="00542B18"/>
    <w:rsid w:val="00542E86"/>
    <w:rsid w:val="005445F0"/>
    <w:rsid w:val="00545301"/>
    <w:rsid w:val="00546FA3"/>
    <w:rsid w:val="005509FE"/>
    <w:rsid w:val="00551690"/>
    <w:rsid w:val="00551B2C"/>
    <w:rsid w:val="00551F40"/>
    <w:rsid w:val="00552266"/>
    <w:rsid w:val="005524F4"/>
    <w:rsid w:val="00552C9B"/>
    <w:rsid w:val="00553766"/>
    <w:rsid w:val="0055399D"/>
    <w:rsid w:val="0055585D"/>
    <w:rsid w:val="00555CCF"/>
    <w:rsid w:val="00557168"/>
    <w:rsid w:val="005572C8"/>
    <w:rsid w:val="00557408"/>
    <w:rsid w:val="00557833"/>
    <w:rsid w:val="00560025"/>
    <w:rsid w:val="005604CD"/>
    <w:rsid w:val="00560717"/>
    <w:rsid w:val="00561D8E"/>
    <w:rsid w:val="00562974"/>
    <w:rsid w:val="005633E6"/>
    <w:rsid w:val="005647C3"/>
    <w:rsid w:val="00564960"/>
    <w:rsid w:val="00564CEA"/>
    <w:rsid w:val="005662AD"/>
    <w:rsid w:val="005663FF"/>
    <w:rsid w:val="00566C29"/>
    <w:rsid w:val="00567733"/>
    <w:rsid w:val="00567BF7"/>
    <w:rsid w:val="005707BF"/>
    <w:rsid w:val="00570DED"/>
    <w:rsid w:val="00572BCC"/>
    <w:rsid w:val="00572EF6"/>
    <w:rsid w:val="005737F5"/>
    <w:rsid w:val="00575629"/>
    <w:rsid w:val="00576621"/>
    <w:rsid w:val="005815E7"/>
    <w:rsid w:val="00581850"/>
    <w:rsid w:val="00582325"/>
    <w:rsid w:val="0058275E"/>
    <w:rsid w:val="005841E2"/>
    <w:rsid w:val="00584D2A"/>
    <w:rsid w:val="0058558C"/>
    <w:rsid w:val="00586C72"/>
    <w:rsid w:val="005875B6"/>
    <w:rsid w:val="005916ED"/>
    <w:rsid w:val="00591A03"/>
    <w:rsid w:val="00592AFB"/>
    <w:rsid w:val="00592EB4"/>
    <w:rsid w:val="00593605"/>
    <w:rsid w:val="00593EBF"/>
    <w:rsid w:val="0059513C"/>
    <w:rsid w:val="0059532E"/>
    <w:rsid w:val="005955D3"/>
    <w:rsid w:val="0059639C"/>
    <w:rsid w:val="00596465"/>
    <w:rsid w:val="00597D1E"/>
    <w:rsid w:val="005A2123"/>
    <w:rsid w:val="005A36B1"/>
    <w:rsid w:val="005A39AB"/>
    <w:rsid w:val="005A3B3D"/>
    <w:rsid w:val="005A3CFE"/>
    <w:rsid w:val="005A6178"/>
    <w:rsid w:val="005A7260"/>
    <w:rsid w:val="005B0399"/>
    <w:rsid w:val="005B0934"/>
    <w:rsid w:val="005B3DB3"/>
    <w:rsid w:val="005B3E18"/>
    <w:rsid w:val="005B416C"/>
    <w:rsid w:val="005B5854"/>
    <w:rsid w:val="005B6F00"/>
    <w:rsid w:val="005B7DBD"/>
    <w:rsid w:val="005C1485"/>
    <w:rsid w:val="005C203B"/>
    <w:rsid w:val="005C20BA"/>
    <w:rsid w:val="005C280E"/>
    <w:rsid w:val="005C3134"/>
    <w:rsid w:val="005C3F5B"/>
    <w:rsid w:val="005C44C0"/>
    <w:rsid w:val="005C5E02"/>
    <w:rsid w:val="005C6871"/>
    <w:rsid w:val="005D03C6"/>
    <w:rsid w:val="005D0C81"/>
    <w:rsid w:val="005D25D2"/>
    <w:rsid w:val="005D2E07"/>
    <w:rsid w:val="005D33EE"/>
    <w:rsid w:val="005D3529"/>
    <w:rsid w:val="005D3959"/>
    <w:rsid w:val="005D403A"/>
    <w:rsid w:val="005D5094"/>
    <w:rsid w:val="005D56E2"/>
    <w:rsid w:val="005D5878"/>
    <w:rsid w:val="005D6AE0"/>
    <w:rsid w:val="005D776E"/>
    <w:rsid w:val="005D7970"/>
    <w:rsid w:val="005D7AB3"/>
    <w:rsid w:val="005D7CD2"/>
    <w:rsid w:val="005E024B"/>
    <w:rsid w:val="005E0F45"/>
    <w:rsid w:val="005E1D5D"/>
    <w:rsid w:val="005E2017"/>
    <w:rsid w:val="005E20A5"/>
    <w:rsid w:val="005E2BA0"/>
    <w:rsid w:val="005E2F7B"/>
    <w:rsid w:val="005E3488"/>
    <w:rsid w:val="005E355D"/>
    <w:rsid w:val="005E43B5"/>
    <w:rsid w:val="005E446A"/>
    <w:rsid w:val="005E4D53"/>
    <w:rsid w:val="005E624D"/>
    <w:rsid w:val="005E7957"/>
    <w:rsid w:val="005E7A9C"/>
    <w:rsid w:val="005F01EA"/>
    <w:rsid w:val="005F19E6"/>
    <w:rsid w:val="005F2A52"/>
    <w:rsid w:val="005F2C5F"/>
    <w:rsid w:val="005F3782"/>
    <w:rsid w:val="005F4367"/>
    <w:rsid w:val="005F453D"/>
    <w:rsid w:val="005F45BB"/>
    <w:rsid w:val="005F5D91"/>
    <w:rsid w:val="005F5FE6"/>
    <w:rsid w:val="005F64F3"/>
    <w:rsid w:val="005F6912"/>
    <w:rsid w:val="005F758B"/>
    <w:rsid w:val="0060115C"/>
    <w:rsid w:val="0060134E"/>
    <w:rsid w:val="0060325C"/>
    <w:rsid w:val="00603652"/>
    <w:rsid w:val="006036D4"/>
    <w:rsid w:val="0060574C"/>
    <w:rsid w:val="0060775E"/>
    <w:rsid w:val="00607C67"/>
    <w:rsid w:val="00611731"/>
    <w:rsid w:val="00611734"/>
    <w:rsid w:val="00611CB3"/>
    <w:rsid w:val="00611D12"/>
    <w:rsid w:val="00615901"/>
    <w:rsid w:val="0061623F"/>
    <w:rsid w:val="00616427"/>
    <w:rsid w:val="00616614"/>
    <w:rsid w:val="006207A4"/>
    <w:rsid w:val="00620D52"/>
    <w:rsid w:val="00620EF3"/>
    <w:rsid w:val="00621392"/>
    <w:rsid w:val="006227ED"/>
    <w:rsid w:val="00622A96"/>
    <w:rsid w:val="00625233"/>
    <w:rsid w:val="006253E2"/>
    <w:rsid w:val="00626406"/>
    <w:rsid w:val="006269FB"/>
    <w:rsid w:val="006320E5"/>
    <w:rsid w:val="00632914"/>
    <w:rsid w:val="00632CC6"/>
    <w:rsid w:val="00633D4A"/>
    <w:rsid w:val="00634764"/>
    <w:rsid w:val="00636667"/>
    <w:rsid w:val="0063692D"/>
    <w:rsid w:val="006374C6"/>
    <w:rsid w:val="00637A23"/>
    <w:rsid w:val="00640125"/>
    <w:rsid w:val="00640D87"/>
    <w:rsid w:val="006412F2"/>
    <w:rsid w:val="00641692"/>
    <w:rsid w:val="00641968"/>
    <w:rsid w:val="00641EDA"/>
    <w:rsid w:val="00642844"/>
    <w:rsid w:val="00642DC1"/>
    <w:rsid w:val="00644337"/>
    <w:rsid w:val="006444AC"/>
    <w:rsid w:val="00644A8A"/>
    <w:rsid w:val="00646437"/>
    <w:rsid w:val="0064652D"/>
    <w:rsid w:val="00646920"/>
    <w:rsid w:val="00646C81"/>
    <w:rsid w:val="00647D69"/>
    <w:rsid w:val="006501A5"/>
    <w:rsid w:val="006505F9"/>
    <w:rsid w:val="006507D9"/>
    <w:rsid w:val="006510B5"/>
    <w:rsid w:val="00651131"/>
    <w:rsid w:val="00652840"/>
    <w:rsid w:val="00654902"/>
    <w:rsid w:val="006568B7"/>
    <w:rsid w:val="0065722B"/>
    <w:rsid w:val="00660259"/>
    <w:rsid w:val="006609D4"/>
    <w:rsid w:val="00661B54"/>
    <w:rsid w:val="00662E23"/>
    <w:rsid w:val="0066355C"/>
    <w:rsid w:val="00663798"/>
    <w:rsid w:val="006639A2"/>
    <w:rsid w:val="00664F83"/>
    <w:rsid w:val="00665822"/>
    <w:rsid w:val="0066594C"/>
    <w:rsid w:val="00666523"/>
    <w:rsid w:val="006677BF"/>
    <w:rsid w:val="00667A1A"/>
    <w:rsid w:val="00667C47"/>
    <w:rsid w:val="00670A15"/>
    <w:rsid w:val="00670E1D"/>
    <w:rsid w:val="006713FF"/>
    <w:rsid w:val="00671934"/>
    <w:rsid w:val="00671D12"/>
    <w:rsid w:val="00672FA6"/>
    <w:rsid w:val="006738D4"/>
    <w:rsid w:val="00676519"/>
    <w:rsid w:val="00677440"/>
    <w:rsid w:val="00677F43"/>
    <w:rsid w:val="00681AE2"/>
    <w:rsid w:val="00682D8C"/>
    <w:rsid w:val="00683715"/>
    <w:rsid w:val="00683E40"/>
    <w:rsid w:val="00685953"/>
    <w:rsid w:val="006861D0"/>
    <w:rsid w:val="00686BC1"/>
    <w:rsid w:val="006876F6"/>
    <w:rsid w:val="006879B8"/>
    <w:rsid w:val="00690B6E"/>
    <w:rsid w:val="006914B3"/>
    <w:rsid w:val="00691BA7"/>
    <w:rsid w:val="006924D8"/>
    <w:rsid w:val="00692A06"/>
    <w:rsid w:val="00692C6E"/>
    <w:rsid w:val="00694387"/>
    <w:rsid w:val="006944E2"/>
    <w:rsid w:val="006945C4"/>
    <w:rsid w:val="00694A06"/>
    <w:rsid w:val="00694B3E"/>
    <w:rsid w:val="00696B87"/>
    <w:rsid w:val="006A066B"/>
    <w:rsid w:val="006A18E2"/>
    <w:rsid w:val="006A1DAB"/>
    <w:rsid w:val="006A20CC"/>
    <w:rsid w:val="006A347A"/>
    <w:rsid w:val="006A3770"/>
    <w:rsid w:val="006A3EFE"/>
    <w:rsid w:val="006A4360"/>
    <w:rsid w:val="006A50E9"/>
    <w:rsid w:val="006A5766"/>
    <w:rsid w:val="006A5EBC"/>
    <w:rsid w:val="006A712A"/>
    <w:rsid w:val="006A763E"/>
    <w:rsid w:val="006B28C9"/>
    <w:rsid w:val="006B31E5"/>
    <w:rsid w:val="006B324F"/>
    <w:rsid w:val="006B35EC"/>
    <w:rsid w:val="006B3D6E"/>
    <w:rsid w:val="006B47F7"/>
    <w:rsid w:val="006B65C7"/>
    <w:rsid w:val="006C0126"/>
    <w:rsid w:val="006C2542"/>
    <w:rsid w:val="006C2C45"/>
    <w:rsid w:val="006C364C"/>
    <w:rsid w:val="006C36F3"/>
    <w:rsid w:val="006C4257"/>
    <w:rsid w:val="006C59BF"/>
    <w:rsid w:val="006C6428"/>
    <w:rsid w:val="006C64D7"/>
    <w:rsid w:val="006C673E"/>
    <w:rsid w:val="006C7730"/>
    <w:rsid w:val="006D0FA7"/>
    <w:rsid w:val="006D123F"/>
    <w:rsid w:val="006D3515"/>
    <w:rsid w:val="006D38C0"/>
    <w:rsid w:val="006D417E"/>
    <w:rsid w:val="006D41DD"/>
    <w:rsid w:val="006D4208"/>
    <w:rsid w:val="006D462F"/>
    <w:rsid w:val="006D46A4"/>
    <w:rsid w:val="006D6095"/>
    <w:rsid w:val="006D6868"/>
    <w:rsid w:val="006D6FD7"/>
    <w:rsid w:val="006D7CBA"/>
    <w:rsid w:val="006E036A"/>
    <w:rsid w:val="006E15B2"/>
    <w:rsid w:val="006E1D93"/>
    <w:rsid w:val="006E215F"/>
    <w:rsid w:val="006E29FB"/>
    <w:rsid w:val="006E2E6A"/>
    <w:rsid w:val="006E3517"/>
    <w:rsid w:val="006E372C"/>
    <w:rsid w:val="006E3824"/>
    <w:rsid w:val="006E44AF"/>
    <w:rsid w:val="006E4733"/>
    <w:rsid w:val="006E5228"/>
    <w:rsid w:val="006E6C5F"/>
    <w:rsid w:val="006E7389"/>
    <w:rsid w:val="006E7C0C"/>
    <w:rsid w:val="006E7D3A"/>
    <w:rsid w:val="006F1B08"/>
    <w:rsid w:val="006F2444"/>
    <w:rsid w:val="006F2AA4"/>
    <w:rsid w:val="006F2CF3"/>
    <w:rsid w:val="006F3E45"/>
    <w:rsid w:val="006F42EF"/>
    <w:rsid w:val="006F55AA"/>
    <w:rsid w:val="006F61B4"/>
    <w:rsid w:val="006F758A"/>
    <w:rsid w:val="00700855"/>
    <w:rsid w:val="00700A77"/>
    <w:rsid w:val="00700B08"/>
    <w:rsid w:val="0070195C"/>
    <w:rsid w:val="00701A96"/>
    <w:rsid w:val="007021D3"/>
    <w:rsid w:val="00703EE4"/>
    <w:rsid w:val="00704F78"/>
    <w:rsid w:val="0070553D"/>
    <w:rsid w:val="007062AA"/>
    <w:rsid w:val="00706E70"/>
    <w:rsid w:val="00707218"/>
    <w:rsid w:val="00707B0F"/>
    <w:rsid w:val="00710538"/>
    <w:rsid w:val="007108F3"/>
    <w:rsid w:val="00710CBC"/>
    <w:rsid w:val="00710D00"/>
    <w:rsid w:val="0071192C"/>
    <w:rsid w:val="00712050"/>
    <w:rsid w:val="007131DC"/>
    <w:rsid w:val="007137C4"/>
    <w:rsid w:val="007138A4"/>
    <w:rsid w:val="00713FFD"/>
    <w:rsid w:val="00714F77"/>
    <w:rsid w:val="007151B8"/>
    <w:rsid w:val="00716747"/>
    <w:rsid w:val="00716A22"/>
    <w:rsid w:val="007173AB"/>
    <w:rsid w:val="007175C9"/>
    <w:rsid w:val="00717CAB"/>
    <w:rsid w:val="00720754"/>
    <w:rsid w:val="00721399"/>
    <w:rsid w:val="0072282C"/>
    <w:rsid w:val="00722FEF"/>
    <w:rsid w:val="00723F9F"/>
    <w:rsid w:val="007257D8"/>
    <w:rsid w:val="00725885"/>
    <w:rsid w:val="00731310"/>
    <w:rsid w:val="007313F3"/>
    <w:rsid w:val="0073187D"/>
    <w:rsid w:val="007318FC"/>
    <w:rsid w:val="0073337E"/>
    <w:rsid w:val="00733853"/>
    <w:rsid w:val="00733F12"/>
    <w:rsid w:val="00733FDC"/>
    <w:rsid w:val="007343B4"/>
    <w:rsid w:val="007343F0"/>
    <w:rsid w:val="00734804"/>
    <w:rsid w:val="00734E7E"/>
    <w:rsid w:val="00735704"/>
    <w:rsid w:val="00735ED0"/>
    <w:rsid w:val="007371EA"/>
    <w:rsid w:val="00740087"/>
    <w:rsid w:val="007407B3"/>
    <w:rsid w:val="00742D58"/>
    <w:rsid w:val="00743CEA"/>
    <w:rsid w:val="00744C98"/>
    <w:rsid w:val="0074511E"/>
    <w:rsid w:val="0074550D"/>
    <w:rsid w:val="007460D2"/>
    <w:rsid w:val="00746377"/>
    <w:rsid w:val="00746453"/>
    <w:rsid w:val="0074798B"/>
    <w:rsid w:val="00747DC5"/>
    <w:rsid w:val="007507AF"/>
    <w:rsid w:val="00751857"/>
    <w:rsid w:val="007529A3"/>
    <w:rsid w:val="007532B0"/>
    <w:rsid w:val="00753F19"/>
    <w:rsid w:val="00755729"/>
    <w:rsid w:val="007563E2"/>
    <w:rsid w:val="007566E2"/>
    <w:rsid w:val="007575C2"/>
    <w:rsid w:val="007577F9"/>
    <w:rsid w:val="00757CD4"/>
    <w:rsid w:val="0076081F"/>
    <w:rsid w:val="007613D7"/>
    <w:rsid w:val="00761978"/>
    <w:rsid w:val="00762E27"/>
    <w:rsid w:val="0076346A"/>
    <w:rsid w:val="00763DD5"/>
    <w:rsid w:val="007641E0"/>
    <w:rsid w:val="007649B3"/>
    <w:rsid w:val="007666AD"/>
    <w:rsid w:val="007670E1"/>
    <w:rsid w:val="00767DE2"/>
    <w:rsid w:val="00770DE4"/>
    <w:rsid w:val="00771B36"/>
    <w:rsid w:val="00772947"/>
    <w:rsid w:val="00772FBC"/>
    <w:rsid w:val="00773812"/>
    <w:rsid w:val="00773CDD"/>
    <w:rsid w:val="00775D6E"/>
    <w:rsid w:val="00776D17"/>
    <w:rsid w:val="00776F77"/>
    <w:rsid w:val="0077726B"/>
    <w:rsid w:val="00777DE0"/>
    <w:rsid w:val="00777E56"/>
    <w:rsid w:val="0078038A"/>
    <w:rsid w:val="00780453"/>
    <w:rsid w:val="007817B4"/>
    <w:rsid w:val="0078245C"/>
    <w:rsid w:val="0078260C"/>
    <w:rsid w:val="007826ED"/>
    <w:rsid w:val="007836F6"/>
    <w:rsid w:val="0078435E"/>
    <w:rsid w:val="007848F6"/>
    <w:rsid w:val="00786485"/>
    <w:rsid w:val="0078653F"/>
    <w:rsid w:val="0078759D"/>
    <w:rsid w:val="007900A8"/>
    <w:rsid w:val="007913AE"/>
    <w:rsid w:val="007921DE"/>
    <w:rsid w:val="00792514"/>
    <w:rsid w:val="00793424"/>
    <w:rsid w:val="00794389"/>
    <w:rsid w:val="0079614B"/>
    <w:rsid w:val="00797C84"/>
    <w:rsid w:val="007A00C4"/>
    <w:rsid w:val="007A09BC"/>
    <w:rsid w:val="007A107B"/>
    <w:rsid w:val="007A1C95"/>
    <w:rsid w:val="007A1D79"/>
    <w:rsid w:val="007A302A"/>
    <w:rsid w:val="007A3C32"/>
    <w:rsid w:val="007A3CA3"/>
    <w:rsid w:val="007A3DAE"/>
    <w:rsid w:val="007A4571"/>
    <w:rsid w:val="007A51C0"/>
    <w:rsid w:val="007A52EA"/>
    <w:rsid w:val="007A5476"/>
    <w:rsid w:val="007A5504"/>
    <w:rsid w:val="007A5E7C"/>
    <w:rsid w:val="007A6FD7"/>
    <w:rsid w:val="007A7B79"/>
    <w:rsid w:val="007B01E0"/>
    <w:rsid w:val="007B1DF0"/>
    <w:rsid w:val="007B497F"/>
    <w:rsid w:val="007B5A88"/>
    <w:rsid w:val="007B64CE"/>
    <w:rsid w:val="007B687A"/>
    <w:rsid w:val="007B774A"/>
    <w:rsid w:val="007B7C89"/>
    <w:rsid w:val="007B7E60"/>
    <w:rsid w:val="007C055B"/>
    <w:rsid w:val="007C08E7"/>
    <w:rsid w:val="007C0ADE"/>
    <w:rsid w:val="007C1018"/>
    <w:rsid w:val="007C2029"/>
    <w:rsid w:val="007C263B"/>
    <w:rsid w:val="007C2A46"/>
    <w:rsid w:val="007C353A"/>
    <w:rsid w:val="007C3551"/>
    <w:rsid w:val="007C3C38"/>
    <w:rsid w:val="007C3D45"/>
    <w:rsid w:val="007C3D9A"/>
    <w:rsid w:val="007C5611"/>
    <w:rsid w:val="007C5D57"/>
    <w:rsid w:val="007C64B5"/>
    <w:rsid w:val="007C6B07"/>
    <w:rsid w:val="007C7E99"/>
    <w:rsid w:val="007D2B77"/>
    <w:rsid w:val="007D32B0"/>
    <w:rsid w:val="007D3918"/>
    <w:rsid w:val="007D44FD"/>
    <w:rsid w:val="007D4FA4"/>
    <w:rsid w:val="007D5003"/>
    <w:rsid w:val="007D5F35"/>
    <w:rsid w:val="007D63FC"/>
    <w:rsid w:val="007D7EB5"/>
    <w:rsid w:val="007E0574"/>
    <w:rsid w:val="007E139A"/>
    <w:rsid w:val="007E13BE"/>
    <w:rsid w:val="007E145E"/>
    <w:rsid w:val="007E2074"/>
    <w:rsid w:val="007E3AC5"/>
    <w:rsid w:val="007E420C"/>
    <w:rsid w:val="007E43A1"/>
    <w:rsid w:val="007E5764"/>
    <w:rsid w:val="007E60F2"/>
    <w:rsid w:val="007E64F8"/>
    <w:rsid w:val="007E7FA9"/>
    <w:rsid w:val="007F1295"/>
    <w:rsid w:val="007F36DE"/>
    <w:rsid w:val="007F3E37"/>
    <w:rsid w:val="007F4AF0"/>
    <w:rsid w:val="007F5044"/>
    <w:rsid w:val="007F5288"/>
    <w:rsid w:val="007F5503"/>
    <w:rsid w:val="007F6497"/>
    <w:rsid w:val="007F77DB"/>
    <w:rsid w:val="00800984"/>
    <w:rsid w:val="00800E74"/>
    <w:rsid w:val="00800F0F"/>
    <w:rsid w:val="00801F7B"/>
    <w:rsid w:val="0080585C"/>
    <w:rsid w:val="00805C85"/>
    <w:rsid w:val="0080624E"/>
    <w:rsid w:val="00806BF0"/>
    <w:rsid w:val="00806FD9"/>
    <w:rsid w:val="00807BA3"/>
    <w:rsid w:val="00810C06"/>
    <w:rsid w:val="00812885"/>
    <w:rsid w:val="00813A1C"/>
    <w:rsid w:val="008144B6"/>
    <w:rsid w:val="00815458"/>
    <w:rsid w:val="00816D8F"/>
    <w:rsid w:val="0081724B"/>
    <w:rsid w:val="0081791A"/>
    <w:rsid w:val="00817DF8"/>
    <w:rsid w:val="00820570"/>
    <w:rsid w:val="00820DB3"/>
    <w:rsid w:val="00821406"/>
    <w:rsid w:val="00821C24"/>
    <w:rsid w:val="008220B8"/>
    <w:rsid w:val="008220CD"/>
    <w:rsid w:val="00822FD1"/>
    <w:rsid w:val="0082336F"/>
    <w:rsid w:val="00823CCA"/>
    <w:rsid w:val="008243AA"/>
    <w:rsid w:val="008255E7"/>
    <w:rsid w:val="00826002"/>
    <w:rsid w:val="00826A53"/>
    <w:rsid w:val="008273A6"/>
    <w:rsid w:val="0082744C"/>
    <w:rsid w:val="00827BFD"/>
    <w:rsid w:val="008312CE"/>
    <w:rsid w:val="00831C32"/>
    <w:rsid w:val="00831F99"/>
    <w:rsid w:val="008320E9"/>
    <w:rsid w:val="008324C9"/>
    <w:rsid w:val="00832DBE"/>
    <w:rsid w:val="00832F03"/>
    <w:rsid w:val="0083328F"/>
    <w:rsid w:val="00833D7E"/>
    <w:rsid w:val="00835524"/>
    <w:rsid w:val="00836445"/>
    <w:rsid w:val="0083756B"/>
    <w:rsid w:val="0083778E"/>
    <w:rsid w:val="008402FD"/>
    <w:rsid w:val="00840399"/>
    <w:rsid w:val="008412AC"/>
    <w:rsid w:val="00841B86"/>
    <w:rsid w:val="00843592"/>
    <w:rsid w:val="00844082"/>
    <w:rsid w:val="00844083"/>
    <w:rsid w:val="008445F1"/>
    <w:rsid w:val="0084480B"/>
    <w:rsid w:val="008453C1"/>
    <w:rsid w:val="00845EC5"/>
    <w:rsid w:val="008469A9"/>
    <w:rsid w:val="008469D6"/>
    <w:rsid w:val="008470C7"/>
    <w:rsid w:val="00850153"/>
    <w:rsid w:val="0085021C"/>
    <w:rsid w:val="008509D8"/>
    <w:rsid w:val="00850BED"/>
    <w:rsid w:val="00851A1C"/>
    <w:rsid w:val="008527F9"/>
    <w:rsid w:val="008537B1"/>
    <w:rsid w:val="00853C57"/>
    <w:rsid w:val="00854848"/>
    <w:rsid w:val="00855033"/>
    <w:rsid w:val="008554CA"/>
    <w:rsid w:val="008556F4"/>
    <w:rsid w:val="00855D55"/>
    <w:rsid w:val="0085645F"/>
    <w:rsid w:val="00856E1B"/>
    <w:rsid w:val="008571B5"/>
    <w:rsid w:val="008572DF"/>
    <w:rsid w:val="00860207"/>
    <w:rsid w:val="00860889"/>
    <w:rsid w:val="00861AE1"/>
    <w:rsid w:val="008629F3"/>
    <w:rsid w:val="00863483"/>
    <w:rsid w:val="00863540"/>
    <w:rsid w:val="00863914"/>
    <w:rsid w:val="008647B2"/>
    <w:rsid w:val="008652BA"/>
    <w:rsid w:val="00866B6C"/>
    <w:rsid w:val="0087106A"/>
    <w:rsid w:val="008716A7"/>
    <w:rsid w:val="008718FF"/>
    <w:rsid w:val="00871C47"/>
    <w:rsid w:val="00871C4C"/>
    <w:rsid w:val="00872275"/>
    <w:rsid w:val="008729E5"/>
    <w:rsid w:val="00872DBE"/>
    <w:rsid w:val="00873341"/>
    <w:rsid w:val="00873A0D"/>
    <w:rsid w:val="0087674A"/>
    <w:rsid w:val="00880720"/>
    <w:rsid w:val="00881B22"/>
    <w:rsid w:val="00881D22"/>
    <w:rsid w:val="0088209C"/>
    <w:rsid w:val="00882165"/>
    <w:rsid w:val="008824D8"/>
    <w:rsid w:val="00884433"/>
    <w:rsid w:val="0088702D"/>
    <w:rsid w:val="008878FF"/>
    <w:rsid w:val="00887C49"/>
    <w:rsid w:val="00887F15"/>
    <w:rsid w:val="00890BB0"/>
    <w:rsid w:val="00890E83"/>
    <w:rsid w:val="0089192B"/>
    <w:rsid w:val="008924C4"/>
    <w:rsid w:val="00893967"/>
    <w:rsid w:val="0089414C"/>
    <w:rsid w:val="008952D2"/>
    <w:rsid w:val="00896500"/>
    <w:rsid w:val="0089749C"/>
    <w:rsid w:val="008A0A39"/>
    <w:rsid w:val="008A0F8B"/>
    <w:rsid w:val="008A131F"/>
    <w:rsid w:val="008A2C58"/>
    <w:rsid w:val="008A36A8"/>
    <w:rsid w:val="008A3AE2"/>
    <w:rsid w:val="008A3B4B"/>
    <w:rsid w:val="008A5413"/>
    <w:rsid w:val="008A5448"/>
    <w:rsid w:val="008A58C8"/>
    <w:rsid w:val="008A6384"/>
    <w:rsid w:val="008A67CC"/>
    <w:rsid w:val="008A6D54"/>
    <w:rsid w:val="008B06C9"/>
    <w:rsid w:val="008B170D"/>
    <w:rsid w:val="008B2E54"/>
    <w:rsid w:val="008B42A7"/>
    <w:rsid w:val="008B4806"/>
    <w:rsid w:val="008B4AB4"/>
    <w:rsid w:val="008B55CC"/>
    <w:rsid w:val="008B56A7"/>
    <w:rsid w:val="008B6CBE"/>
    <w:rsid w:val="008B7070"/>
    <w:rsid w:val="008B70B2"/>
    <w:rsid w:val="008B7662"/>
    <w:rsid w:val="008B7C30"/>
    <w:rsid w:val="008C0299"/>
    <w:rsid w:val="008C1121"/>
    <w:rsid w:val="008C2458"/>
    <w:rsid w:val="008C249B"/>
    <w:rsid w:val="008C342D"/>
    <w:rsid w:val="008C3C7F"/>
    <w:rsid w:val="008C5AF4"/>
    <w:rsid w:val="008C68F4"/>
    <w:rsid w:val="008C6B2A"/>
    <w:rsid w:val="008C6F8F"/>
    <w:rsid w:val="008C709B"/>
    <w:rsid w:val="008C781C"/>
    <w:rsid w:val="008C7E94"/>
    <w:rsid w:val="008D127E"/>
    <w:rsid w:val="008D21D6"/>
    <w:rsid w:val="008D21F3"/>
    <w:rsid w:val="008D2D6D"/>
    <w:rsid w:val="008D3C15"/>
    <w:rsid w:val="008D3F2B"/>
    <w:rsid w:val="008D57A8"/>
    <w:rsid w:val="008E042A"/>
    <w:rsid w:val="008E0A52"/>
    <w:rsid w:val="008E0B18"/>
    <w:rsid w:val="008E0E3A"/>
    <w:rsid w:val="008E14DD"/>
    <w:rsid w:val="008E15FC"/>
    <w:rsid w:val="008E175A"/>
    <w:rsid w:val="008E1CDE"/>
    <w:rsid w:val="008E1D0F"/>
    <w:rsid w:val="008E4459"/>
    <w:rsid w:val="008E47D2"/>
    <w:rsid w:val="008F077C"/>
    <w:rsid w:val="008F07EA"/>
    <w:rsid w:val="008F0867"/>
    <w:rsid w:val="008F1521"/>
    <w:rsid w:val="008F1950"/>
    <w:rsid w:val="008F2F41"/>
    <w:rsid w:val="008F64EA"/>
    <w:rsid w:val="008F67D0"/>
    <w:rsid w:val="00900C98"/>
    <w:rsid w:val="009025B4"/>
    <w:rsid w:val="00904FDB"/>
    <w:rsid w:val="00906E0D"/>
    <w:rsid w:val="009105AD"/>
    <w:rsid w:val="009114F4"/>
    <w:rsid w:val="00911921"/>
    <w:rsid w:val="00911A01"/>
    <w:rsid w:val="0091215A"/>
    <w:rsid w:val="009131CF"/>
    <w:rsid w:val="009134B0"/>
    <w:rsid w:val="009137ED"/>
    <w:rsid w:val="00915CE6"/>
    <w:rsid w:val="009223D9"/>
    <w:rsid w:val="009239F9"/>
    <w:rsid w:val="00923E80"/>
    <w:rsid w:val="0092401D"/>
    <w:rsid w:val="009242A4"/>
    <w:rsid w:val="00925B3E"/>
    <w:rsid w:val="00926C1C"/>
    <w:rsid w:val="0092734A"/>
    <w:rsid w:val="0092765F"/>
    <w:rsid w:val="00927B02"/>
    <w:rsid w:val="009301E2"/>
    <w:rsid w:val="0093089D"/>
    <w:rsid w:val="00931086"/>
    <w:rsid w:val="009325BF"/>
    <w:rsid w:val="00932DE3"/>
    <w:rsid w:val="00934AFD"/>
    <w:rsid w:val="00935C8D"/>
    <w:rsid w:val="009364CE"/>
    <w:rsid w:val="009371C6"/>
    <w:rsid w:val="00937DA1"/>
    <w:rsid w:val="009403A2"/>
    <w:rsid w:val="00940A08"/>
    <w:rsid w:val="009411A2"/>
    <w:rsid w:val="00941C6C"/>
    <w:rsid w:val="00941EAD"/>
    <w:rsid w:val="00943437"/>
    <w:rsid w:val="009435E4"/>
    <w:rsid w:val="009436D9"/>
    <w:rsid w:val="00944C3C"/>
    <w:rsid w:val="00947278"/>
    <w:rsid w:val="0094740B"/>
    <w:rsid w:val="00950B71"/>
    <w:rsid w:val="00950F37"/>
    <w:rsid w:val="009513DA"/>
    <w:rsid w:val="00951EB8"/>
    <w:rsid w:val="009523CF"/>
    <w:rsid w:val="00952637"/>
    <w:rsid w:val="00952CE5"/>
    <w:rsid w:val="00952E75"/>
    <w:rsid w:val="00954896"/>
    <w:rsid w:val="0095594C"/>
    <w:rsid w:val="009559A9"/>
    <w:rsid w:val="00956815"/>
    <w:rsid w:val="00956BC5"/>
    <w:rsid w:val="00957200"/>
    <w:rsid w:val="009601A2"/>
    <w:rsid w:val="009603BA"/>
    <w:rsid w:val="009613EB"/>
    <w:rsid w:val="00961A7C"/>
    <w:rsid w:val="00962C08"/>
    <w:rsid w:val="0096590F"/>
    <w:rsid w:val="00966CE2"/>
    <w:rsid w:val="00966CF6"/>
    <w:rsid w:val="009679BC"/>
    <w:rsid w:val="009702AF"/>
    <w:rsid w:val="009704C2"/>
    <w:rsid w:val="009705FD"/>
    <w:rsid w:val="0097132B"/>
    <w:rsid w:val="00971E42"/>
    <w:rsid w:val="00972028"/>
    <w:rsid w:val="00972E6D"/>
    <w:rsid w:val="0097380D"/>
    <w:rsid w:val="00973E5B"/>
    <w:rsid w:val="00973F94"/>
    <w:rsid w:val="00974586"/>
    <w:rsid w:val="00974590"/>
    <w:rsid w:val="00975458"/>
    <w:rsid w:val="00975944"/>
    <w:rsid w:val="009765D3"/>
    <w:rsid w:val="009772FE"/>
    <w:rsid w:val="00980264"/>
    <w:rsid w:val="009808C0"/>
    <w:rsid w:val="00980DC7"/>
    <w:rsid w:val="00982D47"/>
    <w:rsid w:val="00983444"/>
    <w:rsid w:val="00985160"/>
    <w:rsid w:val="009853FC"/>
    <w:rsid w:val="00985859"/>
    <w:rsid w:val="0098586C"/>
    <w:rsid w:val="0098622C"/>
    <w:rsid w:val="00987BF8"/>
    <w:rsid w:val="00987C22"/>
    <w:rsid w:val="009903B3"/>
    <w:rsid w:val="0099088E"/>
    <w:rsid w:val="00990C78"/>
    <w:rsid w:val="00992273"/>
    <w:rsid w:val="00992D3C"/>
    <w:rsid w:val="00994197"/>
    <w:rsid w:val="009948F9"/>
    <w:rsid w:val="00994B46"/>
    <w:rsid w:val="00994B7A"/>
    <w:rsid w:val="009953C1"/>
    <w:rsid w:val="00996420"/>
    <w:rsid w:val="00996598"/>
    <w:rsid w:val="00996B7B"/>
    <w:rsid w:val="00997BAE"/>
    <w:rsid w:val="009A013B"/>
    <w:rsid w:val="009A07F4"/>
    <w:rsid w:val="009A0FA8"/>
    <w:rsid w:val="009A1897"/>
    <w:rsid w:val="009A1DDD"/>
    <w:rsid w:val="009A239C"/>
    <w:rsid w:val="009A2A43"/>
    <w:rsid w:val="009A33A6"/>
    <w:rsid w:val="009A3714"/>
    <w:rsid w:val="009A37A1"/>
    <w:rsid w:val="009A3F57"/>
    <w:rsid w:val="009A4095"/>
    <w:rsid w:val="009A63A3"/>
    <w:rsid w:val="009A7088"/>
    <w:rsid w:val="009A72FC"/>
    <w:rsid w:val="009A77E5"/>
    <w:rsid w:val="009A7933"/>
    <w:rsid w:val="009B09F1"/>
    <w:rsid w:val="009B2149"/>
    <w:rsid w:val="009B2826"/>
    <w:rsid w:val="009B5B82"/>
    <w:rsid w:val="009B6252"/>
    <w:rsid w:val="009B77BA"/>
    <w:rsid w:val="009C004A"/>
    <w:rsid w:val="009C0837"/>
    <w:rsid w:val="009C0A18"/>
    <w:rsid w:val="009C1539"/>
    <w:rsid w:val="009C2E33"/>
    <w:rsid w:val="009C3649"/>
    <w:rsid w:val="009C3E90"/>
    <w:rsid w:val="009C4CC7"/>
    <w:rsid w:val="009C5407"/>
    <w:rsid w:val="009D0DE2"/>
    <w:rsid w:val="009D1CD4"/>
    <w:rsid w:val="009D1ECA"/>
    <w:rsid w:val="009D33F4"/>
    <w:rsid w:val="009D3FC8"/>
    <w:rsid w:val="009D4975"/>
    <w:rsid w:val="009D5A3B"/>
    <w:rsid w:val="009D5DCC"/>
    <w:rsid w:val="009D762F"/>
    <w:rsid w:val="009D7B21"/>
    <w:rsid w:val="009E015A"/>
    <w:rsid w:val="009E14ED"/>
    <w:rsid w:val="009E2001"/>
    <w:rsid w:val="009E222A"/>
    <w:rsid w:val="009E22E7"/>
    <w:rsid w:val="009E2B4F"/>
    <w:rsid w:val="009E3C0C"/>
    <w:rsid w:val="009E3F58"/>
    <w:rsid w:val="009E48B4"/>
    <w:rsid w:val="009E7A13"/>
    <w:rsid w:val="009F0DBA"/>
    <w:rsid w:val="009F106D"/>
    <w:rsid w:val="009F2D84"/>
    <w:rsid w:val="009F3AE2"/>
    <w:rsid w:val="009F556F"/>
    <w:rsid w:val="009F67BC"/>
    <w:rsid w:val="009F69DA"/>
    <w:rsid w:val="009F7CB6"/>
    <w:rsid w:val="00A041A0"/>
    <w:rsid w:val="00A046B5"/>
    <w:rsid w:val="00A0482D"/>
    <w:rsid w:val="00A04C4A"/>
    <w:rsid w:val="00A053FD"/>
    <w:rsid w:val="00A0547B"/>
    <w:rsid w:val="00A071E2"/>
    <w:rsid w:val="00A103FC"/>
    <w:rsid w:val="00A122DC"/>
    <w:rsid w:val="00A1233E"/>
    <w:rsid w:val="00A125B2"/>
    <w:rsid w:val="00A158CE"/>
    <w:rsid w:val="00A161CA"/>
    <w:rsid w:val="00A1783B"/>
    <w:rsid w:val="00A17ACF"/>
    <w:rsid w:val="00A22513"/>
    <w:rsid w:val="00A24BDB"/>
    <w:rsid w:val="00A2544E"/>
    <w:rsid w:val="00A2573E"/>
    <w:rsid w:val="00A263F4"/>
    <w:rsid w:val="00A30707"/>
    <w:rsid w:val="00A30F2C"/>
    <w:rsid w:val="00A31299"/>
    <w:rsid w:val="00A3314B"/>
    <w:rsid w:val="00A346BA"/>
    <w:rsid w:val="00A34C9A"/>
    <w:rsid w:val="00A35155"/>
    <w:rsid w:val="00A36588"/>
    <w:rsid w:val="00A371D0"/>
    <w:rsid w:val="00A40630"/>
    <w:rsid w:val="00A40AC2"/>
    <w:rsid w:val="00A4178A"/>
    <w:rsid w:val="00A41B20"/>
    <w:rsid w:val="00A422BB"/>
    <w:rsid w:val="00A4363B"/>
    <w:rsid w:val="00A43FA5"/>
    <w:rsid w:val="00A4498E"/>
    <w:rsid w:val="00A45A36"/>
    <w:rsid w:val="00A46D72"/>
    <w:rsid w:val="00A46F00"/>
    <w:rsid w:val="00A47C9D"/>
    <w:rsid w:val="00A5113F"/>
    <w:rsid w:val="00A51D65"/>
    <w:rsid w:val="00A52A5E"/>
    <w:rsid w:val="00A52E4A"/>
    <w:rsid w:val="00A54AE9"/>
    <w:rsid w:val="00A5526D"/>
    <w:rsid w:val="00A56126"/>
    <w:rsid w:val="00A56562"/>
    <w:rsid w:val="00A56915"/>
    <w:rsid w:val="00A56A57"/>
    <w:rsid w:val="00A56AA0"/>
    <w:rsid w:val="00A60232"/>
    <w:rsid w:val="00A613AC"/>
    <w:rsid w:val="00A61F26"/>
    <w:rsid w:val="00A62F4C"/>
    <w:rsid w:val="00A63A06"/>
    <w:rsid w:val="00A63F96"/>
    <w:rsid w:val="00A650E4"/>
    <w:rsid w:val="00A651F1"/>
    <w:rsid w:val="00A658B6"/>
    <w:rsid w:val="00A66366"/>
    <w:rsid w:val="00A67146"/>
    <w:rsid w:val="00A671EF"/>
    <w:rsid w:val="00A674B5"/>
    <w:rsid w:val="00A6761E"/>
    <w:rsid w:val="00A677B9"/>
    <w:rsid w:val="00A6785F"/>
    <w:rsid w:val="00A67C35"/>
    <w:rsid w:val="00A70302"/>
    <w:rsid w:val="00A70FA7"/>
    <w:rsid w:val="00A716A1"/>
    <w:rsid w:val="00A72CE6"/>
    <w:rsid w:val="00A74616"/>
    <w:rsid w:val="00A74681"/>
    <w:rsid w:val="00A746DD"/>
    <w:rsid w:val="00A74B47"/>
    <w:rsid w:val="00A74BF6"/>
    <w:rsid w:val="00A7556E"/>
    <w:rsid w:val="00A75FD0"/>
    <w:rsid w:val="00A77B12"/>
    <w:rsid w:val="00A80BB6"/>
    <w:rsid w:val="00A84006"/>
    <w:rsid w:val="00A858F6"/>
    <w:rsid w:val="00A85A95"/>
    <w:rsid w:val="00A85F6F"/>
    <w:rsid w:val="00A86398"/>
    <w:rsid w:val="00A87BE9"/>
    <w:rsid w:val="00A901C8"/>
    <w:rsid w:val="00A918F1"/>
    <w:rsid w:val="00A92D5C"/>
    <w:rsid w:val="00A951C9"/>
    <w:rsid w:val="00A95234"/>
    <w:rsid w:val="00AA0971"/>
    <w:rsid w:val="00AA141E"/>
    <w:rsid w:val="00AA1C5D"/>
    <w:rsid w:val="00AA27D6"/>
    <w:rsid w:val="00AA3C10"/>
    <w:rsid w:val="00AA4C44"/>
    <w:rsid w:val="00AA5A1C"/>
    <w:rsid w:val="00AA5AEB"/>
    <w:rsid w:val="00AA62CA"/>
    <w:rsid w:val="00AA647C"/>
    <w:rsid w:val="00AA64DA"/>
    <w:rsid w:val="00AB0694"/>
    <w:rsid w:val="00AB0C7E"/>
    <w:rsid w:val="00AB1727"/>
    <w:rsid w:val="00AB280F"/>
    <w:rsid w:val="00AB29F3"/>
    <w:rsid w:val="00AB2D15"/>
    <w:rsid w:val="00AB2D44"/>
    <w:rsid w:val="00AB396E"/>
    <w:rsid w:val="00AB4DCA"/>
    <w:rsid w:val="00AB52AB"/>
    <w:rsid w:val="00AB5373"/>
    <w:rsid w:val="00AB5422"/>
    <w:rsid w:val="00AB5877"/>
    <w:rsid w:val="00AC01E9"/>
    <w:rsid w:val="00AC0D1B"/>
    <w:rsid w:val="00AC16C0"/>
    <w:rsid w:val="00AC35BE"/>
    <w:rsid w:val="00AC3B1E"/>
    <w:rsid w:val="00AC503D"/>
    <w:rsid w:val="00AC5A89"/>
    <w:rsid w:val="00AC5D29"/>
    <w:rsid w:val="00AC6703"/>
    <w:rsid w:val="00AC6716"/>
    <w:rsid w:val="00AC73F2"/>
    <w:rsid w:val="00AD0AEB"/>
    <w:rsid w:val="00AD1129"/>
    <w:rsid w:val="00AD119C"/>
    <w:rsid w:val="00AD195F"/>
    <w:rsid w:val="00AD58EB"/>
    <w:rsid w:val="00AD5C18"/>
    <w:rsid w:val="00AD65A4"/>
    <w:rsid w:val="00AD684D"/>
    <w:rsid w:val="00AD6D83"/>
    <w:rsid w:val="00AD7268"/>
    <w:rsid w:val="00AE0131"/>
    <w:rsid w:val="00AE0D76"/>
    <w:rsid w:val="00AE1177"/>
    <w:rsid w:val="00AE49D0"/>
    <w:rsid w:val="00AE4B41"/>
    <w:rsid w:val="00AE687E"/>
    <w:rsid w:val="00AE6D47"/>
    <w:rsid w:val="00AF01D1"/>
    <w:rsid w:val="00AF0760"/>
    <w:rsid w:val="00AF17B5"/>
    <w:rsid w:val="00AF1B2A"/>
    <w:rsid w:val="00AF285E"/>
    <w:rsid w:val="00AF3088"/>
    <w:rsid w:val="00AF30B4"/>
    <w:rsid w:val="00AF3268"/>
    <w:rsid w:val="00AF3C82"/>
    <w:rsid w:val="00AF3D16"/>
    <w:rsid w:val="00AF5F29"/>
    <w:rsid w:val="00AF60E3"/>
    <w:rsid w:val="00AF7AF4"/>
    <w:rsid w:val="00AF7ECC"/>
    <w:rsid w:val="00B022EC"/>
    <w:rsid w:val="00B024C8"/>
    <w:rsid w:val="00B034A9"/>
    <w:rsid w:val="00B035C1"/>
    <w:rsid w:val="00B03849"/>
    <w:rsid w:val="00B0488B"/>
    <w:rsid w:val="00B04D69"/>
    <w:rsid w:val="00B05A89"/>
    <w:rsid w:val="00B05B48"/>
    <w:rsid w:val="00B05CFC"/>
    <w:rsid w:val="00B069B9"/>
    <w:rsid w:val="00B071F4"/>
    <w:rsid w:val="00B106C3"/>
    <w:rsid w:val="00B10CF9"/>
    <w:rsid w:val="00B10F38"/>
    <w:rsid w:val="00B115D2"/>
    <w:rsid w:val="00B149C6"/>
    <w:rsid w:val="00B15319"/>
    <w:rsid w:val="00B15D55"/>
    <w:rsid w:val="00B1625B"/>
    <w:rsid w:val="00B162F7"/>
    <w:rsid w:val="00B16A8A"/>
    <w:rsid w:val="00B17C97"/>
    <w:rsid w:val="00B20012"/>
    <w:rsid w:val="00B2117B"/>
    <w:rsid w:val="00B21355"/>
    <w:rsid w:val="00B22471"/>
    <w:rsid w:val="00B22E93"/>
    <w:rsid w:val="00B230B5"/>
    <w:rsid w:val="00B24ACB"/>
    <w:rsid w:val="00B25764"/>
    <w:rsid w:val="00B3013C"/>
    <w:rsid w:val="00B30CF6"/>
    <w:rsid w:val="00B30E40"/>
    <w:rsid w:val="00B30F60"/>
    <w:rsid w:val="00B3325D"/>
    <w:rsid w:val="00B332D0"/>
    <w:rsid w:val="00B3383F"/>
    <w:rsid w:val="00B33B26"/>
    <w:rsid w:val="00B33C49"/>
    <w:rsid w:val="00B33F4D"/>
    <w:rsid w:val="00B347BB"/>
    <w:rsid w:val="00B35656"/>
    <w:rsid w:val="00B364F6"/>
    <w:rsid w:val="00B3664F"/>
    <w:rsid w:val="00B36D5A"/>
    <w:rsid w:val="00B37018"/>
    <w:rsid w:val="00B37164"/>
    <w:rsid w:val="00B3780A"/>
    <w:rsid w:val="00B3784A"/>
    <w:rsid w:val="00B400F6"/>
    <w:rsid w:val="00B40EF8"/>
    <w:rsid w:val="00B43BA2"/>
    <w:rsid w:val="00B43C6F"/>
    <w:rsid w:val="00B43D2C"/>
    <w:rsid w:val="00B449B2"/>
    <w:rsid w:val="00B44C03"/>
    <w:rsid w:val="00B452A4"/>
    <w:rsid w:val="00B45C35"/>
    <w:rsid w:val="00B4792E"/>
    <w:rsid w:val="00B47B53"/>
    <w:rsid w:val="00B47D39"/>
    <w:rsid w:val="00B513E4"/>
    <w:rsid w:val="00B51730"/>
    <w:rsid w:val="00B526DC"/>
    <w:rsid w:val="00B5277A"/>
    <w:rsid w:val="00B538C9"/>
    <w:rsid w:val="00B53FEE"/>
    <w:rsid w:val="00B54FAD"/>
    <w:rsid w:val="00B564EF"/>
    <w:rsid w:val="00B6021F"/>
    <w:rsid w:val="00B603FC"/>
    <w:rsid w:val="00B63E02"/>
    <w:rsid w:val="00B66C02"/>
    <w:rsid w:val="00B70675"/>
    <w:rsid w:val="00B7080D"/>
    <w:rsid w:val="00B7118F"/>
    <w:rsid w:val="00B71521"/>
    <w:rsid w:val="00B7250A"/>
    <w:rsid w:val="00B72D16"/>
    <w:rsid w:val="00B73014"/>
    <w:rsid w:val="00B73979"/>
    <w:rsid w:val="00B73F29"/>
    <w:rsid w:val="00B745A4"/>
    <w:rsid w:val="00B76309"/>
    <w:rsid w:val="00B77D37"/>
    <w:rsid w:val="00B801C3"/>
    <w:rsid w:val="00B80AC7"/>
    <w:rsid w:val="00B81A2C"/>
    <w:rsid w:val="00B822E3"/>
    <w:rsid w:val="00B826F3"/>
    <w:rsid w:val="00B830FD"/>
    <w:rsid w:val="00B83F72"/>
    <w:rsid w:val="00B8484D"/>
    <w:rsid w:val="00B84E9A"/>
    <w:rsid w:val="00B87696"/>
    <w:rsid w:val="00B87CD0"/>
    <w:rsid w:val="00B9052C"/>
    <w:rsid w:val="00B90FB2"/>
    <w:rsid w:val="00B91200"/>
    <w:rsid w:val="00B91DF7"/>
    <w:rsid w:val="00B92FB5"/>
    <w:rsid w:val="00B93971"/>
    <w:rsid w:val="00B9443C"/>
    <w:rsid w:val="00B95230"/>
    <w:rsid w:val="00B9676F"/>
    <w:rsid w:val="00B96F3C"/>
    <w:rsid w:val="00B9700D"/>
    <w:rsid w:val="00B979D9"/>
    <w:rsid w:val="00B97E46"/>
    <w:rsid w:val="00BA03B0"/>
    <w:rsid w:val="00BA22A2"/>
    <w:rsid w:val="00BA3150"/>
    <w:rsid w:val="00BA32CA"/>
    <w:rsid w:val="00BA34D4"/>
    <w:rsid w:val="00BA3877"/>
    <w:rsid w:val="00BA4826"/>
    <w:rsid w:val="00BA48F5"/>
    <w:rsid w:val="00BA4A44"/>
    <w:rsid w:val="00BA5A2A"/>
    <w:rsid w:val="00BA5D9D"/>
    <w:rsid w:val="00BA68A0"/>
    <w:rsid w:val="00BA731E"/>
    <w:rsid w:val="00BA75F7"/>
    <w:rsid w:val="00BB03A7"/>
    <w:rsid w:val="00BB189F"/>
    <w:rsid w:val="00BB1C65"/>
    <w:rsid w:val="00BB1D7E"/>
    <w:rsid w:val="00BB22B4"/>
    <w:rsid w:val="00BB28CA"/>
    <w:rsid w:val="00BB2C15"/>
    <w:rsid w:val="00BB3134"/>
    <w:rsid w:val="00BB53B7"/>
    <w:rsid w:val="00BB5C08"/>
    <w:rsid w:val="00BB5D6D"/>
    <w:rsid w:val="00BB776C"/>
    <w:rsid w:val="00BC00B3"/>
    <w:rsid w:val="00BC0302"/>
    <w:rsid w:val="00BC1941"/>
    <w:rsid w:val="00BC2009"/>
    <w:rsid w:val="00BC2941"/>
    <w:rsid w:val="00BC2E72"/>
    <w:rsid w:val="00BC379C"/>
    <w:rsid w:val="00BC3ACC"/>
    <w:rsid w:val="00BC3EE9"/>
    <w:rsid w:val="00BC475B"/>
    <w:rsid w:val="00BC4AAE"/>
    <w:rsid w:val="00BC4CFA"/>
    <w:rsid w:val="00BC4F64"/>
    <w:rsid w:val="00BC55B1"/>
    <w:rsid w:val="00BC6B68"/>
    <w:rsid w:val="00BC74A0"/>
    <w:rsid w:val="00BC7802"/>
    <w:rsid w:val="00BC7EE9"/>
    <w:rsid w:val="00BD0169"/>
    <w:rsid w:val="00BD2006"/>
    <w:rsid w:val="00BD2F99"/>
    <w:rsid w:val="00BD374E"/>
    <w:rsid w:val="00BD3A30"/>
    <w:rsid w:val="00BD41DB"/>
    <w:rsid w:val="00BD4716"/>
    <w:rsid w:val="00BD5DA4"/>
    <w:rsid w:val="00BD63F1"/>
    <w:rsid w:val="00BD732B"/>
    <w:rsid w:val="00BE225B"/>
    <w:rsid w:val="00BE24A5"/>
    <w:rsid w:val="00BE4E1A"/>
    <w:rsid w:val="00BE64A4"/>
    <w:rsid w:val="00BE67F7"/>
    <w:rsid w:val="00BE7E12"/>
    <w:rsid w:val="00BF058A"/>
    <w:rsid w:val="00BF0D13"/>
    <w:rsid w:val="00BF1796"/>
    <w:rsid w:val="00BF1F25"/>
    <w:rsid w:val="00BF22D6"/>
    <w:rsid w:val="00BF239D"/>
    <w:rsid w:val="00BF41EC"/>
    <w:rsid w:val="00BF4BF9"/>
    <w:rsid w:val="00BF5244"/>
    <w:rsid w:val="00BF616F"/>
    <w:rsid w:val="00C01EE2"/>
    <w:rsid w:val="00C026AD"/>
    <w:rsid w:val="00C04D26"/>
    <w:rsid w:val="00C0622B"/>
    <w:rsid w:val="00C0681A"/>
    <w:rsid w:val="00C06DED"/>
    <w:rsid w:val="00C10A0B"/>
    <w:rsid w:val="00C10E5B"/>
    <w:rsid w:val="00C117A3"/>
    <w:rsid w:val="00C12790"/>
    <w:rsid w:val="00C137B0"/>
    <w:rsid w:val="00C152D1"/>
    <w:rsid w:val="00C15C8C"/>
    <w:rsid w:val="00C167E6"/>
    <w:rsid w:val="00C172E5"/>
    <w:rsid w:val="00C210F3"/>
    <w:rsid w:val="00C22F09"/>
    <w:rsid w:val="00C230E5"/>
    <w:rsid w:val="00C2412F"/>
    <w:rsid w:val="00C2513E"/>
    <w:rsid w:val="00C25586"/>
    <w:rsid w:val="00C25A8F"/>
    <w:rsid w:val="00C268BE"/>
    <w:rsid w:val="00C26EF9"/>
    <w:rsid w:val="00C31816"/>
    <w:rsid w:val="00C32A3C"/>
    <w:rsid w:val="00C32B78"/>
    <w:rsid w:val="00C33121"/>
    <w:rsid w:val="00C344ED"/>
    <w:rsid w:val="00C3538A"/>
    <w:rsid w:val="00C36569"/>
    <w:rsid w:val="00C36B95"/>
    <w:rsid w:val="00C37226"/>
    <w:rsid w:val="00C376E9"/>
    <w:rsid w:val="00C377B4"/>
    <w:rsid w:val="00C378A5"/>
    <w:rsid w:val="00C410C3"/>
    <w:rsid w:val="00C41180"/>
    <w:rsid w:val="00C417D2"/>
    <w:rsid w:val="00C41D3A"/>
    <w:rsid w:val="00C420AD"/>
    <w:rsid w:val="00C421E9"/>
    <w:rsid w:val="00C45716"/>
    <w:rsid w:val="00C46043"/>
    <w:rsid w:val="00C468BC"/>
    <w:rsid w:val="00C52364"/>
    <w:rsid w:val="00C52D8D"/>
    <w:rsid w:val="00C53C12"/>
    <w:rsid w:val="00C56888"/>
    <w:rsid w:val="00C5780E"/>
    <w:rsid w:val="00C579F1"/>
    <w:rsid w:val="00C57C4C"/>
    <w:rsid w:val="00C61A06"/>
    <w:rsid w:val="00C6235E"/>
    <w:rsid w:val="00C62596"/>
    <w:rsid w:val="00C64A70"/>
    <w:rsid w:val="00C65984"/>
    <w:rsid w:val="00C669B5"/>
    <w:rsid w:val="00C66CBD"/>
    <w:rsid w:val="00C70126"/>
    <w:rsid w:val="00C70F79"/>
    <w:rsid w:val="00C7124F"/>
    <w:rsid w:val="00C71E08"/>
    <w:rsid w:val="00C723D2"/>
    <w:rsid w:val="00C72579"/>
    <w:rsid w:val="00C72D58"/>
    <w:rsid w:val="00C73412"/>
    <w:rsid w:val="00C73DDF"/>
    <w:rsid w:val="00C75A06"/>
    <w:rsid w:val="00C77062"/>
    <w:rsid w:val="00C773D1"/>
    <w:rsid w:val="00C77906"/>
    <w:rsid w:val="00C81699"/>
    <w:rsid w:val="00C81E8A"/>
    <w:rsid w:val="00C861F9"/>
    <w:rsid w:val="00C8659D"/>
    <w:rsid w:val="00C87079"/>
    <w:rsid w:val="00C90432"/>
    <w:rsid w:val="00C939B0"/>
    <w:rsid w:val="00C94DC5"/>
    <w:rsid w:val="00C95378"/>
    <w:rsid w:val="00C954F1"/>
    <w:rsid w:val="00C96BAA"/>
    <w:rsid w:val="00CA0C79"/>
    <w:rsid w:val="00CA2370"/>
    <w:rsid w:val="00CA2509"/>
    <w:rsid w:val="00CA261A"/>
    <w:rsid w:val="00CA416F"/>
    <w:rsid w:val="00CA4963"/>
    <w:rsid w:val="00CA60BF"/>
    <w:rsid w:val="00CA611D"/>
    <w:rsid w:val="00CA7086"/>
    <w:rsid w:val="00CA78B7"/>
    <w:rsid w:val="00CA7982"/>
    <w:rsid w:val="00CB1F4B"/>
    <w:rsid w:val="00CB3482"/>
    <w:rsid w:val="00CB49C2"/>
    <w:rsid w:val="00CB512D"/>
    <w:rsid w:val="00CB61AA"/>
    <w:rsid w:val="00CB65DF"/>
    <w:rsid w:val="00CB682D"/>
    <w:rsid w:val="00CB76B8"/>
    <w:rsid w:val="00CB7F57"/>
    <w:rsid w:val="00CC00D5"/>
    <w:rsid w:val="00CC109C"/>
    <w:rsid w:val="00CC14EB"/>
    <w:rsid w:val="00CC2769"/>
    <w:rsid w:val="00CC2842"/>
    <w:rsid w:val="00CC2C91"/>
    <w:rsid w:val="00CC46BC"/>
    <w:rsid w:val="00CC53DE"/>
    <w:rsid w:val="00CC661A"/>
    <w:rsid w:val="00CC677C"/>
    <w:rsid w:val="00CD0457"/>
    <w:rsid w:val="00CD070D"/>
    <w:rsid w:val="00CD08BD"/>
    <w:rsid w:val="00CD1102"/>
    <w:rsid w:val="00CD3604"/>
    <w:rsid w:val="00CD3F24"/>
    <w:rsid w:val="00CD47D3"/>
    <w:rsid w:val="00CD5591"/>
    <w:rsid w:val="00CD721C"/>
    <w:rsid w:val="00CD737F"/>
    <w:rsid w:val="00CD77D0"/>
    <w:rsid w:val="00CE0E4D"/>
    <w:rsid w:val="00CE1158"/>
    <w:rsid w:val="00CE2598"/>
    <w:rsid w:val="00CE3309"/>
    <w:rsid w:val="00CE4172"/>
    <w:rsid w:val="00CE4211"/>
    <w:rsid w:val="00CE47EB"/>
    <w:rsid w:val="00CE48F3"/>
    <w:rsid w:val="00CE5F6B"/>
    <w:rsid w:val="00CE6720"/>
    <w:rsid w:val="00CE7684"/>
    <w:rsid w:val="00CE7CEB"/>
    <w:rsid w:val="00CF405E"/>
    <w:rsid w:val="00CF4D32"/>
    <w:rsid w:val="00CF4DD2"/>
    <w:rsid w:val="00CF5C3B"/>
    <w:rsid w:val="00CF5DB4"/>
    <w:rsid w:val="00CF7D40"/>
    <w:rsid w:val="00D01702"/>
    <w:rsid w:val="00D01E16"/>
    <w:rsid w:val="00D01EED"/>
    <w:rsid w:val="00D0247B"/>
    <w:rsid w:val="00D02481"/>
    <w:rsid w:val="00D027B2"/>
    <w:rsid w:val="00D02CC2"/>
    <w:rsid w:val="00D053E1"/>
    <w:rsid w:val="00D058ED"/>
    <w:rsid w:val="00D06B18"/>
    <w:rsid w:val="00D078DE"/>
    <w:rsid w:val="00D10AB5"/>
    <w:rsid w:val="00D11E89"/>
    <w:rsid w:val="00D127E3"/>
    <w:rsid w:val="00D129E5"/>
    <w:rsid w:val="00D13C4D"/>
    <w:rsid w:val="00D14B6F"/>
    <w:rsid w:val="00D14B96"/>
    <w:rsid w:val="00D15462"/>
    <w:rsid w:val="00D16922"/>
    <w:rsid w:val="00D170D7"/>
    <w:rsid w:val="00D20902"/>
    <w:rsid w:val="00D216E0"/>
    <w:rsid w:val="00D223A1"/>
    <w:rsid w:val="00D22BE9"/>
    <w:rsid w:val="00D236A7"/>
    <w:rsid w:val="00D24311"/>
    <w:rsid w:val="00D24B93"/>
    <w:rsid w:val="00D24FA0"/>
    <w:rsid w:val="00D251DC"/>
    <w:rsid w:val="00D25E17"/>
    <w:rsid w:val="00D27D32"/>
    <w:rsid w:val="00D30186"/>
    <w:rsid w:val="00D3157B"/>
    <w:rsid w:val="00D333B5"/>
    <w:rsid w:val="00D33884"/>
    <w:rsid w:val="00D35385"/>
    <w:rsid w:val="00D35501"/>
    <w:rsid w:val="00D36433"/>
    <w:rsid w:val="00D36DAD"/>
    <w:rsid w:val="00D36DE8"/>
    <w:rsid w:val="00D3753D"/>
    <w:rsid w:val="00D37AF7"/>
    <w:rsid w:val="00D37B12"/>
    <w:rsid w:val="00D37CAA"/>
    <w:rsid w:val="00D4041E"/>
    <w:rsid w:val="00D4078C"/>
    <w:rsid w:val="00D40CB3"/>
    <w:rsid w:val="00D41561"/>
    <w:rsid w:val="00D41748"/>
    <w:rsid w:val="00D41876"/>
    <w:rsid w:val="00D41F84"/>
    <w:rsid w:val="00D4414D"/>
    <w:rsid w:val="00D44597"/>
    <w:rsid w:val="00D445CF"/>
    <w:rsid w:val="00D466E2"/>
    <w:rsid w:val="00D46BFF"/>
    <w:rsid w:val="00D479C7"/>
    <w:rsid w:val="00D47A12"/>
    <w:rsid w:val="00D50691"/>
    <w:rsid w:val="00D5186D"/>
    <w:rsid w:val="00D52906"/>
    <w:rsid w:val="00D53A7C"/>
    <w:rsid w:val="00D542C7"/>
    <w:rsid w:val="00D56E43"/>
    <w:rsid w:val="00D60634"/>
    <w:rsid w:val="00D61E89"/>
    <w:rsid w:val="00D622CE"/>
    <w:rsid w:val="00D6543E"/>
    <w:rsid w:val="00D6551E"/>
    <w:rsid w:val="00D66535"/>
    <w:rsid w:val="00D67CBB"/>
    <w:rsid w:val="00D70078"/>
    <w:rsid w:val="00D704D3"/>
    <w:rsid w:val="00D72554"/>
    <w:rsid w:val="00D729EB"/>
    <w:rsid w:val="00D752D6"/>
    <w:rsid w:val="00D755EC"/>
    <w:rsid w:val="00D75D8E"/>
    <w:rsid w:val="00D7639E"/>
    <w:rsid w:val="00D76E52"/>
    <w:rsid w:val="00D77CA5"/>
    <w:rsid w:val="00D80A5F"/>
    <w:rsid w:val="00D816C6"/>
    <w:rsid w:val="00D8428D"/>
    <w:rsid w:val="00D848A0"/>
    <w:rsid w:val="00D86212"/>
    <w:rsid w:val="00D865AD"/>
    <w:rsid w:val="00D8683A"/>
    <w:rsid w:val="00D93372"/>
    <w:rsid w:val="00D9349D"/>
    <w:rsid w:val="00D936F8"/>
    <w:rsid w:val="00D93C41"/>
    <w:rsid w:val="00D93DD2"/>
    <w:rsid w:val="00D947E1"/>
    <w:rsid w:val="00D94803"/>
    <w:rsid w:val="00D95182"/>
    <w:rsid w:val="00D968FE"/>
    <w:rsid w:val="00DA0656"/>
    <w:rsid w:val="00DA0E63"/>
    <w:rsid w:val="00DA1C71"/>
    <w:rsid w:val="00DA2A15"/>
    <w:rsid w:val="00DA33CB"/>
    <w:rsid w:val="00DA5079"/>
    <w:rsid w:val="00DA5805"/>
    <w:rsid w:val="00DA582F"/>
    <w:rsid w:val="00DA6DF8"/>
    <w:rsid w:val="00DB010D"/>
    <w:rsid w:val="00DB347D"/>
    <w:rsid w:val="00DB4383"/>
    <w:rsid w:val="00DB65C8"/>
    <w:rsid w:val="00DB6B29"/>
    <w:rsid w:val="00DB6BC4"/>
    <w:rsid w:val="00DC1B40"/>
    <w:rsid w:val="00DC343B"/>
    <w:rsid w:val="00DC3F80"/>
    <w:rsid w:val="00DC44F6"/>
    <w:rsid w:val="00DC500B"/>
    <w:rsid w:val="00DC5091"/>
    <w:rsid w:val="00DC58A9"/>
    <w:rsid w:val="00DC60C4"/>
    <w:rsid w:val="00DC6146"/>
    <w:rsid w:val="00DC6637"/>
    <w:rsid w:val="00DC798D"/>
    <w:rsid w:val="00DD1253"/>
    <w:rsid w:val="00DD256A"/>
    <w:rsid w:val="00DD26E8"/>
    <w:rsid w:val="00DD397C"/>
    <w:rsid w:val="00DD44E3"/>
    <w:rsid w:val="00DD4A7C"/>
    <w:rsid w:val="00DD5BFF"/>
    <w:rsid w:val="00DD70EA"/>
    <w:rsid w:val="00DE0E57"/>
    <w:rsid w:val="00DE1545"/>
    <w:rsid w:val="00DE4335"/>
    <w:rsid w:val="00DE48F2"/>
    <w:rsid w:val="00DE5492"/>
    <w:rsid w:val="00DE5BC2"/>
    <w:rsid w:val="00DE78DE"/>
    <w:rsid w:val="00DE7A48"/>
    <w:rsid w:val="00DF0A9A"/>
    <w:rsid w:val="00DF189F"/>
    <w:rsid w:val="00DF3BA2"/>
    <w:rsid w:val="00DF52A4"/>
    <w:rsid w:val="00DF6ACC"/>
    <w:rsid w:val="00DF7868"/>
    <w:rsid w:val="00E0220F"/>
    <w:rsid w:val="00E02828"/>
    <w:rsid w:val="00E03485"/>
    <w:rsid w:val="00E03711"/>
    <w:rsid w:val="00E046BF"/>
    <w:rsid w:val="00E04BAB"/>
    <w:rsid w:val="00E0509F"/>
    <w:rsid w:val="00E051AA"/>
    <w:rsid w:val="00E0629E"/>
    <w:rsid w:val="00E07771"/>
    <w:rsid w:val="00E1037B"/>
    <w:rsid w:val="00E10625"/>
    <w:rsid w:val="00E10830"/>
    <w:rsid w:val="00E1203F"/>
    <w:rsid w:val="00E136AC"/>
    <w:rsid w:val="00E145A0"/>
    <w:rsid w:val="00E14656"/>
    <w:rsid w:val="00E1502A"/>
    <w:rsid w:val="00E16C33"/>
    <w:rsid w:val="00E17563"/>
    <w:rsid w:val="00E20B25"/>
    <w:rsid w:val="00E21235"/>
    <w:rsid w:val="00E219D1"/>
    <w:rsid w:val="00E221E3"/>
    <w:rsid w:val="00E2461D"/>
    <w:rsid w:val="00E248F8"/>
    <w:rsid w:val="00E24BA7"/>
    <w:rsid w:val="00E25126"/>
    <w:rsid w:val="00E254F3"/>
    <w:rsid w:val="00E26B63"/>
    <w:rsid w:val="00E26B72"/>
    <w:rsid w:val="00E315C1"/>
    <w:rsid w:val="00E31A06"/>
    <w:rsid w:val="00E320C8"/>
    <w:rsid w:val="00E322C0"/>
    <w:rsid w:val="00E330F1"/>
    <w:rsid w:val="00E339A6"/>
    <w:rsid w:val="00E34D0B"/>
    <w:rsid w:val="00E36562"/>
    <w:rsid w:val="00E3686C"/>
    <w:rsid w:val="00E36A89"/>
    <w:rsid w:val="00E36D76"/>
    <w:rsid w:val="00E40DCE"/>
    <w:rsid w:val="00E41A17"/>
    <w:rsid w:val="00E41F5A"/>
    <w:rsid w:val="00E42763"/>
    <w:rsid w:val="00E42B06"/>
    <w:rsid w:val="00E4517B"/>
    <w:rsid w:val="00E45263"/>
    <w:rsid w:val="00E469DB"/>
    <w:rsid w:val="00E46B44"/>
    <w:rsid w:val="00E470B5"/>
    <w:rsid w:val="00E47DE6"/>
    <w:rsid w:val="00E47F5A"/>
    <w:rsid w:val="00E47F70"/>
    <w:rsid w:val="00E5190D"/>
    <w:rsid w:val="00E527BE"/>
    <w:rsid w:val="00E52EFA"/>
    <w:rsid w:val="00E534A4"/>
    <w:rsid w:val="00E540B4"/>
    <w:rsid w:val="00E615BF"/>
    <w:rsid w:val="00E617BB"/>
    <w:rsid w:val="00E61CC4"/>
    <w:rsid w:val="00E62773"/>
    <w:rsid w:val="00E64F5F"/>
    <w:rsid w:val="00E65DE3"/>
    <w:rsid w:val="00E662B1"/>
    <w:rsid w:val="00E67ECC"/>
    <w:rsid w:val="00E7087D"/>
    <w:rsid w:val="00E70FCD"/>
    <w:rsid w:val="00E72158"/>
    <w:rsid w:val="00E726A9"/>
    <w:rsid w:val="00E7345E"/>
    <w:rsid w:val="00E744A0"/>
    <w:rsid w:val="00E744F6"/>
    <w:rsid w:val="00E746C8"/>
    <w:rsid w:val="00E75A9F"/>
    <w:rsid w:val="00E7726E"/>
    <w:rsid w:val="00E77289"/>
    <w:rsid w:val="00E77990"/>
    <w:rsid w:val="00E800A0"/>
    <w:rsid w:val="00E80632"/>
    <w:rsid w:val="00E80658"/>
    <w:rsid w:val="00E80C2C"/>
    <w:rsid w:val="00E81EF9"/>
    <w:rsid w:val="00E82ECB"/>
    <w:rsid w:val="00E834B9"/>
    <w:rsid w:val="00E852BA"/>
    <w:rsid w:val="00E861D9"/>
    <w:rsid w:val="00E86AD1"/>
    <w:rsid w:val="00E875B7"/>
    <w:rsid w:val="00E901A4"/>
    <w:rsid w:val="00E91AFB"/>
    <w:rsid w:val="00E923F7"/>
    <w:rsid w:val="00E92E6C"/>
    <w:rsid w:val="00E93325"/>
    <w:rsid w:val="00E95617"/>
    <w:rsid w:val="00E960DC"/>
    <w:rsid w:val="00E97E71"/>
    <w:rsid w:val="00E97EB5"/>
    <w:rsid w:val="00EA0851"/>
    <w:rsid w:val="00EA0B03"/>
    <w:rsid w:val="00EA0CE0"/>
    <w:rsid w:val="00EA1FEF"/>
    <w:rsid w:val="00EA3ADC"/>
    <w:rsid w:val="00EA3E34"/>
    <w:rsid w:val="00EA52EA"/>
    <w:rsid w:val="00EA6841"/>
    <w:rsid w:val="00EA7373"/>
    <w:rsid w:val="00EA7546"/>
    <w:rsid w:val="00EB0ED3"/>
    <w:rsid w:val="00EB10B2"/>
    <w:rsid w:val="00EB2031"/>
    <w:rsid w:val="00EB418A"/>
    <w:rsid w:val="00EB456F"/>
    <w:rsid w:val="00EB4B2F"/>
    <w:rsid w:val="00EC085F"/>
    <w:rsid w:val="00EC08FB"/>
    <w:rsid w:val="00EC0AF4"/>
    <w:rsid w:val="00EC0C0E"/>
    <w:rsid w:val="00EC11FB"/>
    <w:rsid w:val="00EC3E8C"/>
    <w:rsid w:val="00EC5367"/>
    <w:rsid w:val="00ED1629"/>
    <w:rsid w:val="00ED26C6"/>
    <w:rsid w:val="00ED2F62"/>
    <w:rsid w:val="00ED53B8"/>
    <w:rsid w:val="00ED5657"/>
    <w:rsid w:val="00ED5BEA"/>
    <w:rsid w:val="00ED5EA2"/>
    <w:rsid w:val="00ED5F1C"/>
    <w:rsid w:val="00ED6491"/>
    <w:rsid w:val="00ED6512"/>
    <w:rsid w:val="00ED6AA7"/>
    <w:rsid w:val="00ED791E"/>
    <w:rsid w:val="00EE16AA"/>
    <w:rsid w:val="00EE1BDC"/>
    <w:rsid w:val="00EE2CF7"/>
    <w:rsid w:val="00EE34D2"/>
    <w:rsid w:val="00EE383B"/>
    <w:rsid w:val="00EE39AB"/>
    <w:rsid w:val="00EE5A99"/>
    <w:rsid w:val="00EE602B"/>
    <w:rsid w:val="00EE6CBF"/>
    <w:rsid w:val="00EE7975"/>
    <w:rsid w:val="00EE7D8C"/>
    <w:rsid w:val="00EF1778"/>
    <w:rsid w:val="00EF2020"/>
    <w:rsid w:val="00EF388D"/>
    <w:rsid w:val="00EF450C"/>
    <w:rsid w:val="00EF4F0F"/>
    <w:rsid w:val="00EF58D6"/>
    <w:rsid w:val="00EF63A5"/>
    <w:rsid w:val="00EF7420"/>
    <w:rsid w:val="00F01EE2"/>
    <w:rsid w:val="00F01FDE"/>
    <w:rsid w:val="00F02016"/>
    <w:rsid w:val="00F025C6"/>
    <w:rsid w:val="00F0310C"/>
    <w:rsid w:val="00F034D2"/>
    <w:rsid w:val="00F0359A"/>
    <w:rsid w:val="00F0474B"/>
    <w:rsid w:val="00F04A20"/>
    <w:rsid w:val="00F05A3A"/>
    <w:rsid w:val="00F05EE8"/>
    <w:rsid w:val="00F066FE"/>
    <w:rsid w:val="00F072DC"/>
    <w:rsid w:val="00F10881"/>
    <w:rsid w:val="00F10C63"/>
    <w:rsid w:val="00F123B3"/>
    <w:rsid w:val="00F133E9"/>
    <w:rsid w:val="00F13635"/>
    <w:rsid w:val="00F152D0"/>
    <w:rsid w:val="00F15A39"/>
    <w:rsid w:val="00F15E6D"/>
    <w:rsid w:val="00F160CF"/>
    <w:rsid w:val="00F1637B"/>
    <w:rsid w:val="00F1670B"/>
    <w:rsid w:val="00F17171"/>
    <w:rsid w:val="00F175CB"/>
    <w:rsid w:val="00F20E21"/>
    <w:rsid w:val="00F21225"/>
    <w:rsid w:val="00F218BC"/>
    <w:rsid w:val="00F218CC"/>
    <w:rsid w:val="00F22D59"/>
    <w:rsid w:val="00F2463F"/>
    <w:rsid w:val="00F24E3D"/>
    <w:rsid w:val="00F26CBA"/>
    <w:rsid w:val="00F26CCC"/>
    <w:rsid w:val="00F278D6"/>
    <w:rsid w:val="00F30E62"/>
    <w:rsid w:val="00F315EB"/>
    <w:rsid w:val="00F33BB3"/>
    <w:rsid w:val="00F34518"/>
    <w:rsid w:val="00F350F6"/>
    <w:rsid w:val="00F3781A"/>
    <w:rsid w:val="00F407FC"/>
    <w:rsid w:val="00F4090F"/>
    <w:rsid w:val="00F40DB3"/>
    <w:rsid w:val="00F4317E"/>
    <w:rsid w:val="00F436F5"/>
    <w:rsid w:val="00F44392"/>
    <w:rsid w:val="00F4496C"/>
    <w:rsid w:val="00F45AF8"/>
    <w:rsid w:val="00F45C02"/>
    <w:rsid w:val="00F474C9"/>
    <w:rsid w:val="00F47C3E"/>
    <w:rsid w:val="00F504CB"/>
    <w:rsid w:val="00F50750"/>
    <w:rsid w:val="00F51994"/>
    <w:rsid w:val="00F52661"/>
    <w:rsid w:val="00F53D96"/>
    <w:rsid w:val="00F5477D"/>
    <w:rsid w:val="00F54836"/>
    <w:rsid w:val="00F5495F"/>
    <w:rsid w:val="00F554A3"/>
    <w:rsid w:val="00F5550A"/>
    <w:rsid w:val="00F55BA6"/>
    <w:rsid w:val="00F55C61"/>
    <w:rsid w:val="00F560B0"/>
    <w:rsid w:val="00F573F1"/>
    <w:rsid w:val="00F61050"/>
    <w:rsid w:val="00F6206E"/>
    <w:rsid w:val="00F64A30"/>
    <w:rsid w:val="00F65013"/>
    <w:rsid w:val="00F66505"/>
    <w:rsid w:val="00F66A5A"/>
    <w:rsid w:val="00F6717B"/>
    <w:rsid w:val="00F70183"/>
    <w:rsid w:val="00F70D7F"/>
    <w:rsid w:val="00F70E50"/>
    <w:rsid w:val="00F71C7A"/>
    <w:rsid w:val="00F72F89"/>
    <w:rsid w:val="00F730EA"/>
    <w:rsid w:val="00F73269"/>
    <w:rsid w:val="00F73561"/>
    <w:rsid w:val="00F73ADC"/>
    <w:rsid w:val="00F754F0"/>
    <w:rsid w:val="00F75788"/>
    <w:rsid w:val="00F757AA"/>
    <w:rsid w:val="00F76085"/>
    <w:rsid w:val="00F769B0"/>
    <w:rsid w:val="00F775FE"/>
    <w:rsid w:val="00F776E3"/>
    <w:rsid w:val="00F7775C"/>
    <w:rsid w:val="00F77762"/>
    <w:rsid w:val="00F77CBC"/>
    <w:rsid w:val="00F80352"/>
    <w:rsid w:val="00F80DBF"/>
    <w:rsid w:val="00F83D32"/>
    <w:rsid w:val="00F848BC"/>
    <w:rsid w:val="00F857F2"/>
    <w:rsid w:val="00F85D25"/>
    <w:rsid w:val="00F86246"/>
    <w:rsid w:val="00F8699A"/>
    <w:rsid w:val="00F86ED3"/>
    <w:rsid w:val="00F86F8D"/>
    <w:rsid w:val="00F875C9"/>
    <w:rsid w:val="00F878B2"/>
    <w:rsid w:val="00F90370"/>
    <w:rsid w:val="00F90423"/>
    <w:rsid w:val="00F91421"/>
    <w:rsid w:val="00F925AB"/>
    <w:rsid w:val="00F926B9"/>
    <w:rsid w:val="00F939D8"/>
    <w:rsid w:val="00F93D85"/>
    <w:rsid w:val="00F93F19"/>
    <w:rsid w:val="00F96A31"/>
    <w:rsid w:val="00F97168"/>
    <w:rsid w:val="00F971AF"/>
    <w:rsid w:val="00F97539"/>
    <w:rsid w:val="00FA0862"/>
    <w:rsid w:val="00FA1352"/>
    <w:rsid w:val="00FA28A0"/>
    <w:rsid w:val="00FA3A8F"/>
    <w:rsid w:val="00FA4727"/>
    <w:rsid w:val="00FA525F"/>
    <w:rsid w:val="00FA6687"/>
    <w:rsid w:val="00FA6950"/>
    <w:rsid w:val="00FA7246"/>
    <w:rsid w:val="00FA7530"/>
    <w:rsid w:val="00FA7F0B"/>
    <w:rsid w:val="00FB1D69"/>
    <w:rsid w:val="00FB1FAE"/>
    <w:rsid w:val="00FB2A9B"/>
    <w:rsid w:val="00FB2F29"/>
    <w:rsid w:val="00FB36AC"/>
    <w:rsid w:val="00FB39C2"/>
    <w:rsid w:val="00FB3D61"/>
    <w:rsid w:val="00FB3D89"/>
    <w:rsid w:val="00FB746D"/>
    <w:rsid w:val="00FB7F29"/>
    <w:rsid w:val="00FC1005"/>
    <w:rsid w:val="00FC1253"/>
    <w:rsid w:val="00FC291C"/>
    <w:rsid w:val="00FC3A85"/>
    <w:rsid w:val="00FC3D2B"/>
    <w:rsid w:val="00FC426F"/>
    <w:rsid w:val="00FC4D0D"/>
    <w:rsid w:val="00FC4F1A"/>
    <w:rsid w:val="00FC5795"/>
    <w:rsid w:val="00FC60CD"/>
    <w:rsid w:val="00FC6D15"/>
    <w:rsid w:val="00FC70DE"/>
    <w:rsid w:val="00FC7240"/>
    <w:rsid w:val="00FD0344"/>
    <w:rsid w:val="00FD0FB6"/>
    <w:rsid w:val="00FD1196"/>
    <w:rsid w:val="00FD14C7"/>
    <w:rsid w:val="00FD2595"/>
    <w:rsid w:val="00FD279D"/>
    <w:rsid w:val="00FD2D68"/>
    <w:rsid w:val="00FD54A2"/>
    <w:rsid w:val="00FD683A"/>
    <w:rsid w:val="00FD6BD3"/>
    <w:rsid w:val="00FD6F65"/>
    <w:rsid w:val="00FE0F4C"/>
    <w:rsid w:val="00FE1F32"/>
    <w:rsid w:val="00FE2333"/>
    <w:rsid w:val="00FE2C3E"/>
    <w:rsid w:val="00FE317B"/>
    <w:rsid w:val="00FE3379"/>
    <w:rsid w:val="00FE3579"/>
    <w:rsid w:val="00FE459A"/>
    <w:rsid w:val="00FE466C"/>
    <w:rsid w:val="00FE4D09"/>
    <w:rsid w:val="00FE5490"/>
    <w:rsid w:val="00FE5BEF"/>
    <w:rsid w:val="00FE6097"/>
    <w:rsid w:val="00FE63EF"/>
    <w:rsid w:val="00FE669A"/>
    <w:rsid w:val="00FE67E3"/>
    <w:rsid w:val="00FE6E1F"/>
    <w:rsid w:val="00FE7846"/>
    <w:rsid w:val="00FE7862"/>
    <w:rsid w:val="00FF09F0"/>
    <w:rsid w:val="00FF0D4D"/>
    <w:rsid w:val="00FF0E79"/>
    <w:rsid w:val="00FF157A"/>
    <w:rsid w:val="00FF1F5F"/>
    <w:rsid w:val="00FF28A8"/>
    <w:rsid w:val="00FF412E"/>
    <w:rsid w:val="00FF4582"/>
    <w:rsid w:val="00FF5C2D"/>
    <w:rsid w:val="00FF6738"/>
    <w:rsid w:val="00FF6BF4"/>
    <w:rsid w:val="00FF6BFB"/>
    <w:rsid w:val="00FF7753"/>
    <w:rsid w:val="00FF7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3294BF-9664-4F38-A5DA-BAD1965EC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Norma"/>
    <w:qFormat/>
    <w:rsid w:val="0004459C"/>
    <w:pPr>
      <w:jc w:val="both"/>
    </w:pPr>
    <w:rPr>
      <w:rFonts w:ascii="Times New Roman" w:hAnsi="Times New Roman"/>
      <w:sz w:val="28"/>
      <w:lang w:val="en-GB"/>
    </w:rPr>
  </w:style>
  <w:style w:type="paragraph" w:styleId="4">
    <w:name w:val="heading 4"/>
    <w:basedOn w:val="a"/>
    <w:next w:val="a"/>
    <w:link w:val="40"/>
    <w:uiPriority w:val="9"/>
    <w:unhideWhenUsed/>
    <w:qFormat/>
    <w:rsid w:val="0093089D"/>
    <w:pPr>
      <w:keepNext/>
      <w:keepLines/>
      <w:spacing w:before="40" w:after="0"/>
      <w:jc w:val="left"/>
      <w:outlineLvl w:val="3"/>
    </w:pPr>
    <w:rPr>
      <w:rFonts w:asciiTheme="majorHAnsi" w:eastAsiaTheme="majorEastAsia" w:hAnsiTheme="majorHAnsi" w:cstheme="majorBidi"/>
      <w:i/>
      <w:iCs/>
      <w:color w:val="2E74B5" w:themeColor="accent1" w:themeShade="BF"/>
      <w:sz w:val="22"/>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459C"/>
    <w:rPr>
      <w:color w:val="0563C1" w:themeColor="hyperlink"/>
      <w:u w:val="single"/>
    </w:rPr>
  </w:style>
  <w:style w:type="paragraph" w:styleId="a4">
    <w:name w:val="header"/>
    <w:basedOn w:val="a"/>
    <w:link w:val="a5"/>
    <w:uiPriority w:val="99"/>
    <w:unhideWhenUsed/>
    <w:rsid w:val="00AC503D"/>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AC503D"/>
    <w:rPr>
      <w:rFonts w:ascii="Times New Roman" w:hAnsi="Times New Roman"/>
      <w:sz w:val="28"/>
      <w:lang w:val="en-GB"/>
    </w:rPr>
  </w:style>
  <w:style w:type="paragraph" w:styleId="a6">
    <w:name w:val="footer"/>
    <w:basedOn w:val="a"/>
    <w:link w:val="a7"/>
    <w:uiPriority w:val="99"/>
    <w:unhideWhenUsed/>
    <w:rsid w:val="00AC503D"/>
    <w:pPr>
      <w:tabs>
        <w:tab w:val="center" w:pos="4844"/>
        <w:tab w:val="right" w:pos="9689"/>
      </w:tabs>
      <w:spacing w:after="0" w:line="240" w:lineRule="auto"/>
    </w:pPr>
  </w:style>
  <w:style w:type="character" w:customStyle="1" w:styleId="a7">
    <w:name w:val="Нижний колонтитул Знак"/>
    <w:basedOn w:val="a0"/>
    <w:link w:val="a6"/>
    <w:uiPriority w:val="99"/>
    <w:rsid w:val="00AC503D"/>
    <w:rPr>
      <w:rFonts w:ascii="Times New Roman" w:hAnsi="Times New Roman"/>
      <w:sz w:val="28"/>
      <w:lang w:val="en-GB"/>
    </w:rPr>
  </w:style>
  <w:style w:type="paragraph" w:styleId="a8">
    <w:name w:val="Normal (Web)"/>
    <w:aliases w:val="Обычный (веб) Знак2,Обычный (веб) Знак1 Знак,Обычный (веб) Знак Знак Знак,Знак Знак Знак Знак,Знак Знак1 Знак,Обычный (веб) Знак Знак1,Знак Знак2,Обычный (веб)1,Текст сноски1,Текст сноски11"/>
    <w:basedOn w:val="a"/>
    <w:link w:val="a9"/>
    <w:uiPriority w:val="99"/>
    <w:unhideWhenUsed/>
    <w:qFormat/>
    <w:rsid w:val="006412F2"/>
    <w:rPr>
      <w:rFonts w:cs="Times New Roman"/>
      <w:sz w:val="24"/>
      <w:szCs w:val="24"/>
    </w:rPr>
  </w:style>
  <w:style w:type="paragraph" w:styleId="aa">
    <w:name w:val="footnote text"/>
    <w:aliases w:val="Char, Char,Знак1, Знак1, Знак,Знак,single space,footnote text,FOOTNOTES,fn,Footnote Text Char1,Footnote Text Char2 Char,Footnote Text Char1 Char Char,Footnote Text Char2 Char Char Char,Footnote Text Char1 Char Char Char Char, Cha,ft,A,Cha"/>
    <w:basedOn w:val="a"/>
    <w:link w:val="ab"/>
    <w:uiPriority w:val="99"/>
    <w:unhideWhenUsed/>
    <w:qFormat/>
    <w:rsid w:val="006412F2"/>
    <w:pPr>
      <w:spacing w:after="0" w:line="240" w:lineRule="auto"/>
      <w:jc w:val="left"/>
    </w:pPr>
    <w:rPr>
      <w:rFonts w:asciiTheme="minorHAnsi" w:hAnsiTheme="minorHAnsi"/>
      <w:sz w:val="20"/>
      <w:szCs w:val="20"/>
      <w:lang w:val="en-US"/>
    </w:rPr>
  </w:style>
  <w:style w:type="character" w:customStyle="1" w:styleId="ab">
    <w:name w:val="Текст сноски Знак"/>
    <w:aliases w:val="Char Знак, Char Знак,Знак1 Знак, Знак1 Знак, Знак Знак,Знак Знак,single space Знак,footnote text Знак,FOOTNOTES Знак,fn Знак,Footnote Text Char1 Знак,Footnote Text Char2 Char Знак,Footnote Text Char1 Char Char Знак, Cha Знак,ft Знак"/>
    <w:basedOn w:val="a0"/>
    <w:link w:val="aa"/>
    <w:uiPriority w:val="99"/>
    <w:rsid w:val="006412F2"/>
    <w:rPr>
      <w:sz w:val="20"/>
      <w:szCs w:val="20"/>
    </w:rPr>
  </w:style>
  <w:style w:type="character" w:styleId="ac">
    <w:name w:val="footnote reference"/>
    <w:aliases w:val="ftref,Times 10 Point,Exposant 3 Point,Footnote symbol,Footnote reference number,EN Footnote Reference,note TESI,16 Point,Superscript 6 Point,BVI fnr,Footnote Text Char2,Char Char1,FOOTNOTES Char1,fn Char1,single space Char1,ft Char1"/>
    <w:basedOn w:val="a0"/>
    <w:link w:val="FNRefeCharChar"/>
    <w:uiPriority w:val="99"/>
    <w:unhideWhenUsed/>
    <w:rsid w:val="006412F2"/>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c"/>
    <w:uiPriority w:val="99"/>
    <w:qFormat/>
    <w:rsid w:val="006412F2"/>
    <w:pPr>
      <w:spacing w:line="240" w:lineRule="exact"/>
      <w:jc w:val="left"/>
    </w:pPr>
    <w:rPr>
      <w:rFonts w:asciiTheme="minorHAnsi" w:hAnsiTheme="minorHAnsi"/>
      <w:sz w:val="22"/>
      <w:vertAlign w:val="superscript"/>
      <w:lang w:val="en-US"/>
    </w:rPr>
  </w:style>
  <w:style w:type="paragraph" w:styleId="ad">
    <w:name w:val="No Spacing"/>
    <w:link w:val="ae"/>
    <w:uiPriority w:val="1"/>
    <w:qFormat/>
    <w:rsid w:val="006412F2"/>
    <w:pPr>
      <w:spacing w:after="0" w:line="240" w:lineRule="auto"/>
    </w:pPr>
    <w:rPr>
      <w:rFonts w:ascii="Calibri" w:eastAsia="Times New Roman" w:hAnsi="Calibri" w:cs="Times New Roman"/>
      <w:lang w:val="ru-RU"/>
    </w:rPr>
  </w:style>
  <w:style w:type="character" w:customStyle="1" w:styleId="ae">
    <w:name w:val="Без интервала Знак"/>
    <w:basedOn w:val="a0"/>
    <w:link w:val="ad"/>
    <w:uiPriority w:val="1"/>
    <w:locked/>
    <w:rsid w:val="006412F2"/>
    <w:rPr>
      <w:rFonts w:ascii="Calibri" w:eastAsia="Times New Roman" w:hAnsi="Calibri" w:cs="Times New Roman"/>
      <w:lang w:val="ru-RU"/>
    </w:rPr>
  </w:style>
  <w:style w:type="table" w:customStyle="1" w:styleId="GridTable1Light12">
    <w:name w:val="Grid Table 1 Light12"/>
    <w:basedOn w:val="a1"/>
    <w:next w:val="-1"/>
    <w:uiPriority w:val="46"/>
    <w:rsid w:val="008952D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
    <w:name w:val="Grid Table 1 Light"/>
    <w:basedOn w:val="a1"/>
    <w:uiPriority w:val="46"/>
    <w:rsid w:val="008952D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
    <w:name w:val="Table Grid2"/>
    <w:basedOn w:val="a1"/>
    <w:next w:val="af"/>
    <w:uiPriority w:val="39"/>
    <w:rsid w:val="006F7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39"/>
    <w:rsid w:val="006F7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F4090F"/>
    <w:pPr>
      <w:ind w:left="720"/>
      <w:contextualSpacing/>
    </w:pPr>
  </w:style>
  <w:style w:type="table" w:customStyle="1" w:styleId="GridTable1Light1">
    <w:name w:val="Grid Table 1 Light1"/>
    <w:basedOn w:val="a1"/>
    <w:next w:val="-1"/>
    <w:uiPriority w:val="46"/>
    <w:rsid w:val="006E372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
    <w:name w:val="Основной текст (2)_"/>
    <w:basedOn w:val="a0"/>
    <w:link w:val="20"/>
    <w:rsid w:val="008320E9"/>
    <w:rPr>
      <w:rFonts w:ascii="Times New Roman" w:eastAsia="Times New Roman" w:hAnsi="Times New Roman" w:cs="Times New Roman"/>
      <w:shd w:val="clear" w:color="auto" w:fill="FFFFFF"/>
    </w:rPr>
  </w:style>
  <w:style w:type="paragraph" w:customStyle="1" w:styleId="20">
    <w:name w:val="Основной текст (2)"/>
    <w:basedOn w:val="a"/>
    <w:link w:val="2"/>
    <w:rsid w:val="008320E9"/>
    <w:pPr>
      <w:widowControl w:val="0"/>
      <w:shd w:val="clear" w:color="auto" w:fill="FFFFFF"/>
      <w:spacing w:after="260" w:line="244" w:lineRule="exact"/>
      <w:jc w:val="right"/>
    </w:pPr>
    <w:rPr>
      <w:rFonts w:eastAsia="Times New Roman" w:cs="Times New Roman"/>
      <w:sz w:val="22"/>
      <w:lang w:val="en-US"/>
    </w:rPr>
  </w:style>
  <w:style w:type="table" w:customStyle="1" w:styleId="TableGrid1">
    <w:name w:val="Table Grid1"/>
    <w:basedOn w:val="a1"/>
    <w:next w:val="af"/>
    <w:uiPriority w:val="39"/>
    <w:rsid w:val="00F54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93089D"/>
    <w:rPr>
      <w:rFonts w:asciiTheme="majorHAnsi" w:eastAsiaTheme="majorEastAsia" w:hAnsiTheme="majorHAnsi" w:cstheme="majorBidi"/>
      <w:i/>
      <w:iCs/>
      <w:color w:val="2E74B5" w:themeColor="accent1" w:themeShade="BF"/>
      <w:lang w:val="ro-RO"/>
    </w:rPr>
  </w:style>
  <w:style w:type="character" w:customStyle="1" w:styleId="Bodytext2995pt">
    <w:name w:val="Body text (29) + 9.5 pt"/>
    <w:aliases w:val="Not Bold,Body text (4) + Franklin Gothic Heavy,19 pt,Body text (4) + 20 pt"/>
    <w:basedOn w:val="a0"/>
    <w:rsid w:val="00C87079"/>
    <w:rPr>
      <w:rFonts w:ascii="Times New Roman" w:eastAsia="Times New Roman" w:hAnsi="Times New Roman" w:cs="Times New Roman"/>
      <w:b/>
      <w:bCs/>
      <w:color w:val="000000"/>
      <w:spacing w:val="0"/>
      <w:w w:val="100"/>
      <w:position w:val="0"/>
      <w:sz w:val="19"/>
      <w:szCs w:val="19"/>
      <w:shd w:val="clear" w:color="auto" w:fill="FFFFFF"/>
      <w:lang w:val="ro-RO" w:eastAsia="ro-RO" w:bidi="ro-RO"/>
    </w:rPr>
  </w:style>
  <w:style w:type="character" w:styleId="af1">
    <w:name w:val="Emphasis"/>
    <w:basedOn w:val="a0"/>
    <w:uiPriority w:val="20"/>
    <w:qFormat/>
    <w:rsid w:val="00B95230"/>
    <w:rPr>
      <w:i/>
      <w:iCs/>
    </w:rPr>
  </w:style>
  <w:style w:type="character" w:styleId="af2">
    <w:name w:val="FollowedHyperlink"/>
    <w:basedOn w:val="a0"/>
    <w:uiPriority w:val="99"/>
    <w:semiHidden/>
    <w:unhideWhenUsed/>
    <w:rsid w:val="00D86212"/>
    <w:rPr>
      <w:color w:val="954F72"/>
      <w:u w:val="single"/>
    </w:rPr>
  </w:style>
  <w:style w:type="paragraph" w:customStyle="1" w:styleId="msonormal0">
    <w:name w:val="msonormal"/>
    <w:basedOn w:val="a"/>
    <w:rsid w:val="00D86212"/>
    <w:pPr>
      <w:spacing w:before="100" w:beforeAutospacing="1" w:after="100" w:afterAutospacing="1" w:line="240" w:lineRule="auto"/>
      <w:jc w:val="left"/>
    </w:pPr>
    <w:rPr>
      <w:rFonts w:eastAsia="Times New Roman" w:cs="Times New Roman"/>
      <w:sz w:val="24"/>
      <w:szCs w:val="24"/>
      <w:lang w:val="en-US"/>
    </w:rPr>
  </w:style>
  <w:style w:type="paragraph" w:customStyle="1" w:styleId="font5">
    <w:name w:val="font5"/>
    <w:basedOn w:val="a"/>
    <w:rsid w:val="00D86212"/>
    <w:pPr>
      <w:spacing w:before="100" w:beforeAutospacing="1" w:after="100" w:afterAutospacing="1" w:line="240" w:lineRule="auto"/>
      <w:jc w:val="left"/>
    </w:pPr>
    <w:rPr>
      <w:rFonts w:eastAsia="Times New Roman" w:cs="Times New Roman"/>
      <w:b/>
      <w:bCs/>
      <w:color w:val="000000"/>
      <w:sz w:val="20"/>
      <w:szCs w:val="20"/>
      <w:lang w:val="en-US"/>
    </w:rPr>
  </w:style>
  <w:style w:type="paragraph" w:customStyle="1" w:styleId="font6">
    <w:name w:val="font6"/>
    <w:basedOn w:val="a"/>
    <w:rsid w:val="00D86212"/>
    <w:pPr>
      <w:spacing w:before="100" w:beforeAutospacing="1" w:after="100" w:afterAutospacing="1" w:line="240" w:lineRule="auto"/>
      <w:jc w:val="left"/>
    </w:pPr>
    <w:rPr>
      <w:rFonts w:eastAsia="Times New Roman" w:cs="Times New Roman"/>
      <w:b/>
      <w:bCs/>
      <w:color w:val="000000"/>
      <w:sz w:val="20"/>
      <w:szCs w:val="20"/>
      <w:u w:val="single"/>
      <w:lang w:val="en-US"/>
    </w:rPr>
  </w:style>
  <w:style w:type="paragraph" w:customStyle="1" w:styleId="font7">
    <w:name w:val="font7"/>
    <w:basedOn w:val="a"/>
    <w:rsid w:val="00D86212"/>
    <w:pPr>
      <w:spacing w:before="100" w:beforeAutospacing="1" w:after="100" w:afterAutospacing="1" w:line="240" w:lineRule="auto"/>
      <w:jc w:val="left"/>
    </w:pPr>
    <w:rPr>
      <w:rFonts w:eastAsia="Times New Roman" w:cs="Times New Roman"/>
      <w:b/>
      <w:bCs/>
      <w:sz w:val="20"/>
      <w:szCs w:val="20"/>
      <w:lang w:val="en-US"/>
    </w:rPr>
  </w:style>
  <w:style w:type="paragraph" w:customStyle="1" w:styleId="font8">
    <w:name w:val="font8"/>
    <w:basedOn w:val="a"/>
    <w:rsid w:val="00D86212"/>
    <w:pPr>
      <w:spacing w:before="100" w:beforeAutospacing="1" w:after="100" w:afterAutospacing="1" w:line="240" w:lineRule="auto"/>
      <w:jc w:val="left"/>
    </w:pPr>
    <w:rPr>
      <w:rFonts w:eastAsia="Times New Roman" w:cs="Times New Roman"/>
      <w:b/>
      <w:bCs/>
      <w:sz w:val="20"/>
      <w:szCs w:val="20"/>
      <w:u w:val="single"/>
      <w:lang w:val="en-US"/>
    </w:rPr>
  </w:style>
  <w:style w:type="paragraph" w:customStyle="1" w:styleId="xl65">
    <w:name w:val="xl65"/>
    <w:basedOn w:val="a"/>
    <w:rsid w:val="00D86212"/>
    <w:pPr>
      <w:pBdr>
        <w:top w:val="single" w:sz="4" w:space="0" w:color="auto"/>
        <w:bottom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color w:val="000000"/>
      <w:sz w:val="24"/>
      <w:szCs w:val="24"/>
      <w:lang w:val="en-US"/>
    </w:rPr>
  </w:style>
  <w:style w:type="paragraph" w:customStyle="1" w:styleId="xl66">
    <w:name w:val="xl66"/>
    <w:basedOn w:val="a"/>
    <w:rsid w:val="00D8621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color w:val="000000"/>
      <w:sz w:val="24"/>
      <w:szCs w:val="24"/>
      <w:lang w:val="en-US"/>
    </w:rPr>
  </w:style>
  <w:style w:type="paragraph" w:customStyle="1" w:styleId="xl67">
    <w:name w:val="xl67"/>
    <w:basedOn w:val="a"/>
    <w:rsid w:val="00D8621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eastAsia="Times New Roman" w:cs="Times New Roman"/>
      <w:sz w:val="24"/>
      <w:szCs w:val="24"/>
      <w:lang w:val="en-US"/>
    </w:rPr>
  </w:style>
  <w:style w:type="paragraph" w:customStyle="1" w:styleId="xl68">
    <w:name w:val="xl68"/>
    <w:basedOn w:val="a"/>
    <w:rsid w:val="00D86212"/>
    <w:pPr>
      <w:pBdr>
        <w:top w:val="single" w:sz="4" w:space="0" w:color="auto"/>
        <w:left w:val="single" w:sz="4" w:space="0" w:color="auto"/>
        <w:bottom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color w:val="000000"/>
      <w:sz w:val="24"/>
      <w:szCs w:val="24"/>
      <w:lang w:val="en-US"/>
    </w:rPr>
  </w:style>
  <w:style w:type="paragraph" w:customStyle="1" w:styleId="xl69">
    <w:name w:val="xl69"/>
    <w:basedOn w:val="a"/>
    <w:rsid w:val="00D8621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24"/>
      <w:szCs w:val="24"/>
      <w:lang w:val="en-US"/>
    </w:rPr>
  </w:style>
  <w:style w:type="paragraph" w:customStyle="1" w:styleId="xl70">
    <w:name w:val="xl70"/>
    <w:basedOn w:val="a"/>
    <w:rsid w:val="00D86212"/>
    <w:pPr>
      <w:pBdr>
        <w:top w:val="single" w:sz="4" w:space="0" w:color="auto"/>
        <w:bottom w:val="single" w:sz="4" w:space="0" w:color="auto"/>
      </w:pBdr>
      <w:spacing w:before="100" w:beforeAutospacing="1" w:after="100" w:afterAutospacing="1" w:line="240" w:lineRule="auto"/>
      <w:jc w:val="center"/>
      <w:textAlignment w:val="top"/>
    </w:pPr>
    <w:rPr>
      <w:rFonts w:eastAsia="Times New Roman" w:cs="Times New Roman"/>
      <w:b/>
      <w:bCs/>
      <w:color w:val="000000"/>
      <w:sz w:val="18"/>
      <w:szCs w:val="18"/>
      <w:lang w:val="en-US"/>
    </w:rPr>
  </w:style>
  <w:style w:type="paragraph" w:customStyle="1" w:styleId="xl71">
    <w:name w:val="xl71"/>
    <w:basedOn w:val="a"/>
    <w:rsid w:val="00D8621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72">
    <w:name w:val="xl72"/>
    <w:basedOn w:val="a"/>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73">
    <w:name w:val="xl73"/>
    <w:basedOn w:val="a"/>
    <w:rsid w:val="00D862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74">
    <w:name w:val="xl74"/>
    <w:basedOn w:val="a"/>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75">
    <w:name w:val="xl75"/>
    <w:basedOn w:val="a"/>
    <w:rsid w:val="00D86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i/>
      <w:iCs/>
      <w:color w:val="000000"/>
      <w:sz w:val="18"/>
      <w:szCs w:val="18"/>
      <w:lang w:val="en-US"/>
    </w:rPr>
  </w:style>
  <w:style w:type="paragraph" w:customStyle="1" w:styleId="xl76">
    <w:name w:val="xl76"/>
    <w:basedOn w:val="a"/>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i/>
      <w:iCs/>
      <w:color w:val="000000"/>
      <w:sz w:val="18"/>
      <w:szCs w:val="18"/>
      <w:lang w:val="en-US"/>
    </w:rPr>
  </w:style>
  <w:style w:type="paragraph" w:customStyle="1" w:styleId="xl77">
    <w:name w:val="xl77"/>
    <w:basedOn w:val="a"/>
    <w:rsid w:val="00D86212"/>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top"/>
    </w:pPr>
    <w:rPr>
      <w:rFonts w:eastAsia="Times New Roman" w:cs="Times New Roman"/>
      <w:color w:val="000000"/>
      <w:sz w:val="18"/>
      <w:szCs w:val="18"/>
      <w:lang w:val="en-US"/>
    </w:rPr>
  </w:style>
  <w:style w:type="paragraph" w:customStyle="1" w:styleId="xl78">
    <w:name w:val="xl78"/>
    <w:basedOn w:val="a"/>
    <w:rsid w:val="00D86212"/>
    <w:pPr>
      <w:pBdr>
        <w:top w:val="single" w:sz="4" w:space="0" w:color="auto"/>
        <w:bottom w:val="single" w:sz="4" w:space="0" w:color="auto"/>
      </w:pBdr>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79">
    <w:name w:val="xl79"/>
    <w:basedOn w:val="a"/>
    <w:rsid w:val="00D8621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80">
    <w:name w:val="xl80"/>
    <w:basedOn w:val="a"/>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81">
    <w:name w:val="xl81"/>
    <w:basedOn w:val="a"/>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82">
    <w:name w:val="xl82"/>
    <w:basedOn w:val="a"/>
    <w:rsid w:val="00D86212"/>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83">
    <w:name w:val="xl83"/>
    <w:basedOn w:val="a"/>
    <w:rsid w:val="00D86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84">
    <w:name w:val="xl84"/>
    <w:basedOn w:val="a"/>
    <w:rsid w:val="00D86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85">
    <w:name w:val="xl85"/>
    <w:basedOn w:val="a"/>
    <w:rsid w:val="00D86212"/>
    <w:pPr>
      <w:pBdr>
        <w:top w:val="single" w:sz="4" w:space="0" w:color="auto"/>
      </w:pBdr>
      <w:spacing w:before="100" w:beforeAutospacing="1" w:after="100" w:afterAutospacing="1" w:line="240" w:lineRule="auto"/>
      <w:jc w:val="right"/>
      <w:textAlignment w:val="top"/>
    </w:pPr>
    <w:rPr>
      <w:rFonts w:eastAsia="Times New Roman" w:cs="Times New Roman"/>
      <w:sz w:val="18"/>
      <w:szCs w:val="18"/>
      <w:lang w:val="en-US"/>
    </w:rPr>
  </w:style>
  <w:style w:type="paragraph" w:customStyle="1" w:styleId="xl86">
    <w:name w:val="xl86"/>
    <w:basedOn w:val="a"/>
    <w:rsid w:val="00D86212"/>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i/>
      <w:iCs/>
      <w:sz w:val="18"/>
      <w:szCs w:val="18"/>
      <w:lang w:val="en-US"/>
    </w:rPr>
  </w:style>
  <w:style w:type="paragraph" w:customStyle="1" w:styleId="xl87">
    <w:name w:val="xl87"/>
    <w:basedOn w:val="a"/>
    <w:rsid w:val="00D8621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cs="Times New Roman"/>
      <w:i/>
      <w:iCs/>
      <w:sz w:val="18"/>
      <w:szCs w:val="18"/>
      <w:lang w:val="en-US"/>
    </w:rPr>
  </w:style>
  <w:style w:type="paragraph" w:customStyle="1" w:styleId="xl88">
    <w:name w:val="xl88"/>
    <w:basedOn w:val="a"/>
    <w:rsid w:val="00D86212"/>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i/>
      <w:iCs/>
      <w:sz w:val="18"/>
      <w:szCs w:val="18"/>
      <w:lang w:val="en-US"/>
    </w:rPr>
  </w:style>
  <w:style w:type="paragraph" w:customStyle="1" w:styleId="xl89">
    <w:name w:val="xl89"/>
    <w:basedOn w:val="a"/>
    <w:rsid w:val="00D8621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i/>
      <w:iCs/>
      <w:sz w:val="18"/>
      <w:szCs w:val="18"/>
      <w:lang w:val="en-US"/>
    </w:rPr>
  </w:style>
  <w:style w:type="paragraph" w:customStyle="1" w:styleId="xl90">
    <w:name w:val="xl90"/>
    <w:basedOn w:val="a"/>
    <w:rsid w:val="00D8621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i/>
      <w:iCs/>
      <w:sz w:val="18"/>
      <w:szCs w:val="18"/>
      <w:lang w:val="en-US"/>
    </w:rPr>
  </w:style>
  <w:style w:type="paragraph" w:customStyle="1" w:styleId="xl91">
    <w:name w:val="xl91"/>
    <w:basedOn w:val="a"/>
    <w:rsid w:val="00D8621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cs="Times New Roman"/>
      <w:i/>
      <w:iCs/>
      <w:sz w:val="18"/>
      <w:szCs w:val="18"/>
      <w:lang w:val="en-US"/>
    </w:rPr>
  </w:style>
  <w:style w:type="paragraph" w:customStyle="1" w:styleId="xl92">
    <w:name w:val="xl92"/>
    <w:basedOn w:val="a"/>
    <w:rsid w:val="00D86212"/>
    <w:pPr>
      <w:pBdr>
        <w:top w:val="single" w:sz="4" w:space="0" w:color="auto"/>
        <w:left w:val="single" w:sz="4" w:space="0" w:color="auto"/>
      </w:pBdr>
      <w:shd w:val="clear" w:color="000000" w:fill="F2F2F2"/>
      <w:spacing w:before="100" w:beforeAutospacing="1" w:after="100" w:afterAutospacing="1" w:line="240" w:lineRule="auto"/>
      <w:jc w:val="center"/>
      <w:textAlignment w:val="top"/>
    </w:pPr>
    <w:rPr>
      <w:rFonts w:eastAsia="Times New Roman" w:cs="Times New Roman"/>
      <w:i/>
      <w:iCs/>
      <w:sz w:val="18"/>
      <w:szCs w:val="18"/>
      <w:lang w:val="en-US"/>
    </w:rPr>
  </w:style>
  <w:style w:type="paragraph" w:customStyle="1" w:styleId="xl93">
    <w:name w:val="xl93"/>
    <w:basedOn w:val="a"/>
    <w:rsid w:val="00D86212"/>
    <w:pPr>
      <w:pBdr>
        <w:top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24"/>
      <w:szCs w:val="24"/>
      <w:lang w:val="en-US"/>
    </w:rPr>
  </w:style>
  <w:style w:type="paragraph" w:customStyle="1" w:styleId="xl94">
    <w:name w:val="xl94"/>
    <w:basedOn w:val="a"/>
    <w:rsid w:val="00D8621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24"/>
      <w:szCs w:val="24"/>
      <w:lang w:val="en-US"/>
    </w:rPr>
  </w:style>
  <w:style w:type="paragraph" w:customStyle="1" w:styleId="xl95">
    <w:name w:val="xl95"/>
    <w:basedOn w:val="a"/>
    <w:rsid w:val="00D8621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24"/>
      <w:szCs w:val="24"/>
      <w:lang w:val="en-US"/>
    </w:rPr>
  </w:style>
  <w:style w:type="paragraph" w:customStyle="1" w:styleId="xl96">
    <w:name w:val="xl96"/>
    <w:basedOn w:val="a"/>
    <w:rsid w:val="00D86212"/>
    <w:pPr>
      <w:pBdr>
        <w:top w:val="single" w:sz="4" w:space="0" w:color="auto"/>
        <w:left w:val="single" w:sz="4" w:space="0" w:color="auto"/>
        <w:bottom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24"/>
      <w:szCs w:val="24"/>
      <w:lang w:val="en-US"/>
    </w:rPr>
  </w:style>
  <w:style w:type="paragraph" w:customStyle="1" w:styleId="xl97">
    <w:name w:val="xl97"/>
    <w:basedOn w:val="a"/>
    <w:rsid w:val="00D86212"/>
    <w:pPr>
      <w:pBdr>
        <w:bottom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98">
    <w:name w:val="xl98"/>
    <w:basedOn w:val="a"/>
    <w:rsid w:val="00D86212"/>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99">
    <w:name w:val="xl99"/>
    <w:basedOn w:val="a"/>
    <w:rsid w:val="00D8621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00">
    <w:name w:val="xl100"/>
    <w:basedOn w:val="a"/>
    <w:rsid w:val="00D86212"/>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01">
    <w:name w:val="xl101"/>
    <w:basedOn w:val="a"/>
    <w:rsid w:val="00D8621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02">
    <w:name w:val="xl102"/>
    <w:basedOn w:val="a"/>
    <w:rsid w:val="00D8621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03">
    <w:name w:val="xl103"/>
    <w:basedOn w:val="a"/>
    <w:rsid w:val="00D86212"/>
    <w:pPr>
      <w:pBdr>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04">
    <w:name w:val="xl104"/>
    <w:basedOn w:val="a"/>
    <w:rsid w:val="00D86212"/>
    <w:pPr>
      <w:pBdr>
        <w:left w:val="single" w:sz="4" w:space="0" w:color="auto"/>
        <w:bottom w:val="single" w:sz="4" w:space="0" w:color="auto"/>
      </w:pBdr>
      <w:shd w:val="clear" w:color="000000" w:fill="F2F2F2"/>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05">
    <w:name w:val="xl105"/>
    <w:basedOn w:val="a"/>
    <w:rsid w:val="00D8621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06">
    <w:name w:val="xl106"/>
    <w:basedOn w:val="a"/>
    <w:rsid w:val="00D86212"/>
    <w:pPr>
      <w:pBdr>
        <w:bottom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07">
    <w:name w:val="xl107"/>
    <w:basedOn w:val="a"/>
    <w:rsid w:val="00D86212"/>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08">
    <w:name w:val="xl108"/>
    <w:basedOn w:val="a"/>
    <w:rsid w:val="00D8621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109">
    <w:name w:val="xl109"/>
    <w:basedOn w:val="a"/>
    <w:rsid w:val="00D8621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10">
    <w:name w:val="xl110"/>
    <w:basedOn w:val="a"/>
    <w:rsid w:val="00D8621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11">
    <w:name w:val="xl111"/>
    <w:basedOn w:val="a"/>
    <w:rsid w:val="00D8621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12">
    <w:name w:val="xl112"/>
    <w:basedOn w:val="a"/>
    <w:rsid w:val="00D86212"/>
    <w:pPr>
      <w:shd w:val="clear" w:color="000000" w:fill="FFFFFF"/>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13">
    <w:name w:val="xl113"/>
    <w:basedOn w:val="a"/>
    <w:rsid w:val="00D8621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14">
    <w:name w:val="xl114"/>
    <w:basedOn w:val="a"/>
    <w:rsid w:val="00D86212"/>
    <w:pPr>
      <w:pBdr>
        <w:left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15">
    <w:name w:val="xl115"/>
    <w:basedOn w:val="a"/>
    <w:rsid w:val="00D8621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16">
    <w:name w:val="xl116"/>
    <w:basedOn w:val="a"/>
    <w:rsid w:val="00D86212"/>
    <w:pPr>
      <w:pBdr>
        <w:top w:val="single" w:sz="4" w:space="0" w:color="auto"/>
        <w:lef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17">
    <w:name w:val="xl117"/>
    <w:basedOn w:val="a"/>
    <w:rsid w:val="00D8621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118">
    <w:name w:val="xl118"/>
    <w:basedOn w:val="a"/>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i/>
      <w:iCs/>
      <w:sz w:val="18"/>
      <w:szCs w:val="18"/>
      <w:lang w:val="en-US"/>
    </w:rPr>
  </w:style>
  <w:style w:type="paragraph" w:customStyle="1" w:styleId="xl119">
    <w:name w:val="xl119"/>
    <w:basedOn w:val="a"/>
    <w:rsid w:val="00D862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20">
    <w:name w:val="xl120"/>
    <w:basedOn w:val="a"/>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 w:val="24"/>
      <w:szCs w:val="24"/>
      <w:lang w:val="en-US"/>
    </w:rPr>
  </w:style>
  <w:style w:type="paragraph" w:customStyle="1" w:styleId="xl121">
    <w:name w:val="xl121"/>
    <w:basedOn w:val="a"/>
    <w:rsid w:val="00D86212"/>
    <w:pPr>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22">
    <w:name w:val="xl122"/>
    <w:basedOn w:val="a"/>
    <w:rsid w:val="00D86212"/>
    <w:pPr>
      <w:pBdr>
        <w:left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23">
    <w:name w:val="xl123"/>
    <w:basedOn w:val="a"/>
    <w:rsid w:val="00D862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24">
    <w:name w:val="xl124"/>
    <w:basedOn w:val="a"/>
    <w:rsid w:val="00D8621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25">
    <w:name w:val="xl125"/>
    <w:basedOn w:val="a"/>
    <w:rsid w:val="00D8621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i/>
      <w:iCs/>
      <w:sz w:val="18"/>
      <w:szCs w:val="18"/>
      <w:lang w:val="en-US"/>
    </w:rPr>
  </w:style>
  <w:style w:type="paragraph" w:customStyle="1" w:styleId="xl126">
    <w:name w:val="xl126"/>
    <w:basedOn w:val="a"/>
    <w:rsid w:val="00D86212"/>
    <w:pPr>
      <w:pBdr>
        <w:top w:val="single" w:sz="4" w:space="0" w:color="auto"/>
        <w:bottom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27">
    <w:name w:val="xl127"/>
    <w:basedOn w:val="a"/>
    <w:rsid w:val="00D86212"/>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28">
    <w:name w:val="xl128"/>
    <w:basedOn w:val="a"/>
    <w:rsid w:val="00D862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29">
    <w:name w:val="xl129"/>
    <w:basedOn w:val="a"/>
    <w:rsid w:val="00D86212"/>
    <w:pPr>
      <w:pBdr>
        <w:top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30">
    <w:name w:val="xl130"/>
    <w:basedOn w:val="a"/>
    <w:rsid w:val="00D8621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i/>
      <w:iCs/>
      <w:sz w:val="18"/>
      <w:szCs w:val="18"/>
      <w:lang w:val="en-US"/>
    </w:rPr>
  </w:style>
  <w:style w:type="paragraph" w:customStyle="1" w:styleId="xl131">
    <w:name w:val="xl131"/>
    <w:basedOn w:val="a"/>
    <w:rsid w:val="00D86212"/>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top"/>
    </w:pPr>
    <w:rPr>
      <w:rFonts w:eastAsia="Times New Roman" w:cs="Times New Roman"/>
      <w:i/>
      <w:iCs/>
      <w:sz w:val="18"/>
      <w:szCs w:val="18"/>
      <w:lang w:val="en-US"/>
    </w:rPr>
  </w:style>
  <w:style w:type="paragraph" w:customStyle="1" w:styleId="xl132">
    <w:name w:val="xl132"/>
    <w:basedOn w:val="a"/>
    <w:rsid w:val="00D86212"/>
    <w:pPr>
      <w:pBdr>
        <w:top w:val="single" w:sz="4" w:space="0" w:color="auto"/>
        <w:bottom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24"/>
      <w:szCs w:val="24"/>
      <w:lang w:val="en-US"/>
    </w:rPr>
  </w:style>
  <w:style w:type="paragraph" w:customStyle="1" w:styleId="xl133">
    <w:name w:val="xl133"/>
    <w:basedOn w:val="a"/>
    <w:rsid w:val="00D86212"/>
    <w:pPr>
      <w:pBdr>
        <w:top w:val="single" w:sz="4" w:space="0" w:color="auto"/>
        <w:left w:val="single" w:sz="4" w:space="0" w:color="auto"/>
        <w:bottom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24"/>
      <w:szCs w:val="24"/>
      <w:lang w:val="en-US"/>
    </w:rPr>
  </w:style>
  <w:style w:type="paragraph" w:customStyle="1" w:styleId="xl134">
    <w:name w:val="xl134"/>
    <w:basedOn w:val="a"/>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35">
    <w:name w:val="xl135"/>
    <w:basedOn w:val="a"/>
    <w:rsid w:val="00D86212"/>
    <w:pPr>
      <w:pBdr>
        <w:top w:val="single" w:sz="4" w:space="0" w:color="auto"/>
      </w:pBdr>
      <w:shd w:val="clear" w:color="000000" w:fill="FFFFFF"/>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136">
    <w:name w:val="xl136"/>
    <w:basedOn w:val="a"/>
    <w:rsid w:val="00D86212"/>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37">
    <w:name w:val="xl137"/>
    <w:basedOn w:val="a"/>
    <w:rsid w:val="00D8621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38">
    <w:name w:val="xl138"/>
    <w:basedOn w:val="a"/>
    <w:rsid w:val="00D86212"/>
    <w:pPr>
      <w:pBdr>
        <w:top w:val="single" w:sz="4" w:space="0" w:color="auto"/>
        <w:left w:val="single" w:sz="4" w:space="0" w:color="auto"/>
      </w:pBdr>
      <w:shd w:val="clear" w:color="000000" w:fill="F2F2F2"/>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39">
    <w:name w:val="xl139"/>
    <w:basedOn w:val="a"/>
    <w:rsid w:val="00D86212"/>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140">
    <w:name w:val="xl140"/>
    <w:basedOn w:val="a"/>
    <w:rsid w:val="00D86212"/>
    <w:pPr>
      <w:pBdr>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41">
    <w:name w:val="xl141"/>
    <w:basedOn w:val="a"/>
    <w:rsid w:val="00D8621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42">
    <w:name w:val="xl142"/>
    <w:basedOn w:val="a"/>
    <w:rsid w:val="00D862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43">
    <w:name w:val="xl143"/>
    <w:basedOn w:val="a"/>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i/>
      <w:iCs/>
      <w:sz w:val="18"/>
      <w:szCs w:val="18"/>
      <w:lang w:val="en-US"/>
    </w:rPr>
  </w:style>
  <w:style w:type="paragraph" w:customStyle="1" w:styleId="xl144">
    <w:name w:val="xl144"/>
    <w:basedOn w:val="a"/>
    <w:rsid w:val="00D8621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45">
    <w:name w:val="xl145"/>
    <w:basedOn w:val="a"/>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146">
    <w:name w:val="xl146"/>
    <w:basedOn w:val="a"/>
    <w:rsid w:val="00D86212"/>
    <w:pPr>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47">
    <w:name w:val="xl147"/>
    <w:basedOn w:val="a"/>
    <w:rsid w:val="00D862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48">
    <w:name w:val="xl148"/>
    <w:basedOn w:val="a"/>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i/>
      <w:iCs/>
      <w:sz w:val="18"/>
      <w:szCs w:val="18"/>
      <w:lang w:val="en-US"/>
    </w:rPr>
  </w:style>
  <w:style w:type="paragraph" w:customStyle="1" w:styleId="xl149">
    <w:name w:val="xl149"/>
    <w:basedOn w:val="a"/>
    <w:rsid w:val="00D8621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50">
    <w:name w:val="xl150"/>
    <w:basedOn w:val="a"/>
    <w:rsid w:val="00D86212"/>
    <w:pPr>
      <w:pBdr>
        <w:top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51">
    <w:name w:val="xl151"/>
    <w:basedOn w:val="a"/>
    <w:rsid w:val="00D8621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52">
    <w:name w:val="xl152"/>
    <w:basedOn w:val="a"/>
    <w:rsid w:val="00D86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i/>
      <w:iCs/>
      <w:sz w:val="18"/>
      <w:szCs w:val="18"/>
      <w:lang w:val="en-US"/>
    </w:rPr>
  </w:style>
  <w:style w:type="paragraph" w:customStyle="1" w:styleId="xl153">
    <w:name w:val="xl153"/>
    <w:basedOn w:val="a"/>
    <w:rsid w:val="00D86212"/>
    <w:pPr>
      <w:pBdr>
        <w:top w:val="single" w:sz="4" w:space="0" w:color="auto"/>
        <w:bottom w:val="single" w:sz="4" w:space="0" w:color="auto"/>
      </w:pBdr>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54">
    <w:name w:val="xl154"/>
    <w:basedOn w:val="a"/>
    <w:rsid w:val="00D86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155">
    <w:name w:val="xl155"/>
    <w:basedOn w:val="a"/>
    <w:rsid w:val="00D86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56">
    <w:name w:val="xl156"/>
    <w:basedOn w:val="a"/>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157">
    <w:name w:val="xl157"/>
    <w:basedOn w:val="a"/>
    <w:rsid w:val="00D8621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58">
    <w:name w:val="xl158"/>
    <w:basedOn w:val="a"/>
    <w:rsid w:val="00D862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b/>
      <w:bCs/>
      <w:color w:val="000000"/>
      <w:sz w:val="18"/>
      <w:szCs w:val="18"/>
      <w:lang w:val="en-US"/>
    </w:rPr>
  </w:style>
  <w:style w:type="paragraph" w:customStyle="1" w:styleId="xl159">
    <w:name w:val="xl159"/>
    <w:basedOn w:val="a"/>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60">
    <w:name w:val="xl160"/>
    <w:basedOn w:val="a"/>
    <w:rsid w:val="00D862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161">
    <w:name w:val="xl161"/>
    <w:basedOn w:val="a"/>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162">
    <w:name w:val="xl162"/>
    <w:basedOn w:val="a"/>
    <w:rsid w:val="00D86212"/>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Times New Roman" w:cs="Times New Roman"/>
      <w:sz w:val="18"/>
      <w:szCs w:val="18"/>
      <w:lang w:val="en-US"/>
    </w:rPr>
  </w:style>
  <w:style w:type="paragraph" w:customStyle="1" w:styleId="xl163">
    <w:name w:val="xl163"/>
    <w:basedOn w:val="a"/>
    <w:rsid w:val="00D86212"/>
    <w:pPr>
      <w:shd w:val="clear" w:color="000000" w:fill="FFFFFF"/>
      <w:spacing w:before="100" w:beforeAutospacing="1" w:after="100" w:afterAutospacing="1" w:line="240" w:lineRule="auto"/>
      <w:jc w:val="left"/>
    </w:pPr>
    <w:rPr>
      <w:rFonts w:eastAsia="Times New Roman" w:cs="Times New Roman"/>
      <w:sz w:val="24"/>
      <w:szCs w:val="24"/>
      <w:lang w:val="en-US"/>
    </w:rPr>
  </w:style>
  <w:style w:type="paragraph" w:customStyle="1" w:styleId="xl164">
    <w:name w:val="xl164"/>
    <w:basedOn w:val="a"/>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i/>
      <w:iCs/>
      <w:color w:val="000000"/>
      <w:sz w:val="24"/>
      <w:szCs w:val="24"/>
      <w:lang w:val="en-US"/>
    </w:rPr>
  </w:style>
  <w:style w:type="paragraph" w:customStyle="1" w:styleId="xl165">
    <w:name w:val="xl165"/>
    <w:basedOn w:val="a"/>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i/>
      <w:iCs/>
      <w:sz w:val="24"/>
      <w:szCs w:val="24"/>
      <w:lang w:val="en-US"/>
    </w:rPr>
  </w:style>
  <w:style w:type="paragraph" w:customStyle="1" w:styleId="xl166">
    <w:name w:val="xl166"/>
    <w:basedOn w:val="a"/>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i/>
      <w:iCs/>
      <w:sz w:val="24"/>
      <w:szCs w:val="24"/>
      <w:lang w:val="en-US"/>
    </w:rPr>
  </w:style>
  <w:style w:type="paragraph" w:customStyle="1" w:styleId="xl167">
    <w:name w:val="xl167"/>
    <w:basedOn w:val="a"/>
    <w:rsid w:val="00D86212"/>
    <w:pPr>
      <w:shd w:val="clear" w:color="000000" w:fill="FFFFFF"/>
      <w:spacing w:before="100" w:beforeAutospacing="1" w:after="100" w:afterAutospacing="1" w:line="240" w:lineRule="auto"/>
      <w:jc w:val="left"/>
    </w:pPr>
    <w:rPr>
      <w:rFonts w:eastAsia="Times New Roman" w:cs="Times New Roman"/>
      <w:i/>
      <w:iCs/>
      <w:sz w:val="24"/>
      <w:szCs w:val="24"/>
      <w:lang w:val="en-US"/>
    </w:rPr>
  </w:style>
  <w:style w:type="paragraph" w:customStyle="1" w:styleId="xl168">
    <w:name w:val="xl168"/>
    <w:basedOn w:val="a"/>
    <w:rsid w:val="00D86212"/>
    <w:pPr>
      <w:pBdr>
        <w:top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color w:val="000000"/>
      <w:sz w:val="20"/>
      <w:szCs w:val="20"/>
      <w:lang w:val="en-US"/>
    </w:rPr>
  </w:style>
  <w:style w:type="paragraph" w:customStyle="1" w:styleId="xl169">
    <w:name w:val="xl169"/>
    <w:basedOn w:val="a"/>
    <w:rsid w:val="00D8621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color w:val="000000"/>
      <w:sz w:val="20"/>
      <w:szCs w:val="20"/>
      <w:lang w:val="en-US"/>
    </w:rPr>
  </w:style>
  <w:style w:type="paragraph" w:customStyle="1" w:styleId="xl170">
    <w:name w:val="xl170"/>
    <w:basedOn w:val="a"/>
    <w:rsid w:val="00D86212"/>
    <w:pPr>
      <w:pBdr>
        <w:top w:val="single" w:sz="8" w:space="0" w:color="auto"/>
        <w:left w:val="single" w:sz="8" w:space="0" w:color="auto"/>
        <w:right w:val="single" w:sz="8" w:space="0" w:color="auto"/>
      </w:pBdr>
      <w:shd w:val="clear" w:color="000000" w:fill="F2F2F2"/>
      <w:spacing w:before="100" w:beforeAutospacing="1" w:after="100" w:afterAutospacing="1" w:line="240" w:lineRule="auto"/>
      <w:jc w:val="center"/>
      <w:textAlignment w:val="center"/>
    </w:pPr>
    <w:rPr>
      <w:rFonts w:eastAsia="Times New Roman" w:cs="Times New Roman"/>
      <w:b/>
      <w:bCs/>
      <w:color w:val="000000"/>
      <w:sz w:val="18"/>
      <w:szCs w:val="18"/>
      <w:lang w:val="en-US"/>
    </w:rPr>
  </w:style>
  <w:style w:type="paragraph" w:customStyle="1" w:styleId="xl171">
    <w:name w:val="xl171"/>
    <w:basedOn w:val="a"/>
    <w:rsid w:val="00D86212"/>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b/>
      <w:bCs/>
      <w:color w:val="000000"/>
      <w:sz w:val="20"/>
      <w:szCs w:val="20"/>
      <w:lang w:val="en-US"/>
    </w:rPr>
  </w:style>
  <w:style w:type="paragraph" w:customStyle="1" w:styleId="xl172">
    <w:name w:val="xl172"/>
    <w:basedOn w:val="a"/>
    <w:rsid w:val="00D8621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color w:val="000000"/>
      <w:sz w:val="20"/>
      <w:szCs w:val="20"/>
      <w:lang w:val="en-US"/>
    </w:rPr>
  </w:style>
  <w:style w:type="paragraph" w:customStyle="1" w:styleId="xl173">
    <w:name w:val="xl173"/>
    <w:basedOn w:val="a"/>
    <w:rsid w:val="00D86212"/>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b/>
      <w:bCs/>
      <w:color w:val="000000"/>
      <w:sz w:val="20"/>
      <w:szCs w:val="20"/>
      <w:lang w:val="en-US"/>
    </w:rPr>
  </w:style>
  <w:style w:type="paragraph" w:customStyle="1" w:styleId="xl174">
    <w:name w:val="xl174"/>
    <w:basedOn w:val="a"/>
    <w:rsid w:val="00D86212"/>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b/>
      <w:bCs/>
      <w:i/>
      <w:iCs/>
      <w:color w:val="000000"/>
      <w:sz w:val="20"/>
      <w:szCs w:val="20"/>
      <w:lang w:val="en-US"/>
    </w:rPr>
  </w:style>
  <w:style w:type="paragraph" w:customStyle="1" w:styleId="xl175">
    <w:name w:val="xl175"/>
    <w:basedOn w:val="a"/>
    <w:rsid w:val="00D86212"/>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b/>
      <w:bCs/>
      <w:sz w:val="20"/>
      <w:szCs w:val="20"/>
      <w:lang w:val="en-US"/>
    </w:rPr>
  </w:style>
  <w:style w:type="paragraph" w:customStyle="1" w:styleId="xl176">
    <w:name w:val="xl176"/>
    <w:basedOn w:val="a"/>
    <w:rsid w:val="00D86212"/>
    <w:pPr>
      <w:pBdr>
        <w:top w:val="single" w:sz="8" w:space="0" w:color="auto"/>
        <w:left w:val="single" w:sz="8" w:space="0" w:color="auto"/>
      </w:pBdr>
      <w:shd w:val="clear" w:color="000000" w:fill="F2F2F2"/>
      <w:spacing w:before="100" w:beforeAutospacing="1" w:after="100" w:afterAutospacing="1" w:line="240" w:lineRule="auto"/>
      <w:jc w:val="center"/>
      <w:textAlignment w:val="center"/>
    </w:pPr>
    <w:rPr>
      <w:rFonts w:eastAsia="Times New Roman" w:cs="Times New Roman"/>
      <w:b/>
      <w:bCs/>
      <w:color w:val="000000"/>
      <w:sz w:val="20"/>
      <w:szCs w:val="20"/>
      <w:lang w:val="en-US"/>
    </w:rPr>
  </w:style>
  <w:style w:type="paragraph" w:customStyle="1" w:styleId="xl177">
    <w:name w:val="xl177"/>
    <w:basedOn w:val="a"/>
    <w:rsid w:val="00D8621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i/>
      <w:iCs/>
      <w:color w:val="000000"/>
      <w:sz w:val="16"/>
      <w:szCs w:val="16"/>
      <w:lang w:val="en-US"/>
    </w:rPr>
  </w:style>
  <w:style w:type="paragraph" w:customStyle="1" w:styleId="xl178">
    <w:name w:val="xl178"/>
    <w:basedOn w:val="a"/>
    <w:rsid w:val="00D86212"/>
    <w:pPr>
      <w:pBdr>
        <w:top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i/>
      <w:iCs/>
      <w:color w:val="000000"/>
      <w:sz w:val="16"/>
      <w:szCs w:val="16"/>
      <w:lang w:val="en-US"/>
    </w:rPr>
  </w:style>
  <w:style w:type="paragraph" w:customStyle="1" w:styleId="xl179">
    <w:name w:val="xl179"/>
    <w:basedOn w:val="a"/>
    <w:rsid w:val="00D86212"/>
    <w:pPr>
      <w:pBdr>
        <w:top w:val="single" w:sz="8" w:space="0" w:color="auto"/>
        <w:right w:val="single" w:sz="8" w:space="0" w:color="auto"/>
      </w:pBdr>
      <w:shd w:val="clear" w:color="000000" w:fill="F2F2F2"/>
      <w:spacing w:before="100" w:beforeAutospacing="1" w:after="100" w:afterAutospacing="1" w:line="240" w:lineRule="auto"/>
      <w:jc w:val="center"/>
      <w:textAlignment w:val="center"/>
    </w:pPr>
    <w:rPr>
      <w:rFonts w:eastAsia="Times New Roman" w:cs="Times New Roman"/>
      <w:b/>
      <w:bCs/>
      <w:i/>
      <w:iCs/>
      <w:color w:val="000000"/>
      <w:sz w:val="16"/>
      <w:szCs w:val="16"/>
      <w:lang w:val="en-US"/>
    </w:rPr>
  </w:style>
  <w:style w:type="paragraph" w:customStyle="1" w:styleId="xl180">
    <w:name w:val="xl180"/>
    <w:basedOn w:val="a"/>
    <w:rsid w:val="00D86212"/>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b/>
      <w:bCs/>
      <w:i/>
      <w:iCs/>
      <w:color w:val="000000"/>
      <w:sz w:val="16"/>
      <w:szCs w:val="16"/>
      <w:lang w:val="en-US"/>
    </w:rPr>
  </w:style>
  <w:style w:type="paragraph" w:customStyle="1" w:styleId="xl181">
    <w:name w:val="xl181"/>
    <w:basedOn w:val="a"/>
    <w:rsid w:val="00D86212"/>
    <w:pPr>
      <w:pBdr>
        <w:top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i/>
      <w:iCs/>
      <w:color w:val="000000"/>
      <w:sz w:val="16"/>
      <w:szCs w:val="16"/>
      <w:lang w:val="en-US"/>
    </w:rPr>
  </w:style>
  <w:style w:type="paragraph" w:customStyle="1" w:styleId="xl182">
    <w:name w:val="xl182"/>
    <w:basedOn w:val="a"/>
    <w:rsid w:val="00D86212"/>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b/>
      <w:bCs/>
      <w:i/>
      <w:iCs/>
      <w:color w:val="000000"/>
      <w:sz w:val="16"/>
      <w:szCs w:val="16"/>
      <w:lang w:val="en-US"/>
    </w:rPr>
  </w:style>
  <w:style w:type="paragraph" w:customStyle="1" w:styleId="xl183">
    <w:name w:val="xl183"/>
    <w:basedOn w:val="a"/>
    <w:rsid w:val="00D86212"/>
    <w:pPr>
      <w:pBdr>
        <w:top w:val="single" w:sz="8" w:space="0" w:color="auto"/>
      </w:pBdr>
      <w:shd w:val="clear" w:color="000000" w:fill="FFFFFF"/>
      <w:spacing w:before="100" w:beforeAutospacing="1" w:after="100" w:afterAutospacing="1" w:line="240" w:lineRule="auto"/>
      <w:jc w:val="center"/>
      <w:textAlignment w:val="center"/>
    </w:pPr>
    <w:rPr>
      <w:rFonts w:eastAsia="Times New Roman" w:cs="Times New Roman"/>
      <w:b/>
      <w:bCs/>
      <w:i/>
      <w:iCs/>
      <w:color w:val="000000"/>
      <w:sz w:val="16"/>
      <w:szCs w:val="16"/>
      <w:lang w:val="en-US"/>
    </w:rPr>
  </w:style>
  <w:style w:type="paragraph" w:customStyle="1" w:styleId="xl184">
    <w:name w:val="xl184"/>
    <w:basedOn w:val="a"/>
    <w:rsid w:val="00D86212"/>
    <w:pPr>
      <w:pBdr>
        <w:top w:val="single" w:sz="8" w:space="0" w:color="auto"/>
        <w:left w:val="single" w:sz="8" w:space="0" w:color="auto"/>
      </w:pBdr>
      <w:spacing w:before="100" w:beforeAutospacing="1" w:after="100" w:afterAutospacing="1" w:line="240" w:lineRule="auto"/>
      <w:jc w:val="center"/>
      <w:textAlignment w:val="center"/>
    </w:pPr>
    <w:rPr>
      <w:rFonts w:eastAsia="Times New Roman" w:cs="Times New Roman"/>
      <w:b/>
      <w:bCs/>
      <w:i/>
      <w:iCs/>
      <w:sz w:val="16"/>
      <w:szCs w:val="16"/>
      <w:lang w:val="en-US"/>
    </w:rPr>
  </w:style>
  <w:style w:type="paragraph" w:customStyle="1" w:styleId="xl185">
    <w:name w:val="xl185"/>
    <w:basedOn w:val="a"/>
    <w:rsid w:val="00D8621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i/>
      <w:iCs/>
      <w:sz w:val="16"/>
      <w:szCs w:val="16"/>
      <w:lang w:val="en-US"/>
    </w:rPr>
  </w:style>
  <w:style w:type="paragraph" w:customStyle="1" w:styleId="xl186">
    <w:name w:val="xl186"/>
    <w:basedOn w:val="a"/>
    <w:rsid w:val="00D86212"/>
    <w:pPr>
      <w:pBdr>
        <w:top w:val="single" w:sz="8" w:space="0" w:color="auto"/>
      </w:pBdr>
      <w:spacing w:before="100" w:beforeAutospacing="1" w:after="100" w:afterAutospacing="1" w:line="240" w:lineRule="auto"/>
      <w:jc w:val="center"/>
      <w:textAlignment w:val="center"/>
    </w:pPr>
    <w:rPr>
      <w:rFonts w:eastAsia="Times New Roman" w:cs="Times New Roman"/>
      <w:b/>
      <w:bCs/>
      <w:i/>
      <w:iCs/>
      <w:sz w:val="16"/>
      <w:szCs w:val="16"/>
      <w:lang w:val="en-US"/>
    </w:rPr>
  </w:style>
  <w:style w:type="paragraph" w:customStyle="1" w:styleId="xl187">
    <w:name w:val="xl187"/>
    <w:basedOn w:val="a"/>
    <w:rsid w:val="00D86212"/>
    <w:pPr>
      <w:pBdr>
        <w:top w:val="single" w:sz="8" w:space="0" w:color="auto"/>
        <w:left w:val="single" w:sz="4" w:space="0" w:color="auto"/>
      </w:pBdr>
      <w:shd w:val="clear" w:color="000000" w:fill="F2F2F2"/>
      <w:spacing w:before="100" w:beforeAutospacing="1" w:after="100" w:afterAutospacing="1" w:line="240" w:lineRule="auto"/>
      <w:jc w:val="center"/>
      <w:textAlignment w:val="center"/>
    </w:pPr>
    <w:rPr>
      <w:rFonts w:eastAsia="Times New Roman" w:cs="Times New Roman"/>
      <w:b/>
      <w:bCs/>
      <w:i/>
      <w:iCs/>
      <w:color w:val="000000"/>
      <w:sz w:val="16"/>
      <w:szCs w:val="16"/>
      <w:lang w:val="en-US"/>
    </w:rPr>
  </w:style>
  <w:style w:type="paragraph" w:customStyle="1" w:styleId="xl188">
    <w:name w:val="xl188"/>
    <w:basedOn w:val="a"/>
    <w:rsid w:val="00D86212"/>
    <w:pPr>
      <w:pBdr>
        <w:top w:val="single" w:sz="8" w:space="0" w:color="auto"/>
        <w:left w:val="single" w:sz="8" w:space="0" w:color="auto"/>
      </w:pBdr>
      <w:spacing w:before="100" w:beforeAutospacing="1" w:after="100" w:afterAutospacing="1" w:line="240" w:lineRule="auto"/>
      <w:jc w:val="center"/>
      <w:textAlignment w:val="center"/>
    </w:pPr>
    <w:rPr>
      <w:rFonts w:eastAsia="Times New Roman" w:cs="Times New Roman"/>
      <w:b/>
      <w:bCs/>
      <w:sz w:val="20"/>
      <w:szCs w:val="20"/>
      <w:lang w:val="en-US"/>
    </w:rPr>
  </w:style>
  <w:style w:type="paragraph" w:customStyle="1" w:styleId="xl189">
    <w:name w:val="xl189"/>
    <w:basedOn w:val="a"/>
    <w:rsid w:val="00D86212"/>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190">
    <w:name w:val="xl190"/>
    <w:basedOn w:val="a"/>
    <w:rsid w:val="00D86212"/>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top"/>
    </w:pPr>
    <w:rPr>
      <w:rFonts w:eastAsia="Times New Roman" w:cs="Times New Roman"/>
      <w:color w:val="FF0000"/>
      <w:sz w:val="18"/>
      <w:szCs w:val="18"/>
      <w:lang w:val="en-US"/>
    </w:rPr>
  </w:style>
  <w:style w:type="paragraph" w:customStyle="1" w:styleId="xl191">
    <w:name w:val="xl191"/>
    <w:basedOn w:val="a"/>
    <w:rsid w:val="00D8621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i/>
      <w:iCs/>
      <w:color w:val="FF0000"/>
      <w:sz w:val="18"/>
      <w:szCs w:val="18"/>
      <w:lang w:val="en-US"/>
    </w:rPr>
  </w:style>
  <w:style w:type="paragraph" w:customStyle="1" w:styleId="xl192">
    <w:name w:val="xl192"/>
    <w:basedOn w:val="a"/>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color w:val="FF0000"/>
      <w:sz w:val="18"/>
      <w:szCs w:val="18"/>
      <w:lang w:val="en-US"/>
    </w:rPr>
  </w:style>
  <w:style w:type="paragraph" w:customStyle="1" w:styleId="xl193">
    <w:name w:val="xl193"/>
    <w:basedOn w:val="a"/>
    <w:rsid w:val="00D862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color w:val="FF0000"/>
      <w:sz w:val="18"/>
      <w:szCs w:val="18"/>
      <w:lang w:val="en-US"/>
    </w:rPr>
  </w:style>
  <w:style w:type="paragraph" w:customStyle="1" w:styleId="xl194">
    <w:name w:val="xl194"/>
    <w:basedOn w:val="a"/>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color w:val="FF0000"/>
      <w:sz w:val="18"/>
      <w:szCs w:val="18"/>
      <w:lang w:val="en-US"/>
    </w:rPr>
  </w:style>
  <w:style w:type="paragraph" w:customStyle="1" w:styleId="xl195">
    <w:name w:val="xl195"/>
    <w:basedOn w:val="a"/>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i/>
      <w:iCs/>
      <w:color w:val="FF0000"/>
      <w:sz w:val="24"/>
      <w:szCs w:val="24"/>
      <w:lang w:val="en-US"/>
    </w:rPr>
  </w:style>
  <w:style w:type="paragraph" w:customStyle="1" w:styleId="xl196">
    <w:name w:val="xl196"/>
    <w:basedOn w:val="a"/>
    <w:rsid w:val="00D86212"/>
    <w:pPr>
      <w:pBdr>
        <w:top w:val="single" w:sz="4" w:space="0" w:color="auto"/>
        <w:left w:val="single" w:sz="4" w:space="0" w:color="auto"/>
        <w:bottom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color w:val="FF0000"/>
      <w:sz w:val="24"/>
      <w:szCs w:val="24"/>
      <w:lang w:val="en-US"/>
    </w:rPr>
  </w:style>
  <w:style w:type="paragraph" w:customStyle="1" w:styleId="xl197">
    <w:name w:val="xl197"/>
    <w:basedOn w:val="a"/>
    <w:rsid w:val="00D86212"/>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top"/>
    </w:pPr>
    <w:rPr>
      <w:rFonts w:eastAsia="Times New Roman" w:cs="Times New Roman"/>
      <w:i/>
      <w:iCs/>
      <w:color w:val="FF0000"/>
      <w:sz w:val="18"/>
      <w:szCs w:val="18"/>
      <w:lang w:val="en-US"/>
    </w:rPr>
  </w:style>
  <w:style w:type="paragraph" w:customStyle="1" w:styleId="xl198">
    <w:name w:val="xl198"/>
    <w:basedOn w:val="a"/>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i/>
      <w:iCs/>
      <w:color w:val="FF0000"/>
      <w:sz w:val="18"/>
      <w:szCs w:val="18"/>
      <w:lang w:val="en-US"/>
    </w:rPr>
  </w:style>
  <w:style w:type="paragraph" w:customStyle="1" w:styleId="xl199">
    <w:name w:val="xl199"/>
    <w:basedOn w:val="a"/>
    <w:rsid w:val="00D862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b/>
      <w:bCs/>
      <w:color w:val="FF0000"/>
      <w:sz w:val="18"/>
      <w:szCs w:val="18"/>
      <w:lang w:val="en-US"/>
    </w:rPr>
  </w:style>
  <w:style w:type="paragraph" w:customStyle="1" w:styleId="xl200">
    <w:name w:val="xl200"/>
    <w:basedOn w:val="a"/>
    <w:rsid w:val="00D862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color w:val="FF0000"/>
      <w:sz w:val="18"/>
      <w:szCs w:val="18"/>
      <w:lang w:val="en-US"/>
    </w:rPr>
  </w:style>
  <w:style w:type="paragraph" w:customStyle="1" w:styleId="xl201">
    <w:name w:val="xl201"/>
    <w:basedOn w:val="a"/>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color w:val="FF0000"/>
      <w:sz w:val="18"/>
      <w:szCs w:val="18"/>
      <w:lang w:val="en-US"/>
    </w:rPr>
  </w:style>
  <w:style w:type="paragraph" w:customStyle="1" w:styleId="xl202">
    <w:name w:val="xl202"/>
    <w:basedOn w:val="a"/>
    <w:rsid w:val="00D86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color w:val="FF0000"/>
      <w:sz w:val="18"/>
      <w:szCs w:val="18"/>
      <w:lang w:val="en-US"/>
    </w:rPr>
  </w:style>
  <w:style w:type="paragraph" w:customStyle="1" w:styleId="xl203">
    <w:name w:val="xl203"/>
    <w:basedOn w:val="a"/>
    <w:rsid w:val="00D862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left"/>
      <w:textAlignment w:val="top"/>
    </w:pPr>
    <w:rPr>
      <w:rFonts w:eastAsia="Times New Roman" w:cs="Times New Roman"/>
      <w:color w:val="FF0000"/>
      <w:sz w:val="20"/>
      <w:szCs w:val="20"/>
      <w:lang w:val="en-US"/>
    </w:rPr>
  </w:style>
  <w:style w:type="paragraph" w:customStyle="1" w:styleId="xl204">
    <w:name w:val="xl204"/>
    <w:basedOn w:val="a"/>
    <w:rsid w:val="00D86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color w:val="FF0000"/>
      <w:sz w:val="20"/>
      <w:szCs w:val="20"/>
      <w:lang w:val="en-US"/>
    </w:rPr>
  </w:style>
  <w:style w:type="paragraph" w:customStyle="1" w:styleId="xl205">
    <w:name w:val="xl205"/>
    <w:basedOn w:val="a"/>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color w:val="FF0000"/>
      <w:sz w:val="20"/>
      <w:szCs w:val="20"/>
      <w:lang w:val="en-US"/>
    </w:rPr>
  </w:style>
  <w:style w:type="paragraph" w:customStyle="1" w:styleId="xl206">
    <w:name w:val="xl206"/>
    <w:basedOn w:val="a"/>
    <w:rsid w:val="00D86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color w:val="FF0000"/>
      <w:sz w:val="18"/>
      <w:szCs w:val="18"/>
      <w:lang w:val="en-US"/>
    </w:rPr>
  </w:style>
  <w:style w:type="paragraph" w:customStyle="1" w:styleId="xl207">
    <w:name w:val="xl207"/>
    <w:basedOn w:val="a"/>
    <w:rsid w:val="00D86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b/>
      <w:bCs/>
      <w:color w:val="FF0000"/>
      <w:sz w:val="18"/>
      <w:szCs w:val="18"/>
      <w:lang w:val="en-US"/>
    </w:rPr>
  </w:style>
  <w:style w:type="paragraph" w:customStyle="1" w:styleId="xl208">
    <w:name w:val="xl208"/>
    <w:basedOn w:val="a"/>
    <w:rsid w:val="00D86212"/>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top"/>
    </w:pPr>
    <w:rPr>
      <w:rFonts w:eastAsia="Times New Roman" w:cs="Times New Roman"/>
      <w:i/>
      <w:iCs/>
      <w:color w:val="FF0000"/>
      <w:sz w:val="20"/>
      <w:szCs w:val="20"/>
      <w:lang w:val="en-US"/>
    </w:rPr>
  </w:style>
  <w:style w:type="paragraph" w:customStyle="1" w:styleId="xl209">
    <w:name w:val="xl209"/>
    <w:basedOn w:val="a"/>
    <w:rsid w:val="00D862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b/>
      <w:bCs/>
      <w:color w:val="FF0000"/>
      <w:sz w:val="18"/>
      <w:szCs w:val="18"/>
      <w:lang w:val="en-US"/>
    </w:rPr>
  </w:style>
  <w:style w:type="paragraph" w:customStyle="1" w:styleId="xl210">
    <w:name w:val="xl210"/>
    <w:basedOn w:val="a"/>
    <w:rsid w:val="00D8621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i/>
      <w:iCs/>
      <w:color w:val="000000"/>
      <w:sz w:val="24"/>
      <w:szCs w:val="24"/>
      <w:lang w:val="en-US"/>
    </w:rPr>
  </w:style>
  <w:style w:type="paragraph" w:customStyle="1" w:styleId="xl211">
    <w:name w:val="xl211"/>
    <w:basedOn w:val="a"/>
    <w:rsid w:val="00D8621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i/>
      <w:iCs/>
      <w:sz w:val="24"/>
      <w:szCs w:val="24"/>
      <w:lang w:val="en-US"/>
    </w:rPr>
  </w:style>
  <w:style w:type="paragraph" w:customStyle="1" w:styleId="xl212">
    <w:name w:val="xl212"/>
    <w:basedOn w:val="a"/>
    <w:rsid w:val="00D8621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 w:val="24"/>
      <w:szCs w:val="24"/>
      <w:lang w:val="en-US"/>
    </w:rPr>
  </w:style>
  <w:style w:type="paragraph" w:customStyle="1" w:styleId="xl213">
    <w:name w:val="xl213"/>
    <w:basedOn w:val="a"/>
    <w:rsid w:val="00D8621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color w:val="FF0000"/>
      <w:sz w:val="24"/>
      <w:szCs w:val="24"/>
      <w:lang w:val="en-US"/>
    </w:rPr>
  </w:style>
  <w:style w:type="paragraph" w:customStyle="1" w:styleId="xl214">
    <w:name w:val="xl214"/>
    <w:basedOn w:val="a"/>
    <w:rsid w:val="00D86212"/>
    <w:pPr>
      <w:pBdr>
        <w:top w:val="single" w:sz="4" w:space="0" w:color="auto"/>
        <w:bottom w:val="single" w:sz="4" w:space="0" w:color="auto"/>
      </w:pBdr>
      <w:shd w:val="clear" w:color="000000" w:fill="F2F2F2"/>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215">
    <w:name w:val="xl215"/>
    <w:basedOn w:val="a"/>
    <w:rsid w:val="00D86212"/>
    <w:pPr>
      <w:pBdr>
        <w:top w:val="single" w:sz="4" w:space="0" w:color="auto"/>
      </w:pBdr>
      <w:shd w:val="clear" w:color="000000" w:fill="F2F2F2"/>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216">
    <w:name w:val="xl216"/>
    <w:basedOn w:val="a"/>
    <w:rsid w:val="00D8621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i/>
      <w:iCs/>
      <w:sz w:val="24"/>
      <w:szCs w:val="24"/>
      <w:lang w:val="en-US"/>
    </w:rPr>
  </w:style>
  <w:style w:type="paragraph" w:customStyle="1" w:styleId="xl217">
    <w:name w:val="xl217"/>
    <w:basedOn w:val="a"/>
    <w:rsid w:val="00D8621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top"/>
    </w:pPr>
    <w:rPr>
      <w:rFonts w:eastAsia="Times New Roman" w:cs="Times New Roman"/>
      <w:b/>
      <w:bCs/>
      <w:i/>
      <w:iCs/>
      <w:sz w:val="24"/>
      <w:szCs w:val="24"/>
      <w:lang w:val="en-US"/>
    </w:rPr>
  </w:style>
  <w:style w:type="paragraph" w:customStyle="1" w:styleId="xl218">
    <w:name w:val="xl218"/>
    <w:basedOn w:val="a"/>
    <w:rsid w:val="00D86212"/>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top"/>
    </w:pPr>
    <w:rPr>
      <w:rFonts w:eastAsia="Times New Roman" w:cs="Times New Roman"/>
      <w:i/>
      <w:iCs/>
      <w:sz w:val="18"/>
      <w:szCs w:val="18"/>
      <w:lang w:val="en-US"/>
    </w:rPr>
  </w:style>
  <w:style w:type="paragraph" w:customStyle="1" w:styleId="xl219">
    <w:name w:val="xl219"/>
    <w:basedOn w:val="a"/>
    <w:rsid w:val="00D86212"/>
    <w:pPr>
      <w:pBdr>
        <w:left w:val="single" w:sz="8"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220">
    <w:name w:val="xl220"/>
    <w:basedOn w:val="a"/>
    <w:rsid w:val="00D86212"/>
    <w:pPr>
      <w:pBdr>
        <w:top w:val="single" w:sz="4" w:space="0" w:color="auto"/>
        <w:left w:val="single" w:sz="8" w:space="0" w:color="auto"/>
        <w:bottom w:val="single" w:sz="4" w:space="0" w:color="auto"/>
      </w:pBdr>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221">
    <w:name w:val="xl221"/>
    <w:basedOn w:val="a"/>
    <w:rsid w:val="00D8621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222">
    <w:name w:val="xl222"/>
    <w:basedOn w:val="a"/>
    <w:rsid w:val="00D86212"/>
    <w:pPr>
      <w:pBdr>
        <w:top w:val="single" w:sz="4" w:space="0" w:color="auto"/>
        <w:bottom w:val="single" w:sz="4" w:space="0" w:color="auto"/>
        <w:right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sz w:val="24"/>
      <w:szCs w:val="24"/>
      <w:lang w:val="en-US"/>
    </w:rPr>
  </w:style>
  <w:style w:type="paragraph" w:customStyle="1" w:styleId="xl223">
    <w:name w:val="xl223"/>
    <w:basedOn w:val="a"/>
    <w:rsid w:val="00D8621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24"/>
      <w:szCs w:val="24"/>
      <w:lang w:val="en-US"/>
    </w:rPr>
  </w:style>
  <w:style w:type="paragraph" w:customStyle="1" w:styleId="xl224">
    <w:name w:val="xl224"/>
    <w:basedOn w:val="a"/>
    <w:rsid w:val="00D8621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sz w:val="24"/>
      <w:szCs w:val="24"/>
      <w:lang w:val="en-US"/>
    </w:rPr>
  </w:style>
  <w:style w:type="paragraph" w:customStyle="1" w:styleId="xl225">
    <w:name w:val="xl225"/>
    <w:basedOn w:val="a"/>
    <w:rsid w:val="00D8621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226">
    <w:name w:val="xl226"/>
    <w:basedOn w:val="a"/>
    <w:rsid w:val="00D86212"/>
    <w:pPr>
      <w:pBdr>
        <w:bottom w:val="single" w:sz="4" w:space="0" w:color="auto"/>
      </w:pBdr>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227">
    <w:name w:val="xl227"/>
    <w:basedOn w:val="a"/>
    <w:rsid w:val="00D86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sz w:val="20"/>
      <w:szCs w:val="20"/>
      <w:lang w:val="en-US"/>
    </w:rPr>
  </w:style>
  <w:style w:type="paragraph" w:customStyle="1" w:styleId="xl228">
    <w:name w:val="xl228"/>
    <w:basedOn w:val="a"/>
    <w:rsid w:val="00D8621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229">
    <w:name w:val="xl229"/>
    <w:basedOn w:val="a"/>
    <w:rsid w:val="00D86212"/>
    <w:pPr>
      <w:pBdr>
        <w:top w:val="single" w:sz="4" w:space="0" w:color="auto"/>
        <w:bottom w:val="single" w:sz="4" w:space="0" w:color="auto"/>
      </w:pBdr>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230">
    <w:name w:val="xl230"/>
    <w:basedOn w:val="a"/>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i/>
      <w:iCs/>
      <w:sz w:val="18"/>
      <w:szCs w:val="18"/>
      <w:lang w:val="en-US"/>
    </w:rPr>
  </w:style>
  <w:style w:type="paragraph" w:customStyle="1" w:styleId="xl231">
    <w:name w:val="xl231"/>
    <w:basedOn w:val="a"/>
    <w:rsid w:val="00D8621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i/>
      <w:iCs/>
      <w:sz w:val="18"/>
      <w:szCs w:val="18"/>
      <w:lang w:val="en-US"/>
    </w:rPr>
  </w:style>
  <w:style w:type="paragraph" w:customStyle="1" w:styleId="xl232">
    <w:name w:val="xl232"/>
    <w:basedOn w:val="a"/>
    <w:rsid w:val="00D86212"/>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top"/>
    </w:pPr>
    <w:rPr>
      <w:rFonts w:eastAsia="Times New Roman" w:cs="Times New Roman"/>
      <w:b/>
      <w:bCs/>
      <w:sz w:val="24"/>
      <w:szCs w:val="24"/>
      <w:lang w:val="en-US"/>
    </w:rPr>
  </w:style>
  <w:style w:type="paragraph" w:customStyle="1" w:styleId="xl233">
    <w:name w:val="xl233"/>
    <w:basedOn w:val="a"/>
    <w:rsid w:val="00D86212"/>
    <w:pPr>
      <w:pBdr>
        <w:top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234">
    <w:name w:val="xl234"/>
    <w:basedOn w:val="a"/>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sz w:val="20"/>
      <w:szCs w:val="20"/>
      <w:lang w:val="en-US"/>
    </w:rPr>
  </w:style>
  <w:style w:type="paragraph" w:customStyle="1" w:styleId="xl235">
    <w:name w:val="xl235"/>
    <w:basedOn w:val="a"/>
    <w:rsid w:val="00D86212"/>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236">
    <w:name w:val="xl236"/>
    <w:basedOn w:val="a"/>
    <w:rsid w:val="00D86212"/>
    <w:pPr>
      <w:pBdr>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237">
    <w:name w:val="xl237"/>
    <w:basedOn w:val="a"/>
    <w:rsid w:val="00D8621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238">
    <w:name w:val="xl238"/>
    <w:basedOn w:val="a"/>
    <w:rsid w:val="00D86212"/>
    <w:pPr>
      <w:pBdr>
        <w:bottom w:val="single" w:sz="4" w:space="0" w:color="auto"/>
      </w:pBdr>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239">
    <w:name w:val="xl239"/>
    <w:basedOn w:val="a"/>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240">
    <w:name w:val="xl240"/>
    <w:basedOn w:val="a"/>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241">
    <w:name w:val="xl241"/>
    <w:basedOn w:val="a"/>
    <w:rsid w:val="00D8621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242">
    <w:name w:val="xl242"/>
    <w:basedOn w:val="a"/>
    <w:rsid w:val="00D86212"/>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243">
    <w:name w:val="xl243"/>
    <w:basedOn w:val="a"/>
    <w:rsid w:val="00D8621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244">
    <w:name w:val="xl244"/>
    <w:basedOn w:val="a"/>
    <w:rsid w:val="00D8621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245">
    <w:name w:val="xl245"/>
    <w:basedOn w:val="a"/>
    <w:rsid w:val="00D8621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246">
    <w:name w:val="xl246"/>
    <w:basedOn w:val="a"/>
    <w:rsid w:val="00D86212"/>
    <w:pPr>
      <w:pBdr>
        <w:top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24"/>
      <w:szCs w:val="24"/>
      <w:lang w:val="en-US"/>
    </w:rPr>
  </w:style>
  <w:style w:type="paragraph" w:customStyle="1" w:styleId="xl247">
    <w:name w:val="xl247"/>
    <w:basedOn w:val="a"/>
    <w:rsid w:val="00D8621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sz w:val="24"/>
      <w:szCs w:val="24"/>
      <w:lang w:val="en-US"/>
    </w:rPr>
  </w:style>
  <w:style w:type="paragraph" w:customStyle="1" w:styleId="xl248">
    <w:name w:val="xl248"/>
    <w:basedOn w:val="a"/>
    <w:rsid w:val="00D8621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24"/>
      <w:szCs w:val="24"/>
      <w:lang w:val="en-US"/>
    </w:rPr>
  </w:style>
  <w:style w:type="paragraph" w:customStyle="1" w:styleId="xl249">
    <w:name w:val="xl249"/>
    <w:basedOn w:val="a"/>
    <w:rsid w:val="00D86212"/>
    <w:pPr>
      <w:pBdr>
        <w:top w:val="single" w:sz="4" w:space="0" w:color="auto"/>
        <w:left w:val="single" w:sz="4" w:space="0" w:color="auto"/>
        <w:bottom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24"/>
      <w:szCs w:val="24"/>
      <w:lang w:val="en-US"/>
    </w:rPr>
  </w:style>
  <w:style w:type="paragraph" w:customStyle="1" w:styleId="xl250">
    <w:name w:val="xl250"/>
    <w:basedOn w:val="a"/>
    <w:rsid w:val="00D86212"/>
    <w:pPr>
      <w:pBdr>
        <w:top w:val="single" w:sz="4" w:space="0" w:color="auto"/>
        <w:left w:val="single" w:sz="8" w:space="0" w:color="auto"/>
        <w:bottom w:val="single" w:sz="4" w:space="0" w:color="auto"/>
      </w:pBdr>
      <w:shd w:val="clear" w:color="000000" w:fill="F2F2F2"/>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251">
    <w:name w:val="xl251"/>
    <w:basedOn w:val="a"/>
    <w:rsid w:val="00D862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252">
    <w:name w:val="xl252"/>
    <w:basedOn w:val="a"/>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b/>
      <w:bCs/>
      <w:sz w:val="18"/>
      <w:szCs w:val="18"/>
      <w:lang w:val="en-US"/>
    </w:rPr>
  </w:style>
  <w:style w:type="paragraph" w:customStyle="1" w:styleId="xl253">
    <w:name w:val="xl253"/>
    <w:basedOn w:val="a"/>
    <w:rsid w:val="00D8621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sz w:val="24"/>
      <w:szCs w:val="24"/>
      <w:lang w:val="en-US"/>
    </w:rPr>
  </w:style>
  <w:style w:type="paragraph" w:customStyle="1" w:styleId="xl254">
    <w:name w:val="xl254"/>
    <w:basedOn w:val="a"/>
    <w:rsid w:val="00D862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left"/>
      <w:textAlignment w:val="top"/>
    </w:pPr>
    <w:rPr>
      <w:rFonts w:eastAsia="Times New Roman" w:cs="Times New Roman"/>
      <w:sz w:val="20"/>
      <w:szCs w:val="20"/>
      <w:lang w:val="en-US"/>
    </w:rPr>
  </w:style>
  <w:style w:type="paragraph" w:customStyle="1" w:styleId="xl255">
    <w:name w:val="xl255"/>
    <w:basedOn w:val="a"/>
    <w:rsid w:val="00D86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sz w:val="20"/>
      <w:szCs w:val="20"/>
      <w:lang w:val="en-US"/>
    </w:rPr>
  </w:style>
  <w:style w:type="paragraph" w:customStyle="1" w:styleId="xl256">
    <w:name w:val="xl256"/>
    <w:basedOn w:val="a"/>
    <w:rsid w:val="00D86212"/>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top"/>
    </w:pPr>
    <w:rPr>
      <w:rFonts w:eastAsia="Times New Roman" w:cs="Times New Roman"/>
      <w:i/>
      <w:iCs/>
      <w:sz w:val="20"/>
      <w:szCs w:val="20"/>
      <w:lang w:val="en-US"/>
    </w:rPr>
  </w:style>
  <w:style w:type="paragraph" w:customStyle="1" w:styleId="xl257">
    <w:name w:val="xl257"/>
    <w:basedOn w:val="a"/>
    <w:rsid w:val="00D862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color w:val="000000"/>
      <w:sz w:val="18"/>
      <w:szCs w:val="18"/>
      <w:lang w:val="en-US"/>
    </w:rPr>
  </w:style>
  <w:style w:type="paragraph" w:customStyle="1" w:styleId="xl258">
    <w:name w:val="xl258"/>
    <w:basedOn w:val="a"/>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20"/>
      <w:szCs w:val="20"/>
      <w:lang w:val="en-US"/>
    </w:rPr>
  </w:style>
  <w:style w:type="paragraph" w:customStyle="1" w:styleId="xl259">
    <w:name w:val="xl259"/>
    <w:basedOn w:val="a"/>
    <w:rsid w:val="00D86212"/>
    <w:pPr>
      <w:pBdr>
        <w:top w:val="single" w:sz="4" w:space="0" w:color="auto"/>
        <w:bottom w:val="single" w:sz="4" w:space="0" w:color="auto"/>
        <w:right w:val="single" w:sz="4" w:space="0" w:color="auto"/>
      </w:pBdr>
      <w:shd w:val="clear" w:color="000000" w:fill="DDEBF7"/>
      <w:spacing w:before="100" w:beforeAutospacing="1" w:after="100" w:afterAutospacing="1" w:line="240" w:lineRule="auto"/>
      <w:jc w:val="right"/>
      <w:textAlignment w:val="top"/>
    </w:pPr>
    <w:rPr>
      <w:rFonts w:eastAsia="Times New Roman" w:cs="Times New Roman"/>
      <w:b/>
      <w:bCs/>
      <w:sz w:val="18"/>
      <w:szCs w:val="18"/>
      <w:lang w:val="en-US"/>
    </w:rPr>
  </w:style>
  <w:style w:type="paragraph" w:customStyle="1" w:styleId="xl260">
    <w:name w:val="xl260"/>
    <w:basedOn w:val="a"/>
    <w:rsid w:val="00D86212"/>
    <w:pPr>
      <w:pBdr>
        <w:top w:val="single" w:sz="4" w:space="0" w:color="auto"/>
        <w:left w:val="single" w:sz="4" w:space="0" w:color="auto"/>
        <w:bottom w:val="single" w:sz="4" w:space="0" w:color="auto"/>
      </w:pBdr>
      <w:shd w:val="clear" w:color="000000" w:fill="DDEBF7"/>
      <w:spacing w:before="100" w:beforeAutospacing="1" w:after="100" w:afterAutospacing="1" w:line="240" w:lineRule="auto"/>
      <w:jc w:val="center"/>
      <w:textAlignment w:val="top"/>
    </w:pPr>
    <w:rPr>
      <w:rFonts w:eastAsia="Times New Roman" w:cs="Times New Roman"/>
      <w:i/>
      <w:iCs/>
      <w:sz w:val="24"/>
      <w:szCs w:val="24"/>
      <w:lang w:val="en-US"/>
    </w:rPr>
  </w:style>
  <w:style w:type="paragraph" w:customStyle="1" w:styleId="xl261">
    <w:name w:val="xl261"/>
    <w:basedOn w:val="a"/>
    <w:rsid w:val="00D86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262">
    <w:name w:val="xl262"/>
    <w:basedOn w:val="a"/>
    <w:rsid w:val="00D86212"/>
    <w:pPr>
      <w:pBdr>
        <w:top w:val="single" w:sz="4" w:space="0" w:color="auto"/>
        <w:bottom w:val="single" w:sz="4" w:space="0" w:color="auto"/>
        <w:right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sz w:val="18"/>
      <w:szCs w:val="18"/>
      <w:lang w:val="en-US"/>
    </w:rPr>
  </w:style>
  <w:style w:type="paragraph" w:customStyle="1" w:styleId="xl263">
    <w:name w:val="xl263"/>
    <w:basedOn w:val="a"/>
    <w:rsid w:val="00D86212"/>
    <w:pPr>
      <w:pBdr>
        <w:top w:val="single" w:sz="4" w:space="0" w:color="auto"/>
        <w:left w:val="single" w:sz="4" w:space="0" w:color="auto"/>
        <w:bottom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20"/>
      <w:szCs w:val="20"/>
      <w:lang w:val="en-US"/>
    </w:rPr>
  </w:style>
  <w:style w:type="paragraph" w:customStyle="1" w:styleId="xl264">
    <w:name w:val="xl264"/>
    <w:basedOn w:val="a"/>
    <w:rsid w:val="00D86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265">
    <w:name w:val="xl265"/>
    <w:basedOn w:val="a"/>
    <w:rsid w:val="00D8621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266">
    <w:name w:val="xl266"/>
    <w:basedOn w:val="a"/>
    <w:rsid w:val="00D86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267">
    <w:name w:val="xl267"/>
    <w:basedOn w:val="a"/>
    <w:rsid w:val="00D8621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268">
    <w:name w:val="xl268"/>
    <w:basedOn w:val="a"/>
    <w:rsid w:val="00D86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269">
    <w:name w:val="xl269"/>
    <w:basedOn w:val="a"/>
    <w:rsid w:val="00D8621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sz w:val="24"/>
      <w:szCs w:val="24"/>
      <w:lang w:val="en-US"/>
    </w:rPr>
  </w:style>
  <w:style w:type="paragraph" w:customStyle="1" w:styleId="xl270">
    <w:name w:val="xl270"/>
    <w:basedOn w:val="a"/>
    <w:rsid w:val="00D8621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sz w:val="24"/>
      <w:szCs w:val="24"/>
      <w:lang w:val="en-US"/>
    </w:rPr>
  </w:style>
  <w:style w:type="paragraph" w:customStyle="1" w:styleId="xl271">
    <w:name w:val="xl271"/>
    <w:basedOn w:val="a"/>
    <w:rsid w:val="00D86212"/>
    <w:pPr>
      <w:pBdr>
        <w:top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color w:val="000000"/>
      <w:sz w:val="20"/>
      <w:szCs w:val="20"/>
      <w:lang w:val="en-US"/>
    </w:rPr>
  </w:style>
  <w:style w:type="paragraph" w:customStyle="1" w:styleId="xl272">
    <w:name w:val="xl272"/>
    <w:basedOn w:val="a"/>
    <w:rsid w:val="00D86212"/>
    <w:pPr>
      <w:spacing w:before="100" w:beforeAutospacing="1" w:after="100" w:afterAutospacing="1" w:line="240" w:lineRule="auto"/>
      <w:jc w:val="center"/>
      <w:textAlignment w:val="center"/>
    </w:pPr>
    <w:rPr>
      <w:rFonts w:eastAsia="Times New Roman" w:cs="Times New Roman"/>
      <w:b/>
      <w:bCs/>
      <w:color w:val="000000"/>
      <w:sz w:val="20"/>
      <w:szCs w:val="20"/>
      <w:lang w:val="en-US"/>
    </w:rPr>
  </w:style>
  <w:style w:type="paragraph" w:customStyle="1" w:styleId="xl273">
    <w:name w:val="xl273"/>
    <w:basedOn w:val="a"/>
    <w:rsid w:val="00D86212"/>
    <w:pPr>
      <w:pBdr>
        <w:top w:val="single" w:sz="4" w:space="0" w:color="auto"/>
        <w:left w:val="single" w:sz="8" w:space="0" w:color="auto"/>
        <w:bottom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sz w:val="24"/>
      <w:szCs w:val="24"/>
      <w:lang w:val="en-US"/>
    </w:rPr>
  </w:style>
  <w:style w:type="paragraph" w:customStyle="1" w:styleId="xl274">
    <w:name w:val="xl274"/>
    <w:basedOn w:val="a"/>
    <w:rsid w:val="00D86212"/>
    <w:pPr>
      <w:pBdr>
        <w:top w:val="single" w:sz="4" w:space="0" w:color="auto"/>
        <w:bottom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sz w:val="24"/>
      <w:szCs w:val="24"/>
      <w:lang w:val="en-US"/>
    </w:rPr>
  </w:style>
  <w:style w:type="paragraph" w:customStyle="1" w:styleId="xl275">
    <w:name w:val="xl275"/>
    <w:basedOn w:val="a"/>
    <w:rsid w:val="00D8621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sz w:val="24"/>
      <w:szCs w:val="24"/>
      <w:lang w:val="en-US"/>
    </w:rPr>
  </w:style>
  <w:style w:type="paragraph" w:customStyle="1" w:styleId="xl276">
    <w:name w:val="xl276"/>
    <w:basedOn w:val="a"/>
    <w:rsid w:val="00D8621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sz w:val="24"/>
      <w:szCs w:val="24"/>
      <w:lang w:val="en-US"/>
    </w:rPr>
  </w:style>
  <w:style w:type="paragraph" w:customStyle="1" w:styleId="xl277">
    <w:name w:val="xl277"/>
    <w:basedOn w:val="a"/>
    <w:rsid w:val="00D86212"/>
    <w:pPr>
      <w:pBdr>
        <w:top w:val="single" w:sz="4" w:space="0" w:color="auto"/>
        <w:left w:val="single" w:sz="8" w:space="0" w:color="auto"/>
        <w:bottom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sz w:val="24"/>
      <w:szCs w:val="24"/>
      <w:lang w:val="en-US"/>
    </w:rPr>
  </w:style>
  <w:style w:type="paragraph" w:customStyle="1" w:styleId="xl278">
    <w:name w:val="xl278"/>
    <w:basedOn w:val="a"/>
    <w:rsid w:val="00D86212"/>
    <w:pPr>
      <w:pBdr>
        <w:top w:val="single" w:sz="4" w:space="0" w:color="auto"/>
        <w:bottom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sz w:val="24"/>
      <w:szCs w:val="24"/>
      <w:lang w:val="en-US"/>
    </w:rPr>
  </w:style>
  <w:style w:type="paragraph" w:customStyle="1" w:styleId="xl279">
    <w:name w:val="xl279"/>
    <w:basedOn w:val="a"/>
    <w:rsid w:val="00D86212"/>
    <w:pPr>
      <w:pBdr>
        <w:top w:val="single" w:sz="4" w:space="0" w:color="auto"/>
        <w:left w:val="single" w:sz="8" w:space="0" w:color="auto"/>
        <w:bottom w:val="single" w:sz="4" w:space="0" w:color="auto"/>
        <w:right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sz w:val="24"/>
      <w:szCs w:val="24"/>
      <w:lang w:val="en-US"/>
    </w:rPr>
  </w:style>
  <w:style w:type="paragraph" w:customStyle="1" w:styleId="xl280">
    <w:name w:val="xl280"/>
    <w:basedOn w:val="a"/>
    <w:rsid w:val="00D86212"/>
    <w:pPr>
      <w:pBdr>
        <w:top w:val="single" w:sz="4" w:space="0" w:color="auto"/>
        <w:bottom w:val="single" w:sz="4" w:space="0" w:color="auto"/>
        <w:right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color w:val="000000"/>
      <w:sz w:val="24"/>
      <w:szCs w:val="24"/>
      <w:lang w:val="en-US"/>
    </w:rPr>
  </w:style>
  <w:style w:type="paragraph" w:customStyle="1" w:styleId="xl281">
    <w:name w:val="xl281"/>
    <w:basedOn w:val="a"/>
    <w:rsid w:val="00D8621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color w:val="000000"/>
      <w:sz w:val="24"/>
      <w:szCs w:val="24"/>
      <w:lang w:val="en-US"/>
    </w:rPr>
  </w:style>
  <w:style w:type="table" w:customStyle="1" w:styleId="GridTable1Light22">
    <w:name w:val="Grid Table 1 Light22"/>
    <w:basedOn w:val="a1"/>
    <w:next w:val="-1"/>
    <w:uiPriority w:val="46"/>
    <w:rsid w:val="00CB76B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9">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Обычный (веб)1 Знак,Текст сноски1 Знак"/>
    <w:basedOn w:val="a0"/>
    <w:link w:val="a8"/>
    <w:uiPriority w:val="99"/>
    <w:locked/>
    <w:rsid w:val="00C56888"/>
    <w:rPr>
      <w:rFonts w:ascii="Times New Roman" w:hAnsi="Times New Roman" w:cs="Times New Roman"/>
      <w:sz w:val="24"/>
      <w:szCs w:val="24"/>
      <w:lang w:val="en-GB"/>
    </w:rPr>
  </w:style>
  <w:style w:type="paragraph" w:styleId="af3">
    <w:name w:val="Balloon Text"/>
    <w:basedOn w:val="a"/>
    <w:link w:val="af4"/>
    <w:uiPriority w:val="99"/>
    <w:semiHidden/>
    <w:unhideWhenUsed/>
    <w:rsid w:val="00D70078"/>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D70078"/>
    <w:rPr>
      <w:rFonts w:ascii="Segoe UI" w:hAnsi="Segoe UI" w:cs="Segoe UI"/>
      <w:sz w:val="18"/>
      <w:szCs w:val="18"/>
      <w:lang w:val="en-GB"/>
    </w:rPr>
  </w:style>
  <w:style w:type="character" w:styleId="af5">
    <w:name w:val="annotation reference"/>
    <w:basedOn w:val="a0"/>
    <w:uiPriority w:val="99"/>
    <w:semiHidden/>
    <w:unhideWhenUsed/>
    <w:rsid w:val="00A053FD"/>
    <w:rPr>
      <w:sz w:val="16"/>
      <w:szCs w:val="16"/>
    </w:rPr>
  </w:style>
  <w:style w:type="paragraph" w:styleId="af6">
    <w:name w:val="annotation text"/>
    <w:basedOn w:val="a"/>
    <w:link w:val="af7"/>
    <w:uiPriority w:val="99"/>
    <w:semiHidden/>
    <w:unhideWhenUsed/>
    <w:rsid w:val="00A053FD"/>
    <w:pPr>
      <w:spacing w:line="240" w:lineRule="auto"/>
    </w:pPr>
    <w:rPr>
      <w:sz w:val="20"/>
      <w:szCs w:val="20"/>
    </w:rPr>
  </w:style>
  <w:style w:type="character" w:customStyle="1" w:styleId="af7">
    <w:name w:val="Текст примечания Знак"/>
    <w:basedOn w:val="a0"/>
    <w:link w:val="af6"/>
    <w:uiPriority w:val="99"/>
    <w:semiHidden/>
    <w:rsid w:val="00A053FD"/>
    <w:rPr>
      <w:rFonts w:ascii="Times New Roman" w:hAnsi="Times New Roman"/>
      <w:sz w:val="20"/>
      <w:szCs w:val="20"/>
      <w:lang w:val="en-GB"/>
    </w:rPr>
  </w:style>
  <w:style w:type="paragraph" w:styleId="af8">
    <w:name w:val="annotation subject"/>
    <w:basedOn w:val="af6"/>
    <w:next w:val="af6"/>
    <w:link w:val="af9"/>
    <w:uiPriority w:val="99"/>
    <w:semiHidden/>
    <w:unhideWhenUsed/>
    <w:rsid w:val="00A053FD"/>
    <w:rPr>
      <w:b/>
      <w:bCs/>
    </w:rPr>
  </w:style>
  <w:style w:type="character" w:customStyle="1" w:styleId="af9">
    <w:name w:val="Тема примечания Знак"/>
    <w:basedOn w:val="af7"/>
    <w:link w:val="af8"/>
    <w:uiPriority w:val="99"/>
    <w:semiHidden/>
    <w:rsid w:val="00A053FD"/>
    <w:rPr>
      <w:rFonts w:ascii="Times New Roman" w:hAnsi="Times New Roman"/>
      <w:b/>
      <w:bCs/>
      <w:sz w:val="20"/>
      <w:szCs w:val="20"/>
      <w:lang w:val="en-GB"/>
    </w:rPr>
  </w:style>
  <w:style w:type="paragraph" w:styleId="afa">
    <w:name w:val="Revision"/>
    <w:hidden/>
    <w:uiPriority w:val="99"/>
    <w:semiHidden/>
    <w:rsid w:val="00642DC1"/>
    <w:pPr>
      <w:spacing w:after="0" w:line="240" w:lineRule="auto"/>
    </w:pPr>
    <w:rPr>
      <w:rFonts w:ascii="Times New Roman" w:hAnsi="Times New Roman"/>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99197">
      <w:bodyDiv w:val="1"/>
      <w:marLeft w:val="0"/>
      <w:marRight w:val="0"/>
      <w:marTop w:val="0"/>
      <w:marBottom w:val="0"/>
      <w:divBdr>
        <w:top w:val="none" w:sz="0" w:space="0" w:color="auto"/>
        <w:left w:val="none" w:sz="0" w:space="0" w:color="auto"/>
        <w:bottom w:val="none" w:sz="0" w:space="0" w:color="auto"/>
        <w:right w:val="none" w:sz="0" w:space="0" w:color="auto"/>
      </w:divBdr>
    </w:div>
    <w:div w:id="135728553">
      <w:bodyDiv w:val="1"/>
      <w:marLeft w:val="0"/>
      <w:marRight w:val="0"/>
      <w:marTop w:val="0"/>
      <w:marBottom w:val="0"/>
      <w:divBdr>
        <w:top w:val="none" w:sz="0" w:space="0" w:color="auto"/>
        <w:left w:val="none" w:sz="0" w:space="0" w:color="auto"/>
        <w:bottom w:val="none" w:sz="0" w:space="0" w:color="auto"/>
        <w:right w:val="none" w:sz="0" w:space="0" w:color="auto"/>
      </w:divBdr>
    </w:div>
    <w:div w:id="263879839">
      <w:bodyDiv w:val="1"/>
      <w:marLeft w:val="0"/>
      <w:marRight w:val="0"/>
      <w:marTop w:val="0"/>
      <w:marBottom w:val="0"/>
      <w:divBdr>
        <w:top w:val="none" w:sz="0" w:space="0" w:color="auto"/>
        <w:left w:val="none" w:sz="0" w:space="0" w:color="auto"/>
        <w:bottom w:val="none" w:sz="0" w:space="0" w:color="auto"/>
        <w:right w:val="none" w:sz="0" w:space="0" w:color="auto"/>
      </w:divBdr>
    </w:div>
    <w:div w:id="304971119">
      <w:bodyDiv w:val="1"/>
      <w:marLeft w:val="0"/>
      <w:marRight w:val="0"/>
      <w:marTop w:val="0"/>
      <w:marBottom w:val="0"/>
      <w:divBdr>
        <w:top w:val="none" w:sz="0" w:space="0" w:color="auto"/>
        <w:left w:val="none" w:sz="0" w:space="0" w:color="auto"/>
        <w:bottom w:val="none" w:sz="0" w:space="0" w:color="auto"/>
        <w:right w:val="none" w:sz="0" w:space="0" w:color="auto"/>
      </w:divBdr>
    </w:div>
    <w:div w:id="322469240">
      <w:bodyDiv w:val="1"/>
      <w:marLeft w:val="0"/>
      <w:marRight w:val="0"/>
      <w:marTop w:val="0"/>
      <w:marBottom w:val="0"/>
      <w:divBdr>
        <w:top w:val="none" w:sz="0" w:space="0" w:color="auto"/>
        <w:left w:val="none" w:sz="0" w:space="0" w:color="auto"/>
        <w:bottom w:val="none" w:sz="0" w:space="0" w:color="auto"/>
        <w:right w:val="none" w:sz="0" w:space="0" w:color="auto"/>
      </w:divBdr>
    </w:div>
    <w:div w:id="410278812">
      <w:bodyDiv w:val="1"/>
      <w:marLeft w:val="0"/>
      <w:marRight w:val="0"/>
      <w:marTop w:val="0"/>
      <w:marBottom w:val="0"/>
      <w:divBdr>
        <w:top w:val="none" w:sz="0" w:space="0" w:color="auto"/>
        <w:left w:val="none" w:sz="0" w:space="0" w:color="auto"/>
        <w:bottom w:val="none" w:sz="0" w:space="0" w:color="auto"/>
        <w:right w:val="none" w:sz="0" w:space="0" w:color="auto"/>
      </w:divBdr>
    </w:div>
    <w:div w:id="413665659">
      <w:bodyDiv w:val="1"/>
      <w:marLeft w:val="0"/>
      <w:marRight w:val="0"/>
      <w:marTop w:val="0"/>
      <w:marBottom w:val="0"/>
      <w:divBdr>
        <w:top w:val="none" w:sz="0" w:space="0" w:color="auto"/>
        <w:left w:val="none" w:sz="0" w:space="0" w:color="auto"/>
        <w:bottom w:val="none" w:sz="0" w:space="0" w:color="auto"/>
        <w:right w:val="none" w:sz="0" w:space="0" w:color="auto"/>
      </w:divBdr>
    </w:div>
    <w:div w:id="456530883">
      <w:bodyDiv w:val="1"/>
      <w:marLeft w:val="0"/>
      <w:marRight w:val="0"/>
      <w:marTop w:val="0"/>
      <w:marBottom w:val="0"/>
      <w:divBdr>
        <w:top w:val="none" w:sz="0" w:space="0" w:color="auto"/>
        <w:left w:val="none" w:sz="0" w:space="0" w:color="auto"/>
        <w:bottom w:val="none" w:sz="0" w:space="0" w:color="auto"/>
        <w:right w:val="none" w:sz="0" w:space="0" w:color="auto"/>
      </w:divBdr>
    </w:div>
    <w:div w:id="500699783">
      <w:bodyDiv w:val="1"/>
      <w:marLeft w:val="0"/>
      <w:marRight w:val="0"/>
      <w:marTop w:val="0"/>
      <w:marBottom w:val="0"/>
      <w:divBdr>
        <w:top w:val="none" w:sz="0" w:space="0" w:color="auto"/>
        <w:left w:val="none" w:sz="0" w:space="0" w:color="auto"/>
        <w:bottom w:val="none" w:sz="0" w:space="0" w:color="auto"/>
        <w:right w:val="none" w:sz="0" w:space="0" w:color="auto"/>
      </w:divBdr>
    </w:div>
    <w:div w:id="525678347">
      <w:bodyDiv w:val="1"/>
      <w:marLeft w:val="0"/>
      <w:marRight w:val="0"/>
      <w:marTop w:val="0"/>
      <w:marBottom w:val="0"/>
      <w:divBdr>
        <w:top w:val="none" w:sz="0" w:space="0" w:color="auto"/>
        <w:left w:val="none" w:sz="0" w:space="0" w:color="auto"/>
        <w:bottom w:val="none" w:sz="0" w:space="0" w:color="auto"/>
        <w:right w:val="none" w:sz="0" w:space="0" w:color="auto"/>
      </w:divBdr>
    </w:div>
    <w:div w:id="648441019">
      <w:bodyDiv w:val="1"/>
      <w:marLeft w:val="0"/>
      <w:marRight w:val="0"/>
      <w:marTop w:val="0"/>
      <w:marBottom w:val="0"/>
      <w:divBdr>
        <w:top w:val="none" w:sz="0" w:space="0" w:color="auto"/>
        <w:left w:val="none" w:sz="0" w:space="0" w:color="auto"/>
        <w:bottom w:val="none" w:sz="0" w:space="0" w:color="auto"/>
        <w:right w:val="none" w:sz="0" w:space="0" w:color="auto"/>
      </w:divBdr>
    </w:div>
    <w:div w:id="696658604">
      <w:bodyDiv w:val="1"/>
      <w:marLeft w:val="0"/>
      <w:marRight w:val="0"/>
      <w:marTop w:val="0"/>
      <w:marBottom w:val="0"/>
      <w:divBdr>
        <w:top w:val="none" w:sz="0" w:space="0" w:color="auto"/>
        <w:left w:val="none" w:sz="0" w:space="0" w:color="auto"/>
        <w:bottom w:val="none" w:sz="0" w:space="0" w:color="auto"/>
        <w:right w:val="none" w:sz="0" w:space="0" w:color="auto"/>
      </w:divBdr>
    </w:div>
    <w:div w:id="703798443">
      <w:bodyDiv w:val="1"/>
      <w:marLeft w:val="0"/>
      <w:marRight w:val="0"/>
      <w:marTop w:val="0"/>
      <w:marBottom w:val="0"/>
      <w:divBdr>
        <w:top w:val="none" w:sz="0" w:space="0" w:color="auto"/>
        <w:left w:val="none" w:sz="0" w:space="0" w:color="auto"/>
        <w:bottom w:val="none" w:sz="0" w:space="0" w:color="auto"/>
        <w:right w:val="none" w:sz="0" w:space="0" w:color="auto"/>
      </w:divBdr>
    </w:div>
    <w:div w:id="798063364">
      <w:bodyDiv w:val="1"/>
      <w:marLeft w:val="0"/>
      <w:marRight w:val="0"/>
      <w:marTop w:val="0"/>
      <w:marBottom w:val="0"/>
      <w:divBdr>
        <w:top w:val="none" w:sz="0" w:space="0" w:color="auto"/>
        <w:left w:val="none" w:sz="0" w:space="0" w:color="auto"/>
        <w:bottom w:val="none" w:sz="0" w:space="0" w:color="auto"/>
        <w:right w:val="none" w:sz="0" w:space="0" w:color="auto"/>
      </w:divBdr>
    </w:div>
    <w:div w:id="812210259">
      <w:bodyDiv w:val="1"/>
      <w:marLeft w:val="0"/>
      <w:marRight w:val="0"/>
      <w:marTop w:val="0"/>
      <w:marBottom w:val="0"/>
      <w:divBdr>
        <w:top w:val="none" w:sz="0" w:space="0" w:color="auto"/>
        <w:left w:val="none" w:sz="0" w:space="0" w:color="auto"/>
        <w:bottom w:val="none" w:sz="0" w:space="0" w:color="auto"/>
        <w:right w:val="none" w:sz="0" w:space="0" w:color="auto"/>
      </w:divBdr>
    </w:div>
    <w:div w:id="847056854">
      <w:bodyDiv w:val="1"/>
      <w:marLeft w:val="0"/>
      <w:marRight w:val="0"/>
      <w:marTop w:val="0"/>
      <w:marBottom w:val="0"/>
      <w:divBdr>
        <w:top w:val="none" w:sz="0" w:space="0" w:color="auto"/>
        <w:left w:val="none" w:sz="0" w:space="0" w:color="auto"/>
        <w:bottom w:val="none" w:sz="0" w:space="0" w:color="auto"/>
        <w:right w:val="none" w:sz="0" w:space="0" w:color="auto"/>
      </w:divBdr>
    </w:div>
    <w:div w:id="953095343">
      <w:bodyDiv w:val="1"/>
      <w:marLeft w:val="0"/>
      <w:marRight w:val="0"/>
      <w:marTop w:val="0"/>
      <w:marBottom w:val="0"/>
      <w:divBdr>
        <w:top w:val="none" w:sz="0" w:space="0" w:color="auto"/>
        <w:left w:val="none" w:sz="0" w:space="0" w:color="auto"/>
        <w:bottom w:val="none" w:sz="0" w:space="0" w:color="auto"/>
        <w:right w:val="none" w:sz="0" w:space="0" w:color="auto"/>
      </w:divBdr>
    </w:div>
    <w:div w:id="997155463">
      <w:bodyDiv w:val="1"/>
      <w:marLeft w:val="0"/>
      <w:marRight w:val="0"/>
      <w:marTop w:val="0"/>
      <w:marBottom w:val="0"/>
      <w:divBdr>
        <w:top w:val="none" w:sz="0" w:space="0" w:color="auto"/>
        <w:left w:val="none" w:sz="0" w:space="0" w:color="auto"/>
        <w:bottom w:val="none" w:sz="0" w:space="0" w:color="auto"/>
        <w:right w:val="none" w:sz="0" w:space="0" w:color="auto"/>
      </w:divBdr>
    </w:div>
    <w:div w:id="1071270491">
      <w:bodyDiv w:val="1"/>
      <w:marLeft w:val="0"/>
      <w:marRight w:val="0"/>
      <w:marTop w:val="0"/>
      <w:marBottom w:val="0"/>
      <w:divBdr>
        <w:top w:val="none" w:sz="0" w:space="0" w:color="auto"/>
        <w:left w:val="none" w:sz="0" w:space="0" w:color="auto"/>
        <w:bottom w:val="none" w:sz="0" w:space="0" w:color="auto"/>
        <w:right w:val="none" w:sz="0" w:space="0" w:color="auto"/>
      </w:divBdr>
    </w:div>
    <w:div w:id="1090076879">
      <w:bodyDiv w:val="1"/>
      <w:marLeft w:val="0"/>
      <w:marRight w:val="0"/>
      <w:marTop w:val="0"/>
      <w:marBottom w:val="0"/>
      <w:divBdr>
        <w:top w:val="none" w:sz="0" w:space="0" w:color="auto"/>
        <w:left w:val="none" w:sz="0" w:space="0" w:color="auto"/>
        <w:bottom w:val="none" w:sz="0" w:space="0" w:color="auto"/>
        <w:right w:val="none" w:sz="0" w:space="0" w:color="auto"/>
      </w:divBdr>
    </w:div>
    <w:div w:id="1098719913">
      <w:bodyDiv w:val="1"/>
      <w:marLeft w:val="0"/>
      <w:marRight w:val="0"/>
      <w:marTop w:val="0"/>
      <w:marBottom w:val="0"/>
      <w:divBdr>
        <w:top w:val="none" w:sz="0" w:space="0" w:color="auto"/>
        <w:left w:val="none" w:sz="0" w:space="0" w:color="auto"/>
        <w:bottom w:val="none" w:sz="0" w:space="0" w:color="auto"/>
        <w:right w:val="none" w:sz="0" w:space="0" w:color="auto"/>
      </w:divBdr>
    </w:div>
    <w:div w:id="1147211145">
      <w:bodyDiv w:val="1"/>
      <w:marLeft w:val="0"/>
      <w:marRight w:val="0"/>
      <w:marTop w:val="0"/>
      <w:marBottom w:val="0"/>
      <w:divBdr>
        <w:top w:val="none" w:sz="0" w:space="0" w:color="auto"/>
        <w:left w:val="none" w:sz="0" w:space="0" w:color="auto"/>
        <w:bottom w:val="none" w:sz="0" w:space="0" w:color="auto"/>
        <w:right w:val="none" w:sz="0" w:space="0" w:color="auto"/>
      </w:divBdr>
    </w:div>
    <w:div w:id="1170170324">
      <w:bodyDiv w:val="1"/>
      <w:marLeft w:val="0"/>
      <w:marRight w:val="0"/>
      <w:marTop w:val="0"/>
      <w:marBottom w:val="0"/>
      <w:divBdr>
        <w:top w:val="none" w:sz="0" w:space="0" w:color="auto"/>
        <w:left w:val="none" w:sz="0" w:space="0" w:color="auto"/>
        <w:bottom w:val="none" w:sz="0" w:space="0" w:color="auto"/>
        <w:right w:val="none" w:sz="0" w:space="0" w:color="auto"/>
      </w:divBdr>
    </w:div>
    <w:div w:id="1220633935">
      <w:bodyDiv w:val="1"/>
      <w:marLeft w:val="0"/>
      <w:marRight w:val="0"/>
      <w:marTop w:val="0"/>
      <w:marBottom w:val="0"/>
      <w:divBdr>
        <w:top w:val="none" w:sz="0" w:space="0" w:color="auto"/>
        <w:left w:val="none" w:sz="0" w:space="0" w:color="auto"/>
        <w:bottom w:val="none" w:sz="0" w:space="0" w:color="auto"/>
        <w:right w:val="none" w:sz="0" w:space="0" w:color="auto"/>
      </w:divBdr>
    </w:div>
    <w:div w:id="1305545120">
      <w:bodyDiv w:val="1"/>
      <w:marLeft w:val="0"/>
      <w:marRight w:val="0"/>
      <w:marTop w:val="0"/>
      <w:marBottom w:val="0"/>
      <w:divBdr>
        <w:top w:val="none" w:sz="0" w:space="0" w:color="auto"/>
        <w:left w:val="none" w:sz="0" w:space="0" w:color="auto"/>
        <w:bottom w:val="none" w:sz="0" w:space="0" w:color="auto"/>
        <w:right w:val="none" w:sz="0" w:space="0" w:color="auto"/>
      </w:divBdr>
    </w:div>
    <w:div w:id="1359115100">
      <w:bodyDiv w:val="1"/>
      <w:marLeft w:val="0"/>
      <w:marRight w:val="0"/>
      <w:marTop w:val="0"/>
      <w:marBottom w:val="0"/>
      <w:divBdr>
        <w:top w:val="none" w:sz="0" w:space="0" w:color="auto"/>
        <w:left w:val="none" w:sz="0" w:space="0" w:color="auto"/>
        <w:bottom w:val="none" w:sz="0" w:space="0" w:color="auto"/>
        <w:right w:val="none" w:sz="0" w:space="0" w:color="auto"/>
      </w:divBdr>
    </w:div>
    <w:div w:id="1397900337">
      <w:bodyDiv w:val="1"/>
      <w:marLeft w:val="0"/>
      <w:marRight w:val="0"/>
      <w:marTop w:val="0"/>
      <w:marBottom w:val="0"/>
      <w:divBdr>
        <w:top w:val="none" w:sz="0" w:space="0" w:color="auto"/>
        <w:left w:val="none" w:sz="0" w:space="0" w:color="auto"/>
        <w:bottom w:val="none" w:sz="0" w:space="0" w:color="auto"/>
        <w:right w:val="none" w:sz="0" w:space="0" w:color="auto"/>
      </w:divBdr>
    </w:div>
    <w:div w:id="1470435574">
      <w:bodyDiv w:val="1"/>
      <w:marLeft w:val="0"/>
      <w:marRight w:val="0"/>
      <w:marTop w:val="0"/>
      <w:marBottom w:val="0"/>
      <w:divBdr>
        <w:top w:val="none" w:sz="0" w:space="0" w:color="auto"/>
        <w:left w:val="none" w:sz="0" w:space="0" w:color="auto"/>
        <w:bottom w:val="none" w:sz="0" w:space="0" w:color="auto"/>
        <w:right w:val="none" w:sz="0" w:space="0" w:color="auto"/>
      </w:divBdr>
    </w:div>
    <w:div w:id="1545873201">
      <w:bodyDiv w:val="1"/>
      <w:marLeft w:val="0"/>
      <w:marRight w:val="0"/>
      <w:marTop w:val="0"/>
      <w:marBottom w:val="0"/>
      <w:divBdr>
        <w:top w:val="none" w:sz="0" w:space="0" w:color="auto"/>
        <w:left w:val="none" w:sz="0" w:space="0" w:color="auto"/>
        <w:bottom w:val="none" w:sz="0" w:space="0" w:color="auto"/>
        <w:right w:val="none" w:sz="0" w:space="0" w:color="auto"/>
      </w:divBdr>
    </w:div>
    <w:div w:id="1580288563">
      <w:bodyDiv w:val="1"/>
      <w:marLeft w:val="0"/>
      <w:marRight w:val="0"/>
      <w:marTop w:val="0"/>
      <w:marBottom w:val="0"/>
      <w:divBdr>
        <w:top w:val="none" w:sz="0" w:space="0" w:color="auto"/>
        <w:left w:val="none" w:sz="0" w:space="0" w:color="auto"/>
        <w:bottom w:val="none" w:sz="0" w:space="0" w:color="auto"/>
        <w:right w:val="none" w:sz="0" w:space="0" w:color="auto"/>
      </w:divBdr>
    </w:div>
    <w:div w:id="1632786469">
      <w:bodyDiv w:val="1"/>
      <w:marLeft w:val="0"/>
      <w:marRight w:val="0"/>
      <w:marTop w:val="0"/>
      <w:marBottom w:val="0"/>
      <w:divBdr>
        <w:top w:val="none" w:sz="0" w:space="0" w:color="auto"/>
        <w:left w:val="none" w:sz="0" w:space="0" w:color="auto"/>
        <w:bottom w:val="none" w:sz="0" w:space="0" w:color="auto"/>
        <w:right w:val="none" w:sz="0" w:space="0" w:color="auto"/>
      </w:divBdr>
    </w:div>
    <w:div w:id="1841894951">
      <w:bodyDiv w:val="1"/>
      <w:marLeft w:val="0"/>
      <w:marRight w:val="0"/>
      <w:marTop w:val="0"/>
      <w:marBottom w:val="0"/>
      <w:divBdr>
        <w:top w:val="none" w:sz="0" w:space="0" w:color="auto"/>
        <w:left w:val="none" w:sz="0" w:space="0" w:color="auto"/>
        <w:bottom w:val="none" w:sz="0" w:space="0" w:color="auto"/>
        <w:right w:val="none" w:sz="0" w:space="0" w:color="auto"/>
      </w:divBdr>
    </w:div>
    <w:div w:id="1969780440">
      <w:bodyDiv w:val="1"/>
      <w:marLeft w:val="0"/>
      <w:marRight w:val="0"/>
      <w:marTop w:val="0"/>
      <w:marBottom w:val="0"/>
      <w:divBdr>
        <w:top w:val="none" w:sz="0" w:space="0" w:color="auto"/>
        <w:left w:val="none" w:sz="0" w:space="0" w:color="auto"/>
        <w:bottom w:val="none" w:sz="0" w:space="0" w:color="auto"/>
        <w:right w:val="none" w:sz="0" w:space="0" w:color="auto"/>
      </w:divBdr>
    </w:div>
    <w:div w:id="1997538286">
      <w:bodyDiv w:val="1"/>
      <w:marLeft w:val="0"/>
      <w:marRight w:val="0"/>
      <w:marTop w:val="0"/>
      <w:marBottom w:val="0"/>
      <w:divBdr>
        <w:top w:val="none" w:sz="0" w:space="0" w:color="auto"/>
        <w:left w:val="none" w:sz="0" w:space="0" w:color="auto"/>
        <w:bottom w:val="none" w:sz="0" w:space="0" w:color="auto"/>
        <w:right w:val="none" w:sz="0" w:space="0" w:color="auto"/>
      </w:divBdr>
    </w:div>
    <w:div w:id="2019885961">
      <w:bodyDiv w:val="1"/>
      <w:marLeft w:val="0"/>
      <w:marRight w:val="0"/>
      <w:marTop w:val="0"/>
      <w:marBottom w:val="0"/>
      <w:divBdr>
        <w:top w:val="none" w:sz="0" w:space="0" w:color="auto"/>
        <w:left w:val="none" w:sz="0" w:space="0" w:color="auto"/>
        <w:bottom w:val="none" w:sz="0" w:space="0" w:color="auto"/>
        <w:right w:val="none" w:sz="0" w:space="0" w:color="auto"/>
      </w:divBdr>
    </w:div>
    <w:div w:id="204756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crm.md/activitatea-curtii-de-conturi-1-2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w="19050" cap="flat" cmpd="sng" algn="ctr">
          <a:solidFill>
            <a:schemeClr val="tx1">
              <a:lumMod val="25000"/>
              <a:lumOff val="75000"/>
            </a:schemeClr>
          </a:solidFill>
          <a:round/>
        </a:ln>
        <a:effectLst/>
        <a:sp3d contourW="19050">
          <a:contourClr>
            <a:schemeClr val="tx1">
              <a:lumMod val="25000"/>
              <a:lumOff val="75000"/>
            </a:schemeClr>
          </a:contourClr>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Sheet1!$B$1</c:f>
              <c:strCache>
                <c:ptCount val="1"/>
                <c:pt idx="0">
                  <c:v>Total cheltuieli și active nefinanciare</c:v>
                </c:pt>
              </c:strCache>
            </c:strRef>
          </c:tx>
          <c:spPr>
            <a:solidFill>
              <a:srgbClr val="FFC000">
                <a:lumMod val="60000"/>
                <a:lumOff val="40000"/>
              </a:srgbClr>
            </a:solidFill>
            <a:ln>
              <a:solidFill>
                <a:schemeClr val="accent6"/>
              </a:solidFill>
            </a:ln>
            <a:effectLst/>
            <a:sp3d>
              <a:contourClr>
                <a:schemeClr val="accent6"/>
              </a:contourClr>
            </a:sp3d>
          </c:spPr>
          <c:invertIfNegative val="0"/>
          <c:dPt>
            <c:idx val="0"/>
            <c:invertIfNegative val="0"/>
            <c:bubble3D val="0"/>
            <c:spPr>
              <a:solidFill>
                <a:srgbClr val="FFC000">
                  <a:lumMod val="60000"/>
                  <a:lumOff val="40000"/>
                </a:srgbClr>
              </a:solidFill>
              <a:ln w="15875">
                <a:solidFill>
                  <a:schemeClr val="accent6"/>
                </a:solidFill>
              </a:ln>
              <a:effectLst/>
              <a:sp3d contourW="15875">
                <a:contourClr>
                  <a:schemeClr val="accent6"/>
                </a:contourClr>
              </a:sp3d>
            </c:spPr>
            <c:extLst xmlns:c16r2="http://schemas.microsoft.com/office/drawing/2015/06/chart">
              <c:ext xmlns:c16="http://schemas.microsoft.com/office/drawing/2014/chart" uri="{C3380CC4-5D6E-409C-BE32-E72D297353CC}">
                <c16:uniqueId val="{00000001-4E0D-47A3-832B-B476DBDA3052}"/>
              </c:ext>
            </c:extLst>
          </c:dPt>
          <c:dPt>
            <c:idx val="1"/>
            <c:invertIfNegative val="0"/>
            <c:bubble3D val="0"/>
            <c:spPr>
              <a:solidFill>
                <a:srgbClr val="FFC000">
                  <a:lumMod val="60000"/>
                  <a:lumOff val="40000"/>
                </a:srgbClr>
              </a:solidFill>
              <a:ln w="15875">
                <a:solidFill>
                  <a:schemeClr val="accent6"/>
                </a:solidFill>
              </a:ln>
              <a:effectLst/>
              <a:sp3d contourW="15875">
                <a:contourClr>
                  <a:schemeClr val="accent6"/>
                </a:contourClr>
              </a:sp3d>
            </c:spPr>
            <c:extLst xmlns:c16r2="http://schemas.microsoft.com/office/drawing/2015/06/chart">
              <c:ext xmlns:c16="http://schemas.microsoft.com/office/drawing/2014/chart" uri="{C3380CC4-5D6E-409C-BE32-E72D297353CC}">
                <c16:uniqueId val="{00000003-4E0D-47A3-832B-B476DBDA3052}"/>
              </c:ext>
            </c:extLst>
          </c:dPt>
          <c:dPt>
            <c:idx val="2"/>
            <c:invertIfNegative val="0"/>
            <c:bubble3D val="0"/>
            <c:spPr>
              <a:solidFill>
                <a:srgbClr val="FFC000">
                  <a:lumMod val="60000"/>
                  <a:lumOff val="40000"/>
                </a:srgbClr>
              </a:solidFill>
              <a:ln w="15875">
                <a:solidFill>
                  <a:schemeClr val="accent6"/>
                </a:solidFill>
              </a:ln>
              <a:effectLst/>
              <a:sp3d contourW="15875">
                <a:contourClr>
                  <a:schemeClr val="accent6"/>
                </a:contourClr>
              </a:sp3d>
            </c:spPr>
            <c:extLst xmlns:c16r2="http://schemas.microsoft.com/office/drawing/2015/06/chart">
              <c:ext xmlns:c16="http://schemas.microsoft.com/office/drawing/2014/chart" uri="{C3380CC4-5D6E-409C-BE32-E72D297353CC}">
                <c16:uniqueId val="{00000005-4E0D-47A3-832B-B476DBDA3052}"/>
              </c:ext>
            </c:extLst>
          </c:dPt>
          <c:dLbls>
            <c:dLbl>
              <c:idx val="0"/>
              <c:layout>
                <c:manualLayout>
                  <c:x val="2.2255192878338232E-2"/>
                  <c:y val="-4.27350427350435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E0D-47A3-832B-B476DBDA3052}"/>
                </c:ext>
                <c:ext xmlns:c15="http://schemas.microsoft.com/office/drawing/2012/chart" uri="{CE6537A1-D6FC-4f65-9D91-7224C49458BB}"/>
              </c:extLst>
            </c:dLbl>
            <c:dLbl>
              <c:idx val="1"/>
              <c:layout>
                <c:manualLayout>
                  <c:x val="1.9782393669634024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4E0D-47A3-832B-B476DBDA3052}"/>
                </c:ext>
                <c:ext xmlns:c15="http://schemas.microsoft.com/office/drawing/2012/chart" uri="{CE6537A1-D6FC-4f65-9D91-7224C49458BB}"/>
              </c:extLst>
            </c:dLbl>
            <c:dLbl>
              <c:idx val="2"/>
              <c:layout>
                <c:manualLayout>
                  <c:x val="1.7309594460929771E-2"/>
                  <c:y val="-7.8346673280123027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4E0D-47A3-832B-B476DBDA3052}"/>
                </c:ext>
                <c:ext xmlns:c15="http://schemas.microsoft.com/office/drawing/2012/chart" uri="{CE6537A1-D6FC-4f65-9D91-7224C49458BB}"/>
              </c:extLst>
            </c:dLbl>
            <c:spPr>
              <a:solidFill>
                <a:schemeClr val="accent6">
                  <a:lumMod val="20000"/>
                  <a:lumOff val="80000"/>
                </a:schemeClr>
              </a:solidFill>
              <a:ln>
                <a:noFill/>
              </a:ln>
              <a:effectLst/>
            </c:spPr>
            <c:txPr>
              <a:bodyPr rot="0" spcFirstLastPara="1" vertOverflow="ellipsis" vert="horz" wrap="square" anchor="ctr" anchorCtr="1"/>
              <a:lstStyle/>
              <a:p>
                <a:pPr>
                  <a:defRPr sz="1200" b="1" i="0" u="none" strike="noStrike" kern="1200" baseline="0">
                    <a:solidFill>
                      <a:schemeClr val="dk1"/>
                    </a:solidFill>
                    <a:latin typeface="+mj-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Anul 2018</c:v>
                </c:pt>
                <c:pt idx="1">
                  <c:v>Anul 2019</c:v>
                </c:pt>
                <c:pt idx="2">
                  <c:v>Anul 2020</c:v>
                </c:pt>
              </c:strCache>
            </c:strRef>
          </c:cat>
          <c:val>
            <c:numRef>
              <c:f>Sheet1!$B$2:$B$4</c:f>
              <c:numCache>
                <c:formatCode>#,##0.0</c:formatCode>
                <c:ptCount val="3"/>
                <c:pt idx="0">
                  <c:v>38708.300000000003</c:v>
                </c:pt>
                <c:pt idx="1">
                  <c:v>43073.9</c:v>
                </c:pt>
                <c:pt idx="2">
                  <c:v>49635.4</c:v>
                </c:pt>
              </c:numCache>
            </c:numRef>
          </c:val>
          <c:shape val="pyramidToMax"/>
          <c:extLst xmlns:c16r2="http://schemas.microsoft.com/office/drawing/2015/06/chart">
            <c:ext xmlns:c16="http://schemas.microsoft.com/office/drawing/2014/chart" uri="{C3380CC4-5D6E-409C-BE32-E72D297353CC}">
              <c16:uniqueId val="{00000006-4E0D-47A3-832B-B476DBDA3052}"/>
            </c:ext>
          </c:extLst>
        </c:ser>
        <c:ser>
          <c:idx val="1"/>
          <c:order val="1"/>
          <c:tx>
            <c:strRef>
              <c:f>Sheet1!$C$1</c:f>
              <c:strCache>
                <c:ptCount val="1"/>
                <c:pt idx="0">
                  <c:v>inclusiv, transferuri acordate în cadrul BPN</c:v>
                </c:pt>
              </c:strCache>
            </c:strRef>
          </c:tx>
          <c:spPr>
            <a:pattFill prst="ltDnDiag">
              <a:fgClr>
                <a:schemeClr val="accent5"/>
              </a:fgClr>
              <a:bgClr>
                <a:schemeClr val="accent5">
                  <a:lumMod val="20000"/>
                  <a:lumOff val="80000"/>
                </a:schemeClr>
              </a:bgClr>
            </a:pattFill>
            <a:ln>
              <a:solidFill>
                <a:schemeClr val="accent5"/>
              </a:solidFill>
            </a:ln>
            <a:effectLst/>
            <a:sp3d>
              <a:contourClr>
                <a:schemeClr val="accent5"/>
              </a:contourClr>
            </a:sp3d>
          </c:spPr>
          <c:invertIfNegative val="0"/>
          <c:dLbls>
            <c:dLbl>
              <c:idx val="0"/>
              <c:layout>
                <c:manualLayout>
                  <c:x val="1.4836775722183664E-2"/>
                  <c:y val="-0.1088201603665521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4E0D-47A3-832B-B476DBDA3052}"/>
                </c:ext>
                <c:ext xmlns:c15="http://schemas.microsoft.com/office/drawing/2012/chart" uri="{CE6537A1-D6FC-4f65-9D91-7224C49458BB}"/>
              </c:extLst>
            </c:dLbl>
            <c:dLbl>
              <c:idx val="1"/>
              <c:layout>
                <c:manualLayout>
                  <c:x val="1.9782367629578218E-2"/>
                  <c:y val="-0.1016388415365605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4E0D-47A3-832B-B476DBDA3052}"/>
                </c:ext>
                <c:ext xmlns:c15="http://schemas.microsoft.com/office/drawing/2012/chart" uri="{CE6537A1-D6FC-4f65-9D91-7224C49458BB}"/>
              </c:extLst>
            </c:dLbl>
            <c:dLbl>
              <c:idx val="2"/>
              <c:layout>
                <c:manualLayout>
                  <c:x val="9.8911838147890153E-3"/>
                  <c:y val="-0.1088201603665521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4E0D-47A3-832B-B476DBDA3052}"/>
                </c:ext>
                <c:ext xmlns:c15="http://schemas.microsoft.com/office/drawing/2012/chart" uri="{CE6537A1-D6FC-4f65-9D91-7224C49458BB}"/>
              </c:extLst>
            </c:dLbl>
            <c:spPr>
              <a:solidFill>
                <a:sysClr val="window" lastClr="FFFFFF">
                  <a:lumMod val="95000"/>
                </a:sysClr>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dk1"/>
                    </a:solidFill>
                    <a:latin typeface="+mj-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Anul 2018</c:v>
                </c:pt>
                <c:pt idx="1">
                  <c:v>Anul 2019</c:v>
                </c:pt>
                <c:pt idx="2">
                  <c:v>Anul 2020</c:v>
                </c:pt>
              </c:strCache>
            </c:strRef>
          </c:cat>
          <c:val>
            <c:numRef>
              <c:f>Sheet1!$C$2:$C$4</c:f>
              <c:numCache>
                <c:formatCode>#,##0.0</c:formatCode>
                <c:ptCount val="3"/>
                <c:pt idx="0">
                  <c:v>19755.599999999999</c:v>
                </c:pt>
                <c:pt idx="1">
                  <c:v>23098.82</c:v>
                </c:pt>
                <c:pt idx="2">
                  <c:v>26920.98</c:v>
                </c:pt>
              </c:numCache>
            </c:numRef>
          </c:val>
          <c:shape val="pyramidToMax"/>
          <c:extLst xmlns:c16r2="http://schemas.microsoft.com/office/drawing/2015/06/chart">
            <c:ext xmlns:c16="http://schemas.microsoft.com/office/drawing/2014/chart" uri="{C3380CC4-5D6E-409C-BE32-E72D297353CC}">
              <c16:uniqueId val="{0000000A-4E0D-47A3-832B-B476DBDA3052}"/>
            </c:ext>
          </c:extLst>
        </c:ser>
        <c:dLbls>
          <c:showLegendKey val="0"/>
          <c:showVal val="1"/>
          <c:showCatName val="0"/>
          <c:showSerName val="0"/>
          <c:showPercent val="0"/>
          <c:showBubbleSize val="0"/>
        </c:dLbls>
        <c:gapWidth val="160"/>
        <c:gapDepth val="160"/>
        <c:shape val="pyramidToMax"/>
        <c:axId val="197128768"/>
        <c:axId val="197130336"/>
        <c:axId val="0"/>
      </c:bar3DChart>
      <c:catAx>
        <c:axId val="197128768"/>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1200" b="1" i="0" u="none" strike="noStrike" kern="1200" baseline="0">
                <a:solidFill>
                  <a:schemeClr val="dk1"/>
                </a:solidFill>
                <a:latin typeface="+mj-lt"/>
                <a:ea typeface="+mn-ea"/>
                <a:cs typeface="+mn-cs"/>
              </a:defRPr>
            </a:pPr>
            <a:endParaRPr lang="ru-RU"/>
          </a:p>
        </c:txPr>
        <c:crossAx val="197130336"/>
        <c:crosses val="autoZero"/>
        <c:auto val="1"/>
        <c:lblAlgn val="ctr"/>
        <c:lblOffset val="100"/>
        <c:noMultiLvlLbl val="0"/>
      </c:catAx>
      <c:valAx>
        <c:axId val="197130336"/>
        <c:scaling>
          <c:orientation val="minMax"/>
        </c:scaling>
        <c:delete val="0"/>
        <c:axPos val="l"/>
        <c:majorGridlines>
          <c:spPr>
            <a:ln>
              <a:solidFill>
                <a:schemeClr val="tx1">
                  <a:lumMod val="15000"/>
                  <a:lumOff val="85000"/>
                </a:schemeClr>
              </a:solidFill>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ru-RU"/>
          </a:p>
        </c:txPr>
        <c:crossAx val="197128768"/>
        <c:crosses val="autoZero"/>
        <c:crossBetween val="between"/>
      </c:valAx>
      <c:spPr>
        <a:noFill/>
        <a:ln>
          <a:noFill/>
        </a:ln>
        <a:effectLst/>
      </c:spPr>
    </c:plotArea>
    <c:legend>
      <c:legendPos val="t"/>
      <c:layout>
        <c:manualLayout>
          <c:xMode val="edge"/>
          <c:yMode val="edge"/>
          <c:x val="2.0933510907575718E-2"/>
          <c:y val="2.564102564102564E-2"/>
          <c:w val="0.9556601789761443"/>
          <c:h val="0.1096830203916818"/>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dk1"/>
              </a:solidFill>
              <a:latin typeface="+mj-lt"/>
              <a:ea typeface="+mn-ea"/>
              <a:cs typeface="+mn-cs"/>
            </a:defRPr>
          </a:pPr>
          <a:endParaRPr lang="ru-RU"/>
        </a:p>
      </c:txPr>
    </c:legend>
    <c:plotVisOnly val="1"/>
    <c:dispBlanksAs val="gap"/>
    <c:showDLblsOverMax val="0"/>
  </c:chart>
  <c:spPr>
    <a:solidFill>
      <a:schemeClr val="lt1"/>
    </a:solidFill>
    <a:ln w="12700" cap="flat" cmpd="sng" algn="ctr">
      <a:solidFill>
        <a:schemeClr val="accent1"/>
      </a:solidFill>
      <a:prstDash val="solid"/>
      <a:miter lim="800000"/>
    </a:ln>
    <a:effectLst>
      <a:glow rad="63500">
        <a:srgbClr val="FFC000">
          <a:satMod val="175000"/>
          <a:alpha val="40000"/>
        </a:srgbClr>
      </a:glow>
    </a:effectLst>
  </c:spPr>
  <c:txPr>
    <a:bodyPr/>
    <a:lstStyle/>
    <a:p>
      <a:pPr>
        <a:defRPr>
          <a:solidFill>
            <a:schemeClr val="dk1"/>
          </a:solidFill>
          <a:latin typeface="+mn-lt"/>
          <a:ea typeface="+mn-ea"/>
          <a:cs typeface="+mn-cs"/>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93900-EF9D-4353-8478-D58F82CA0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59</Pages>
  <Words>25442</Words>
  <Characters>145023</Characters>
  <Application>Microsoft Office Word</Application>
  <DocSecurity>0</DocSecurity>
  <Lines>1208</Lines>
  <Paragraphs>340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Savva Maia</dc:creator>
  <cp:keywords/>
  <dc:description/>
  <cp:lastModifiedBy>Paiu Eugenia</cp:lastModifiedBy>
  <cp:revision>9</cp:revision>
  <cp:lastPrinted>2021-06-21T07:01:00Z</cp:lastPrinted>
  <dcterms:created xsi:type="dcterms:W3CDTF">2021-06-30T10:15:00Z</dcterms:created>
  <dcterms:modified xsi:type="dcterms:W3CDTF">2021-07-09T08:10:00Z</dcterms:modified>
</cp:coreProperties>
</file>